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260B" w14:textId="77777777" w:rsidR="005C2F64" w:rsidRPr="009F4CD2" w:rsidRDefault="005C2F64" w:rsidP="005C2F64">
      <w:pPr>
        <w:spacing w:after="0" w:line="240" w:lineRule="auto"/>
        <w:contextualSpacing/>
        <w:jc w:val="both"/>
        <w:rPr>
          <w:rFonts w:ascii="Arial" w:eastAsia="Calibri" w:hAnsi="Arial" w:cs="Arial"/>
          <w:b/>
          <w:lang w:val="es-MX"/>
        </w:rPr>
      </w:pPr>
      <w:r w:rsidRPr="009F4CD2">
        <w:rPr>
          <w:rFonts w:ascii="Arial" w:eastAsia="Calibri" w:hAnsi="Arial" w:cs="Arial"/>
          <w:b/>
          <w:color w:val="000000" w:themeColor="text1"/>
          <w:lang w:val="es-ES_tradnl"/>
        </w:rPr>
        <w:t xml:space="preserve">SUBSANABILIDAD DE LAS OFERTAS </w:t>
      </w:r>
      <w:r w:rsidRPr="009F4CD2">
        <w:rPr>
          <w:rFonts w:ascii="Arial" w:eastAsia="Calibri" w:hAnsi="Arial" w:cs="Arial"/>
          <w:b/>
          <w:lang w:val="es-MX"/>
        </w:rPr>
        <w:t>– Alcance de la regla – Ley 1882 de 2018 – Ámbito temporal – Criterio material</w:t>
      </w:r>
    </w:p>
    <w:p w14:paraId="1F5A3184" w14:textId="77777777" w:rsidR="005C2F64" w:rsidRPr="009F4CD2" w:rsidRDefault="005C2F64" w:rsidP="005C2F64">
      <w:pPr>
        <w:spacing w:after="0" w:line="240" w:lineRule="auto"/>
        <w:contextualSpacing/>
        <w:jc w:val="both"/>
        <w:rPr>
          <w:rFonts w:ascii="Arial" w:eastAsia="Calibri" w:hAnsi="Arial" w:cs="Arial"/>
          <w:b/>
          <w:sz w:val="20"/>
          <w:szCs w:val="20"/>
          <w:lang w:val="es-MX"/>
        </w:rPr>
      </w:pPr>
    </w:p>
    <w:p w14:paraId="622A4D4C" w14:textId="77777777" w:rsidR="005C2F64" w:rsidRPr="009F4CD2" w:rsidRDefault="005C2F64" w:rsidP="005C2F64">
      <w:pPr>
        <w:spacing w:after="0" w:line="240" w:lineRule="auto"/>
        <w:contextualSpacing/>
        <w:jc w:val="both"/>
        <w:rPr>
          <w:rFonts w:ascii="Arial" w:hAnsi="Arial" w:cs="Arial"/>
          <w:sz w:val="20"/>
          <w:szCs w:val="20"/>
          <w:lang w:val="es-ES_tradnl"/>
          <w14:ligatures w14:val="standardContextual"/>
        </w:rPr>
      </w:pPr>
      <w:r w:rsidRPr="009F4CD2">
        <w:rPr>
          <w:rFonts w:ascii="Arial" w:hAnsi="Arial" w:cs="Arial"/>
          <w:sz w:val="20"/>
          <w:szCs w:val="20"/>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w:t>
      </w:r>
      <w:proofErr w:type="spellStart"/>
      <w:r w:rsidRPr="009F4CD2">
        <w:rPr>
          <w:rFonts w:ascii="Arial" w:hAnsi="Arial" w:cs="Arial"/>
          <w:sz w:val="20"/>
          <w:szCs w:val="20"/>
          <w:lang w:val="es-ES_tradnl"/>
          <w14:ligatures w14:val="standardContextual"/>
        </w:rPr>
        <w:t>ii</w:t>
      </w:r>
      <w:proofErr w:type="spellEnd"/>
      <w:r w:rsidRPr="009F4CD2">
        <w:rPr>
          <w:rFonts w:ascii="Arial" w:hAnsi="Arial" w:cs="Arial"/>
          <w:sz w:val="20"/>
          <w:szCs w:val="20"/>
          <w:lang w:val="es-ES_tradnl"/>
          <w14:ligatures w14:val="standardContextual"/>
        </w:rPr>
        <w:t xml:space="preserve">) mantiene el criterio aclaratorio de la Ley 1150 de 2007, según el cual todo lo que no afecte la asignación de puntaje puede subsanarse y, </w:t>
      </w:r>
      <w:proofErr w:type="spellStart"/>
      <w:r w:rsidRPr="009F4CD2">
        <w:rPr>
          <w:rFonts w:ascii="Arial" w:hAnsi="Arial" w:cs="Arial"/>
          <w:sz w:val="20"/>
          <w:szCs w:val="20"/>
          <w:lang w:val="es-ES_tradnl"/>
          <w14:ligatures w14:val="standardContextual"/>
        </w:rPr>
        <w:t>iii</w:t>
      </w:r>
      <w:proofErr w:type="spellEnd"/>
      <w:r w:rsidRPr="009F4CD2">
        <w:rPr>
          <w:rFonts w:ascii="Arial" w:hAnsi="Arial" w:cs="Arial"/>
          <w:sz w:val="20"/>
          <w:szCs w:val="20"/>
          <w:lang w:val="es-ES_tradnl"/>
          <w14:ligatures w14:val="standardContextual"/>
        </w:rPr>
        <w:t xml:space="preserve">) introduce modificaciones en relación con algunos aspectos que se analizarán a continuación. </w:t>
      </w:r>
    </w:p>
    <w:p w14:paraId="0BE44D3B" w14:textId="77777777" w:rsidR="005C2F64" w:rsidRPr="009F4CD2" w:rsidRDefault="005C2F64" w:rsidP="005C2F64">
      <w:pPr>
        <w:spacing w:after="0" w:line="240" w:lineRule="auto"/>
        <w:contextualSpacing/>
        <w:jc w:val="both"/>
        <w:rPr>
          <w:rFonts w:ascii="Arial" w:hAnsi="Arial" w:cs="Arial"/>
          <w:sz w:val="20"/>
          <w:szCs w:val="20"/>
          <w:lang w:val="es-ES_tradnl"/>
        </w:rPr>
      </w:pPr>
    </w:p>
    <w:p w14:paraId="50738422" w14:textId="77777777" w:rsidR="005C2F64" w:rsidRPr="009F4CD2" w:rsidRDefault="005C2F64" w:rsidP="005C2F64">
      <w:pPr>
        <w:spacing w:after="0" w:line="240" w:lineRule="auto"/>
        <w:contextualSpacing/>
        <w:jc w:val="both"/>
        <w:rPr>
          <w:rFonts w:ascii="Arial" w:eastAsia="Calibri" w:hAnsi="Arial" w:cs="Arial"/>
          <w:sz w:val="20"/>
          <w:szCs w:val="20"/>
          <w:lang w:val="es-ES_tradnl"/>
        </w:rPr>
      </w:pPr>
      <w:r w:rsidRPr="009F4CD2">
        <w:rPr>
          <w:rFonts w:ascii="Arial" w:hAnsi="Arial" w:cs="Arial"/>
          <w:i/>
          <w:iCs/>
          <w:sz w:val="20"/>
          <w:szCs w:val="20"/>
          <w:lang w:val="es-ES_tradnl"/>
          <w14:ligatures w14:val="standardContextual"/>
        </w:rPr>
        <w:t>El primero</w:t>
      </w:r>
      <w:r w:rsidRPr="009F4CD2">
        <w:rPr>
          <w:rFonts w:ascii="Arial" w:hAnsi="Arial" w:cs="Arial"/>
          <w:sz w:val="20"/>
          <w:szCs w:val="20"/>
          <w:lang w:val="es-ES_tradnl"/>
          <w14:ligatures w14:val="standardContextua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9F4CD2">
        <w:rPr>
          <w:rFonts w:ascii="Arial" w:eastAsia="Calibri" w:hAnsi="Arial" w:cs="Arial"/>
          <w:sz w:val="20"/>
          <w:szCs w:val="20"/>
          <w:lang w:val="es-ES_tradnl"/>
          <w14:ligatures w14:val="standardContextual"/>
        </w:rPr>
        <w:t>de selección a través del sistema de subasta, este último al cual hace referencia en su consulta, y en el que los documentos o requisitos subsanables pueden y deben solicitarse por parte de las entidades estatales, como límite, hasta el momento previo a la celebración de la audiencia</w:t>
      </w:r>
      <w:r w:rsidRPr="009F4CD2">
        <w:rPr>
          <w:rFonts w:ascii="Arial" w:eastAsia="Calibri" w:hAnsi="Arial" w:cs="Arial"/>
          <w:sz w:val="20"/>
          <w:szCs w:val="20"/>
          <w:lang w:val="es-ES_tradnl"/>
        </w:rPr>
        <w:t xml:space="preserve"> […]</w:t>
      </w:r>
    </w:p>
    <w:p w14:paraId="7AA0F2ED" w14:textId="77777777" w:rsidR="005C2F64" w:rsidRPr="009F4CD2" w:rsidRDefault="005C2F64" w:rsidP="005C2F64">
      <w:pPr>
        <w:spacing w:after="0" w:line="240" w:lineRule="auto"/>
        <w:contextualSpacing/>
        <w:jc w:val="both"/>
        <w:rPr>
          <w:rFonts w:ascii="Arial" w:eastAsia="Calibri" w:hAnsi="Arial" w:cs="Arial"/>
          <w:sz w:val="20"/>
          <w:szCs w:val="20"/>
          <w:lang w:val="es-ES_tradnl"/>
        </w:rPr>
      </w:pPr>
    </w:p>
    <w:p w14:paraId="0B94617E" w14:textId="77777777" w:rsidR="005C2F64" w:rsidRPr="009F4CD2" w:rsidRDefault="005C2F64" w:rsidP="005C2F64">
      <w:pPr>
        <w:spacing w:after="0" w:line="240" w:lineRule="auto"/>
        <w:contextualSpacing/>
        <w:jc w:val="both"/>
        <w:rPr>
          <w:rFonts w:ascii="Arial" w:hAnsi="Arial" w:cs="Arial"/>
          <w:sz w:val="20"/>
          <w:szCs w:val="20"/>
          <w:lang w:val="es-ES_tradnl"/>
        </w:rPr>
      </w:pPr>
    </w:p>
    <w:p w14:paraId="566CC7C2" w14:textId="77777777" w:rsidR="005C2F64" w:rsidRPr="009F4CD2" w:rsidRDefault="005C2F64" w:rsidP="005C2F64">
      <w:pPr>
        <w:spacing w:line="240" w:lineRule="auto"/>
        <w:contextualSpacing/>
        <w:jc w:val="both"/>
        <w:rPr>
          <w:rFonts w:ascii="Arial" w:hAnsi="Arial" w:cs="Arial"/>
          <w:sz w:val="20"/>
          <w:szCs w:val="20"/>
          <w:lang w:val="es-ES_tradnl"/>
        </w:rPr>
      </w:pPr>
      <w:r w:rsidRPr="009F4CD2">
        <w:rPr>
          <w:rFonts w:ascii="Arial" w:eastAsia="Calibri" w:hAnsi="Arial" w:cs="Arial"/>
          <w:sz w:val="20"/>
          <w:szCs w:val="20"/>
          <w:lang w:val="es-ES_tradnl"/>
          <w14:ligatures w14:val="standardContextual"/>
        </w:rPr>
        <w:t xml:space="preserve">De otro lado, </w:t>
      </w:r>
      <w:r w:rsidRPr="009F4CD2">
        <w:rPr>
          <w:rFonts w:ascii="Arial" w:eastAsia="Calibri" w:hAnsi="Arial" w:cs="Arial"/>
          <w:i/>
          <w:iCs/>
          <w:sz w:val="20"/>
          <w:szCs w:val="20"/>
          <w:lang w:val="es-ES_tradnl"/>
          <w14:ligatures w14:val="standardContextual"/>
        </w:rPr>
        <w:t>el segundo</w:t>
      </w:r>
      <w:r w:rsidRPr="009F4CD2">
        <w:rPr>
          <w:rFonts w:ascii="Arial" w:eastAsia="Calibri" w:hAnsi="Arial" w:cs="Arial"/>
          <w:sz w:val="20"/>
          <w:szCs w:val="20"/>
          <w:lang w:val="es-ES_tradnl"/>
          <w14:ligatures w14:val="standardContextual"/>
        </w:rPr>
        <w:t xml:space="preserve"> cambio importante de la Ley 1882 de 2018 fue la introducción de un criterio material, directamente relacionado con los aspectos subsanables: “</w:t>
      </w:r>
      <w:r w:rsidRPr="009F4CD2">
        <w:rPr>
          <w:rFonts w:ascii="Arial" w:hAnsi="Arial" w:cs="Arial"/>
          <w:sz w:val="20"/>
          <w:szCs w:val="20"/>
          <w:lang w:val="es-ES_tradnl"/>
          <w14:ligatures w14:val="standardContextual"/>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26384508" w14:textId="77777777" w:rsidR="005C2F64" w:rsidRPr="009F4CD2" w:rsidRDefault="005C2F64" w:rsidP="005C2F64">
      <w:pPr>
        <w:spacing w:after="0" w:line="240" w:lineRule="auto"/>
        <w:contextualSpacing/>
        <w:jc w:val="both"/>
        <w:rPr>
          <w:rFonts w:ascii="Arial" w:hAnsi="Arial" w:cs="Arial"/>
          <w:sz w:val="20"/>
          <w:szCs w:val="20"/>
          <w:lang w:val="es-ES_tradnl"/>
          <w14:ligatures w14:val="standardContextual"/>
        </w:rPr>
      </w:pPr>
    </w:p>
    <w:p w14:paraId="57BCF86E" w14:textId="77777777" w:rsidR="005C2F64" w:rsidRPr="009F4CD2" w:rsidRDefault="005C2F64" w:rsidP="005C2F64">
      <w:pPr>
        <w:spacing w:after="0" w:line="240" w:lineRule="auto"/>
        <w:contextualSpacing/>
        <w:jc w:val="both"/>
        <w:rPr>
          <w:rFonts w:ascii="Arial" w:hAnsi="Arial" w:cs="Arial"/>
          <w:sz w:val="20"/>
          <w:szCs w:val="20"/>
          <w:lang w:val="es-ES_tradnl"/>
        </w:rPr>
      </w:pPr>
      <w:r w:rsidRPr="009F4CD2">
        <w:rPr>
          <w:rFonts w:ascii="Arial" w:hAnsi="Arial" w:cs="Arial"/>
          <w:sz w:val="20"/>
          <w:szCs w:val="20"/>
          <w:lang w:val="es-ES_tradnl"/>
        </w:rPr>
        <w:t xml:space="preserve">[…] </w:t>
      </w:r>
    </w:p>
    <w:p w14:paraId="07937A77" w14:textId="77777777" w:rsidR="005C2F64" w:rsidRPr="009F4CD2" w:rsidRDefault="005C2F64" w:rsidP="005C2F64">
      <w:pPr>
        <w:spacing w:after="0" w:line="240" w:lineRule="auto"/>
        <w:contextualSpacing/>
        <w:jc w:val="both"/>
        <w:rPr>
          <w:rFonts w:ascii="Arial" w:hAnsi="Arial" w:cs="Arial"/>
          <w:sz w:val="20"/>
          <w:szCs w:val="20"/>
          <w:lang w:val="es-ES_tradnl"/>
        </w:rPr>
      </w:pPr>
    </w:p>
    <w:p w14:paraId="3FCDED4A" w14:textId="77777777" w:rsidR="005C2F64" w:rsidRPr="009F4CD2" w:rsidRDefault="005C2F64" w:rsidP="005C2F64">
      <w:pPr>
        <w:spacing w:after="0" w:line="240" w:lineRule="auto"/>
        <w:contextualSpacing/>
        <w:jc w:val="both"/>
        <w:rPr>
          <w:rFonts w:ascii="Arial" w:eastAsia="Calibri" w:hAnsi="Arial" w:cs="Arial"/>
          <w:sz w:val="20"/>
          <w:szCs w:val="20"/>
          <w:lang w:val="es-ES_tradnl"/>
          <w14:ligatures w14:val="standardContextual"/>
        </w:rPr>
      </w:pPr>
      <w:r w:rsidRPr="009F4CD2">
        <w:rPr>
          <w:rFonts w:ascii="Arial" w:eastAsia="Calibri" w:hAnsi="Arial" w:cs="Arial"/>
          <w:sz w:val="20"/>
          <w:szCs w:val="20"/>
          <w:lang w:val="es-ES_tradnl"/>
          <w14:ligatures w14:val="standardContextua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A15035A" w14:textId="77777777" w:rsidR="005C2F64" w:rsidRPr="009F4CD2" w:rsidRDefault="005C2F64" w:rsidP="005C2F64">
      <w:pPr>
        <w:spacing w:after="0" w:line="240" w:lineRule="auto"/>
        <w:contextualSpacing/>
        <w:jc w:val="both"/>
        <w:rPr>
          <w:rFonts w:ascii="Arial" w:eastAsia="Calibri" w:hAnsi="Arial" w:cs="Arial"/>
          <w:sz w:val="20"/>
          <w:szCs w:val="20"/>
          <w:lang w:val="es-ES_tradnl"/>
        </w:rPr>
      </w:pPr>
    </w:p>
    <w:p w14:paraId="732E7ADE" w14:textId="77777777" w:rsidR="005C2F64" w:rsidRPr="009F4CD2" w:rsidRDefault="005C2F64" w:rsidP="005C2F64">
      <w:pPr>
        <w:spacing w:after="0" w:line="240" w:lineRule="auto"/>
        <w:contextualSpacing/>
        <w:jc w:val="both"/>
        <w:rPr>
          <w:rFonts w:ascii="Arial" w:eastAsia="Calibri" w:hAnsi="Arial" w:cs="Arial"/>
          <w:b/>
          <w:bCs/>
          <w:lang w:val="es-ES_tradnl"/>
        </w:rPr>
      </w:pPr>
      <w:r w:rsidRPr="009F4CD2">
        <w:rPr>
          <w:rFonts w:ascii="Arial" w:eastAsia="Calibri" w:hAnsi="Arial" w:cs="Arial"/>
          <w:b/>
          <w:bCs/>
          <w:lang w:val="es-ES_tradnl"/>
        </w:rPr>
        <w:t xml:space="preserve">SUBASTA INVERSA </w:t>
      </w:r>
      <w:r w:rsidRPr="009F4CD2">
        <w:rPr>
          <w:rFonts w:ascii="Arial" w:eastAsia="Calibri" w:hAnsi="Arial" w:cs="Arial"/>
          <w:b/>
        </w:rPr>
        <w:t>–</w:t>
      </w:r>
      <w:r w:rsidRPr="009F4CD2">
        <w:rPr>
          <w:rFonts w:ascii="Arial" w:eastAsia="Calibri" w:hAnsi="Arial" w:cs="Arial"/>
          <w:b/>
          <w:bCs/>
          <w:lang w:val="es-ES_tradnl"/>
        </w:rPr>
        <w:t xml:space="preserve"> Regla de </w:t>
      </w:r>
      <w:proofErr w:type="spellStart"/>
      <w:r w:rsidRPr="009F4CD2">
        <w:rPr>
          <w:rFonts w:ascii="Arial" w:eastAsia="Calibri" w:hAnsi="Arial" w:cs="Arial"/>
          <w:b/>
          <w:bCs/>
          <w:lang w:val="es-ES_tradnl"/>
        </w:rPr>
        <w:t>subsanabilidad</w:t>
      </w:r>
      <w:proofErr w:type="spellEnd"/>
      <w:r w:rsidRPr="009F4CD2">
        <w:rPr>
          <w:rFonts w:ascii="Arial" w:eastAsia="Calibri" w:hAnsi="Arial" w:cs="Arial"/>
          <w:b/>
          <w:bCs/>
          <w:lang w:val="es-ES_tradnl"/>
        </w:rPr>
        <w:t xml:space="preserve"> </w:t>
      </w:r>
    </w:p>
    <w:p w14:paraId="592C9B6C" w14:textId="77777777" w:rsidR="005C2F64" w:rsidRPr="009F4CD2" w:rsidRDefault="005C2F64" w:rsidP="005C2F64">
      <w:pPr>
        <w:spacing w:after="0" w:line="240" w:lineRule="auto"/>
        <w:contextualSpacing/>
        <w:jc w:val="both"/>
        <w:rPr>
          <w:rFonts w:ascii="Arial" w:hAnsi="Arial" w:cs="Arial"/>
          <w:b/>
          <w:bCs/>
          <w:sz w:val="20"/>
          <w:szCs w:val="20"/>
          <w:lang w:val="es-ES_tradnl"/>
        </w:rPr>
      </w:pPr>
    </w:p>
    <w:p w14:paraId="1F5352FB" w14:textId="77777777" w:rsidR="005C2F64" w:rsidRPr="009F4CD2" w:rsidRDefault="005C2F64" w:rsidP="005C2F64">
      <w:pPr>
        <w:spacing w:line="240" w:lineRule="auto"/>
        <w:contextualSpacing/>
        <w:jc w:val="both"/>
        <w:rPr>
          <w:rFonts w:ascii="Arial" w:hAnsi="Arial" w:cs="Arial"/>
          <w:sz w:val="20"/>
          <w:szCs w:val="20"/>
        </w:rPr>
      </w:pPr>
      <w:r w:rsidRPr="009F4CD2">
        <w:rPr>
          <w:rFonts w:ascii="Arial" w:hAnsi="Arial" w:cs="Arial"/>
          <w:sz w:val="20"/>
          <w:szCs w:val="20"/>
        </w:rPr>
        <w:t xml:space="preserve">[…] </w:t>
      </w:r>
      <w:r w:rsidRPr="009F4CD2">
        <w:rPr>
          <w:rFonts w:ascii="Arial" w:eastAsia="Times New Roman" w:hAnsi="Arial" w:cs="Arial"/>
          <w:sz w:val="20"/>
          <w:szCs w:val="20"/>
          <w:lang w:val="es-ES_tradnl" w:eastAsia="es-ES_tradnl"/>
          <w14:ligatures w14:val="standardContextual"/>
        </w:rPr>
        <w:t>la regla general respecto a la oportunidad para subsanar tiene como excepción, entre otras cosas, el término especial establecido en los procesos de selección en los que se utilice el mecanismo de subasta inversa, para lo cual el artículo 5 de la Ley 1882 de 2018, adicionó el parágrafo 4 al artículo 5 de la Ley 1150 de 2007</w:t>
      </w:r>
      <w:r w:rsidRPr="009F4CD2">
        <w:rPr>
          <w:rFonts w:ascii="Arial" w:hAnsi="Arial" w:cs="Arial"/>
          <w:sz w:val="20"/>
          <w:szCs w:val="20"/>
          <w:lang w:val="es-ES_tradnl"/>
        </w:rPr>
        <w:t xml:space="preserve"> </w:t>
      </w:r>
      <w:r w:rsidRPr="009F4CD2">
        <w:rPr>
          <w:rFonts w:ascii="Arial" w:hAnsi="Arial" w:cs="Arial"/>
          <w:sz w:val="20"/>
          <w:szCs w:val="20"/>
        </w:rPr>
        <w:t>[…]</w:t>
      </w:r>
    </w:p>
    <w:p w14:paraId="5AA32B5E" w14:textId="77777777" w:rsidR="005C2F64" w:rsidRPr="009F4CD2" w:rsidRDefault="005C2F64" w:rsidP="005C2F64">
      <w:pPr>
        <w:spacing w:line="240" w:lineRule="auto"/>
        <w:contextualSpacing/>
        <w:jc w:val="both"/>
        <w:rPr>
          <w:rFonts w:ascii="Arial" w:hAnsi="Arial" w:cs="Arial"/>
          <w:sz w:val="20"/>
          <w:szCs w:val="20"/>
        </w:rPr>
      </w:pPr>
    </w:p>
    <w:p w14:paraId="40C39A3A" w14:textId="77777777" w:rsidR="005C2F64" w:rsidRPr="009F4CD2" w:rsidRDefault="005C2F64" w:rsidP="005C2F64">
      <w:pPr>
        <w:spacing w:line="240" w:lineRule="auto"/>
        <w:contextualSpacing/>
        <w:jc w:val="both"/>
        <w:rPr>
          <w:rFonts w:ascii="Arial" w:hAnsi="Arial" w:cs="Arial"/>
          <w:color w:val="000000"/>
          <w:sz w:val="20"/>
          <w:szCs w:val="20"/>
        </w:rPr>
      </w:pPr>
      <w:r w:rsidRPr="009F4CD2">
        <w:rPr>
          <w:rFonts w:ascii="Arial" w:eastAsia="Times New Roman" w:hAnsi="Arial" w:cs="Arial"/>
          <w:color w:val="000000"/>
          <w:sz w:val="20"/>
          <w:szCs w:val="20"/>
          <w:lang w:eastAsia="es-ES_tradnl"/>
          <w14:ligatures w14:val="standardContextual"/>
        </w:rPr>
        <w:t>Tal como se expresó en los conceptos C-267 y C-283 del 5 de mayo de 2020, si se analiza la norma transcrita, no es difícil llegar a la conclusión relativa a que esta contiene una regla muy parecida respecto a la oportunidad para subsanar en los procesos de subasta, a la contenida en la parte final del inciso primero del artículo 5 de la Ley 1150 de 2007, antes de ser modificada por la Ley 1882 de 2018, siendo en esencia la misma, con la precisión adicional respecto de los documentos susceptibles de subsanación. Esta regla cosiste en la fijación del momento previo al inicio de la audiencia de subasta, como el tiempo límite para que se solicite la subsanación de los documentos faltantes hasta entonces no presentados por los proponentes o, en general, susceptibles de subsanarse.</w:t>
      </w:r>
    </w:p>
    <w:p w14:paraId="2B007E2F" w14:textId="77777777" w:rsidR="005C2F64" w:rsidRPr="009F4CD2" w:rsidRDefault="005C2F64" w:rsidP="005C2F64">
      <w:pPr>
        <w:spacing w:after="0" w:line="240" w:lineRule="auto"/>
        <w:contextualSpacing/>
        <w:jc w:val="both"/>
        <w:rPr>
          <w:rFonts w:ascii="Arial" w:hAnsi="Arial" w:cs="Arial"/>
          <w:sz w:val="20"/>
          <w:szCs w:val="20"/>
          <w:lang w:val="es-ES_tradnl"/>
        </w:rPr>
      </w:pPr>
    </w:p>
    <w:p w14:paraId="4CF5A61E" w14:textId="77777777" w:rsidR="005C2F64" w:rsidRPr="009F4CD2" w:rsidRDefault="005C2F64" w:rsidP="005C2F64">
      <w:pPr>
        <w:spacing w:after="0" w:line="240" w:lineRule="auto"/>
        <w:contextualSpacing/>
        <w:jc w:val="both"/>
        <w:rPr>
          <w:rFonts w:ascii="Arial" w:eastAsia="Calibri" w:hAnsi="Arial" w:cs="Arial"/>
          <w:b/>
          <w:bCs/>
          <w:lang w:val="es-ES_tradnl"/>
        </w:rPr>
      </w:pPr>
      <w:r w:rsidRPr="009F4CD2">
        <w:rPr>
          <w:rFonts w:ascii="Arial" w:eastAsia="Calibri" w:hAnsi="Arial" w:cs="Arial"/>
          <w:b/>
          <w:bCs/>
          <w:lang w:val="es-ES_tradnl"/>
        </w:rPr>
        <w:lastRenderedPageBreak/>
        <w:t xml:space="preserve">SUBASTA INVERSA </w:t>
      </w:r>
      <w:r w:rsidRPr="009F4CD2">
        <w:rPr>
          <w:rFonts w:ascii="Arial" w:eastAsia="Calibri" w:hAnsi="Arial" w:cs="Arial"/>
          <w:b/>
        </w:rPr>
        <w:t>–</w:t>
      </w:r>
      <w:r w:rsidRPr="009F4CD2">
        <w:rPr>
          <w:rFonts w:ascii="Arial" w:eastAsia="Calibri" w:hAnsi="Arial" w:cs="Arial"/>
          <w:b/>
          <w:bCs/>
          <w:lang w:val="es-ES_tradnl"/>
        </w:rPr>
        <w:t xml:space="preserve"> Regla de </w:t>
      </w:r>
      <w:proofErr w:type="spellStart"/>
      <w:r w:rsidRPr="009F4CD2">
        <w:rPr>
          <w:rFonts w:ascii="Arial" w:eastAsia="Calibri" w:hAnsi="Arial" w:cs="Arial"/>
          <w:b/>
          <w:bCs/>
          <w:lang w:val="es-ES_tradnl"/>
        </w:rPr>
        <w:t>subsanabilidad</w:t>
      </w:r>
      <w:proofErr w:type="spellEnd"/>
      <w:r w:rsidRPr="009F4CD2">
        <w:rPr>
          <w:rFonts w:ascii="Arial" w:eastAsia="Calibri" w:hAnsi="Arial" w:cs="Arial"/>
          <w:b/>
          <w:bCs/>
          <w:lang w:val="es-ES_tradnl"/>
        </w:rPr>
        <w:t xml:space="preserve"> – Tiempo límite – Alcance normativo</w:t>
      </w:r>
    </w:p>
    <w:p w14:paraId="06F2ACF6" w14:textId="77777777" w:rsidR="005C2F64" w:rsidRPr="009F4CD2" w:rsidRDefault="005C2F64" w:rsidP="005C2F64">
      <w:pPr>
        <w:autoSpaceDE w:val="0"/>
        <w:autoSpaceDN w:val="0"/>
        <w:adjustRightInd w:val="0"/>
        <w:spacing w:after="0" w:line="240" w:lineRule="auto"/>
        <w:contextualSpacing/>
        <w:jc w:val="both"/>
        <w:rPr>
          <w:rFonts w:ascii="Arial" w:hAnsi="Arial" w:cs="Arial"/>
          <w:color w:val="000000"/>
          <w:sz w:val="20"/>
          <w:szCs w:val="20"/>
        </w:rPr>
      </w:pPr>
    </w:p>
    <w:p w14:paraId="26E2079A" w14:textId="77777777" w:rsidR="005C2F64" w:rsidRPr="009F4CD2" w:rsidRDefault="005C2F64" w:rsidP="005C2F64">
      <w:pPr>
        <w:spacing w:after="0" w:line="240" w:lineRule="auto"/>
        <w:ind w:right="49"/>
        <w:contextualSpacing/>
        <w:jc w:val="both"/>
        <w:rPr>
          <w:rFonts w:ascii="Arial" w:eastAsia="Times New Roman" w:hAnsi="Arial" w:cs="Arial"/>
          <w:color w:val="000000"/>
          <w:sz w:val="20"/>
          <w:szCs w:val="20"/>
          <w:lang w:eastAsia="es-ES_tradnl"/>
          <w14:ligatures w14:val="standardContextual"/>
        </w:rPr>
      </w:pPr>
      <w:r w:rsidRPr="009F4CD2">
        <w:rPr>
          <w:rFonts w:ascii="Arial" w:eastAsia="Times New Roman" w:hAnsi="Arial" w:cs="Arial"/>
          <w:color w:val="000000"/>
          <w:sz w:val="20"/>
          <w:szCs w:val="20"/>
          <w:lang w:eastAsia="es-ES_tradnl"/>
          <w14:ligatures w14:val="standardContextual"/>
        </w:rPr>
        <w:t xml:space="preserve">En ese orden de ideas, extendiendo las anteriores consideraciones a la regla de </w:t>
      </w:r>
      <w:proofErr w:type="spellStart"/>
      <w:r w:rsidRPr="009F4CD2">
        <w:rPr>
          <w:rFonts w:ascii="Arial" w:eastAsia="Times New Roman" w:hAnsi="Arial" w:cs="Arial"/>
          <w:color w:val="000000"/>
          <w:sz w:val="20"/>
          <w:szCs w:val="20"/>
          <w:lang w:eastAsia="es-ES_tradnl"/>
          <w14:ligatures w14:val="standardContextual"/>
        </w:rPr>
        <w:t>subsanabilidad</w:t>
      </w:r>
      <w:proofErr w:type="spellEnd"/>
      <w:r w:rsidRPr="009F4CD2">
        <w:rPr>
          <w:rFonts w:ascii="Arial" w:eastAsia="Times New Roman" w:hAnsi="Arial" w:cs="Arial"/>
          <w:color w:val="000000"/>
          <w:sz w:val="20"/>
          <w:szCs w:val="20"/>
          <w:lang w:eastAsia="es-ES_tradnl"/>
          <w14:ligatures w14:val="standardContextual"/>
        </w:rPr>
        <w:t xml:space="preserve">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de manera </w:t>
      </w:r>
      <w:r w:rsidRPr="009F4CD2">
        <w:rPr>
          <w:rFonts w:ascii="Arial" w:eastAsia="Times New Roman" w:hAnsi="Arial" w:cs="Arial"/>
          <w:i/>
          <w:iCs/>
          <w:color w:val="000000"/>
          <w:sz w:val="20"/>
          <w:szCs w:val="20"/>
          <w:lang w:eastAsia="es-ES_tradnl"/>
          <w14:ligatures w14:val="standardContextual"/>
        </w:rPr>
        <w:t xml:space="preserve">ex ante </w:t>
      </w:r>
      <w:r w:rsidRPr="009F4CD2">
        <w:rPr>
          <w:rFonts w:ascii="Arial" w:eastAsia="Times New Roman" w:hAnsi="Arial" w:cs="Arial"/>
          <w:color w:val="000000"/>
          <w:sz w:val="20"/>
          <w:szCs w:val="20"/>
          <w:lang w:eastAsia="es-ES_tradnl"/>
          <w14:ligatures w14:val="standardContextual"/>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Así mismo, dentro del pliego de condiciones podrán definir las veces en las cuales le será posible a los proponentes subsanar los documentos.  En sentido, atendiendo a la consulta planteada, la posibilidad de subsanar varias veces un determinado aspecto de la propuesta dependerá de lo establecido en el pliego de condiciones, pues la normativa no restringe el número de veces que un proponente podrá subsanar un determinado aspecto. </w:t>
      </w:r>
    </w:p>
    <w:p w14:paraId="484A5531" w14:textId="77777777" w:rsidR="005C2F64" w:rsidRDefault="005C2F64" w:rsidP="005C2F64">
      <w:pPr>
        <w:contextualSpacing/>
        <w:jc w:val="both"/>
        <w:rPr>
          <w:rFonts w:ascii="Arial" w:eastAsia="Calibri" w:hAnsi="Arial" w:cs="Arial"/>
          <w:sz w:val="20"/>
          <w:szCs w:val="20"/>
          <w:lang w:val="es-ES_tradnl"/>
        </w:rPr>
      </w:pPr>
    </w:p>
    <w:p w14:paraId="66B3261E" w14:textId="77777777" w:rsidR="005C2F64" w:rsidRPr="009F4CD2" w:rsidRDefault="005C2F64" w:rsidP="005C2F64">
      <w:pPr>
        <w:spacing w:line="240" w:lineRule="auto"/>
        <w:contextualSpacing/>
        <w:jc w:val="both"/>
        <w:rPr>
          <w:rFonts w:ascii="Arial" w:eastAsia="Calibri" w:hAnsi="Arial" w:cs="Arial"/>
          <w:sz w:val="20"/>
          <w:szCs w:val="20"/>
          <w:lang w:val="es-ES_tradnl"/>
        </w:rPr>
      </w:pPr>
      <w:r w:rsidRPr="009F4CD2">
        <w:rPr>
          <w:rFonts w:ascii="Arial" w:eastAsia="Calibri" w:hAnsi="Arial" w:cs="Arial"/>
          <w:sz w:val="20"/>
          <w:szCs w:val="20"/>
          <w:lang w:val="es-ES_tradnl" w:eastAsia="es-ES_tradnl"/>
          <w14:ligatures w14:val="standardContextual"/>
        </w:rPr>
        <w:t>De esta manera, el parágrafo analizado</w:t>
      </w:r>
      <w:r w:rsidRPr="009F4CD2">
        <w:rPr>
          <w:rFonts w:ascii="Arial" w:eastAsia="Calibri" w:hAnsi="Arial" w:cs="Arial"/>
          <w:sz w:val="20"/>
          <w:szCs w:val="20"/>
          <w:lang w:eastAsia="es-ES_tradnl"/>
          <w14:ligatures w14:val="standardContextual"/>
        </w:rPr>
        <w:t xml:space="preserve"> permite a las entidades </w:t>
      </w:r>
      <w:r w:rsidRPr="009F4CD2">
        <w:rPr>
          <w:rFonts w:ascii="Arial" w:eastAsia="Calibri" w:hAnsi="Arial" w:cs="Arial"/>
          <w:i/>
          <w:iCs/>
          <w:sz w:val="20"/>
          <w:szCs w:val="20"/>
          <w:lang w:eastAsia="es-ES_tradnl"/>
          <w14:ligatures w14:val="standardContextual"/>
        </w:rPr>
        <w:t>solicitar</w:t>
      </w:r>
      <w:r w:rsidRPr="009F4CD2">
        <w:rPr>
          <w:rFonts w:ascii="Arial" w:eastAsia="Calibri" w:hAnsi="Arial" w:cs="Arial"/>
          <w:sz w:val="20"/>
          <w:szCs w:val="20"/>
          <w:lang w:eastAsia="es-ES_tradnl"/>
          <w14:ligatures w14:val="standardContextual"/>
        </w:rPr>
        <w:t xml:space="preserve"> a los oferentes que subsanen los documentos referentes a la futura contratación no necesarios para la comparación de las propuestas, hasta el momento previo a la realización a la subasta a la que hace referencia el artículo </w:t>
      </w:r>
      <w:r w:rsidRPr="009F4CD2">
        <w:rPr>
          <w:rFonts w:ascii="Arial" w:eastAsia="Calibri" w:hAnsi="Arial" w:cs="Arial"/>
          <w:sz w:val="20"/>
          <w:szCs w:val="20"/>
          <w:lang w:val="es-ES_tradnl" w:eastAsia="es-ES_tradnl"/>
          <w14:ligatures w14:val="standardContextual"/>
        </w:rPr>
        <w:t xml:space="preserve">2.2.1.2.1.2.2 del Decreto 1082 de 2015, momento que, además, deberá estar señalado en el pliego de condiciones, independientemente de que la entidad opte para desarrollar la audiencia de manera presencial o través del algún mecanismo electrónico. En defecto de lo anterior, las entidades también podrán </w:t>
      </w:r>
      <w:r w:rsidRPr="009F4CD2">
        <w:rPr>
          <w:rFonts w:ascii="Arial" w:eastAsia="Calibri" w:hAnsi="Arial" w:cs="Arial"/>
          <w:sz w:val="20"/>
          <w:szCs w:val="20"/>
          <w:lang w:eastAsia="es-ES_tradnl"/>
          <w14:ligatures w14:val="standardContextual"/>
        </w:rPr>
        <w:t xml:space="preserve">requerir por separado o conjuntamente a cada proponente para que subsanen los respectivos documentos, fijándoles un término razonable, el cual en todo caso no podrá exceder el momento previo al inicio de la audiencia de subasta, por lo que será anterior a ella.   </w:t>
      </w:r>
      <w:r w:rsidRPr="009F4CD2">
        <w:rPr>
          <w:rFonts w:ascii="Arial" w:eastAsia="Calibri" w:hAnsi="Arial" w:cs="Arial"/>
          <w:sz w:val="20"/>
          <w:szCs w:val="20"/>
          <w:lang w:val="es-ES_tradnl" w:eastAsia="es-ES_tradnl"/>
          <w14:ligatures w14:val="standardContextual"/>
        </w:rPr>
        <w:t xml:space="preserve"> </w:t>
      </w:r>
    </w:p>
    <w:p w14:paraId="01CA4DA1" w14:textId="77777777" w:rsidR="005C2F64" w:rsidRPr="009F4CD2" w:rsidRDefault="005C2F64" w:rsidP="005C2F64">
      <w:pPr>
        <w:spacing w:after="0" w:line="240" w:lineRule="auto"/>
        <w:ind w:firstLine="709"/>
        <w:contextualSpacing/>
        <w:jc w:val="both"/>
        <w:rPr>
          <w:rFonts w:ascii="Arial" w:eastAsia="Calibri" w:hAnsi="Arial" w:cs="Arial"/>
          <w:sz w:val="20"/>
          <w:szCs w:val="20"/>
          <w:lang w:val="es-ES_tradnl" w:eastAsia="es-ES_tradnl"/>
          <w14:ligatures w14:val="standardContextual"/>
        </w:rPr>
      </w:pPr>
    </w:p>
    <w:p w14:paraId="4910CF36" w14:textId="77777777" w:rsidR="005C2F64" w:rsidRPr="009F4CD2" w:rsidRDefault="005C2F64" w:rsidP="005C2F64">
      <w:pPr>
        <w:spacing w:line="240" w:lineRule="auto"/>
        <w:contextualSpacing/>
        <w:rPr>
          <w:rFonts w:ascii="Arial" w:eastAsia="Calibri" w:hAnsi="Arial" w:cs="Arial"/>
          <w:b/>
          <w:bCs/>
        </w:rPr>
      </w:pPr>
      <w:r w:rsidRPr="009F4CD2">
        <w:rPr>
          <w:rFonts w:ascii="Arial" w:eastAsia="Calibri" w:hAnsi="Arial" w:cs="Arial"/>
          <w:b/>
          <w:bCs/>
          <w:lang w:eastAsia="es-ES_tradnl"/>
        </w:rPr>
        <w:t xml:space="preserve">SUBASTA INVERSA – Regla de </w:t>
      </w:r>
      <w:proofErr w:type="spellStart"/>
      <w:r w:rsidRPr="009F4CD2">
        <w:rPr>
          <w:rFonts w:ascii="Arial" w:eastAsia="Calibri" w:hAnsi="Arial" w:cs="Arial"/>
          <w:b/>
          <w:bCs/>
          <w:lang w:eastAsia="es-ES_tradnl"/>
        </w:rPr>
        <w:t>subsanabilidad</w:t>
      </w:r>
      <w:proofErr w:type="spellEnd"/>
      <w:r w:rsidRPr="009F4CD2">
        <w:rPr>
          <w:rFonts w:ascii="Arial" w:eastAsia="Calibri" w:hAnsi="Arial" w:cs="Arial"/>
          <w:b/>
          <w:bCs/>
          <w:lang w:eastAsia="es-ES_tradnl"/>
        </w:rPr>
        <w:t xml:space="preserve"> – Limite de veces</w:t>
      </w:r>
    </w:p>
    <w:p w14:paraId="24EA2D87" w14:textId="77777777" w:rsidR="005C2F64" w:rsidRPr="009F4CD2" w:rsidRDefault="005C2F64" w:rsidP="005C2F64">
      <w:pPr>
        <w:spacing w:line="240" w:lineRule="auto"/>
        <w:contextualSpacing/>
        <w:rPr>
          <w:rFonts w:ascii="Arial" w:eastAsia="Calibri" w:hAnsi="Arial" w:cs="Arial"/>
          <w:b/>
          <w:bCs/>
          <w:sz w:val="20"/>
          <w:szCs w:val="20"/>
        </w:rPr>
      </w:pPr>
    </w:p>
    <w:p w14:paraId="570CA6A7" w14:textId="28D8010B" w:rsidR="005C2F64" w:rsidRPr="005C2F64" w:rsidRDefault="005C2F64" w:rsidP="005C2F64">
      <w:pPr>
        <w:spacing w:after="0" w:line="240" w:lineRule="auto"/>
        <w:contextualSpacing/>
        <w:jc w:val="both"/>
        <w:rPr>
          <w:rFonts w:ascii="Arial" w:eastAsia="Calibri" w:hAnsi="Arial" w:cs="Arial"/>
          <w:sz w:val="20"/>
          <w:szCs w:val="20"/>
          <w:lang w:eastAsia="es-ES_tradnl"/>
          <w14:ligatures w14:val="standardContextual"/>
        </w:rPr>
      </w:pPr>
      <w:r>
        <w:rPr>
          <w:rFonts w:ascii="Arial" w:eastAsia="Calibri" w:hAnsi="Arial" w:cs="Arial"/>
          <w:sz w:val="20"/>
          <w:szCs w:val="20"/>
          <w:lang w:val="es-ES_tradnl"/>
        </w:rPr>
        <w:t xml:space="preserve">[…] </w:t>
      </w:r>
      <w:r w:rsidRPr="009F4CD2">
        <w:rPr>
          <w:rFonts w:ascii="Arial" w:eastAsia="Calibri" w:hAnsi="Arial" w:cs="Arial"/>
          <w:sz w:val="20"/>
          <w:szCs w:val="20"/>
          <w:lang w:val="es-ES_tradnl" w:eastAsia="es-ES_tradnl"/>
          <w14:ligatures w14:val="standardContextual"/>
        </w:rPr>
        <w:t xml:space="preserve">a pesar de que no existe un término legal preciso para que los proponentes subsanen los documentos mediante los cuales deben acreditar el cumplimiento de los requisitos exigidos para participar en procedimientos en que se haga uso del mecanismo de subasta, el parágrafo 4° del artículo 5 de la Ley 1150 de 2007 establece una regla que permite a las entidades </w:t>
      </w:r>
      <w:r w:rsidRPr="009F4CD2">
        <w:rPr>
          <w:rFonts w:ascii="Arial" w:eastAsia="Calibri" w:hAnsi="Arial" w:cs="Arial"/>
          <w:i/>
          <w:iCs/>
          <w:sz w:val="20"/>
          <w:szCs w:val="20"/>
          <w:lang w:val="es-ES_tradnl" w:eastAsia="es-ES_tradnl"/>
          <w14:ligatures w14:val="standardContextual"/>
        </w:rPr>
        <w:t>solicitar</w:t>
      </w:r>
      <w:r w:rsidRPr="009F4CD2">
        <w:rPr>
          <w:rFonts w:ascii="Arial" w:eastAsia="Calibri" w:hAnsi="Arial" w:cs="Arial"/>
          <w:sz w:val="20"/>
          <w:szCs w:val="20"/>
          <w:lang w:val="es-ES_tradnl" w:eastAsia="es-ES_tradnl"/>
          <w14:ligatures w14:val="standardContextual"/>
        </w:rPr>
        <w:t xml:space="preserve"> las correspondientes subsanaciones, dotándolas de cierto margen de discrecionalidad para determinar el término o momento específico dentro del que deberá tener lugar la subsanación, oportunidad que deberá establecer la entidad sin que exceda al momento previo al inicio de la audiencia de subasta.  Finalmente, se reitera que no debe perderse de vista que para este tipo de procedimientos también serán aplicables los criterios arriba desarrollados para determinar si los documentos faltantes son susceptibles de subsanación, dependiendo de si se trata de un requisito de la oferta que no afecte la asignación de puntaje, y si tiene que ver con el cumplimiento de un requisito que constituye una circunstancia ocurrida con anterioridad o con posterioridad al cierre del proceso. En tal sentido, de acuerdo con la regulación establecida en cada pliego de condiciones y las circunstancias de cada caso en particular, deberán aplicarse los criterios establecidos en la ley, explicados en este concepto, para definir la procedencia de subsanar algún requisito de las propuestas y las veces en que puede ejercerse esta posibilidad.</w:t>
      </w:r>
      <w:r>
        <w:rPr>
          <w:rFonts w:ascii="Arial" w:eastAsia="Arial MT" w:hAnsi="Arial" w:cs="Arial"/>
          <w:lang w:val="es-ES"/>
          <w14:ligatures w14:val="standardContextual"/>
        </w:rPr>
        <w:br w:type="page"/>
      </w:r>
    </w:p>
    <w:p w14:paraId="5CA25921" w14:textId="25C6CF55" w:rsidR="003B218A" w:rsidRDefault="003B218A" w:rsidP="003B218A">
      <w:pPr>
        <w:widowControl w:val="0"/>
        <w:autoSpaceDE w:val="0"/>
        <w:autoSpaceDN w:val="0"/>
        <w:spacing w:after="0" w:line="240" w:lineRule="auto"/>
        <w:contextualSpacing/>
        <w:rPr>
          <w:rFonts w:ascii="Arial" w:eastAsia="Arial MT" w:hAnsi="Arial" w:cs="Arial"/>
          <w:lang w:val="es-ES"/>
          <w14:ligatures w14:val="standardContextual"/>
        </w:rPr>
      </w:pPr>
      <w:r w:rsidRPr="003B218A">
        <w:rPr>
          <w:rFonts w:ascii="Arial" w:eastAsia="Arial MT" w:hAnsi="Arial" w:cs="Arial"/>
          <w:lang w:val="es-ES"/>
          <w14:ligatures w14:val="standardContextual"/>
        </w:rPr>
        <w:lastRenderedPageBreak/>
        <w:t>Bogotá D.C., 11 de mayo de 2023</w:t>
      </w:r>
    </w:p>
    <w:p w14:paraId="253A6B6F" w14:textId="77777777" w:rsidR="00DC7400" w:rsidRDefault="00DC7400" w:rsidP="003B218A">
      <w:pPr>
        <w:widowControl w:val="0"/>
        <w:autoSpaceDE w:val="0"/>
        <w:autoSpaceDN w:val="0"/>
        <w:spacing w:after="0" w:line="240" w:lineRule="auto"/>
        <w:contextualSpacing/>
        <w:rPr>
          <w:rFonts w:ascii="Arial" w:eastAsia="Arial MT" w:hAnsi="Arial" w:cs="Arial"/>
          <w:lang w:val="es-ES"/>
          <w14:ligatures w14:val="standardContextual"/>
        </w:rPr>
      </w:pPr>
    </w:p>
    <w:p w14:paraId="5B4228C5" w14:textId="786879EA" w:rsidR="003B218A" w:rsidRPr="003B218A" w:rsidRDefault="00471929" w:rsidP="00471929">
      <w:pPr>
        <w:widowControl w:val="0"/>
        <w:autoSpaceDE w:val="0"/>
        <w:autoSpaceDN w:val="0"/>
        <w:spacing w:after="0" w:line="240" w:lineRule="auto"/>
        <w:contextualSpacing/>
        <w:jc w:val="right"/>
        <w:rPr>
          <w:rFonts w:ascii="Arial" w:eastAsia="Arial MT" w:hAnsi="Arial" w:cs="Arial"/>
          <w:lang w:val="es-ES"/>
          <w14:ligatures w14:val="standardContextual"/>
        </w:rPr>
      </w:pPr>
      <w:r>
        <w:rPr>
          <w:rFonts w:ascii="Arial" w:eastAsia="Arial" w:hAnsi="Arial" w:cs="Arial"/>
          <w:noProof/>
          <w:lang w:val="es-MX"/>
        </w:rPr>
        <w:drawing>
          <wp:inline distT="0" distB="0" distL="0" distR="0" wp14:anchorId="5B19FCFE" wp14:editId="0F0B8733">
            <wp:extent cx="3259223" cy="736270"/>
            <wp:effectExtent l="0" t="0" r="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055" cy="760178"/>
                    </a:xfrm>
                    <a:prstGeom prst="rect">
                      <a:avLst/>
                    </a:prstGeom>
                    <a:noFill/>
                    <a:ln>
                      <a:noFill/>
                    </a:ln>
                  </pic:spPr>
                </pic:pic>
              </a:graphicData>
            </a:graphic>
          </wp:inline>
        </w:drawing>
      </w:r>
    </w:p>
    <w:p w14:paraId="2472B53C" w14:textId="0FE9404D" w:rsidR="003B218A" w:rsidRPr="003B218A" w:rsidRDefault="00DC7400" w:rsidP="00DC7400">
      <w:pPr>
        <w:widowControl w:val="0"/>
        <w:autoSpaceDE w:val="0"/>
        <w:autoSpaceDN w:val="0"/>
        <w:spacing w:after="0" w:line="240" w:lineRule="auto"/>
        <w:contextualSpacing/>
        <w:jc w:val="right"/>
        <w:rPr>
          <w:rFonts w:ascii="Arial" w:eastAsia="Arial MT" w:hAnsi="Arial" w:cs="Arial"/>
          <w:lang w:val="es-ES"/>
          <w14:ligatures w14:val="standardContextual"/>
        </w:rPr>
      </w:pPr>
      <w:r w:rsidRPr="00DC7400">
        <w:rPr>
          <w:rFonts w:ascii="Arial" w:eastAsia="Arial MT" w:hAnsi="Arial" w:cs="Arial"/>
          <w:noProof/>
          <w:lang w:val="es-ES"/>
          <w14:ligatures w14:val="standardContextual"/>
        </w:rPr>
        <w:drawing>
          <wp:inline distT="0" distB="0" distL="0" distR="0" wp14:anchorId="79440781" wp14:editId="6A660DF4">
            <wp:extent cx="3251943" cy="886893"/>
            <wp:effectExtent l="0" t="0" r="5715" b="8890"/>
            <wp:docPr id="3157940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94007" name="Imagen 1" descr="Texto&#10;&#10;Descripción generada automáticamente"/>
                    <pic:cNvPicPr/>
                  </pic:nvPicPr>
                  <pic:blipFill>
                    <a:blip r:embed="rId12"/>
                    <a:stretch>
                      <a:fillRect/>
                    </a:stretch>
                  </pic:blipFill>
                  <pic:spPr>
                    <a:xfrm>
                      <a:off x="0" y="0"/>
                      <a:ext cx="3263411" cy="890021"/>
                    </a:xfrm>
                    <a:prstGeom prst="rect">
                      <a:avLst/>
                    </a:prstGeom>
                  </pic:spPr>
                </pic:pic>
              </a:graphicData>
            </a:graphic>
          </wp:inline>
        </w:drawing>
      </w:r>
    </w:p>
    <w:p w14:paraId="5F9F94E3" w14:textId="77777777" w:rsidR="003B218A" w:rsidRPr="003B218A" w:rsidRDefault="003B218A" w:rsidP="003B218A">
      <w:pPr>
        <w:widowControl w:val="0"/>
        <w:autoSpaceDE w:val="0"/>
        <w:autoSpaceDN w:val="0"/>
        <w:spacing w:after="0" w:line="240" w:lineRule="auto"/>
        <w:contextualSpacing/>
        <w:rPr>
          <w:rFonts w:ascii="Arial" w:eastAsia="Arial MT" w:hAnsi="Arial" w:cs="Arial"/>
          <w:lang w:val="es-ES"/>
          <w14:ligatures w14:val="standardContextual"/>
        </w:rPr>
      </w:pPr>
      <w:r w:rsidRPr="003B218A">
        <w:rPr>
          <w:rFonts w:ascii="Arial" w:eastAsia="Arial MT" w:hAnsi="Arial" w:cs="Arial"/>
          <w:lang w:val="es-ES"/>
          <w14:ligatures w14:val="standardContextual"/>
        </w:rPr>
        <w:t>Señora</w:t>
      </w:r>
    </w:p>
    <w:p w14:paraId="081FBD5B" w14:textId="77777777" w:rsidR="003B218A" w:rsidRPr="003B218A" w:rsidRDefault="003B218A" w:rsidP="003B218A">
      <w:pPr>
        <w:widowControl w:val="0"/>
        <w:autoSpaceDE w:val="0"/>
        <w:autoSpaceDN w:val="0"/>
        <w:spacing w:after="0" w:line="240" w:lineRule="auto"/>
        <w:contextualSpacing/>
        <w:rPr>
          <w:rFonts w:ascii="Arial" w:eastAsia="Arial MT" w:hAnsi="Arial" w:cs="Arial"/>
          <w:b/>
          <w:lang w:val="es-ES"/>
          <w14:ligatures w14:val="standardContextual"/>
        </w:rPr>
      </w:pPr>
      <w:r w:rsidRPr="003B218A">
        <w:rPr>
          <w:rFonts w:ascii="Arial" w:eastAsia="Arial MT" w:hAnsi="Arial" w:cs="Arial"/>
          <w:b/>
          <w:lang w:val="es-ES"/>
          <w14:ligatures w14:val="standardContextual"/>
        </w:rPr>
        <w:t>Maritza Gamero Torres</w:t>
      </w:r>
    </w:p>
    <w:p w14:paraId="44B00D52" w14:textId="77777777" w:rsidR="003B218A" w:rsidRPr="003B218A" w:rsidRDefault="003B218A" w:rsidP="003B218A">
      <w:pPr>
        <w:widowControl w:val="0"/>
        <w:autoSpaceDE w:val="0"/>
        <w:autoSpaceDN w:val="0"/>
        <w:spacing w:after="0" w:line="240" w:lineRule="auto"/>
        <w:contextualSpacing/>
        <w:rPr>
          <w:rFonts w:ascii="Arial" w:eastAsia="Arial MT" w:hAnsi="Arial" w:cs="Arial"/>
          <w:bCs/>
          <w:lang w:val="es-ES"/>
          <w14:ligatures w14:val="standardContextual"/>
        </w:rPr>
      </w:pPr>
      <w:r w:rsidRPr="003B218A">
        <w:rPr>
          <w:rFonts w:ascii="Arial" w:eastAsia="Arial MT" w:hAnsi="Arial" w:cs="Arial"/>
          <w:bCs/>
          <w:lang w:val="es-ES"/>
          <w14:ligatures w14:val="standardContextual"/>
        </w:rPr>
        <w:t xml:space="preserve">Asesora Dirección Administrativa </w:t>
      </w:r>
    </w:p>
    <w:p w14:paraId="30FBE4A6" w14:textId="77777777" w:rsidR="003B218A" w:rsidRPr="003B218A" w:rsidRDefault="003B218A" w:rsidP="003B218A">
      <w:pPr>
        <w:widowControl w:val="0"/>
        <w:autoSpaceDE w:val="0"/>
        <w:autoSpaceDN w:val="0"/>
        <w:spacing w:after="0" w:line="240" w:lineRule="auto"/>
        <w:contextualSpacing/>
        <w:rPr>
          <w:rFonts w:ascii="Arial" w:eastAsia="Arial MT" w:hAnsi="Arial" w:cs="Arial"/>
          <w:b/>
          <w:lang w:val="es-ES"/>
          <w14:ligatures w14:val="standardContextual"/>
        </w:rPr>
      </w:pPr>
      <w:r w:rsidRPr="003B218A">
        <w:rPr>
          <w:rFonts w:ascii="Arial" w:eastAsia="Arial MT" w:hAnsi="Arial" w:cs="Arial"/>
          <w:b/>
          <w:lang w:val="es-ES"/>
          <w14:ligatures w14:val="standardContextual"/>
        </w:rPr>
        <w:t>Aeronáutica Civil</w:t>
      </w:r>
    </w:p>
    <w:p w14:paraId="4A7F7052" w14:textId="650CB429" w:rsidR="003B218A" w:rsidRPr="003B218A" w:rsidRDefault="00000000" w:rsidP="003B218A">
      <w:pPr>
        <w:widowControl w:val="0"/>
        <w:autoSpaceDE w:val="0"/>
        <w:autoSpaceDN w:val="0"/>
        <w:spacing w:after="0" w:line="240" w:lineRule="auto"/>
        <w:contextualSpacing/>
        <w:rPr>
          <w:rFonts w:ascii="Arial" w:eastAsia="Arial MT" w:hAnsi="Arial" w:cs="Arial"/>
          <w:b/>
          <w:lang w:val="es-ES"/>
          <w14:ligatures w14:val="standardContextual"/>
        </w:rPr>
      </w:pPr>
      <w:hyperlink r:id="rId13" w:history="1">
        <w:r w:rsidR="003B218A" w:rsidRPr="003B218A">
          <w:rPr>
            <w:rFonts w:ascii="Arial" w:eastAsia="Times New Roman" w:hAnsi="Arial" w:cs="Arial"/>
            <w:color w:val="0563C1" w:themeColor="hyperlink"/>
            <w:u w:val="single"/>
            <w:lang w:eastAsia="es-ES_tradnl"/>
            <w14:ligatures w14:val="standardContextual"/>
          </w:rPr>
          <w:t>maritza.gamero@aerocivil.gov.co</w:t>
        </w:r>
      </w:hyperlink>
      <w:r w:rsidR="003B218A" w:rsidRPr="003B218A">
        <w:rPr>
          <w:rFonts w:ascii="Arial" w:eastAsia="Times New Roman" w:hAnsi="Arial" w:cs="Arial"/>
          <w:color w:val="000000"/>
          <w:lang w:eastAsia="es-ES_tradnl"/>
          <w14:ligatures w14:val="standardContextual"/>
        </w:rPr>
        <w:t xml:space="preserve"> </w:t>
      </w:r>
    </w:p>
    <w:p w14:paraId="1604E696" w14:textId="77777777" w:rsidR="003B218A" w:rsidRPr="003B218A" w:rsidRDefault="003B218A" w:rsidP="003B218A">
      <w:pPr>
        <w:widowControl w:val="0"/>
        <w:autoSpaceDE w:val="0"/>
        <w:autoSpaceDN w:val="0"/>
        <w:spacing w:after="0" w:line="240" w:lineRule="auto"/>
        <w:contextualSpacing/>
        <w:rPr>
          <w:rFonts w:ascii="Arial" w:eastAsia="Arial MT" w:hAnsi="Arial" w:cs="Arial"/>
          <w:lang w:val="es-ES"/>
          <w14:ligatures w14:val="standardContextual"/>
        </w:rPr>
      </w:pPr>
      <w:r w:rsidRPr="003B218A">
        <w:rPr>
          <w:rFonts w:ascii="Arial" w:eastAsia="Arial MT" w:hAnsi="Arial" w:cs="Arial"/>
          <w:lang w:val="es-ES"/>
          <w14:ligatures w14:val="standardContextual"/>
        </w:rPr>
        <w:t>Bogotá D.C.</w:t>
      </w:r>
    </w:p>
    <w:p w14:paraId="550ED871" w14:textId="77777777" w:rsidR="003B218A" w:rsidRPr="003B218A" w:rsidRDefault="003B218A" w:rsidP="003B218A">
      <w:pPr>
        <w:widowControl w:val="0"/>
        <w:autoSpaceDE w:val="0"/>
        <w:autoSpaceDN w:val="0"/>
        <w:spacing w:after="0" w:line="240" w:lineRule="auto"/>
        <w:contextualSpacing/>
        <w:rPr>
          <w:rFonts w:ascii="Arial" w:eastAsia="Arial MT" w:hAnsi="Arial" w:cs="Arial"/>
          <w:lang w:val="es-ES"/>
          <w14:ligatures w14:val="standardContextual"/>
        </w:rPr>
      </w:pPr>
    </w:p>
    <w:p w14:paraId="3592399F" w14:textId="77777777" w:rsidR="003B218A" w:rsidRPr="003B218A" w:rsidRDefault="003B218A" w:rsidP="003B218A">
      <w:pPr>
        <w:widowControl w:val="0"/>
        <w:autoSpaceDE w:val="0"/>
        <w:autoSpaceDN w:val="0"/>
        <w:spacing w:after="0" w:line="240" w:lineRule="auto"/>
        <w:contextualSpacing/>
        <w:rPr>
          <w:rFonts w:ascii="Arial" w:eastAsia="Arial MT" w:hAnsi="Arial" w:cs="Arial"/>
          <w:lang w:val="es-ES"/>
          <w14:ligatures w14:val="standardContextual"/>
        </w:rPr>
      </w:pPr>
    </w:p>
    <w:p w14:paraId="45B9690B" w14:textId="77777777" w:rsidR="003B218A" w:rsidRPr="003B218A" w:rsidRDefault="003B218A" w:rsidP="003B218A">
      <w:pPr>
        <w:widowControl w:val="0"/>
        <w:autoSpaceDE w:val="0"/>
        <w:autoSpaceDN w:val="0"/>
        <w:spacing w:after="0" w:line="240" w:lineRule="auto"/>
        <w:outlineLvl w:val="0"/>
        <w:rPr>
          <w:rFonts w:ascii="Arial" w:eastAsia="Arial" w:hAnsi="Arial" w:cs="Arial"/>
          <w:b/>
          <w:bCs/>
          <w:lang w:val="es-ES"/>
          <w14:ligatures w14:val="standardContextual"/>
        </w:rPr>
      </w:pPr>
      <w:r w:rsidRPr="003B218A">
        <w:rPr>
          <w:rFonts w:ascii="Arial" w:eastAsia="Arial" w:hAnsi="Arial" w:cs="Arial"/>
          <w:b/>
          <w:bCs/>
          <w:lang w:val="es-ES"/>
          <w14:ligatures w14:val="standardContextual"/>
        </w:rPr>
        <w:t xml:space="preserve">                                            Concepto</w:t>
      </w:r>
      <w:r w:rsidRPr="003B218A">
        <w:rPr>
          <w:rFonts w:ascii="Arial" w:eastAsia="Arial" w:hAnsi="Arial" w:cs="Arial"/>
          <w:b/>
          <w:bCs/>
          <w:spacing w:val="-4"/>
          <w:lang w:val="es-ES"/>
          <w14:ligatures w14:val="standardContextual"/>
        </w:rPr>
        <w:t xml:space="preserve"> </w:t>
      </w:r>
      <w:r w:rsidRPr="003B218A">
        <w:rPr>
          <w:rFonts w:ascii="Arial" w:eastAsia="Arial" w:hAnsi="Arial" w:cs="Arial"/>
          <w:b/>
          <w:bCs/>
          <w:lang w:val="es-ES"/>
          <w14:ligatures w14:val="standardContextual"/>
        </w:rPr>
        <w:t>C</w:t>
      </w:r>
      <w:r w:rsidRPr="003B218A">
        <w:rPr>
          <w:rFonts w:ascii="Arial" w:eastAsia="Arial" w:hAnsi="Arial" w:cs="Arial"/>
          <w:b/>
          <w:bCs/>
          <w:spacing w:val="-2"/>
          <w:lang w:val="es-ES"/>
          <w14:ligatures w14:val="standardContextual"/>
        </w:rPr>
        <w:t xml:space="preserve"> </w:t>
      </w:r>
      <w:r w:rsidRPr="003B218A">
        <w:rPr>
          <w:rFonts w:ascii="Arial" w:eastAsia="Arial" w:hAnsi="Arial" w:cs="Arial"/>
          <w:b/>
          <w:bCs/>
          <w:lang w:val="es-ES"/>
          <w14:ligatures w14:val="standardContextual"/>
        </w:rPr>
        <w:t>–</w:t>
      </w:r>
      <w:r w:rsidRPr="003B218A">
        <w:rPr>
          <w:rFonts w:ascii="Arial" w:eastAsia="Arial" w:hAnsi="Arial" w:cs="Arial"/>
          <w:b/>
          <w:bCs/>
          <w:spacing w:val="-3"/>
          <w:lang w:val="es-ES"/>
          <w14:ligatures w14:val="standardContextual"/>
        </w:rPr>
        <w:t xml:space="preserve"> </w:t>
      </w:r>
      <w:r w:rsidRPr="003B218A">
        <w:rPr>
          <w:rFonts w:ascii="Arial" w:eastAsia="Arial" w:hAnsi="Arial" w:cs="Arial"/>
          <w:b/>
          <w:bCs/>
          <w:spacing w:val="-4"/>
          <w:lang w:val="es-ES"/>
          <w14:ligatures w14:val="standardContextual"/>
        </w:rPr>
        <w:t xml:space="preserve">125 </w:t>
      </w:r>
      <w:r w:rsidRPr="003B218A">
        <w:rPr>
          <w:rFonts w:ascii="Arial" w:eastAsia="Arial" w:hAnsi="Arial" w:cs="Arial"/>
          <w:b/>
          <w:bCs/>
          <w:lang w:val="es-ES"/>
          <w14:ligatures w14:val="standardContextual"/>
        </w:rPr>
        <w:t>de</w:t>
      </w:r>
      <w:r w:rsidRPr="003B218A">
        <w:rPr>
          <w:rFonts w:ascii="Arial" w:eastAsia="Arial" w:hAnsi="Arial" w:cs="Arial"/>
          <w:b/>
          <w:bCs/>
          <w:spacing w:val="-3"/>
          <w:lang w:val="es-ES"/>
          <w14:ligatures w14:val="standardContextual"/>
        </w:rPr>
        <w:t xml:space="preserve"> </w:t>
      </w:r>
      <w:r w:rsidRPr="003B218A">
        <w:rPr>
          <w:rFonts w:ascii="Arial" w:eastAsia="Arial" w:hAnsi="Arial" w:cs="Arial"/>
          <w:b/>
          <w:bCs/>
          <w:lang w:val="es-ES"/>
          <w14:ligatures w14:val="standardContextual"/>
        </w:rPr>
        <w:t>2023</w:t>
      </w:r>
    </w:p>
    <w:p w14:paraId="74FFB47E" w14:textId="77777777" w:rsidR="003B218A" w:rsidRPr="003B218A" w:rsidRDefault="003B218A" w:rsidP="003B218A">
      <w:pPr>
        <w:widowControl w:val="0"/>
        <w:tabs>
          <w:tab w:val="left" w:pos="2794"/>
        </w:tabs>
        <w:autoSpaceDE w:val="0"/>
        <w:autoSpaceDN w:val="0"/>
        <w:spacing w:after="0" w:line="240" w:lineRule="auto"/>
        <w:ind w:right="111"/>
        <w:jc w:val="both"/>
        <w:rPr>
          <w:rFonts w:ascii="Arial" w:eastAsia="Arial MT" w:hAnsi="Arial" w:cs="Arial"/>
          <w:b/>
          <w:lang w:val="es-ES"/>
          <w14:ligatures w14:val="standardContextual"/>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B218A" w:rsidRPr="003B218A" w14:paraId="6DB2396B" w14:textId="77777777" w:rsidTr="00A86989">
        <w:tc>
          <w:tcPr>
            <w:tcW w:w="2689" w:type="dxa"/>
          </w:tcPr>
          <w:p w14:paraId="10BC3C63" w14:textId="77777777" w:rsidR="003B218A" w:rsidRPr="003B218A" w:rsidRDefault="003B218A" w:rsidP="003B218A">
            <w:pPr>
              <w:jc w:val="both"/>
              <w:rPr>
                <w:rFonts w:ascii="Arial" w:eastAsia="Calibri" w:hAnsi="Arial" w:cs="Arial"/>
                <w:b/>
                <w:lang w:val="es-ES_tradnl" w:eastAsia="es-ES_tradnl"/>
              </w:rPr>
            </w:pPr>
            <w:r w:rsidRPr="003B218A">
              <w:rPr>
                <w:rFonts w:ascii="Arial" w:eastAsia="Calibri" w:hAnsi="Arial" w:cs="Arial"/>
                <w:b/>
                <w:lang w:val="es-ES_tradnl" w:eastAsia="es-ES_tradnl"/>
              </w:rPr>
              <w:t xml:space="preserve">Temas:                                      </w:t>
            </w:r>
          </w:p>
        </w:tc>
        <w:tc>
          <w:tcPr>
            <w:tcW w:w="6237" w:type="dxa"/>
          </w:tcPr>
          <w:p w14:paraId="20656A1F" w14:textId="5908E3F8" w:rsidR="003B218A" w:rsidRPr="003B218A" w:rsidRDefault="003B218A" w:rsidP="003B218A">
            <w:pPr>
              <w:jc w:val="both"/>
              <w:rPr>
                <w:rFonts w:ascii="Arial" w:eastAsia="Calibri" w:hAnsi="Arial" w:cs="Arial"/>
                <w:bCs/>
                <w:lang w:val="es-MX"/>
              </w:rPr>
            </w:pPr>
            <w:r w:rsidRPr="003B218A">
              <w:rPr>
                <w:rFonts w:ascii="Arial" w:eastAsia="Calibri" w:hAnsi="Arial" w:cs="Arial"/>
                <w:bCs/>
                <w:lang w:val="es-MX"/>
              </w:rPr>
              <w:t xml:space="preserve">SUBSANABILIDAD DE LAS OFERTAS </w:t>
            </w:r>
            <w:r w:rsidRPr="003B218A">
              <w:rPr>
                <w:rFonts w:ascii="Arial" w:eastAsia="Calibri" w:hAnsi="Arial" w:cs="Arial"/>
                <w:lang w:val="es-MX"/>
              </w:rPr>
              <w:t>– Alcance de la regla – Ley 1882 de 2018</w:t>
            </w:r>
            <w:r w:rsidRPr="003B218A">
              <w:rPr>
                <w:rFonts w:ascii="Arial" w:eastAsia="Calibri" w:hAnsi="Arial" w:cs="Arial"/>
                <w:bCs/>
                <w:lang w:val="es-MX"/>
              </w:rPr>
              <w:t>–</w:t>
            </w:r>
            <w:r w:rsidRPr="003B218A">
              <w:rPr>
                <w:rFonts w:ascii="Arial" w:eastAsia="Calibri" w:hAnsi="Arial" w:cs="Arial"/>
                <w:bCs/>
                <w:lang w:val="es-ES"/>
              </w:rPr>
              <w:t xml:space="preserve"> Ámbito temporal </w:t>
            </w:r>
            <w:r w:rsidRPr="003B218A">
              <w:rPr>
                <w:rFonts w:ascii="Arial" w:eastAsia="Calibri" w:hAnsi="Arial" w:cs="Arial"/>
                <w:bCs/>
                <w:lang w:val="es-MX"/>
              </w:rPr>
              <w:t xml:space="preserve">– Criterio material </w:t>
            </w:r>
            <w:r w:rsidRPr="003B218A">
              <w:rPr>
                <w:rFonts w:ascii="Arial" w:eastAsia="Calibri" w:hAnsi="Arial" w:cs="Arial"/>
                <w:lang w:eastAsia="es-ES_tradnl"/>
              </w:rPr>
              <w:t>/ SUBASTA INVERSA— Regla de Subsanabilidad / SUBASTA INVERSA – Regla de subsanabilidad – Tiempo límite – Alcance normativo</w:t>
            </w:r>
            <w:r w:rsidR="004945E1">
              <w:rPr>
                <w:rFonts w:ascii="Arial" w:eastAsia="Calibri" w:hAnsi="Arial" w:cs="Arial"/>
                <w:lang w:eastAsia="es-ES_tradnl"/>
              </w:rPr>
              <w:t xml:space="preserve"> /</w:t>
            </w:r>
            <w:r w:rsidRPr="003B218A">
              <w:rPr>
                <w:rFonts w:ascii="Arial" w:eastAsia="Calibri" w:hAnsi="Arial" w:cs="Arial"/>
                <w:bCs/>
                <w:lang w:val="es-MX"/>
              </w:rPr>
              <w:t xml:space="preserve"> </w:t>
            </w:r>
            <w:r w:rsidRPr="003B218A">
              <w:rPr>
                <w:rFonts w:ascii="Arial" w:eastAsia="Calibri" w:hAnsi="Arial" w:cs="Arial"/>
                <w:lang w:eastAsia="es-ES_tradnl"/>
              </w:rPr>
              <w:t>SUBASTA INVERSA – Regla de subsanabilidad – Limite de veces</w:t>
            </w:r>
          </w:p>
          <w:p w14:paraId="6DA4FE07" w14:textId="77777777" w:rsidR="003B218A" w:rsidRPr="003B218A" w:rsidRDefault="003B218A" w:rsidP="003B218A">
            <w:pPr>
              <w:jc w:val="both"/>
              <w:rPr>
                <w:rFonts w:ascii="Arial" w:eastAsia="Calibri" w:hAnsi="Arial" w:cs="Arial"/>
                <w:lang w:val="es-ES_tradnl" w:eastAsia="es-ES_tradnl"/>
              </w:rPr>
            </w:pPr>
          </w:p>
        </w:tc>
      </w:tr>
    </w:tbl>
    <w:p w14:paraId="6951A6D8" w14:textId="77777777" w:rsidR="003B218A" w:rsidRPr="003B218A" w:rsidRDefault="003B218A" w:rsidP="003B218A">
      <w:pPr>
        <w:widowControl w:val="0"/>
        <w:tabs>
          <w:tab w:val="left" w:pos="2694"/>
        </w:tabs>
        <w:autoSpaceDE w:val="0"/>
        <w:autoSpaceDN w:val="0"/>
        <w:spacing w:after="0" w:line="240" w:lineRule="auto"/>
        <w:jc w:val="both"/>
        <w:rPr>
          <w:rFonts w:ascii="Arial" w:eastAsia="Arial MT" w:hAnsi="Arial" w:cs="Arial"/>
          <w:lang w:val="es-ES"/>
          <w14:ligatures w14:val="standardContextual"/>
        </w:rPr>
      </w:pPr>
      <w:r w:rsidRPr="003B218A">
        <w:rPr>
          <w:rFonts w:ascii="Arial" w:eastAsia="Arial MT" w:hAnsi="Arial" w:cs="Arial"/>
          <w:b/>
          <w:lang w:val="es-ES"/>
          <w14:ligatures w14:val="standardContextual"/>
        </w:rPr>
        <w:t xml:space="preserve">Radicación:                  </w:t>
      </w:r>
      <w:r w:rsidRPr="003B218A">
        <w:rPr>
          <w:rFonts w:ascii="Arial" w:eastAsia="Arial MT" w:hAnsi="Arial" w:cs="Arial"/>
          <w:b/>
          <w:lang w:val="es-ES"/>
          <w14:ligatures w14:val="standardContextual"/>
        </w:rPr>
        <w:tab/>
      </w:r>
      <w:r w:rsidRPr="003B218A">
        <w:rPr>
          <w:rFonts w:ascii="Arial" w:eastAsia="Arial MT" w:hAnsi="Arial" w:cs="Arial"/>
          <w:lang w:val="es-ES"/>
          <w14:ligatures w14:val="standardContextual"/>
        </w:rPr>
        <w:t>Respuesta</w:t>
      </w:r>
      <w:r w:rsidRPr="003B218A">
        <w:rPr>
          <w:rFonts w:ascii="Arial" w:eastAsia="Arial MT" w:hAnsi="Arial" w:cs="Arial"/>
          <w:spacing w:val="-7"/>
          <w:lang w:val="es-ES"/>
          <w14:ligatures w14:val="standardContextual"/>
        </w:rPr>
        <w:t xml:space="preserve"> </w:t>
      </w:r>
      <w:r w:rsidRPr="003B218A">
        <w:rPr>
          <w:rFonts w:ascii="Arial" w:eastAsia="Arial MT" w:hAnsi="Arial" w:cs="Arial"/>
          <w:lang w:val="es-ES"/>
          <w14:ligatures w14:val="standardContextual"/>
        </w:rPr>
        <w:t>a</w:t>
      </w:r>
      <w:r w:rsidRPr="003B218A">
        <w:rPr>
          <w:rFonts w:ascii="Arial" w:eastAsia="Arial MT" w:hAnsi="Arial" w:cs="Arial"/>
          <w:spacing w:val="-6"/>
          <w:lang w:val="es-ES"/>
          <w14:ligatures w14:val="standardContextual"/>
        </w:rPr>
        <w:t xml:space="preserve"> </w:t>
      </w:r>
      <w:r w:rsidRPr="003B218A">
        <w:rPr>
          <w:rFonts w:ascii="Arial" w:eastAsia="Arial MT" w:hAnsi="Arial" w:cs="Arial"/>
          <w:lang w:val="es-ES"/>
          <w14:ligatures w14:val="standardContextual"/>
        </w:rPr>
        <w:t>consulta</w:t>
      </w:r>
      <w:r w:rsidRPr="003B218A">
        <w:rPr>
          <w:rFonts w:ascii="Arial" w:eastAsia="Arial MT" w:hAnsi="Arial" w:cs="Arial"/>
          <w:spacing w:val="-5"/>
          <w:lang w:val="es-ES"/>
          <w14:ligatures w14:val="standardContextual"/>
        </w:rPr>
        <w:t xml:space="preserve"> </w:t>
      </w:r>
      <w:r w:rsidRPr="003B218A">
        <w:rPr>
          <w:rFonts w:ascii="Arial" w:eastAsia="Times New Roman" w:hAnsi="Arial" w:cs="Arial"/>
          <w:shd w:val="clear" w:color="auto" w:fill="FFFFFF"/>
          <w:lang w:eastAsia="es-ES_tradnl"/>
          <w14:ligatures w14:val="standardContextual"/>
        </w:rPr>
        <w:t>P20230329002899</w:t>
      </w:r>
    </w:p>
    <w:p w14:paraId="7C7A98BD" w14:textId="77777777" w:rsidR="003B218A" w:rsidRPr="003B218A" w:rsidRDefault="003B218A" w:rsidP="003B218A">
      <w:pPr>
        <w:widowControl w:val="0"/>
        <w:autoSpaceDE w:val="0"/>
        <w:autoSpaceDN w:val="0"/>
        <w:spacing w:after="0" w:line="240" w:lineRule="auto"/>
        <w:rPr>
          <w:rFonts w:ascii="Arial" w:eastAsia="Arial MT" w:hAnsi="Arial" w:cs="Arial"/>
          <w:lang w:val="es-ES"/>
          <w14:ligatures w14:val="standardContextual"/>
        </w:rPr>
      </w:pPr>
    </w:p>
    <w:p w14:paraId="06427690" w14:textId="77777777" w:rsidR="003B218A" w:rsidRPr="003B218A" w:rsidRDefault="003B218A" w:rsidP="003B218A">
      <w:pPr>
        <w:widowControl w:val="0"/>
        <w:autoSpaceDE w:val="0"/>
        <w:autoSpaceDN w:val="0"/>
        <w:spacing w:after="0" w:line="276" w:lineRule="auto"/>
        <w:contextualSpacing/>
        <w:rPr>
          <w:rFonts w:ascii="Arial" w:eastAsia="Arial MT" w:hAnsi="Arial" w:cs="Arial"/>
          <w:lang w:val="es-ES"/>
          <w14:ligatures w14:val="standardContextual"/>
        </w:rPr>
      </w:pPr>
    </w:p>
    <w:p w14:paraId="3ECB1501" w14:textId="77777777" w:rsidR="003B218A" w:rsidRPr="003B218A" w:rsidRDefault="003B218A" w:rsidP="003B218A">
      <w:pPr>
        <w:widowControl w:val="0"/>
        <w:autoSpaceDE w:val="0"/>
        <w:autoSpaceDN w:val="0"/>
        <w:spacing w:after="0" w:line="276" w:lineRule="auto"/>
        <w:contextualSpacing/>
        <w:rPr>
          <w:rFonts w:ascii="Arial" w:eastAsia="Arial MT" w:hAnsi="Arial" w:cs="Arial"/>
          <w:lang w:val="es-ES"/>
          <w14:ligatures w14:val="standardContextual"/>
        </w:rPr>
      </w:pPr>
      <w:r w:rsidRPr="003B218A">
        <w:rPr>
          <w:rFonts w:ascii="Arial" w:eastAsia="Arial MT" w:hAnsi="Arial" w:cs="Arial"/>
          <w:lang w:val="es-ES"/>
          <w14:ligatures w14:val="standardContextual"/>
        </w:rPr>
        <w:t>Estimad</w:t>
      </w:r>
      <w:r w:rsidRPr="003B218A">
        <w:rPr>
          <w:rFonts w:ascii="Arial" w:eastAsia="Arial MT" w:hAnsi="Arial" w:cs="Arial"/>
          <w:spacing w:val="-7"/>
          <w:lang w:val="es-ES"/>
          <w14:ligatures w14:val="standardContextual"/>
        </w:rPr>
        <w:t>a señora Gamero:</w:t>
      </w:r>
    </w:p>
    <w:p w14:paraId="0FF1A507" w14:textId="77777777" w:rsidR="003B218A" w:rsidRPr="003B218A" w:rsidRDefault="003B218A" w:rsidP="003B218A">
      <w:pPr>
        <w:widowControl w:val="0"/>
        <w:autoSpaceDE w:val="0"/>
        <w:autoSpaceDN w:val="0"/>
        <w:spacing w:after="0" w:line="276" w:lineRule="auto"/>
        <w:contextualSpacing/>
        <w:rPr>
          <w:rFonts w:ascii="Arial" w:eastAsia="Arial MT" w:hAnsi="Arial" w:cs="Arial"/>
          <w:lang w:val="es-ES"/>
          <w14:ligatures w14:val="standardContextual"/>
        </w:rPr>
      </w:pPr>
    </w:p>
    <w:p w14:paraId="4454B2F8" w14:textId="77777777" w:rsidR="003B218A" w:rsidRPr="003B218A" w:rsidRDefault="003B218A" w:rsidP="003B218A">
      <w:pPr>
        <w:widowControl w:val="0"/>
        <w:autoSpaceDE w:val="0"/>
        <w:autoSpaceDN w:val="0"/>
        <w:spacing w:after="0" w:line="276" w:lineRule="auto"/>
        <w:contextualSpacing/>
        <w:jc w:val="both"/>
        <w:rPr>
          <w:rFonts w:ascii="Arial" w:eastAsia="Arial MT" w:hAnsi="Arial" w:cs="Arial"/>
          <w:lang w:val="es-ES"/>
          <w14:ligatures w14:val="standardContextual"/>
        </w:rPr>
      </w:pPr>
      <w:r w:rsidRPr="003B218A">
        <w:rPr>
          <w:rFonts w:ascii="Arial" w:eastAsia="Arial MT" w:hAnsi="Arial" w:cs="Arial"/>
          <w:lang w:val="es-ES"/>
          <w14:ligatures w14:val="standardContextual"/>
        </w:rPr>
        <w:t>En ejercicio de la competencia otorgada por el numeral 8 del artículo 11 y el numeral 5 del artículo</w:t>
      </w:r>
      <w:r w:rsidRPr="003B218A">
        <w:rPr>
          <w:rFonts w:ascii="Arial" w:eastAsia="Arial MT" w:hAnsi="Arial" w:cs="Arial"/>
          <w:spacing w:val="-7"/>
          <w:lang w:val="es-ES"/>
          <w14:ligatures w14:val="standardContextual"/>
        </w:rPr>
        <w:t xml:space="preserve"> </w:t>
      </w:r>
      <w:r w:rsidRPr="003B218A">
        <w:rPr>
          <w:rFonts w:ascii="Arial" w:eastAsia="Arial MT" w:hAnsi="Arial" w:cs="Arial"/>
          <w:lang w:val="es-ES"/>
          <w14:ligatures w14:val="standardContextual"/>
        </w:rPr>
        <w:t>3</w:t>
      </w:r>
      <w:r w:rsidRPr="003B218A">
        <w:rPr>
          <w:rFonts w:ascii="Arial" w:eastAsia="Arial MT" w:hAnsi="Arial" w:cs="Arial"/>
          <w:spacing w:val="-7"/>
          <w:lang w:val="es-ES"/>
          <w14:ligatures w14:val="standardContextual"/>
        </w:rPr>
        <w:t xml:space="preserve"> </w:t>
      </w:r>
      <w:r w:rsidRPr="003B218A">
        <w:rPr>
          <w:rFonts w:ascii="Arial" w:eastAsia="Arial MT" w:hAnsi="Arial" w:cs="Arial"/>
          <w:lang w:val="es-ES"/>
          <w14:ligatures w14:val="standardContextual"/>
        </w:rPr>
        <w:t>del</w:t>
      </w:r>
      <w:r w:rsidRPr="003B218A">
        <w:rPr>
          <w:rFonts w:ascii="Arial" w:eastAsia="Arial MT" w:hAnsi="Arial" w:cs="Arial"/>
          <w:spacing w:val="-8"/>
          <w:lang w:val="es-ES"/>
          <w14:ligatures w14:val="standardContextual"/>
        </w:rPr>
        <w:t xml:space="preserve"> </w:t>
      </w:r>
      <w:r w:rsidRPr="003B218A">
        <w:rPr>
          <w:rFonts w:ascii="Arial" w:eastAsia="Arial MT" w:hAnsi="Arial" w:cs="Arial"/>
          <w:lang w:val="es-ES"/>
          <w14:ligatures w14:val="standardContextual"/>
        </w:rPr>
        <w:t>Decreto</w:t>
      </w:r>
      <w:r w:rsidRPr="003B218A">
        <w:rPr>
          <w:rFonts w:ascii="Arial" w:eastAsia="Arial MT" w:hAnsi="Arial" w:cs="Arial"/>
          <w:spacing w:val="-7"/>
          <w:lang w:val="es-ES"/>
          <w14:ligatures w14:val="standardContextual"/>
        </w:rPr>
        <w:t xml:space="preserve"> </w:t>
      </w:r>
      <w:r w:rsidRPr="003B218A">
        <w:rPr>
          <w:rFonts w:ascii="Arial" w:eastAsia="Arial MT" w:hAnsi="Arial" w:cs="Arial"/>
          <w:lang w:val="es-ES"/>
          <w14:ligatures w14:val="standardContextual"/>
        </w:rPr>
        <w:t>Ley</w:t>
      </w:r>
      <w:r w:rsidRPr="003B218A">
        <w:rPr>
          <w:rFonts w:ascii="Arial" w:eastAsia="Arial MT" w:hAnsi="Arial" w:cs="Arial"/>
          <w:spacing w:val="-7"/>
          <w:lang w:val="es-ES"/>
          <w14:ligatures w14:val="standardContextual"/>
        </w:rPr>
        <w:t xml:space="preserve"> </w:t>
      </w:r>
      <w:r w:rsidRPr="003B218A">
        <w:rPr>
          <w:rFonts w:ascii="Arial" w:eastAsia="Arial MT" w:hAnsi="Arial" w:cs="Arial"/>
          <w:lang w:val="es-ES"/>
          <w14:ligatures w14:val="standardContextual"/>
        </w:rPr>
        <w:t>4170</w:t>
      </w:r>
      <w:r w:rsidRPr="003B218A">
        <w:rPr>
          <w:rFonts w:ascii="Arial" w:eastAsia="Arial MT" w:hAnsi="Arial" w:cs="Arial"/>
          <w:spacing w:val="-7"/>
          <w:lang w:val="es-ES"/>
          <w14:ligatures w14:val="standardContextual"/>
        </w:rPr>
        <w:t xml:space="preserve"> </w:t>
      </w:r>
      <w:r w:rsidRPr="003B218A">
        <w:rPr>
          <w:rFonts w:ascii="Arial" w:eastAsia="Arial MT" w:hAnsi="Arial" w:cs="Arial"/>
          <w:lang w:val="es-ES"/>
          <w14:ligatures w14:val="standardContextual"/>
        </w:rPr>
        <w:t>de</w:t>
      </w:r>
      <w:r w:rsidRPr="003B218A">
        <w:rPr>
          <w:rFonts w:ascii="Arial" w:eastAsia="Arial MT" w:hAnsi="Arial" w:cs="Arial"/>
          <w:spacing w:val="-8"/>
          <w:lang w:val="es-ES"/>
          <w14:ligatures w14:val="standardContextual"/>
        </w:rPr>
        <w:t xml:space="preserve"> </w:t>
      </w:r>
      <w:r w:rsidRPr="003B218A">
        <w:rPr>
          <w:rFonts w:ascii="Arial" w:eastAsia="Arial MT" w:hAnsi="Arial" w:cs="Arial"/>
          <w:lang w:val="es-ES"/>
          <w14:ligatures w14:val="standardContextual"/>
        </w:rPr>
        <w:t>2011,</w:t>
      </w:r>
      <w:r w:rsidRPr="003B218A" w:rsidDel="004F57D5">
        <w:rPr>
          <w:rFonts w:ascii="Arial" w:eastAsia="Arial MT" w:hAnsi="Arial" w:cs="Arial"/>
          <w:spacing w:val="-6"/>
          <w:lang w:val="es-ES"/>
          <w14:ligatures w14:val="standardContextual"/>
        </w:rPr>
        <w:t xml:space="preserve"> </w:t>
      </w:r>
      <w:r w:rsidRPr="003B218A">
        <w:rPr>
          <w:rFonts w:ascii="Arial" w:eastAsia="Arial MT" w:hAnsi="Arial" w:cs="Arial"/>
          <w:lang w:val="es-ES"/>
          <w14:ligatures w14:val="standardContextual"/>
        </w:rPr>
        <w:t>la Agencia Nacional de Contratación Pública – Colombia Compra Eficiente responde</w:t>
      </w:r>
      <w:r w:rsidRPr="003B218A">
        <w:rPr>
          <w:rFonts w:ascii="Arial" w:eastAsia="Arial MT" w:hAnsi="Arial" w:cs="Arial"/>
          <w:spacing w:val="-1"/>
          <w:lang w:val="es-ES"/>
          <w14:ligatures w14:val="standardContextual"/>
        </w:rPr>
        <w:t xml:space="preserve"> </w:t>
      </w:r>
      <w:r w:rsidRPr="003B218A">
        <w:rPr>
          <w:rFonts w:ascii="Arial" w:eastAsia="Arial MT" w:hAnsi="Arial" w:cs="Arial"/>
          <w:lang w:val="es-ES"/>
          <w14:ligatures w14:val="standardContextual"/>
        </w:rPr>
        <w:t>su</w:t>
      </w:r>
      <w:r w:rsidRPr="003B218A">
        <w:rPr>
          <w:rFonts w:ascii="Arial" w:eastAsia="Arial MT" w:hAnsi="Arial" w:cs="Arial"/>
          <w:spacing w:val="-2"/>
          <w:lang w:val="es-ES"/>
          <w14:ligatures w14:val="standardContextual"/>
        </w:rPr>
        <w:t xml:space="preserve"> </w:t>
      </w:r>
      <w:r w:rsidRPr="003B218A">
        <w:rPr>
          <w:rFonts w:ascii="Arial" w:eastAsia="Arial MT" w:hAnsi="Arial" w:cs="Arial"/>
          <w:lang w:val="es-ES"/>
          <w14:ligatures w14:val="standardContextual"/>
        </w:rPr>
        <w:t>consulta</w:t>
      </w:r>
      <w:r w:rsidRPr="003B218A">
        <w:rPr>
          <w:rFonts w:ascii="Arial" w:eastAsia="Arial MT" w:hAnsi="Arial" w:cs="Arial"/>
          <w:spacing w:val="-2"/>
          <w:lang w:val="es-ES"/>
          <w14:ligatures w14:val="standardContextual"/>
        </w:rPr>
        <w:t xml:space="preserve"> </w:t>
      </w:r>
      <w:r w:rsidRPr="003B218A">
        <w:rPr>
          <w:rFonts w:ascii="Arial" w:eastAsia="Arial MT" w:hAnsi="Arial" w:cs="Arial"/>
          <w:lang w:val="es-ES"/>
          <w14:ligatures w14:val="standardContextual"/>
        </w:rPr>
        <w:t>del 27 de marzo de 2023.</w:t>
      </w:r>
    </w:p>
    <w:p w14:paraId="00629B21" w14:textId="77777777" w:rsidR="003B218A" w:rsidRPr="003B218A" w:rsidRDefault="003B218A" w:rsidP="003B218A">
      <w:pPr>
        <w:spacing w:after="0" w:line="276" w:lineRule="auto"/>
        <w:contextualSpacing/>
        <w:jc w:val="both"/>
        <w:rPr>
          <w:rFonts w:ascii="Arial" w:eastAsia="Calibri" w:hAnsi="Arial" w:cs="Arial"/>
          <w:b/>
          <w:color w:val="000000" w:themeColor="text1"/>
          <w:lang w:val="es-ES" w:eastAsia="es-ES_tradnl"/>
          <w14:ligatures w14:val="standardContextual"/>
        </w:rPr>
      </w:pPr>
    </w:p>
    <w:p w14:paraId="61E5FBF5" w14:textId="77777777" w:rsidR="003B218A" w:rsidRPr="003B218A" w:rsidRDefault="003B218A" w:rsidP="003B218A">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14:ligatures w14:val="standardContextual"/>
        </w:rPr>
      </w:pPr>
      <w:r w:rsidRPr="003B218A">
        <w:rPr>
          <w:rFonts w:ascii="Arial" w:eastAsia="Calibri" w:hAnsi="Arial" w:cs="Arial"/>
          <w:b/>
          <w:color w:val="000000" w:themeColor="text1"/>
          <w:lang w:val="es-ES_tradnl"/>
          <w14:ligatures w14:val="standardContextual"/>
        </w:rPr>
        <w:t xml:space="preserve">Problema planteado </w:t>
      </w:r>
    </w:p>
    <w:p w14:paraId="4EFFBDF8" w14:textId="77777777" w:rsidR="003B218A" w:rsidRPr="003B218A" w:rsidRDefault="003B218A" w:rsidP="003B218A">
      <w:pPr>
        <w:tabs>
          <w:tab w:val="left" w:pos="0"/>
          <w:tab w:val="left" w:pos="142"/>
          <w:tab w:val="left" w:pos="284"/>
        </w:tabs>
        <w:spacing w:after="0" w:line="276" w:lineRule="auto"/>
        <w:contextualSpacing/>
        <w:jc w:val="both"/>
        <w:rPr>
          <w:rFonts w:ascii="Arial" w:eastAsia="Calibri" w:hAnsi="Arial" w:cs="Arial"/>
          <w:b/>
          <w:color w:val="000000" w:themeColor="text1"/>
          <w:lang w:val="es-ES_tradnl" w:eastAsia="es-ES_tradnl"/>
          <w14:ligatures w14:val="standardContextual"/>
        </w:rPr>
      </w:pPr>
    </w:p>
    <w:p w14:paraId="4427C4C3" w14:textId="77777777" w:rsidR="003B218A" w:rsidRPr="003B218A" w:rsidRDefault="003B218A" w:rsidP="003B218A">
      <w:pPr>
        <w:autoSpaceDE w:val="0"/>
        <w:autoSpaceDN w:val="0"/>
        <w:adjustRightInd w:val="0"/>
        <w:spacing w:after="0" w:line="276" w:lineRule="auto"/>
        <w:contextualSpacing/>
        <w:jc w:val="both"/>
        <w:rPr>
          <w:rFonts w:ascii="Arial" w:eastAsia="Calibri" w:hAnsi="Arial" w:cs="Arial"/>
          <w:bCs/>
          <w:color w:val="000000" w:themeColor="text1"/>
          <w:lang w:val="es-ES_tradnl"/>
          <w14:ligatures w14:val="standardContextual"/>
        </w:rPr>
      </w:pPr>
      <w:r w:rsidRPr="003B218A">
        <w:rPr>
          <w:rFonts w:ascii="Arial" w:eastAsia="Calibri" w:hAnsi="Arial" w:cs="Arial"/>
          <w:bCs/>
          <w:color w:val="000000" w:themeColor="text1"/>
          <w:lang w:val="es-ES_tradnl"/>
          <w14:ligatures w14:val="standardContextual"/>
        </w:rPr>
        <w:t xml:space="preserve">En relación con la subsanabilidad de ofertas en aquellos procesos de selección en los que se utiliza el mecanismo de subasta, usted realiza las siguientes preguntas: </w:t>
      </w:r>
    </w:p>
    <w:p w14:paraId="44B4355F" w14:textId="77777777" w:rsidR="003B218A" w:rsidRPr="003B218A" w:rsidRDefault="003B218A" w:rsidP="003B218A">
      <w:pPr>
        <w:autoSpaceDE w:val="0"/>
        <w:autoSpaceDN w:val="0"/>
        <w:adjustRightInd w:val="0"/>
        <w:spacing w:after="0" w:line="276" w:lineRule="auto"/>
        <w:contextualSpacing/>
        <w:jc w:val="both"/>
        <w:rPr>
          <w:rFonts w:ascii="Arial" w:eastAsia="Calibri" w:hAnsi="Arial" w:cs="Arial"/>
          <w:bCs/>
          <w:color w:val="000000" w:themeColor="text1"/>
          <w:lang w:val="es-ES_tradnl"/>
          <w14:ligatures w14:val="standardContextual"/>
        </w:rPr>
      </w:pPr>
    </w:p>
    <w:p w14:paraId="507050C2"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Calibri" w:hAnsi="Arial" w:cs="Arial"/>
          <w:sz w:val="21"/>
          <w:szCs w:val="21"/>
          <w:lang w:val="es-ES_tradnl" w:eastAsia="es-ES_tradnl"/>
          <w14:ligatures w14:val="standardContextual"/>
        </w:rPr>
        <w:lastRenderedPageBreak/>
        <w:t xml:space="preserve">“[…] </w:t>
      </w:r>
      <w:r w:rsidRPr="003B218A">
        <w:rPr>
          <w:rFonts w:ascii="Arial" w:eastAsia="Times New Roman" w:hAnsi="Arial" w:cs="Arial"/>
          <w:color w:val="333333"/>
          <w:sz w:val="21"/>
          <w:szCs w:val="21"/>
          <w:shd w:val="clear" w:color="auto" w:fill="FFFFFF"/>
          <w:lang w:eastAsia="es-CO"/>
        </w:rPr>
        <w:t>En un proceso de selección a través de subasta, es claro que un proponente puede subsanar, aclarar o allegar documentos que no afecten la asignación de puntaje, hasta antes del inicio del evento de subasta, ¿pero, cuantas veces lo puede hacer? ¿Es posible que pueda subsanar varias veces un mismo requisito habilitante antes de la celebración del evento de subasta?</w:t>
      </w:r>
    </w:p>
    <w:p w14:paraId="7FD6F4BF"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w:t>
      </w:r>
    </w:p>
    <w:p w14:paraId="74782E28"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¿En el caso que nos ocupa, podría presentar por segunda vez otras certificaciones de experiencia para habilitarse?</w:t>
      </w:r>
    </w:p>
    <w:p w14:paraId="418FAE97"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w:t>
      </w:r>
    </w:p>
    <w:p w14:paraId="4029ACA6"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En general, si un proponente presentó una subsanación defectuosa, o incompleta o incorrecta, ¿podría presentar otra subsanación o corregir las ya presentadas antes de iniciar el evento de subasta?</w:t>
      </w:r>
    </w:p>
    <w:p w14:paraId="19D13552"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w:t>
      </w:r>
    </w:p>
    <w:p w14:paraId="09F75C8A"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xml:space="preserve">O si se trata, por ejemplo, de una certificación de pago de aportes parafiscales que no presentó, entonces se le requiere y la presenta, pero solo certificando estar a paz y salvo por los últimos tres meses y debería ser por los 6 meses anteriores, ¿podría corregirla y volverla a presentar antes de la subasta? </w:t>
      </w:r>
      <w:r w:rsidRPr="003B218A">
        <w:rPr>
          <w:rFonts w:ascii="Arial" w:eastAsia="Times New Roman" w:hAnsi="Arial" w:cs="Arial"/>
          <w:sz w:val="21"/>
          <w:szCs w:val="21"/>
          <w:lang w:eastAsia="es-ES_tradnl"/>
          <w14:ligatures w14:val="standardContextual"/>
        </w:rPr>
        <w:t>[…]</w:t>
      </w:r>
      <w:r w:rsidRPr="003B218A">
        <w:rPr>
          <w:rFonts w:ascii="Arial" w:eastAsia="Calibri" w:hAnsi="Arial" w:cs="Arial"/>
          <w:sz w:val="21"/>
          <w:szCs w:val="21"/>
          <w:lang w:val="es-ES_tradnl" w:eastAsia="es-ES_tradnl"/>
          <w14:ligatures w14:val="standardContextual"/>
        </w:rPr>
        <w:t>”.</w:t>
      </w:r>
    </w:p>
    <w:p w14:paraId="71A5D420" w14:textId="77777777" w:rsidR="003B218A" w:rsidRPr="003B218A" w:rsidRDefault="003B218A" w:rsidP="003B218A">
      <w:pPr>
        <w:autoSpaceDE w:val="0"/>
        <w:autoSpaceDN w:val="0"/>
        <w:adjustRightInd w:val="0"/>
        <w:spacing w:after="0" w:line="276" w:lineRule="auto"/>
        <w:ind w:left="709" w:right="709"/>
        <w:jc w:val="both"/>
        <w:rPr>
          <w:rFonts w:ascii="Arial" w:eastAsia="Calibri" w:hAnsi="Arial" w:cs="Arial"/>
          <w:bCs/>
          <w:color w:val="000000" w:themeColor="text1"/>
          <w:lang w:val="es-ES_tradnl"/>
          <w14:ligatures w14:val="standardContextual"/>
        </w:rPr>
      </w:pPr>
    </w:p>
    <w:p w14:paraId="01C7C019" w14:textId="77777777" w:rsidR="003B218A" w:rsidRPr="003B218A" w:rsidRDefault="003B218A" w:rsidP="003B218A">
      <w:pPr>
        <w:numPr>
          <w:ilvl w:val="0"/>
          <w:numId w:val="5"/>
        </w:numPr>
        <w:tabs>
          <w:tab w:val="left" w:pos="284"/>
        </w:tabs>
        <w:spacing w:after="0" w:line="276" w:lineRule="auto"/>
        <w:ind w:left="0" w:firstLine="0"/>
        <w:rPr>
          <w:rFonts w:ascii="Arial" w:eastAsia="Calibri" w:hAnsi="Arial" w:cs="Arial"/>
          <w:b/>
          <w:lang w:val="es-MX"/>
          <w14:ligatures w14:val="standardContextual"/>
        </w:rPr>
      </w:pPr>
      <w:r w:rsidRPr="003B218A">
        <w:rPr>
          <w:rFonts w:ascii="Arial" w:eastAsia="Calibri" w:hAnsi="Arial" w:cs="Arial"/>
          <w:b/>
          <w:lang w:val="es-MX"/>
          <w14:ligatures w14:val="standardContextual"/>
        </w:rPr>
        <w:t>Consideraciones</w:t>
      </w:r>
    </w:p>
    <w:p w14:paraId="672124EB" w14:textId="77777777" w:rsidR="003B218A" w:rsidRPr="003B218A" w:rsidRDefault="003B218A" w:rsidP="003B218A">
      <w:pPr>
        <w:spacing w:after="0" w:line="276" w:lineRule="auto"/>
        <w:jc w:val="both"/>
        <w:rPr>
          <w:rFonts w:ascii="Arial" w:eastAsia="Calibri" w:hAnsi="Arial" w:cs="Arial"/>
          <w:lang w:val="es-MX"/>
          <w14:ligatures w14:val="standardContextual"/>
        </w:rPr>
      </w:pPr>
    </w:p>
    <w:p w14:paraId="7D924128" w14:textId="77777777" w:rsidR="003B218A" w:rsidRPr="003B218A" w:rsidRDefault="003B218A" w:rsidP="003B218A">
      <w:pPr>
        <w:spacing w:after="120" w:line="276" w:lineRule="auto"/>
        <w:jc w:val="both"/>
        <w:rPr>
          <w:rFonts w:ascii="Arial" w:eastAsia="Calibri" w:hAnsi="Arial" w:cs="Arial"/>
          <w:lang w:val="es-ES_tradnl"/>
          <w14:ligatures w14:val="standardContextual"/>
        </w:rPr>
      </w:pPr>
      <w:r w:rsidRPr="003B218A">
        <w:rPr>
          <w:rFonts w:ascii="Arial" w:eastAsia="Arial" w:hAnsi="Arial" w:cs="Arial"/>
          <w:lang w:val="es-MX" w:eastAsia="es-ES_tradnl"/>
          <w14:ligatures w14:val="standardContextua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3B218A">
        <w:rPr>
          <w:rFonts w:ascii="Arial" w:eastAsia="Arial" w:hAnsi="Arial" w:cs="Arial"/>
          <w:vertAlign w:val="superscript"/>
          <w:lang w:val="es-MX" w:eastAsia="es-ES_tradnl"/>
          <w14:ligatures w14:val="standardContextual"/>
        </w:rPr>
        <w:footnoteReference w:id="2"/>
      </w:r>
      <w:r w:rsidRPr="003B218A">
        <w:rPr>
          <w:rFonts w:ascii="Arial" w:eastAsia="Arial" w:hAnsi="Arial" w:cs="Arial"/>
          <w:lang w:val="es-MX" w:eastAsia="es-ES_tradnl"/>
          <w14:ligatures w14:val="standardContextual"/>
        </w:rPr>
        <w:t xml:space="preserve">. </w:t>
      </w:r>
      <w:r w:rsidRPr="003B218A">
        <w:rPr>
          <w:rFonts w:ascii="Arial" w:eastAsia="Calibri" w:hAnsi="Arial" w:cs="Arial"/>
          <w:lang w:val="es-ES_tradnl"/>
          <w14:ligatures w14:val="standardContextua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6EDAA10D" w14:textId="77777777" w:rsidR="003B218A" w:rsidRPr="003B218A" w:rsidRDefault="003B218A" w:rsidP="003B218A">
      <w:pPr>
        <w:spacing w:after="120" w:line="276" w:lineRule="auto"/>
        <w:ind w:firstLine="708"/>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3B218A">
        <w:rPr>
          <w:rFonts w:ascii="Arial" w:eastAsia="Calibri" w:hAnsi="Arial" w:cs="Arial"/>
          <w:lang w:val="es-ES_tradnl"/>
          <w14:ligatures w14:val="standardContextual"/>
        </w:rPr>
        <w:lastRenderedPageBreak/>
        <w:t xml:space="preserve">interpretación de normas generales, por definición, no puede extenderse a la resolución de controversias, ni a brindar asesorías sobre casos puntuales. </w:t>
      </w:r>
    </w:p>
    <w:p w14:paraId="546163EF" w14:textId="77777777" w:rsidR="003B218A" w:rsidRPr="003B218A" w:rsidRDefault="003B218A" w:rsidP="003B218A">
      <w:pPr>
        <w:spacing w:after="120" w:line="276" w:lineRule="auto"/>
        <w:ind w:firstLine="708"/>
        <w:jc w:val="both"/>
        <w:rPr>
          <w:rFonts w:ascii="Arial" w:hAnsi="Arial" w:cs="Arial"/>
          <w:lang w:val="es-MX"/>
          <w14:ligatures w14:val="standardContextual"/>
        </w:rPr>
      </w:pPr>
      <w:r w:rsidRPr="003B218A">
        <w:rPr>
          <w:rFonts w:ascii="Arial" w:eastAsia="Calibri" w:hAnsi="Arial" w:cs="Arial"/>
          <w14:ligatures w14:val="standardContextual"/>
        </w:rPr>
        <w:t xml:space="preserve">Así las cosas, </w:t>
      </w:r>
      <w:r w:rsidRPr="003B218A">
        <w:rPr>
          <w:rFonts w:ascii="Arial" w:eastAsia="Calibri" w:hAnsi="Arial" w:cs="Arial"/>
          <w:lang w:val="es-ES"/>
          <w14:ligatures w14:val="standardContextual"/>
        </w:rPr>
        <w:t xml:space="preserve">la Agencia –dentro de los límites de sus atribuciones, esto es, </w:t>
      </w:r>
      <w:bookmarkStart w:id="0" w:name="_Hlk61025408"/>
      <w:r w:rsidRPr="003B218A">
        <w:rPr>
          <w:rFonts w:ascii="Arial" w:eastAsia="Calibri" w:hAnsi="Arial" w:cs="Arial"/>
          <w:lang w:val="es-ES"/>
          <w14:ligatures w14:val="standardContextual"/>
        </w:rPr>
        <w:t>haciendo abstracción del caso particular expuesto</w:t>
      </w:r>
      <w:bookmarkEnd w:id="0"/>
      <w:r w:rsidRPr="003B218A">
        <w:rPr>
          <w:rFonts w:ascii="Arial" w:eastAsia="Calibri" w:hAnsi="Arial" w:cs="Arial"/>
          <w:lang w:val="es-ES"/>
          <w14:ligatures w14:val="standardContextual"/>
        </w:rPr>
        <w:t xml:space="preserve">–, resolverá la consulta conforme a las normas generales en materia de contratación estatal. </w:t>
      </w:r>
      <w:r w:rsidRPr="003B218A">
        <w:rPr>
          <w:rFonts w:ascii="Arial" w:hAnsi="Arial" w:cs="Arial"/>
          <w:lang w:val="es-MX"/>
          <w14:ligatures w14:val="standardContextual"/>
        </w:rPr>
        <w:t xml:space="preserve">Para responder los interrogantes se realizarán algunas consideraciones en torno a los siguientes temas: i) el alcance de la regla de la subsanabilidad de las ofertas y </w:t>
      </w:r>
      <w:proofErr w:type="spellStart"/>
      <w:r w:rsidRPr="003B218A">
        <w:rPr>
          <w:rFonts w:ascii="Arial" w:hAnsi="Arial" w:cs="Arial"/>
          <w:lang w:val="es-MX"/>
          <w14:ligatures w14:val="standardContextual"/>
        </w:rPr>
        <w:t>ii</w:t>
      </w:r>
      <w:proofErr w:type="spellEnd"/>
      <w:r w:rsidRPr="003B218A">
        <w:rPr>
          <w:rFonts w:ascii="Arial" w:hAnsi="Arial" w:cs="Arial"/>
          <w:lang w:val="es-MX"/>
          <w14:ligatures w14:val="standardContextual"/>
        </w:rPr>
        <w:t xml:space="preserve">) la </w:t>
      </w:r>
      <w:proofErr w:type="spellStart"/>
      <w:r w:rsidRPr="003B218A">
        <w:rPr>
          <w:rFonts w:ascii="Arial" w:hAnsi="Arial" w:cs="Arial"/>
          <w:lang w:val="es-MX"/>
          <w14:ligatures w14:val="standardContextual"/>
        </w:rPr>
        <w:t>subsanabilidad</w:t>
      </w:r>
      <w:proofErr w:type="spellEnd"/>
      <w:r w:rsidRPr="003B218A">
        <w:rPr>
          <w:rFonts w:ascii="Arial" w:hAnsi="Arial" w:cs="Arial"/>
          <w:lang w:val="es-MX"/>
          <w14:ligatures w14:val="standardContextual"/>
        </w:rPr>
        <w:t xml:space="preserve"> en la selección abreviada para la adquisición de bienes y servicios de características técnicas uniformes y de común utilización, mediante subasta inversa.</w:t>
      </w:r>
    </w:p>
    <w:p w14:paraId="3743BD8A" w14:textId="77777777" w:rsidR="003B218A" w:rsidRPr="003B218A" w:rsidRDefault="003B218A" w:rsidP="003B218A">
      <w:pPr>
        <w:spacing w:after="0" w:line="276" w:lineRule="auto"/>
        <w:ind w:firstLine="709"/>
        <w:jc w:val="both"/>
        <w:rPr>
          <w:rFonts w:ascii="Arial" w:eastAsia="Calibri" w:hAnsi="Arial" w:cs="Arial"/>
          <w:lang w:val="es-MX"/>
          <w14:ligatures w14:val="standardContextual"/>
        </w:rPr>
      </w:pPr>
      <w:r w:rsidRPr="003B218A">
        <w:rPr>
          <w:rFonts w:ascii="Arial" w:hAnsi="Arial" w:cs="Arial"/>
          <w:lang w:val="es-ES_tradnl"/>
          <w14:ligatures w14:val="standardContextual"/>
        </w:rPr>
        <w:t xml:space="preserve">La Agencia Nacional de Contratación Pública – Colombia Compra Eficiente, en el concepto CU - 060 de 16 de enero de 2020, unificó el concepto en torno al alcance de la regla de la subsanabilidad, contenida actualmente en el artículo 5 de la Ley 1150 de 2007. En dicho concepto se unificó la </w:t>
      </w:r>
      <w:r w:rsidRPr="003B218A">
        <w:rPr>
          <w:rFonts w:ascii="Arial" w:eastAsia="Calibri" w:hAnsi="Arial" w:cs="Arial"/>
          <w:lang w:val="es-ES_tradnl"/>
          <w14:ligatures w14:val="standardContextual"/>
        </w:rPr>
        <w:t xml:space="preserve">tesis expuesta en los conceptos con radicado No. 4201913000006471 del 28 de octubre de 2019, 4201912000006711 del 12 de noviembre de 2019 y 4201912000006496 del 15 de noviembre de 2019, la cual fue ha sido reiterada en los conceptos </w:t>
      </w:r>
      <w:r w:rsidRPr="003B218A">
        <w:rPr>
          <w:rFonts w:ascii="Arial" w:eastAsia="Calibri" w:hAnsi="Arial" w:cs="Arial"/>
          <w:lang w:val="es-MX"/>
          <w14:ligatures w14:val="standardContextual"/>
        </w:rPr>
        <w:t xml:space="preserve">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y C-250 del 2 de junio de 2021, C-568 del 11 de octubre de 2021, C-728 del 25 de enero de 2022, C-140 del 28 de marzo de 2022, C-285 del 20 de mayo de 2022, C-416 del 30 de junio de 2022, C-431 del 7 de julio de 2022, C-470 del 25 de julio de 2022 y C-505 de 8 de agosto de 2022. De otra parte, sobre el proceso de selección de subasta inversa se ha pronunciado en los conceptos </w:t>
      </w:r>
      <w:r w:rsidRPr="003B218A">
        <w:rPr>
          <w:rFonts w:ascii="Arial" w:eastAsia="Times New Roman" w:hAnsi="Arial" w:cs="Arial"/>
          <w:shd w:val="clear" w:color="auto" w:fill="FFFFFF"/>
          <w:lang w:eastAsia="es-ES_tradnl"/>
          <w14:ligatures w14:val="standardContextual"/>
        </w:rPr>
        <w:t xml:space="preserve">4201913000004928 del 20 de agosto de 2019, 4201912000004846 del 3 de septiembre de 2019, en el C-008 del 14 de mayo de 2020 y en el C-024 del 24 de febrero de 2021, C-123 de 5 de abril de 2021 y </w:t>
      </w:r>
      <w:r w:rsidRPr="003B218A">
        <w:rPr>
          <w:rFonts w:ascii="Arial" w:eastAsia="Times New Roman" w:hAnsi="Arial" w:cs="Arial"/>
          <w:lang w:eastAsia="es-ES_tradnl"/>
          <w14:ligatures w14:val="standardContextual"/>
        </w:rPr>
        <w:t>C-568 del 11 de octubre de 2021</w:t>
      </w:r>
      <w:r w:rsidRPr="003B218A">
        <w:rPr>
          <w:rFonts w:ascii="Arial" w:eastAsia="Calibri" w:hAnsi="Arial" w:cs="Arial"/>
          <w:sz w:val="24"/>
          <w:szCs w:val="24"/>
          <w:vertAlign w:val="superscript"/>
          <w:lang w:val="es-ES_tradnl" w:eastAsia="es-MX"/>
          <w14:ligatures w14:val="standardContextual"/>
        </w:rPr>
        <w:footnoteReference w:id="3"/>
      </w:r>
      <w:r w:rsidRPr="003B218A">
        <w:rPr>
          <w:rFonts w:ascii="Arial" w:eastAsia="Times New Roman" w:hAnsi="Arial" w:cs="Arial"/>
          <w:shd w:val="clear" w:color="auto" w:fill="FFFFFF"/>
          <w:lang w:eastAsia="es-ES_tradnl"/>
          <w14:ligatures w14:val="standardContextual"/>
        </w:rPr>
        <w:t xml:space="preserve">. </w:t>
      </w:r>
      <w:r w:rsidRPr="003B218A">
        <w:rPr>
          <w:rFonts w:ascii="Arial" w:eastAsia="Calibri" w:hAnsi="Arial" w:cs="Arial"/>
          <w:lang w:val="es-MX"/>
          <w14:ligatures w14:val="standardContextual"/>
        </w:rPr>
        <w:t xml:space="preserve">Las tesis planteadas en dichos conceptos se reiteran y se complementan en lo pertinente a continuación. </w:t>
      </w:r>
    </w:p>
    <w:p w14:paraId="3CCB1852" w14:textId="77777777" w:rsidR="003B218A" w:rsidRPr="003B218A" w:rsidRDefault="003B218A" w:rsidP="003B218A">
      <w:pPr>
        <w:spacing w:after="0" w:line="276" w:lineRule="auto"/>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 xml:space="preserve"> </w:t>
      </w:r>
    </w:p>
    <w:p w14:paraId="5670DCAD" w14:textId="77777777" w:rsidR="003B218A" w:rsidRPr="003B218A" w:rsidRDefault="003B218A" w:rsidP="003B218A">
      <w:pPr>
        <w:spacing w:after="0" w:line="276" w:lineRule="auto"/>
        <w:jc w:val="both"/>
        <w:rPr>
          <w:rFonts w:ascii="Arial" w:eastAsia="Calibri" w:hAnsi="Arial" w:cs="Arial"/>
          <w:b/>
          <w:bCs/>
          <w:lang w:val="es-ES_tradnl"/>
          <w14:ligatures w14:val="standardContextual"/>
        </w:rPr>
      </w:pPr>
      <w:r w:rsidRPr="003B218A">
        <w:rPr>
          <w:rFonts w:ascii="Arial" w:eastAsia="Calibri" w:hAnsi="Arial" w:cs="Arial"/>
          <w:b/>
          <w:bCs/>
          <w:lang w:val="es-ES_tradnl"/>
          <w14:ligatures w14:val="standardContextual"/>
        </w:rPr>
        <w:t xml:space="preserve">2.1. Alcance de la regla de la subsanabilidad de las ofertas </w:t>
      </w:r>
    </w:p>
    <w:p w14:paraId="42CEBF5A" w14:textId="77777777" w:rsidR="003B218A" w:rsidRPr="003B218A" w:rsidRDefault="003B218A" w:rsidP="003B218A">
      <w:pPr>
        <w:spacing w:after="0" w:line="276" w:lineRule="auto"/>
        <w:jc w:val="both"/>
        <w:rPr>
          <w:rFonts w:ascii="Arial" w:eastAsia="Calibri" w:hAnsi="Arial" w:cs="Arial"/>
          <w:lang w:val="es-ES_tradnl"/>
          <w14:ligatures w14:val="standardContextual"/>
        </w:rPr>
      </w:pPr>
    </w:p>
    <w:p w14:paraId="108FA5C2" w14:textId="77777777" w:rsidR="003B218A" w:rsidRPr="003B218A" w:rsidRDefault="003B218A" w:rsidP="003B218A">
      <w:pPr>
        <w:spacing w:after="120" w:line="276" w:lineRule="auto"/>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Esta Subdirección se ha pronunciado en diversas oportunidades, como se señaló anteriormente, acerca del alcance de la regla de la subsanabilidad, contenida actualmente en el artículo 5 de la Ley 1150 de 2007. Al respecto, la postura que se reitera en el presente concepto es la siguiente: por regla general: i) la falta de entrega o </w:t>
      </w:r>
      <w:proofErr w:type="spellStart"/>
      <w:r w:rsidRPr="003B218A">
        <w:rPr>
          <w:rFonts w:ascii="Arial" w:hAnsi="Arial" w:cs="Arial"/>
          <w:lang w:val="es-ES_tradnl"/>
          <w14:ligatures w14:val="standardContextual"/>
        </w:rPr>
        <w:t>ii</w:t>
      </w:r>
      <w:proofErr w:type="spellEnd"/>
      <w:r w:rsidRPr="003B218A">
        <w:rPr>
          <w:rFonts w:ascii="Arial" w:hAnsi="Arial" w:cs="Arial"/>
          <w:lang w:val="es-ES_tradnl"/>
          <w14:ligatures w14:val="standardContextual"/>
        </w:rPr>
        <w:t xml:space="preserve">) los defectos, de los requisitos habilitantes, son subsanables. La excepción se encuentra en los casos, previstos en la ley, que limitan la subsanabilidad, es decir, en la prohibición de permitir la entrega de la garantía de seriedad de la </w:t>
      </w:r>
      <w:r w:rsidRPr="003B218A">
        <w:rPr>
          <w:rFonts w:ascii="Arial" w:hAnsi="Arial" w:cs="Arial"/>
          <w:lang w:val="es-ES_tradnl"/>
          <w14:ligatures w14:val="standardContextual"/>
        </w:rPr>
        <w:lastRenderedPageBreak/>
        <w:t xml:space="preserve">oferta que no fue aportada con la propuesta y de valer la acreditación de circunstancias ocurridas con posterioridad al cierre del proceso. </w:t>
      </w:r>
    </w:p>
    <w:p w14:paraId="71D6B095" w14:textId="77777777" w:rsidR="003B218A" w:rsidRPr="003B218A" w:rsidRDefault="003B218A" w:rsidP="003B218A">
      <w:pPr>
        <w:spacing w:after="120" w:line="276" w:lineRule="auto"/>
        <w:ind w:firstLine="708"/>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La posibilidad de enmendar, corregir o subsanar los errores en los que se incurre en los documentos contentivos de la oferta es un tema que ha tenido diferentes momentos o etapas en el ordenamiento jurídico colombiano. </w:t>
      </w:r>
    </w:p>
    <w:p w14:paraId="54412B4E"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En un </w:t>
      </w:r>
      <w:r w:rsidRPr="003B218A">
        <w:rPr>
          <w:rFonts w:ascii="Arial" w:hAnsi="Arial" w:cs="Arial"/>
          <w:i/>
          <w:lang w:val="es-ES_tradnl"/>
          <w14:ligatures w14:val="standardContextual"/>
        </w:rPr>
        <w:t>primer momento</w:t>
      </w:r>
      <w:r w:rsidRPr="003B218A">
        <w:rPr>
          <w:rFonts w:ascii="Arial" w:hAnsi="Arial" w:cs="Arial"/>
          <w:lang w:val="es-ES_tradnl"/>
          <w14:ligatures w14:val="standardContextual"/>
        </w:rPr>
        <w:t xml:space="preserve">, antes de la </w:t>
      </w:r>
      <w:proofErr w:type="gramStart"/>
      <w:r w:rsidRPr="003B218A">
        <w:rPr>
          <w:rFonts w:ascii="Arial" w:hAnsi="Arial" w:cs="Arial"/>
          <w:lang w:val="es-ES_tradnl"/>
          <w14:ligatures w14:val="standardContextual"/>
        </w:rPr>
        <w:t>entrada en vigencia</w:t>
      </w:r>
      <w:proofErr w:type="gramEnd"/>
      <w:r w:rsidRPr="003B218A">
        <w:rPr>
          <w:rFonts w:ascii="Arial" w:hAnsi="Arial" w:cs="Arial"/>
          <w:lang w:val="es-ES_tradnl"/>
          <w14:ligatures w14:val="standardContextual"/>
        </w:rPr>
        <w:t xml:space="preserve">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63272DD2" w14:textId="77777777" w:rsidR="003B218A" w:rsidRPr="003B218A" w:rsidRDefault="003B218A" w:rsidP="003B218A">
      <w:pPr>
        <w:spacing w:after="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En un </w:t>
      </w:r>
      <w:r w:rsidRPr="003B218A">
        <w:rPr>
          <w:rFonts w:ascii="Arial" w:hAnsi="Arial" w:cs="Arial"/>
          <w:i/>
          <w:lang w:val="es-ES_tradnl"/>
          <w14:ligatures w14:val="standardContextual"/>
        </w:rPr>
        <w:t>segundo momento</w:t>
      </w:r>
      <w:r w:rsidRPr="003B218A">
        <w:rPr>
          <w:rFonts w:ascii="Arial" w:hAnsi="Arial" w:cs="Arial"/>
          <w:lang w:val="es-ES_tradnl"/>
          <w14:ligatures w14:val="standardContextua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w:t>
      </w:r>
      <w:r w:rsidRPr="003B218A">
        <w:rPr>
          <w:rFonts w:ascii="Arial" w:hAnsi="Arial" w:cs="Arial"/>
          <w:i/>
          <w:iCs/>
          <w:lang w:val="es-ES_tradnl"/>
          <w14:ligatures w14:val="standardContextual"/>
        </w:rPr>
        <w:t>principio de supremacía o prevalencia del derecho sustancial sobre lo procedimental</w:t>
      </w:r>
      <w:r w:rsidRPr="003B218A">
        <w:rPr>
          <w:rFonts w:ascii="Arial" w:hAnsi="Arial" w:cs="Arial"/>
          <w:lang w:val="es-ES_tradnl"/>
          <w14:ligatures w14:val="standardContextual"/>
        </w:rPr>
        <w:t xml:space="preserve">. En este nuevo escenario constitucional, el numeral 15 del artículo 25 de la Ley 80 de 1993 dispuso lo siguiente: </w:t>
      </w:r>
    </w:p>
    <w:p w14:paraId="7115AD00" w14:textId="77777777" w:rsidR="003B218A" w:rsidRPr="003B218A" w:rsidRDefault="003B218A" w:rsidP="003B218A">
      <w:pPr>
        <w:spacing w:after="0" w:line="276" w:lineRule="auto"/>
        <w:ind w:firstLine="709"/>
        <w:jc w:val="both"/>
        <w:rPr>
          <w:rFonts w:ascii="Arial" w:hAnsi="Arial" w:cs="Arial"/>
          <w:lang w:val="es-ES_tradnl"/>
          <w14:ligatures w14:val="standardContextual"/>
        </w:rPr>
      </w:pPr>
    </w:p>
    <w:p w14:paraId="679ABF6D" w14:textId="77777777" w:rsidR="003B218A" w:rsidRPr="003B218A" w:rsidRDefault="003B218A" w:rsidP="003B218A">
      <w:pPr>
        <w:spacing w:after="0" w:line="240" w:lineRule="auto"/>
        <w:ind w:left="709" w:right="709"/>
        <w:contextualSpacing/>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36AE9E20" w14:textId="77777777" w:rsidR="003B218A" w:rsidRPr="003B218A" w:rsidRDefault="003B218A" w:rsidP="003B218A">
      <w:pPr>
        <w:spacing w:after="0" w:line="240" w:lineRule="auto"/>
        <w:ind w:left="709" w:right="709"/>
        <w:contextualSpacing/>
        <w:jc w:val="both"/>
        <w:rPr>
          <w:rFonts w:ascii="Arial" w:hAnsi="Arial" w:cs="Arial"/>
          <w:sz w:val="21"/>
          <w:szCs w:val="21"/>
          <w:lang w:val="es-ES_tradnl"/>
          <w14:ligatures w14:val="standardContextual"/>
        </w:rPr>
      </w:pPr>
    </w:p>
    <w:p w14:paraId="63F5102F" w14:textId="77777777" w:rsidR="003B218A" w:rsidRPr="003B218A" w:rsidRDefault="003B218A" w:rsidP="003B218A">
      <w:pPr>
        <w:spacing w:after="0" w:line="240" w:lineRule="auto"/>
        <w:ind w:left="709" w:right="709"/>
        <w:contextualSpacing/>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 xml:space="preserve">La ausencia de requisitos o la falta de documentos referentes a la futura contratación o al proponente, no necesarios para la comparación de propuestas, no servirá de título suficiente para el rechazo de los ofrecimientos hechos”. </w:t>
      </w:r>
    </w:p>
    <w:p w14:paraId="4B7ABDC1" w14:textId="77777777" w:rsidR="003B218A" w:rsidRPr="003B218A" w:rsidRDefault="003B218A" w:rsidP="003B218A">
      <w:pPr>
        <w:spacing w:after="0" w:line="276" w:lineRule="auto"/>
        <w:ind w:firstLine="709"/>
        <w:jc w:val="both"/>
        <w:rPr>
          <w:rFonts w:ascii="Arial" w:hAnsi="Arial" w:cs="Arial"/>
          <w:lang w:val="es-ES_tradnl"/>
          <w14:ligatures w14:val="standardContextual"/>
        </w:rPr>
      </w:pPr>
    </w:p>
    <w:p w14:paraId="3ECE776B"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1C829B4"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Esta norma debía leerse en conjunto con otras de la Ley 80 de 1993, específicamente con el artículo 30.7</w:t>
      </w:r>
      <w:r w:rsidRPr="003B218A">
        <w:rPr>
          <w:rFonts w:ascii="Arial" w:hAnsi="Arial" w:cs="Arial"/>
          <w:vertAlign w:val="superscript"/>
          <w:lang w:val="es-ES_tradnl"/>
          <w14:ligatures w14:val="standardContextual"/>
        </w:rPr>
        <w:footnoteReference w:id="4"/>
      </w:r>
      <w:r w:rsidRPr="003B218A">
        <w:rPr>
          <w:rFonts w:ascii="Arial" w:hAnsi="Arial" w:cs="Arial"/>
          <w:lang w:val="es-ES_tradnl"/>
          <w14:ligatures w14:val="standardContextual"/>
        </w:rPr>
        <w:t xml:space="preserve">, que ordena a la entidad señalar un plazo razonable para evaluar las propuestas </w:t>
      </w:r>
      <w:r w:rsidRPr="003B218A">
        <w:rPr>
          <w:rFonts w:ascii="Arial" w:hAnsi="Arial" w:cs="Arial"/>
          <w:lang w:val="es-ES_tradnl"/>
          <w14:ligatures w14:val="standardContextual"/>
        </w:rPr>
        <w:lastRenderedPageBreak/>
        <w:t>y para pedir a los proponentes, de ser necesario, que aclaren o expliquen aspectos que ofrezcan dudas y resulten indispensables para llevar a cabo la evaluación; y con el artículo 30.8</w:t>
      </w:r>
      <w:r w:rsidRPr="003B218A">
        <w:rPr>
          <w:rFonts w:ascii="Arial" w:hAnsi="Arial" w:cs="Arial"/>
          <w:vertAlign w:val="superscript"/>
          <w:lang w:val="es-ES_tradnl"/>
          <w14:ligatures w14:val="standardContextual"/>
        </w:rPr>
        <w:footnoteReference w:id="5"/>
      </w:r>
      <w:r w:rsidRPr="003B218A">
        <w:rPr>
          <w:rFonts w:ascii="Arial" w:hAnsi="Arial" w:cs="Arial"/>
          <w:lang w:val="es-ES_tradnl"/>
          <w14:ligatures w14:val="standardContextual"/>
        </w:rPr>
        <w:t xml:space="preserve">, que consagró el término de 5 días hábiles para que los oferentes presenten observaciones al informe de evaluación de las propuestas, sin que sea posible completar, adicionar, modificar o mejorar su oferta.  </w:t>
      </w:r>
    </w:p>
    <w:p w14:paraId="46F48C19"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A partir de la lectura integrada de estas tres normas debía concluirse que con la Ley 80 de 1993 era posible subsanar las propuestas, y la omisión o el error en algún aspecto de </w:t>
      </w:r>
      <w:proofErr w:type="gramStart"/>
      <w:r w:rsidRPr="003B218A">
        <w:rPr>
          <w:rFonts w:ascii="Arial" w:hAnsi="Arial" w:cs="Arial"/>
          <w:lang w:val="es-ES_tradnl"/>
          <w14:ligatures w14:val="standardContextual"/>
        </w:rPr>
        <w:t>la misma</w:t>
      </w:r>
      <w:proofErr w:type="gramEnd"/>
      <w:r w:rsidRPr="003B218A">
        <w:rPr>
          <w:rFonts w:ascii="Arial" w:hAnsi="Arial" w:cs="Arial"/>
          <w:lang w:val="es-ES_tradnl"/>
          <w14:ligatures w14:val="standardContextual"/>
        </w:rPr>
        <w:t xml:space="preserve"> no podía llevar a su rechazo, sin antes verificar que lo omitido fuera un aspecto necesario para la comparación. </w:t>
      </w:r>
    </w:p>
    <w:p w14:paraId="2EAF6D48" w14:textId="77777777" w:rsidR="003B218A" w:rsidRPr="003B218A" w:rsidRDefault="003B218A" w:rsidP="003B218A">
      <w:pPr>
        <w:spacing w:after="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En un </w:t>
      </w:r>
      <w:r w:rsidRPr="003B218A">
        <w:rPr>
          <w:rFonts w:ascii="Arial" w:hAnsi="Arial" w:cs="Arial"/>
          <w:i/>
          <w:lang w:val="es-ES_tradnl"/>
          <w14:ligatures w14:val="standardContextual"/>
        </w:rPr>
        <w:t>tercer momento</w:t>
      </w:r>
      <w:r w:rsidRPr="003B218A">
        <w:rPr>
          <w:rFonts w:ascii="Arial" w:hAnsi="Arial" w:cs="Arial"/>
          <w:lang w:val="es-ES_tradnl"/>
          <w14:ligatures w14:val="standardContextual"/>
        </w:rPr>
        <w:t xml:space="preserve">, siguiendo la línea trazada por la Ley 80 de 1993, el legislador expidió la Ley 1150 de 2007, que, en el parágrafo 1º del artículo 5, determinó lo siguiente: </w:t>
      </w:r>
    </w:p>
    <w:p w14:paraId="1B00209A" w14:textId="77777777" w:rsidR="003B218A" w:rsidRPr="003B218A" w:rsidRDefault="003B218A" w:rsidP="003B218A">
      <w:pPr>
        <w:spacing w:after="0" w:line="276" w:lineRule="auto"/>
        <w:jc w:val="both"/>
        <w:rPr>
          <w:rFonts w:ascii="Arial" w:hAnsi="Arial" w:cs="Arial"/>
          <w:lang w:val="es-ES_tradnl"/>
          <w14:ligatures w14:val="standardContextual"/>
        </w:rPr>
      </w:pPr>
    </w:p>
    <w:p w14:paraId="6EEF6552" w14:textId="77777777" w:rsidR="003B218A" w:rsidRPr="003B218A" w:rsidRDefault="003B218A" w:rsidP="003B218A">
      <w:pPr>
        <w:spacing w:after="0" w:line="240" w:lineRule="auto"/>
        <w:ind w:left="709" w:right="709"/>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3B218A">
        <w:rPr>
          <w:rFonts w:ascii="Arial" w:hAnsi="Arial" w:cs="Arial"/>
          <w:b/>
          <w:sz w:val="21"/>
          <w:szCs w:val="21"/>
          <w:lang w:val="es-ES_tradnl"/>
          <w14:ligatures w14:val="standardContextual"/>
        </w:rPr>
        <w:t xml:space="preserve">, </w:t>
      </w:r>
      <w:r w:rsidRPr="003B218A">
        <w:rPr>
          <w:rFonts w:ascii="Arial" w:hAnsi="Arial" w:cs="Arial"/>
          <w:sz w:val="21"/>
          <w:szCs w:val="21"/>
          <w:lang w:val="es-ES_tradnl"/>
          <w14:ligatures w14:val="standardContextual"/>
        </w:rPr>
        <w:t xml:space="preserve">todos aquellos requisitos de la propuesta que no afecten la asignación de </w:t>
      </w:r>
      <w:proofErr w:type="gramStart"/>
      <w:r w:rsidRPr="003B218A">
        <w:rPr>
          <w:rFonts w:ascii="Arial" w:hAnsi="Arial" w:cs="Arial"/>
          <w:sz w:val="21"/>
          <w:szCs w:val="21"/>
          <w:lang w:val="es-ES_tradnl"/>
          <w14:ligatures w14:val="standardContextual"/>
        </w:rPr>
        <w:t>puntaje,</w:t>
      </w:r>
      <w:proofErr w:type="gramEnd"/>
      <w:r w:rsidRPr="003B218A">
        <w:rPr>
          <w:rFonts w:ascii="Arial" w:hAnsi="Arial" w:cs="Arial"/>
          <w:sz w:val="21"/>
          <w:szCs w:val="21"/>
          <w:lang w:val="es-ES_tradnl"/>
          <w14:ligatures w14:val="standardContextual"/>
        </w:rPr>
        <w:t xml:space="preserve"> podrán ser solicitados por las entidades en cualquier momento, hasta la adjudicación. No </w:t>
      </w:r>
      <w:proofErr w:type="gramStart"/>
      <w:r w:rsidRPr="003B218A">
        <w:rPr>
          <w:rFonts w:ascii="Arial" w:hAnsi="Arial" w:cs="Arial"/>
          <w:sz w:val="21"/>
          <w:szCs w:val="21"/>
          <w:lang w:val="es-ES_tradnl"/>
          <w14:ligatures w14:val="standardContextual"/>
        </w:rPr>
        <w:t>obstante</w:t>
      </w:r>
      <w:proofErr w:type="gramEnd"/>
      <w:r w:rsidRPr="003B218A">
        <w:rPr>
          <w:rFonts w:ascii="Arial" w:hAnsi="Arial" w:cs="Arial"/>
          <w:sz w:val="21"/>
          <w:szCs w:val="21"/>
          <w:lang w:val="es-ES_tradnl"/>
          <w14:ligatures w14:val="standardContextual"/>
        </w:rPr>
        <w:t xml:space="preserve"> lo anterior, en aquellos procesos de selección en los que se utilice el mecanismo de subasta, deberán ser solicitados hasta el momento previo a su realización”. </w:t>
      </w:r>
    </w:p>
    <w:p w14:paraId="710EEF86" w14:textId="77777777" w:rsidR="003B218A" w:rsidRPr="003B218A" w:rsidRDefault="003B218A" w:rsidP="003B218A">
      <w:pPr>
        <w:spacing w:after="0" w:line="276" w:lineRule="auto"/>
        <w:jc w:val="both"/>
        <w:rPr>
          <w:rFonts w:ascii="Arial" w:hAnsi="Arial" w:cs="Arial"/>
          <w:b/>
          <w:lang w:val="es-ES_tradnl"/>
          <w14:ligatures w14:val="standardContextual"/>
        </w:rPr>
      </w:pPr>
    </w:p>
    <w:p w14:paraId="6507E7E1"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7B579AD8"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6ADC5730" w14:textId="77777777" w:rsidR="003B218A" w:rsidRPr="003B218A" w:rsidRDefault="003B218A" w:rsidP="003B218A">
      <w:pPr>
        <w:spacing w:before="120" w:after="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lastRenderedPageBreak/>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2209BD0F" w14:textId="77777777" w:rsidR="003B218A" w:rsidRPr="003B218A" w:rsidRDefault="003B218A" w:rsidP="003B218A">
      <w:pPr>
        <w:spacing w:after="0" w:line="276" w:lineRule="auto"/>
        <w:jc w:val="both"/>
        <w:rPr>
          <w:rFonts w:ascii="Arial" w:hAnsi="Arial" w:cs="Arial"/>
          <w:lang w:val="es-ES_tradnl"/>
          <w14:ligatures w14:val="standardContextual"/>
        </w:rPr>
      </w:pPr>
    </w:p>
    <w:p w14:paraId="6AA69C39" w14:textId="77777777" w:rsidR="003B218A" w:rsidRPr="003B218A" w:rsidRDefault="003B218A" w:rsidP="003B218A">
      <w:pPr>
        <w:spacing w:after="0" w:line="240" w:lineRule="auto"/>
        <w:ind w:left="709" w:right="709"/>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B218A">
        <w:rPr>
          <w:rFonts w:ascii="Arial" w:hAnsi="Arial" w:cs="Arial"/>
          <w:sz w:val="21"/>
          <w:szCs w:val="21"/>
          <w:vertAlign w:val="superscript"/>
          <w:lang w:val="es-ES_tradnl"/>
          <w14:ligatures w14:val="standardContextual"/>
        </w:rPr>
        <w:footnoteReference w:id="6"/>
      </w:r>
      <w:r w:rsidRPr="003B218A">
        <w:rPr>
          <w:rFonts w:ascii="Arial" w:hAnsi="Arial" w:cs="Arial"/>
          <w:sz w:val="21"/>
          <w:szCs w:val="21"/>
          <w:lang w:val="es-ES_tradnl"/>
          <w14:ligatures w14:val="standardContextual"/>
        </w:rPr>
        <w:t>.</w:t>
      </w:r>
    </w:p>
    <w:p w14:paraId="14C42441" w14:textId="77777777" w:rsidR="003B218A" w:rsidRPr="003B218A" w:rsidRDefault="003B218A" w:rsidP="003B218A">
      <w:pPr>
        <w:tabs>
          <w:tab w:val="left" w:pos="284"/>
        </w:tabs>
        <w:spacing w:after="0" w:line="276" w:lineRule="auto"/>
        <w:ind w:firstLine="709"/>
        <w:jc w:val="both"/>
        <w:rPr>
          <w:rFonts w:ascii="Arial" w:hAnsi="Arial" w:cs="Arial"/>
          <w:lang w:val="es-ES_tradnl"/>
          <w14:ligatures w14:val="standardContextual"/>
        </w:rPr>
      </w:pPr>
    </w:p>
    <w:p w14:paraId="43AF9A85" w14:textId="77777777" w:rsidR="003B218A" w:rsidRPr="003B218A" w:rsidRDefault="003B218A" w:rsidP="003B218A">
      <w:pPr>
        <w:tabs>
          <w:tab w:val="left" w:pos="284"/>
        </w:tabs>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Esa interpretación fue compartida por la </w:t>
      </w:r>
      <w:r w:rsidRPr="003B218A">
        <w:rPr>
          <w:rFonts w:ascii="Arial" w:eastAsia="Times New Roman" w:hAnsi="Arial" w:cs="Arial"/>
          <w:lang w:val="es-ES_tradnl" w:eastAsia="es-CO"/>
          <w14:ligatures w14:val="standardContextual"/>
        </w:rPr>
        <w:t>Agencia Nacional de Contratación Pública – Colombia Compra Eficiente</w:t>
      </w:r>
      <w:r w:rsidRPr="003B218A">
        <w:rPr>
          <w:rFonts w:ascii="Arial" w:hAnsi="Arial" w:cs="Arial"/>
          <w:lang w:val="es-ES_tradnl"/>
          <w14:ligatures w14:val="standardContextual"/>
        </w:rPr>
        <w:t xml:space="preserve">, pues en la Circular Externa Única se precisó que, si durante un proceso de contratación hay proponentes que no acreditaron en sus ofertas requisitos que no afectan la asignación de puntaje o la comparación de </w:t>
      </w:r>
      <w:proofErr w:type="gramStart"/>
      <w:r w:rsidRPr="003B218A">
        <w:rPr>
          <w:rFonts w:ascii="Arial" w:hAnsi="Arial" w:cs="Arial"/>
          <w:lang w:val="es-ES_tradnl"/>
          <w14:ligatures w14:val="standardContextual"/>
        </w:rPr>
        <w:t>las mismas</w:t>
      </w:r>
      <w:proofErr w:type="gramEnd"/>
      <w:r w:rsidRPr="003B218A">
        <w:rPr>
          <w:rFonts w:ascii="Arial" w:hAnsi="Arial" w:cs="Arial"/>
          <w:lang w:val="es-ES_tradnl"/>
          <w14:ligatures w14:val="standardContextual"/>
        </w:rPr>
        <w:t>, la entidad estatal deberá indicarlo en el informe de evaluación y advertir que la correspondiente oferta no será evaluada hasta que se subsane.</w:t>
      </w:r>
    </w:p>
    <w:p w14:paraId="42C7B00A" w14:textId="77777777" w:rsidR="003B218A" w:rsidRPr="003B218A" w:rsidRDefault="003B218A" w:rsidP="003B218A">
      <w:pPr>
        <w:tabs>
          <w:tab w:val="left" w:pos="284"/>
        </w:tabs>
        <w:spacing w:after="0" w:line="276" w:lineRule="auto"/>
        <w:ind w:firstLine="709"/>
        <w:jc w:val="both"/>
        <w:rPr>
          <w:rFonts w:ascii="Arial" w:eastAsia="Times New Roman" w:hAnsi="Arial" w:cs="Arial"/>
          <w:lang w:val="es-ES_tradnl" w:eastAsia="es-CO"/>
          <w14:ligatures w14:val="standardContextual"/>
        </w:rPr>
      </w:pPr>
      <w:r w:rsidRPr="003B218A">
        <w:rPr>
          <w:rFonts w:ascii="Arial" w:eastAsia="Times New Roman" w:hAnsi="Arial" w:cs="Arial"/>
          <w:lang w:val="es-ES_tradnl" w:eastAsia="es-CO"/>
          <w14:ligatures w14:val="standardContextual"/>
        </w:rPr>
        <w:t xml:space="preserve">Finalmente, en un </w:t>
      </w:r>
      <w:r w:rsidRPr="003B218A">
        <w:rPr>
          <w:rFonts w:ascii="Arial" w:eastAsia="Times New Roman" w:hAnsi="Arial" w:cs="Arial"/>
          <w:i/>
          <w:lang w:val="es-ES_tradnl" w:eastAsia="es-CO"/>
          <w14:ligatures w14:val="standardContextual"/>
        </w:rPr>
        <w:t>cuarto momento</w:t>
      </w:r>
      <w:r w:rsidRPr="003B218A">
        <w:rPr>
          <w:rFonts w:ascii="Arial" w:eastAsia="Times New Roman" w:hAnsi="Arial" w:cs="Arial"/>
          <w:lang w:val="es-ES_tradnl" w:eastAsia="es-CO"/>
          <w14:ligatures w14:val="standardContextual"/>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01B953AB" w14:textId="77777777" w:rsidR="003B218A" w:rsidRPr="003B218A" w:rsidRDefault="003B218A" w:rsidP="003B218A">
      <w:pPr>
        <w:tabs>
          <w:tab w:val="left" w:pos="284"/>
        </w:tabs>
        <w:spacing w:after="0" w:line="276" w:lineRule="auto"/>
        <w:ind w:firstLine="709"/>
        <w:jc w:val="both"/>
        <w:rPr>
          <w:rFonts w:ascii="Arial" w:hAnsi="Arial" w:cs="Arial"/>
          <w:lang w:val="es-ES_tradnl"/>
          <w14:ligatures w14:val="standardContextual"/>
        </w:rPr>
      </w:pPr>
    </w:p>
    <w:p w14:paraId="3DCB670A" w14:textId="77777777" w:rsidR="003B218A" w:rsidRPr="003B218A" w:rsidRDefault="003B218A" w:rsidP="003B218A">
      <w:pPr>
        <w:spacing w:after="0" w:line="240" w:lineRule="auto"/>
        <w:ind w:left="709" w:right="709"/>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 xml:space="preserve">“Artículo 5°. De la selección objetiva. </w:t>
      </w:r>
    </w:p>
    <w:p w14:paraId="3F3CD303" w14:textId="77777777" w:rsidR="003B218A" w:rsidRPr="003B218A" w:rsidRDefault="003B218A" w:rsidP="003B218A">
      <w:pPr>
        <w:spacing w:after="0" w:line="240" w:lineRule="auto"/>
        <w:ind w:left="709" w:right="709"/>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 ]</w:t>
      </w:r>
    </w:p>
    <w:p w14:paraId="1B77E58C" w14:textId="77777777" w:rsidR="003B218A" w:rsidRPr="003B218A" w:rsidRDefault="003B218A" w:rsidP="003B218A">
      <w:pPr>
        <w:spacing w:after="0" w:line="240" w:lineRule="auto"/>
        <w:ind w:left="709" w:right="709"/>
        <w:jc w:val="both"/>
        <w:rPr>
          <w:rFonts w:ascii="Arial" w:hAnsi="Arial" w:cs="Arial"/>
          <w:sz w:val="21"/>
          <w:szCs w:val="21"/>
          <w:lang w:val="es-ES_tradnl"/>
          <w14:ligatures w14:val="standardContextual"/>
        </w:rPr>
      </w:pPr>
      <w:r w:rsidRPr="003B218A">
        <w:rPr>
          <w:rFonts w:ascii="Arial" w:hAnsi="Arial" w:cs="Arial"/>
          <w:sz w:val="21"/>
          <w:szCs w:val="21"/>
          <w:lang w:val="es-ES_tradnl"/>
          <w14:ligatures w14:val="standardContextua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3B218A">
        <w:rPr>
          <w:rFonts w:ascii="Arial" w:hAnsi="Arial" w:cs="Arial"/>
          <w:sz w:val="21"/>
          <w:szCs w:val="21"/>
          <w:lang w:val="es-ES_tradnl"/>
          <w14:ligatures w14:val="standardContextual"/>
        </w:rPr>
        <w:t>puntaje,</w:t>
      </w:r>
      <w:proofErr w:type="gramEnd"/>
      <w:r w:rsidRPr="003B218A">
        <w:rPr>
          <w:rFonts w:ascii="Arial" w:hAnsi="Arial" w:cs="Arial"/>
          <w:sz w:val="21"/>
          <w:szCs w:val="21"/>
          <w:lang w:val="es-ES_tradnl"/>
          <w14:ligatures w14:val="standardContextua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w:t>
      </w:r>
      <w:r w:rsidRPr="003B218A">
        <w:rPr>
          <w:rFonts w:ascii="Arial" w:hAnsi="Arial" w:cs="Arial"/>
          <w:sz w:val="21"/>
          <w:szCs w:val="21"/>
          <w:lang w:val="es-ES_tradnl"/>
          <w14:ligatures w14:val="standardContextual"/>
        </w:rPr>
        <w:lastRenderedPageBreak/>
        <w:t xml:space="preserve">anteriormente señalado. Durante el término otorgado para subsanar las ofertas, los proponentes no podrán acreditar circunstancias ocurridas con posterioridad al cierre del proceso”. </w:t>
      </w:r>
    </w:p>
    <w:p w14:paraId="61ADDBF6" w14:textId="77777777" w:rsidR="003B218A" w:rsidRPr="003B218A" w:rsidRDefault="003B218A" w:rsidP="003B218A">
      <w:pPr>
        <w:spacing w:after="0" w:line="276" w:lineRule="auto"/>
        <w:ind w:firstLine="709"/>
        <w:jc w:val="both"/>
        <w:rPr>
          <w:rFonts w:ascii="Arial" w:hAnsi="Arial" w:cs="Arial"/>
          <w:lang w:val="es-ES_tradnl"/>
          <w14:ligatures w14:val="standardContextual"/>
        </w:rPr>
      </w:pPr>
    </w:p>
    <w:p w14:paraId="65DC5DBB"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w:t>
      </w:r>
      <w:proofErr w:type="spellStart"/>
      <w:r w:rsidRPr="003B218A">
        <w:rPr>
          <w:rFonts w:ascii="Arial" w:hAnsi="Arial" w:cs="Arial"/>
          <w:lang w:val="es-ES_tradnl"/>
          <w14:ligatures w14:val="standardContextual"/>
        </w:rPr>
        <w:t>ii</w:t>
      </w:r>
      <w:proofErr w:type="spellEnd"/>
      <w:r w:rsidRPr="003B218A">
        <w:rPr>
          <w:rFonts w:ascii="Arial" w:hAnsi="Arial" w:cs="Arial"/>
          <w:lang w:val="es-ES_tradnl"/>
          <w14:ligatures w14:val="standardContextual"/>
        </w:rPr>
        <w:t xml:space="preserve">) mantiene el criterio aclaratorio de la Ley 1150 de 2007, según el cual todo lo que no afecte la asignación de puntaje puede subsanarse y, </w:t>
      </w:r>
      <w:proofErr w:type="spellStart"/>
      <w:r w:rsidRPr="003B218A">
        <w:rPr>
          <w:rFonts w:ascii="Arial" w:hAnsi="Arial" w:cs="Arial"/>
          <w:lang w:val="es-ES_tradnl"/>
          <w14:ligatures w14:val="standardContextual"/>
        </w:rPr>
        <w:t>iii</w:t>
      </w:r>
      <w:proofErr w:type="spellEnd"/>
      <w:r w:rsidRPr="003B218A">
        <w:rPr>
          <w:rFonts w:ascii="Arial" w:hAnsi="Arial" w:cs="Arial"/>
          <w:lang w:val="es-ES_tradnl"/>
          <w14:ligatures w14:val="standardContextual"/>
        </w:rPr>
        <w:t xml:space="preserve">) introduce modificaciones en relación con algunos aspectos que se analizarán a continuación. </w:t>
      </w:r>
    </w:p>
    <w:p w14:paraId="5204C851" w14:textId="77777777" w:rsidR="003B218A" w:rsidRPr="003B218A" w:rsidRDefault="003B218A" w:rsidP="003B218A">
      <w:pPr>
        <w:spacing w:after="120" w:line="276" w:lineRule="auto"/>
        <w:ind w:right="51" w:firstLine="709"/>
        <w:jc w:val="both"/>
        <w:rPr>
          <w:rFonts w:ascii="Arial" w:eastAsia="Calibri" w:hAnsi="Arial" w:cs="Arial"/>
          <w:lang w:val="es-ES_tradnl"/>
          <w14:ligatures w14:val="standardContextual"/>
        </w:rPr>
      </w:pPr>
      <w:r w:rsidRPr="003B218A">
        <w:rPr>
          <w:rFonts w:ascii="Arial" w:hAnsi="Arial" w:cs="Arial"/>
          <w:i/>
          <w:iCs/>
          <w:lang w:val="es-ES_tradnl"/>
          <w14:ligatures w14:val="standardContextual"/>
        </w:rPr>
        <w:t>El primero</w:t>
      </w:r>
      <w:r w:rsidRPr="003B218A">
        <w:rPr>
          <w:rFonts w:ascii="Arial" w:hAnsi="Arial" w:cs="Arial"/>
          <w:lang w:val="es-ES_tradnl"/>
          <w14:ligatures w14:val="standardContextua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3B218A">
        <w:rPr>
          <w:rFonts w:ascii="Arial" w:eastAsia="Calibri" w:hAnsi="Arial" w:cs="Arial"/>
          <w:lang w:val="es-ES_tradnl"/>
          <w14:ligatures w14:val="standardContextual"/>
        </w:rPr>
        <w:t>de selección a través del sistema de subasta</w:t>
      </w:r>
      <w:r w:rsidRPr="003B218A">
        <w:rPr>
          <w:rFonts w:ascii="Arial" w:eastAsia="Calibri" w:hAnsi="Arial" w:cs="Arial"/>
          <w:vertAlign w:val="superscript"/>
          <w:lang w:val="es-ES_tradnl"/>
          <w14:ligatures w14:val="standardContextual"/>
        </w:rPr>
        <w:footnoteReference w:id="7"/>
      </w:r>
      <w:r w:rsidRPr="003B218A">
        <w:rPr>
          <w:rFonts w:ascii="Arial" w:eastAsia="Calibri" w:hAnsi="Arial" w:cs="Arial"/>
          <w:lang w:val="es-ES_tradnl"/>
          <w14:ligatures w14:val="standardContextual"/>
        </w:rPr>
        <w:t>, este último al cual hace referencia en su consulta, y en el que los documentos o requisitos subsanables pueden y deben solicitarse por parte de las entidades estatales, como límite, hasta el momento previo a la celebración de la audiencia, en los términos que se explicarán en el numeral 2.2.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3B218A">
        <w:rPr>
          <w:rFonts w:ascii="Arial" w:eastAsia="Calibri" w:hAnsi="Arial" w:cs="Arial"/>
          <w:vertAlign w:val="superscript"/>
          <w:lang w:val="es-ES_tradnl"/>
          <w14:ligatures w14:val="standardContextual"/>
        </w:rPr>
        <w:footnoteReference w:id="8"/>
      </w:r>
      <w:r w:rsidRPr="003B218A">
        <w:rPr>
          <w:rFonts w:ascii="Arial" w:eastAsia="Calibri" w:hAnsi="Arial" w:cs="Arial"/>
          <w:lang w:val="es-ES_tradnl"/>
          <w14:ligatures w14:val="standardContextual"/>
        </w:rPr>
        <w:t xml:space="preserve">. </w:t>
      </w:r>
    </w:p>
    <w:p w14:paraId="1C85AF28"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eastAsia="Calibri" w:hAnsi="Arial" w:cs="Arial"/>
          <w:lang w:val="es-ES_tradnl"/>
          <w14:ligatures w14:val="standardContextual"/>
        </w:rPr>
        <w:t xml:space="preserve">Frente a la regla general aplicable a los demás procesos de selección, la norma fijó un límite final para que la Administración y los oferentes subsanen los requisitos o documentos que </w:t>
      </w:r>
      <w:r w:rsidRPr="003B218A">
        <w:rPr>
          <w:rFonts w:ascii="Arial" w:eastAsia="Calibri" w:hAnsi="Arial" w:cs="Arial"/>
          <w:lang w:val="es-ES_tradnl"/>
          <w14:ligatures w14:val="standardContextual"/>
        </w:rPr>
        <w:lastRenderedPageBreak/>
        <w:t>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3B218A">
        <w:rPr>
          <w:rFonts w:ascii="Arial" w:hAnsi="Arial" w:cs="Arial"/>
          <w:lang w:val="es-ES_tradnl"/>
          <w14:ligatures w14:val="standardContextual"/>
        </w:rPr>
        <w:t xml:space="preserve">deberán ser solicitados por las entidades estatales y deberán ser entregados por los proponentes hasta el término de traslado del informe de evaluación que corresponda a cada modalidad de selección”. </w:t>
      </w:r>
    </w:p>
    <w:p w14:paraId="4F9D624E"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No obstante, de la lectura de este aparte podrían, en la práctica, darse dos interpretaciones que dan lugar a dos formas de proceder en los procesos de selección, en lo que a la subsanabilidad de las ofertas se refiere: </w:t>
      </w:r>
    </w:p>
    <w:p w14:paraId="63D11CD5"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i) Que la posibilidad para subsanar de los oferentes es el término del traslado del informe de evaluación, ya que es en este documento donde la Administración consigna los requisitos o documentos omitidos que los oferentes deben subsanar, so pena de rechazo;</w:t>
      </w:r>
    </w:p>
    <w:p w14:paraId="684BF0B1"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proofErr w:type="spellStart"/>
      <w:r w:rsidRPr="003B218A">
        <w:rPr>
          <w:rFonts w:ascii="Arial" w:hAnsi="Arial" w:cs="Arial"/>
          <w:lang w:val="es-ES_tradnl"/>
          <w14:ligatures w14:val="standardContextual"/>
        </w:rPr>
        <w:t>ii</w:t>
      </w:r>
      <w:proofErr w:type="spellEnd"/>
      <w:r w:rsidRPr="003B218A">
        <w:rPr>
          <w:rFonts w:ascii="Arial" w:hAnsi="Arial" w:cs="Arial"/>
          <w:lang w:val="es-ES_tradnl"/>
          <w14:ligatures w14:val="standardContextual"/>
        </w:rPr>
        <w:t xml:space="preserve">) Que el término del traslado del informe de evaluación es el </w:t>
      </w:r>
      <w:r w:rsidRPr="003B218A">
        <w:rPr>
          <w:rFonts w:ascii="Arial" w:hAnsi="Arial" w:cs="Arial"/>
          <w:i/>
          <w:iCs/>
          <w:lang w:val="es-ES_tradnl"/>
          <w14:ligatures w14:val="standardContextual"/>
        </w:rPr>
        <w:t>límite</w:t>
      </w:r>
      <w:r w:rsidRPr="003B218A">
        <w:rPr>
          <w:rFonts w:ascii="Arial" w:hAnsi="Arial" w:cs="Arial"/>
          <w:lang w:val="es-ES_tradnl"/>
          <w14:ligatures w14:val="standardContextual"/>
        </w:rPr>
        <w:t xml:space="preserve"> para la subsanación de ofertas, pero no el único momento para hacerlo. </w:t>
      </w:r>
    </w:p>
    <w:p w14:paraId="445DA3EC"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5766649B"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0E2E8047"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las propuestas ya estarán consolidadas en lo formal. Subsanar antes del informe de evaluación ofrece mayor seguridad y certeza al proceso de selección, tanto a la Administración y como a los oferentes. </w:t>
      </w:r>
    </w:p>
    <w:p w14:paraId="28FBE1D6"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 xml:space="preserve">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w:t>
      </w:r>
      <w:r w:rsidRPr="003B218A">
        <w:rPr>
          <w:rFonts w:ascii="Arial" w:hAnsi="Arial" w:cs="Arial"/>
          <w:lang w:val="es-ES_tradnl"/>
          <w14:ligatures w14:val="standardContextual"/>
        </w:rPr>
        <w:lastRenderedPageBreak/>
        <w:t>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62139180"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eastAsia="Calibri" w:hAnsi="Arial" w:cs="Arial"/>
          <w:lang w:val="es-ES_tradnl"/>
          <w14:ligatures w14:val="standardContextual"/>
        </w:rPr>
        <w:t xml:space="preserve">De otro lado, </w:t>
      </w:r>
      <w:r w:rsidRPr="003B218A">
        <w:rPr>
          <w:rFonts w:ascii="Arial" w:eastAsia="Calibri" w:hAnsi="Arial" w:cs="Arial"/>
          <w:i/>
          <w:iCs/>
          <w:lang w:val="es-ES_tradnl"/>
          <w14:ligatures w14:val="standardContextual"/>
        </w:rPr>
        <w:t>el segundo</w:t>
      </w:r>
      <w:r w:rsidRPr="003B218A">
        <w:rPr>
          <w:rFonts w:ascii="Arial" w:eastAsia="Calibri" w:hAnsi="Arial" w:cs="Arial"/>
          <w:lang w:val="es-ES_tradnl"/>
          <w14:ligatures w14:val="standardContextual"/>
        </w:rPr>
        <w:t xml:space="preserve"> cambio importante de la Ley 1882 de 2018 fue la introducción de un criterio material, directamente relacionado con los aspectos subsanables: “</w:t>
      </w:r>
      <w:r w:rsidRPr="003B218A">
        <w:rPr>
          <w:rFonts w:ascii="Arial" w:hAnsi="Arial" w:cs="Arial"/>
          <w:lang w:val="es-ES_tradnl"/>
          <w14:ligatures w14:val="standardContextual"/>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23C1D5A3" w14:textId="77777777" w:rsidR="003B218A" w:rsidRPr="003B218A" w:rsidRDefault="003B218A" w:rsidP="003B218A">
      <w:pPr>
        <w:spacing w:after="120" w:line="276" w:lineRule="auto"/>
        <w:ind w:firstLine="709"/>
        <w:jc w:val="both"/>
        <w:rPr>
          <w:rFonts w:ascii="Arial" w:hAnsi="Arial" w:cs="Arial"/>
          <w:lang w:val="es-ES_tradnl"/>
          <w14:ligatures w14:val="standardContextual"/>
        </w:rPr>
      </w:pPr>
      <w:r w:rsidRPr="003B218A">
        <w:rPr>
          <w:rFonts w:ascii="Arial" w:hAnsi="Arial" w:cs="Arial"/>
          <w:lang w:val="es-ES_tradnl"/>
          <w14:ligatures w14:val="standardContextua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3B218A">
        <w:rPr>
          <w:rFonts w:ascii="Arial" w:hAnsi="Arial" w:cs="Arial"/>
          <w:vertAlign w:val="superscript"/>
          <w:lang w:val="es-ES_tradnl"/>
          <w14:ligatures w14:val="standardContextual"/>
        </w:rPr>
        <w:footnoteReference w:id="9"/>
      </w:r>
      <w:r w:rsidRPr="003B218A">
        <w:rPr>
          <w:rFonts w:ascii="Arial" w:hAnsi="Arial" w:cs="Arial"/>
          <w:lang w:val="es-ES_tradnl"/>
          <w14:ligatures w14:val="standardContextual"/>
        </w:rPr>
        <w:t>.</w:t>
      </w:r>
    </w:p>
    <w:p w14:paraId="5E2D8489" w14:textId="77777777" w:rsidR="003B218A" w:rsidRPr="003B218A" w:rsidRDefault="003B218A" w:rsidP="003B218A">
      <w:pPr>
        <w:spacing w:after="120" w:line="276" w:lineRule="auto"/>
        <w:ind w:firstLine="709"/>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3427010" w14:textId="77777777" w:rsidR="003B218A" w:rsidRPr="003B218A" w:rsidRDefault="003B218A" w:rsidP="003B218A">
      <w:pPr>
        <w:spacing w:after="120" w:line="276" w:lineRule="auto"/>
        <w:ind w:firstLine="709"/>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lastRenderedPageBreak/>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3B218A">
        <w:rPr>
          <w:rFonts w:ascii="Arial" w:eastAsia="Calibri" w:hAnsi="Arial" w:cs="Arial"/>
          <w:vertAlign w:val="superscript"/>
          <w:lang w:val="es-ES_tradnl"/>
          <w14:ligatures w14:val="standardContextual"/>
        </w:rPr>
        <w:footnoteReference w:id="10"/>
      </w:r>
      <w:r w:rsidRPr="003B218A">
        <w:rPr>
          <w:rFonts w:ascii="Arial" w:eastAsia="Calibri" w:hAnsi="Arial" w:cs="Arial"/>
          <w:lang w:val="es-ES_tradnl"/>
          <w14:ligatures w14:val="standardContextual"/>
        </w:rPr>
        <w:t xml:space="preserve">. </w:t>
      </w:r>
    </w:p>
    <w:p w14:paraId="76D1C5B0" w14:textId="77777777" w:rsidR="003B218A" w:rsidRPr="003B218A" w:rsidRDefault="003B218A" w:rsidP="003B218A">
      <w:pPr>
        <w:spacing w:after="120" w:line="276" w:lineRule="auto"/>
        <w:ind w:firstLine="709"/>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w:t>
      </w:r>
      <w:proofErr w:type="spellStart"/>
      <w:r w:rsidRPr="003B218A">
        <w:rPr>
          <w:rFonts w:ascii="Arial" w:eastAsia="Calibri" w:hAnsi="Arial" w:cs="Arial"/>
          <w:lang w:val="es-ES_tradnl"/>
          <w14:ligatures w14:val="standardContextual"/>
        </w:rPr>
        <w:t>esta</w:t>
      </w:r>
      <w:proofErr w:type="spellEnd"/>
      <w:r w:rsidRPr="003B218A">
        <w:rPr>
          <w:rFonts w:ascii="Arial" w:eastAsia="Calibri" w:hAnsi="Arial" w:cs="Arial"/>
          <w:lang w:val="es-ES_tradnl"/>
          <w14:ligatures w14:val="standardContextual"/>
        </w:rPr>
        <w:t xml:space="preserve"> en firme para dicho momento; </w:t>
      </w:r>
      <w:proofErr w:type="spellStart"/>
      <w:r w:rsidRPr="003B218A">
        <w:rPr>
          <w:rFonts w:ascii="Arial" w:eastAsia="Calibri" w:hAnsi="Arial" w:cs="Arial"/>
          <w:lang w:val="es-ES_tradnl"/>
          <w14:ligatures w14:val="standardContextual"/>
        </w:rPr>
        <w:t>ii</w:t>
      </w:r>
      <w:proofErr w:type="spellEnd"/>
      <w:r w:rsidRPr="003B218A">
        <w:rPr>
          <w:rFonts w:ascii="Arial" w:eastAsia="Calibri" w:hAnsi="Arial" w:cs="Arial"/>
          <w:lang w:val="es-ES_tradnl"/>
          <w14:ligatures w14:val="standardContextua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B218A">
        <w:rPr>
          <w:rFonts w:ascii="Arial" w:eastAsia="Calibri" w:hAnsi="Arial" w:cs="Arial"/>
          <w:vertAlign w:val="superscript"/>
          <w:lang w:val="es-ES_tradnl"/>
          <w14:ligatures w14:val="standardContextual"/>
        </w:rPr>
        <w:footnoteReference w:id="11"/>
      </w:r>
      <w:r w:rsidRPr="003B218A">
        <w:rPr>
          <w:rFonts w:ascii="Arial" w:eastAsia="Calibri" w:hAnsi="Arial" w:cs="Arial"/>
          <w:lang w:val="es-ES_tradnl"/>
          <w14:ligatures w14:val="standardContextual"/>
        </w:rPr>
        <w:t xml:space="preserve">; </w:t>
      </w:r>
      <w:proofErr w:type="spellStart"/>
      <w:r w:rsidRPr="003B218A">
        <w:rPr>
          <w:rFonts w:ascii="Arial" w:eastAsia="Calibri" w:hAnsi="Arial" w:cs="Arial"/>
          <w:lang w:val="es-ES_tradnl"/>
          <w14:ligatures w14:val="standardContextual"/>
        </w:rPr>
        <w:t>iii</w:t>
      </w:r>
      <w:proofErr w:type="spellEnd"/>
      <w:r w:rsidRPr="003B218A">
        <w:rPr>
          <w:rFonts w:ascii="Arial" w:eastAsia="Calibri" w:hAnsi="Arial" w:cs="Arial"/>
          <w:lang w:val="es-ES_tradnl"/>
          <w14:ligatures w14:val="standardContextual"/>
        </w:rPr>
        <w:t>) si un oferente no anexó el Certificado de Existencia y Representación Legal, el documento aportado con posterioridad debe dar cuenta de que la sociedad existía antes del cierre del proceso</w:t>
      </w:r>
      <w:r w:rsidRPr="003B218A">
        <w:rPr>
          <w:rFonts w:ascii="Arial" w:eastAsia="Calibri" w:hAnsi="Arial" w:cs="Arial"/>
          <w:vertAlign w:val="superscript"/>
          <w:lang w:val="es-ES_tradnl"/>
          <w14:ligatures w14:val="standardContextual"/>
        </w:rPr>
        <w:footnoteReference w:id="12"/>
      </w:r>
      <w:r w:rsidRPr="003B218A">
        <w:rPr>
          <w:rFonts w:ascii="Arial" w:eastAsia="Calibri" w:hAnsi="Arial" w:cs="Arial"/>
          <w:lang w:val="es-ES_tradnl"/>
          <w14:ligatures w14:val="standardContextual"/>
        </w:rPr>
        <w:t xml:space="preserve">; </w:t>
      </w:r>
      <w:proofErr w:type="spellStart"/>
      <w:r w:rsidRPr="003B218A">
        <w:rPr>
          <w:rFonts w:ascii="Arial" w:eastAsia="Calibri" w:hAnsi="Arial" w:cs="Arial"/>
          <w:lang w:val="es-ES_tradnl"/>
          <w14:ligatures w14:val="standardContextual"/>
        </w:rPr>
        <w:t>iv</w:t>
      </w:r>
      <w:proofErr w:type="spellEnd"/>
      <w:r w:rsidRPr="003B218A">
        <w:rPr>
          <w:rFonts w:ascii="Arial" w:eastAsia="Calibri" w:hAnsi="Arial" w:cs="Arial"/>
          <w:lang w:val="es-ES_tradnl"/>
          <w14:ligatures w14:val="standardContextua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w:t>
      </w:r>
      <w:r w:rsidRPr="003B218A">
        <w:rPr>
          <w:rFonts w:ascii="Arial" w:eastAsia="Calibri" w:hAnsi="Arial" w:cs="Arial"/>
          <w:lang w:val="es-ES_tradnl"/>
          <w14:ligatures w14:val="standardContextual"/>
        </w:rPr>
        <w:lastRenderedPageBreak/>
        <w:t xml:space="preserve">puede subsanar sin que con ello se entienda que acreditó una circunstancia ocurrida con posterioridad al cierre del proceso. </w:t>
      </w:r>
    </w:p>
    <w:p w14:paraId="6899F3C3" w14:textId="77777777" w:rsidR="003B218A" w:rsidRPr="003B218A" w:rsidRDefault="003B218A" w:rsidP="003B218A">
      <w:pPr>
        <w:spacing w:after="120" w:line="276" w:lineRule="auto"/>
        <w:ind w:firstLine="709"/>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3B218A">
        <w:rPr>
          <w:rFonts w:ascii="Arial" w:eastAsia="Calibri" w:hAnsi="Arial" w:cs="Arial"/>
          <w:lang w:val="es-ES_tradnl"/>
          <w14:ligatures w14:val="standardContextual"/>
        </w:rPr>
        <w:t>que</w:t>
      </w:r>
      <w:proofErr w:type="gramEnd"/>
      <w:r w:rsidRPr="003B218A">
        <w:rPr>
          <w:rFonts w:ascii="Arial" w:eastAsia="Calibri" w:hAnsi="Arial" w:cs="Arial"/>
          <w:lang w:val="es-ES_tradnl"/>
          <w14:ligatures w14:val="standardContextua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B218A">
        <w:rPr>
          <w:rFonts w:ascii="Arial" w:eastAsia="Calibri" w:hAnsi="Arial" w:cs="Arial"/>
          <w:vertAlign w:val="superscript"/>
          <w:lang w:val="es-ES_tradnl"/>
          <w14:ligatures w14:val="standardContextual"/>
        </w:rPr>
        <w:footnoteReference w:id="13"/>
      </w:r>
      <w:r w:rsidRPr="003B218A">
        <w:rPr>
          <w:rFonts w:ascii="Arial" w:eastAsia="Calibri" w:hAnsi="Arial" w:cs="Arial"/>
          <w:lang w:val="es-ES_tradnl"/>
          <w14:ligatures w14:val="standardContextual"/>
        </w:rPr>
        <w:t xml:space="preserve">. </w:t>
      </w:r>
    </w:p>
    <w:p w14:paraId="75295F5F" w14:textId="77777777" w:rsidR="003B218A" w:rsidRPr="003B218A" w:rsidRDefault="003B218A" w:rsidP="003B218A">
      <w:pPr>
        <w:spacing w:after="120" w:line="276" w:lineRule="auto"/>
        <w:ind w:firstLine="709"/>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4F3CB00E" w14:textId="77777777" w:rsidR="003B218A" w:rsidRPr="003B218A" w:rsidRDefault="003B218A" w:rsidP="003B218A">
      <w:pPr>
        <w:spacing w:before="120" w:after="0" w:line="276" w:lineRule="auto"/>
        <w:ind w:firstLine="709"/>
        <w:jc w:val="both"/>
        <w:rPr>
          <w:rFonts w:ascii="Arial" w:eastAsia="Calibri" w:hAnsi="Arial" w:cs="Arial"/>
          <w:lang w:val="es-ES_tradnl"/>
          <w14:ligatures w14:val="standardContextual"/>
        </w:rPr>
      </w:pPr>
      <w:r w:rsidRPr="003B218A">
        <w:rPr>
          <w:rFonts w:ascii="Arial" w:eastAsia="Calibri" w:hAnsi="Arial" w:cs="Arial"/>
          <w:lang w:val="es-ES_tradnl"/>
          <w14:ligatures w14:val="standardContextual"/>
        </w:rPr>
        <w:t>De acuerdo con lo expuesto en torno a la subsanabilidad de las ofertas</w:t>
      </w:r>
      <w:r w:rsidRPr="003B218A">
        <w:rPr>
          <w:rFonts w:ascii="Arial" w:eastAsia="Times New Roman" w:hAnsi="Arial" w:cs="Arial"/>
          <w:szCs w:val="24"/>
          <w:lang w:eastAsia="es-ES_tradnl"/>
          <w14:ligatures w14:val="standardContextual"/>
        </w:rPr>
        <w:t xml:space="preserve"> y teniendo en cuenta las reglas dispuestas en </w:t>
      </w:r>
      <w:r w:rsidRPr="003B218A">
        <w:rPr>
          <w:rFonts w:ascii="Arial" w:eastAsia="Calibri" w:hAnsi="Arial" w:cs="Arial"/>
          <w:lang w:val="es-ES_tradnl"/>
          <w14:ligatures w14:val="standardContextual"/>
        </w:rPr>
        <w:t xml:space="preserve">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 Además, se precisa que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 </w:t>
      </w:r>
    </w:p>
    <w:p w14:paraId="663ADC54" w14:textId="77777777" w:rsidR="003B218A" w:rsidRPr="003B218A" w:rsidRDefault="003B218A" w:rsidP="003B218A">
      <w:pPr>
        <w:autoSpaceDE w:val="0"/>
        <w:autoSpaceDN w:val="0"/>
        <w:adjustRightInd w:val="0"/>
        <w:spacing w:after="0" w:line="276" w:lineRule="auto"/>
        <w:jc w:val="both"/>
        <w:rPr>
          <w:rFonts w:ascii="Arial" w:eastAsia="Calibri" w:hAnsi="Arial" w:cs="Arial"/>
          <w:b/>
          <w:bCs/>
          <w:lang w:val="es-ES_tradnl"/>
          <w14:ligatures w14:val="standardContextual"/>
        </w:rPr>
      </w:pPr>
    </w:p>
    <w:p w14:paraId="7B237B26" w14:textId="77777777" w:rsidR="003B218A" w:rsidRPr="003B218A" w:rsidRDefault="003B218A" w:rsidP="003B218A">
      <w:pPr>
        <w:spacing w:after="0" w:line="276" w:lineRule="auto"/>
        <w:jc w:val="both"/>
        <w:rPr>
          <w:rFonts w:ascii="Arial" w:eastAsia="Calibri" w:hAnsi="Arial" w:cs="Arial"/>
          <w:b/>
          <w:bCs/>
          <w:szCs w:val="24"/>
          <w:lang w:val="es-ES_tradnl" w:eastAsia="es-ES_tradnl"/>
          <w14:ligatures w14:val="standardContextual"/>
        </w:rPr>
      </w:pPr>
      <w:r w:rsidRPr="003B218A">
        <w:rPr>
          <w:rFonts w:ascii="Arial" w:hAnsi="Arial" w:cs="Arial"/>
          <w:b/>
          <w:bCs/>
          <w:lang w:val="es-MX"/>
          <w14:ligatures w14:val="standardContextual"/>
        </w:rPr>
        <w:lastRenderedPageBreak/>
        <w:t xml:space="preserve">2.2. </w:t>
      </w:r>
      <w:r w:rsidRPr="003B218A">
        <w:rPr>
          <w:rFonts w:ascii="Arial" w:eastAsia="Calibri" w:hAnsi="Arial" w:cs="Arial"/>
          <w:b/>
          <w:bCs/>
          <w:szCs w:val="24"/>
          <w:lang w:val="es-ES_tradnl" w:eastAsia="es-ES_tradnl"/>
          <w14:ligatures w14:val="standardContextual"/>
        </w:rPr>
        <w:t>La regla de subsanabilidad en procedimientos en que se utilice el mecanismo de subasta</w:t>
      </w:r>
    </w:p>
    <w:p w14:paraId="1B384B95" w14:textId="77777777" w:rsidR="003B218A" w:rsidRPr="003B218A" w:rsidRDefault="003B218A" w:rsidP="003B218A">
      <w:pPr>
        <w:autoSpaceDE w:val="0"/>
        <w:autoSpaceDN w:val="0"/>
        <w:adjustRightInd w:val="0"/>
        <w:spacing w:after="0" w:line="276" w:lineRule="auto"/>
        <w:jc w:val="both"/>
        <w:rPr>
          <w:rFonts w:ascii="Arial" w:hAnsi="Arial" w:cs="Arial"/>
          <w:b/>
          <w:bCs/>
          <w:lang w:val="es-MX"/>
          <w14:ligatures w14:val="standardContextual"/>
        </w:rPr>
      </w:pPr>
      <w:r w:rsidRPr="003B218A">
        <w:rPr>
          <w:rFonts w:ascii="Arial" w:hAnsi="Arial" w:cs="Arial"/>
          <w:b/>
          <w:bCs/>
          <w:lang w:val="es-MX"/>
          <w14:ligatures w14:val="standardContextual"/>
        </w:rPr>
        <w:t xml:space="preserve"> </w:t>
      </w:r>
    </w:p>
    <w:p w14:paraId="59B84076" w14:textId="77777777" w:rsidR="003B218A" w:rsidRPr="003B218A" w:rsidRDefault="003B218A" w:rsidP="003B218A">
      <w:pPr>
        <w:autoSpaceDE w:val="0"/>
        <w:autoSpaceDN w:val="0"/>
        <w:adjustRightInd w:val="0"/>
        <w:spacing w:after="120" w:line="276" w:lineRule="auto"/>
        <w:jc w:val="both"/>
        <w:rPr>
          <w:rFonts w:ascii="Arial" w:hAnsi="Arial" w:cs="Arial"/>
          <w:lang w:val="es-MX"/>
          <w14:ligatures w14:val="standardContextual"/>
        </w:rPr>
      </w:pPr>
      <w:r w:rsidRPr="003B218A">
        <w:rPr>
          <w:rFonts w:ascii="Arial" w:hAnsi="Arial" w:cs="Arial"/>
          <w:lang w:val="es-MX"/>
          <w14:ligatures w14:val="standardContextual"/>
        </w:rPr>
        <w:t>La subasta inversa es un mecanismo que se concibió con la finalidad de introducir una metodología alternativa para el proceso de negociación y perfeccionamiento del contrato estatal. Su regulación se encuentra en el artículo 2 de la Ley 1150 de 2007, en donde se indica que la figura tiene como finalidad confrontar, de manera dinámica, las distintas ofertas que pueden presentarse para los procesos de licitación pública, para los procesos de selección abreviada que tienen por finalidad la adquisición de bienes y servicios de características técnicas uniformes y de común utilización, y en los procesos de enajenación de bienes del Estado</w:t>
      </w:r>
      <w:r w:rsidRPr="003B218A">
        <w:rPr>
          <w:rFonts w:ascii="Arial" w:hAnsi="Arial" w:cs="Arial"/>
          <w:vertAlign w:val="superscript"/>
          <w:lang w:val="es-MX"/>
          <w14:ligatures w14:val="standardContextual"/>
        </w:rPr>
        <w:footnoteReference w:id="14"/>
      </w:r>
      <w:r w:rsidRPr="003B218A">
        <w:rPr>
          <w:rFonts w:ascii="Arial" w:hAnsi="Arial" w:cs="Arial"/>
          <w:lang w:val="es-MX"/>
          <w14:ligatures w14:val="standardContextual"/>
        </w:rPr>
        <w:t>.  </w:t>
      </w:r>
    </w:p>
    <w:p w14:paraId="0C8DC497" w14:textId="77777777" w:rsidR="003B218A" w:rsidRPr="003B218A" w:rsidRDefault="003B218A" w:rsidP="003B218A">
      <w:pPr>
        <w:autoSpaceDE w:val="0"/>
        <w:autoSpaceDN w:val="0"/>
        <w:adjustRightInd w:val="0"/>
        <w:spacing w:after="120" w:line="276" w:lineRule="auto"/>
        <w:ind w:firstLine="709"/>
        <w:jc w:val="both"/>
        <w:rPr>
          <w:rFonts w:ascii="Arial" w:hAnsi="Arial" w:cs="Arial"/>
          <w:lang w:val="es-MX"/>
          <w14:ligatures w14:val="standardContextual"/>
        </w:rPr>
      </w:pPr>
      <w:r w:rsidRPr="003B218A">
        <w:rPr>
          <w:rFonts w:ascii="Arial" w:hAnsi="Arial" w:cs="Arial"/>
          <w:lang w:val="es-MX"/>
          <w14:ligatures w14:val="standardContextual"/>
        </w:rPr>
        <w:t xml:space="preserve">En este contexto, la doctrina ha señalado que “se entiende por subasta inversa para la presentación de la oferta, la puja dinámica, mediante la cual los oferentes, durante un tiempo </w:t>
      </w:r>
      <w:r w:rsidRPr="003B218A">
        <w:rPr>
          <w:rFonts w:ascii="Arial" w:hAnsi="Arial" w:cs="Arial"/>
          <w:lang w:val="es-MX"/>
          <w14:ligatures w14:val="standardContextual"/>
        </w:rPr>
        <w:lastRenderedPageBreak/>
        <w:t>determinado, ajustan su oferta respecto de aquellas variables susceptibles de ser mejoradas, con el fin de lograr el ofrecimiento que representa la mejor relación costo-beneficio para la entidad, de acuerdo con lo señalado en el pliego de condiciones”</w:t>
      </w:r>
      <w:r w:rsidRPr="003B218A">
        <w:rPr>
          <w:rFonts w:ascii="Arial" w:hAnsi="Arial" w:cs="Arial"/>
          <w:vertAlign w:val="superscript"/>
          <w:lang w:val="es-MX"/>
          <w14:ligatures w14:val="standardContextual"/>
        </w:rPr>
        <w:footnoteReference w:id="15"/>
      </w:r>
      <w:r w:rsidRPr="003B218A">
        <w:rPr>
          <w:rFonts w:ascii="Arial" w:hAnsi="Arial" w:cs="Arial"/>
          <w:lang w:val="es-MX"/>
          <w14:ligatures w14:val="standardContextual"/>
        </w:rPr>
        <w:t>.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Pr="003B218A">
        <w:rPr>
          <w:rFonts w:ascii="Arial" w:hAnsi="Arial" w:cs="Arial"/>
          <w:vertAlign w:val="superscript"/>
          <w:lang w:val="es-MX"/>
          <w14:ligatures w14:val="standardContextual"/>
        </w:rPr>
        <w:footnoteReference w:id="16"/>
      </w:r>
      <w:r w:rsidRPr="003B218A">
        <w:rPr>
          <w:rFonts w:ascii="Arial" w:hAnsi="Arial" w:cs="Arial"/>
          <w:lang w:val="es-MX"/>
          <w14:ligatures w14:val="standardContextual"/>
        </w:rPr>
        <w:t>.  </w:t>
      </w:r>
    </w:p>
    <w:p w14:paraId="35BB808A" w14:textId="77777777" w:rsidR="003B218A" w:rsidRPr="003B218A" w:rsidRDefault="003B218A" w:rsidP="003B218A">
      <w:pPr>
        <w:spacing w:before="120" w:after="0" w:line="276" w:lineRule="auto"/>
        <w:ind w:firstLine="709"/>
        <w:jc w:val="both"/>
        <w:rPr>
          <w:rFonts w:ascii="Arial" w:eastAsia="Times New Roman" w:hAnsi="Arial" w:cs="Arial"/>
          <w:szCs w:val="24"/>
          <w:lang w:val="es-ES_tradnl" w:eastAsia="es-ES_tradnl"/>
          <w14:ligatures w14:val="standardContextual"/>
        </w:rPr>
      </w:pPr>
      <w:bookmarkStart w:id="1" w:name="_Hlk41921892"/>
      <w:r w:rsidRPr="003B218A">
        <w:rPr>
          <w:rFonts w:ascii="Arial" w:eastAsia="Times New Roman" w:hAnsi="Arial" w:cs="Arial"/>
          <w:szCs w:val="24"/>
          <w:lang w:val="es-ES_tradnl" w:eastAsia="es-ES_tradnl"/>
          <w14:ligatures w14:val="standardContextual"/>
        </w:rPr>
        <w:t xml:space="preserve">Ahora bien, como se indicó en el acápite anterior, la regla general respecto a la oportunidad para subsanar tiene como excepción, entre otras cosas, el término especial establecido en los procesos de selección en los que se utilice el mecanismo de subasta inversa, para lo cual el artículo 5 de la Ley 1882 de 2018, adicionó el parágrafo 4 al artículo 5 de la Ley 1150 de 2007, en donde se precisa esta regla en los siguientes términos:  </w:t>
      </w:r>
    </w:p>
    <w:p w14:paraId="753F03FF" w14:textId="77777777" w:rsidR="003B218A" w:rsidRPr="003B218A" w:rsidRDefault="003B218A" w:rsidP="003B218A">
      <w:pPr>
        <w:spacing w:after="0" w:line="276" w:lineRule="auto"/>
        <w:ind w:left="709" w:right="709"/>
        <w:jc w:val="both"/>
        <w:rPr>
          <w:rFonts w:ascii="Arial" w:eastAsia="Times New Roman" w:hAnsi="Arial" w:cs="Arial"/>
          <w:b/>
          <w:bCs/>
          <w:color w:val="000000"/>
          <w:sz w:val="21"/>
          <w:szCs w:val="21"/>
          <w:lang w:eastAsia="es-ES_tradnl"/>
          <w14:ligatures w14:val="standardContextual"/>
        </w:rPr>
      </w:pPr>
    </w:p>
    <w:p w14:paraId="0D8953FD" w14:textId="77777777" w:rsidR="003B218A" w:rsidRPr="003B218A" w:rsidRDefault="003B218A" w:rsidP="003B218A">
      <w:pPr>
        <w:spacing w:after="0" w:line="240" w:lineRule="auto"/>
        <w:ind w:left="709" w:right="709"/>
        <w:jc w:val="both"/>
        <w:rPr>
          <w:rFonts w:ascii="Arial" w:eastAsia="Times New Roman" w:hAnsi="Arial" w:cs="Arial"/>
          <w:color w:val="000000"/>
          <w:sz w:val="21"/>
          <w:szCs w:val="21"/>
          <w:lang w:eastAsia="es-ES_tradnl"/>
          <w14:ligatures w14:val="standardContextual"/>
        </w:rPr>
      </w:pPr>
      <w:r w:rsidRPr="003B218A">
        <w:rPr>
          <w:rFonts w:ascii="Arial" w:eastAsia="Times New Roman" w:hAnsi="Arial" w:cs="Arial"/>
          <w:b/>
          <w:bCs/>
          <w:color w:val="000000"/>
          <w:sz w:val="21"/>
          <w:szCs w:val="21"/>
          <w:lang w:eastAsia="es-ES_tradnl"/>
          <w14:ligatures w14:val="standardContextual"/>
        </w:rPr>
        <w:t>“Parágrafo 4°. </w:t>
      </w:r>
      <w:r w:rsidRPr="003B218A">
        <w:rPr>
          <w:rFonts w:ascii="Arial" w:eastAsia="Times New Roman" w:hAnsi="Arial" w:cs="Arial"/>
          <w:color w:val="000000"/>
          <w:sz w:val="21"/>
          <w:szCs w:val="21"/>
          <w:lang w:eastAsia="es-ES_tradnl"/>
          <w14:ligatures w14:val="standardContextual"/>
        </w:rPr>
        <w:t xml:space="preserve">En aquellos procesos de selección en los que se utilice el mecanismo de subasta, los documentos referentes a la futura contratación o al proponente, no necesarios para la comparación de las propuestas, </w:t>
      </w:r>
      <w:r w:rsidRPr="003B218A">
        <w:rPr>
          <w:rFonts w:ascii="Arial" w:eastAsia="Times New Roman" w:hAnsi="Arial" w:cs="Arial"/>
          <w:i/>
          <w:iCs/>
          <w:color w:val="000000"/>
          <w:sz w:val="21"/>
          <w:szCs w:val="21"/>
          <w:lang w:eastAsia="es-ES_tradnl"/>
          <w14:ligatures w14:val="standardContextual"/>
        </w:rPr>
        <w:t>deberán ser solicitados</w:t>
      </w:r>
      <w:r w:rsidRPr="003B218A">
        <w:rPr>
          <w:rFonts w:ascii="Arial" w:eastAsia="Times New Roman" w:hAnsi="Arial" w:cs="Arial"/>
          <w:color w:val="000000"/>
          <w:sz w:val="21"/>
          <w:szCs w:val="21"/>
          <w:lang w:eastAsia="es-ES_tradnl"/>
          <w14:ligatures w14:val="standardContextual"/>
        </w:rPr>
        <w:t xml:space="preserve"> hasta el momento previo a su realización (Cursiva fuera de texto)”. </w:t>
      </w:r>
    </w:p>
    <w:p w14:paraId="6867B83F" w14:textId="77777777" w:rsidR="003B218A" w:rsidRPr="003B218A" w:rsidRDefault="003B218A" w:rsidP="003B218A">
      <w:pPr>
        <w:spacing w:after="0" w:line="276" w:lineRule="auto"/>
        <w:ind w:left="709" w:right="709"/>
        <w:jc w:val="both"/>
        <w:rPr>
          <w:rFonts w:ascii="Arial" w:eastAsia="Times New Roman" w:hAnsi="Arial" w:cs="Arial"/>
          <w:color w:val="000000"/>
          <w:lang w:eastAsia="es-ES_tradnl"/>
          <w14:ligatures w14:val="standardContextual"/>
        </w:rPr>
      </w:pPr>
    </w:p>
    <w:p w14:paraId="6E143096" w14:textId="77777777" w:rsidR="003B218A" w:rsidRPr="003B218A" w:rsidRDefault="003B218A" w:rsidP="003B218A">
      <w:pPr>
        <w:spacing w:after="120" w:line="276" w:lineRule="auto"/>
        <w:ind w:right="51"/>
        <w:jc w:val="both"/>
        <w:rPr>
          <w:rFonts w:ascii="Arial" w:eastAsia="Times New Roman" w:hAnsi="Arial" w:cs="Arial"/>
          <w:color w:val="000000"/>
          <w:szCs w:val="24"/>
          <w:lang w:eastAsia="es-ES_tradnl"/>
          <w14:ligatures w14:val="standardContextual"/>
        </w:rPr>
      </w:pPr>
      <w:r w:rsidRPr="003B218A">
        <w:rPr>
          <w:rFonts w:ascii="Arial" w:eastAsia="Times New Roman" w:hAnsi="Arial" w:cs="Arial"/>
          <w:color w:val="000000"/>
          <w:szCs w:val="24"/>
          <w:lang w:eastAsia="es-ES_tradnl"/>
          <w14:ligatures w14:val="standardContextual"/>
        </w:rPr>
        <w:tab/>
        <w:t>Tal como se expresó en los conceptos C-267 y C-283 del 5 de mayo de 2020, si se analiza la norma transcrita, no es difícil llegar a la conclusión relativa a que esta contiene una regla muy parecida respecto a la oportunidad para subsanar en los procesos de subasta, a la contenida en la parte final del inciso primero del artículo 5 de la Ley 1150 de 2007, antes de ser modificada por la Ley 1882 de 2018, siendo en esencia la misma, con la precisión adicional respecto de los documentos susceptibles de subsanación. Esta regla cosiste en la fijación del momento previo al inicio de la audiencia de subasta, como el tiempo límite para que se solicite la subsanación de los documentos faltantes hasta entonces no presentados por los proponentes o, en general, susceptibles de subsanarse.</w:t>
      </w:r>
    </w:p>
    <w:p w14:paraId="1798D352" w14:textId="77777777" w:rsidR="003B218A" w:rsidRPr="003B218A" w:rsidRDefault="003B218A" w:rsidP="003B218A">
      <w:pPr>
        <w:spacing w:after="0" w:line="276" w:lineRule="auto"/>
        <w:ind w:right="51"/>
        <w:jc w:val="both"/>
        <w:rPr>
          <w:rFonts w:ascii="Arial" w:eastAsia="Times New Roman" w:hAnsi="Arial" w:cs="Arial"/>
          <w:color w:val="000000"/>
          <w:szCs w:val="24"/>
          <w:lang w:eastAsia="es-ES_tradnl"/>
          <w14:ligatures w14:val="standardContextual"/>
        </w:rPr>
      </w:pPr>
      <w:r w:rsidRPr="003B218A">
        <w:rPr>
          <w:rFonts w:ascii="Arial" w:eastAsia="Times New Roman" w:hAnsi="Arial" w:cs="Arial"/>
          <w:color w:val="000000"/>
          <w:szCs w:val="24"/>
          <w:lang w:eastAsia="es-ES_tradnl"/>
          <w14:ligatures w14:val="standardContextual"/>
        </w:rPr>
        <w:tab/>
        <w:t xml:space="preserve">De esta manera, a juicio de esta Subdirección, lo que supone dicha regulación no es que los proponentes tengan la facultad de presentar los documentos referentes a la futura contratación no necesarios para la comparación de las propuestas en cualquier momento anterior al inicio de la subasta, o que estén habilitados para retener tal documentación hasta dicho momento, ya lo que hace el parágrafo 4° </w:t>
      </w:r>
      <w:r w:rsidRPr="003B218A">
        <w:rPr>
          <w:rFonts w:ascii="Arial" w:eastAsia="Times New Roman" w:hAnsi="Arial" w:cs="Arial"/>
          <w:i/>
          <w:iCs/>
          <w:color w:val="000000"/>
          <w:szCs w:val="24"/>
          <w:lang w:eastAsia="es-ES_tradnl"/>
          <w14:ligatures w14:val="standardContextual"/>
        </w:rPr>
        <w:t xml:space="preserve">Ibídem </w:t>
      </w:r>
      <w:r w:rsidRPr="003B218A">
        <w:rPr>
          <w:rFonts w:ascii="Arial" w:eastAsia="Times New Roman" w:hAnsi="Arial" w:cs="Arial"/>
          <w:color w:val="000000"/>
          <w:szCs w:val="24"/>
          <w:lang w:eastAsia="es-ES_tradnl"/>
          <w14:ligatures w14:val="standardContextual"/>
        </w:rPr>
        <w:t xml:space="preserve">es fijar el momento hasta el cual las respectivas entidades pueden requerir a los proponentes la subsanación de los documentos faltantes. Lo </w:t>
      </w:r>
      <w:r w:rsidRPr="003B218A">
        <w:rPr>
          <w:rFonts w:ascii="Arial" w:eastAsia="Times New Roman" w:hAnsi="Arial" w:cs="Arial"/>
          <w:color w:val="000000"/>
          <w:szCs w:val="24"/>
          <w:lang w:eastAsia="es-ES_tradnl"/>
          <w14:ligatures w14:val="standardContextual"/>
        </w:rPr>
        <w:lastRenderedPageBreak/>
        <w:t>anterior, fue aclarado por la Sección Tercera del Consejo de Estado en vigencia del texto original del parágrafo 1 de la Ley 1150 de 2007, respecto de la regla general de subsanabilidad, que fijaba la adjudicación como momento límite para subsanar, mediante consideraciones que se extienden a la regla de subasta, en los siguientes términos:</w:t>
      </w:r>
    </w:p>
    <w:p w14:paraId="5CEFA8C2" w14:textId="77777777" w:rsidR="003B218A" w:rsidRPr="003B218A" w:rsidRDefault="003B218A" w:rsidP="003B218A">
      <w:pPr>
        <w:spacing w:after="0" w:line="276" w:lineRule="auto"/>
        <w:ind w:right="51"/>
        <w:jc w:val="both"/>
        <w:rPr>
          <w:rFonts w:ascii="Arial" w:eastAsia="Times New Roman" w:hAnsi="Arial" w:cs="Arial"/>
          <w:color w:val="000000"/>
          <w:szCs w:val="24"/>
          <w:lang w:eastAsia="es-ES_tradnl"/>
          <w14:ligatures w14:val="standardContextual"/>
        </w:rPr>
      </w:pPr>
    </w:p>
    <w:p w14:paraId="712A0E9D"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val="es-ES" w:eastAsia="es-ES_tradnl"/>
          <w14:ligatures w14:val="standardContextual"/>
        </w:rPr>
      </w:pPr>
      <w:r w:rsidRPr="003B218A">
        <w:rPr>
          <w:rFonts w:ascii="Arial" w:eastAsia="Times New Roman" w:hAnsi="Arial" w:cs="Arial"/>
          <w:sz w:val="21"/>
          <w:szCs w:val="21"/>
          <w:lang w:eastAsia="es-ES_tradnl"/>
          <w14:ligatures w14:val="standardContextual"/>
        </w:rPr>
        <w:t>“[S]i bien es obligación de la entidad permitir que se aclaren, expliquen o subsanen los defectos de las ofertas susceptibles de esa oportunidad, y por ende es un derecho de los participantes que se lo soliciten, se trata de una oportunidad temporalmente limitada, cuyo término define la administración, y es preclusivo para subsanar o aclarar; y si el proponente no corrige o explica dentro del estricto plazo conferido […]</w:t>
      </w:r>
    </w:p>
    <w:p w14:paraId="757F8BB4"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eastAsia="es-ES_tradnl"/>
          <w14:ligatures w14:val="standardContextual"/>
        </w:rPr>
      </w:pPr>
    </w:p>
    <w:p w14:paraId="391F5D2C"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eastAsia="es-ES_tradnl"/>
          <w14:ligatures w14:val="standardContextual"/>
        </w:rPr>
      </w:pPr>
      <w:r w:rsidRPr="003B218A">
        <w:rPr>
          <w:rFonts w:ascii="Arial" w:eastAsia="Times New Roman" w:hAnsi="Arial" w:cs="Arial"/>
          <w:sz w:val="21"/>
          <w:szCs w:val="21"/>
          <w:lang w:eastAsia="es-ES_tradnl"/>
          <w14:ligatures w14:val="standardContextual"/>
        </w:rPr>
        <w:t xml:space="preserve">De la anterior manera se ponderan adecuadamente el </w:t>
      </w:r>
      <w:r w:rsidRPr="003B218A">
        <w:rPr>
          <w:rFonts w:ascii="Arial" w:eastAsia="Times New Roman" w:hAnsi="Arial" w:cs="Arial"/>
          <w:i/>
          <w:sz w:val="21"/>
          <w:szCs w:val="21"/>
          <w:lang w:eastAsia="es-ES_tradnl"/>
          <w14:ligatures w14:val="standardContextual"/>
        </w:rPr>
        <w:t>derecho</w:t>
      </w:r>
      <w:r w:rsidRPr="003B218A">
        <w:rPr>
          <w:rFonts w:ascii="Arial" w:eastAsia="Times New Roman" w:hAnsi="Arial" w:cs="Arial"/>
          <w:sz w:val="21"/>
          <w:szCs w:val="21"/>
          <w:lang w:eastAsia="es-ES_tradnl"/>
          <w14:ligatures w14:val="standardContextual"/>
        </w:rPr>
        <w:t xml:space="preserve"> del proponente a subsanar, corregir y aclarar; con el </w:t>
      </w:r>
      <w:r w:rsidRPr="003B218A">
        <w:rPr>
          <w:rFonts w:ascii="Arial" w:eastAsia="Times New Roman" w:hAnsi="Arial" w:cs="Arial"/>
          <w:i/>
          <w:sz w:val="21"/>
          <w:szCs w:val="21"/>
          <w:lang w:eastAsia="es-ES_tradnl"/>
          <w14:ligatures w14:val="standardContextual"/>
        </w:rPr>
        <w:t>derecho-deber</w:t>
      </w:r>
      <w:r w:rsidRPr="003B218A">
        <w:rPr>
          <w:rFonts w:ascii="Arial" w:eastAsia="Times New Roman" w:hAnsi="Arial" w:cs="Arial"/>
          <w:sz w:val="21"/>
          <w:szCs w:val="21"/>
          <w:lang w:eastAsia="es-ES_tradnl"/>
          <w14:ligatures w14:val="standardContextual"/>
        </w:rPr>
        <w:t xml:space="preserve"> que tiene la administración de avanzar y concluir el procedimiento de selección –principios de eficiencia, economía y celeridad de la actuación administrativa-, que no se puede estancar ni quedar en vilo de las respuestas extemporáneas que entregue el oferente. </w:t>
      </w:r>
    </w:p>
    <w:p w14:paraId="0346204E"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eastAsia="es-ES_tradnl"/>
          <w14:ligatures w14:val="standardContextual"/>
        </w:rPr>
      </w:pPr>
    </w:p>
    <w:p w14:paraId="3451F01B"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eastAsia="es-ES_tradnl"/>
          <w14:ligatures w14:val="standardContextual"/>
        </w:rPr>
      </w:pPr>
      <w:r w:rsidRPr="003B218A">
        <w:rPr>
          <w:rFonts w:ascii="Arial" w:eastAsia="Times New Roman" w:hAnsi="Arial" w:cs="Arial"/>
          <w:sz w:val="21"/>
          <w:szCs w:val="21"/>
          <w:lang w:eastAsia="es-ES_tradnl"/>
          <w14:ligatures w14:val="standardContextual"/>
        </w:rPr>
        <w:t xml:space="preserve">En consecuencia, el proponente debe acogerse al tiempo que le otorga la administración para subsanar o aclarar la oferta, lapso que la entidad no puede extender más allá de la adjudicación. No se trata, entonces, de que el oferente tenga la posibilidad de entregar la información solicitada </w:t>
      </w:r>
      <w:r w:rsidRPr="003B218A">
        <w:rPr>
          <w:rFonts w:ascii="Arial" w:eastAsia="Times New Roman" w:hAnsi="Arial" w:cs="Arial"/>
          <w:i/>
          <w:sz w:val="21"/>
          <w:szCs w:val="21"/>
          <w:lang w:eastAsia="es-ES_tradnl"/>
          <w14:ligatures w14:val="standardContextual"/>
        </w:rPr>
        <w:t>a más tardar hasta la adjudicación</w:t>
      </w:r>
      <w:r w:rsidRPr="003B218A">
        <w:rPr>
          <w:rFonts w:ascii="Arial" w:eastAsia="Times New Roman" w:hAnsi="Arial" w:cs="Arial"/>
          <w:sz w:val="21"/>
          <w:szCs w:val="21"/>
          <w:lang w:eastAsia="es-ES_tradnl"/>
          <w14:ligatures w14:val="standardContextual"/>
        </w:rPr>
        <w:t xml:space="preserve">; es la entidad quien tiene, </w:t>
      </w:r>
      <w:r w:rsidRPr="003B218A">
        <w:rPr>
          <w:rFonts w:ascii="Arial" w:eastAsia="Times New Roman" w:hAnsi="Arial" w:cs="Arial"/>
          <w:i/>
          <w:sz w:val="21"/>
          <w:szCs w:val="21"/>
          <w:lang w:eastAsia="es-ES_tradnl"/>
          <w14:ligatures w14:val="standardContextual"/>
        </w:rPr>
        <w:t>a más tardar hasta la adjudicación,</w:t>
      </w:r>
      <w:r w:rsidRPr="003B218A">
        <w:rPr>
          <w:rFonts w:ascii="Arial" w:eastAsia="Times New Roman" w:hAnsi="Arial" w:cs="Arial"/>
          <w:sz w:val="21"/>
          <w:szCs w:val="21"/>
          <w:lang w:eastAsia="es-ES_tradnl"/>
          <w14:ligatures w14:val="standardContextual"/>
        </w:rPr>
        <w:t xml:space="preserve"> la posibilidad de </w:t>
      </w:r>
      <w:r w:rsidRPr="003B218A">
        <w:rPr>
          <w:rFonts w:ascii="Arial" w:eastAsia="Times New Roman" w:hAnsi="Arial" w:cs="Arial"/>
          <w:i/>
          <w:sz w:val="21"/>
          <w:szCs w:val="21"/>
          <w:lang w:eastAsia="es-ES_tradnl"/>
          <w14:ligatures w14:val="standardContextual"/>
        </w:rPr>
        <w:t>pedir</w:t>
      </w:r>
      <w:r w:rsidRPr="003B218A">
        <w:rPr>
          <w:rFonts w:ascii="Arial" w:eastAsia="Times New Roman" w:hAnsi="Arial" w:cs="Arial"/>
          <w:sz w:val="21"/>
          <w:szCs w:val="21"/>
          <w:lang w:eastAsia="es-ES_tradnl"/>
          <w14:ligatures w14:val="standardContextual"/>
        </w:rPr>
        <w:t xml:space="preserve"> a los oferentes que aclaren o subsanen</w:t>
      </w:r>
      <w:r w:rsidRPr="003B218A">
        <w:rPr>
          <w:rFonts w:ascii="Arial" w:eastAsia="Times New Roman" w:hAnsi="Arial" w:cs="Arial"/>
          <w:i/>
          <w:sz w:val="21"/>
          <w:szCs w:val="21"/>
          <w:lang w:eastAsia="es-ES_tradnl"/>
          <w14:ligatures w14:val="standardContextual"/>
        </w:rPr>
        <w:t>.</w:t>
      </w:r>
      <w:r w:rsidRPr="003B218A">
        <w:rPr>
          <w:rFonts w:ascii="Arial" w:eastAsia="Times New Roman" w:hAnsi="Arial" w:cs="Arial"/>
          <w:sz w:val="21"/>
          <w:szCs w:val="21"/>
          <w:lang w:eastAsia="es-ES_tradnl"/>
          <w14:ligatures w14:val="standardContextual"/>
        </w:rPr>
        <w:t xml:space="preserve">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término para aportar la aclaración o para subsanar, perdiendo definitivamente el oferente la oportunidad de hacerlo si no se ajusta al plazo preciso que se le concede […]</w:t>
      </w:r>
    </w:p>
    <w:p w14:paraId="46751640"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eastAsia="es-ES_tradnl"/>
          <w14:ligatures w14:val="standardContextual"/>
        </w:rPr>
      </w:pPr>
    </w:p>
    <w:p w14:paraId="14E368F3" w14:textId="77777777" w:rsidR="003B218A" w:rsidRPr="003B218A" w:rsidRDefault="003B218A" w:rsidP="003B218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Arial" w:eastAsia="Times New Roman" w:hAnsi="Arial" w:cs="Arial"/>
          <w:sz w:val="21"/>
          <w:szCs w:val="21"/>
          <w:lang w:eastAsia="es-ES_tradnl"/>
          <w14:ligatures w14:val="standardContextual"/>
        </w:rPr>
      </w:pPr>
      <w:r w:rsidRPr="003B218A">
        <w:rPr>
          <w:rFonts w:ascii="Arial" w:eastAsia="Times New Roman" w:hAnsi="Arial" w:cs="Arial"/>
          <w:sz w:val="21"/>
          <w:szCs w:val="21"/>
          <w:lang w:eastAsia="es-ES_tradnl"/>
          <w14:ligatures w14:val="standardContextual"/>
        </w:rPr>
        <w:t xml:space="preserve">En todo caso, el término para hacer las correcciones debe ser razonable, para que el proponente adecúe o explique su propuesta, </w:t>
      </w:r>
      <w:proofErr w:type="gramStart"/>
      <w:r w:rsidRPr="003B218A">
        <w:rPr>
          <w:rFonts w:ascii="Arial" w:eastAsia="Times New Roman" w:hAnsi="Arial" w:cs="Arial"/>
          <w:sz w:val="21"/>
          <w:szCs w:val="21"/>
          <w:lang w:eastAsia="es-ES_tradnl"/>
          <w14:ligatures w14:val="standardContextual"/>
        </w:rPr>
        <w:t>pues</w:t>
      </w:r>
      <w:proofErr w:type="gramEnd"/>
      <w:r w:rsidRPr="003B218A">
        <w:rPr>
          <w:rFonts w:ascii="Arial" w:eastAsia="Times New Roman" w:hAnsi="Arial" w:cs="Arial"/>
          <w:sz w:val="21"/>
          <w:szCs w:val="21"/>
          <w:lang w:eastAsia="es-ES_tradnl"/>
          <w14:ligatures w14:val="standardContextual"/>
        </w:rPr>
        <w:t xml:space="preserve"> aunque la entidad cuenta con un margen alto de discrecionalidad para fijarlo, la administración no puede hacerlo irrazonablemente”</w:t>
      </w:r>
      <w:r w:rsidRPr="003B218A">
        <w:rPr>
          <w:rFonts w:ascii="Arial" w:eastAsia="Times New Roman" w:hAnsi="Arial" w:cs="Arial"/>
          <w:sz w:val="21"/>
          <w:szCs w:val="21"/>
          <w:vertAlign w:val="superscript"/>
          <w:lang w:eastAsia="es-ES_tradnl"/>
          <w14:ligatures w14:val="standardContextual"/>
        </w:rPr>
        <w:footnoteReference w:id="17"/>
      </w:r>
      <w:r w:rsidRPr="003B218A">
        <w:rPr>
          <w:rFonts w:ascii="Arial" w:eastAsia="Times New Roman" w:hAnsi="Arial" w:cs="Arial"/>
          <w:sz w:val="21"/>
          <w:szCs w:val="21"/>
          <w:lang w:eastAsia="es-ES_tradnl"/>
          <w14:ligatures w14:val="standardContextual"/>
        </w:rPr>
        <w:t xml:space="preserve">. </w:t>
      </w:r>
    </w:p>
    <w:p w14:paraId="733DE1A1" w14:textId="77777777" w:rsidR="003B218A" w:rsidRPr="003B218A" w:rsidRDefault="003B218A" w:rsidP="003B218A">
      <w:pPr>
        <w:spacing w:after="0" w:line="276" w:lineRule="auto"/>
        <w:ind w:right="51"/>
        <w:jc w:val="both"/>
        <w:rPr>
          <w:rFonts w:ascii="Arial" w:eastAsia="Times New Roman" w:hAnsi="Arial" w:cs="Arial"/>
          <w:color w:val="000000"/>
          <w:szCs w:val="24"/>
          <w:lang w:eastAsia="es-ES_tradnl"/>
          <w14:ligatures w14:val="standardContextual"/>
        </w:rPr>
      </w:pPr>
    </w:p>
    <w:p w14:paraId="2805D5E6" w14:textId="77777777" w:rsidR="003B218A" w:rsidRPr="003B218A" w:rsidRDefault="003B218A" w:rsidP="003B218A">
      <w:pPr>
        <w:spacing w:after="0" w:line="276" w:lineRule="auto"/>
        <w:ind w:right="49"/>
        <w:jc w:val="both"/>
        <w:rPr>
          <w:rFonts w:ascii="Arial" w:eastAsia="Times New Roman" w:hAnsi="Arial" w:cs="Arial"/>
          <w:color w:val="000000"/>
          <w:szCs w:val="24"/>
          <w:lang w:eastAsia="es-ES_tradnl"/>
          <w14:ligatures w14:val="standardContextual"/>
        </w:rPr>
      </w:pPr>
      <w:r w:rsidRPr="003B218A">
        <w:rPr>
          <w:rFonts w:ascii="Arial" w:eastAsia="Times New Roman" w:hAnsi="Arial" w:cs="Arial"/>
          <w:color w:val="000000"/>
          <w:szCs w:val="24"/>
          <w:lang w:eastAsia="es-ES_tradnl"/>
          <w14:ligatures w14:val="standardContextual"/>
        </w:rPr>
        <w:tab/>
        <w:t xml:space="preserve">En ese orden de ideas, extendiendo las anteriores consideraciones a la regla de subsanabilidad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w:t>
      </w:r>
      <w:r w:rsidRPr="003B218A">
        <w:rPr>
          <w:rFonts w:ascii="Arial" w:eastAsia="Times New Roman" w:hAnsi="Arial" w:cs="Arial"/>
          <w:color w:val="000000"/>
          <w:szCs w:val="24"/>
          <w:lang w:eastAsia="es-ES_tradnl"/>
          <w14:ligatures w14:val="standardContextual"/>
        </w:rPr>
        <w:lastRenderedPageBreak/>
        <w:t xml:space="preserve">subsanación de los documentos referentes a la futura contratación o a los proponentes, no necesarios para la comparación de las propuestas. Para el ejercicio de tal facultad, las entidades de manera </w:t>
      </w:r>
      <w:r w:rsidRPr="003B218A">
        <w:rPr>
          <w:rFonts w:ascii="Arial" w:eastAsia="Times New Roman" w:hAnsi="Arial" w:cs="Arial"/>
          <w:i/>
          <w:iCs/>
          <w:color w:val="000000"/>
          <w:szCs w:val="24"/>
          <w:lang w:eastAsia="es-ES_tradnl"/>
          <w14:ligatures w14:val="standardContextual"/>
        </w:rPr>
        <w:t xml:space="preserve">ex ante </w:t>
      </w:r>
      <w:r w:rsidRPr="003B218A">
        <w:rPr>
          <w:rFonts w:ascii="Arial" w:eastAsia="Times New Roman" w:hAnsi="Arial" w:cs="Arial"/>
          <w:color w:val="000000"/>
          <w:szCs w:val="24"/>
          <w:lang w:eastAsia="es-ES_tradnl"/>
          <w14:ligatures w14:val="standardContextual"/>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w:t>
      </w:r>
      <w:r w:rsidRPr="004F7DAA">
        <w:rPr>
          <w:rFonts w:ascii="Arial" w:eastAsia="Times New Roman" w:hAnsi="Arial" w:cs="Arial"/>
          <w:color w:val="000000"/>
          <w:szCs w:val="24"/>
          <w:lang w:eastAsia="es-ES_tradnl"/>
          <w14:ligatures w14:val="standardContextual"/>
        </w:rPr>
        <w:t>Así mismo, dentro del pliego de condiciones podrán definir las veces en las cuales le será posible a los proponentes subsanar los documentos.  En sentido, atendiendo a la consulta planteada, la posibilidad de subsanar varias veces un determinado aspecto de la propuesta dependerá de lo establecido en el pliego de condiciones, pues la normativa no restringe el número de veces que un proponente podrá subsanar un determinado aspecto.</w:t>
      </w:r>
      <w:r w:rsidRPr="003B218A">
        <w:rPr>
          <w:rFonts w:ascii="Arial" w:eastAsia="Times New Roman" w:hAnsi="Arial" w:cs="Arial"/>
          <w:color w:val="000000"/>
          <w:szCs w:val="24"/>
          <w:lang w:eastAsia="es-ES_tradnl"/>
          <w14:ligatures w14:val="standardContextual"/>
        </w:rPr>
        <w:t xml:space="preserve"> </w:t>
      </w:r>
    </w:p>
    <w:p w14:paraId="02EBAE80" w14:textId="77777777" w:rsidR="003B218A" w:rsidRPr="003B218A" w:rsidRDefault="003B218A" w:rsidP="003B218A">
      <w:pPr>
        <w:spacing w:before="120" w:after="0" w:line="276" w:lineRule="auto"/>
        <w:ind w:firstLine="709"/>
        <w:jc w:val="both"/>
        <w:rPr>
          <w:rFonts w:ascii="Arial" w:eastAsia="Calibri" w:hAnsi="Arial" w:cs="Arial"/>
          <w:szCs w:val="24"/>
          <w:lang w:val="es-ES_tradnl" w:eastAsia="es-ES_tradnl"/>
          <w14:ligatures w14:val="standardContextual"/>
        </w:rPr>
      </w:pPr>
      <w:r w:rsidRPr="003B218A">
        <w:rPr>
          <w:rFonts w:ascii="Arial" w:eastAsia="Calibri" w:hAnsi="Arial" w:cs="Arial"/>
          <w:szCs w:val="24"/>
          <w:lang w:val="es-ES_tradnl" w:eastAsia="es-ES_tradnl"/>
          <w14:ligatures w14:val="standardContextual"/>
        </w:rPr>
        <w:t>De esta manera, el parágrafo analizado</w:t>
      </w:r>
      <w:r w:rsidRPr="003B218A">
        <w:rPr>
          <w:rFonts w:ascii="Arial" w:eastAsia="Calibri" w:hAnsi="Arial" w:cs="Arial"/>
          <w:szCs w:val="24"/>
          <w:lang w:eastAsia="es-ES_tradnl"/>
          <w14:ligatures w14:val="standardContextual"/>
        </w:rPr>
        <w:t xml:space="preserve"> permite a las entidades </w:t>
      </w:r>
      <w:r w:rsidRPr="003B218A">
        <w:rPr>
          <w:rFonts w:ascii="Arial" w:eastAsia="Calibri" w:hAnsi="Arial" w:cs="Arial"/>
          <w:i/>
          <w:iCs/>
          <w:szCs w:val="24"/>
          <w:lang w:eastAsia="es-ES_tradnl"/>
          <w14:ligatures w14:val="standardContextual"/>
        </w:rPr>
        <w:t>solicitar</w:t>
      </w:r>
      <w:r w:rsidRPr="003B218A">
        <w:rPr>
          <w:rFonts w:ascii="Arial" w:eastAsia="Calibri" w:hAnsi="Arial" w:cs="Arial"/>
          <w:szCs w:val="24"/>
          <w:lang w:eastAsia="es-ES_tradnl"/>
          <w14:ligatures w14:val="standardContextual"/>
        </w:rPr>
        <w:t xml:space="preserve"> a los oferentes que subsanen los documentos referentes a la futura contratación no necesarios para la comparación de las propuestas, hasta el momento previo a la realización a la subasta a la que hace referencia el artículo </w:t>
      </w:r>
      <w:r w:rsidRPr="003B218A">
        <w:rPr>
          <w:rFonts w:ascii="Arial" w:eastAsia="Calibri" w:hAnsi="Arial" w:cs="Arial"/>
          <w:szCs w:val="24"/>
          <w:lang w:val="es-ES_tradnl" w:eastAsia="es-ES_tradnl"/>
          <w14:ligatures w14:val="standardContextual"/>
        </w:rPr>
        <w:t xml:space="preserve">2.2.1.2.1.2.2 del Decreto 1082 de 2015, momento que, además, deberá estar señalado en el pliego de condiciones, independientemente de que la entidad opte para desarrollar la audiencia de manera presencial o través del algún mecanismo electrónico. En defecto de lo anterior, las entidades también podrán </w:t>
      </w:r>
      <w:r w:rsidRPr="003B218A">
        <w:rPr>
          <w:rFonts w:ascii="Arial" w:eastAsia="Calibri" w:hAnsi="Arial" w:cs="Arial"/>
          <w:szCs w:val="24"/>
          <w:lang w:eastAsia="es-ES_tradnl"/>
          <w14:ligatures w14:val="standardContextual"/>
        </w:rPr>
        <w:t xml:space="preserve">requerir por separado o conjuntamente a cada proponente para que subsanen los respectivos documentos, fijándoles un término razonable, el cual en todo caso no podrá exceder el momento previo al inicio de la audiencia de subasta, por lo que será anterior a ella.   </w:t>
      </w:r>
      <w:r w:rsidRPr="003B218A">
        <w:rPr>
          <w:rFonts w:ascii="Arial" w:eastAsia="Calibri" w:hAnsi="Arial" w:cs="Arial"/>
          <w:szCs w:val="24"/>
          <w:lang w:val="es-ES_tradnl" w:eastAsia="es-ES_tradnl"/>
          <w14:ligatures w14:val="standardContextual"/>
        </w:rPr>
        <w:t xml:space="preserve"> </w:t>
      </w:r>
    </w:p>
    <w:p w14:paraId="26922517" w14:textId="77777777" w:rsidR="003B218A" w:rsidRPr="003B218A" w:rsidRDefault="003B218A" w:rsidP="003B218A">
      <w:pPr>
        <w:spacing w:before="120" w:after="0" w:line="276" w:lineRule="auto"/>
        <w:ind w:firstLine="709"/>
        <w:jc w:val="both"/>
        <w:rPr>
          <w:rFonts w:ascii="Arial" w:eastAsia="Calibri" w:hAnsi="Arial" w:cs="Arial"/>
          <w:szCs w:val="24"/>
          <w:lang w:val="es-ES_tradnl" w:eastAsia="es-ES_tradnl"/>
          <w14:ligatures w14:val="standardContextual"/>
        </w:rPr>
      </w:pPr>
      <w:r w:rsidRPr="003B218A">
        <w:rPr>
          <w:rFonts w:ascii="Arial" w:eastAsia="Calibri" w:hAnsi="Arial" w:cs="Arial"/>
          <w:szCs w:val="24"/>
          <w:lang w:val="es-ES_tradnl" w:eastAsia="es-ES_tradnl"/>
          <w14:ligatures w14:val="standardContextual"/>
        </w:rPr>
        <w:t xml:space="preserve">Ahora, no debe perderse de vista que para este tipo de procedimientos también serán aplicables los criterios desarrollados en el numeral anterior de este concepto, para determinar si los documentos faltantes son susceptibles o no de subsanación, en el entendido de si inciden o no en la asignación de puntaje y si se relacionan con el cumplimiento de un requisito que constituye una circunstancia ocurrida con anterioridad o con posterioridad al cierre del proceso. </w:t>
      </w:r>
    </w:p>
    <w:p w14:paraId="4FA5ACDD" w14:textId="77777777" w:rsidR="003B218A" w:rsidRPr="003B218A" w:rsidRDefault="003B218A" w:rsidP="003B218A">
      <w:pPr>
        <w:spacing w:before="120" w:after="0" w:line="276" w:lineRule="auto"/>
        <w:ind w:firstLine="709"/>
        <w:jc w:val="both"/>
        <w:rPr>
          <w:rFonts w:ascii="Arial" w:eastAsia="Calibri" w:hAnsi="Arial" w:cs="Arial"/>
          <w:szCs w:val="24"/>
          <w:lang w:eastAsia="es-ES_tradnl"/>
          <w14:ligatures w14:val="standardContextual"/>
        </w:rPr>
      </w:pPr>
      <w:r w:rsidRPr="003B218A">
        <w:rPr>
          <w:rFonts w:ascii="Arial" w:eastAsia="Calibri" w:hAnsi="Arial" w:cs="Arial"/>
          <w:szCs w:val="24"/>
          <w:lang w:val="es-ES_tradnl" w:eastAsia="es-ES_tradnl"/>
          <w14:ligatures w14:val="standardContextual"/>
        </w:rPr>
        <w:t xml:space="preserve">Conforme a lo anterior, en criterio de esta Subdirección, a pesar de que no existe un término legal preciso para que los proponentes subsanen los documentos mediante los cuales deben acreditar el cumplimiento de los requisitos exigidos para participar en procedimientos en que se haga uso del mecanismo de subasta, el parágrafo 4° del artículo 5 de la Ley 1150 de 2007 establece una regla que permite a las entidades </w:t>
      </w:r>
      <w:r w:rsidRPr="003B218A">
        <w:rPr>
          <w:rFonts w:ascii="Arial" w:eastAsia="Calibri" w:hAnsi="Arial" w:cs="Arial"/>
          <w:i/>
          <w:iCs/>
          <w:szCs w:val="24"/>
          <w:lang w:val="es-ES_tradnl" w:eastAsia="es-ES_tradnl"/>
          <w14:ligatures w14:val="standardContextual"/>
        </w:rPr>
        <w:t>solicitar</w:t>
      </w:r>
      <w:r w:rsidRPr="003B218A">
        <w:rPr>
          <w:rFonts w:ascii="Arial" w:eastAsia="Calibri" w:hAnsi="Arial" w:cs="Arial"/>
          <w:szCs w:val="24"/>
          <w:lang w:val="es-ES_tradnl" w:eastAsia="es-ES_tradnl"/>
          <w14:ligatures w14:val="standardContextual"/>
        </w:rPr>
        <w:t xml:space="preserve"> las correspondientes subsanaciones, dotándolas de cierto margen de discrecionalidad para determinar el término o momento específico dentro del que deberá tener lugar la subsanación, oportunidad que deberá establecer la entidad sin que exceda al momento previo al inicio de la audiencia de subasta.  Finalmente, se reitera que no debe perderse de vista que para este tipo de procedimientos también serán aplicables los criterios arriba desarrollados para determinar si los documentos faltantes son susceptibles de subsanación, dependiendo de si se trata de un requisito de la oferta que no afecte </w:t>
      </w:r>
      <w:r w:rsidRPr="003B218A">
        <w:rPr>
          <w:rFonts w:ascii="Arial" w:eastAsia="Calibri" w:hAnsi="Arial" w:cs="Arial"/>
          <w:szCs w:val="24"/>
          <w:lang w:val="es-ES_tradnl" w:eastAsia="es-ES_tradnl"/>
          <w14:ligatures w14:val="standardContextual"/>
        </w:rPr>
        <w:lastRenderedPageBreak/>
        <w:t>la asignación de puntaje, y si tiene que ver con el cumplimiento de un requisito que constituye una circunstancia ocurrida con anterioridad o con posterioridad al cierre del proceso.</w:t>
      </w:r>
      <w:bookmarkEnd w:id="1"/>
      <w:r w:rsidRPr="003B218A">
        <w:rPr>
          <w:rFonts w:ascii="Arial" w:eastAsia="Calibri" w:hAnsi="Arial" w:cs="Arial"/>
          <w:szCs w:val="24"/>
          <w:lang w:val="es-ES_tradnl" w:eastAsia="es-ES_tradnl"/>
          <w14:ligatures w14:val="standardContextual"/>
        </w:rPr>
        <w:t xml:space="preserve"> En tal sentido, de acuerdo con la regulación establecida en cada pliego de condiciones y las circunstancias de cada caso en particular, deberán aplicarse los criterios establecidos en la ley, explicados en este concepto, para definir la procedencia de subsanar algún requisito de las propuestas y las veces en que puede ejercerse esta posibilidad.</w:t>
      </w:r>
    </w:p>
    <w:p w14:paraId="21E56C09" w14:textId="77777777" w:rsidR="003B218A" w:rsidRPr="003B218A" w:rsidRDefault="003B218A" w:rsidP="003B218A">
      <w:pPr>
        <w:spacing w:after="0" w:line="276" w:lineRule="auto"/>
        <w:jc w:val="both"/>
        <w:rPr>
          <w:rFonts w:ascii="Times New Roman" w:eastAsia="Times New Roman" w:hAnsi="Times New Roman" w:cs="Times New Roman"/>
          <w:color w:val="FF0000"/>
          <w:sz w:val="24"/>
          <w:szCs w:val="24"/>
          <w:lang w:val="es-ES_tradnl" w:eastAsia="es-ES_tradnl"/>
          <w14:ligatures w14:val="standardContextual"/>
        </w:rPr>
      </w:pPr>
    </w:p>
    <w:p w14:paraId="796E4F43" w14:textId="77777777" w:rsidR="003B218A" w:rsidRPr="003B218A" w:rsidRDefault="003B218A" w:rsidP="003B218A">
      <w:pPr>
        <w:spacing w:after="0" w:line="276" w:lineRule="auto"/>
        <w:jc w:val="both"/>
        <w:rPr>
          <w:rFonts w:ascii="Arial" w:eastAsia="Times New Roman" w:hAnsi="Arial" w:cs="Arial"/>
          <w:b/>
          <w:lang w:eastAsia="es-CO"/>
          <w14:ligatures w14:val="standardContextual"/>
        </w:rPr>
      </w:pPr>
      <w:r w:rsidRPr="003B218A">
        <w:rPr>
          <w:rFonts w:ascii="Arial" w:eastAsia="Times New Roman" w:hAnsi="Arial" w:cs="Arial"/>
          <w:b/>
          <w:lang w:eastAsia="es-CO"/>
          <w14:ligatures w14:val="standardContextual"/>
        </w:rPr>
        <w:t>3. Respuesta</w:t>
      </w:r>
    </w:p>
    <w:p w14:paraId="17E3ADCF" w14:textId="77777777" w:rsidR="003B218A" w:rsidRPr="003B218A" w:rsidRDefault="003B218A" w:rsidP="003B218A">
      <w:pPr>
        <w:spacing w:after="0" w:line="276" w:lineRule="auto"/>
        <w:ind w:left="709" w:right="709"/>
        <w:jc w:val="both"/>
        <w:rPr>
          <w:rFonts w:ascii="Arial" w:eastAsia="Calibri" w:hAnsi="Arial" w:cs="Arial"/>
          <w:bCs/>
          <w:lang w:val="es-ES_tradnl" w:eastAsia="es-CO"/>
          <w14:ligatures w14:val="standardContextual"/>
        </w:rPr>
      </w:pPr>
    </w:p>
    <w:p w14:paraId="148FAA67"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Calibri" w:hAnsi="Arial" w:cs="Arial"/>
          <w:sz w:val="21"/>
          <w:szCs w:val="21"/>
          <w:lang w:val="es-ES_tradnl" w:eastAsia="es-ES_tradnl"/>
          <w14:ligatures w14:val="standardContextual"/>
        </w:rPr>
        <w:t xml:space="preserve">“[…] </w:t>
      </w:r>
      <w:r w:rsidRPr="003B218A">
        <w:rPr>
          <w:rFonts w:ascii="Arial" w:eastAsia="Times New Roman" w:hAnsi="Arial" w:cs="Arial"/>
          <w:color w:val="333333"/>
          <w:sz w:val="21"/>
          <w:szCs w:val="21"/>
          <w:shd w:val="clear" w:color="auto" w:fill="FFFFFF"/>
          <w:lang w:eastAsia="es-CO"/>
        </w:rPr>
        <w:t>En un proceso de selección a través de subasta, es claro que un proponente puede subsanar, aclarar o allegar documentos que no afecten la asignación de puntaje, hasta antes del inicio del evento de subasta, ¿pero, cuantas veces lo puede hacer? ¿Es posible que pueda subsanar varias veces un mismo requisito habilitante antes de la celebración del evento de subasta?</w:t>
      </w:r>
    </w:p>
    <w:p w14:paraId="668900D7"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w:t>
      </w:r>
    </w:p>
    <w:p w14:paraId="30F226A0"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¿En el caso que nos ocupa, podría presentar por segunda vez otras certificaciones de experiencia para habilitarse?</w:t>
      </w:r>
    </w:p>
    <w:p w14:paraId="54C09EE4"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w:t>
      </w:r>
    </w:p>
    <w:p w14:paraId="7C9C77B4"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En general, si un proponente presentó una subsanación defectuosa, o incompleta o incorrecta, ¿podría presentar otra subsanación o corregir las ya presentadas antes de iniciar el evento de subasta?</w:t>
      </w:r>
    </w:p>
    <w:p w14:paraId="19A91D4B"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w:t>
      </w:r>
    </w:p>
    <w:p w14:paraId="07D5851D" w14:textId="77777777" w:rsidR="003B218A" w:rsidRPr="003B218A" w:rsidRDefault="003B218A" w:rsidP="003B218A">
      <w:pPr>
        <w:spacing w:after="0" w:line="240" w:lineRule="auto"/>
        <w:ind w:left="709" w:right="709"/>
        <w:contextualSpacing/>
        <w:jc w:val="both"/>
        <w:rPr>
          <w:rFonts w:ascii="Arial" w:eastAsia="Times New Roman" w:hAnsi="Arial" w:cs="Arial"/>
          <w:color w:val="000000"/>
          <w:sz w:val="21"/>
          <w:szCs w:val="21"/>
          <w:lang w:eastAsia="es-CO"/>
        </w:rPr>
      </w:pPr>
      <w:r w:rsidRPr="003B218A">
        <w:rPr>
          <w:rFonts w:ascii="Arial" w:eastAsia="Times New Roman" w:hAnsi="Arial" w:cs="Arial"/>
          <w:color w:val="333333"/>
          <w:sz w:val="21"/>
          <w:szCs w:val="21"/>
          <w:shd w:val="clear" w:color="auto" w:fill="FFFFFF"/>
          <w:lang w:eastAsia="es-CO"/>
        </w:rPr>
        <w:t xml:space="preserve">O si se trata, por ejemplo, de una certificación de pago de aportes parafiscales que no presentó, entonces se le requiere y la presenta, pero solo certificando estar a paz y salvo por los últimos tres meses y debería ser por los 6 meses anteriores, ¿podría corregirla y volverla a presentar antes de la subasta? </w:t>
      </w:r>
      <w:r w:rsidRPr="003B218A">
        <w:rPr>
          <w:rFonts w:ascii="Arial" w:eastAsia="Times New Roman" w:hAnsi="Arial" w:cs="Arial"/>
          <w:sz w:val="21"/>
          <w:szCs w:val="21"/>
          <w:lang w:eastAsia="es-ES_tradnl"/>
          <w14:ligatures w14:val="standardContextual"/>
        </w:rPr>
        <w:t>[…]</w:t>
      </w:r>
      <w:r w:rsidRPr="003B218A">
        <w:rPr>
          <w:rFonts w:ascii="Arial" w:eastAsia="Calibri" w:hAnsi="Arial" w:cs="Arial"/>
          <w:sz w:val="21"/>
          <w:szCs w:val="21"/>
          <w:lang w:val="es-ES_tradnl" w:eastAsia="es-ES_tradnl"/>
          <w14:ligatures w14:val="standardContextual"/>
        </w:rPr>
        <w:t>”.</w:t>
      </w:r>
    </w:p>
    <w:p w14:paraId="25606C39" w14:textId="77777777" w:rsidR="003B218A" w:rsidRPr="003B218A" w:rsidRDefault="003B218A" w:rsidP="003B218A">
      <w:pPr>
        <w:spacing w:after="0" w:line="276" w:lineRule="auto"/>
        <w:jc w:val="both"/>
        <w:rPr>
          <w:rFonts w:ascii="Arial" w:hAnsi="Arial" w:cs="Arial"/>
          <w:lang w:val="es-ES_tradnl"/>
          <w14:ligatures w14:val="standardContextual"/>
        </w:rPr>
      </w:pPr>
    </w:p>
    <w:p w14:paraId="7F249381" w14:textId="77777777" w:rsidR="003B218A" w:rsidRPr="003B218A" w:rsidRDefault="003B218A" w:rsidP="003B218A">
      <w:pPr>
        <w:spacing w:after="120" w:line="276" w:lineRule="auto"/>
        <w:jc w:val="both"/>
        <w:rPr>
          <w:rFonts w:ascii="Arial" w:eastAsia="Times New Roman" w:hAnsi="Arial" w:cs="Arial"/>
          <w:color w:val="0C0C0C"/>
          <w:lang w:eastAsia="es-CO"/>
        </w:rPr>
      </w:pPr>
      <w:r w:rsidRPr="003B218A">
        <w:rPr>
          <w:rFonts w:ascii="Arial" w:eastAsia="Times New Roman" w:hAnsi="Arial" w:cs="Arial"/>
          <w:color w:val="0C0C0C"/>
          <w:lang w:eastAsia="es-CO"/>
        </w:rPr>
        <w:t>En lo que respecta a la subsanabilidad en procesos de selección en los que se</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 xml:space="preserve">utilice el mecanismo de subasta, el parágrafo 1 del artículo 5 </w:t>
      </w:r>
      <w:r w:rsidRPr="003B218A">
        <w:rPr>
          <w:rFonts w:ascii="Arial" w:eastAsia="Times New Roman" w:hAnsi="Arial" w:cs="Arial"/>
          <w:i/>
          <w:color w:val="0C0C0C"/>
          <w:lang w:eastAsia="es-CO"/>
        </w:rPr>
        <w:t xml:space="preserve">ibídem </w:t>
      </w:r>
      <w:r w:rsidRPr="003B218A">
        <w:rPr>
          <w:rFonts w:ascii="Arial" w:eastAsia="Times New Roman" w:hAnsi="Arial" w:cs="Arial"/>
          <w:color w:val="0C0C0C"/>
          <w:lang w:eastAsia="es-CO"/>
        </w:rPr>
        <w:t>consagra una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excepción al término general de subsanabilidad explicado. Al respecto, el</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parágrafo</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4</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del</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artículo</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5</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de</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la</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Ley</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1150</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de</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2007,</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adicionado</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por</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el</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artículo</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5</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de</w:t>
      </w:r>
      <w:r w:rsidRPr="003B218A">
        <w:rPr>
          <w:rFonts w:ascii="Arial" w:eastAsia="Times New Roman" w:hAnsi="Arial" w:cs="Arial"/>
          <w:color w:val="0C0C0C"/>
          <w:spacing w:val="-5"/>
          <w:lang w:eastAsia="es-CO"/>
        </w:rPr>
        <w:t xml:space="preserve"> </w:t>
      </w:r>
      <w:r w:rsidRPr="003B218A">
        <w:rPr>
          <w:rFonts w:ascii="Arial" w:eastAsia="Times New Roman" w:hAnsi="Arial" w:cs="Arial"/>
          <w:color w:val="0C0C0C"/>
          <w:lang w:eastAsia="es-CO"/>
        </w:rPr>
        <w:t>la</w:t>
      </w:r>
      <w:r w:rsidRPr="003B218A">
        <w:rPr>
          <w:rFonts w:ascii="Arial" w:eastAsia="Times New Roman" w:hAnsi="Arial" w:cs="Arial"/>
          <w:color w:val="0C0C0C"/>
          <w:spacing w:val="-4"/>
          <w:lang w:eastAsia="es-CO"/>
        </w:rPr>
        <w:t xml:space="preserve"> </w:t>
      </w:r>
      <w:r w:rsidRPr="003B218A">
        <w:rPr>
          <w:rFonts w:ascii="Arial" w:eastAsia="Times New Roman" w:hAnsi="Arial" w:cs="Arial"/>
          <w:color w:val="0C0C0C"/>
          <w:lang w:eastAsia="es-CO"/>
        </w:rPr>
        <w:t>Ley</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1882 de 2018, dispone que “En aquellos procesos de selección en los que se utilice el</w:t>
      </w:r>
      <w:r w:rsidRPr="003B218A">
        <w:rPr>
          <w:rFonts w:ascii="Arial" w:eastAsia="Times New Roman" w:hAnsi="Arial" w:cs="Arial"/>
          <w:color w:val="0C0C0C"/>
          <w:spacing w:val="-59"/>
          <w:lang w:eastAsia="es-CO"/>
        </w:rPr>
        <w:t xml:space="preserve"> </w:t>
      </w:r>
      <w:r w:rsidRPr="003B218A">
        <w:rPr>
          <w:rFonts w:ascii="Arial" w:eastAsia="Times New Roman" w:hAnsi="Arial" w:cs="Arial"/>
          <w:color w:val="0C0C0C"/>
          <w:lang w:eastAsia="es-CO"/>
        </w:rPr>
        <w:t>mecanismo</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de</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subasta,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los</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documentos</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referentes</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la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futura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contratación</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o</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al</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proponente,</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no</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necesarios</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para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la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comparación</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de</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las</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propuestas,</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deberán</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ser</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solicitados</w:t>
      </w:r>
      <w:r w:rsidRPr="003B218A">
        <w:rPr>
          <w:rFonts w:ascii="Arial" w:eastAsia="Times New Roman" w:hAnsi="Arial" w:cs="Arial"/>
          <w:color w:val="0C0C0C"/>
          <w:spacing w:val="-2"/>
          <w:lang w:eastAsia="es-CO"/>
        </w:rPr>
        <w:t xml:space="preserve"> </w:t>
      </w:r>
      <w:r w:rsidRPr="003B218A">
        <w:rPr>
          <w:rFonts w:ascii="Arial" w:eastAsia="Times New Roman" w:hAnsi="Arial" w:cs="Arial"/>
          <w:color w:val="0C0C0C"/>
          <w:lang w:eastAsia="es-CO"/>
        </w:rPr>
        <w:t>hasta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el</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momento</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previo</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a</w:t>
      </w:r>
      <w:r w:rsidRPr="003B218A">
        <w:rPr>
          <w:rFonts w:ascii="Arial" w:eastAsia="Times New Roman" w:hAnsi="Arial" w:cs="Arial"/>
          <w:color w:val="0C0C0C"/>
          <w:spacing w:val="-1"/>
          <w:lang w:eastAsia="es-CO"/>
        </w:rPr>
        <w:t xml:space="preserve"> </w:t>
      </w:r>
      <w:r w:rsidRPr="003B218A">
        <w:rPr>
          <w:rFonts w:ascii="Arial" w:eastAsia="Times New Roman" w:hAnsi="Arial" w:cs="Arial"/>
          <w:color w:val="0C0C0C"/>
          <w:lang w:eastAsia="es-CO"/>
        </w:rPr>
        <w:t>su</w:t>
      </w:r>
      <w:r w:rsidRPr="003B218A">
        <w:rPr>
          <w:rFonts w:ascii="Arial" w:eastAsia="Times New Roman" w:hAnsi="Arial" w:cs="Arial"/>
          <w:color w:val="0C0C0C"/>
          <w:spacing w:val="-2"/>
          <w:lang w:eastAsia="es-CO"/>
        </w:rPr>
        <w:t xml:space="preserve"> </w:t>
      </w:r>
      <w:r w:rsidRPr="003B218A">
        <w:rPr>
          <w:rFonts w:ascii="Arial" w:eastAsia="Times New Roman" w:hAnsi="Arial" w:cs="Arial"/>
          <w:color w:val="0C0C0C"/>
          <w:lang w:eastAsia="es-CO"/>
        </w:rPr>
        <w:t>realización”.</w:t>
      </w:r>
    </w:p>
    <w:p w14:paraId="393BC309" w14:textId="3786B8B0" w:rsidR="003B218A" w:rsidRPr="003B218A" w:rsidRDefault="003B218A" w:rsidP="003B218A">
      <w:pPr>
        <w:spacing w:after="120" w:line="276" w:lineRule="auto"/>
        <w:ind w:firstLine="608"/>
        <w:jc w:val="both"/>
        <w:rPr>
          <w:rFonts w:ascii="Arial" w:eastAsia="Times New Roman" w:hAnsi="Arial" w:cs="Arial"/>
          <w:lang w:eastAsia="es-CO"/>
        </w:rPr>
      </w:pPr>
      <w:r w:rsidRPr="003B218A">
        <w:rPr>
          <w:rFonts w:ascii="Arial" w:eastAsia="Times New Roman" w:hAnsi="Arial" w:cs="Arial"/>
          <w:lang w:eastAsia="es-CO"/>
        </w:rPr>
        <w:t>Al</w:t>
      </w:r>
      <w:r w:rsidRPr="003B218A">
        <w:rPr>
          <w:rFonts w:ascii="Arial" w:eastAsia="Times New Roman" w:hAnsi="Arial" w:cs="Arial"/>
          <w:spacing w:val="-13"/>
          <w:lang w:eastAsia="es-CO"/>
        </w:rPr>
        <w:t xml:space="preserve"> </w:t>
      </w:r>
      <w:r w:rsidRPr="003B218A">
        <w:rPr>
          <w:rFonts w:ascii="Arial" w:eastAsia="Times New Roman" w:hAnsi="Arial" w:cs="Arial"/>
          <w:lang w:eastAsia="es-CO"/>
        </w:rPr>
        <w:t>respecto,</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es</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necesario</w:t>
      </w:r>
      <w:r w:rsidRPr="003B218A">
        <w:rPr>
          <w:rFonts w:ascii="Arial" w:eastAsia="Times New Roman" w:hAnsi="Arial" w:cs="Arial"/>
          <w:spacing w:val="-13"/>
          <w:lang w:eastAsia="es-CO"/>
        </w:rPr>
        <w:t xml:space="preserve"> </w:t>
      </w:r>
      <w:r w:rsidRPr="003B218A">
        <w:rPr>
          <w:rFonts w:ascii="Arial" w:eastAsia="Times New Roman" w:hAnsi="Arial" w:cs="Arial"/>
          <w:lang w:eastAsia="es-CO"/>
        </w:rPr>
        <w:t>precisar</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que</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lo</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que</w:t>
      </w:r>
      <w:r w:rsidRPr="003B218A">
        <w:rPr>
          <w:rFonts w:ascii="Arial" w:eastAsia="Times New Roman" w:hAnsi="Arial" w:cs="Arial"/>
          <w:spacing w:val="-13"/>
          <w:lang w:eastAsia="es-CO"/>
        </w:rPr>
        <w:t xml:space="preserve"> </w:t>
      </w:r>
      <w:r w:rsidRPr="003B218A">
        <w:rPr>
          <w:rFonts w:ascii="Arial" w:eastAsia="Times New Roman" w:hAnsi="Arial" w:cs="Arial"/>
          <w:lang w:eastAsia="es-CO"/>
        </w:rPr>
        <w:t>supone</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dicha</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regulación</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no</w:t>
      </w:r>
      <w:r w:rsidRPr="003B218A">
        <w:rPr>
          <w:rFonts w:ascii="Arial" w:eastAsia="Times New Roman" w:hAnsi="Arial" w:cs="Arial"/>
          <w:spacing w:val="-13"/>
          <w:lang w:eastAsia="es-CO"/>
        </w:rPr>
        <w:t xml:space="preserve"> </w:t>
      </w:r>
      <w:r w:rsidRPr="003B218A">
        <w:rPr>
          <w:rFonts w:ascii="Arial" w:eastAsia="Times New Roman" w:hAnsi="Arial" w:cs="Arial"/>
          <w:lang w:eastAsia="es-CO"/>
        </w:rPr>
        <w:t>es</w:t>
      </w:r>
      <w:r w:rsidRPr="003B218A">
        <w:rPr>
          <w:rFonts w:ascii="Arial" w:eastAsia="Times New Roman" w:hAnsi="Arial" w:cs="Arial"/>
          <w:spacing w:val="-12"/>
          <w:lang w:eastAsia="es-CO"/>
        </w:rPr>
        <w:t xml:space="preserve"> </w:t>
      </w:r>
      <w:r w:rsidRPr="003B218A">
        <w:rPr>
          <w:rFonts w:ascii="Arial" w:eastAsia="Times New Roman" w:hAnsi="Arial" w:cs="Arial"/>
          <w:lang w:eastAsia="es-CO"/>
        </w:rPr>
        <w:t>que los proponentes tengan la facultad de presentar los documentos referentes a la futura</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contratación</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no</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necesarios</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para</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la</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comparación</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de</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las</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propuestas</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en</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cualquier</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momento anterior al inicio de la subasta, o que estén habilitados para retener tal</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 xml:space="preserve">documentación hasta dicho momento. Lo que hace el parágrafo 4° </w:t>
      </w:r>
      <w:r w:rsidRPr="003B218A">
        <w:rPr>
          <w:rFonts w:ascii="Arial" w:eastAsia="Times New Roman" w:hAnsi="Arial" w:cs="Arial"/>
          <w:i/>
          <w:lang w:eastAsia="es-CO"/>
        </w:rPr>
        <w:t xml:space="preserve">Ibídem </w:t>
      </w:r>
      <w:r w:rsidRPr="003B218A">
        <w:rPr>
          <w:rFonts w:ascii="Arial" w:eastAsia="Times New Roman" w:hAnsi="Arial" w:cs="Arial"/>
          <w:lang w:eastAsia="es-CO"/>
        </w:rPr>
        <w:t>es fijar el</w:t>
      </w:r>
      <w:r w:rsidRPr="003B218A">
        <w:rPr>
          <w:rFonts w:ascii="Arial" w:eastAsia="Times New Roman" w:hAnsi="Arial" w:cs="Arial"/>
          <w:spacing w:val="1"/>
          <w:lang w:eastAsia="es-CO"/>
        </w:rPr>
        <w:t xml:space="preserve"> </w:t>
      </w:r>
      <w:r w:rsidRPr="003B218A">
        <w:rPr>
          <w:rFonts w:ascii="Arial" w:eastAsia="Times New Roman" w:hAnsi="Arial" w:cs="Arial"/>
          <w:lang w:eastAsia="es-CO"/>
        </w:rPr>
        <w:t>momento hasta el cual las respectivas entidades pueden requerir a los proponentes la</w:t>
      </w:r>
      <w:r w:rsidRPr="003B218A">
        <w:rPr>
          <w:rFonts w:ascii="Arial" w:eastAsia="Times New Roman" w:hAnsi="Arial" w:cs="Arial"/>
          <w:spacing w:val="-59"/>
          <w:lang w:eastAsia="es-CO"/>
        </w:rPr>
        <w:t xml:space="preserve"> </w:t>
      </w:r>
      <w:r w:rsidRPr="003B218A">
        <w:rPr>
          <w:rFonts w:ascii="Arial" w:eastAsia="Times New Roman" w:hAnsi="Arial" w:cs="Arial"/>
          <w:lang w:eastAsia="es-CO"/>
        </w:rPr>
        <w:t xml:space="preserve">subsanación de los documentos faltantes, y definirles el momento de presentación, término que es de obligatorio cumplimiento para los proponentes. </w:t>
      </w:r>
    </w:p>
    <w:p w14:paraId="44B5FDD2" w14:textId="77777777" w:rsidR="003B218A" w:rsidRPr="003B218A" w:rsidRDefault="003B218A" w:rsidP="003B218A">
      <w:pPr>
        <w:spacing w:after="120" w:line="276" w:lineRule="auto"/>
        <w:ind w:firstLine="608"/>
        <w:jc w:val="both"/>
        <w:rPr>
          <w:rFonts w:ascii="Arial" w:eastAsia="Calibri" w:hAnsi="Arial" w:cs="Arial"/>
          <w:lang w:eastAsia="es-CO"/>
        </w:rPr>
      </w:pPr>
      <w:r w:rsidRPr="003B218A">
        <w:rPr>
          <w:rFonts w:ascii="Arial" w:eastAsia="Calibri" w:hAnsi="Arial" w:cs="Arial"/>
          <w:lang w:eastAsia="es-CO"/>
        </w:rPr>
        <w:lastRenderedPageBreak/>
        <w:t>De esta manera, la Ley 1150 de 2007 no consagra un término específico para que los oferentes subsanen los documentos mediante los cuales acreditan el cumplimiento de los requisitos necesarios para participar en procesos en los que se use el mecanismo de subasta. Sin embargo, el parágrafo 4° del artículo 5 de la Ley 1150 de 2007 establece que las entidades deberán solicitar la subsanación de tales requisitos hasta antes del inicio de la subasta, razón por la que estas deberán permitir a los proponentes subsanar los documentos que correspondan, para lo cual podrán fijar en el pliego de condiciones un término para que tengan lugar las subsanaciones, o fijarlo al solicitar a los proponentes la realización de las mismas, lo que en todo caso deberá ocurrir antes del inicio de la subasta.</w:t>
      </w:r>
    </w:p>
    <w:p w14:paraId="14D73B0E" w14:textId="77777777" w:rsidR="003B218A" w:rsidRPr="003B218A" w:rsidRDefault="003B218A" w:rsidP="003B218A">
      <w:pPr>
        <w:spacing w:before="120" w:after="120" w:line="276" w:lineRule="auto"/>
        <w:ind w:firstLine="608"/>
        <w:jc w:val="both"/>
        <w:rPr>
          <w:rFonts w:ascii="Arial" w:eastAsia="Calibri" w:hAnsi="Arial" w:cs="Arial"/>
          <w:lang w:val="es-ES_tradnl" w:eastAsia="es-CO"/>
        </w:rPr>
      </w:pPr>
      <w:r w:rsidRPr="003B218A">
        <w:rPr>
          <w:rFonts w:ascii="Arial" w:eastAsia="Calibri" w:hAnsi="Arial" w:cs="Arial"/>
          <w:lang w:val="es-ES_tradnl" w:eastAsia="es-CO"/>
        </w:rPr>
        <w:t xml:space="preserve">Conforme a lo anterior, a pesar de que no existe un término legal para que los proponentes subsanen los documentos mediante los cuales deben acreditar el cumplimiento de los requisitos exigidos para participar en procedimientos en que se utilice el mecanismo de subasta, el parágrafo 4° del artículo 5 de la Ley 1150 de 2007 establece una regla que permite a las entidades solicitar las correspondientes subsanaciones, dotando a estas de cierto margen de discrecionalidad para determinar el término o momento específico dentro del que deberá tener lugar la subsanación, que en todo caso deberá ser previo al inicio de la audiencia de subasta. </w:t>
      </w:r>
    </w:p>
    <w:p w14:paraId="200152CB" w14:textId="01C240A8" w:rsidR="003B218A" w:rsidRPr="004F7DAA" w:rsidRDefault="003B218A" w:rsidP="00C32387">
      <w:pPr>
        <w:spacing w:after="0" w:line="276" w:lineRule="auto"/>
        <w:ind w:right="49" w:firstLine="608"/>
        <w:jc w:val="both"/>
        <w:rPr>
          <w:rFonts w:ascii="Arial" w:eastAsia="Times New Roman" w:hAnsi="Arial" w:cs="Arial"/>
          <w:color w:val="000000"/>
          <w:szCs w:val="24"/>
          <w:lang w:eastAsia="es-ES_tradnl"/>
          <w14:ligatures w14:val="standardContextual"/>
        </w:rPr>
      </w:pPr>
      <w:r w:rsidRPr="004F7DAA">
        <w:rPr>
          <w:rFonts w:ascii="Arial" w:eastAsia="Times New Roman" w:hAnsi="Arial" w:cs="Arial"/>
          <w:color w:val="000000"/>
          <w:szCs w:val="24"/>
          <w:lang w:eastAsia="es-ES_tradnl"/>
          <w14:ligatures w14:val="standardContextual"/>
        </w:rPr>
        <w:t>Finalmente, debe señalarse que la normativa no restringe el número de veces que un proponente puede subsanar un determinado aspecto de la propuesta. En sentido, atendiendo a la consulta planteada, la posibilidad de subsanar varias veces la entrega de documentos dependerá de lo establecido en el pliego de condiciones.</w:t>
      </w:r>
      <w:r w:rsidR="006B06B5" w:rsidRPr="004F7DAA">
        <w:rPr>
          <w:rFonts w:ascii="Arial" w:eastAsia="Times New Roman" w:hAnsi="Arial" w:cs="Arial"/>
          <w:color w:val="000000"/>
          <w:szCs w:val="24"/>
          <w:lang w:eastAsia="es-ES_tradnl"/>
          <w14:ligatures w14:val="standardContextual"/>
        </w:rPr>
        <w:t xml:space="preserve"> No obstante, se advierte que habiéndose requerido </w:t>
      </w:r>
      <w:r w:rsidR="00F21242" w:rsidRPr="004F7DAA">
        <w:rPr>
          <w:rFonts w:ascii="Arial" w:eastAsia="Times New Roman" w:hAnsi="Arial" w:cs="Arial"/>
          <w:color w:val="000000"/>
          <w:szCs w:val="24"/>
          <w:lang w:eastAsia="es-ES_tradnl"/>
          <w14:ligatures w14:val="standardContextual"/>
        </w:rPr>
        <w:t>a un proponente para que subsane determinado aspecto, no deriva de la normativa un deber de requerir por segunda vez desde la entidad, cuando la subsanación fue defectuosa, máxime cuando el avance del proceso de contratación no puede quedar supeditado</w:t>
      </w:r>
      <w:r w:rsidR="00C32387" w:rsidRPr="004F7DAA">
        <w:rPr>
          <w:rFonts w:ascii="Arial" w:eastAsia="Times New Roman" w:hAnsi="Arial" w:cs="Arial"/>
          <w:color w:val="000000"/>
          <w:szCs w:val="24"/>
          <w:lang w:eastAsia="es-ES_tradnl"/>
          <w14:ligatures w14:val="standardContextual"/>
        </w:rPr>
        <w:t xml:space="preserve"> al comportamiento de un oferente.</w:t>
      </w:r>
      <w:r w:rsidR="00F21242" w:rsidRPr="004F7DAA">
        <w:rPr>
          <w:rFonts w:ascii="Arial" w:eastAsia="Times New Roman" w:hAnsi="Arial" w:cs="Arial"/>
          <w:color w:val="000000"/>
          <w:szCs w:val="24"/>
          <w:lang w:eastAsia="es-ES_tradnl"/>
          <w14:ligatures w14:val="standardContextual"/>
        </w:rPr>
        <w:t xml:space="preserve"> </w:t>
      </w:r>
      <w:r w:rsidRPr="004F7DAA">
        <w:rPr>
          <w:rFonts w:ascii="Arial" w:eastAsia="Times New Roman" w:hAnsi="Arial" w:cs="Arial"/>
          <w:color w:val="000000"/>
          <w:szCs w:val="24"/>
          <w:lang w:eastAsia="es-ES_tradnl"/>
          <w14:ligatures w14:val="standardContextual"/>
        </w:rPr>
        <w:t xml:space="preserve"> </w:t>
      </w:r>
    </w:p>
    <w:p w14:paraId="6DD1ECE4" w14:textId="77777777" w:rsidR="003B218A" w:rsidRPr="003B218A" w:rsidRDefault="003B218A" w:rsidP="003B218A">
      <w:pPr>
        <w:spacing w:after="0" w:line="276" w:lineRule="auto"/>
        <w:ind w:right="49" w:firstLine="608"/>
        <w:jc w:val="both"/>
        <w:rPr>
          <w:rFonts w:ascii="Arial" w:eastAsia="Times New Roman" w:hAnsi="Arial" w:cs="Arial"/>
          <w:color w:val="000000"/>
          <w:szCs w:val="24"/>
          <w:highlight w:val="yellow"/>
          <w:lang w:eastAsia="es-ES_tradnl"/>
          <w14:ligatures w14:val="standardContextual"/>
        </w:rPr>
      </w:pPr>
    </w:p>
    <w:p w14:paraId="2979DB0B" w14:textId="77777777" w:rsidR="003B218A" w:rsidRPr="003B218A" w:rsidRDefault="003B218A" w:rsidP="003B218A">
      <w:pPr>
        <w:spacing w:after="0" w:line="276" w:lineRule="auto"/>
        <w:jc w:val="both"/>
        <w:rPr>
          <w:rFonts w:ascii="Arial" w:eastAsia="Calibri" w:hAnsi="Arial" w:cs="Arial"/>
          <w:szCs w:val="24"/>
          <w:lang w:eastAsia="es-ES_tradnl"/>
          <w14:ligatures w14:val="standardContextual"/>
        </w:rPr>
      </w:pPr>
      <w:r w:rsidRPr="003B218A">
        <w:rPr>
          <w:rFonts w:ascii="Arial" w:eastAsia="Calibri" w:hAnsi="Arial" w:cs="Arial"/>
          <w:szCs w:val="24"/>
          <w:lang w:eastAsia="es-ES_tradnl"/>
          <w14:ligatures w14:val="standardContextu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2D50458" w14:textId="77777777" w:rsidR="003B218A" w:rsidRPr="003B218A" w:rsidRDefault="003B218A" w:rsidP="003B218A">
      <w:pPr>
        <w:spacing w:after="0" w:line="240" w:lineRule="auto"/>
        <w:jc w:val="both"/>
        <w:rPr>
          <w:rFonts w:ascii="Arial" w:eastAsia="Calibri" w:hAnsi="Arial" w:cs="Arial"/>
          <w14:ligatures w14:val="standardContextual"/>
        </w:rPr>
      </w:pPr>
      <w:r w:rsidRPr="003B218A">
        <w:rPr>
          <w:rFonts w:ascii="Times New Roman" w:eastAsia="Times New Roman" w:hAnsi="Times New Roman" w:cs="Times New Roman"/>
          <w:noProof/>
          <w:sz w:val="24"/>
          <w:szCs w:val="24"/>
          <w:lang w:eastAsia="es-ES_tradnl"/>
          <w14:ligatures w14:val="standardContextual"/>
        </w:rPr>
        <mc:AlternateContent>
          <mc:Choice Requires="wps">
            <w:drawing>
              <wp:anchor distT="4294967295" distB="4294967295" distL="114300" distR="114300" simplePos="0" relativeHeight="251658240" behindDoc="0" locked="0" layoutInCell="1" allowOverlap="1" wp14:anchorId="48CA57D6" wp14:editId="15987BA5">
                <wp:simplePos x="0" y="0"/>
                <wp:positionH relativeFrom="page">
                  <wp:posOffset>1514475</wp:posOffset>
                </wp:positionH>
                <wp:positionV relativeFrom="paragraph">
                  <wp:posOffset>10159</wp:posOffset>
                </wp:positionV>
                <wp:extent cx="4686300" cy="0"/>
                <wp:effectExtent l="0" t="0" r="0" b="0"/>
                <wp:wrapNone/>
                <wp:docPr id="1825285820" name="Straight Connector 1825285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BD5B1E" id="Straight Connector 1825285820"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" strokecolor="#dbdbdb">
                <o:lock v:ext="edit" shapetype="f"/>
                <w10:wrap anchorx="page"/>
              </v:line>
            </w:pict>
          </mc:Fallback>
        </mc:AlternateContent>
      </w:r>
    </w:p>
    <w:p w14:paraId="01148B86" w14:textId="77777777" w:rsidR="003B218A" w:rsidRPr="003B218A" w:rsidRDefault="003B218A" w:rsidP="003B218A">
      <w:pPr>
        <w:spacing w:after="0" w:line="276" w:lineRule="auto"/>
        <w:jc w:val="both"/>
        <w:rPr>
          <w:rFonts w:ascii="Arial" w:eastAsia="Times New Roman" w:hAnsi="Arial" w:cs="Arial"/>
          <w:szCs w:val="24"/>
          <w:lang w:val="es-ES_tradnl" w:eastAsia="es-CO"/>
          <w14:ligatures w14:val="standardContextual"/>
        </w:rPr>
      </w:pPr>
      <w:r w:rsidRPr="003B218A">
        <w:rPr>
          <w:rFonts w:ascii="Arial" w:eastAsia="Times New Roman" w:hAnsi="Arial" w:cs="Arial"/>
          <w:szCs w:val="24"/>
          <w:lang w:val="es-ES_tradnl" w:eastAsia="es-CO"/>
          <w14:ligatures w14:val="standardContextual"/>
        </w:rPr>
        <w:t xml:space="preserve">Atentamente, </w:t>
      </w:r>
    </w:p>
    <w:p w14:paraId="269996A2" w14:textId="77777777" w:rsidR="00705963" w:rsidRDefault="00705963" w:rsidP="00D06E97">
      <w:pPr>
        <w:spacing w:after="240" w:line="240" w:lineRule="auto"/>
        <w:ind w:left="708" w:hanging="708"/>
        <w:jc w:val="center"/>
        <w:rPr>
          <w:rFonts w:ascii="Arial" w:eastAsia="Yu Gothic UI Semibold" w:hAnsi="Arial" w:cs="Arial"/>
          <w:noProof/>
          <w:lang w:eastAsia="es-CO"/>
          <w14:ligatures w14:val="standardContextual"/>
        </w:rPr>
      </w:pPr>
    </w:p>
    <w:p w14:paraId="0C394835" w14:textId="0B8C760D" w:rsidR="003B218A" w:rsidRPr="003B218A" w:rsidRDefault="002F777C" w:rsidP="00D06E97">
      <w:pPr>
        <w:spacing w:after="240" w:line="240" w:lineRule="auto"/>
        <w:ind w:left="708" w:hanging="708"/>
        <w:jc w:val="center"/>
        <w:rPr>
          <w:rFonts w:ascii="Arial" w:eastAsia="Yu Gothic UI Semibold" w:hAnsi="Arial" w:cs="Arial"/>
          <w:noProof/>
          <w:highlight w:val="yellow"/>
          <w:lang w:eastAsia="es-CO"/>
          <w14:ligatures w14:val="standardContextual"/>
        </w:rPr>
      </w:pPr>
      <w:r>
        <w:rPr>
          <w:rFonts w:ascii="Arial" w:hAnsi="Arial" w:cs="Arial"/>
          <w:noProof/>
          <w:sz w:val="16"/>
          <w:szCs w:val="16"/>
          <w:lang w:val="es-ES"/>
        </w:rPr>
        <w:drawing>
          <wp:inline distT="0" distB="0" distL="0" distR="0" wp14:anchorId="734E10EC" wp14:editId="0296D3F3">
            <wp:extent cx="2964879" cy="1138687"/>
            <wp:effectExtent l="0" t="0" r="6985" b="444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8055" cy="1155269"/>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3B218A" w:rsidRPr="003B218A" w14:paraId="5BBCC3BC" w14:textId="77777777" w:rsidTr="00A86989">
        <w:trPr>
          <w:trHeight w:val="111"/>
        </w:trPr>
        <w:tc>
          <w:tcPr>
            <w:tcW w:w="1107" w:type="dxa"/>
            <w:vAlign w:val="center"/>
            <w:hideMark/>
          </w:tcPr>
          <w:p w14:paraId="0C93D966" w14:textId="77777777" w:rsidR="003B218A" w:rsidRPr="003B218A" w:rsidRDefault="003B218A" w:rsidP="003B218A">
            <w:pPr>
              <w:jc w:val="both"/>
              <w:rPr>
                <w:rFonts w:ascii="Arial" w:eastAsia="Yu Gothic UI Semibold" w:hAnsi="Arial" w:cs="Arial"/>
                <w:color w:val="000000" w:themeColor="text1"/>
                <w:sz w:val="16"/>
                <w:szCs w:val="16"/>
                <w:lang w:val="es-ES_tradnl" w:eastAsia="es-ES"/>
              </w:rPr>
            </w:pPr>
            <w:r w:rsidRPr="003B218A">
              <w:rPr>
                <w:rFonts w:ascii="Arial" w:eastAsia="Yu Gothic UI Semibold" w:hAnsi="Arial" w:cs="Arial"/>
                <w:color w:val="000000" w:themeColor="text1"/>
                <w:sz w:val="16"/>
                <w:szCs w:val="16"/>
                <w:lang w:val="es-ES_tradnl" w:eastAsia="es-ES"/>
              </w:rPr>
              <w:lastRenderedPageBreak/>
              <w:t>Elaboró:</w:t>
            </w:r>
          </w:p>
        </w:tc>
        <w:tc>
          <w:tcPr>
            <w:tcW w:w="5186" w:type="dxa"/>
            <w:tcBorders>
              <w:top w:val="nil"/>
              <w:left w:val="nil"/>
              <w:bottom w:val="dotted" w:sz="4" w:space="0" w:color="7F7F7F" w:themeColor="text1" w:themeTint="80"/>
              <w:right w:val="nil"/>
            </w:tcBorders>
            <w:vAlign w:val="center"/>
            <w:hideMark/>
          </w:tcPr>
          <w:p w14:paraId="1F07C941" w14:textId="77777777" w:rsidR="003B218A" w:rsidRPr="003B218A" w:rsidRDefault="003B218A" w:rsidP="003B218A">
            <w:pPr>
              <w:jc w:val="both"/>
              <w:rPr>
                <w:rFonts w:ascii="Arial" w:eastAsia="Yu Gothic UI Semibold" w:hAnsi="Arial" w:cs="Arial"/>
                <w:color w:val="000000" w:themeColor="text1"/>
                <w:sz w:val="16"/>
                <w:szCs w:val="16"/>
                <w:lang w:val="es-ES_tradnl" w:eastAsia="es-ES"/>
              </w:rPr>
            </w:pPr>
            <w:r w:rsidRPr="003B218A">
              <w:rPr>
                <w:rFonts w:ascii="Arial" w:eastAsia="Yu Gothic UI Semibold" w:hAnsi="Arial" w:cs="Arial"/>
                <w:color w:val="000000" w:themeColor="text1"/>
                <w:sz w:val="16"/>
                <w:szCs w:val="16"/>
                <w:lang w:val="es-ES_tradnl" w:eastAsia="es-ES"/>
              </w:rPr>
              <w:t xml:space="preserve">Diana Lucía Saavedra Castañeda </w:t>
            </w:r>
          </w:p>
          <w:p w14:paraId="08C07E5F" w14:textId="77777777" w:rsidR="003B218A" w:rsidRPr="003B218A" w:rsidRDefault="003B218A" w:rsidP="003B218A">
            <w:pPr>
              <w:jc w:val="both"/>
              <w:rPr>
                <w:rFonts w:ascii="Arial" w:eastAsia="Yu Gothic UI Semibold" w:hAnsi="Arial" w:cs="Arial"/>
                <w:color w:val="000000" w:themeColor="text1"/>
                <w:sz w:val="16"/>
                <w:szCs w:val="16"/>
                <w:lang w:val="es-ES_tradnl" w:eastAsia="es-ES"/>
              </w:rPr>
            </w:pPr>
            <w:r w:rsidRPr="003B218A">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3B218A" w:rsidRPr="003B218A" w14:paraId="71E4D896" w14:textId="77777777" w:rsidTr="00A86989">
        <w:trPr>
          <w:trHeight w:val="229"/>
        </w:trPr>
        <w:tc>
          <w:tcPr>
            <w:tcW w:w="1107" w:type="dxa"/>
            <w:vAlign w:val="center"/>
            <w:hideMark/>
          </w:tcPr>
          <w:p w14:paraId="73ADF4D9" w14:textId="77777777" w:rsidR="003B218A" w:rsidRPr="003B218A" w:rsidRDefault="003B218A" w:rsidP="003B218A">
            <w:pPr>
              <w:jc w:val="both"/>
              <w:rPr>
                <w:rFonts w:ascii="Arial" w:eastAsia="Yu Gothic UI Semibold" w:hAnsi="Arial" w:cs="Arial"/>
                <w:color w:val="000000" w:themeColor="text1"/>
                <w:sz w:val="16"/>
                <w:szCs w:val="16"/>
                <w:lang w:val="es-ES_tradnl" w:eastAsia="es-ES"/>
              </w:rPr>
            </w:pPr>
            <w:r w:rsidRPr="003B218A">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7397206A" w14:textId="77777777" w:rsidR="003B218A" w:rsidRPr="003B218A" w:rsidRDefault="003B218A" w:rsidP="003B218A">
            <w:pPr>
              <w:jc w:val="both"/>
              <w:rPr>
                <w:rFonts w:ascii="Arial" w:eastAsia="Times New Roman" w:hAnsi="Arial" w:cs="Arial"/>
                <w:sz w:val="16"/>
                <w:szCs w:val="16"/>
                <w:lang w:val="es-ES_tradnl" w:eastAsia="es-ES"/>
              </w:rPr>
            </w:pPr>
            <w:r w:rsidRPr="003B218A">
              <w:rPr>
                <w:rFonts w:ascii="Arial" w:eastAsia="Times New Roman" w:hAnsi="Arial" w:cs="Arial"/>
                <w:sz w:val="16"/>
                <w:szCs w:val="16"/>
                <w:lang w:val="es-ES_tradnl" w:eastAsia="es-ES"/>
              </w:rPr>
              <w:t xml:space="preserve">Alejandro Sarmiento Cantillo </w:t>
            </w:r>
          </w:p>
          <w:p w14:paraId="07C37ED1" w14:textId="77777777" w:rsidR="003B218A" w:rsidRPr="003B218A" w:rsidRDefault="003B218A" w:rsidP="003B218A">
            <w:pPr>
              <w:jc w:val="both"/>
              <w:rPr>
                <w:rFonts w:ascii="Arial" w:eastAsia="Yu Gothic UI Semibold" w:hAnsi="Arial" w:cs="Arial"/>
                <w:color w:val="000000" w:themeColor="text1"/>
                <w:sz w:val="16"/>
                <w:szCs w:val="16"/>
                <w:lang w:val="es-ES" w:eastAsia="es-ES"/>
              </w:rPr>
            </w:pPr>
            <w:r w:rsidRPr="003B218A">
              <w:rPr>
                <w:rFonts w:ascii="Arial" w:eastAsia="Times New Roman" w:hAnsi="Arial" w:cs="Arial"/>
                <w:sz w:val="16"/>
                <w:szCs w:val="16"/>
                <w:lang w:val="es-ES_tradnl" w:eastAsia="es-ES"/>
              </w:rPr>
              <w:t>Gestor T1-15 de la Subdirección de Gestión Contractual</w:t>
            </w:r>
          </w:p>
        </w:tc>
      </w:tr>
      <w:tr w:rsidR="003B218A" w:rsidRPr="003B218A" w14:paraId="5D789362" w14:textId="77777777" w:rsidTr="00A86989">
        <w:trPr>
          <w:trHeight w:val="208"/>
        </w:trPr>
        <w:tc>
          <w:tcPr>
            <w:tcW w:w="1107" w:type="dxa"/>
            <w:vAlign w:val="center"/>
            <w:hideMark/>
          </w:tcPr>
          <w:p w14:paraId="7355E953" w14:textId="77777777" w:rsidR="003B218A" w:rsidRPr="003B218A" w:rsidRDefault="003B218A" w:rsidP="003B218A">
            <w:pPr>
              <w:jc w:val="both"/>
              <w:rPr>
                <w:rFonts w:ascii="Arial" w:eastAsia="Yu Gothic UI Semibold" w:hAnsi="Arial" w:cs="Arial"/>
                <w:sz w:val="16"/>
                <w:szCs w:val="16"/>
                <w:lang w:val="es-ES_tradnl" w:eastAsia="es-ES"/>
              </w:rPr>
            </w:pPr>
            <w:r w:rsidRPr="003B218A">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41E518A7" w14:textId="77777777" w:rsidR="003B218A" w:rsidRPr="003B218A" w:rsidRDefault="003B218A" w:rsidP="003B218A">
            <w:pPr>
              <w:rPr>
                <w:rFonts w:ascii="Arial" w:eastAsia="Yu Gothic UI Semibold" w:hAnsi="Arial" w:cs="Arial"/>
                <w:color w:val="000000"/>
                <w:sz w:val="16"/>
                <w:szCs w:val="16"/>
                <w:lang w:eastAsia="es-ES_tradnl"/>
              </w:rPr>
            </w:pPr>
            <w:r w:rsidRPr="003B218A">
              <w:rPr>
                <w:rFonts w:ascii="Arial" w:eastAsia="Yu Gothic UI Semibold" w:hAnsi="Arial" w:cs="Arial"/>
                <w:color w:val="000000"/>
                <w:sz w:val="16"/>
                <w:szCs w:val="16"/>
                <w:lang w:eastAsia="es-ES_tradnl"/>
              </w:rPr>
              <w:t>Nohelia del Carmen Zawady Palacio</w:t>
            </w:r>
          </w:p>
          <w:p w14:paraId="0CEF901E" w14:textId="77777777" w:rsidR="003B218A" w:rsidRPr="003B218A" w:rsidRDefault="003B218A" w:rsidP="003B218A">
            <w:pPr>
              <w:jc w:val="both"/>
              <w:rPr>
                <w:rFonts w:ascii="Arial" w:eastAsia="Yu Gothic UI Semibold" w:hAnsi="Arial" w:cs="Arial"/>
                <w:color w:val="000000" w:themeColor="text1"/>
                <w:sz w:val="16"/>
                <w:szCs w:val="16"/>
                <w:lang w:val="es-ES_tradnl" w:eastAsia="es-ES"/>
              </w:rPr>
            </w:pPr>
            <w:r w:rsidRPr="003B218A">
              <w:rPr>
                <w:rFonts w:ascii="Arial" w:eastAsia="Yu Gothic UI Semibold" w:hAnsi="Arial" w:cs="Arial"/>
                <w:color w:val="000000"/>
                <w:sz w:val="16"/>
                <w:szCs w:val="16"/>
                <w:lang w:eastAsia="es-ES_tradnl"/>
              </w:rPr>
              <w:t>Subdirectora de Gestión Contractual ANCP – CCE</w:t>
            </w:r>
          </w:p>
        </w:tc>
      </w:tr>
    </w:tbl>
    <w:p w14:paraId="341A34EF" w14:textId="77777777" w:rsidR="00866B1E" w:rsidRPr="006219F8" w:rsidRDefault="00866B1E" w:rsidP="00866B1E">
      <w:pPr>
        <w:rPr>
          <w:lang w:val="es-MX"/>
        </w:rPr>
      </w:pPr>
    </w:p>
    <w:sectPr w:rsidR="00866B1E" w:rsidRPr="006219F8"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9836" w14:textId="77777777" w:rsidR="00B83EBE" w:rsidRDefault="00B83EBE" w:rsidP="004A1847">
      <w:pPr>
        <w:spacing w:after="0" w:line="240" w:lineRule="auto"/>
      </w:pPr>
      <w:r>
        <w:separator/>
      </w:r>
    </w:p>
  </w:endnote>
  <w:endnote w:type="continuationSeparator" w:id="0">
    <w:p w14:paraId="78EEF3B9" w14:textId="77777777" w:rsidR="00B83EBE" w:rsidRDefault="00B83EBE" w:rsidP="004A1847">
      <w:pPr>
        <w:spacing w:after="0" w:line="240" w:lineRule="auto"/>
      </w:pPr>
      <w:r>
        <w:continuationSeparator/>
      </w:r>
    </w:p>
  </w:endnote>
  <w:endnote w:type="continuationNotice" w:id="1">
    <w:p w14:paraId="2B22D358" w14:textId="77777777" w:rsidR="00B83EBE" w:rsidRDefault="00B83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Yu Gothic UI Semibold">
    <w:panose1 w:val="020B0700000000000000"/>
    <w:charset w:val="80"/>
    <w:family w:val="swiss"/>
    <w:pitch w:val="variable"/>
    <w:sig w:usb0="E00002FF" w:usb1="2AC7FDFF" w:usb2="00000016" w:usb3="00000000" w:csb0="0002009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28F1" w14:textId="77777777" w:rsidR="00B83EBE" w:rsidRDefault="00B83EBE" w:rsidP="004A1847">
      <w:pPr>
        <w:spacing w:after="0" w:line="240" w:lineRule="auto"/>
      </w:pPr>
      <w:r>
        <w:separator/>
      </w:r>
    </w:p>
  </w:footnote>
  <w:footnote w:type="continuationSeparator" w:id="0">
    <w:p w14:paraId="60A40084" w14:textId="77777777" w:rsidR="00B83EBE" w:rsidRDefault="00B83EBE" w:rsidP="004A1847">
      <w:pPr>
        <w:spacing w:after="0" w:line="240" w:lineRule="auto"/>
      </w:pPr>
      <w:r>
        <w:continuationSeparator/>
      </w:r>
    </w:p>
  </w:footnote>
  <w:footnote w:type="continuationNotice" w:id="1">
    <w:p w14:paraId="47C2FFF6" w14:textId="77777777" w:rsidR="00B83EBE" w:rsidRDefault="00B83EBE">
      <w:pPr>
        <w:spacing w:after="0" w:line="240" w:lineRule="auto"/>
      </w:pPr>
    </w:p>
  </w:footnote>
  <w:footnote w:id="2">
    <w:p w14:paraId="729586E7" w14:textId="007A8A28" w:rsidR="003B218A" w:rsidRPr="00722788" w:rsidRDefault="003B218A" w:rsidP="003B218A">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r w:rsidRPr="00722788">
        <w:rPr>
          <w:rFonts w:ascii="Arial" w:hAnsi="Arial" w:cs="Arial"/>
          <w:sz w:val="18"/>
          <w:szCs w:val="18"/>
          <w:vertAlign w:val="superscript"/>
        </w:rPr>
        <w:footnoteRef/>
      </w:r>
      <w:r w:rsidRPr="00722788">
        <w:rPr>
          <w:rFonts w:ascii="Arial" w:eastAsia="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22788">
        <w:rPr>
          <w:rFonts w:ascii="Arial" w:eastAsia="Arial" w:hAnsi="Arial" w:cs="Arial"/>
          <w:i/>
          <w:sz w:val="18"/>
          <w:szCs w:val="18"/>
        </w:rPr>
        <w:t xml:space="preserve">ibídem </w:t>
      </w:r>
      <w:r w:rsidRPr="00722788">
        <w:rPr>
          <w:rFonts w:ascii="Arial" w:eastAsia="Arial" w:hAnsi="Arial" w:cs="Arial"/>
          <w:sz w:val="18"/>
          <w:szCs w:val="18"/>
        </w:rPr>
        <w:t xml:space="preserve">señala, de manera precisa, las funciones de Colombia Compra Eficiente. Concretamente, el numeral 5º de este artículo establece que le corresponde a esta entidad: </w:t>
      </w:r>
      <w:r w:rsidR="00A86989">
        <w:rPr>
          <w:rFonts w:ascii="Arial" w:eastAsia="Arial" w:hAnsi="Arial" w:cs="Arial"/>
          <w:sz w:val="18"/>
          <w:szCs w:val="18"/>
        </w:rPr>
        <w:t>“</w:t>
      </w:r>
      <w:r w:rsidRPr="00722788">
        <w:rPr>
          <w:rFonts w:ascii="Arial" w:eastAsia="Arial" w:hAnsi="Arial" w:cs="Arial"/>
          <w:sz w:val="18"/>
          <w:szCs w:val="18"/>
        </w:rPr>
        <w:t>[a]bsolver consultas sobre la aplicación de normas de carácter general y expedir circulares externas en materia de compras y contratación pública</w:t>
      </w:r>
      <w:r w:rsidR="00A86989">
        <w:rPr>
          <w:rFonts w:ascii="Arial" w:eastAsia="Arial" w:hAnsi="Arial" w:cs="Arial"/>
          <w:sz w:val="18"/>
          <w:szCs w:val="18"/>
        </w:rPr>
        <w:t>”</w:t>
      </w:r>
      <w:r w:rsidRPr="00722788">
        <w:rPr>
          <w:rFonts w:ascii="Arial" w:eastAsia="Arial" w:hAnsi="Arial" w:cs="Arial"/>
          <w:sz w:val="18"/>
          <w:szCs w:val="18"/>
        </w:rPr>
        <w:t>. Esta se fija con límites claros, con el objeto de evitar que la Agencia actúe como una instancia de validación de las actuaciones de las entidades sujetas a la Ley 80 de 1993 o de los demás participantes de la contratación pública.</w:t>
      </w:r>
    </w:p>
    <w:p w14:paraId="6D654D77" w14:textId="77777777" w:rsidR="003B218A" w:rsidRPr="00722788" w:rsidRDefault="003B218A" w:rsidP="003B218A">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p>
  </w:footnote>
  <w:footnote w:id="3">
    <w:p w14:paraId="6259D0AE" w14:textId="77777777" w:rsidR="003B218A" w:rsidRPr="00722788" w:rsidRDefault="003B218A" w:rsidP="003B218A">
      <w:pPr>
        <w:pStyle w:val="Textonotapie"/>
        <w:ind w:firstLine="709"/>
        <w:contextualSpacing/>
        <w:jc w:val="both"/>
        <w:rPr>
          <w:rFonts w:ascii="Arial" w:hAnsi="Arial" w:cs="Arial"/>
          <w:sz w:val="18"/>
          <w:szCs w:val="18"/>
          <w:lang w:val="es-CO"/>
        </w:rPr>
      </w:pPr>
      <w:r w:rsidRPr="00722788">
        <w:rPr>
          <w:rStyle w:val="Refdenotaalpie"/>
          <w:rFonts w:ascii="Arial" w:hAnsi="Arial" w:cs="Arial"/>
          <w:sz w:val="18"/>
          <w:szCs w:val="18"/>
        </w:rPr>
        <w:footnoteRef/>
      </w:r>
      <w:r w:rsidRPr="00722788">
        <w:rPr>
          <w:rFonts w:ascii="Arial" w:hAnsi="Arial" w:cs="Arial"/>
          <w:sz w:val="18"/>
          <w:szCs w:val="18"/>
        </w:rPr>
        <w:t xml:space="preserve"> </w:t>
      </w:r>
      <w:r w:rsidRPr="00722788">
        <w:rPr>
          <w:rFonts w:ascii="Arial" w:hAnsi="Arial" w:cs="Arial"/>
          <w:sz w:val="18"/>
          <w:szCs w:val="18"/>
          <w:lang w:val="es-CO"/>
        </w:rPr>
        <w:t xml:space="preserve">Estos conceptos pueden ser consultados en la relatoría de la Agencia en el siguiente enlace: </w:t>
      </w:r>
      <w:hyperlink r:id="rId1" w:history="1">
        <w:r w:rsidRPr="00722788">
          <w:rPr>
            <w:rStyle w:val="Hipervnculo"/>
            <w:rFonts w:ascii="Arial" w:hAnsi="Arial" w:cs="Arial"/>
            <w:color w:val="000000" w:themeColor="text1"/>
            <w:sz w:val="18"/>
            <w:szCs w:val="18"/>
            <w:lang w:val="es-CO"/>
          </w:rPr>
          <w:t>https://relatoria.colombiacompra.gov.co/busqueda/conceptos#</w:t>
        </w:r>
      </w:hyperlink>
      <w:r w:rsidRPr="00722788">
        <w:rPr>
          <w:rFonts w:ascii="Arial" w:hAnsi="Arial" w:cs="Arial"/>
          <w:color w:val="000000" w:themeColor="text1"/>
          <w:sz w:val="18"/>
          <w:szCs w:val="18"/>
          <w:lang w:val="es-CO"/>
        </w:rPr>
        <w:t xml:space="preserve"> </w:t>
      </w:r>
    </w:p>
  </w:footnote>
  <w:footnote w:id="4">
    <w:p w14:paraId="2AA78631"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p w14:paraId="77D3DD9D" w14:textId="78F3FB6E"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Ley 80 de 1993. Art. 30.7: </w:t>
      </w:r>
      <w:r w:rsidR="00A86989">
        <w:rPr>
          <w:rFonts w:ascii="Arial" w:hAnsi="Arial" w:cs="Arial"/>
          <w:color w:val="000000" w:themeColor="text1"/>
          <w:sz w:val="18"/>
          <w:szCs w:val="18"/>
        </w:rPr>
        <w:t>“</w:t>
      </w:r>
      <w:r w:rsidRPr="00722788">
        <w:rPr>
          <w:rFonts w:ascii="Arial" w:hAnsi="Arial" w:cs="Arial"/>
          <w:color w:val="000000" w:themeColor="text1"/>
          <w:sz w:val="18"/>
          <w:szCs w:val="18"/>
        </w:rPr>
        <w:t>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00A86989">
        <w:rPr>
          <w:rFonts w:ascii="Arial" w:hAnsi="Arial" w:cs="Arial"/>
          <w:color w:val="000000" w:themeColor="text1"/>
          <w:sz w:val="18"/>
          <w:szCs w:val="18"/>
        </w:rPr>
        <w:t>”</w:t>
      </w:r>
      <w:r w:rsidRPr="00722788">
        <w:rPr>
          <w:rFonts w:ascii="Arial" w:hAnsi="Arial" w:cs="Arial"/>
          <w:color w:val="000000" w:themeColor="text1"/>
          <w:sz w:val="18"/>
          <w:szCs w:val="18"/>
        </w:rPr>
        <w:t xml:space="preserve">. </w:t>
      </w:r>
    </w:p>
    <w:p w14:paraId="15E9CBBF"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footnote>
  <w:footnote w:id="5">
    <w:p w14:paraId="453A0DAB" w14:textId="3038D137"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Ley 80 de 1993. Art. 30.8: </w:t>
      </w:r>
      <w:r w:rsidR="00A86989">
        <w:rPr>
          <w:rFonts w:ascii="Arial" w:hAnsi="Arial" w:cs="Arial"/>
          <w:color w:val="000000" w:themeColor="text1"/>
          <w:sz w:val="18"/>
          <w:szCs w:val="18"/>
        </w:rPr>
        <w:t>“</w:t>
      </w:r>
      <w:r w:rsidRPr="00722788">
        <w:rPr>
          <w:rFonts w:ascii="Arial" w:hAnsi="Arial" w:cs="Arial"/>
          <w:color w:val="000000" w:themeColor="text1"/>
          <w:sz w:val="18"/>
          <w:szCs w:val="18"/>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r w:rsidR="00A86989">
        <w:rPr>
          <w:rFonts w:ascii="Arial" w:hAnsi="Arial" w:cs="Arial"/>
          <w:color w:val="000000" w:themeColor="text1"/>
          <w:sz w:val="18"/>
          <w:szCs w:val="18"/>
        </w:rPr>
        <w:t>”</w:t>
      </w:r>
      <w:r w:rsidRPr="00722788">
        <w:rPr>
          <w:rFonts w:ascii="Arial" w:hAnsi="Arial" w:cs="Arial"/>
          <w:color w:val="000000" w:themeColor="text1"/>
          <w:sz w:val="18"/>
          <w:szCs w:val="18"/>
        </w:rPr>
        <w:t>.</w:t>
      </w:r>
    </w:p>
  </w:footnote>
  <w:footnote w:id="6">
    <w:p w14:paraId="5F2B2433"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p w14:paraId="15189285"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Consejo de Estado. Sección Tercera. Subsección C. Sentencia del 26 de febrero de 2014. Expediente: 25.804. Consejero Ponente: Enrique Gil Botero.</w:t>
      </w:r>
    </w:p>
  </w:footnote>
  <w:footnote w:id="7">
    <w:p w14:paraId="6AB9B18F"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p w14:paraId="70DDB275" w14:textId="4FEF6C0F"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Style w:val="Refdenotaalpie"/>
          <w:rFonts w:ascii="Arial" w:hAnsi="Arial" w:cs="Arial"/>
          <w:color w:val="000000" w:themeColor="text1"/>
          <w:sz w:val="18"/>
          <w:szCs w:val="18"/>
        </w:rPr>
        <w:t xml:space="preserve"> </w:t>
      </w:r>
      <w:r w:rsidRPr="00722788">
        <w:rPr>
          <w:rFonts w:ascii="Arial" w:hAnsi="Arial" w:cs="Arial"/>
          <w:color w:val="000000" w:themeColor="text1"/>
          <w:sz w:val="18"/>
          <w:szCs w:val="18"/>
        </w:rPr>
        <w:t xml:space="preserve">Ley 1150 de 2007, artículo 5, parágrafo 4°: </w:t>
      </w:r>
      <w:r w:rsidR="00A86989">
        <w:rPr>
          <w:rFonts w:ascii="Arial" w:hAnsi="Arial" w:cs="Arial"/>
          <w:color w:val="000000" w:themeColor="text1"/>
          <w:sz w:val="18"/>
          <w:szCs w:val="18"/>
        </w:rPr>
        <w:t>“</w:t>
      </w:r>
      <w:r w:rsidRPr="00722788">
        <w:rPr>
          <w:rFonts w:ascii="Arial" w:hAnsi="Arial" w:cs="Arial"/>
          <w:color w:val="000000" w:themeColor="text1"/>
          <w:sz w:val="18"/>
          <w:szCs w:val="18"/>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r w:rsidR="00A86989">
        <w:rPr>
          <w:rFonts w:ascii="Arial" w:hAnsi="Arial" w:cs="Arial"/>
          <w:color w:val="000000" w:themeColor="text1"/>
          <w:sz w:val="18"/>
          <w:szCs w:val="18"/>
        </w:rPr>
        <w:t>”</w:t>
      </w:r>
      <w:r w:rsidRPr="00722788">
        <w:rPr>
          <w:rFonts w:ascii="Arial" w:hAnsi="Arial" w:cs="Arial"/>
          <w:color w:val="000000" w:themeColor="text1"/>
          <w:sz w:val="18"/>
          <w:szCs w:val="18"/>
        </w:rPr>
        <w:t>.</w:t>
      </w:r>
    </w:p>
    <w:p w14:paraId="041427D8"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footnote>
  <w:footnote w:id="8">
    <w:p w14:paraId="14494E55" w14:textId="2B8D494C" w:rsidR="003B218A" w:rsidRPr="00722788" w:rsidRDefault="003B218A" w:rsidP="003B218A">
      <w:pPr>
        <w:pStyle w:val="NormalWeb"/>
        <w:shd w:val="clear" w:color="auto" w:fill="FFFFFF"/>
        <w:spacing w:after="0" w:line="240" w:lineRule="auto"/>
        <w:ind w:firstLine="708"/>
        <w:contextualSpacing/>
        <w:jc w:val="both"/>
        <w:rPr>
          <w:rFonts w:ascii="Arial" w:hAnsi="Arial" w:cs="Arial"/>
          <w:sz w:val="18"/>
          <w:szCs w:val="18"/>
          <w:lang w:val="es-ES"/>
        </w:rPr>
      </w:pPr>
      <w:r w:rsidRPr="00722788">
        <w:rPr>
          <w:rStyle w:val="Refdenotaalpie"/>
          <w:rFonts w:ascii="Arial" w:hAnsi="Arial" w:cs="Arial"/>
          <w:sz w:val="18"/>
          <w:szCs w:val="18"/>
        </w:rPr>
        <w:footnoteRef/>
      </w:r>
      <w:r w:rsidRPr="00722788">
        <w:rPr>
          <w:rFonts w:ascii="Arial" w:hAnsi="Arial" w:cs="Arial"/>
          <w:sz w:val="18"/>
          <w:szCs w:val="18"/>
        </w:rPr>
        <w:t xml:space="preserve"> </w:t>
      </w:r>
      <w:r w:rsidR="00A86989">
        <w:rPr>
          <w:rFonts w:ascii="Arial" w:hAnsi="Arial" w:cs="Arial"/>
          <w:sz w:val="18"/>
          <w:szCs w:val="18"/>
        </w:rPr>
        <w:t>“</w:t>
      </w:r>
      <w:r w:rsidRPr="00722788">
        <w:rPr>
          <w:rFonts w:ascii="Arial" w:hAnsi="Arial" w:cs="Arial"/>
          <w:bCs/>
          <w:sz w:val="18"/>
          <w:szCs w:val="18"/>
          <w:shd w:val="clear" w:color="auto" w:fill="FFFFFF"/>
        </w:rPr>
        <w:t>2.2.1.2.1.5.2</w:t>
      </w:r>
      <w:r w:rsidRPr="00722788">
        <w:rPr>
          <w:rFonts w:ascii="Arial" w:hAnsi="Arial" w:cs="Arial"/>
          <w:sz w:val="18"/>
          <w:szCs w:val="18"/>
          <w:lang w:val="es-ES"/>
        </w:rPr>
        <w:t xml:space="preserve">5. </w:t>
      </w:r>
      <w:r w:rsidRPr="00722788">
        <w:rPr>
          <w:rFonts w:ascii="Arial" w:hAnsi="Arial" w:cs="Arial"/>
          <w:bCs/>
          <w:sz w:val="18"/>
          <w:szCs w:val="18"/>
          <w:lang w:val="es-ES"/>
        </w:rPr>
        <w:t>Procedimiento para la contratación de mínima cuantía.</w:t>
      </w:r>
      <w:r w:rsidRPr="00722788">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5B4EC395" w14:textId="77777777" w:rsidR="003B218A" w:rsidRPr="00722788" w:rsidRDefault="003B218A" w:rsidP="003B218A">
      <w:pPr>
        <w:pStyle w:val="NormalWeb"/>
        <w:shd w:val="clear" w:color="auto" w:fill="FFFFFF"/>
        <w:spacing w:after="0" w:line="240" w:lineRule="auto"/>
        <w:ind w:firstLine="708"/>
        <w:contextualSpacing/>
        <w:jc w:val="both"/>
        <w:rPr>
          <w:rFonts w:ascii="Arial" w:hAnsi="Arial" w:cs="Arial"/>
          <w:sz w:val="18"/>
          <w:szCs w:val="18"/>
          <w:lang w:val="es-ES"/>
        </w:rPr>
      </w:pPr>
      <w:r w:rsidRPr="00722788">
        <w:rPr>
          <w:rFonts w:ascii="Arial" w:hAnsi="Arial" w:cs="Arial"/>
          <w:sz w:val="18"/>
          <w:szCs w:val="18"/>
          <w:lang w:val="es-ES"/>
        </w:rPr>
        <w:t>[…]</w:t>
      </w:r>
    </w:p>
    <w:p w14:paraId="77B20783" w14:textId="10EF269F" w:rsidR="003B218A" w:rsidRPr="00722788" w:rsidRDefault="00A86989" w:rsidP="003B218A">
      <w:pPr>
        <w:pStyle w:val="NormalWeb"/>
        <w:shd w:val="clear" w:color="auto" w:fill="FFFFFF"/>
        <w:spacing w:after="0" w:line="240" w:lineRule="auto"/>
        <w:ind w:firstLine="708"/>
        <w:contextualSpacing/>
        <w:jc w:val="both"/>
        <w:rPr>
          <w:rFonts w:ascii="Arial" w:hAnsi="Arial" w:cs="Arial"/>
          <w:sz w:val="18"/>
          <w:szCs w:val="18"/>
          <w:lang w:val="es-ES"/>
        </w:rPr>
      </w:pPr>
      <w:r>
        <w:rPr>
          <w:rFonts w:ascii="Arial" w:hAnsi="Arial" w:cs="Arial"/>
          <w:sz w:val="18"/>
          <w:szCs w:val="18"/>
        </w:rPr>
        <w:t>“</w:t>
      </w:r>
      <w:r w:rsidR="003B218A" w:rsidRPr="00722788">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003B218A" w:rsidRPr="00722788">
          <w:rPr>
            <w:rFonts w:ascii="Arial" w:hAnsi="Arial" w:cs="Arial"/>
            <w:sz w:val="18"/>
            <w:szCs w:val="18"/>
            <w:u w:val="single"/>
            <w:lang w:val="es-ES"/>
          </w:rPr>
          <w:t>5 </w:t>
        </w:r>
      </w:hyperlink>
      <w:r w:rsidR="003B218A" w:rsidRPr="00722788">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Pr>
          <w:rFonts w:ascii="Arial" w:hAnsi="Arial" w:cs="Arial"/>
          <w:sz w:val="18"/>
          <w:szCs w:val="18"/>
        </w:rPr>
        <w:t>”</w:t>
      </w:r>
      <w:r w:rsidR="003B218A" w:rsidRPr="00722788">
        <w:rPr>
          <w:rFonts w:ascii="Arial" w:hAnsi="Arial" w:cs="Arial"/>
          <w:sz w:val="18"/>
          <w:szCs w:val="18"/>
          <w:lang w:val="es-ES"/>
        </w:rPr>
        <w:t>.</w:t>
      </w:r>
    </w:p>
    <w:p w14:paraId="03D72B5F" w14:textId="77777777" w:rsidR="003B218A" w:rsidRPr="00722788" w:rsidRDefault="003B218A" w:rsidP="003B218A">
      <w:pPr>
        <w:pStyle w:val="Textonotapie"/>
        <w:contextualSpacing/>
        <w:rPr>
          <w:rFonts w:ascii="Arial" w:hAnsi="Arial" w:cs="Arial"/>
          <w:sz w:val="18"/>
          <w:szCs w:val="18"/>
          <w:lang w:val="es-ES"/>
        </w:rPr>
      </w:pPr>
    </w:p>
  </w:footnote>
  <w:footnote w:id="9">
    <w:p w14:paraId="70A79BDF" w14:textId="7F21BD3F"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w:t>
      </w:r>
      <w:r w:rsidR="00A86989">
        <w:rPr>
          <w:rFonts w:ascii="Arial" w:hAnsi="Arial" w:cs="Arial"/>
          <w:color w:val="000000" w:themeColor="text1"/>
          <w:sz w:val="18"/>
          <w:szCs w:val="18"/>
        </w:rPr>
        <w:t>“</w:t>
      </w:r>
      <w:r w:rsidRPr="00722788">
        <w:rPr>
          <w:rFonts w:ascii="Arial" w:hAnsi="Arial" w:cs="Arial"/>
          <w:color w:val="000000" w:themeColor="text1"/>
          <w:sz w:val="18"/>
          <w:szCs w:val="18"/>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6913BB56" w14:textId="7812E2B1"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Fonts w:ascii="Arial" w:hAnsi="Arial" w:cs="Arial"/>
          <w:color w:val="000000" w:themeColor="text1"/>
          <w:sz w:val="18"/>
          <w:szCs w:val="18"/>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r w:rsidRPr="00722788">
        <w:rPr>
          <w:rFonts w:ascii="Arial" w:hAnsi="Arial" w:cs="Arial"/>
          <w:color w:val="000000" w:themeColor="text1"/>
          <w:sz w:val="18"/>
          <w:szCs w:val="18"/>
        </w:rPr>
        <w:t>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00A86989">
        <w:rPr>
          <w:rFonts w:ascii="Arial" w:hAnsi="Arial" w:cs="Arial"/>
          <w:color w:val="000000" w:themeColor="text1"/>
          <w:sz w:val="18"/>
          <w:szCs w:val="18"/>
        </w:rPr>
        <w:t>”</w:t>
      </w:r>
      <w:r w:rsidRPr="00722788">
        <w:rPr>
          <w:rFonts w:ascii="Arial" w:hAnsi="Arial" w:cs="Arial"/>
          <w:color w:val="000000" w:themeColor="text1"/>
          <w:sz w:val="18"/>
          <w:szCs w:val="18"/>
        </w:rPr>
        <w:t xml:space="preserve"> (Consejo de Estado. Sala de Consulta y Servicio Civil. Concepto del 6 de noviembre de 2008. Expediente: 1927. Consejero Ponente: William Zambrano Cetina).</w:t>
      </w:r>
    </w:p>
    <w:p w14:paraId="3506BFDD"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footnote>
  <w:footnote w:id="10">
    <w:p w14:paraId="5EFB5128" w14:textId="02268B93"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sz w:val="18"/>
          <w:szCs w:val="18"/>
        </w:rPr>
        <w:footnoteRef/>
      </w:r>
      <w:r w:rsidRPr="00722788">
        <w:rPr>
          <w:rFonts w:ascii="Arial" w:hAnsi="Arial" w:cs="Arial"/>
          <w:sz w:val="18"/>
          <w:szCs w:val="18"/>
        </w:rPr>
        <w:t xml:space="preserve"> </w:t>
      </w:r>
      <w:r w:rsidRPr="00722788">
        <w:rPr>
          <w:rFonts w:ascii="Arial" w:hAnsi="Arial" w:cs="Arial"/>
          <w:color w:val="000000" w:themeColor="text1"/>
          <w:sz w:val="18"/>
          <w:szCs w:val="18"/>
        </w:rPr>
        <w:t xml:space="preserve">En armonía con lo anterior, actualmente la Circular Externa Única de Colombia Compra Eficiente señala lo siguiente: </w:t>
      </w:r>
      <w:r w:rsidR="00A86989">
        <w:rPr>
          <w:rFonts w:ascii="Arial" w:hAnsi="Arial" w:cs="Arial"/>
          <w:color w:val="000000" w:themeColor="text1"/>
          <w:sz w:val="18"/>
          <w:szCs w:val="18"/>
        </w:rPr>
        <w:t>“</w:t>
      </w:r>
      <w:r w:rsidRPr="00722788">
        <w:rPr>
          <w:rFonts w:ascii="Arial" w:hAnsi="Arial" w:cs="Arial"/>
          <w:color w:val="000000" w:themeColor="text1"/>
          <w:sz w:val="18"/>
          <w:szCs w:val="18"/>
        </w:rPr>
        <w:t xml:space="preserve">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6A655D7F" w14:textId="078F890E"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Fonts w:ascii="Arial" w:hAnsi="Arial" w:cs="Arial"/>
          <w:color w:val="000000" w:themeColor="text1"/>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w:t>
      </w:r>
      <w:r w:rsidR="00A86989">
        <w:rPr>
          <w:rFonts w:ascii="Arial" w:hAnsi="Arial" w:cs="Arial"/>
          <w:color w:val="000000" w:themeColor="text1"/>
          <w:sz w:val="18"/>
          <w:szCs w:val="18"/>
        </w:rPr>
        <w:t>“</w:t>
      </w:r>
      <w:r w:rsidRPr="00722788">
        <w:rPr>
          <w:rFonts w:ascii="Arial" w:hAnsi="Arial" w:cs="Arial"/>
          <w:color w:val="000000" w:themeColor="text1"/>
          <w:sz w:val="18"/>
          <w:szCs w:val="18"/>
        </w:rPr>
        <w:t>circunstancias ocurridas con posterioridad al cierre del proceso</w:t>
      </w:r>
      <w:r w:rsidR="00A86989">
        <w:rPr>
          <w:rFonts w:ascii="Arial" w:hAnsi="Arial" w:cs="Arial"/>
          <w:color w:val="000000" w:themeColor="text1"/>
          <w:sz w:val="18"/>
          <w:szCs w:val="18"/>
        </w:rPr>
        <w:t>”</w:t>
      </w:r>
      <w:r w:rsidRPr="00722788">
        <w:rPr>
          <w:rFonts w:ascii="Arial" w:hAnsi="Arial" w:cs="Arial"/>
          <w:color w:val="000000" w:themeColor="text1"/>
          <w:sz w:val="18"/>
          <w:szCs w:val="18"/>
        </w:rPr>
        <w:t xml:space="preserve">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w:t>
      </w:r>
      <w:r w:rsidR="00A86989">
        <w:rPr>
          <w:rFonts w:ascii="Arial" w:hAnsi="Arial" w:cs="Arial"/>
          <w:color w:val="000000" w:themeColor="text1"/>
          <w:sz w:val="18"/>
          <w:szCs w:val="18"/>
        </w:rPr>
        <w:t>”</w:t>
      </w:r>
      <w:r w:rsidRPr="00722788">
        <w:rPr>
          <w:rFonts w:ascii="Arial" w:hAnsi="Arial" w:cs="Arial"/>
          <w:color w:val="000000" w:themeColor="text1"/>
          <w:sz w:val="18"/>
          <w:szCs w:val="18"/>
        </w:rPr>
        <w:t xml:space="preserve">. (Disponible en: </w:t>
      </w:r>
      <w:hyperlink r:id="rId3" w:history="1">
        <w:r w:rsidRPr="00722788">
          <w:rPr>
            <w:rFonts w:ascii="Arial" w:hAnsi="Arial" w:cs="Arial"/>
            <w:sz w:val="18"/>
            <w:szCs w:val="18"/>
          </w:rPr>
          <w:t>https://www.colombiacompra.gov.co/content/circular-unica-externa</w:t>
        </w:r>
      </w:hyperlink>
      <w:r w:rsidRPr="00722788">
        <w:rPr>
          <w:rFonts w:ascii="Arial" w:hAnsi="Arial" w:cs="Arial"/>
          <w:color w:val="000000" w:themeColor="text1"/>
          <w:sz w:val="18"/>
          <w:szCs w:val="18"/>
        </w:rPr>
        <w:t xml:space="preserve">). </w:t>
      </w:r>
    </w:p>
    <w:p w14:paraId="4DC0B58A" w14:textId="77777777" w:rsidR="003B218A" w:rsidRPr="00722788" w:rsidRDefault="003B218A" w:rsidP="003B218A">
      <w:pPr>
        <w:pStyle w:val="Textonotapie"/>
        <w:ind w:firstLine="709"/>
        <w:contextualSpacing/>
        <w:jc w:val="both"/>
        <w:rPr>
          <w:rFonts w:ascii="Arial" w:hAnsi="Arial" w:cs="Arial"/>
          <w:sz w:val="18"/>
          <w:szCs w:val="18"/>
        </w:rPr>
      </w:pPr>
    </w:p>
  </w:footnote>
  <w:footnote w:id="11">
    <w:p w14:paraId="75015841"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Ver Consejo de Estado, Sección Tercera, Subsección C. Sentencia del 26 de febrero de 2011. C.P. Jaime Orlando Santofimio. Rad. 36.408. </w:t>
      </w:r>
    </w:p>
    <w:p w14:paraId="4FA3AFBF"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footnote>
  <w:footnote w:id="12">
    <w:p w14:paraId="559A0F39"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Ver Consejo de Estado, Sección Tercera, Subsección C. Sentencia del 26 de febrero de 2014. C.P. Enrique Gil Botero. Rad. 25.804. </w:t>
      </w:r>
    </w:p>
    <w:p w14:paraId="1246D992"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footnote>
  <w:footnote w:id="13">
    <w:p w14:paraId="4315840A"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Consejo de Estado. Sala de Consulta y Servicio Civil. Concepto del 20 de mayo de 2010. Expediente: 1992. Consejero Ponente: Enrique José Arboleda Perdomo.</w:t>
      </w:r>
    </w:p>
    <w:p w14:paraId="2B7750D8" w14:textId="77777777" w:rsidR="003B218A" w:rsidRPr="00722788" w:rsidRDefault="003B218A" w:rsidP="003B218A">
      <w:pPr>
        <w:pStyle w:val="Textonotapie"/>
        <w:ind w:firstLine="709"/>
        <w:contextualSpacing/>
        <w:jc w:val="both"/>
        <w:rPr>
          <w:rFonts w:ascii="Arial" w:hAnsi="Arial" w:cs="Arial"/>
          <w:color w:val="000000" w:themeColor="text1"/>
          <w:sz w:val="18"/>
          <w:szCs w:val="18"/>
        </w:rPr>
      </w:pPr>
    </w:p>
  </w:footnote>
  <w:footnote w:id="14">
    <w:p w14:paraId="1B6546D0" w14:textId="3D70ED92"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Style w:val="Refdenotaalpie"/>
          <w:rFonts w:ascii="Arial" w:hAnsi="Arial" w:cs="Arial"/>
          <w:color w:val="000000" w:themeColor="text1"/>
          <w:sz w:val="18"/>
          <w:szCs w:val="18"/>
        </w:rPr>
        <w:footnoteRef/>
      </w:r>
      <w:r w:rsidRPr="00722788">
        <w:rPr>
          <w:rFonts w:ascii="Arial" w:hAnsi="Arial" w:cs="Arial"/>
          <w:color w:val="000000" w:themeColor="text1"/>
          <w:sz w:val="18"/>
          <w:szCs w:val="18"/>
        </w:rPr>
        <w:t xml:space="preserve"> Ley 1150 de 2007 </w:t>
      </w:r>
      <w:r w:rsidR="00A86989">
        <w:rPr>
          <w:rFonts w:ascii="Arial" w:hAnsi="Arial" w:cs="Arial"/>
          <w:color w:val="000000" w:themeColor="text1"/>
          <w:sz w:val="18"/>
          <w:szCs w:val="18"/>
          <w:lang w:val="es-CO"/>
        </w:rPr>
        <w:t>“</w:t>
      </w:r>
      <w:r w:rsidRPr="00722788">
        <w:rPr>
          <w:rFonts w:ascii="Arial" w:hAnsi="Arial" w:cs="Arial"/>
          <w:color w:val="000000" w:themeColor="text1"/>
          <w:sz w:val="18"/>
          <w:szCs w:val="18"/>
          <w:lang w:val="es-CO"/>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175A52F6" w14:textId="28899A8E"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1. Licitación pública. La escogencia del contratista se efectuará por regla general a través de licitación pública, con las excepciones que se señalan en los numerales 2, 3 y 4 del presente artículo.</w:t>
      </w:r>
    </w:p>
    <w:p w14:paraId="7F2D6016" w14:textId="77777777"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i/>
          <w:iCs/>
          <w:color w:val="000000" w:themeColor="text1"/>
          <w:sz w:val="18"/>
          <w:szCs w:val="18"/>
          <w:lang w:val="es-CO"/>
        </w:rPr>
        <w:t>Cuando la entidad estatal así lo determine, la oferta en un proceso de la licitación pública podrá ser presentada total o parcialmente de manera dinámica mediante subasta inversa, en las condiciones que fije el reglamento</w:t>
      </w:r>
      <w:r w:rsidRPr="00722788">
        <w:rPr>
          <w:rFonts w:ascii="Arial" w:hAnsi="Arial" w:cs="Arial"/>
          <w:color w:val="000000" w:themeColor="text1"/>
          <w:sz w:val="18"/>
          <w:szCs w:val="18"/>
          <w:lang w:val="es-CO"/>
        </w:rPr>
        <w:t>.</w:t>
      </w:r>
    </w:p>
    <w:p w14:paraId="0ACC1917" w14:textId="41FB0377"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 xml:space="preserve">2. Selección abreviada. La Selección abreviada corresponde a la modalidad de selección objetiva prevista para aquellos casos en </w:t>
      </w:r>
      <w:r w:rsidRPr="00722788">
        <w:rPr>
          <w:rFonts w:ascii="Arial" w:hAnsi="Arial" w:cs="Arial"/>
          <w:color w:val="000000" w:themeColor="text1"/>
          <w:sz w:val="18"/>
          <w:szCs w:val="18"/>
          <w:lang w:val="es-CO"/>
        </w:rPr>
        <w:t>que por las características del objeto a contratar, las circunstancias de la contratación o la cuantía o destinación del bien, obra o servicio, puedan adelantarse procesos simplificados para garantizar la eficiencia de la gestión contractual.</w:t>
      </w:r>
    </w:p>
    <w:p w14:paraId="52EB4CD0" w14:textId="55C0C9D1"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El Gobierno Nacional reglamentará la materia.</w:t>
      </w:r>
    </w:p>
    <w:p w14:paraId="27EEB004" w14:textId="600B2BBE"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Serán causales de selección abreviada las siguientes:</w:t>
      </w:r>
    </w:p>
    <w:p w14:paraId="0AE344E0" w14:textId="279A098B"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4BD5FA6D" w14:textId="5B6CD417" w:rsidR="003B218A" w:rsidRPr="00722788" w:rsidRDefault="003B218A" w:rsidP="003B218A">
      <w:pPr>
        <w:pStyle w:val="Textonotapie"/>
        <w:ind w:firstLine="705"/>
        <w:contextualSpacing/>
        <w:jc w:val="both"/>
        <w:rPr>
          <w:rFonts w:ascii="Arial" w:hAnsi="Arial" w:cs="Arial"/>
          <w:color w:val="000000" w:themeColor="text1"/>
          <w:sz w:val="18"/>
          <w:szCs w:val="18"/>
          <w:lang w:val="es-CO"/>
        </w:rPr>
      </w:pPr>
      <w:r w:rsidRPr="00722788">
        <w:rPr>
          <w:rFonts w:ascii="Arial" w:hAnsi="Arial" w:cs="Arial"/>
          <w:i/>
          <w:iCs/>
          <w:color w:val="000000" w:themeColor="text1"/>
          <w:sz w:val="18"/>
          <w:szCs w:val="18"/>
          <w:lang w:val="es-CO"/>
        </w:rPr>
        <w:t>Para la adquisición de estos bienes y servicios las entidades deberán, siempre que el reglamento así lo señale, hacer uso de procedimientos de subasta inversa</w:t>
      </w:r>
      <w:r w:rsidRPr="00722788">
        <w:rPr>
          <w:rFonts w:ascii="Arial" w:hAnsi="Arial" w:cs="Arial"/>
          <w:color w:val="000000" w:themeColor="text1"/>
          <w:sz w:val="18"/>
          <w:szCs w:val="18"/>
          <w:lang w:val="es-CO"/>
        </w:rPr>
        <w:t xml:space="preserve"> o de instrumentos de compra por catálogo derivados de la celebración de acuerdos marco de precios o de procedimientos de adquisición en bolsas de productos; </w:t>
      </w:r>
    </w:p>
    <w:p w14:paraId="6AF4F226" w14:textId="77777777" w:rsidR="003B218A" w:rsidRPr="00722788" w:rsidRDefault="003B218A" w:rsidP="003B218A">
      <w:pPr>
        <w:pStyle w:val="Textonotapie"/>
        <w:ind w:left="705"/>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w:t>
      </w:r>
    </w:p>
    <w:p w14:paraId="51FA91BE" w14:textId="791151D7"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e) La enajenación de bienes del Estado, con excepción de aquellos a que se refiere la Ley 226 de 1995.</w:t>
      </w:r>
    </w:p>
    <w:p w14:paraId="14B5FC45" w14:textId="287D9CFE"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i/>
          <w:iCs/>
          <w:color w:val="000000" w:themeColor="text1"/>
          <w:sz w:val="18"/>
          <w:szCs w:val="18"/>
          <w:lang w:val="es-CO"/>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722788">
        <w:rPr>
          <w:rFonts w:ascii="Arial" w:hAnsi="Arial" w:cs="Arial"/>
          <w:color w:val="000000" w:themeColor="text1"/>
          <w:sz w:val="18"/>
          <w:szCs w:val="18"/>
          <w:lang w:val="es-CO"/>
        </w:rPr>
        <w:t>.</w:t>
      </w:r>
    </w:p>
    <w:p w14:paraId="249B992B" w14:textId="75FC87B9"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w:t>
      </w:r>
    </w:p>
    <w:p w14:paraId="004FBFA5" w14:textId="73EFC109"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Las reglas y procedimientos que deberán atender la administración y los promotores y la publicidad del proceso deberán garantizar la libre concurrencia y oportunidad de quienes participen en el mismo.</w:t>
      </w:r>
    </w:p>
    <w:p w14:paraId="0E77D930" w14:textId="6FF886FD"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i/>
          <w:iCs/>
          <w:color w:val="000000" w:themeColor="text1"/>
          <w:sz w:val="18"/>
          <w:szCs w:val="18"/>
          <w:lang w:val="es-CO"/>
        </w:rPr>
        <w:t>Los bienes serán enajenados a través de venta directa en sobre cerrado o en pública subasta</w:t>
      </w:r>
      <w:r w:rsidRPr="00722788">
        <w:rPr>
          <w:rFonts w:ascii="Arial" w:hAnsi="Arial" w:cs="Arial"/>
          <w:color w:val="000000" w:themeColor="text1"/>
          <w:sz w:val="18"/>
          <w:szCs w:val="18"/>
          <w:lang w:val="es-CO"/>
        </w:rPr>
        <w:t xml:space="preserve">. La adjudicación para la venta directa deberá hacerse en audiencia pública, en donde se conozcan las ofertas iniciales y se efectúe un segundo ofrecimiento, frente al cual se adjudicará el bien a quien oferte el mejor precio. </w:t>
      </w:r>
      <w:r w:rsidRPr="00722788">
        <w:rPr>
          <w:rFonts w:ascii="Arial" w:hAnsi="Arial" w:cs="Arial"/>
          <w:i/>
          <w:iCs/>
          <w:color w:val="000000" w:themeColor="text1"/>
          <w:sz w:val="18"/>
          <w:szCs w:val="18"/>
          <w:lang w:val="es-CO"/>
        </w:rPr>
        <w:t>En la subasta pública, de acuerdo con el reglamento definido para su realización, el bien será adjudicado al mejor postor</w:t>
      </w:r>
      <w:r w:rsidRPr="00722788">
        <w:rPr>
          <w:rFonts w:ascii="Arial" w:hAnsi="Arial" w:cs="Arial"/>
          <w:color w:val="000000" w:themeColor="text1"/>
          <w:sz w:val="18"/>
          <w:szCs w:val="18"/>
          <w:lang w:val="es-CO"/>
        </w:rPr>
        <w:t>.</w:t>
      </w:r>
    </w:p>
    <w:p w14:paraId="26D3BB6A" w14:textId="2C5F9411"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Fonts w:ascii="Arial" w:hAnsi="Arial" w:cs="Arial"/>
          <w:color w:val="000000" w:themeColor="text1"/>
          <w:sz w:val="18"/>
          <w:szCs w:val="18"/>
          <w:lang w:val="es-CO"/>
        </w:rPr>
        <w:t>La venta implica la publicación previa de los bienes en un diario de amplia circulación nacional, con la determinación del precio base. El interesado en adquirir bienes deberá consignar al menos el 20% del valor base de venta para participar en la oferta […]</w:t>
      </w:r>
      <w:r w:rsidR="00A86989">
        <w:rPr>
          <w:rFonts w:ascii="Arial" w:hAnsi="Arial" w:cs="Arial"/>
          <w:color w:val="000000" w:themeColor="text1"/>
          <w:sz w:val="18"/>
          <w:szCs w:val="18"/>
          <w:lang w:val="es-CO"/>
        </w:rPr>
        <w:t>”</w:t>
      </w:r>
      <w:r w:rsidRPr="00722788">
        <w:rPr>
          <w:rFonts w:ascii="Arial" w:hAnsi="Arial" w:cs="Arial"/>
          <w:color w:val="000000" w:themeColor="text1"/>
          <w:sz w:val="18"/>
          <w:szCs w:val="18"/>
          <w:lang w:val="es-CO"/>
        </w:rPr>
        <w:t>. (Cursivas fuera del original).</w:t>
      </w:r>
    </w:p>
    <w:p w14:paraId="23C9A376" w14:textId="77777777" w:rsidR="003B218A" w:rsidRPr="00722788" w:rsidRDefault="003B218A" w:rsidP="003B218A">
      <w:pPr>
        <w:pStyle w:val="Textonotapie"/>
        <w:contextualSpacing/>
        <w:jc w:val="both"/>
        <w:rPr>
          <w:rFonts w:ascii="Arial" w:hAnsi="Arial" w:cs="Arial"/>
          <w:sz w:val="18"/>
          <w:szCs w:val="18"/>
          <w:lang w:val="es-ES"/>
        </w:rPr>
      </w:pPr>
    </w:p>
  </w:footnote>
  <w:footnote w:id="15">
    <w:p w14:paraId="0990BCA3" w14:textId="77777777" w:rsidR="003B218A" w:rsidRPr="00722788" w:rsidRDefault="003B218A" w:rsidP="003B218A">
      <w:pPr>
        <w:pStyle w:val="Textonotapie"/>
        <w:ind w:firstLine="708"/>
        <w:contextualSpacing/>
        <w:jc w:val="both"/>
        <w:rPr>
          <w:rFonts w:ascii="Arial" w:hAnsi="Arial" w:cs="Arial"/>
          <w:color w:val="000000" w:themeColor="text1"/>
          <w:sz w:val="18"/>
          <w:szCs w:val="18"/>
          <w:lang w:val="es-CO"/>
        </w:rPr>
      </w:pPr>
      <w:r w:rsidRPr="00722788">
        <w:rPr>
          <w:rStyle w:val="Refdenotaalpie"/>
          <w:rFonts w:ascii="Arial" w:hAnsi="Arial" w:cs="Arial"/>
          <w:sz w:val="18"/>
          <w:szCs w:val="18"/>
        </w:rPr>
        <w:footnoteRef/>
      </w:r>
      <w:r w:rsidRPr="00722788">
        <w:rPr>
          <w:rFonts w:ascii="Arial" w:hAnsi="Arial" w:cs="Arial"/>
          <w:sz w:val="18"/>
          <w:szCs w:val="18"/>
        </w:rPr>
        <w:t xml:space="preserve"> </w:t>
      </w:r>
      <w:r w:rsidRPr="00722788">
        <w:rPr>
          <w:rFonts w:ascii="Arial" w:hAnsi="Arial" w:cs="Arial"/>
          <w:color w:val="000000" w:themeColor="text1"/>
          <w:sz w:val="18"/>
          <w:szCs w:val="18"/>
        </w:rPr>
        <w:t>MATALLANA CAMACHO, Ernesto. Manual de Contratación de la Administración Pública. 3a ed. Bogotá D. C. Editorial Universidad externado de Colombia, 2013. p. 579.</w:t>
      </w:r>
    </w:p>
    <w:p w14:paraId="10A179BB" w14:textId="77777777" w:rsidR="003B218A" w:rsidRPr="00722788" w:rsidRDefault="003B218A" w:rsidP="003B218A">
      <w:pPr>
        <w:pStyle w:val="Textonotapie"/>
        <w:contextualSpacing/>
        <w:jc w:val="both"/>
        <w:rPr>
          <w:rFonts w:ascii="Arial" w:hAnsi="Arial" w:cs="Arial"/>
          <w:sz w:val="18"/>
          <w:szCs w:val="18"/>
          <w:lang w:val="es-ES"/>
        </w:rPr>
      </w:pPr>
    </w:p>
  </w:footnote>
  <w:footnote w:id="16">
    <w:p w14:paraId="1DC7BD79" w14:textId="77777777" w:rsidR="003B218A" w:rsidRPr="00722788" w:rsidRDefault="003B218A" w:rsidP="003B218A">
      <w:pPr>
        <w:pStyle w:val="Textonotapie"/>
        <w:ind w:firstLine="708"/>
        <w:contextualSpacing/>
        <w:jc w:val="both"/>
        <w:rPr>
          <w:rFonts w:ascii="Arial" w:hAnsi="Arial" w:cs="Arial"/>
          <w:color w:val="000000" w:themeColor="text1"/>
          <w:sz w:val="18"/>
          <w:szCs w:val="18"/>
        </w:rPr>
      </w:pPr>
      <w:r w:rsidRPr="00722788">
        <w:rPr>
          <w:rStyle w:val="Refdenotaalpie"/>
          <w:rFonts w:ascii="Arial" w:hAnsi="Arial" w:cs="Arial"/>
          <w:sz w:val="18"/>
          <w:szCs w:val="18"/>
        </w:rPr>
        <w:footnoteRef/>
      </w:r>
      <w:r w:rsidRPr="00722788">
        <w:rPr>
          <w:rFonts w:ascii="Arial" w:hAnsi="Arial" w:cs="Arial"/>
          <w:sz w:val="18"/>
          <w:szCs w:val="18"/>
        </w:rPr>
        <w:t xml:space="preserve"> </w:t>
      </w:r>
      <w:r w:rsidRPr="00722788">
        <w:rPr>
          <w:rFonts w:ascii="Arial" w:hAnsi="Arial" w:cs="Arial"/>
          <w:color w:val="000000" w:themeColor="text1"/>
          <w:sz w:val="18"/>
          <w:szCs w:val="18"/>
        </w:rPr>
        <w:t>SOLANO SIERRA, Jairo E. Contratación Administrativa, Modalidades de selección del Contratista. 4a. ed. Bogotá D.C.: Editorial Doctrina y Ley Ltda., 2010. p. 283.</w:t>
      </w:r>
    </w:p>
    <w:p w14:paraId="12BC89D3" w14:textId="77777777" w:rsidR="003B218A" w:rsidRPr="00722788" w:rsidRDefault="003B218A" w:rsidP="003B218A">
      <w:pPr>
        <w:pStyle w:val="Textonotapie"/>
        <w:contextualSpacing/>
        <w:jc w:val="both"/>
        <w:rPr>
          <w:rFonts w:ascii="Arial" w:hAnsi="Arial" w:cs="Arial"/>
          <w:sz w:val="18"/>
          <w:szCs w:val="18"/>
          <w:lang w:val="es-ES"/>
        </w:rPr>
      </w:pPr>
    </w:p>
  </w:footnote>
  <w:footnote w:id="17">
    <w:p w14:paraId="66002656" w14:textId="77777777" w:rsidR="003B218A" w:rsidRPr="00722788" w:rsidRDefault="003B218A" w:rsidP="003B218A">
      <w:pPr>
        <w:pStyle w:val="Textonotapie"/>
        <w:ind w:firstLine="708"/>
        <w:contextualSpacing/>
        <w:jc w:val="both"/>
        <w:rPr>
          <w:rFonts w:ascii="Arial" w:hAnsi="Arial" w:cs="Arial"/>
          <w:sz w:val="18"/>
          <w:szCs w:val="18"/>
        </w:rPr>
      </w:pPr>
      <w:r w:rsidRPr="00722788">
        <w:rPr>
          <w:rStyle w:val="Refdenotaalpie"/>
          <w:rFonts w:ascii="Arial" w:hAnsi="Arial" w:cs="Arial"/>
          <w:sz w:val="18"/>
          <w:szCs w:val="18"/>
        </w:rPr>
        <w:footnoteRef/>
      </w:r>
      <w:r w:rsidRPr="00722788">
        <w:rPr>
          <w:rFonts w:ascii="Arial" w:hAnsi="Arial" w:cs="Arial"/>
          <w:sz w:val="18"/>
          <w:szCs w:val="18"/>
        </w:rPr>
        <w:t xml:space="preserve"> Consejo de Estado. Sección Tercera. Sentencia de 12 de noviembre de 2014. C.P. Enrique Gil Botero. </w:t>
      </w:r>
      <w:r w:rsidRPr="00722788">
        <w:rPr>
          <w:rFonts w:ascii="Arial" w:hAnsi="Arial" w:cs="Arial"/>
          <w:sz w:val="18"/>
          <w:szCs w:val="18"/>
        </w:rPr>
        <w:t xml:space="preserve">Exp. 27.986. </w:t>
      </w:r>
    </w:p>
    <w:p w14:paraId="2ECBA469" w14:textId="77777777" w:rsidR="003B218A" w:rsidRPr="00722788" w:rsidRDefault="003B218A" w:rsidP="003B218A">
      <w:pPr>
        <w:pStyle w:val="Textonotapie"/>
        <w:ind w:left="708" w:firstLine="1"/>
        <w:contextualSpacing/>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4"/>
  </w:num>
  <w:num w:numId="2" w16cid:durableId="1408454564">
    <w:abstractNumId w:val="1"/>
  </w:num>
  <w:num w:numId="3" w16cid:durableId="1897622572">
    <w:abstractNumId w:val="3"/>
  </w:num>
  <w:num w:numId="4" w16cid:durableId="27995478">
    <w:abstractNumId w:val="0"/>
  </w:num>
  <w:num w:numId="5" w16cid:durableId="1968899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7665A"/>
    <w:rsid w:val="00083334"/>
    <w:rsid w:val="000956CF"/>
    <w:rsid w:val="000A683E"/>
    <w:rsid w:val="0011595A"/>
    <w:rsid w:val="001220C5"/>
    <w:rsid w:val="001267F7"/>
    <w:rsid w:val="00127233"/>
    <w:rsid w:val="00130999"/>
    <w:rsid w:val="00164D81"/>
    <w:rsid w:val="001A1011"/>
    <w:rsid w:val="001A48D0"/>
    <w:rsid w:val="002653C1"/>
    <w:rsid w:val="0026611D"/>
    <w:rsid w:val="00282322"/>
    <w:rsid w:val="002951A0"/>
    <w:rsid w:val="00295F49"/>
    <w:rsid w:val="002A64FD"/>
    <w:rsid w:val="002F0839"/>
    <w:rsid w:val="002F777C"/>
    <w:rsid w:val="00301469"/>
    <w:rsid w:val="00306EE1"/>
    <w:rsid w:val="00310B9B"/>
    <w:rsid w:val="003631DE"/>
    <w:rsid w:val="0036461C"/>
    <w:rsid w:val="00367884"/>
    <w:rsid w:val="0039439C"/>
    <w:rsid w:val="003B218A"/>
    <w:rsid w:val="003B69E7"/>
    <w:rsid w:val="003C013B"/>
    <w:rsid w:val="003D0F4D"/>
    <w:rsid w:val="003F58A1"/>
    <w:rsid w:val="00410DD6"/>
    <w:rsid w:val="004134C9"/>
    <w:rsid w:val="0043138C"/>
    <w:rsid w:val="00462A59"/>
    <w:rsid w:val="00471929"/>
    <w:rsid w:val="004945E1"/>
    <w:rsid w:val="004A1847"/>
    <w:rsid w:val="004B6B0E"/>
    <w:rsid w:val="004D25B3"/>
    <w:rsid w:val="004F7DAA"/>
    <w:rsid w:val="00511405"/>
    <w:rsid w:val="00526E9D"/>
    <w:rsid w:val="00547856"/>
    <w:rsid w:val="00547A74"/>
    <w:rsid w:val="005566E8"/>
    <w:rsid w:val="005746AB"/>
    <w:rsid w:val="0059357F"/>
    <w:rsid w:val="005A1130"/>
    <w:rsid w:val="005C2F64"/>
    <w:rsid w:val="005D65C8"/>
    <w:rsid w:val="006219F8"/>
    <w:rsid w:val="00681FDB"/>
    <w:rsid w:val="006A7DAD"/>
    <w:rsid w:val="006B06B5"/>
    <w:rsid w:val="006D70BA"/>
    <w:rsid w:val="00705963"/>
    <w:rsid w:val="0072619D"/>
    <w:rsid w:val="007566FE"/>
    <w:rsid w:val="0076726F"/>
    <w:rsid w:val="0077144B"/>
    <w:rsid w:val="00793403"/>
    <w:rsid w:val="007C0CDF"/>
    <w:rsid w:val="007E2A2F"/>
    <w:rsid w:val="007F2B7C"/>
    <w:rsid w:val="00811651"/>
    <w:rsid w:val="00820F5B"/>
    <w:rsid w:val="00833452"/>
    <w:rsid w:val="008614E5"/>
    <w:rsid w:val="00866B1E"/>
    <w:rsid w:val="008678EB"/>
    <w:rsid w:val="00875894"/>
    <w:rsid w:val="00881C10"/>
    <w:rsid w:val="00890411"/>
    <w:rsid w:val="008D5C70"/>
    <w:rsid w:val="009025AF"/>
    <w:rsid w:val="00904F23"/>
    <w:rsid w:val="00906B3C"/>
    <w:rsid w:val="0095342C"/>
    <w:rsid w:val="009727B6"/>
    <w:rsid w:val="009F33F2"/>
    <w:rsid w:val="009F6C77"/>
    <w:rsid w:val="00A07532"/>
    <w:rsid w:val="00A1085C"/>
    <w:rsid w:val="00A309E2"/>
    <w:rsid w:val="00A8066E"/>
    <w:rsid w:val="00A86989"/>
    <w:rsid w:val="00AA4B8A"/>
    <w:rsid w:val="00AA6BF7"/>
    <w:rsid w:val="00B01ED6"/>
    <w:rsid w:val="00B06D09"/>
    <w:rsid w:val="00B2228E"/>
    <w:rsid w:val="00B771A9"/>
    <w:rsid w:val="00B809BB"/>
    <w:rsid w:val="00B8248A"/>
    <w:rsid w:val="00B83EBE"/>
    <w:rsid w:val="00BB7726"/>
    <w:rsid w:val="00C2329E"/>
    <w:rsid w:val="00C30461"/>
    <w:rsid w:val="00C32387"/>
    <w:rsid w:val="00C754BE"/>
    <w:rsid w:val="00C87572"/>
    <w:rsid w:val="00C9405D"/>
    <w:rsid w:val="00CC1B26"/>
    <w:rsid w:val="00CD284F"/>
    <w:rsid w:val="00CF23AA"/>
    <w:rsid w:val="00D01921"/>
    <w:rsid w:val="00D06E97"/>
    <w:rsid w:val="00D66EC6"/>
    <w:rsid w:val="00D752B7"/>
    <w:rsid w:val="00DA1854"/>
    <w:rsid w:val="00DB0887"/>
    <w:rsid w:val="00DC7400"/>
    <w:rsid w:val="00DF1E43"/>
    <w:rsid w:val="00E20894"/>
    <w:rsid w:val="00E26B7C"/>
    <w:rsid w:val="00EA3003"/>
    <w:rsid w:val="00EB3C91"/>
    <w:rsid w:val="00EB66DA"/>
    <w:rsid w:val="00F21242"/>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01D0686-6663-4397-984B-F58BAF65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3B218A"/>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3B218A"/>
    <w:pPr>
      <w:spacing w:line="240" w:lineRule="exact"/>
    </w:pPr>
    <w:rPr>
      <w:vertAlign w:val="superscript"/>
    </w:rPr>
  </w:style>
  <w:style w:type="table" w:customStyle="1" w:styleId="Tablaconcuadrcula2">
    <w:name w:val="Tabla con cuadrícula2"/>
    <w:basedOn w:val="Tablanormal"/>
    <w:next w:val="Tablaconcuadrcula"/>
    <w:uiPriority w:val="59"/>
    <w:rsid w:val="003B218A"/>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B218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2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tza.gamero@aerocivil.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BD637A78-9230-410F-9BAF-F24AE037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7661</Words>
  <Characters>42136</Characters>
  <Application>Microsoft Office Word</Application>
  <DocSecurity>0</DocSecurity>
  <Lines>351</Lines>
  <Paragraphs>99</Paragraphs>
  <ScaleCrop>false</ScaleCrop>
  <Company/>
  <LinksUpToDate>false</LinksUpToDate>
  <CharactersWithSpaces>49698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11</cp:revision>
  <dcterms:created xsi:type="dcterms:W3CDTF">2023-05-12T01:51:00Z</dcterms:created>
  <dcterms:modified xsi:type="dcterms:W3CDTF">2023-05-24T19:25:00Z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