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DE3F" w14:textId="77777777" w:rsidR="00AC55A0" w:rsidRPr="007A0C25" w:rsidRDefault="00AC55A0" w:rsidP="00AC55A0">
      <w:pPr>
        <w:spacing w:before="240" w:line="276" w:lineRule="auto"/>
        <w:jc w:val="right"/>
        <w:rPr>
          <w:rFonts w:ascii="Arial" w:eastAsia="Calibri" w:hAnsi="Arial" w:cs="Arial"/>
          <w:b/>
          <w:bCs/>
          <w:sz w:val="22"/>
        </w:rPr>
      </w:pPr>
      <w:bookmarkStart w:id="0" w:name="_Hlk47949675"/>
      <w:bookmarkStart w:id="1" w:name="_Hlk114827471"/>
      <w:r w:rsidRPr="007A0C25">
        <w:rPr>
          <w:rFonts w:ascii="Arial" w:hAnsi="Arial" w:cs="Arial"/>
          <w:b/>
          <w:bCs/>
          <w:sz w:val="16"/>
          <w:szCs w:val="16"/>
          <w:lang w:eastAsia="es-ES"/>
        </w:rPr>
        <w:t>CCE-DES-FM-17</w:t>
      </w:r>
    </w:p>
    <w:bookmarkEnd w:id="0"/>
    <w:bookmarkEnd w:id="1"/>
    <w:p w14:paraId="2851BCCB" w14:textId="77777777" w:rsidR="002E7A58" w:rsidRPr="00F636DF" w:rsidRDefault="002E7A58" w:rsidP="002E7A58">
      <w:pPr>
        <w:contextualSpacing/>
        <w:jc w:val="both"/>
        <w:rPr>
          <w:rFonts w:ascii="Arial" w:eastAsia="Arial" w:hAnsi="Arial" w:cs="Arial"/>
          <w:b/>
          <w:sz w:val="22"/>
          <w:lang w:val="es-ES_tradnl"/>
        </w:rPr>
      </w:pPr>
      <w:r w:rsidRPr="00F636DF">
        <w:rPr>
          <w:rFonts w:ascii="Arial" w:hAnsi="Arial" w:cs="Arial"/>
          <w:b/>
          <w:bCs/>
          <w:sz w:val="22"/>
          <w:lang w:val="es-ES_tradnl" w:eastAsia="es-CO"/>
        </w:rPr>
        <w:t xml:space="preserve">LEY DE GARANTÍAS ELECTORALES </w:t>
      </w:r>
      <w:r w:rsidRPr="00F636DF">
        <w:rPr>
          <w:rFonts w:ascii="Arial" w:eastAsia="Calibri" w:hAnsi="Arial" w:cs="Arial"/>
          <w:b/>
          <w:sz w:val="22"/>
          <w:lang w:val="es-ES_tradnl"/>
        </w:rPr>
        <w:t xml:space="preserve">– </w:t>
      </w:r>
      <w:bookmarkStart w:id="2" w:name="_Hlk97713315"/>
      <w:r w:rsidRPr="00151942">
        <w:rPr>
          <w:rFonts w:ascii="Arial" w:eastAsia="Arial" w:hAnsi="Arial" w:cs="Arial"/>
          <w:b/>
          <w:sz w:val="22"/>
          <w:lang w:val="es-ES_tradnl"/>
        </w:rPr>
        <w:t>Definición</w:t>
      </w:r>
      <w:r w:rsidRPr="00F636DF">
        <w:rPr>
          <w:rFonts w:ascii="Arial" w:eastAsia="Arial" w:hAnsi="Arial" w:cs="Arial"/>
          <w:b/>
          <w:sz w:val="22"/>
          <w:lang w:val="es-ES_tradnl"/>
        </w:rPr>
        <w:t xml:space="preserve"> </w:t>
      </w:r>
      <w:r w:rsidRPr="00F636DF">
        <w:rPr>
          <w:rFonts w:ascii="Arial" w:eastAsia="Calibri" w:hAnsi="Arial" w:cs="Arial"/>
          <w:b/>
          <w:sz w:val="22"/>
          <w:lang w:val="es-ES_tradnl"/>
        </w:rPr>
        <w:t>– Finalidad</w:t>
      </w:r>
      <w:r w:rsidRPr="00F636DF">
        <w:rPr>
          <w:rFonts w:ascii="Arial" w:eastAsia="Calibri" w:hAnsi="Arial" w:cs="Arial"/>
          <w:b/>
          <w:bCs/>
          <w:sz w:val="22"/>
          <w:lang w:val="es-ES_tradnl"/>
        </w:rPr>
        <w:t xml:space="preserve"> </w:t>
      </w:r>
    </w:p>
    <w:bookmarkEnd w:id="2"/>
    <w:p w14:paraId="62C4891E" w14:textId="77777777" w:rsidR="002E7A58" w:rsidRPr="00F636DF" w:rsidRDefault="002E7A58" w:rsidP="002E7A58">
      <w:pPr>
        <w:contextualSpacing/>
        <w:jc w:val="both"/>
        <w:rPr>
          <w:rFonts w:ascii="Arial" w:hAnsi="Arial" w:cs="Arial"/>
          <w:b/>
          <w:sz w:val="21"/>
          <w:szCs w:val="21"/>
          <w:lang w:val="es-ES_tradnl" w:eastAsia="es-CO"/>
        </w:rPr>
      </w:pPr>
    </w:p>
    <w:p w14:paraId="28CD27C8" w14:textId="6E1DE3D6" w:rsidR="002E7A58" w:rsidRPr="00F636DF" w:rsidRDefault="002E7A58" w:rsidP="002E7A58">
      <w:pPr>
        <w:tabs>
          <w:tab w:val="left" w:pos="426"/>
        </w:tabs>
        <w:contextualSpacing/>
        <w:jc w:val="both"/>
        <w:rPr>
          <w:rFonts w:ascii="Arial" w:eastAsia="Arial" w:hAnsi="Arial" w:cs="Arial"/>
          <w:sz w:val="21"/>
          <w:szCs w:val="21"/>
          <w:lang w:val="es-ES_tradnl"/>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es-CO"/>
        </w:rPr>
        <w:t xml:space="preserve">la Ley 996 de 2005, conocida como </w:t>
      </w:r>
      <w:r w:rsidR="001D7A8C">
        <w:rPr>
          <w:rFonts w:ascii="Arial" w:hAnsi="Arial" w:cs="Arial"/>
          <w:bCs/>
          <w:sz w:val="21"/>
          <w:szCs w:val="21"/>
          <w:lang w:eastAsia="es-CO"/>
        </w:rPr>
        <w:t>“</w:t>
      </w:r>
      <w:r w:rsidRPr="00F636DF">
        <w:rPr>
          <w:rFonts w:ascii="Arial" w:hAnsi="Arial" w:cs="Arial"/>
          <w:bCs/>
          <w:sz w:val="21"/>
          <w:szCs w:val="21"/>
          <w:lang w:eastAsia="es-CO"/>
        </w:rPr>
        <w:t>Ley de Garantías Electorales</w:t>
      </w:r>
      <w:r w:rsidR="001D7A8C">
        <w:rPr>
          <w:rFonts w:ascii="Arial" w:hAnsi="Arial" w:cs="Arial"/>
          <w:bCs/>
          <w:sz w:val="21"/>
          <w:szCs w:val="21"/>
          <w:lang w:eastAsia="es-CO"/>
        </w:rPr>
        <w:t>”</w:t>
      </w:r>
      <w:r w:rsidRPr="00F636DF">
        <w:rPr>
          <w:rFonts w:ascii="Arial" w:hAnsi="Arial" w:cs="Arial"/>
          <w:bCs/>
          <w:sz w:val="21"/>
          <w:szCs w:val="21"/>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F636DF">
        <w:rPr>
          <w:rFonts w:ascii="Arial" w:eastAsia="Calibri" w:hAnsi="Arial" w:cs="Arial"/>
          <w:noProof/>
          <w:sz w:val="21"/>
          <w:szCs w:val="21"/>
          <w:lang w:val="es-ES_tradnl"/>
        </w:rPr>
        <w:t xml:space="preserve"> </w:t>
      </w:r>
      <w:r w:rsidRPr="00F636DF">
        <w:rPr>
          <w:rFonts w:ascii="Arial" w:eastAsia="Arial" w:hAnsi="Arial" w:cs="Arial"/>
          <w:sz w:val="21"/>
          <w:szCs w:val="21"/>
          <w:lang w:val="es-ES_tradnl"/>
        </w:rPr>
        <w:t xml:space="preserve">[…] </w:t>
      </w:r>
    </w:p>
    <w:p w14:paraId="617BDC00" w14:textId="77777777" w:rsidR="002E7A58" w:rsidRPr="00F636DF" w:rsidRDefault="002E7A58" w:rsidP="002E7A58">
      <w:pPr>
        <w:tabs>
          <w:tab w:val="left" w:pos="426"/>
        </w:tabs>
        <w:contextualSpacing/>
        <w:jc w:val="both"/>
        <w:rPr>
          <w:rFonts w:ascii="Arial" w:eastAsia="Arial" w:hAnsi="Arial" w:cs="Arial"/>
          <w:sz w:val="21"/>
          <w:szCs w:val="21"/>
          <w:lang w:val="es-ES_tradnl"/>
        </w:rPr>
      </w:pPr>
    </w:p>
    <w:p w14:paraId="67B3DC9D" w14:textId="77777777" w:rsidR="002E7A58" w:rsidRPr="00F636DF" w:rsidRDefault="002E7A58" w:rsidP="002E7A58">
      <w:pPr>
        <w:tabs>
          <w:tab w:val="left" w:pos="426"/>
        </w:tabs>
        <w:contextualSpacing/>
        <w:jc w:val="both"/>
        <w:rPr>
          <w:rFonts w:ascii="Arial" w:hAnsi="Arial" w:cs="Arial"/>
          <w:bCs/>
          <w:sz w:val="21"/>
          <w:szCs w:val="21"/>
          <w:lang w:eastAsia="es-CO"/>
        </w:rPr>
      </w:pPr>
      <w:r w:rsidRPr="00F636DF">
        <w:rPr>
          <w:rFonts w:ascii="Arial" w:hAnsi="Arial" w:cs="Arial"/>
          <w:bCs/>
          <w:sz w:val="21"/>
          <w:szCs w:val="21"/>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7A237376" w14:textId="77777777" w:rsidR="002E7A58" w:rsidRPr="00F636DF" w:rsidRDefault="002E7A58" w:rsidP="002E7A58">
      <w:pPr>
        <w:tabs>
          <w:tab w:val="left" w:pos="426"/>
        </w:tabs>
        <w:contextualSpacing/>
        <w:jc w:val="both"/>
        <w:rPr>
          <w:rFonts w:ascii="Arial" w:eastAsia="Arial" w:hAnsi="Arial" w:cs="Arial"/>
          <w:sz w:val="21"/>
          <w:szCs w:val="21"/>
          <w:lang w:val="es-ES_tradnl"/>
        </w:rPr>
      </w:pPr>
    </w:p>
    <w:p w14:paraId="3D115C72" w14:textId="77777777" w:rsidR="002E7A58" w:rsidRPr="00F636DF" w:rsidRDefault="002E7A58" w:rsidP="002E7A58">
      <w:pPr>
        <w:tabs>
          <w:tab w:val="left" w:pos="426"/>
        </w:tabs>
        <w:contextualSpacing/>
        <w:jc w:val="both"/>
        <w:rPr>
          <w:rFonts w:ascii="Arial" w:eastAsia="Calibri" w:hAnsi="Arial" w:cs="Arial"/>
          <w:b/>
          <w:bCs/>
          <w:sz w:val="22"/>
          <w:lang w:val="es-ES_tradnl"/>
        </w:rPr>
      </w:pPr>
      <w:r w:rsidRPr="00F636DF">
        <w:rPr>
          <w:rFonts w:ascii="Arial" w:eastAsia="Calibri" w:hAnsi="Arial" w:cs="Arial"/>
          <w:b/>
          <w:bCs/>
          <w:sz w:val="22"/>
          <w:lang w:val="es-ES_tradnl"/>
        </w:rPr>
        <w:t>LEY DE GARANTÍAS ELECTORALES</w:t>
      </w:r>
      <w:r w:rsidRPr="00F636DF">
        <w:rPr>
          <w:rFonts w:ascii="Arial" w:eastAsia="Calibri" w:hAnsi="Arial" w:cs="Arial"/>
          <w:b/>
          <w:sz w:val="22"/>
          <w:lang w:val="es-ES_tradnl"/>
        </w:rPr>
        <w:t xml:space="preserve"> –</w:t>
      </w:r>
      <w:r w:rsidRPr="00F636DF">
        <w:rPr>
          <w:rFonts w:ascii="Arial" w:eastAsia="Calibri" w:hAnsi="Arial" w:cs="Arial"/>
          <w:b/>
          <w:bCs/>
          <w:sz w:val="22"/>
          <w:lang w:val="es-ES_tradnl"/>
        </w:rPr>
        <w:t xml:space="preserve"> Restricciones </w:t>
      </w:r>
    </w:p>
    <w:p w14:paraId="5E144E84" w14:textId="77777777" w:rsidR="002E7A58" w:rsidRPr="00F636DF" w:rsidRDefault="002E7A58" w:rsidP="002E7A58">
      <w:pPr>
        <w:tabs>
          <w:tab w:val="left" w:pos="426"/>
        </w:tabs>
        <w:contextualSpacing/>
        <w:jc w:val="both"/>
        <w:rPr>
          <w:rFonts w:ascii="Arial" w:eastAsia="Calibri" w:hAnsi="Arial" w:cs="Arial"/>
          <w:b/>
          <w:bCs/>
          <w:sz w:val="21"/>
          <w:szCs w:val="21"/>
          <w:lang w:val="es-ES_tradnl"/>
        </w:rPr>
      </w:pPr>
    </w:p>
    <w:p w14:paraId="4C14F445" w14:textId="77777777" w:rsidR="002E7A58" w:rsidRPr="00F636DF" w:rsidRDefault="002E7A58" w:rsidP="002E7A58">
      <w:pPr>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 xml:space="preserve">[…] la Ley 996 de 2005 establece dos (2) tipos de restricciones en materia de contratación, las cuales coinciden parcialmente. </w:t>
      </w:r>
      <w:r w:rsidRPr="00F636DF">
        <w:rPr>
          <w:rFonts w:ascii="Arial" w:eastAsia="Arial" w:hAnsi="Arial" w:cs="Arial"/>
          <w:i/>
          <w:iCs/>
          <w:sz w:val="21"/>
          <w:szCs w:val="21"/>
          <w:lang w:val="es-ES" w:eastAsia="es-ES" w:bidi="es-ES"/>
        </w:rPr>
        <w:t>En primer lugar</w:t>
      </w:r>
      <w:r w:rsidRPr="00F636DF">
        <w:rPr>
          <w:rFonts w:ascii="Arial" w:eastAsia="Arial" w:hAnsi="Arial" w:cs="Arial"/>
          <w:sz w:val="21"/>
          <w:szCs w:val="21"/>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636DF">
        <w:rPr>
          <w:rFonts w:ascii="Arial" w:eastAsia="Arial" w:hAnsi="Arial" w:cs="Arial"/>
          <w:i/>
          <w:iCs/>
          <w:sz w:val="21"/>
          <w:szCs w:val="21"/>
          <w:lang w:val="es-ES" w:eastAsia="es-ES" w:bidi="es-ES"/>
        </w:rPr>
        <w:t>En segundo lugar</w:t>
      </w:r>
      <w:r w:rsidRPr="00F636DF">
        <w:rPr>
          <w:rFonts w:ascii="Arial" w:eastAsia="Arial" w:hAnsi="Arial" w:cs="Arial"/>
          <w:sz w:val="21"/>
          <w:szCs w:val="21"/>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AEBDE7F" w14:textId="77777777" w:rsidR="002E7A58" w:rsidRPr="00F636DF" w:rsidRDefault="002E7A58" w:rsidP="002E7A58">
      <w:pPr>
        <w:contextualSpacing/>
        <w:jc w:val="both"/>
        <w:rPr>
          <w:rFonts w:ascii="Arial" w:eastAsia="Arial" w:hAnsi="Arial" w:cs="Arial"/>
          <w:sz w:val="21"/>
          <w:szCs w:val="21"/>
          <w:lang w:val="es-ES" w:eastAsia="es-ES" w:bidi="es-ES"/>
        </w:rPr>
      </w:pPr>
    </w:p>
    <w:p w14:paraId="25C38967" w14:textId="77777777" w:rsidR="002E7A58" w:rsidRPr="00F636DF" w:rsidRDefault="002E7A58" w:rsidP="002E7A58">
      <w:pPr>
        <w:tabs>
          <w:tab w:val="left" w:pos="426"/>
        </w:tabs>
        <w:contextualSpacing/>
        <w:jc w:val="both"/>
        <w:rPr>
          <w:rFonts w:ascii="Arial" w:eastAsia="Calibri" w:hAnsi="Arial" w:cs="Arial"/>
          <w:b/>
          <w:bCs/>
          <w:sz w:val="22"/>
          <w:lang w:val="es-ES_tradnl"/>
        </w:rPr>
      </w:pPr>
      <w:bookmarkStart w:id="3" w:name="_Hlk77165666"/>
      <w:bookmarkStart w:id="4" w:name="_Hlk97039670"/>
      <w:r w:rsidRPr="00F636DF">
        <w:rPr>
          <w:rFonts w:ascii="Arial" w:eastAsia="Calibri" w:hAnsi="Arial" w:cs="Arial"/>
          <w:b/>
          <w:bCs/>
          <w:sz w:val="22"/>
          <w:lang w:val="es-ES_tradnl"/>
        </w:rPr>
        <w:t>LEY DE GARANTÍAS ELECTORALES</w:t>
      </w:r>
      <w:r w:rsidRPr="00F636DF">
        <w:rPr>
          <w:rFonts w:ascii="Arial" w:eastAsia="Calibri" w:hAnsi="Arial" w:cs="Arial"/>
          <w:b/>
          <w:sz w:val="22"/>
          <w:lang w:val="es-ES_tradnl"/>
        </w:rPr>
        <w:t xml:space="preserve"> –</w:t>
      </w:r>
      <w:r w:rsidRPr="00F636DF">
        <w:rPr>
          <w:rFonts w:ascii="Arial" w:eastAsia="Calibri" w:hAnsi="Arial" w:cs="Arial"/>
          <w:b/>
          <w:bCs/>
          <w:sz w:val="22"/>
          <w:lang w:val="es-ES_tradnl"/>
        </w:rPr>
        <w:t xml:space="preserve"> P</w:t>
      </w:r>
      <w:r w:rsidRPr="00F636DF">
        <w:rPr>
          <w:rFonts w:ascii="Arial" w:hAnsi="Arial" w:cs="Arial"/>
          <w:b/>
          <w:sz w:val="22"/>
          <w:lang w:val="es-ES" w:eastAsia="es-CO"/>
        </w:rPr>
        <w:t>rohibición</w:t>
      </w:r>
      <w:bookmarkEnd w:id="3"/>
      <w:r w:rsidRPr="00F636DF">
        <w:rPr>
          <w:rFonts w:ascii="Arial" w:hAnsi="Arial" w:cs="Arial"/>
          <w:b/>
          <w:sz w:val="22"/>
          <w:lang w:val="es-ES" w:eastAsia="es-CO"/>
        </w:rPr>
        <w:t xml:space="preserve"> – Contratación directa – Alcance </w:t>
      </w:r>
    </w:p>
    <w:bookmarkEnd w:id="4"/>
    <w:p w14:paraId="597AF109" w14:textId="77777777" w:rsidR="002E7A58" w:rsidRPr="00F636DF" w:rsidRDefault="002E7A58" w:rsidP="002E7A58">
      <w:pPr>
        <w:tabs>
          <w:tab w:val="left" w:pos="426"/>
        </w:tabs>
        <w:contextualSpacing/>
        <w:jc w:val="both"/>
        <w:rPr>
          <w:rFonts w:ascii="Arial" w:eastAsia="Calibri" w:hAnsi="Arial" w:cs="Arial"/>
          <w:noProof/>
          <w:sz w:val="21"/>
          <w:szCs w:val="21"/>
          <w:lang w:val="es-ES_tradnl"/>
        </w:rPr>
      </w:pPr>
    </w:p>
    <w:p w14:paraId="5C7DBE16" w14:textId="0C30542B" w:rsidR="002E7A58" w:rsidRPr="00F636DF" w:rsidRDefault="002E7A58" w:rsidP="002E7A58">
      <w:pPr>
        <w:tabs>
          <w:tab w:val="left" w:pos="426"/>
        </w:tabs>
        <w:contextualSpacing/>
        <w:jc w:val="both"/>
        <w:rPr>
          <w:rFonts w:ascii="Arial" w:hAnsi="Arial" w:cs="Arial"/>
          <w:sz w:val="21"/>
          <w:szCs w:val="21"/>
          <w:lang w:eastAsia="x-none"/>
        </w:rPr>
      </w:pPr>
      <w:r w:rsidRPr="00F636DF">
        <w:rPr>
          <w:rFonts w:ascii="Arial" w:eastAsia="Calibri" w:hAnsi="Arial" w:cs="Arial"/>
          <w:noProof/>
          <w:sz w:val="21"/>
          <w:szCs w:val="21"/>
          <w:lang w:val="es-ES_tradnl"/>
        </w:rPr>
        <w:t xml:space="preserve">[…] </w:t>
      </w:r>
      <w:r w:rsidRPr="00F636DF">
        <w:rPr>
          <w:rFonts w:ascii="Arial" w:hAnsi="Arial" w:cs="Arial"/>
          <w:sz w:val="21"/>
          <w:szCs w:val="21"/>
          <w:lang w:eastAsia="x-none"/>
        </w:rPr>
        <w:t xml:space="preserve">la prohibición del artículo 33 de la Ley de Garantías Electorales se refiere a </w:t>
      </w:r>
      <w:r w:rsidR="001D7A8C">
        <w:rPr>
          <w:rFonts w:ascii="Arial" w:hAnsi="Arial" w:cs="Arial"/>
          <w:sz w:val="21"/>
          <w:szCs w:val="21"/>
        </w:rPr>
        <w:t>“</w:t>
      </w:r>
      <w:r w:rsidRPr="00F636DF">
        <w:rPr>
          <w:rFonts w:ascii="Arial" w:hAnsi="Arial" w:cs="Arial"/>
          <w:sz w:val="21"/>
          <w:szCs w:val="21"/>
          <w:lang w:eastAsia="x-none"/>
        </w:rPr>
        <w:t>cualquier sistema que no implique convocatoria pública y posibilidad de pluralidad de oferentes</w:t>
      </w:r>
      <w:r w:rsidR="001D7A8C">
        <w:rPr>
          <w:rFonts w:ascii="Arial" w:hAnsi="Arial" w:cs="Arial"/>
          <w:sz w:val="21"/>
          <w:szCs w:val="21"/>
        </w:rPr>
        <w:t>”</w:t>
      </w:r>
      <w:r w:rsidRPr="00F636DF">
        <w:rPr>
          <w:rFonts w:ascii="Arial" w:hAnsi="Arial" w:cs="Arial"/>
          <w:sz w:val="21"/>
          <w:szCs w:val="21"/>
          <w:lang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p>
    <w:p w14:paraId="5EF22755" w14:textId="77777777" w:rsidR="002E7A58" w:rsidRPr="00F636DF" w:rsidRDefault="002E7A58" w:rsidP="002E7A58">
      <w:pPr>
        <w:tabs>
          <w:tab w:val="left" w:pos="426"/>
        </w:tabs>
        <w:contextualSpacing/>
        <w:jc w:val="both"/>
        <w:rPr>
          <w:rFonts w:ascii="Arial" w:eastAsia="Calibri" w:hAnsi="Arial" w:cs="Arial"/>
          <w:noProof/>
          <w:sz w:val="21"/>
          <w:szCs w:val="21"/>
          <w:lang w:val="es-ES_tradnl"/>
        </w:rPr>
      </w:pPr>
    </w:p>
    <w:p w14:paraId="0ADBE3D0" w14:textId="33ACDEF0" w:rsidR="002E7A58" w:rsidRDefault="002E7A58" w:rsidP="002E7A58">
      <w:pPr>
        <w:contextualSpacing/>
        <w:jc w:val="both"/>
        <w:rPr>
          <w:rFonts w:ascii="Arial" w:hAnsi="Arial" w:cs="Arial"/>
          <w:bCs/>
          <w:sz w:val="21"/>
          <w:szCs w:val="21"/>
          <w:lang w:eastAsia="x-none"/>
        </w:rPr>
      </w:pPr>
      <w:r w:rsidRPr="00F636DF">
        <w:rPr>
          <w:rFonts w:ascii="Arial" w:hAnsi="Arial" w:cs="Arial"/>
          <w:bCs/>
          <w:sz w:val="21"/>
          <w:szCs w:val="21"/>
          <w:lang w:eastAsia="x-none"/>
        </w:rPr>
        <w:t xml:space="preserve">Así las cosas, ha de entenderse que, para los efectos de la Ley de Garantías Electorales y, en particular, para la prohibición o restricción temporal contenida en su artículo 33, </w:t>
      </w:r>
      <w:r w:rsidR="001D7A8C">
        <w:rPr>
          <w:rFonts w:ascii="Arial" w:hAnsi="Arial" w:cs="Arial"/>
          <w:bCs/>
          <w:sz w:val="21"/>
          <w:szCs w:val="21"/>
          <w:lang w:eastAsia="x-none"/>
        </w:rPr>
        <w:t>“</w:t>
      </w:r>
      <w:r w:rsidRPr="00F636DF">
        <w:rPr>
          <w:rFonts w:ascii="Arial" w:hAnsi="Arial" w:cs="Arial"/>
          <w:bCs/>
          <w:sz w:val="21"/>
          <w:szCs w:val="21"/>
          <w:lang w:eastAsia="x-none"/>
        </w:rPr>
        <w:t>contratación directa</w:t>
      </w:r>
      <w:r w:rsidR="001D7A8C">
        <w:rPr>
          <w:rFonts w:ascii="Arial" w:hAnsi="Arial" w:cs="Arial"/>
          <w:bCs/>
          <w:sz w:val="21"/>
          <w:szCs w:val="21"/>
          <w:lang w:eastAsia="x-none"/>
        </w:rPr>
        <w:t>”</w:t>
      </w:r>
      <w:r w:rsidRPr="00F636DF">
        <w:rPr>
          <w:rFonts w:ascii="Arial" w:hAnsi="Arial" w:cs="Arial"/>
          <w:bCs/>
          <w:sz w:val="21"/>
          <w:szCs w:val="21"/>
          <w:lang w:eastAsia="x-none"/>
        </w:rPr>
        <w:t xml:space="preserve"> es cualquier sistema de selección o procedimiento de contratación utilizado por las entidades estatales que no incluya la convocatoria pública en alguna de sus etapas, ni permita la participación de una pluralidad de oferentes.</w:t>
      </w:r>
    </w:p>
    <w:p w14:paraId="30BF66AC" w14:textId="77777777" w:rsidR="002E7A58" w:rsidRPr="00F636DF" w:rsidRDefault="002E7A58" w:rsidP="002E7A58">
      <w:pPr>
        <w:contextualSpacing/>
        <w:jc w:val="both"/>
        <w:rPr>
          <w:rFonts w:ascii="Arial" w:hAnsi="Arial" w:cs="Arial"/>
          <w:bCs/>
          <w:sz w:val="21"/>
          <w:szCs w:val="21"/>
          <w:lang w:eastAsia="x-none"/>
        </w:rPr>
      </w:pPr>
      <w:r w:rsidRPr="00F636DF">
        <w:rPr>
          <w:rFonts w:ascii="Arial" w:hAnsi="Arial" w:cs="Arial"/>
          <w:sz w:val="21"/>
          <w:szCs w:val="21"/>
          <w:vertAlign w:val="superscript"/>
          <w:lang w:eastAsia="x-none"/>
        </w:rPr>
        <w:t xml:space="preserve"> </w:t>
      </w:r>
    </w:p>
    <w:p w14:paraId="39D2B298" w14:textId="77777777" w:rsidR="002E7A58" w:rsidRPr="00926285" w:rsidRDefault="002E7A58" w:rsidP="002E7A58">
      <w:pPr>
        <w:tabs>
          <w:tab w:val="left" w:pos="426"/>
        </w:tabs>
        <w:contextualSpacing/>
        <w:jc w:val="both"/>
        <w:rPr>
          <w:rFonts w:ascii="Arial" w:eastAsia="Calibri" w:hAnsi="Arial" w:cs="Arial"/>
          <w:b/>
          <w:bCs/>
          <w:sz w:val="22"/>
          <w:lang w:val="es-ES_tradnl"/>
        </w:rPr>
      </w:pPr>
      <w:r w:rsidRPr="00926285">
        <w:rPr>
          <w:rFonts w:ascii="Arial" w:eastAsia="Calibri" w:hAnsi="Arial" w:cs="Arial"/>
          <w:b/>
          <w:bCs/>
          <w:sz w:val="22"/>
          <w:lang w:val="es-ES_tradnl"/>
        </w:rPr>
        <w:lastRenderedPageBreak/>
        <w:t>LEY DE GARANTÍAS ELECTORALES</w:t>
      </w:r>
      <w:r w:rsidRPr="00926285">
        <w:rPr>
          <w:rFonts w:ascii="Arial" w:eastAsia="Calibri" w:hAnsi="Arial" w:cs="Arial"/>
          <w:b/>
          <w:sz w:val="22"/>
          <w:lang w:val="es-ES_tradnl"/>
        </w:rPr>
        <w:t xml:space="preserve"> –</w:t>
      </w:r>
      <w:r w:rsidRPr="00926285">
        <w:rPr>
          <w:rFonts w:ascii="Arial" w:eastAsia="Calibri" w:hAnsi="Arial" w:cs="Arial"/>
          <w:b/>
          <w:bCs/>
          <w:sz w:val="22"/>
          <w:lang w:val="es-ES_tradnl"/>
        </w:rPr>
        <w:t xml:space="preserve"> P</w:t>
      </w:r>
      <w:r w:rsidRPr="00926285">
        <w:rPr>
          <w:rFonts w:ascii="Arial" w:hAnsi="Arial" w:cs="Arial"/>
          <w:b/>
          <w:sz w:val="22"/>
          <w:lang w:val="es-ES" w:eastAsia="es-CO"/>
        </w:rPr>
        <w:t>rohibición – Contratación directa – Excepciones</w:t>
      </w:r>
    </w:p>
    <w:p w14:paraId="631A5073" w14:textId="77777777" w:rsidR="002E7A58" w:rsidRPr="00F636DF" w:rsidRDefault="002E7A58" w:rsidP="002E7A58">
      <w:pPr>
        <w:contextualSpacing/>
        <w:jc w:val="both"/>
        <w:rPr>
          <w:rFonts w:ascii="Arial" w:eastAsia="Calibri" w:hAnsi="Arial" w:cs="Arial"/>
          <w:noProof/>
          <w:sz w:val="21"/>
          <w:szCs w:val="21"/>
          <w:lang w:val="es-ES_tradnl"/>
        </w:rPr>
      </w:pPr>
    </w:p>
    <w:p w14:paraId="038D46D0" w14:textId="77777777" w:rsidR="002E7A58" w:rsidRPr="00F636DF" w:rsidRDefault="002E7A58" w:rsidP="002E7A58">
      <w:pPr>
        <w:contextualSpacing/>
        <w:jc w:val="both"/>
        <w:rPr>
          <w:rFonts w:ascii="Arial" w:hAnsi="Arial" w:cs="Arial"/>
          <w:bCs/>
          <w:sz w:val="21"/>
          <w:szCs w:val="21"/>
          <w:lang w:eastAsia="es-CO"/>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636DF">
        <w:rPr>
          <w:rFonts w:ascii="Arial" w:hAnsi="Arial" w:cs="Arial"/>
          <w:bCs/>
          <w:sz w:val="21"/>
          <w:szCs w:val="21"/>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DE256C7" w14:textId="77777777" w:rsidR="002E7A58" w:rsidRPr="00F636DF" w:rsidRDefault="002E7A58" w:rsidP="002E7A58">
      <w:pPr>
        <w:tabs>
          <w:tab w:val="left" w:pos="426"/>
        </w:tabs>
        <w:contextualSpacing/>
        <w:jc w:val="both"/>
        <w:rPr>
          <w:rFonts w:ascii="Arial" w:hAnsi="Arial" w:cs="Arial"/>
          <w:b/>
          <w:bCs/>
          <w:sz w:val="21"/>
          <w:szCs w:val="21"/>
          <w:lang w:eastAsia="es-CO"/>
        </w:rPr>
      </w:pPr>
    </w:p>
    <w:p w14:paraId="470197D5" w14:textId="77777777" w:rsidR="002E7A58" w:rsidRPr="00146F73" w:rsidRDefault="002E7A58" w:rsidP="002E7A58">
      <w:pPr>
        <w:tabs>
          <w:tab w:val="left" w:pos="426"/>
        </w:tabs>
        <w:contextualSpacing/>
        <w:jc w:val="both"/>
        <w:rPr>
          <w:rFonts w:ascii="Arial" w:hAnsi="Arial" w:cs="Arial"/>
          <w:bCs/>
          <w:color w:val="FF0000"/>
          <w:sz w:val="21"/>
          <w:szCs w:val="21"/>
          <w:lang w:eastAsia="x-none"/>
        </w:rPr>
      </w:pPr>
    </w:p>
    <w:p w14:paraId="232A991A" w14:textId="77777777" w:rsidR="002E7A58" w:rsidRPr="00926285" w:rsidRDefault="002E7A58" w:rsidP="002E7A58">
      <w:pPr>
        <w:tabs>
          <w:tab w:val="left" w:pos="426"/>
        </w:tabs>
        <w:contextualSpacing/>
        <w:jc w:val="both"/>
        <w:rPr>
          <w:rFonts w:ascii="Arial" w:eastAsia="Calibri" w:hAnsi="Arial" w:cs="Arial"/>
          <w:b/>
          <w:bCs/>
          <w:noProof/>
          <w:sz w:val="22"/>
        </w:rPr>
      </w:pPr>
      <w:r w:rsidRPr="00926285">
        <w:rPr>
          <w:rFonts w:ascii="Arial" w:eastAsia="Calibri" w:hAnsi="Arial" w:cs="Arial"/>
          <w:b/>
          <w:bCs/>
          <w:noProof/>
          <w:sz w:val="22"/>
        </w:rPr>
        <w:t>LEY DE GARANTÍAS ELECTORALES ‒ Prohibición por elección de cargos populares – Convenios y contratos interadministrativos – Alcance</w:t>
      </w:r>
    </w:p>
    <w:p w14:paraId="3440424D" w14:textId="77777777" w:rsidR="002E7A58" w:rsidRPr="00F636DF" w:rsidRDefault="002E7A58" w:rsidP="002E7A58">
      <w:pPr>
        <w:tabs>
          <w:tab w:val="left" w:pos="426"/>
        </w:tabs>
        <w:contextualSpacing/>
        <w:jc w:val="both"/>
        <w:rPr>
          <w:rFonts w:ascii="Arial" w:eastAsia="Calibri" w:hAnsi="Arial" w:cs="Arial"/>
          <w:bCs/>
          <w:sz w:val="21"/>
          <w:szCs w:val="21"/>
        </w:rPr>
      </w:pPr>
    </w:p>
    <w:p w14:paraId="203C653B" w14:textId="0D39D2B2" w:rsidR="002E7A58" w:rsidRPr="00F636DF" w:rsidRDefault="002E7A58" w:rsidP="002E7A58">
      <w:pPr>
        <w:tabs>
          <w:tab w:val="left" w:pos="426"/>
        </w:tabs>
        <w:contextualSpacing/>
        <w:jc w:val="both"/>
        <w:rPr>
          <w:rFonts w:ascii="Arial" w:hAnsi="Arial" w:cs="Arial"/>
          <w:bCs/>
          <w:sz w:val="21"/>
          <w:szCs w:val="21"/>
          <w:lang w:eastAsia="x-none"/>
        </w:rPr>
      </w:pPr>
      <w:r w:rsidRPr="00F636DF">
        <w:rPr>
          <w:rFonts w:ascii="Arial" w:eastAsia="Calibri" w:hAnsi="Arial" w:cs="Arial"/>
          <w:bCs/>
          <w:sz w:val="21"/>
          <w:szCs w:val="21"/>
        </w:rPr>
        <w:t xml:space="preserve">El parágrafo del artículo 38 de la Ley 996 de 2005 dispone que </w:t>
      </w:r>
      <w:r w:rsidR="001D7A8C">
        <w:rPr>
          <w:rFonts w:ascii="Arial" w:eastAsia="Calibri" w:hAnsi="Arial" w:cs="Arial"/>
          <w:bCs/>
          <w:sz w:val="21"/>
          <w:szCs w:val="21"/>
        </w:rPr>
        <w:t>“</w:t>
      </w:r>
      <w:r w:rsidRPr="00F636DF">
        <w:rPr>
          <w:rFonts w:ascii="Arial" w:eastAsia="Calibri" w:hAnsi="Arial" w:cs="Arial"/>
          <w:bCs/>
          <w:sz w:val="21"/>
          <w:szCs w:val="21"/>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001D7A8C">
        <w:rPr>
          <w:rFonts w:ascii="Arial" w:eastAsia="Calibri" w:hAnsi="Arial" w:cs="Arial"/>
          <w:bCs/>
          <w:sz w:val="21"/>
          <w:szCs w:val="21"/>
        </w:rPr>
        <w:t>”</w:t>
      </w:r>
      <w:r w:rsidRPr="00F636DF">
        <w:rPr>
          <w:rFonts w:ascii="Arial" w:eastAsia="Calibri" w:hAnsi="Arial" w:cs="Arial"/>
          <w:bCs/>
          <w:sz w:val="21"/>
          <w:szCs w:val="21"/>
        </w:rPr>
        <w:t>.</w:t>
      </w:r>
      <w:r w:rsidRPr="00F636DF">
        <w:rPr>
          <w:rFonts w:ascii="Arial" w:hAnsi="Arial" w:cs="Arial"/>
          <w:bCs/>
          <w:iCs/>
          <w:sz w:val="21"/>
          <w:szCs w:val="21"/>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4804596E" w14:textId="77777777" w:rsidR="002E7A58" w:rsidRPr="00F636DF" w:rsidRDefault="002E7A58" w:rsidP="002E7A58">
      <w:pPr>
        <w:tabs>
          <w:tab w:val="left" w:pos="426"/>
        </w:tabs>
        <w:contextualSpacing/>
        <w:jc w:val="both"/>
        <w:rPr>
          <w:rFonts w:ascii="Arial" w:eastAsia="Calibri" w:hAnsi="Arial" w:cs="Arial"/>
          <w:noProof/>
          <w:sz w:val="21"/>
          <w:szCs w:val="21"/>
        </w:rPr>
      </w:pPr>
    </w:p>
    <w:p w14:paraId="69E7B85C" w14:textId="77777777" w:rsidR="002E7A58" w:rsidRPr="00926285" w:rsidRDefault="002E7A58" w:rsidP="002E7A58">
      <w:pPr>
        <w:tabs>
          <w:tab w:val="left" w:pos="426"/>
        </w:tabs>
        <w:contextualSpacing/>
        <w:jc w:val="both"/>
        <w:rPr>
          <w:rFonts w:ascii="Arial" w:eastAsia="Calibri" w:hAnsi="Arial" w:cs="Arial"/>
          <w:b/>
          <w:bCs/>
          <w:noProof/>
          <w:sz w:val="22"/>
        </w:rPr>
      </w:pPr>
      <w:r w:rsidRPr="00926285">
        <w:rPr>
          <w:rFonts w:ascii="Arial" w:eastAsia="Calibri" w:hAnsi="Arial" w:cs="Arial"/>
          <w:b/>
          <w:bCs/>
          <w:noProof/>
          <w:sz w:val="22"/>
        </w:rPr>
        <w:t>LEY DE GARANTÍAS ELECTORALES ‒ Prohibición por elección de cargos populares – Convenios y contratos interadministrativos – Definición – Criterio orgánico</w:t>
      </w:r>
    </w:p>
    <w:p w14:paraId="799894BC" w14:textId="77777777" w:rsidR="002E7A58" w:rsidRDefault="002E7A58" w:rsidP="002E7A58">
      <w:pPr>
        <w:widowControl w:val="0"/>
        <w:autoSpaceDE w:val="0"/>
        <w:autoSpaceDN w:val="0"/>
        <w:contextualSpacing/>
        <w:jc w:val="both"/>
        <w:rPr>
          <w:rFonts w:ascii="Arial" w:eastAsia="Calibri" w:hAnsi="Arial" w:cs="Arial"/>
          <w:noProof/>
          <w:sz w:val="21"/>
          <w:szCs w:val="21"/>
        </w:rPr>
      </w:pPr>
    </w:p>
    <w:p w14:paraId="6D8EDF0A" w14:textId="77777777" w:rsidR="002E7A58" w:rsidRPr="00F636DF" w:rsidRDefault="002E7A58" w:rsidP="002E7A58">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636DF">
        <w:rPr>
          <w:rFonts w:ascii="Arial" w:eastAsia="Arial" w:hAnsi="Arial" w:cs="Arial"/>
          <w:spacing w:val="-6"/>
          <w:sz w:val="21"/>
          <w:szCs w:val="21"/>
          <w:lang w:val="es-ES" w:eastAsia="es-ES" w:bidi="es-ES"/>
        </w:rPr>
        <w:t xml:space="preserve"> </w:t>
      </w:r>
      <w:r w:rsidRPr="00F636DF">
        <w:rPr>
          <w:rFonts w:ascii="Arial" w:eastAsia="Arial" w:hAnsi="Arial" w:cs="Arial"/>
          <w:sz w:val="21"/>
          <w:szCs w:val="21"/>
          <w:lang w:val="es-ES" w:eastAsia="es-ES" w:bidi="es-ES"/>
        </w:rPr>
        <w:t>estatales.</w:t>
      </w:r>
    </w:p>
    <w:p w14:paraId="1D0F6E75" w14:textId="77777777" w:rsidR="002E7A58" w:rsidRPr="00F636DF" w:rsidRDefault="002E7A58" w:rsidP="002E7A58">
      <w:pPr>
        <w:tabs>
          <w:tab w:val="left" w:pos="426"/>
        </w:tabs>
        <w:contextualSpacing/>
        <w:jc w:val="both"/>
        <w:rPr>
          <w:rFonts w:ascii="Arial" w:eastAsia="Calibri" w:hAnsi="Arial" w:cs="Arial"/>
          <w:noProof/>
          <w:sz w:val="21"/>
          <w:szCs w:val="21"/>
        </w:rPr>
      </w:pPr>
    </w:p>
    <w:p w14:paraId="740D40AA" w14:textId="77777777" w:rsidR="002E7A58" w:rsidRPr="00926285" w:rsidRDefault="002E7A58" w:rsidP="002E7A58">
      <w:pPr>
        <w:contextualSpacing/>
        <w:jc w:val="both"/>
        <w:rPr>
          <w:rFonts w:ascii="Arial" w:hAnsi="Arial" w:cs="Arial"/>
          <w:b/>
          <w:sz w:val="22"/>
        </w:rPr>
      </w:pPr>
      <w:r w:rsidRPr="00926285">
        <w:rPr>
          <w:rFonts w:ascii="Arial" w:eastAsia="Calibri" w:hAnsi="Arial" w:cs="Arial"/>
          <w:b/>
          <w:sz w:val="22"/>
        </w:rPr>
        <w:t xml:space="preserve">CONTRATOS Y </w:t>
      </w:r>
      <w:r w:rsidRPr="00926285">
        <w:rPr>
          <w:rFonts w:ascii="Arial" w:hAnsi="Arial" w:cs="Arial"/>
          <w:b/>
          <w:sz w:val="22"/>
        </w:rPr>
        <w:t>CONVENIOS INTERADMINISTRATIVOS – Modalidad de selección</w:t>
      </w:r>
    </w:p>
    <w:p w14:paraId="3B76A282" w14:textId="77777777" w:rsidR="002E7A58" w:rsidRPr="00F636DF" w:rsidRDefault="002E7A58" w:rsidP="002E7A58">
      <w:pPr>
        <w:contextualSpacing/>
        <w:jc w:val="both"/>
        <w:rPr>
          <w:rFonts w:ascii="Arial" w:hAnsi="Arial" w:cs="Arial"/>
          <w:b/>
          <w:sz w:val="21"/>
          <w:szCs w:val="21"/>
        </w:rPr>
      </w:pPr>
    </w:p>
    <w:p w14:paraId="51452CAB" w14:textId="77777777" w:rsidR="002E7A58" w:rsidRDefault="002E7A58" w:rsidP="002E7A58">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F636DF">
        <w:rPr>
          <w:rFonts w:ascii="Arial" w:eastAsia="Arial" w:hAnsi="Arial" w:cs="Arial"/>
          <w:spacing w:val="-18"/>
          <w:sz w:val="21"/>
          <w:szCs w:val="21"/>
          <w:lang w:val="es-ES" w:eastAsia="es-ES" w:bidi="es-ES"/>
        </w:rPr>
        <w:t xml:space="preserve"> </w:t>
      </w:r>
      <w:r w:rsidRPr="00F636DF">
        <w:rPr>
          <w:rFonts w:ascii="Arial" w:eastAsia="Arial" w:hAnsi="Arial" w:cs="Arial"/>
          <w:sz w:val="21"/>
          <w:szCs w:val="21"/>
          <w:lang w:val="es-ES" w:eastAsia="es-ES" w:bidi="es-ES"/>
        </w:rPr>
        <w:t>interadministrativo.</w:t>
      </w:r>
    </w:p>
    <w:p w14:paraId="65CF74FC" w14:textId="77777777" w:rsidR="002E7A58" w:rsidRPr="00F636DF" w:rsidRDefault="002E7A58" w:rsidP="002E7A58">
      <w:pPr>
        <w:widowControl w:val="0"/>
        <w:autoSpaceDE w:val="0"/>
        <w:autoSpaceDN w:val="0"/>
        <w:contextualSpacing/>
        <w:jc w:val="both"/>
        <w:rPr>
          <w:rFonts w:ascii="Arial" w:eastAsia="Arial" w:hAnsi="Arial" w:cs="Arial"/>
          <w:sz w:val="21"/>
          <w:szCs w:val="21"/>
          <w:lang w:val="es-ES" w:eastAsia="es-ES" w:bidi="es-ES"/>
        </w:rPr>
      </w:pPr>
    </w:p>
    <w:p w14:paraId="62C7D1B8" w14:textId="77777777" w:rsidR="002E7A58" w:rsidRPr="00926285" w:rsidRDefault="002E7A58" w:rsidP="002E7A58">
      <w:pPr>
        <w:contextualSpacing/>
        <w:jc w:val="both"/>
        <w:rPr>
          <w:rFonts w:ascii="Arial" w:hAnsi="Arial" w:cs="Arial"/>
          <w:b/>
          <w:sz w:val="22"/>
        </w:rPr>
      </w:pPr>
      <w:r w:rsidRPr="00926285">
        <w:rPr>
          <w:rFonts w:ascii="Arial" w:eastAsia="Calibri" w:hAnsi="Arial" w:cs="Arial"/>
          <w:b/>
          <w:bCs/>
          <w:noProof/>
          <w:sz w:val="22"/>
        </w:rPr>
        <w:t xml:space="preserve">LEY DE GARANTÍAS ELECTORALES ‒ Prohibición por elección de cargos populares – Convenios y contratos interadministrativos – Tipologia contractual – </w:t>
      </w:r>
      <w:r w:rsidRPr="00926285">
        <w:rPr>
          <w:rFonts w:ascii="Arial" w:hAnsi="Arial" w:cs="Arial"/>
          <w:b/>
          <w:sz w:val="22"/>
        </w:rPr>
        <w:t>Modalidad de selección</w:t>
      </w:r>
    </w:p>
    <w:p w14:paraId="26C56872" w14:textId="77777777" w:rsidR="002E7A58" w:rsidRPr="00F636DF" w:rsidRDefault="002E7A58" w:rsidP="002E7A58">
      <w:pPr>
        <w:tabs>
          <w:tab w:val="left" w:pos="426"/>
        </w:tabs>
        <w:contextualSpacing/>
        <w:jc w:val="both"/>
        <w:rPr>
          <w:rFonts w:ascii="Arial" w:hAnsi="Arial" w:cs="Arial"/>
          <w:sz w:val="21"/>
          <w:szCs w:val="21"/>
        </w:rPr>
      </w:pPr>
    </w:p>
    <w:p w14:paraId="7E44A6C4" w14:textId="77777777" w:rsidR="002E7A58" w:rsidRPr="00F636DF" w:rsidRDefault="002E7A58" w:rsidP="002E7A58">
      <w:pPr>
        <w:tabs>
          <w:tab w:val="left" w:pos="426"/>
        </w:tabs>
        <w:contextualSpacing/>
        <w:jc w:val="both"/>
        <w:rPr>
          <w:rFonts w:ascii="Arial" w:hAnsi="Arial" w:cs="Arial"/>
          <w:sz w:val="21"/>
          <w:szCs w:val="21"/>
        </w:rPr>
      </w:pPr>
      <w:r w:rsidRPr="00F636DF">
        <w:rPr>
          <w:rFonts w:ascii="Arial" w:hAnsi="Arial" w:cs="Arial"/>
          <w:sz w:val="21"/>
          <w:szCs w:val="21"/>
        </w:rPr>
        <w:t xml:space="preserve">[…] </w:t>
      </w:r>
      <w:r w:rsidRPr="00F636DF">
        <w:rPr>
          <w:rFonts w:ascii="Arial" w:hAnsi="Arial" w:cs="Arial"/>
          <w:bCs/>
          <w:sz w:val="21"/>
          <w:szCs w:val="21"/>
          <w:lang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F636DF">
        <w:rPr>
          <w:rFonts w:ascii="Arial" w:eastAsia="Times New Roman" w:hAnsi="Arial" w:cs="Arial"/>
          <w:bCs/>
          <w:sz w:val="21"/>
          <w:szCs w:val="21"/>
          <w:lang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F636DF">
        <w:rPr>
          <w:rFonts w:ascii="Arial" w:eastAsia="Calibri" w:hAnsi="Arial" w:cs="Arial"/>
          <w:color w:val="000000" w:themeColor="text1"/>
          <w:sz w:val="21"/>
          <w:szCs w:val="21"/>
        </w:rPr>
        <w:t> </w:t>
      </w:r>
    </w:p>
    <w:p w14:paraId="5D4D3DA3" w14:textId="77777777" w:rsidR="0023518A" w:rsidRDefault="0023518A" w:rsidP="00AC55A0">
      <w:pPr>
        <w:spacing w:before="120" w:after="120" w:line="276" w:lineRule="auto"/>
        <w:jc w:val="both"/>
        <w:rPr>
          <w:rFonts w:ascii="Arial" w:hAnsi="Arial" w:cs="Arial"/>
          <w:bCs/>
          <w:color w:val="FF0000"/>
          <w:sz w:val="22"/>
          <w:lang w:val="es-ES_tradnl"/>
        </w:rPr>
      </w:pPr>
    </w:p>
    <w:p w14:paraId="666F94C6" w14:textId="77777777" w:rsidR="00A264C3" w:rsidRPr="00A264C3" w:rsidRDefault="00A264C3" w:rsidP="00A264C3">
      <w:pPr>
        <w:tabs>
          <w:tab w:val="left" w:pos="426"/>
        </w:tabs>
        <w:jc w:val="both"/>
        <w:rPr>
          <w:rFonts w:ascii="Arial" w:eastAsia="Calibri" w:hAnsi="Arial" w:cs="Arial"/>
          <w:b/>
          <w:bCs/>
          <w:sz w:val="22"/>
          <w:lang w:val="es-ES_tradnl"/>
        </w:rPr>
      </w:pPr>
      <w:bookmarkStart w:id="5" w:name="_Hlk77152637"/>
      <w:bookmarkStart w:id="6" w:name="_Hlk77157066"/>
      <w:bookmarkStart w:id="7" w:name="_GoBack"/>
      <w:r w:rsidRPr="00A264C3">
        <w:rPr>
          <w:rFonts w:ascii="Arial" w:eastAsia="Calibri" w:hAnsi="Arial" w:cs="Arial"/>
          <w:b/>
          <w:bCs/>
          <w:sz w:val="22"/>
          <w:lang w:val="es-ES_tradnl"/>
        </w:rPr>
        <w:t xml:space="preserve">SOCIEDADES DE ECONOMÍA MIXTA </w:t>
      </w:r>
      <w:bookmarkEnd w:id="7"/>
      <w:r w:rsidRPr="00A264C3">
        <w:rPr>
          <w:rFonts w:ascii="Arial" w:eastAsia="Calibri" w:hAnsi="Arial" w:cs="Arial"/>
          <w:b/>
          <w:bCs/>
          <w:sz w:val="22"/>
          <w:lang w:val="es-ES_tradnl"/>
        </w:rPr>
        <w:t xml:space="preserve">– </w:t>
      </w:r>
      <w:r w:rsidRPr="00151942">
        <w:rPr>
          <w:rFonts w:ascii="Arial" w:eastAsia="Calibri" w:hAnsi="Arial" w:cs="Arial"/>
          <w:b/>
          <w:bCs/>
          <w:sz w:val="22"/>
          <w:lang w:val="es-ES_tradnl"/>
        </w:rPr>
        <w:t>Concepto – Naturaleza jurídica</w:t>
      </w:r>
      <w:bookmarkEnd w:id="5"/>
    </w:p>
    <w:p w14:paraId="61AB52E9" w14:textId="77777777" w:rsidR="00A264C3" w:rsidRPr="00A264C3" w:rsidRDefault="00A264C3" w:rsidP="00A264C3">
      <w:pPr>
        <w:tabs>
          <w:tab w:val="left" w:pos="426"/>
        </w:tabs>
        <w:jc w:val="both"/>
        <w:rPr>
          <w:rFonts w:ascii="Arial" w:eastAsia="Calibri" w:hAnsi="Arial" w:cs="Arial"/>
          <w:b/>
          <w:bCs/>
          <w:sz w:val="20"/>
          <w:szCs w:val="20"/>
          <w:lang w:val="es-ES_tradnl"/>
        </w:rPr>
      </w:pPr>
    </w:p>
    <w:bookmarkEnd w:id="6"/>
    <w:p w14:paraId="04988C77" w14:textId="77777777" w:rsidR="00A264C3" w:rsidRPr="00A264C3" w:rsidRDefault="00A264C3" w:rsidP="00A264C3">
      <w:pPr>
        <w:tabs>
          <w:tab w:val="left" w:pos="426"/>
        </w:tabs>
        <w:jc w:val="both"/>
        <w:rPr>
          <w:rFonts w:ascii="Arial" w:eastAsia="Calibri" w:hAnsi="Arial" w:cs="Arial"/>
          <w:noProof/>
          <w:sz w:val="20"/>
          <w:szCs w:val="20"/>
          <w:lang w:val="es-ES_tradnl"/>
        </w:rPr>
      </w:pPr>
      <w:r w:rsidRPr="00A264C3">
        <w:rPr>
          <w:rFonts w:ascii="Arial" w:eastAsia="Calibri" w:hAnsi="Arial" w:cs="Arial"/>
          <w:noProof/>
          <w:sz w:val="20"/>
          <w:szCs w:val="20"/>
          <w:lang w:val="es-ES_tradnl"/>
        </w:rPr>
        <w:t>En nuestro ordenamiento jurídico, el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6B516035" w14:textId="77777777" w:rsidR="00A264C3" w:rsidRPr="00A264C3" w:rsidRDefault="00A264C3" w:rsidP="00A264C3">
      <w:pPr>
        <w:tabs>
          <w:tab w:val="left" w:pos="426"/>
        </w:tabs>
        <w:jc w:val="both"/>
        <w:rPr>
          <w:rFonts w:ascii="Arial" w:eastAsia="Calibri" w:hAnsi="Arial" w:cs="Arial"/>
          <w:noProof/>
          <w:sz w:val="20"/>
          <w:szCs w:val="20"/>
          <w:lang w:val="es-ES_tradnl"/>
        </w:rPr>
      </w:pPr>
      <w:r w:rsidRPr="00A264C3">
        <w:rPr>
          <w:rFonts w:ascii="Arial" w:eastAsia="Calibri" w:hAnsi="Arial" w:cs="Arial"/>
          <w:noProof/>
          <w:sz w:val="20"/>
          <w:szCs w:val="20"/>
          <w:lang w:val="es-ES_tradnl"/>
        </w:rPr>
        <w:t>[…]</w:t>
      </w:r>
    </w:p>
    <w:p w14:paraId="2BE4CD30" w14:textId="77777777" w:rsidR="00A264C3" w:rsidRPr="00A264C3" w:rsidRDefault="00A264C3" w:rsidP="00A264C3">
      <w:pPr>
        <w:tabs>
          <w:tab w:val="left" w:pos="426"/>
        </w:tabs>
        <w:jc w:val="both"/>
        <w:rPr>
          <w:rFonts w:ascii="Arial" w:eastAsia="Calibri" w:hAnsi="Arial" w:cs="Arial"/>
          <w:noProof/>
          <w:sz w:val="20"/>
          <w:szCs w:val="20"/>
          <w:lang w:val="es-ES_tradnl"/>
        </w:rPr>
      </w:pPr>
      <w:r w:rsidRPr="00A264C3">
        <w:rPr>
          <w:rFonts w:ascii="Arial" w:eastAsia="Calibri" w:hAnsi="Arial" w:cs="Arial"/>
          <w:noProof/>
          <w:sz w:val="20"/>
          <w:szCs w:val="20"/>
          <w:lang w:val="es-ES_tradnl"/>
        </w:rPr>
        <w:t>[…] a pesar del sometimiento al régimen jurídico de derecho privado para el desarrollo de sus actividades, las sociedades de economía mixta no pierden su carácter de expresión organizacional de la actividad estatal , más precisamente de la función administrativa, en virtud del aporte público en la constitución del capital social y la consiguiente pertenencia a la administración pública, en la condición de entidades descentralizadas.</w:t>
      </w:r>
    </w:p>
    <w:p w14:paraId="4DAE99C7" w14:textId="77777777" w:rsidR="0023518A" w:rsidRDefault="0023518A" w:rsidP="00AC55A0">
      <w:pPr>
        <w:spacing w:before="120" w:after="120" w:line="276" w:lineRule="auto"/>
        <w:jc w:val="both"/>
        <w:rPr>
          <w:rFonts w:ascii="Arial" w:hAnsi="Arial" w:cs="Arial"/>
          <w:bCs/>
          <w:color w:val="FF0000"/>
          <w:sz w:val="22"/>
          <w:lang w:val="es-ES_tradnl"/>
        </w:rPr>
      </w:pPr>
    </w:p>
    <w:p w14:paraId="09228D55" w14:textId="77428328" w:rsidR="00AC55A0" w:rsidRPr="007A0C25" w:rsidRDefault="00AC55A0" w:rsidP="00AC55A0">
      <w:pPr>
        <w:spacing w:before="120" w:after="120" w:line="276" w:lineRule="auto"/>
        <w:jc w:val="both"/>
        <w:rPr>
          <w:rFonts w:ascii="Arial" w:hAnsi="Arial" w:cs="Arial"/>
          <w:bCs/>
          <w:color w:val="FF0000"/>
          <w:sz w:val="22"/>
          <w:lang w:val="es-ES_tradnl"/>
        </w:rPr>
      </w:pPr>
      <w:r w:rsidRPr="007A0C25">
        <w:rPr>
          <w:rFonts w:ascii="Arial" w:hAnsi="Arial" w:cs="Arial"/>
          <w:bCs/>
          <w:color w:val="FF0000"/>
          <w:sz w:val="22"/>
          <w:lang w:val="es-ES_tradnl"/>
        </w:rPr>
        <w:br w:type="page"/>
      </w:r>
    </w:p>
    <w:p w14:paraId="0D94A8C2" w14:textId="77777777" w:rsidR="00AC55A0" w:rsidRPr="007A0C25" w:rsidRDefault="00AC55A0" w:rsidP="00AC55A0">
      <w:pPr>
        <w:jc w:val="both"/>
        <w:rPr>
          <w:rFonts w:ascii="Arial" w:hAnsi="Arial" w:cs="Arial"/>
          <w:bCs/>
          <w:color w:val="FF0000"/>
          <w:sz w:val="22"/>
          <w:lang w:val="es-ES_tradnl"/>
        </w:rPr>
      </w:pPr>
    </w:p>
    <w:p w14:paraId="18CF116B" w14:textId="77777777" w:rsidR="0039764F" w:rsidRDefault="0039764F" w:rsidP="00254759">
      <w:pPr>
        <w:contextualSpacing/>
        <w:rPr>
          <w:rFonts w:ascii="Arial" w:hAnsi="Arial" w:cs="Arial"/>
          <w:bCs/>
          <w:sz w:val="22"/>
          <w:lang w:val="es-ES_tradnl"/>
        </w:rPr>
      </w:pPr>
    </w:p>
    <w:p w14:paraId="11763D1D" w14:textId="77777777" w:rsidR="00C83215" w:rsidRDefault="00C83215" w:rsidP="00254759">
      <w:pPr>
        <w:contextualSpacing/>
        <w:rPr>
          <w:rFonts w:ascii="Arial" w:hAnsi="Arial" w:cs="Arial"/>
          <w:bCs/>
          <w:sz w:val="22"/>
          <w:lang w:val="es-ES_tradnl"/>
        </w:rPr>
      </w:pPr>
    </w:p>
    <w:p w14:paraId="1D68189B" w14:textId="2FFA0197" w:rsidR="00C83215" w:rsidRPr="007A0C25" w:rsidRDefault="00C83215" w:rsidP="00C83215">
      <w:pPr>
        <w:contextualSpacing/>
        <w:jc w:val="right"/>
        <w:rPr>
          <w:rFonts w:ascii="Arial" w:hAnsi="Arial" w:cs="Arial"/>
          <w:bCs/>
          <w:sz w:val="22"/>
          <w:lang w:val="es-ES_tradnl"/>
        </w:rPr>
      </w:pPr>
      <w:r w:rsidRPr="00C83215">
        <w:rPr>
          <w:rFonts w:ascii="Arial" w:hAnsi="Arial" w:cs="Arial"/>
          <w:bCs/>
          <w:noProof/>
          <w:sz w:val="22"/>
          <w:lang w:val="es-CO" w:eastAsia="es-CO"/>
        </w:rPr>
        <w:drawing>
          <wp:inline distT="0" distB="0" distL="0" distR="0" wp14:anchorId="315D1DDD" wp14:editId="2F8074BE">
            <wp:extent cx="3349128" cy="861060"/>
            <wp:effectExtent l="0" t="0" r="3810" b="0"/>
            <wp:docPr id="19014841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8810" cy="863549"/>
                    </a:xfrm>
                    <a:prstGeom prst="rect">
                      <a:avLst/>
                    </a:prstGeom>
                    <a:noFill/>
                    <a:ln>
                      <a:noFill/>
                    </a:ln>
                  </pic:spPr>
                </pic:pic>
              </a:graphicData>
            </a:graphic>
          </wp:inline>
        </w:drawing>
      </w:r>
    </w:p>
    <w:p w14:paraId="10037B14" w14:textId="77777777" w:rsidR="00AC55A0" w:rsidRPr="007A0C25" w:rsidRDefault="00AC55A0" w:rsidP="00254759">
      <w:pPr>
        <w:contextualSpacing/>
        <w:jc w:val="both"/>
        <w:rPr>
          <w:rFonts w:ascii="Arial" w:hAnsi="Arial" w:cs="Arial"/>
          <w:bCs/>
          <w:sz w:val="22"/>
          <w:lang w:val="es-ES_tradnl"/>
        </w:rPr>
      </w:pPr>
    </w:p>
    <w:p w14:paraId="709560C4" w14:textId="69650ACE" w:rsidR="00AC55A0" w:rsidRPr="007A0C25" w:rsidRDefault="00AC55A0" w:rsidP="00254759">
      <w:pPr>
        <w:contextualSpacing/>
        <w:rPr>
          <w:rFonts w:ascii="Arial" w:hAnsi="Arial" w:cs="Arial"/>
          <w:sz w:val="22"/>
          <w:lang w:val="es-ES_tradnl"/>
        </w:rPr>
      </w:pPr>
      <w:bookmarkStart w:id="8" w:name="_Hlk70510939"/>
      <w:r w:rsidRPr="007A0C25">
        <w:rPr>
          <w:rFonts w:ascii="Arial" w:hAnsi="Arial" w:cs="Arial"/>
          <w:sz w:val="22"/>
          <w:lang w:val="es-ES_tradnl"/>
        </w:rPr>
        <w:t>Señor</w:t>
      </w:r>
      <w:r w:rsidR="009508F1" w:rsidRPr="007A0C25">
        <w:rPr>
          <w:rFonts w:ascii="Arial" w:hAnsi="Arial" w:cs="Arial"/>
          <w:sz w:val="22"/>
          <w:lang w:val="es-ES_tradnl"/>
        </w:rPr>
        <w:t>a</w:t>
      </w:r>
    </w:p>
    <w:p w14:paraId="2DAE2961" w14:textId="4B15BCDC" w:rsidR="00AC55A0" w:rsidRDefault="00C26BBD" w:rsidP="00254759">
      <w:pPr>
        <w:contextualSpacing/>
        <w:jc w:val="both"/>
        <w:rPr>
          <w:rFonts w:ascii="Arial" w:hAnsi="Arial" w:cs="Arial"/>
          <w:b/>
          <w:sz w:val="22"/>
          <w:lang w:val="es-ES_tradnl"/>
        </w:rPr>
      </w:pPr>
      <w:r>
        <w:rPr>
          <w:rFonts w:ascii="Arial" w:hAnsi="Arial" w:cs="Arial"/>
          <w:b/>
          <w:sz w:val="22"/>
          <w:lang w:val="es-ES_tradnl"/>
        </w:rPr>
        <w:t xml:space="preserve">Adriana Katherinne </w:t>
      </w:r>
      <w:r w:rsidR="00861727">
        <w:rPr>
          <w:rFonts w:ascii="Arial" w:hAnsi="Arial" w:cs="Arial"/>
          <w:b/>
          <w:sz w:val="22"/>
          <w:lang w:val="es-ES_tradnl"/>
        </w:rPr>
        <w:t>Baquero</w:t>
      </w:r>
      <w:r w:rsidR="00167278">
        <w:rPr>
          <w:rFonts w:ascii="Arial" w:hAnsi="Arial" w:cs="Arial"/>
          <w:b/>
          <w:sz w:val="22"/>
          <w:lang w:val="es-ES_tradnl"/>
        </w:rPr>
        <w:t xml:space="preserve"> </w:t>
      </w:r>
      <w:r w:rsidR="00861727">
        <w:rPr>
          <w:rFonts w:ascii="Arial" w:hAnsi="Arial" w:cs="Arial"/>
          <w:b/>
          <w:sz w:val="22"/>
          <w:lang w:val="es-ES_tradnl"/>
        </w:rPr>
        <w:t>Herrera</w:t>
      </w:r>
    </w:p>
    <w:p w14:paraId="30773BEF" w14:textId="64BFBF9F" w:rsidR="00D104BC" w:rsidRPr="00D104BC" w:rsidRDefault="00D46E59" w:rsidP="00254759">
      <w:pPr>
        <w:contextualSpacing/>
        <w:jc w:val="both"/>
        <w:rPr>
          <w:rFonts w:ascii="Arial" w:hAnsi="Arial" w:cs="Arial"/>
          <w:bCs/>
          <w:sz w:val="22"/>
          <w:lang w:val="es-ES_tradnl"/>
        </w:rPr>
      </w:pPr>
      <w:hyperlink r:id="rId12" w:history="1">
        <w:r w:rsidR="00D104BC" w:rsidRPr="00D104BC">
          <w:rPr>
            <w:rStyle w:val="Hipervnculo"/>
            <w:rFonts w:ascii="Arial" w:hAnsi="Arial" w:cs="Arial"/>
            <w:bCs/>
            <w:sz w:val="22"/>
            <w:lang w:val="es-ES_tradnl"/>
          </w:rPr>
          <w:t>adrianakbaqueroh@gmail.com</w:t>
        </w:r>
      </w:hyperlink>
    </w:p>
    <w:p w14:paraId="237806E9" w14:textId="6B1DAC75" w:rsidR="00AC55A0" w:rsidRPr="007A0C25" w:rsidRDefault="00F31623" w:rsidP="00254759">
      <w:pPr>
        <w:contextualSpacing/>
        <w:rPr>
          <w:rFonts w:ascii="Arial" w:hAnsi="Arial" w:cs="Arial"/>
          <w:b/>
          <w:bCs/>
          <w:sz w:val="22"/>
          <w:lang w:val="es-ES_tradnl"/>
        </w:rPr>
      </w:pPr>
      <w:r>
        <w:rPr>
          <w:rFonts w:ascii="Arial" w:hAnsi="Arial" w:cs="Arial"/>
          <w:sz w:val="22"/>
        </w:rPr>
        <w:t>Bogotá D.C.</w:t>
      </w:r>
    </w:p>
    <w:p w14:paraId="163E83E7" w14:textId="77777777" w:rsidR="00D104BC" w:rsidRDefault="00D104BC" w:rsidP="00254759">
      <w:pPr>
        <w:ind w:left="2124" w:firstLine="708"/>
        <w:contextualSpacing/>
        <w:rPr>
          <w:rFonts w:ascii="Arial" w:hAnsi="Arial" w:cs="Arial"/>
          <w:b/>
          <w:bCs/>
          <w:sz w:val="22"/>
          <w:lang w:val="es-ES_tradnl"/>
        </w:rPr>
      </w:pPr>
    </w:p>
    <w:p w14:paraId="5DADCA63" w14:textId="77777777" w:rsidR="00D104BC" w:rsidRDefault="00D104BC" w:rsidP="00254759">
      <w:pPr>
        <w:ind w:left="2124" w:firstLine="708"/>
        <w:contextualSpacing/>
        <w:rPr>
          <w:rFonts w:ascii="Arial" w:hAnsi="Arial" w:cs="Arial"/>
          <w:b/>
          <w:bCs/>
          <w:sz w:val="22"/>
          <w:lang w:val="es-ES_tradnl"/>
        </w:rPr>
      </w:pPr>
    </w:p>
    <w:p w14:paraId="4EADE452" w14:textId="24DE2B2F" w:rsidR="00AC55A0" w:rsidRPr="007A0C25" w:rsidRDefault="00AC55A0" w:rsidP="00254759">
      <w:pPr>
        <w:ind w:left="2124" w:firstLine="708"/>
        <w:contextualSpacing/>
        <w:rPr>
          <w:rFonts w:ascii="Arial" w:hAnsi="Arial" w:cs="Arial"/>
          <w:b/>
          <w:bCs/>
          <w:sz w:val="22"/>
          <w:lang w:val="es-ES_tradnl"/>
        </w:rPr>
      </w:pPr>
      <w:r w:rsidRPr="007A0C25">
        <w:rPr>
          <w:rFonts w:ascii="Arial" w:hAnsi="Arial" w:cs="Arial"/>
          <w:b/>
          <w:bCs/>
          <w:sz w:val="22"/>
          <w:lang w:val="es-ES_tradnl"/>
        </w:rPr>
        <w:t xml:space="preserve">Concepto C – </w:t>
      </w:r>
      <w:r w:rsidR="00F31623">
        <w:rPr>
          <w:rFonts w:ascii="Arial" w:hAnsi="Arial" w:cs="Arial"/>
          <w:b/>
          <w:bCs/>
          <w:sz w:val="22"/>
          <w:lang w:val="es-ES_tradnl"/>
        </w:rPr>
        <w:t>115</w:t>
      </w:r>
      <w:r w:rsidRPr="007A0C25">
        <w:rPr>
          <w:rFonts w:ascii="Arial" w:hAnsi="Arial" w:cs="Arial"/>
          <w:b/>
          <w:bCs/>
          <w:sz w:val="22"/>
          <w:lang w:val="es-ES_tradnl"/>
        </w:rPr>
        <w:t xml:space="preserve"> de 202</w:t>
      </w:r>
      <w:r w:rsidR="00F87CD1">
        <w:rPr>
          <w:rFonts w:ascii="Arial" w:hAnsi="Arial" w:cs="Arial"/>
          <w:b/>
          <w:bCs/>
          <w:sz w:val="22"/>
          <w:lang w:val="es-ES_tradnl"/>
        </w:rPr>
        <w:t>3</w:t>
      </w:r>
    </w:p>
    <w:p w14:paraId="001D092A" w14:textId="77777777" w:rsidR="00AC55A0" w:rsidRPr="007A0C25" w:rsidRDefault="00AC55A0" w:rsidP="00254759">
      <w:pPr>
        <w:ind w:left="2824" w:hanging="2818"/>
        <w:contextualSpacing/>
        <w:jc w:val="both"/>
        <w:rPr>
          <w:rFonts w:ascii="Arial" w:eastAsia="Calibri" w:hAnsi="Arial" w:cs="Arial"/>
          <w:b/>
          <w:noProof/>
          <w:sz w:val="22"/>
          <w:lang w:val="es-ES_tradnl"/>
        </w:rPr>
      </w:pPr>
    </w:p>
    <w:p w14:paraId="578ED6C8" w14:textId="2BF2C76E" w:rsidR="002E7A58" w:rsidRPr="00926285" w:rsidRDefault="00AC55A0" w:rsidP="002E7A58">
      <w:pPr>
        <w:ind w:left="2832" w:hanging="2184"/>
        <w:contextualSpacing/>
        <w:jc w:val="both"/>
        <w:rPr>
          <w:rFonts w:ascii="Arial" w:hAnsi="Arial" w:cs="Arial"/>
          <w:sz w:val="22"/>
        </w:rPr>
      </w:pPr>
      <w:r w:rsidRPr="007A0C25">
        <w:rPr>
          <w:rFonts w:ascii="Arial" w:eastAsia="Calibri" w:hAnsi="Arial" w:cs="Arial"/>
          <w:b/>
          <w:noProof/>
          <w:sz w:val="22"/>
          <w:lang w:val="es-ES_tradnl"/>
        </w:rPr>
        <w:t>Temas</w:t>
      </w:r>
      <w:r w:rsidRPr="007A0C25">
        <w:rPr>
          <w:rFonts w:ascii="Arial" w:eastAsia="Calibri" w:hAnsi="Arial" w:cs="Arial"/>
          <w:bCs/>
          <w:noProof/>
          <w:sz w:val="22"/>
          <w:lang w:val="es-ES_tradnl"/>
        </w:rPr>
        <w:t xml:space="preserve">: </w:t>
      </w:r>
      <w:r w:rsidRPr="007A0C25">
        <w:rPr>
          <w:rFonts w:ascii="Arial" w:eastAsia="Calibri" w:hAnsi="Arial" w:cs="Arial"/>
          <w:bCs/>
          <w:noProof/>
          <w:sz w:val="22"/>
          <w:lang w:val="es-ES_tradnl"/>
        </w:rPr>
        <w:tab/>
      </w:r>
      <w:r w:rsidR="002E7A58" w:rsidRPr="002E7A58">
        <w:rPr>
          <w:rFonts w:ascii="Arial" w:eastAsia="Calibri" w:hAnsi="Arial" w:cs="Arial"/>
          <w:bCs/>
          <w:noProof/>
          <w:sz w:val="22"/>
          <w:lang w:val="es-ES_tradnl"/>
        </w:rPr>
        <w:t>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populares – Convenios y contratos interadministrativos – Tipologia contractual – Modalidad de selección</w:t>
      </w:r>
      <w:r w:rsidR="00A264C3">
        <w:rPr>
          <w:rFonts w:ascii="Arial" w:eastAsia="Calibri" w:hAnsi="Arial" w:cs="Arial"/>
          <w:bCs/>
          <w:noProof/>
          <w:sz w:val="22"/>
          <w:lang w:val="es-ES_tradnl"/>
        </w:rPr>
        <w:t xml:space="preserve"> / </w:t>
      </w:r>
      <w:r w:rsidR="00A264C3" w:rsidRPr="00A264C3">
        <w:rPr>
          <w:rFonts w:ascii="Arial" w:eastAsia="Calibri" w:hAnsi="Arial" w:cs="Arial"/>
          <w:bCs/>
          <w:noProof/>
          <w:sz w:val="22"/>
          <w:lang w:val="es-ES_tradnl"/>
        </w:rPr>
        <w:t>SOCIEDADES DE ECONOMÍA MIXTA – Concepto – Naturaleza jurídica</w:t>
      </w:r>
    </w:p>
    <w:p w14:paraId="26AD01CA" w14:textId="77777777" w:rsidR="00837492" w:rsidRDefault="00837492" w:rsidP="00254759">
      <w:pPr>
        <w:ind w:left="2835" w:hanging="2835"/>
        <w:contextualSpacing/>
        <w:jc w:val="both"/>
        <w:rPr>
          <w:rFonts w:ascii="Arial" w:eastAsia="Calibri" w:hAnsi="Arial" w:cs="Arial"/>
          <w:b/>
          <w:noProof/>
          <w:sz w:val="22"/>
          <w:lang w:val="es-ES_tradnl"/>
        </w:rPr>
      </w:pPr>
    </w:p>
    <w:p w14:paraId="09F45F43" w14:textId="77777777" w:rsidR="00A264C3" w:rsidRDefault="00A264C3" w:rsidP="00254759">
      <w:pPr>
        <w:ind w:left="2835" w:hanging="2835"/>
        <w:contextualSpacing/>
        <w:jc w:val="both"/>
        <w:rPr>
          <w:rFonts w:ascii="Arial" w:eastAsia="Calibri" w:hAnsi="Arial" w:cs="Arial"/>
          <w:b/>
          <w:noProof/>
          <w:sz w:val="22"/>
          <w:lang w:val="es-ES_tradnl"/>
        </w:rPr>
      </w:pPr>
    </w:p>
    <w:p w14:paraId="01E0A1B4" w14:textId="163F001F" w:rsidR="00AC55A0" w:rsidRPr="007A0C25" w:rsidRDefault="00AC55A0" w:rsidP="00254759">
      <w:pPr>
        <w:ind w:left="2835" w:hanging="2835"/>
        <w:contextualSpacing/>
        <w:jc w:val="both"/>
        <w:rPr>
          <w:rFonts w:ascii="Arial" w:hAnsi="Arial" w:cs="Arial"/>
          <w:sz w:val="22"/>
          <w:lang w:val="es-ES_tradnl"/>
        </w:rPr>
      </w:pPr>
      <w:r w:rsidRPr="007A0C25">
        <w:rPr>
          <w:rFonts w:ascii="Arial" w:eastAsia="Calibri" w:hAnsi="Arial" w:cs="Arial"/>
          <w:b/>
          <w:noProof/>
          <w:sz w:val="22"/>
          <w:lang w:val="es-ES_tradnl"/>
        </w:rPr>
        <w:t>Radicación</w:t>
      </w:r>
      <w:r w:rsidRPr="007A0C25">
        <w:rPr>
          <w:rFonts w:ascii="Arial" w:eastAsia="Calibri" w:hAnsi="Arial" w:cs="Arial"/>
          <w:bCs/>
          <w:noProof/>
          <w:sz w:val="22"/>
          <w:lang w:val="es-ES_tradnl"/>
        </w:rPr>
        <w:t>:</w:t>
      </w:r>
      <w:r w:rsidRPr="007A0C25">
        <w:rPr>
          <w:rFonts w:ascii="Arial" w:eastAsia="Calibri" w:hAnsi="Arial" w:cs="Arial"/>
          <w:bCs/>
          <w:noProof/>
          <w:sz w:val="22"/>
          <w:lang w:val="es-ES_tradnl"/>
        </w:rPr>
        <w:tab/>
        <w:t xml:space="preserve">Respuesta a </w:t>
      </w:r>
      <w:r w:rsidR="00F87CD1" w:rsidRPr="007A0C25">
        <w:rPr>
          <w:rFonts w:ascii="Arial" w:eastAsia="Calibri" w:hAnsi="Arial" w:cs="Arial"/>
          <w:bCs/>
          <w:noProof/>
          <w:sz w:val="22"/>
          <w:lang w:val="es-ES_tradnl"/>
        </w:rPr>
        <w:t>consulta P</w:t>
      </w:r>
      <w:r w:rsidR="00254759" w:rsidRPr="007A0C25">
        <w:rPr>
          <w:rFonts w:ascii="Arial" w:hAnsi="Arial" w:cs="Arial"/>
          <w:sz w:val="22"/>
          <w:shd w:val="clear" w:color="auto" w:fill="FFFFFF"/>
        </w:rPr>
        <w:t>202</w:t>
      </w:r>
      <w:r w:rsidR="00F87CD1">
        <w:rPr>
          <w:rFonts w:ascii="Arial" w:hAnsi="Arial" w:cs="Arial"/>
          <w:sz w:val="22"/>
          <w:shd w:val="clear" w:color="auto" w:fill="FFFFFF"/>
        </w:rPr>
        <w:t>3</w:t>
      </w:r>
      <w:r w:rsidR="007837C0">
        <w:rPr>
          <w:rFonts w:ascii="Arial" w:hAnsi="Arial" w:cs="Arial"/>
          <w:sz w:val="22"/>
          <w:shd w:val="clear" w:color="auto" w:fill="FFFFFF"/>
        </w:rPr>
        <w:t>032200</w:t>
      </w:r>
      <w:r w:rsidR="00343C3C">
        <w:rPr>
          <w:rFonts w:ascii="Arial" w:hAnsi="Arial" w:cs="Arial"/>
          <w:sz w:val="22"/>
          <w:shd w:val="clear" w:color="auto" w:fill="FFFFFF"/>
        </w:rPr>
        <w:t>2624</w:t>
      </w:r>
    </w:p>
    <w:p w14:paraId="4D6BE387" w14:textId="77777777" w:rsidR="00AC55A0" w:rsidRPr="007A0C25" w:rsidRDefault="00AC55A0" w:rsidP="00254759">
      <w:pPr>
        <w:contextualSpacing/>
        <w:rPr>
          <w:rFonts w:ascii="Arial" w:hAnsi="Arial" w:cs="Arial"/>
          <w:sz w:val="22"/>
          <w:lang w:val="es-ES_tradnl"/>
        </w:rPr>
      </w:pPr>
    </w:p>
    <w:p w14:paraId="0500C0E9" w14:textId="77777777" w:rsidR="00A264C3" w:rsidRDefault="00A264C3" w:rsidP="00254759">
      <w:pPr>
        <w:contextualSpacing/>
        <w:rPr>
          <w:rFonts w:ascii="Arial" w:hAnsi="Arial" w:cs="Arial"/>
          <w:sz w:val="22"/>
          <w:lang w:val="es-ES_tradnl"/>
        </w:rPr>
      </w:pPr>
    </w:p>
    <w:p w14:paraId="478D63EB" w14:textId="77777777" w:rsidR="00A264C3" w:rsidRDefault="00A264C3" w:rsidP="00254759">
      <w:pPr>
        <w:contextualSpacing/>
        <w:rPr>
          <w:rFonts w:ascii="Arial" w:hAnsi="Arial" w:cs="Arial"/>
          <w:sz w:val="22"/>
          <w:lang w:val="es-ES_tradnl"/>
        </w:rPr>
      </w:pPr>
    </w:p>
    <w:p w14:paraId="3F048510" w14:textId="08F55A14" w:rsidR="00AC55A0" w:rsidRPr="007A0C25" w:rsidRDefault="00AC55A0" w:rsidP="00254759">
      <w:pPr>
        <w:contextualSpacing/>
        <w:rPr>
          <w:rFonts w:ascii="Arial" w:hAnsi="Arial" w:cs="Arial"/>
          <w:sz w:val="22"/>
          <w:lang w:val="es-ES_tradnl"/>
        </w:rPr>
      </w:pPr>
      <w:r w:rsidRPr="007A0C25">
        <w:rPr>
          <w:rFonts w:ascii="Arial" w:hAnsi="Arial" w:cs="Arial"/>
          <w:sz w:val="22"/>
          <w:lang w:val="es-ES_tradnl"/>
        </w:rPr>
        <w:t>Estimad</w:t>
      </w:r>
      <w:r w:rsidR="00600F38" w:rsidRPr="007A0C25">
        <w:rPr>
          <w:rFonts w:ascii="Arial" w:hAnsi="Arial" w:cs="Arial"/>
          <w:sz w:val="22"/>
          <w:lang w:val="es-ES_tradnl"/>
        </w:rPr>
        <w:t>a</w:t>
      </w:r>
      <w:r w:rsidR="00254759" w:rsidRPr="007A0C25">
        <w:rPr>
          <w:rFonts w:ascii="Arial" w:hAnsi="Arial" w:cs="Arial"/>
          <w:sz w:val="22"/>
          <w:lang w:val="es-ES_tradnl"/>
        </w:rPr>
        <w:t xml:space="preserve"> </w:t>
      </w:r>
      <w:r w:rsidRPr="007A0C25">
        <w:rPr>
          <w:rFonts w:ascii="Arial" w:hAnsi="Arial" w:cs="Arial"/>
          <w:sz w:val="22"/>
          <w:lang w:val="es-ES_tradnl"/>
        </w:rPr>
        <w:t>Señor</w:t>
      </w:r>
      <w:r w:rsidR="00600F38" w:rsidRPr="007A0C25">
        <w:rPr>
          <w:rFonts w:ascii="Arial" w:hAnsi="Arial" w:cs="Arial"/>
          <w:sz w:val="22"/>
          <w:lang w:val="es-ES_tradnl"/>
        </w:rPr>
        <w:t>a</w:t>
      </w:r>
      <w:r w:rsidRPr="007A0C25">
        <w:rPr>
          <w:rFonts w:ascii="Arial" w:hAnsi="Arial" w:cs="Arial"/>
          <w:sz w:val="22"/>
          <w:lang w:val="es-ES_tradnl"/>
        </w:rPr>
        <w:t xml:space="preserve"> </w:t>
      </w:r>
      <w:r w:rsidR="00343C3C">
        <w:rPr>
          <w:rFonts w:ascii="Arial" w:hAnsi="Arial" w:cs="Arial"/>
          <w:bCs/>
          <w:sz w:val="22"/>
          <w:lang w:val="es-ES_tradnl"/>
        </w:rPr>
        <w:t>Adriana Baquero</w:t>
      </w:r>
      <w:r w:rsidRPr="007A0C25">
        <w:rPr>
          <w:rFonts w:ascii="Arial" w:hAnsi="Arial" w:cs="Arial"/>
          <w:sz w:val="22"/>
          <w:lang w:val="es-ES_tradnl"/>
        </w:rPr>
        <w:t xml:space="preserve">,   </w:t>
      </w:r>
    </w:p>
    <w:p w14:paraId="06CB530C" w14:textId="413DAE2E" w:rsidR="00254759" w:rsidRPr="007A0C25" w:rsidRDefault="00254759" w:rsidP="00254759">
      <w:pPr>
        <w:contextualSpacing/>
        <w:rPr>
          <w:rFonts w:ascii="Arial" w:hAnsi="Arial" w:cs="Arial"/>
          <w:sz w:val="22"/>
          <w:lang w:val="es-ES_tradnl"/>
        </w:rPr>
      </w:pPr>
    </w:p>
    <w:p w14:paraId="181930A0" w14:textId="0EF7B6B9" w:rsidR="00F87CD1" w:rsidRPr="00F87CD1" w:rsidRDefault="00F87CD1" w:rsidP="00F87CD1">
      <w:pPr>
        <w:spacing w:after="120" w:line="276" w:lineRule="auto"/>
        <w:ind w:right="51"/>
        <w:jc w:val="both"/>
        <w:rPr>
          <w:rFonts w:ascii="Arial" w:eastAsia="Calibri" w:hAnsi="Arial" w:cs="Arial"/>
          <w:sz w:val="22"/>
        </w:rPr>
      </w:pPr>
      <w:r w:rsidRPr="00F87CD1">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su </w:t>
      </w:r>
      <w:r w:rsidR="00146F73">
        <w:rPr>
          <w:rFonts w:ascii="Arial" w:eastAsia="Calibri" w:hAnsi="Arial" w:cs="Arial"/>
          <w:sz w:val="22"/>
          <w:lang w:val="es-CO"/>
        </w:rPr>
        <w:t>consulta</w:t>
      </w:r>
      <w:r w:rsidRPr="00F87CD1">
        <w:rPr>
          <w:rFonts w:ascii="Arial" w:eastAsia="Calibri" w:hAnsi="Arial" w:cs="Arial"/>
          <w:sz w:val="22"/>
          <w:lang w:val="es-CO"/>
        </w:rPr>
        <w:t xml:space="preserve"> del 2</w:t>
      </w:r>
      <w:r w:rsidR="001146A2">
        <w:rPr>
          <w:rFonts w:ascii="Arial" w:eastAsia="Calibri" w:hAnsi="Arial" w:cs="Arial"/>
          <w:sz w:val="22"/>
          <w:lang w:val="es-CO"/>
        </w:rPr>
        <w:t>2</w:t>
      </w:r>
      <w:r w:rsidRPr="00F87CD1">
        <w:rPr>
          <w:rFonts w:ascii="Arial" w:eastAsia="Calibri" w:hAnsi="Arial" w:cs="Arial"/>
          <w:sz w:val="22"/>
          <w:lang w:val="es-CO"/>
        </w:rPr>
        <w:t xml:space="preserve"> de </w:t>
      </w:r>
      <w:r w:rsidR="001146A2">
        <w:rPr>
          <w:rFonts w:ascii="Arial" w:eastAsia="Calibri" w:hAnsi="Arial" w:cs="Arial"/>
          <w:sz w:val="22"/>
          <w:lang w:val="es-CO"/>
        </w:rPr>
        <w:t>marzo</w:t>
      </w:r>
      <w:r w:rsidRPr="00F87CD1">
        <w:rPr>
          <w:rFonts w:ascii="Arial" w:eastAsia="Calibri" w:hAnsi="Arial" w:cs="Arial"/>
          <w:sz w:val="22"/>
          <w:lang w:val="es-CO"/>
        </w:rPr>
        <w:t xml:space="preserve"> de 2023. </w:t>
      </w:r>
      <w:r w:rsidRPr="00F87CD1">
        <w:rPr>
          <w:rFonts w:ascii="Arial" w:eastAsia="Calibri" w:hAnsi="Arial" w:cs="Arial"/>
          <w:sz w:val="22"/>
        </w:rPr>
        <w:t xml:space="preserve">     </w:t>
      </w:r>
    </w:p>
    <w:p w14:paraId="6AD777B6" w14:textId="77777777" w:rsidR="00254759" w:rsidRPr="007A0C25" w:rsidRDefault="00254759" w:rsidP="006B0A9F">
      <w:pPr>
        <w:spacing w:line="276" w:lineRule="auto"/>
        <w:contextualSpacing/>
        <w:rPr>
          <w:rFonts w:ascii="Arial" w:hAnsi="Arial" w:cs="Arial"/>
          <w:b/>
          <w:sz w:val="22"/>
          <w:lang w:val="es-ES_tradnl"/>
        </w:rPr>
      </w:pPr>
    </w:p>
    <w:p w14:paraId="40429745" w14:textId="111EEF85" w:rsidR="00AC55A0" w:rsidRPr="007A0C25" w:rsidRDefault="00AC55A0" w:rsidP="006B0A9F">
      <w:pPr>
        <w:spacing w:line="276" w:lineRule="auto"/>
        <w:contextualSpacing/>
        <w:rPr>
          <w:rFonts w:ascii="Arial" w:hAnsi="Arial" w:cs="Arial"/>
          <w:b/>
          <w:sz w:val="22"/>
          <w:lang w:val="es-ES_tradnl"/>
        </w:rPr>
      </w:pPr>
      <w:r w:rsidRPr="007A0C25">
        <w:rPr>
          <w:rFonts w:ascii="Arial" w:hAnsi="Arial" w:cs="Arial"/>
          <w:b/>
          <w:sz w:val="22"/>
          <w:lang w:val="es-ES_tradnl"/>
        </w:rPr>
        <w:t xml:space="preserve">1. Problema planteado </w:t>
      </w:r>
    </w:p>
    <w:p w14:paraId="0BB91661" w14:textId="77777777" w:rsidR="00B95D7E" w:rsidRPr="007A0C25" w:rsidRDefault="00B95D7E" w:rsidP="006B0A9F">
      <w:pPr>
        <w:spacing w:line="276" w:lineRule="auto"/>
        <w:contextualSpacing/>
        <w:jc w:val="both"/>
        <w:rPr>
          <w:rFonts w:ascii="Arial" w:hAnsi="Arial" w:cs="Arial"/>
          <w:sz w:val="22"/>
          <w:lang w:val="es-ES_tradnl"/>
        </w:rPr>
      </w:pPr>
    </w:p>
    <w:p w14:paraId="55B20490" w14:textId="19130BA7" w:rsidR="00AC55A0" w:rsidRPr="007A0C25" w:rsidRDefault="00B95D7E" w:rsidP="006B0A9F">
      <w:pPr>
        <w:spacing w:line="276" w:lineRule="auto"/>
        <w:contextualSpacing/>
        <w:jc w:val="both"/>
        <w:rPr>
          <w:rFonts w:ascii="Arial" w:hAnsi="Arial" w:cs="Arial"/>
          <w:sz w:val="22"/>
          <w:lang w:val="es-ES_tradnl"/>
        </w:rPr>
      </w:pPr>
      <w:r w:rsidRPr="007A0C25">
        <w:rPr>
          <w:rFonts w:ascii="Arial" w:hAnsi="Arial" w:cs="Arial"/>
          <w:sz w:val="22"/>
          <w:lang w:val="es-ES_tradnl"/>
        </w:rPr>
        <w:t>Respecto de la Ley de Garantías Electorales, u</w:t>
      </w:r>
      <w:r w:rsidR="00AC55A0" w:rsidRPr="007A0C25">
        <w:rPr>
          <w:rFonts w:ascii="Arial" w:hAnsi="Arial" w:cs="Arial"/>
          <w:sz w:val="22"/>
          <w:lang w:val="es-ES_tradnl"/>
        </w:rPr>
        <w:t xml:space="preserve">sted formula la siguiente consulta: </w:t>
      </w:r>
    </w:p>
    <w:p w14:paraId="0AB2BF4B" w14:textId="77777777" w:rsidR="006B0A9F" w:rsidRPr="007A0C25" w:rsidRDefault="006B0A9F" w:rsidP="006B0A9F">
      <w:pPr>
        <w:spacing w:line="276" w:lineRule="auto"/>
        <w:contextualSpacing/>
        <w:jc w:val="both"/>
        <w:rPr>
          <w:rFonts w:ascii="Arial" w:hAnsi="Arial" w:cs="Arial"/>
          <w:sz w:val="22"/>
          <w:lang w:val="es-ES_tradnl"/>
        </w:rPr>
      </w:pPr>
    </w:p>
    <w:p w14:paraId="662AE7C5" w14:textId="6FA80FBE" w:rsidR="001146A2" w:rsidRPr="001146A2" w:rsidRDefault="009A6868" w:rsidP="001146A2">
      <w:pPr>
        <w:ind w:left="567" w:right="788"/>
        <w:contextualSpacing/>
        <w:jc w:val="both"/>
        <w:rPr>
          <w:rFonts w:ascii="Arial" w:hAnsi="Arial" w:cs="Arial"/>
          <w:sz w:val="21"/>
          <w:szCs w:val="21"/>
          <w:lang w:val="es-ES_tradnl"/>
        </w:rPr>
      </w:pPr>
      <w:r>
        <w:rPr>
          <w:rFonts w:ascii="Arial" w:hAnsi="Arial" w:cs="Arial"/>
          <w:sz w:val="21"/>
          <w:szCs w:val="21"/>
          <w:lang w:val="es-ES_tradnl"/>
        </w:rPr>
        <w:t>“</w:t>
      </w:r>
      <w:r w:rsidR="001146A2" w:rsidRPr="001146A2">
        <w:rPr>
          <w:rFonts w:ascii="Arial" w:hAnsi="Arial" w:cs="Arial"/>
          <w:sz w:val="21"/>
          <w:szCs w:val="21"/>
          <w:lang w:val="es-ES_tradnl"/>
        </w:rPr>
        <w:t>Teniendo en cuenta que, en los próximos meses empezará a regir la LEY DE</w:t>
      </w:r>
    </w:p>
    <w:p w14:paraId="170A6B14" w14:textId="77777777" w:rsidR="001146A2" w:rsidRPr="001146A2" w:rsidRDefault="001146A2" w:rsidP="001146A2">
      <w:pPr>
        <w:ind w:left="567" w:right="788"/>
        <w:contextualSpacing/>
        <w:jc w:val="both"/>
        <w:rPr>
          <w:rFonts w:ascii="Arial" w:hAnsi="Arial" w:cs="Arial"/>
          <w:sz w:val="21"/>
          <w:szCs w:val="21"/>
          <w:lang w:val="es-ES_tradnl"/>
        </w:rPr>
      </w:pPr>
      <w:r w:rsidRPr="001146A2">
        <w:rPr>
          <w:rFonts w:ascii="Arial" w:hAnsi="Arial" w:cs="Arial"/>
          <w:sz w:val="21"/>
          <w:szCs w:val="21"/>
          <w:lang w:val="es-ES_tradnl"/>
        </w:rPr>
        <w:t>GARANTÍAS, elecciones de gobernadores, alcaldes, diputados, concejales y ediles</w:t>
      </w:r>
    </w:p>
    <w:p w14:paraId="05BA9112" w14:textId="77777777" w:rsidR="001146A2" w:rsidRPr="001146A2" w:rsidRDefault="001146A2" w:rsidP="001146A2">
      <w:pPr>
        <w:ind w:left="567" w:right="788"/>
        <w:contextualSpacing/>
        <w:jc w:val="both"/>
        <w:rPr>
          <w:rFonts w:ascii="Arial" w:hAnsi="Arial" w:cs="Arial"/>
          <w:sz w:val="21"/>
          <w:szCs w:val="21"/>
          <w:lang w:val="es-ES_tradnl"/>
        </w:rPr>
      </w:pPr>
      <w:r w:rsidRPr="001146A2">
        <w:rPr>
          <w:rFonts w:ascii="Arial" w:hAnsi="Arial" w:cs="Arial"/>
          <w:sz w:val="21"/>
          <w:szCs w:val="21"/>
          <w:lang w:val="es-ES_tradnl"/>
        </w:rPr>
        <w:t>para el periodo 2024-2027; se requiere definir las pautas para cumplir las restricciones</w:t>
      </w:r>
    </w:p>
    <w:p w14:paraId="615C18DC" w14:textId="77777777" w:rsidR="001146A2" w:rsidRPr="001146A2" w:rsidRDefault="001146A2" w:rsidP="001146A2">
      <w:pPr>
        <w:ind w:left="567" w:right="788"/>
        <w:contextualSpacing/>
        <w:jc w:val="both"/>
        <w:rPr>
          <w:rFonts w:ascii="Arial" w:hAnsi="Arial" w:cs="Arial"/>
          <w:sz w:val="21"/>
          <w:szCs w:val="21"/>
          <w:lang w:val="es-ES_tradnl"/>
        </w:rPr>
      </w:pPr>
      <w:r w:rsidRPr="001146A2">
        <w:rPr>
          <w:rFonts w:ascii="Arial" w:hAnsi="Arial" w:cs="Arial"/>
          <w:sz w:val="21"/>
          <w:szCs w:val="21"/>
          <w:lang w:val="es-ES_tradnl"/>
        </w:rPr>
        <w:t>y limitaciones a la contratación pública establecidas en la Ley 996 de 2005(en adelante</w:t>
      </w:r>
    </w:p>
    <w:p w14:paraId="2532880A" w14:textId="77777777" w:rsidR="001146A2" w:rsidRPr="001146A2" w:rsidRDefault="001146A2" w:rsidP="001146A2">
      <w:pPr>
        <w:ind w:left="567" w:right="788"/>
        <w:contextualSpacing/>
        <w:jc w:val="both"/>
        <w:rPr>
          <w:rFonts w:ascii="Arial" w:hAnsi="Arial" w:cs="Arial"/>
          <w:sz w:val="21"/>
          <w:szCs w:val="21"/>
          <w:lang w:val="es-ES_tradnl"/>
        </w:rPr>
      </w:pPr>
      <w:r w:rsidRPr="001146A2">
        <w:rPr>
          <w:rFonts w:ascii="Arial" w:hAnsi="Arial" w:cs="Arial"/>
          <w:sz w:val="21"/>
          <w:szCs w:val="21"/>
          <w:lang w:val="es-ES_tradnl"/>
        </w:rPr>
        <w:t>"Ley de Garantías") en el proceso electoral de 2023; teniendo en cuenta la naturaleza</w:t>
      </w:r>
    </w:p>
    <w:p w14:paraId="1E99B27D" w14:textId="77777777" w:rsidR="001146A2" w:rsidRPr="001146A2" w:rsidRDefault="001146A2" w:rsidP="001146A2">
      <w:pPr>
        <w:ind w:left="567" w:right="788"/>
        <w:contextualSpacing/>
        <w:jc w:val="both"/>
        <w:rPr>
          <w:rFonts w:ascii="Arial" w:hAnsi="Arial" w:cs="Arial"/>
          <w:sz w:val="21"/>
          <w:szCs w:val="21"/>
          <w:lang w:val="es-ES_tradnl"/>
        </w:rPr>
      </w:pPr>
      <w:r w:rsidRPr="001146A2">
        <w:rPr>
          <w:rFonts w:ascii="Arial" w:hAnsi="Arial" w:cs="Arial"/>
          <w:sz w:val="21"/>
          <w:szCs w:val="21"/>
          <w:lang w:val="es-ES_tradnl"/>
        </w:rPr>
        <w:t>de entidad de régimen especial de contratación (entidad de económica mixta,</w:t>
      </w:r>
    </w:p>
    <w:p w14:paraId="2965E1A1" w14:textId="26DF63BE" w:rsidR="00AC55A0" w:rsidRPr="007A0C25" w:rsidRDefault="001146A2" w:rsidP="001146A2">
      <w:pPr>
        <w:ind w:left="567" w:right="788"/>
        <w:contextualSpacing/>
        <w:jc w:val="both"/>
        <w:rPr>
          <w:rFonts w:ascii="Arial" w:hAnsi="Arial" w:cs="Arial"/>
          <w:sz w:val="21"/>
          <w:szCs w:val="21"/>
          <w:lang w:val="es-ES_tradnl"/>
        </w:rPr>
      </w:pPr>
      <w:r w:rsidRPr="001146A2">
        <w:rPr>
          <w:rFonts w:ascii="Arial" w:hAnsi="Arial" w:cs="Arial"/>
          <w:sz w:val="21"/>
          <w:szCs w:val="21"/>
          <w:lang w:val="es-ES_tradnl"/>
        </w:rPr>
        <w:t>perteneciente al sector descentralizado segundo grado)</w:t>
      </w:r>
      <w:r w:rsidR="009A6868">
        <w:rPr>
          <w:rFonts w:ascii="Arial" w:hAnsi="Arial" w:cs="Arial"/>
          <w:sz w:val="21"/>
          <w:szCs w:val="21"/>
          <w:lang w:val="es-ES_tradnl"/>
        </w:rPr>
        <w:t>”</w:t>
      </w:r>
      <w:r w:rsidR="00381625">
        <w:rPr>
          <w:rFonts w:ascii="Arial" w:hAnsi="Arial" w:cs="Arial"/>
          <w:sz w:val="21"/>
          <w:szCs w:val="21"/>
          <w:lang w:val="es-ES_tradnl"/>
        </w:rPr>
        <w:t>.</w:t>
      </w:r>
    </w:p>
    <w:p w14:paraId="1360552A" w14:textId="77777777" w:rsidR="006B0A9F" w:rsidRPr="007A0C25" w:rsidRDefault="006B0A9F" w:rsidP="006B0A9F">
      <w:pPr>
        <w:ind w:left="567" w:right="788"/>
        <w:contextualSpacing/>
        <w:jc w:val="both"/>
        <w:rPr>
          <w:rFonts w:ascii="Arial" w:hAnsi="Arial" w:cs="Arial"/>
          <w:sz w:val="21"/>
          <w:szCs w:val="21"/>
          <w:lang w:val="es-ES_tradnl"/>
        </w:rPr>
      </w:pPr>
    </w:p>
    <w:p w14:paraId="448DA4BF" w14:textId="77777777" w:rsidR="00AC55A0" w:rsidRPr="007A0C25" w:rsidRDefault="00AC55A0" w:rsidP="006B0A9F">
      <w:pPr>
        <w:contextualSpacing/>
        <w:rPr>
          <w:rFonts w:ascii="Arial" w:hAnsi="Arial" w:cs="Arial"/>
          <w:b/>
          <w:sz w:val="22"/>
          <w:lang w:val="es-ES_tradnl"/>
        </w:rPr>
      </w:pPr>
      <w:r w:rsidRPr="007A0C25">
        <w:rPr>
          <w:rFonts w:ascii="Arial" w:hAnsi="Arial" w:cs="Arial"/>
          <w:b/>
          <w:sz w:val="22"/>
          <w:lang w:val="es-ES_tradnl"/>
        </w:rPr>
        <w:t xml:space="preserve">2. Consideraciones </w:t>
      </w:r>
    </w:p>
    <w:p w14:paraId="08F60344" w14:textId="77777777" w:rsidR="00AC55A0" w:rsidRPr="007A0C25" w:rsidRDefault="00AC55A0" w:rsidP="006B0A9F">
      <w:pPr>
        <w:contextualSpacing/>
        <w:jc w:val="both"/>
        <w:rPr>
          <w:rFonts w:ascii="Arial" w:hAnsi="Arial" w:cs="Arial"/>
          <w:bCs/>
          <w:sz w:val="22"/>
          <w:lang w:val="es-ES"/>
        </w:rPr>
      </w:pPr>
    </w:p>
    <w:p w14:paraId="33378CF9" w14:textId="6B348CB1" w:rsidR="00AC55A0" w:rsidRPr="007A0C25" w:rsidRDefault="00146F73" w:rsidP="00146F73">
      <w:pPr>
        <w:spacing w:after="120" w:line="276" w:lineRule="auto"/>
        <w:jc w:val="both"/>
        <w:rPr>
          <w:rFonts w:ascii="Arial" w:hAnsi="Arial" w:cs="Arial"/>
          <w:bCs/>
          <w:sz w:val="22"/>
          <w:lang w:val="es-ES"/>
        </w:rPr>
      </w:pPr>
      <w:r w:rsidRPr="00146F73">
        <w:rPr>
          <w:rFonts w:ascii="Arial" w:hAnsi="Arial" w:cs="Arial"/>
          <w:bCs/>
          <w:sz w:val="22"/>
          <w:lang w:val="es-ES"/>
        </w:rPr>
        <w:t xml:space="preserve">Para responder su solicitud, </w:t>
      </w:r>
      <w:r>
        <w:rPr>
          <w:rFonts w:ascii="Arial" w:hAnsi="Arial" w:cs="Arial"/>
          <w:bCs/>
          <w:sz w:val="22"/>
          <w:lang w:val="es-ES"/>
        </w:rPr>
        <w:t xml:space="preserve">esta </w:t>
      </w:r>
      <w:r w:rsidRPr="00146F73">
        <w:rPr>
          <w:rFonts w:ascii="Arial" w:hAnsi="Arial" w:cs="Arial"/>
          <w:bCs/>
          <w:sz w:val="22"/>
          <w:lang w:val="es-ES"/>
        </w:rPr>
        <w:t>Subdirección analizará los siguientes temas</w:t>
      </w:r>
      <w:r w:rsidR="00AC55A0" w:rsidRPr="007A0C25">
        <w:rPr>
          <w:rFonts w:ascii="Arial" w:hAnsi="Arial" w:cs="Arial"/>
          <w:bCs/>
          <w:sz w:val="22"/>
          <w:lang w:val="es-ES"/>
        </w:rPr>
        <w:t xml:space="preserve">: </w:t>
      </w:r>
      <w:r w:rsidR="00AC55A0" w:rsidRPr="007A0C25">
        <w:rPr>
          <w:rFonts w:ascii="Arial" w:hAnsi="Arial" w:cs="Arial"/>
          <w:bCs/>
          <w:sz w:val="22"/>
        </w:rPr>
        <w:t>i) definición y finalidad de la Ley de Garantías Electorales</w:t>
      </w:r>
      <w:r w:rsidR="00852337">
        <w:rPr>
          <w:rFonts w:ascii="Arial" w:hAnsi="Arial" w:cs="Arial"/>
          <w:bCs/>
          <w:sz w:val="22"/>
        </w:rPr>
        <w:t>,</w:t>
      </w:r>
      <w:r>
        <w:rPr>
          <w:rFonts w:ascii="Arial" w:hAnsi="Arial" w:cs="Arial"/>
          <w:bCs/>
          <w:sz w:val="22"/>
        </w:rPr>
        <w:t xml:space="preserve"> </w:t>
      </w:r>
      <w:r w:rsidR="00AC55A0" w:rsidRPr="007A0C25">
        <w:rPr>
          <w:rFonts w:ascii="Arial" w:hAnsi="Arial" w:cs="Arial"/>
          <w:bCs/>
          <w:sz w:val="22"/>
        </w:rPr>
        <w:t>i</w:t>
      </w:r>
      <w:r>
        <w:rPr>
          <w:rFonts w:ascii="Arial" w:hAnsi="Arial" w:cs="Arial"/>
          <w:bCs/>
          <w:sz w:val="22"/>
        </w:rPr>
        <w:t>i</w:t>
      </w:r>
      <w:r w:rsidR="00AC55A0" w:rsidRPr="007A0C25">
        <w:rPr>
          <w:rFonts w:ascii="Arial" w:hAnsi="Arial" w:cs="Arial"/>
          <w:bCs/>
          <w:sz w:val="22"/>
        </w:rPr>
        <w:t>) restricciones en los comicios para cargos de elección popular</w:t>
      </w:r>
      <w:r w:rsidR="00852337">
        <w:rPr>
          <w:rFonts w:ascii="Arial" w:hAnsi="Arial" w:cs="Arial"/>
          <w:bCs/>
          <w:sz w:val="22"/>
        </w:rPr>
        <w:t xml:space="preserve"> y iii) </w:t>
      </w:r>
      <w:r w:rsidR="002350C7">
        <w:rPr>
          <w:rFonts w:ascii="Arial" w:hAnsi="Arial" w:cs="Arial"/>
          <w:bCs/>
          <w:sz w:val="22"/>
        </w:rPr>
        <w:t>el régimen de las</w:t>
      </w:r>
      <w:r w:rsidR="00896EDD" w:rsidRPr="00896EDD">
        <w:t xml:space="preserve"> </w:t>
      </w:r>
      <w:r w:rsidR="00896EDD" w:rsidRPr="00896EDD">
        <w:rPr>
          <w:rFonts w:ascii="Arial" w:hAnsi="Arial" w:cs="Arial"/>
          <w:bCs/>
          <w:sz w:val="22"/>
        </w:rPr>
        <w:t>sociedades de economía mixta</w:t>
      </w:r>
      <w:r w:rsidR="002A1FC9" w:rsidRPr="007A0C25">
        <w:rPr>
          <w:rFonts w:ascii="Arial" w:hAnsi="Arial" w:cs="Arial"/>
          <w:bCs/>
          <w:sz w:val="22"/>
        </w:rPr>
        <w:t xml:space="preserve">. </w:t>
      </w:r>
    </w:p>
    <w:p w14:paraId="75280924" w14:textId="424226FA" w:rsidR="00AC55A0" w:rsidRPr="007A0C25" w:rsidRDefault="00AC55A0" w:rsidP="00AC55A0">
      <w:pPr>
        <w:tabs>
          <w:tab w:val="left" w:pos="426"/>
        </w:tabs>
        <w:spacing w:line="276" w:lineRule="auto"/>
        <w:ind w:firstLine="709"/>
        <w:jc w:val="both"/>
        <w:rPr>
          <w:rFonts w:ascii="Arial" w:eastAsia="Calibri" w:hAnsi="Arial" w:cs="Arial"/>
          <w:sz w:val="22"/>
          <w:lang w:val="es-ES_tradnl"/>
        </w:rPr>
      </w:pPr>
      <w:bookmarkStart w:id="9" w:name="_Hlk96420693"/>
      <w:r w:rsidRPr="007A0C25">
        <w:rPr>
          <w:rFonts w:ascii="Arial" w:eastAsia="Calibri" w:hAnsi="Arial" w:cs="Arial"/>
          <w:sz w:val="22"/>
          <w:lang w:val="es-ES_tradnl"/>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00694BFC" w:rsidRPr="007A0C25">
        <w:rPr>
          <w:rFonts w:ascii="Arial" w:eastAsia="Calibri" w:hAnsi="Arial" w:cs="Arial"/>
          <w:bCs/>
          <w:sz w:val="22"/>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F87CD1">
        <w:rPr>
          <w:rFonts w:ascii="Arial" w:eastAsia="Calibri" w:hAnsi="Arial" w:cs="Arial"/>
          <w:bCs/>
          <w:sz w:val="22"/>
        </w:rPr>
        <w:t>,</w:t>
      </w:r>
      <w:r w:rsidR="00694BFC" w:rsidRPr="007A0C25">
        <w:rPr>
          <w:rFonts w:ascii="Arial" w:eastAsia="Calibri" w:hAnsi="Arial" w:cs="Arial"/>
          <w:bCs/>
          <w:sz w:val="22"/>
        </w:rPr>
        <w:t xml:space="preserve"> C-164 del 22 de marzo de 2022</w:t>
      </w:r>
      <w:r w:rsidR="00F87CD1">
        <w:rPr>
          <w:rFonts w:ascii="Arial" w:eastAsia="Calibri" w:hAnsi="Arial" w:cs="Arial"/>
          <w:bCs/>
          <w:sz w:val="22"/>
        </w:rPr>
        <w:t xml:space="preserve"> y C-608 del 23 de septiembre de 2022</w:t>
      </w:r>
      <w:r w:rsidRPr="007A0C25">
        <w:rPr>
          <w:rFonts w:ascii="Arial" w:eastAsia="Calibri" w:hAnsi="Arial" w:cs="Arial"/>
          <w:sz w:val="22"/>
          <w:lang w:val="es-ES_tradnl"/>
        </w:rPr>
        <w:t>. La tesis desarrollada en estos conceptos se reitera y complementa a continuación:</w:t>
      </w:r>
      <w:bookmarkEnd w:id="9"/>
    </w:p>
    <w:p w14:paraId="1BF39E5F" w14:textId="77777777" w:rsidR="00AC55A0" w:rsidRPr="007A0C25" w:rsidRDefault="00AC55A0" w:rsidP="00AC55A0">
      <w:pPr>
        <w:tabs>
          <w:tab w:val="left" w:pos="426"/>
        </w:tabs>
        <w:spacing w:line="276" w:lineRule="auto"/>
        <w:contextualSpacing/>
        <w:jc w:val="both"/>
        <w:rPr>
          <w:rFonts w:ascii="Arial" w:eastAsia="Calibri" w:hAnsi="Arial" w:cs="Arial"/>
          <w:sz w:val="22"/>
          <w:lang w:val="es-ES_tradnl"/>
        </w:rPr>
      </w:pPr>
    </w:p>
    <w:p w14:paraId="6C0F5263" w14:textId="77777777" w:rsidR="00AC55A0" w:rsidRPr="007A0C25" w:rsidRDefault="00AC55A0" w:rsidP="00AC55A0">
      <w:pPr>
        <w:tabs>
          <w:tab w:val="left" w:pos="426"/>
        </w:tabs>
        <w:spacing w:line="276" w:lineRule="auto"/>
        <w:contextualSpacing/>
        <w:jc w:val="both"/>
        <w:rPr>
          <w:rFonts w:ascii="Arial" w:eastAsia="Calibri" w:hAnsi="Arial" w:cs="Arial"/>
          <w:b/>
          <w:bCs/>
          <w:sz w:val="22"/>
        </w:rPr>
      </w:pPr>
      <w:r w:rsidRPr="007A0C25">
        <w:rPr>
          <w:rFonts w:ascii="Arial" w:eastAsia="Calibri" w:hAnsi="Arial" w:cs="Arial"/>
          <w:b/>
          <w:bCs/>
          <w:sz w:val="22"/>
        </w:rPr>
        <w:t>2.1. Definición y finalidad de la Ley de Garantías Electorales: alcance de las restricciones</w:t>
      </w:r>
    </w:p>
    <w:p w14:paraId="22D8A2CB" w14:textId="77777777" w:rsidR="00AC55A0" w:rsidRPr="007A0C25" w:rsidRDefault="00AC55A0" w:rsidP="00AC55A0">
      <w:pPr>
        <w:tabs>
          <w:tab w:val="left" w:pos="426"/>
        </w:tabs>
        <w:spacing w:line="276" w:lineRule="auto"/>
        <w:ind w:firstLine="709"/>
        <w:contextualSpacing/>
        <w:jc w:val="both"/>
        <w:rPr>
          <w:rFonts w:ascii="Arial" w:eastAsia="Calibri" w:hAnsi="Arial" w:cs="Arial"/>
          <w:bCs/>
          <w:sz w:val="22"/>
        </w:rPr>
      </w:pPr>
    </w:p>
    <w:p w14:paraId="6BE9FEEA" w14:textId="77777777" w:rsidR="00AC55A0" w:rsidRPr="007A0C25" w:rsidRDefault="00AC55A0" w:rsidP="00AC55A0">
      <w:pPr>
        <w:tabs>
          <w:tab w:val="left" w:pos="426"/>
        </w:tabs>
        <w:spacing w:after="120" w:line="276" w:lineRule="auto"/>
        <w:jc w:val="both"/>
        <w:rPr>
          <w:rFonts w:ascii="Arial" w:hAnsi="Arial" w:cs="Arial"/>
          <w:bCs/>
          <w:sz w:val="22"/>
          <w:lang w:eastAsia="es-CO"/>
        </w:rPr>
      </w:pPr>
      <w:r w:rsidRPr="007A0C25">
        <w:rPr>
          <w:rFonts w:ascii="Arial" w:eastAsia="Calibri" w:hAnsi="Arial" w:cs="Arial"/>
          <w:bCs/>
          <w:sz w:val="22"/>
        </w:rPr>
        <w:t>El ordenamiento jurídico colombiano contempla previsiones claras para evitar la obtención de beneficios personales en asuntos propios de la administración pública</w:t>
      </w:r>
      <w:r w:rsidRPr="007A0C25">
        <w:rPr>
          <w:rFonts w:ascii="Arial" w:eastAsia="Calibri" w:hAnsi="Arial" w:cs="Arial"/>
          <w:bCs/>
          <w:i/>
          <w:iCs/>
          <w:sz w:val="22"/>
        </w:rPr>
        <w:t xml:space="preserve">. </w:t>
      </w:r>
      <w:r w:rsidRPr="007A0C25">
        <w:rPr>
          <w:rFonts w:ascii="Arial" w:eastAsia="Calibri" w:hAnsi="Arial" w:cs="Arial"/>
          <w:bCs/>
          <w:sz w:val="22"/>
        </w:rPr>
        <w:t>Por ejemplo, el artículo 127 de la Constitución Política establece una prohibición contractual a los servidores públicos y en cuanto a aspectos políticos consagra restricciones a ciertos empleados del Estado, incluso en época no electoral</w:t>
      </w:r>
      <w:r w:rsidRPr="007A0C25">
        <w:rPr>
          <w:rFonts w:ascii="Arial" w:eastAsia="Calibri" w:hAnsi="Arial" w:cs="Arial"/>
          <w:bCs/>
          <w:sz w:val="22"/>
          <w:vertAlign w:val="superscript"/>
        </w:rPr>
        <w:footnoteReference w:id="1"/>
      </w:r>
      <w:r w:rsidRPr="007A0C25">
        <w:rPr>
          <w:rFonts w:ascii="Arial" w:eastAsia="Calibri" w:hAnsi="Arial" w:cs="Arial"/>
          <w:bCs/>
          <w:sz w:val="22"/>
        </w:rPr>
        <w:t xml:space="preserve">. </w:t>
      </w:r>
    </w:p>
    <w:p w14:paraId="0AE5478E" w14:textId="11ED4ECC" w:rsidR="00AC55A0" w:rsidRPr="007A0C25" w:rsidRDefault="00AC55A0" w:rsidP="00AC55A0">
      <w:pPr>
        <w:tabs>
          <w:tab w:val="left" w:pos="426"/>
        </w:tabs>
        <w:spacing w:line="276" w:lineRule="auto"/>
        <w:ind w:firstLine="709"/>
        <w:jc w:val="both"/>
        <w:rPr>
          <w:rFonts w:ascii="Arial" w:hAnsi="Arial" w:cs="Arial"/>
          <w:bCs/>
          <w:sz w:val="22"/>
          <w:lang w:eastAsia="es-CO"/>
        </w:rPr>
      </w:pPr>
      <w:r w:rsidRPr="007A0C25">
        <w:rPr>
          <w:rFonts w:ascii="Arial" w:hAnsi="Arial" w:cs="Arial"/>
          <w:bCs/>
          <w:sz w:val="22"/>
          <w:lang w:eastAsia="es-CO"/>
        </w:rPr>
        <w:t xml:space="preserve">En el mismo sentido, </w:t>
      </w:r>
      <w:bookmarkStart w:id="10" w:name="_Hlk99576829"/>
      <w:r w:rsidRPr="007A0C25">
        <w:rPr>
          <w:rFonts w:ascii="Arial" w:hAnsi="Arial" w:cs="Arial"/>
          <w:bCs/>
          <w:sz w:val="22"/>
          <w:lang w:eastAsia="es-CO"/>
        </w:rPr>
        <w:t xml:space="preserve">la Ley 996 de 2005, conocida como </w:t>
      </w:r>
      <w:r w:rsidR="001D7A8C">
        <w:rPr>
          <w:rFonts w:ascii="Arial" w:hAnsi="Arial" w:cs="Arial"/>
          <w:bCs/>
          <w:sz w:val="22"/>
          <w:lang w:eastAsia="es-CO"/>
        </w:rPr>
        <w:t>“</w:t>
      </w:r>
      <w:r w:rsidRPr="007A0C25">
        <w:rPr>
          <w:rFonts w:ascii="Arial" w:hAnsi="Arial" w:cs="Arial"/>
          <w:bCs/>
          <w:sz w:val="22"/>
          <w:lang w:eastAsia="es-CO"/>
        </w:rPr>
        <w:t>Ley de Garantías Electorales</w:t>
      </w:r>
      <w:r w:rsidR="001D7A8C">
        <w:rPr>
          <w:rFonts w:ascii="Arial" w:hAnsi="Arial" w:cs="Arial"/>
          <w:bCs/>
          <w:sz w:val="22"/>
          <w:lang w:eastAsia="es-CO"/>
        </w:rPr>
        <w:t>”</w:t>
      </w:r>
      <w:r w:rsidRPr="007A0C25">
        <w:rPr>
          <w:rFonts w:ascii="Arial"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sz w:val="22"/>
          <w:vertAlign w:val="superscript"/>
          <w:lang w:eastAsia="es-CO"/>
        </w:rPr>
        <w:footnoteReference w:id="2"/>
      </w:r>
      <w:r w:rsidRPr="007A0C25">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sz w:val="22"/>
          <w:lang w:val="es-ES_tradnl"/>
        </w:rPr>
        <w:t xml:space="preserve"> </w:t>
      </w:r>
      <w:bookmarkEnd w:id="10"/>
      <w:r w:rsidRPr="007A0C25">
        <w:rPr>
          <w:rFonts w:ascii="Arial" w:hAnsi="Arial" w:cs="Arial"/>
          <w:bCs/>
          <w:sz w:val="22"/>
          <w:lang w:eastAsia="es-CO"/>
        </w:rPr>
        <w:t>En armonía con lo anterior, la Corte Constitucional ha abordado la definición de la Ley de Garantías Electorales. De esta manera, explica que tiene como propósito:</w:t>
      </w:r>
    </w:p>
    <w:p w14:paraId="18F6BF78" w14:textId="77777777" w:rsidR="00AC55A0" w:rsidRPr="007A0C25" w:rsidRDefault="00AC55A0" w:rsidP="004F1BFA">
      <w:pPr>
        <w:ind w:right="709"/>
        <w:contextualSpacing/>
        <w:jc w:val="both"/>
        <w:rPr>
          <w:rFonts w:ascii="Arial" w:hAnsi="Arial" w:cs="Arial"/>
          <w:color w:val="FF0000"/>
          <w:sz w:val="22"/>
          <w:lang w:val="es-ES" w:eastAsia="es-CO"/>
        </w:rPr>
      </w:pPr>
    </w:p>
    <w:p w14:paraId="4D1C30DD"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sz w:val="21"/>
          <w:szCs w:val="21"/>
          <w:lang w:val="es-ES" w:eastAsia="es-CO"/>
        </w:rPr>
        <w:t xml:space="preserve">[…] </w:t>
      </w:r>
      <w:r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2572B878" w14:textId="77777777" w:rsidR="004F1BFA" w:rsidRPr="007A0C25" w:rsidRDefault="004F1BFA" w:rsidP="004F1BFA">
      <w:pPr>
        <w:ind w:left="709" w:right="709"/>
        <w:contextualSpacing/>
        <w:jc w:val="both"/>
        <w:rPr>
          <w:rFonts w:ascii="Arial" w:hAnsi="Arial" w:cs="Arial"/>
          <w:bCs/>
          <w:sz w:val="21"/>
          <w:szCs w:val="21"/>
          <w:lang w:eastAsia="es-CO"/>
        </w:rPr>
      </w:pPr>
    </w:p>
    <w:p w14:paraId="4D8B790F" w14:textId="3DC40EA6"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14:paraId="7AB00811" w14:textId="77777777" w:rsidR="00AC55A0" w:rsidRPr="007A0C25" w:rsidRDefault="00AC55A0" w:rsidP="004F1BFA">
      <w:pPr>
        <w:ind w:right="709"/>
        <w:contextualSpacing/>
        <w:jc w:val="both"/>
        <w:rPr>
          <w:rFonts w:ascii="Arial" w:hAnsi="Arial" w:cs="Arial"/>
          <w:bCs/>
          <w:sz w:val="21"/>
          <w:szCs w:val="21"/>
          <w:lang w:eastAsia="es-CO"/>
        </w:rPr>
      </w:pPr>
    </w:p>
    <w:p w14:paraId="4E32694A"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A0C25">
        <w:rPr>
          <w:rFonts w:ascii="Arial" w:eastAsia="Calibri" w:hAnsi="Arial" w:cs="Arial"/>
          <w:sz w:val="21"/>
          <w:szCs w:val="21"/>
          <w:vertAlign w:val="superscript"/>
        </w:rPr>
        <w:footnoteReference w:id="3"/>
      </w:r>
    </w:p>
    <w:p w14:paraId="7EFE121F" w14:textId="77777777" w:rsidR="00AC55A0" w:rsidRPr="007A0C25" w:rsidRDefault="00AC55A0" w:rsidP="004F1BFA">
      <w:pPr>
        <w:spacing w:line="276" w:lineRule="auto"/>
        <w:ind w:left="708" w:right="709"/>
        <w:contextualSpacing/>
        <w:jc w:val="both"/>
        <w:rPr>
          <w:rFonts w:ascii="Arial" w:hAnsi="Arial" w:cs="Arial"/>
          <w:bCs/>
          <w:sz w:val="22"/>
          <w:lang w:eastAsia="es-CO"/>
        </w:rPr>
      </w:pPr>
    </w:p>
    <w:p w14:paraId="740A3215" w14:textId="77777777" w:rsidR="00AC55A0" w:rsidRPr="007A0C25" w:rsidRDefault="00AC55A0" w:rsidP="004F1BFA">
      <w:pPr>
        <w:spacing w:line="276" w:lineRule="auto"/>
        <w:ind w:firstLine="709"/>
        <w:contextualSpacing/>
        <w:jc w:val="both"/>
        <w:rPr>
          <w:rFonts w:ascii="Arial" w:hAnsi="Arial" w:cs="Arial"/>
          <w:bCs/>
          <w:sz w:val="22"/>
          <w:lang w:eastAsia="es-CO"/>
        </w:rPr>
      </w:pPr>
      <w:bookmarkStart w:id="11" w:name="_Hlk78818186"/>
      <w:r w:rsidRPr="007A0C25">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7A0C25">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46305587" w14:textId="77777777" w:rsidR="00AC55A0" w:rsidRPr="007A0C25" w:rsidRDefault="00AC55A0" w:rsidP="004F1BFA">
      <w:pPr>
        <w:spacing w:line="276" w:lineRule="auto"/>
        <w:ind w:firstLine="709"/>
        <w:contextualSpacing/>
        <w:jc w:val="both"/>
        <w:rPr>
          <w:rFonts w:ascii="Arial" w:hAnsi="Arial" w:cs="Arial"/>
          <w:bCs/>
          <w:sz w:val="22"/>
          <w:lang w:eastAsia="es-CO"/>
        </w:rPr>
      </w:pPr>
    </w:p>
    <w:p w14:paraId="474DE64C"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88CBAD" w14:textId="77777777" w:rsidR="00AC55A0" w:rsidRPr="007A0C25" w:rsidRDefault="00AC55A0" w:rsidP="004F1BFA">
      <w:pPr>
        <w:ind w:left="709" w:right="709"/>
        <w:contextualSpacing/>
        <w:jc w:val="both"/>
        <w:rPr>
          <w:rFonts w:ascii="Arial" w:hAnsi="Arial" w:cs="Arial"/>
          <w:bCs/>
          <w:sz w:val="21"/>
          <w:szCs w:val="21"/>
          <w:lang w:eastAsia="es-CO"/>
        </w:rPr>
      </w:pPr>
    </w:p>
    <w:p w14:paraId="24FA6C10"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4"/>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5"/>
      </w:r>
      <w:r w:rsidRPr="007A0C25">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A0C25">
        <w:rPr>
          <w:rFonts w:ascii="Arial" w:hAnsi="Arial" w:cs="Arial"/>
          <w:bCs/>
          <w:sz w:val="21"/>
          <w:szCs w:val="21"/>
          <w:vertAlign w:val="superscript"/>
          <w:lang w:eastAsia="es-CO"/>
        </w:rPr>
        <w:footnoteReference w:id="6"/>
      </w:r>
      <w:r w:rsidRPr="007A0C25">
        <w:rPr>
          <w:rFonts w:ascii="Arial" w:hAnsi="Arial" w:cs="Arial"/>
          <w:bCs/>
          <w:sz w:val="21"/>
          <w:szCs w:val="21"/>
          <w:lang w:eastAsia="es-CO"/>
        </w:rPr>
        <w:t>.</w:t>
      </w:r>
    </w:p>
    <w:p w14:paraId="36106ED7" w14:textId="77777777" w:rsidR="00AC55A0" w:rsidRPr="007A0C25" w:rsidRDefault="00AC55A0" w:rsidP="00AC55A0">
      <w:pPr>
        <w:spacing w:line="276" w:lineRule="auto"/>
        <w:ind w:right="709"/>
        <w:contextualSpacing/>
        <w:jc w:val="both"/>
        <w:rPr>
          <w:rFonts w:ascii="Arial" w:hAnsi="Arial" w:cs="Arial"/>
          <w:bCs/>
          <w:color w:val="FF0000"/>
          <w:sz w:val="22"/>
          <w:lang w:eastAsia="es-CO"/>
        </w:rPr>
      </w:pPr>
    </w:p>
    <w:p w14:paraId="2F78FD75" w14:textId="29513C01" w:rsidR="00AC55A0" w:rsidRPr="007A0C25" w:rsidRDefault="00AC55A0" w:rsidP="007C1E8D">
      <w:pPr>
        <w:spacing w:after="120" w:line="276" w:lineRule="auto"/>
        <w:jc w:val="both"/>
        <w:rPr>
          <w:rFonts w:ascii="Arial" w:eastAsia="Arial" w:hAnsi="Arial" w:cs="Arial"/>
          <w:sz w:val="22"/>
          <w:lang w:val="es-ES" w:eastAsia="es-ES" w:bidi="es-ES"/>
        </w:rPr>
      </w:pPr>
      <w:r w:rsidRPr="007A0C25">
        <w:rPr>
          <w:rFonts w:ascii="Arial" w:hAnsi="Arial" w:cs="Arial"/>
          <w:bCs/>
          <w:sz w:val="22"/>
          <w:lang w:eastAsia="es-CO"/>
        </w:rPr>
        <w:tab/>
        <w:t>De</w:t>
      </w:r>
      <w:r w:rsidRPr="007A0C25">
        <w:rPr>
          <w:rFonts w:ascii="Arial" w:eastAsia="Arial" w:hAnsi="Arial" w:cs="Arial"/>
          <w:sz w:val="22"/>
          <w:lang w:val="es-ES" w:eastAsia="es-ES" w:bidi="es-ES"/>
        </w:rPr>
        <w:t xml:space="preserve"> conformidad con lo anterior, </w:t>
      </w:r>
      <w:bookmarkStart w:id="12" w:name="_Hlk77236098"/>
      <w:r w:rsidRPr="007A0C25">
        <w:rPr>
          <w:rFonts w:ascii="Arial" w:eastAsia="Arial" w:hAnsi="Arial" w:cs="Arial"/>
          <w:sz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sidR="0082658D" w:rsidRPr="007A0C25">
        <w:rPr>
          <w:rFonts w:ascii="Arial" w:eastAsia="Arial" w:hAnsi="Arial" w:cs="Arial"/>
          <w:sz w:val="22"/>
          <w:lang w:val="es-ES" w:eastAsia="es-ES" w:bidi="es-ES"/>
        </w:rPr>
        <w:t>n</w:t>
      </w:r>
      <w:r w:rsidRPr="007A0C25">
        <w:rPr>
          <w:rFonts w:ascii="Arial" w:eastAsia="Arial" w:hAnsi="Arial" w:cs="Arial"/>
          <w:sz w:val="22"/>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2"/>
    </w:p>
    <w:p w14:paraId="4FA032B1" w14:textId="11365856" w:rsidR="00AC55A0" w:rsidRPr="007A0C25" w:rsidRDefault="00AC55A0" w:rsidP="007C1E8D">
      <w:pPr>
        <w:spacing w:after="120" w:line="276" w:lineRule="auto"/>
        <w:ind w:firstLine="708"/>
        <w:jc w:val="both"/>
        <w:rPr>
          <w:rFonts w:ascii="Arial" w:eastAsia="Calibri" w:hAnsi="Arial" w:cs="Arial"/>
          <w:sz w:val="22"/>
        </w:rPr>
      </w:pPr>
      <w:r w:rsidRPr="007A0C25">
        <w:rPr>
          <w:rFonts w:ascii="Arial" w:eastAsia="Calibri" w:hAnsi="Arial" w:cs="Arial"/>
          <w:sz w:val="22"/>
        </w:rPr>
        <w:t xml:space="preserve">Por un lado, el artículo 33 de la Ley 996 de 2005 prohíbe </w:t>
      </w:r>
      <w:r w:rsidR="001D7A8C">
        <w:rPr>
          <w:rFonts w:ascii="Arial" w:eastAsia="Calibri" w:hAnsi="Arial" w:cs="Arial"/>
          <w:bCs/>
          <w:sz w:val="22"/>
        </w:rPr>
        <w:t>“</w:t>
      </w:r>
      <w:r w:rsidRPr="007A0C25">
        <w:rPr>
          <w:rFonts w:ascii="Arial" w:eastAsia="Calibri" w:hAnsi="Arial" w:cs="Arial"/>
          <w:bCs/>
          <w:sz w:val="22"/>
        </w:rPr>
        <w:t xml:space="preserve">[…] </w:t>
      </w:r>
      <w:r w:rsidRPr="007A0C25">
        <w:rPr>
          <w:rFonts w:ascii="Arial" w:eastAsia="Calibri" w:hAnsi="Arial" w:cs="Arial"/>
          <w:sz w:val="22"/>
        </w:rPr>
        <w:t>la contratación directa por parte de todos los entes del Estado</w:t>
      </w:r>
      <w:r w:rsidR="001D7A8C">
        <w:rPr>
          <w:rFonts w:ascii="Arial" w:eastAsia="Calibri" w:hAnsi="Arial" w:cs="Arial"/>
          <w:bCs/>
          <w:sz w:val="22"/>
        </w:rPr>
        <w:t>”</w:t>
      </w:r>
      <w:r w:rsidRPr="007A0C25">
        <w:rPr>
          <w:rFonts w:ascii="Arial" w:eastAsia="Calibri" w:hAnsi="Arial" w:cs="Arial"/>
          <w:sz w:val="22"/>
        </w:rPr>
        <w:t xml:space="preserve"> durante los cuatro (4) meses anteriores a las elecciones presidenciales, salvo </w:t>
      </w:r>
      <w:r w:rsidR="001D7A8C">
        <w:rPr>
          <w:rFonts w:ascii="Arial" w:eastAsia="Calibri" w:hAnsi="Arial" w:cs="Arial"/>
          <w:bCs/>
          <w:sz w:val="22"/>
        </w:rPr>
        <w:t>“</w:t>
      </w:r>
      <w:r w:rsidRPr="007A0C25">
        <w:rPr>
          <w:rFonts w:ascii="Arial" w:eastAsia="Calibri" w:hAnsi="Arial" w:cs="Arial"/>
          <w:bCs/>
          <w:sz w:val="22"/>
        </w:rPr>
        <w:t xml:space="preserve">[…] </w:t>
      </w:r>
      <w:r w:rsidRPr="007A0C25">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1D7A8C">
        <w:rPr>
          <w:rFonts w:ascii="Arial" w:eastAsia="Calibri" w:hAnsi="Arial" w:cs="Arial"/>
          <w:bCs/>
          <w:sz w:val="22"/>
        </w:rPr>
        <w:t>”</w:t>
      </w:r>
      <w:r w:rsidRPr="007A0C25">
        <w:rPr>
          <w:rFonts w:ascii="Arial" w:eastAsia="Calibri" w:hAnsi="Arial" w:cs="Arial"/>
          <w:bCs/>
          <w:sz w:val="22"/>
          <w:vertAlign w:val="superscript"/>
        </w:rPr>
        <w:footnoteReference w:id="7"/>
      </w:r>
      <w:r w:rsidRPr="007A0C25">
        <w:rPr>
          <w:rFonts w:ascii="Arial" w:eastAsia="Calibri" w:hAnsi="Arial" w:cs="Arial"/>
          <w:sz w:val="22"/>
        </w:rPr>
        <w:t>.</w:t>
      </w:r>
    </w:p>
    <w:p w14:paraId="269357E8" w14:textId="09808459" w:rsidR="007C1E8D" w:rsidRPr="007A0C25" w:rsidRDefault="00AC55A0" w:rsidP="007C1E8D">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7A0C25">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001D7A8C">
        <w:rPr>
          <w:rFonts w:ascii="Arial" w:eastAsia="Calibri" w:hAnsi="Arial" w:cs="Arial"/>
          <w:bCs/>
          <w:sz w:val="22"/>
        </w:rPr>
        <w:t>“</w:t>
      </w:r>
      <w:r w:rsidRPr="007A0C25">
        <w:rPr>
          <w:rFonts w:ascii="Arial" w:eastAsia="Calibri" w:hAnsi="Arial" w:cs="Arial"/>
          <w:bCs/>
          <w:sz w:val="22"/>
        </w:rPr>
        <w:t xml:space="preserve">[…] </w:t>
      </w:r>
      <w:r w:rsidRPr="007A0C2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1D7A8C">
        <w:rPr>
          <w:rFonts w:ascii="Arial" w:eastAsia="Calibri" w:hAnsi="Arial" w:cs="Arial"/>
          <w:bCs/>
          <w:sz w:val="22"/>
        </w:rPr>
        <w:t>”</w:t>
      </w:r>
      <w:r w:rsidRPr="007A0C25">
        <w:rPr>
          <w:rFonts w:ascii="Arial" w:eastAsia="Calibri" w:hAnsi="Arial" w:cs="Arial"/>
          <w:bCs/>
          <w:sz w:val="22"/>
          <w:vertAlign w:val="superscript"/>
        </w:rPr>
        <w:footnoteReference w:id="8"/>
      </w:r>
      <w:r w:rsidRPr="007A0C25">
        <w:rPr>
          <w:rFonts w:ascii="Arial" w:eastAsia="Calibri" w:hAnsi="Arial" w:cs="Arial"/>
          <w:sz w:val="22"/>
        </w:rPr>
        <w:t>.</w:t>
      </w:r>
      <w:r w:rsidRPr="007A0C25">
        <w:rPr>
          <w:rFonts w:ascii="Arial" w:eastAsia="Arial" w:hAnsi="Arial" w:cs="Arial"/>
          <w:sz w:val="22"/>
          <w:lang w:val="es-ES" w:eastAsia="es-ES" w:bidi="es-ES"/>
        </w:rPr>
        <w:t xml:space="preserve"> </w:t>
      </w:r>
    </w:p>
    <w:p w14:paraId="4FC58B30" w14:textId="43080ACE" w:rsidR="00AC55A0" w:rsidRPr="007A0C25" w:rsidRDefault="00AC55A0" w:rsidP="007C1E8D">
      <w:pPr>
        <w:widowControl w:val="0"/>
        <w:autoSpaceDE w:val="0"/>
        <w:autoSpaceDN w:val="0"/>
        <w:spacing w:line="276" w:lineRule="auto"/>
        <w:ind w:right="113"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687996F0" w14:textId="77777777" w:rsidR="00AC55A0" w:rsidRPr="007A0C25" w:rsidRDefault="00AC55A0" w:rsidP="007C1E8D">
      <w:pPr>
        <w:widowControl w:val="0"/>
        <w:autoSpaceDE w:val="0"/>
        <w:autoSpaceDN w:val="0"/>
        <w:spacing w:line="276" w:lineRule="auto"/>
        <w:ind w:left="805" w:right="812"/>
        <w:contextualSpacing/>
        <w:jc w:val="both"/>
        <w:rPr>
          <w:rFonts w:ascii="Arial" w:eastAsia="Arial" w:hAnsi="Arial" w:cs="Arial"/>
          <w:color w:val="FF0000"/>
          <w:sz w:val="22"/>
          <w:lang w:val="es-ES" w:eastAsia="es-ES" w:bidi="es-ES"/>
        </w:rPr>
      </w:pPr>
    </w:p>
    <w:p w14:paraId="1BA0619C" w14:textId="77777777" w:rsidR="00AC55A0" w:rsidRPr="007A0C25" w:rsidRDefault="00AC55A0" w:rsidP="007C1E8D">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7A0C25">
        <w:rPr>
          <w:rFonts w:ascii="Arial" w:eastAsia="Arial" w:hAnsi="Arial" w:cs="Arial"/>
          <w:sz w:val="21"/>
          <w:szCs w:val="21"/>
          <w:lang w:val="es-ES" w:eastAsia="es-ES" w:bidi="es-ES"/>
        </w:rPr>
        <w:t>se integran parcialmente</w:t>
      </w:r>
      <w:bookmarkEnd w:id="15"/>
      <w:r w:rsidRPr="007A0C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A0C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A0C25">
        <w:rPr>
          <w:rFonts w:ascii="Arial" w:eastAsia="Arial" w:hAnsi="Arial" w:cs="Arial"/>
          <w:sz w:val="21"/>
          <w:szCs w:val="21"/>
          <w:lang w:val="es-ES" w:eastAsia="es-ES" w:bidi="es-ES"/>
        </w:rPr>
        <w:t>.</w:t>
      </w:r>
      <w:r w:rsidRPr="007A0C25">
        <w:rPr>
          <w:rFonts w:ascii="Arial" w:eastAsia="Arial" w:hAnsi="Arial" w:cs="Arial"/>
          <w:sz w:val="21"/>
          <w:szCs w:val="21"/>
          <w:vertAlign w:val="superscript"/>
          <w:lang w:val="es-ES" w:eastAsia="es-ES" w:bidi="es-ES"/>
        </w:rPr>
        <w:footnoteReference w:id="9"/>
      </w:r>
    </w:p>
    <w:p w14:paraId="72CD7124" w14:textId="77777777" w:rsidR="00AC55A0" w:rsidRPr="007A0C25" w:rsidRDefault="00AC55A0" w:rsidP="007C1E8D">
      <w:pPr>
        <w:widowControl w:val="0"/>
        <w:autoSpaceDE w:val="0"/>
        <w:autoSpaceDN w:val="0"/>
        <w:spacing w:line="276" w:lineRule="auto"/>
        <w:contextualSpacing/>
        <w:rPr>
          <w:rFonts w:ascii="Arial" w:eastAsia="Arial" w:hAnsi="Arial" w:cs="Arial"/>
          <w:color w:val="FF0000"/>
          <w:sz w:val="22"/>
          <w:lang w:val="es-ES" w:eastAsia="es-ES" w:bidi="es-ES"/>
        </w:rPr>
      </w:pPr>
    </w:p>
    <w:p w14:paraId="4E7A5941" w14:textId="02AB2F2B" w:rsidR="00AC55A0" w:rsidRPr="007A0C25" w:rsidRDefault="00AC55A0" w:rsidP="00AC55A0">
      <w:pPr>
        <w:spacing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De conformidad con lo anterior, </w:t>
      </w:r>
      <w:bookmarkStart w:id="16" w:name="_Hlk77236420"/>
      <w:bookmarkStart w:id="17" w:name="_Hlk78818435"/>
      <w:bookmarkStart w:id="18" w:name="_Hlk75780333"/>
      <w:r w:rsidRPr="007A0C25">
        <w:rPr>
          <w:rFonts w:ascii="Arial" w:eastAsia="Arial" w:hAnsi="Arial" w:cs="Arial"/>
          <w:sz w:val="22"/>
          <w:lang w:val="es-ES" w:eastAsia="es-ES" w:bidi="es-ES"/>
        </w:rPr>
        <w:t xml:space="preserve">la Ley 996 de 2005 establece dos (2) tipos de restricciones en materia de contratación, las cuales coinciden parcialmente. </w:t>
      </w:r>
      <w:r w:rsidRPr="007A0C25">
        <w:rPr>
          <w:rFonts w:ascii="Arial" w:eastAsia="Arial" w:hAnsi="Arial" w:cs="Arial"/>
          <w:i/>
          <w:iCs/>
          <w:sz w:val="22"/>
          <w:lang w:val="es-ES" w:eastAsia="es-ES" w:bidi="es-ES"/>
        </w:rPr>
        <w:t>En primer lugar</w:t>
      </w:r>
      <w:r w:rsidRPr="007A0C25">
        <w:rPr>
          <w:rFonts w:ascii="Arial" w:eastAsia="Arial" w:hAnsi="Arial" w:cs="Arial"/>
          <w:sz w:val="22"/>
          <w:lang w:val="es-ES" w:eastAsia="es-ES" w:bidi="es-ES"/>
        </w:rPr>
        <w:t>, la del artículo 33</w:t>
      </w:r>
      <w:r w:rsidR="007C1E8D" w:rsidRPr="007A0C25">
        <w:rPr>
          <w:rFonts w:ascii="Arial" w:eastAsia="Arial" w:hAnsi="Arial" w:cs="Arial"/>
          <w:sz w:val="22"/>
          <w:lang w:val="es-ES" w:eastAsia="es-ES" w:bidi="es-ES"/>
        </w:rPr>
        <w:t>,</w:t>
      </w:r>
      <w:r w:rsidRPr="007A0C25">
        <w:rPr>
          <w:rFonts w:ascii="Arial" w:eastAsia="Arial" w:hAnsi="Arial" w:cs="Arial"/>
          <w:sz w:val="22"/>
          <w:lang w:val="es-ES" w:eastAsia="es-ES" w:bidi="es-ES"/>
        </w:rPr>
        <w:t xml:space="preserve">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A0C25">
        <w:rPr>
          <w:rFonts w:ascii="Arial" w:eastAsia="Arial" w:hAnsi="Arial" w:cs="Arial"/>
          <w:i/>
          <w:iCs/>
          <w:sz w:val="22"/>
          <w:lang w:val="es-ES" w:eastAsia="es-ES" w:bidi="es-ES"/>
        </w:rPr>
        <w:t>En segundo lugar</w:t>
      </w:r>
      <w:r w:rsidRPr="007A0C25">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6"/>
    </w:p>
    <w:bookmarkEnd w:id="17"/>
    <w:p w14:paraId="46BEF119" w14:textId="77777777" w:rsidR="00AC55A0" w:rsidRPr="007A0C25" w:rsidRDefault="00AC55A0" w:rsidP="00AC55A0">
      <w:pPr>
        <w:spacing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8"/>
    <w:p w14:paraId="263427CC" w14:textId="77777777" w:rsidR="00AC55A0" w:rsidRPr="007A0C25" w:rsidRDefault="00AC55A0" w:rsidP="000E7A07">
      <w:pPr>
        <w:spacing w:line="276" w:lineRule="auto"/>
        <w:ind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6CA2E47" w14:textId="77777777" w:rsidR="00AC55A0" w:rsidRPr="007A0C25" w:rsidRDefault="00AC55A0" w:rsidP="002B4B34">
      <w:pPr>
        <w:spacing w:line="276" w:lineRule="auto"/>
        <w:contextualSpacing/>
        <w:jc w:val="both"/>
        <w:rPr>
          <w:rFonts w:ascii="Arial" w:hAnsi="Arial" w:cs="Arial"/>
          <w:bCs/>
          <w:sz w:val="22"/>
          <w:lang w:eastAsia="x-none"/>
        </w:rPr>
      </w:pPr>
    </w:p>
    <w:p w14:paraId="1477CAEF" w14:textId="77777777" w:rsidR="00FA5DAD" w:rsidRPr="007A0C25" w:rsidRDefault="00FA5DAD" w:rsidP="00FA5DAD">
      <w:pPr>
        <w:spacing w:line="276" w:lineRule="auto"/>
        <w:ind w:firstLine="709"/>
        <w:jc w:val="both"/>
        <w:rPr>
          <w:rFonts w:ascii="Arial" w:hAnsi="Arial" w:cs="Arial"/>
          <w:bCs/>
          <w:sz w:val="22"/>
          <w:lang w:val="es-ES_tradnl" w:eastAsia="x-none"/>
        </w:rPr>
      </w:pPr>
      <w:bookmarkStart w:id="19" w:name="_Hlk75787147"/>
    </w:p>
    <w:p w14:paraId="5F3E85E8" w14:textId="42443FBD" w:rsidR="00AC55A0" w:rsidRPr="007A0C25" w:rsidRDefault="00AC55A0" w:rsidP="00AC55A0">
      <w:pPr>
        <w:spacing w:line="276" w:lineRule="auto"/>
        <w:jc w:val="both"/>
        <w:rPr>
          <w:rFonts w:ascii="Arial" w:eastAsia="Calibri" w:hAnsi="Arial" w:cs="Arial"/>
          <w:b/>
          <w:bCs/>
          <w:sz w:val="22"/>
        </w:rPr>
      </w:pPr>
      <w:bookmarkStart w:id="20" w:name="_Hlk75784645"/>
      <w:bookmarkEnd w:id="19"/>
      <w:r w:rsidRPr="007A0C25">
        <w:rPr>
          <w:rFonts w:ascii="Arial" w:eastAsia="Calibri" w:hAnsi="Arial" w:cs="Arial"/>
          <w:b/>
          <w:bCs/>
          <w:sz w:val="22"/>
        </w:rPr>
        <w:t>2.</w:t>
      </w:r>
      <w:r w:rsidR="00146F73">
        <w:rPr>
          <w:rFonts w:ascii="Arial" w:eastAsia="Calibri" w:hAnsi="Arial" w:cs="Arial"/>
          <w:b/>
          <w:bCs/>
          <w:sz w:val="22"/>
        </w:rPr>
        <w:t>2</w:t>
      </w:r>
      <w:r w:rsidRPr="007A0C25">
        <w:rPr>
          <w:rFonts w:ascii="Arial" w:eastAsia="Calibri" w:hAnsi="Arial" w:cs="Arial"/>
          <w:b/>
          <w:bCs/>
          <w:sz w:val="22"/>
        </w:rPr>
        <w:t xml:space="preserve">. </w:t>
      </w:r>
      <w:bookmarkStart w:id="21" w:name="_Hlk77153296"/>
      <w:r w:rsidRPr="007A0C25">
        <w:rPr>
          <w:rFonts w:ascii="Arial" w:hAnsi="Arial" w:cs="Arial"/>
          <w:b/>
          <w:bCs/>
          <w:sz w:val="22"/>
          <w:lang w:eastAsia="es-CO"/>
        </w:rPr>
        <w:t xml:space="preserve">Restricciones </w:t>
      </w:r>
      <w:bookmarkStart w:id="22" w:name="_Hlk75643279"/>
      <w:r w:rsidRPr="007A0C25">
        <w:rPr>
          <w:rFonts w:ascii="Arial" w:hAnsi="Arial" w:cs="Arial"/>
          <w:b/>
          <w:bCs/>
          <w:sz w:val="22"/>
          <w:lang w:eastAsia="es-CO"/>
        </w:rPr>
        <w:t xml:space="preserve">para la celebración de contratos y convenios interadministrativos en los comicios para cargos de elección popular </w:t>
      </w:r>
    </w:p>
    <w:p w14:paraId="7CA4104F" w14:textId="77777777" w:rsidR="00AC55A0" w:rsidRPr="007A0C25" w:rsidRDefault="00AC55A0" w:rsidP="00AC55A0">
      <w:pPr>
        <w:tabs>
          <w:tab w:val="left" w:pos="426"/>
        </w:tabs>
        <w:spacing w:line="276" w:lineRule="auto"/>
        <w:jc w:val="both"/>
        <w:rPr>
          <w:rFonts w:ascii="Arial" w:eastAsia="Calibri" w:hAnsi="Arial" w:cs="Arial"/>
          <w:bCs/>
          <w:sz w:val="22"/>
        </w:rPr>
      </w:pPr>
      <w:bookmarkStart w:id="23" w:name="_Hlk88210558"/>
      <w:bookmarkEnd w:id="21"/>
      <w:bookmarkEnd w:id="22"/>
    </w:p>
    <w:p w14:paraId="3D12B0A5" w14:textId="2538B587" w:rsidR="00AC55A0" w:rsidRPr="007A0C25" w:rsidRDefault="00AC55A0" w:rsidP="00AC55A0">
      <w:pPr>
        <w:tabs>
          <w:tab w:val="left" w:pos="426"/>
        </w:tabs>
        <w:spacing w:after="120" w:line="276" w:lineRule="auto"/>
        <w:jc w:val="both"/>
        <w:rPr>
          <w:rFonts w:ascii="Arial" w:eastAsia="Calibri" w:hAnsi="Arial" w:cs="Arial"/>
          <w:bCs/>
          <w:sz w:val="22"/>
        </w:rPr>
      </w:pPr>
      <w:bookmarkStart w:id="24" w:name="_Hlk114827887"/>
      <w:r w:rsidRPr="007A0C25">
        <w:rPr>
          <w:rFonts w:ascii="Arial" w:eastAsia="Calibri" w:hAnsi="Arial" w:cs="Arial"/>
          <w:bCs/>
          <w:sz w:val="22"/>
        </w:rPr>
        <w:t xml:space="preserve">El parágrafo del artículo 38 de la Ley 996 de 2005 dispone que </w:t>
      </w:r>
      <w:r w:rsidR="001D7A8C">
        <w:rPr>
          <w:rFonts w:ascii="Arial" w:eastAsia="Calibri" w:hAnsi="Arial" w:cs="Arial"/>
          <w:bCs/>
          <w:sz w:val="22"/>
        </w:rPr>
        <w:t>“</w:t>
      </w:r>
      <w:r w:rsidRPr="007A0C25">
        <w:rPr>
          <w:rFonts w:ascii="Arial" w:eastAsia="Calibri" w:hAnsi="Arial" w:cs="Arial"/>
          <w:bCs/>
          <w:sz w:val="22"/>
        </w:rPr>
        <w:t xml:space="preserve">[l]os Gobernadores, Alcaldes Municipales y/o Distritales, Secretarios, Gerentes y directores de </w:t>
      </w:r>
      <w:r w:rsidRPr="000B4778">
        <w:rPr>
          <w:rFonts w:ascii="Arial" w:eastAsia="Calibri" w:hAnsi="Arial" w:cs="Arial"/>
          <w:bCs/>
          <w:sz w:val="22"/>
        </w:rPr>
        <w:t>Entidades Descentralizadas del orden Municipal</w:t>
      </w:r>
      <w:r w:rsidRPr="007A0C25">
        <w:rPr>
          <w:rFonts w:ascii="Arial" w:eastAsia="Calibri" w:hAnsi="Arial" w:cs="Arial"/>
          <w:bCs/>
          <w:sz w:val="22"/>
        </w:rPr>
        <w:t>, Departamental o Distrital, dentro de los cuatro (4) meses anteriores a las elecciones, no podrán celebrar convenios interadministrativos para la ejecución de recursos públicos</w:t>
      </w:r>
      <w:r w:rsidR="001D7A8C">
        <w:rPr>
          <w:rFonts w:ascii="Arial" w:eastAsia="Calibri" w:hAnsi="Arial" w:cs="Arial"/>
          <w:bCs/>
          <w:sz w:val="22"/>
        </w:rPr>
        <w:t>”</w:t>
      </w:r>
      <w:r w:rsidRPr="007A0C25">
        <w:rPr>
          <w:rFonts w:ascii="Arial" w:eastAsia="Calibri" w:hAnsi="Arial" w:cs="Arial"/>
          <w:bCs/>
          <w:sz w:val="22"/>
        </w:rPr>
        <w:t>.</w:t>
      </w:r>
      <w:r w:rsidRPr="007A0C25">
        <w:rPr>
          <w:rFonts w:ascii="Arial" w:hAnsi="Arial" w:cs="Arial"/>
          <w:bCs/>
          <w:iCs/>
          <w:sz w:val="22"/>
          <w:lang w:eastAsia="x-none"/>
        </w:rPr>
        <w:t xml:space="preserve"> </w:t>
      </w:r>
      <w:bookmarkStart w:id="25" w:name="_Hlk99578153"/>
      <w:bookmarkEnd w:id="23"/>
      <w:r w:rsidRPr="007A0C25">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4"/>
      <w:bookmarkEnd w:id="25"/>
      <w:r w:rsidRPr="007A0C25">
        <w:rPr>
          <w:rFonts w:ascii="Arial" w:hAnsi="Arial" w:cs="Arial"/>
          <w:bCs/>
          <w:iCs/>
          <w:sz w:val="22"/>
          <w:vertAlign w:val="superscript"/>
          <w:lang w:eastAsia="x-none"/>
        </w:rPr>
        <w:footnoteReference w:id="10"/>
      </w:r>
      <w:r w:rsidRPr="007A0C25">
        <w:rPr>
          <w:rFonts w:ascii="Arial" w:hAnsi="Arial" w:cs="Arial"/>
          <w:bCs/>
          <w:iCs/>
          <w:sz w:val="22"/>
          <w:lang w:eastAsia="x-none"/>
        </w:rPr>
        <w:t>.</w:t>
      </w:r>
      <w:r w:rsidRPr="007A0C25">
        <w:rPr>
          <w:rFonts w:ascii="Arial" w:eastAsia="Calibri" w:hAnsi="Arial" w:cs="Arial"/>
          <w:sz w:val="22"/>
        </w:rPr>
        <w:t xml:space="preserve"> </w:t>
      </w:r>
    </w:p>
    <w:p w14:paraId="110F6CDB" w14:textId="77777777" w:rsidR="00AC55A0" w:rsidRPr="007A0C25" w:rsidRDefault="00AC55A0" w:rsidP="00AC55A0">
      <w:pPr>
        <w:widowControl w:val="0"/>
        <w:autoSpaceDE w:val="0"/>
        <w:autoSpaceDN w:val="0"/>
        <w:spacing w:after="120" w:line="276" w:lineRule="auto"/>
        <w:ind w:firstLine="707"/>
        <w:jc w:val="both"/>
        <w:rPr>
          <w:rFonts w:ascii="Arial" w:eastAsia="Arial" w:hAnsi="Arial" w:cs="Arial"/>
          <w:sz w:val="22"/>
          <w:lang w:val="es-ES" w:eastAsia="es-ES" w:bidi="es-ES"/>
        </w:rPr>
      </w:pPr>
      <w:r w:rsidRPr="007A0C25">
        <w:rPr>
          <w:rFonts w:ascii="Arial" w:eastAsia="Calibri" w:hAnsi="Arial" w:cs="Arial"/>
          <w:bCs/>
          <w:sz w:val="22"/>
          <w:lang w:eastAsia="es-ES" w:bidi="es-ES"/>
        </w:rPr>
        <w:t xml:space="preserve">Ahora bien, </w:t>
      </w:r>
      <w:bookmarkStart w:id="26" w:name="_Hlk78820161"/>
      <w:r w:rsidRPr="007A0C25">
        <w:rPr>
          <w:rFonts w:ascii="Arial" w:eastAsia="Calibri" w:hAnsi="Arial" w:cs="Arial"/>
          <w:bCs/>
          <w:sz w:val="22"/>
          <w:lang w:eastAsia="es-ES" w:bidi="es-ES"/>
        </w:rPr>
        <w:t xml:space="preserve">para determinar el alcance de la prohibición consagrada por la Ley de Garantías Electorales, conviene precisar la tipología de convenios o contratos interadministrativos. </w:t>
      </w:r>
      <w:bookmarkStart w:id="27" w:name="_Hlk114827997"/>
      <w:r w:rsidRPr="007A0C25">
        <w:rPr>
          <w:rFonts w:ascii="Arial" w:eastAsia="Arial" w:hAnsi="Arial" w:cs="Arial"/>
          <w:sz w:val="22"/>
          <w:lang w:val="es-ES" w:eastAsia="es-ES" w:bidi="es-ES"/>
        </w:rPr>
        <w:t>Aunque la ley no la definió ni desarrolló, el Decreto 1082 de 2015 califica a los convenios o contratos interadministrativos como aquella contratación entre entidades estatales</w:t>
      </w:r>
      <w:r w:rsidRPr="007A0C25">
        <w:rPr>
          <w:rFonts w:ascii="Arial" w:eastAsia="Arial" w:hAnsi="Arial" w:cs="Arial"/>
          <w:sz w:val="22"/>
          <w:vertAlign w:val="superscript"/>
          <w:lang w:val="es-ES" w:eastAsia="es-ES" w:bidi="es-ES"/>
        </w:rPr>
        <w:footnoteReference w:id="11"/>
      </w:r>
      <w:r w:rsidRPr="007A0C25">
        <w:rPr>
          <w:rFonts w:ascii="Arial" w:eastAsia="Arial" w:hAnsi="Arial" w:cs="Arial"/>
          <w:sz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sz w:val="22"/>
          <w:lang w:val="es-ES" w:eastAsia="es-ES" w:bidi="es-ES"/>
        </w:rPr>
        <w:t xml:space="preserve"> </w:t>
      </w:r>
      <w:r w:rsidRPr="007A0C25">
        <w:rPr>
          <w:rFonts w:ascii="Arial" w:eastAsia="Arial" w:hAnsi="Arial" w:cs="Arial"/>
          <w:sz w:val="22"/>
          <w:lang w:val="es-ES" w:eastAsia="es-ES" w:bidi="es-ES"/>
        </w:rPr>
        <w:t>estatales.</w:t>
      </w:r>
    </w:p>
    <w:p w14:paraId="17CFC8E8" w14:textId="77777777" w:rsidR="00AC55A0" w:rsidRPr="007A0C25" w:rsidRDefault="00AC55A0" w:rsidP="00AC55A0">
      <w:pPr>
        <w:widowControl w:val="0"/>
        <w:autoSpaceDE w:val="0"/>
        <w:autoSpaceDN w:val="0"/>
        <w:spacing w:before="117" w:after="120" w:line="276" w:lineRule="auto"/>
        <w:ind w:firstLine="707"/>
        <w:jc w:val="both"/>
        <w:rPr>
          <w:rFonts w:ascii="Arial" w:eastAsia="Arial" w:hAnsi="Arial" w:cs="Arial"/>
          <w:sz w:val="22"/>
          <w:lang w:val="es-ES" w:eastAsia="es-ES" w:bidi="es-ES"/>
        </w:rPr>
      </w:pPr>
      <w:bookmarkStart w:id="28" w:name="_Hlk78820654"/>
      <w:bookmarkEnd w:id="26"/>
      <w:bookmarkEnd w:id="27"/>
      <w:r w:rsidRPr="007A0C25">
        <w:rPr>
          <w:rFonts w:ascii="Arial" w:eastAsia="Arial" w:hAnsi="Arial" w:cs="Arial"/>
          <w:sz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95B1A5D" w14:textId="77777777" w:rsidR="00AC55A0" w:rsidRPr="007A0C25" w:rsidRDefault="00AC55A0" w:rsidP="00AC55A0">
      <w:pPr>
        <w:widowControl w:val="0"/>
        <w:autoSpaceDE w:val="0"/>
        <w:autoSpaceDN w:val="0"/>
        <w:spacing w:before="121" w:after="120" w:line="276" w:lineRule="auto"/>
        <w:ind w:firstLine="707"/>
        <w:jc w:val="both"/>
        <w:rPr>
          <w:rFonts w:ascii="Arial" w:eastAsia="Arial" w:hAnsi="Arial" w:cs="Arial"/>
          <w:sz w:val="22"/>
          <w:lang w:val="es-ES" w:eastAsia="es-ES" w:bidi="es-ES"/>
        </w:rPr>
      </w:pPr>
      <w:bookmarkStart w:id="29" w:name="_Hlk99578261"/>
      <w:bookmarkEnd w:id="28"/>
      <w:r w:rsidRPr="007A0C25">
        <w:rPr>
          <w:rFonts w:ascii="Arial" w:eastAsia="Arial" w:hAnsi="Arial" w:cs="Arial"/>
          <w:sz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sz w:val="22"/>
          <w:vertAlign w:val="superscript"/>
          <w:lang w:val="es-ES" w:eastAsia="es-ES" w:bidi="es-ES"/>
        </w:rPr>
        <w:footnoteReference w:id="12"/>
      </w:r>
      <w:r w:rsidRPr="007A0C25">
        <w:rPr>
          <w:rFonts w:ascii="Arial" w:eastAsia="Arial" w:hAnsi="Arial" w:cs="Arial"/>
          <w:sz w:val="22"/>
          <w:lang w:val="es-ES" w:eastAsia="es-ES" w:bidi="es-ES"/>
        </w:rPr>
        <w:t>. Nótese que, en este caso, lo que cambia es la modalidad de selección y no la naturaleza de contrato</w:t>
      </w:r>
      <w:r w:rsidRPr="007A0C25">
        <w:rPr>
          <w:rFonts w:ascii="Arial" w:eastAsia="Arial" w:hAnsi="Arial" w:cs="Arial"/>
          <w:spacing w:val="-18"/>
          <w:sz w:val="22"/>
          <w:lang w:val="es-ES" w:eastAsia="es-ES" w:bidi="es-ES"/>
        </w:rPr>
        <w:t xml:space="preserve"> </w:t>
      </w:r>
      <w:r w:rsidRPr="007A0C25">
        <w:rPr>
          <w:rFonts w:ascii="Arial" w:eastAsia="Arial" w:hAnsi="Arial" w:cs="Arial"/>
          <w:sz w:val="22"/>
          <w:lang w:val="es-ES" w:eastAsia="es-ES" w:bidi="es-ES"/>
        </w:rPr>
        <w:t>interadministrativo.</w:t>
      </w:r>
    </w:p>
    <w:bookmarkEnd w:id="29"/>
    <w:p w14:paraId="570F3075" w14:textId="3B161B37" w:rsidR="00AC55A0" w:rsidRPr="007A0C25" w:rsidRDefault="00AC55A0" w:rsidP="00AC55A0">
      <w:pPr>
        <w:widowControl w:val="0"/>
        <w:autoSpaceDE w:val="0"/>
        <w:autoSpaceDN w:val="0"/>
        <w:spacing w:before="114"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La Corte Constitucional expresó en la Sentencia C–671 de 2015 que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7A0C25">
        <w:rPr>
          <w:rFonts w:ascii="Arial" w:eastAsia="Arial" w:hAnsi="Arial" w:cs="Arial"/>
          <w:spacing w:val="-13"/>
          <w:sz w:val="22"/>
          <w:lang w:val="es-ES" w:eastAsia="es-ES" w:bidi="es-ES"/>
        </w:rPr>
        <w:t xml:space="preserve"> </w:t>
      </w:r>
      <w:r w:rsidRPr="007A0C25">
        <w:rPr>
          <w:rFonts w:ascii="Arial" w:eastAsia="Arial" w:hAnsi="Arial" w:cs="Arial"/>
          <w:sz w:val="22"/>
          <w:lang w:val="es-ES" w:eastAsia="es-ES" w:bidi="es-ES"/>
        </w:rPr>
        <w:t>que:</w:t>
      </w:r>
    </w:p>
    <w:p w14:paraId="7CC2EE10" w14:textId="77777777" w:rsidR="00AC55A0" w:rsidRPr="007A0C25" w:rsidRDefault="00AC55A0" w:rsidP="00AC55A0">
      <w:pPr>
        <w:widowControl w:val="0"/>
        <w:autoSpaceDE w:val="0"/>
        <w:autoSpaceDN w:val="0"/>
        <w:spacing w:line="276" w:lineRule="auto"/>
        <w:ind w:firstLine="707"/>
        <w:contextualSpacing/>
        <w:jc w:val="both"/>
        <w:rPr>
          <w:rFonts w:ascii="Arial" w:eastAsia="Arial" w:hAnsi="Arial" w:cs="Arial"/>
          <w:sz w:val="22"/>
          <w:lang w:val="es-ES" w:eastAsia="es-ES" w:bidi="es-ES"/>
        </w:rPr>
      </w:pPr>
    </w:p>
    <w:p w14:paraId="5D33DBCA" w14:textId="77777777" w:rsidR="00AC55A0" w:rsidRPr="007A0C25" w:rsidRDefault="00AC55A0" w:rsidP="00AC55A0">
      <w:pPr>
        <w:ind w:left="709" w:right="709"/>
        <w:contextualSpacing/>
        <w:jc w:val="both"/>
        <w:rPr>
          <w:rFonts w:ascii="Arial" w:eastAsia="Calibri" w:hAnsi="Arial" w:cs="Arial"/>
          <w:sz w:val="21"/>
        </w:rPr>
      </w:pPr>
      <w:r w:rsidRPr="007A0C25">
        <w:rPr>
          <w:rFonts w:ascii="Arial" w:eastAsia="Calibri"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A0C25">
        <w:rPr>
          <w:rFonts w:ascii="Arial" w:eastAsia="Calibri" w:hAnsi="Arial" w:cs="Arial"/>
          <w:sz w:val="21"/>
          <w:vertAlign w:val="superscript"/>
        </w:rPr>
        <w:footnoteReference w:id="13"/>
      </w:r>
      <w:r w:rsidRPr="007A0C25">
        <w:rPr>
          <w:rFonts w:ascii="Arial" w:eastAsia="Calibri" w:hAnsi="Arial" w:cs="Arial"/>
          <w:sz w:val="21"/>
        </w:rPr>
        <w:t>.</w:t>
      </w:r>
    </w:p>
    <w:p w14:paraId="2983B784" w14:textId="77777777" w:rsidR="00AC55A0" w:rsidRPr="007A0C25" w:rsidRDefault="00AC55A0" w:rsidP="00AC55A0">
      <w:pPr>
        <w:spacing w:line="276" w:lineRule="auto"/>
        <w:ind w:left="709" w:right="709"/>
        <w:contextualSpacing/>
        <w:jc w:val="both"/>
        <w:rPr>
          <w:rFonts w:ascii="Arial" w:eastAsia="Calibri" w:hAnsi="Arial" w:cs="Arial"/>
          <w:sz w:val="22"/>
        </w:rPr>
      </w:pPr>
    </w:p>
    <w:p w14:paraId="3D240258" w14:textId="77777777" w:rsidR="00AC55A0" w:rsidRPr="007A0C25" w:rsidRDefault="00AC55A0" w:rsidP="00AC55A0">
      <w:pPr>
        <w:widowControl w:val="0"/>
        <w:autoSpaceDE w:val="0"/>
        <w:autoSpaceDN w:val="0"/>
        <w:spacing w:after="120"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00DA2CAC">
        <w:rPr>
          <w:rFonts w:ascii="Arial" w:eastAsia="Arial" w:hAnsi="Arial" w:cs="Arial"/>
          <w:sz w:val="22"/>
          <w:lang w:val="es-ES" w:eastAsia="es-ES" w:bidi="es-ES"/>
        </w:rPr>
        <w:t>El Estatuto General de Contratación de la Administración Pública establece la contratación directa como la modalidad de selección aplicable, por regla general, a la celebración de los contratos interadministrativos.</w:t>
      </w:r>
    </w:p>
    <w:p w14:paraId="297AB712" w14:textId="77777777" w:rsidR="00AC55A0" w:rsidRPr="007A0C25" w:rsidRDefault="00AC55A0" w:rsidP="00AC55A0">
      <w:pPr>
        <w:widowControl w:val="0"/>
        <w:autoSpaceDE w:val="0"/>
        <w:autoSpaceDN w:val="0"/>
        <w:spacing w:before="119" w:after="120"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A0C25">
        <w:rPr>
          <w:rFonts w:ascii="Arial" w:eastAsia="Arial" w:hAnsi="Arial" w:cs="Arial"/>
          <w:spacing w:val="-3"/>
          <w:sz w:val="22"/>
          <w:lang w:val="es-ES" w:eastAsia="es-ES" w:bidi="es-ES"/>
        </w:rPr>
        <w:t xml:space="preserve"> </w:t>
      </w:r>
      <w:r w:rsidRPr="007A0C25">
        <w:rPr>
          <w:rFonts w:ascii="Arial" w:eastAsia="Arial" w:hAnsi="Arial" w:cs="Arial"/>
          <w:sz w:val="22"/>
          <w:lang w:val="es-ES" w:eastAsia="es-ES" w:bidi="es-ES"/>
        </w:rPr>
        <w:t>estatales.</w:t>
      </w:r>
    </w:p>
    <w:p w14:paraId="63CE03DB" w14:textId="65B93ED6" w:rsidR="00AC55A0" w:rsidRPr="007A0C25" w:rsidRDefault="00AC55A0" w:rsidP="00AC55A0">
      <w:pPr>
        <w:widowControl w:val="0"/>
        <w:autoSpaceDE w:val="0"/>
        <w:autoSpaceDN w:val="0"/>
        <w:spacing w:before="120"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A0C25">
        <w:rPr>
          <w:rFonts w:ascii="Arial" w:eastAsia="Arial" w:hAnsi="Arial" w:cs="Arial"/>
          <w:spacing w:val="-4"/>
          <w:sz w:val="22"/>
          <w:lang w:val="es-ES" w:eastAsia="es-ES" w:bidi="es-ES"/>
        </w:rPr>
        <w:t xml:space="preserve"> </w:t>
      </w:r>
      <w:r w:rsidRPr="007A0C25">
        <w:rPr>
          <w:rFonts w:ascii="Arial" w:eastAsia="Arial" w:hAnsi="Arial" w:cs="Arial"/>
          <w:sz w:val="22"/>
          <w:lang w:val="es-ES" w:eastAsia="es-ES" w:bidi="es-ES"/>
        </w:rPr>
        <w:t>estatales.</w:t>
      </w:r>
    </w:p>
    <w:p w14:paraId="7176CBFC" w14:textId="77777777" w:rsidR="00AC55A0" w:rsidRPr="007A0C25" w:rsidRDefault="00AC55A0" w:rsidP="00AC55A0">
      <w:pPr>
        <w:widowControl w:val="0"/>
        <w:autoSpaceDE w:val="0"/>
        <w:autoSpaceDN w:val="0"/>
        <w:spacing w:before="122" w:after="120" w:line="276" w:lineRule="auto"/>
        <w:ind w:firstLine="708"/>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Es bueno destacar que el Decreto 1082 de 2015 dispone que los convenios o contratos interadministrativos, así denominados en su artículo 2.2.1.2.1.4.4, </w:t>
      </w:r>
      <w:r w:rsidRPr="00B21CD2">
        <w:rPr>
          <w:rFonts w:ascii="Arial" w:eastAsia="Arial" w:hAnsi="Arial" w:cs="Arial"/>
          <w:sz w:val="22"/>
          <w:lang w:val="es-ES" w:eastAsia="es-ES" w:bidi="es-ES"/>
        </w:rPr>
        <w:t>se contratan directamente</w:t>
      </w:r>
      <w:r w:rsidRPr="007A0C25">
        <w:rPr>
          <w:rFonts w:ascii="Arial" w:eastAsia="Arial" w:hAnsi="Arial" w:cs="Arial"/>
          <w:sz w:val="22"/>
          <w:lang w:val="es-ES" w:eastAsia="es-ES" w:bidi="es-ES"/>
        </w:rPr>
        <w:t>,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57C842B" w14:textId="3D7E5EC2" w:rsidR="00AC55A0" w:rsidRPr="007A0C25" w:rsidRDefault="00AC55A0" w:rsidP="00AC55A0">
      <w:pPr>
        <w:widowControl w:val="0"/>
        <w:autoSpaceDE w:val="0"/>
        <w:autoSpaceDN w:val="0"/>
        <w:spacing w:after="120" w:line="276" w:lineRule="auto"/>
        <w:ind w:firstLine="708"/>
        <w:jc w:val="both"/>
        <w:rPr>
          <w:rFonts w:ascii="Arial" w:eastAsia="Calibri" w:hAnsi="Arial" w:cs="Arial"/>
          <w:bCs/>
          <w:sz w:val="22"/>
          <w:lang w:eastAsia="es-ES" w:bidi="es-ES"/>
        </w:rPr>
      </w:pPr>
      <w:r w:rsidRPr="007A0C25">
        <w:rPr>
          <w:rFonts w:ascii="Arial" w:eastAsia="Arial" w:hAnsi="Arial" w:cs="Arial"/>
          <w:sz w:val="22"/>
          <w:lang w:val="es-ES" w:eastAsia="es-ES" w:bidi="es-ES"/>
        </w:rPr>
        <w:t xml:space="preserve">Por tanto, aunque el artículo 95 de la Ley 489 de 1998 dispone que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Las entidades públicas podrán asociarse con el fin de cooperar en el cumplimiento de funciones administrativas o de prestar conjuntamente servicios que se hallen a su cargo, mediante la celebración de convenios interadministrativos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 xml:space="preserve">, esto no significa que dichos acuerdos estén exceptuados del Estatuto General de Contratación de la Administración Pública por no tener carácter contractual. Por ello, la jurisprudencia considera que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A0C25">
        <w:rPr>
          <w:rFonts w:ascii="Arial" w:eastAsia="Arial" w:hAnsi="Arial" w:cs="Arial"/>
          <w:spacing w:val="-4"/>
          <w:sz w:val="22"/>
          <w:lang w:val="es-ES" w:eastAsia="es-ES" w:bidi="es-ES"/>
        </w:rPr>
        <w:t xml:space="preserve"> </w:t>
      </w:r>
      <w:r w:rsidRPr="007A0C25">
        <w:rPr>
          <w:rFonts w:ascii="Arial" w:eastAsia="Arial" w:hAnsi="Arial" w:cs="Arial"/>
          <w:sz w:val="22"/>
          <w:lang w:val="es-ES" w:eastAsia="es-ES" w:bidi="es-ES"/>
        </w:rPr>
        <w:t>[…]</w:t>
      </w:r>
      <w:r w:rsidR="001D7A8C">
        <w:rPr>
          <w:rFonts w:ascii="Arial" w:eastAsia="Arial" w:hAnsi="Arial" w:cs="Arial"/>
          <w:sz w:val="22"/>
          <w:lang w:val="es-ES" w:eastAsia="es-ES" w:bidi="es-ES"/>
        </w:rPr>
        <w:t>”</w:t>
      </w:r>
      <w:r w:rsidRPr="007A0C25">
        <w:rPr>
          <w:rFonts w:ascii="Arial" w:eastAsia="Arial" w:hAnsi="Arial" w:cs="Arial"/>
          <w:sz w:val="22"/>
          <w:vertAlign w:val="superscript"/>
          <w:lang w:val="es-ES" w:eastAsia="es-ES" w:bidi="es-ES"/>
        </w:rPr>
        <w:footnoteReference w:id="14"/>
      </w:r>
      <w:r w:rsidRPr="007A0C25">
        <w:rPr>
          <w:rFonts w:ascii="Arial" w:eastAsia="Arial" w:hAnsi="Arial" w:cs="Arial"/>
          <w:sz w:val="22"/>
          <w:lang w:val="es-ES" w:eastAsia="es-ES" w:bidi="es-ES"/>
        </w:rPr>
        <w:t>.</w:t>
      </w:r>
      <w:bookmarkStart w:id="30" w:name="_Hlk77171241"/>
    </w:p>
    <w:p w14:paraId="44E76F1D" w14:textId="77777777" w:rsidR="00AC55A0" w:rsidRPr="007A0C25" w:rsidRDefault="00AC55A0" w:rsidP="00AC55A0">
      <w:pPr>
        <w:widowControl w:val="0"/>
        <w:autoSpaceDE w:val="0"/>
        <w:autoSpaceDN w:val="0"/>
        <w:spacing w:line="276" w:lineRule="auto"/>
        <w:ind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D9E915C" w14:textId="77777777" w:rsidR="00AC55A0" w:rsidRPr="007A0C25" w:rsidRDefault="00AC55A0" w:rsidP="00AC55A0">
      <w:pPr>
        <w:widowControl w:val="0"/>
        <w:autoSpaceDE w:val="0"/>
        <w:autoSpaceDN w:val="0"/>
        <w:spacing w:line="276" w:lineRule="auto"/>
        <w:ind w:firstLine="709"/>
        <w:contextualSpacing/>
        <w:jc w:val="both"/>
        <w:rPr>
          <w:rFonts w:ascii="Arial" w:eastAsia="Arial" w:hAnsi="Arial" w:cs="Arial"/>
          <w:sz w:val="22"/>
          <w:lang w:val="es-ES" w:eastAsia="es-ES" w:bidi="es-ES"/>
        </w:rPr>
      </w:pPr>
    </w:p>
    <w:p w14:paraId="473B70DB" w14:textId="77777777" w:rsidR="00AC55A0" w:rsidRPr="007A0C25" w:rsidRDefault="00AC55A0" w:rsidP="00AC55A0">
      <w:pPr>
        <w:ind w:left="709" w:right="709"/>
        <w:contextualSpacing/>
        <w:jc w:val="both"/>
        <w:rPr>
          <w:rFonts w:ascii="Arial" w:eastAsia="Calibri" w:hAnsi="Arial" w:cs="Arial"/>
          <w:sz w:val="21"/>
          <w:szCs w:val="21"/>
          <w:lang w:val="es-ES_tradnl"/>
        </w:rPr>
      </w:pPr>
      <w:r w:rsidRPr="007A0C25">
        <w:rPr>
          <w:rFonts w:ascii="Arial" w:eastAsia="Calibri" w:hAnsi="Arial" w:cs="Arial"/>
          <w:sz w:val="21"/>
          <w:szCs w:val="21"/>
          <w:lang w:val="es-ES_tradnl"/>
        </w:rPr>
        <w:t>La Sala de Consulta y Servicio Civil</w:t>
      </w:r>
      <w:r w:rsidRPr="007A0C25">
        <w:rPr>
          <w:rFonts w:ascii="Arial" w:eastAsia="Calibri" w:hAnsi="Arial" w:cs="Arial"/>
          <w:sz w:val="21"/>
          <w:szCs w:val="21"/>
          <w:vertAlign w:val="superscript"/>
          <w:lang w:val="es-ES_tradnl"/>
        </w:rPr>
        <w:footnoteReference w:id="15"/>
      </w:r>
      <w:r w:rsidRPr="007A0C25">
        <w:rPr>
          <w:rFonts w:ascii="Arial" w:eastAsia="Calibri" w:hAnsi="Arial" w:cs="Arial"/>
          <w:sz w:val="21"/>
          <w:szCs w:val="21"/>
          <w:lang w:val="es-ES_tradnl"/>
        </w:rPr>
        <w:t xml:space="preserve"> de esta Corporación se ha referido a los </w:t>
      </w:r>
      <w:r w:rsidRPr="007A0C25">
        <w:rPr>
          <w:rFonts w:ascii="Arial" w:eastAsia="Calibri" w:hAnsi="Arial" w:cs="Arial"/>
          <w:i/>
          <w:sz w:val="21"/>
          <w:szCs w:val="21"/>
          <w:lang w:val="es-ES_tradnl"/>
        </w:rPr>
        <w:t>“convenios interadministrativos”</w:t>
      </w:r>
      <w:r w:rsidRPr="007A0C25">
        <w:rPr>
          <w:rFonts w:ascii="Arial" w:eastAsia="Calibri" w:hAnsi="Arial" w:cs="Arial"/>
          <w:sz w:val="21"/>
          <w:szCs w:val="21"/>
          <w:lang w:val="es-ES_tradnl"/>
        </w:rPr>
        <w:t xml:space="preserve"> a los cuales alude el artículo 95 de la Ley 489 de 1998, calificándolos de </w:t>
      </w:r>
      <w:r w:rsidRPr="007A0C25">
        <w:rPr>
          <w:rFonts w:ascii="Arial" w:eastAsia="Calibri" w:hAnsi="Arial" w:cs="Arial"/>
          <w:i/>
          <w:sz w:val="21"/>
          <w:szCs w:val="21"/>
          <w:lang w:val="es-ES_tradnl"/>
        </w:rPr>
        <w:t xml:space="preserve">“puros” </w:t>
      </w:r>
      <w:r w:rsidRPr="007A0C25">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7A0C25">
        <w:rPr>
          <w:rFonts w:ascii="Arial" w:eastAsia="Calibri" w:hAnsi="Arial" w:cs="Arial"/>
          <w:i/>
          <w:sz w:val="21"/>
          <w:szCs w:val="21"/>
          <w:lang w:val="es-ES_tradnl"/>
        </w:rPr>
        <w:t>“intercambio patrimonial”</w:t>
      </w:r>
      <w:r w:rsidRPr="007A0C25">
        <w:rPr>
          <w:rFonts w:ascii="Arial" w:eastAsia="Calibri" w:hAnsi="Arial" w:cs="Arial"/>
          <w:sz w:val="21"/>
          <w:szCs w:val="21"/>
          <w:lang w:val="es-ES_tradnl"/>
        </w:rPr>
        <w:t>. Sin perjuicio de lo anterior, en otra oportunidad, la misma Sala</w:t>
      </w:r>
      <w:r w:rsidRPr="007A0C25">
        <w:rPr>
          <w:rFonts w:ascii="Arial" w:eastAsia="Calibri" w:hAnsi="Arial" w:cs="Arial"/>
          <w:sz w:val="21"/>
          <w:szCs w:val="21"/>
          <w:vertAlign w:val="superscript"/>
          <w:lang w:val="es-ES_tradnl"/>
        </w:rPr>
        <w:footnoteReference w:id="16"/>
      </w:r>
      <w:r w:rsidRPr="007A0C25">
        <w:rPr>
          <w:rFonts w:ascii="Arial" w:eastAsia="Calibri" w:hAnsi="Arial" w:cs="Arial"/>
          <w:sz w:val="21"/>
          <w:szCs w:val="21"/>
          <w:lang w:val="es-ES_tradnl"/>
        </w:rPr>
        <w:t xml:space="preserve"> había indicado que, si bien en dichos convenios no se daba un </w:t>
      </w:r>
      <w:r w:rsidRPr="007A0C25">
        <w:rPr>
          <w:rFonts w:ascii="Arial" w:eastAsia="Calibri" w:hAnsi="Arial" w:cs="Arial"/>
          <w:i/>
          <w:sz w:val="21"/>
          <w:szCs w:val="21"/>
          <w:lang w:val="es-ES_tradnl"/>
        </w:rPr>
        <w:t>“verdadero intercambio de bienes o servicios (contrato conmutativo)”</w:t>
      </w:r>
      <w:r w:rsidRPr="007A0C25">
        <w:rPr>
          <w:rFonts w:ascii="Arial" w:eastAsia="Calibri" w:hAnsi="Arial" w:cs="Arial"/>
          <w:sz w:val="21"/>
          <w:szCs w:val="21"/>
          <w:lang w:val="es-ES_tradnl"/>
        </w:rPr>
        <w:t>, ello no impedía que se conviniera una remuneración a cargo de alguna(s) entidad(es).</w:t>
      </w:r>
    </w:p>
    <w:p w14:paraId="4E6553E7" w14:textId="77777777" w:rsidR="00AC55A0" w:rsidRPr="007A0C25" w:rsidRDefault="00AC55A0" w:rsidP="00AC55A0">
      <w:pPr>
        <w:ind w:left="709" w:right="709"/>
        <w:contextualSpacing/>
        <w:jc w:val="both"/>
        <w:rPr>
          <w:rFonts w:ascii="Arial" w:eastAsia="Calibri" w:hAnsi="Arial" w:cs="Arial"/>
          <w:sz w:val="21"/>
          <w:szCs w:val="21"/>
          <w:lang w:val="es-ES_tradnl"/>
        </w:rPr>
      </w:pPr>
    </w:p>
    <w:p w14:paraId="2050B6A9" w14:textId="77777777" w:rsidR="00AC55A0" w:rsidRPr="007A0C25" w:rsidRDefault="00AC55A0" w:rsidP="00AC55A0">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_tradnl" w:eastAsia="es-ES" w:bidi="es-ES"/>
        </w:rPr>
        <w:t xml:space="preserve">Lo expuesto evidencia que, en general, las interpretaciones en torno a los </w:t>
      </w:r>
      <w:r w:rsidRPr="007A0C25">
        <w:rPr>
          <w:rFonts w:ascii="Arial" w:eastAsia="Arial" w:hAnsi="Arial" w:cs="Arial"/>
          <w:i/>
          <w:sz w:val="21"/>
          <w:szCs w:val="21"/>
          <w:lang w:val="es-ES_tradnl" w:eastAsia="es-ES" w:bidi="es-ES"/>
        </w:rPr>
        <w:t>“convenios interadministrativos”</w:t>
      </w:r>
      <w:r w:rsidRPr="007A0C25">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7A0C25">
        <w:rPr>
          <w:rFonts w:ascii="Arial" w:eastAsia="Arial" w:hAnsi="Arial" w:cs="Arial"/>
          <w:sz w:val="21"/>
          <w:szCs w:val="21"/>
          <w:vertAlign w:val="superscript"/>
          <w:lang w:val="es-ES_tradnl" w:eastAsia="es-ES" w:bidi="es-ES"/>
        </w:rPr>
        <w:footnoteReference w:id="17"/>
      </w:r>
      <w:r w:rsidRPr="007A0C25">
        <w:rPr>
          <w:rFonts w:ascii="Arial" w:eastAsia="Arial" w:hAnsi="Arial" w:cs="Arial"/>
          <w:sz w:val="21"/>
          <w:szCs w:val="21"/>
          <w:vertAlign w:val="superscript"/>
          <w:lang w:val="es-ES_tradnl" w:eastAsia="es-ES" w:bidi="es-ES"/>
        </w:rPr>
        <w:footnoteReference w:id="18"/>
      </w:r>
      <w:r w:rsidRPr="007A0C25">
        <w:rPr>
          <w:rFonts w:ascii="Arial" w:eastAsia="Arial" w:hAnsi="Arial" w:cs="Arial"/>
          <w:sz w:val="21"/>
          <w:szCs w:val="21"/>
          <w:lang w:val="es-ES_tradnl" w:eastAsia="es-ES" w:bidi="es-ES"/>
        </w:rPr>
        <w:t>.</w:t>
      </w:r>
    </w:p>
    <w:p w14:paraId="537C40E5"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60D26050" w14:textId="77777777" w:rsidR="00AC55A0" w:rsidRPr="007A0C25" w:rsidRDefault="00AC55A0" w:rsidP="00AC55A0">
      <w:pPr>
        <w:widowControl w:val="0"/>
        <w:autoSpaceDE w:val="0"/>
        <w:autoSpaceDN w:val="0"/>
        <w:spacing w:after="120" w:line="276" w:lineRule="auto"/>
        <w:jc w:val="both"/>
        <w:rPr>
          <w:rFonts w:ascii="Arial" w:eastAsia="Arial" w:hAnsi="Arial" w:cs="Arial"/>
          <w:sz w:val="22"/>
          <w:lang w:val="es-ES" w:eastAsia="es-ES" w:bidi="es-ES"/>
        </w:rPr>
      </w:pPr>
      <w:r w:rsidRPr="007A0C25">
        <w:rPr>
          <w:rFonts w:ascii="Arial" w:eastAsia="Arial" w:hAnsi="Arial" w:cs="Arial"/>
          <w:sz w:val="22"/>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sz w:val="22"/>
          <w:vertAlign w:val="superscript"/>
          <w:lang w:val="es-ES" w:eastAsia="es-ES" w:bidi="es-ES"/>
        </w:rPr>
        <w:footnoteReference w:id="19"/>
      </w:r>
      <w:r w:rsidRPr="007A0C25">
        <w:rPr>
          <w:rFonts w:ascii="Arial" w:eastAsia="Arial" w:hAnsi="Arial" w:cs="Arial"/>
          <w:sz w:val="22"/>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7A0C25">
        <w:rPr>
          <w:rFonts w:ascii="Arial" w:eastAsia="Arial" w:hAnsi="Arial" w:cs="Arial"/>
          <w:sz w:val="22"/>
          <w:vertAlign w:val="superscript"/>
          <w:lang w:val="es-ES" w:eastAsia="es-ES" w:bidi="es-ES"/>
        </w:rPr>
        <w:footnoteReference w:id="20"/>
      </w:r>
      <w:r w:rsidRPr="007A0C25">
        <w:rPr>
          <w:rFonts w:ascii="Arial" w:eastAsia="Arial" w:hAnsi="Arial" w:cs="Arial"/>
          <w:sz w:val="22"/>
          <w:lang w:val="es-ES" w:eastAsia="es-ES" w:bidi="es-ES"/>
        </w:rPr>
        <w:t>.</w:t>
      </w:r>
    </w:p>
    <w:p w14:paraId="01C5D613"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1DB257CB"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5DDEC5C3"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7A0C25">
        <w:rPr>
          <w:rFonts w:ascii="Arial" w:eastAsia="Calibri" w:hAnsi="Arial" w:cs="Arial"/>
          <w:sz w:val="21"/>
          <w:szCs w:val="21"/>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655B177"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14:paraId="60860416"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057A260" w14:textId="77777777" w:rsidR="00AC55A0" w:rsidRPr="007A0C25" w:rsidRDefault="00AC55A0" w:rsidP="00AC55A0">
      <w:pPr>
        <w:ind w:left="709" w:right="709"/>
        <w:contextualSpacing/>
        <w:jc w:val="both"/>
        <w:rPr>
          <w:rFonts w:ascii="Arial" w:eastAsia="Calibri" w:hAnsi="Arial" w:cs="Arial"/>
          <w:sz w:val="21"/>
          <w:szCs w:val="21"/>
        </w:rPr>
      </w:pPr>
    </w:p>
    <w:p w14:paraId="0CFD0350" w14:textId="77777777" w:rsidR="00AC55A0" w:rsidRPr="007A0C25" w:rsidRDefault="00AC55A0" w:rsidP="00AC55A0">
      <w:pPr>
        <w:ind w:left="709" w:right="709"/>
        <w:contextualSpacing/>
        <w:jc w:val="both"/>
        <w:rPr>
          <w:rFonts w:ascii="Calibri" w:eastAsia="Calibri" w:hAnsi="Calibri"/>
        </w:rPr>
      </w:pPr>
      <w:r w:rsidRPr="007A0C25">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174BDA5"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569C5BE0" w14:textId="77777777" w:rsidR="00AC55A0" w:rsidRPr="007A0C25" w:rsidRDefault="00AC55A0" w:rsidP="00AC55A0">
      <w:pPr>
        <w:widowControl w:val="0"/>
        <w:autoSpaceDE w:val="0"/>
        <w:autoSpaceDN w:val="0"/>
        <w:spacing w:after="120" w:line="276" w:lineRule="auto"/>
        <w:jc w:val="both"/>
        <w:rPr>
          <w:rFonts w:ascii="Arial" w:eastAsia="Calibri" w:hAnsi="Arial" w:cs="Arial"/>
          <w:bCs/>
          <w:sz w:val="22"/>
          <w:lang w:eastAsia="es-ES" w:bidi="es-ES"/>
        </w:rPr>
      </w:pPr>
      <w:r w:rsidRPr="007A0C25">
        <w:rPr>
          <w:rFonts w:ascii="Arial" w:eastAsia="Arial" w:hAnsi="Arial" w:cs="Arial"/>
          <w:sz w:val="22"/>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0"/>
    </w:p>
    <w:p w14:paraId="313A699A" w14:textId="4B440131" w:rsidR="00A47F66" w:rsidRDefault="00A47F66" w:rsidP="00E66774">
      <w:pPr>
        <w:tabs>
          <w:tab w:val="left" w:pos="426"/>
        </w:tabs>
        <w:spacing w:after="120" w:line="276" w:lineRule="auto"/>
        <w:ind w:firstLine="709"/>
        <w:jc w:val="both"/>
        <w:rPr>
          <w:rFonts w:ascii="Arial" w:eastAsia="Calibri" w:hAnsi="Arial" w:cs="Arial"/>
          <w:sz w:val="22"/>
        </w:rPr>
      </w:pPr>
      <w:r w:rsidRPr="00172738">
        <w:rPr>
          <w:rFonts w:ascii="Arial" w:hAnsi="Arial" w:cs="Arial"/>
          <w:bCs/>
          <w:sz w:val="22"/>
          <w:lang w:eastAsia="es-CO"/>
        </w:rPr>
        <w:t>Conforme a lo expuesto, de cara a la pregunta planteada debe señalarse que</w:t>
      </w:r>
      <w:r w:rsidR="00AC55A0" w:rsidRPr="00172738">
        <w:rPr>
          <w:rFonts w:ascii="Arial" w:hAnsi="Arial" w:cs="Arial"/>
          <w:bCs/>
          <w:sz w:val="22"/>
          <w:lang w:eastAsia="es-CO"/>
        </w:rPr>
        <w:t xml:space="preserve"> </w:t>
      </w:r>
      <w:bookmarkStart w:id="31" w:name="_Hlk114828165"/>
      <w:r w:rsidR="00AC55A0" w:rsidRPr="00172738">
        <w:rPr>
          <w:rFonts w:ascii="Arial" w:hAnsi="Arial" w:cs="Arial"/>
          <w:bCs/>
          <w:sz w:val="22"/>
          <w:lang w:eastAsia="es-CO"/>
        </w:rPr>
        <w:t xml:space="preserve">el parágrafo del artículo 38 de la Ley 996 de 2005 prohíbe a los alcaldes, gobernadores, secretarios, gerentes y directores de las </w:t>
      </w:r>
      <w:r w:rsidR="00AC55A0" w:rsidRPr="00C0127C">
        <w:rPr>
          <w:rFonts w:ascii="Arial" w:hAnsi="Arial" w:cs="Arial"/>
          <w:bCs/>
          <w:sz w:val="22"/>
          <w:lang w:eastAsia="es-CO"/>
        </w:rPr>
        <w:t>entidades del orden municipal,</w:t>
      </w:r>
      <w:r w:rsidR="00AC55A0" w:rsidRPr="00172738">
        <w:rPr>
          <w:rFonts w:ascii="Arial" w:hAnsi="Arial" w:cs="Arial"/>
          <w:bCs/>
          <w:sz w:val="22"/>
          <w:lang w:eastAsia="es-CO"/>
        </w:rPr>
        <w:t xml:space="preserve"> departamental o distrital celebrar convenios y contratos interadministrativos para la ejecución de recursos públicos.</w:t>
      </w:r>
      <w:r w:rsidR="009670B6" w:rsidRPr="0002576C">
        <w:rPr>
          <w:rFonts w:ascii="Arial" w:hAnsi="Arial" w:cs="Arial"/>
          <w:bCs/>
          <w:color w:val="FF0000"/>
          <w:sz w:val="22"/>
          <w:lang w:eastAsia="es-CO"/>
        </w:rPr>
        <w:t xml:space="preserve"> </w:t>
      </w:r>
      <w:r w:rsidR="00FF0754" w:rsidRPr="0002576C">
        <w:rPr>
          <w:rFonts w:ascii="Arial" w:hAnsi="Arial" w:cs="Arial"/>
          <w:bCs/>
          <w:color w:val="FF0000"/>
          <w:sz w:val="22"/>
          <w:lang w:eastAsia="es-CO"/>
        </w:rPr>
        <w:t xml:space="preserve"> </w:t>
      </w:r>
      <w:r w:rsidR="009670B6" w:rsidRPr="003779A1">
        <w:rPr>
          <w:rFonts w:ascii="Arial" w:hAnsi="Arial" w:cs="Arial"/>
          <w:bCs/>
          <w:sz w:val="22"/>
          <w:lang w:eastAsia="es-CO"/>
        </w:rPr>
        <w:t xml:space="preserve">La </w:t>
      </w:r>
      <w:r w:rsidR="00AC55A0" w:rsidRPr="003779A1">
        <w:rPr>
          <w:rFonts w:ascii="Arial" w:hAnsi="Arial" w:cs="Arial"/>
          <w:bCs/>
          <w:sz w:val="22"/>
          <w:lang w:eastAsia="es-CO"/>
        </w:rPr>
        <w:t>citada disposición hace referencia a dicha tipología contractual sin que el legislador hubiere contemplado excepción alguna frente a la modalidad de selección o naturaleza de su objeto.</w:t>
      </w:r>
      <w:r w:rsidR="00E66774" w:rsidRPr="003779A1">
        <w:rPr>
          <w:rFonts w:ascii="Arial" w:eastAsia="Times New Roman" w:hAnsi="Arial" w:cs="Arial"/>
          <w:bCs/>
          <w:sz w:val="22"/>
          <w:lang w:eastAsia="es-CO"/>
        </w:rPr>
        <w:t xml:space="preserve"> De esta manera, </w:t>
      </w:r>
      <w:r w:rsidR="00E66774" w:rsidRPr="007F77C7">
        <w:rPr>
          <w:rFonts w:ascii="Arial" w:eastAsia="Times New Roman" w:hAnsi="Arial" w:cs="Arial"/>
          <w:bCs/>
          <w:sz w:val="22"/>
          <w:u w:val="single"/>
          <w:lang w:eastAsia="es-CO"/>
        </w:rPr>
        <w:t>la prohibición aplica a todos los contratos interadministrativos con independencia de que estén o no precedidos de un procedimiento de selección con pluralidad de oferentes</w:t>
      </w:r>
      <w:r w:rsidR="00E66774" w:rsidRPr="003779A1">
        <w:rPr>
          <w:rFonts w:ascii="Arial" w:eastAsia="Times New Roman" w:hAnsi="Arial" w:cs="Arial"/>
          <w:bCs/>
          <w:sz w:val="22"/>
          <w:lang w:eastAsia="es-CO"/>
        </w:rPr>
        <w:t xml:space="preserve">. </w:t>
      </w:r>
      <w:r w:rsidR="002C60AB" w:rsidRPr="003779A1">
        <w:rPr>
          <w:rFonts w:ascii="Arial" w:eastAsia="Times New Roman" w:hAnsi="Arial" w:cs="Arial"/>
          <w:bCs/>
          <w:sz w:val="22"/>
          <w:lang w:eastAsia="es-CO"/>
        </w:rPr>
        <w:t>Esto por cuanto, como se indicó, el contrato o convenio interadministrativo no se define por la modalidad de selección</w:t>
      </w:r>
      <w:r w:rsidR="001B4932" w:rsidRPr="003779A1">
        <w:rPr>
          <w:rFonts w:ascii="Arial" w:eastAsia="Times New Roman" w:hAnsi="Arial" w:cs="Arial"/>
          <w:bCs/>
          <w:sz w:val="22"/>
          <w:lang w:eastAsia="es-CO"/>
        </w:rPr>
        <w:t>, sino por la naturaleza pública de quienes lo celebran, es decir, por un criterio orgánico.</w:t>
      </w:r>
      <w:r w:rsidR="00D42B73" w:rsidRPr="003779A1">
        <w:rPr>
          <w:rFonts w:ascii="Arial" w:eastAsia="Times New Roman" w:hAnsi="Arial" w:cs="Arial"/>
          <w:bCs/>
          <w:sz w:val="22"/>
          <w:lang w:eastAsia="es-CO"/>
        </w:rPr>
        <w:t xml:space="preserve"> </w:t>
      </w:r>
      <w:r w:rsidR="00D42B73" w:rsidRPr="00F7301F">
        <w:rPr>
          <w:rFonts w:ascii="Arial" w:eastAsia="Times New Roman" w:hAnsi="Arial" w:cs="Arial"/>
          <w:bCs/>
          <w:sz w:val="22"/>
          <w:u w:val="single"/>
          <w:lang w:eastAsia="es-CO"/>
        </w:rPr>
        <w:t>En todo caso se reitera el carácter de interpretación restrictiva que tienen las restricciones previstas en la Ley de Garantías</w:t>
      </w:r>
      <w:r w:rsidR="00D42B73" w:rsidRPr="003779A1">
        <w:rPr>
          <w:rFonts w:ascii="Arial" w:eastAsia="Times New Roman" w:hAnsi="Arial" w:cs="Arial"/>
          <w:bCs/>
          <w:sz w:val="22"/>
          <w:lang w:eastAsia="es-CO"/>
        </w:rPr>
        <w:t xml:space="preserve">. </w:t>
      </w:r>
      <w:r w:rsidR="00E66774" w:rsidRPr="003779A1">
        <w:rPr>
          <w:rFonts w:ascii="Arial" w:eastAsia="Calibri" w:hAnsi="Arial" w:cs="Arial"/>
          <w:sz w:val="22"/>
        </w:rPr>
        <w:t> </w:t>
      </w:r>
      <w:bookmarkEnd w:id="31"/>
    </w:p>
    <w:p w14:paraId="4445509A" w14:textId="77777777" w:rsidR="00F7301F" w:rsidRDefault="00F7301F" w:rsidP="00E66774">
      <w:pPr>
        <w:tabs>
          <w:tab w:val="left" w:pos="426"/>
        </w:tabs>
        <w:spacing w:after="120" w:line="276" w:lineRule="auto"/>
        <w:ind w:firstLine="709"/>
        <w:jc w:val="both"/>
        <w:rPr>
          <w:rFonts w:ascii="Arial" w:eastAsia="Calibri" w:hAnsi="Arial" w:cs="Arial"/>
          <w:sz w:val="22"/>
        </w:rPr>
      </w:pPr>
    </w:p>
    <w:p w14:paraId="110A54D2" w14:textId="77777777" w:rsidR="00E6041F" w:rsidRPr="00E6041F" w:rsidRDefault="00F7301F" w:rsidP="00E6041F">
      <w:pPr>
        <w:autoSpaceDE w:val="0"/>
        <w:autoSpaceDN w:val="0"/>
        <w:adjustRightInd w:val="0"/>
        <w:spacing w:after="120" w:line="276" w:lineRule="auto"/>
        <w:jc w:val="both"/>
        <w:rPr>
          <w:rFonts w:ascii="Arial" w:hAnsi="Arial" w:cs="Arial"/>
          <w:sz w:val="22"/>
          <w:highlight w:val="yellow"/>
          <w:lang w:val="es-ES_tradnl"/>
        </w:rPr>
      </w:pPr>
      <w:r>
        <w:rPr>
          <w:rFonts w:ascii="Arial" w:eastAsia="Calibri" w:hAnsi="Arial" w:cs="Arial"/>
          <w:sz w:val="22"/>
        </w:rPr>
        <w:t xml:space="preserve">Ahora bien, es menester de esta Agencia referirse al </w:t>
      </w:r>
      <w:r w:rsidR="00961221">
        <w:rPr>
          <w:rFonts w:ascii="Arial" w:eastAsia="Calibri" w:hAnsi="Arial" w:cs="Arial"/>
          <w:sz w:val="22"/>
        </w:rPr>
        <w:t xml:space="preserve">régimen </w:t>
      </w:r>
      <w:r w:rsidR="00557A62" w:rsidRPr="00557A62">
        <w:rPr>
          <w:rFonts w:ascii="Arial" w:eastAsia="Calibri" w:hAnsi="Arial" w:cs="Arial"/>
          <w:sz w:val="22"/>
        </w:rPr>
        <w:t>de las sociedades de economía mixta</w:t>
      </w:r>
      <w:r w:rsidR="00557A62">
        <w:rPr>
          <w:rFonts w:ascii="Arial" w:eastAsia="Calibri" w:hAnsi="Arial" w:cs="Arial"/>
          <w:sz w:val="22"/>
        </w:rPr>
        <w:t xml:space="preserve"> de cara a identificar </w:t>
      </w:r>
      <w:r w:rsidR="0080296C">
        <w:rPr>
          <w:rFonts w:ascii="Arial" w:eastAsia="Calibri" w:hAnsi="Arial" w:cs="Arial"/>
          <w:sz w:val="22"/>
        </w:rPr>
        <w:t>cualquier</w:t>
      </w:r>
      <w:r w:rsidR="004173D3">
        <w:rPr>
          <w:rFonts w:ascii="Arial" w:eastAsia="Calibri" w:hAnsi="Arial" w:cs="Arial"/>
          <w:sz w:val="22"/>
        </w:rPr>
        <w:t xml:space="preserve"> alcance de la restricción</w:t>
      </w:r>
      <w:r w:rsidR="00513A1B">
        <w:rPr>
          <w:rFonts w:ascii="Arial" w:eastAsia="Calibri" w:hAnsi="Arial" w:cs="Arial"/>
          <w:sz w:val="22"/>
        </w:rPr>
        <w:t>,</w:t>
      </w:r>
      <w:r w:rsidR="004173D3">
        <w:rPr>
          <w:rFonts w:ascii="Arial" w:eastAsia="Calibri" w:hAnsi="Arial" w:cs="Arial"/>
          <w:sz w:val="22"/>
        </w:rPr>
        <w:t xml:space="preserve"> prevista en el parágrafo del </w:t>
      </w:r>
      <w:r w:rsidR="00337B57">
        <w:rPr>
          <w:rFonts w:ascii="Arial" w:eastAsia="Calibri" w:hAnsi="Arial" w:cs="Arial"/>
          <w:sz w:val="22"/>
        </w:rPr>
        <w:t xml:space="preserve">artículo 38 de la Ley de </w:t>
      </w:r>
      <w:r w:rsidR="00513A1B">
        <w:rPr>
          <w:rFonts w:ascii="Arial" w:eastAsia="Calibri" w:hAnsi="Arial" w:cs="Arial"/>
          <w:sz w:val="22"/>
        </w:rPr>
        <w:t xml:space="preserve">Garantías, sobre las mismas. </w:t>
      </w:r>
      <w:r w:rsidR="00E6041F" w:rsidRPr="005D7E48">
        <w:rPr>
          <w:rFonts w:ascii="Arial" w:hAnsi="Arial" w:cs="Arial"/>
          <w:color w:val="000000" w:themeColor="text1"/>
          <w:sz w:val="22"/>
          <w:lang w:val="es-ES_tradnl"/>
        </w:rPr>
        <w:t>En nuestro ordenamiento jurídico, el</w:t>
      </w:r>
      <w:r w:rsidR="00E6041F" w:rsidRPr="005D7E48">
        <w:rPr>
          <w:rFonts w:ascii="Arial" w:hAnsi="Arial" w:cs="Arial"/>
          <w:sz w:val="22"/>
          <w:lang w:val="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5464B2B0" w14:textId="77777777" w:rsidR="00E6041F" w:rsidRPr="00E6041F" w:rsidRDefault="00E6041F" w:rsidP="00E6041F">
      <w:pPr>
        <w:spacing w:after="120" w:line="276" w:lineRule="auto"/>
        <w:ind w:firstLine="709"/>
        <w:jc w:val="both"/>
        <w:textAlignment w:val="baseline"/>
        <w:rPr>
          <w:rFonts w:ascii="Arial" w:eastAsia="Times New Roman" w:hAnsi="Arial" w:cs="Arial"/>
          <w:sz w:val="22"/>
          <w:highlight w:val="yellow"/>
          <w:lang w:val="es-ES_tradnl" w:eastAsia="es-MX"/>
        </w:rPr>
      </w:pPr>
      <w:r w:rsidRPr="00E6041F">
        <w:rPr>
          <w:rFonts w:ascii="Arial" w:eastAsia="Times New Roman" w:hAnsi="Arial" w:cs="Arial"/>
          <w:sz w:val="22"/>
          <w:lang w:val="es-ES_tradnl" w:eastAsia="es-MX"/>
        </w:rPr>
        <w:t>En este sentido, la misma Ley, en los artículos 38 y 68, clasifica a las sociedades de economía mixta como entidades descentralizadas por servicios, con personería jurídica, autonomía administrativa y patrimonio propio</w:t>
      </w:r>
      <w:r w:rsidRPr="00E6041F">
        <w:rPr>
          <w:rFonts w:ascii="Arial" w:eastAsia="Times New Roman" w:hAnsi="Arial" w:cs="Arial"/>
          <w:sz w:val="22"/>
          <w:vertAlign w:val="superscript"/>
          <w:lang w:val="es-ES_tradnl" w:eastAsia="es-MX"/>
        </w:rPr>
        <w:footnoteReference w:id="21"/>
      </w:r>
      <w:r w:rsidRPr="00E6041F">
        <w:rPr>
          <w:rFonts w:ascii="Arial" w:eastAsia="Times New Roman" w:hAnsi="Arial" w:cs="Arial"/>
          <w:sz w:val="22"/>
          <w:lang w:val="es-ES_tradnl" w:eastAsia="es-MX"/>
        </w:rPr>
        <w:t>, que pueden ser del orden nacional, departamental o municipal, según su órgano de creación</w:t>
      </w:r>
      <w:r w:rsidRPr="00E6041F">
        <w:rPr>
          <w:rFonts w:ascii="Arial" w:eastAsia="Times New Roman" w:hAnsi="Arial" w:cs="Arial"/>
          <w:sz w:val="22"/>
          <w:vertAlign w:val="superscript"/>
          <w:lang w:val="es-ES_tradnl" w:eastAsia="es-MX"/>
        </w:rPr>
        <w:footnoteReference w:id="22"/>
      </w:r>
      <w:r w:rsidRPr="00E6041F">
        <w:rPr>
          <w:rFonts w:ascii="Arial" w:eastAsia="Times New Roman" w:hAnsi="Arial" w:cs="Arial"/>
          <w:sz w:val="22"/>
          <w:lang w:val="es-ES_tradnl" w:eastAsia="es-MX"/>
        </w:rPr>
        <w:t xml:space="preserve">. Al respecto, la Corte Constitucional, en sentencias C-736 del 19 de septiembre de 2007, C-118 del 14 de noviembre de 2018 y C-306 del 10 de julio de 2019, ha considerado que las sociedades estudiadas, desde una perspectiva constitucional, se caracterizan por los siguientes aspectos: i) pertenecen a la rama ejecutiva del poder público, como manifestación de la descentralización por servicios. Así mismo, ii) están sujetas al control fiscal, financiero, de gestión y de resultados en cabeza de la Contraloría General de la República. Por otra parte, iii) se someten al control político, que ejerce directamente el Congreso de la República. Además, iv) en el caso de las sociedades de economía mixta del orden nacional, le corresponde al Congreso de la República su creación o autorización mediante ley. En cambio, v) en el caso de los órdenes departamental y municipal, esta misma facultad se les reconoce a las asambleas y concejos. Adicionalmente, vi) a todas las sociedades de economía mixta les son aplicables las inhabilidades para la integración de órganos directivos a que aluden los artículos 180- 3, 292 y 323 de la Constitución Política. A lo anterior debe agregarse que, vii) en materia presupuestal, las sociedades de economía mixta quedan sujetas a las reglas de la ley orgánica del presupuesto. De otro lado, viii) en materia contable, quedan vinculadas a las reglas de contabilidad oficial. </w:t>
      </w:r>
      <w:r w:rsidRPr="00E6041F">
        <w:rPr>
          <w:rFonts w:ascii="Arial" w:eastAsia="Times New Roman" w:hAnsi="Arial" w:cs="Arial"/>
          <w:sz w:val="22"/>
          <w:u w:val="single"/>
          <w:lang w:val="es-ES_tradnl" w:eastAsia="es-MX"/>
        </w:rPr>
        <w:t>Además, ix) se rigen por el derecho privado, en virtud de la naturaleza de las actividades que desarrollan.</w:t>
      </w:r>
      <w:r w:rsidRPr="00E6041F">
        <w:rPr>
          <w:rFonts w:ascii="Arial" w:eastAsia="Times New Roman" w:hAnsi="Arial" w:cs="Arial"/>
          <w:sz w:val="22"/>
          <w:lang w:val="es-ES_tradnl" w:eastAsia="es-MX"/>
        </w:rPr>
        <w:t xml:space="preserve">  </w:t>
      </w:r>
    </w:p>
    <w:p w14:paraId="3627DED5" w14:textId="77777777" w:rsidR="00E6041F" w:rsidRPr="00E6041F" w:rsidRDefault="00E6041F" w:rsidP="00E6041F">
      <w:pPr>
        <w:spacing w:after="120" w:line="276" w:lineRule="auto"/>
        <w:ind w:firstLine="709"/>
        <w:jc w:val="both"/>
        <w:textAlignment w:val="baseline"/>
        <w:rPr>
          <w:rFonts w:ascii="Arial" w:eastAsia="Times New Roman" w:hAnsi="Arial" w:cs="Arial"/>
          <w:sz w:val="22"/>
          <w:highlight w:val="yellow"/>
          <w:lang w:val="es-ES_tradnl" w:eastAsia="es-MX"/>
        </w:rPr>
      </w:pPr>
      <w:r w:rsidRPr="00E6041F">
        <w:rPr>
          <w:rFonts w:ascii="Arial" w:eastAsia="Times New Roman" w:hAnsi="Arial" w:cs="Arial"/>
          <w:sz w:val="22"/>
          <w:lang w:val="es-ES_tradnl" w:eastAsia="es-MX"/>
        </w:rPr>
        <w:t xml:space="preserve">Sin embargo, este Alto Tribunal, en sentencia C-529 del 12 de julio de 2006, hizo énfasis en que, a pesar del sometimiento al régimen jurídico de derecho privado para el desarrollo de sus actividades, </w:t>
      </w:r>
      <w:r w:rsidRPr="00E6041F">
        <w:rPr>
          <w:rFonts w:ascii="Arial" w:eastAsia="Times New Roman" w:hAnsi="Arial" w:cs="Arial"/>
          <w:sz w:val="22"/>
          <w:u w:val="single"/>
          <w:lang w:val="es-ES_tradnl" w:eastAsia="es-MX"/>
        </w:rPr>
        <w:t>las sociedades de economía mixta no pierden su carácter de expresión organizacional de la actividad estatal</w:t>
      </w:r>
      <w:r w:rsidRPr="00E6041F">
        <w:rPr>
          <w:rFonts w:ascii="Arial" w:eastAsia="Times New Roman" w:hAnsi="Arial" w:cs="Arial"/>
          <w:sz w:val="22"/>
          <w:vertAlign w:val="superscript"/>
          <w:lang w:val="es-ES_tradnl" w:eastAsia="es-MX"/>
        </w:rPr>
        <w:footnoteReference w:id="23"/>
      </w:r>
      <w:r w:rsidRPr="00E6041F">
        <w:rPr>
          <w:rFonts w:ascii="Arial" w:eastAsia="Times New Roman" w:hAnsi="Arial" w:cs="Arial"/>
          <w:sz w:val="22"/>
          <w:lang w:val="es-ES_tradnl" w:eastAsia="es-MX"/>
        </w:rPr>
        <w:t xml:space="preserve">, más precisamente de la </w:t>
      </w:r>
      <w:r w:rsidRPr="00E6041F">
        <w:rPr>
          <w:rFonts w:ascii="Arial" w:eastAsia="Times New Roman" w:hAnsi="Arial" w:cs="Arial"/>
          <w:sz w:val="22"/>
          <w:u w:val="single"/>
          <w:lang w:val="es-ES_tradnl" w:eastAsia="es-MX"/>
        </w:rPr>
        <w:t>función administrativa</w:t>
      </w:r>
      <w:r w:rsidRPr="00E6041F">
        <w:rPr>
          <w:rFonts w:ascii="Arial" w:eastAsia="Times New Roman" w:hAnsi="Arial" w:cs="Arial"/>
          <w:sz w:val="22"/>
          <w:vertAlign w:val="superscript"/>
          <w:lang w:val="es-ES_tradnl" w:eastAsia="es-MX"/>
        </w:rPr>
        <w:footnoteReference w:id="24"/>
      </w:r>
      <w:r w:rsidRPr="00E6041F">
        <w:rPr>
          <w:rFonts w:ascii="Arial" w:eastAsia="Times New Roman" w:hAnsi="Arial" w:cs="Arial"/>
          <w:sz w:val="22"/>
          <w:lang w:val="es-ES_tradnl" w:eastAsia="es-MX"/>
        </w:rPr>
        <w:t>, en virtud del aporte público en la constitución del capital social y la consiguiente pertenencia a la administración pública, en la condición de entidades descentralizadas.</w:t>
      </w:r>
    </w:p>
    <w:p w14:paraId="329C6380" w14:textId="77777777" w:rsidR="00E6041F" w:rsidRPr="00E6041F" w:rsidRDefault="00E6041F" w:rsidP="00E6041F">
      <w:pPr>
        <w:spacing w:line="276" w:lineRule="auto"/>
        <w:ind w:firstLine="709"/>
        <w:jc w:val="both"/>
        <w:textAlignment w:val="baseline"/>
        <w:rPr>
          <w:rFonts w:ascii="Arial" w:eastAsia="Times New Roman" w:hAnsi="Arial" w:cs="Arial"/>
          <w:sz w:val="22"/>
          <w:lang w:val="es-ES_tradnl" w:eastAsia="es-MX"/>
        </w:rPr>
      </w:pPr>
      <w:r w:rsidRPr="00E6041F">
        <w:rPr>
          <w:rFonts w:ascii="Arial" w:eastAsia="Times New Roman" w:hAnsi="Arial" w:cs="Arial"/>
          <w:sz w:val="22"/>
          <w:lang w:val="es-ES_tradnl" w:eastAsia="es-MX"/>
        </w:rPr>
        <w:t xml:space="preserve">Así las cosas,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 Ahora bien, también resulta importante señalar que el artículo 14 de la Ley 1150 de 2007 –modificado por el artículo 93 de la Ley 1474 de 2011– establece el régimen contractual de las sociedades de economía mixta, en las que el Estado tenga participación superior al cincuenta por ciento, señalando que: </w:t>
      </w:r>
    </w:p>
    <w:p w14:paraId="34A20256" w14:textId="77777777" w:rsidR="00E6041F" w:rsidRPr="00E6041F" w:rsidRDefault="00E6041F" w:rsidP="00E6041F">
      <w:pPr>
        <w:spacing w:line="276" w:lineRule="auto"/>
        <w:ind w:firstLine="709"/>
        <w:jc w:val="both"/>
        <w:textAlignment w:val="baseline"/>
        <w:rPr>
          <w:rFonts w:ascii="Arial" w:eastAsia="Times New Roman" w:hAnsi="Arial" w:cs="Arial"/>
          <w:sz w:val="22"/>
          <w:highlight w:val="yellow"/>
          <w:lang w:val="es-ES_tradnl" w:eastAsia="es-MX"/>
        </w:rPr>
      </w:pPr>
    </w:p>
    <w:p w14:paraId="4640791B" w14:textId="77777777" w:rsidR="00E6041F" w:rsidRPr="00E6041F" w:rsidRDefault="00E6041F" w:rsidP="00E6041F">
      <w:pPr>
        <w:ind w:left="709" w:right="709"/>
        <w:jc w:val="both"/>
        <w:textAlignment w:val="baseline"/>
        <w:rPr>
          <w:rFonts w:ascii="Arial" w:eastAsia="Times New Roman" w:hAnsi="Arial" w:cs="Arial"/>
          <w:sz w:val="21"/>
          <w:szCs w:val="21"/>
          <w:lang w:val="es-ES_tradnl" w:eastAsia="es-MX"/>
        </w:rPr>
      </w:pPr>
      <w:r w:rsidRPr="00E6041F">
        <w:rPr>
          <w:rFonts w:ascii="Arial" w:eastAsia="Times New Roman" w:hAnsi="Arial" w:cs="Arial"/>
          <w:sz w:val="21"/>
          <w:szCs w:val="21"/>
          <w:lang w:val="es-ES_tradnl" w:eastAsia="es-MX"/>
        </w:rPr>
        <w:t>Artículo 14. DEL RÉGIMEN CONTRACTUAL DE LAS EMPRESAS INDUSTRIALES Y COMERCIALES DEL ESTADO, LAS SOCIEDADES DE ECONOMÍA MIXTA, SUS FILIALES Y EMPRESAS CON PARTICIPACIÓN MAYORITARIA DEL ESTADO. &lt;Artículo modificado por el artículo 93 de la Ley 1474 de 2011. El nuevo texto es el siguiente:&gt;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14:paraId="3272CECF" w14:textId="77777777" w:rsidR="00E6041F" w:rsidRPr="00E6041F" w:rsidRDefault="00E6041F" w:rsidP="00E6041F">
      <w:pPr>
        <w:spacing w:line="276" w:lineRule="auto"/>
        <w:ind w:firstLine="709"/>
        <w:jc w:val="both"/>
        <w:textAlignment w:val="baseline"/>
        <w:rPr>
          <w:rFonts w:ascii="Arial" w:eastAsia="Times New Roman" w:hAnsi="Arial" w:cs="Arial"/>
          <w:sz w:val="22"/>
          <w:highlight w:val="yellow"/>
          <w:lang w:val="es-ES_tradnl" w:eastAsia="es-MX"/>
        </w:rPr>
      </w:pPr>
    </w:p>
    <w:p w14:paraId="7974B868" w14:textId="20D93C1A" w:rsidR="00E6041F" w:rsidRDefault="00E6041F" w:rsidP="00E6041F">
      <w:pPr>
        <w:spacing w:line="276" w:lineRule="auto"/>
        <w:ind w:firstLine="709"/>
        <w:jc w:val="both"/>
        <w:textAlignment w:val="baseline"/>
        <w:rPr>
          <w:rFonts w:ascii="Arial" w:eastAsia="Times New Roman" w:hAnsi="Arial" w:cs="Arial"/>
          <w:sz w:val="22"/>
          <w:lang w:val="es-ES_tradnl" w:eastAsia="es-MX"/>
        </w:rPr>
      </w:pPr>
      <w:r w:rsidRPr="00E6041F">
        <w:rPr>
          <w:rFonts w:ascii="Arial" w:eastAsia="Times New Roman" w:hAnsi="Arial" w:cs="Arial"/>
          <w:sz w:val="22"/>
          <w:lang w:val="es-ES_tradnl" w:eastAsia="es-MX"/>
        </w:rPr>
        <w:t xml:space="preserve">Teniendo en cuenta el contexto anterior, atendiendo a que la pregunta del peticionario está relacionada con el alcance de la </w:t>
      </w:r>
      <w:r w:rsidR="00DE0749" w:rsidRPr="00E6041F">
        <w:rPr>
          <w:rFonts w:ascii="Arial" w:eastAsia="Times New Roman" w:hAnsi="Arial" w:cs="Arial"/>
          <w:sz w:val="22"/>
          <w:lang w:val="es-ES_tradnl" w:eastAsia="es-MX"/>
        </w:rPr>
        <w:t>prohibición</w:t>
      </w:r>
      <w:r w:rsidRPr="00E6041F">
        <w:rPr>
          <w:rFonts w:ascii="Arial" w:eastAsia="Times New Roman" w:hAnsi="Arial" w:cs="Arial"/>
          <w:sz w:val="22"/>
          <w:lang w:val="es-ES_tradnl" w:eastAsia="es-MX"/>
        </w:rPr>
        <w:t xml:space="preserve"> en materia contractual establecida en </w:t>
      </w:r>
      <w:r w:rsidR="00651584">
        <w:rPr>
          <w:rFonts w:ascii="Arial" w:eastAsia="Times New Roman" w:hAnsi="Arial" w:cs="Arial"/>
          <w:sz w:val="22"/>
          <w:lang w:val="es-ES_tradnl" w:eastAsia="es-MX"/>
        </w:rPr>
        <w:t xml:space="preserve"> el parágrafo del artículo 38 de </w:t>
      </w:r>
      <w:r w:rsidRPr="00E6041F">
        <w:rPr>
          <w:rFonts w:ascii="Arial" w:eastAsia="Times New Roman" w:hAnsi="Arial" w:cs="Arial"/>
          <w:sz w:val="22"/>
          <w:lang w:val="es-ES_tradnl" w:eastAsia="es-MX"/>
        </w:rPr>
        <w:t xml:space="preserve">la ley 996 de 2005 –Ley de Garantías Electorales–, </w:t>
      </w:r>
      <w:r w:rsidR="00C7688C">
        <w:rPr>
          <w:rFonts w:ascii="Arial" w:eastAsia="Times New Roman" w:hAnsi="Arial" w:cs="Arial"/>
          <w:sz w:val="22"/>
          <w:lang w:val="es-ES_tradnl" w:eastAsia="es-MX"/>
        </w:rPr>
        <w:t xml:space="preserve">es relevante mencionar que dicha </w:t>
      </w:r>
      <w:bookmarkStart w:id="32" w:name="_Hlk134101113"/>
      <w:r w:rsidR="00C7688C">
        <w:rPr>
          <w:rFonts w:ascii="Arial" w:eastAsia="Times New Roman" w:hAnsi="Arial" w:cs="Arial"/>
          <w:sz w:val="22"/>
          <w:lang w:val="es-ES_tradnl" w:eastAsia="es-MX"/>
        </w:rPr>
        <w:t xml:space="preserve">restricción se extenderá </w:t>
      </w:r>
      <w:r w:rsidR="006F68F2">
        <w:rPr>
          <w:rFonts w:ascii="Arial" w:eastAsia="Times New Roman" w:hAnsi="Arial" w:cs="Arial"/>
          <w:sz w:val="22"/>
          <w:lang w:val="es-ES_tradnl" w:eastAsia="es-MX"/>
        </w:rPr>
        <w:t xml:space="preserve">a las </w:t>
      </w:r>
      <w:r w:rsidR="00E814E2" w:rsidRPr="00E814E2">
        <w:rPr>
          <w:rFonts w:ascii="Arial" w:eastAsia="Times New Roman" w:hAnsi="Arial" w:cs="Arial"/>
          <w:sz w:val="22"/>
          <w:lang w:val="es-ES_tradnl" w:eastAsia="es-MX"/>
        </w:rPr>
        <w:t>sociedades de economía mixta</w:t>
      </w:r>
      <w:r w:rsidR="00E814E2">
        <w:rPr>
          <w:rFonts w:ascii="Arial" w:eastAsia="Times New Roman" w:hAnsi="Arial" w:cs="Arial"/>
          <w:sz w:val="22"/>
          <w:lang w:val="es-ES_tradnl" w:eastAsia="es-MX"/>
        </w:rPr>
        <w:t xml:space="preserve"> </w:t>
      </w:r>
      <w:r w:rsidR="00E814E2" w:rsidRPr="00651584">
        <w:rPr>
          <w:rFonts w:ascii="Arial" w:eastAsia="Times New Roman" w:hAnsi="Arial" w:cs="Arial"/>
          <w:sz w:val="22"/>
          <w:u w:val="single"/>
          <w:lang w:val="es-ES_tradnl" w:eastAsia="es-MX"/>
        </w:rPr>
        <w:t>solo</w:t>
      </w:r>
      <w:r w:rsidR="00E814E2">
        <w:rPr>
          <w:rFonts w:ascii="Arial" w:eastAsia="Times New Roman" w:hAnsi="Arial" w:cs="Arial"/>
          <w:sz w:val="22"/>
          <w:lang w:val="es-ES_tradnl" w:eastAsia="es-MX"/>
        </w:rPr>
        <w:t xml:space="preserve"> en el evento en que estas celebren </w:t>
      </w:r>
      <w:r w:rsidR="0002161A" w:rsidRPr="0002161A">
        <w:rPr>
          <w:rFonts w:ascii="Arial" w:eastAsia="Times New Roman" w:hAnsi="Arial" w:cs="Arial"/>
          <w:sz w:val="22"/>
          <w:lang w:val="es-ES_tradnl" w:eastAsia="es-MX"/>
        </w:rPr>
        <w:t>convenios interadministrativos</w:t>
      </w:r>
      <w:r w:rsidR="00BB0A6A">
        <w:rPr>
          <w:rFonts w:ascii="Arial" w:eastAsia="Times New Roman" w:hAnsi="Arial" w:cs="Arial"/>
          <w:sz w:val="22"/>
          <w:lang w:val="es-ES_tradnl" w:eastAsia="es-MX"/>
        </w:rPr>
        <w:t xml:space="preserve"> con las entidades objeto de la restricción, estas son “</w:t>
      </w:r>
      <w:r w:rsidR="00BB76FC" w:rsidRPr="00BB76FC">
        <w:rPr>
          <w:rFonts w:ascii="Arial" w:eastAsia="Times New Roman" w:hAnsi="Arial" w:cs="Arial"/>
          <w:sz w:val="22"/>
          <w:lang w:val="es-ES_tradnl" w:eastAsia="es-MX"/>
        </w:rPr>
        <w:t>Los gobernadores, alcaldes municipales y/o distritales, secretarios, gerentes y directores de entidades descentralizadas del orden municipal, departamental o distrital</w:t>
      </w:r>
      <w:r w:rsidR="00BB76FC">
        <w:rPr>
          <w:rFonts w:ascii="Arial" w:eastAsia="Times New Roman" w:hAnsi="Arial" w:cs="Arial"/>
          <w:sz w:val="22"/>
          <w:lang w:val="es-ES_tradnl" w:eastAsia="es-MX"/>
        </w:rPr>
        <w:t>” y por el término de “</w:t>
      </w:r>
      <w:r w:rsidR="004C4963" w:rsidRPr="004C4963">
        <w:rPr>
          <w:rFonts w:ascii="Arial" w:eastAsia="Times New Roman" w:hAnsi="Arial" w:cs="Arial"/>
          <w:sz w:val="22"/>
          <w:lang w:val="es-ES_tradnl" w:eastAsia="es-MX"/>
        </w:rPr>
        <w:t>cuatro (4) meses anteriores a las elecciones</w:t>
      </w:r>
      <w:r w:rsidR="004C4963">
        <w:rPr>
          <w:rFonts w:ascii="Arial" w:eastAsia="Times New Roman" w:hAnsi="Arial" w:cs="Arial"/>
          <w:sz w:val="22"/>
          <w:lang w:val="es-ES_tradnl" w:eastAsia="es-MX"/>
        </w:rPr>
        <w:t xml:space="preserve">” por los demás, y de cara a las próximas elecciones del </w:t>
      </w:r>
      <w:r w:rsidR="00445A79">
        <w:rPr>
          <w:rFonts w:ascii="Arial" w:eastAsia="Times New Roman" w:hAnsi="Arial" w:cs="Arial"/>
          <w:sz w:val="22"/>
          <w:lang w:val="es-ES_tradnl" w:eastAsia="es-MX"/>
        </w:rPr>
        <w:t>29 de octubre de 2023</w:t>
      </w:r>
      <w:r w:rsidR="00BD7D25">
        <w:rPr>
          <w:rFonts w:ascii="Arial" w:eastAsia="Times New Roman" w:hAnsi="Arial" w:cs="Arial"/>
          <w:sz w:val="22"/>
          <w:lang w:val="es-ES_tradnl" w:eastAsia="es-MX"/>
        </w:rPr>
        <w:t xml:space="preserve">, no será aplicable la mencionada restricción a las </w:t>
      </w:r>
      <w:r w:rsidR="00BD7D25" w:rsidRPr="00BD7D25">
        <w:rPr>
          <w:rFonts w:ascii="Arial" w:eastAsia="Times New Roman" w:hAnsi="Arial" w:cs="Arial"/>
          <w:sz w:val="22"/>
          <w:lang w:val="es-ES_tradnl" w:eastAsia="es-MX"/>
        </w:rPr>
        <w:t>sociedades de economía mixta</w:t>
      </w:r>
      <w:r w:rsidR="00BD7D25">
        <w:rPr>
          <w:rFonts w:ascii="Arial" w:eastAsia="Times New Roman" w:hAnsi="Arial" w:cs="Arial"/>
          <w:sz w:val="22"/>
          <w:lang w:val="es-ES_tradnl" w:eastAsia="es-MX"/>
        </w:rPr>
        <w:t xml:space="preserve">, así por ejemplo, </w:t>
      </w:r>
      <w:r w:rsidR="00E205A6">
        <w:rPr>
          <w:rFonts w:ascii="Arial" w:eastAsia="Times New Roman" w:hAnsi="Arial" w:cs="Arial"/>
          <w:sz w:val="22"/>
          <w:lang w:val="es-ES_tradnl" w:eastAsia="es-MX"/>
        </w:rPr>
        <w:t xml:space="preserve">estas sociedades podrán celebrar, libremente, contratos o convenios interadministrativos con entidades del orden </w:t>
      </w:r>
      <w:r w:rsidR="00992EE2">
        <w:rPr>
          <w:rFonts w:ascii="Arial" w:eastAsia="Times New Roman" w:hAnsi="Arial" w:cs="Arial"/>
          <w:sz w:val="22"/>
          <w:lang w:val="es-ES_tradnl" w:eastAsia="es-MX"/>
        </w:rPr>
        <w:t xml:space="preserve">nacional. </w:t>
      </w:r>
    </w:p>
    <w:p w14:paraId="1E3A20D2" w14:textId="77777777" w:rsidR="007129C6" w:rsidRDefault="007129C6" w:rsidP="00E6041F">
      <w:pPr>
        <w:spacing w:line="276" w:lineRule="auto"/>
        <w:ind w:firstLine="709"/>
        <w:jc w:val="both"/>
        <w:textAlignment w:val="baseline"/>
        <w:rPr>
          <w:rFonts w:ascii="Arial" w:eastAsia="Times New Roman" w:hAnsi="Arial" w:cs="Arial"/>
          <w:sz w:val="22"/>
          <w:lang w:val="es-ES_tradnl" w:eastAsia="es-MX"/>
        </w:rPr>
      </w:pPr>
    </w:p>
    <w:bookmarkEnd w:id="20"/>
    <w:bookmarkEnd w:id="32"/>
    <w:p w14:paraId="6844AFA7" w14:textId="77777777" w:rsidR="00AC55A0" w:rsidRPr="007A0C25" w:rsidRDefault="00AC55A0" w:rsidP="00AC55A0">
      <w:pPr>
        <w:tabs>
          <w:tab w:val="left" w:pos="426"/>
        </w:tabs>
        <w:spacing w:line="276" w:lineRule="auto"/>
        <w:jc w:val="both"/>
        <w:rPr>
          <w:rFonts w:ascii="Arial" w:eastAsia="Calibri" w:hAnsi="Arial" w:cs="Arial"/>
          <w:sz w:val="22"/>
        </w:rPr>
      </w:pPr>
    </w:p>
    <w:p w14:paraId="2E13881D" w14:textId="77777777" w:rsidR="00AC55A0" w:rsidRPr="007A0C25" w:rsidRDefault="00AC55A0" w:rsidP="00AC55A0">
      <w:pPr>
        <w:spacing w:line="276" w:lineRule="auto"/>
        <w:ind w:right="79"/>
        <w:jc w:val="both"/>
        <w:rPr>
          <w:rFonts w:ascii="Arial" w:eastAsia="Calibri" w:hAnsi="Arial" w:cs="Arial"/>
          <w:b/>
          <w:noProof/>
          <w:sz w:val="22"/>
          <w:lang w:val="es-ES_tradnl"/>
        </w:rPr>
      </w:pPr>
      <w:bookmarkStart w:id="33" w:name="_1y810tw" w:colFirst="0" w:colLast="0"/>
      <w:bookmarkStart w:id="34" w:name="_2xcytpi" w:colFirst="0" w:colLast="0"/>
      <w:bookmarkStart w:id="35" w:name="_1ci93xb" w:colFirst="0" w:colLast="0"/>
      <w:bookmarkStart w:id="36" w:name="_3whwml4" w:colFirst="0" w:colLast="0"/>
      <w:bookmarkEnd w:id="33"/>
      <w:bookmarkEnd w:id="34"/>
      <w:bookmarkEnd w:id="35"/>
      <w:bookmarkEnd w:id="36"/>
      <w:r w:rsidRPr="007A0C25">
        <w:rPr>
          <w:rFonts w:ascii="Arial" w:eastAsia="Calibri" w:hAnsi="Arial" w:cs="Arial"/>
          <w:b/>
          <w:noProof/>
          <w:sz w:val="22"/>
          <w:lang w:val="es-ES_tradnl"/>
        </w:rPr>
        <w:t>3. Respuesta</w:t>
      </w:r>
    </w:p>
    <w:p w14:paraId="3E599056" w14:textId="77777777" w:rsidR="00AC55A0" w:rsidRPr="007A0C25" w:rsidRDefault="00AC55A0" w:rsidP="00AC55A0">
      <w:pPr>
        <w:spacing w:line="276" w:lineRule="auto"/>
        <w:ind w:right="79"/>
        <w:jc w:val="both"/>
        <w:rPr>
          <w:rFonts w:ascii="Arial" w:eastAsia="Calibri" w:hAnsi="Arial" w:cs="Arial"/>
          <w:b/>
          <w:noProof/>
          <w:sz w:val="22"/>
          <w:lang w:val="es-ES_tradnl"/>
        </w:rPr>
      </w:pPr>
    </w:p>
    <w:p w14:paraId="5106B25A" w14:textId="42873B5C" w:rsidR="00DF7863" w:rsidRPr="00DF7863" w:rsidRDefault="009A6868" w:rsidP="00DF7863">
      <w:pPr>
        <w:ind w:left="567" w:right="788"/>
        <w:contextualSpacing/>
        <w:jc w:val="both"/>
        <w:rPr>
          <w:rFonts w:ascii="Arial" w:hAnsi="Arial" w:cs="Arial"/>
          <w:sz w:val="21"/>
          <w:szCs w:val="21"/>
          <w:lang w:val="es-ES_tradnl"/>
        </w:rPr>
      </w:pPr>
      <w:r w:rsidRPr="009A6868">
        <w:rPr>
          <w:rFonts w:ascii="Arial" w:hAnsi="Arial" w:cs="Arial"/>
          <w:sz w:val="21"/>
          <w:szCs w:val="21"/>
          <w:lang w:val="es-ES_tradnl"/>
        </w:rPr>
        <w:t>“</w:t>
      </w:r>
      <w:r w:rsidR="00DF7863" w:rsidRPr="00DF7863">
        <w:rPr>
          <w:rFonts w:ascii="Arial" w:hAnsi="Arial" w:cs="Arial"/>
          <w:sz w:val="21"/>
          <w:szCs w:val="21"/>
          <w:lang w:val="es-ES_tradnl"/>
        </w:rPr>
        <w:t>Teniendo en cuenta que, en los próximos meses empezará a regir la LEY DE</w:t>
      </w:r>
    </w:p>
    <w:p w14:paraId="08F4F945" w14:textId="77777777" w:rsidR="00DF7863" w:rsidRPr="00DF7863" w:rsidRDefault="00DF7863" w:rsidP="00DF7863">
      <w:pPr>
        <w:ind w:left="567" w:right="788"/>
        <w:contextualSpacing/>
        <w:jc w:val="both"/>
        <w:rPr>
          <w:rFonts w:ascii="Arial" w:hAnsi="Arial" w:cs="Arial"/>
          <w:sz w:val="21"/>
          <w:szCs w:val="21"/>
          <w:lang w:val="es-ES_tradnl"/>
        </w:rPr>
      </w:pPr>
      <w:r w:rsidRPr="00DF7863">
        <w:rPr>
          <w:rFonts w:ascii="Arial" w:hAnsi="Arial" w:cs="Arial"/>
          <w:sz w:val="21"/>
          <w:szCs w:val="21"/>
          <w:lang w:val="es-ES_tradnl"/>
        </w:rPr>
        <w:t>GARANTÍAS, elecciones de gobernadores, alcaldes, diputados, concejales y ediles</w:t>
      </w:r>
    </w:p>
    <w:p w14:paraId="390B85FD" w14:textId="77777777" w:rsidR="00DF7863" w:rsidRPr="00DF7863" w:rsidRDefault="00DF7863" w:rsidP="00DF7863">
      <w:pPr>
        <w:ind w:left="567" w:right="788"/>
        <w:contextualSpacing/>
        <w:jc w:val="both"/>
        <w:rPr>
          <w:rFonts w:ascii="Arial" w:hAnsi="Arial" w:cs="Arial"/>
          <w:sz w:val="21"/>
          <w:szCs w:val="21"/>
          <w:lang w:val="es-ES_tradnl"/>
        </w:rPr>
      </w:pPr>
      <w:r w:rsidRPr="00DF7863">
        <w:rPr>
          <w:rFonts w:ascii="Arial" w:hAnsi="Arial" w:cs="Arial"/>
          <w:sz w:val="21"/>
          <w:szCs w:val="21"/>
          <w:lang w:val="es-ES_tradnl"/>
        </w:rPr>
        <w:t>para el periodo 2024-2027; se requiere definir las pautas para cumplir las restricciones</w:t>
      </w:r>
    </w:p>
    <w:p w14:paraId="0A1FFE0D" w14:textId="77777777" w:rsidR="00DF7863" w:rsidRPr="00DF7863" w:rsidRDefault="00DF7863" w:rsidP="00DF7863">
      <w:pPr>
        <w:ind w:left="567" w:right="788"/>
        <w:contextualSpacing/>
        <w:jc w:val="both"/>
        <w:rPr>
          <w:rFonts w:ascii="Arial" w:hAnsi="Arial" w:cs="Arial"/>
          <w:sz w:val="21"/>
          <w:szCs w:val="21"/>
          <w:lang w:val="es-ES_tradnl"/>
        </w:rPr>
      </w:pPr>
      <w:r w:rsidRPr="00DF7863">
        <w:rPr>
          <w:rFonts w:ascii="Arial" w:hAnsi="Arial" w:cs="Arial"/>
          <w:sz w:val="21"/>
          <w:szCs w:val="21"/>
          <w:lang w:val="es-ES_tradnl"/>
        </w:rPr>
        <w:t>y limitaciones a la contratación pública establecidas en la Ley 996 de 2005(en adelante</w:t>
      </w:r>
    </w:p>
    <w:p w14:paraId="0861E29C" w14:textId="77777777" w:rsidR="00DF7863" w:rsidRPr="00DF7863" w:rsidRDefault="00DF7863" w:rsidP="00DF7863">
      <w:pPr>
        <w:ind w:left="567" w:right="788"/>
        <w:contextualSpacing/>
        <w:jc w:val="both"/>
        <w:rPr>
          <w:rFonts w:ascii="Arial" w:hAnsi="Arial" w:cs="Arial"/>
          <w:sz w:val="21"/>
          <w:szCs w:val="21"/>
          <w:lang w:val="es-ES_tradnl"/>
        </w:rPr>
      </w:pPr>
      <w:r w:rsidRPr="00DF7863">
        <w:rPr>
          <w:rFonts w:ascii="Arial" w:hAnsi="Arial" w:cs="Arial"/>
          <w:sz w:val="21"/>
          <w:szCs w:val="21"/>
          <w:lang w:val="es-ES_tradnl"/>
        </w:rPr>
        <w:t>"Ley de Garantías") en el proceso electoral de 2023; teniendo en cuenta la naturaleza</w:t>
      </w:r>
    </w:p>
    <w:p w14:paraId="2E3F42C1" w14:textId="77777777" w:rsidR="00DF7863" w:rsidRPr="00DF7863" w:rsidRDefault="00DF7863" w:rsidP="00DF7863">
      <w:pPr>
        <w:ind w:left="567" w:right="788"/>
        <w:contextualSpacing/>
        <w:jc w:val="both"/>
        <w:rPr>
          <w:rFonts w:ascii="Arial" w:hAnsi="Arial" w:cs="Arial"/>
          <w:sz w:val="21"/>
          <w:szCs w:val="21"/>
          <w:lang w:val="es-ES_tradnl"/>
        </w:rPr>
      </w:pPr>
      <w:r w:rsidRPr="00DF7863">
        <w:rPr>
          <w:rFonts w:ascii="Arial" w:hAnsi="Arial" w:cs="Arial"/>
          <w:sz w:val="21"/>
          <w:szCs w:val="21"/>
          <w:lang w:val="es-ES_tradnl"/>
        </w:rPr>
        <w:t>de entidad de régimen especial de contratación (entidad de económica mixta,</w:t>
      </w:r>
    </w:p>
    <w:p w14:paraId="49FCD92B" w14:textId="58FD11A9" w:rsidR="00FF23FE" w:rsidRPr="007A0C25" w:rsidRDefault="00DF7863" w:rsidP="00DF7863">
      <w:pPr>
        <w:ind w:left="567" w:right="788"/>
        <w:contextualSpacing/>
        <w:jc w:val="both"/>
        <w:rPr>
          <w:rFonts w:ascii="Arial" w:hAnsi="Arial" w:cs="Arial"/>
          <w:sz w:val="21"/>
          <w:szCs w:val="21"/>
          <w:lang w:val="es-ES_tradnl"/>
        </w:rPr>
      </w:pPr>
      <w:r w:rsidRPr="00DF7863">
        <w:rPr>
          <w:rFonts w:ascii="Arial" w:hAnsi="Arial" w:cs="Arial"/>
          <w:sz w:val="21"/>
          <w:szCs w:val="21"/>
          <w:lang w:val="es-ES_tradnl"/>
        </w:rPr>
        <w:t>perteneciente al sector descentralizado segundo grado)”</w:t>
      </w:r>
      <w:r>
        <w:rPr>
          <w:rFonts w:ascii="Arial" w:hAnsi="Arial" w:cs="Arial"/>
          <w:sz w:val="21"/>
          <w:szCs w:val="21"/>
          <w:lang w:val="es-ES_tradnl"/>
        </w:rPr>
        <w:t>.</w:t>
      </w:r>
    </w:p>
    <w:p w14:paraId="45EC34E6" w14:textId="77777777" w:rsidR="00AC55A0" w:rsidRPr="007A0C25" w:rsidRDefault="00AC55A0" w:rsidP="00AC55A0">
      <w:pPr>
        <w:ind w:left="567" w:right="786"/>
        <w:jc w:val="both"/>
        <w:rPr>
          <w:rFonts w:ascii="Arial" w:hAnsi="Arial" w:cs="Arial"/>
          <w:color w:val="FF0000"/>
          <w:sz w:val="22"/>
          <w:lang w:val="es-ES_tradnl"/>
        </w:rPr>
      </w:pPr>
    </w:p>
    <w:p w14:paraId="5D84716B" w14:textId="18FDEEDF" w:rsidR="00E66774" w:rsidRPr="007A0C25" w:rsidRDefault="00AC55A0" w:rsidP="00E66774">
      <w:pPr>
        <w:spacing w:after="120" w:line="276" w:lineRule="auto"/>
        <w:jc w:val="both"/>
        <w:rPr>
          <w:rFonts w:ascii="Arial" w:eastAsia="Arial" w:hAnsi="Arial" w:cs="Arial"/>
          <w:sz w:val="22"/>
          <w:lang w:val="es-ES" w:eastAsia="es-ES" w:bidi="es-ES"/>
        </w:rPr>
      </w:pPr>
      <w:r w:rsidRPr="007A0C25">
        <w:rPr>
          <w:rFonts w:ascii="Arial" w:eastAsia="Arial" w:hAnsi="Arial" w:cs="Arial"/>
          <w:sz w:val="22"/>
        </w:rPr>
        <w:t xml:space="preserve">De acuerdo con la interpretación de las normas generales del sistema de compras y contratación pública, </w:t>
      </w:r>
      <w:r w:rsidR="00E66774" w:rsidRPr="007A0C25">
        <w:rPr>
          <w:rFonts w:ascii="Arial" w:eastAsia="Arial" w:hAnsi="Arial" w:cs="Arial"/>
          <w:sz w:val="22"/>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11B6444F" w14:textId="1B2FB72D" w:rsidR="00AC55A0" w:rsidRPr="007A0C25" w:rsidRDefault="00E66774" w:rsidP="00E66774">
      <w:pPr>
        <w:spacing w:after="120" w:line="276" w:lineRule="auto"/>
        <w:ind w:firstLine="708"/>
        <w:jc w:val="both"/>
        <w:rPr>
          <w:rFonts w:ascii="Arial" w:hAnsi="Arial" w:cs="Arial"/>
          <w:bCs/>
          <w:sz w:val="22"/>
          <w:lang w:val="es-ES_tradnl" w:eastAsia="es-CO"/>
        </w:rPr>
      </w:pPr>
      <w:r w:rsidRPr="007A0C25">
        <w:rPr>
          <w:rFonts w:ascii="Arial" w:hAnsi="Arial" w:cs="Arial"/>
          <w:bCs/>
          <w:sz w:val="22"/>
          <w:lang w:val="es-ES_tradnl" w:eastAsia="es-CO"/>
        </w:rPr>
        <w:t xml:space="preserve">Por un lado, el </w:t>
      </w:r>
      <w:r w:rsidR="00AC55A0" w:rsidRPr="007A0C25">
        <w:rPr>
          <w:rFonts w:ascii="Arial" w:hAnsi="Arial" w:cs="Arial"/>
          <w:bCs/>
          <w:sz w:val="22"/>
          <w:lang w:val="es-ES_tradnl" w:eastAsia="es-CO"/>
        </w:rPr>
        <w:t xml:space="preserve">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00AC55A0" w:rsidRPr="007A0C25">
        <w:rPr>
          <w:rFonts w:ascii="Arial" w:hAnsi="Arial" w:cs="Arial"/>
          <w:bCs/>
          <w:sz w:val="22"/>
          <w:lang w:eastAsia="es-CO"/>
        </w:rPr>
        <w:t xml:space="preserve">Los destinatarios de la prohibición son </w:t>
      </w:r>
      <w:r w:rsidR="001D7A8C">
        <w:rPr>
          <w:rFonts w:ascii="Arial" w:hAnsi="Arial" w:cs="Arial"/>
          <w:bCs/>
          <w:sz w:val="22"/>
          <w:lang w:eastAsia="es-CO"/>
        </w:rPr>
        <w:t>“</w:t>
      </w:r>
      <w:r w:rsidR="00AC55A0" w:rsidRPr="007A0C25">
        <w:rPr>
          <w:rFonts w:ascii="Arial" w:hAnsi="Arial" w:cs="Arial"/>
          <w:bCs/>
          <w:sz w:val="22"/>
          <w:lang w:eastAsia="es-CO"/>
        </w:rPr>
        <w:t>todos los entes del Estado</w:t>
      </w:r>
      <w:r w:rsidR="001D7A8C">
        <w:rPr>
          <w:rFonts w:ascii="Arial" w:hAnsi="Arial" w:cs="Arial"/>
          <w:bCs/>
          <w:sz w:val="22"/>
          <w:lang w:eastAsia="es-CO"/>
        </w:rPr>
        <w:t>”</w:t>
      </w:r>
      <w:r w:rsidR="00AC55A0" w:rsidRPr="007A0C25">
        <w:rPr>
          <w:rFonts w:ascii="Arial" w:hAnsi="Arial" w:cs="Arial"/>
          <w:bCs/>
          <w:sz w:val="22"/>
          <w:lang w:eastAsia="es-CO"/>
        </w:rPr>
        <w:t xml:space="preserve">, expresión que contempla a los diferentes organismos o entidades autorizadas por la ley para suscribir contratos. En efecto, como ha sostenido el Consejo de Estado, el vocablo </w:t>
      </w:r>
      <w:r w:rsidR="001D7A8C">
        <w:rPr>
          <w:rFonts w:ascii="Arial" w:hAnsi="Arial" w:cs="Arial"/>
          <w:bCs/>
          <w:sz w:val="22"/>
          <w:lang w:eastAsia="es-CO"/>
        </w:rPr>
        <w:t>“</w:t>
      </w:r>
      <w:r w:rsidR="00AC55A0" w:rsidRPr="007A0C25">
        <w:rPr>
          <w:rFonts w:ascii="Arial" w:hAnsi="Arial" w:cs="Arial"/>
          <w:bCs/>
          <w:sz w:val="22"/>
          <w:lang w:eastAsia="es-CO"/>
        </w:rPr>
        <w:t>todos</w:t>
      </w:r>
      <w:r w:rsidR="001D7A8C">
        <w:rPr>
          <w:rFonts w:ascii="Arial" w:hAnsi="Arial" w:cs="Arial"/>
          <w:bCs/>
          <w:sz w:val="22"/>
          <w:lang w:eastAsia="es-CO"/>
        </w:rPr>
        <w:t>”</w:t>
      </w:r>
      <w:r w:rsidR="00AC55A0" w:rsidRPr="007A0C25">
        <w:rPr>
          <w:rFonts w:ascii="Arial" w:hAnsi="Arial" w:cs="Arial"/>
          <w:bCs/>
          <w:sz w:val="22"/>
          <w:lang w:eastAsia="es-CO"/>
        </w:rPr>
        <w:t xml:space="preserve">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8673BA1" w14:textId="5E2CCDFC" w:rsidR="00AC55A0" w:rsidRDefault="00AC55A0" w:rsidP="00E66774">
      <w:pPr>
        <w:spacing w:after="120" w:line="276" w:lineRule="auto"/>
        <w:ind w:firstLine="709"/>
        <w:jc w:val="both"/>
        <w:rPr>
          <w:rFonts w:ascii="Arial" w:hAnsi="Arial" w:cs="Arial"/>
          <w:bCs/>
          <w:sz w:val="22"/>
          <w:lang w:val="es-ES_tradnl" w:eastAsia="es-CO" w:bidi="es-ES"/>
        </w:rPr>
      </w:pPr>
      <w:r w:rsidRPr="007A0C25">
        <w:rPr>
          <w:rFonts w:ascii="Arial" w:hAnsi="Arial" w:cs="Arial"/>
          <w:bCs/>
          <w:sz w:val="22"/>
          <w:lang w:eastAsia="es-CO"/>
        </w:rPr>
        <w:t>De otro lado, el parágrafo del artículo 38 de la Ley de Garantías Electorales, establece una restricción en virtud de la cual, durante el periodo de cuatro meses anteriores a cualquier jornada de elecciones, las entidades territoriales</w:t>
      </w:r>
      <w:r w:rsidR="00E66774" w:rsidRPr="007A0C25">
        <w:rPr>
          <w:rFonts w:ascii="Arial" w:hAnsi="Arial" w:cs="Arial"/>
          <w:bCs/>
          <w:sz w:val="22"/>
          <w:lang w:eastAsia="es-CO"/>
        </w:rPr>
        <w:t>,</w:t>
      </w:r>
      <w:r w:rsidR="00CC68FA">
        <w:rPr>
          <w:rFonts w:ascii="Arial" w:hAnsi="Arial" w:cs="Arial"/>
          <w:bCs/>
          <w:sz w:val="22"/>
          <w:lang w:eastAsia="es-CO"/>
        </w:rPr>
        <w:t xml:space="preserve"> </w:t>
      </w:r>
      <w:r w:rsidRPr="007A0C25">
        <w:rPr>
          <w:rFonts w:ascii="Arial" w:hAnsi="Arial" w:cs="Arial"/>
          <w:bCs/>
          <w:sz w:val="22"/>
          <w:lang w:eastAsia="es-CO"/>
        </w:rPr>
        <w:t xml:space="preserve">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7A0C25">
        <w:rPr>
          <w:rFonts w:ascii="Arial" w:hAnsi="Arial" w:cs="Arial"/>
          <w:bCs/>
          <w:sz w:val="22"/>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4447B5E2" w14:textId="67BAC671" w:rsidR="001B370D" w:rsidRPr="001B370D" w:rsidRDefault="00573BFF" w:rsidP="00877475">
      <w:pPr>
        <w:spacing w:line="276" w:lineRule="auto"/>
        <w:ind w:firstLine="709"/>
        <w:jc w:val="both"/>
        <w:textAlignment w:val="baseline"/>
        <w:rPr>
          <w:rFonts w:ascii="Arial" w:eastAsia="Times New Roman" w:hAnsi="Arial" w:cs="Arial"/>
          <w:sz w:val="22"/>
          <w:lang w:val="es-ES_tradnl" w:eastAsia="es-MX"/>
        </w:rPr>
      </w:pPr>
      <w:r>
        <w:rPr>
          <w:rFonts w:ascii="Arial" w:hAnsi="Arial" w:cs="Arial"/>
          <w:bCs/>
          <w:sz w:val="22"/>
          <w:lang w:val="es-ES_tradnl" w:eastAsia="es-CO" w:bidi="es-ES"/>
        </w:rPr>
        <w:t>Se reitera, frente a la mencionada restricci</w:t>
      </w:r>
      <w:r w:rsidR="001A4EDA">
        <w:rPr>
          <w:rFonts w:ascii="Arial" w:hAnsi="Arial" w:cs="Arial"/>
          <w:bCs/>
          <w:sz w:val="22"/>
          <w:lang w:val="es-ES_tradnl" w:eastAsia="es-CO" w:bidi="es-ES"/>
        </w:rPr>
        <w:t>ó</w:t>
      </w:r>
      <w:r w:rsidR="003B12DB">
        <w:rPr>
          <w:rFonts w:ascii="Arial" w:hAnsi="Arial" w:cs="Arial"/>
          <w:bCs/>
          <w:sz w:val="22"/>
          <w:lang w:val="es-ES_tradnl" w:eastAsia="es-CO" w:bidi="es-ES"/>
        </w:rPr>
        <w:t xml:space="preserve">n </w:t>
      </w:r>
      <w:r w:rsidR="003B12DB" w:rsidRPr="003B12DB">
        <w:rPr>
          <w:rFonts w:ascii="Arial" w:hAnsi="Arial" w:cs="Arial"/>
          <w:bCs/>
          <w:sz w:val="22"/>
          <w:lang w:val="es-ES_tradnl" w:eastAsia="es-CO" w:bidi="es-ES"/>
        </w:rPr>
        <w:t xml:space="preserve">del </w:t>
      </w:r>
      <w:r w:rsidR="003B12DB">
        <w:rPr>
          <w:rFonts w:ascii="Arial" w:hAnsi="Arial" w:cs="Arial"/>
          <w:bCs/>
          <w:sz w:val="22"/>
          <w:lang w:val="es-ES_tradnl" w:eastAsia="es-CO" w:bidi="es-ES"/>
        </w:rPr>
        <w:t xml:space="preserve">parágrafo del </w:t>
      </w:r>
      <w:r w:rsidR="003B12DB" w:rsidRPr="003B12DB">
        <w:rPr>
          <w:rFonts w:ascii="Arial" w:hAnsi="Arial" w:cs="Arial"/>
          <w:bCs/>
          <w:sz w:val="22"/>
          <w:lang w:val="es-ES_tradnl" w:eastAsia="es-CO" w:bidi="es-ES"/>
        </w:rPr>
        <w:t>artículo 38 de la Ley 996 de 2005</w:t>
      </w:r>
      <w:r w:rsidR="003B12DB">
        <w:rPr>
          <w:rFonts w:ascii="Arial" w:hAnsi="Arial" w:cs="Arial"/>
          <w:bCs/>
          <w:sz w:val="22"/>
          <w:lang w:val="es-ES_tradnl" w:eastAsia="es-CO" w:bidi="es-ES"/>
        </w:rPr>
        <w:t>, la misma</w:t>
      </w:r>
      <w:r w:rsidR="001A4EDA">
        <w:rPr>
          <w:rFonts w:ascii="Arial" w:eastAsia="Times New Roman" w:hAnsi="Arial" w:cs="Arial"/>
          <w:sz w:val="22"/>
          <w:lang w:val="es-ES_tradnl" w:eastAsia="es-MX"/>
        </w:rPr>
        <w:t xml:space="preserve"> se extenderá a las </w:t>
      </w:r>
      <w:r w:rsidR="001A4EDA" w:rsidRPr="00E814E2">
        <w:rPr>
          <w:rFonts w:ascii="Arial" w:eastAsia="Times New Roman" w:hAnsi="Arial" w:cs="Arial"/>
          <w:sz w:val="22"/>
          <w:lang w:val="es-ES_tradnl" w:eastAsia="es-MX"/>
        </w:rPr>
        <w:t>sociedades de economía mixta</w:t>
      </w:r>
      <w:r w:rsidR="001A4EDA">
        <w:rPr>
          <w:rFonts w:ascii="Arial" w:eastAsia="Times New Roman" w:hAnsi="Arial" w:cs="Arial"/>
          <w:sz w:val="22"/>
          <w:lang w:val="es-ES_tradnl" w:eastAsia="es-MX"/>
        </w:rPr>
        <w:t xml:space="preserve"> </w:t>
      </w:r>
      <w:r w:rsidR="001A4EDA" w:rsidRPr="00651584">
        <w:rPr>
          <w:rFonts w:ascii="Arial" w:eastAsia="Times New Roman" w:hAnsi="Arial" w:cs="Arial"/>
          <w:sz w:val="22"/>
          <w:u w:val="single"/>
          <w:lang w:val="es-ES_tradnl" w:eastAsia="es-MX"/>
        </w:rPr>
        <w:t>solo</w:t>
      </w:r>
      <w:r w:rsidR="001A4EDA">
        <w:rPr>
          <w:rFonts w:ascii="Arial" w:eastAsia="Times New Roman" w:hAnsi="Arial" w:cs="Arial"/>
          <w:sz w:val="22"/>
          <w:lang w:val="es-ES_tradnl" w:eastAsia="es-MX"/>
        </w:rPr>
        <w:t xml:space="preserve"> en el evento en que estas celebren </w:t>
      </w:r>
      <w:r w:rsidR="001A4EDA" w:rsidRPr="0002161A">
        <w:rPr>
          <w:rFonts w:ascii="Arial" w:eastAsia="Times New Roman" w:hAnsi="Arial" w:cs="Arial"/>
          <w:sz w:val="22"/>
          <w:lang w:val="es-ES_tradnl" w:eastAsia="es-MX"/>
        </w:rPr>
        <w:t>convenios interadministrativos</w:t>
      </w:r>
      <w:r w:rsidR="001A4EDA">
        <w:rPr>
          <w:rFonts w:ascii="Arial" w:eastAsia="Times New Roman" w:hAnsi="Arial" w:cs="Arial"/>
          <w:sz w:val="22"/>
          <w:lang w:val="es-ES_tradnl" w:eastAsia="es-MX"/>
        </w:rPr>
        <w:t xml:space="preserve"> con las entidades objeto de la restricción, estas son “</w:t>
      </w:r>
      <w:r w:rsidR="001A4EDA" w:rsidRPr="00BB76FC">
        <w:rPr>
          <w:rFonts w:ascii="Arial" w:eastAsia="Times New Roman" w:hAnsi="Arial" w:cs="Arial"/>
          <w:sz w:val="22"/>
          <w:lang w:val="es-ES_tradnl" w:eastAsia="es-MX"/>
        </w:rPr>
        <w:t>Los gobernadores, alcaldes municipales y/o distritales, secretarios, gerentes y directores de entidades descentralizadas del orden municipal, departamental o distrital</w:t>
      </w:r>
      <w:r w:rsidR="001A4EDA">
        <w:rPr>
          <w:rFonts w:ascii="Arial" w:eastAsia="Times New Roman" w:hAnsi="Arial" w:cs="Arial"/>
          <w:sz w:val="22"/>
          <w:lang w:val="es-ES_tradnl" w:eastAsia="es-MX"/>
        </w:rPr>
        <w:t>” y por el término de “</w:t>
      </w:r>
      <w:r w:rsidR="001A4EDA" w:rsidRPr="004C4963">
        <w:rPr>
          <w:rFonts w:ascii="Arial" w:eastAsia="Times New Roman" w:hAnsi="Arial" w:cs="Arial"/>
          <w:sz w:val="22"/>
          <w:lang w:val="es-ES_tradnl" w:eastAsia="es-MX"/>
        </w:rPr>
        <w:t>cuatro (4) meses anteriores a las elecciones</w:t>
      </w:r>
      <w:r w:rsidR="001A4EDA">
        <w:rPr>
          <w:rFonts w:ascii="Arial" w:eastAsia="Times New Roman" w:hAnsi="Arial" w:cs="Arial"/>
          <w:sz w:val="22"/>
          <w:lang w:val="es-ES_tradnl" w:eastAsia="es-MX"/>
        </w:rPr>
        <w:t xml:space="preserve">” por los demás, y de cara a las próximas elecciones del 29 de octubre de 2023, no será aplicable la mencionada restricción a las </w:t>
      </w:r>
      <w:r w:rsidR="001A4EDA" w:rsidRPr="00BD7D25">
        <w:rPr>
          <w:rFonts w:ascii="Arial" w:eastAsia="Times New Roman" w:hAnsi="Arial" w:cs="Arial"/>
          <w:sz w:val="22"/>
          <w:lang w:val="es-ES_tradnl" w:eastAsia="es-MX"/>
        </w:rPr>
        <w:t>sociedades de economía mixta</w:t>
      </w:r>
      <w:r w:rsidR="001A4EDA">
        <w:rPr>
          <w:rFonts w:ascii="Arial" w:eastAsia="Times New Roman" w:hAnsi="Arial" w:cs="Arial"/>
          <w:sz w:val="22"/>
          <w:lang w:val="es-ES_tradnl" w:eastAsia="es-MX"/>
        </w:rPr>
        <w:t xml:space="preserve">, así por ejemplo, estas sociedades podrán celebrar, libremente, contratos o convenios interadministrativos con entidades del orden nacional. </w:t>
      </w:r>
      <w:r w:rsidR="001B370D" w:rsidRPr="001B370D">
        <w:rPr>
          <w:rFonts w:ascii="Arial" w:hAnsi="Arial" w:cs="Arial"/>
          <w:bCs/>
          <w:sz w:val="22"/>
          <w:lang w:val="es-ES_tradnl" w:eastAsia="es-CO"/>
        </w:rPr>
        <w:t xml:space="preserve">Así las cosas, si una o ambas partes de la relación contractual es una entidad de aquellas descritas en el parágrafo </w:t>
      </w:r>
      <w:r w:rsidR="001B370D" w:rsidRPr="001B370D">
        <w:rPr>
          <w:rFonts w:ascii="Arial" w:hAnsi="Arial" w:cs="Arial"/>
          <w:bCs/>
          <w:i/>
          <w:iCs/>
          <w:sz w:val="22"/>
          <w:lang w:val="es-ES_tradnl" w:eastAsia="es-CO"/>
        </w:rPr>
        <w:t>ibidem</w:t>
      </w:r>
      <w:r w:rsidR="001B370D" w:rsidRPr="001B370D">
        <w:rPr>
          <w:rFonts w:ascii="Arial" w:hAnsi="Arial" w:cs="Arial"/>
          <w:bCs/>
          <w:sz w:val="22"/>
          <w:lang w:val="es-ES_tradnl" w:eastAsia="es-CO"/>
        </w:rPr>
        <w:t xml:space="preserve">, no podrá celebrar tales convenios o contratos interadministrativos durante el ámbito temporal de esta prohibición, toda vez que la citada disposición hace referencia a dicha tipología contractual sin que el legislador hubiere contemplado excepción alguna frente a la modalidad de selección o naturaleza de su objeto. </w:t>
      </w:r>
    </w:p>
    <w:p w14:paraId="7F0097FA" w14:textId="77777777" w:rsidR="001B370D" w:rsidRDefault="001B370D" w:rsidP="00E66774">
      <w:pPr>
        <w:spacing w:after="120" w:line="276" w:lineRule="auto"/>
        <w:ind w:firstLine="709"/>
        <w:jc w:val="both"/>
        <w:rPr>
          <w:rFonts w:ascii="Arial" w:hAnsi="Arial" w:cs="Arial"/>
          <w:bCs/>
          <w:sz w:val="22"/>
          <w:lang w:val="es-ES_tradnl" w:eastAsia="es-CO" w:bidi="es-ES"/>
        </w:rPr>
      </w:pPr>
    </w:p>
    <w:p w14:paraId="4713238D" w14:textId="77777777" w:rsidR="001B370D" w:rsidRPr="007A0C25" w:rsidRDefault="001B370D" w:rsidP="00E66774">
      <w:pPr>
        <w:spacing w:after="120" w:line="276" w:lineRule="auto"/>
        <w:ind w:firstLine="709"/>
        <w:jc w:val="both"/>
        <w:rPr>
          <w:rFonts w:ascii="Arial" w:hAnsi="Arial" w:cs="Arial"/>
          <w:bCs/>
          <w:sz w:val="22"/>
          <w:lang w:val="es-ES_tradnl" w:eastAsia="es-CO" w:bidi="es-ES"/>
        </w:rPr>
      </w:pPr>
    </w:p>
    <w:p w14:paraId="570486EC" w14:textId="234BB456" w:rsidR="00AC55A0" w:rsidRDefault="00AC55A0" w:rsidP="00AC55A0">
      <w:pPr>
        <w:spacing w:line="276" w:lineRule="auto"/>
        <w:ind w:firstLine="709"/>
        <w:jc w:val="both"/>
        <w:rPr>
          <w:rFonts w:ascii="Arial" w:hAnsi="Arial" w:cs="Arial"/>
          <w:bCs/>
          <w:sz w:val="22"/>
          <w:lang w:val="es-ES"/>
        </w:rPr>
      </w:pPr>
      <w:r w:rsidRPr="007A0C25">
        <w:rPr>
          <w:rFonts w:ascii="Arial" w:eastAsia="Calibri" w:hAnsi="Arial" w:cs="Arial"/>
          <w:bCs/>
          <w:sz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sz w:val="22"/>
          <w:lang w:val="es-ES"/>
        </w:rPr>
        <w:t xml:space="preserve"> </w:t>
      </w:r>
    </w:p>
    <w:p w14:paraId="4CF54035" w14:textId="77777777" w:rsidR="00F87CD1" w:rsidRDefault="00F87CD1" w:rsidP="00AC55A0">
      <w:pPr>
        <w:spacing w:line="276" w:lineRule="auto"/>
        <w:ind w:firstLine="709"/>
        <w:jc w:val="both"/>
        <w:rPr>
          <w:rFonts w:ascii="Arial" w:hAnsi="Arial" w:cs="Arial"/>
          <w:bCs/>
          <w:sz w:val="22"/>
          <w:lang w:val="es-ES"/>
        </w:rPr>
      </w:pPr>
    </w:p>
    <w:p w14:paraId="5FE08277" w14:textId="77777777" w:rsidR="00F87CD1" w:rsidRPr="00F87CD1" w:rsidRDefault="00F87CD1" w:rsidP="00F87CD1">
      <w:pPr>
        <w:spacing w:after="120" w:line="276" w:lineRule="auto"/>
        <w:jc w:val="both"/>
        <w:rPr>
          <w:rFonts w:ascii="Times New Roman" w:eastAsia="Times New Roman" w:hAnsi="Times New Roman" w:cs="Times New Roman"/>
          <w:szCs w:val="24"/>
          <w:lang w:val="es-CO" w:eastAsia="es-ES_tradnl"/>
        </w:rPr>
      </w:pPr>
      <w:r w:rsidRPr="00F87CD1">
        <w:rPr>
          <w:rFonts w:ascii="Arial" w:eastAsia="Calibri" w:hAnsi="Arial" w:cs="Arial"/>
          <w:sz w:val="22"/>
          <w:lang w:val="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C2E5157" w14:textId="77777777" w:rsidR="00F87CD1" w:rsidRPr="007A0C25" w:rsidRDefault="00F87CD1" w:rsidP="00AC55A0">
      <w:pPr>
        <w:spacing w:line="276" w:lineRule="auto"/>
        <w:ind w:firstLine="709"/>
        <w:jc w:val="both"/>
        <w:rPr>
          <w:rFonts w:ascii="Arial" w:eastAsia="Calibri" w:hAnsi="Arial" w:cs="Arial"/>
          <w:sz w:val="22"/>
        </w:rPr>
      </w:pPr>
    </w:p>
    <w:p w14:paraId="63B8F395" w14:textId="77777777" w:rsidR="00AC55A0" w:rsidRPr="007A0C25" w:rsidRDefault="00AC55A0" w:rsidP="00AC55A0">
      <w:pPr>
        <w:spacing w:line="276" w:lineRule="auto"/>
        <w:ind w:firstLine="709"/>
        <w:jc w:val="both"/>
        <w:rPr>
          <w:rFonts w:ascii="Arial" w:eastAsia="Calibri" w:hAnsi="Arial" w:cs="Arial"/>
          <w:sz w:val="22"/>
        </w:rPr>
      </w:pPr>
    </w:p>
    <w:p w14:paraId="589AADD8" w14:textId="77777777" w:rsidR="00AC55A0" w:rsidRPr="007A0C25" w:rsidRDefault="00AC55A0" w:rsidP="00AC55A0">
      <w:pPr>
        <w:spacing w:before="240" w:line="276" w:lineRule="auto"/>
        <w:jc w:val="both"/>
        <w:rPr>
          <w:rFonts w:ascii="Arial" w:hAnsi="Arial" w:cs="Arial"/>
          <w:sz w:val="22"/>
          <w:lang w:val="es-ES_tradnl" w:eastAsia="es-CO"/>
        </w:rPr>
      </w:pPr>
      <w:bookmarkStart w:id="37" w:name="_Hlk50986665"/>
      <w:bookmarkStart w:id="38" w:name="_Hlk52766744"/>
      <w:r w:rsidRPr="007A0C25">
        <w:rPr>
          <w:rFonts w:ascii="Arial" w:hAnsi="Arial" w:cs="Arial"/>
          <w:sz w:val="22"/>
          <w:lang w:val="es-ES_tradnl" w:eastAsia="es-CO"/>
        </w:rPr>
        <w:t>Atentamente,</w:t>
      </w:r>
    </w:p>
    <w:p w14:paraId="637EE025" w14:textId="3AD84EB1" w:rsidR="0069789A" w:rsidRDefault="00941833" w:rsidP="0069789A">
      <w:pPr>
        <w:spacing w:before="120" w:line="276" w:lineRule="auto"/>
        <w:jc w:val="center"/>
        <w:rPr>
          <w:rFonts w:ascii="Arial" w:hAnsi="Arial" w:cs="Arial"/>
          <w:sz w:val="18"/>
          <w:szCs w:val="20"/>
          <w:lang w:val="es-ES_tradnl" w:eastAsia="es-CO"/>
        </w:rPr>
      </w:pPr>
      <w:bookmarkStart w:id="39" w:name="_Hlk108446929"/>
      <w:bookmarkEnd w:id="8"/>
      <w:bookmarkEnd w:id="37"/>
      <w:bookmarkEnd w:id="38"/>
      <w:r>
        <w:rPr>
          <w:rFonts w:ascii="Arial" w:hAnsi="Arial" w:cs="Arial"/>
          <w:sz w:val="18"/>
          <w:szCs w:val="20"/>
          <w:lang w:val="es-ES_tradnl" w:eastAsia="es-CO"/>
        </w:rPr>
        <w:t xml:space="preserve"> </w:t>
      </w:r>
      <w:r w:rsidR="004F0060">
        <w:rPr>
          <w:rFonts w:ascii="Arial" w:hAnsi="Arial" w:cs="Arial"/>
          <w:noProof/>
          <w:sz w:val="18"/>
          <w:szCs w:val="20"/>
          <w:lang w:val="es-CO" w:eastAsia="es-CO"/>
        </w:rPr>
        <w:drawing>
          <wp:inline distT="0" distB="0" distL="0" distR="0" wp14:anchorId="2FC57B78" wp14:editId="55D08056">
            <wp:extent cx="2773680" cy="1066800"/>
            <wp:effectExtent l="0" t="0" r="7620" b="0"/>
            <wp:docPr id="829105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1066800"/>
                    </a:xfrm>
                    <a:prstGeom prst="rect">
                      <a:avLst/>
                    </a:prstGeom>
                    <a:noFill/>
                  </pic:spPr>
                </pic:pic>
              </a:graphicData>
            </a:graphic>
          </wp:inline>
        </w:drawing>
      </w:r>
    </w:p>
    <w:p w14:paraId="67F03958" w14:textId="77777777" w:rsidR="00F87CD1" w:rsidRDefault="00F87CD1" w:rsidP="0069789A">
      <w:pPr>
        <w:spacing w:before="120" w:line="276" w:lineRule="auto"/>
        <w:jc w:val="center"/>
        <w:rPr>
          <w:rFonts w:ascii="Arial" w:hAnsi="Arial" w:cs="Arial"/>
          <w:sz w:val="18"/>
          <w:szCs w:val="20"/>
          <w:lang w:val="es-ES_tradnl" w:eastAsia="es-CO"/>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7CD1" w:rsidRPr="00F87CD1" w14:paraId="6297A51E" w14:textId="77777777" w:rsidTr="000430D4">
        <w:trPr>
          <w:trHeight w:val="315"/>
        </w:trPr>
        <w:tc>
          <w:tcPr>
            <w:tcW w:w="812" w:type="dxa"/>
            <w:vAlign w:val="center"/>
            <w:hideMark/>
          </w:tcPr>
          <w:p w14:paraId="1DBF8720"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Times New Roman" w:hAnsi="Arial" w:cs="Arial"/>
                <w:sz w:val="16"/>
                <w:szCs w:val="16"/>
                <w:lang w:val="es-CO" w:eastAsia="es-ES"/>
              </w:rPr>
              <w:t>Elaboró:</w:t>
            </w:r>
          </w:p>
        </w:tc>
        <w:tc>
          <w:tcPr>
            <w:tcW w:w="4413" w:type="dxa"/>
            <w:tcBorders>
              <w:top w:val="nil"/>
              <w:left w:val="nil"/>
              <w:bottom w:val="dotted" w:sz="4" w:space="0" w:color="7F7F7F"/>
              <w:right w:val="nil"/>
            </w:tcBorders>
            <w:vAlign w:val="center"/>
            <w:hideMark/>
          </w:tcPr>
          <w:p w14:paraId="57AF9111" w14:textId="77777777" w:rsidR="00F87CD1" w:rsidRPr="00F87CD1" w:rsidRDefault="00F87CD1" w:rsidP="00F87CD1">
            <w:pPr>
              <w:rPr>
                <w:rFonts w:ascii="Arial" w:eastAsia="Calibri" w:hAnsi="Arial" w:cs="Arial"/>
                <w:sz w:val="16"/>
                <w:szCs w:val="16"/>
                <w:lang w:val="es-ES_tradnl" w:eastAsia="es-ES"/>
              </w:rPr>
            </w:pPr>
            <w:r w:rsidRPr="00F87CD1">
              <w:rPr>
                <w:rFonts w:ascii="Arial" w:eastAsia="Calibri" w:hAnsi="Arial" w:cs="Arial"/>
                <w:sz w:val="16"/>
                <w:szCs w:val="16"/>
                <w:lang w:val="es-ES_tradnl" w:eastAsia="es-ES"/>
              </w:rPr>
              <w:t>Gabriel Alejandro Murcia Taboada</w:t>
            </w:r>
          </w:p>
          <w:p w14:paraId="055D2D18"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Calibri" w:hAnsi="Arial" w:cs="Arial"/>
                <w:sz w:val="16"/>
                <w:szCs w:val="16"/>
                <w:lang w:val="es-ES_tradnl" w:eastAsia="es-ES"/>
              </w:rPr>
              <w:t>Contratista de la Subdirección de Gestión Contractual</w:t>
            </w:r>
          </w:p>
        </w:tc>
      </w:tr>
      <w:tr w:rsidR="00F87CD1" w:rsidRPr="00F87CD1" w14:paraId="0A38733A" w14:textId="77777777" w:rsidTr="000430D4">
        <w:trPr>
          <w:trHeight w:val="330"/>
        </w:trPr>
        <w:tc>
          <w:tcPr>
            <w:tcW w:w="812" w:type="dxa"/>
            <w:vAlign w:val="center"/>
            <w:hideMark/>
          </w:tcPr>
          <w:p w14:paraId="6EA660F6"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Times New Roman" w:hAnsi="Arial" w:cs="Arial"/>
                <w:sz w:val="16"/>
                <w:szCs w:val="16"/>
                <w:lang w:val="es-CO" w:eastAsia="es-ES"/>
              </w:rPr>
              <w:t>Revisó:</w:t>
            </w:r>
          </w:p>
        </w:tc>
        <w:tc>
          <w:tcPr>
            <w:tcW w:w="4413" w:type="dxa"/>
            <w:tcBorders>
              <w:top w:val="dotted" w:sz="4" w:space="0" w:color="7F7F7F"/>
              <w:left w:val="nil"/>
              <w:bottom w:val="dotted" w:sz="4" w:space="0" w:color="7F7F7F"/>
              <w:right w:val="nil"/>
            </w:tcBorders>
            <w:vAlign w:val="center"/>
            <w:hideMark/>
          </w:tcPr>
          <w:p w14:paraId="7FE2C13D" w14:textId="77777777" w:rsidR="00F87CD1" w:rsidRPr="00F87CD1" w:rsidRDefault="00F87CD1" w:rsidP="00F87CD1">
            <w:pPr>
              <w:rPr>
                <w:rFonts w:ascii="Arial" w:eastAsia="Times New Roman" w:hAnsi="Arial" w:cs="Arial"/>
                <w:color w:val="000000"/>
                <w:sz w:val="16"/>
                <w:szCs w:val="16"/>
                <w:lang w:val="es-ES" w:eastAsia="es-ES"/>
              </w:rPr>
            </w:pPr>
            <w:r w:rsidRPr="00F87CD1">
              <w:rPr>
                <w:rFonts w:ascii="Arial" w:eastAsia="Times New Roman" w:hAnsi="Arial" w:cs="Arial"/>
                <w:color w:val="000000"/>
                <w:sz w:val="16"/>
                <w:szCs w:val="16"/>
                <w:lang w:val="es-ES" w:eastAsia="es-ES"/>
              </w:rPr>
              <w:t>Juan David Cárdenas Cabeza</w:t>
            </w:r>
          </w:p>
          <w:p w14:paraId="391C3560" w14:textId="77777777" w:rsidR="00F87CD1" w:rsidRPr="00F87CD1" w:rsidRDefault="00F87CD1" w:rsidP="00F87CD1">
            <w:pPr>
              <w:rPr>
                <w:rFonts w:ascii="Arial" w:eastAsia="Times New Roman" w:hAnsi="Arial" w:cs="Arial"/>
                <w:color w:val="000000"/>
                <w:sz w:val="16"/>
                <w:szCs w:val="16"/>
                <w:lang w:val="es-ES" w:eastAsia="es-ES"/>
              </w:rPr>
            </w:pPr>
            <w:r w:rsidRPr="00F87CD1">
              <w:rPr>
                <w:rFonts w:ascii="Arial" w:eastAsia="Times New Roman" w:hAnsi="Arial" w:cs="Arial"/>
                <w:color w:val="000000"/>
                <w:sz w:val="16"/>
                <w:szCs w:val="16"/>
                <w:lang w:val="es-ES" w:eastAsia="es-ES"/>
              </w:rPr>
              <w:t xml:space="preserve">Contratista de la Subdirección de Gestión Contractual  </w:t>
            </w:r>
          </w:p>
        </w:tc>
      </w:tr>
      <w:tr w:rsidR="00F87CD1" w:rsidRPr="00F87CD1" w14:paraId="4D71CA71" w14:textId="77777777" w:rsidTr="000430D4">
        <w:trPr>
          <w:trHeight w:val="300"/>
        </w:trPr>
        <w:tc>
          <w:tcPr>
            <w:tcW w:w="812" w:type="dxa"/>
            <w:vAlign w:val="center"/>
            <w:hideMark/>
          </w:tcPr>
          <w:p w14:paraId="32A93942"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Times New Roman" w:hAnsi="Arial" w:cs="Arial"/>
                <w:sz w:val="16"/>
                <w:szCs w:val="16"/>
                <w:lang w:val="es-CO" w:eastAsia="es-ES"/>
              </w:rPr>
              <w:t>Aprobó:</w:t>
            </w:r>
          </w:p>
        </w:tc>
        <w:tc>
          <w:tcPr>
            <w:tcW w:w="4413" w:type="dxa"/>
            <w:tcBorders>
              <w:top w:val="dotted" w:sz="4" w:space="0" w:color="7F7F7F"/>
              <w:left w:val="nil"/>
              <w:bottom w:val="dotted" w:sz="4" w:space="0" w:color="7F7F7F"/>
              <w:right w:val="nil"/>
            </w:tcBorders>
            <w:vAlign w:val="center"/>
            <w:hideMark/>
          </w:tcPr>
          <w:p w14:paraId="210673DE" w14:textId="77777777" w:rsidR="00F87CD1" w:rsidRPr="00F87CD1" w:rsidRDefault="00F87CD1" w:rsidP="00F87CD1">
            <w:pPr>
              <w:spacing w:line="276" w:lineRule="auto"/>
              <w:rPr>
                <w:rFonts w:ascii="Arial" w:eastAsia="Calibri" w:hAnsi="Arial" w:cs="Arial"/>
                <w:sz w:val="16"/>
                <w:szCs w:val="16"/>
                <w:lang w:val="es-ES_tradnl" w:eastAsia="es-ES"/>
              </w:rPr>
            </w:pPr>
            <w:r w:rsidRPr="00F87CD1">
              <w:rPr>
                <w:rFonts w:ascii="Arial" w:eastAsia="Calibri" w:hAnsi="Arial" w:cs="Arial"/>
                <w:sz w:val="16"/>
                <w:szCs w:val="16"/>
                <w:lang w:val="es-ES_tradnl" w:eastAsia="es-ES"/>
              </w:rPr>
              <w:t>Nohelia del Carmen Zawady Palacio</w:t>
            </w:r>
          </w:p>
          <w:p w14:paraId="0F97CBCA"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Calibri" w:hAnsi="Arial" w:cs="Arial"/>
                <w:sz w:val="16"/>
                <w:szCs w:val="16"/>
                <w:lang w:val="es-ES_tradnl" w:eastAsia="es-ES"/>
              </w:rPr>
              <w:t>Subdirectora de Gestión Contractual</w:t>
            </w:r>
          </w:p>
        </w:tc>
      </w:tr>
      <w:bookmarkEnd w:id="39"/>
    </w:tbl>
    <w:p w14:paraId="5730C5C1" w14:textId="77777777" w:rsidR="00F87CD1" w:rsidRPr="007A0C25" w:rsidRDefault="00F87CD1" w:rsidP="00F87CD1">
      <w:pPr>
        <w:spacing w:before="120" w:line="276" w:lineRule="auto"/>
        <w:rPr>
          <w:rFonts w:ascii="Arial" w:hAnsi="Arial" w:cs="Arial"/>
          <w:sz w:val="18"/>
          <w:szCs w:val="20"/>
          <w:lang w:val="es-ES_tradnl" w:eastAsia="es-CO"/>
        </w:rPr>
      </w:pPr>
    </w:p>
    <w:sectPr w:rsidR="00F87CD1" w:rsidRPr="007A0C25"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6BB8" w14:textId="77777777" w:rsidR="00EA6454" w:rsidRDefault="00EA6454" w:rsidP="004A1847">
      <w:r>
        <w:separator/>
      </w:r>
    </w:p>
  </w:endnote>
  <w:endnote w:type="continuationSeparator" w:id="0">
    <w:p w14:paraId="287C9E1C" w14:textId="77777777" w:rsidR="00EA6454" w:rsidRDefault="00EA6454"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pPr>
      <w:pStyle w:val="Piedepgina"/>
    </w:pPr>
    <w:r>
      <w:rPr>
        <w:noProof/>
        <w:lang w:val="es-CO" w:eastAsia="es-CO"/>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437"/>
      <w:gridCol w:w="1622"/>
    </w:tblGrid>
    <w:tr w:rsidR="006219F8" w:rsidRPr="00080DA3" w14:paraId="0534DA7F" w14:textId="77777777" w:rsidTr="007247B0">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37"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62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CEF62A1" w:rsidR="006219F8" w:rsidRPr="00080DA3" w:rsidRDefault="006219F8" w:rsidP="007247B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D46E59">
            <w:rPr>
              <w:rFonts w:ascii="Geomanist Light" w:hAnsi="Geomanist Light"/>
              <w:b/>
              <w:bCs/>
              <w:noProof/>
              <w:sz w:val="18"/>
              <w:szCs w:val="18"/>
            </w:rPr>
            <w:t>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D46E59">
            <w:rPr>
              <w:rFonts w:ascii="Geomanist Light" w:hAnsi="Geomanist Light"/>
              <w:b/>
              <w:bCs/>
              <w:noProof/>
              <w:sz w:val="18"/>
              <w:szCs w:val="18"/>
            </w:rPr>
            <w:t>20</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BCB5" w14:textId="77777777" w:rsidR="00EA6454" w:rsidRDefault="00EA6454" w:rsidP="004A1847">
      <w:r>
        <w:separator/>
      </w:r>
    </w:p>
  </w:footnote>
  <w:footnote w:type="continuationSeparator" w:id="0">
    <w:p w14:paraId="0C7D847B" w14:textId="77777777" w:rsidR="00EA6454" w:rsidRDefault="00EA6454" w:rsidP="004A1847">
      <w:r>
        <w:continuationSeparator/>
      </w:r>
    </w:p>
  </w:footnote>
  <w:footnote w:id="1">
    <w:p w14:paraId="42925977"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37F117C" w14:textId="77777777" w:rsidR="00AC55A0" w:rsidRPr="00082ACC" w:rsidRDefault="00AC55A0" w:rsidP="00A47F66">
      <w:pPr>
        <w:pStyle w:val="Textonotapie"/>
        <w:ind w:firstLine="709"/>
        <w:contextualSpacing/>
        <w:jc w:val="both"/>
        <w:rPr>
          <w:rFonts w:ascii="Arial" w:hAnsi="Arial" w:cs="Arial"/>
          <w:sz w:val="19"/>
          <w:szCs w:val="19"/>
        </w:rPr>
      </w:pPr>
      <w:r w:rsidRPr="00082AC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3CCE8110"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Gaceta del Congreso de la República No. 71 del 2005.</w:t>
      </w:r>
    </w:p>
  </w:footnote>
  <w:footnote w:id="3">
    <w:p w14:paraId="593A136F"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 C- 1153 de 2005, M.P. Marco Gerardo Monroy Cabra.</w:t>
      </w:r>
    </w:p>
  </w:footnote>
  <w:footnote w:id="4">
    <w:p w14:paraId="24087440"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73607671" w14:textId="77777777" w:rsidR="00AC55A0" w:rsidRPr="00082ACC" w:rsidRDefault="00AC55A0" w:rsidP="00A47F66">
      <w:pPr>
        <w:pStyle w:val="Textonotapie"/>
        <w:ind w:firstLine="709"/>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56ACB9EC"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de fecha 24 de julio de 2013, radicado 2166, Consejero Ponente: Álvaro Namén Vargas.  </w:t>
      </w:r>
    </w:p>
  </w:footnote>
  <w:footnote w:id="7">
    <w:p w14:paraId="3B6569BA"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3" w:name="33"/>
      <w:r w:rsidRPr="00082ACC">
        <w:rPr>
          <w:rFonts w:ascii="Arial" w:eastAsia="Calibri" w:hAnsi="Arial" w:cs="Arial"/>
          <w:color w:val="000000"/>
          <w:sz w:val="19"/>
          <w:szCs w:val="19"/>
        </w:rPr>
        <w:t>«</w:t>
      </w:r>
      <w:r w:rsidRPr="00082ACC">
        <w:rPr>
          <w:rFonts w:ascii="Arial" w:hAnsi="Arial" w:cs="Arial"/>
          <w:sz w:val="19"/>
          <w:szCs w:val="19"/>
        </w:rPr>
        <w:t>Artículo 33. Restricciones a la contratación pública.</w:t>
      </w:r>
      <w:bookmarkEnd w:id="13"/>
      <w:r w:rsidRPr="00082AC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C95D9FD" w14:textId="77777777" w:rsidR="00AC55A0" w:rsidRPr="00082ACC" w:rsidRDefault="00AC55A0" w:rsidP="00A47F66">
      <w:pPr>
        <w:ind w:firstLine="709"/>
        <w:contextualSpacing/>
        <w:jc w:val="both"/>
        <w:rPr>
          <w:rFonts w:ascii="Arial" w:hAnsi="Arial" w:cs="Arial"/>
          <w:sz w:val="19"/>
          <w:szCs w:val="19"/>
        </w:rPr>
      </w:pPr>
      <w:r w:rsidRPr="00082ACC">
        <w:rPr>
          <w:rFonts w:ascii="Arial" w:eastAsia="Calibri" w:hAnsi="Arial" w:cs="Arial"/>
          <w:color w:val="000000"/>
          <w:sz w:val="19"/>
          <w:szCs w:val="19"/>
        </w:rPr>
        <w:t>»</w:t>
      </w:r>
      <w:r w:rsidRPr="00082AC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82ACC">
        <w:rPr>
          <w:rFonts w:ascii="Arial" w:eastAsia="Calibri" w:hAnsi="Arial" w:cs="Arial"/>
          <w:color w:val="000000"/>
          <w:sz w:val="19"/>
          <w:szCs w:val="19"/>
        </w:rPr>
        <w:t>»</w:t>
      </w:r>
      <w:r w:rsidRPr="00082ACC">
        <w:rPr>
          <w:rFonts w:ascii="Arial" w:hAnsi="Arial" w:cs="Arial"/>
          <w:sz w:val="19"/>
          <w:szCs w:val="19"/>
        </w:rPr>
        <w:t>.</w:t>
      </w:r>
    </w:p>
  </w:footnote>
  <w:footnote w:id="8">
    <w:p w14:paraId="5BD89B72"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4" w:name="38"/>
      <w:r w:rsidRPr="00082ACC">
        <w:rPr>
          <w:rFonts w:ascii="Arial" w:eastAsia="Calibri" w:hAnsi="Arial" w:cs="Arial"/>
          <w:color w:val="000000"/>
          <w:sz w:val="19"/>
          <w:szCs w:val="19"/>
        </w:rPr>
        <w:t>«</w:t>
      </w:r>
      <w:r w:rsidRPr="00082ACC">
        <w:rPr>
          <w:rFonts w:ascii="Arial" w:hAnsi="Arial" w:cs="Arial"/>
          <w:sz w:val="19"/>
          <w:szCs w:val="19"/>
          <w:lang w:val="es-MX"/>
        </w:rPr>
        <w:t>Artículo 38. Prohibiciones para los servidores públicos. A los empleados del Estado les está prohibido:</w:t>
      </w:r>
      <w:bookmarkEnd w:id="14"/>
    </w:p>
    <w:p w14:paraId="1FD04AC5"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Fonts w:ascii="Arial" w:eastAsia="Calibri" w:hAnsi="Arial" w:cs="Arial"/>
          <w:color w:val="000000"/>
          <w:sz w:val="19"/>
          <w:szCs w:val="19"/>
        </w:rPr>
        <w:t>»</w:t>
      </w:r>
      <w:r w:rsidRPr="00082ACC">
        <w:rPr>
          <w:rFonts w:ascii="Arial" w:hAnsi="Arial" w:cs="Arial"/>
          <w:sz w:val="19"/>
          <w:szCs w:val="19"/>
          <w:lang w:val="es-MX"/>
        </w:rPr>
        <w:t xml:space="preserve"> […]</w:t>
      </w:r>
    </w:p>
    <w:p w14:paraId="14D11FB1"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Fonts w:ascii="Arial" w:eastAsia="Calibri" w:hAnsi="Arial" w:cs="Arial"/>
          <w:color w:val="000000"/>
          <w:sz w:val="19"/>
          <w:szCs w:val="19"/>
        </w:rPr>
        <w:t>»</w:t>
      </w:r>
      <w:r w:rsidRPr="00082ACC">
        <w:rPr>
          <w:rStyle w:val="baj"/>
          <w:rFonts w:ascii="Arial" w:hAnsi="Arial" w:cs="Arial"/>
          <w:sz w:val="19"/>
          <w:szCs w:val="19"/>
          <w:lang w:val="es-MX"/>
        </w:rPr>
        <w:t xml:space="preserve"> Parágrafo.</w:t>
      </w:r>
      <w:r w:rsidRPr="00082AC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82ACC">
        <w:rPr>
          <w:rFonts w:ascii="Arial" w:eastAsia="Calibri" w:hAnsi="Arial" w:cs="Arial"/>
          <w:color w:val="000000"/>
          <w:sz w:val="19"/>
          <w:szCs w:val="19"/>
        </w:rPr>
        <w:t>»</w:t>
      </w:r>
      <w:r w:rsidRPr="00082ACC">
        <w:rPr>
          <w:rFonts w:ascii="Arial" w:hAnsi="Arial" w:cs="Arial"/>
          <w:sz w:val="19"/>
          <w:szCs w:val="19"/>
          <w:lang w:val="es-MX"/>
        </w:rPr>
        <w:t>.</w:t>
      </w:r>
    </w:p>
  </w:footnote>
  <w:footnote w:id="9">
    <w:p w14:paraId="35B97EA7" w14:textId="77777777" w:rsidR="00AC55A0" w:rsidRPr="00082ACC" w:rsidRDefault="00AC55A0" w:rsidP="00A47F66">
      <w:pPr>
        <w:ind w:left="100" w:right="244"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2594759C"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11">
    <w:p w14:paraId="4B709AFE"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9F6DA64" w14:textId="77777777" w:rsidR="00AC55A0" w:rsidRPr="00082ACC" w:rsidRDefault="00AC55A0" w:rsidP="00A47F66">
      <w:pPr>
        <w:ind w:firstLine="709"/>
        <w:contextualSpacing/>
        <w:jc w:val="both"/>
        <w:rPr>
          <w:rFonts w:ascii="Arial" w:hAnsi="Arial" w:cs="Arial"/>
          <w:sz w:val="19"/>
          <w:szCs w:val="19"/>
        </w:rPr>
      </w:pPr>
      <w:r w:rsidRPr="00082AC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82ACC">
        <w:rPr>
          <w:rFonts w:ascii="Arial" w:hAnsi="Arial" w:cs="Arial"/>
          <w:spacing w:val="-1"/>
          <w:sz w:val="19"/>
          <w:szCs w:val="19"/>
        </w:rPr>
        <w:t xml:space="preserve"> </w:t>
      </w:r>
      <w:r w:rsidRPr="00082ACC">
        <w:rPr>
          <w:rFonts w:ascii="Arial" w:hAnsi="Arial" w:cs="Arial"/>
          <w:sz w:val="19"/>
          <w:szCs w:val="19"/>
        </w:rPr>
        <w:t>Estatales».</w:t>
      </w:r>
    </w:p>
  </w:footnote>
  <w:footnote w:id="12">
    <w:p w14:paraId="4E24F92E"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82ACC">
        <w:rPr>
          <w:rFonts w:ascii="Arial" w:hAnsi="Arial" w:cs="Arial"/>
          <w:spacing w:val="-6"/>
          <w:sz w:val="19"/>
          <w:szCs w:val="19"/>
        </w:rPr>
        <w:t xml:space="preserve"> </w:t>
      </w:r>
      <w:r w:rsidRPr="00082ACC">
        <w:rPr>
          <w:rFonts w:ascii="Arial" w:hAnsi="Arial" w:cs="Arial"/>
          <w:sz w:val="19"/>
          <w:szCs w:val="19"/>
        </w:rPr>
        <w:t>artículo».</w:t>
      </w:r>
    </w:p>
  </w:footnote>
  <w:footnote w:id="13">
    <w:p w14:paraId="7B784528" w14:textId="77777777" w:rsidR="00AC55A0" w:rsidRPr="00082ACC" w:rsidRDefault="00AC55A0" w:rsidP="00A47F66">
      <w:pPr>
        <w:ind w:right="454"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position w:val="7"/>
          <w:sz w:val="19"/>
          <w:szCs w:val="19"/>
        </w:rPr>
        <w:t xml:space="preserve"> </w:t>
      </w:r>
      <w:r w:rsidRPr="00082ACC">
        <w:rPr>
          <w:rFonts w:ascii="Arial" w:hAnsi="Arial" w:cs="Arial"/>
          <w:sz w:val="19"/>
          <w:szCs w:val="19"/>
        </w:rPr>
        <w:t>Consejo de Estado. Sección Tercera. Sentencia del 23 de junio de 2010. Radicación No. 66001-23-31-000-1998-00261-01(17.860). Consejero Ponente: Mauricio Fajardo Gómez.</w:t>
      </w:r>
    </w:p>
  </w:footnote>
  <w:footnote w:id="14">
    <w:p w14:paraId="5001FB81"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Sección Tercera. Subsección C. Sentencia del 11 de diciembre de 2019. Exp. 46.986. C.P. Jaime Enrique Rodríguez Navas.</w:t>
      </w:r>
    </w:p>
  </w:footnote>
  <w:footnote w:id="15">
    <w:p w14:paraId="771A53F5"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«CE. SCSC. Concepto de 1 de noviembre de 2016 [Rad. 11001-03-06-000-2016-00125-00(2305)]. MP. Germán Alberto Bula Escobar».</w:t>
      </w:r>
    </w:p>
  </w:footnote>
  <w:footnote w:id="16">
    <w:p w14:paraId="4813E4E0"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082ACC">
        <w:rPr>
          <w:rFonts w:ascii="Arial" w:hAnsi="Arial" w:cs="Arial"/>
          <w:i/>
          <w:sz w:val="19"/>
          <w:szCs w:val="19"/>
        </w:rPr>
        <w:t>“obligacional”</w:t>
      </w:r>
      <w:r w:rsidRPr="00082AC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17">
    <w:p w14:paraId="3E403D6B"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«La normativa vigente del EGCAP </w:t>
      </w:r>
      <w:r w:rsidRPr="00082ACC">
        <w:rPr>
          <w:rFonts w:ascii="Arial" w:hAnsi="Arial" w:cs="Arial"/>
          <w:i/>
          <w:sz w:val="19"/>
          <w:szCs w:val="19"/>
        </w:rPr>
        <w:t>[literal c) del numeral 4. del artículo 2 de la Ley 1150/07]</w:t>
      </w:r>
      <w:r w:rsidRPr="00082ACC">
        <w:rPr>
          <w:rFonts w:ascii="Arial" w:hAnsi="Arial" w:cs="Arial"/>
          <w:sz w:val="19"/>
          <w:szCs w:val="19"/>
        </w:rPr>
        <w:t xml:space="preserve"> se refiere a </w:t>
      </w:r>
      <w:r w:rsidRPr="00082ACC">
        <w:rPr>
          <w:rFonts w:ascii="Arial" w:hAnsi="Arial" w:cs="Arial"/>
          <w:i/>
          <w:sz w:val="19"/>
          <w:szCs w:val="19"/>
        </w:rPr>
        <w:t>“contratos interadministrativos”</w:t>
      </w:r>
      <w:r w:rsidRPr="00082AC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8">
    <w:p w14:paraId="4180F5C2"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19">
    <w:p w14:paraId="0B60DCAF"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Es lo que sucede, por ejemplo, con el Decreto 092 de 2017, que en su desarrollo hace referencia tanto a los «contratos» como a los «convenios». </w:t>
      </w:r>
    </w:p>
  </w:footnote>
  <w:footnote w:id="20">
    <w:p w14:paraId="1DFEEACF" w14:textId="77777777" w:rsidR="00AC55A0" w:rsidRPr="00082ACC" w:rsidRDefault="00AC55A0" w:rsidP="00A47F66">
      <w:pPr>
        <w:pStyle w:val="Textonotapie"/>
        <w:ind w:firstLine="708"/>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1">
    <w:p w14:paraId="02F5B0E2" w14:textId="77777777" w:rsidR="00E6041F" w:rsidRPr="006A0190" w:rsidRDefault="00E6041F" w:rsidP="00E6041F">
      <w:pPr>
        <w:pStyle w:val="paragraph"/>
        <w:spacing w:before="0" w:beforeAutospacing="0" w:after="0" w:afterAutospacing="0"/>
        <w:ind w:firstLine="709"/>
        <w:jc w:val="both"/>
        <w:textAlignment w:val="baseline"/>
        <w:rPr>
          <w:rFonts w:ascii="Arial" w:hAnsi="Arial" w:cs="Arial"/>
          <w:color w:val="000000" w:themeColor="text1"/>
          <w:sz w:val="19"/>
          <w:szCs w:val="19"/>
        </w:rPr>
      </w:pPr>
      <w:r w:rsidRPr="006A0190">
        <w:rPr>
          <w:rStyle w:val="Refdenotaalpie"/>
          <w:rFonts w:ascii="Arial" w:hAnsi="Arial" w:cs="Arial"/>
          <w:color w:val="000000" w:themeColor="text1"/>
          <w:sz w:val="19"/>
          <w:szCs w:val="19"/>
        </w:rPr>
        <w:footnoteRef/>
      </w:r>
      <w:r w:rsidRPr="006A0190">
        <w:rPr>
          <w:rFonts w:ascii="Arial" w:hAnsi="Arial" w:cs="Arial"/>
          <w:color w:val="000000" w:themeColor="text1"/>
          <w:sz w:val="19"/>
          <w:szCs w:val="19"/>
        </w:rPr>
        <w:t xml:space="preserve"> </w:t>
      </w:r>
      <w:r w:rsidRPr="006A0190">
        <w:rPr>
          <w:rFonts w:ascii="Arial" w:hAnsi="Arial" w:cs="Arial"/>
          <w:color w:val="000000" w:themeColor="text1"/>
          <w:sz w:val="19"/>
          <w:szCs w:val="19"/>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6A0190">
        <w:rPr>
          <w:rFonts w:ascii="Arial" w:hAnsi="Arial" w:cs="Arial"/>
          <w:color w:val="000000" w:themeColor="text1"/>
          <w:sz w:val="19"/>
          <w:szCs w:val="19"/>
        </w:rPr>
        <w:t>  </w:t>
      </w:r>
    </w:p>
    <w:p w14:paraId="268F8DCB" w14:textId="77777777" w:rsidR="00E6041F" w:rsidRPr="006A0190" w:rsidRDefault="00E6041F" w:rsidP="00E6041F">
      <w:pPr>
        <w:pStyle w:val="paragraph"/>
        <w:spacing w:before="0" w:beforeAutospacing="0" w:after="0" w:afterAutospacing="0"/>
        <w:ind w:firstLine="709"/>
        <w:jc w:val="both"/>
        <w:textAlignment w:val="baseline"/>
        <w:rPr>
          <w:rFonts w:ascii="Arial" w:hAnsi="Arial" w:cs="Arial"/>
          <w:color w:val="000000" w:themeColor="text1"/>
          <w:sz w:val="19"/>
          <w:szCs w:val="19"/>
        </w:rPr>
      </w:pPr>
    </w:p>
  </w:footnote>
  <w:footnote w:id="22">
    <w:p w14:paraId="6C3F675B" w14:textId="77777777" w:rsidR="00E6041F" w:rsidRPr="006A0190" w:rsidRDefault="00E6041F" w:rsidP="00E6041F">
      <w:pPr>
        <w:ind w:firstLine="709"/>
        <w:jc w:val="both"/>
        <w:rPr>
          <w:rFonts w:ascii="Arial" w:eastAsia="Times New Roman" w:hAnsi="Arial" w:cs="Arial"/>
          <w:color w:val="000000" w:themeColor="text1"/>
          <w:sz w:val="19"/>
          <w:szCs w:val="19"/>
          <w:lang w:eastAsia="es-MX"/>
        </w:rPr>
      </w:pPr>
      <w:r w:rsidRPr="006A0190">
        <w:rPr>
          <w:rFonts w:ascii="Arial" w:eastAsia="Times New Roman" w:hAnsi="Arial" w:cs="Arial"/>
          <w:color w:val="000000" w:themeColor="text1"/>
          <w:sz w:val="19"/>
          <w:szCs w:val="19"/>
          <w:lang w:val="es-ES" w:eastAsia="es-MX"/>
        </w:rPr>
        <w:t xml:space="preserve"> </w:t>
      </w:r>
      <w:r w:rsidRPr="006A0190">
        <w:rPr>
          <w:rStyle w:val="Refdenotaalpie"/>
          <w:rFonts w:ascii="Arial" w:hAnsi="Arial" w:cs="Arial"/>
          <w:color w:val="000000" w:themeColor="text1"/>
          <w:sz w:val="19"/>
          <w:szCs w:val="19"/>
        </w:rPr>
        <w:footnoteRef/>
      </w:r>
      <w:r w:rsidRPr="006A0190">
        <w:rPr>
          <w:rFonts w:ascii="Arial" w:eastAsia="Times New Roman" w:hAnsi="Arial" w:cs="Arial"/>
          <w:color w:val="000000" w:themeColor="text1"/>
          <w:sz w:val="19"/>
          <w:szCs w:val="19"/>
          <w:lang w:val="es-ES" w:eastAsia="es-MX"/>
        </w:rPr>
        <w:t xml:space="preserve"> Así lo establece la Constitución Política, en el artículo 150, numeral 7, así como en el artículo 300, numeral 7 y en el artículo 313, numeral 6.</w:t>
      </w:r>
    </w:p>
    <w:p w14:paraId="576D1142" w14:textId="77777777" w:rsidR="00E6041F" w:rsidRPr="006A0190" w:rsidRDefault="00E6041F" w:rsidP="00E6041F">
      <w:pPr>
        <w:pStyle w:val="Textonotapie"/>
        <w:ind w:firstLine="709"/>
        <w:rPr>
          <w:rFonts w:ascii="Arial" w:hAnsi="Arial" w:cs="Arial"/>
          <w:sz w:val="19"/>
          <w:szCs w:val="19"/>
          <w:lang w:val="es-ES"/>
        </w:rPr>
      </w:pPr>
    </w:p>
  </w:footnote>
  <w:footnote w:id="23">
    <w:p w14:paraId="0E3BECEB" w14:textId="77777777" w:rsidR="00E6041F" w:rsidRPr="006A0190" w:rsidRDefault="00E6041F" w:rsidP="00E6041F">
      <w:pPr>
        <w:pStyle w:val="Textonotapie"/>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Las sociedades de economía mixta son una clara manifestación organizacional de la función administrativa. Al respecto, la doctrina colombiana ha considerado que «la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 (RINCÓN CÓRDOBA, Jorge Iván. Teoría de la organización administrativa en Colombia, Bogotá: Universidad Externado de Colombia, 2019, pp. 31-32). </w:t>
      </w:r>
    </w:p>
    <w:p w14:paraId="2BFCA1FA" w14:textId="77777777" w:rsidR="00E6041F" w:rsidRPr="006A0190" w:rsidRDefault="00E6041F" w:rsidP="00E6041F">
      <w:pPr>
        <w:pStyle w:val="Textonotapie"/>
        <w:ind w:firstLine="709"/>
        <w:rPr>
          <w:rFonts w:ascii="Arial" w:hAnsi="Arial" w:cs="Arial"/>
          <w:sz w:val="19"/>
          <w:szCs w:val="19"/>
        </w:rPr>
      </w:pPr>
    </w:p>
  </w:footnote>
  <w:footnote w:id="24">
    <w:p w14:paraId="15DECCEA" w14:textId="77777777" w:rsidR="00E6041F" w:rsidRPr="006A0190" w:rsidRDefault="00E6041F" w:rsidP="00E6041F">
      <w:pPr>
        <w:pStyle w:val="Textonotapie"/>
        <w:ind w:firstLine="709"/>
        <w:rPr>
          <w:rFonts w:ascii="Arial" w:hAnsi="Arial" w:cs="Arial"/>
          <w:sz w:val="19"/>
          <w:szCs w:val="19"/>
          <w:lang w:val="es-CO"/>
        </w:rPr>
      </w:pPr>
      <w:r w:rsidRPr="006A0190">
        <w:rPr>
          <w:rStyle w:val="Refdenotaalpie"/>
          <w:rFonts w:ascii="Arial" w:hAnsi="Arial" w:cs="Arial"/>
          <w:sz w:val="19"/>
          <w:szCs w:val="19"/>
        </w:rPr>
        <w:footnoteRef/>
      </w:r>
      <w:r w:rsidRPr="006A0190">
        <w:rPr>
          <w:rFonts w:ascii="Arial" w:hAnsi="Arial" w:cs="Arial"/>
          <w:sz w:val="19"/>
          <w:szCs w:val="19"/>
        </w:rPr>
        <w:t xml:space="preserve"> «Una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 (MONTAÑA PLATA, Alberto. Fundamentos de derecho administrativo. Bogotá: Universidad Externado de Colombia, 2010, p. 124).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D711" w14:textId="77617239" w:rsidR="004A1847" w:rsidRDefault="004A1847">
    <w:pPr>
      <w:pStyle w:val="Encabezado"/>
    </w:pPr>
    <w:r>
      <w:rPr>
        <w:noProof/>
        <w:lang w:val="es-CO" w:eastAsia="es-CO"/>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6F0EF9"/>
    <w:multiLevelType w:val="multilevel"/>
    <w:tmpl w:val="483A64F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58B55F05"/>
    <w:multiLevelType w:val="multilevel"/>
    <w:tmpl w:val="12AC8F7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4"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052ED"/>
    <w:rsid w:val="00007441"/>
    <w:rsid w:val="00015ADB"/>
    <w:rsid w:val="0002161A"/>
    <w:rsid w:val="00023569"/>
    <w:rsid w:val="00023B84"/>
    <w:rsid w:val="00023D72"/>
    <w:rsid w:val="00024CB2"/>
    <w:rsid w:val="0002576C"/>
    <w:rsid w:val="00043106"/>
    <w:rsid w:val="000445C0"/>
    <w:rsid w:val="00045578"/>
    <w:rsid w:val="00051F86"/>
    <w:rsid w:val="00057711"/>
    <w:rsid w:val="00082ACC"/>
    <w:rsid w:val="0008549C"/>
    <w:rsid w:val="00086897"/>
    <w:rsid w:val="000930A6"/>
    <w:rsid w:val="000B0B52"/>
    <w:rsid w:val="000B4778"/>
    <w:rsid w:val="000C5F17"/>
    <w:rsid w:val="000E6484"/>
    <w:rsid w:val="000E6C06"/>
    <w:rsid w:val="000E7A07"/>
    <w:rsid w:val="000F40F5"/>
    <w:rsid w:val="001146A2"/>
    <w:rsid w:val="00121897"/>
    <w:rsid w:val="00123488"/>
    <w:rsid w:val="00124D32"/>
    <w:rsid w:val="00125B36"/>
    <w:rsid w:val="00127233"/>
    <w:rsid w:val="00131A6F"/>
    <w:rsid w:val="00142830"/>
    <w:rsid w:val="00146F73"/>
    <w:rsid w:val="00151942"/>
    <w:rsid w:val="00167278"/>
    <w:rsid w:val="00172738"/>
    <w:rsid w:val="00182850"/>
    <w:rsid w:val="001A4EDA"/>
    <w:rsid w:val="001A6B35"/>
    <w:rsid w:val="001A6F77"/>
    <w:rsid w:val="001B370D"/>
    <w:rsid w:val="001B42A0"/>
    <w:rsid w:val="001B4932"/>
    <w:rsid w:val="001B79DE"/>
    <w:rsid w:val="001C71C9"/>
    <w:rsid w:val="001D1B7F"/>
    <w:rsid w:val="001D4113"/>
    <w:rsid w:val="001D57FC"/>
    <w:rsid w:val="001D76D8"/>
    <w:rsid w:val="001D7A8C"/>
    <w:rsid w:val="001E335C"/>
    <w:rsid w:val="001F3C21"/>
    <w:rsid w:val="00200CF4"/>
    <w:rsid w:val="00206053"/>
    <w:rsid w:val="00206A54"/>
    <w:rsid w:val="00207C6F"/>
    <w:rsid w:val="00227380"/>
    <w:rsid w:val="002322F9"/>
    <w:rsid w:val="00234AEC"/>
    <w:rsid w:val="002350C7"/>
    <w:rsid w:val="0023518A"/>
    <w:rsid w:val="0024078F"/>
    <w:rsid w:val="00243684"/>
    <w:rsid w:val="00244021"/>
    <w:rsid w:val="0024744C"/>
    <w:rsid w:val="00252EE9"/>
    <w:rsid w:val="00254759"/>
    <w:rsid w:val="002753D6"/>
    <w:rsid w:val="00286AE3"/>
    <w:rsid w:val="002908AC"/>
    <w:rsid w:val="00290F8E"/>
    <w:rsid w:val="0029155E"/>
    <w:rsid w:val="002951A0"/>
    <w:rsid w:val="00296CF1"/>
    <w:rsid w:val="00297BED"/>
    <w:rsid w:val="002A1FC9"/>
    <w:rsid w:val="002A64FD"/>
    <w:rsid w:val="002A715B"/>
    <w:rsid w:val="002B4B34"/>
    <w:rsid w:val="002C07E3"/>
    <w:rsid w:val="002C3A6D"/>
    <w:rsid w:val="002C500D"/>
    <w:rsid w:val="002C60AB"/>
    <w:rsid w:val="002C7566"/>
    <w:rsid w:val="002D3362"/>
    <w:rsid w:val="002E7A58"/>
    <w:rsid w:val="00300872"/>
    <w:rsid w:val="003037CB"/>
    <w:rsid w:val="003110BE"/>
    <w:rsid w:val="003119F1"/>
    <w:rsid w:val="00312AA0"/>
    <w:rsid w:val="00313665"/>
    <w:rsid w:val="00313A72"/>
    <w:rsid w:val="003173A0"/>
    <w:rsid w:val="003200DB"/>
    <w:rsid w:val="00321141"/>
    <w:rsid w:val="00324BA2"/>
    <w:rsid w:val="003305D2"/>
    <w:rsid w:val="00337B57"/>
    <w:rsid w:val="00343C3C"/>
    <w:rsid w:val="00350909"/>
    <w:rsid w:val="003511DF"/>
    <w:rsid w:val="00352F42"/>
    <w:rsid w:val="00353B8C"/>
    <w:rsid w:val="0036190F"/>
    <w:rsid w:val="003779A1"/>
    <w:rsid w:val="0038091D"/>
    <w:rsid w:val="00381625"/>
    <w:rsid w:val="003832B2"/>
    <w:rsid w:val="003931D1"/>
    <w:rsid w:val="0039764F"/>
    <w:rsid w:val="003B080E"/>
    <w:rsid w:val="003B12DB"/>
    <w:rsid w:val="003B40B2"/>
    <w:rsid w:val="003C4B65"/>
    <w:rsid w:val="003C4F5D"/>
    <w:rsid w:val="003D0F4D"/>
    <w:rsid w:val="003D58A6"/>
    <w:rsid w:val="003D69C6"/>
    <w:rsid w:val="003E08D6"/>
    <w:rsid w:val="003E2321"/>
    <w:rsid w:val="003E48DF"/>
    <w:rsid w:val="003F1195"/>
    <w:rsid w:val="003F608B"/>
    <w:rsid w:val="00406B8F"/>
    <w:rsid w:val="004103AC"/>
    <w:rsid w:val="004106B3"/>
    <w:rsid w:val="004173D3"/>
    <w:rsid w:val="00421088"/>
    <w:rsid w:val="004242F3"/>
    <w:rsid w:val="00430FB8"/>
    <w:rsid w:val="00443232"/>
    <w:rsid w:val="004455A7"/>
    <w:rsid w:val="00445A79"/>
    <w:rsid w:val="00446BB1"/>
    <w:rsid w:val="004607A7"/>
    <w:rsid w:val="00462EBE"/>
    <w:rsid w:val="00463116"/>
    <w:rsid w:val="004702E4"/>
    <w:rsid w:val="004760B8"/>
    <w:rsid w:val="00491496"/>
    <w:rsid w:val="004A1847"/>
    <w:rsid w:val="004C4963"/>
    <w:rsid w:val="004D62A7"/>
    <w:rsid w:val="004F0060"/>
    <w:rsid w:val="004F1BFA"/>
    <w:rsid w:val="004F4929"/>
    <w:rsid w:val="00504494"/>
    <w:rsid w:val="00510A32"/>
    <w:rsid w:val="005120A7"/>
    <w:rsid w:val="0051342A"/>
    <w:rsid w:val="00513A1B"/>
    <w:rsid w:val="0051450F"/>
    <w:rsid w:val="005218C4"/>
    <w:rsid w:val="005249C0"/>
    <w:rsid w:val="00527FE1"/>
    <w:rsid w:val="005312D6"/>
    <w:rsid w:val="00552B1B"/>
    <w:rsid w:val="00553654"/>
    <w:rsid w:val="00555980"/>
    <w:rsid w:val="005566E8"/>
    <w:rsid w:val="00557A62"/>
    <w:rsid w:val="00565243"/>
    <w:rsid w:val="00573BFF"/>
    <w:rsid w:val="00587C60"/>
    <w:rsid w:val="00596292"/>
    <w:rsid w:val="005A24DC"/>
    <w:rsid w:val="005A2F1B"/>
    <w:rsid w:val="005B0225"/>
    <w:rsid w:val="005B6787"/>
    <w:rsid w:val="005D15F1"/>
    <w:rsid w:val="005D2A61"/>
    <w:rsid w:val="005D4A13"/>
    <w:rsid w:val="005D63E2"/>
    <w:rsid w:val="005D7E48"/>
    <w:rsid w:val="005E266E"/>
    <w:rsid w:val="005F0DBA"/>
    <w:rsid w:val="005F322F"/>
    <w:rsid w:val="005F5B34"/>
    <w:rsid w:val="005F7C91"/>
    <w:rsid w:val="00600F38"/>
    <w:rsid w:val="006069C8"/>
    <w:rsid w:val="0060766C"/>
    <w:rsid w:val="006127FE"/>
    <w:rsid w:val="00620DD3"/>
    <w:rsid w:val="006219F8"/>
    <w:rsid w:val="00641A0C"/>
    <w:rsid w:val="00646CC3"/>
    <w:rsid w:val="0065048A"/>
    <w:rsid w:val="00651584"/>
    <w:rsid w:val="00651A9B"/>
    <w:rsid w:val="00660139"/>
    <w:rsid w:val="00661EDE"/>
    <w:rsid w:val="00663AEE"/>
    <w:rsid w:val="00666C1A"/>
    <w:rsid w:val="00682BF5"/>
    <w:rsid w:val="00683378"/>
    <w:rsid w:val="00692E85"/>
    <w:rsid w:val="00694BFC"/>
    <w:rsid w:val="0069789A"/>
    <w:rsid w:val="006A251B"/>
    <w:rsid w:val="006A2804"/>
    <w:rsid w:val="006A3D0A"/>
    <w:rsid w:val="006B0A9F"/>
    <w:rsid w:val="006B3355"/>
    <w:rsid w:val="006B7A0B"/>
    <w:rsid w:val="006C5E03"/>
    <w:rsid w:val="006C6E46"/>
    <w:rsid w:val="006E4D35"/>
    <w:rsid w:val="006F14B5"/>
    <w:rsid w:val="006F28EA"/>
    <w:rsid w:val="006F68F2"/>
    <w:rsid w:val="007129C6"/>
    <w:rsid w:val="00715A1B"/>
    <w:rsid w:val="007217D2"/>
    <w:rsid w:val="00721B71"/>
    <w:rsid w:val="007247B0"/>
    <w:rsid w:val="007404DA"/>
    <w:rsid w:val="0075619C"/>
    <w:rsid w:val="00761F85"/>
    <w:rsid w:val="007837C0"/>
    <w:rsid w:val="00787DF1"/>
    <w:rsid w:val="007941DD"/>
    <w:rsid w:val="007968D7"/>
    <w:rsid w:val="007A0C25"/>
    <w:rsid w:val="007A18A2"/>
    <w:rsid w:val="007B57C7"/>
    <w:rsid w:val="007C1E8D"/>
    <w:rsid w:val="007E4C53"/>
    <w:rsid w:val="007F032F"/>
    <w:rsid w:val="007F55E2"/>
    <w:rsid w:val="007F77C7"/>
    <w:rsid w:val="0080296C"/>
    <w:rsid w:val="00805CCF"/>
    <w:rsid w:val="00811BBB"/>
    <w:rsid w:val="00814978"/>
    <w:rsid w:val="00817C9A"/>
    <w:rsid w:val="00821A58"/>
    <w:rsid w:val="00823E88"/>
    <w:rsid w:val="0082658D"/>
    <w:rsid w:val="008320CB"/>
    <w:rsid w:val="00833A46"/>
    <w:rsid w:val="00835EC0"/>
    <w:rsid w:val="00837492"/>
    <w:rsid w:val="00841AAA"/>
    <w:rsid w:val="00846CCE"/>
    <w:rsid w:val="00852337"/>
    <w:rsid w:val="0085462C"/>
    <w:rsid w:val="00861727"/>
    <w:rsid w:val="00864980"/>
    <w:rsid w:val="008678FA"/>
    <w:rsid w:val="00872A10"/>
    <w:rsid w:val="00877475"/>
    <w:rsid w:val="00881957"/>
    <w:rsid w:val="00882148"/>
    <w:rsid w:val="00884000"/>
    <w:rsid w:val="00896EDD"/>
    <w:rsid w:val="00896F88"/>
    <w:rsid w:val="008A2445"/>
    <w:rsid w:val="008B30C0"/>
    <w:rsid w:val="008C2C41"/>
    <w:rsid w:val="008D0223"/>
    <w:rsid w:val="008D53FC"/>
    <w:rsid w:val="008D65AA"/>
    <w:rsid w:val="008D78FF"/>
    <w:rsid w:val="008E2E32"/>
    <w:rsid w:val="008F5E5B"/>
    <w:rsid w:val="00924858"/>
    <w:rsid w:val="00937875"/>
    <w:rsid w:val="00941833"/>
    <w:rsid w:val="00945277"/>
    <w:rsid w:val="009508F1"/>
    <w:rsid w:val="00952CDB"/>
    <w:rsid w:val="00961221"/>
    <w:rsid w:val="009667A4"/>
    <w:rsid w:val="009670B6"/>
    <w:rsid w:val="009672DA"/>
    <w:rsid w:val="0098061A"/>
    <w:rsid w:val="009809D8"/>
    <w:rsid w:val="00983E55"/>
    <w:rsid w:val="00983F25"/>
    <w:rsid w:val="00992BE1"/>
    <w:rsid w:val="00992EE2"/>
    <w:rsid w:val="00995828"/>
    <w:rsid w:val="009A6868"/>
    <w:rsid w:val="009A6F10"/>
    <w:rsid w:val="009B7B2D"/>
    <w:rsid w:val="009C32E7"/>
    <w:rsid w:val="009C3E4D"/>
    <w:rsid w:val="009D69E1"/>
    <w:rsid w:val="009F13E8"/>
    <w:rsid w:val="009F4A9B"/>
    <w:rsid w:val="009F4FEC"/>
    <w:rsid w:val="00A01AAD"/>
    <w:rsid w:val="00A078E2"/>
    <w:rsid w:val="00A22F9D"/>
    <w:rsid w:val="00A237AE"/>
    <w:rsid w:val="00A264C3"/>
    <w:rsid w:val="00A31DE0"/>
    <w:rsid w:val="00A445DA"/>
    <w:rsid w:val="00A47F66"/>
    <w:rsid w:val="00A51D40"/>
    <w:rsid w:val="00A656EF"/>
    <w:rsid w:val="00A663CE"/>
    <w:rsid w:val="00AB5678"/>
    <w:rsid w:val="00AC55A0"/>
    <w:rsid w:val="00AE3847"/>
    <w:rsid w:val="00AF0C01"/>
    <w:rsid w:val="00AF2CA6"/>
    <w:rsid w:val="00AF7EEB"/>
    <w:rsid w:val="00B04BFE"/>
    <w:rsid w:val="00B05BE3"/>
    <w:rsid w:val="00B21CD2"/>
    <w:rsid w:val="00B25B2C"/>
    <w:rsid w:val="00B354A3"/>
    <w:rsid w:val="00B410EC"/>
    <w:rsid w:val="00B606F9"/>
    <w:rsid w:val="00B71ED2"/>
    <w:rsid w:val="00B85A96"/>
    <w:rsid w:val="00B95D7E"/>
    <w:rsid w:val="00B97940"/>
    <w:rsid w:val="00BB0A6A"/>
    <w:rsid w:val="00BB64DB"/>
    <w:rsid w:val="00BB76FC"/>
    <w:rsid w:val="00BC0753"/>
    <w:rsid w:val="00BD7D25"/>
    <w:rsid w:val="00BE2D42"/>
    <w:rsid w:val="00BF0B51"/>
    <w:rsid w:val="00BF1BF6"/>
    <w:rsid w:val="00BF78D7"/>
    <w:rsid w:val="00C0127C"/>
    <w:rsid w:val="00C03705"/>
    <w:rsid w:val="00C12335"/>
    <w:rsid w:val="00C2331E"/>
    <w:rsid w:val="00C26BBD"/>
    <w:rsid w:val="00C274B9"/>
    <w:rsid w:val="00C51FB7"/>
    <w:rsid w:val="00C6244D"/>
    <w:rsid w:val="00C632AC"/>
    <w:rsid w:val="00C66397"/>
    <w:rsid w:val="00C754BE"/>
    <w:rsid w:val="00C76779"/>
    <w:rsid w:val="00C7688C"/>
    <w:rsid w:val="00C80706"/>
    <w:rsid w:val="00C8131D"/>
    <w:rsid w:val="00C83215"/>
    <w:rsid w:val="00C83B48"/>
    <w:rsid w:val="00C94C31"/>
    <w:rsid w:val="00C96F35"/>
    <w:rsid w:val="00CB01DB"/>
    <w:rsid w:val="00CB1294"/>
    <w:rsid w:val="00CB4AF9"/>
    <w:rsid w:val="00CB5D54"/>
    <w:rsid w:val="00CC153F"/>
    <w:rsid w:val="00CC1B26"/>
    <w:rsid w:val="00CC68FA"/>
    <w:rsid w:val="00CD66C4"/>
    <w:rsid w:val="00CD6F0A"/>
    <w:rsid w:val="00CF6B21"/>
    <w:rsid w:val="00CF7822"/>
    <w:rsid w:val="00D01879"/>
    <w:rsid w:val="00D01A99"/>
    <w:rsid w:val="00D0777E"/>
    <w:rsid w:val="00D07BE1"/>
    <w:rsid w:val="00D104BC"/>
    <w:rsid w:val="00D114E3"/>
    <w:rsid w:val="00D20457"/>
    <w:rsid w:val="00D2719C"/>
    <w:rsid w:val="00D3339E"/>
    <w:rsid w:val="00D36E8E"/>
    <w:rsid w:val="00D42B73"/>
    <w:rsid w:val="00D46E59"/>
    <w:rsid w:val="00D651A2"/>
    <w:rsid w:val="00D66E63"/>
    <w:rsid w:val="00D719BE"/>
    <w:rsid w:val="00D76C67"/>
    <w:rsid w:val="00D807F3"/>
    <w:rsid w:val="00D82F1C"/>
    <w:rsid w:val="00D95EC9"/>
    <w:rsid w:val="00DA2CAC"/>
    <w:rsid w:val="00DA7D30"/>
    <w:rsid w:val="00DB184D"/>
    <w:rsid w:val="00DB1A19"/>
    <w:rsid w:val="00DB3797"/>
    <w:rsid w:val="00DB556B"/>
    <w:rsid w:val="00DB6306"/>
    <w:rsid w:val="00DB7E40"/>
    <w:rsid w:val="00DD7204"/>
    <w:rsid w:val="00DE0749"/>
    <w:rsid w:val="00DE337A"/>
    <w:rsid w:val="00DF3601"/>
    <w:rsid w:val="00DF6704"/>
    <w:rsid w:val="00DF6BF6"/>
    <w:rsid w:val="00DF7863"/>
    <w:rsid w:val="00E06DFC"/>
    <w:rsid w:val="00E146D5"/>
    <w:rsid w:val="00E14B55"/>
    <w:rsid w:val="00E159DA"/>
    <w:rsid w:val="00E16122"/>
    <w:rsid w:val="00E205A6"/>
    <w:rsid w:val="00E20894"/>
    <w:rsid w:val="00E2645A"/>
    <w:rsid w:val="00E32BE2"/>
    <w:rsid w:val="00E361D0"/>
    <w:rsid w:val="00E432CA"/>
    <w:rsid w:val="00E6041F"/>
    <w:rsid w:val="00E62570"/>
    <w:rsid w:val="00E658E0"/>
    <w:rsid w:val="00E65FB0"/>
    <w:rsid w:val="00E66774"/>
    <w:rsid w:val="00E6799F"/>
    <w:rsid w:val="00E70065"/>
    <w:rsid w:val="00E814E2"/>
    <w:rsid w:val="00E816E5"/>
    <w:rsid w:val="00E94468"/>
    <w:rsid w:val="00EA0A03"/>
    <w:rsid w:val="00EA4411"/>
    <w:rsid w:val="00EA473F"/>
    <w:rsid w:val="00EA6454"/>
    <w:rsid w:val="00EB077A"/>
    <w:rsid w:val="00EB700F"/>
    <w:rsid w:val="00EC51BD"/>
    <w:rsid w:val="00EC5329"/>
    <w:rsid w:val="00EC6767"/>
    <w:rsid w:val="00ED01A1"/>
    <w:rsid w:val="00ED22C6"/>
    <w:rsid w:val="00ED7E44"/>
    <w:rsid w:val="00EE1C90"/>
    <w:rsid w:val="00EE2B64"/>
    <w:rsid w:val="00EF194C"/>
    <w:rsid w:val="00EF7A05"/>
    <w:rsid w:val="00F12061"/>
    <w:rsid w:val="00F160E9"/>
    <w:rsid w:val="00F31623"/>
    <w:rsid w:val="00F35514"/>
    <w:rsid w:val="00F40AB9"/>
    <w:rsid w:val="00F45719"/>
    <w:rsid w:val="00F45F0F"/>
    <w:rsid w:val="00F71925"/>
    <w:rsid w:val="00F72738"/>
    <w:rsid w:val="00F7301F"/>
    <w:rsid w:val="00F76AFC"/>
    <w:rsid w:val="00F87CD1"/>
    <w:rsid w:val="00F9555E"/>
    <w:rsid w:val="00FA5DAD"/>
    <w:rsid w:val="00FB04D9"/>
    <w:rsid w:val="00FB48BE"/>
    <w:rsid w:val="00FC0ABE"/>
    <w:rsid w:val="00FD1A32"/>
    <w:rsid w:val="00FE7C4F"/>
    <w:rsid w:val="00FF0754"/>
    <w:rsid w:val="00FF0E8B"/>
    <w:rsid w:val="00FF23FE"/>
    <w:rsid w:val="00FF5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2457AB38-8FD2-4424-B64F-513AFEAC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D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A656EF"/>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table" w:customStyle="1" w:styleId="Tablaconcuadrcula2">
    <w:name w:val="Tabla con cuadrícula2"/>
    <w:basedOn w:val="Tablanormal"/>
    <w:next w:val="Tablaconcuadrcula"/>
    <w:uiPriority w:val="39"/>
    <w:rsid w:val="00A6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AC55A0"/>
    <w:pPr>
      <w:spacing w:before="100" w:beforeAutospacing="1" w:after="100" w:afterAutospacing="1" w:line="276" w:lineRule="auto"/>
      <w:jc w:val="both"/>
    </w:pPr>
    <w:rPr>
      <w:rFonts w:ascii="Times New Roman" w:eastAsia="Times New Roman" w:hAnsi="Times New Roman" w:cs="Times New Roman"/>
      <w:szCs w:val="24"/>
      <w:lang w:val="es-CO" w:eastAsia="es-CO"/>
    </w:rPr>
  </w:style>
  <w:style w:type="character" w:customStyle="1" w:styleId="baj">
    <w:name w:val="b_aj"/>
    <w:basedOn w:val="Fuentedeprrafopredeter"/>
    <w:rsid w:val="00AC55A0"/>
  </w:style>
  <w:style w:type="character" w:customStyle="1" w:styleId="NormalWebCar">
    <w:name w:val="Normal (Web) Car"/>
    <w:link w:val="NormalWeb"/>
    <w:uiPriority w:val="99"/>
    <w:rsid w:val="00AC55A0"/>
    <w:rPr>
      <w:rFonts w:ascii="Times New Roman" w:eastAsia="Times New Roman" w:hAnsi="Times New Roman" w:cs="Times New Roman"/>
      <w:sz w:val="24"/>
      <w:szCs w:val="24"/>
      <w:lang w:eastAsia="es-CO"/>
    </w:rPr>
  </w:style>
  <w:style w:type="paragraph" w:styleId="Revisin">
    <w:name w:val="Revision"/>
    <w:hidden/>
    <w:uiPriority w:val="99"/>
    <w:semiHidden/>
    <w:rsid w:val="001A6F77"/>
    <w:pPr>
      <w:spacing w:after="0" w:line="240" w:lineRule="auto"/>
    </w:pPr>
    <w:rPr>
      <w:sz w:val="24"/>
      <w:lang w:val="es-MX"/>
    </w:rPr>
  </w:style>
  <w:style w:type="character" w:styleId="Refdecomentario">
    <w:name w:val="annotation reference"/>
    <w:basedOn w:val="Fuentedeprrafopredeter"/>
    <w:uiPriority w:val="99"/>
    <w:semiHidden/>
    <w:unhideWhenUsed/>
    <w:rsid w:val="00F9555E"/>
    <w:rPr>
      <w:sz w:val="16"/>
      <w:szCs w:val="16"/>
    </w:rPr>
  </w:style>
  <w:style w:type="paragraph" w:styleId="Textocomentario">
    <w:name w:val="annotation text"/>
    <w:basedOn w:val="Normal"/>
    <w:link w:val="TextocomentarioCar"/>
    <w:uiPriority w:val="99"/>
    <w:semiHidden/>
    <w:unhideWhenUsed/>
    <w:rsid w:val="00F9555E"/>
    <w:rPr>
      <w:sz w:val="20"/>
      <w:szCs w:val="20"/>
    </w:rPr>
  </w:style>
  <w:style w:type="character" w:customStyle="1" w:styleId="TextocomentarioCar">
    <w:name w:val="Texto comentario Car"/>
    <w:basedOn w:val="Fuentedeprrafopredeter"/>
    <w:link w:val="Textocomentario"/>
    <w:uiPriority w:val="99"/>
    <w:semiHidden/>
    <w:rsid w:val="00F9555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9555E"/>
    <w:rPr>
      <w:b/>
      <w:bCs/>
    </w:rPr>
  </w:style>
  <w:style w:type="character" w:customStyle="1" w:styleId="AsuntodelcomentarioCar">
    <w:name w:val="Asunto del comentario Car"/>
    <w:basedOn w:val="TextocomentarioCar"/>
    <w:link w:val="Asuntodelcomentario"/>
    <w:uiPriority w:val="99"/>
    <w:semiHidden/>
    <w:rsid w:val="00F9555E"/>
    <w:rPr>
      <w:b/>
      <w:bCs/>
      <w:sz w:val="20"/>
      <w:szCs w:val="20"/>
      <w:lang w:val="es-MX"/>
    </w:rPr>
  </w:style>
  <w:style w:type="table" w:customStyle="1" w:styleId="Tablaconcuadrcula12">
    <w:name w:val="Tabla con cuadrícula12"/>
    <w:basedOn w:val="Tablanormal"/>
    <w:next w:val="Tablaconcuadrcula"/>
    <w:uiPriority w:val="39"/>
    <w:rsid w:val="00F87CD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D104BC"/>
    <w:rPr>
      <w:color w:val="605E5C"/>
      <w:shd w:val="clear" w:color="auto" w:fill="E1DFDD"/>
    </w:rPr>
  </w:style>
  <w:style w:type="paragraph" w:customStyle="1" w:styleId="paragraph">
    <w:name w:val="paragraph"/>
    <w:basedOn w:val="Normal"/>
    <w:rsid w:val="00E6041F"/>
    <w:pPr>
      <w:spacing w:before="100" w:beforeAutospacing="1" w:after="100" w:afterAutospacing="1"/>
    </w:pPr>
    <w:rPr>
      <w:rFonts w:ascii="Times New Roman" w:eastAsia="Times New Roman" w:hAnsi="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ianakbaqueroh@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86D2B5F-6FBB-4AE5-8D2F-61F12E412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infopath/2007/PartnerControls"/>
    <ds:schemaRef ds:uri="9d85dbaf-23eb-4e57-a637-93dcacc8b1a1"/>
    <ds:schemaRef ds:uri="http://purl.org/dc/terms/"/>
    <ds:schemaRef ds:uri="http://schemas.microsoft.com/office/2006/documentManagement/types"/>
    <ds:schemaRef ds:uri="http://purl.org/dc/dcmitype/"/>
    <ds:schemaRef ds:uri="http://purl.org/dc/elements/1.1/"/>
    <ds:schemaRef ds:uri="a6cb9e4b-f1d1-4245-83ec-6cad768d538a"/>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ABC62EA-12FF-499C-B831-D06E48C6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7898</Words>
  <Characters>43445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Samuel Fominaya Carrillo</cp:lastModifiedBy>
  <cp:revision>2</cp:revision>
  <dcterms:created xsi:type="dcterms:W3CDTF">2023-05-24T22:37:00Z</dcterms:created>
  <dcterms:modified xsi:type="dcterms:W3CDTF">2023-05-24T22:37:00Z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