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9DDA" w14:textId="77777777" w:rsidR="00DA7B2A" w:rsidRPr="00922B3B" w:rsidRDefault="00DA7B2A" w:rsidP="00DA7B2A">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5F541D">
        <w:rPr>
          <w:rFonts w:ascii="Arial" w:eastAsia="Calibri" w:hAnsi="Arial" w:cs="Arial"/>
          <w:b/>
          <w:bCs/>
          <w:color w:val="000000" w:themeColor="text1"/>
          <w:lang w:val="es-MX"/>
        </w:rPr>
        <w:t>INHABILIDADES</w:t>
      </w:r>
      <w:r w:rsidRPr="00CA1CBD">
        <w:rPr>
          <w:rFonts w:ascii="Arial" w:eastAsia="Calibri" w:hAnsi="Arial" w:cs="Arial"/>
          <w:b/>
          <w:bCs/>
          <w:color w:val="000000" w:themeColor="text1"/>
          <w:lang w:val="es-MX"/>
        </w:rPr>
        <w:t xml:space="preserve"> </w:t>
      </w:r>
      <w:r w:rsidRPr="005F541D">
        <w:rPr>
          <w:rFonts w:ascii="Arial" w:eastAsia="Calibri" w:hAnsi="Arial" w:cs="Arial"/>
          <w:b/>
          <w:bCs/>
          <w:color w:val="000000" w:themeColor="text1"/>
          <w:lang w:val="es-MX"/>
        </w:rPr>
        <w:t>– Definición –</w:t>
      </w:r>
      <w:r w:rsidRPr="00CA1CBD">
        <w:rPr>
          <w:rFonts w:ascii="Arial" w:eastAsia="Calibri" w:hAnsi="Arial" w:cs="Arial"/>
          <w:b/>
          <w:bCs/>
          <w:color w:val="000000" w:themeColor="text1"/>
          <w:lang w:val="es-MX"/>
        </w:rPr>
        <w:t xml:space="preserve"> Finalidad – Limitación capacidad contractual</w:t>
      </w:r>
      <w:r w:rsidRPr="00922B3B">
        <w:rPr>
          <w:rFonts w:ascii="Arial" w:eastAsia="Calibri" w:hAnsi="Arial" w:cs="Arial"/>
          <w:b/>
          <w:bCs/>
          <w:color w:val="000000" w:themeColor="text1"/>
          <w:lang w:val="es-ES"/>
        </w:rPr>
        <w:t xml:space="preserve"> </w:t>
      </w:r>
    </w:p>
    <w:p w14:paraId="5CA39813" w14:textId="77777777" w:rsidR="00DA7B2A" w:rsidRPr="00504597" w:rsidRDefault="00DA7B2A" w:rsidP="00DA7B2A">
      <w:pPr>
        <w:spacing w:after="0" w:line="240" w:lineRule="auto"/>
        <w:jc w:val="both"/>
        <w:rPr>
          <w:rFonts w:ascii="Arial" w:eastAsia="Calibri" w:hAnsi="Arial" w:cs="Arial"/>
          <w:b/>
          <w:bCs/>
          <w:color w:val="000000" w:themeColor="text1"/>
          <w:sz w:val="20"/>
          <w:szCs w:val="20"/>
          <w:lang w:val="es-MX"/>
        </w:rPr>
      </w:pPr>
    </w:p>
    <w:p w14:paraId="0B0DEFB1" w14:textId="77777777" w:rsidR="00DA7B2A" w:rsidRDefault="00DA7B2A" w:rsidP="00DA7B2A">
      <w:pPr>
        <w:spacing w:after="0" w:line="240" w:lineRule="auto"/>
        <w:jc w:val="both"/>
        <w:rPr>
          <w:rFonts w:ascii="Arial" w:eastAsia="Calibri" w:hAnsi="Arial" w:cs="Arial"/>
          <w:bCs/>
          <w:color w:val="000000" w:themeColor="text1"/>
          <w:sz w:val="20"/>
          <w:szCs w:val="20"/>
          <w:lang w:val="es-MX"/>
        </w:rPr>
      </w:pPr>
      <w:r w:rsidRPr="00CA1CBD">
        <w:rPr>
          <w:rFonts w:ascii="Arial" w:eastAsia="Calibri" w:hAnsi="Arial" w:cs="Arial"/>
          <w:bCs/>
          <w:color w:val="000000" w:themeColor="text1"/>
          <w:sz w:val="20"/>
          <w:szCs w:val="20"/>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30B10429" w14:textId="77777777" w:rsidR="00DA7B2A" w:rsidRPr="00CA1CBD" w:rsidRDefault="00DA7B2A" w:rsidP="00DA7B2A">
      <w:pPr>
        <w:spacing w:after="0" w:line="240" w:lineRule="auto"/>
        <w:jc w:val="both"/>
        <w:rPr>
          <w:rFonts w:ascii="Arial" w:eastAsia="Calibri" w:hAnsi="Arial" w:cs="Arial"/>
          <w:bCs/>
          <w:color w:val="000000" w:themeColor="text1"/>
          <w:sz w:val="20"/>
          <w:szCs w:val="20"/>
          <w:lang w:val="es-MX"/>
        </w:rPr>
      </w:pPr>
    </w:p>
    <w:p w14:paraId="11F96ED7" w14:textId="77777777" w:rsidR="00DA7B2A" w:rsidRPr="00CA1CBD" w:rsidRDefault="00DA7B2A" w:rsidP="00DA7B2A">
      <w:pPr>
        <w:spacing w:after="0" w:line="240" w:lineRule="auto"/>
        <w:jc w:val="both"/>
        <w:rPr>
          <w:rFonts w:ascii="Arial" w:eastAsia="Calibri" w:hAnsi="Arial" w:cs="Arial"/>
          <w:bCs/>
          <w:color w:val="000000" w:themeColor="text1"/>
          <w:sz w:val="20"/>
          <w:szCs w:val="20"/>
          <w:lang w:val="es-MX"/>
        </w:rPr>
      </w:pPr>
      <w:r w:rsidRPr="00CA1CBD">
        <w:rPr>
          <w:rFonts w:ascii="Arial" w:eastAsia="Calibri" w:hAnsi="Arial" w:cs="Arial"/>
          <w:bCs/>
          <w:color w:val="000000" w:themeColor="text1"/>
          <w:sz w:val="20"/>
          <w:szCs w:val="20"/>
          <w:lang w:val="es-MX"/>
        </w:rPr>
        <w:t xml:space="preserve">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w:t>
      </w:r>
    </w:p>
    <w:p w14:paraId="291DEEB2" w14:textId="77777777" w:rsidR="00DA7B2A" w:rsidRPr="005F541D" w:rsidRDefault="00DA7B2A" w:rsidP="00DA7B2A">
      <w:pPr>
        <w:spacing w:after="0" w:line="240" w:lineRule="auto"/>
        <w:jc w:val="both"/>
        <w:rPr>
          <w:rFonts w:ascii="Arial" w:eastAsia="Calibri" w:hAnsi="Arial" w:cs="Arial"/>
          <w:bCs/>
          <w:color w:val="FF0000"/>
          <w:sz w:val="20"/>
          <w:szCs w:val="20"/>
          <w:lang w:val="es-ES"/>
        </w:rPr>
      </w:pPr>
    </w:p>
    <w:p w14:paraId="7C5AEC2A" w14:textId="77777777" w:rsidR="00DA7B2A" w:rsidRPr="00922B3B" w:rsidRDefault="00DA7B2A" w:rsidP="00DA7B2A">
      <w:pPr>
        <w:spacing w:after="0" w:line="240" w:lineRule="auto"/>
        <w:jc w:val="both"/>
        <w:rPr>
          <w:rFonts w:ascii="Arial" w:eastAsia="Calibri" w:hAnsi="Arial" w:cs="Arial"/>
          <w:b/>
          <w:bCs/>
          <w:color w:val="000000" w:themeColor="text1"/>
          <w:lang w:val="es-ES"/>
        </w:rPr>
      </w:pPr>
      <w:r w:rsidRPr="005F541D">
        <w:rPr>
          <w:rFonts w:ascii="Arial" w:eastAsia="Calibri" w:hAnsi="Arial" w:cs="Arial"/>
          <w:b/>
          <w:bCs/>
          <w:lang w:val="es-ES"/>
        </w:rPr>
        <w:t xml:space="preserve">CONTRATACIÓN ESTATAL – </w:t>
      </w:r>
      <w:r w:rsidRPr="00CA1CBD">
        <w:rPr>
          <w:rFonts w:ascii="Arial" w:eastAsia="Calibri" w:hAnsi="Arial" w:cs="Arial"/>
          <w:b/>
          <w:bCs/>
          <w:color w:val="000000" w:themeColor="text1"/>
          <w:lang w:val="es-ES"/>
        </w:rPr>
        <w:t>Capacidad – Validez contratos – Régimen de contratación – Inscripción – Limitación de la capacidad</w:t>
      </w:r>
      <w:r w:rsidRPr="00922B3B">
        <w:rPr>
          <w:rFonts w:ascii="Arial" w:eastAsia="Calibri" w:hAnsi="Arial" w:cs="Arial"/>
          <w:b/>
          <w:bCs/>
          <w:color w:val="000000" w:themeColor="text1"/>
          <w:lang w:val="es-ES"/>
        </w:rPr>
        <w:t xml:space="preserve"> </w:t>
      </w:r>
    </w:p>
    <w:p w14:paraId="47230EBA" w14:textId="77777777" w:rsidR="00DA7B2A" w:rsidRPr="00504597" w:rsidRDefault="00DA7B2A" w:rsidP="00DA7B2A">
      <w:pPr>
        <w:spacing w:after="0" w:line="240" w:lineRule="auto"/>
        <w:jc w:val="both"/>
        <w:rPr>
          <w:rFonts w:ascii="Arial" w:eastAsia="Calibri" w:hAnsi="Arial" w:cs="Arial"/>
          <w:b/>
          <w:bCs/>
          <w:color w:val="000000" w:themeColor="text1"/>
          <w:sz w:val="20"/>
          <w:szCs w:val="20"/>
          <w:lang w:val="es-ES"/>
        </w:rPr>
      </w:pPr>
    </w:p>
    <w:p w14:paraId="26F8DEFF" w14:textId="77777777" w:rsidR="00DA7B2A" w:rsidRDefault="00DA7B2A" w:rsidP="00DA7B2A">
      <w:pPr>
        <w:spacing w:after="0" w:line="240" w:lineRule="auto"/>
        <w:jc w:val="both"/>
        <w:rPr>
          <w:rFonts w:ascii="Arial" w:eastAsia="Calibri" w:hAnsi="Arial" w:cs="Arial"/>
          <w:bCs/>
          <w:color w:val="000000" w:themeColor="text1"/>
          <w:sz w:val="20"/>
          <w:szCs w:val="20"/>
          <w:lang w:val="es-ES_tradnl"/>
        </w:rPr>
      </w:pPr>
      <w:r w:rsidRPr="00CA1CBD">
        <w:rPr>
          <w:rFonts w:ascii="Arial" w:eastAsia="Calibri" w:hAnsi="Arial" w:cs="Arial"/>
          <w:bCs/>
          <w:color w:val="000000" w:themeColor="text1"/>
          <w:sz w:val="20"/>
          <w:szCs w:val="20"/>
          <w:lang w:val="es-ES_tradnl"/>
        </w:rPr>
        <w:t xml:space="preserve">En la contratación estatal, la </w:t>
      </w:r>
      <w:r w:rsidRPr="00CA1CBD">
        <w:rPr>
          <w:rFonts w:ascii="Arial" w:eastAsia="Calibri" w:hAnsi="Arial" w:cs="Arial"/>
          <w:bCs/>
          <w:i/>
          <w:iCs/>
          <w:color w:val="000000" w:themeColor="text1"/>
          <w:sz w:val="20"/>
          <w:szCs w:val="20"/>
          <w:lang w:val="es-ES_tradnl"/>
        </w:rPr>
        <w:t>capacidad</w:t>
      </w:r>
      <w:r w:rsidRPr="00CA1CBD">
        <w:rPr>
          <w:rFonts w:ascii="Arial" w:eastAsia="Calibri" w:hAnsi="Arial" w:cs="Arial"/>
          <w:bCs/>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348FA5EB" w14:textId="77777777" w:rsidR="00DA7B2A" w:rsidRPr="00CA1CBD" w:rsidRDefault="00DA7B2A" w:rsidP="00DA7B2A">
      <w:pPr>
        <w:spacing w:after="0" w:line="240" w:lineRule="auto"/>
        <w:jc w:val="both"/>
        <w:rPr>
          <w:rFonts w:ascii="Arial" w:eastAsia="Calibri" w:hAnsi="Arial" w:cs="Arial"/>
          <w:bCs/>
          <w:color w:val="000000" w:themeColor="text1"/>
          <w:sz w:val="20"/>
          <w:szCs w:val="20"/>
          <w:lang w:val="es-ES_tradnl"/>
        </w:rPr>
      </w:pPr>
    </w:p>
    <w:p w14:paraId="05DCF494" w14:textId="77777777" w:rsidR="00DA7B2A" w:rsidRPr="00CA1CBD" w:rsidRDefault="00DA7B2A" w:rsidP="00DA7B2A">
      <w:pPr>
        <w:spacing w:after="0" w:line="240" w:lineRule="auto"/>
        <w:jc w:val="both"/>
        <w:rPr>
          <w:rFonts w:ascii="Arial" w:eastAsia="Calibri" w:hAnsi="Arial" w:cs="Arial"/>
          <w:bCs/>
          <w:color w:val="000000" w:themeColor="text1"/>
          <w:sz w:val="20"/>
          <w:szCs w:val="20"/>
          <w:lang w:val="es-ES_tradnl"/>
        </w:rPr>
      </w:pPr>
      <w:r w:rsidRPr="00CA1CBD">
        <w:rPr>
          <w:rFonts w:ascii="Arial" w:eastAsia="Calibri" w:hAnsi="Arial" w:cs="Arial"/>
          <w:bCs/>
          <w:color w:val="000000" w:themeColor="text1"/>
          <w:sz w:val="20"/>
          <w:szCs w:val="20"/>
          <w:lang w:val="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089F7AD4" w14:textId="77777777" w:rsidR="00DA7B2A" w:rsidRPr="00504597" w:rsidRDefault="00DA7B2A" w:rsidP="00DA7B2A">
      <w:pPr>
        <w:spacing w:after="0" w:line="240" w:lineRule="auto"/>
        <w:jc w:val="both"/>
        <w:rPr>
          <w:rFonts w:ascii="Arial" w:eastAsia="Calibri" w:hAnsi="Arial" w:cs="Arial"/>
          <w:bCs/>
          <w:color w:val="000000" w:themeColor="text1"/>
          <w:sz w:val="20"/>
          <w:szCs w:val="20"/>
          <w:lang w:val="es-ES"/>
        </w:rPr>
      </w:pPr>
    </w:p>
    <w:p w14:paraId="6937DF2B" w14:textId="77777777" w:rsidR="00DA7B2A" w:rsidRPr="00504597" w:rsidRDefault="00DA7B2A" w:rsidP="00DA7B2A">
      <w:pPr>
        <w:spacing w:after="0" w:line="240" w:lineRule="auto"/>
        <w:jc w:val="both"/>
        <w:rPr>
          <w:rFonts w:ascii="Arial" w:eastAsia="Calibri" w:hAnsi="Arial" w:cs="Arial"/>
          <w:b/>
          <w:bCs/>
          <w:color w:val="000000" w:themeColor="text1"/>
          <w:sz w:val="20"/>
          <w:szCs w:val="20"/>
          <w:lang w:val="es-ES"/>
        </w:rPr>
      </w:pPr>
      <w:r w:rsidRPr="005F541D">
        <w:rPr>
          <w:rFonts w:ascii="Arial" w:eastAsia="Calibri" w:hAnsi="Arial" w:cs="Arial"/>
          <w:b/>
          <w:bCs/>
          <w:color w:val="000000" w:themeColor="text1"/>
          <w:lang w:val="es-ES"/>
        </w:rPr>
        <w:t>INHABILIDADES</w:t>
      </w:r>
      <w:r w:rsidRPr="00CA1CBD">
        <w:rPr>
          <w:rFonts w:ascii="Arial" w:eastAsia="Calibri" w:hAnsi="Arial" w:cs="Arial"/>
          <w:b/>
          <w:bCs/>
          <w:color w:val="000000" w:themeColor="text1"/>
          <w:lang w:val="es-ES"/>
        </w:rPr>
        <w:t xml:space="preserve"> – Taxatividad – Principio de legalidad – Interpretación restrictiva</w:t>
      </w:r>
    </w:p>
    <w:p w14:paraId="1F7971C1" w14:textId="77777777" w:rsidR="00DA7B2A" w:rsidRDefault="00DA7B2A" w:rsidP="00DA7B2A">
      <w:pPr>
        <w:spacing w:after="0" w:line="240" w:lineRule="auto"/>
        <w:jc w:val="both"/>
        <w:rPr>
          <w:rFonts w:ascii="Arial" w:eastAsia="Calibri" w:hAnsi="Arial" w:cs="Arial"/>
          <w:color w:val="000000" w:themeColor="text1"/>
          <w:sz w:val="20"/>
          <w:szCs w:val="20"/>
          <w:lang w:val="es-ES"/>
        </w:rPr>
      </w:pPr>
    </w:p>
    <w:p w14:paraId="110DB9A1" w14:textId="77777777" w:rsidR="00DA7B2A" w:rsidRPr="00CA1CBD" w:rsidRDefault="00DA7B2A" w:rsidP="00DA7B2A">
      <w:pPr>
        <w:spacing w:after="0" w:line="240" w:lineRule="auto"/>
        <w:jc w:val="both"/>
        <w:rPr>
          <w:rFonts w:ascii="Arial" w:eastAsia="Calibri" w:hAnsi="Arial" w:cs="Arial"/>
          <w:color w:val="000000" w:themeColor="text1"/>
          <w:sz w:val="20"/>
          <w:szCs w:val="20"/>
          <w:lang w:val="es-ES_tradnl"/>
        </w:rPr>
      </w:pPr>
      <w:r w:rsidRPr="00CA1CBD">
        <w:rPr>
          <w:rFonts w:ascii="Arial" w:eastAsia="Calibri" w:hAnsi="Arial" w:cs="Arial"/>
          <w:color w:val="000000" w:themeColor="text1"/>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CA1CBD">
        <w:rPr>
          <w:rFonts w:ascii="Arial" w:eastAsia="Calibri" w:hAnsi="Arial" w:cs="Arial"/>
          <w:i/>
          <w:iCs/>
          <w:color w:val="000000" w:themeColor="text1"/>
          <w:sz w:val="20"/>
          <w:szCs w:val="20"/>
          <w:lang w:val="es-ES_tradnl"/>
        </w:rPr>
        <w:t>restrictiva</w:t>
      </w:r>
      <w:r w:rsidRPr="00CA1CBD">
        <w:rPr>
          <w:rFonts w:ascii="Arial" w:eastAsia="Calibri" w:hAnsi="Arial" w:cs="Arial"/>
          <w:color w:val="000000" w:themeColor="text1"/>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56971806" w14:textId="77777777" w:rsidR="00DA7B2A" w:rsidRPr="00504597" w:rsidRDefault="00DA7B2A" w:rsidP="00DA7B2A">
      <w:pPr>
        <w:spacing w:after="0" w:line="240" w:lineRule="auto"/>
        <w:jc w:val="both"/>
        <w:rPr>
          <w:rFonts w:ascii="Arial" w:eastAsia="Calibri" w:hAnsi="Arial" w:cs="Arial"/>
          <w:b/>
          <w:bCs/>
          <w:color w:val="000000" w:themeColor="text1"/>
          <w:sz w:val="20"/>
          <w:szCs w:val="20"/>
          <w:lang w:val="es-ES"/>
        </w:rPr>
      </w:pPr>
    </w:p>
    <w:p w14:paraId="7D818368" w14:textId="77777777" w:rsidR="00DA7B2A" w:rsidRPr="00922B3B" w:rsidRDefault="00DA7B2A" w:rsidP="00DA7B2A">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t>LEY 2097 DE 2021</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REDAM</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Objeto</w:t>
      </w:r>
      <w:r w:rsidRPr="00922B3B">
        <w:rPr>
          <w:rFonts w:ascii="Arial" w:eastAsia="Calibri" w:hAnsi="Arial" w:cs="Arial"/>
          <w:b/>
          <w:bCs/>
          <w:color w:val="000000" w:themeColor="text1"/>
        </w:rPr>
        <w:t xml:space="preserve"> </w:t>
      </w:r>
    </w:p>
    <w:p w14:paraId="6C9B15D4" w14:textId="77777777" w:rsidR="00DA7B2A" w:rsidRPr="00504597" w:rsidRDefault="00DA7B2A" w:rsidP="00DA7B2A">
      <w:pPr>
        <w:spacing w:after="0" w:line="240" w:lineRule="auto"/>
        <w:jc w:val="both"/>
        <w:rPr>
          <w:rFonts w:ascii="Arial" w:eastAsia="Calibri" w:hAnsi="Arial" w:cs="Arial"/>
          <w:b/>
          <w:bCs/>
          <w:color w:val="000000" w:themeColor="text1"/>
          <w:sz w:val="20"/>
          <w:szCs w:val="20"/>
        </w:rPr>
      </w:pPr>
    </w:p>
    <w:p w14:paraId="14A15955" w14:textId="77777777" w:rsidR="00DA7B2A" w:rsidRPr="00C71736" w:rsidRDefault="00DA7B2A" w:rsidP="00DA7B2A">
      <w:pPr>
        <w:spacing w:after="0" w:line="240" w:lineRule="auto"/>
        <w:jc w:val="both"/>
        <w:rPr>
          <w:rFonts w:ascii="Arial" w:eastAsia="Calibri" w:hAnsi="Arial" w:cs="Arial"/>
          <w:bCs/>
          <w:color w:val="000000" w:themeColor="text1"/>
          <w:sz w:val="20"/>
          <w:szCs w:val="20"/>
        </w:rPr>
      </w:pPr>
      <w:r w:rsidRPr="00C71736">
        <w:rPr>
          <w:rFonts w:ascii="Arial" w:eastAsia="Calibri" w:hAnsi="Arial" w:cs="Arial"/>
          <w:bCs/>
          <w:color w:val="000000" w:themeColor="text1"/>
          <w:sz w:val="20"/>
          <w:szCs w:val="20"/>
        </w:rPr>
        <w:lastRenderedPageBreak/>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(Redam),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p>
    <w:p w14:paraId="0CECDA57" w14:textId="77777777" w:rsidR="00DA7B2A" w:rsidRPr="00504597" w:rsidRDefault="00DA7B2A" w:rsidP="00DA7B2A">
      <w:pPr>
        <w:spacing w:after="0" w:line="240" w:lineRule="auto"/>
        <w:jc w:val="both"/>
        <w:rPr>
          <w:rFonts w:ascii="Arial" w:eastAsia="Calibri" w:hAnsi="Arial" w:cs="Arial"/>
          <w:b/>
          <w:bCs/>
          <w:color w:val="000000" w:themeColor="text1"/>
          <w:sz w:val="20"/>
          <w:szCs w:val="20"/>
          <w:lang w:val="es-ES"/>
        </w:rPr>
      </w:pPr>
    </w:p>
    <w:p w14:paraId="7580E184" w14:textId="77777777" w:rsidR="00DA7B2A" w:rsidRPr="00922B3B" w:rsidRDefault="00DA7B2A" w:rsidP="00DA7B2A">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t>OBLIGACIÓN ALIMENTARIA</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 xml:space="preserve">Definición </w:t>
      </w:r>
    </w:p>
    <w:p w14:paraId="6C5881B5" w14:textId="77777777" w:rsidR="00DA7B2A" w:rsidRPr="00504597" w:rsidRDefault="00DA7B2A" w:rsidP="00DA7B2A">
      <w:pPr>
        <w:spacing w:after="0" w:line="240" w:lineRule="auto"/>
        <w:jc w:val="both"/>
        <w:rPr>
          <w:rFonts w:ascii="Arial" w:eastAsia="Calibri" w:hAnsi="Arial" w:cs="Arial"/>
          <w:bCs/>
          <w:color w:val="000000" w:themeColor="text1"/>
          <w:sz w:val="20"/>
          <w:szCs w:val="20"/>
          <w:lang w:val="es-ES"/>
        </w:rPr>
      </w:pPr>
    </w:p>
    <w:p w14:paraId="1A74E73B" w14:textId="77777777" w:rsidR="00DA7B2A" w:rsidRDefault="00DA7B2A" w:rsidP="00DA7B2A">
      <w:pPr>
        <w:spacing w:after="0" w:line="240" w:lineRule="auto"/>
        <w:jc w:val="both"/>
        <w:rPr>
          <w:rFonts w:ascii="Arial" w:eastAsia="Calibri" w:hAnsi="Arial" w:cs="Arial"/>
          <w:bCs/>
          <w:color w:val="000000" w:themeColor="text1"/>
          <w:sz w:val="20"/>
          <w:szCs w:val="20"/>
        </w:rPr>
      </w:pPr>
      <w:r w:rsidRPr="00C71736">
        <w:rPr>
          <w:rFonts w:ascii="Arial" w:eastAsia="Calibri" w:hAnsi="Arial" w:cs="Arial"/>
          <w:bCs/>
          <w:color w:val="000000" w:themeColor="text1"/>
          <w:sz w:val="20"/>
          <w:szCs w:val="20"/>
        </w:rPr>
        <w:t xml:space="preserve">Etimológicamente, la palabra “alimentos” deriva de la expresión latina </w:t>
      </w:r>
      <w:r w:rsidRPr="00C71736">
        <w:rPr>
          <w:rFonts w:ascii="Arial" w:eastAsia="Calibri" w:hAnsi="Arial" w:cs="Arial"/>
          <w:bCs/>
          <w:i/>
          <w:iCs/>
          <w:color w:val="000000" w:themeColor="text1"/>
          <w:sz w:val="20"/>
          <w:szCs w:val="20"/>
        </w:rPr>
        <w:t>alimentum</w:t>
      </w:r>
      <w:r w:rsidRPr="00C71736">
        <w:rPr>
          <w:rFonts w:ascii="Arial" w:eastAsia="Calibri" w:hAnsi="Arial" w:cs="Arial"/>
          <w:bCs/>
          <w:color w:val="000000" w:themeColor="text1"/>
          <w:sz w:val="20"/>
          <w:szCs w:val="20"/>
        </w:rPr>
        <w:t xml:space="preserve">, la cual se compone del verbo </w:t>
      </w:r>
      <w:r w:rsidRPr="00C71736">
        <w:rPr>
          <w:rFonts w:ascii="Arial" w:eastAsia="Calibri" w:hAnsi="Arial" w:cs="Arial"/>
          <w:bCs/>
          <w:i/>
          <w:iCs/>
          <w:color w:val="000000" w:themeColor="text1"/>
          <w:sz w:val="20"/>
          <w:szCs w:val="20"/>
        </w:rPr>
        <w:t>alere</w:t>
      </w:r>
      <w:r w:rsidRPr="00C71736">
        <w:rPr>
          <w:rFonts w:ascii="Arial" w:eastAsia="Calibri" w:hAnsi="Arial" w:cs="Arial"/>
          <w:bCs/>
          <w:color w:val="000000" w:themeColor="text1"/>
          <w:sz w:val="20"/>
          <w:szCs w:val="20"/>
        </w:rPr>
        <w:t xml:space="preserve"> –que significa criar</w:t>
      </w:r>
      <w:r>
        <w:rPr>
          <w:rFonts w:ascii="Arial" w:eastAsia="Calibri" w:hAnsi="Arial" w:cs="Arial"/>
          <w:bCs/>
          <w:color w:val="000000" w:themeColor="text1"/>
          <w:sz w:val="20"/>
          <w:szCs w:val="20"/>
        </w:rPr>
        <w:t>,</w:t>
      </w:r>
      <w:r w:rsidRPr="00C71736">
        <w:rPr>
          <w:rFonts w:ascii="Arial" w:eastAsia="Calibri" w:hAnsi="Arial" w:cs="Arial"/>
          <w:bCs/>
          <w:color w:val="000000" w:themeColor="text1"/>
          <w:sz w:val="20"/>
          <w:szCs w:val="20"/>
        </w:rPr>
        <w:t xml:space="preserve"> nutrir o hacer crecer– y el sufijo </w:t>
      </w:r>
      <w:r w:rsidRPr="00C71736">
        <w:rPr>
          <w:rFonts w:ascii="Arial" w:eastAsia="Calibri" w:hAnsi="Arial" w:cs="Arial"/>
          <w:bCs/>
          <w:i/>
          <w:iCs/>
          <w:color w:val="000000" w:themeColor="text1"/>
          <w:sz w:val="20"/>
          <w:szCs w:val="20"/>
        </w:rPr>
        <w:t>mento</w:t>
      </w:r>
      <w:r w:rsidRPr="00C71736">
        <w:rPr>
          <w:rFonts w:ascii="Arial" w:eastAsia="Calibri" w:hAnsi="Arial" w:cs="Arial"/>
          <w:bCs/>
          <w:color w:val="000000" w:themeColor="text1"/>
          <w:sz w:val="20"/>
          <w:szCs w:val="20"/>
        </w:rPr>
        <w:t xml:space="preserve"> –que indica medio, instrumento o modo–. Aunque en el uso coloquial, con fundamento en el Diccionario de la RAE, los alimentos se refieren al “Conjunto de sustancias que los seres vivos comen o beben para subsistir”, en el ámbito jurídico hace referencia a una de las fuentes de las obligaciones previstas en el artículo 1494 del Código Civil.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 Por ello, la doctrina define la obligación alimentaria como “[…] la prestación que pesa sobre determinadas personas económicamente posibilitadas, para que en algunos de sus parientes pobres u otras personas que la ley señala puedan subvenir a las necesidades de su existencia”, la cual depende de tres (3) presupuestos básicos: i) el estado de necesidad del alimentario, ii) la capacidad económica del alimentante y iii) la existencia de un vínculo jurídico entre ambos.</w:t>
      </w:r>
    </w:p>
    <w:p w14:paraId="11D77A42" w14:textId="77777777" w:rsidR="00DA7B2A" w:rsidRDefault="00DA7B2A" w:rsidP="00DA7B2A">
      <w:pPr>
        <w:spacing w:after="0" w:line="240" w:lineRule="auto"/>
        <w:jc w:val="both"/>
        <w:rPr>
          <w:rFonts w:ascii="Arial" w:eastAsia="Calibri" w:hAnsi="Arial" w:cs="Arial"/>
          <w:bCs/>
          <w:color w:val="000000" w:themeColor="text1"/>
          <w:sz w:val="20"/>
          <w:szCs w:val="20"/>
        </w:rPr>
      </w:pPr>
    </w:p>
    <w:p w14:paraId="1279F5D2" w14:textId="77777777" w:rsidR="00DA7B2A" w:rsidRPr="00922B3B" w:rsidRDefault="00DA7B2A" w:rsidP="00DA7B2A">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t>INHABILIDAD</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 xml:space="preserve">REDAM – </w:t>
      </w:r>
      <w:r w:rsidRPr="005F541D">
        <w:rPr>
          <w:rFonts w:ascii="Arial" w:eastAsia="Calibri" w:hAnsi="Arial" w:cs="Arial"/>
          <w:b/>
          <w:bCs/>
          <w:color w:val="000000" w:themeColor="text1"/>
        </w:rPr>
        <w:t xml:space="preserve">Ámbito de aplicación – </w:t>
      </w:r>
      <w:bookmarkStart w:id="3" w:name="_GoBack"/>
      <w:bookmarkEnd w:id="3"/>
      <w:r w:rsidRPr="005F541D">
        <w:rPr>
          <w:rFonts w:ascii="Arial" w:eastAsia="Calibri" w:hAnsi="Arial" w:cs="Arial"/>
          <w:b/>
          <w:bCs/>
          <w:color w:val="000000" w:themeColor="text1"/>
        </w:rPr>
        <w:t>Constitucionalidad</w:t>
      </w:r>
      <w:r>
        <w:rPr>
          <w:rFonts w:ascii="Arial" w:eastAsia="Calibri" w:hAnsi="Arial" w:cs="Arial"/>
          <w:b/>
          <w:bCs/>
          <w:color w:val="000000" w:themeColor="text1"/>
        </w:rPr>
        <w:t xml:space="preserve"> </w:t>
      </w:r>
    </w:p>
    <w:p w14:paraId="6BD82379" w14:textId="77777777" w:rsidR="00DA7B2A" w:rsidRPr="00504597" w:rsidRDefault="00DA7B2A" w:rsidP="00DA7B2A">
      <w:pPr>
        <w:spacing w:after="0" w:line="240" w:lineRule="auto"/>
        <w:jc w:val="both"/>
        <w:rPr>
          <w:rFonts w:ascii="Arial" w:eastAsia="Calibri" w:hAnsi="Arial" w:cs="Arial"/>
          <w:bCs/>
          <w:color w:val="000000" w:themeColor="text1"/>
          <w:sz w:val="20"/>
          <w:szCs w:val="20"/>
          <w:lang w:val="es-ES"/>
        </w:rPr>
      </w:pPr>
    </w:p>
    <w:p w14:paraId="5DD5BCE9" w14:textId="77777777" w:rsidR="00DA7B2A" w:rsidRDefault="00DA7B2A" w:rsidP="00DA7B2A">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C54FBD">
        <w:rPr>
          <w:rFonts w:ascii="Arial" w:eastAsia="Calibri" w:hAnsi="Arial" w:cs="Arial"/>
          <w:bCs/>
          <w:color w:val="000000" w:themeColor="text1"/>
          <w:sz w:val="20"/>
          <w:szCs w:val="20"/>
        </w:rPr>
        <w:t xml:space="preserve">una de las consecuencias más importantes de la inclusión en el REDAM es la aparición de una inhabilidad para celebrar contratos con el Estado. Al respecto, conforme al artículo 6.1 </w:t>
      </w:r>
      <w:r w:rsidRPr="00C54FBD">
        <w:rPr>
          <w:rFonts w:ascii="Arial" w:eastAsia="Calibri" w:hAnsi="Arial" w:cs="Arial"/>
          <w:bCs/>
          <w:i/>
          <w:iCs/>
          <w:color w:val="000000" w:themeColor="text1"/>
          <w:sz w:val="20"/>
          <w:szCs w:val="20"/>
        </w:rPr>
        <w:t>ibidem</w:t>
      </w:r>
      <w:r w:rsidRPr="00C54FBD">
        <w:rPr>
          <w:rFonts w:ascii="Arial" w:eastAsia="Calibri" w:hAnsi="Arial" w:cs="Arial"/>
          <w:bCs/>
          <w:color w:val="000000" w:themeColor="text1"/>
          <w:sz w:val="20"/>
          <w:szCs w:val="20"/>
        </w:rPr>
        <w:t xml:space="preserve">,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exceptuado en virtud del inciso primero del artículo 13 de la Ley 1150 de 2007 y al régimen de las ESAL de acuerdo al artículo 6 del Decreto 092 de 2017. </w:t>
      </w:r>
    </w:p>
    <w:p w14:paraId="6BBD1C78" w14:textId="77777777" w:rsidR="00DA7B2A" w:rsidRPr="00C54FBD" w:rsidRDefault="00DA7B2A" w:rsidP="00DA7B2A">
      <w:pPr>
        <w:spacing w:after="0" w:line="240" w:lineRule="auto"/>
        <w:jc w:val="both"/>
        <w:rPr>
          <w:rFonts w:ascii="Arial" w:eastAsia="Calibri" w:hAnsi="Arial" w:cs="Arial"/>
          <w:bCs/>
          <w:color w:val="000000" w:themeColor="text1"/>
          <w:sz w:val="20"/>
          <w:szCs w:val="20"/>
        </w:rPr>
      </w:pPr>
    </w:p>
    <w:p w14:paraId="50FA2207" w14:textId="77777777" w:rsidR="00DA7B2A" w:rsidRPr="00C54FBD" w:rsidRDefault="00DA7B2A" w:rsidP="00DA7B2A">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De acuerdo con el análisis de la Sentencia C-032 de 2021, para la Corte Constitucional dicha norma es exequible, pues “[…] 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 contratistas del Estado”. Lo anterior, agregando la medida cumple con una finalidad importante e imperiosa, la cual consistente en proteger los derechos fundamentales de personas que se ven afectados en su mínimo vital por el hecho del incumplimiento de las obligaciones alimentarias, quienes usualmente son sujetos de especial protección constitucional. La Corte Constitucional considera que la medida es necesaria, porque opera un incentivo para el pago cumplido de esas obligaciones, supeditando la suscripción del contrato respectivo al pago de esa obligación. </w:t>
      </w:r>
    </w:p>
    <w:p w14:paraId="26F838E4" w14:textId="77777777" w:rsidR="00DA7B2A" w:rsidRDefault="00DA7B2A" w:rsidP="00DA7B2A">
      <w:pPr>
        <w:spacing w:after="0" w:line="240" w:lineRule="auto"/>
        <w:jc w:val="both"/>
        <w:rPr>
          <w:rFonts w:ascii="Arial" w:eastAsia="Calibri" w:hAnsi="Arial" w:cs="Arial"/>
          <w:bCs/>
          <w:color w:val="000000" w:themeColor="text1"/>
          <w:sz w:val="20"/>
          <w:szCs w:val="20"/>
        </w:rPr>
      </w:pPr>
    </w:p>
    <w:p w14:paraId="1BAB4E35" w14:textId="77777777" w:rsidR="00DA7B2A" w:rsidRDefault="00DA7B2A" w:rsidP="00DA7B2A">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Adicionalmente, la Corte Constitucional también estima que ante la contingencia de que el representante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 </w:t>
      </w:r>
    </w:p>
    <w:p w14:paraId="15E416C1" w14:textId="77777777" w:rsidR="00DA7B2A" w:rsidRDefault="00DA7B2A" w:rsidP="00DA7B2A">
      <w:pPr>
        <w:spacing w:after="0" w:line="240" w:lineRule="auto"/>
        <w:jc w:val="both"/>
        <w:rPr>
          <w:rFonts w:ascii="Arial" w:eastAsia="Calibri" w:hAnsi="Arial" w:cs="Arial"/>
          <w:bCs/>
          <w:color w:val="000000" w:themeColor="text1"/>
          <w:sz w:val="20"/>
          <w:szCs w:val="20"/>
        </w:rPr>
      </w:pPr>
    </w:p>
    <w:p w14:paraId="6A49B93C" w14:textId="77777777" w:rsidR="00DA7B2A" w:rsidRPr="00922B3B" w:rsidRDefault="00DA7B2A" w:rsidP="00DA7B2A">
      <w:pPr>
        <w:spacing w:after="0" w:line="240" w:lineRule="auto"/>
        <w:jc w:val="both"/>
        <w:rPr>
          <w:rFonts w:ascii="Arial" w:eastAsia="Calibri" w:hAnsi="Arial" w:cs="Arial"/>
          <w:b/>
          <w:bCs/>
          <w:color w:val="000000" w:themeColor="text1"/>
        </w:rPr>
      </w:pPr>
      <w:r w:rsidRPr="005F541D">
        <w:rPr>
          <w:rFonts w:ascii="Arial" w:eastAsia="Calibri" w:hAnsi="Arial" w:cs="Arial"/>
          <w:b/>
          <w:bCs/>
          <w:color w:val="000000" w:themeColor="text1"/>
        </w:rPr>
        <w:t>REDAM – Vigencia – Condicionamiento – Tesis de la Reglamentación</w:t>
      </w:r>
      <w:r>
        <w:rPr>
          <w:rFonts w:ascii="Arial" w:eastAsia="Calibri" w:hAnsi="Arial" w:cs="Arial"/>
          <w:b/>
          <w:bCs/>
          <w:color w:val="000000" w:themeColor="text1"/>
        </w:rPr>
        <w:t xml:space="preserve">  </w:t>
      </w:r>
    </w:p>
    <w:p w14:paraId="29542BCF" w14:textId="77777777" w:rsidR="00DA7B2A" w:rsidRPr="00504597" w:rsidRDefault="00DA7B2A" w:rsidP="00DA7B2A">
      <w:pPr>
        <w:spacing w:after="0" w:line="240" w:lineRule="auto"/>
        <w:jc w:val="both"/>
        <w:rPr>
          <w:rFonts w:ascii="Arial" w:eastAsia="Calibri" w:hAnsi="Arial" w:cs="Arial"/>
          <w:bCs/>
          <w:color w:val="000000" w:themeColor="text1"/>
          <w:sz w:val="20"/>
          <w:szCs w:val="20"/>
          <w:lang w:val="es-ES"/>
        </w:rPr>
      </w:pPr>
    </w:p>
    <w:p w14:paraId="1D216517" w14:textId="77777777" w:rsidR="00DA7B2A" w:rsidRPr="00C54FBD" w:rsidRDefault="00DA7B2A" w:rsidP="00DA7B2A">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De acuerdo con la </w:t>
      </w:r>
      <w:r w:rsidRPr="00C54FBD">
        <w:rPr>
          <w:rFonts w:ascii="Arial" w:eastAsia="Calibri" w:hAnsi="Arial" w:cs="Arial"/>
          <w:bCs/>
          <w:i/>
          <w:iCs/>
          <w:color w:val="000000" w:themeColor="text1"/>
          <w:sz w:val="20"/>
          <w:szCs w:val="20"/>
        </w:rPr>
        <w:t>tesis de la reglamentación</w:t>
      </w:r>
      <w:r w:rsidRPr="00C54FBD">
        <w:rPr>
          <w:rFonts w:ascii="Arial" w:eastAsia="Calibri" w:hAnsi="Arial" w:cs="Arial"/>
          <w:bCs/>
          <w:color w:val="000000" w:themeColor="text1"/>
          <w:sz w:val="20"/>
          <w:szCs w:val="20"/>
        </w:rPr>
        <w:t>, pese a que son funciones del REDAM llevar un registro de los deudores alimentarios morosos y expedir gratuitamente los certificados a través de página web, la obligación de consultarlo para validar la ausencia de la restricción comentada</w:t>
      </w:r>
      <w:r>
        <w:rPr>
          <w:rFonts w:ascii="Arial" w:eastAsia="Calibri" w:hAnsi="Arial" w:cs="Arial"/>
          <w:bCs/>
          <w:color w:val="000000" w:themeColor="text1"/>
          <w:sz w:val="20"/>
          <w:szCs w:val="20"/>
        </w:rPr>
        <w:t xml:space="preserve"> no</w:t>
      </w:r>
      <w:r w:rsidRPr="00C54FBD">
        <w:rPr>
          <w:rFonts w:ascii="Arial" w:eastAsia="Calibri" w:hAnsi="Arial" w:cs="Arial"/>
          <w:bCs/>
          <w:color w:val="000000" w:themeColor="text1"/>
          <w:sz w:val="20"/>
          <w:szCs w:val="20"/>
        </w:rPr>
        <w:t xml:space="preserve">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252FE25F" w14:textId="77777777" w:rsidR="00DA7B2A" w:rsidRDefault="00DA7B2A" w:rsidP="00DA7B2A">
      <w:pPr>
        <w:spacing w:after="0" w:line="240" w:lineRule="auto"/>
        <w:jc w:val="both"/>
        <w:rPr>
          <w:rFonts w:ascii="Arial" w:eastAsia="Calibri" w:hAnsi="Arial" w:cs="Arial"/>
          <w:bCs/>
          <w:color w:val="000000" w:themeColor="text1"/>
          <w:sz w:val="20"/>
          <w:szCs w:val="20"/>
          <w:lang w:val="es-ES_tradnl"/>
        </w:rPr>
      </w:pPr>
    </w:p>
    <w:p w14:paraId="390C2723" w14:textId="77777777" w:rsidR="00DA7B2A" w:rsidRPr="00C54FBD" w:rsidRDefault="00DA7B2A" w:rsidP="00DA7B2A">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lang w:val="es-ES_tradnl"/>
        </w:rPr>
        <w:t>Para estos efectos, el gobierno nacional expidió el Decreto 1310 del 26 de julio de 2022, “</w:t>
      </w:r>
      <w:r w:rsidRPr="00C54FBD">
        <w:rPr>
          <w:rFonts w:ascii="Arial" w:eastAsia="Calibri" w:hAnsi="Arial" w:cs="Arial"/>
          <w:bCs/>
          <w:color w:val="000000" w:themeColor="text1"/>
          <w:sz w:val="20"/>
          <w:szCs w:val="20"/>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C54FBD">
        <w:rPr>
          <w:rFonts w:ascii="Arial" w:eastAsia="Calibri" w:hAnsi="Arial" w:cs="Arial"/>
          <w:bCs/>
          <w:i/>
          <w:iCs/>
          <w:color w:val="000000" w:themeColor="text1"/>
          <w:sz w:val="20"/>
          <w:szCs w:val="20"/>
        </w:rPr>
        <w:t>ibidem</w:t>
      </w:r>
      <w:r w:rsidRPr="00C54FBD">
        <w:rPr>
          <w:rFonts w:ascii="Arial" w:eastAsia="Calibri" w:hAnsi="Arial" w:cs="Arial"/>
          <w:bCs/>
          <w:color w:val="000000" w:themeColor="text1"/>
          <w:sz w:val="20"/>
          <w:szCs w:val="20"/>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C54FBD">
        <w:rPr>
          <w:rFonts w:ascii="Arial" w:eastAsia="Calibri" w:hAnsi="Arial" w:cs="Arial"/>
          <w:bCs/>
          <w:i/>
          <w:iCs/>
          <w:color w:val="000000" w:themeColor="text1"/>
          <w:sz w:val="20"/>
          <w:szCs w:val="20"/>
        </w:rPr>
        <w:t>ibidem</w:t>
      </w:r>
      <w:r w:rsidRPr="00C54FBD">
        <w:rPr>
          <w:rFonts w:ascii="Arial" w:eastAsia="Calibri" w:hAnsi="Arial" w:cs="Arial"/>
          <w:bCs/>
          <w:color w:val="000000" w:themeColor="text1"/>
          <w:sz w:val="20"/>
          <w:szCs w:val="20"/>
        </w:rPr>
        <w:t xml:space="preserve">, en la medida que “El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22462E47" w14:textId="77777777" w:rsidR="00DA7B2A" w:rsidRDefault="00DA7B2A" w:rsidP="00DA7B2A">
      <w:pPr>
        <w:spacing w:after="0" w:line="240" w:lineRule="auto"/>
        <w:jc w:val="both"/>
        <w:rPr>
          <w:rFonts w:ascii="Arial" w:eastAsia="Calibri" w:hAnsi="Arial" w:cs="Arial"/>
          <w:bCs/>
          <w:color w:val="000000" w:themeColor="text1"/>
          <w:sz w:val="20"/>
          <w:szCs w:val="20"/>
        </w:rPr>
      </w:pPr>
    </w:p>
    <w:p w14:paraId="796A14FC" w14:textId="77777777" w:rsidR="00DA7B2A" w:rsidRPr="00C54FBD" w:rsidRDefault="00DA7B2A" w:rsidP="00DA7B2A">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correspondiente. Sobre este último punto, la página web </w:t>
      </w:r>
      <w:hyperlink r:id="rId11" w:history="1">
        <w:r w:rsidRPr="00C54FBD">
          <w:rPr>
            <w:rStyle w:val="Hipervnculo"/>
            <w:rFonts w:ascii="Arial" w:eastAsia="Calibri" w:hAnsi="Arial" w:cs="Arial"/>
            <w:bCs/>
            <w:sz w:val="20"/>
            <w:szCs w:val="20"/>
          </w:rPr>
          <w:t>https://redam.gov.co/information-page</w:t>
        </w:r>
      </w:hyperlink>
      <w:r w:rsidRPr="00C54FBD">
        <w:rPr>
          <w:rFonts w:ascii="Arial" w:eastAsia="Calibri" w:hAnsi="Arial" w:cs="Arial"/>
          <w:bCs/>
          <w:color w:val="000000" w:themeColor="text1"/>
          <w:sz w:val="20"/>
          <w:szCs w:val="20"/>
        </w:rPr>
        <w:t xml:space="preserve"> brinda información sobre la forma de consultar y descargar el registro correspondiente. Cualquier inquietud adicional sobre el funcionamiento operativo del REDAM podrá plantarse ante el Ministerio de Tecnologías de la Información y las Comunicaciones, pues –conforme al numeral 7 del artículo 2.2.23.14 del Decreto 1078 de 2015, adicionado por el artículo 1 del Decreto </w:t>
      </w:r>
      <w:r w:rsidRPr="00C54FBD">
        <w:rPr>
          <w:rFonts w:ascii="Arial" w:eastAsia="Calibri" w:hAnsi="Arial" w:cs="Arial"/>
          <w:bCs/>
          <w:color w:val="000000" w:themeColor="text1"/>
          <w:sz w:val="20"/>
          <w:szCs w:val="20"/>
          <w:lang w:val="es-ES_tradnl"/>
        </w:rPr>
        <w:t>1310 de 2022</w:t>
      </w:r>
      <w:r w:rsidRPr="00C54FBD">
        <w:rPr>
          <w:rFonts w:ascii="Arial" w:eastAsia="Calibri" w:hAnsi="Arial" w:cs="Arial"/>
          <w:bCs/>
          <w:color w:val="000000" w:themeColor="text1"/>
          <w:sz w:val="20"/>
          <w:szCs w:val="20"/>
        </w:rPr>
        <w:t>– debe “Tramitar oportunamente las peticiones, consultas, quejas o reclamos que formulen los actores e intervinientes en el proceso de reporte de información en el Registro de Deudores Alimentarios Morosos (REDAM) y que sean de su competencia”.</w:t>
      </w:r>
    </w:p>
    <w:p w14:paraId="4235AE2F" w14:textId="77777777" w:rsidR="00DA7B2A" w:rsidRDefault="00DA7B2A" w:rsidP="00017BE3">
      <w:pPr>
        <w:spacing w:after="0"/>
        <w:rPr>
          <w:rFonts w:ascii="Arial" w:eastAsia="Geomanist Light" w:hAnsi="Arial" w:cs="Arial"/>
          <w:color w:val="000000" w:themeColor="text1"/>
          <w:lang w:val="es-MX"/>
        </w:rPr>
      </w:pPr>
    </w:p>
    <w:p w14:paraId="0CE23A6C" w14:textId="77777777" w:rsidR="00DA7B2A" w:rsidRDefault="00DA7B2A" w:rsidP="00017BE3">
      <w:pPr>
        <w:spacing w:after="0"/>
        <w:rPr>
          <w:rFonts w:ascii="Arial" w:eastAsia="Geomanist Light" w:hAnsi="Arial" w:cs="Arial"/>
          <w:color w:val="000000" w:themeColor="text1"/>
          <w:lang w:val="es-MX"/>
        </w:rPr>
      </w:pPr>
    </w:p>
    <w:p w14:paraId="29B7585B" w14:textId="77777777" w:rsidR="00DA7B2A" w:rsidRDefault="00DA7B2A" w:rsidP="00017BE3">
      <w:pPr>
        <w:spacing w:after="0"/>
        <w:rPr>
          <w:rFonts w:ascii="Arial" w:eastAsia="Geomanist Light" w:hAnsi="Arial" w:cs="Arial"/>
          <w:color w:val="000000" w:themeColor="text1"/>
          <w:lang w:val="es-MX"/>
        </w:rPr>
      </w:pPr>
    </w:p>
    <w:p w14:paraId="24930AB7" w14:textId="77777777" w:rsidR="00DA7B2A" w:rsidRDefault="00DA7B2A" w:rsidP="00017BE3">
      <w:pPr>
        <w:spacing w:after="0"/>
        <w:rPr>
          <w:rFonts w:ascii="Arial" w:eastAsia="Geomanist Light" w:hAnsi="Arial" w:cs="Arial"/>
          <w:color w:val="000000" w:themeColor="text1"/>
          <w:lang w:val="es-MX"/>
        </w:rPr>
      </w:pPr>
    </w:p>
    <w:p w14:paraId="2BFC859B" w14:textId="77777777" w:rsidR="00DA7B2A" w:rsidRDefault="00DA7B2A" w:rsidP="00017BE3">
      <w:pPr>
        <w:spacing w:after="0"/>
        <w:rPr>
          <w:rFonts w:ascii="Arial" w:eastAsia="Geomanist Light" w:hAnsi="Arial" w:cs="Arial"/>
          <w:color w:val="000000" w:themeColor="text1"/>
          <w:lang w:val="es-MX"/>
        </w:rPr>
      </w:pPr>
    </w:p>
    <w:p w14:paraId="00DB1FAD" w14:textId="77777777" w:rsidR="00DA7B2A" w:rsidRDefault="00DA7B2A" w:rsidP="00017BE3">
      <w:pPr>
        <w:spacing w:after="0"/>
        <w:rPr>
          <w:rFonts w:ascii="Arial" w:eastAsia="Geomanist Light" w:hAnsi="Arial" w:cs="Arial"/>
          <w:color w:val="000000" w:themeColor="text1"/>
          <w:lang w:val="es-MX"/>
        </w:rPr>
      </w:pPr>
    </w:p>
    <w:p w14:paraId="460C419F" w14:textId="77777777" w:rsidR="00DA7B2A" w:rsidRDefault="00DA7B2A" w:rsidP="00017BE3">
      <w:pPr>
        <w:spacing w:after="0"/>
        <w:rPr>
          <w:rFonts w:ascii="Arial" w:eastAsia="Geomanist Light" w:hAnsi="Arial" w:cs="Arial"/>
          <w:color w:val="000000" w:themeColor="text1"/>
          <w:lang w:val="es-MX"/>
        </w:rPr>
      </w:pPr>
    </w:p>
    <w:p w14:paraId="716AE284" w14:textId="77777777" w:rsidR="00DA7B2A" w:rsidRDefault="00DA7B2A" w:rsidP="00017BE3">
      <w:pPr>
        <w:spacing w:after="0"/>
        <w:rPr>
          <w:rFonts w:ascii="Arial" w:eastAsia="Geomanist Light" w:hAnsi="Arial" w:cs="Arial"/>
          <w:color w:val="000000" w:themeColor="text1"/>
          <w:lang w:val="es-MX"/>
        </w:rPr>
      </w:pPr>
    </w:p>
    <w:p w14:paraId="6399D681" w14:textId="77777777" w:rsidR="00DA7B2A" w:rsidRDefault="00DA7B2A" w:rsidP="00017BE3">
      <w:pPr>
        <w:spacing w:after="0"/>
        <w:rPr>
          <w:rFonts w:ascii="Arial" w:eastAsia="Geomanist Light" w:hAnsi="Arial" w:cs="Arial"/>
          <w:color w:val="000000" w:themeColor="text1"/>
          <w:lang w:val="es-MX"/>
        </w:rPr>
      </w:pPr>
    </w:p>
    <w:p w14:paraId="32AC2AED" w14:textId="77777777" w:rsidR="00DA7B2A" w:rsidRDefault="00DA7B2A" w:rsidP="00017BE3">
      <w:pPr>
        <w:spacing w:after="0"/>
        <w:rPr>
          <w:rFonts w:ascii="Arial" w:eastAsia="Geomanist Light" w:hAnsi="Arial" w:cs="Arial"/>
          <w:color w:val="000000" w:themeColor="text1"/>
          <w:lang w:val="es-MX"/>
        </w:rPr>
      </w:pPr>
    </w:p>
    <w:p w14:paraId="63F62966" w14:textId="77777777" w:rsidR="00DA7B2A" w:rsidRDefault="00DA7B2A" w:rsidP="00017BE3">
      <w:pPr>
        <w:spacing w:after="0"/>
        <w:rPr>
          <w:rFonts w:ascii="Arial" w:eastAsia="Geomanist Light" w:hAnsi="Arial" w:cs="Arial"/>
          <w:color w:val="000000" w:themeColor="text1"/>
          <w:lang w:val="es-MX"/>
        </w:rPr>
      </w:pPr>
    </w:p>
    <w:p w14:paraId="7670CF23" w14:textId="77777777" w:rsidR="00DA7B2A" w:rsidRDefault="00DA7B2A" w:rsidP="00017BE3">
      <w:pPr>
        <w:spacing w:after="0"/>
        <w:rPr>
          <w:rFonts w:ascii="Arial" w:eastAsia="Geomanist Light" w:hAnsi="Arial" w:cs="Arial"/>
          <w:color w:val="000000" w:themeColor="text1"/>
          <w:lang w:val="es-MX"/>
        </w:rPr>
      </w:pPr>
    </w:p>
    <w:p w14:paraId="5DC91D5C" w14:textId="77777777" w:rsidR="00DA7B2A" w:rsidRDefault="00DA7B2A" w:rsidP="00017BE3">
      <w:pPr>
        <w:spacing w:after="0"/>
        <w:rPr>
          <w:rFonts w:ascii="Arial" w:eastAsia="Geomanist Light" w:hAnsi="Arial" w:cs="Arial"/>
          <w:color w:val="000000" w:themeColor="text1"/>
          <w:lang w:val="es-MX"/>
        </w:rPr>
      </w:pPr>
    </w:p>
    <w:p w14:paraId="2957EBBA" w14:textId="77777777" w:rsidR="00DA7B2A" w:rsidRDefault="00DA7B2A" w:rsidP="00017BE3">
      <w:pPr>
        <w:spacing w:after="0"/>
        <w:rPr>
          <w:rFonts w:ascii="Arial" w:eastAsia="Geomanist Light" w:hAnsi="Arial" w:cs="Arial"/>
          <w:color w:val="000000" w:themeColor="text1"/>
          <w:lang w:val="es-MX"/>
        </w:rPr>
      </w:pPr>
    </w:p>
    <w:p w14:paraId="36A5342C" w14:textId="77777777" w:rsidR="00DA7B2A" w:rsidRDefault="00DA7B2A" w:rsidP="00017BE3">
      <w:pPr>
        <w:spacing w:after="0"/>
        <w:rPr>
          <w:rFonts w:ascii="Arial" w:eastAsia="Geomanist Light" w:hAnsi="Arial" w:cs="Arial"/>
          <w:color w:val="000000" w:themeColor="text1"/>
          <w:lang w:val="es-MX"/>
        </w:rPr>
      </w:pPr>
    </w:p>
    <w:p w14:paraId="7E9AF724" w14:textId="77777777" w:rsidR="00DA7B2A" w:rsidRDefault="00DA7B2A" w:rsidP="00017BE3">
      <w:pPr>
        <w:spacing w:after="0"/>
        <w:rPr>
          <w:rFonts w:ascii="Arial" w:eastAsia="Geomanist Light" w:hAnsi="Arial" w:cs="Arial"/>
          <w:color w:val="000000" w:themeColor="text1"/>
          <w:lang w:val="es-MX"/>
        </w:rPr>
      </w:pPr>
    </w:p>
    <w:p w14:paraId="43C8878B" w14:textId="77777777" w:rsidR="00DA7B2A" w:rsidRDefault="00DA7B2A" w:rsidP="00017BE3">
      <w:pPr>
        <w:spacing w:after="0"/>
        <w:rPr>
          <w:rFonts w:ascii="Arial" w:eastAsia="Geomanist Light" w:hAnsi="Arial" w:cs="Arial"/>
          <w:color w:val="000000" w:themeColor="text1"/>
          <w:lang w:val="es-MX"/>
        </w:rPr>
      </w:pPr>
    </w:p>
    <w:p w14:paraId="725854A5" w14:textId="77777777" w:rsidR="00DA7B2A" w:rsidRDefault="00DA7B2A" w:rsidP="00017BE3">
      <w:pPr>
        <w:spacing w:after="0"/>
        <w:rPr>
          <w:rFonts w:ascii="Arial" w:eastAsia="Geomanist Light" w:hAnsi="Arial" w:cs="Arial"/>
          <w:color w:val="000000" w:themeColor="text1"/>
          <w:lang w:val="es-MX"/>
        </w:rPr>
      </w:pPr>
    </w:p>
    <w:p w14:paraId="3A36E966" w14:textId="77777777" w:rsidR="00DA7B2A" w:rsidRDefault="00DA7B2A" w:rsidP="00017BE3">
      <w:pPr>
        <w:spacing w:after="0"/>
        <w:rPr>
          <w:rFonts w:ascii="Arial" w:eastAsia="Geomanist Light" w:hAnsi="Arial" w:cs="Arial"/>
          <w:color w:val="000000" w:themeColor="text1"/>
          <w:lang w:val="es-MX"/>
        </w:rPr>
      </w:pPr>
    </w:p>
    <w:p w14:paraId="33B5BA7B" w14:textId="77777777" w:rsidR="00DA7B2A" w:rsidRDefault="00DA7B2A" w:rsidP="00017BE3">
      <w:pPr>
        <w:spacing w:after="0"/>
        <w:rPr>
          <w:rFonts w:ascii="Arial" w:eastAsia="Geomanist Light" w:hAnsi="Arial" w:cs="Arial"/>
          <w:color w:val="000000" w:themeColor="text1"/>
          <w:lang w:val="es-MX"/>
        </w:rPr>
      </w:pPr>
    </w:p>
    <w:p w14:paraId="2476F51F" w14:textId="77777777" w:rsidR="00DA7B2A" w:rsidRDefault="00DA7B2A" w:rsidP="00017BE3">
      <w:pPr>
        <w:spacing w:after="0"/>
        <w:rPr>
          <w:rFonts w:ascii="Arial" w:eastAsia="Geomanist Light" w:hAnsi="Arial" w:cs="Arial"/>
          <w:color w:val="000000" w:themeColor="text1"/>
          <w:lang w:val="es-MX"/>
        </w:rPr>
      </w:pPr>
    </w:p>
    <w:p w14:paraId="448B0549" w14:textId="77777777" w:rsidR="00DA7B2A" w:rsidRDefault="00DA7B2A" w:rsidP="00017BE3">
      <w:pPr>
        <w:spacing w:after="0"/>
        <w:rPr>
          <w:rFonts w:ascii="Arial" w:eastAsia="Geomanist Light" w:hAnsi="Arial" w:cs="Arial"/>
          <w:color w:val="000000" w:themeColor="text1"/>
          <w:lang w:val="es-MX"/>
        </w:rPr>
      </w:pPr>
    </w:p>
    <w:p w14:paraId="2B844ABA" w14:textId="77777777" w:rsidR="00DA7B2A" w:rsidRDefault="00DA7B2A" w:rsidP="00017BE3">
      <w:pPr>
        <w:spacing w:after="0"/>
        <w:rPr>
          <w:rFonts w:ascii="Arial" w:eastAsia="Geomanist Light" w:hAnsi="Arial" w:cs="Arial"/>
          <w:color w:val="000000" w:themeColor="text1"/>
          <w:lang w:val="es-MX"/>
        </w:rPr>
      </w:pPr>
    </w:p>
    <w:p w14:paraId="0B1553EA" w14:textId="77777777" w:rsidR="00DA7B2A" w:rsidRDefault="00DA7B2A" w:rsidP="00017BE3">
      <w:pPr>
        <w:spacing w:after="0"/>
        <w:rPr>
          <w:rFonts w:ascii="Arial" w:eastAsia="Geomanist Light" w:hAnsi="Arial" w:cs="Arial"/>
          <w:color w:val="000000" w:themeColor="text1"/>
          <w:lang w:val="es-MX"/>
        </w:rPr>
      </w:pPr>
    </w:p>
    <w:p w14:paraId="7026D645" w14:textId="77777777" w:rsidR="00DA7B2A" w:rsidRDefault="00DA7B2A" w:rsidP="00017BE3">
      <w:pPr>
        <w:spacing w:after="0"/>
        <w:rPr>
          <w:rFonts w:ascii="Arial" w:eastAsia="Geomanist Light" w:hAnsi="Arial" w:cs="Arial"/>
          <w:color w:val="000000" w:themeColor="text1"/>
          <w:lang w:val="es-MX"/>
        </w:rPr>
      </w:pPr>
    </w:p>
    <w:p w14:paraId="4C769B24" w14:textId="77777777" w:rsidR="00DA7B2A" w:rsidRDefault="00DA7B2A" w:rsidP="00017BE3">
      <w:pPr>
        <w:spacing w:after="0"/>
        <w:rPr>
          <w:rFonts w:ascii="Arial" w:eastAsia="Geomanist Light" w:hAnsi="Arial" w:cs="Arial"/>
          <w:color w:val="000000" w:themeColor="text1"/>
          <w:lang w:val="es-MX"/>
        </w:rPr>
      </w:pPr>
    </w:p>
    <w:p w14:paraId="67D1FCAA" w14:textId="77777777" w:rsidR="00DA7B2A" w:rsidRDefault="00DA7B2A" w:rsidP="00017BE3">
      <w:pPr>
        <w:spacing w:after="0"/>
        <w:rPr>
          <w:rFonts w:ascii="Arial" w:eastAsia="Geomanist Light" w:hAnsi="Arial" w:cs="Arial"/>
          <w:color w:val="000000" w:themeColor="text1"/>
          <w:lang w:val="es-MX"/>
        </w:rPr>
      </w:pPr>
    </w:p>
    <w:p w14:paraId="3CBC03A9" w14:textId="77777777" w:rsidR="00DA7B2A" w:rsidRDefault="00DA7B2A" w:rsidP="00017BE3">
      <w:pPr>
        <w:spacing w:after="0"/>
        <w:rPr>
          <w:rFonts w:ascii="Arial" w:eastAsia="Geomanist Light" w:hAnsi="Arial" w:cs="Arial"/>
          <w:color w:val="000000" w:themeColor="text1"/>
          <w:lang w:val="es-MX"/>
        </w:rPr>
      </w:pPr>
    </w:p>
    <w:p w14:paraId="75CD4A53" w14:textId="77777777" w:rsidR="00DA7B2A" w:rsidRDefault="00DA7B2A" w:rsidP="00017BE3">
      <w:pPr>
        <w:spacing w:after="0"/>
        <w:rPr>
          <w:rFonts w:ascii="Arial" w:eastAsia="Geomanist Light" w:hAnsi="Arial" w:cs="Arial"/>
          <w:color w:val="000000" w:themeColor="text1"/>
          <w:lang w:val="es-MX"/>
        </w:rPr>
      </w:pPr>
    </w:p>
    <w:p w14:paraId="7D28460B" w14:textId="77777777" w:rsidR="00DA7B2A" w:rsidRDefault="00DA7B2A" w:rsidP="00017BE3">
      <w:pPr>
        <w:spacing w:after="0"/>
        <w:rPr>
          <w:rFonts w:ascii="Arial" w:eastAsia="Geomanist Light" w:hAnsi="Arial" w:cs="Arial"/>
          <w:color w:val="000000" w:themeColor="text1"/>
          <w:lang w:val="es-MX"/>
        </w:rPr>
      </w:pPr>
    </w:p>
    <w:p w14:paraId="5768CE10" w14:textId="77777777" w:rsidR="00DA7B2A" w:rsidRDefault="00DA7B2A" w:rsidP="00017BE3">
      <w:pPr>
        <w:spacing w:after="0"/>
        <w:rPr>
          <w:rFonts w:ascii="Arial" w:eastAsia="Geomanist Light" w:hAnsi="Arial" w:cs="Arial"/>
          <w:color w:val="000000" w:themeColor="text1"/>
          <w:lang w:val="es-MX"/>
        </w:rPr>
      </w:pPr>
    </w:p>
    <w:p w14:paraId="53030A05" w14:textId="77777777" w:rsidR="00DA7B2A" w:rsidRDefault="00DA7B2A" w:rsidP="00017BE3">
      <w:pPr>
        <w:spacing w:after="0"/>
        <w:rPr>
          <w:rFonts w:ascii="Arial" w:eastAsia="Geomanist Light" w:hAnsi="Arial" w:cs="Arial"/>
          <w:color w:val="000000" w:themeColor="text1"/>
          <w:lang w:val="es-MX"/>
        </w:rPr>
      </w:pPr>
    </w:p>
    <w:p w14:paraId="53EAE0B7" w14:textId="77777777" w:rsidR="00DA7B2A" w:rsidRDefault="00DA7B2A" w:rsidP="00017BE3">
      <w:pPr>
        <w:spacing w:after="0"/>
        <w:rPr>
          <w:rFonts w:ascii="Arial" w:eastAsia="Geomanist Light" w:hAnsi="Arial" w:cs="Arial"/>
          <w:color w:val="000000" w:themeColor="text1"/>
          <w:lang w:val="es-MX"/>
        </w:rPr>
      </w:pPr>
    </w:p>
    <w:p w14:paraId="3B86F777" w14:textId="3E0D393F" w:rsidR="00017BE3" w:rsidRPr="00044F0D" w:rsidRDefault="00017BE3" w:rsidP="00017BE3">
      <w:pPr>
        <w:spacing w:after="0"/>
        <w:rPr>
          <w:rFonts w:ascii="Arial" w:eastAsia="Times New Roman" w:hAnsi="Arial" w:cs="Arial"/>
          <w:bCs/>
          <w:lang w:val="es-MX" w:eastAsia="es-ES"/>
        </w:rPr>
      </w:pPr>
      <w:r w:rsidRPr="00044F0D">
        <w:rPr>
          <w:rFonts w:ascii="Arial" w:eastAsia="Geomanist Light" w:hAnsi="Arial" w:cs="Arial"/>
          <w:color w:val="000000" w:themeColor="text1"/>
          <w:lang w:val="es-MX"/>
        </w:rPr>
        <w:t>Bogotá D.C., </w:t>
      </w:r>
      <w:r w:rsidR="00070646" w:rsidRPr="00070646">
        <w:rPr>
          <w:rFonts w:ascii="Arial" w:eastAsia="Geomanist Light" w:hAnsi="Arial" w:cs="Arial"/>
          <w:color w:val="201F1E"/>
          <w:lang w:val="es-MX"/>
        </w:rPr>
        <w:t>24 de Abril de 2023</w:t>
      </w:r>
      <w:r w:rsidR="00070646" w:rsidRPr="00070646">
        <w:rPr>
          <w:rFonts w:ascii="Arial" w:eastAsia="Geomanist Light" w:hAnsi="Arial" w:cs="Arial"/>
          <w:color w:val="201F1E"/>
          <w:lang w:val="es-MX"/>
        </w:rPr>
        <w:cr/>
      </w:r>
    </w:p>
    <w:p w14:paraId="43D071A3" w14:textId="77777777" w:rsidR="00017BE3" w:rsidRDefault="00017BE3" w:rsidP="00017BE3">
      <w:pPr>
        <w:spacing w:after="0"/>
        <w:contextualSpacing/>
        <w:jc w:val="both"/>
        <w:rPr>
          <w:rFonts w:ascii="Arial" w:eastAsia="Calibri" w:hAnsi="Arial" w:cs="Arial"/>
          <w:lang w:val="es-ES_tradnl" w:eastAsia="es-ES_tradnl"/>
        </w:rPr>
      </w:pPr>
    </w:p>
    <w:p w14:paraId="78F94060" w14:textId="2F773BCD" w:rsidR="001179D0" w:rsidRDefault="00070646" w:rsidP="00070646">
      <w:pPr>
        <w:spacing w:after="0"/>
        <w:contextualSpacing/>
        <w:jc w:val="right"/>
        <w:rPr>
          <w:rFonts w:ascii="Arial" w:eastAsia="Calibri" w:hAnsi="Arial" w:cs="Arial"/>
          <w:lang w:val="es-ES_tradnl" w:eastAsia="es-ES_tradnl"/>
        </w:rPr>
      </w:pPr>
      <w:r>
        <w:rPr>
          <w:rFonts w:ascii="Arial" w:eastAsia="Calibri" w:hAnsi="Arial" w:cs="Arial"/>
          <w:noProof/>
          <w:lang w:eastAsia="es-CO"/>
        </w:rPr>
        <w:drawing>
          <wp:inline distT="0" distB="0" distL="0" distR="0" wp14:anchorId="7EDF1ABC" wp14:editId="06C09EB7">
            <wp:extent cx="2566555" cy="571500"/>
            <wp:effectExtent l="0" t="0" r="5715" b="0"/>
            <wp:docPr id="590668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8314" cy="571892"/>
                    </a:xfrm>
                    <a:prstGeom prst="rect">
                      <a:avLst/>
                    </a:prstGeom>
                    <a:noFill/>
                    <a:ln>
                      <a:noFill/>
                    </a:ln>
                  </pic:spPr>
                </pic:pic>
              </a:graphicData>
            </a:graphic>
          </wp:inline>
        </w:drawing>
      </w:r>
    </w:p>
    <w:p w14:paraId="05751063" w14:textId="77777777" w:rsidR="001179D0" w:rsidRPr="00C046D8" w:rsidRDefault="001179D0" w:rsidP="00017BE3">
      <w:pPr>
        <w:spacing w:after="0"/>
        <w:contextualSpacing/>
        <w:jc w:val="both"/>
        <w:rPr>
          <w:rFonts w:ascii="Arial" w:eastAsia="Calibri" w:hAnsi="Arial" w:cs="Arial"/>
          <w:lang w:val="es-ES_tradnl" w:eastAsia="es-ES_tradnl"/>
        </w:rPr>
      </w:pPr>
    </w:p>
    <w:p w14:paraId="2EA45926" w14:textId="77777777" w:rsidR="00017BE3" w:rsidRPr="0006291B" w:rsidRDefault="00017BE3" w:rsidP="00017BE3">
      <w:pPr>
        <w:contextualSpacing/>
        <w:jc w:val="both"/>
        <w:rPr>
          <w:rFonts w:ascii="Arial" w:eastAsia="Calibri" w:hAnsi="Arial" w:cs="Arial"/>
          <w:lang w:eastAsia="es-ES_tradnl"/>
        </w:rPr>
      </w:pPr>
      <w:r w:rsidRPr="0006291B">
        <w:rPr>
          <w:rFonts w:ascii="Arial" w:eastAsia="Calibri" w:hAnsi="Arial" w:cs="Arial"/>
          <w:lang w:eastAsia="es-ES_tradnl"/>
        </w:rPr>
        <w:t>Señor</w:t>
      </w:r>
      <w:r>
        <w:rPr>
          <w:rFonts w:ascii="Arial" w:eastAsia="Calibri" w:hAnsi="Arial" w:cs="Arial"/>
          <w:lang w:eastAsia="es-ES_tradnl"/>
        </w:rPr>
        <w:t>a</w:t>
      </w:r>
    </w:p>
    <w:p w14:paraId="71FCE5F6" w14:textId="77777777" w:rsidR="00017BE3" w:rsidRDefault="00017BE3" w:rsidP="00017BE3">
      <w:pPr>
        <w:contextualSpacing/>
        <w:jc w:val="both"/>
        <w:rPr>
          <w:rFonts w:ascii="Arial" w:eastAsia="Calibri" w:hAnsi="Arial" w:cs="Arial"/>
          <w:b/>
          <w:lang w:eastAsia="es-ES_tradnl"/>
        </w:rPr>
      </w:pPr>
      <w:r>
        <w:rPr>
          <w:rFonts w:ascii="Arial" w:eastAsia="Calibri" w:hAnsi="Arial" w:cs="Arial"/>
          <w:b/>
          <w:lang w:eastAsia="es-ES_tradnl"/>
        </w:rPr>
        <w:t>Luisa Fernanda Castillo Vergara</w:t>
      </w:r>
      <w:r w:rsidRPr="0051114A">
        <w:rPr>
          <w:rFonts w:ascii="Arial" w:eastAsia="Calibri" w:hAnsi="Arial" w:cs="Arial"/>
          <w:b/>
          <w:lang w:eastAsia="es-ES_tradnl"/>
        </w:rPr>
        <w:t xml:space="preserve"> </w:t>
      </w:r>
    </w:p>
    <w:p w14:paraId="0E0F026F" w14:textId="77777777" w:rsidR="00017BE3" w:rsidRPr="0006291B" w:rsidRDefault="00017BE3" w:rsidP="00017BE3">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p>
    <w:p w14:paraId="70DD1DBC" w14:textId="77777777" w:rsidR="00017BE3" w:rsidRPr="00C046D8" w:rsidRDefault="00017BE3" w:rsidP="00017BE3">
      <w:pPr>
        <w:contextualSpacing/>
        <w:jc w:val="both"/>
        <w:rPr>
          <w:rFonts w:ascii="Arial" w:eastAsia="Calibri" w:hAnsi="Arial" w:cs="Arial"/>
          <w:lang w:val="es-ES_tradnl" w:eastAsia="es-ES_tradnl"/>
        </w:rPr>
      </w:pPr>
    </w:p>
    <w:p w14:paraId="6DCAA516" w14:textId="77777777" w:rsidR="00017BE3" w:rsidRPr="00C046D8" w:rsidRDefault="00017BE3" w:rsidP="00017BE3">
      <w:pPr>
        <w:contextualSpacing/>
        <w:rPr>
          <w:rFonts w:ascii="Arial" w:eastAsia="Calibri" w:hAnsi="Arial" w:cs="Arial"/>
          <w:b/>
          <w:bCs/>
          <w:lang w:val="es-ES_tradnl" w:eastAsia="es-ES_tradnl"/>
        </w:rPr>
      </w:pPr>
    </w:p>
    <w:p w14:paraId="122C3D7F" w14:textId="77777777" w:rsidR="00017BE3" w:rsidRPr="00C046D8" w:rsidRDefault="00017BE3" w:rsidP="00017BE3">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126</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463FF865" w14:textId="77777777" w:rsidR="00017BE3" w:rsidRPr="00C046D8" w:rsidRDefault="00017BE3" w:rsidP="00017BE3">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17BE3" w:rsidRPr="00C046D8" w14:paraId="1F77374A" w14:textId="77777777" w:rsidTr="005D7F06">
        <w:tc>
          <w:tcPr>
            <w:tcW w:w="2689" w:type="dxa"/>
          </w:tcPr>
          <w:p w14:paraId="1F290A91" w14:textId="77777777" w:rsidR="00017BE3" w:rsidRPr="00C046D8" w:rsidRDefault="00017BE3" w:rsidP="005D7F06">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0FB00145" w14:textId="77777777" w:rsidR="00017BE3" w:rsidRDefault="00017BE3" w:rsidP="005D7F06">
            <w:pPr>
              <w:spacing w:after="120"/>
              <w:contextualSpacing/>
              <w:jc w:val="both"/>
              <w:rPr>
                <w:rFonts w:ascii="Arial" w:eastAsia="Calibri" w:hAnsi="Arial" w:cs="Arial"/>
                <w:bCs/>
                <w:lang w:val="es-MX" w:eastAsia="es-ES_tradnl"/>
              </w:rPr>
            </w:pPr>
            <w:r w:rsidRPr="00C54FBD">
              <w:rPr>
                <w:rFonts w:ascii="Arial" w:eastAsia="Calibri" w:hAnsi="Arial" w:cs="Arial"/>
                <w:bCs/>
                <w:lang w:val="es-MX" w:eastAsia="es-ES_tradnl"/>
              </w:rPr>
              <w:t>INHABILIDADES – Definición – Finalidad – Limitación capacidad contractual</w:t>
            </w:r>
            <w:r>
              <w:rPr>
                <w:rFonts w:ascii="Arial" w:eastAsia="Calibri" w:hAnsi="Arial" w:cs="Arial"/>
                <w:bCs/>
                <w:lang w:val="es-MX" w:eastAsia="es-ES_tradnl"/>
              </w:rPr>
              <w:t xml:space="preserve"> / </w:t>
            </w:r>
            <w:r w:rsidRPr="00C54FBD">
              <w:rPr>
                <w:rFonts w:ascii="Arial" w:eastAsia="Calibri" w:hAnsi="Arial" w:cs="Arial"/>
                <w:bCs/>
                <w:lang w:val="es-MX" w:eastAsia="es-ES_tradnl"/>
              </w:rPr>
              <w:t>CONTRATACIÓN ESTATAL – Capacidad – Validez contratos – Régimen de contratación – Inscripción – Limitación de la capacidad</w:t>
            </w:r>
            <w:r>
              <w:rPr>
                <w:rFonts w:ascii="Arial" w:eastAsia="Calibri" w:hAnsi="Arial" w:cs="Arial"/>
                <w:bCs/>
                <w:lang w:val="es-MX" w:eastAsia="es-ES_tradnl"/>
              </w:rPr>
              <w:t xml:space="preserve"> / </w:t>
            </w:r>
            <w:r w:rsidRPr="00C54FBD">
              <w:rPr>
                <w:rFonts w:ascii="Arial" w:eastAsia="Calibri" w:hAnsi="Arial" w:cs="Arial"/>
                <w:bCs/>
                <w:lang w:val="es-MX" w:eastAsia="es-ES_tradnl"/>
              </w:rPr>
              <w:t>INHABILIDADES – Taxatividad – Principio de legalidad – Interpretación restrictiva</w:t>
            </w:r>
            <w:r>
              <w:rPr>
                <w:rFonts w:ascii="Arial" w:eastAsia="Calibri" w:hAnsi="Arial" w:cs="Arial"/>
                <w:bCs/>
                <w:lang w:val="es-MX" w:eastAsia="es-ES_tradnl"/>
              </w:rPr>
              <w:t xml:space="preserve"> / </w:t>
            </w:r>
            <w:r w:rsidRPr="00C54FBD">
              <w:rPr>
                <w:rFonts w:ascii="Arial" w:eastAsia="Calibri" w:hAnsi="Arial" w:cs="Arial"/>
                <w:bCs/>
                <w:lang w:val="es-MX" w:eastAsia="es-ES_tradnl"/>
              </w:rPr>
              <w:t>LEY 2097 DE 2021 – REDAM – Objeto</w:t>
            </w:r>
            <w:r>
              <w:rPr>
                <w:rFonts w:ascii="Arial" w:eastAsia="Calibri" w:hAnsi="Arial" w:cs="Arial"/>
                <w:bCs/>
                <w:lang w:val="es-MX" w:eastAsia="es-ES_tradnl"/>
              </w:rPr>
              <w:t xml:space="preserve"> / </w:t>
            </w:r>
            <w:r w:rsidRPr="00C54FBD">
              <w:rPr>
                <w:rFonts w:ascii="Arial" w:eastAsia="Calibri" w:hAnsi="Arial" w:cs="Arial"/>
                <w:bCs/>
                <w:lang w:val="es-MX" w:eastAsia="es-ES_tradnl"/>
              </w:rPr>
              <w:t>OBLIGACIÓN ALIMENTARIA – Definición</w:t>
            </w:r>
            <w:r>
              <w:rPr>
                <w:rFonts w:ascii="Arial" w:eastAsia="Calibri" w:hAnsi="Arial" w:cs="Arial"/>
                <w:bCs/>
                <w:lang w:val="es-MX" w:eastAsia="es-ES_tradnl"/>
              </w:rPr>
              <w:t xml:space="preserve"> / </w:t>
            </w:r>
            <w:r w:rsidRPr="00C54FBD">
              <w:rPr>
                <w:rFonts w:ascii="Arial" w:eastAsia="Calibri" w:hAnsi="Arial" w:cs="Arial"/>
                <w:bCs/>
                <w:lang w:val="es-MX" w:eastAsia="es-ES_tradnl"/>
              </w:rPr>
              <w:t>INHABILIDAD – REDAM – Ámbito de aplicación – Constitucionalidad</w:t>
            </w:r>
            <w:r>
              <w:rPr>
                <w:rFonts w:ascii="Arial" w:eastAsia="Calibri" w:hAnsi="Arial" w:cs="Arial"/>
                <w:bCs/>
                <w:lang w:val="es-MX" w:eastAsia="es-ES_tradnl"/>
              </w:rPr>
              <w:t xml:space="preserve"> / </w:t>
            </w:r>
            <w:r w:rsidRPr="00C54FBD">
              <w:rPr>
                <w:rFonts w:ascii="Arial" w:eastAsia="Calibri" w:hAnsi="Arial" w:cs="Arial"/>
                <w:bCs/>
                <w:lang w:val="es-MX" w:eastAsia="es-ES_tradnl"/>
              </w:rPr>
              <w:t>REDAM – Vigencia – Condicionamiento – Tesis de la Reglamentación</w:t>
            </w:r>
          </w:p>
          <w:p w14:paraId="5D99C04C" w14:textId="77777777" w:rsidR="00FC140D" w:rsidRDefault="00FC140D" w:rsidP="00FC140D">
            <w:pPr>
              <w:spacing w:after="120"/>
              <w:contextualSpacing/>
              <w:jc w:val="both"/>
              <w:rPr>
                <w:rFonts w:ascii="Arial" w:eastAsia="Calibri" w:hAnsi="Arial" w:cs="Arial"/>
                <w:bCs/>
                <w:sz w:val="12"/>
                <w:szCs w:val="12"/>
                <w:lang w:val="es-MX" w:eastAsia="es-ES_tradnl"/>
              </w:rPr>
            </w:pPr>
          </w:p>
          <w:p w14:paraId="50211032" w14:textId="6E2D5EC6" w:rsidR="00017BE3" w:rsidRPr="0006291B" w:rsidRDefault="00017BE3" w:rsidP="005D7F06">
            <w:pPr>
              <w:spacing w:after="120"/>
              <w:contextualSpacing/>
              <w:jc w:val="both"/>
              <w:rPr>
                <w:rFonts w:ascii="Arial" w:eastAsia="Calibri" w:hAnsi="Arial" w:cs="Arial"/>
                <w:bCs/>
                <w:sz w:val="12"/>
                <w:szCs w:val="12"/>
                <w:lang w:val="es-ES_tradnl" w:eastAsia="es-ES_tradnl"/>
              </w:rPr>
            </w:pPr>
          </w:p>
        </w:tc>
      </w:tr>
      <w:tr w:rsidR="00017BE3" w:rsidRPr="00C046D8" w14:paraId="3064B4FC" w14:textId="77777777" w:rsidTr="005D7F06">
        <w:trPr>
          <w:trHeight w:val="227"/>
        </w:trPr>
        <w:tc>
          <w:tcPr>
            <w:tcW w:w="2689" w:type="dxa"/>
          </w:tcPr>
          <w:p w14:paraId="3B90E5A7" w14:textId="77777777" w:rsidR="00017BE3" w:rsidRPr="00C046D8" w:rsidRDefault="00017BE3" w:rsidP="005D7F06">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40C7145B" w14:textId="77777777" w:rsidR="00017BE3" w:rsidRPr="00C046D8" w:rsidRDefault="00017BE3" w:rsidP="005D7F06">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4F0FA9">
              <w:rPr>
                <w:rFonts w:ascii="Arial" w:eastAsia="Calibri" w:hAnsi="Arial" w:cs="Arial"/>
                <w:lang w:val="es-ES_tradnl" w:eastAsia="es-ES_tradnl"/>
              </w:rPr>
              <w:t>P20230329002878</w:t>
            </w:r>
          </w:p>
        </w:tc>
      </w:tr>
    </w:tbl>
    <w:p w14:paraId="227FFDCB" w14:textId="77777777" w:rsidR="00017BE3" w:rsidRPr="00C046D8" w:rsidRDefault="00017BE3" w:rsidP="00017BE3">
      <w:pPr>
        <w:contextualSpacing/>
        <w:jc w:val="both"/>
        <w:rPr>
          <w:rFonts w:ascii="Arial" w:eastAsia="Calibri" w:hAnsi="Arial" w:cs="Arial"/>
          <w:lang w:val="es-ES_tradnl" w:eastAsia="es-ES_tradnl"/>
        </w:rPr>
      </w:pPr>
    </w:p>
    <w:p w14:paraId="23380AD9" w14:textId="77777777" w:rsidR="00017BE3" w:rsidRPr="00C046D8" w:rsidRDefault="00017BE3" w:rsidP="00017BE3">
      <w:pPr>
        <w:contextualSpacing/>
        <w:jc w:val="both"/>
        <w:rPr>
          <w:rFonts w:ascii="Arial" w:eastAsia="Calibri" w:hAnsi="Arial" w:cs="Arial"/>
          <w:lang w:val="es-ES_tradnl" w:eastAsia="es-ES_tradnl"/>
        </w:rPr>
      </w:pPr>
    </w:p>
    <w:p w14:paraId="3804DFDA" w14:textId="77777777" w:rsidR="00017BE3" w:rsidRPr="00C046D8" w:rsidRDefault="00017BE3" w:rsidP="00017BE3">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a</w:t>
      </w:r>
      <w:r w:rsidRPr="293D6149">
        <w:rPr>
          <w:rFonts w:ascii="Arial" w:eastAsia="Calibri" w:hAnsi="Arial" w:cs="Arial"/>
          <w:lang w:val="es-ES" w:eastAsia="es-ES"/>
        </w:rPr>
        <w:t xml:space="preserve"> señor</w:t>
      </w:r>
      <w:r>
        <w:rPr>
          <w:rFonts w:ascii="Arial" w:eastAsia="Calibri" w:hAnsi="Arial" w:cs="Arial"/>
          <w:lang w:val="es-ES" w:eastAsia="es-ES"/>
        </w:rPr>
        <w:t>a</w:t>
      </w:r>
      <w:r w:rsidRPr="293D6149">
        <w:rPr>
          <w:rFonts w:ascii="Arial" w:eastAsia="Calibri" w:hAnsi="Arial" w:cs="Arial"/>
          <w:lang w:val="es-ES" w:eastAsia="es-ES"/>
        </w:rPr>
        <w:t xml:space="preserve"> </w:t>
      </w:r>
      <w:r>
        <w:rPr>
          <w:rFonts w:ascii="Arial" w:eastAsia="Times New Roman" w:hAnsi="Arial" w:cs="Arial"/>
          <w:lang w:eastAsia="es-ES"/>
        </w:rPr>
        <w:t>Castillo</w:t>
      </w:r>
      <w:r w:rsidRPr="293D6149">
        <w:rPr>
          <w:rFonts w:ascii="Arial" w:eastAsia="Calibri" w:hAnsi="Arial" w:cs="Arial"/>
          <w:lang w:val="es-ES" w:eastAsia="es-ES"/>
        </w:rPr>
        <w:t>:</w:t>
      </w:r>
    </w:p>
    <w:p w14:paraId="2E0C90CD" w14:textId="77777777" w:rsidR="00017BE3" w:rsidRPr="00C046D8" w:rsidRDefault="00017BE3" w:rsidP="00017BE3">
      <w:pPr>
        <w:spacing w:line="276" w:lineRule="auto"/>
        <w:contextualSpacing/>
        <w:jc w:val="both"/>
        <w:rPr>
          <w:rFonts w:ascii="Arial" w:eastAsia="Calibri" w:hAnsi="Arial" w:cs="Arial"/>
          <w:szCs w:val="24"/>
          <w:lang w:val="es-ES_tradnl" w:eastAsia="es-ES_tradnl"/>
        </w:rPr>
      </w:pPr>
    </w:p>
    <w:bookmarkEnd w:id="0"/>
    <w:bookmarkEnd w:id="1"/>
    <w:p w14:paraId="331BE3D0" w14:textId="77777777" w:rsidR="00017BE3" w:rsidRPr="00504597" w:rsidRDefault="00017BE3" w:rsidP="00017BE3">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4" w:name="_Hlk99120496"/>
      <w:r w:rsidRPr="00E87A11">
        <w:rPr>
          <w:rFonts w:ascii="Arial MT" w:eastAsia="Arial MT" w:hAnsi="Arial MT" w:cs="Arial MT"/>
          <w:lang w:val="es-ES"/>
        </w:rPr>
        <w:t xml:space="preserve">, </w:t>
      </w:r>
      <w:bookmarkEnd w:id="4"/>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28 de marzo de 2023</w:t>
      </w:r>
      <w:r w:rsidRPr="00504597">
        <w:rPr>
          <w:rFonts w:ascii="Arial" w:eastAsia="Calibri" w:hAnsi="Arial" w:cs="Arial"/>
          <w:color w:val="000000" w:themeColor="text1"/>
          <w:lang w:val="es-ES_tradnl"/>
        </w:rPr>
        <w:t>.</w:t>
      </w:r>
    </w:p>
    <w:p w14:paraId="4FFF6626" w14:textId="77777777" w:rsidR="00017BE3" w:rsidRPr="00504597" w:rsidRDefault="00017BE3" w:rsidP="00017BE3">
      <w:pPr>
        <w:spacing w:after="0" w:line="276" w:lineRule="auto"/>
        <w:jc w:val="both"/>
        <w:rPr>
          <w:rFonts w:ascii="Arial" w:eastAsia="Calibri" w:hAnsi="Arial" w:cs="Arial"/>
          <w:b/>
          <w:color w:val="000000" w:themeColor="text1"/>
          <w:lang w:val="es-ES_tradnl"/>
        </w:rPr>
      </w:pPr>
    </w:p>
    <w:p w14:paraId="13FE9381" w14:textId="77777777" w:rsidR="00017BE3" w:rsidRPr="00504597" w:rsidRDefault="00017BE3" w:rsidP="00017BE3">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286D6B38" w14:textId="77777777" w:rsidR="00017BE3" w:rsidRPr="00504597" w:rsidRDefault="00017BE3" w:rsidP="00017BE3">
      <w:pPr>
        <w:tabs>
          <w:tab w:val="left" w:pos="426"/>
        </w:tabs>
        <w:spacing w:after="0" w:line="276" w:lineRule="auto"/>
        <w:jc w:val="both"/>
        <w:rPr>
          <w:rFonts w:ascii="Arial" w:eastAsia="Calibri" w:hAnsi="Arial" w:cs="Arial"/>
          <w:b/>
          <w:color w:val="000000" w:themeColor="text1"/>
          <w:lang w:val="es-ES_tradnl"/>
        </w:rPr>
      </w:pPr>
    </w:p>
    <w:p w14:paraId="08B71565" w14:textId="77777777" w:rsidR="00017BE3" w:rsidRPr="00975B52" w:rsidRDefault="00017BE3" w:rsidP="00017BE3">
      <w:pPr>
        <w:spacing w:after="0" w:line="276" w:lineRule="auto"/>
        <w:jc w:val="both"/>
        <w:rPr>
          <w:rFonts w:ascii="Arial" w:hAnsi="Arial" w:cs="Arial"/>
          <w:color w:val="000000" w:themeColor="text1"/>
          <w:lang w:val="es-ES_tradnl"/>
        </w:rPr>
      </w:pPr>
      <w:bookmarkStart w:id="5" w:name="_Hlk132033606"/>
      <w:r>
        <w:rPr>
          <w:rFonts w:ascii="Arial" w:hAnsi="Arial" w:cs="Arial"/>
          <w:color w:val="000000" w:themeColor="text1"/>
          <w:lang w:val="es-ES_tradnl"/>
        </w:rPr>
        <w:t>Respecto al Registro de Deudores Alimentarios Morosos regulado en la Ley 2097 de 2021 y el Decreto 1310 de 2022,</w:t>
      </w:r>
      <w:bookmarkEnd w:id="5"/>
      <w:r>
        <w:rPr>
          <w:rFonts w:ascii="Arial" w:hAnsi="Arial" w:cs="Arial"/>
          <w:color w:val="000000" w:themeColor="text1"/>
          <w:lang w:val="es-ES_tradnl"/>
        </w:rPr>
        <w:t xml:space="preserve"> usted realiza las siguientes preguntas: </w:t>
      </w:r>
      <w:bookmarkStart w:id="6" w:name="_Hlk132033658"/>
      <w:r>
        <w:rPr>
          <w:rFonts w:ascii="Arial" w:hAnsi="Arial" w:cs="Arial"/>
          <w:color w:val="000000" w:themeColor="text1"/>
          <w:lang w:val="es-ES_tradnl"/>
        </w:rPr>
        <w:t>i) “¿</w:t>
      </w:r>
      <w:r w:rsidRPr="00975B52">
        <w:rPr>
          <w:rFonts w:ascii="Arial" w:hAnsi="Arial" w:cs="Arial"/>
          <w:color w:val="000000" w:themeColor="text1"/>
          <w:lang w:val="es-ES_tradnl"/>
        </w:rPr>
        <w:t>Desde cuándo es obligatorio?</w:t>
      </w:r>
      <w:r>
        <w:rPr>
          <w:rFonts w:ascii="Arial" w:hAnsi="Arial" w:cs="Arial"/>
          <w:color w:val="000000" w:themeColor="text1"/>
          <w:lang w:val="es-ES_tradnl"/>
        </w:rPr>
        <w:t>”, ii) “¿</w:t>
      </w:r>
      <w:r w:rsidRPr="00975B52">
        <w:rPr>
          <w:rFonts w:ascii="Arial" w:hAnsi="Arial" w:cs="Arial"/>
          <w:color w:val="000000" w:themeColor="text1"/>
          <w:lang w:val="es-ES_tradnl"/>
        </w:rPr>
        <w:t>Cómo operará?</w:t>
      </w:r>
      <w:r>
        <w:rPr>
          <w:rFonts w:ascii="Arial" w:hAnsi="Arial" w:cs="Arial"/>
          <w:color w:val="000000" w:themeColor="text1"/>
          <w:lang w:val="es-ES_tradnl"/>
        </w:rPr>
        <w:t>” y iii) “¿</w:t>
      </w:r>
      <w:r w:rsidRPr="00975B52">
        <w:rPr>
          <w:rFonts w:ascii="Arial" w:hAnsi="Arial" w:cs="Arial"/>
          <w:color w:val="000000" w:themeColor="text1"/>
          <w:lang w:val="es-ES_tradnl"/>
        </w:rPr>
        <w:t>Se aplicará también a los representantes legales de las entidad o empresas a contratar con el estado?</w:t>
      </w:r>
      <w:r>
        <w:rPr>
          <w:rFonts w:ascii="Arial" w:hAnsi="Arial" w:cs="Arial"/>
          <w:color w:val="000000" w:themeColor="text1"/>
          <w:lang w:val="es-ES_tradnl"/>
        </w:rPr>
        <w:t>”</w:t>
      </w:r>
      <w:bookmarkEnd w:id="6"/>
      <w:r>
        <w:rPr>
          <w:rFonts w:ascii="Arial" w:hAnsi="Arial" w:cs="Arial"/>
          <w:color w:val="000000" w:themeColor="text1"/>
          <w:lang w:val="es-ES_tradnl"/>
        </w:rPr>
        <w:t>.</w:t>
      </w:r>
    </w:p>
    <w:p w14:paraId="72BC7331" w14:textId="77777777" w:rsidR="00017BE3" w:rsidRPr="00466C39" w:rsidRDefault="00017BE3" w:rsidP="00017BE3">
      <w:pPr>
        <w:spacing w:after="0" w:line="276" w:lineRule="auto"/>
        <w:ind w:right="709"/>
        <w:jc w:val="both"/>
        <w:rPr>
          <w:rFonts w:ascii="Arial" w:hAnsi="Arial" w:cs="Arial"/>
          <w:color w:val="000000" w:themeColor="text1"/>
        </w:rPr>
      </w:pPr>
    </w:p>
    <w:p w14:paraId="429C2526" w14:textId="77777777" w:rsidR="00017BE3" w:rsidRPr="00504597" w:rsidRDefault="00017BE3" w:rsidP="00017BE3">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7B49F081" w14:textId="77777777" w:rsidR="00017BE3" w:rsidRPr="00504597" w:rsidRDefault="00017BE3" w:rsidP="00017BE3">
      <w:pPr>
        <w:spacing w:after="0" w:line="276" w:lineRule="auto"/>
        <w:jc w:val="both"/>
        <w:rPr>
          <w:rFonts w:ascii="Arial" w:eastAsia="Calibri" w:hAnsi="Arial" w:cs="Arial"/>
          <w:color w:val="000000" w:themeColor="text1"/>
          <w:lang w:val="es-ES"/>
        </w:rPr>
      </w:pPr>
    </w:p>
    <w:p w14:paraId="31FDB923" w14:textId="6D368D57" w:rsidR="00017BE3" w:rsidRPr="00E95F3A" w:rsidRDefault="00017BE3" w:rsidP="00017BE3">
      <w:pPr>
        <w:spacing w:line="276" w:lineRule="auto"/>
        <w:jc w:val="both"/>
        <w:rPr>
          <w:rFonts w:ascii="Arial" w:hAnsi="Arial" w:cs="Arial"/>
          <w:color w:val="000000" w:themeColor="text1"/>
          <w:lang w:val="es-ES"/>
        </w:rPr>
      </w:pPr>
      <w:r w:rsidRPr="00504597">
        <w:rPr>
          <w:rFonts w:ascii="Arial" w:eastAsia="Calibri" w:hAnsi="Arial" w:cs="Arial"/>
          <w:color w:val="000000" w:themeColor="text1"/>
        </w:rPr>
        <w:t xml:space="preserve">Para responder </w:t>
      </w:r>
      <w:r>
        <w:rPr>
          <w:rFonts w:ascii="Arial" w:eastAsia="Calibri" w:hAnsi="Arial" w:cs="Arial"/>
          <w:color w:val="000000" w:themeColor="text1"/>
        </w:rPr>
        <w:t>los problemas planteados,</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C461A7">
        <w:rPr>
          <w:rFonts w:ascii="Arial" w:hAnsi="Arial" w:cs="Arial"/>
          <w:color w:val="000000" w:themeColor="text1"/>
          <w:lang w:val="es-ES"/>
        </w:rPr>
        <w:t xml:space="preserve">i) régimen de inhabilidades e incompatibilidades para contratar con el Estado, ii) límites de la capacidad contractual en relación con la reserva de ley y la interpretación restrictiva de estas disposiciones, y ii) </w:t>
      </w:r>
      <w:bookmarkStart w:id="7" w:name="_Hlk73971018"/>
      <w:bookmarkStart w:id="8" w:name="_Hlk132011841"/>
      <w:r w:rsidRPr="00C461A7">
        <w:rPr>
          <w:rFonts w:ascii="Arial" w:hAnsi="Arial" w:cs="Arial"/>
          <w:color w:val="000000" w:themeColor="text1"/>
          <w:lang w:val="es-ES"/>
        </w:rPr>
        <w:t xml:space="preserve">alcance </w:t>
      </w:r>
      <w:bookmarkEnd w:id="7"/>
      <w:r>
        <w:rPr>
          <w:rFonts w:ascii="Arial" w:hAnsi="Arial" w:cs="Arial"/>
          <w:color w:val="000000" w:themeColor="text1"/>
          <w:lang w:val="es-ES"/>
        </w:rPr>
        <w:t>de la restricción prevista en el artículo 6.1 de la Ley 2097 de 2021, reglamentada por el Decreto 1310 de 2022</w:t>
      </w:r>
      <w:bookmarkEnd w:id="8"/>
      <w:r w:rsidRPr="00C461A7">
        <w:rPr>
          <w:rFonts w:ascii="Arial" w:hAnsi="Arial" w:cs="Arial"/>
          <w:color w:val="000000" w:themeColor="text1"/>
          <w:lang w:val="es-MX"/>
        </w:rPr>
        <w:t>.</w:t>
      </w:r>
      <w:r w:rsidRPr="00C461A7">
        <w:rPr>
          <w:rFonts w:ascii="Arial" w:hAnsi="Arial" w:cs="Arial"/>
          <w:color w:val="000000" w:themeColor="text1"/>
          <w:lang w:val="es-ES"/>
        </w:rPr>
        <w:t xml:space="preserve"> </w:t>
      </w:r>
    </w:p>
    <w:p w14:paraId="6DB451F9" w14:textId="77777777" w:rsidR="00017BE3" w:rsidRDefault="00017BE3" w:rsidP="00017BE3">
      <w:pPr>
        <w:spacing w:before="120" w:after="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w:t>
      </w:r>
      <w:r>
        <w:rPr>
          <w:rFonts w:ascii="Arial" w:eastAsia="Calibri" w:hAnsi="Arial" w:cs="Arial"/>
          <w:color w:val="000000" w:themeColor="text1"/>
          <w:lang w:val="es-ES"/>
        </w:rPr>
        <w:t xml:space="preserve"> </w:t>
      </w:r>
      <w:r w:rsidRPr="00DE7E6D">
        <w:rPr>
          <w:rFonts w:ascii="Arial" w:eastAsia="Calibri" w:hAnsi="Arial" w:cs="Arial"/>
          <w:color w:val="000000" w:themeColor="text1"/>
          <w:lang w:val="es-MX"/>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w:t>
      </w:r>
      <w:r>
        <w:rPr>
          <w:rFonts w:ascii="Arial" w:eastAsia="Calibri" w:hAnsi="Arial" w:cs="Arial"/>
          <w:color w:val="000000" w:themeColor="text1"/>
          <w:lang w:val="es-MX"/>
        </w:rPr>
        <w:t xml:space="preserve">, </w:t>
      </w:r>
      <w:r w:rsidRPr="00CC107C">
        <w:rPr>
          <w:rFonts w:ascii="Arial" w:eastAsia="Calibri" w:hAnsi="Arial" w:cs="Arial"/>
          <w:color w:val="000000" w:themeColor="text1"/>
          <w:lang w:val="es-ES_tradnl"/>
        </w:rPr>
        <w:t>C</w:t>
      </w:r>
      <w:r>
        <w:rPr>
          <w:rFonts w:ascii="Arial" w:eastAsia="Calibri" w:hAnsi="Arial" w:cs="Arial"/>
          <w:color w:val="000000" w:themeColor="text1"/>
          <w:lang w:val="es-ES_tradnl"/>
        </w:rPr>
        <w:t>-</w:t>
      </w:r>
      <w:r w:rsidRPr="00CC107C">
        <w:rPr>
          <w:rFonts w:ascii="Arial" w:eastAsia="Calibri" w:hAnsi="Arial" w:cs="Arial"/>
          <w:color w:val="000000" w:themeColor="text1"/>
          <w:lang w:val="es-ES_tradnl"/>
        </w:rPr>
        <w:t>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_tradnl"/>
        </w:rPr>
        <w:t>C-491 del 14 de septiembre de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
        </w:rPr>
        <w:t>C-028 del 28 de febrero de 2022, C-318 del 18 de mayo de 2022 y C-252 del 30 de mayo de 2022</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los contornos generales del régimen de inhabilidades e incompatibilidades en la contratación estatal</w:t>
      </w:r>
      <w:r w:rsidRPr="00781AC2">
        <w:rPr>
          <w:rStyle w:val="Refdenotaalpie"/>
          <w:rFonts w:ascii="Arial" w:eastAsia="Calibri" w:hAnsi="Arial" w:cs="Arial"/>
        </w:rPr>
        <w:footnoteReference w:id="2"/>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39B9AAA1" w14:textId="77777777" w:rsidR="00017BE3" w:rsidRDefault="00017BE3" w:rsidP="00017BE3">
      <w:pPr>
        <w:pStyle w:val="Sinespaciado"/>
        <w:widowControl w:val="0"/>
        <w:autoSpaceDE w:val="0"/>
        <w:autoSpaceDN w:val="0"/>
        <w:spacing w:line="276" w:lineRule="auto"/>
        <w:jc w:val="both"/>
        <w:rPr>
          <w:rFonts w:ascii="Arial" w:hAnsi="Arial" w:cs="Arial"/>
          <w:b/>
          <w:sz w:val="22"/>
        </w:rPr>
      </w:pPr>
    </w:p>
    <w:p w14:paraId="22D3AEFE" w14:textId="77777777" w:rsidR="00017BE3" w:rsidRPr="003953CA" w:rsidRDefault="00017BE3" w:rsidP="00017BE3">
      <w:pPr>
        <w:pStyle w:val="Sinespaciado"/>
        <w:widowControl w:val="0"/>
        <w:autoSpaceDE w:val="0"/>
        <w:autoSpaceDN w:val="0"/>
        <w:spacing w:line="276" w:lineRule="auto"/>
        <w:jc w:val="both"/>
        <w:rPr>
          <w:rFonts w:ascii="Arial" w:hAnsi="Arial" w:cs="Arial"/>
          <w:b/>
          <w:sz w:val="22"/>
        </w:rPr>
      </w:pPr>
      <w:r w:rsidRPr="003953CA">
        <w:rPr>
          <w:rFonts w:ascii="Arial" w:hAnsi="Arial" w:cs="Arial"/>
          <w:b/>
          <w:sz w:val="22"/>
        </w:rPr>
        <w:t xml:space="preserve">2.1. </w:t>
      </w:r>
      <w:bookmarkStart w:id="9" w:name="_Hlk73970609"/>
      <w:r w:rsidRPr="003953CA">
        <w:rPr>
          <w:rFonts w:ascii="Arial" w:hAnsi="Arial" w:cs="Arial"/>
          <w:b/>
          <w:sz w:val="22"/>
        </w:rPr>
        <w:t xml:space="preserve">Régimen de inhabilidades e incompatibilidades para contratar con el Estado </w:t>
      </w:r>
      <w:bookmarkEnd w:id="9"/>
    </w:p>
    <w:p w14:paraId="2DED0B35" w14:textId="77777777" w:rsidR="00017BE3" w:rsidRPr="003953CA" w:rsidRDefault="00017BE3" w:rsidP="00017BE3">
      <w:pPr>
        <w:pStyle w:val="Sinespaciado"/>
        <w:spacing w:line="276" w:lineRule="auto"/>
        <w:jc w:val="both"/>
        <w:rPr>
          <w:rFonts w:ascii="Arial" w:hAnsi="Arial" w:cs="Arial"/>
          <w:sz w:val="22"/>
        </w:rPr>
      </w:pPr>
    </w:p>
    <w:p w14:paraId="79D3CE49" w14:textId="1C59EE58" w:rsidR="00017BE3" w:rsidRPr="003953CA" w:rsidRDefault="00017BE3" w:rsidP="00017BE3">
      <w:pPr>
        <w:pStyle w:val="Sinespaciado"/>
        <w:spacing w:after="120" w:line="276" w:lineRule="auto"/>
        <w:jc w:val="both"/>
        <w:rPr>
          <w:rFonts w:ascii="Arial" w:hAnsi="Arial" w:cs="Arial"/>
          <w:sz w:val="22"/>
        </w:rPr>
      </w:pPr>
      <w:r w:rsidRPr="003953CA">
        <w:rPr>
          <w:rFonts w:ascii="Arial" w:hAnsi="Arial"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D9DC526" w14:textId="77777777" w:rsidR="00017BE3" w:rsidRDefault="00017BE3" w:rsidP="00017BE3">
      <w:pPr>
        <w:ind w:firstLine="709"/>
        <w:jc w:val="both"/>
        <w:rPr>
          <w:rFonts w:ascii="Arial" w:hAnsi="Arial" w:cs="Arial"/>
        </w:rPr>
      </w:pPr>
      <w:r w:rsidRPr="003953C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Arial" w:hAnsi="Arial" w:cs="Arial"/>
        </w:rPr>
        <w:t>“</w:t>
      </w:r>
      <w:r w:rsidRPr="003953CA">
        <w:rPr>
          <w:rFonts w:ascii="Arial" w:hAnsi="Arial" w:cs="Arial"/>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Arial" w:hAnsi="Arial" w:cs="Arial"/>
        </w:rPr>
        <w:t>”</w:t>
      </w:r>
      <w:r>
        <w:rPr>
          <w:rStyle w:val="Refdenotaalpie"/>
          <w:rFonts w:ascii="Arial" w:hAnsi="Arial" w:cs="Arial"/>
        </w:rPr>
        <w:footnoteReference w:id="3"/>
      </w:r>
      <w:r>
        <w:rPr>
          <w:rFonts w:ascii="Arial" w:hAnsi="Arial" w:cs="Arial"/>
        </w:rPr>
        <w:t>.</w:t>
      </w:r>
    </w:p>
    <w:p w14:paraId="38A11BBF" w14:textId="77777777" w:rsidR="00017BE3" w:rsidRPr="00B60131" w:rsidRDefault="00017BE3" w:rsidP="00017BE3">
      <w:pPr>
        <w:pStyle w:val="Sinespaciado"/>
        <w:spacing w:before="120" w:line="276" w:lineRule="auto"/>
        <w:ind w:firstLine="709"/>
        <w:jc w:val="both"/>
        <w:rPr>
          <w:rFonts w:ascii="Arial" w:hAnsi="Arial" w:cs="Arial"/>
          <w:sz w:val="22"/>
        </w:rPr>
      </w:pPr>
      <w:r w:rsidRPr="00B60131">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7B2392B" w14:textId="77777777" w:rsidR="00017BE3" w:rsidRPr="00B60131" w:rsidRDefault="00017BE3" w:rsidP="00017BE3">
      <w:pPr>
        <w:pStyle w:val="Sinespaciado"/>
        <w:spacing w:line="276" w:lineRule="auto"/>
        <w:jc w:val="both"/>
        <w:rPr>
          <w:rFonts w:ascii="Arial" w:hAnsi="Arial" w:cs="Arial"/>
          <w:sz w:val="22"/>
        </w:rPr>
      </w:pPr>
    </w:p>
    <w:p w14:paraId="2B47E4BD" w14:textId="77777777" w:rsidR="00017BE3" w:rsidRDefault="00017BE3" w:rsidP="00017BE3">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B60131">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01EF065" w14:textId="77777777" w:rsidR="00017BE3" w:rsidRDefault="00017BE3" w:rsidP="00017BE3">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B60131">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w:t>
      </w:r>
      <w:r w:rsidRPr="003953CA">
        <w:rPr>
          <w:rFonts w:ascii="Arial" w:eastAsiaTheme="minorHAnsi" w:hAnsi="Arial" w:cs="Arial"/>
          <w:sz w:val="21"/>
          <w:szCs w:val="21"/>
          <w:lang w:val="es-ES" w:eastAsia="en-US"/>
        </w:rPr>
        <w:t xml:space="preserve">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Style w:val="Refdenotaalpie"/>
          <w:rFonts w:ascii="Arial" w:eastAsiaTheme="minorHAnsi" w:hAnsi="Arial" w:cs="Arial"/>
          <w:sz w:val="21"/>
          <w:szCs w:val="21"/>
          <w:lang w:val="es-ES" w:eastAsia="en-US"/>
        </w:rPr>
        <w:footnoteReference w:id="4"/>
      </w:r>
      <w:r>
        <w:rPr>
          <w:rFonts w:ascii="Arial" w:eastAsiaTheme="minorHAnsi" w:hAnsi="Arial" w:cs="Arial"/>
          <w:sz w:val="21"/>
          <w:szCs w:val="21"/>
          <w:lang w:val="es-ES" w:eastAsia="en-US"/>
        </w:rPr>
        <w:t>.</w:t>
      </w:r>
    </w:p>
    <w:p w14:paraId="3DF8FBFA" w14:textId="77777777" w:rsidR="00017BE3" w:rsidRPr="00427F40" w:rsidRDefault="00017BE3" w:rsidP="00017BE3">
      <w:pPr>
        <w:pStyle w:val="NormalWeb"/>
        <w:shd w:val="clear" w:color="auto" w:fill="FFFFFF"/>
        <w:spacing w:before="0" w:beforeAutospacing="0" w:after="0" w:afterAutospacing="0" w:line="276" w:lineRule="auto"/>
        <w:ind w:left="709" w:right="709"/>
        <w:jc w:val="both"/>
        <w:rPr>
          <w:rFonts w:ascii="Arial" w:eastAsiaTheme="minorHAnsi" w:hAnsi="Arial" w:cs="Arial"/>
          <w:sz w:val="22"/>
          <w:szCs w:val="22"/>
          <w:lang w:val="es-ES" w:eastAsia="en-US"/>
        </w:rPr>
      </w:pPr>
    </w:p>
    <w:p w14:paraId="13E782E3" w14:textId="77777777" w:rsidR="00017BE3" w:rsidRDefault="00017BE3" w:rsidP="00017BE3">
      <w:pPr>
        <w:pStyle w:val="Sinespaciado"/>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3394F0E5" w14:textId="77777777" w:rsidR="00017BE3" w:rsidRPr="003953CA" w:rsidRDefault="00017BE3" w:rsidP="00017BE3">
      <w:pPr>
        <w:pStyle w:val="Sinespaciado"/>
        <w:spacing w:line="276" w:lineRule="auto"/>
        <w:ind w:firstLine="709"/>
        <w:jc w:val="both"/>
        <w:rPr>
          <w:rFonts w:ascii="Arial" w:hAnsi="Arial" w:cs="Arial"/>
          <w:sz w:val="22"/>
        </w:rPr>
      </w:pPr>
    </w:p>
    <w:p w14:paraId="73EA3E08" w14:textId="77777777" w:rsidR="00017BE3" w:rsidRDefault="00017BE3" w:rsidP="00017BE3">
      <w:pPr>
        <w:spacing w:line="240" w:lineRule="auto"/>
        <w:ind w:left="709" w:right="709"/>
        <w:jc w:val="both"/>
        <w:rPr>
          <w:rFonts w:ascii="Arial" w:hAnsi="Arial" w:cs="Arial"/>
          <w:sz w:val="21"/>
          <w:szCs w:val="21"/>
        </w:rPr>
      </w:pPr>
      <w:r w:rsidRPr="003953CA">
        <w:rPr>
          <w:rFonts w:ascii="Arial" w:hAnsi="Arial"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C5AA5A0" w14:textId="77777777" w:rsidR="00017BE3" w:rsidRDefault="00017BE3" w:rsidP="00017BE3">
      <w:pPr>
        <w:spacing w:after="0" w:line="240" w:lineRule="auto"/>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Style w:val="Refdenotaalpie"/>
          <w:rFonts w:ascii="Arial" w:hAnsi="Arial" w:cs="Arial"/>
          <w:sz w:val="21"/>
          <w:szCs w:val="21"/>
        </w:rPr>
        <w:footnoteReference w:id="5"/>
      </w:r>
      <w:r>
        <w:rPr>
          <w:rFonts w:ascii="Arial" w:hAnsi="Arial" w:cs="Arial"/>
          <w:sz w:val="21"/>
          <w:szCs w:val="21"/>
        </w:rPr>
        <w:t>.</w:t>
      </w:r>
    </w:p>
    <w:p w14:paraId="3C90DA8B" w14:textId="77777777" w:rsidR="00017BE3" w:rsidRPr="00427F40" w:rsidRDefault="00017BE3" w:rsidP="00017BE3">
      <w:pPr>
        <w:spacing w:after="0" w:line="276" w:lineRule="auto"/>
        <w:ind w:right="709"/>
        <w:jc w:val="both"/>
        <w:rPr>
          <w:rFonts w:ascii="Arial" w:hAnsi="Arial" w:cs="Arial"/>
        </w:rPr>
      </w:pPr>
    </w:p>
    <w:p w14:paraId="1C1CE43C" w14:textId="77777777" w:rsidR="00017BE3" w:rsidRPr="003953CA" w:rsidRDefault="00017BE3" w:rsidP="00017BE3">
      <w:pPr>
        <w:spacing w:after="0"/>
        <w:ind w:firstLine="709"/>
        <w:jc w:val="both"/>
        <w:rPr>
          <w:rFonts w:ascii="Arial" w:hAnsi="Arial" w:cs="Arial"/>
        </w:rPr>
      </w:pPr>
      <w:r w:rsidRPr="003953CA">
        <w:rPr>
          <w:rFonts w:ascii="Arial" w:hAnsi="Arial" w:cs="Arial"/>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rPr>
        <w:t xml:space="preserve">de la Administración </w:t>
      </w:r>
      <w:r w:rsidRPr="003953CA">
        <w:rPr>
          <w:rFonts w:ascii="Arial" w:hAnsi="Arial" w:cs="Arial"/>
        </w:rPr>
        <w:t>Pública, cuya expedición compete al Congreso de la República a la luz del artículo 150 de la Constitución Política, y que en esta materia rige el principio de legalidad:</w:t>
      </w:r>
    </w:p>
    <w:p w14:paraId="1B6C8E31" w14:textId="77777777" w:rsidR="00017BE3" w:rsidRPr="003953CA" w:rsidRDefault="00017BE3" w:rsidP="00017BE3">
      <w:pPr>
        <w:pStyle w:val="Sinespaciado"/>
        <w:tabs>
          <w:tab w:val="left" w:pos="1532"/>
        </w:tabs>
        <w:spacing w:line="276" w:lineRule="auto"/>
        <w:jc w:val="both"/>
        <w:rPr>
          <w:rFonts w:ascii="Arial" w:hAnsi="Arial" w:cs="Arial"/>
          <w:sz w:val="22"/>
        </w:rPr>
      </w:pPr>
    </w:p>
    <w:p w14:paraId="2E97B0B7" w14:textId="77777777" w:rsidR="00017BE3" w:rsidRPr="003953CA" w:rsidRDefault="00017BE3" w:rsidP="00017BE3">
      <w:pPr>
        <w:spacing w:after="0" w:line="240" w:lineRule="auto"/>
        <w:ind w:left="709" w:right="709"/>
        <w:jc w:val="both"/>
        <w:rPr>
          <w:rFonts w:ascii="Arial" w:hAnsi="Arial" w:cs="Arial"/>
          <w:sz w:val="21"/>
          <w:szCs w:val="21"/>
        </w:rPr>
      </w:pPr>
      <w:r w:rsidRPr="003953C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427F40">
        <w:rPr>
          <w:rFonts w:ascii="Arial" w:hAnsi="Arial" w:cs="Arial"/>
          <w:i/>
          <w:iCs/>
          <w:sz w:val="21"/>
          <w:szCs w:val="21"/>
        </w:rPr>
        <w:t>pro libertate</w:t>
      </w:r>
      <w:r w:rsidRPr="003953CA">
        <w:rPr>
          <w:rFonts w:ascii="Arial" w:hAnsi="Arial" w:cs="Arial"/>
          <w:sz w:val="21"/>
          <w:szCs w:val="21"/>
        </w:rPr>
        <w:t xml:space="preserve">, sino el de legalidad, el que ordena que la función pública debe someterse estrictamente a lo que disponga la Constitución y la ley (CP art. 6). </w:t>
      </w:r>
    </w:p>
    <w:p w14:paraId="0C6317D4" w14:textId="77777777" w:rsidR="00017BE3" w:rsidRDefault="00017BE3" w:rsidP="00017BE3">
      <w:pPr>
        <w:spacing w:after="120" w:line="240" w:lineRule="auto"/>
        <w:ind w:left="709" w:right="709"/>
        <w:jc w:val="both"/>
        <w:rPr>
          <w:rFonts w:ascii="Arial" w:hAnsi="Arial" w:cs="Arial"/>
          <w:sz w:val="21"/>
          <w:szCs w:val="21"/>
        </w:rPr>
      </w:pPr>
      <w:r w:rsidRPr="003953CA">
        <w:rPr>
          <w:rFonts w:ascii="Arial" w:hAnsi="Arial" w:cs="Arial"/>
          <w:sz w:val="21"/>
          <w:szCs w:val="21"/>
        </w:rPr>
        <w:t xml:space="preserve">[…] </w:t>
      </w:r>
    </w:p>
    <w:p w14:paraId="5095CE19" w14:textId="77777777" w:rsidR="00017BE3" w:rsidRDefault="00017BE3" w:rsidP="00017BE3">
      <w:pPr>
        <w:spacing w:after="0" w:line="240" w:lineRule="auto"/>
        <w:ind w:left="709" w:right="709"/>
        <w:jc w:val="both"/>
        <w:rPr>
          <w:rFonts w:ascii="Arial" w:hAnsi="Arial" w:cs="Arial"/>
          <w:sz w:val="21"/>
          <w:szCs w:val="21"/>
        </w:rPr>
      </w:pPr>
      <w:r w:rsidRPr="003953CA">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rStyle w:val="Refdenotaalpie"/>
          <w:rFonts w:ascii="Arial" w:hAnsi="Arial" w:cs="Arial"/>
          <w:sz w:val="21"/>
          <w:szCs w:val="21"/>
        </w:rPr>
        <w:footnoteReference w:id="6"/>
      </w:r>
      <w:r>
        <w:rPr>
          <w:rFonts w:ascii="Arial" w:hAnsi="Arial" w:cs="Arial"/>
          <w:sz w:val="21"/>
          <w:szCs w:val="21"/>
        </w:rPr>
        <w:t>.</w:t>
      </w:r>
    </w:p>
    <w:p w14:paraId="1E1063C2" w14:textId="77777777" w:rsidR="00017BE3" w:rsidRPr="00427F40" w:rsidRDefault="00017BE3" w:rsidP="00017BE3">
      <w:pPr>
        <w:spacing w:after="0" w:line="276" w:lineRule="auto"/>
        <w:ind w:left="709" w:right="709"/>
        <w:jc w:val="both"/>
        <w:rPr>
          <w:rFonts w:ascii="Arial" w:hAnsi="Arial" w:cs="Arial"/>
        </w:rPr>
      </w:pPr>
    </w:p>
    <w:p w14:paraId="75CFD8AC" w14:textId="77777777" w:rsidR="00017BE3" w:rsidRDefault="00017BE3" w:rsidP="00017BE3">
      <w:pPr>
        <w:spacing w:after="0"/>
        <w:ind w:firstLine="709"/>
        <w:jc w:val="both"/>
        <w:rPr>
          <w:rFonts w:ascii="Arial" w:hAnsi="Arial" w:cs="Arial"/>
        </w:rPr>
      </w:pPr>
      <w:r w:rsidRPr="003953CA">
        <w:rPr>
          <w:rFonts w:ascii="Arial" w:hAnsi="Arial"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Pr>
          <w:rStyle w:val="Refdenotaalpie"/>
          <w:rFonts w:ascii="Arial" w:hAnsi="Arial" w:cs="Arial"/>
        </w:rPr>
        <w:footnoteReference w:id="7"/>
      </w:r>
      <w:r>
        <w:rPr>
          <w:rFonts w:ascii="Arial" w:hAnsi="Arial" w:cs="Arial"/>
        </w:rPr>
        <w:t>.</w:t>
      </w:r>
    </w:p>
    <w:p w14:paraId="41B83E76" w14:textId="77777777" w:rsidR="00017BE3" w:rsidRDefault="00017BE3" w:rsidP="00017BE3">
      <w:pPr>
        <w:spacing w:before="120" w:after="0"/>
        <w:ind w:firstLine="708"/>
        <w:jc w:val="both"/>
        <w:rPr>
          <w:rFonts w:ascii="Arial" w:hAnsi="Arial" w:cs="Arial"/>
        </w:rPr>
      </w:pPr>
      <w:r w:rsidRPr="003953CA">
        <w:rPr>
          <w:rFonts w:ascii="Arial" w:hAnsi="Arial" w:cs="Arial"/>
        </w:rPr>
        <w:t>A manera de ejemplo, en materia contractual, los literales c), d) y j) del numeral 1 del artículo 8 de la Ley 80 de 1993</w:t>
      </w:r>
      <w:r>
        <w:rPr>
          <w:rStyle w:val="Refdenotaalpie"/>
          <w:rFonts w:ascii="Arial" w:hAnsi="Arial" w:cs="Arial"/>
        </w:rPr>
        <w:footnoteReference w:id="8"/>
      </w:r>
      <w:r>
        <w:rPr>
          <w:rFonts w:ascii="Arial" w:hAnsi="Arial" w:cs="Arial"/>
        </w:rPr>
        <w:t xml:space="preserve"> </w:t>
      </w:r>
      <w:r w:rsidRPr="003953CA">
        <w:rPr>
          <w:rFonts w:ascii="Arial" w:hAnsi="Arial" w:cs="Arial"/>
        </w:rPr>
        <w:t xml:space="preserve">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10" w:name="_Hlk40976328"/>
      <w:r w:rsidRPr="003953C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10"/>
    </w:p>
    <w:p w14:paraId="544117FF" w14:textId="77777777" w:rsidR="00017BE3" w:rsidRPr="002D2994" w:rsidRDefault="00017BE3" w:rsidP="00017BE3">
      <w:pPr>
        <w:spacing w:after="0"/>
        <w:ind w:firstLine="709"/>
        <w:jc w:val="both"/>
        <w:rPr>
          <w:rFonts w:ascii="Arial" w:hAnsi="Arial" w:cs="Arial"/>
        </w:rPr>
      </w:pPr>
    </w:p>
    <w:p w14:paraId="60427763" w14:textId="77777777" w:rsidR="00017BE3" w:rsidRPr="003953CA" w:rsidRDefault="00017BE3" w:rsidP="00017BE3">
      <w:pPr>
        <w:tabs>
          <w:tab w:val="left" w:pos="426"/>
        </w:tabs>
        <w:spacing w:after="0"/>
        <w:jc w:val="both"/>
        <w:rPr>
          <w:rFonts w:ascii="Arial" w:eastAsia="Calibri" w:hAnsi="Arial" w:cs="Arial"/>
          <w:b/>
          <w:lang w:val="es-ES_tradnl"/>
        </w:rPr>
      </w:pPr>
      <w:r w:rsidRPr="003953CA">
        <w:rPr>
          <w:rFonts w:ascii="Arial" w:eastAsia="Calibri" w:hAnsi="Arial" w:cs="Arial"/>
          <w:b/>
          <w:lang w:val="es-ES_tradnl"/>
        </w:rPr>
        <w:t xml:space="preserve">2.2. Régimen de inhabilidades e incompatibilidades en la contratación estatal: un límite a la capacidad contractual. La interpretación restrictiva como criterio hermenéutico de los enunciados normativos gravosos </w:t>
      </w:r>
      <w:r>
        <w:rPr>
          <w:rFonts w:ascii="Arial" w:eastAsia="Calibri" w:hAnsi="Arial" w:cs="Arial"/>
          <w:b/>
          <w:lang w:val="es-ES_tradnl"/>
        </w:rPr>
        <w:t>y la reserva de ley</w:t>
      </w:r>
    </w:p>
    <w:p w14:paraId="70EB046D" w14:textId="77777777" w:rsidR="00017BE3" w:rsidRDefault="00017BE3" w:rsidP="00017BE3">
      <w:pPr>
        <w:spacing w:after="0"/>
        <w:ind w:right="709"/>
        <w:jc w:val="both"/>
        <w:rPr>
          <w:rFonts w:ascii="Arial" w:eastAsia="Calibri" w:hAnsi="Arial" w:cs="Arial"/>
          <w:lang w:val="es-ES_tradnl"/>
        </w:rPr>
      </w:pPr>
    </w:p>
    <w:p w14:paraId="0315C648" w14:textId="77777777" w:rsidR="00017BE3" w:rsidRDefault="00017BE3" w:rsidP="00017BE3">
      <w:pPr>
        <w:spacing w:after="120"/>
        <w:jc w:val="both"/>
        <w:rPr>
          <w:rFonts w:ascii="Arial" w:eastAsia="Calibri" w:hAnsi="Arial" w:cs="Arial"/>
          <w:lang w:val="es-ES_tradnl"/>
        </w:rPr>
      </w:pPr>
      <w:r w:rsidRPr="003953CA">
        <w:rPr>
          <w:rFonts w:ascii="Arial" w:eastAsia="Calibri" w:hAnsi="Arial" w:cs="Arial"/>
          <w:lang w:val="es-ES_tradnl"/>
        </w:rPr>
        <w:t xml:space="preserve">En la contratación estatal, la </w:t>
      </w:r>
      <w:r w:rsidRPr="003953CA">
        <w:rPr>
          <w:rFonts w:ascii="Arial" w:eastAsia="Calibri" w:hAnsi="Arial" w:cs="Arial"/>
          <w:i/>
          <w:iCs/>
          <w:lang w:val="es-ES_tradnl"/>
        </w:rPr>
        <w:t>capacidad</w:t>
      </w:r>
      <w:r w:rsidRPr="003953C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Pr>
          <w:rStyle w:val="Refdenotaalpie"/>
          <w:rFonts w:ascii="Arial" w:eastAsia="Calibri" w:hAnsi="Arial" w:cs="Arial"/>
          <w:lang w:val="es-ES_tradnl"/>
        </w:rPr>
        <w:footnoteReference w:id="9"/>
      </w:r>
      <w:r>
        <w:rPr>
          <w:rFonts w:ascii="Arial" w:eastAsia="Calibri" w:hAnsi="Arial" w:cs="Arial"/>
          <w:lang w:val="es-ES_tradnl"/>
        </w:rPr>
        <w:t xml:space="preserve"> </w:t>
      </w:r>
      <w:r w:rsidRPr="003953CA">
        <w:rPr>
          <w:rFonts w:ascii="Arial" w:eastAsia="Calibri" w:hAnsi="Arial" w:cs="Arial"/>
          <w:lang w:val="es-ES_tradnl"/>
        </w:rPr>
        <w:t>como en el de las entidades exceptuadas de aquel</w:t>
      </w:r>
      <w:r>
        <w:rPr>
          <w:rStyle w:val="Refdenotaalpie"/>
          <w:rFonts w:ascii="Arial" w:eastAsia="Calibri" w:hAnsi="Arial" w:cs="Arial"/>
          <w:lang w:val="es-ES_tradnl"/>
        </w:rPr>
        <w:footnoteReference w:id="10"/>
      </w:r>
      <w:r>
        <w:rPr>
          <w:rFonts w:ascii="Arial" w:eastAsia="Calibri" w:hAnsi="Arial" w:cs="Arial"/>
          <w:lang w:val="es-ES_tradnl"/>
        </w:rPr>
        <w:t xml:space="preserve">. </w:t>
      </w:r>
      <w:r w:rsidRPr="003953CA">
        <w:rPr>
          <w:rFonts w:ascii="Arial" w:eastAsia="Calibri" w:hAnsi="Arial" w:cs="Arial"/>
          <w:lang w:val="es-ES_tradnl"/>
        </w:rPr>
        <w:t>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Pr>
          <w:rStyle w:val="Refdenotaalpie"/>
          <w:rFonts w:ascii="Arial" w:eastAsia="Calibri" w:hAnsi="Arial" w:cs="Arial"/>
          <w:lang w:val="es-ES_tradnl"/>
        </w:rPr>
        <w:footnoteReference w:id="11"/>
      </w:r>
      <w:r w:rsidRPr="003953C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Pr>
          <w:rStyle w:val="Refdenotaalpie"/>
          <w:rFonts w:ascii="Arial" w:eastAsia="Calibri" w:hAnsi="Arial" w:cs="Arial"/>
          <w:lang w:val="es-ES_tradnl"/>
        </w:rPr>
        <w:footnoteReference w:id="12"/>
      </w:r>
      <w:r>
        <w:rPr>
          <w:rFonts w:ascii="Arial" w:eastAsia="Calibri" w:hAnsi="Arial" w:cs="Arial"/>
          <w:lang w:val="es-ES_tradnl"/>
        </w:rPr>
        <w:t>.</w:t>
      </w:r>
    </w:p>
    <w:p w14:paraId="75647538" w14:textId="77777777" w:rsidR="00017BE3" w:rsidRDefault="00017BE3" w:rsidP="00017BE3">
      <w:pPr>
        <w:spacing w:after="120"/>
        <w:ind w:firstLine="709"/>
        <w:jc w:val="both"/>
        <w:rPr>
          <w:rFonts w:ascii="Arial" w:eastAsia="Calibri" w:hAnsi="Arial" w:cs="Arial"/>
          <w:lang w:val="es-ES_tradnl"/>
        </w:rPr>
      </w:pPr>
      <w:r w:rsidRPr="003953C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Pr>
          <w:rStyle w:val="Refdenotaalpie"/>
          <w:rFonts w:ascii="Arial" w:eastAsia="Calibri" w:hAnsi="Arial" w:cs="Arial"/>
          <w:lang w:val="es-ES_tradnl"/>
        </w:rPr>
        <w:footnoteReference w:id="13"/>
      </w:r>
      <w:r>
        <w:rPr>
          <w:rFonts w:ascii="Arial" w:eastAsia="Calibri" w:hAnsi="Arial" w:cs="Arial"/>
          <w:lang w:val="es-ES_tradnl"/>
        </w:rPr>
        <w:t xml:space="preserve">, </w:t>
      </w:r>
      <w:r w:rsidRPr="003953CA">
        <w:rPr>
          <w:rFonts w:ascii="Arial" w:eastAsia="Calibri" w:hAnsi="Arial" w:cs="Arial"/>
          <w:lang w:val="es-ES_tradnl"/>
        </w:rPr>
        <w:t>ii) de vínculos personales relativos al parentesco o al estado civil</w:t>
      </w:r>
      <w:r>
        <w:rPr>
          <w:rStyle w:val="Refdenotaalpie"/>
          <w:rFonts w:ascii="Arial" w:eastAsia="Calibri" w:hAnsi="Arial" w:cs="Arial"/>
          <w:lang w:val="es-ES_tradnl"/>
        </w:rPr>
        <w:footnoteReference w:id="14"/>
      </w:r>
      <w:r>
        <w:rPr>
          <w:rFonts w:ascii="Arial" w:eastAsia="Calibri" w:hAnsi="Arial" w:cs="Arial"/>
          <w:lang w:val="es-ES_tradnl"/>
        </w:rPr>
        <w:t xml:space="preserve"> </w:t>
      </w:r>
      <w:r w:rsidRPr="003953CA">
        <w:rPr>
          <w:rFonts w:ascii="Arial" w:eastAsia="Calibri" w:hAnsi="Arial" w:cs="Arial"/>
          <w:lang w:val="es-ES_tradnl"/>
        </w:rPr>
        <w:t>o iii) de una actividad u oficio que se desempeñó en el pasado</w:t>
      </w:r>
      <w:r>
        <w:rPr>
          <w:rStyle w:val="Refdenotaalpie"/>
          <w:rFonts w:ascii="Arial" w:eastAsia="Calibri" w:hAnsi="Arial" w:cs="Arial"/>
          <w:lang w:val="es-ES_tradnl"/>
        </w:rPr>
        <w:footnoteReference w:id="15"/>
      </w:r>
      <w:r>
        <w:rPr>
          <w:rFonts w:ascii="Arial" w:eastAsia="Calibri" w:hAnsi="Arial" w:cs="Arial"/>
          <w:lang w:val="es-ES_tradnl"/>
        </w:rPr>
        <w:t xml:space="preserve">. </w:t>
      </w:r>
      <w:r w:rsidRPr="003953CA">
        <w:rPr>
          <w:rFonts w:ascii="Arial" w:eastAsia="Calibri" w:hAnsi="Arial" w:cs="Arial"/>
          <w:lang w:val="es-ES_tradnl"/>
        </w:rPr>
        <w:t>De otro lado, las incompatibilidades</w:t>
      </w:r>
      <w:r>
        <w:rPr>
          <w:rFonts w:ascii="Arial" w:eastAsia="Calibri" w:hAnsi="Arial" w:cs="Arial"/>
          <w:lang w:val="es-ES_tradnl"/>
        </w:rPr>
        <w:t>, según un sector de la doctrina,</w:t>
      </w:r>
      <w:r w:rsidRPr="003953CA">
        <w:rPr>
          <w:rFonts w:ascii="Arial" w:eastAsia="Calibri" w:hAnsi="Arial" w:cs="Arial"/>
          <w:lang w:val="es-ES_tradnl"/>
        </w:rPr>
        <w:t xml:space="preserve"> son prohibiciones para participar en los procedimientos de selección y para celebrar contratos estatales, fundadas en la </w:t>
      </w:r>
      <w:r w:rsidRPr="00894487">
        <w:rPr>
          <w:rFonts w:ascii="Arial" w:eastAsia="Calibri" w:hAnsi="Arial" w:cs="Arial"/>
          <w:lang w:val="es-ES_tradnl"/>
        </w:rPr>
        <w:t>presencia de una calidad que ostenta el sujeto interesado en realizar alguna de dichas actividades, que no puede coexistir con su calidad de proponente o contratista del Estado</w:t>
      </w:r>
      <w:r w:rsidRPr="00894487">
        <w:rPr>
          <w:rStyle w:val="Refdenotaalpie"/>
          <w:rFonts w:ascii="Arial" w:eastAsia="Calibri" w:hAnsi="Arial" w:cs="Arial"/>
          <w:lang w:val="es-ES_tradnl"/>
        </w:rPr>
        <w:footnoteReference w:id="16"/>
      </w:r>
      <w:r w:rsidRPr="00894487">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lang w:val="es-ES_tradnl"/>
        </w:rPr>
        <w:footnoteReference w:id="17"/>
      </w:r>
      <w:r>
        <w:rPr>
          <w:rFonts w:ascii="Arial" w:eastAsia="Calibri" w:hAnsi="Arial" w:cs="Arial"/>
          <w:lang w:val="es-ES_tradnl"/>
        </w:rPr>
        <w:t>.</w:t>
      </w:r>
    </w:p>
    <w:p w14:paraId="29F1E6F9" w14:textId="77777777" w:rsidR="00017BE3" w:rsidRPr="003953CA" w:rsidRDefault="00017BE3" w:rsidP="00017BE3">
      <w:pPr>
        <w:spacing w:before="120" w:after="120"/>
        <w:ind w:firstLine="709"/>
        <w:jc w:val="both"/>
        <w:rPr>
          <w:rFonts w:ascii="Arial" w:eastAsia="Calibri" w:hAnsi="Arial" w:cs="Arial"/>
          <w:lang w:val="es-ES_tradnl"/>
        </w:rPr>
      </w:pPr>
      <w:r>
        <w:rPr>
          <w:rFonts w:ascii="Arial" w:eastAsia="Calibri" w:hAnsi="Arial" w:cs="Arial"/>
          <w:lang w:val="es-ES_tradnl"/>
        </w:rPr>
        <w:t>De otro lado, e</w:t>
      </w:r>
      <w:r w:rsidRPr="003953CA">
        <w:rPr>
          <w:rFonts w:ascii="Arial" w:eastAsia="Calibri" w:hAnsi="Arial" w:cs="Arial"/>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lang w:val="es-ES_tradnl"/>
        </w:rPr>
        <w:t>, obras y</w:t>
      </w:r>
      <w:r w:rsidRPr="003953CA">
        <w:rPr>
          <w:rFonts w:ascii="Arial" w:eastAsia="Calibri" w:hAnsi="Arial" w:cs="Arial"/>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Pr>
          <w:rFonts w:ascii="Arial" w:eastAsia="Calibri" w:hAnsi="Arial" w:cs="Arial"/>
          <w:lang w:val="es-ES_tradnl"/>
        </w:rPr>
        <w:t>“</w:t>
      </w:r>
      <w:r w:rsidRPr="003953CA">
        <w:rPr>
          <w:rFonts w:ascii="Arial" w:eastAsia="Calibri" w:hAnsi="Arial" w:cs="Arial"/>
          <w:lang w:val="es-ES_tradnl"/>
        </w:rPr>
        <w:t>neopunitiv</w:t>
      </w:r>
      <w:r>
        <w:rPr>
          <w:rFonts w:ascii="Arial" w:eastAsia="Calibri" w:hAnsi="Arial" w:cs="Arial"/>
          <w:lang w:val="es-ES_tradnl"/>
        </w:rPr>
        <w:t>a”</w:t>
      </w:r>
      <w:r>
        <w:rPr>
          <w:rStyle w:val="Refdenotaalpie"/>
          <w:rFonts w:ascii="Arial" w:eastAsia="Calibri" w:hAnsi="Arial" w:cs="Arial"/>
          <w:lang w:val="es-ES_tradnl"/>
        </w:rPr>
        <w:footnoteReference w:id="18"/>
      </w:r>
      <w:r>
        <w:rPr>
          <w:rFonts w:ascii="Arial" w:eastAsia="Calibri" w:hAnsi="Arial" w:cs="Arial"/>
          <w:lang w:val="es-ES_tradnl"/>
        </w:rPr>
        <w:t xml:space="preserve">. </w:t>
      </w:r>
      <w:r w:rsidRPr="003953CA">
        <w:rPr>
          <w:rFonts w:ascii="Arial" w:eastAsia="Calibri" w:hAnsi="Arial" w:cs="Arial"/>
          <w:lang w:val="es-ES_tradnl"/>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036B227" w14:textId="77777777" w:rsidR="00017BE3" w:rsidRPr="003953CA" w:rsidRDefault="00017BE3" w:rsidP="00017BE3">
      <w:pPr>
        <w:spacing w:before="120" w:after="120"/>
        <w:ind w:firstLine="709"/>
        <w:jc w:val="both"/>
        <w:rPr>
          <w:rFonts w:ascii="Arial" w:eastAsia="Calibri" w:hAnsi="Arial" w:cs="Arial"/>
          <w:lang w:val="es-ES_tradnl"/>
        </w:rPr>
      </w:pPr>
      <w:r w:rsidRPr="003953C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w:t>
      </w:r>
      <w:r>
        <w:rPr>
          <w:rFonts w:ascii="Arial" w:eastAsia="Calibri" w:hAnsi="Arial" w:cs="Arial"/>
          <w:lang w:val="es-ES_tradnl"/>
        </w:rPr>
        <w:t xml:space="preserve">o la Constitución </w:t>
      </w:r>
      <w:r w:rsidRPr="003953CA">
        <w:rPr>
          <w:rFonts w:ascii="Arial" w:eastAsia="Calibri" w:hAnsi="Arial" w:cs="Arial"/>
          <w:lang w:val="es-ES_tradnl"/>
        </w:rPr>
        <w:t xml:space="preserve">–o sea, deben satisfacer el principio de legalidad– y su interpretación debe ser </w:t>
      </w:r>
      <w:r w:rsidRPr="003953CA">
        <w:rPr>
          <w:rFonts w:ascii="Arial" w:eastAsia="Calibri" w:hAnsi="Arial" w:cs="Arial"/>
          <w:i/>
          <w:iCs/>
          <w:lang w:val="es-ES_tradnl"/>
        </w:rPr>
        <w:t>restrictiva</w:t>
      </w:r>
      <w:r>
        <w:rPr>
          <w:rStyle w:val="Refdenotaalpie"/>
          <w:rFonts w:ascii="Arial" w:eastAsia="Calibri" w:hAnsi="Arial" w:cs="Arial"/>
          <w:i/>
          <w:iCs/>
          <w:lang w:val="es-ES_tradnl"/>
        </w:rPr>
        <w:footnoteReference w:id="19"/>
      </w:r>
      <w:r>
        <w:rPr>
          <w:rFonts w:ascii="Arial" w:eastAsia="Calibri" w:hAnsi="Arial" w:cs="Arial"/>
          <w:i/>
          <w:iCs/>
          <w:lang w:val="es-ES_tradnl"/>
        </w:rPr>
        <w:t xml:space="preserve">, </w:t>
      </w:r>
      <w:r w:rsidRPr="003953C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lang w:val="es-ES_tradnl"/>
        </w:rPr>
        <w:t xml:space="preserve">la seguridad jurídica, </w:t>
      </w:r>
      <w:r w:rsidRPr="003953CA">
        <w:rPr>
          <w:rFonts w:ascii="Arial" w:eastAsia="Calibri" w:hAnsi="Arial" w:cs="Arial"/>
          <w:lang w:val="es-ES_tradnl"/>
        </w:rPr>
        <w:t xml:space="preserve">la libre concurrencia y el ejercicio de la profesión u oficio. Tal ha sido la postura al interior de la jurisprudencia, tanto de la Corte Constitucional como de la Sección Tercera del Consejo de Estado. </w:t>
      </w:r>
    </w:p>
    <w:p w14:paraId="0D5D57E4" w14:textId="77777777" w:rsidR="00017BE3" w:rsidRPr="003953CA" w:rsidRDefault="00017BE3" w:rsidP="00017BE3">
      <w:pPr>
        <w:spacing w:after="0"/>
        <w:ind w:firstLine="709"/>
        <w:jc w:val="both"/>
        <w:rPr>
          <w:rFonts w:ascii="Arial" w:eastAsia="Calibri" w:hAnsi="Arial" w:cs="Arial"/>
          <w:lang w:val="es-ES_tradnl"/>
        </w:rPr>
      </w:pPr>
      <w:r w:rsidRPr="003953CA">
        <w:rPr>
          <w:rFonts w:ascii="Arial" w:eastAsia="Calibri" w:hAnsi="Arial" w:cs="Arial"/>
          <w:lang w:val="es-ES_tradnl"/>
        </w:rPr>
        <w:t>En efecto, el máximo tribunal constitucional ha indicado</w:t>
      </w:r>
      <w:r>
        <w:rPr>
          <w:rFonts w:ascii="Arial" w:eastAsia="Calibri" w:hAnsi="Arial" w:cs="Arial"/>
          <w:lang w:val="es-ES_tradnl"/>
        </w:rPr>
        <w:t>,</w:t>
      </w:r>
      <w:r w:rsidRPr="003953CA">
        <w:rPr>
          <w:rFonts w:ascii="Arial" w:eastAsia="Calibri" w:hAnsi="Arial" w:cs="Arial"/>
          <w:lang w:val="es-ES_tradnl"/>
        </w:rPr>
        <w:t xml:space="preserve"> al tratar de precisar el sentido de este tipo de normas, </w:t>
      </w:r>
      <w:r>
        <w:rPr>
          <w:rFonts w:ascii="Arial" w:eastAsia="Calibri" w:hAnsi="Arial" w:cs="Arial"/>
          <w:lang w:val="es-ES_tradnl"/>
        </w:rPr>
        <w:t>que “</w:t>
      </w:r>
      <w:r w:rsidRPr="003953CA">
        <w:rPr>
          <w:rFonts w:ascii="Arial" w:eastAsia="Calibri" w:hAnsi="Arial" w:cs="Arial"/>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Calibri" w:hAnsi="Arial" w:cs="Arial"/>
          <w:lang w:val="es-ES_tradnl"/>
        </w:rPr>
        <w:t>”</w:t>
      </w:r>
      <w:r>
        <w:rPr>
          <w:rStyle w:val="Refdenotaalpie"/>
          <w:rFonts w:ascii="Arial" w:eastAsia="Calibri" w:hAnsi="Arial" w:cs="Arial"/>
          <w:lang w:val="es-ES_tradnl"/>
        </w:rPr>
        <w:footnoteReference w:id="20"/>
      </w:r>
      <w:r>
        <w:rPr>
          <w:rFonts w:ascii="Arial" w:eastAsia="Calibri" w:hAnsi="Arial" w:cs="Arial"/>
          <w:lang w:val="es-ES_tradnl"/>
        </w:rPr>
        <w:t xml:space="preserve">. </w:t>
      </w:r>
      <w:r w:rsidRPr="003953CA">
        <w:rPr>
          <w:rFonts w:ascii="Arial" w:eastAsia="Calibri" w:hAnsi="Arial" w:cs="Arial"/>
          <w:lang w:val="es-ES_tradnl"/>
        </w:rPr>
        <w:t xml:space="preserve">Por su parte, el Consejo de Estado ha acogido también este criterio, considerando –como expresa la Sala de Consulta y Servicio Civil–, que </w:t>
      </w:r>
      <w:r>
        <w:rPr>
          <w:rFonts w:ascii="Arial" w:eastAsia="Calibri" w:hAnsi="Arial" w:cs="Arial"/>
          <w:lang w:val="es-ES_tradnl"/>
        </w:rPr>
        <w:t>“</w:t>
      </w:r>
      <w:r w:rsidRPr="003953CA">
        <w:rPr>
          <w:rFonts w:ascii="Arial" w:eastAsia="Calibri" w:hAnsi="Arial" w:cs="Arial"/>
          <w:lang w:val="es-ES_tradnl"/>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Calibri" w:hAnsi="Arial" w:cs="Arial"/>
          <w:lang w:val="es-ES_tradnl"/>
        </w:rPr>
        <w:t>”</w:t>
      </w:r>
      <w:r>
        <w:rPr>
          <w:rStyle w:val="Refdenotaalpie"/>
          <w:rFonts w:ascii="Arial" w:eastAsia="Calibri" w:hAnsi="Arial" w:cs="Arial"/>
          <w:lang w:val="es-ES_tradnl"/>
        </w:rPr>
        <w:footnoteReference w:id="21"/>
      </w:r>
      <w:r>
        <w:rPr>
          <w:rFonts w:ascii="Arial" w:eastAsia="Calibri" w:hAnsi="Arial" w:cs="Arial"/>
          <w:lang w:val="es-ES_tradnl"/>
        </w:rPr>
        <w:t xml:space="preserve">. </w:t>
      </w:r>
      <w:r w:rsidRPr="003953CA">
        <w:rPr>
          <w:rFonts w:ascii="Arial" w:eastAsia="Calibri" w:hAnsi="Arial" w:cs="Arial"/>
          <w:lang w:val="es-ES_tradnl"/>
        </w:rPr>
        <w:t>En tal sentido, la Sección Tercera ha señalado que:</w:t>
      </w:r>
    </w:p>
    <w:p w14:paraId="51017183" w14:textId="77777777" w:rsidR="00017BE3" w:rsidRPr="003953CA" w:rsidRDefault="00017BE3" w:rsidP="00017BE3">
      <w:pPr>
        <w:spacing w:after="0"/>
        <w:ind w:firstLine="709"/>
        <w:jc w:val="both"/>
        <w:rPr>
          <w:rFonts w:ascii="Arial" w:eastAsia="Calibri" w:hAnsi="Arial" w:cs="Arial"/>
          <w:lang w:val="es-ES_tradnl"/>
        </w:rPr>
      </w:pPr>
    </w:p>
    <w:p w14:paraId="3F6C8475" w14:textId="77777777" w:rsidR="00017BE3" w:rsidRDefault="00017BE3" w:rsidP="00017BE3">
      <w:pPr>
        <w:spacing w:after="0" w:line="240" w:lineRule="auto"/>
        <w:ind w:left="709" w:right="709"/>
        <w:jc w:val="both"/>
        <w:rPr>
          <w:rFonts w:ascii="Arial" w:eastAsia="Calibri" w:hAnsi="Arial" w:cs="Arial"/>
          <w:lang w:val="es-ES_tradnl"/>
        </w:rPr>
      </w:pPr>
      <w:r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Style w:val="Refdenotaalpie"/>
          <w:rFonts w:ascii="Arial" w:hAnsi="Arial" w:cs="Arial"/>
          <w:sz w:val="21"/>
          <w:szCs w:val="21"/>
          <w:lang w:val="es-ES_tradnl"/>
        </w:rPr>
        <w:footnoteReference w:id="22"/>
      </w:r>
      <w:r>
        <w:rPr>
          <w:rFonts w:ascii="Arial" w:hAnsi="Arial" w:cs="Arial"/>
          <w:sz w:val="21"/>
          <w:szCs w:val="21"/>
          <w:lang w:val="es-ES_tradnl"/>
        </w:rPr>
        <w:t>.</w:t>
      </w:r>
    </w:p>
    <w:p w14:paraId="41225C7D" w14:textId="77777777" w:rsidR="00017BE3" w:rsidRDefault="00017BE3" w:rsidP="00017BE3">
      <w:pPr>
        <w:spacing w:after="0" w:line="276" w:lineRule="auto"/>
        <w:ind w:firstLine="709"/>
        <w:jc w:val="both"/>
        <w:rPr>
          <w:rFonts w:ascii="Arial" w:eastAsia="Calibri" w:hAnsi="Arial" w:cs="Arial"/>
          <w:lang w:val="es-ES_tradnl"/>
        </w:rPr>
      </w:pPr>
    </w:p>
    <w:p w14:paraId="5E42F509" w14:textId="77777777" w:rsidR="00017BE3" w:rsidRDefault="00017BE3" w:rsidP="00017BE3">
      <w:pPr>
        <w:ind w:firstLine="709"/>
        <w:jc w:val="both"/>
        <w:rPr>
          <w:rFonts w:ascii="Arial" w:eastAsia="Calibri" w:hAnsi="Arial" w:cs="Arial"/>
          <w:lang w:val="es-ES_tradnl"/>
        </w:rPr>
      </w:pPr>
      <w:r w:rsidRPr="003953CA">
        <w:rPr>
          <w:rFonts w:ascii="Arial" w:eastAsia="Calibri" w:hAnsi="Arial" w:cs="Arial"/>
          <w:lang w:val="es-ES_tradnl"/>
        </w:rPr>
        <w:t>También ha dicho que:</w:t>
      </w:r>
    </w:p>
    <w:p w14:paraId="49BF3B00" w14:textId="77777777" w:rsidR="00017BE3" w:rsidRDefault="00017BE3" w:rsidP="00017BE3">
      <w:pPr>
        <w:spacing w:after="0" w:line="240" w:lineRule="auto"/>
        <w:ind w:left="709" w:right="616"/>
        <w:jc w:val="both"/>
        <w:rPr>
          <w:rFonts w:ascii="Arial" w:hAnsi="Arial" w:cs="Arial"/>
          <w:sz w:val="21"/>
          <w:szCs w:val="21"/>
          <w:lang w:val="es-ES_tradnl"/>
        </w:rPr>
      </w:pPr>
      <w:r w:rsidRPr="003953CA">
        <w:rPr>
          <w:rFonts w:ascii="Arial" w:hAnsi="Arial" w:cs="Arial"/>
          <w:sz w:val="21"/>
          <w:szCs w:val="21"/>
          <w:lang w:val="es-ES_tradnl"/>
        </w:rPr>
        <w:t xml:space="preserve">[…] la aplicación de estos preceptos exige una interpretación restrictiva, dado que según el principio hermenéutico </w:t>
      </w:r>
      <w:r w:rsidRPr="003953CA">
        <w:rPr>
          <w:rFonts w:ascii="Arial" w:hAnsi="Arial" w:cs="Arial"/>
          <w:i/>
          <w:iCs/>
          <w:sz w:val="21"/>
          <w:szCs w:val="21"/>
          <w:lang w:val="es-ES_tradnl"/>
        </w:rPr>
        <w:t>pro libertate</w:t>
      </w:r>
      <w:r w:rsidRPr="003953C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Style w:val="Refdenotaalpie"/>
          <w:rFonts w:ascii="Arial" w:hAnsi="Arial" w:cs="Arial"/>
          <w:sz w:val="21"/>
          <w:szCs w:val="21"/>
          <w:lang w:val="es-ES_tradnl"/>
        </w:rPr>
        <w:footnoteReference w:id="23"/>
      </w:r>
      <w:r>
        <w:rPr>
          <w:rFonts w:ascii="Arial" w:hAnsi="Arial" w:cs="Arial"/>
          <w:sz w:val="21"/>
          <w:szCs w:val="21"/>
          <w:lang w:val="es-ES_tradnl"/>
        </w:rPr>
        <w:t>.</w:t>
      </w:r>
    </w:p>
    <w:p w14:paraId="48475BF2" w14:textId="77777777" w:rsidR="00017BE3" w:rsidRDefault="00017BE3" w:rsidP="00017BE3">
      <w:pPr>
        <w:spacing w:after="0"/>
        <w:ind w:firstLine="708"/>
        <w:jc w:val="both"/>
        <w:rPr>
          <w:rFonts w:ascii="Arial" w:eastAsia="Arial" w:hAnsi="Arial" w:cs="Arial"/>
          <w:color w:val="000000"/>
          <w:lang w:val="es-ES_tradnl"/>
        </w:rPr>
      </w:pPr>
    </w:p>
    <w:p w14:paraId="749F30CC" w14:textId="77777777" w:rsidR="00017BE3" w:rsidRDefault="00017BE3" w:rsidP="00017BE3">
      <w:pPr>
        <w:spacing w:after="120"/>
        <w:ind w:firstLine="708"/>
        <w:jc w:val="both"/>
        <w:rPr>
          <w:rFonts w:ascii="Arial" w:hAnsi="Arial" w:cs="Arial"/>
          <w:color w:val="000000" w:themeColor="text1"/>
        </w:rPr>
      </w:pPr>
      <w:r>
        <w:rPr>
          <w:rFonts w:ascii="Arial" w:eastAsia="Arial" w:hAnsi="Arial" w:cs="Arial"/>
          <w:color w:val="000000"/>
          <w:lang w:val="es-ES_tradnl"/>
        </w:rPr>
        <w:t xml:space="preserve">Como se aprecia, el principio </w:t>
      </w:r>
      <w:r>
        <w:rPr>
          <w:rFonts w:ascii="Arial" w:eastAsia="Arial" w:hAnsi="Arial" w:cs="Arial"/>
          <w:i/>
          <w:iCs/>
          <w:color w:val="000000"/>
          <w:lang w:val="es-ES_tradnl"/>
        </w:rPr>
        <w:t>pro libertate</w:t>
      </w:r>
      <w:r>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w:t>
      </w:r>
      <w:r w:rsidRPr="009A0FE0">
        <w:rPr>
          <w:rFonts w:ascii="Arial" w:hAnsi="Arial" w:cs="Arial"/>
          <w:color w:val="000000" w:themeColor="text1"/>
        </w:rPr>
        <w:t>Congreso de la República, conforme al artículo 150 de la Constitución Política, y que en esta materia rige el principio de legalidad</w:t>
      </w:r>
      <w:r w:rsidRPr="009A0FE0">
        <w:rPr>
          <w:rStyle w:val="Refdenotaalpie"/>
          <w:rFonts w:ascii="Arial" w:hAnsi="Arial" w:cs="Arial"/>
          <w:color w:val="000000" w:themeColor="text1"/>
        </w:rPr>
        <w:footnoteReference w:id="24"/>
      </w:r>
    </w:p>
    <w:p w14:paraId="1A1FF2CE" w14:textId="77777777" w:rsidR="00017BE3" w:rsidRPr="00427F40" w:rsidRDefault="00017BE3" w:rsidP="00017BE3">
      <w:pPr>
        <w:spacing w:after="0"/>
        <w:ind w:firstLine="709"/>
        <w:jc w:val="both"/>
        <w:rPr>
          <w:rFonts w:ascii="Arial" w:hAnsi="Arial" w:cs="Arial"/>
          <w:color w:val="000000"/>
          <w:shd w:val="clear" w:color="auto" w:fill="FFFFFF"/>
        </w:rPr>
      </w:pPr>
      <w:r w:rsidRPr="009A0FE0">
        <w:rPr>
          <w:rFonts w:ascii="Arial" w:hAnsi="Arial" w:cs="Arial"/>
          <w:shd w:val="clear" w:color="auto" w:fill="FFFFFF"/>
        </w:rPr>
        <w:t xml:space="preserve">En este sentido, retomando una idea </w:t>
      </w:r>
      <w:r w:rsidRPr="00BA5819">
        <w:rPr>
          <w:rFonts w:ascii="Arial" w:hAnsi="Arial" w:cs="Arial"/>
          <w:shd w:val="clear" w:color="auto" w:fill="FFFFFF"/>
        </w:rPr>
        <w:t xml:space="preserve">esbozada con anterioridad, la doctrina y la jurisprudencia son pacíficas en considerar que la creación de inhabilidades e incompatibilidades es un asunto con reserva de ley, en tanto, </w:t>
      </w:r>
      <w:r>
        <w:rPr>
          <w:rFonts w:ascii="Arial" w:hAnsi="Arial" w:cs="Arial"/>
          <w:shd w:val="clear" w:color="auto" w:fill="FFFFFF"/>
        </w:rPr>
        <w:t>“</w:t>
      </w:r>
      <w:r w:rsidRPr="00BA5819">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Pr>
          <w:rFonts w:ascii="Arial" w:hAnsi="Arial" w:cs="Arial"/>
          <w:shd w:val="clear" w:color="auto" w:fill="FFFFFF"/>
        </w:rPr>
        <w:t>”</w:t>
      </w:r>
      <w:r w:rsidRPr="00BA5819">
        <w:rPr>
          <w:rStyle w:val="Refdenotaalpie"/>
          <w:rFonts w:ascii="Arial" w:hAnsi="Arial" w:cs="Arial"/>
          <w:shd w:val="clear" w:color="auto" w:fill="FFFFFF"/>
        </w:rPr>
        <w:footnoteReference w:id="25"/>
      </w:r>
      <w:r w:rsidRPr="00BA5819">
        <w:rPr>
          <w:rFonts w:ascii="Arial" w:hAnsi="Arial" w:cs="Arial"/>
          <w:shd w:val="clear" w:color="auto" w:fill="FFFFFF"/>
        </w:rPr>
        <w:t xml:space="preserve"> En similar sentido, la Sala de Consulta y Servicio Civil del Consejo de Estado expresó </w:t>
      </w:r>
      <w:r w:rsidRPr="00BA5819">
        <w:rPr>
          <w:rFonts w:ascii="Arial" w:hAnsi="Arial" w:cs="Arial"/>
          <w:color w:val="000000"/>
          <w:shd w:val="clear" w:color="auto" w:fill="FFFFFF"/>
        </w:rPr>
        <w:t xml:space="preserve">que </w:t>
      </w:r>
      <w:r>
        <w:rPr>
          <w:rFonts w:ascii="Arial" w:hAnsi="Arial" w:cs="Arial"/>
          <w:color w:val="000000"/>
          <w:shd w:val="clear" w:color="auto" w:fill="FFFFFF"/>
        </w:rPr>
        <w:t>“</w:t>
      </w:r>
      <w:r w:rsidRPr="00BA5819">
        <w:rPr>
          <w:rFonts w:ascii="Arial" w:hAnsi="Arial" w:cs="Arial"/>
          <w:color w:val="000000"/>
          <w:shd w:val="clear" w:color="auto" w:fill="FFFFFF"/>
        </w:rPr>
        <w:t>[…] las causales de inhabilidad e incompatibilidad deben estar expresa y taxativamente establecidas en la Constitución o en la ley y son de aplicación e interpretación restrictivas […]</w:t>
      </w:r>
      <w:r>
        <w:rPr>
          <w:rFonts w:ascii="Arial" w:hAnsi="Arial" w:cs="Arial"/>
          <w:color w:val="000000"/>
          <w:shd w:val="clear" w:color="auto" w:fill="FFFFFF"/>
        </w:rPr>
        <w:t>”</w:t>
      </w:r>
      <w:r>
        <w:rPr>
          <w:rStyle w:val="Refdenotaalpie"/>
          <w:rFonts w:ascii="Arial" w:hAnsi="Arial" w:cs="Arial"/>
          <w:color w:val="000000"/>
          <w:shd w:val="clear" w:color="auto" w:fill="FFFFFF"/>
        </w:rPr>
        <w:footnoteReference w:id="26"/>
      </w:r>
      <w:r>
        <w:rPr>
          <w:rFonts w:ascii="Arial" w:hAnsi="Arial" w:cs="Arial"/>
          <w:color w:val="000000"/>
          <w:shd w:val="clear" w:color="auto" w:fill="FFFFFF"/>
        </w:rPr>
        <w:t xml:space="preserve">. </w:t>
      </w:r>
      <w:r w:rsidRPr="0086722E">
        <w:rPr>
          <w:rFonts w:ascii="Arial" w:hAnsi="Arial" w:cs="Arial"/>
          <w:color w:val="000000"/>
          <w:shd w:val="clear" w:color="auto" w:fill="FFFFFF"/>
        </w:rPr>
        <w:t>En este sentido, como se observa, existe consenso</w:t>
      </w:r>
      <w:r>
        <w:rPr>
          <w:rFonts w:ascii="Arial" w:hAnsi="Arial" w:cs="Arial"/>
          <w:color w:val="000000"/>
          <w:shd w:val="clear" w:color="auto" w:fill="FFFFFF"/>
        </w:rPr>
        <w:t xml:space="preserve">, incluso como lo ha expresado esta Agencia en ocasiones anteriores, que la creación de inhabilidades o incompatibilidades está reservada al constituyente o al legislador. </w:t>
      </w:r>
    </w:p>
    <w:p w14:paraId="56B28381" w14:textId="77777777" w:rsidR="00017BE3" w:rsidRPr="003953CA" w:rsidRDefault="00017BE3" w:rsidP="00017BE3">
      <w:pPr>
        <w:spacing w:after="0"/>
        <w:jc w:val="both"/>
        <w:rPr>
          <w:rFonts w:ascii="Arial" w:eastAsia="Calibri" w:hAnsi="Arial" w:cs="Arial"/>
          <w:lang w:val="es-ES_tradnl"/>
        </w:rPr>
      </w:pPr>
    </w:p>
    <w:p w14:paraId="196BCE52" w14:textId="77777777" w:rsidR="00017BE3" w:rsidRPr="00504597" w:rsidRDefault="00017BE3" w:rsidP="00017BE3">
      <w:pPr>
        <w:spacing w:after="0" w:line="276" w:lineRule="auto"/>
        <w:jc w:val="both"/>
        <w:rPr>
          <w:rFonts w:ascii="Arial" w:eastAsia="Calibri" w:hAnsi="Arial" w:cs="Arial"/>
          <w:color w:val="000000" w:themeColor="text1"/>
          <w:lang w:val="es-ES"/>
        </w:rPr>
      </w:pPr>
      <w:r w:rsidRPr="003953CA">
        <w:rPr>
          <w:rFonts w:ascii="Arial" w:eastAsia="Calibri" w:hAnsi="Arial" w:cs="Arial"/>
          <w:b/>
          <w:bCs/>
          <w:lang w:val="es-ES_tradnl"/>
        </w:rPr>
        <w:t xml:space="preserve">2.3. </w:t>
      </w:r>
      <w:r w:rsidRPr="00DC1343">
        <w:rPr>
          <w:rFonts w:ascii="Arial" w:eastAsia="Calibri" w:hAnsi="Arial" w:cs="Arial"/>
          <w:b/>
          <w:bCs/>
          <w:lang w:val="es-ES_tradnl"/>
        </w:rPr>
        <w:t>Registro de Deudores Alimentarios Morosos</w:t>
      </w:r>
      <w:r>
        <w:rPr>
          <w:rFonts w:ascii="Arial" w:eastAsia="Calibri" w:hAnsi="Arial" w:cs="Arial"/>
          <w:b/>
          <w:bCs/>
          <w:lang w:val="es-ES_tradnl"/>
        </w:rPr>
        <w:t xml:space="preserve">. </w:t>
      </w:r>
      <w:r>
        <w:rPr>
          <w:rFonts w:ascii="Arial" w:eastAsia="Calibri" w:hAnsi="Arial" w:cs="Arial"/>
          <w:b/>
          <w:bCs/>
          <w:lang w:val="es-ES"/>
        </w:rPr>
        <w:t>A</w:t>
      </w:r>
      <w:r w:rsidRPr="005C7A8F">
        <w:rPr>
          <w:rFonts w:ascii="Arial" w:eastAsia="Calibri" w:hAnsi="Arial" w:cs="Arial"/>
          <w:b/>
          <w:bCs/>
          <w:lang w:val="es-ES"/>
        </w:rPr>
        <w:t>lcance de la restricción prevista en el artículo 6.1 de la Ley 2097 de 2021, reglamentada por el Decreto 1310 de 2022</w:t>
      </w:r>
    </w:p>
    <w:p w14:paraId="57D6ED30" w14:textId="77777777" w:rsidR="00017BE3" w:rsidRDefault="00017BE3" w:rsidP="00017BE3">
      <w:pPr>
        <w:tabs>
          <w:tab w:val="left" w:pos="0"/>
        </w:tabs>
        <w:spacing w:after="0" w:line="276" w:lineRule="auto"/>
        <w:jc w:val="both"/>
        <w:rPr>
          <w:rFonts w:ascii="Arial" w:eastAsia="Calibri" w:hAnsi="Arial" w:cs="Arial"/>
          <w:b/>
          <w:color w:val="000000" w:themeColor="text1"/>
        </w:rPr>
      </w:pPr>
    </w:p>
    <w:p w14:paraId="6B563CA0" w14:textId="346F988B"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 xml:space="preserve">El 2 de julio de 2021, el </w:t>
      </w:r>
      <w:r w:rsidR="00063F10">
        <w:rPr>
          <w:rFonts w:ascii="Arial" w:eastAsia="Calibri" w:hAnsi="Arial" w:cs="Arial"/>
          <w:bCs/>
          <w:color w:val="000000" w:themeColor="text1"/>
        </w:rPr>
        <w:t>Gobierno Nacional</w:t>
      </w:r>
      <w:r>
        <w:rPr>
          <w:rFonts w:ascii="Arial" w:eastAsia="Calibri" w:hAnsi="Arial" w:cs="Arial"/>
          <w:bCs/>
          <w:color w:val="000000" w:themeColor="text1"/>
        </w:rPr>
        <w:t xml:space="preserve"> sancionó la Ley Estatutaria 2097 de 2021, cuyo objeto –de acuerdo con el artículo 1– consiste en “[…] </w:t>
      </w:r>
      <w:r w:rsidRPr="007A0798">
        <w:rPr>
          <w:rFonts w:ascii="Arial" w:eastAsia="Calibri" w:hAnsi="Arial" w:cs="Arial"/>
          <w:bCs/>
          <w:color w:val="000000" w:themeColor="text1"/>
        </w:rPr>
        <w:t>establecer medidas para garantizar el cumplimiento de las obligaciones alimentarias y crear el Registro de Deudores Alimentarios Morosos (Redam), como mecanismo de control al incumplimiento de las obligaciones alimentarias</w:t>
      </w:r>
      <w:r>
        <w:rPr>
          <w:rFonts w:ascii="Arial" w:eastAsia="Calibri" w:hAnsi="Arial" w:cs="Arial"/>
          <w:bCs/>
          <w:color w:val="000000" w:themeColor="text1"/>
        </w:rPr>
        <w:t>”</w:t>
      </w:r>
      <w:r w:rsidRPr="007A0798">
        <w:rPr>
          <w:rFonts w:ascii="Arial" w:eastAsia="Calibri" w:hAnsi="Arial" w:cs="Arial"/>
          <w:bCs/>
          <w:color w:val="000000" w:themeColor="text1"/>
        </w:rPr>
        <w:t>.</w:t>
      </w:r>
      <w:r>
        <w:rPr>
          <w:rFonts w:ascii="Arial" w:eastAsia="Calibri" w:hAnsi="Arial" w:cs="Arial"/>
          <w:bCs/>
          <w:color w:val="000000" w:themeColor="text1"/>
        </w:rPr>
        <w:t xml:space="preserve"> Conforme a la exposición de motivos del proyecto ley, e</w:t>
      </w:r>
      <w:r w:rsidRPr="007A0798">
        <w:rPr>
          <w:rFonts w:ascii="Arial" w:eastAsia="Calibri" w:hAnsi="Arial" w:cs="Arial"/>
          <w:bCs/>
          <w:color w:val="000000" w:themeColor="text1"/>
        </w:rPr>
        <w:t xml:space="preserve">xiste </w:t>
      </w:r>
      <w:r>
        <w:rPr>
          <w:rFonts w:ascii="Arial" w:eastAsia="Calibri" w:hAnsi="Arial" w:cs="Arial"/>
          <w:bCs/>
          <w:color w:val="000000" w:themeColor="text1"/>
        </w:rPr>
        <w:t>una</w:t>
      </w:r>
      <w:r w:rsidRPr="007A0798">
        <w:rPr>
          <w:rFonts w:ascii="Arial" w:eastAsia="Calibri" w:hAnsi="Arial" w:cs="Arial"/>
          <w:bCs/>
          <w:color w:val="000000" w:themeColor="text1"/>
        </w:rPr>
        <w:t xml:space="preserve"> vulneración de derechos al interior de la institución familiar</w:t>
      </w:r>
      <w:r>
        <w:rPr>
          <w:rFonts w:ascii="Arial" w:eastAsia="Calibri" w:hAnsi="Arial" w:cs="Arial"/>
          <w:bCs/>
          <w:color w:val="000000" w:themeColor="text1"/>
        </w:rPr>
        <w:t xml:space="preserve">, cuyo </w:t>
      </w:r>
      <w:r w:rsidRPr="007A0798">
        <w:rPr>
          <w:rFonts w:ascii="Arial" w:eastAsia="Calibri" w:hAnsi="Arial" w:cs="Arial"/>
          <w:bCs/>
          <w:color w:val="000000" w:themeColor="text1"/>
        </w:rPr>
        <w:t xml:space="preserve">despliegue en materia de política pública ha sido limitado </w:t>
      </w:r>
      <w:r>
        <w:rPr>
          <w:rFonts w:ascii="Arial" w:eastAsia="Calibri" w:hAnsi="Arial" w:cs="Arial"/>
          <w:bCs/>
          <w:color w:val="000000" w:themeColor="text1"/>
        </w:rPr>
        <w:t>y</w:t>
      </w:r>
      <w:r w:rsidRPr="007A0798">
        <w:rPr>
          <w:rFonts w:ascii="Arial" w:eastAsia="Calibri" w:hAnsi="Arial" w:cs="Arial"/>
          <w:bCs/>
          <w:color w:val="000000" w:themeColor="text1"/>
        </w:rPr>
        <w:t xml:space="preserve"> resulta insuficiente para atender </w:t>
      </w:r>
      <w:r>
        <w:rPr>
          <w:rFonts w:ascii="Arial" w:eastAsia="Calibri" w:hAnsi="Arial" w:cs="Arial"/>
          <w:bCs/>
          <w:color w:val="000000" w:themeColor="text1"/>
        </w:rPr>
        <w:t>la problemática asociada a</w:t>
      </w:r>
      <w:r w:rsidRPr="007A0798">
        <w:rPr>
          <w:rFonts w:ascii="Arial" w:eastAsia="Calibri" w:hAnsi="Arial" w:cs="Arial"/>
          <w:bCs/>
          <w:color w:val="000000" w:themeColor="text1"/>
        </w:rPr>
        <w:t xml:space="preserve">l incumplimiento </w:t>
      </w:r>
      <w:r>
        <w:rPr>
          <w:rFonts w:ascii="Arial" w:eastAsia="Calibri" w:hAnsi="Arial" w:cs="Arial"/>
          <w:bCs/>
          <w:color w:val="000000" w:themeColor="text1"/>
        </w:rPr>
        <w:t xml:space="preserve">de la obligación legal prevista en el Título XXI del Libro Primero del Código Civil, especialmente, en el caso de los menores de edad, </w:t>
      </w:r>
      <w:r w:rsidRPr="00D26743">
        <w:rPr>
          <w:rFonts w:ascii="Arial" w:eastAsia="Calibri" w:hAnsi="Arial" w:cs="Arial"/>
          <w:bCs/>
          <w:color w:val="000000" w:themeColor="text1"/>
        </w:rPr>
        <w:t>con las repercusiones que esta tiene tanto para</w:t>
      </w:r>
      <w:r>
        <w:rPr>
          <w:rFonts w:ascii="Arial" w:eastAsia="Calibri" w:hAnsi="Arial" w:cs="Arial"/>
          <w:bCs/>
          <w:color w:val="000000" w:themeColor="text1"/>
        </w:rPr>
        <w:t xml:space="preserve"> </w:t>
      </w:r>
      <w:r w:rsidRPr="00D26743">
        <w:rPr>
          <w:rFonts w:ascii="Arial" w:eastAsia="Calibri" w:hAnsi="Arial" w:cs="Arial"/>
          <w:bCs/>
          <w:color w:val="000000" w:themeColor="text1"/>
        </w:rPr>
        <w:t xml:space="preserve">ellos como para </w:t>
      </w:r>
      <w:r>
        <w:rPr>
          <w:rFonts w:ascii="Arial" w:eastAsia="Calibri" w:hAnsi="Arial" w:cs="Arial"/>
          <w:bCs/>
          <w:color w:val="000000" w:themeColor="text1"/>
        </w:rPr>
        <w:t xml:space="preserve">quien </w:t>
      </w:r>
      <w:r w:rsidRPr="00D26743">
        <w:rPr>
          <w:rFonts w:ascii="Arial" w:eastAsia="Calibri" w:hAnsi="Arial" w:cs="Arial"/>
          <w:bCs/>
          <w:color w:val="000000" w:themeColor="text1"/>
        </w:rPr>
        <w:t>tiene la</w:t>
      </w:r>
      <w:r>
        <w:rPr>
          <w:rFonts w:ascii="Arial" w:eastAsia="Calibri" w:hAnsi="Arial" w:cs="Arial"/>
          <w:bCs/>
          <w:color w:val="000000" w:themeColor="text1"/>
        </w:rPr>
        <w:t xml:space="preserve"> </w:t>
      </w:r>
      <w:r w:rsidRPr="00D26743">
        <w:rPr>
          <w:rFonts w:ascii="Arial" w:eastAsia="Calibri" w:hAnsi="Arial" w:cs="Arial"/>
          <w:bCs/>
          <w:color w:val="000000" w:themeColor="text1"/>
        </w:rPr>
        <w:t>responsabilidad del cuidado y manutención</w:t>
      </w:r>
      <w:r>
        <w:rPr>
          <w:rFonts w:ascii="Arial" w:eastAsia="Calibri" w:hAnsi="Arial" w:cs="Arial"/>
          <w:bCs/>
          <w:color w:val="000000" w:themeColor="text1"/>
        </w:rPr>
        <w:t xml:space="preserve">. Por ello, tomado como referencia </w:t>
      </w:r>
      <w:r w:rsidRPr="00D26743">
        <w:rPr>
          <w:rFonts w:ascii="Arial" w:eastAsia="Calibri" w:hAnsi="Arial" w:cs="Arial"/>
          <w:bCs/>
          <w:color w:val="000000" w:themeColor="text1"/>
        </w:rPr>
        <w:t>legislaciones</w:t>
      </w:r>
      <w:r>
        <w:rPr>
          <w:rFonts w:ascii="Arial" w:eastAsia="Calibri" w:hAnsi="Arial" w:cs="Arial"/>
          <w:bCs/>
          <w:color w:val="000000" w:themeColor="text1"/>
        </w:rPr>
        <w:t xml:space="preserve"> </w:t>
      </w:r>
      <w:r w:rsidRPr="00D26743">
        <w:rPr>
          <w:rFonts w:ascii="Arial" w:eastAsia="Calibri" w:hAnsi="Arial" w:cs="Arial"/>
          <w:bCs/>
          <w:color w:val="000000" w:themeColor="text1"/>
        </w:rPr>
        <w:t xml:space="preserve">foráneas como Estados Unidos, Perú, Uruguay, </w:t>
      </w:r>
      <w:r>
        <w:rPr>
          <w:rFonts w:ascii="Arial" w:eastAsia="Calibri" w:hAnsi="Arial" w:cs="Arial"/>
          <w:bCs/>
          <w:color w:val="000000" w:themeColor="text1"/>
        </w:rPr>
        <w:t xml:space="preserve">así como </w:t>
      </w:r>
      <w:r w:rsidRPr="00D26743">
        <w:rPr>
          <w:rFonts w:ascii="Arial" w:eastAsia="Calibri" w:hAnsi="Arial" w:cs="Arial"/>
          <w:bCs/>
          <w:color w:val="000000" w:themeColor="text1"/>
        </w:rPr>
        <w:t>normatividades análogas en provincias y estados</w:t>
      </w:r>
      <w:r>
        <w:rPr>
          <w:rFonts w:ascii="Arial" w:eastAsia="Calibri" w:hAnsi="Arial" w:cs="Arial"/>
          <w:bCs/>
          <w:color w:val="000000" w:themeColor="text1"/>
        </w:rPr>
        <w:t xml:space="preserve"> </w:t>
      </w:r>
      <w:r w:rsidRPr="00D26743">
        <w:rPr>
          <w:rFonts w:ascii="Arial" w:eastAsia="Calibri" w:hAnsi="Arial" w:cs="Arial"/>
          <w:bCs/>
          <w:color w:val="000000" w:themeColor="text1"/>
        </w:rPr>
        <w:t>como Buenos Aires y Córdoba, en la Argentina</w:t>
      </w:r>
      <w:r>
        <w:rPr>
          <w:rFonts w:ascii="Arial" w:eastAsia="Calibri" w:hAnsi="Arial" w:cs="Arial"/>
          <w:bCs/>
          <w:color w:val="000000" w:themeColor="text1"/>
        </w:rPr>
        <w:t>,</w:t>
      </w:r>
      <w:r w:rsidRPr="00D26743">
        <w:rPr>
          <w:rFonts w:ascii="Arial" w:eastAsia="Calibri" w:hAnsi="Arial" w:cs="Arial"/>
          <w:bCs/>
          <w:color w:val="000000" w:themeColor="text1"/>
        </w:rPr>
        <w:t xml:space="preserve"> y</w:t>
      </w:r>
      <w:r>
        <w:rPr>
          <w:rFonts w:ascii="Arial" w:eastAsia="Calibri" w:hAnsi="Arial" w:cs="Arial"/>
          <w:bCs/>
          <w:color w:val="000000" w:themeColor="text1"/>
        </w:rPr>
        <w:t xml:space="preserve"> </w:t>
      </w:r>
      <w:r w:rsidRPr="00D26743">
        <w:rPr>
          <w:rFonts w:ascii="Arial" w:eastAsia="Calibri" w:hAnsi="Arial" w:cs="Arial"/>
          <w:bCs/>
          <w:color w:val="000000" w:themeColor="text1"/>
        </w:rPr>
        <w:t>la Ciudad de México, en México</w:t>
      </w:r>
      <w:r>
        <w:rPr>
          <w:rFonts w:ascii="Arial" w:eastAsia="Calibri" w:hAnsi="Arial" w:cs="Arial"/>
          <w:bCs/>
          <w:color w:val="000000" w:themeColor="text1"/>
        </w:rPr>
        <w:t>, los ponentes de la iniciativa concluyeron que “</w:t>
      </w:r>
      <w:r w:rsidRPr="00D26743">
        <w:rPr>
          <w:rFonts w:ascii="Arial" w:eastAsia="Calibri" w:hAnsi="Arial" w:cs="Arial"/>
          <w:bCs/>
          <w:color w:val="000000" w:themeColor="text1"/>
        </w:rPr>
        <w:t>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r>
        <w:rPr>
          <w:rFonts w:ascii="Arial" w:eastAsia="Calibri" w:hAnsi="Arial" w:cs="Arial"/>
          <w:bCs/>
          <w:color w:val="000000" w:themeColor="text1"/>
        </w:rPr>
        <w:t>”</w:t>
      </w:r>
      <w:r>
        <w:rPr>
          <w:rStyle w:val="Refdenotaalpie"/>
          <w:rFonts w:ascii="Arial" w:eastAsia="Calibri" w:hAnsi="Arial" w:cs="Arial"/>
          <w:bCs/>
          <w:color w:val="000000" w:themeColor="text1"/>
        </w:rPr>
        <w:footnoteReference w:id="27"/>
      </w:r>
      <w:r w:rsidRPr="00D26743">
        <w:rPr>
          <w:rFonts w:ascii="Arial" w:eastAsia="Calibri" w:hAnsi="Arial" w:cs="Arial"/>
          <w:bCs/>
          <w:color w:val="000000" w:themeColor="text1"/>
        </w:rPr>
        <w:t>.</w:t>
      </w:r>
    </w:p>
    <w:p w14:paraId="6660BF6F" w14:textId="7934D1D9" w:rsidR="00017BE3" w:rsidRDefault="00017BE3" w:rsidP="00017BE3">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r>
      <w:bookmarkStart w:id="11" w:name="_Hlk132035301"/>
      <w:r>
        <w:rPr>
          <w:rFonts w:ascii="Arial" w:eastAsia="Calibri" w:hAnsi="Arial" w:cs="Arial"/>
          <w:bCs/>
          <w:color w:val="000000" w:themeColor="text1"/>
        </w:rPr>
        <w:t xml:space="preserve">Etimológicamente, la palabra “alimentos” deriva de la expresión latina </w:t>
      </w:r>
      <w:r w:rsidRPr="00815C45">
        <w:rPr>
          <w:rFonts w:ascii="Arial" w:eastAsia="Calibri" w:hAnsi="Arial" w:cs="Arial"/>
          <w:bCs/>
          <w:i/>
          <w:iCs/>
          <w:color w:val="000000" w:themeColor="text1"/>
        </w:rPr>
        <w:t>alimentum</w:t>
      </w:r>
      <w:r>
        <w:rPr>
          <w:rFonts w:ascii="Arial" w:eastAsia="Calibri" w:hAnsi="Arial" w:cs="Arial"/>
          <w:bCs/>
          <w:color w:val="000000" w:themeColor="text1"/>
        </w:rPr>
        <w:t xml:space="preserve">, la cual se compone del verbo </w:t>
      </w:r>
      <w:r w:rsidRPr="00815C45">
        <w:rPr>
          <w:rFonts w:ascii="Arial" w:eastAsia="Calibri" w:hAnsi="Arial" w:cs="Arial"/>
          <w:bCs/>
          <w:i/>
          <w:iCs/>
          <w:color w:val="000000" w:themeColor="text1"/>
        </w:rPr>
        <w:t>alere</w:t>
      </w:r>
      <w:r>
        <w:rPr>
          <w:rFonts w:ascii="Arial" w:eastAsia="Calibri" w:hAnsi="Arial" w:cs="Arial"/>
          <w:bCs/>
          <w:color w:val="000000" w:themeColor="text1"/>
        </w:rPr>
        <w:t xml:space="preserve"> –que significa criar, nutrir o hacer crecer– y el sufijo </w:t>
      </w:r>
      <w:r w:rsidRPr="00815C45">
        <w:rPr>
          <w:rFonts w:ascii="Arial" w:eastAsia="Calibri" w:hAnsi="Arial" w:cs="Arial"/>
          <w:bCs/>
          <w:i/>
          <w:iCs/>
          <w:color w:val="000000" w:themeColor="text1"/>
        </w:rPr>
        <w:t>mento</w:t>
      </w:r>
      <w:r>
        <w:rPr>
          <w:rFonts w:ascii="Arial" w:eastAsia="Calibri" w:hAnsi="Arial" w:cs="Arial"/>
          <w:bCs/>
          <w:color w:val="000000" w:themeColor="text1"/>
        </w:rPr>
        <w:t xml:space="preserve"> –que indica medio, instrumento o modo–</w:t>
      </w:r>
      <w:r>
        <w:rPr>
          <w:rStyle w:val="Refdenotaalpie"/>
          <w:rFonts w:ascii="Arial" w:eastAsia="Calibri" w:hAnsi="Arial" w:cs="Arial"/>
          <w:bCs/>
          <w:color w:val="000000" w:themeColor="text1"/>
        </w:rPr>
        <w:footnoteReference w:id="28"/>
      </w:r>
      <w:r>
        <w:rPr>
          <w:rFonts w:ascii="Arial" w:eastAsia="Calibri" w:hAnsi="Arial" w:cs="Arial"/>
          <w:bCs/>
          <w:color w:val="000000" w:themeColor="text1"/>
        </w:rPr>
        <w:t>. Aunque en el uso coloquial, con fundamento en el Diccionario de la RAE, los alimentos se refieren al “</w:t>
      </w:r>
      <w:r w:rsidRPr="00D5409E">
        <w:rPr>
          <w:rFonts w:ascii="Arial" w:eastAsia="Calibri" w:hAnsi="Arial" w:cs="Arial"/>
          <w:bCs/>
          <w:color w:val="000000" w:themeColor="text1"/>
        </w:rPr>
        <w:t>Conjunto de sustancias que los seres vivos comen o beben para subsistir</w:t>
      </w:r>
      <w:r>
        <w:rPr>
          <w:rFonts w:ascii="Arial" w:eastAsia="Calibri" w:hAnsi="Arial" w:cs="Arial"/>
          <w:bCs/>
          <w:color w:val="000000" w:themeColor="text1"/>
        </w:rPr>
        <w:t>”, en el ámbito jurídico hace referencia a una de las fuentes de las obligaciones previstas en el artículo 1494 del Código Civil</w:t>
      </w:r>
      <w:r>
        <w:rPr>
          <w:rStyle w:val="Refdenotaalpie"/>
          <w:rFonts w:ascii="Arial" w:eastAsia="Calibri" w:hAnsi="Arial" w:cs="Arial"/>
          <w:bCs/>
          <w:color w:val="000000" w:themeColor="text1"/>
        </w:rPr>
        <w:footnoteReference w:id="29"/>
      </w:r>
      <w:r>
        <w:rPr>
          <w:rFonts w:ascii="Arial" w:eastAsia="Calibri" w:hAnsi="Arial" w:cs="Arial"/>
          <w:bCs/>
          <w:color w:val="000000" w:themeColor="text1"/>
        </w:rPr>
        <w:t>.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w:t>
      </w:r>
      <w:r>
        <w:rPr>
          <w:rStyle w:val="Refdenotaalpie"/>
          <w:rFonts w:ascii="Arial" w:eastAsia="Calibri" w:hAnsi="Arial" w:cs="Arial"/>
          <w:bCs/>
          <w:color w:val="000000" w:themeColor="text1"/>
        </w:rPr>
        <w:footnoteReference w:id="30"/>
      </w:r>
      <w:r>
        <w:rPr>
          <w:rFonts w:ascii="Arial" w:eastAsia="Calibri" w:hAnsi="Arial" w:cs="Arial"/>
          <w:bCs/>
          <w:color w:val="000000" w:themeColor="text1"/>
        </w:rPr>
        <w:t>. Por ello, la doctrina define la obligación alimentaria como “[…] la prestación que pesa sobre determinadas personas económicamente posibilitadas, para que en algunos de sus parientes pobres u otras personas que la ley señala puedan subvenir a las necesidades de su existencia”</w:t>
      </w:r>
      <w:r>
        <w:rPr>
          <w:rStyle w:val="Refdenotaalpie"/>
          <w:rFonts w:ascii="Arial" w:eastAsia="Calibri" w:hAnsi="Arial" w:cs="Arial"/>
          <w:bCs/>
          <w:color w:val="000000" w:themeColor="text1"/>
        </w:rPr>
        <w:footnoteReference w:id="31"/>
      </w:r>
      <w:r>
        <w:rPr>
          <w:rFonts w:ascii="Arial" w:eastAsia="Calibri" w:hAnsi="Arial" w:cs="Arial"/>
          <w:bCs/>
          <w:color w:val="000000" w:themeColor="text1"/>
        </w:rPr>
        <w:t>, la cual depende de tres (3) presupuestos básicos: i) el estado de necesidad del alimentario, ii) la capacidad económica del alimentante y iii) la existencia de un vínculo jurídico entre ambos.</w:t>
      </w:r>
      <w:bookmarkEnd w:id="11"/>
      <w:r>
        <w:rPr>
          <w:rFonts w:ascii="Arial" w:eastAsia="Calibri" w:hAnsi="Arial" w:cs="Arial"/>
          <w:bCs/>
          <w:color w:val="000000" w:themeColor="text1"/>
        </w:rPr>
        <w:t xml:space="preserve"> Respecto a este último punto, de acuerdo con el artículo 411 del Código Civil, es necesario tener en cuenta </w:t>
      </w:r>
      <w:r w:rsidR="00D15404">
        <w:rPr>
          <w:rFonts w:ascii="Arial" w:eastAsia="Calibri" w:hAnsi="Arial" w:cs="Arial"/>
          <w:bCs/>
          <w:color w:val="000000" w:themeColor="text1"/>
        </w:rPr>
        <w:t xml:space="preserve">que </w:t>
      </w:r>
      <w:r>
        <w:rPr>
          <w:rFonts w:ascii="Arial" w:eastAsia="Calibri" w:hAnsi="Arial" w:cs="Arial"/>
          <w:bCs/>
          <w:color w:val="000000" w:themeColor="text1"/>
        </w:rPr>
        <w:t>se beben alimentos:</w:t>
      </w:r>
    </w:p>
    <w:p w14:paraId="289CE22A" w14:textId="77777777" w:rsidR="00017BE3" w:rsidRPr="00B82A69" w:rsidRDefault="00017BE3" w:rsidP="00017BE3">
      <w:pPr>
        <w:tabs>
          <w:tab w:val="left" w:pos="0"/>
        </w:tabs>
        <w:spacing w:after="0" w:line="276" w:lineRule="auto"/>
        <w:jc w:val="both"/>
        <w:rPr>
          <w:rFonts w:ascii="Arial" w:eastAsia="Calibri" w:hAnsi="Arial" w:cs="Arial"/>
          <w:bCs/>
          <w:color w:val="000000" w:themeColor="text1"/>
          <w:lang w:val="es-MX"/>
        </w:rPr>
      </w:pPr>
    </w:p>
    <w:p w14:paraId="259D1AC2"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1. Al cónyuge. </w:t>
      </w:r>
    </w:p>
    <w:p w14:paraId="1718527B"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2. A los descendientes</w:t>
      </w:r>
    </w:p>
    <w:p w14:paraId="1B20EF89"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3. A los ascendientes</w:t>
      </w:r>
    </w:p>
    <w:p w14:paraId="59920CBF"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4. A cargo del cónyuge culpable, al cónyuge divorciado o separado de cuerpos sin su culpa. </w:t>
      </w:r>
    </w:p>
    <w:p w14:paraId="52FFDB25"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5. A los hijos naturales, su posteridad y a los nietos naturales.</w:t>
      </w:r>
    </w:p>
    <w:p w14:paraId="3C86F987"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6. A los ascendientes naturales.</w:t>
      </w:r>
    </w:p>
    <w:p w14:paraId="211F76C7"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MX"/>
        </w:rPr>
        <w:t>7. A los hijos adoptivos.</w:t>
      </w:r>
    </w:p>
    <w:p w14:paraId="4F1C75C0"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8. A los padres adoptantes.</w:t>
      </w:r>
    </w:p>
    <w:p w14:paraId="11DE2F34"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9. A los hermanos legítimos. </w:t>
      </w:r>
    </w:p>
    <w:p w14:paraId="13C59950"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10. Al que hizo una donación cuantiosa si no hubiere sido rescindida o revocada.</w:t>
      </w:r>
    </w:p>
    <w:p w14:paraId="1E97471D" w14:textId="77777777" w:rsidR="00017BE3" w:rsidRPr="00B82A69" w:rsidRDefault="00017BE3" w:rsidP="00017BE3">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La acción del donante se dirigirá contra el donatario.</w:t>
      </w:r>
    </w:p>
    <w:p w14:paraId="2C8FEE17" w14:textId="77777777" w:rsidR="00017BE3" w:rsidRPr="00B82A69" w:rsidRDefault="00017BE3" w:rsidP="00017BE3">
      <w:pPr>
        <w:tabs>
          <w:tab w:val="left" w:pos="0"/>
        </w:tabs>
        <w:spacing w:after="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No se deben alimentos a las personas aquí designadas en los casos en que una ley se los niegue.</w:t>
      </w:r>
    </w:p>
    <w:p w14:paraId="28ADB7EE" w14:textId="77777777" w:rsidR="00017BE3" w:rsidRPr="00B82A69" w:rsidRDefault="00017BE3" w:rsidP="00017BE3">
      <w:pPr>
        <w:tabs>
          <w:tab w:val="left" w:pos="0"/>
        </w:tabs>
        <w:spacing w:after="0" w:line="276" w:lineRule="auto"/>
        <w:jc w:val="both"/>
        <w:rPr>
          <w:rFonts w:ascii="Arial" w:eastAsia="Calibri" w:hAnsi="Arial" w:cs="Arial"/>
          <w:bCs/>
          <w:color w:val="000000" w:themeColor="text1"/>
          <w:lang w:val="es-MX"/>
        </w:rPr>
      </w:pPr>
    </w:p>
    <w:p w14:paraId="2B75FB8E" w14:textId="77777777" w:rsidR="00017BE3" w:rsidRDefault="00017BE3" w:rsidP="00017BE3">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En este contexto, el REDAM es una medida adicional que el legislador establece para el cumplimiento de las obligaciones alimentarias. Dicho registro se suma a la posibilidad de iniciar un proceso declarativo para fijar o aumentar</w:t>
      </w:r>
      <w:r w:rsidRPr="00B60B94">
        <w:rPr>
          <w:rFonts w:ascii="Arial" w:eastAsia="Calibri" w:hAnsi="Arial" w:cs="Arial"/>
          <w:bCs/>
          <w:color w:val="000000" w:themeColor="text1"/>
        </w:rPr>
        <w:t xml:space="preserve"> </w:t>
      </w:r>
      <w:r>
        <w:rPr>
          <w:rFonts w:ascii="Arial" w:eastAsia="Calibri" w:hAnsi="Arial" w:cs="Arial"/>
          <w:bCs/>
          <w:color w:val="000000" w:themeColor="text1"/>
        </w:rPr>
        <w:t xml:space="preserve">la cuota </w:t>
      </w:r>
      <w:r w:rsidRPr="00B60B94">
        <w:rPr>
          <w:rFonts w:ascii="Arial" w:eastAsia="Calibri" w:hAnsi="Arial" w:cs="Arial"/>
          <w:bCs/>
          <w:color w:val="000000" w:themeColor="text1"/>
        </w:rPr>
        <w:t xml:space="preserve">de alimentos, </w:t>
      </w:r>
      <w:r>
        <w:rPr>
          <w:rFonts w:ascii="Arial" w:eastAsia="Calibri" w:hAnsi="Arial" w:cs="Arial"/>
          <w:bCs/>
          <w:color w:val="000000" w:themeColor="text1"/>
        </w:rPr>
        <w:t xml:space="preserve">así como ejecutar la providencia judicial que los decrete, competencia que corresponde a los jueces de familia por el proceso verbal sumario –artículos 21 y 390 del Código General del Proceso, respectivamente–. Lo anterior, sin perjuicio de las medidas especiales previstas en la Ley 1098 de 2006 para </w:t>
      </w:r>
      <w:r w:rsidRPr="008239F8">
        <w:rPr>
          <w:rFonts w:ascii="Arial" w:eastAsia="Calibri" w:hAnsi="Arial" w:cs="Arial"/>
          <w:bCs/>
          <w:color w:val="000000" w:themeColor="text1"/>
        </w:rPr>
        <w:t>la atención de los niños</w:t>
      </w:r>
      <w:r>
        <w:rPr>
          <w:rFonts w:ascii="Arial" w:eastAsia="Calibri" w:hAnsi="Arial" w:cs="Arial"/>
          <w:bCs/>
          <w:color w:val="000000" w:themeColor="text1"/>
        </w:rPr>
        <w:t xml:space="preserve"> y</w:t>
      </w:r>
      <w:r w:rsidRPr="008239F8">
        <w:rPr>
          <w:rFonts w:ascii="Arial" w:eastAsia="Calibri" w:hAnsi="Arial" w:cs="Arial"/>
          <w:bCs/>
          <w:color w:val="000000" w:themeColor="text1"/>
        </w:rPr>
        <w:t xml:space="preserve"> adolescentes</w:t>
      </w:r>
      <w:r>
        <w:rPr>
          <w:rFonts w:ascii="Arial" w:eastAsia="Calibri" w:hAnsi="Arial" w:cs="Arial"/>
          <w:bCs/>
          <w:color w:val="000000" w:themeColor="text1"/>
        </w:rPr>
        <w:t>, así como la aplicación de las sanciones previstas en el artículo 233 de la Ley 599 de 2000, “</w:t>
      </w:r>
      <w:r w:rsidRPr="0082101F">
        <w:rPr>
          <w:rFonts w:ascii="Arial" w:eastAsia="Calibri" w:hAnsi="Arial" w:cs="Arial"/>
          <w:bCs/>
          <w:color w:val="000000" w:themeColor="text1"/>
        </w:rPr>
        <w:t>por la cual se expide el Código Penal</w:t>
      </w:r>
      <w:r>
        <w:rPr>
          <w:rFonts w:ascii="Arial" w:eastAsia="Calibri" w:hAnsi="Arial" w:cs="Arial"/>
          <w:bCs/>
          <w:color w:val="000000" w:themeColor="text1"/>
        </w:rPr>
        <w:t>”, el cual tipifica el delito de inasistencia alimentaria</w:t>
      </w:r>
      <w:r>
        <w:rPr>
          <w:rStyle w:val="Refdenotaalpie"/>
          <w:rFonts w:ascii="Arial" w:eastAsia="Calibri" w:hAnsi="Arial" w:cs="Arial"/>
          <w:bCs/>
          <w:color w:val="000000" w:themeColor="text1"/>
        </w:rPr>
        <w:footnoteReference w:id="32"/>
      </w:r>
      <w:r>
        <w:rPr>
          <w:rFonts w:ascii="Arial" w:eastAsia="Calibri" w:hAnsi="Arial" w:cs="Arial"/>
          <w:bCs/>
          <w:color w:val="000000" w:themeColor="text1"/>
        </w:rPr>
        <w:t xml:space="preserve">. Por ello, en el control previo realizado a través de la Sentencia C-032 de 2021, con ponencia de la Magistrada </w:t>
      </w:r>
      <w:r w:rsidRPr="00E2559D">
        <w:rPr>
          <w:rFonts w:ascii="Arial" w:eastAsia="Calibri" w:hAnsi="Arial" w:cs="Arial"/>
          <w:bCs/>
          <w:color w:val="000000" w:themeColor="text1"/>
        </w:rPr>
        <w:t>Gloria Stella Ortiz Delgado</w:t>
      </w:r>
      <w:r>
        <w:rPr>
          <w:rFonts w:ascii="Arial" w:eastAsia="Calibri" w:hAnsi="Arial" w:cs="Arial"/>
          <w:bCs/>
          <w:color w:val="000000" w:themeColor="text1"/>
        </w:rPr>
        <w:t xml:space="preserve">, la Corte Constitucional estima que: </w:t>
      </w:r>
    </w:p>
    <w:p w14:paraId="6840451C" w14:textId="77777777" w:rsidR="00017BE3" w:rsidRDefault="00017BE3" w:rsidP="00017BE3">
      <w:pPr>
        <w:tabs>
          <w:tab w:val="left" w:pos="0"/>
        </w:tabs>
        <w:spacing w:after="0" w:line="276" w:lineRule="auto"/>
        <w:jc w:val="both"/>
        <w:rPr>
          <w:rFonts w:ascii="Arial" w:eastAsia="Calibri" w:hAnsi="Arial" w:cs="Arial"/>
          <w:bCs/>
          <w:color w:val="000000" w:themeColor="text1"/>
        </w:rPr>
      </w:pPr>
    </w:p>
    <w:p w14:paraId="04A82ACD" w14:textId="77777777" w:rsidR="00017BE3" w:rsidRPr="00E2559D" w:rsidRDefault="00017BE3" w:rsidP="00017BE3">
      <w:pPr>
        <w:tabs>
          <w:tab w:val="left" w:pos="851"/>
        </w:tabs>
        <w:spacing w:after="120" w:line="240" w:lineRule="auto"/>
        <w:ind w:left="709" w:right="709"/>
        <w:jc w:val="both"/>
        <w:rPr>
          <w:rFonts w:ascii="Arial" w:eastAsia="Calibri" w:hAnsi="Arial" w:cs="Arial"/>
          <w:bCs/>
          <w:color w:val="000000" w:themeColor="text1"/>
          <w:sz w:val="21"/>
          <w:szCs w:val="21"/>
        </w:rPr>
      </w:pPr>
      <w:r w:rsidRPr="00E2559D">
        <w:rPr>
          <w:rFonts w:ascii="Arial" w:eastAsia="Calibri" w:hAnsi="Arial" w:cs="Arial"/>
          <w:bCs/>
          <w:color w:val="000000" w:themeColor="text1"/>
          <w:sz w:val="21"/>
          <w:szCs w:val="21"/>
        </w:rPr>
        <w:t>[…] el debido cumplimiento de las obligaciones alimentarias cumple con fines constitucionales no solo importantes sino imperiosos, al estar vinculados con la satisfacción del derecho al mínimo vital de sus acreedores. Estos son por lo general sujetos de especial protección constitucional, por lo que el incumplimiento mencionado afecta aspectos esenciales para el Estado constitucional, lo que valida las acciones dirigidas a promover el pago oportuno. De otro lado, también se ha demostrado que el incumplimiento en las obligaciones alimentarias es una problemática que afecta con mucha mayor intensidad a las mujeres, puesto que salvo casos excepcionales, los deudores morosos son hombres. Ello necesariamente impone cargas desproporcionadas a las mujeres que son madres o cuidadoras, pues les obliga a asumir de forma exclusiva los costos de manutención propia y de los acreedores alimentarios.</w:t>
      </w:r>
    </w:p>
    <w:p w14:paraId="427EB5F7" w14:textId="77777777" w:rsidR="00017BE3" w:rsidRDefault="00017BE3" w:rsidP="00017BE3">
      <w:pPr>
        <w:tabs>
          <w:tab w:val="left" w:pos="851"/>
        </w:tabs>
        <w:spacing w:after="0" w:line="240" w:lineRule="auto"/>
        <w:ind w:left="709" w:right="709"/>
        <w:jc w:val="both"/>
        <w:rPr>
          <w:rFonts w:ascii="Arial" w:eastAsia="Calibri" w:hAnsi="Arial" w:cs="Arial"/>
          <w:bCs/>
          <w:color w:val="000000" w:themeColor="text1"/>
        </w:rPr>
      </w:pPr>
      <w:r w:rsidRPr="00E2559D">
        <w:rPr>
          <w:rFonts w:ascii="Arial" w:eastAsia="Calibri" w:hAnsi="Arial" w:cs="Arial"/>
          <w:bCs/>
          <w:color w:val="000000" w:themeColor="text1"/>
          <w:sz w:val="21"/>
          <w:szCs w:val="21"/>
        </w:rPr>
        <w:t xml:space="preserve">Ante esas circunstancias, resulta plenamente justificado desde la perspectiva constitucional la instauración del REDAM y la fijación de la finalidad descrita en el artículo analizado. Ello no solo porque apunta a la satisfacción de bienes constitucionales de primer orden, sino también porque opera como un factor favorable para la reducción de la violencia económica contra las mujeres derivada del incumplimiento en el pago de las obligaciones alimentarias. </w:t>
      </w:r>
    </w:p>
    <w:p w14:paraId="1217A71D" w14:textId="77777777" w:rsidR="00017BE3" w:rsidRDefault="00017BE3" w:rsidP="00017BE3">
      <w:pPr>
        <w:tabs>
          <w:tab w:val="left" w:pos="851"/>
        </w:tabs>
        <w:spacing w:after="0" w:line="276" w:lineRule="auto"/>
        <w:ind w:left="709" w:right="709"/>
        <w:jc w:val="both"/>
        <w:rPr>
          <w:rFonts w:ascii="Arial" w:eastAsia="Calibri" w:hAnsi="Arial" w:cs="Arial"/>
          <w:bCs/>
          <w:color w:val="000000" w:themeColor="text1"/>
        </w:rPr>
      </w:pPr>
    </w:p>
    <w:p w14:paraId="3072C9F8" w14:textId="77777777" w:rsidR="00017BE3" w:rsidRDefault="00017BE3" w:rsidP="00017BE3">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En esta perspectiva, el artículo 2 de la Ley 2097 de 2021 dispone que –sin importar que se trate de </w:t>
      </w:r>
      <w:r w:rsidRPr="00E2559D">
        <w:rPr>
          <w:rFonts w:ascii="Arial" w:eastAsia="Calibri" w:hAnsi="Arial" w:cs="Arial"/>
          <w:bCs/>
          <w:color w:val="000000" w:themeColor="text1"/>
        </w:rPr>
        <w:t>alimentos congruos o necesarios, definitivos o provisionales</w:t>
      </w:r>
      <w:r>
        <w:rPr>
          <w:rFonts w:ascii="Arial" w:eastAsia="Calibri" w:hAnsi="Arial" w:cs="Arial"/>
          <w:bCs/>
          <w:color w:val="000000" w:themeColor="text1"/>
        </w:rPr>
        <w:t>– las medidas previstas rigen para “[…]</w:t>
      </w:r>
      <w:r w:rsidRPr="00E2559D">
        <w:rPr>
          <w:rFonts w:ascii="Arial" w:eastAsia="Calibri" w:hAnsi="Arial" w:cs="Arial"/>
          <w:bCs/>
          <w:color w:val="000000" w:themeColor="text1"/>
        </w:rPr>
        <w:t xml:space="preserve"> todas las personas que se encuentren en mora a partir de tres (3) cuotas alimentarias, sucesivas o no, establecidas en sentencias ejecutoriadas, acuerdos de conciliación, o cualquier título ejecutivo que contenga obligaciones de carácter alimentario</w:t>
      </w:r>
      <w:r>
        <w:rPr>
          <w:rFonts w:ascii="Arial" w:eastAsia="Calibri" w:hAnsi="Arial" w:cs="Arial"/>
          <w:bCs/>
          <w:color w:val="000000" w:themeColor="text1"/>
        </w:rPr>
        <w:t>”</w:t>
      </w:r>
      <w:r w:rsidRPr="00E2559D">
        <w:rPr>
          <w:rFonts w:ascii="Arial" w:eastAsia="Calibri" w:hAnsi="Arial" w:cs="Arial"/>
          <w:bCs/>
          <w:color w:val="000000" w:themeColor="text1"/>
        </w:rPr>
        <w:t>.</w:t>
      </w:r>
      <w:r>
        <w:rPr>
          <w:rFonts w:ascii="Arial" w:eastAsia="Calibri" w:hAnsi="Arial" w:cs="Arial"/>
          <w:bCs/>
          <w:color w:val="000000" w:themeColor="text1"/>
        </w:rPr>
        <w:t xml:space="preserve"> Adicionalmente, agrega que “</w:t>
      </w:r>
      <w:r w:rsidRPr="00E2559D">
        <w:rPr>
          <w:rFonts w:ascii="Arial" w:eastAsia="Calibri" w:hAnsi="Arial" w:cs="Arial"/>
          <w:bCs/>
          <w:color w:val="000000" w:themeColor="text1"/>
        </w:rPr>
        <w:t>Esta norma aplica para los deudores alimentarios morosos de las personas titulares de derechos de alimentos estipulados en el artículo 411 del Código Civil colombiano, que incurran en las condiciones consagradas en el presente artículo</w:t>
      </w:r>
      <w:r>
        <w:rPr>
          <w:rFonts w:ascii="Arial" w:eastAsia="Calibri" w:hAnsi="Arial" w:cs="Arial"/>
          <w:bCs/>
          <w:color w:val="000000" w:themeColor="text1"/>
        </w:rPr>
        <w:t>”</w:t>
      </w:r>
      <w:r w:rsidRPr="00E2559D">
        <w:rPr>
          <w:rFonts w:ascii="Arial" w:eastAsia="Calibri" w:hAnsi="Arial" w:cs="Arial"/>
          <w:bCs/>
          <w:color w:val="000000" w:themeColor="text1"/>
        </w:rPr>
        <w:t>.</w:t>
      </w:r>
      <w:r>
        <w:rPr>
          <w:rFonts w:ascii="Arial" w:eastAsia="Calibri" w:hAnsi="Arial" w:cs="Arial"/>
          <w:bCs/>
          <w:color w:val="000000" w:themeColor="text1"/>
        </w:rPr>
        <w:t xml:space="preserve"> Asimismo, el artículo 3 regula el procedimiento de inscripción en los siguientes términos:</w:t>
      </w:r>
    </w:p>
    <w:p w14:paraId="3EBAFF0B" w14:textId="77777777" w:rsidR="00017BE3" w:rsidRDefault="00017BE3" w:rsidP="00017BE3">
      <w:pPr>
        <w:tabs>
          <w:tab w:val="left" w:pos="0"/>
        </w:tabs>
        <w:spacing w:after="0" w:line="276" w:lineRule="auto"/>
        <w:jc w:val="both"/>
        <w:rPr>
          <w:rFonts w:ascii="Arial" w:eastAsia="Calibri" w:hAnsi="Arial" w:cs="Arial"/>
          <w:bCs/>
          <w:color w:val="000000" w:themeColor="text1"/>
        </w:rPr>
      </w:pPr>
    </w:p>
    <w:p w14:paraId="26D71B92" w14:textId="77777777" w:rsidR="00017BE3" w:rsidRPr="00B975F2" w:rsidRDefault="00017BE3" w:rsidP="00017BE3">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El acreedor de alimentos deberá solicitar el registro ante el juez y/o funcionario que conoce o conoció del proceso y/o de alimentos quien, previo a ordenar la inscripción en el Registro de Deudores Alimentarios Morosos, deberá correr traslado de la solicitud al deudor alimentario que se reputa en mora por cinco (5) días hábiles, al término de los cuales resolverá sobre la procedencia o no de la misma, con fundamento en la existencia o no de una justa causa. La decisión del juez y/o funcionario podrá ser objeto del recurso de reposición quien dispondrá de cinco (5) días hábiles para resolverlo.</w:t>
      </w:r>
    </w:p>
    <w:p w14:paraId="254969F6" w14:textId="77777777" w:rsidR="00017BE3" w:rsidRPr="00B975F2" w:rsidRDefault="00017BE3" w:rsidP="00017BE3">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1º. Una vez en firme la decisión que ordena la inscripción en el Registro de Deudores Alimentarios Morosos, el juez o la autoridad oficiará en un plazo no mayor a cinco (5) días hábiles a la entidad encargada de su operación con el propósito de hacer efectiva la misma.</w:t>
      </w:r>
    </w:p>
    <w:p w14:paraId="0C72C582" w14:textId="77777777" w:rsidR="00017BE3" w:rsidRPr="00B975F2" w:rsidRDefault="00017BE3" w:rsidP="00017BE3">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 xml:space="preserve">Parágrafo 2º. Solo podrá proponerse como excepción a la solicitud de registro en el Registro de Deudores Alimentarios Morosos el pago de las obligaciones alimentarias que se encuentran en mora, siempre y cuando sea la primera inscripción, en el evento de recurrencia en el incumplimiento de las cuotas alimentarias y el pago de las mismas antes del registro, este se llevará a cabo por tres meses en la segunda oportunidad y por 6 meses en las ocasiones siguientes. </w:t>
      </w:r>
    </w:p>
    <w:p w14:paraId="2A0FB61D" w14:textId="77777777" w:rsidR="00017BE3" w:rsidRPr="00B975F2" w:rsidRDefault="00017BE3" w:rsidP="00017BE3">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3º. Cuando se acredite la cancelación total de las cuotas alimentarias en mora, el juez oficiará en un plazo no mayor a cinco (5) días hábiles a la entidad encargada de su operación con el propósito de cancelar la inscripción en el Registro de Deudores Alimentarios Morosos. En el mismo oficio el juez ordenará el retiro inmediato de la información negativa del deudor de alimentos del Registro.</w:t>
      </w:r>
    </w:p>
    <w:p w14:paraId="37CA3E9E" w14:textId="77777777" w:rsidR="00017BE3" w:rsidRPr="00B975F2" w:rsidRDefault="00017BE3" w:rsidP="00017BE3">
      <w:pPr>
        <w:tabs>
          <w:tab w:val="left" w:pos="993"/>
        </w:tabs>
        <w:spacing w:after="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4º. Cuando la obligación alimentaria conste en título ejecutivo diferente a sentencia judicial, el acreedor alimentario podrá acudir, a prevención, a una Comisaría de Familia o al Instituto Colombiano de Bienestar Familiar para poner en conocimiento el incumplimiento en las obligaciones alimentarias que dan lugar a la inscripción en el Registro de Deudores Alimentarios Morosos. La Comisaría de Familia o el Instituto Colombiano de Bienestar Familiar, estará obligada a dar inicio al trámite contemplado en el presente artículo, garantizando en todo caso, el derecho de contradicción y de defensa del presunto deudor alimentario moroso.</w:t>
      </w:r>
    </w:p>
    <w:p w14:paraId="64D10332" w14:textId="77777777" w:rsidR="00017BE3" w:rsidRDefault="00017BE3" w:rsidP="00017BE3">
      <w:pPr>
        <w:tabs>
          <w:tab w:val="left" w:pos="0"/>
        </w:tabs>
        <w:spacing w:after="0" w:line="276" w:lineRule="auto"/>
        <w:jc w:val="both"/>
        <w:rPr>
          <w:rFonts w:ascii="Arial" w:eastAsia="Calibri" w:hAnsi="Arial" w:cs="Arial"/>
          <w:bCs/>
          <w:color w:val="000000" w:themeColor="text1"/>
        </w:rPr>
      </w:pPr>
    </w:p>
    <w:p w14:paraId="41748029" w14:textId="77777777"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Para efectos del tema sometido a consulta, una de las consecuencias más importantes de la inclusión en el REDAM es la aparición de una inhabilidad para celebrar contratos con el Estado. Al respecto, conforme al artículo 6.1 </w:t>
      </w:r>
      <w:r w:rsidRPr="00B975F2">
        <w:rPr>
          <w:rFonts w:ascii="Arial" w:eastAsia="Calibri" w:hAnsi="Arial" w:cs="Arial"/>
          <w:bCs/>
          <w:i/>
          <w:iCs/>
          <w:color w:val="000000" w:themeColor="text1"/>
        </w:rPr>
        <w:t>ibidem</w:t>
      </w:r>
      <w:r>
        <w:rPr>
          <w:rFonts w:ascii="Arial" w:eastAsia="Calibri" w:hAnsi="Arial" w:cs="Arial"/>
          <w:bCs/>
          <w:color w:val="000000" w:themeColor="text1"/>
        </w:rPr>
        <w:t>, “</w:t>
      </w:r>
      <w:r w:rsidRPr="00B975F2">
        <w:rPr>
          <w:rFonts w:ascii="Arial" w:eastAsia="Calibri" w:hAnsi="Arial" w:cs="Arial"/>
          <w:bCs/>
          <w:color w:val="000000" w:themeColor="text1"/>
        </w:rPr>
        <w:t>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r>
        <w:rPr>
          <w:rFonts w:ascii="Arial" w:eastAsia="Calibri" w:hAnsi="Arial" w:cs="Arial"/>
          <w:bCs/>
          <w:color w:val="000000" w:themeColor="text1"/>
        </w:rPr>
        <w:t>”</w:t>
      </w:r>
      <w:r w:rsidRPr="00B975F2">
        <w:rPr>
          <w:rFonts w:ascii="Arial" w:eastAsia="Calibri" w:hAnsi="Arial" w:cs="Arial"/>
          <w:bCs/>
          <w:color w:val="000000" w:themeColor="text1"/>
        </w:rPr>
        <w:t>.</w:t>
      </w:r>
      <w:r>
        <w:rPr>
          <w:rFonts w:ascii="Arial" w:eastAsia="Calibri" w:hAnsi="Arial" w:cs="Arial"/>
          <w:bCs/>
          <w:color w:val="000000" w:themeColor="text1"/>
        </w:rPr>
        <w:t xml:space="preserve"> Dicha restricción se suma al catálogo del artículo 8 y siguientes de la Ley 80 de 1993, especialmente, cuando –conforme al literal a) del numeral 1– “</w:t>
      </w:r>
      <w:r w:rsidRPr="00F25148">
        <w:rPr>
          <w:rFonts w:ascii="Arial" w:eastAsia="Calibri" w:hAnsi="Arial" w:cs="Arial"/>
          <w:bCs/>
          <w:color w:val="000000" w:themeColor="text1"/>
        </w:rPr>
        <w:t>Son inhábiles para participar en licitaciones y para celebrar contratos con las entidades estatales</w:t>
      </w:r>
      <w:r>
        <w:rPr>
          <w:rFonts w:ascii="Arial" w:eastAsia="Calibri" w:hAnsi="Arial" w:cs="Arial"/>
          <w:bCs/>
          <w:color w:val="000000" w:themeColor="text1"/>
        </w:rPr>
        <w:t xml:space="preserve"> […] </w:t>
      </w:r>
      <w:r w:rsidRPr="00F25148">
        <w:rPr>
          <w:rFonts w:ascii="Arial" w:eastAsia="Calibri" w:hAnsi="Arial" w:cs="Arial"/>
          <w:bCs/>
          <w:color w:val="000000" w:themeColor="text1"/>
        </w:rPr>
        <w:t>Las personas que se hallen inhabilitadas para contratar por la Constitución y las leyes</w:t>
      </w:r>
      <w:r>
        <w:rPr>
          <w:rFonts w:ascii="Arial" w:eastAsia="Calibri" w:hAnsi="Arial" w:cs="Arial"/>
          <w:bCs/>
          <w:color w:val="000000" w:themeColor="text1"/>
        </w:rPr>
        <w:t>”, el cual se extiende también a las entidades de régimen exceptuado en virtud del inciso primero del artículo 13 de la Ley 1150 de 2007</w:t>
      </w:r>
      <w:r>
        <w:rPr>
          <w:rStyle w:val="Refdenotaalpie"/>
          <w:rFonts w:ascii="Arial" w:eastAsia="Calibri" w:hAnsi="Arial" w:cs="Arial"/>
          <w:bCs/>
          <w:color w:val="000000" w:themeColor="text1"/>
        </w:rPr>
        <w:footnoteReference w:id="33"/>
      </w:r>
      <w:r>
        <w:rPr>
          <w:rFonts w:ascii="Arial" w:eastAsia="Calibri" w:hAnsi="Arial" w:cs="Arial"/>
          <w:bCs/>
          <w:color w:val="000000" w:themeColor="text1"/>
        </w:rPr>
        <w:t xml:space="preserve"> y al régimen de las ESAL de acuerdo al artículo 6 del Decreto 092 de 2017</w:t>
      </w:r>
      <w:r>
        <w:rPr>
          <w:rStyle w:val="Refdenotaalpie"/>
          <w:rFonts w:ascii="Arial" w:eastAsia="Calibri" w:hAnsi="Arial" w:cs="Arial"/>
          <w:bCs/>
          <w:color w:val="000000" w:themeColor="text1"/>
        </w:rPr>
        <w:footnoteReference w:id="34"/>
      </w:r>
      <w:r>
        <w:rPr>
          <w:rFonts w:ascii="Arial" w:eastAsia="Calibri" w:hAnsi="Arial" w:cs="Arial"/>
          <w:bCs/>
          <w:color w:val="000000" w:themeColor="text1"/>
        </w:rPr>
        <w:t xml:space="preserve">. </w:t>
      </w:r>
    </w:p>
    <w:p w14:paraId="2D658D6C" w14:textId="320228F6"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acuerdo con el análisis de la precitada Sentencia C-032 de 2021, para la Corte Constitucional dicha norma es exequible, pues “[…] </w:t>
      </w:r>
      <w:r w:rsidRPr="00EE7ABF">
        <w:rPr>
          <w:rFonts w:ascii="Arial" w:eastAsia="Calibri" w:hAnsi="Arial" w:cs="Arial"/>
          <w:bCs/>
          <w:color w:val="000000" w:themeColor="text1"/>
        </w:rPr>
        <w:t xml:space="preserve">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contratistas del Estado</w:t>
      </w:r>
      <w:r>
        <w:rPr>
          <w:rFonts w:ascii="Arial" w:eastAsia="Calibri" w:hAnsi="Arial" w:cs="Arial"/>
          <w:bCs/>
          <w:color w:val="000000" w:themeColor="text1"/>
        </w:rPr>
        <w:t xml:space="preserve">”. Lo anterior, agregando </w:t>
      </w:r>
      <w:r w:rsidR="009A4F60">
        <w:rPr>
          <w:rFonts w:ascii="Arial" w:eastAsia="Calibri" w:hAnsi="Arial" w:cs="Arial"/>
          <w:bCs/>
          <w:color w:val="000000" w:themeColor="text1"/>
        </w:rPr>
        <w:t>que</w:t>
      </w:r>
      <w:r>
        <w:rPr>
          <w:rFonts w:ascii="Arial" w:eastAsia="Calibri" w:hAnsi="Arial" w:cs="Arial"/>
          <w:bCs/>
          <w:color w:val="000000" w:themeColor="text1"/>
        </w:rPr>
        <w:t xml:space="preserve"> </w:t>
      </w:r>
      <w:r w:rsidRPr="00A24AC0">
        <w:rPr>
          <w:rFonts w:ascii="Arial" w:eastAsia="Calibri" w:hAnsi="Arial" w:cs="Arial"/>
          <w:bCs/>
          <w:color w:val="000000" w:themeColor="text1"/>
        </w:rPr>
        <w:t>la medida cumple con una finalidad importante</w:t>
      </w:r>
      <w:r>
        <w:rPr>
          <w:rFonts w:ascii="Arial" w:eastAsia="Calibri" w:hAnsi="Arial" w:cs="Arial"/>
          <w:bCs/>
          <w:color w:val="000000" w:themeColor="text1"/>
        </w:rPr>
        <w:t xml:space="preserve"> e</w:t>
      </w:r>
      <w:r w:rsidRPr="00A24AC0">
        <w:rPr>
          <w:rFonts w:ascii="Arial" w:eastAsia="Calibri" w:hAnsi="Arial" w:cs="Arial"/>
          <w:bCs/>
          <w:color w:val="000000" w:themeColor="text1"/>
        </w:rPr>
        <w:t xml:space="preserve"> imperiosa, </w:t>
      </w:r>
      <w:r>
        <w:rPr>
          <w:rFonts w:ascii="Arial" w:eastAsia="Calibri" w:hAnsi="Arial" w:cs="Arial"/>
          <w:bCs/>
          <w:color w:val="000000" w:themeColor="text1"/>
        </w:rPr>
        <w:t xml:space="preserve">la cual </w:t>
      </w:r>
      <w:r w:rsidRPr="00A24AC0">
        <w:rPr>
          <w:rFonts w:ascii="Arial" w:eastAsia="Calibri" w:hAnsi="Arial" w:cs="Arial"/>
          <w:bCs/>
          <w:color w:val="000000" w:themeColor="text1"/>
        </w:rPr>
        <w:t>consistente en proteger los derechos fundamentales de personas que se ven afectados en su mínimo vital por el hecho del incumplimiento de las obligaciones alimentarias, quienes usualmente son sujetos de especial protección constitucional. La</w:t>
      </w:r>
      <w:r>
        <w:rPr>
          <w:rFonts w:ascii="Arial" w:eastAsia="Calibri" w:hAnsi="Arial" w:cs="Arial"/>
          <w:bCs/>
          <w:color w:val="000000" w:themeColor="text1"/>
        </w:rPr>
        <w:t xml:space="preserve"> Corte Constitucional considera que la</w:t>
      </w:r>
      <w:r w:rsidRPr="00A24AC0">
        <w:rPr>
          <w:rFonts w:ascii="Arial" w:eastAsia="Calibri" w:hAnsi="Arial" w:cs="Arial"/>
          <w:bCs/>
          <w:color w:val="000000" w:themeColor="text1"/>
        </w:rPr>
        <w:t xml:space="preserve"> medida es necesaria</w:t>
      </w:r>
      <w:r>
        <w:rPr>
          <w:rFonts w:ascii="Arial" w:eastAsia="Calibri" w:hAnsi="Arial" w:cs="Arial"/>
          <w:bCs/>
          <w:color w:val="000000" w:themeColor="text1"/>
        </w:rPr>
        <w:t>,</w:t>
      </w:r>
      <w:r w:rsidRPr="00A24AC0">
        <w:rPr>
          <w:rFonts w:ascii="Arial" w:eastAsia="Calibri" w:hAnsi="Arial" w:cs="Arial"/>
          <w:bCs/>
          <w:color w:val="000000" w:themeColor="text1"/>
        </w:rPr>
        <w:t xml:space="preserve"> porque opera un incentivo para el pago cumplido de esas obligaciones, </w:t>
      </w:r>
      <w:r>
        <w:rPr>
          <w:rFonts w:ascii="Arial" w:eastAsia="Calibri" w:hAnsi="Arial" w:cs="Arial"/>
          <w:bCs/>
          <w:color w:val="000000" w:themeColor="text1"/>
        </w:rPr>
        <w:t>supeditando</w:t>
      </w:r>
      <w:r w:rsidRPr="00A24AC0">
        <w:rPr>
          <w:rFonts w:ascii="Arial" w:eastAsia="Calibri" w:hAnsi="Arial" w:cs="Arial"/>
          <w:bCs/>
          <w:color w:val="000000" w:themeColor="text1"/>
        </w:rPr>
        <w:t xml:space="preserve"> la suscripción del contrato respectivo al pago de esa obligación</w:t>
      </w:r>
      <w:r>
        <w:rPr>
          <w:rFonts w:ascii="Arial" w:eastAsia="Calibri" w:hAnsi="Arial" w:cs="Arial"/>
          <w:bCs/>
          <w:color w:val="000000" w:themeColor="text1"/>
        </w:rPr>
        <w:t xml:space="preserve">. </w:t>
      </w:r>
    </w:p>
    <w:p w14:paraId="2BEF2A9F" w14:textId="453F984F"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Adicionalmente, la Corte Constitucional también estima que </w:t>
      </w:r>
      <w:r w:rsidRPr="00776A08">
        <w:rPr>
          <w:rFonts w:ascii="Arial" w:eastAsia="Calibri" w:hAnsi="Arial" w:cs="Arial"/>
          <w:bCs/>
          <w:color w:val="000000" w:themeColor="text1"/>
        </w:rPr>
        <w:t xml:space="preserve">ante la contingencia de que el representante </w:t>
      </w:r>
      <w:r w:rsidR="001141F2">
        <w:rPr>
          <w:rFonts w:ascii="Arial" w:eastAsia="Calibri" w:hAnsi="Arial" w:cs="Arial"/>
          <w:bCs/>
          <w:color w:val="000000" w:themeColor="text1"/>
        </w:rPr>
        <w:t>legal</w:t>
      </w:r>
      <w:r w:rsidRPr="00776A08">
        <w:rPr>
          <w:rFonts w:ascii="Arial" w:eastAsia="Calibri" w:hAnsi="Arial" w:cs="Arial"/>
          <w:bCs/>
          <w:color w:val="000000" w:themeColor="text1"/>
        </w:rPr>
        <w:t xml:space="preserve"> sea registrado en el REDAM la persona jurídica pued</w:t>
      </w:r>
      <w:r>
        <w:rPr>
          <w:rFonts w:ascii="Arial" w:eastAsia="Calibri" w:hAnsi="Arial" w:cs="Arial"/>
          <w:bCs/>
          <w:color w:val="000000" w:themeColor="text1"/>
        </w:rPr>
        <w:t>e</w:t>
      </w:r>
      <w:r w:rsidRPr="00776A08">
        <w:rPr>
          <w:rFonts w:ascii="Arial" w:eastAsia="Calibri" w:hAnsi="Arial" w:cs="Arial"/>
          <w:bCs/>
          <w:color w:val="000000" w:themeColor="text1"/>
        </w:rPr>
        <w:t xml:space="preserve"> proceder </w:t>
      </w:r>
      <w:r>
        <w:rPr>
          <w:rFonts w:ascii="Arial" w:eastAsia="Calibri" w:hAnsi="Arial" w:cs="Arial"/>
          <w:bCs/>
          <w:color w:val="000000" w:themeColor="text1"/>
        </w:rPr>
        <w:t>con</w:t>
      </w:r>
      <w:r w:rsidRPr="00776A08">
        <w:rPr>
          <w:rFonts w:ascii="Arial" w:eastAsia="Calibri" w:hAnsi="Arial" w:cs="Arial"/>
          <w:bCs/>
          <w:color w:val="000000" w:themeColor="text1"/>
        </w:rPr>
        <w:t xml:space="preserve"> su pronta remoción </w:t>
      </w:r>
      <w:r>
        <w:rPr>
          <w:rFonts w:ascii="Arial" w:eastAsia="Calibri" w:hAnsi="Arial" w:cs="Arial"/>
          <w:bCs/>
          <w:color w:val="000000" w:themeColor="text1"/>
        </w:rPr>
        <w:t>–</w:t>
      </w:r>
      <w:r w:rsidRPr="00776A08">
        <w:rPr>
          <w:rFonts w:ascii="Arial" w:eastAsia="Calibri" w:hAnsi="Arial" w:cs="Arial"/>
          <w:bCs/>
          <w:color w:val="000000" w:themeColor="text1"/>
        </w:rPr>
        <w:t>y con ello permitir el normal desarrollo del objeto social frente a los contratos con el Estado</w:t>
      </w:r>
      <w:r>
        <w:rPr>
          <w:rFonts w:ascii="Arial" w:eastAsia="Calibri" w:hAnsi="Arial" w:cs="Arial"/>
          <w:bCs/>
          <w:color w:val="000000" w:themeColor="text1"/>
        </w:rPr>
        <w:t>– o</w:t>
      </w:r>
      <w:r w:rsidRPr="00776A08">
        <w:rPr>
          <w:rFonts w:ascii="Arial" w:eastAsia="Calibri" w:hAnsi="Arial" w:cs="Arial"/>
          <w:bCs/>
          <w:color w:val="000000" w:themeColor="text1"/>
        </w:rPr>
        <w:t xml:space="preserve"> exigir a aquel que se ponga de inmediato al día en el pago de sus obligaciones, a fin de que sea excluido de dicho registro</w:t>
      </w:r>
      <w:r>
        <w:rPr>
          <w:rFonts w:ascii="Arial" w:eastAsia="Calibri" w:hAnsi="Arial" w:cs="Arial"/>
          <w:bCs/>
          <w:color w:val="000000" w:themeColor="text1"/>
        </w:rPr>
        <w:t xml:space="preserve">. Por ello, agrega que “[…] </w:t>
      </w:r>
      <w:r w:rsidRPr="00776A08">
        <w:rPr>
          <w:rFonts w:ascii="Arial" w:eastAsia="Calibri" w:hAnsi="Arial" w:cs="Arial"/>
          <w:bCs/>
          <w:color w:val="000000" w:themeColor="text1"/>
        </w:rPr>
        <w:t>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w:t>
      </w:r>
      <w:r>
        <w:rPr>
          <w:rFonts w:ascii="Arial" w:eastAsia="Calibri" w:hAnsi="Arial" w:cs="Arial"/>
          <w:bCs/>
          <w:color w:val="000000" w:themeColor="text1"/>
        </w:rPr>
        <w:t>”</w:t>
      </w:r>
      <w:r w:rsidRPr="00776A08">
        <w:rPr>
          <w:rFonts w:ascii="Arial" w:eastAsia="Calibri" w:hAnsi="Arial" w:cs="Arial"/>
          <w:bCs/>
          <w:color w:val="000000" w:themeColor="text1"/>
        </w:rPr>
        <w:t>.</w:t>
      </w:r>
      <w:r>
        <w:rPr>
          <w:rFonts w:ascii="Arial" w:eastAsia="Calibri" w:hAnsi="Arial" w:cs="Arial"/>
          <w:bCs/>
          <w:color w:val="000000" w:themeColor="text1"/>
        </w:rPr>
        <w:t xml:space="preserve">  </w:t>
      </w:r>
    </w:p>
    <w:p w14:paraId="1142ED0E" w14:textId="77777777"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No obstante, pese a que son funciones del REDAM llevar </w:t>
      </w:r>
      <w:r w:rsidRPr="00313048">
        <w:rPr>
          <w:rFonts w:ascii="Arial" w:eastAsia="Calibri" w:hAnsi="Arial" w:cs="Arial"/>
          <w:bCs/>
          <w:color w:val="000000" w:themeColor="text1"/>
        </w:rPr>
        <w:t>un registro de los deudores alimentarios morosos</w:t>
      </w:r>
      <w:r>
        <w:rPr>
          <w:rFonts w:ascii="Arial" w:eastAsia="Calibri" w:hAnsi="Arial" w:cs="Arial"/>
          <w:bCs/>
          <w:color w:val="000000" w:themeColor="text1"/>
        </w:rPr>
        <w:t xml:space="preserve"> y e</w:t>
      </w:r>
      <w:r w:rsidRPr="00313048">
        <w:rPr>
          <w:rFonts w:ascii="Arial" w:eastAsia="Calibri" w:hAnsi="Arial" w:cs="Arial"/>
          <w:bCs/>
          <w:color w:val="000000" w:themeColor="text1"/>
        </w:rPr>
        <w:t>xpedir gratuitamente los certificados a través de página web</w:t>
      </w:r>
      <w:r>
        <w:rPr>
          <w:rFonts w:ascii="Arial" w:eastAsia="Calibri" w:hAnsi="Arial" w:cs="Arial"/>
          <w:bCs/>
          <w:color w:val="000000" w:themeColor="text1"/>
        </w:rPr>
        <w:t xml:space="preserve">, es necesario preguntarse si la obligación de consultarlo para validar la ausencia de la restricción comentada surgió automáticamente con la expedición de la Ley 2097 del 2 de julio de 2021 o, por el contrario, si las medidas adoptadas quedaron condicionadas por la designación de la autoridad responsable de operar el registro, su reglamentación correspondiente, así como la puesta en funcionamiento de la aplicación. La respuesta a esta inquietud depende de tomar partido por la </w:t>
      </w:r>
      <w:r w:rsidRPr="001B0219">
        <w:rPr>
          <w:rFonts w:ascii="Arial" w:eastAsia="Calibri" w:hAnsi="Arial" w:cs="Arial"/>
          <w:bCs/>
          <w:i/>
          <w:iCs/>
          <w:color w:val="000000" w:themeColor="text1"/>
        </w:rPr>
        <w:t>tesis de la aplicación directa</w:t>
      </w:r>
      <w:r>
        <w:rPr>
          <w:rFonts w:ascii="Arial" w:eastAsia="Calibri" w:hAnsi="Arial" w:cs="Arial"/>
          <w:bCs/>
          <w:color w:val="000000" w:themeColor="text1"/>
        </w:rPr>
        <w:t xml:space="preserve"> o por la </w:t>
      </w:r>
      <w:r w:rsidRPr="001B0219">
        <w:rPr>
          <w:rFonts w:ascii="Arial" w:eastAsia="Calibri" w:hAnsi="Arial" w:cs="Arial"/>
          <w:bCs/>
          <w:i/>
          <w:iCs/>
          <w:color w:val="000000" w:themeColor="text1"/>
        </w:rPr>
        <w:t>tesis de la reglamentación</w:t>
      </w:r>
      <w:r>
        <w:rPr>
          <w:rFonts w:ascii="Arial" w:eastAsia="Calibri" w:hAnsi="Arial" w:cs="Arial"/>
          <w:bCs/>
          <w:color w:val="000000" w:themeColor="text1"/>
        </w:rPr>
        <w:t xml:space="preserve">. </w:t>
      </w:r>
    </w:p>
    <w:p w14:paraId="4F8CFD03" w14:textId="77777777" w:rsidR="00017BE3" w:rsidRDefault="00017BE3" w:rsidP="00017BE3">
      <w:pPr>
        <w:tabs>
          <w:tab w:val="left" w:pos="709"/>
        </w:tabs>
        <w:spacing w:after="12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r>
      <w:r w:rsidRPr="008D3148">
        <w:rPr>
          <w:rFonts w:ascii="Arial" w:eastAsia="Calibri" w:hAnsi="Arial" w:cs="Arial"/>
          <w:bCs/>
          <w:color w:val="000000" w:themeColor="text1"/>
          <w:lang w:val="es-ES_tradnl"/>
        </w:rPr>
        <w:t xml:space="preserve">Por un lado, quien opte por la </w:t>
      </w:r>
      <w:r w:rsidRPr="008D3148">
        <w:rPr>
          <w:rFonts w:ascii="Arial" w:eastAsia="Calibri" w:hAnsi="Arial" w:cs="Arial"/>
          <w:bCs/>
          <w:i/>
          <w:iCs/>
          <w:color w:val="000000" w:themeColor="text1"/>
          <w:lang w:val="es-ES_tradnl"/>
        </w:rPr>
        <w:t>tesis de la aplicación directa</w:t>
      </w:r>
      <w:r w:rsidRPr="008D3148">
        <w:rPr>
          <w:rFonts w:ascii="Arial" w:eastAsia="Calibri" w:hAnsi="Arial" w:cs="Arial"/>
          <w:bCs/>
          <w:color w:val="000000" w:themeColor="text1"/>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8D3148">
        <w:rPr>
          <w:rStyle w:val="Refdenotaalpie"/>
          <w:rFonts w:ascii="Arial" w:eastAsia="Calibri" w:hAnsi="Arial" w:cs="Arial"/>
          <w:bCs/>
          <w:color w:val="000000" w:themeColor="text1"/>
          <w:lang w:val="es-ES_tradnl"/>
        </w:rPr>
        <w:footnoteReference w:id="35"/>
      </w:r>
      <w:r w:rsidRPr="008D3148">
        <w:rPr>
          <w:rFonts w:ascii="Arial" w:eastAsia="Calibri" w:hAnsi="Arial" w:cs="Arial"/>
          <w:bCs/>
          <w:color w:val="000000" w:themeColor="text1"/>
          <w:lang w:val="es-ES_tradnl"/>
        </w:rPr>
        <w:t>. En este contexto, si la expedición de reglamentos no es obligatoria, la ausencia de estos no excusa la inaplicación de la ley, pues contiene unos elementos mínimos que vinculan directamente a los destinatarios.</w:t>
      </w:r>
    </w:p>
    <w:p w14:paraId="6ED34E81" w14:textId="77777777" w:rsidR="00017BE3" w:rsidRPr="008D3148" w:rsidRDefault="00017BE3" w:rsidP="00017BE3">
      <w:pPr>
        <w:tabs>
          <w:tab w:val="left" w:pos="709"/>
        </w:tabs>
        <w:spacing w:after="12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r>
      <w:r w:rsidRPr="008D3148">
        <w:rPr>
          <w:rFonts w:ascii="Arial" w:eastAsia="Calibri" w:hAnsi="Arial" w:cs="Arial"/>
          <w:bCs/>
          <w:color w:val="000000" w:themeColor="text1"/>
          <w:lang w:val="es-ES_tradnl"/>
        </w:rPr>
        <w:t xml:space="preserve">Ahora bien, la relación entre estas dos (2) fuentes del derecho es totalmente diferente en la </w:t>
      </w:r>
      <w:r w:rsidRPr="008D3148">
        <w:rPr>
          <w:rFonts w:ascii="Arial" w:eastAsia="Calibri" w:hAnsi="Arial" w:cs="Arial"/>
          <w:bCs/>
          <w:i/>
          <w:iCs/>
          <w:color w:val="000000" w:themeColor="text1"/>
          <w:lang w:val="es-ES_tradnl"/>
        </w:rPr>
        <w:t>tesis de la reglamentación</w:t>
      </w:r>
      <w:r w:rsidRPr="008D3148">
        <w:rPr>
          <w:rFonts w:ascii="Arial" w:eastAsia="Calibri" w:hAnsi="Arial" w:cs="Arial"/>
          <w:bCs/>
          <w:color w:val="000000" w:themeColor="text1"/>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w:t>
      </w:r>
      <w:r>
        <w:rPr>
          <w:rFonts w:ascii="Arial" w:eastAsia="Calibri" w:hAnsi="Arial" w:cs="Arial"/>
          <w:bCs/>
          <w:color w:val="000000" w:themeColor="text1"/>
          <w:lang w:val="es-ES_tradnl"/>
        </w:rPr>
        <w:t xml:space="preserve"> la</w:t>
      </w:r>
      <w:r w:rsidRPr="008D3148">
        <w:rPr>
          <w:rFonts w:ascii="Arial" w:eastAsia="Calibri" w:hAnsi="Arial" w:cs="Arial"/>
          <w:bCs/>
          <w:color w:val="000000" w:themeColor="text1"/>
          <w:lang w:val="es-ES_tradnl"/>
        </w:rPr>
        <w:t xml:space="preserve"> </w:t>
      </w:r>
      <w:r>
        <w:rPr>
          <w:rFonts w:ascii="Arial" w:eastAsia="Calibri" w:hAnsi="Arial" w:cs="Arial"/>
          <w:bCs/>
          <w:color w:val="000000" w:themeColor="text1"/>
        </w:rPr>
        <w:t>Ley 2097 de 2021</w:t>
      </w:r>
      <w:r>
        <w:rPr>
          <w:rFonts w:ascii="Arial" w:eastAsia="Calibri" w:hAnsi="Arial" w:cs="Arial"/>
          <w:bCs/>
          <w:color w:val="000000" w:themeColor="text1"/>
          <w:lang w:val="es-ES_tradnl"/>
        </w:rPr>
        <w:t xml:space="preserve">, </w:t>
      </w:r>
      <w:r>
        <w:rPr>
          <w:rFonts w:ascii="Arial" w:eastAsia="Calibri" w:hAnsi="Arial" w:cs="Arial"/>
          <w:bCs/>
          <w:color w:val="000000" w:themeColor="text1"/>
        </w:rPr>
        <w:t xml:space="preserve">pues –conforme al artículo 7 </w:t>
      </w:r>
      <w:r w:rsidRPr="00C2348F">
        <w:rPr>
          <w:rFonts w:ascii="Arial" w:eastAsia="Calibri" w:hAnsi="Arial" w:cs="Arial"/>
          <w:bCs/>
          <w:i/>
          <w:iCs/>
          <w:color w:val="000000" w:themeColor="text1"/>
        </w:rPr>
        <w:t>ibidem</w:t>
      </w:r>
      <w:r>
        <w:rPr>
          <w:rFonts w:ascii="Arial" w:eastAsia="Calibri" w:hAnsi="Arial" w:cs="Arial"/>
          <w:bCs/>
          <w:color w:val="000000" w:themeColor="text1"/>
        </w:rPr>
        <w:t>– “</w:t>
      </w:r>
      <w:r w:rsidRPr="00C2348F">
        <w:rPr>
          <w:rFonts w:ascii="Arial" w:eastAsia="Calibri" w:hAnsi="Arial" w:cs="Arial"/>
          <w:bCs/>
          <w:color w:val="000000" w:themeColor="text1"/>
        </w:rPr>
        <w:t>El Gobierno nacional, designará a una entidad del orden nacional para que implemente, administre y mantenga actualizado el Registro Nacional de Deudores de Cuotas Alimentarias</w:t>
      </w:r>
      <w:r>
        <w:rPr>
          <w:rFonts w:ascii="Arial" w:eastAsia="Calibri" w:hAnsi="Arial" w:cs="Arial"/>
          <w:bCs/>
          <w:color w:val="000000" w:themeColor="text1"/>
        </w:rPr>
        <w:t>”</w:t>
      </w:r>
      <w:r w:rsidRPr="00C2348F">
        <w:rPr>
          <w:rFonts w:ascii="Arial" w:eastAsia="Calibri" w:hAnsi="Arial" w:cs="Arial"/>
          <w:bCs/>
          <w:color w:val="000000" w:themeColor="text1"/>
        </w:rPr>
        <w:t>.</w:t>
      </w:r>
      <w:r>
        <w:rPr>
          <w:rFonts w:ascii="Arial" w:eastAsia="Calibri" w:hAnsi="Arial" w:cs="Arial"/>
          <w:bCs/>
          <w:color w:val="000000" w:themeColor="text1"/>
        </w:rPr>
        <w:t xml:space="preserve"> Por lo demás, de acuerdo con el parágrafo de la norma precitada, “</w:t>
      </w:r>
      <w:r w:rsidRPr="00C2348F">
        <w:rPr>
          <w:rFonts w:ascii="Arial" w:eastAsia="Calibri" w:hAnsi="Arial" w:cs="Arial"/>
          <w:bCs/>
          <w:color w:val="000000" w:themeColor="text1"/>
        </w:rPr>
        <w:t>La implementación del Registro Nacional de Deudores de Cuotas Alimentarias deberá llevarse a cabo en el término de seis (6) meses contados a partir de la fecha de promulgación de la presente ley</w:t>
      </w:r>
      <w:r>
        <w:rPr>
          <w:rFonts w:ascii="Arial" w:eastAsia="Calibri" w:hAnsi="Arial" w:cs="Arial"/>
          <w:bCs/>
          <w:color w:val="000000" w:themeColor="text1"/>
        </w:rPr>
        <w:t>”</w:t>
      </w:r>
      <w:r w:rsidRPr="00C2348F">
        <w:rPr>
          <w:rFonts w:ascii="Arial" w:eastAsia="Calibri" w:hAnsi="Arial" w:cs="Arial"/>
          <w:bCs/>
          <w:color w:val="000000" w:themeColor="text1"/>
        </w:rPr>
        <w:t>.</w:t>
      </w:r>
    </w:p>
    <w:p w14:paraId="3B7792B7" w14:textId="77777777" w:rsidR="00017BE3" w:rsidRDefault="00017BE3" w:rsidP="00017BE3">
      <w:pPr>
        <w:tabs>
          <w:tab w:val="left" w:pos="709"/>
        </w:tabs>
        <w:spacing w:after="12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r>
      <w:r w:rsidRPr="008D3148">
        <w:rPr>
          <w:rFonts w:ascii="Arial" w:eastAsia="Calibri" w:hAnsi="Arial" w:cs="Arial"/>
          <w:bCs/>
          <w:color w:val="000000" w:themeColor="text1"/>
          <w:lang w:val="es-ES_tradnl"/>
        </w:rPr>
        <w:t>En efecto,</w:t>
      </w:r>
      <w:r>
        <w:rPr>
          <w:rFonts w:ascii="Arial" w:eastAsia="Calibri" w:hAnsi="Arial" w:cs="Arial"/>
          <w:bCs/>
          <w:color w:val="000000" w:themeColor="text1"/>
          <w:lang w:val="es-ES_tradnl"/>
        </w:rPr>
        <w:t xml:space="preserve"> el artículo 7 de la Ley 2097 de 2020</w:t>
      </w:r>
      <w:r w:rsidRPr="008D3148">
        <w:rPr>
          <w:rFonts w:ascii="Arial" w:eastAsia="Calibri" w:hAnsi="Arial" w:cs="Arial"/>
          <w:bCs/>
          <w:color w:val="000000" w:themeColor="text1"/>
          <w:lang w:val="es-ES_tradnl"/>
        </w:rPr>
        <w:t xml:space="preserve"> contiene un mandato de reglamentación que debe acatar el Gobierno Nacional</w:t>
      </w:r>
      <w:r w:rsidRPr="008D3148">
        <w:rPr>
          <w:rStyle w:val="Refdenotaalpie"/>
          <w:rFonts w:ascii="Arial" w:eastAsia="Calibri" w:hAnsi="Arial" w:cs="Arial"/>
          <w:bCs/>
          <w:color w:val="000000" w:themeColor="text1"/>
          <w:lang w:val="es-ES_tradnl"/>
        </w:rPr>
        <w:footnoteReference w:id="36"/>
      </w:r>
      <w:r w:rsidRPr="008D3148">
        <w:rPr>
          <w:rFonts w:ascii="Arial" w:eastAsia="Calibri" w:hAnsi="Arial" w:cs="Arial"/>
          <w:bCs/>
          <w:color w:val="000000" w:themeColor="text1"/>
          <w:lang w:val="es-ES_tradnl"/>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8D3148">
        <w:rPr>
          <w:rFonts w:ascii="Arial" w:eastAsia="Calibri" w:hAnsi="Arial" w:cs="Arial"/>
          <w:bCs/>
          <w:i/>
          <w:iCs/>
          <w:color w:val="000000" w:themeColor="text1"/>
          <w:lang w:val="es-ES_tradnl"/>
        </w:rPr>
        <w:t>laguna técnica</w:t>
      </w:r>
      <w:r w:rsidRPr="008D3148">
        <w:rPr>
          <w:rFonts w:ascii="Arial" w:eastAsia="Calibri" w:hAnsi="Arial" w:cs="Arial"/>
          <w:bCs/>
          <w:color w:val="000000" w:themeColor="text1"/>
          <w:lang w:val="es-ES_tradnl"/>
        </w:rPr>
        <w:t xml:space="preserve">, la cual se produce </w:t>
      </w:r>
      <w:r>
        <w:rPr>
          <w:rFonts w:ascii="Arial" w:eastAsia="Calibri" w:hAnsi="Arial" w:cs="Arial"/>
          <w:bCs/>
          <w:color w:val="000000" w:themeColor="text1"/>
          <w:lang w:val="es-ES_tradnl"/>
        </w:rPr>
        <w:t>“</w:t>
      </w:r>
      <w:r w:rsidRPr="008D3148">
        <w:rPr>
          <w:rFonts w:ascii="Arial" w:eastAsia="Calibri" w:hAnsi="Arial" w:cs="Arial"/>
          <w:bCs/>
          <w:color w:val="000000" w:themeColor="text1"/>
          <w:lang w:val="es-ES_tradnl"/>
        </w:rPr>
        <w:t>[…]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w:t>
      </w:r>
      <w:r>
        <w:rPr>
          <w:rFonts w:ascii="Arial" w:eastAsia="Calibri" w:hAnsi="Arial" w:cs="Arial"/>
          <w:bCs/>
          <w:color w:val="000000" w:themeColor="text1"/>
          <w:lang w:val="es-ES_tradnl"/>
        </w:rPr>
        <w:t>”</w:t>
      </w:r>
      <w:r w:rsidRPr="008D3148">
        <w:rPr>
          <w:rFonts w:ascii="Arial" w:eastAsia="Calibri" w:hAnsi="Arial" w:cs="Arial"/>
          <w:bCs/>
          <w:color w:val="000000" w:themeColor="text1"/>
          <w:lang w:val="es-ES_tradnl"/>
        </w:rPr>
        <w:t xml:space="preserve"> (Corchetes fuera de texto)</w:t>
      </w:r>
      <w:r w:rsidRPr="008D3148">
        <w:rPr>
          <w:rStyle w:val="Refdenotaalpie"/>
          <w:rFonts w:ascii="Arial" w:eastAsia="Calibri" w:hAnsi="Arial" w:cs="Arial"/>
          <w:bCs/>
          <w:color w:val="000000" w:themeColor="text1"/>
          <w:lang w:val="es-ES_tradnl"/>
        </w:rPr>
        <w:footnoteReference w:id="37"/>
      </w:r>
      <w:r w:rsidRPr="008D3148">
        <w:rPr>
          <w:rFonts w:ascii="Arial" w:eastAsia="Calibri" w:hAnsi="Arial" w:cs="Arial"/>
          <w:bCs/>
          <w:color w:val="000000" w:themeColor="text1"/>
          <w:lang w:val="es-ES_tradnl"/>
        </w:rPr>
        <w:t>.</w:t>
      </w:r>
    </w:p>
    <w:p w14:paraId="75444707" w14:textId="77777777" w:rsidR="00017BE3" w:rsidRPr="00982700" w:rsidRDefault="00017BE3" w:rsidP="00017BE3">
      <w:pPr>
        <w:tabs>
          <w:tab w:val="left" w:pos="709"/>
        </w:tabs>
        <w:spacing w:after="12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b/>
      </w:r>
      <w:r w:rsidRPr="008D3148">
        <w:rPr>
          <w:rFonts w:ascii="Arial" w:eastAsia="Calibri" w:hAnsi="Arial" w:cs="Arial"/>
          <w:bCs/>
          <w:color w:val="000000" w:themeColor="text1"/>
          <w:lang w:val="es-ES_tradnl"/>
        </w:rPr>
        <w:t xml:space="preserve">Este tipo de lagunas no son ajenas a la contratación estatal, ya que el procedimiento para la cesión unilateral del contrato del artículo 9 de la Ley 2014 de 2019 también estaba condicionado por su reglamentación previa en los términos del parágrafo 2 </w:t>
      </w:r>
      <w:r w:rsidRPr="008D3148">
        <w:rPr>
          <w:rFonts w:ascii="Arial" w:eastAsia="Calibri" w:hAnsi="Arial" w:cs="Arial"/>
          <w:bCs/>
          <w:i/>
          <w:iCs/>
          <w:color w:val="000000" w:themeColor="text1"/>
          <w:lang w:val="es-ES_tradnl"/>
        </w:rPr>
        <w:t>ibidem</w:t>
      </w:r>
      <w:r w:rsidRPr="008D3148">
        <w:rPr>
          <w:rFonts w:ascii="Arial" w:eastAsia="Calibri" w:hAnsi="Arial" w:cs="Arial"/>
          <w:bCs/>
          <w:color w:val="000000" w:themeColor="text1"/>
          <w:lang w:val="es-ES_tradnl"/>
        </w:rPr>
        <w:t xml:space="preserve"> antes de su declaratoria de inconstitucionalidad</w:t>
      </w:r>
      <w:r w:rsidRPr="008D3148">
        <w:rPr>
          <w:rStyle w:val="Refdenotaalpie"/>
          <w:rFonts w:ascii="Arial" w:eastAsia="Calibri" w:hAnsi="Arial" w:cs="Arial"/>
          <w:bCs/>
          <w:color w:val="000000" w:themeColor="text1"/>
          <w:lang w:val="es-ES_tradnl"/>
        </w:rPr>
        <w:footnoteReference w:id="38"/>
      </w:r>
      <w:r w:rsidRPr="008D3148">
        <w:rPr>
          <w:rFonts w:ascii="Arial" w:eastAsia="Calibri" w:hAnsi="Arial" w:cs="Arial"/>
          <w:bCs/>
          <w:color w:val="000000" w:themeColor="text1"/>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8D3148">
        <w:rPr>
          <w:rStyle w:val="Refdenotaalpie"/>
          <w:rFonts w:ascii="Arial" w:eastAsia="Calibri" w:hAnsi="Arial" w:cs="Arial"/>
          <w:bCs/>
          <w:color w:val="000000" w:themeColor="text1"/>
          <w:lang w:val="es-ES_tradnl"/>
        </w:rPr>
        <w:footnoteReference w:id="39"/>
      </w:r>
      <w:r w:rsidRPr="008D3148">
        <w:rPr>
          <w:rFonts w:ascii="Arial" w:eastAsia="Calibri" w:hAnsi="Arial" w:cs="Arial"/>
          <w:bCs/>
          <w:color w:val="000000" w:themeColor="text1"/>
          <w:lang w:val="es-ES_tradnl"/>
        </w:rPr>
        <w:t xml:space="preserve">. </w:t>
      </w:r>
      <w:r w:rsidRPr="008D3148">
        <w:rPr>
          <w:rFonts w:ascii="Arial" w:eastAsia="Calibri" w:hAnsi="Arial" w:cs="Arial"/>
          <w:color w:val="000000" w:themeColor="text1"/>
          <w:lang w:val="es-ES_tradnl"/>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5765BB7F" w14:textId="77777777" w:rsidR="00017BE3" w:rsidRPr="008D3148" w:rsidRDefault="00017BE3" w:rsidP="00017BE3">
      <w:pPr>
        <w:spacing w:after="0" w:line="276" w:lineRule="auto"/>
        <w:ind w:firstLine="709"/>
        <w:jc w:val="both"/>
        <w:rPr>
          <w:rFonts w:ascii="Arial" w:eastAsia="Calibri" w:hAnsi="Arial" w:cs="Arial"/>
          <w:color w:val="000000" w:themeColor="text1"/>
          <w:lang w:val="es-ES_tradnl"/>
        </w:rPr>
      </w:pPr>
      <w:r w:rsidRPr="008D3148">
        <w:rPr>
          <w:rFonts w:ascii="Arial" w:eastAsia="Calibri" w:hAnsi="Arial" w:cs="Arial"/>
          <w:color w:val="000000" w:themeColor="text1"/>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Al respecto, el Consejo de Estado considera que: </w:t>
      </w:r>
    </w:p>
    <w:p w14:paraId="74D6DCF6" w14:textId="77777777" w:rsidR="00017BE3" w:rsidRPr="008D3148" w:rsidRDefault="00017BE3" w:rsidP="00017BE3">
      <w:pPr>
        <w:shd w:val="clear" w:color="auto" w:fill="FFFFFF"/>
        <w:spacing w:after="0" w:line="276" w:lineRule="auto"/>
        <w:ind w:left="709" w:right="760"/>
        <w:jc w:val="both"/>
        <w:rPr>
          <w:rFonts w:ascii="Arial" w:eastAsia="Calibri" w:hAnsi="Arial" w:cs="Arial"/>
          <w:color w:val="000000" w:themeColor="text1"/>
          <w:lang w:val="es-ES_tradnl"/>
        </w:rPr>
      </w:pPr>
    </w:p>
    <w:p w14:paraId="71E7C3CC" w14:textId="77777777" w:rsidR="00017BE3" w:rsidRPr="008D3148" w:rsidRDefault="00017BE3" w:rsidP="00017BE3">
      <w:pPr>
        <w:shd w:val="clear" w:color="auto" w:fill="FFFFFF"/>
        <w:spacing w:after="0" w:line="240" w:lineRule="auto"/>
        <w:ind w:left="709" w:right="709"/>
        <w:jc w:val="both"/>
        <w:rPr>
          <w:rFonts w:ascii="Arial" w:eastAsia="Calibri" w:hAnsi="Arial" w:cs="Arial"/>
          <w:color w:val="000000" w:themeColor="text1"/>
          <w:sz w:val="21"/>
          <w:szCs w:val="21"/>
          <w:lang w:val="es-ES_tradnl"/>
        </w:rPr>
      </w:pPr>
      <w:r w:rsidRPr="008D3148">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8D3148">
        <w:rPr>
          <w:rStyle w:val="Refdenotaalpie"/>
          <w:rFonts w:ascii="Arial" w:eastAsia="Calibri" w:hAnsi="Arial" w:cs="Arial"/>
          <w:color w:val="000000" w:themeColor="text1"/>
          <w:sz w:val="21"/>
          <w:szCs w:val="21"/>
          <w:lang w:val="es-ES_tradnl"/>
        </w:rPr>
        <w:footnoteReference w:id="40"/>
      </w:r>
      <w:r w:rsidRPr="008D3148">
        <w:rPr>
          <w:rFonts w:ascii="Arial" w:eastAsia="Calibri" w:hAnsi="Arial" w:cs="Arial"/>
          <w:color w:val="000000" w:themeColor="text1"/>
          <w:sz w:val="21"/>
          <w:szCs w:val="21"/>
          <w:lang w:val="es-ES_tradnl"/>
        </w:rPr>
        <w:t>.</w:t>
      </w:r>
    </w:p>
    <w:p w14:paraId="634F61D1" w14:textId="77777777" w:rsidR="00017BE3" w:rsidRPr="008D3148" w:rsidRDefault="00017BE3" w:rsidP="00017BE3">
      <w:pPr>
        <w:shd w:val="clear" w:color="auto" w:fill="FFFFFF"/>
        <w:spacing w:after="0" w:line="276" w:lineRule="auto"/>
        <w:ind w:left="709" w:right="760"/>
        <w:jc w:val="both"/>
        <w:rPr>
          <w:rFonts w:ascii="Arial" w:eastAsia="Calibri" w:hAnsi="Arial" w:cs="Arial"/>
          <w:color w:val="000000" w:themeColor="text1"/>
          <w:lang w:val="es-ES_tradnl"/>
        </w:rPr>
      </w:pPr>
    </w:p>
    <w:p w14:paraId="776880BD" w14:textId="77777777" w:rsidR="00017BE3" w:rsidRPr="008D3148" w:rsidRDefault="00017BE3" w:rsidP="00017BE3">
      <w:pPr>
        <w:shd w:val="clear" w:color="auto" w:fill="FFFFFF"/>
        <w:spacing w:after="120" w:line="276" w:lineRule="auto"/>
        <w:ind w:right="51" w:firstLine="709"/>
        <w:jc w:val="both"/>
        <w:rPr>
          <w:rFonts w:ascii="Arial" w:eastAsia="Calibri" w:hAnsi="Arial" w:cs="Arial"/>
          <w:color w:val="000000" w:themeColor="text1"/>
          <w:lang w:val="es-ES_tradnl"/>
        </w:rPr>
      </w:pPr>
      <w:r w:rsidRPr="008D3148">
        <w:rPr>
          <w:rFonts w:ascii="Arial" w:eastAsia="Calibri" w:hAnsi="Arial" w:cs="Arial"/>
          <w:color w:val="000000" w:themeColor="text1"/>
          <w:lang w:val="es-ES_tradnl"/>
        </w:rPr>
        <w:t>La referencia hecha en una ley a que el gobierno nacional reglamentará la materia indica que el reglamento es indispensable para el cumplimiento de la misma. Naturalmente, este reconocimiento no siempre implica que la ley está sometida a condición para entrar en vigor; pero cuando ello se analiza con otros elementos que obran en este sentido, como los antecedentes legislativos, es posible utilizar la referencia al reglamento como una prueba de que la ley moduló sus efectos en el tiempo y se encuentra sometida a condición.</w:t>
      </w:r>
      <w:r>
        <w:rPr>
          <w:rFonts w:ascii="Arial" w:eastAsia="Calibri" w:hAnsi="Arial" w:cs="Arial"/>
          <w:color w:val="000000" w:themeColor="text1"/>
          <w:lang w:val="es-ES_tradnl"/>
        </w:rPr>
        <w:t xml:space="preserve"> En efecto, si bien en la propuesta inicial y en el curso del primer debate en el Senado y en la Cámara de Representantes la operación del REDAM correspondía al </w:t>
      </w:r>
      <w:r w:rsidRPr="000331AC">
        <w:rPr>
          <w:rFonts w:ascii="Arial" w:eastAsia="Calibri" w:hAnsi="Arial" w:cs="Arial"/>
          <w:color w:val="000000" w:themeColor="text1"/>
        </w:rPr>
        <w:t>del Ministerio de Justicia y del Derecho</w:t>
      </w:r>
      <w:r>
        <w:rPr>
          <w:rFonts w:ascii="Arial" w:eastAsia="Calibri" w:hAnsi="Arial" w:cs="Arial"/>
          <w:color w:val="000000" w:themeColor="text1"/>
        </w:rPr>
        <w:t>, a partir del segundo debate en el Senado se definió que e</w:t>
      </w:r>
      <w:r w:rsidRPr="000331AC">
        <w:rPr>
          <w:rFonts w:ascii="Arial" w:eastAsia="Calibri" w:hAnsi="Arial" w:cs="Arial"/>
          <w:color w:val="000000" w:themeColor="text1"/>
        </w:rPr>
        <w:t>l Gobierno nacional</w:t>
      </w:r>
      <w:r>
        <w:rPr>
          <w:rFonts w:ascii="Arial" w:eastAsia="Calibri" w:hAnsi="Arial" w:cs="Arial"/>
          <w:color w:val="000000" w:themeColor="text1"/>
        </w:rPr>
        <w:t xml:space="preserve"> </w:t>
      </w:r>
      <w:r w:rsidRPr="000331AC">
        <w:rPr>
          <w:rFonts w:ascii="Arial" w:eastAsia="Calibri" w:hAnsi="Arial" w:cs="Arial"/>
          <w:color w:val="000000" w:themeColor="text1"/>
        </w:rPr>
        <w:t>designar</w:t>
      </w:r>
      <w:r>
        <w:rPr>
          <w:rFonts w:ascii="Arial" w:eastAsia="Calibri" w:hAnsi="Arial" w:cs="Arial"/>
          <w:color w:val="000000" w:themeColor="text1"/>
        </w:rPr>
        <w:t>a</w:t>
      </w:r>
      <w:r w:rsidRPr="000331AC">
        <w:rPr>
          <w:rFonts w:ascii="Arial" w:eastAsia="Calibri" w:hAnsi="Arial" w:cs="Arial"/>
          <w:color w:val="000000" w:themeColor="text1"/>
        </w:rPr>
        <w:t xml:space="preserve"> a una entidad del orden nacional para que implemente, administre y mantenga actualizado el Registro Nacional de Deudores de Cuotas Alimentarias</w:t>
      </w:r>
      <w:r>
        <w:rPr>
          <w:rStyle w:val="Refdenotaalpie"/>
          <w:rFonts w:ascii="Arial" w:eastAsia="Calibri" w:hAnsi="Arial" w:cs="Arial"/>
          <w:color w:val="000000" w:themeColor="text1"/>
        </w:rPr>
        <w:footnoteReference w:id="41"/>
      </w:r>
      <w:r>
        <w:rPr>
          <w:rFonts w:ascii="Arial" w:eastAsia="Calibri" w:hAnsi="Arial" w:cs="Arial"/>
          <w:color w:val="000000" w:themeColor="text1"/>
        </w:rPr>
        <w:t>. Aunque la tendencia se invirtió nuevamente en el segundo debate de la Cámara de Representantes y en la plenarias correspondientes, el texto conciliado ratificó la designación previa del gobierno nacional e incorporó la reglamentación previa del registro</w:t>
      </w:r>
      <w:r>
        <w:rPr>
          <w:rStyle w:val="Refdenotaalpie"/>
          <w:rFonts w:ascii="Arial" w:eastAsia="Calibri" w:hAnsi="Arial" w:cs="Arial"/>
          <w:color w:val="000000" w:themeColor="text1"/>
        </w:rPr>
        <w:footnoteReference w:id="42"/>
      </w:r>
      <w:r>
        <w:rPr>
          <w:rFonts w:ascii="Arial" w:eastAsia="Calibri" w:hAnsi="Arial" w:cs="Arial"/>
          <w:color w:val="000000" w:themeColor="text1"/>
        </w:rPr>
        <w:t xml:space="preserve">.  </w:t>
      </w:r>
    </w:p>
    <w:p w14:paraId="7F1FCF7D" w14:textId="77777777" w:rsidR="00017BE3" w:rsidRDefault="00017BE3" w:rsidP="00017BE3">
      <w:pPr>
        <w:shd w:val="clear" w:color="auto" w:fill="FFFFFF"/>
        <w:spacing w:after="120" w:line="276" w:lineRule="auto"/>
        <w:ind w:right="51" w:firstLine="709"/>
        <w:jc w:val="both"/>
        <w:rPr>
          <w:rFonts w:ascii="Arial" w:eastAsia="Calibri" w:hAnsi="Arial" w:cs="Arial"/>
          <w:bCs/>
          <w:color w:val="000000" w:themeColor="text1"/>
          <w:lang w:val="es-ES_tradnl"/>
        </w:rPr>
      </w:pPr>
      <w:r w:rsidRPr="008D3148">
        <w:rPr>
          <w:rFonts w:ascii="Arial" w:eastAsia="Calibri" w:hAnsi="Arial" w:cs="Arial"/>
          <w:bCs/>
          <w:color w:val="000000" w:themeColor="text1"/>
          <w:lang w:val="es-ES_tradnl"/>
        </w:rPr>
        <w:t xml:space="preserve">Por tanto, si bien en principio el ejercicio de la potestad reglamentaria es discrecional, esta puede ser excepcionalmente obligatoria para efectividad de la ley. Por ejemplo, para la doctrina esto último sucede cuando </w:t>
      </w:r>
      <w:r>
        <w:rPr>
          <w:rFonts w:ascii="Arial" w:eastAsia="Calibri" w:hAnsi="Arial" w:cs="Arial"/>
          <w:bCs/>
          <w:color w:val="000000" w:themeColor="text1"/>
          <w:lang w:val="es-ES_tradnl"/>
        </w:rPr>
        <w:t>“</w:t>
      </w:r>
      <w:r w:rsidRPr="008D3148">
        <w:rPr>
          <w:rFonts w:ascii="Arial" w:eastAsia="Calibri" w:hAnsi="Arial" w:cs="Arial"/>
          <w:bCs/>
          <w:color w:val="000000" w:themeColor="text1"/>
          <w:lang w:val="es-ES_tradnl"/>
        </w:rPr>
        <w:t>[…] la necesidad del reglamento es inminente, y así nace desde la norma que confiere la potestad reglamentaria […]</w:t>
      </w:r>
      <w:r>
        <w:rPr>
          <w:rFonts w:ascii="Arial" w:eastAsia="Calibri" w:hAnsi="Arial" w:cs="Arial"/>
          <w:bCs/>
          <w:color w:val="000000" w:themeColor="text1"/>
          <w:lang w:val="es-ES_tradnl"/>
        </w:rPr>
        <w:t>”</w:t>
      </w:r>
      <w:r w:rsidRPr="008D3148">
        <w:rPr>
          <w:rStyle w:val="Refdenotaalpie"/>
          <w:rFonts w:ascii="Arial" w:eastAsia="Calibri" w:hAnsi="Arial" w:cs="Arial"/>
          <w:bCs/>
          <w:color w:val="000000" w:themeColor="text1"/>
          <w:lang w:val="es-ES_tradnl"/>
        </w:rPr>
        <w:footnoteReference w:id="43"/>
      </w:r>
      <w:r w:rsidRPr="008D3148">
        <w:rPr>
          <w:rFonts w:ascii="Arial" w:eastAsia="Calibri" w:hAnsi="Arial" w:cs="Arial"/>
          <w:bCs/>
          <w:color w:val="000000" w:themeColor="text1"/>
          <w:lang w:val="es-ES_tradnl"/>
        </w:rPr>
        <w:t xml:space="preserve">. En este tipo de situaciones, </w:t>
      </w:r>
      <w:r>
        <w:rPr>
          <w:rFonts w:ascii="Arial" w:eastAsia="Calibri" w:hAnsi="Arial" w:cs="Arial"/>
          <w:bCs/>
          <w:color w:val="000000" w:themeColor="text1"/>
          <w:lang w:val="es-ES_tradnl"/>
        </w:rPr>
        <w:t>“</w:t>
      </w:r>
      <w:r w:rsidRPr="008D3148">
        <w:rPr>
          <w:rFonts w:ascii="Arial" w:eastAsia="Calibri" w:hAnsi="Arial" w:cs="Arial"/>
          <w:bCs/>
          <w:color w:val="000000" w:themeColor="text1"/>
          <w:lang w:val="es-ES_tradnl"/>
        </w:rPr>
        <w:t>[…] las autoridades no tienen -ni tuvieron- la posibilidad de escoger entre expedir el acto o dejar de hacerlo. Es decir, se trata de una potestad reglada, desde el punto de vista de la necesidad de la actuación</w:t>
      </w:r>
      <w:r>
        <w:rPr>
          <w:rFonts w:ascii="Arial" w:eastAsia="Calibri" w:hAnsi="Arial" w:cs="Arial"/>
          <w:bCs/>
          <w:color w:val="000000" w:themeColor="text1"/>
          <w:lang w:val="es-ES_tradnl"/>
        </w:rPr>
        <w:t>”</w:t>
      </w:r>
      <w:r w:rsidRPr="008D3148">
        <w:rPr>
          <w:rStyle w:val="Refdenotaalpie"/>
          <w:rFonts w:ascii="Arial" w:eastAsia="Calibri" w:hAnsi="Arial" w:cs="Arial"/>
          <w:bCs/>
          <w:color w:val="000000" w:themeColor="text1"/>
          <w:lang w:val="es-ES_tradnl"/>
        </w:rPr>
        <w:footnoteReference w:id="44"/>
      </w:r>
      <w:r w:rsidRPr="008D3148">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w:t>
      </w:r>
      <w:r w:rsidRPr="008D3148">
        <w:rPr>
          <w:rFonts w:ascii="Arial" w:eastAsia="Calibri" w:hAnsi="Arial" w:cs="Arial"/>
          <w:bCs/>
          <w:color w:val="000000" w:themeColor="text1"/>
          <w:lang w:val="es-ES_tradnl"/>
        </w:rPr>
        <w:t>Así las cosas, es posible afirmar que</w:t>
      </w:r>
      <w:r>
        <w:rPr>
          <w:rFonts w:ascii="Arial" w:eastAsia="Calibri" w:hAnsi="Arial" w:cs="Arial"/>
          <w:bCs/>
          <w:color w:val="000000" w:themeColor="text1"/>
          <w:lang w:val="es-ES_tradnl"/>
        </w:rPr>
        <w:t xml:space="preserve"> la Ley 2097 de 2021</w:t>
      </w:r>
      <w:r w:rsidRPr="008D3148">
        <w:rPr>
          <w:rFonts w:ascii="Arial" w:eastAsia="Calibri" w:hAnsi="Arial" w:cs="Arial"/>
          <w:bCs/>
          <w:color w:val="000000" w:themeColor="text1"/>
          <w:lang w:val="es-ES_tradnl"/>
        </w:rPr>
        <w:t xml:space="preserve"> reconoce la necesidad de un reglamento para el efectivo cumplimiento </w:t>
      </w:r>
      <w:r>
        <w:rPr>
          <w:rFonts w:ascii="Arial" w:eastAsia="Calibri" w:hAnsi="Arial" w:cs="Arial"/>
          <w:bCs/>
          <w:color w:val="000000" w:themeColor="text1"/>
          <w:lang w:val="es-ES_tradnl"/>
        </w:rPr>
        <w:t>de las medidas adoptadas respecto a la inclusión en el REDAM.</w:t>
      </w:r>
    </w:p>
    <w:p w14:paraId="0267DFEE" w14:textId="77777777" w:rsidR="00017BE3" w:rsidRDefault="00017BE3" w:rsidP="00017BE3">
      <w:pPr>
        <w:tabs>
          <w:tab w:val="left" w:pos="709"/>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lang w:val="es-ES_tradnl"/>
        </w:rPr>
        <w:tab/>
        <w:t>Para estos efectos, el gobierno nacional expidió el Decreto 1310 del 26 de julio de 2022, “</w:t>
      </w:r>
      <w:r w:rsidRPr="00E8731D">
        <w:rPr>
          <w:rFonts w:ascii="Arial" w:eastAsia="Calibri" w:hAnsi="Arial" w:cs="Arial"/>
          <w:bCs/>
          <w:color w:val="000000" w:themeColor="text1"/>
        </w:rPr>
        <w:t>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w:t>
      </w:r>
      <w:r>
        <w:rPr>
          <w:rFonts w:ascii="Arial" w:eastAsia="Calibri" w:hAnsi="Arial" w:cs="Arial"/>
          <w:bCs/>
          <w:color w:val="000000" w:themeColor="text1"/>
        </w:rPr>
        <w:t>”</w:t>
      </w:r>
      <w:r w:rsidRPr="00E8731D">
        <w:rPr>
          <w:rFonts w:ascii="Arial" w:eastAsia="Calibri" w:hAnsi="Arial" w:cs="Arial"/>
          <w:bCs/>
          <w:color w:val="000000" w:themeColor="text1"/>
        </w:rPr>
        <w:t>.</w:t>
      </w:r>
      <w:r>
        <w:rPr>
          <w:rFonts w:ascii="Arial" w:eastAsia="Calibri" w:hAnsi="Arial" w:cs="Arial"/>
          <w:bCs/>
          <w:color w:val="000000" w:themeColor="text1"/>
        </w:rPr>
        <w:t xml:space="preserve"> El artículo 1 adicionó el artículo </w:t>
      </w:r>
      <w:r w:rsidRPr="00E8731D">
        <w:rPr>
          <w:rFonts w:ascii="Arial" w:eastAsia="Calibri" w:hAnsi="Arial" w:cs="Arial"/>
          <w:bCs/>
          <w:color w:val="000000" w:themeColor="text1"/>
        </w:rPr>
        <w:t>2.2.23.5</w:t>
      </w:r>
      <w:r>
        <w:rPr>
          <w:rFonts w:ascii="Arial" w:eastAsia="Calibri" w:hAnsi="Arial" w:cs="Arial"/>
          <w:bCs/>
          <w:color w:val="000000" w:themeColor="text1"/>
        </w:rPr>
        <w:t xml:space="preserve"> al Decreto 1078 de 2015, indicando en el inciso primero que “[…] </w:t>
      </w:r>
      <w:r w:rsidRPr="00E8731D">
        <w:rPr>
          <w:rFonts w:ascii="Arial" w:eastAsia="Calibri" w:hAnsi="Arial" w:cs="Arial"/>
          <w:bCs/>
          <w:color w:val="000000" w:themeColor="text1"/>
        </w:rPr>
        <w:t>se designa como Operador de la Información del Registro de Deudores Alimentarios Morosos (REDAM) al Ministerio de Tecnologías de la Información y las Comunicaciones, o quien haga sus veces</w:t>
      </w:r>
      <w:r>
        <w:rPr>
          <w:rFonts w:ascii="Arial" w:eastAsia="Calibri" w:hAnsi="Arial" w:cs="Arial"/>
          <w:bCs/>
          <w:color w:val="000000" w:themeColor="text1"/>
        </w:rPr>
        <w:t xml:space="preserve">”. Sin embargo, el reglamento también condicionó la vigencia del registro, pues –conforme al parágrafo del artículo </w:t>
      </w:r>
      <w:r w:rsidRPr="00F619E6">
        <w:rPr>
          <w:rFonts w:ascii="Arial" w:eastAsia="Calibri" w:hAnsi="Arial" w:cs="Arial"/>
          <w:bCs/>
          <w:color w:val="000000" w:themeColor="text1"/>
        </w:rPr>
        <w:t>2.2.23.4</w:t>
      </w:r>
      <w:r>
        <w:rPr>
          <w:rFonts w:ascii="Arial" w:eastAsia="Calibri" w:hAnsi="Arial" w:cs="Arial"/>
          <w:bCs/>
          <w:color w:val="000000" w:themeColor="text1"/>
        </w:rPr>
        <w:t xml:space="preserve"> </w:t>
      </w:r>
      <w:r w:rsidRPr="00F619E6">
        <w:rPr>
          <w:rFonts w:ascii="Arial" w:eastAsia="Calibri" w:hAnsi="Arial" w:cs="Arial"/>
          <w:bCs/>
          <w:i/>
          <w:iCs/>
          <w:color w:val="000000" w:themeColor="text1"/>
        </w:rPr>
        <w:t>ibidem</w:t>
      </w:r>
      <w:r>
        <w:rPr>
          <w:rFonts w:ascii="Arial" w:eastAsia="Calibri" w:hAnsi="Arial" w:cs="Arial"/>
          <w:bCs/>
          <w:color w:val="000000" w:themeColor="text1"/>
        </w:rPr>
        <w:t>– “</w:t>
      </w:r>
      <w:r w:rsidRPr="00F619E6">
        <w:rPr>
          <w:rFonts w:ascii="Arial" w:eastAsia="Calibri" w:hAnsi="Arial" w:cs="Arial"/>
          <w:bCs/>
          <w:color w:val="000000" w:themeColor="text1"/>
        </w:rPr>
        <w:t>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w:t>
      </w:r>
      <w:r>
        <w:rPr>
          <w:rFonts w:ascii="Arial" w:eastAsia="Calibri" w:hAnsi="Arial" w:cs="Arial"/>
          <w:bCs/>
          <w:color w:val="000000" w:themeColor="text1"/>
        </w:rPr>
        <w:t xml:space="preserve">”. Esto también congruente con el artículo </w:t>
      </w:r>
      <w:r w:rsidRPr="00F619E6">
        <w:rPr>
          <w:rFonts w:ascii="Arial" w:eastAsia="Calibri" w:hAnsi="Arial" w:cs="Arial"/>
          <w:bCs/>
          <w:color w:val="000000" w:themeColor="text1"/>
        </w:rPr>
        <w:t>2.2.23.8</w:t>
      </w:r>
      <w:r>
        <w:rPr>
          <w:rFonts w:ascii="Arial" w:eastAsia="Calibri" w:hAnsi="Arial" w:cs="Arial"/>
          <w:bCs/>
          <w:color w:val="000000" w:themeColor="text1"/>
        </w:rPr>
        <w:t xml:space="preserve"> </w:t>
      </w:r>
      <w:r w:rsidRPr="00F619E6">
        <w:rPr>
          <w:rFonts w:ascii="Arial" w:eastAsia="Calibri" w:hAnsi="Arial" w:cs="Arial"/>
          <w:bCs/>
          <w:i/>
          <w:iCs/>
          <w:color w:val="000000" w:themeColor="text1"/>
        </w:rPr>
        <w:t>ibidem</w:t>
      </w:r>
      <w:r>
        <w:rPr>
          <w:rFonts w:ascii="Arial" w:eastAsia="Calibri" w:hAnsi="Arial" w:cs="Arial"/>
          <w:bCs/>
          <w:color w:val="000000" w:themeColor="text1"/>
        </w:rPr>
        <w:t>, en la medida que “</w:t>
      </w:r>
      <w:r w:rsidRPr="00F619E6">
        <w:rPr>
          <w:rFonts w:ascii="Arial" w:eastAsia="Calibri" w:hAnsi="Arial" w:cs="Arial"/>
          <w:bCs/>
          <w:color w:val="000000" w:themeColor="text1"/>
        </w:rPr>
        <w:t>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w:t>
      </w:r>
      <w:r>
        <w:rPr>
          <w:rFonts w:ascii="Arial" w:eastAsia="Calibri" w:hAnsi="Arial" w:cs="Arial"/>
          <w:bCs/>
          <w:color w:val="000000" w:themeColor="text1"/>
        </w:rPr>
        <w:t>”</w:t>
      </w:r>
      <w:r w:rsidRPr="00F619E6">
        <w:rPr>
          <w:rFonts w:ascii="Arial" w:eastAsia="Calibri" w:hAnsi="Arial" w:cs="Arial"/>
          <w:bCs/>
          <w:color w:val="000000" w:themeColor="text1"/>
        </w:rPr>
        <w:t>.</w:t>
      </w:r>
      <w:r>
        <w:rPr>
          <w:rFonts w:ascii="Arial" w:eastAsia="Calibri" w:hAnsi="Arial" w:cs="Arial"/>
          <w:bCs/>
          <w:color w:val="000000" w:themeColor="text1"/>
        </w:rPr>
        <w:t xml:space="preserve"> </w:t>
      </w:r>
    </w:p>
    <w:p w14:paraId="66066821" w14:textId="5811E4F3" w:rsidR="00017BE3" w:rsidRDefault="00017BE3" w:rsidP="00017BE3">
      <w:pPr>
        <w:tabs>
          <w:tab w:val="left" w:pos="709"/>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Sobre este último punto, la página web </w:t>
      </w:r>
      <w:hyperlink r:id="rId13" w:history="1">
        <w:r w:rsidRPr="00771AAD">
          <w:rPr>
            <w:rStyle w:val="Hipervnculo"/>
            <w:rFonts w:ascii="Arial" w:eastAsia="Calibri" w:hAnsi="Arial" w:cs="Arial"/>
            <w:bCs/>
          </w:rPr>
          <w:t>https://redam.gov.co/information-page</w:t>
        </w:r>
      </w:hyperlink>
      <w:r>
        <w:rPr>
          <w:rFonts w:ascii="Arial" w:eastAsia="Calibri" w:hAnsi="Arial" w:cs="Arial"/>
          <w:bCs/>
          <w:color w:val="000000" w:themeColor="text1"/>
        </w:rPr>
        <w:t xml:space="preserve"> brinda información sobre la forma de consultar y descargar el registro correspondiente. Cualquier inquietud adicional sobre el funcionamiento operativo del REDAM podrá plantarse ante e</w:t>
      </w:r>
      <w:r w:rsidRPr="00B61923">
        <w:rPr>
          <w:rFonts w:ascii="Arial" w:eastAsia="Calibri" w:hAnsi="Arial" w:cs="Arial"/>
          <w:bCs/>
          <w:color w:val="000000" w:themeColor="text1"/>
        </w:rPr>
        <w:t>l Ministerio de Tecnologías de la Información y las Comunicaciones,</w:t>
      </w:r>
      <w:r>
        <w:rPr>
          <w:rFonts w:ascii="Arial" w:eastAsia="Calibri" w:hAnsi="Arial" w:cs="Arial"/>
          <w:bCs/>
          <w:color w:val="000000" w:themeColor="text1"/>
        </w:rPr>
        <w:t xml:space="preserve"> pues –conforme al numeral 7 del artículo </w:t>
      </w:r>
      <w:r w:rsidRPr="00B61923">
        <w:rPr>
          <w:rFonts w:ascii="Arial" w:eastAsia="Calibri" w:hAnsi="Arial" w:cs="Arial"/>
          <w:bCs/>
          <w:color w:val="000000" w:themeColor="text1"/>
        </w:rPr>
        <w:t>2.2.23.14</w:t>
      </w:r>
      <w:r>
        <w:rPr>
          <w:rFonts w:ascii="Arial" w:eastAsia="Calibri" w:hAnsi="Arial" w:cs="Arial"/>
          <w:bCs/>
          <w:color w:val="000000" w:themeColor="text1"/>
        </w:rPr>
        <w:t xml:space="preserve"> del Decreto 1078 de 2015, adicionado por el artículo 1 del Decreto </w:t>
      </w:r>
      <w:r>
        <w:rPr>
          <w:rFonts w:ascii="Arial" w:eastAsia="Calibri" w:hAnsi="Arial" w:cs="Arial"/>
          <w:bCs/>
          <w:color w:val="000000" w:themeColor="text1"/>
          <w:lang w:val="es-ES_tradnl"/>
        </w:rPr>
        <w:t>1310 de 2022</w:t>
      </w:r>
      <w:r>
        <w:rPr>
          <w:rFonts w:ascii="Arial" w:eastAsia="Calibri" w:hAnsi="Arial" w:cs="Arial"/>
          <w:bCs/>
          <w:color w:val="000000" w:themeColor="text1"/>
        </w:rPr>
        <w:t>– debe “</w:t>
      </w:r>
      <w:r w:rsidRPr="00B61923">
        <w:rPr>
          <w:rFonts w:ascii="Arial" w:eastAsia="Calibri" w:hAnsi="Arial" w:cs="Arial"/>
          <w:bCs/>
          <w:color w:val="000000" w:themeColor="text1"/>
        </w:rPr>
        <w:t>Tramitar oportunamente las peticiones, consultas, quejas o reclamos que formulen los actores e intervinientes en el proceso de reporte de información en el Registro de Deudores Alimentarios Morosos (REDAM) y que sean de su competencia</w:t>
      </w:r>
      <w:r>
        <w:rPr>
          <w:rFonts w:ascii="Arial" w:eastAsia="Calibri" w:hAnsi="Arial" w:cs="Arial"/>
          <w:bCs/>
          <w:color w:val="000000" w:themeColor="text1"/>
        </w:rPr>
        <w:t>”</w:t>
      </w:r>
      <w:r w:rsidRPr="00B61923">
        <w:rPr>
          <w:rFonts w:ascii="Arial" w:eastAsia="Calibri" w:hAnsi="Arial" w:cs="Arial"/>
          <w:bCs/>
          <w:color w:val="000000" w:themeColor="text1"/>
        </w:rPr>
        <w:t>.</w:t>
      </w:r>
    </w:p>
    <w:p w14:paraId="1ED59C73" w14:textId="77777777" w:rsidR="00017BE3" w:rsidRPr="001D155F" w:rsidRDefault="00017BE3" w:rsidP="00017BE3">
      <w:pPr>
        <w:tabs>
          <w:tab w:val="left" w:pos="709"/>
        </w:tabs>
        <w:spacing w:after="0" w:line="276" w:lineRule="auto"/>
        <w:jc w:val="both"/>
        <w:rPr>
          <w:rFonts w:ascii="Arial" w:eastAsia="Calibri" w:hAnsi="Arial" w:cs="Arial"/>
          <w:bCs/>
          <w:color w:val="000000" w:themeColor="text1"/>
        </w:rPr>
      </w:pPr>
    </w:p>
    <w:p w14:paraId="03DFA5D2" w14:textId="77777777" w:rsidR="00017BE3" w:rsidRPr="00504597" w:rsidRDefault="00017BE3" w:rsidP="00017BE3">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r>
        <w:rPr>
          <w:rFonts w:ascii="Arial" w:eastAsia="Calibri" w:hAnsi="Arial" w:cs="Arial"/>
          <w:b/>
          <w:color w:val="000000" w:themeColor="text1"/>
          <w:lang w:val="es-ES_tradnl"/>
        </w:rPr>
        <w:t>s</w:t>
      </w:r>
    </w:p>
    <w:p w14:paraId="35E92C0D" w14:textId="77777777" w:rsidR="00017BE3" w:rsidRDefault="00017BE3" w:rsidP="00017BE3">
      <w:pPr>
        <w:spacing w:after="0" w:line="276" w:lineRule="auto"/>
        <w:jc w:val="both"/>
        <w:rPr>
          <w:rFonts w:ascii="Arial" w:hAnsi="Arial" w:cs="Arial"/>
          <w:color w:val="000000" w:themeColor="text1"/>
        </w:rPr>
      </w:pPr>
    </w:p>
    <w:p w14:paraId="4D4BC27E" w14:textId="77777777" w:rsidR="00017BE3" w:rsidRDefault="00017BE3" w:rsidP="00017BE3">
      <w:pPr>
        <w:spacing w:after="0" w:line="276" w:lineRule="auto"/>
        <w:jc w:val="both"/>
        <w:rPr>
          <w:rFonts w:ascii="Arial" w:hAnsi="Arial" w:cs="Arial"/>
          <w:color w:val="000000" w:themeColor="text1"/>
          <w:lang w:val="es-ES_tradnl"/>
        </w:rPr>
      </w:pPr>
      <w:r w:rsidRPr="00E32023">
        <w:rPr>
          <w:rFonts w:ascii="Arial" w:hAnsi="Arial" w:cs="Arial"/>
          <w:color w:val="000000" w:themeColor="text1"/>
        </w:rPr>
        <w:t>Respecto al Registro de Deudores Alimentarios Morosos regulado en la Ley 2097 de 2021 y el Decreto 1310 de 2022</w:t>
      </w:r>
      <w:r w:rsidRPr="00F7112A">
        <w:rPr>
          <w:rFonts w:ascii="Arial" w:hAnsi="Arial" w:cs="Arial"/>
          <w:color w:val="000000" w:themeColor="text1"/>
        </w:rPr>
        <w:t xml:space="preserve">, </w:t>
      </w:r>
      <w:r>
        <w:rPr>
          <w:rFonts w:ascii="Arial" w:hAnsi="Arial" w:cs="Arial"/>
          <w:color w:val="000000" w:themeColor="text1"/>
          <w:lang w:val="es-ES_tradnl"/>
        </w:rPr>
        <w:t>pregunta lo siguiente</w:t>
      </w:r>
      <w:r w:rsidRPr="00504597">
        <w:rPr>
          <w:rFonts w:ascii="Arial" w:hAnsi="Arial" w:cs="Arial"/>
          <w:color w:val="000000" w:themeColor="text1"/>
          <w:lang w:val="es-ES_tradnl"/>
        </w:rPr>
        <w:t>:</w:t>
      </w:r>
    </w:p>
    <w:p w14:paraId="6E713875" w14:textId="77777777" w:rsidR="00017BE3" w:rsidRPr="00466C39" w:rsidRDefault="00017BE3" w:rsidP="00017BE3">
      <w:pPr>
        <w:spacing w:after="0" w:line="276" w:lineRule="auto"/>
        <w:jc w:val="both"/>
        <w:rPr>
          <w:rFonts w:ascii="Arial" w:hAnsi="Arial" w:cs="Arial"/>
          <w:color w:val="000000" w:themeColor="text1"/>
          <w:lang w:val="es-ES_tradnl"/>
        </w:rPr>
      </w:pPr>
    </w:p>
    <w:p w14:paraId="088FD4CC" w14:textId="77777777" w:rsidR="00017BE3" w:rsidRDefault="00017BE3" w:rsidP="00017BE3">
      <w:pPr>
        <w:spacing w:after="120" w:line="240" w:lineRule="auto"/>
        <w:ind w:left="709" w:right="709"/>
        <w:jc w:val="both"/>
        <w:rPr>
          <w:rFonts w:ascii="Arial" w:hAnsi="Arial" w:cs="Arial"/>
          <w:color w:val="000000" w:themeColor="text1"/>
          <w:sz w:val="21"/>
          <w:szCs w:val="21"/>
          <w:lang w:val="es-ES_tradnl"/>
        </w:rPr>
      </w:pPr>
      <w:r w:rsidRPr="00E32023">
        <w:rPr>
          <w:rFonts w:ascii="Arial" w:hAnsi="Arial" w:cs="Arial"/>
          <w:color w:val="000000" w:themeColor="text1"/>
          <w:sz w:val="21"/>
          <w:szCs w:val="21"/>
          <w:lang w:val="es-ES_tradnl"/>
        </w:rPr>
        <w:t>i) “¿Desde cuándo es obligatorio?”</w:t>
      </w:r>
      <w:r>
        <w:rPr>
          <w:rFonts w:ascii="Arial" w:hAnsi="Arial" w:cs="Arial"/>
          <w:color w:val="000000" w:themeColor="text1"/>
          <w:sz w:val="21"/>
          <w:szCs w:val="21"/>
          <w:lang w:val="es-ES_tradnl"/>
        </w:rPr>
        <w:t>.</w:t>
      </w:r>
    </w:p>
    <w:p w14:paraId="10E345FE" w14:textId="77777777" w:rsidR="00017BE3" w:rsidRDefault="00017BE3" w:rsidP="00017BE3">
      <w:pPr>
        <w:spacing w:after="120" w:line="240" w:lineRule="auto"/>
        <w:ind w:left="709" w:right="709"/>
        <w:jc w:val="both"/>
        <w:rPr>
          <w:rFonts w:ascii="Arial" w:hAnsi="Arial" w:cs="Arial"/>
          <w:color w:val="000000" w:themeColor="text1"/>
          <w:sz w:val="21"/>
          <w:szCs w:val="21"/>
          <w:lang w:val="es-ES_tradnl"/>
        </w:rPr>
      </w:pPr>
      <w:r w:rsidRPr="00E32023">
        <w:rPr>
          <w:rFonts w:ascii="Arial" w:hAnsi="Arial" w:cs="Arial"/>
          <w:color w:val="000000" w:themeColor="text1"/>
          <w:sz w:val="21"/>
          <w:szCs w:val="21"/>
          <w:lang w:val="es-ES_tradnl"/>
        </w:rPr>
        <w:t>ii) “¿Cómo operará?”</w:t>
      </w:r>
      <w:r>
        <w:rPr>
          <w:rFonts w:ascii="Arial" w:hAnsi="Arial" w:cs="Arial"/>
          <w:color w:val="000000" w:themeColor="text1"/>
          <w:sz w:val="21"/>
          <w:szCs w:val="21"/>
          <w:lang w:val="es-ES_tradnl"/>
        </w:rPr>
        <w:t>.</w:t>
      </w:r>
    </w:p>
    <w:p w14:paraId="7A00D75E" w14:textId="77777777" w:rsidR="00017BE3" w:rsidRPr="00466C39" w:rsidRDefault="00017BE3" w:rsidP="00017BE3">
      <w:pPr>
        <w:spacing w:after="0" w:line="240" w:lineRule="auto"/>
        <w:ind w:left="709" w:right="709"/>
        <w:jc w:val="both"/>
        <w:rPr>
          <w:rFonts w:ascii="Arial" w:hAnsi="Arial" w:cs="Arial"/>
          <w:color w:val="000000" w:themeColor="text1"/>
          <w:sz w:val="21"/>
          <w:szCs w:val="21"/>
        </w:rPr>
      </w:pPr>
      <w:r w:rsidRPr="00E32023">
        <w:rPr>
          <w:rFonts w:ascii="Arial" w:hAnsi="Arial" w:cs="Arial"/>
          <w:color w:val="000000" w:themeColor="text1"/>
          <w:sz w:val="21"/>
          <w:szCs w:val="21"/>
          <w:lang w:val="es-ES_tradnl"/>
        </w:rPr>
        <w:t>iii) “¿Se aplicará también a los representantes legales de las entidad o empresas a contratar con el estado?”</w:t>
      </w:r>
      <w:r>
        <w:rPr>
          <w:rFonts w:ascii="Arial" w:hAnsi="Arial" w:cs="Arial"/>
          <w:color w:val="000000" w:themeColor="text1"/>
          <w:sz w:val="21"/>
          <w:szCs w:val="21"/>
        </w:rPr>
        <w:t>.</w:t>
      </w:r>
    </w:p>
    <w:p w14:paraId="0D5336E6" w14:textId="77777777" w:rsidR="00017BE3" w:rsidRPr="006651EC" w:rsidRDefault="00017BE3" w:rsidP="00017BE3">
      <w:pPr>
        <w:spacing w:after="0" w:line="276" w:lineRule="auto"/>
        <w:jc w:val="both"/>
        <w:rPr>
          <w:rFonts w:ascii="Arial" w:hAnsi="Arial" w:cs="Arial"/>
          <w:color w:val="000000" w:themeColor="text1"/>
          <w:sz w:val="21"/>
          <w:szCs w:val="21"/>
        </w:rPr>
      </w:pPr>
      <w:r w:rsidRPr="00AF299C">
        <w:rPr>
          <w:rFonts w:ascii="Arial" w:hAnsi="Arial" w:cs="Arial"/>
          <w:color w:val="000000" w:themeColor="text1"/>
          <w:sz w:val="21"/>
          <w:szCs w:val="21"/>
        </w:rPr>
        <w:t xml:space="preserve"> </w:t>
      </w:r>
    </w:p>
    <w:p w14:paraId="4C6DD1DF" w14:textId="1E7556A5"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color w:val="000000" w:themeColor="text1"/>
          <w:lang w:val="es-ES"/>
        </w:rPr>
        <w:t xml:space="preserve">De acuerdo con la interpretación general de las normas del sistema de compras públicas, </w:t>
      </w:r>
      <w:r>
        <w:rPr>
          <w:rFonts w:ascii="Arial" w:eastAsia="Calibri" w:hAnsi="Arial" w:cs="Arial"/>
          <w:bCs/>
          <w:color w:val="000000" w:themeColor="text1"/>
        </w:rPr>
        <w:t xml:space="preserve">una de las consecuencias más importantes de la inclusión en el REDAM es la aparición de una inhabilidad para celebrar contratos con el Estado. Al respecto, conforme al artículo 6.1 </w:t>
      </w:r>
      <w:r w:rsidR="004D3E6E">
        <w:rPr>
          <w:rFonts w:ascii="Arial" w:eastAsia="Calibri" w:hAnsi="Arial" w:cs="Arial"/>
          <w:bCs/>
          <w:color w:val="000000" w:themeColor="text1"/>
        </w:rPr>
        <w:t>de la Ley 2097 de 2021,</w:t>
      </w:r>
      <w:r>
        <w:rPr>
          <w:rFonts w:ascii="Arial" w:eastAsia="Calibri" w:hAnsi="Arial" w:cs="Arial"/>
          <w:bCs/>
          <w:color w:val="000000" w:themeColor="text1"/>
        </w:rPr>
        <w:t xml:space="preserve"> “</w:t>
      </w:r>
      <w:r w:rsidRPr="00B975F2">
        <w:rPr>
          <w:rFonts w:ascii="Arial" w:eastAsia="Calibri" w:hAnsi="Arial" w:cs="Arial"/>
          <w:bCs/>
          <w:color w:val="000000" w:themeColor="text1"/>
        </w:rPr>
        <w:t>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r>
        <w:rPr>
          <w:rFonts w:ascii="Arial" w:eastAsia="Calibri" w:hAnsi="Arial" w:cs="Arial"/>
          <w:bCs/>
          <w:color w:val="000000" w:themeColor="text1"/>
        </w:rPr>
        <w:t>”</w:t>
      </w:r>
      <w:r w:rsidRPr="00B975F2">
        <w:rPr>
          <w:rFonts w:ascii="Arial" w:eastAsia="Calibri" w:hAnsi="Arial" w:cs="Arial"/>
          <w:bCs/>
          <w:color w:val="000000" w:themeColor="text1"/>
        </w:rPr>
        <w:t>.</w:t>
      </w:r>
      <w:r>
        <w:rPr>
          <w:rFonts w:ascii="Arial" w:eastAsia="Calibri" w:hAnsi="Arial" w:cs="Arial"/>
          <w:bCs/>
          <w:color w:val="000000" w:themeColor="text1"/>
        </w:rPr>
        <w:t xml:space="preserve"> Dicha restricción se suma al catálogo del artículo 8 y siguientes de la Ley 80 de 1993, especialmente, cuando –conforme al literal a) del numeral 1– “</w:t>
      </w:r>
      <w:r w:rsidRPr="00F25148">
        <w:rPr>
          <w:rFonts w:ascii="Arial" w:eastAsia="Calibri" w:hAnsi="Arial" w:cs="Arial"/>
          <w:bCs/>
          <w:color w:val="000000" w:themeColor="text1"/>
        </w:rPr>
        <w:t>Son inhábiles para participar en licitaciones y para celebrar contratos con las entidades estatales</w:t>
      </w:r>
      <w:r>
        <w:rPr>
          <w:rFonts w:ascii="Arial" w:eastAsia="Calibri" w:hAnsi="Arial" w:cs="Arial"/>
          <w:bCs/>
          <w:color w:val="000000" w:themeColor="text1"/>
        </w:rPr>
        <w:t xml:space="preserve"> […] </w:t>
      </w:r>
      <w:r w:rsidRPr="00F25148">
        <w:rPr>
          <w:rFonts w:ascii="Arial" w:eastAsia="Calibri" w:hAnsi="Arial" w:cs="Arial"/>
          <w:bCs/>
          <w:color w:val="000000" w:themeColor="text1"/>
        </w:rPr>
        <w:t>Las personas que se hallen inhabilitadas para contratar por la Constitución y las leyes</w:t>
      </w:r>
      <w:r>
        <w:rPr>
          <w:rFonts w:ascii="Arial" w:eastAsia="Calibri" w:hAnsi="Arial" w:cs="Arial"/>
          <w:bCs/>
          <w:color w:val="000000" w:themeColor="text1"/>
        </w:rPr>
        <w:t xml:space="preserve">”, el cual se extiende también a las entidades de régimen exceptuado en virtud del inciso primero del artículo 13 de la Ley 1150 de 2007 y al régimen de las ESAL de acuerdo al artículo 6 del Decreto 092 de 2017. </w:t>
      </w:r>
    </w:p>
    <w:p w14:paraId="2C193A52" w14:textId="77777777"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acuerdo con el análisis de la Sentencia C-032 de 2021, para la Corte Constitucional dicha norma es exequible, pues “[…] </w:t>
      </w:r>
      <w:r w:rsidRPr="00EE7ABF">
        <w:rPr>
          <w:rFonts w:ascii="Arial" w:eastAsia="Calibri" w:hAnsi="Arial" w:cs="Arial"/>
          <w:bCs/>
          <w:color w:val="000000" w:themeColor="text1"/>
        </w:rPr>
        <w:t xml:space="preserve">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contratistas del Estado</w:t>
      </w:r>
      <w:r>
        <w:rPr>
          <w:rFonts w:ascii="Arial" w:eastAsia="Calibri" w:hAnsi="Arial" w:cs="Arial"/>
          <w:bCs/>
          <w:color w:val="000000" w:themeColor="text1"/>
        </w:rPr>
        <w:t xml:space="preserve">”. Lo anterior, agregando </w:t>
      </w:r>
      <w:r w:rsidRPr="00A24AC0">
        <w:rPr>
          <w:rFonts w:ascii="Arial" w:eastAsia="Calibri" w:hAnsi="Arial" w:cs="Arial"/>
          <w:bCs/>
          <w:color w:val="000000" w:themeColor="text1"/>
        </w:rPr>
        <w:t>la medida cumple con una finalidad importante</w:t>
      </w:r>
      <w:r>
        <w:rPr>
          <w:rFonts w:ascii="Arial" w:eastAsia="Calibri" w:hAnsi="Arial" w:cs="Arial"/>
          <w:bCs/>
          <w:color w:val="000000" w:themeColor="text1"/>
        </w:rPr>
        <w:t xml:space="preserve"> e</w:t>
      </w:r>
      <w:r w:rsidRPr="00A24AC0">
        <w:rPr>
          <w:rFonts w:ascii="Arial" w:eastAsia="Calibri" w:hAnsi="Arial" w:cs="Arial"/>
          <w:bCs/>
          <w:color w:val="000000" w:themeColor="text1"/>
        </w:rPr>
        <w:t xml:space="preserve"> imperiosa, </w:t>
      </w:r>
      <w:r>
        <w:rPr>
          <w:rFonts w:ascii="Arial" w:eastAsia="Calibri" w:hAnsi="Arial" w:cs="Arial"/>
          <w:bCs/>
          <w:color w:val="000000" w:themeColor="text1"/>
        </w:rPr>
        <w:t xml:space="preserve">la cual </w:t>
      </w:r>
      <w:r w:rsidRPr="00A24AC0">
        <w:rPr>
          <w:rFonts w:ascii="Arial" w:eastAsia="Calibri" w:hAnsi="Arial" w:cs="Arial"/>
          <w:bCs/>
          <w:color w:val="000000" w:themeColor="text1"/>
        </w:rPr>
        <w:t>consistente en proteger los derechos fundamentales de personas que se ven afectados en su mínimo vital por el hecho del incumplimiento de las obligaciones alimentarias, quienes usualmente son sujetos de especial protección constitucional. La</w:t>
      </w:r>
      <w:r>
        <w:rPr>
          <w:rFonts w:ascii="Arial" w:eastAsia="Calibri" w:hAnsi="Arial" w:cs="Arial"/>
          <w:bCs/>
          <w:color w:val="000000" w:themeColor="text1"/>
        </w:rPr>
        <w:t xml:space="preserve"> Corte Constitucional considera que la</w:t>
      </w:r>
      <w:r w:rsidRPr="00A24AC0">
        <w:rPr>
          <w:rFonts w:ascii="Arial" w:eastAsia="Calibri" w:hAnsi="Arial" w:cs="Arial"/>
          <w:bCs/>
          <w:color w:val="000000" w:themeColor="text1"/>
        </w:rPr>
        <w:t xml:space="preserve"> medida es necesaria</w:t>
      </w:r>
      <w:r>
        <w:rPr>
          <w:rFonts w:ascii="Arial" w:eastAsia="Calibri" w:hAnsi="Arial" w:cs="Arial"/>
          <w:bCs/>
          <w:color w:val="000000" w:themeColor="text1"/>
        </w:rPr>
        <w:t>,</w:t>
      </w:r>
      <w:r w:rsidRPr="00A24AC0">
        <w:rPr>
          <w:rFonts w:ascii="Arial" w:eastAsia="Calibri" w:hAnsi="Arial" w:cs="Arial"/>
          <w:bCs/>
          <w:color w:val="000000" w:themeColor="text1"/>
        </w:rPr>
        <w:t xml:space="preserve"> porque opera un incentivo para el pago cumplido de esas obligaciones, </w:t>
      </w:r>
      <w:r>
        <w:rPr>
          <w:rFonts w:ascii="Arial" w:eastAsia="Calibri" w:hAnsi="Arial" w:cs="Arial"/>
          <w:bCs/>
          <w:color w:val="000000" w:themeColor="text1"/>
        </w:rPr>
        <w:t>supeditando</w:t>
      </w:r>
      <w:r w:rsidRPr="00A24AC0">
        <w:rPr>
          <w:rFonts w:ascii="Arial" w:eastAsia="Calibri" w:hAnsi="Arial" w:cs="Arial"/>
          <w:bCs/>
          <w:color w:val="000000" w:themeColor="text1"/>
        </w:rPr>
        <w:t xml:space="preserve"> la suscripción del contrato respectivo al pago de esa obligación</w:t>
      </w:r>
      <w:r>
        <w:rPr>
          <w:rFonts w:ascii="Arial" w:eastAsia="Calibri" w:hAnsi="Arial" w:cs="Arial"/>
          <w:bCs/>
          <w:color w:val="000000" w:themeColor="text1"/>
        </w:rPr>
        <w:t xml:space="preserve">. </w:t>
      </w:r>
    </w:p>
    <w:p w14:paraId="5EDF1B40" w14:textId="3E2E3F1D"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Adicionalmente, la Corte Constitucional también estima que </w:t>
      </w:r>
      <w:r w:rsidRPr="00776A08">
        <w:rPr>
          <w:rFonts w:ascii="Arial" w:eastAsia="Calibri" w:hAnsi="Arial" w:cs="Arial"/>
          <w:bCs/>
          <w:color w:val="000000" w:themeColor="text1"/>
        </w:rPr>
        <w:t>ante la contingencia de que el representante</w:t>
      </w:r>
      <w:r w:rsidR="0061594E">
        <w:rPr>
          <w:rFonts w:ascii="Arial" w:eastAsia="Calibri" w:hAnsi="Arial" w:cs="Arial"/>
          <w:bCs/>
          <w:color w:val="000000" w:themeColor="text1"/>
        </w:rPr>
        <w:t xml:space="preserve"> legal</w:t>
      </w:r>
      <w:r w:rsidRPr="00776A08">
        <w:rPr>
          <w:rFonts w:ascii="Arial" w:eastAsia="Calibri" w:hAnsi="Arial" w:cs="Arial"/>
          <w:bCs/>
          <w:color w:val="000000" w:themeColor="text1"/>
        </w:rPr>
        <w:t xml:space="preserve"> sea registrado en el REDAM la persona jurídica pued</w:t>
      </w:r>
      <w:r>
        <w:rPr>
          <w:rFonts w:ascii="Arial" w:eastAsia="Calibri" w:hAnsi="Arial" w:cs="Arial"/>
          <w:bCs/>
          <w:color w:val="000000" w:themeColor="text1"/>
        </w:rPr>
        <w:t>e</w:t>
      </w:r>
      <w:r w:rsidRPr="00776A08">
        <w:rPr>
          <w:rFonts w:ascii="Arial" w:eastAsia="Calibri" w:hAnsi="Arial" w:cs="Arial"/>
          <w:bCs/>
          <w:color w:val="000000" w:themeColor="text1"/>
        </w:rPr>
        <w:t xml:space="preserve"> proceder </w:t>
      </w:r>
      <w:r>
        <w:rPr>
          <w:rFonts w:ascii="Arial" w:eastAsia="Calibri" w:hAnsi="Arial" w:cs="Arial"/>
          <w:bCs/>
          <w:color w:val="000000" w:themeColor="text1"/>
        </w:rPr>
        <w:t>con</w:t>
      </w:r>
      <w:r w:rsidRPr="00776A08">
        <w:rPr>
          <w:rFonts w:ascii="Arial" w:eastAsia="Calibri" w:hAnsi="Arial" w:cs="Arial"/>
          <w:bCs/>
          <w:color w:val="000000" w:themeColor="text1"/>
        </w:rPr>
        <w:t xml:space="preserve"> su pronta remoción </w:t>
      </w:r>
      <w:r>
        <w:rPr>
          <w:rFonts w:ascii="Arial" w:eastAsia="Calibri" w:hAnsi="Arial" w:cs="Arial"/>
          <w:bCs/>
          <w:color w:val="000000" w:themeColor="text1"/>
        </w:rPr>
        <w:t>–</w:t>
      </w:r>
      <w:r w:rsidRPr="00776A08">
        <w:rPr>
          <w:rFonts w:ascii="Arial" w:eastAsia="Calibri" w:hAnsi="Arial" w:cs="Arial"/>
          <w:bCs/>
          <w:color w:val="000000" w:themeColor="text1"/>
        </w:rPr>
        <w:t>y con ello permitir el normal desarrollo del objeto social frente a los contratos con el Estado</w:t>
      </w:r>
      <w:r>
        <w:rPr>
          <w:rFonts w:ascii="Arial" w:eastAsia="Calibri" w:hAnsi="Arial" w:cs="Arial"/>
          <w:bCs/>
          <w:color w:val="000000" w:themeColor="text1"/>
        </w:rPr>
        <w:t>– o</w:t>
      </w:r>
      <w:r w:rsidRPr="00776A08">
        <w:rPr>
          <w:rFonts w:ascii="Arial" w:eastAsia="Calibri" w:hAnsi="Arial" w:cs="Arial"/>
          <w:bCs/>
          <w:color w:val="000000" w:themeColor="text1"/>
        </w:rPr>
        <w:t xml:space="preserve"> exigir a aquel que se ponga de inmediato al día en el pago de sus obligaciones, a fin de que sea excluido de dicho registro</w:t>
      </w:r>
      <w:r>
        <w:rPr>
          <w:rFonts w:ascii="Arial" w:eastAsia="Calibri" w:hAnsi="Arial" w:cs="Arial"/>
          <w:bCs/>
          <w:color w:val="000000" w:themeColor="text1"/>
        </w:rPr>
        <w:t xml:space="preserve">. Por ello, agrega que “[…] </w:t>
      </w:r>
      <w:r w:rsidRPr="00776A08">
        <w:rPr>
          <w:rFonts w:ascii="Arial" w:eastAsia="Calibri" w:hAnsi="Arial" w:cs="Arial"/>
          <w:bCs/>
          <w:color w:val="000000" w:themeColor="text1"/>
        </w:rPr>
        <w:t>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w:t>
      </w:r>
      <w:r>
        <w:rPr>
          <w:rFonts w:ascii="Arial" w:eastAsia="Calibri" w:hAnsi="Arial" w:cs="Arial"/>
          <w:bCs/>
          <w:color w:val="000000" w:themeColor="text1"/>
        </w:rPr>
        <w:t>”</w:t>
      </w:r>
      <w:r w:rsidRPr="00776A08">
        <w:rPr>
          <w:rFonts w:ascii="Arial" w:eastAsia="Calibri" w:hAnsi="Arial" w:cs="Arial"/>
          <w:bCs/>
          <w:color w:val="000000" w:themeColor="text1"/>
        </w:rPr>
        <w:t>.</w:t>
      </w:r>
      <w:r>
        <w:rPr>
          <w:rFonts w:ascii="Arial" w:eastAsia="Calibri" w:hAnsi="Arial" w:cs="Arial"/>
          <w:bCs/>
          <w:color w:val="000000" w:themeColor="text1"/>
        </w:rPr>
        <w:t xml:space="preserve">  </w:t>
      </w:r>
    </w:p>
    <w:p w14:paraId="302560AF" w14:textId="77777777" w:rsidR="00017BE3" w:rsidRDefault="00017BE3" w:rsidP="00017BE3">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acuerdo con la </w:t>
      </w:r>
      <w:r w:rsidRPr="00E32023">
        <w:rPr>
          <w:rFonts w:ascii="Arial" w:eastAsia="Calibri" w:hAnsi="Arial" w:cs="Arial"/>
          <w:bCs/>
          <w:i/>
          <w:iCs/>
          <w:color w:val="000000" w:themeColor="text1"/>
        </w:rPr>
        <w:t>tesis de la reglamentación</w:t>
      </w:r>
      <w:r>
        <w:rPr>
          <w:rFonts w:ascii="Arial" w:eastAsia="Calibri" w:hAnsi="Arial" w:cs="Arial"/>
          <w:bCs/>
          <w:color w:val="000000" w:themeColor="text1"/>
        </w:rPr>
        <w:t xml:space="preserve">, pese a que son funciones del REDAM llevar </w:t>
      </w:r>
      <w:r w:rsidRPr="00313048">
        <w:rPr>
          <w:rFonts w:ascii="Arial" w:eastAsia="Calibri" w:hAnsi="Arial" w:cs="Arial"/>
          <w:bCs/>
          <w:color w:val="000000" w:themeColor="text1"/>
        </w:rPr>
        <w:t>un registro de los deudores alimentarios morosos</w:t>
      </w:r>
      <w:r>
        <w:rPr>
          <w:rFonts w:ascii="Arial" w:eastAsia="Calibri" w:hAnsi="Arial" w:cs="Arial"/>
          <w:bCs/>
          <w:color w:val="000000" w:themeColor="text1"/>
        </w:rPr>
        <w:t xml:space="preserve"> y e</w:t>
      </w:r>
      <w:r w:rsidRPr="00313048">
        <w:rPr>
          <w:rFonts w:ascii="Arial" w:eastAsia="Calibri" w:hAnsi="Arial" w:cs="Arial"/>
          <w:bCs/>
          <w:color w:val="000000" w:themeColor="text1"/>
        </w:rPr>
        <w:t>xpedir gratuitamente los certificados a través de página web</w:t>
      </w:r>
      <w:r>
        <w:rPr>
          <w:rFonts w:ascii="Arial" w:eastAsia="Calibri" w:hAnsi="Arial" w:cs="Arial"/>
          <w:bCs/>
          <w:color w:val="000000" w:themeColor="text1"/>
        </w:rPr>
        <w:t>, la obligación de consultarlo para validar la ausencia de la restricción comentada no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24FAEBC6" w14:textId="77777777" w:rsidR="00017BE3" w:rsidRDefault="00017BE3" w:rsidP="00017BE3">
      <w:pPr>
        <w:tabs>
          <w:tab w:val="left" w:pos="709"/>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lang w:val="es-ES_tradnl"/>
        </w:rPr>
        <w:tab/>
        <w:t>Para estos efectos, el gobierno nacional expidió el Decreto 1310 del 26 de julio de 2022, “</w:t>
      </w:r>
      <w:r w:rsidRPr="00E8731D">
        <w:rPr>
          <w:rFonts w:ascii="Arial" w:eastAsia="Calibri" w:hAnsi="Arial" w:cs="Arial"/>
          <w:bCs/>
          <w:color w:val="000000" w:themeColor="text1"/>
        </w:rPr>
        <w:t>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w:t>
      </w:r>
      <w:r>
        <w:rPr>
          <w:rFonts w:ascii="Arial" w:eastAsia="Calibri" w:hAnsi="Arial" w:cs="Arial"/>
          <w:bCs/>
          <w:color w:val="000000" w:themeColor="text1"/>
        </w:rPr>
        <w:t>”</w:t>
      </w:r>
      <w:r w:rsidRPr="00E8731D">
        <w:rPr>
          <w:rFonts w:ascii="Arial" w:eastAsia="Calibri" w:hAnsi="Arial" w:cs="Arial"/>
          <w:bCs/>
          <w:color w:val="000000" w:themeColor="text1"/>
        </w:rPr>
        <w:t>.</w:t>
      </w:r>
      <w:r>
        <w:rPr>
          <w:rFonts w:ascii="Arial" w:eastAsia="Calibri" w:hAnsi="Arial" w:cs="Arial"/>
          <w:bCs/>
          <w:color w:val="000000" w:themeColor="text1"/>
        </w:rPr>
        <w:t xml:space="preserve"> El artículo 1 adicionó el artículo </w:t>
      </w:r>
      <w:r w:rsidRPr="00E8731D">
        <w:rPr>
          <w:rFonts w:ascii="Arial" w:eastAsia="Calibri" w:hAnsi="Arial" w:cs="Arial"/>
          <w:bCs/>
          <w:color w:val="000000" w:themeColor="text1"/>
        </w:rPr>
        <w:t>2.2.23.5</w:t>
      </w:r>
      <w:r>
        <w:rPr>
          <w:rFonts w:ascii="Arial" w:eastAsia="Calibri" w:hAnsi="Arial" w:cs="Arial"/>
          <w:bCs/>
          <w:color w:val="000000" w:themeColor="text1"/>
        </w:rPr>
        <w:t xml:space="preserve"> al Decreto 1078 de 2015, indicando en el inciso primero que “[…] </w:t>
      </w:r>
      <w:r w:rsidRPr="00E8731D">
        <w:rPr>
          <w:rFonts w:ascii="Arial" w:eastAsia="Calibri" w:hAnsi="Arial" w:cs="Arial"/>
          <w:bCs/>
          <w:color w:val="000000" w:themeColor="text1"/>
        </w:rPr>
        <w:t>se designa como Operador de la Información del Registro de Deudores Alimentarios Morosos (REDAM) al Ministerio de Tecnologías de la Información y las Comunicaciones, o quien haga sus veces</w:t>
      </w:r>
      <w:r>
        <w:rPr>
          <w:rFonts w:ascii="Arial" w:eastAsia="Calibri" w:hAnsi="Arial" w:cs="Arial"/>
          <w:bCs/>
          <w:color w:val="000000" w:themeColor="text1"/>
        </w:rPr>
        <w:t xml:space="preserve">”. Sin embargo, el reglamento también condicionó la vigencia del registro, pues –conforme al parágrafo del artículo </w:t>
      </w:r>
      <w:r w:rsidRPr="00F619E6">
        <w:rPr>
          <w:rFonts w:ascii="Arial" w:eastAsia="Calibri" w:hAnsi="Arial" w:cs="Arial"/>
          <w:bCs/>
          <w:color w:val="000000" w:themeColor="text1"/>
        </w:rPr>
        <w:t>2.2.23.4</w:t>
      </w:r>
      <w:r>
        <w:rPr>
          <w:rFonts w:ascii="Arial" w:eastAsia="Calibri" w:hAnsi="Arial" w:cs="Arial"/>
          <w:bCs/>
          <w:color w:val="000000" w:themeColor="text1"/>
        </w:rPr>
        <w:t xml:space="preserve"> </w:t>
      </w:r>
      <w:r w:rsidRPr="00F619E6">
        <w:rPr>
          <w:rFonts w:ascii="Arial" w:eastAsia="Calibri" w:hAnsi="Arial" w:cs="Arial"/>
          <w:bCs/>
          <w:i/>
          <w:iCs/>
          <w:color w:val="000000" w:themeColor="text1"/>
        </w:rPr>
        <w:t>ibidem</w:t>
      </w:r>
      <w:r>
        <w:rPr>
          <w:rFonts w:ascii="Arial" w:eastAsia="Calibri" w:hAnsi="Arial" w:cs="Arial"/>
          <w:bCs/>
          <w:color w:val="000000" w:themeColor="text1"/>
        </w:rPr>
        <w:t>– “</w:t>
      </w:r>
      <w:r w:rsidRPr="00F619E6">
        <w:rPr>
          <w:rFonts w:ascii="Arial" w:eastAsia="Calibri" w:hAnsi="Arial" w:cs="Arial"/>
          <w:bCs/>
          <w:color w:val="000000" w:themeColor="text1"/>
        </w:rPr>
        <w:t>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w:t>
      </w:r>
      <w:r>
        <w:rPr>
          <w:rFonts w:ascii="Arial" w:eastAsia="Calibri" w:hAnsi="Arial" w:cs="Arial"/>
          <w:bCs/>
          <w:color w:val="000000" w:themeColor="text1"/>
        </w:rPr>
        <w:t xml:space="preserve">”. Esto también congruente con el artículo </w:t>
      </w:r>
      <w:r w:rsidRPr="00F619E6">
        <w:rPr>
          <w:rFonts w:ascii="Arial" w:eastAsia="Calibri" w:hAnsi="Arial" w:cs="Arial"/>
          <w:bCs/>
          <w:color w:val="000000" w:themeColor="text1"/>
        </w:rPr>
        <w:t>2.2.23.8</w:t>
      </w:r>
      <w:r>
        <w:rPr>
          <w:rFonts w:ascii="Arial" w:eastAsia="Calibri" w:hAnsi="Arial" w:cs="Arial"/>
          <w:bCs/>
          <w:color w:val="000000" w:themeColor="text1"/>
        </w:rPr>
        <w:t xml:space="preserve"> </w:t>
      </w:r>
      <w:r w:rsidRPr="00F619E6">
        <w:rPr>
          <w:rFonts w:ascii="Arial" w:eastAsia="Calibri" w:hAnsi="Arial" w:cs="Arial"/>
          <w:bCs/>
          <w:i/>
          <w:iCs/>
          <w:color w:val="000000" w:themeColor="text1"/>
        </w:rPr>
        <w:t>ibidem</w:t>
      </w:r>
      <w:r>
        <w:rPr>
          <w:rFonts w:ascii="Arial" w:eastAsia="Calibri" w:hAnsi="Arial" w:cs="Arial"/>
          <w:bCs/>
          <w:color w:val="000000" w:themeColor="text1"/>
        </w:rPr>
        <w:t>, en la medida que “</w:t>
      </w:r>
      <w:r w:rsidRPr="00F619E6">
        <w:rPr>
          <w:rFonts w:ascii="Arial" w:eastAsia="Calibri" w:hAnsi="Arial" w:cs="Arial"/>
          <w:bCs/>
          <w:color w:val="000000" w:themeColor="text1"/>
        </w:rPr>
        <w:t>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w:t>
      </w:r>
      <w:r>
        <w:rPr>
          <w:rFonts w:ascii="Arial" w:eastAsia="Calibri" w:hAnsi="Arial" w:cs="Arial"/>
          <w:bCs/>
          <w:color w:val="000000" w:themeColor="text1"/>
        </w:rPr>
        <w:t>”</w:t>
      </w:r>
      <w:r w:rsidRPr="00F619E6">
        <w:rPr>
          <w:rFonts w:ascii="Arial" w:eastAsia="Calibri" w:hAnsi="Arial" w:cs="Arial"/>
          <w:bCs/>
          <w:color w:val="000000" w:themeColor="text1"/>
        </w:rPr>
        <w:t>.</w:t>
      </w:r>
      <w:r>
        <w:rPr>
          <w:rFonts w:ascii="Arial" w:eastAsia="Calibri" w:hAnsi="Arial" w:cs="Arial"/>
          <w:bCs/>
          <w:color w:val="000000" w:themeColor="text1"/>
        </w:rPr>
        <w:t xml:space="preserve"> </w:t>
      </w:r>
    </w:p>
    <w:p w14:paraId="4933C85F" w14:textId="66104CDC" w:rsidR="00017BE3" w:rsidRDefault="00017BE3" w:rsidP="00017BE3">
      <w:pPr>
        <w:tabs>
          <w:tab w:val="left" w:pos="709"/>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Sobre este último punto, la página web </w:t>
      </w:r>
      <w:hyperlink r:id="rId14" w:history="1">
        <w:r w:rsidRPr="00771AAD">
          <w:rPr>
            <w:rStyle w:val="Hipervnculo"/>
            <w:rFonts w:ascii="Arial" w:eastAsia="Calibri" w:hAnsi="Arial" w:cs="Arial"/>
            <w:bCs/>
          </w:rPr>
          <w:t>https://redam.gov.co/information-page</w:t>
        </w:r>
      </w:hyperlink>
      <w:r>
        <w:rPr>
          <w:rFonts w:ascii="Arial" w:eastAsia="Calibri" w:hAnsi="Arial" w:cs="Arial"/>
          <w:bCs/>
          <w:color w:val="000000" w:themeColor="text1"/>
        </w:rPr>
        <w:t xml:space="preserve"> brinda información sobre la forma de consultar y descargar el registro correspondiente. Cualquier inquietud adicional sobre el funcionamiento operativo del REDAM podrá plantarse ante e</w:t>
      </w:r>
      <w:r w:rsidRPr="00B61923">
        <w:rPr>
          <w:rFonts w:ascii="Arial" w:eastAsia="Calibri" w:hAnsi="Arial" w:cs="Arial"/>
          <w:bCs/>
          <w:color w:val="000000" w:themeColor="text1"/>
        </w:rPr>
        <w:t>l Ministerio de Tecnologías de la Información y las Comunicaciones,</w:t>
      </w:r>
      <w:r>
        <w:rPr>
          <w:rFonts w:ascii="Arial" w:eastAsia="Calibri" w:hAnsi="Arial" w:cs="Arial"/>
          <w:bCs/>
          <w:color w:val="000000" w:themeColor="text1"/>
        </w:rPr>
        <w:t xml:space="preserve"> pues –conforme al numeral 7 del artículo </w:t>
      </w:r>
      <w:r w:rsidRPr="00B61923">
        <w:rPr>
          <w:rFonts w:ascii="Arial" w:eastAsia="Calibri" w:hAnsi="Arial" w:cs="Arial"/>
          <w:bCs/>
          <w:color w:val="000000" w:themeColor="text1"/>
        </w:rPr>
        <w:t>2.2.23.14</w:t>
      </w:r>
      <w:r>
        <w:rPr>
          <w:rFonts w:ascii="Arial" w:eastAsia="Calibri" w:hAnsi="Arial" w:cs="Arial"/>
          <w:bCs/>
          <w:color w:val="000000" w:themeColor="text1"/>
        </w:rPr>
        <w:t xml:space="preserve"> del Decreto 1078 de 2015, adicionado por el artículo 1 del Decreto </w:t>
      </w:r>
      <w:r>
        <w:rPr>
          <w:rFonts w:ascii="Arial" w:eastAsia="Calibri" w:hAnsi="Arial" w:cs="Arial"/>
          <w:bCs/>
          <w:color w:val="000000" w:themeColor="text1"/>
          <w:lang w:val="es-ES_tradnl"/>
        </w:rPr>
        <w:t>1310 de 2022</w:t>
      </w:r>
      <w:r>
        <w:rPr>
          <w:rFonts w:ascii="Arial" w:eastAsia="Calibri" w:hAnsi="Arial" w:cs="Arial"/>
          <w:bCs/>
          <w:color w:val="000000" w:themeColor="text1"/>
        </w:rPr>
        <w:t>– debe “</w:t>
      </w:r>
      <w:r w:rsidRPr="00B61923">
        <w:rPr>
          <w:rFonts w:ascii="Arial" w:eastAsia="Calibri" w:hAnsi="Arial" w:cs="Arial"/>
          <w:bCs/>
          <w:color w:val="000000" w:themeColor="text1"/>
        </w:rPr>
        <w:t>Tramitar oportunamente las peticiones, consultas, quejas o reclamos que formulen los actores e intervinientes en el proceso de reporte de información en el Registro de Deudores Alimentarios Morosos (REDAM) y que sean de su competencia</w:t>
      </w:r>
      <w:r>
        <w:rPr>
          <w:rFonts w:ascii="Arial" w:eastAsia="Calibri" w:hAnsi="Arial" w:cs="Arial"/>
          <w:bCs/>
          <w:color w:val="000000" w:themeColor="text1"/>
        </w:rPr>
        <w:t>”</w:t>
      </w:r>
      <w:r w:rsidRPr="00B61923">
        <w:rPr>
          <w:rFonts w:ascii="Arial" w:eastAsia="Calibri" w:hAnsi="Arial" w:cs="Arial"/>
          <w:bCs/>
          <w:color w:val="000000" w:themeColor="text1"/>
        </w:rPr>
        <w:t>.</w:t>
      </w:r>
    </w:p>
    <w:p w14:paraId="629ABC40" w14:textId="77777777" w:rsidR="00017BE3" w:rsidRPr="00B10E0F" w:rsidRDefault="00017BE3" w:rsidP="00017BE3">
      <w:pPr>
        <w:tabs>
          <w:tab w:val="left" w:pos="0"/>
        </w:tabs>
        <w:spacing w:after="120" w:line="276" w:lineRule="auto"/>
        <w:jc w:val="both"/>
        <w:rPr>
          <w:rFonts w:ascii="Arial" w:eastAsia="Calibri" w:hAnsi="Arial" w:cs="Arial"/>
          <w:bCs/>
          <w:color w:val="000000" w:themeColor="text1"/>
        </w:rPr>
      </w:pPr>
    </w:p>
    <w:p w14:paraId="6534D7FD" w14:textId="77777777" w:rsidR="00017BE3" w:rsidRDefault="00017BE3" w:rsidP="00017BE3">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374EDE9A" w14:textId="77777777" w:rsidR="00017BE3" w:rsidRPr="00181816" w:rsidRDefault="00017BE3" w:rsidP="00017BE3">
      <w:pPr>
        <w:widowControl w:val="0"/>
        <w:autoSpaceDE w:val="0"/>
        <w:autoSpaceDN w:val="0"/>
        <w:spacing w:after="0" w:line="276" w:lineRule="auto"/>
        <w:jc w:val="both"/>
        <w:rPr>
          <w:rFonts w:ascii="Arial" w:hAnsi="Arial" w:cs="Arial"/>
          <w:color w:val="000000" w:themeColor="text1"/>
          <w:lang w:val="es-ES_tradnl" w:bidi="es-ES"/>
        </w:rPr>
      </w:pPr>
    </w:p>
    <w:p w14:paraId="67BE7DAE" w14:textId="77777777" w:rsidR="00017BE3" w:rsidRPr="000F4A3A" w:rsidRDefault="00017BE3" w:rsidP="00017BE3">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11E85DD8" w14:textId="645B12E0" w:rsidR="00017BE3" w:rsidRPr="00CB70D9" w:rsidRDefault="00C67EBE" w:rsidP="00017BE3">
      <w:pPr>
        <w:jc w:val="center"/>
        <w:rPr>
          <w:rFonts w:ascii="Arial" w:eastAsia="Times New Roman" w:hAnsi="Arial" w:cs="Arial"/>
          <w:lang w:eastAsia="es-CO"/>
        </w:rPr>
      </w:pPr>
      <w:r>
        <w:rPr>
          <w:rFonts w:ascii="Arial" w:hAnsi="Arial" w:cs="Arial"/>
          <w:noProof/>
          <w:lang w:eastAsia="es-CO"/>
        </w:rPr>
        <w:drawing>
          <wp:inline distT="0" distB="0" distL="0" distR="0" wp14:anchorId="14EFFB36" wp14:editId="5585064E">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17BE3" w:rsidRPr="003F5F71" w14:paraId="6B1948AF" w14:textId="77777777" w:rsidTr="005D7F06">
        <w:trPr>
          <w:trHeight w:val="409"/>
        </w:trPr>
        <w:tc>
          <w:tcPr>
            <w:tcW w:w="817" w:type="dxa"/>
            <w:tcBorders>
              <w:top w:val="nil"/>
              <w:left w:val="nil"/>
              <w:bottom w:val="nil"/>
              <w:right w:val="nil"/>
            </w:tcBorders>
            <w:vAlign w:val="center"/>
            <w:hideMark/>
          </w:tcPr>
          <w:p w14:paraId="1A64F4F2" w14:textId="77777777" w:rsidR="00017BE3" w:rsidRPr="009C1F1A" w:rsidRDefault="00017BE3" w:rsidP="005D7F06">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E15BAB6" w14:textId="77777777" w:rsidR="00017BE3" w:rsidRPr="009C1F1A" w:rsidRDefault="00017BE3" w:rsidP="005D7F06">
            <w:pPr>
              <w:spacing w:after="0" w:line="240" w:lineRule="auto"/>
              <w:jc w:val="both"/>
              <w:rPr>
                <w:rFonts w:ascii="Arial" w:hAnsi="Arial" w:cs="Arial"/>
                <w:sz w:val="16"/>
                <w:szCs w:val="16"/>
              </w:rPr>
            </w:pPr>
            <w:r>
              <w:rPr>
                <w:rFonts w:ascii="Arial" w:hAnsi="Arial" w:cs="Arial"/>
                <w:sz w:val="16"/>
                <w:szCs w:val="16"/>
              </w:rPr>
              <w:t>Juan David Montoya Penagos</w:t>
            </w:r>
          </w:p>
          <w:p w14:paraId="12A8A6F2" w14:textId="77777777" w:rsidR="00017BE3" w:rsidRPr="009C1F1A" w:rsidRDefault="00017BE3" w:rsidP="005D7F06">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017BE3" w:rsidRPr="003F5F71" w14:paraId="7993095A" w14:textId="77777777" w:rsidTr="005D7F06">
        <w:trPr>
          <w:trHeight w:val="409"/>
        </w:trPr>
        <w:tc>
          <w:tcPr>
            <w:tcW w:w="817" w:type="dxa"/>
            <w:tcBorders>
              <w:top w:val="nil"/>
              <w:left w:val="nil"/>
              <w:right w:val="nil"/>
            </w:tcBorders>
            <w:vAlign w:val="center"/>
          </w:tcPr>
          <w:p w14:paraId="4406594F" w14:textId="77777777" w:rsidR="00017BE3" w:rsidRPr="1CF3ADA9" w:rsidRDefault="00017BE3" w:rsidP="005D7F06">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29D0FBB" w14:textId="77777777" w:rsidR="00017BE3" w:rsidRPr="009C1F1A" w:rsidRDefault="00017BE3" w:rsidP="005D7F06">
            <w:pPr>
              <w:spacing w:after="0" w:line="240" w:lineRule="auto"/>
              <w:jc w:val="both"/>
              <w:rPr>
                <w:rFonts w:ascii="Arial" w:hAnsi="Arial" w:cs="Arial"/>
                <w:sz w:val="16"/>
                <w:szCs w:val="16"/>
              </w:rPr>
            </w:pPr>
            <w:r>
              <w:rPr>
                <w:rFonts w:ascii="Arial" w:hAnsi="Arial" w:cs="Arial"/>
                <w:sz w:val="16"/>
                <w:szCs w:val="16"/>
              </w:rPr>
              <w:t>Diana Carolina Armenta Celis</w:t>
            </w:r>
          </w:p>
          <w:p w14:paraId="1E713F38" w14:textId="77777777" w:rsidR="00017BE3" w:rsidRPr="009C1F1A" w:rsidRDefault="00017BE3" w:rsidP="005D7F06">
            <w:pPr>
              <w:spacing w:after="0" w:line="240" w:lineRule="auto"/>
              <w:jc w:val="both"/>
              <w:rPr>
                <w:rFonts w:ascii="Arial" w:hAnsi="Arial" w:cs="Arial"/>
                <w:sz w:val="16"/>
                <w:szCs w:val="16"/>
              </w:rPr>
            </w:pPr>
            <w:r>
              <w:rPr>
                <w:rFonts w:ascii="Arial" w:hAnsi="Arial" w:cs="Arial"/>
                <w:sz w:val="16"/>
                <w:szCs w:val="16"/>
              </w:rPr>
              <w:t xml:space="preserve">Contratista </w:t>
            </w:r>
            <w:r w:rsidRPr="009C1F1A">
              <w:rPr>
                <w:rFonts w:ascii="Arial" w:hAnsi="Arial" w:cs="Arial"/>
                <w:sz w:val="16"/>
                <w:szCs w:val="16"/>
              </w:rPr>
              <w:t>de la Subdirección de Gestión Contractual</w:t>
            </w:r>
          </w:p>
        </w:tc>
      </w:tr>
      <w:tr w:rsidR="00017BE3" w:rsidRPr="003F5F71" w14:paraId="7D60C7BA" w14:textId="77777777" w:rsidTr="005D7F06">
        <w:trPr>
          <w:trHeight w:val="389"/>
        </w:trPr>
        <w:tc>
          <w:tcPr>
            <w:tcW w:w="817" w:type="dxa"/>
            <w:tcBorders>
              <w:top w:val="nil"/>
              <w:left w:val="nil"/>
              <w:bottom w:val="nil"/>
              <w:right w:val="nil"/>
            </w:tcBorders>
            <w:vAlign w:val="center"/>
            <w:hideMark/>
          </w:tcPr>
          <w:p w14:paraId="18DAC2E0" w14:textId="77777777" w:rsidR="00017BE3" w:rsidRPr="009C1F1A" w:rsidRDefault="00017BE3" w:rsidP="005D7F06">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B72C48C" w14:textId="77777777" w:rsidR="00017BE3" w:rsidRPr="009C1F1A" w:rsidRDefault="00017BE3" w:rsidP="005D7F06">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1CEAF90A" w14:textId="77777777" w:rsidR="00017BE3" w:rsidRPr="009C1F1A" w:rsidRDefault="00017BE3" w:rsidP="005D7F06">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04DB1546" w14:textId="77777777" w:rsidR="00017BE3" w:rsidRPr="006219F8" w:rsidRDefault="00017BE3" w:rsidP="00017BE3">
      <w:pPr>
        <w:tabs>
          <w:tab w:val="left" w:pos="0"/>
        </w:tabs>
        <w:spacing w:line="276" w:lineRule="auto"/>
        <w:contextualSpacing/>
        <w:jc w:val="both"/>
        <w:rPr>
          <w:lang w:val="es-MX"/>
        </w:rPr>
      </w:pPr>
    </w:p>
    <w:p w14:paraId="0F293BF4" w14:textId="0F6FB6C1" w:rsidR="00127233" w:rsidRPr="00AA42EC" w:rsidRDefault="00127233" w:rsidP="00AA42EC"/>
    <w:sectPr w:rsidR="00127233" w:rsidRPr="00AA42EC"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C6DFE" w14:textId="77777777" w:rsidR="007658D2" w:rsidRDefault="007658D2" w:rsidP="004A1847">
      <w:pPr>
        <w:spacing w:after="0" w:line="240" w:lineRule="auto"/>
      </w:pPr>
      <w:r>
        <w:separator/>
      </w:r>
    </w:p>
  </w:endnote>
  <w:endnote w:type="continuationSeparator" w:id="0">
    <w:p w14:paraId="51F147EE" w14:textId="77777777" w:rsidR="007658D2" w:rsidRDefault="007658D2" w:rsidP="004A1847">
      <w:pPr>
        <w:spacing w:after="0" w:line="240" w:lineRule="auto"/>
      </w:pPr>
      <w:r>
        <w:continuationSeparator/>
      </w:r>
    </w:p>
  </w:endnote>
  <w:endnote w:type="continuationNotice" w:id="1">
    <w:p w14:paraId="237928A0" w14:textId="77777777" w:rsidR="007658D2" w:rsidRDefault="00765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1020123D"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5F541D">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5F541D">
            <w:rPr>
              <w:rFonts w:ascii="Geomanist Light" w:hAnsi="Geomanist Light"/>
              <w:b/>
              <w:bCs/>
              <w:noProof/>
              <w:sz w:val="18"/>
              <w:szCs w:val="18"/>
            </w:rPr>
            <w:t>27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E27A2" w14:textId="77777777" w:rsidR="007658D2" w:rsidRDefault="007658D2" w:rsidP="004A1847">
      <w:pPr>
        <w:spacing w:after="0" w:line="240" w:lineRule="auto"/>
      </w:pPr>
      <w:r>
        <w:separator/>
      </w:r>
    </w:p>
  </w:footnote>
  <w:footnote w:type="continuationSeparator" w:id="0">
    <w:p w14:paraId="7A1EA25A" w14:textId="77777777" w:rsidR="007658D2" w:rsidRDefault="007658D2" w:rsidP="004A1847">
      <w:pPr>
        <w:spacing w:after="0" w:line="240" w:lineRule="auto"/>
      </w:pPr>
      <w:r>
        <w:continuationSeparator/>
      </w:r>
    </w:p>
  </w:footnote>
  <w:footnote w:type="continuationNotice" w:id="1">
    <w:p w14:paraId="3CA76C4A" w14:textId="77777777" w:rsidR="007658D2" w:rsidRDefault="007658D2">
      <w:pPr>
        <w:spacing w:after="0" w:line="240" w:lineRule="auto"/>
      </w:pPr>
    </w:p>
  </w:footnote>
  <w:footnote w:id="2">
    <w:p w14:paraId="7E83D745"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2700">
          <w:rPr>
            <w:rStyle w:val="Hipervnculo"/>
            <w:rFonts w:ascii="Arial" w:hAnsi="Arial" w:cs="Arial"/>
            <w:sz w:val="19"/>
            <w:szCs w:val="19"/>
          </w:rPr>
          <w:t>https://relatoria.colombiacompra.gov.co/busqueda/conceptos</w:t>
        </w:r>
      </w:hyperlink>
      <w:r w:rsidRPr="00982700">
        <w:rPr>
          <w:rStyle w:val="Hipervnculo"/>
          <w:rFonts w:ascii="Arial" w:hAnsi="Arial" w:cs="Arial"/>
          <w:color w:val="auto"/>
          <w:sz w:val="19"/>
          <w:szCs w:val="19"/>
        </w:rPr>
        <w:t xml:space="preserve">. </w:t>
      </w:r>
      <w:r w:rsidRPr="00982700">
        <w:rPr>
          <w:rFonts w:ascii="Arial" w:hAnsi="Arial" w:cs="Arial"/>
          <w:sz w:val="19"/>
          <w:szCs w:val="19"/>
          <w:shd w:val="clear" w:color="auto" w:fill="E6E6E6"/>
        </w:rPr>
        <w:t xml:space="preserve"> </w:t>
      </w:r>
    </w:p>
  </w:footnote>
  <w:footnote w:id="3">
    <w:p w14:paraId="22E67172" w14:textId="77777777" w:rsidR="00017BE3" w:rsidRPr="00982700" w:rsidRDefault="00017BE3" w:rsidP="00017BE3">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C-1016 de 2012. M.P. Jorge Iván Palacio.</w:t>
      </w:r>
    </w:p>
  </w:footnote>
  <w:footnote w:id="4">
    <w:p w14:paraId="7D9AF428" w14:textId="77777777" w:rsidR="00017BE3" w:rsidRPr="00982700" w:rsidRDefault="00017BE3" w:rsidP="00017BE3">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13 de noviembre de 2013. </w:t>
      </w:r>
      <w:r w:rsidRPr="00982700">
        <w:rPr>
          <w:rFonts w:ascii="Arial" w:hAnsi="Arial" w:cs="Arial"/>
          <w:sz w:val="19"/>
          <w:szCs w:val="19"/>
          <w:lang w:val="pt-BR"/>
        </w:rPr>
        <w:t xml:space="preserve">Rad. 25.646. C.P. Mauricio Fajardo Gómez.  </w:t>
      </w:r>
    </w:p>
    <w:p w14:paraId="3C95A941" w14:textId="77777777" w:rsidR="00017BE3" w:rsidRPr="00982700" w:rsidRDefault="00017BE3" w:rsidP="00017BE3">
      <w:pPr>
        <w:pStyle w:val="Textonotapie"/>
        <w:ind w:firstLine="709"/>
        <w:jc w:val="both"/>
        <w:rPr>
          <w:rFonts w:ascii="Arial" w:hAnsi="Arial" w:cs="Arial"/>
          <w:sz w:val="19"/>
          <w:szCs w:val="19"/>
          <w:lang w:val="es-ES_tradnl"/>
        </w:rPr>
      </w:pPr>
    </w:p>
  </w:footnote>
  <w:footnote w:id="5">
    <w:p w14:paraId="548AECDE" w14:textId="77777777" w:rsidR="00017BE3" w:rsidRPr="00982700" w:rsidRDefault="00017BE3" w:rsidP="00017BE3">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C-415 de 1994. M.P. Eduardo Cifuentes Muñoz.</w:t>
      </w:r>
    </w:p>
  </w:footnote>
  <w:footnote w:id="6">
    <w:p w14:paraId="70ADDAB6" w14:textId="77777777" w:rsidR="00017BE3" w:rsidRPr="00982700" w:rsidRDefault="00017BE3" w:rsidP="00017BE3">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Ibídem.</w:t>
      </w:r>
    </w:p>
  </w:footnote>
  <w:footnote w:id="7">
    <w:p w14:paraId="58AC5EB1" w14:textId="77777777" w:rsidR="00017BE3" w:rsidRPr="005F541D" w:rsidRDefault="00017BE3" w:rsidP="00017BE3">
      <w:pPr>
        <w:pStyle w:val="Textonotapie"/>
        <w:ind w:firstLine="709"/>
        <w:jc w:val="both"/>
        <w:rPr>
          <w:rFonts w:ascii="Arial" w:hAnsi="Arial" w:cs="Arial"/>
          <w:sz w:val="19"/>
          <w:szCs w:val="19"/>
          <w:lang w:val="es-CO"/>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w:t>
      </w:r>
      <w:r w:rsidRPr="00982700">
        <w:rPr>
          <w:rFonts w:ascii="Arial" w:hAnsi="Arial" w:cs="Arial"/>
          <w:sz w:val="19"/>
          <w:szCs w:val="19"/>
        </w:rPr>
        <w:t xml:space="preserve">Sentencia C-780 de 2001. </w:t>
      </w:r>
      <w:r w:rsidRPr="005F541D">
        <w:rPr>
          <w:rFonts w:ascii="Arial" w:hAnsi="Arial" w:cs="Arial"/>
          <w:sz w:val="19"/>
          <w:szCs w:val="19"/>
          <w:lang w:val="es-CO"/>
        </w:rPr>
        <w:t xml:space="preserve">M.P. Jaime Córdoba Triviño. </w:t>
      </w:r>
    </w:p>
  </w:footnote>
  <w:footnote w:id="8">
    <w:p w14:paraId="67B99FC3"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5732F885"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a) Las personas que se hallen inhabilitadas para contratar por la Constitución y las leyes. </w:t>
      </w:r>
    </w:p>
    <w:p w14:paraId="5974E9BF"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b) Quienes participaron en las licitaciones o concursos o celebraron los contratos de que trata el literal anterior estando inhabilitados. </w:t>
      </w:r>
    </w:p>
    <w:p w14:paraId="75381FA5"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c) Quienes dieron lugar a la declaratoria de caducidad. </w:t>
      </w:r>
    </w:p>
    <w:p w14:paraId="0523064A"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d) Quienes en sentencia judicial hayan sido condenados a la pena accesoria de interdicción de derechos y funciones públicas y quienes hayan sido sancionados disciplinariamente con destitución. </w:t>
      </w:r>
    </w:p>
    <w:p w14:paraId="2BB4F669"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e) Quienes sin justa causa se abstengan de suscribir el contrato estatal adjudicado. </w:t>
      </w:r>
    </w:p>
    <w:p w14:paraId="585DF674"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f) Los servidores públicos. </w:t>
      </w:r>
    </w:p>
    <w:p w14:paraId="27C4B7F4"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40D1D020"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C2A3636"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i) Los socios de sociedades de personas a las cuales se haya declarado la caducidad, así como las sociedades de personas de las que aquellos formen parte con posterioridad a dicha declaratoria. </w:t>
      </w:r>
    </w:p>
    <w:p w14:paraId="0A6EA69D"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51FA8537"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2D560F5"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82700">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82700">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982700">
        <w:rPr>
          <w:rFonts w:ascii="Arial" w:eastAsiaTheme="minorHAnsi" w:hAnsi="Arial" w:cs="Arial"/>
          <w:sz w:val="19"/>
          <w:szCs w:val="19"/>
          <w:lang w:val="es-ES" w:eastAsia="en-US"/>
        </w:rPr>
        <w:softHyphen/>
        <w:t>nería jurídica en los términos de ley, o cuyos representantes legales, ad</w:t>
      </w:r>
      <w:r w:rsidRPr="00982700">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82700">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1EF53F8B"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w:t>
      </w:r>
    </w:p>
    <w:p w14:paraId="4193753D" w14:textId="77777777" w:rsidR="00017BE3" w:rsidRPr="00982700" w:rsidRDefault="00017BE3" w:rsidP="00017BE3">
      <w:pPr>
        <w:pStyle w:val="NormalWeb"/>
        <w:spacing w:before="0" w:beforeAutospacing="0" w:after="0" w:afterAutospacing="0"/>
        <w:ind w:firstLine="709"/>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2o. Tampoco podrán participar en licitaciones o concursos ni celebrar contratos estatales con la entidad respectiva: </w:t>
      </w:r>
    </w:p>
    <w:p w14:paraId="51057269"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9030A66"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64B2C63E"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396C1489"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025CA7B6"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379A9FB9" w14:textId="77777777" w:rsidR="00017BE3" w:rsidRPr="00982700" w:rsidRDefault="00017BE3" w:rsidP="00017BE3">
      <w:pPr>
        <w:pStyle w:val="NormalWeb"/>
        <w:spacing w:before="0" w:beforeAutospacing="0" w:after="0" w:afterAutospacing="0"/>
        <w:ind w:firstLine="708"/>
        <w:jc w:val="both"/>
        <w:rPr>
          <w:rFonts w:ascii="Arial" w:eastAsiaTheme="minorHAnsi" w:hAnsi="Arial" w:cs="Arial"/>
          <w:sz w:val="19"/>
          <w:szCs w:val="19"/>
          <w:lang w:val="es-ES" w:eastAsia="en-US"/>
        </w:rPr>
      </w:pPr>
      <w:r w:rsidRPr="00982700">
        <w:rPr>
          <w:rFonts w:ascii="Arial" w:eastAsiaTheme="minorHAnsi" w:hAnsi="Arial" w:cs="Arial"/>
          <w:sz w:val="19"/>
          <w:szCs w:val="19"/>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9">
    <w:p w14:paraId="41EE554D"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6F4B3453" w14:textId="77777777" w:rsidR="00017BE3" w:rsidRPr="00982700" w:rsidRDefault="00017BE3" w:rsidP="00017BE3">
      <w:pPr>
        <w:pStyle w:val="Textonotapie"/>
        <w:ind w:firstLine="709"/>
        <w:jc w:val="both"/>
        <w:rPr>
          <w:rFonts w:ascii="Arial" w:hAnsi="Arial" w:cs="Arial"/>
          <w:sz w:val="19"/>
          <w:szCs w:val="19"/>
        </w:rPr>
      </w:pPr>
      <w:r w:rsidRPr="00982700">
        <w:rPr>
          <w:rFonts w:ascii="Arial" w:hAnsi="Arial" w:cs="Arial"/>
          <w:sz w:val="19"/>
          <w:szCs w:val="19"/>
        </w:rPr>
        <w:t>Las personas jurídicas nacionales y extranjeras deberán acreditar que su duración no será inferior a la del plazo del contrato y un año más”.</w:t>
      </w:r>
    </w:p>
  </w:footnote>
  <w:footnote w:id="10">
    <w:p w14:paraId="33234DB0"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“Artículo 1502. Requisitos para obligarse. Para que una persona se obligue a otra por un acto o declaración de voluntad, es necesario:</w:t>
      </w:r>
    </w:p>
    <w:p w14:paraId="6C682463" w14:textId="77777777" w:rsidR="00017BE3" w:rsidRPr="00982700" w:rsidRDefault="00017BE3" w:rsidP="00017BE3">
      <w:pPr>
        <w:pStyle w:val="Textonotapie"/>
        <w:ind w:firstLine="709"/>
        <w:jc w:val="both"/>
        <w:rPr>
          <w:rFonts w:ascii="Arial" w:hAnsi="Arial" w:cs="Arial"/>
          <w:sz w:val="19"/>
          <w:szCs w:val="19"/>
        </w:rPr>
      </w:pPr>
      <w:r w:rsidRPr="00982700">
        <w:rPr>
          <w:rFonts w:ascii="Arial" w:hAnsi="Arial" w:cs="Arial"/>
          <w:sz w:val="19"/>
          <w:szCs w:val="19"/>
        </w:rPr>
        <w:t>1o.) que sea legalmente capaz.</w:t>
      </w:r>
    </w:p>
    <w:p w14:paraId="7248E6CB" w14:textId="77777777" w:rsidR="00017BE3" w:rsidRPr="00982700" w:rsidRDefault="00017BE3" w:rsidP="00017BE3">
      <w:pPr>
        <w:pStyle w:val="Textonotapie"/>
        <w:ind w:firstLine="709"/>
        <w:jc w:val="both"/>
        <w:rPr>
          <w:rFonts w:ascii="Arial" w:hAnsi="Arial" w:cs="Arial"/>
          <w:sz w:val="19"/>
          <w:szCs w:val="19"/>
        </w:rPr>
      </w:pPr>
      <w:r w:rsidRPr="00982700">
        <w:rPr>
          <w:rFonts w:ascii="Arial" w:hAnsi="Arial" w:cs="Arial"/>
          <w:sz w:val="19"/>
          <w:szCs w:val="19"/>
        </w:rPr>
        <w:t>[…]</w:t>
      </w:r>
    </w:p>
    <w:p w14:paraId="71CAEB42" w14:textId="77777777" w:rsidR="00017BE3" w:rsidRPr="00982700" w:rsidRDefault="00017BE3" w:rsidP="00017BE3">
      <w:pPr>
        <w:pStyle w:val="Textonotapie"/>
        <w:ind w:firstLine="709"/>
        <w:jc w:val="both"/>
        <w:rPr>
          <w:rFonts w:ascii="Arial" w:hAnsi="Arial" w:cs="Arial"/>
          <w:sz w:val="19"/>
          <w:szCs w:val="19"/>
        </w:rPr>
      </w:pPr>
      <w:r w:rsidRPr="00982700">
        <w:rPr>
          <w:rFonts w:ascii="Arial" w:hAnsi="Arial" w:cs="Arial"/>
          <w:sz w:val="19"/>
          <w:szCs w:val="19"/>
        </w:rPr>
        <w:t>La capacidad legal de una persona consiste en poderse obligar por sí misma, sin el ministerio o la autorización de otra”.</w:t>
      </w:r>
    </w:p>
  </w:footnote>
  <w:footnote w:id="11">
    <w:p w14:paraId="10B04A60"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Ley 19 de 2012: “Artículo 221. El artículo 6 de la Ley 1150 de 2007, quedará así:</w:t>
      </w:r>
    </w:p>
    <w:p w14:paraId="5622010B" w14:textId="77777777" w:rsidR="00017BE3" w:rsidRPr="00982700" w:rsidRDefault="00017BE3" w:rsidP="00017BE3">
      <w:pPr>
        <w:pStyle w:val="Textonotapie"/>
        <w:ind w:firstLine="709"/>
        <w:jc w:val="both"/>
        <w:rPr>
          <w:rFonts w:ascii="Arial" w:hAnsi="Arial" w:cs="Arial"/>
          <w:sz w:val="19"/>
          <w:szCs w:val="19"/>
          <w:lang w:val="es-ES"/>
        </w:rPr>
      </w:pPr>
      <w:r w:rsidRPr="00982700">
        <w:rPr>
          <w:rFonts w:ascii="Arial" w:hAnsi="Arial" w:cs="Arial"/>
          <w:sz w:val="19"/>
          <w:szCs w:val="19"/>
        </w:rPr>
        <w:t>Artículo 6. De la verificación de las condiciones de los proponentes. T</w:t>
      </w:r>
      <w:r w:rsidRPr="00982700">
        <w:rPr>
          <w:rFonts w:ascii="Arial" w:hAnsi="Arial" w:cs="Arial"/>
          <w:sz w:val="19"/>
          <w:szCs w:val="19"/>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18ED75D" w14:textId="77777777" w:rsidR="00017BE3" w:rsidRPr="00982700" w:rsidRDefault="00017BE3" w:rsidP="00017BE3">
      <w:pPr>
        <w:pStyle w:val="Textonotapie"/>
        <w:ind w:firstLine="709"/>
        <w:jc w:val="both"/>
        <w:rPr>
          <w:rFonts w:ascii="Arial" w:hAnsi="Arial" w:cs="Arial"/>
          <w:sz w:val="19"/>
          <w:szCs w:val="19"/>
          <w:lang w:val="es-ES"/>
        </w:rPr>
      </w:pPr>
      <w:r w:rsidRPr="00982700">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2">
    <w:p w14:paraId="0FE8F8DC"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82700">
        <w:rPr>
          <w:rFonts w:ascii="Arial" w:hAnsi="Arial" w:cs="Arial"/>
          <w:i/>
          <w:iCs/>
          <w:sz w:val="19"/>
          <w:szCs w:val="19"/>
          <w:lang w:val="es-ES"/>
        </w:rPr>
        <w:t>el régimen de inhabilidades e incompatibilidades</w:t>
      </w:r>
      <w:r w:rsidRPr="00982700">
        <w:rPr>
          <w:rFonts w:ascii="Arial" w:hAnsi="Arial" w:cs="Arial"/>
          <w:sz w:val="19"/>
          <w:szCs w:val="19"/>
          <w:lang w:val="es-ES"/>
        </w:rPr>
        <w:t xml:space="preserve"> (1) y la obligación de ciertos proponentes de inscribirse en el </w:t>
      </w:r>
      <w:r w:rsidRPr="00982700">
        <w:rPr>
          <w:rFonts w:ascii="Arial" w:hAnsi="Arial" w:cs="Arial"/>
          <w:i/>
          <w:iCs/>
          <w:sz w:val="19"/>
          <w:szCs w:val="19"/>
          <w:lang w:val="es-ES"/>
        </w:rPr>
        <w:t>registro único</w:t>
      </w:r>
      <w:r w:rsidRPr="00982700">
        <w:rPr>
          <w:rFonts w:ascii="Arial" w:hAnsi="Arial" w:cs="Arial"/>
          <w:sz w:val="19"/>
          <w:szCs w:val="19"/>
          <w:lang w:val="es-ES"/>
        </w:rPr>
        <w:t xml:space="preserve"> (2)” (BENAVIDES, José Luis. El contrato estatal. Entre el Derecho público y el Derecho privado. 2ª ed. Bogotá: Universidad Externado de Colombia, 2004. p. 278). </w:t>
      </w:r>
    </w:p>
  </w:footnote>
  <w:footnote w:id="13">
    <w:p w14:paraId="779FBCF3" w14:textId="77777777" w:rsidR="00017BE3" w:rsidRPr="00982700" w:rsidRDefault="00017BE3" w:rsidP="00017BE3">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4">
    <w:p w14:paraId="4620BCD9"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5">
    <w:p w14:paraId="70F9B35C"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6">
    <w:p w14:paraId="3662CB28" w14:textId="77777777" w:rsidR="00017BE3" w:rsidRPr="00982700" w:rsidRDefault="00017BE3" w:rsidP="00017BE3">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7">
    <w:p w14:paraId="07188564"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8">
    <w:p w14:paraId="52C20839"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9">
    <w:p w14:paraId="78C243B4" w14:textId="77777777" w:rsidR="00017BE3" w:rsidRPr="00982700" w:rsidRDefault="00017BE3" w:rsidP="00017BE3">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Ibídem. p. 69.</w:t>
      </w:r>
    </w:p>
  </w:footnote>
  <w:footnote w:id="20">
    <w:p w14:paraId="4FAC37CB"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21">
    <w:p w14:paraId="1CE533B3"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CONSEJO DE ESTADO. Sala de Consulta y Servicio Civil. Concepto del 30 de abril de 2015. Exp. 2251. C.P. Álvaro Namén Vargas.</w:t>
      </w:r>
    </w:p>
  </w:footnote>
  <w:footnote w:id="22">
    <w:p w14:paraId="1FFD2269"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24 de junio de 2015. Exp. 40.635. C.P. Hernán Andrade Rincón (E).</w:t>
      </w:r>
    </w:p>
  </w:footnote>
  <w:footnote w:id="23">
    <w:p w14:paraId="4D1DDB74" w14:textId="77777777" w:rsidR="00017BE3" w:rsidRPr="00982700" w:rsidRDefault="00017BE3" w:rsidP="00017BE3">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C. Sentencia del 22 de mayo de 2013. Rad. 24.057. C.P. Olga Mélida Valle De De La Hoz. </w:t>
      </w:r>
    </w:p>
  </w:footnote>
  <w:footnote w:id="24">
    <w:p w14:paraId="0D78CBA8" w14:textId="77777777" w:rsidR="00017BE3" w:rsidRPr="00982700" w:rsidRDefault="00017BE3" w:rsidP="00017BE3">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C-415 de 1994. M.P. Eduardo Cifuentes Muñoz.</w:t>
      </w:r>
    </w:p>
  </w:footnote>
  <w:footnote w:id="25">
    <w:p w14:paraId="6E29AFB0" w14:textId="77777777" w:rsidR="00017BE3" w:rsidRPr="00982700" w:rsidRDefault="00017BE3" w:rsidP="00017BE3">
      <w:pPr>
        <w:pStyle w:val="Textonotapie"/>
        <w:ind w:firstLine="709"/>
        <w:jc w:val="both"/>
        <w:rPr>
          <w:rFonts w:ascii="Arial" w:hAnsi="Arial" w:cs="Arial"/>
          <w:color w:val="000000" w:themeColor="text1"/>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lang w:val="pt-BR"/>
        </w:rPr>
        <w:t xml:space="preserve">CONSEJO DE ESTADO. Sala de lo contencioso administrativo. Sentencia del 12 de diciembre de 2014. Exp. 26496. C.P. Ramiro Pazos Guerrero. </w:t>
      </w:r>
      <w:r w:rsidRPr="00982700">
        <w:rPr>
          <w:rFonts w:ascii="Arial" w:hAnsi="Arial" w:cs="Arial"/>
          <w:color w:val="000000" w:themeColor="text1"/>
          <w:sz w:val="19"/>
          <w:szCs w:val="19"/>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6">
    <w:p w14:paraId="5045F3F7" w14:textId="77777777" w:rsidR="00017BE3" w:rsidRPr="00982700" w:rsidRDefault="00017BE3" w:rsidP="00017BE3">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rPr>
        <w:t>CONSEJO DE ESTADO. Sala de Consulta y Servicio Civil. Concepto del 29 de abril de 1998. Rad. 1097. C.P. Augusto Trejos Jaramillo.</w:t>
      </w:r>
    </w:p>
  </w:footnote>
  <w:footnote w:id="27">
    <w:p w14:paraId="26AD1C7B"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CONGRESO DE LA REPÚBLICA. Gaceta XXVII, No. 672, del 13 de se</w:t>
      </w:r>
      <w:r>
        <w:rPr>
          <w:rFonts w:ascii="Arial" w:hAnsi="Arial" w:cs="Arial"/>
          <w:sz w:val="19"/>
          <w:szCs w:val="19"/>
        </w:rPr>
        <w:t>p</w:t>
      </w:r>
      <w:r w:rsidRPr="00982700">
        <w:rPr>
          <w:rFonts w:ascii="Arial" w:hAnsi="Arial" w:cs="Arial"/>
          <w:sz w:val="19"/>
          <w:szCs w:val="19"/>
        </w:rPr>
        <w:t>tiembre de 2018. pp. 9-10.</w:t>
      </w:r>
    </w:p>
  </w:footnote>
  <w:footnote w:id="28">
    <w:p w14:paraId="5A2A54AD"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w:t>
      </w:r>
      <w:hyperlink r:id="rId2" w:anchor=":~:text=La%20palabra%20alimento%20(producto%20o,%2C%20adulto%2C%20alto%20y%20proletario" w:history="1">
        <w:r w:rsidRPr="00982700">
          <w:rPr>
            <w:rStyle w:val="Hipervnculo"/>
            <w:rFonts w:ascii="Arial" w:hAnsi="Arial" w:cs="Arial"/>
            <w:sz w:val="19"/>
            <w:szCs w:val="19"/>
          </w:rPr>
          <w:t>https://etimologias.dechile.net/?alimento#:~:text=La%20palabra%20alimento%20(producto%20o,%2C%20adulto%2C%20alto%20y%20proletario</w:t>
        </w:r>
      </w:hyperlink>
      <w:r w:rsidRPr="00982700">
        <w:rPr>
          <w:rFonts w:ascii="Arial" w:hAnsi="Arial" w:cs="Arial"/>
          <w:sz w:val="19"/>
          <w:szCs w:val="19"/>
        </w:rPr>
        <w:t>, consultado el 10 de abril de 2023.</w:t>
      </w:r>
    </w:p>
  </w:footnote>
  <w:footnote w:id="29">
    <w:p w14:paraId="24FF6151"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w:t>
      </w:r>
      <w:r w:rsidRPr="00982700">
        <w:rPr>
          <w:rFonts w:ascii="Arial" w:hAnsi="Arial" w:cs="Arial"/>
          <w:sz w:val="19"/>
          <w:szCs w:val="19"/>
          <w:lang w:val="es-CO"/>
        </w:rPr>
        <w:t>Artículo 1494.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w:t>
      </w:r>
    </w:p>
  </w:footnote>
  <w:footnote w:id="30">
    <w:p w14:paraId="74452C8D"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CLARO SOLAR, Luis. Explicaciones de derecho civil chileno y comparado. Volumen II. Tomo III. Santiago de Chile: Editorial Jurídica de Chile, 2013. pp. 375-376.</w:t>
      </w:r>
    </w:p>
  </w:footnote>
  <w:footnote w:id="31">
    <w:p w14:paraId="1CCB0C0B"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FUEYO LANERI, Fernando. Derecho civil. Tomo VI. Volumen III. Valparaíso: Imprenta litográfica Universo, 1959. p. 554.   </w:t>
      </w:r>
    </w:p>
  </w:footnote>
  <w:footnote w:id="32">
    <w:p w14:paraId="3499CE59" w14:textId="77777777" w:rsidR="00017BE3" w:rsidRPr="0082101F"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Penal. “Artículo 233. </w:t>
      </w:r>
      <w:r w:rsidRPr="00982700">
        <w:rPr>
          <w:rFonts w:ascii="Arial" w:hAnsi="Arial" w:cs="Arial"/>
          <w:sz w:val="19"/>
          <w:szCs w:val="19"/>
          <w:lang w:val="es-ES"/>
        </w:rPr>
        <w:t>El que se sustraiga sin justa causa a la prestación de alimentos legalmente debidos a sus ascendientes, descendientes, adoptante, adoptivo, cónyuge o compañero o compañera permanente, incurrirá en prisión de dieciséis (16) a cincuenta y cuatro (54) meses y multa de trece punto treinta y tres (13.33) a treinta (30) salarios mínimos legales mensuales vigentes. </w:t>
      </w:r>
    </w:p>
    <w:p w14:paraId="0B8E09B2" w14:textId="77777777" w:rsidR="00017BE3" w:rsidRPr="0082101F" w:rsidRDefault="00017BE3" w:rsidP="00017BE3">
      <w:pPr>
        <w:pStyle w:val="Textonotapie"/>
        <w:ind w:firstLine="708"/>
        <w:jc w:val="both"/>
        <w:rPr>
          <w:rFonts w:ascii="Arial" w:hAnsi="Arial" w:cs="Arial"/>
          <w:sz w:val="19"/>
          <w:szCs w:val="19"/>
        </w:rPr>
      </w:pPr>
      <w:r w:rsidRPr="0082101F">
        <w:rPr>
          <w:rFonts w:ascii="Arial" w:hAnsi="Arial" w:cs="Arial"/>
          <w:sz w:val="19"/>
          <w:szCs w:val="19"/>
          <w:lang w:val="es-ES"/>
        </w:rPr>
        <w:t>La pena será de prisión de treinta y dos (32) a setenta y dos (72) meses y multa de veinte (20) a treinta y siete punto cinco (37.5) salarios mínimos legales mensuales vigentes cuando la inasistencia alimentaria se cometa contra un menor.</w:t>
      </w:r>
      <w:r w:rsidRPr="0082101F">
        <w:rPr>
          <w:rFonts w:ascii="Arial" w:hAnsi="Arial" w:cs="Arial"/>
          <w:sz w:val="19"/>
          <w:szCs w:val="19"/>
        </w:rPr>
        <w:t> </w:t>
      </w:r>
    </w:p>
    <w:p w14:paraId="6316B193" w14:textId="77777777" w:rsidR="00017BE3" w:rsidRPr="00982700" w:rsidRDefault="00017BE3" w:rsidP="00017BE3">
      <w:pPr>
        <w:pStyle w:val="Textonotapie"/>
        <w:ind w:firstLine="708"/>
        <w:jc w:val="both"/>
        <w:rPr>
          <w:rFonts w:ascii="Arial" w:hAnsi="Arial" w:cs="Arial"/>
          <w:sz w:val="19"/>
          <w:szCs w:val="19"/>
        </w:rPr>
      </w:pPr>
      <w:r w:rsidRPr="0082101F">
        <w:rPr>
          <w:rFonts w:ascii="Arial" w:hAnsi="Arial" w:cs="Arial"/>
          <w:sz w:val="19"/>
          <w:szCs w:val="19"/>
          <w:lang w:val="es-ES"/>
        </w:rPr>
        <w:t>Parágrafo 1°. Para efectos del presente artículo, se tendrá por compañero y compañera permanente al hombre y la mujer que forman parte de la Unión Marital de Hecho durante un lapso no inferior a dos años en los términos de la Ley 54 de 1990</w:t>
      </w:r>
      <w:r w:rsidRPr="00982700">
        <w:rPr>
          <w:rFonts w:ascii="Arial" w:hAnsi="Arial" w:cs="Arial"/>
          <w:sz w:val="19"/>
          <w:szCs w:val="19"/>
          <w:lang w:val="es-ES"/>
        </w:rPr>
        <w:t>”.</w:t>
      </w:r>
    </w:p>
  </w:footnote>
  <w:footnote w:id="33">
    <w:p w14:paraId="78A75247"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lo pertinente, el artículo 13 de la Ley 1150 de 2007 dispone que “</w:t>
      </w:r>
      <w:r w:rsidRPr="00982700">
        <w:rPr>
          <w:rFonts w:ascii="Arial" w:hAnsi="Arial" w:cs="Arial"/>
          <w:sz w:val="19"/>
          <w:szCs w:val="19"/>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82700">
        <w:rPr>
          <w:rFonts w:ascii="Arial" w:hAnsi="Arial" w:cs="Arial"/>
          <w:sz w:val="19"/>
          <w:szCs w:val="19"/>
        </w:rPr>
        <w:t xml:space="preserve"> </w:t>
      </w:r>
    </w:p>
  </w:footnote>
  <w:footnote w:id="34">
    <w:p w14:paraId="460C73FD"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092 de 2017, “</w:t>
      </w:r>
      <w:bookmarkStart w:id="12" w:name="6"/>
      <w:r w:rsidRPr="00982700">
        <w:rPr>
          <w:rFonts w:ascii="Arial" w:hAnsi="Arial" w:cs="Arial"/>
          <w:sz w:val="19"/>
          <w:szCs w:val="19"/>
          <w:lang w:val="es-CO"/>
        </w:rPr>
        <w:t>Artículo 6.</w:t>
      </w:r>
      <w:bookmarkEnd w:id="12"/>
      <w:r w:rsidRPr="00982700">
        <w:rPr>
          <w:rFonts w:ascii="Arial" w:hAnsi="Arial" w:cs="Arial"/>
          <w:sz w:val="19"/>
          <w:szCs w:val="19"/>
          <w:lang w:val="es-CO"/>
        </w:rPr>
        <w:t>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35">
    <w:p w14:paraId="66CA9709" w14:textId="77777777" w:rsidR="00017BE3" w:rsidRPr="00982700" w:rsidRDefault="00017BE3" w:rsidP="00017BE3">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36">
    <w:p w14:paraId="05112437" w14:textId="77777777" w:rsidR="00017BE3" w:rsidRPr="00982700" w:rsidRDefault="00017BE3" w:rsidP="00017BE3">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982700">
        <w:rPr>
          <w:rFonts w:ascii="Arial" w:hAnsi="Arial" w:cs="Arial"/>
          <w:i/>
          <w:iCs/>
          <w:sz w:val="19"/>
          <w:szCs w:val="19"/>
        </w:rPr>
        <w:t>La única consecuencia normativa del término establecido por el legislador es la de imponerle al Presidente de la República el deber de reglamentar la ley dentro de dicho plazo</w:t>
      </w:r>
      <w:r w:rsidRPr="00982700">
        <w:rPr>
          <w:rFonts w:ascii="Arial" w:hAnsi="Arial" w:cs="Arial"/>
          <w:sz w:val="19"/>
          <w:szCs w:val="19"/>
        </w:rPr>
        <w:t xml:space="preserve">” (CORTE CONSTITUCIONAL. Sentencia C-805 de 2001. M.P. Rodrigo Escobar Gil. Corchetes y énfasis fuera de texto).  </w:t>
      </w:r>
    </w:p>
  </w:footnote>
  <w:footnote w:id="37">
    <w:p w14:paraId="7DA713B0"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GUASTINI, Riccardo. Interpretar y argumentar. Madrid: Centro de Estudios Políticos y Constitucionales, 2014. p. 145. El autor también propone los siguientes ejemplos de </w:t>
      </w:r>
      <w:r w:rsidRPr="00982700">
        <w:rPr>
          <w:rFonts w:ascii="Arial" w:hAnsi="Arial" w:cs="Arial"/>
          <w:i/>
          <w:iCs/>
          <w:sz w:val="19"/>
          <w:szCs w:val="19"/>
        </w:rPr>
        <w:t>lagunas técnicas</w:t>
      </w:r>
      <w:r w:rsidRPr="00982700">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982700">
        <w:rPr>
          <w:rFonts w:ascii="Arial" w:hAnsi="Arial" w:cs="Arial"/>
          <w:i/>
          <w:iCs/>
          <w:sz w:val="19"/>
          <w:szCs w:val="19"/>
        </w:rPr>
        <w:t>Ibidem</w:t>
      </w:r>
      <w:r w:rsidRPr="00982700">
        <w:rPr>
          <w:rFonts w:ascii="Arial" w:hAnsi="Arial" w:cs="Arial"/>
          <w:sz w:val="19"/>
          <w:szCs w:val="19"/>
        </w:rPr>
        <w:t xml:space="preserve">).  </w:t>
      </w:r>
    </w:p>
  </w:footnote>
  <w:footnote w:id="38">
    <w:p w14:paraId="0DAB529B" w14:textId="77777777" w:rsidR="00017BE3" w:rsidRPr="00982700" w:rsidRDefault="00017BE3" w:rsidP="00017BE3">
      <w:pPr>
        <w:spacing w:after="0" w:line="240" w:lineRule="auto"/>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3" w:history="1">
        <w:r w:rsidRPr="00982700">
          <w:rPr>
            <w:rStyle w:val="Hipervnculo"/>
            <w:rFonts w:ascii="Arial" w:hAnsi="Arial" w:cs="Arial"/>
            <w:color w:val="auto"/>
            <w:sz w:val="19"/>
            <w:szCs w:val="19"/>
          </w:rPr>
          <w:t>https://www.beltranpardo.com/wp-content/uploads/2021/02/CorteConstitucional_Inexequibilidadpar%C3%A1grafo2Art6L2014.pdf</w:t>
        </w:r>
      </w:hyperlink>
      <w:r w:rsidRPr="00982700">
        <w:rPr>
          <w:rFonts w:ascii="Arial" w:hAnsi="Arial" w:cs="Arial"/>
          <w:sz w:val="19"/>
          <w:szCs w:val="19"/>
        </w:rPr>
        <w:t xml:space="preserve">).  </w:t>
      </w:r>
    </w:p>
  </w:footnote>
  <w:footnote w:id="39">
    <w:p w14:paraId="008CCDF8"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CORTE CONSTITUCIONAL. Sentencia C-619 del 14 de junio de 2001. M.P. Marco Gerardo Monroy Cabra. </w:t>
      </w:r>
    </w:p>
  </w:footnote>
  <w:footnote w:id="40">
    <w:p w14:paraId="34C64569" w14:textId="77777777" w:rsidR="00017BE3" w:rsidRPr="00982700" w:rsidRDefault="00017BE3" w:rsidP="00017BE3">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Auto de 1 de abril de 2009. Exp. 36476. M.P. Ruth Stella Correa Palacio.  </w:t>
      </w:r>
    </w:p>
  </w:footnote>
  <w:footnote w:id="41">
    <w:p w14:paraId="3561AE54" w14:textId="77777777" w:rsidR="00017BE3" w:rsidRPr="000331AC" w:rsidRDefault="00017BE3" w:rsidP="00017BE3">
      <w:pPr>
        <w:pStyle w:val="Textonotapie"/>
        <w:ind w:firstLine="708"/>
        <w:jc w:val="both"/>
        <w:rPr>
          <w:rFonts w:ascii="Arial" w:hAnsi="Arial" w:cs="Arial"/>
          <w:sz w:val="19"/>
          <w:szCs w:val="19"/>
        </w:rPr>
      </w:pPr>
      <w:r w:rsidRPr="000331AC">
        <w:rPr>
          <w:rStyle w:val="Refdenotaalpie"/>
          <w:rFonts w:ascii="Arial" w:hAnsi="Arial" w:cs="Arial"/>
          <w:sz w:val="19"/>
          <w:szCs w:val="19"/>
        </w:rPr>
        <w:footnoteRef/>
      </w:r>
      <w:r w:rsidRPr="000331AC">
        <w:rPr>
          <w:rFonts w:ascii="Arial" w:hAnsi="Arial" w:cs="Arial"/>
          <w:sz w:val="19"/>
          <w:szCs w:val="19"/>
        </w:rPr>
        <w:t xml:space="preserve"> </w:t>
      </w:r>
      <w:r w:rsidRPr="00982700">
        <w:rPr>
          <w:rFonts w:ascii="Arial" w:hAnsi="Arial" w:cs="Arial"/>
          <w:sz w:val="19"/>
          <w:szCs w:val="19"/>
        </w:rPr>
        <w:t xml:space="preserve">CONGRESO DE LA REPÚBLICA. Gaceta </w:t>
      </w:r>
      <w:r w:rsidRPr="000331A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506</w:t>
      </w:r>
      <w:r w:rsidRPr="00982700">
        <w:rPr>
          <w:rFonts w:ascii="Arial" w:hAnsi="Arial" w:cs="Arial"/>
          <w:sz w:val="19"/>
          <w:szCs w:val="19"/>
        </w:rPr>
        <w:t xml:space="preserve">, del </w:t>
      </w:r>
      <w:r>
        <w:rPr>
          <w:rFonts w:ascii="Arial" w:hAnsi="Arial" w:cs="Arial"/>
          <w:sz w:val="19"/>
          <w:szCs w:val="19"/>
        </w:rPr>
        <w:t>10 de junio de 2019</w:t>
      </w:r>
      <w:r w:rsidRPr="00982700">
        <w:rPr>
          <w:rFonts w:ascii="Arial" w:hAnsi="Arial" w:cs="Arial"/>
          <w:sz w:val="19"/>
          <w:szCs w:val="19"/>
        </w:rPr>
        <w:t>. p</w:t>
      </w:r>
      <w:r>
        <w:rPr>
          <w:rFonts w:ascii="Arial" w:hAnsi="Arial" w:cs="Arial"/>
          <w:sz w:val="19"/>
          <w:szCs w:val="19"/>
        </w:rPr>
        <w:t>. 21</w:t>
      </w:r>
      <w:r w:rsidRPr="00982700">
        <w:rPr>
          <w:rFonts w:ascii="Arial" w:hAnsi="Arial" w:cs="Arial"/>
          <w:sz w:val="19"/>
          <w:szCs w:val="19"/>
        </w:rPr>
        <w:t>.</w:t>
      </w:r>
    </w:p>
  </w:footnote>
  <w:footnote w:id="42">
    <w:p w14:paraId="7F69A20B" w14:textId="77777777" w:rsidR="00017BE3" w:rsidRPr="008357BC" w:rsidRDefault="00017BE3" w:rsidP="00017BE3">
      <w:pPr>
        <w:pStyle w:val="Textonotapie"/>
        <w:ind w:firstLine="708"/>
        <w:jc w:val="both"/>
        <w:rPr>
          <w:rFonts w:ascii="Arial" w:hAnsi="Arial" w:cs="Arial"/>
          <w:sz w:val="19"/>
          <w:szCs w:val="19"/>
        </w:rPr>
      </w:pPr>
      <w:r w:rsidRPr="008357BC">
        <w:rPr>
          <w:rStyle w:val="Refdenotaalpie"/>
          <w:rFonts w:ascii="Arial" w:hAnsi="Arial" w:cs="Arial"/>
          <w:sz w:val="19"/>
          <w:szCs w:val="19"/>
        </w:rPr>
        <w:footnoteRef/>
      </w:r>
      <w:r w:rsidRPr="008357BC">
        <w:rPr>
          <w:rFonts w:ascii="Arial" w:hAnsi="Arial" w:cs="Arial"/>
          <w:sz w:val="19"/>
          <w:szCs w:val="19"/>
        </w:rPr>
        <w:t xml:space="preserve"> </w:t>
      </w:r>
      <w:r w:rsidRPr="00982700">
        <w:rPr>
          <w:rFonts w:ascii="Arial" w:hAnsi="Arial" w:cs="Arial"/>
          <w:sz w:val="19"/>
          <w:szCs w:val="19"/>
        </w:rPr>
        <w:t xml:space="preserve">CONGRESO DE LA REPÚBLICA. Gaceta </w:t>
      </w:r>
      <w:r w:rsidRPr="008357B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563</w:t>
      </w:r>
      <w:r w:rsidRPr="00982700">
        <w:rPr>
          <w:rFonts w:ascii="Arial" w:hAnsi="Arial" w:cs="Arial"/>
          <w:sz w:val="19"/>
          <w:szCs w:val="19"/>
        </w:rPr>
        <w:t xml:space="preserve">, del </w:t>
      </w:r>
      <w:r>
        <w:rPr>
          <w:rFonts w:ascii="Arial" w:hAnsi="Arial" w:cs="Arial"/>
          <w:sz w:val="19"/>
          <w:szCs w:val="19"/>
        </w:rPr>
        <w:t>18 de junio de 2019</w:t>
      </w:r>
      <w:r w:rsidRPr="00982700">
        <w:rPr>
          <w:rFonts w:ascii="Arial" w:hAnsi="Arial" w:cs="Arial"/>
          <w:sz w:val="19"/>
          <w:szCs w:val="19"/>
        </w:rPr>
        <w:t>. p</w:t>
      </w:r>
      <w:r>
        <w:rPr>
          <w:rFonts w:ascii="Arial" w:hAnsi="Arial" w:cs="Arial"/>
          <w:sz w:val="19"/>
          <w:szCs w:val="19"/>
        </w:rPr>
        <w:t>. 4</w:t>
      </w:r>
      <w:r w:rsidRPr="00982700">
        <w:rPr>
          <w:rFonts w:ascii="Arial" w:hAnsi="Arial" w:cs="Arial"/>
          <w:sz w:val="19"/>
          <w:szCs w:val="19"/>
        </w:rPr>
        <w:t>.</w:t>
      </w:r>
    </w:p>
  </w:footnote>
  <w:footnote w:id="43">
    <w:p w14:paraId="127A7A2B" w14:textId="77777777" w:rsidR="00017BE3" w:rsidRPr="00E8731D" w:rsidRDefault="00017BE3" w:rsidP="00017BE3">
      <w:pPr>
        <w:pStyle w:val="Textonotapie"/>
        <w:ind w:firstLine="709"/>
        <w:rPr>
          <w:rFonts w:ascii="Arial" w:hAnsi="Arial" w:cs="Arial"/>
          <w:sz w:val="19"/>
          <w:szCs w:val="19"/>
        </w:rPr>
      </w:pPr>
      <w:r w:rsidRPr="00E8731D">
        <w:rPr>
          <w:rStyle w:val="Refdenotaalpie"/>
          <w:rFonts w:ascii="Arial" w:hAnsi="Arial" w:cs="Arial"/>
          <w:sz w:val="19"/>
          <w:szCs w:val="19"/>
        </w:rPr>
        <w:footnoteRef/>
      </w:r>
      <w:r w:rsidRPr="00E8731D">
        <w:rPr>
          <w:rFonts w:ascii="Arial" w:hAnsi="Arial" w:cs="Arial"/>
          <w:sz w:val="19"/>
          <w:szCs w:val="19"/>
        </w:rPr>
        <w:t xml:space="preserve"> MARÍN CORTÉS, Fabián Gonzalo. El reglamento, como fuente del derecho administrativo. En: las fuentes del derecho administrativo. Texto inédito. p. 203.</w:t>
      </w:r>
    </w:p>
  </w:footnote>
  <w:footnote w:id="44">
    <w:p w14:paraId="7FAD90B8" w14:textId="77777777" w:rsidR="00017BE3" w:rsidRPr="00E8731D" w:rsidRDefault="00017BE3" w:rsidP="00017BE3">
      <w:pPr>
        <w:pStyle w:val="Textonotapie"/>
        <w:ind w:firstLine="709"/>
        <w:rPr>
          <w:rFonts w:ascii="Arial" w:hAnsi="Arial" w:cs="Arial"/>
          <w:sz w:val="19"/>
          <w:szCs w:val="19"/>
          <w:lang w:val="es-ES"/>
        </w:rPr>
      </w:pPr>
      <w:r w:rsidRPr="00E8731D">
        <w:rPr>
          <w:rStyle w:val="Refdenotaalpie"/>
          <w:rFonts w:ascii="Arial" w:hAnsi="Arial" w:cs="Arial"/>
          <w:sz w:val="19"/>
          <w:szCs w:val="19"/>
        </w:rPr>
        <w:footnoteRef/>
      </w:r>
      <w:r w:rsidRPr="00E8731D">
        <w:rPr>
          <w:rFonts w:ascii="Arial" w:hAnsi="Arial" w:cs="Arial"/>
          <w:sz w:val="19"/>
          <w:szCs w:val="19"/>
        </w:rPr>
        <w:t xml:space="preserve"> </w:t>
      </w:r>
      <w:r w:rsidRPr="00E8731D">
        <w:rPr>
          <w:rFonts w:ascii="Arial" w:hAnsi="Arial" w:cs="Arial"/>
          <w:i/>
          <w:iCs/>
          <w:sz w:val="19"/>
          <w:szCs w:val="19"/>
        </w:rPr>
        <w:t>Ibidem</w:t>
      </w:r>
      <w:r w:rsidRPr="00E8731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1222C"/>
    <w:rsid w:val="00017BE3"/>
    <w:rsid w:val="00063F10"/>
    <w:rsid w:val="00070646"/>
    <w:rsid w:val="00083334"/>
    <w:rsid w:val="000956CF"/>
    <w:rsid w:val="000A683E"/>
    <w:rsid w:val="001141F2"/>
    <w:rsid w:val="0011595A"/>
    <w:rsid w:val="001179D0"/>
    <w:rsid w:val="001220C5"/>
    <w:rsid w:val="001267F7"/>
    <w:rsid w:val="00127233"/>
    <w:rsid w:val="00130999"/>
    <w:rsid w:val="00164D81"/>
    <w:rsid w:val="001A1011"/>
    <w:rsid w:val="001A3567"/>
    <w:rsid w:val="001A48D0"/>
    <w:rsid w:val="002653C1"/>
    <w:rsid w:val="0026611D"/>
    <w:rsid w:val="00281625"/>
    <w:rsid w:val="002951A0"/>
    <w:rsid w:val="002A64FD"/>
    <w:rsid w:val="002F0839"/>
    <w:rsid w:val="00301469"/>
    <w:rsid w:val="00306EE1"/>
    <w:rsid w:val="00310B9B"/>
    <w:rsid w:val="0032356C"/>
    <w:rsid w:val="0036461C"/>
    <w:rsid w:val="00367884"/>
    <w:rsid w:val="0039439C"/>
    <w:rsid w:val="003B69E7"/>
    <w:rsid w:val="003C013B"/>
    <w:rsid w:val="003D0F4D"/>
    <w:rsid w:val="003F58A1"/>
    <w:rsid w:val="00410DD6"/>
    <w:rsid w:val="004134C9"/>
    <w:rsid w:val="0043138C"/>
    <w:rsid w:val="00462A59"/>
    <w:rsid w:val="004A1847"/>
    <w:rsid w:val="004B6B0E"/>
    <w:rsid w:val="004D25B3"/>
    <w:rsid w:val="004D3E6E"/>
    <w:rsid w:val="00511405"/>
    <w:rsid w:val="00526E9D"/>
    <w:rsid w:val="00547856"/>
    <w:rsid w:val="00547A74"/>
    <w:rsid w:val="005566E8"/>
    <w:rsid w:val="005746AB"/>
    <w:rsid w:val="0059357F"/>
    <w:rsid w:val="005A1130"/>
    <w:rsid w:val="005D65C8"/>
    <w:rsid w:val="005F541D"/>
    <w:rsid w:val="0061594E"/>
    <w:rsid w:val="006219F8"/>
    <w:rsid w:val="00681FDB"/>
    <w:rsid w:val="006A7DAD"/>
    <w:rsid w:val="006D70BA"/>
    <w:rsid w:val="007566FE"/>
    <w:rsid w:val="007658D2"/>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165E2"/>
    <w:rsid w:val="0095342C"/>
    <w:rsid w:val="009A4F60"/>
    <w:rsid w:val="009E04A2"/>
    <w:rsid w:val="009E64AE"/>
    <w:rsid w:val="009F33F2"/>
    <w:rsid w:val="009F6C77"/>
    <w:rsid w:val="00A07532"/>
    <w:rsid w:val="00A1085C"/>
    <w:rsid w:val="00A309E2"/>
    <w:rsid w:val="00A8066E"/>
    <w:rsid w:val="00AA42EC"/>
    <w:rsid w:val="00AA4B8A"/>
    <w:rsid w:val="00AA6BF7"/>
    <w:rsid w:val="00B01ED6"/>
    <w:rsid w:val="00B06D09"/>
    <w:rsid w:val="00B771A9"/>
    <w:rsid w:val="00B809BB"/>
    <w:rsid w:val="00B8248A"/>
    <w:rsid w:val="00B86BFF"/>
    <w:rsid w:val="00BB7726"/>
    <w:rsid w:val="00C2329E"/>
    <w:rsid w:val="00C30461"/>
    <w:rsid w:val="00C67EBE"/>
    <w:rsid w:val="00C754BE"/>
    <w:rsid w:val="00C87572"/>
    <w:rsid w:val="00C9405D"/>
    <w:rsid w:val="00CC1B26"/>
    <w:rsid w:val="00CD284F"/>
    <w:rsid w:val="00CF23AA"/>
    <w:rsid w:val="00D01921"/>
    <w:rsid w:val="00D15404"/>
    <w:rsid w:val="00D2453D"/>
    <w:rsid w:val="00D752B7"/>
    <w:rsid w:val="00DA1854"/>
    <w:rsid w:val="00DA7B2A"/>
    <w:rsid w:val="00DB0887"/>
    <w:rsid w:val="00DF1E43"/>
    <w:rsid w:val="00DF4A12"/>
    <w:rsid w:val="00E20894"/>
    <w:rsid w:val="00E26B7C"/>
    <w:rsid w:val="00E95F3A"/>
    <w:rsid w:val="00EA3003"/>
    <w:rsid w:val="00EB3C91"/>
    <w:rsid w:val="00EB66DA"/>
    <w:rsid w:val="00F605F2"/>
    <w:rsid w:val="00F76AFC"/>
    <w:rsid w:val="00F8319B"/>
    <w:rsid w:val="00FA1CD3"/>
    <w:rsid w:val="00FA5516"/>
    <w:rsid w:val="00FB22F9"/>
    <w:rsid w:val="00FC140D"/>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017BE3"/>
    <w:rPr>
      <w:color w:val="0563C1" w:themeColor="hyperlink"/>
      <w:u w:val="single"/>
    </w:rPr>
  </w:style>
  <w:style w:type="paragraph" w:customStyle="1" w:styleId="Appelnotedebasde">
    <w:name w:val="Appel note de bas de..."/>
    <w:basedOn w:val="Normal"/>
    <w:link w:val="Refdenotaalpie"/>
    <w:uiPriority w:val="99"/>
    <w:rsid w:val="00017BE3"/>
    <w:pPr>
      <w:spacing w:line="240" w:lineRule="exact"/>
    </w:pPr>
    <w:rPr>
      <w:vertAlign w:val="superscript"/>
    </w:rPr>
  </w:style>
  <w:style w:type="paragraph" w:styleId="NormalWeb">
    <w:name w:val="Normal (Web)"/>
    <w:basedOn w:val="Normal"/>
    <w:link w:val="NormalWebCar"/>
    <w:uiPriority w:val="99"/>
    <w:unhideWhenUsed/>
    <w:rsid w:val="00017B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017BE3"/>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017BE3"/>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017BE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am.gov.co/information-p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am.gov.co/information-pag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am.gov.co/information-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beltranpardo.com/wp-content/uploads/2021/02/CorteConstitucional_Inexequibilidadpar%C3%A1grafo2Art6L2014.pdf" TargetMode="External"/><Relationship Id="rId2" Type="http://schemas.openxmlformats.org/officeDocument/2006/relationships/hyperlink" Target="https://etimologias.dechile.net/?alimento"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4B194B2-4437-41A1-9738-6FEB55EB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a6cb9e4b-f1d1-4245-83ec-6cad768d538a"/>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d85dbaf-23eb-4e57-a637-93dcacc8b1a1"/>
    <ds:schemaRef ds:uri="http://www.w3.org/XML/1998/namespace"/>
  </ds:schemaRefs>
</ds:datastoreItem>
</file>

<file path=customXml/itemProps4.xml><?xml version="1.0" encoding="utf-8"?>
<ds:datastoreItem xmlns:ds="http://schemas.openxmlformats.org/officeDocument/2006/customXml" ds:itemID="{8BA0C32E-2D4E-4E5E-9116-D472F7B5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9920</Words>
  <Characters>54564</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2023-05-25T22:15:00Z</dcterms:created>
  <dcterms:modified xsi:type="dcterms:W3CDTF">2023-05-25T22:15:00Z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