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7056B" w14:textId="77777777" w:rsidR="005709B9" w:rsidRPr="00A51520" w:rsidRDefault="005709B9" w:rsidP="005709B9">
      <w:pPr>
        <w:jc w:val="right"/>
        <w:rPr>
          <w:rFonts w:ascii="Arial" w:eastAsia="Calibri" w:hAnsi="Arial" w:cs="Arial"/>
          <w:b/>
          <w:color w:val="000000" w:themeColor="text1"/>
          <w:sz w:val="20"/>
          <w:szCs w:val="20"/>
          <w:lang w:val="es-ES_tradnl"/>
        </w:rPr>
      </w:pPr>
      <w:bookmarkStart w:id="0" w:name="_Hlk28946138"/>
      <w:bookmarkStart w:id="1" w:name="_Hlk29548183"/>
      <w:r w:rsidRPr="00A51520">
        <w:rPr>
          <w:rFonts w:ascii="Arial" w:hAnsi="Arial" w:cs="Arial"/>
          <w:b/>
          <w:color w:val="000000" w:themeColor="text1"/>
          <w:sz w:val="16"/>
          <w:szCs w:val="16"/>
          <w:lang w:val="es-ES_tradnl" w:eastAsia="es-ES"/>
        </w:rPr>
        <w:t>CCE-DES-FM-17</w:t>
      </w:r>
      <w:bookmarkStart w:id="2" w:name="_Hlk50481752"/>
      <w:bookmarkEnd w:id="0"/>
      <w:bookmarkEnd w:id="1"/>
    </w:p>
    <w:bookmarkEnd w:id="2"/>
    <w:p w14:paraId="6957ADA4" w14:textId="77777777" w:rsidR="005709B9" w:rsidRPr="00612797" w:rsidRDefault="005709B9" w:rsidP="005709B9">
      <w:pPr>
        <w:jc w:val="both"/>
        <w:rPr>
          <w:rFonts w:ascii="Arial" w:hAnsi="Arial" w:cs="Arial"/>
          <w:b/>
          <w:bCs/>
        </w:rPr>
      </w:pPr>
      <w:r w:rsidRPr="000E55DA">
        <w:rPr>
          <w:rFonts w:ascii="Arial" w:hAnsi="Arial" w:cs="Arial"/>
          <w:b/>
          <w:bCs/>
        </w:rPr>
        <w:t xml:space="preserve">EXPERIENCIA </w:t>
      </w:r>
      <w:bookmarkStart w:id="3" w:name="_Hlk39676694"/>
      <w:r w:rsidRPr="000E55DA">
        <w:rPr>
          <w:rFonts w:ascii="Arial" w:eastAsia="Calibri" w:hAnsi="Arial" w:cs="Arial"/>
          <w:b/>
        </w:rPr>
        <w:t>–</w:t>
      </w:r>
      <w:bookmarkEnd w:id="3"/>
      <w:r w:rsidRPr="000E55DA">
        <w:rPr>
          <w:rFonts w:ascii="Arial" w:eastAsia="Calibri" w:hAnsi="Arial" w:cs="Arial"/>
          <w:b/>
        </w:rPr>
        <w:t xml:space="preserve"> Concepto </w:t>
      </w:r>
    </w:p>
    <w:p w14:paraId="63AD4943" w14:textId="77777777" w:rsidR="005709B9" w:rsidRPr="00E61502" w:rsidRDefault="005709B9" w:rsidP="005709B9">
      <w:pPr>
        <w:spacing w:after="0"/>
        <w:jc w:val="both"/>
        <w:rPr>
          <w:rFonts w:ascii="Arial" w:hAnsi="Arial" w:cs="Arial"/>
          <w:sz w:val="20"/>
          <w:szCs w:val="20"/>
          <w:lang w:eastAsia="es-ES"/>
        </w:rPr>
      </w:pPr>
      <w:r w:rsidRPr="00150A26">
        <w:rPr>
          <w:rFonts w:ascii="Arial" w:hAnsi="Arial" w:cs="Arial"/>
          <w:sz w:val="20"/>
          <w:szCs w:val="20"/>
          <w:lang w:eastAsia="es-ES"/>
        </w:rPr>
        <w:t>[…],</w:t>
      </w:r>
      <w:r>
        <w:rPr>
          <w:rFonts w:ascii="Arial" w:hAnsi="Arial" w:cs="Arial"/>
          <w:sz w:val="20"/>
          <w:szCs w:val="20"/>
          <w:lang w:eastAsia="es-ES"/>
        </w:rPr>
        <w:t xml:space="preserve"> </w:t>
      </w:r>
      <w:r w:rsidRPr="00E61502">
        <w:rPr>
          <w:rFonts w:ascii="Arial" w:hAnsi="Arial" w:cs="Arial"/>
          <w:sz w:val="20"/>
          <w:szCs w:val="20"/>
          <w:lang w:eastAsia="es-ES"/>
        </w:rPr>
        <w:t xml:space="preserve">se pueden extraer cuatro conclusiones relevantes respecto de la experiencia, para evaluar a continuación las figuras y reformas estatutarias de las sociedades comerciales: </w:t>
      </w:r>
    </w:p>
    <w:p w14:paraId="09E083A2" w14:textId="77777777" w:rsidR="005709B9" w:rsidRPr="00E61502" w:rsidRDefault="005709B9" w:rsidP="005709B9">
      <w:pPr>
        <w:spacing w:after="0"/>
        <w:jc w:val="both"/>
        <w:rPr>
          <w:rFonts w:ascii="Arial" w:hAnsi="Arial" w:cs="Arial"/>
          <w:sz w:val="20"/>
          <w:szCs w:val="20"/>
          <w:lang w:eastAsia="es-ES"/>
        </w:rPr>
      </w:pPr>
      <w:r w:rsidRPr="00E61502">
        <w:rPr>
          <w:rFonts w:ascii="Arial" w:hAnsi="Arial" w:cs="Arial"/>
          <w:sz w:val="20"/>
          <w:szCs w:val="20"/>
          <w:lang w:eastAsia="es-ES"/>
        </w:rPr>
        <w:t>i) La experiencia es personal, esto es, se adquiere participando, directa o indirectamente, sin que sea posible no hacerlo y tener experiencia.</w:t>
      </w:r>
    </w:p>
    <w:p w14:paraId="05268DBC" w14:textId="77777777" w:rsidR="005709B9" w:rsidRPr="00E61502" w:rsidRDefault="005709B9" w:rsidP="005709B9">
      <w:pPr>
        <w:spacing w:after="0"/>
        <w:jc w:val="both"/>
        <w:rPr>
          <w:rFonts w:ascii="Arial" w:hAnsi="Arial" w:cs="Arial"/>
          <w:sz w:val="20"/>
          <w:szCs w:val="20"/>
          <w:lang w:eastAsia="es-ES"/>
        </w:rPr>
      </w:pPr>
      <w:r w:rsidRPr="00E61502">
        <w:rPr>
          <w:rFonts w:ascii="Arial" w:hAnsi="Arial" w:cs="Arial"/>
          <w:sz w:val="20"/>
          <w:szCs w:val="20"/>
          <w:lang w:eastAsia="es-ES"/>
        </w:rPr>
        <w:t>ii) La experiencia se puede compartir, sin que implique que la compartida a una persona se entienda suya, ya que dentro del procedimiento contractual se reflejará que esa persona tiene la experiencia de otra, como es el caso de las figuras asociativas  –consorcios y uniones temporales– que se verificará en el documento privado de constitución.</w:t>
      </w:r>
    </w:p>
    <w:p w14:paraId="33181B65" w14:textId="77777777" w:rsidR="005709B9" w:rsidRPr="00E61502" w:rsidRDefault="005709B9" w:rsidP="005709B9">
      <w:pPr>
        <w:spacing w:after="0"/>
        <w:jc w:val="both"/>
        <w:rPr>
          <w:rFonts w:ascii="Arial" w:hAnsi="Arial" w:cs="Arial"/>
          <w:sz w:val="20"/>
          <w:szCs w:val="20"/>
          <w:lang w:eastAsia="es-ES"/>
        </w:rPr>
      </w:pPr>
      <w:r w:rsidRPr="00E61502">
        <w:rPr>
          <w:rFonts w:ascii="Arial" w:hAnsi="Arial" w:cs="Arial"/>
          <w:sz w:val="20"/>
          <w:szCs w:val="20"/>
          <w:lang w:eastAsia="es-ES"/>
        </w:rPr>
        <w:t>iii) La experiencia se puede transferir, y esto es diferente a compartir, lo que implica que la experiencia de una persona se traslada a otra, y esta última acredita la experiencia como propia, como sucede con algunas figuras y reformas estatutarias, que se explicarán con más detalle en el numeral 2.2. de este concepto.</w:t>
      </w:r>
    </w:p>
    <w:p w14:paraId="3EDFD113" w14:textId="77777777" w:rsidR="005709B9" w:rsidRPr="00150A26" w:rsidRDefault="005709B9" w:rsidP="005709B9">
      <w:pPr>
        <w:spacing w:after="0"/>
        <w:jc w:val="both"/>
        <w:rPr>
          <w:rFonts w:ascii="Arial" w:hAnsi="Arial" w:cs="Arial"/>
          <w:sz w:val="20"/>
          <w:szCs w:val="20"/>
          <w:lang w:eastAsia="es-ES"/>
        </w:rPr>
      </w:pPr>
      <w:r w:rsidRPr="00E61502">
        <w:rPr>
          <w:rFonts w:ascii="Arial" w:hAnsi="Arial" w:cs="Arial"/>
          <w:sz w:val="20"/>
          <w:szCs w:val="20"/>
          <w:lang w:eastAsia="es-ES"/>
        </w:rPr>
        <w:t>iv) Cuando la persona que adquirió la experiencia desaparece o se liquida no es posible que comparta o transfiera su experiencia, puesto que, al ser esta personal, sigue la suerte de quien la adquirió.</w:t>
      </w:r>
    </w:p>
    <w:p w14:paraId="2B64A882" w14:textId="77777777" w:rsidR="005709B9" w:rsidRPr="000E55DA" w:rsidRDefault="005709B9" w:rsidP="005709B9">
      <w:pPr>
        <w:jc w:val="both"/>
        <w:rPr>
          <w:rFonts w:ascii="Arial" w:hAnsi="Arial" w:cs="Arial"/>
          <w:b/>
          <w:bCs/>
          <w:highlight w:val="yellow"/>
          <w:lang w:eastAsia="es-ES"/>
        </w:rPr>
      </w:pPr>
    </w:p>
    <w:p w14:paraId="4FA15E90" w14:textId="77777777" w:rsidR="005709B9" w:rsidRPr="00612797" w:rsidRDefault="005709B9" w:rsidP="005709B9">
      <w:pPr>
        <w:jc w:val="both"/>
        <w:rPr>
          <w:rFonts w:ascii="Arial" w:hAnsi="Arial" w:cs="Arial"/>
          <w:b/>
          <w:bCs/>
          <w:lang w:eastAsia="es-ES"/>
        </w:rPr>
      </w:pPr>
      <w:r w:rsidRPr="00E61502">
        <w:rPr>
          <w:rFonts w:ascii="Arial" w:hAnsi="Arial" w:cs="Arial"/>
          <w:b/>
          <w:bCs/>
          <w:lang w:eastAsia="es-ES"/>
        </w:rPr>
        <w:t xml:space="preserve">EXPERIENCIA </w:t>
      </w:r>
      <w:r w:rsidRPr="00E61502">
        <w:rPr>
          <w:rFonts w:ascii="Arial" w:eastAsia="Calibri" w:hAnsi="Arial" w:cs="Arial"/>
          <w:b/>
          <w:bCs/>
          <w:lang w:eastAsia="es-ES"/>
        </w:rPr>
        <w:t>– Transformación</w:t>
      </w:r>
    </w:p>
    <w:p w14:paraId="7CB5A442" w14:textId="77777777" w:rsidR="005709B9" w:rsidRPr="00612797" w:rsidRDefault="005709B9" w:rsidP="005709B9">
      <w:pPr>
        <w:autoSpaceDE w:val="0"/>
        <w:autoSpaceDN w:val="0"/>
        <w:adjustRightInd w:val="0"/>
        <w:jc w:val="both"/>
        <w:rPr>
          <w:rFonts w:ascii="Arial" w:hAnsi="Arial" w:cs="Arial"/>
          <w:sz w:val="20"/>
          <w:szCs w:val="20"/>
          <w:lang w:eastAsia="es-ES"/>
        </w:rPr>
      </w:pPr>
      <w:r w:rsidRPr="00E61502">
        <w:rPr>
          <w:rFonts w:ascii="Arial" w:hAnsi="Arial" w:cs="Arial"/>
          <w:sz w:val="20"/>
          <w:szCs w:val="20"/>
          <w:lang w:eastAsia="es-ES"/>
        </w:rPr>
        <w:t>Respecto de la experiencia, teniendo en cuenta que la sociedad solo cambia su forma, lo cual, de acuerdo con el Código de Comercio, no afecta sus actividades, la sociedad continuará con la experiencia adquirida, ya que la misma es personal y mientras la persona jurídica exista la experiencia sigue vigente y puede incrementarse, siempre que la empresa continúe ejecutando contratos que le permitan aumentar el conocimiento en su objeto social. Esto se reafirma teniendo en cuenta que en la transformación la norma señala expresamente que la sociedad no se «disuelve» y, por ende, tampoco se «liquida», porque, de acuerdo con el artículo 222 del Código de Comercio, para «liquidarse» necesita estar «disuelta». De esta manera, solo cambia el tipo societario que había adoptado en su constitución, es decir, no sufre modificaciones o alteraciones y por eso puede continuar adquiriendo experiencia y compartirla, pero no puede trasladarla, porque para ello tendría que «disolverse» –o conformar un consorcio–, como se verá en la fusión y en una de las modalidades de escisión</w:t>
      </w:r>
      <w:r>
        <w:rPr>
          <w:rFonts w:ascii="Arial" w:hAnsi="Arial" w:cs="Arial"/>
          <w:sz w:val="20"/>
          <w:szCs w:val="20"/>
          <w:lang w:eastAsia="es-ES"/>
        </w:rPr>
        <w:t xml:space="preserve">. </w:t>
      </w:r>
    </w:p>
    <w:p w14:paraId="5F6B7208" w14:textId="77777777" w:rsidR="005709B9" w:rsidRPr="00612797" w:rsidRDefault="005709B9" w:rsidP="005709B9">
      <w:pPr>
        <w:jc w:val="both"/>
        <w:rPr>
          <w:rFonts w:ascii="Arial" w:hAnsi="Arial" w:cs="Arial"/>
          <w:b/>
          <w:bCs/>
        </w:rPr>
      </w:pPr>
      <w:r w:rsidRPr="000E55DA">
        <w:rPr>
          <w:rFonts w:ascii="Arial" w:hAnsi="Arial" w:cs="Arial"/>
          <w:b/>
          <w:bCs/>
        </w:rPr>
        <w:t xml:space="preserve">EXPERIENCIA </w:t>
      </w:r>
      <w:r w:rsidRPr="000E55DA">
        <w:rPr>
          <w:rFonts w:ascii="Arial" w:eastAsia="Calibri" w:hAnsi="Arial" w:cs="Arial"/>
          <w:b/>
        </w:rPr>
        <w:t>– Escisión</w:t>
      </w:r>
    </w:p>
    <w:p w14:paraId="38029910" w14:textId="77777777" w:rsidR="005709B9" w:rsidRPr="00150A26" w:rsidRDefault="005709B9" w:rsidP="005709B9">
      <w:pPr>
        <w:jc w:val="both"/>
        <w:rPr>
          <w:rFonts w:ascii="Arial" w:hAnsi="Arial" w:cs="Arial"/>
          <w:sz w:val="20"/>
          <w:szCs w:val="20"/>
          <w:lang w:eastAsia="es-ES"/>
        </w:rPr>
      </w:pPr>
      <w:r w:rsidRPr="00E61502">
        <w:rPr>
          <w:rFonts w:ascii="Arial" w:hAnsi="Arial" w:cs="Arial"/>
          <w:sz w:val="20"/>
          <w:szCs w:val="20"/>
          <w:lang w:eastAsia="es-ES"/>
        </w:rPr>
        <w:t>Para la primera modalidad de escisión, teniendo en cuenta que la sociedad continúa sin alteraciones, esta puede compartir la experiencia a través de esquemas asociativos, pero no la transfiere, porque para ello tendría que «disolverse» sin «liquidarse», puesto que la «liquidación» implicaría que desaparece la persona y así su experiencia. Para explicarlo, hay que retomar la definición de «disolución», donde la persona jurídica no desaparece y solo puede hacer trámites para «liquidarse». Sin embargo, hay una excepción a esa regla y es, precisamente, la de las figuras y reformas estatutarias que aquí se explican, particularmente la fusión, ya que por esa excepción la persona tiene continuidad en otra persona, y sigue siendo quien era, lo cual no es el caso de la escisión, ya que en la primera modalidad no existe «disolución». Esto significa que la persona continúa por sí misma y puede adquirir experiencia, pero no puede transferirla porque le pertenece, al ser quien la adquirió</w:t>
      </w:r>
      <w:r>
        <w:rPr>
          <w:rFonts w:ascii="Arial" w:hAnsi="Arial" w:cs="Arial"/>
          <w:sz w:val="20"/>
          <w:szCs w:val="20"/>
          <w:lang w:eastAsia="es-ES"/>
        </w:rPr>
        <w:t xml:space="preserve">. </w:t>
      </w:r>
    </w:p>
    <w:p w14:paraId="56B6D3D4" w14:textId="77777777" w:rsidR="005709B9" w:rsidRPr="00150A26" w:rsidRDefault="005709B9" w:rsidP="005709B9">
      <w:pPr>
        <w:jc w:val="both"/>
        <w:rPr>
          <w:rFonts w:ascii="Arial" w:hAnsi="Arial" w:cs="Arial"/>
          <w:sz w:val="20"/>
          <w:szCs w:val="20"/>
        </w:rPr>
      </w:pPr>
      <w:r w:rsidRPr="00E61502">
        <w:rPr>
          <w:rFonts w:ascii="Arial" w:hAnsi="Arial" w:cs="Arial"/>
          <w:sz w:val="20"/>
          <w:szCs w:val="20"/>
        </w:rPr>
        <w:t xml:space="preserve">Por otro lado, a pesar de que en la segunda modalidad existe «disolución», no hay transferencia de la experiencia porque la persona jurídica fraccionada deja de ser quien es y desaparece, quedando dividida en varias sociedades nuevas o existentes que reciben su patrimonio, sin que sea posible determinar cuál </w:t>
      </w:r>
      <w:r w:rsidRPr="00E61502">
        <w:rPr>
          <w:rFonts w:ascii="Arial" w:hAnsi="Arial" w:cs="Arial"/>
          <w:sz w:val="20"/>
          <w:szCs w:val="20"/>
        </w:rPr>
        <w:lastRenderedPageBreak/>
        <w:t>de todas las sociedades que recibieron parte del patrimonio de la sociedad escindida tiene la experiencia. Tampoco es posible que todas las sociedades que recibieron el patrimonio acrediten la misma experiencia multiplicándola tantas veces sea necesario, porque la experiencia es de quien la adquirió y como esa persona jurídica no puede continuar en otra persona, porque desapareció, quedando fraccionada en 2 o más partes, esto no corresponde con la definición de experiencia personal ni de transferencia de experiencia, donde la persona jurídica sigue siendo quien es a través de otra, sin cambios como fraccionamientos que implican que la persona ya no sea quien era y desaparezca</w:t>
      </w:r>
      <w:r>
        <w:rPr>
          <w:rFonts w:ascii="Arial" w:hAnsi="Arial" w:cs="Arial"/>
          <w:sz w:val="20"/>
          <w:szCs w:val="20"/>
        </w:rPr>
        <w:t xml:space="preserve">. </w:t>
      </w:r>
    </w:p>
    <w:p w14:paraId="3EE93DC3" w14:textId="77777777" w:rsidR="005709B9" w:rsidRPr="00612797" w:rsidRDefault="005709B9" w:rsidP="005709B9">
      <w:pPr>
        <w:widowControl w:val="0"/>
        <w:autoSpaceDE w:val="0"/>
        <w:autoSpaceDN w:val="0"/>
        <w:ind w:right="102"/>
        <w:jc w:val="both"/>
        <w:rPr>
          <w:rFonts w:ascii="Arial" w:eastAsia="Arial" w:hAnsi="Arial" w:cs="Arial"/>
          <w:b/>
          <w:lang w:val="es-ES"/>
        </w:rPr>
      </w:pPr>
      <w:r w:rsidRPr="000E55DA">
        <w:rPr>
          <w:rFonts w:ascii="Arial" w:eastAsia="Arial" w:hAnsi="Arial" w:cs="Arial"/>
          <w:b/>
          <w:lang w:val="es-ES"/>
        </w:rPr>
        <w:t xml:space="preserve">EXPERIENCIA – Fusión </w:t>
      </w:r>
      <w:r>
        <w:rPr>
          <w:rFonts w:ascii="Arial" w:eastAsia="Arial" w:hAnsi="Arial" w:cs="Arial"/>
          <w:b/>
          <w:lang w:val="es-ES"/>
        </w:rPr>
        <w:t>- Absorción</w:t>
      </w:r>
    </w:p>
    <w:p w14:paraId="14F34233" w14:textId="77777777" w:rsidR="005709B9" w:rsidRPr="00150A26" w:rsidRDefault="005709B9" w:rsidP="005709B9">
      <w:pPr>
        <w:widowControl w:val="0"/>
        <w:autoSpaceDE w:val="0"/>
        <w:autoSpaceDN w:val="0"/>
        <w:jc w:val="both"/>
        <w:rPr>
          <w:rFonts w:ascii="Arial" w:eastAsia="Calibri" w:hAnsi="Arial" w:cs="Arial"/>
          <w:sz w:val="20"/>
          <w:szCs w:val="20"/>
          <w:lang w:eastAsia="es-ES"/>
        </w:rPr>
      </w:pPr>
      <w:r w:rsidRPr="00E61502">
        <w:rPr>
          <w:rFonts w:ascii="Arial" w:eastAsia="Calibri" w:hAnsi="Arial" w:cs="Arial"/>
          <w:bCs/>
          <w:sz w:val="20"/>
          <w:szCs w:val="20"/>
          <w:lang w:eastAsia="es-ES"/>
        </w:rPr>
        <w:t xml:space="preserve">Para analizar la fusión y sus efectos respecto de la experiencia de la sociedad que se </w:t>
      </w:r>
      <w:r w:rsidRPr="00E61502">
        <w:rPr>
          <w:rFonts w:ascii="Arial" w:eastAsia="Calibri" w:hAnsi="Arial" w:cs="Arial"/>
          <w:sz w:val="20"/>
          <w:szCs w:val="20"/>
          <w:lang w:eastAsia="es-ES"/>
        </w:rPr>
        <w:t>«</w:t>
      </w:r>
      <w:r w:rsidRPr="00E61502">
        <w:rPr>
          <w:rFonts w:ascii="Arial" w:eastAsia="Calibri" w:hAnsi="Arial" w:cs="Arial"/>
          <w:bCs/>
          <w:sz w:val="20"/>
          <w:szCs w:val="20"/>
          <w:lang w:eastAsia="es-ES"/>
        </w:rPr>
        <w:t xml:space="preserve">disuelve» pero no se </w:t>
      </w:r>
      <w:r w:rsidRPr="00E61502">
        <w:rPr>
          <w:rFonts w:ascii="Arial" w:eastAsia="Calibri" w:hAnsi="Arial" w:cs="Arial"/>
          <w:sz w:val="20"/>
          <w:szCs w:val="20"/>
          <w:lang w:eastAsia="es-ES"/>
        </w:rPr>
        <w:t>«</w:t>
      </w:r>
      <w:r w:rsidRPr="00E61502">
        <w:rPr>
          <w:rFonts w:ascii="Arial" w:eastAsia="Calibri" w:hAnsi="Arial" w:cs="Arial"/>
          <w:bCs/>
          <w:sz w:val="20"/>
          <w:szCs w:val="20"/>
          <w:lang w:eastAsia="es-ES"/>
        </w:rPr>
        <w:t xml:space="preserve">liquida», es necesario reiterar la explicación dada respecto de la segunda modalidad de escisión, y es que siempre que la sociedad no se liquide, es decir, que no desaparezca, la experiencia puede ser trasladada y no compartida. Lo anterior, toda vez que la trasferencia ocurre porque la persona jurídica continúa a través de otra, esto es, deja de ser quien es, pero no desaparece porque otra sociedad se convierte en ella, ya sea una sociedad nueva, cuando es fusión por creación; o una sociedad existente, en la fusión por absorción. La experiencia no se comparte, porque para esto la sociedad debería continuar individualmente considerada, pero en este evento continúa a través de otra, a quien le </w:t>
      </w:r>
      <w:r w:rsidRPr="00E61502">
        <w:rPr>
          <w:rFonts w:ascii="Arial" w:eastAsia="Calibri" w:hAnsi="Arial" w:cs="Arial"/>
          <w:bCs/>
          <w:i/>
          <w:iCs/>
          <w:sz w:val="20"/>
          <w:szCs w:val="20"/>
          <w:lang w:eastAsia="es-ES"/>
        </w:rPr>
        <w:t>transfiere</w:t>
      </w:r>
      <w:r w:rsidRPr="00E61502">
        <w:rPr>
          <w:rFonts w:ascii="Arial" w:eastAsia="Calibri" w:hAnsi="Arial" w:cs="Arial"/>
          <w:bCs/>
          <w:sz w:val="20"/>
          <w:szCs w:val="20"/>
          <w:lang w:eastAsia="es-ES"/>
        </w:rPr>
        <w:t xml:space="preserve"> su experiencia y todos sus derechos y obligaciones, de conformidad con el artículo 172 y siguientes del Código de Comercio</w:t>
      </w:r>
      <w:r>
        <w:rPr>
          <w:rFonts w:ascii="Arial" w:eastAsia="Calibri" w:hAnsi="Arial" w:cs="Arial"/>
          <w:bCs/>
          <w:sz w:val="20"/>
          <w:szCs w:val="20"/>
          <w:lang w:eastAsia="es-ES"/>
        </w:rPr>
        <w:t xml:space="preserve">. </w:t>
      </w:r>
    </w:p>
    <w:p w14:paraId="533F68A1" w14:textId="77777777" w:rsidR="005709B9" w:rsidRPr="00150A26" w:rsidRDefault="005709B9" w:rsidP="005709B9">
      <w:pPr>
        <w:widowControl w:val="0"/>
        <w:autoSpaceDE w:val="0"/>
        <w:autoSpaceDN w:val="0"/>
        <w:ind w:right="102"/>
        <w:jc w:val="both"/>
        <w:rPr>
          <w:rFonts w:ascii="Arial" w:eastAsia="Arial" w:hAnsi="Arial" w:cs="Arial"/>
          <w:sz w:val="20"/>
          <w:szCs w:val="20"/>
          <w:lang w:val="es-ES"/>
        </w:rPr>
      </w:pPr>
      <w:r w:rsidRPr="00150A26">
        <w:rPr>
          <w:rFonts w:ascii="Arial" w:eastAsia="Arial" w:hAnsi="Arial" w:cs="Arial"/>
          <w:sz w:val="20"/>
          <w:szCs w:val="20"/>
          <w:lang w:val="es-ES"/>
        </w:rPr>
        <w:t>[…]</w:t>
      </w:r>
    </w:p>
    <w:p w14:paraId="429DDAFB" w14:textId="77777777" w:rsidR="005709B9" w:rsidRPr="00150A26" w:rsidRDefault="005709B9" w:rsidP="005709B9">
      <w:pPr>
        <w:widowControl w:val="0"/>
        <w:autoSpaceDE w:val="0"/>
        <w:autoSpaceDN w:val="0"/>
        <w:ind w:right="102"/>
        <w:jc w:val="both"/>
        <w:rPr>
          <w:rFonts w:ascii="Arial" w:eastAsia="Arial" w:hAnsi="Arial" w:cs="Arial"/>
          <w:sz w:val="20"/>
          <w:szCs w:val="20"/>
          <w:lang w:val="es-ES"/>
        </w:rPr>
      </w:pPr>
      <w:r w:rsidRPr="00E61502">
        <w:rPr>
          <w:rFonts w:ascii="Arial" w:eastAsia="Arial" w:hAnsi="Arial" w:cs="Arial"/>
          <w:bCs/>
          <w:sz w:val="20"/>
          <w:szCs w:val="20"/>
        </w:rPr>
        <w:t>En consecuencia, en la fusión por absorción o creación de una nueva sociedad es posible que la sociedad absorbente o la nueva obtenga la experiencia de la absorbida, porque esta última continuó a través de la primera, y ello implica que transfirió su experiencia debido a que no se liquidó, es decir, no desapareció, lo que haría imposible la transferencia de experiencia</w:t>
      </w:r>
      <w:r>
        <w:rPr>
          <w:rFonts w:ascii="Arial" w:eastAsia="Arial" w:hAnsi="Arial" w:cs="Arial"/>
          <w:bCs/>
          <w:sz w:val="20"/>
          <w:szCs w:val="20"/>
        </w:rPr>
        <w:t xml:space="preserve">. </w:t>
      </w:r>
    </w:p>
    <w:p w14:paraId="3CE697A4" w14:textId="77777777" w:rsidR="005709B9" w:rsidRPr="00150A26" w:rsidRDefault="005709B9" w:rsidP="005709B9">
      <w:pPr>
        <w:spacing w:line="276" w:lineRule="auto"/>
        <w:jc w:val="both"/>
        <w:rPr>
          <w:rFonts w:ascii="Arial" w:hAnsi="Arial" w:cs="Arial"/>
          <w:noProof/>
          <w:color w:val="000000" w:themeColor="text1"/>
          <w:sz w:val="20"/>
          <w:szCs w:val="20"/>
          <w:lang w:val="es-ES_tradnl"/>
        </w:rPr>
      </w:pPr>
    </w:p>
    <w:p w14:paraId="75543ADA" w14:textId="77777777" w:rsidR="005709B9" w:rsidRPr="002A52A2" w:rsidRDefault="005709B9" w:rsidP="005709B9">
      <w:pPr>
        <w:jc w:val="both"/>
        <w:rPr>
          <w:rFonts w:ascii="Arial" w:eastAsia="Calibri" w:hAnsi="Arial" w:cs="Arial"/>
          <w:color w:val="000000" w:themeColor="text1"/>
          <w:lang w:val="es-ES_tradnl"/>
        </w:rPr>
      </w:pPr>
    </w:p>
    <w:p w14:paraId="3B62B9F4" w14:textId="77777777" w:rsidR="005709B9" w:rsidRDefault="005709B9" w:rsidP="005709B9">
      <w:pPr>
        <w:jc w:val="both"/>
        <w:rPr>
          <w:rFonts w:ascii="Arial" w:eastAsia="Calibri" w:hAnsi="Arial" w:cs="Arial"/>
          <w:color w:val="000000" w:themeColor="text1"/>
        </w:rPr>
      </w:pPr>
    </w:p>
    <w:p w14:paraId="558489C0" w14:textId="77777777" w:rsidR="005709B9" w:rsidRDefault="005709B9" w:rsidP="005709B9">
      <w:pPr>
        <w:jc w:val="both"/>
        <w:rPr>
          <w:rFonts w:ascii="Arial" w:eastAsia="Calibri" w:hAnsi="Arial" w:cs="Arial"/>
          <w:color w:val="000000" w:themeColor="text1"/>
        </w:rPr>
      </w:pPr>
    </w:p>
    <w:p w14:paraId="58A568DC" w14:textId="77777777" w:rsidR="005709B9" w:rsidRDefault="005709B9" w:rsidP="005709B9">
      <w:pPr>
        <w:jc w:val="both"/>
        <w:rPr>
          <w:rFonts w:ascii="Arial" w:eastAsia="Calibri" w:hAnsi="Arial" w:cs="Arial"/>
          <w:color w:val="000000" w:themeColor="text1"/>
        </w:rPr>
      </w:pPr>
    </w:p>
    <w:p w14:paraId="5CB49F28" w14:textId="77777777" w:rsidR="005709B9" w:rsidRDefault="005709B9" w:rsidP="005709B9">
      <w:pPr>
        <w:jc w:val="both"/>
        <w:rPr>
          <w:rFonts w:ascii="Arial" w:eastAsia="Calibri" w:hAnsi="Arial" w:cs="Arial"/>
          <w:color w:val="000000" w:themeColor="text1"/>
        </w:rPr>
      </w:pPr>
    </w:p>
    <w:p w14:paraId="184A9634" w14:textId="77777777" w:rsidR="005709B9" w:rsidRDefault="005709B9" w:rsidP="005709B9">
      <w:pPr>
        <w:jc w:val="both"/>
        <w:rPr>
          <w:rFonts w:ascii="Arial" w:eastAsia="Calibri" w:hAnsi="Arial" w:cs="Arial"/>
          <w:color w:val="000000" w:themeColor="text1"/>
        </w:rPr>
      </w:pPr>
    </w:p>
    <w:p w14:paraId="0071061C" w14:textId="77777777" w:rsidR="005709B9" w:rsidRDefault="005709B9" w:rsidP="005709B9">
      <w:pPr>
        <w:jc w:val="both"/>
        <w:rPr>
          <w:rFonts w:ascii="Arial" w:eastAsia="Calibri" w:hAnsi="Arial" w:cs="Arial"/>
          <w:color w:val="000000" w:themeColor="text1"/>
        </w:rPr>
      </w:pPr>
    </w:p>
    <w:p w14:paraId="0B042303" w14:textId="77777777" w:rsidR="005709B9" w:rsidRDefault="005709B9" w:rsidP="005709B9">
      <w:pPr>
        <w:jc w:val="both"/>
        <w:rPr>
          <w:rFonts w:ascii="Arial" w:eastAsia="Calibri" w:hAnsi="Arial" w:cs="Arial"/>
          <w:color w:val="000000" w:themeColor="text1"/>
        </w:rPr>
      </w:pPr>
    </w:p>
    <w:p w14:paraId="38BFDE77" w14:textId="77777777" w:rsidR="005709B9" w:rsidRDefault="005709B9" w:rsidP="005709B9">
      <w:pPr>
        <w:jc w:val="both"/>
        <w:rPr>
          <w:rFonts w:ascii="Arial" w:eastAsia="Calibri" w:hAnsi="Arial" w:cs="Arial"/>
          <w:color w:val="000000" w:themeColor="text1"/>
        </w:rPr>
      </w:pPr>
    </w:p>
    <w:p w14:paraId="33C65F4C" w14:textId="77777777" w:rsidR="005709B9" w:rsidRDefault="005709B9" w:rsidP="005709B9">
      <w:pPr>
        <w:jc w:val="both"/>
        <w:rPr>
          <w:rFonts w:ascii="Arial" w:eastAsia="Calibri" w:hAnsi="Arial" w:cs="Arial"/>
          <w:color w:val="000000" w:themeColor="text1"/>
        </w:rPr>
      </w:pPr>
    </w:p>
    <w:p w14:paraId="5C42C385" w14:textId="77777777" w:rsidR="005709B9" w:rsidRDefault="005709B9" w:rsidP="005709B9">
      <w:pPr>
        <w:jc w:val="both"/>
        <w:rPr>
          <w:rFonts w:ascii="Arial" w:eastAsia="Calibri" w:hAnsi="Arial" w:cs="Arial"/>
          <w:color w:val="000000" w:themeColor="text1"/>
        </w:rPr>
      </w:pPr>
    </w:p>
    <w:p w14:paraId="0853A827" w14:textId="77777777" w:rsidR="005709B9" w:rsidRDefault="005709B9" w:rsidP="005709B9">
      <w:pPr>
        <w:jc w:val="both"/>
        <w:rPr>
          <w:rFonts w:ascii="Arial" w:eastAsia="Calibri" w:hAnsi="Arial" w:cs="Arial"/>
          <w:color w:val="000000" w:themeColor="text1"/>
        </w:rPr>
      </w:pPr>
    </w:p>
    <w:p w14:paraId="0C6683B0" w14:textId="77777777" w:rsidR="005709B9" w:rsidRDefault="005709B9" w:rsidP="005709B9">
      <w:pPr>
        <w:jc w:val="both"/>
        <w:rPr>
          <w:rFonts w:ascii="Arial" w:eastAsia="Calibri" w:hAnsi="Arial" w:cs="Arial"/>
          <w:color w:val="000000" w:themeColor="text1"/>
        </w:rPr>
      </w:pPr>
    </w:p>
    <w:p w14:paraId="53D6AE29" w14:textId="77777777" w:rsidR="005709B9" w:rsidRDefault="005709B9" w:rsidP="005709B9">
      <w:pPr>
        <w:jc w:val="both"/>
        <w:rPr>
          <w:rFonts w:ascii="Arial" w:eastAsia="Calibri" w:hAnsi="Arial" w:cs="Arial"/>
          <w:color w:val="000000" w:themeColor="text1"/>
        </w:rPr>
      </w:pPr>
    </w:p>
    <w:p w14:paraId="6DE42FB6" w14:textId="77777777" w:rsidR="005709B9" w:rsidRDefault="005709B9" w:rsidP="005709B9">
      <w:pPr>
        <w:jc w:val="both"/>
        <w:rPr>
          <w:rFonts w:ascii="Arial" w:eastAsia="Calibri" w:hAnsi="Arial" w:cs="Arial"/>
          <w:color w:val="000000" w:themeColor="text1"/>
        </w:rPr>
      </w:pPr>
    </w:p>
    <w:p w14:paraId="66074AA2" w14:textId="77777777" w:rsidR="005709B9" w:rsidRDefault="005709B9" w:rsidP="005709B9">
      <w:pPr>
        <w:pStyle w:val="Textoindependiente"/>
        <w:rPr>
          <w:rFonts w:ascii="Calibri" w:hAnsi="Calibri"/>
        </w:rPr>
      </w:pPr>
      <w:r>
        <w:rPr>
          <w:noProof/>
        </w:rPr>
        <w:drawing>
          <wp:anchor distT="0" distB="0" distL="0" distR="0" simplePos="0" relativeHeight="251658240" behindDoc="0" locked="0" layoutInCell="1" allowOverlap="1" wp14:anchorId="38B5516A" wp14:editId="1F01126C">
            <wp:simplePos x="0" y="0"/>
            <wp:positionH relativeFrom="page">
              <wp:posOffset>4471670</wp:posOffset>
            </wp:positionH>
            <wp:positionV relativeFrom="paragraph">
              <wp:posOffset>35560</wp:posOffset>
            </wp:positionV>
            <wp:extent cx="2400300" cy="615950"/>
            <wp:effectExtent l="0" t="0" r="0" b="0"/>
            <wp:wrapNone/>
            <wp:docPr id="1518287745" name="Imagen 151828774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287745" name="Imagen 1" descr="Texto&#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0300" cy="61595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rPr>
        <w:t>Bogotá</w:t>
      </w:r>
      <w:r>
        <w:rPr>
          <w:rFonts w:ascii="Calibri" w:hAnsi="Calibri"/>
          <w:spacing w:val="-4"/>
        </w:rPr>
        <w:t xml:space="preserve"> </w:t>
      </w:r>
      <w:r>
        <w:rPr>
          <w:rFonts w:ascii="Calibri" w:hAnsi="Calibri"/>
        </w:rPr>
        <w:t>D.C.,</w:t>
      </w:r>
      <w:r>
        <w:rPr>
          <w:rFonts w:ascii="Calibri" w:hAnsi="Calibri"/>
          <w:spacing w:val="-1"/>
        </w:rPr>
        <w:t xml:space="preserve"> </w:t>
      </w:r>
      <w:r>
        <w:rPr>
          <w:rFonts w:ascii="Calibri" w:hAnsi="Calibri"/>
          <w:color w:val="201E1E"/>
        </w:rPr>
        <w:t>12</w:t>
      </w:r>
      <w:r>
        <w:rPr>
          <w:rFonts w:ascii="Calibri" w:hAnsi="Calibri"/>
          <w:color w:val="201E1E"/>
          <w:spacing w:val="-3"/>
        </w:rPr>
        <w:t xml:space="preserve"> </w:t>
      </w:r>
      <w:r>
        <w:rPr>
          <w:rFonts w:ascii="Calibri" w:hAnsi="Calibri"/>
          <w:color w:val="201E1E"/>
        </w:rPr>
        <w:t>de</w:t>
      </w:r>
      <w:r>
        <w:rPr>
          <w:rFonts w:ascii="Calibri" w:hAnsi="Calibri"/>
          <w:color w:val="201E1E"/>
          <w:spacing w:val="-4"/>
        </w:rPr>
        <w:t xml:space="preserve"> </w:t>
      </w:r>
      <w:r>
        <w:rPr>
          <w:rFonts w:ascii="Calibri" w:hAnsi="Calibri"/>
          <w:color w:val="201E1E"/>
        </w:rPr>
        <w:t>Mayo</w:t>
      </w:r>
      <w:r>
        <w:rPr>
          <w:rFonts w:ascii="Calibri" w:hAnsi="Calibri"/>
          <w:color w:val="201E1E"/>
          <w:spacing w:val="-3"/>
        </w:rPr>
        <w:t xml:space="preserve"> </w:t>
      </w:r>
      <w:r>
        <w:rPr>
          <w:rFonts w:ascii="Calibri" w:hAnsi="Calibri"/>
          <w:color w:val="201E1E"/>
        </w:rPr>
        <w:t>de</w:t>
      </w:r>
      <w:r>
        <w:rPr>
          <w:rFonts w:ascii="Calibri" w:hAnsi="Calibri"/>
          <w:color w:val="201E1E"/>
          <w:spacing w:val="-4"/>
        </w:rPr>
        <w:t xml:space="preserve"> </w:t>
      </w:r>
      <w:r>
        <w:rPr>
          <w:rFonts w:ascii="Calibri" w:hAnsi="Calibri"/>
          <w:color w:val="201E1E"/>
        </w:rPr>
        <w:t>2023</w:t>
      </w:r>
    </w:p>
    <w:p w14:paraId="40C709E2" w14:textId="77777777" w:rsidR="005709B9" w:rsidRDefault="005709B9" w:rsidP="005709B9">
      <w:pPr>
        <w:pStyle w:val="Textoindependiente"/>
        <w:rPr>
          <w:rFonts w:ascii="Calibri"/>
        </w:rPr>
      </w:pPr>
    </w:p>
    <w:p w14:paraId="2ED3058F" w14:textId="77777777" w:rsidR="005709B9" w:rsidRDefault="005709B9" w:rsidP="005709B9">
      <w:pPr>
        <w:pStyle w:val="Textoindependiente"/>
        <w:rPr>
          <w:rFonts w:ascii="Calibri"/>
        </w:rPr>
      </w:pPr>
    </w:p>
    <w:p w14:paraId="70890C59" w14:textId="77777777" w:rsidR="005709B9" w:rsidRPr="00FC36CE" w:rsidRDefault="005709B9" w:rsidP="005709B9">
      <w:pPr>
        <w:jc w:val="both"/>
        <w:rPr>
          <w:rFonts w:ascii="Arial" w:eastAsia="Calibri" w:hAnsi="Arial" w:cs="Arial"/>
          <w:color w:val="000000" w:themeColor="text1"/>
          <w:lang w:val="es-ES"/>
        </w:rPr>
      </w:pPr>
    </w:p>
    <w:p w14:paraId="54ABA486" w14:textId="77777777" w:rsidR="005709B9" w:rsidRDefault="005709B9" w:rsidP="005709B9">
      <w:pPr>
        <w:spacing w:after="0"/>
        <w:jc w:val="both"/>
        <w:rPr>
          <w:rFonts w:ascii="Arial" w:eastAsia="Calibri" w:hAnsi="Arial" w:cs="Arial"/>
          <w:color w:val="000000" w:themeColor="text1"/>
        </w:rPr>
      </w:pPr>
      <w:r w:rsidRPr="00A51520">
        <w:rPr>
          <w:rFonts w:ascii="Arial" w:eastAsia="Calibri" w:hAnsi="Arial" w:cs="Arial"/>
          <w:color w:val="000000" w:themeColor="text1"/>
        </w:rPr>
        <w:t>Señor</w:t>
      </w:r>
      <w:r>
        <w:rPr>
          <w:rFonts w:ascii="Arial" w:eastAsia="Calibri" w:hAnsi="Arial" w:cs="Arial"/>
          <w:color w:val="000000" w:themeColor="text1"/>
        </w:rPr>
        <w:t>a</w:t>
      </w:r>
    </w:p>
    <w:p w14:paraId="57D37BA0" w14:textId="77777777" w:rsidR="005709B9" w:rsidRDefault="005709B9" w:rsidP="005709B9">
      <w:pPr>
        <w:spacing w:after="0"/>
        <w:jc w:val="both"/>
        <w:rPr>
          <w:rFonts w:ascii="Arial" w:eastAsia="Calibri" w:hAnsi="Arial" w:cs="Arial"/>
          <w:b/>
          <w:bCs/>
          <w:color w:val="000000" w:themeColor="text1"/>
        </w:rPr>
      </w:pPr>
      <w:r>
        <w:rPr>
          <w:rFonts w:ascii="Arial" w:eastAsia="Calibri" w:hAnsi="Arial" w:cs="Arial"/>
          <w:b/>
          <w:bCs/>
          <w:color w:val="000000" w:themeColor="text1"/>
        </w:rPr>
        <w:t xml:space="preserve">Sandra Zaldua </w:t>
      </w:r>
    </w:p>
    <w:p w14:paraId="673A85E2" w14:textId="77777777" w:rsidR="005709B9" w:rsidRPr="002A52A2" w:rsidRDefault="008822E4" w:rsidP="005709B9">
      <w:pPr>
        <w:spacing w:after="0"/>
        <w:jc w:val="both"/>
        <w:rPr>
          <w:rFonts w:ascii="Arial" w:eastAsia="Calibri" w:hAnsi="Arial" w:cs="Arial"/>
          <w:color w:val="000000" w:themeColor="text1"/>
        </w:rPr>
      </w:pPr>
      <w:hyperlink r:id="rId11" w:history="1">
        <w:r w:rsidR="005709B9" w:rsidRPr="00077327">
          <w:rPr>
            <w:rStyle w:val="Hipervnculo"/>
            <w:rFonts w:ascii="Arial" w:eastAsia="Calibri" w:hAnsi="Arial" w:cs="Arial"/>
          </w:rPr>
          <w:t>szalduacontreras@yahoo.com</w:t>
        </w:r>
      </w:hyperlink>
      <w:r w:rsidR="005709B9">
        <w:rPr>
          <w:rFonts w:ascii="Arial" w:eastAsia="Calibri" w:hAnsi="Arial" w:cs="Arial"/>
          <w:color w:val="000000" w:themeColor="text1"/>
        </w:rPr>
        <w:t xml:space="preserve"> </w:t>
      </w:r>
    </w:p>
    <w:p w14:paraId="4B2F2A5C" w14:textId="77777777" w:rsidR="005709B9" w:rsidRPr="00A51520" w:rsidRDefault="005709B9" w:rsidP="005709B9">
      <w:pPr>
        <w:spacing w:after="0"/>
        <w:jc w:val="both"/>
        <w:rPr>
          <w:rFonts w:ascii="Arial" w:eastAsia="Calibri" w:hAnsi="Arial" w:cs="Arial"/>
          <w:bCs/>
          <w:color w:val="000000" w:themeColor="text1"/>
        </w:rPr>
      </w:pPr>
      <w:r>
        <w:rPr>
          <w:rFonts w:ascii="Arial" w:eastAsia="Calibri" w:hAnsi="Arial" w:cs="Arial"/>
          <w:bCs/>
          <w:color w:val="000000" w:themeColor="text1"/>
        </w:rPr>
        <w:t xml:space="preserve">Ciudad </w:t>
      </w:r>
    </w:p>
    <w:p w14:paraId="6B78DD8A" w14:textId="77777777" w:rsidR="005709B9" w:rsidRPr="00A51520" w:rsidRDefault="005709B9" w:rsidP="005709B9">
      <w:pPr>
        <w:rPr>
          <w:rFonts w:ascii="Arial" w:eastAsia="Calibri" w:hAnsi="Arial" w:cs="Arial"/>
          <w:b/>
          <w:bCs/>
          <w:color w:val="000000" w:themeColor="text1"/>
        </w:rPr>
      </w:pPr>
    </w:p>
    <w:p w14:paraId="16D7FA56" w14:textId="77777777" w:rsidR="005709B9" w:rsidRPr="00A51520" w:rsidRDefault="005709B9" w:rsidP="005709B9">
      <w:pPr>
        <w:rPr>
          <w:rFonts w:ascii="Arial" w:eastAsia="Calibri" w:hAnsi="Arial" w:cs="Arial"/>
          <w:b/>
          <w:bCs/>
          <w:color w:val="000000" w:themeColor="text1"/>
          <w:lang w:val="pt-BR"/>
        </w:rPr>
      </w:pPr>
      <w:r w:rsidRPr="00A51520">
        <w:rPr>
          <w:rFonts w:ascii="Arial" w:eastAsia="Calibri" w:hAnsi="Arial" w:cs="Arial"/>
          <w:b/>
          <w:bCs/>
          <w:color w:val="000000" w:themeColor="text1"/>
        </w:rPr>
        <w:t xml:space="preserve">                     </w:t>
      </w:r>
      <w:r>
        <w:rPr>
          <w:rFonts w:ascii="Arial" w:eastAsia="Calibri" w:hAnsi="Arial" w:cs="Arial"/>
          <w:b/>
          <w:bCs/>
          <w:color w:val="000000" w:themeColor="text1"/>
        </w:rPr>
        <w:t xml:space="preserve">                      </w:t>
      </w:r>
      <w:r w:rsidRPr="00A51520">
        <w:rPr>
          <w:rFonts w:ascii="Arial" w:eastAsia="Calibri" w:hAnsi="Arial" w:cs="Arial"/>
          <w:b/>
          <w:bCs/>
          <w:color w:val="000000" w:themeColor="text1"/>
        </w:rPr>
        <w:t xml:space="preserve"> </w:t>
      </w:r>
      <w:r w:rsidRPr="00A51520">
        <w:rPr>
          <w:rFonts w:ascii="Arial" w:eastAsia="Calibri" w:hAnsi="Arial" w:cs="Arial"/>
          <w:b/>
          <w:bCs/>
          <w:color w:val="000000" w:themeColor="text1"/>
          <w:lang w:val="pt-BR"/>
        </w:rPr>
        <w:t xml:space="preserve">Concepto C ‒ </w:t>
      </w:r>
      <w:r>
        <w:rPr>
          <w:rFonts w:ascii="Arial" w:eastAsia="Calibri" w:hAnsi="Arial" w:cs="Arial"/>
          <w:b/>
          <w:bCs/>
          <w:color w:val="000000" w:themeColor="text1"/>
          <w:lang w:val="pt-BR"/>
        </w:rPr>
        <w:t xml:space="preserve">121 </w:t>
      </w:r>
      <w:r w:rsidRPr="00A51520">
        <w:rPr>
          <w:rFonts w:ascii="Arial" w:eastAsia="Calibri" w:hAnsi="Arial" w:cs="Arial"/>
          <w:b/>
          <w:bCs/>
          <w:color w:val="000000" w:themeColor="text1"/>
          <w:lang w:val="pt-BR"/>
        </w:rPr>
        <w:t>de 202</w:t>
      </w:r>
      <w:r>
        <w:rPr>
          <w:rFonts w:ascii="Arial" w:eastAsia="Calibri" w:hAnsi="Arial" w:cs="Arial"/>
          <w:b/>
          <w:bCs/>
          <w:color w:val="000000" w:themeColor="text1"/>
          <w:lang w:val="pt-BR"/>
        </w:rPr>
        <w:t>3</w:t>
      </w:r>
    </w:p>
    <w:p w14:paraId="76AB6AD0" w14:textId="77777777" w:rsidR="005709B9" w:rsidRPr="00A51520" w:rsidRDefault="005709B9" w:rsidP="005709B9">
      <w:pPr>
        <w:rPr>
          <w:rFonts w:ascii="Arial" w:eastAsia="Calibri" w:hAnsi="Arial" w:cs="Arial"/>
          <w:b/>
          <w:bCs/>
          <w:color w:val="000000" w:themeColor="text1"/>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709B9" w:rsidRPr="00A51520" w14:paraId="5D5C8C9C" w14:textId="77777777" w:rsidTr="00F52068">
        <w:tc>
          <w:tcPr>
            <w:tcW w:w="2689" w:type="dxa"/>
          </w:tcPr>
          <w:p w14:paraId="292DA8E5" w14:textId="77777777" w:rsidR="005709B9" w:rsidRPr="00A51520" w:rsidRDefault="005709B9" w:rsidP="00F52068">
            <w:pPr>
              <w:jc w:val="both"/>
              <w:rPr>
                <w:rFonts w:ascii="Arial" w:eastAsia="Calibri" w:hAnsi="Arial" w:cs="Arial"/>
                <w:color w:val="000000" w:themeColor="text1"/>
                <w:lang w:val="es-ES_tradnl"/>
              </w:rPr>
            </w:pPr>
            <w:r w:rsidRPr="00A51520">
              <w:rPr>
                <w:rFonts w:ascii="Arial" w:eastAsia="Calibri" w:hAnsi="Arial" w:cs="Arial"/>
                <w:b/>
                <w:color w:val="000000" w:themeColor="text1"/>
                <w:lang w:val="es-ES_tradnl"/>
              </w:rPr>
              <w:t>Temas:</w:t>
            </w:r>
            <w:r w:rsidRPr="00A51520">
              <w:rPr>
                <w:rFonts w:ascii="Arial" w:eastAsia="Calibri" w:hAnsi="Arial" w:cs="Arial"/>
                <w:color w:val="000000" w:themeColor="text1"/>
                <w:lang w:val="es-ES_tradnl"/>
              </w:rPr>
              <w:t xml:space="preserve">                   </w:t>
            </w:r>
          </w:p>
        </w:tc>
        <w:tc>
          <w:tcPr>
            <w:tcW w:w="6237" w:type="dxa"/>
            <w:shd w:val="clear" w:color="auto" w:fill="auto"/>
          </w:tcPr>
          <w:p w14:paraId="57B5326E" w14:textId="77777777" w:rsidR="005709B9" w:rsidRPr="00864378" w:rsidRDefault="005709B9" w:rsidP="00F52068">
            <w:pPr>
              <w:tabs>
                <w:tab w:val="left" w:pos="6551"/>
              </w:tabs>
              <w:jc w:val="both"/>
              <w:rPr>
                <w:rFonts w:ascii="Arial" w:eastAsia="Calibri" w:hAnsi="Arial" w:cs="Arial"/>
                <w:bCs/>
                <w:color w:val="000000" w:themeColor="text1"/>
                <w:lang w:val="es-ES_tradnl"/>
              </w:rPr>
            </w:pPr>
            <w:r w:rsidRPr="00150A26">
              <w:rPr>
                <w:rFonts w:ascii="Arial" w:eastAsia="Calibri" w:hAnsi="Arial" w:cs="Arial"/>
                <w:bCs/>
                <w:lang w:val="es-MX"/>
              </w:rPr>
              <w:t>EXPERIENCIA – Concepto</w:t>
            </w:r>
            <w:r>
              <w:rPr>
                <w:rFonts w:ascii="Arial" w:eastAsia="Calibri" w:hAnsi="Arial" w:cs="Arial"/>
                <w:bCs/>
                <w:lang w:val="es-MX"/>
              </w:rPr>
              <w:t xml:space="preserve"> </w:t>
            </w:r>
            <w:r w:rsidRPr="00150A26">
              <w:rPr>
                <w:rFonts w:ascii="Arial" w:eastAsia="Calibri" w:hAnsi="Arial" w:cs="Arial"/>
                <w:bCs/>
                <w:lang w:val="es-MX"/>
              </w:rPr>
              <w:t>/ EXPERIENCIA – Transformación / EXPERIENCIA – Escisión / EXPERIENCIA – Fusión</w:t>
            </w:r>
            <w:r>
              <w:rPr>
                <w:rFonts w:ascii="Arial" w:eastAsia="Calibri" w:hAnsi="Arial" w:cs="Arial"/>
                <w:bCs/>
                <w:lang w:val="es-MX"/>
              </w:rPr>
              <w:t xml:space="preserve"> - Absorción</w:t>
            </w:r>
          </w:p>
        </w:tc>
      </w:tr>
      <w:tr w:rsidR="005709B9" w:rsidRPr="00A51520" w14:paraId="008062AB" w14:textId="77777777" w:rsidTr="00F52068">
        <w:trPr>
          <w:trHeight w:val="301"/>
        </w:trPr>
        <w:tc>
          <w:tcPr>
            <w:tcW w:w="2689" w:type="dxa"/>
          </w:tcPr>
          <w:p w14:paraId="428B3708" w14:textId="77777777" w:rsidR="005709B9" w:rsidRDefault="005709B9" w:rsidP="00F52068">
            <w:pPr>
              <w:spacing w:before="120"/>
              <w:jc w:val="both"/>
              <w:rPr>
                <w:rFonts w:ascii="Arial" w:eastAsia="Calibri" w:hAnsi="Arial" w:cs="Arial"/>
                <w:b/>
                <w:color w:val="000000" w:themeColor="text1"/>
                <w:lang w:val="es-ES_tradnl"/>
              </w:rPr>
            </w:pPr>
          </w:p>
          <w:p w14:paraId="71CAF922" w14:textId="77777777" w:rsidR="005709B9" w:rsidRPr="00A51520" w:rsidRDefault="005709B9" w:rsidP="00F52068">
            <w:pPr>
              <w:spacing w:before="120"/>
              <w:jc w:val="both"/>
              <w:rPr>
                <w:rFonts w:ascii="Arial" w:eastAsia="Calibri" w:hAnsi="Arial" w:cs="Arial"/>
                <w:b/>
                <w:color w:val="000000" w:themeColor="text1"/>
                <w:lang w:val="es-ES_tradnl"/>
              </w:rPr>
            </w:pPr>
            <w:r w:rsidRPr="00A51520">
              <w:rPr>
                <w:rFonts w:ascii="Arial" w:eastAsia="Calibri" w:hAnsi="Arial" w:cs="Arial"/>
                <w:b/>
                <w:color w:val="000000" w:themeColor="text1"/>
                <w:lang w:val="es-ES_tradnl"/>
              </w:rPr>
              <w:t>Radicación:</w:t>
            </w:r>
            <w:r w:rsidRPr="00A51520">
              <w:rPr>
                <w:rFonts w:ascii="Arial" w:eastAsia="Calibri" w:hAnsi="Arial" w:cs="Arial"/>
                <w:color w:val="000000" w:themeColor="text1"/>
                <w:lang w:val="es-ES_tradnl"/>
              </w:rPr>
              <w:t xml:space="preserve">               </w:t>
            </w:r>
          </w:p>
        </w:tc>
        <w:tc>
          <w:tcPr>
            <w:tcW w:w="6237" w:type="dxa"/>
          </w:tcPr>
          <w:p w14:paraId="12C47548" w14:textId="77777777" w:rsidR="005709B9" w:rsidRDefault="005709B9" w:rsidP="00F52068">
            <w:pPr>
              <w:spacing w:before="120"/>
              <w:jc w:val="both"/>
              <w:rPr>
                <w:rFonts w:ascii="Arial" w:eastAsia="Calibri" w:hAnsi="Arial" w:cs="Arial"/>
                <w:color w:val="000000" w:themeColor="text1"/>
                <w:lang w:val="es-ES_tradnl"/>
              </w:rPr>
            </w:pPr>
          </w:p>
          <w:p w14:paraId="15D3FC3D" w14:textId="77777777" w:rsidR="005709B9" w:rsidRPr="00A51520" w:rsidRDefault="005709B9" w:rsidP="00F52068">
            <w:pPr>
              <w:spacing w:before="120"/>
              <w:jc w:val="both"/>
              <w:rPr>
                <w:rFonts w:ascii="Arial" w:eastAsia="Calibri" w:hAnsi="Arial" w:cs="Arial"/>
                <w:color w:val="000000" w:themeColor="text1"/>
                <w:lang w:val="es-ES_tradnl"/>
              </w:rPr>
            </w:pPr>
            <w:r w:rsidRPr="00A51520">
              <w:rPr>
                <w:rFonts w:ascii="Arial" w:eastAsia="Calibri" w:hAnsi="Arial" w:cs="Arial"/>
                <w:color w:val="000000" w:themeColor="text1"/>
                <w:lang w:val="es-ES_tradnl"/>
              </w:rPr>
              <w:t>Respuesta a consulta</w:t>
            </w:r>
            <w:r>
              <w:rPr>
                <w:rFonts w:ascii="Arial" w:eastAsia="Calibri" w:hAnsi="Arial" w:cs="Arial"/>
                <w:color w:val="000000" w:themeColor="text1"/>
                <w:lang w:val="es-ES_tradnl"/>
              </w:rPr>
              <w:t xml:space="preserve"> </w:t>
            </w:r>
            <w:r w:rsidRPr="002A52A2">
              <w:rPr>
                <w:rFonts w:ascii="Arial" w:eastAsia="Calibri" w:hAnsi="Arial" w:cs="Arial"/>
                <w:color w:val="000000" w:themeColor="text1"/>
                <w:lang w:val="es-ES_tradnl"/>
              </w:rPr>
              <w:t>P20230328002837</w:t>
            </w:r>
          </w:p>
        </w:tc>
      </w:tr>
      <w:tr w:rsidR="005709B9" w:rsidRPr="00A51520" w14:paraId="3EFF7E9D" w14:textId="77777777" w:rsidTr="00F52068">
        <w:trPr>
          <w:trHeight w:val="301"/>
        </w:trPr>
        <w:tc>
          <w:tcPr>
            <w:tcW w:w="2689" w:type="dxa"/>
          </w:tcPr>
          <w:p w14:paraId="5855D791" w14:textId="77777777" w:rsidR="005709B9" w:rsidRPr="00A51520" w:rsidRDefault="005709B9" w:rsidP="00F52068">
            <w:pPr>
              <w:spacing w:before="120"/>
              <w:jc w:val="both"/>
              <w:rPr>
                <w:rFonts w:ascii="Arial" w:eastAsia="Calibri" w:hAnsi="Arial" w:cs="Arial"/>
                <w:b/>
                <w:color w:val="000000" w:themeColor="text1"/>
                <w:lang w:val="es-ES_tradnl"/>
              </w:rPr>
            </w:pPr>
          </w:p>
        </w:tc>
        <w:tc>
          <w:tcPr>
            <w:tcW w:w="6237" w:type="dxa"/>
          </w:tcPr>
          <w:p w14:paraId="703BBE46" w14:textId="77777777" w:rsidR="005709B9" w:rsidRPr="00A51520" w:rsidRDefault="005709B9" w:rsidP="00F52068">
            <w:pPr>
              <w:spacing w:before="120"/>
              <w:jc w:val="both"/>
              <w:rPr>
                <w:rFonts w:ascii="Arial" w:eastAsia="Calibri" w:hAnsi="Arial" w:cs="Arial"/>
                <w:color w:val="000000" w:themeColor="text1"/>
                <w:lang w:val="es-ES_tradnl"/>
              </w:rPr>
            </w:pPr>
          </w:p>
        </w:tc>
      </w:tr>
    </w:tbl>
    <w:p w14:paraId="6AA91830" w14:textId="77777777" w:rsidR="005709B9" w:rsidRPr="00A51520" w:rsidRDefault="005709B9" w:rsidP="005709B9">
      <w:pPr>
        <w:jc w:val="both"/>
        <w:rPr>
          <w:rFonts w:ascii="Arial" w:eastAsia="Calibri" w:hAnsi="Arial" w:cs="Arial"/>
          <w:color w:val="000000" w:themeColor="text1"/>
        </w:rPr>
      </w:pPr>
    </w:p>
    <w:p w14:paraId="7411CA64" w14:textId="77777777" w:rsidR="005709B9" w:rsidRPr="00A51520" w:rsidRDefault="005709B9" w:rsidP="005709B9">
      <w:pPr>
        <w:jc w:val="both"/>
        <w:rPr>
          <w:rFonts w:ascii="Arial" w:eastAsia="Calibri" w:hAnsi="Arial" w:cs="Arial"/>
          <w:color w:val="000000" w:themeColor="text1"/>
          <w:lang w:val="es-ES_tradnl"/>
        </w:rPr>
      </w:pPr>
    </w:p>
    <w:p w14:paraId="698E602D" w14:textId="77777777" w:rsidR="005709B9" w:rsidRPr="00A51520" w:rsidRDefault="005709B9" w:rsidP="005709B9">
      <w:pPr>
        <w:jc w:val="both"/>
        <w:rPr>
          <w:rFonts w:ascii="Arial" w:eastAsia="Calibri" w:hAnsi="Arial" w:cs="Arial"/>
          <w:color w:val="000000" w:themeColor="text1"/>
          <w:lang w:val="es-ES_tradnl"/>
        </w:rPr>
      </w:pPr>
      <w:r w:rsidRPr="00A51520">
        <w:rPr>
          <w:rFonts w:ascii="Arial" w:eastAsia="Calibri" w:hAnsi="Arial" w:cs="Arial"/>
          <w:color w:val="000000" w:themeColor="text1"/>
          <w:lang w:val="es-ES_tradnl"/>
        </w:rPr>
        <w:t>Estimado señor</w:t>
      </w:r>
      <w:r>
        <w:rPr>
          <w:rFonts w:ascii="Arial" w:eastAsia="Calibri" w:hAnsi="Arial" w:cs="Arial"/>
          <w:color w:val="000000" w:themeColor="text1"/>
          <w:lang w:val="es-ES_tradnl"/>
        </w:rPr>
        <w:t>a Zaldua:</w:t>
      </w:r>
    </w:p>
    <w:p w14:paraId="160C9650" w14:textId="77777777" w:rsidR="005709B9" w:rsidRPr="00A51520" w:rsidRDefault="005709B9" w:rsidP="005709B9">
      <w:pPr>
        <w:jc w:val="both"/>
        <w:rPr>
          <w:rFonts w:ascii="Arial" w:eastAsia="Calibri" w:hAnsi="Arial" w:cs="Arial"/>
          <w:color w:val="000000" w:themeColor="text1"/>
          <w:lang w:val="es-ES_tradnl"/>
        </w:rPr>
      </w:pPr>
    </w:p>
    <w:p w14:paraId="7BEF271E" w14:textId="77777777" w:rsidR="005709B9" w:rsidRPr="00A51520" w:rsidRDefault="005709B9" w:rsidP="005709B9">
      <w:pPr>
        <w:spacing w:line="276" w:lineRule="auto"/>
        <w:jc w:val="both"/>
        <w:rPr>
          <w:rFonts w:ascii="Arial" w:eastAsia="Calibri" w:hAnsi="Arial" w:cs="Arial"/>
          <w:color w:val="000000" w:themeColor="text1"/>
          <w:lang w:val="es-ES_tradnl"/>
        </w:rPr>
      </w:pPr>
      <w:r w:rsidRPr="00A51520">
        <w:rPr>
          <w:rFonts w:ascii="Arial" w:eastAsia="Calibri" w:hAnsi="Arial" w:cs="Arial"/>
          <w:color w:val="000000" w:themeColor="text1"/>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Pr>
          <w:rFonts w:ascii="Arial" w:eastAsia="Calibri" w:hAnsi="Arial" w:cs="Arial"/>
          <w:color w:val="000000" w:themeColor="text1"/>
          <w:lang w:val="es-ES_tradnl"/>
        </w:rPr>
        <w:t xml:space="preserve">1 </w:t>
      </w:r>
      <w:r w:rsidRPr="00A51520">
        <w:rPr>
          <w:rFonts w:ascii="Arial" w:eastAsia="Calibri" w:hAnsi="Arial" w:cs="Arial"/>
          <w:color w:val="000000" w:themeColor="text1"/>
          <w:lang w:val="es-ES_tradnl"/>
        </w:rPr>
        <w:t xml:space="preserve">de </w:t>
      </w:r>
      <w:r>
        <w:rPr>
          <w:rFonts w:ascii="Arial" w:eastAsia="Calibri" w:hAnsi="Arial" w:cs="Arial"/>
          <w:color w:val="000000" w:themeColor="text1"/>
          <w:lang w:val="es-ES_tradnl"/>
        </w:rPr>
        <w:t>agosto</w:t>
      </w:r>
      <w:r w:rsidRPr="00A51520">
        <w:rPr>
          <w:rFonts w:ascii="Arial" w:eastAsia="Calibri" w:hAnsi="Arial" w:cs="Arial"/>
          <w:color w:val="000000" w:themeColor="text1"/>
          <w:lang w:val="es-ES_tradnl"/>
        </w:rPr>
        <w:t xml:space="preserve"> de 2022.</w:t>
      </w:r>
    </w:p>
    <w:p w14:paraId="20BCA29C" w14:textId="77777777" w:rsidR="005709B9" w:rsidRPr="00A51520" w:rsidRDefault="005709B9" w:rsidP="005709B9">
      <w:pPr>
        <w:spacing w:line="276" w:lineRule="auto"/>
        <w:jc w:val="both"/>
        <w:rPr>
          <w:rFonts w:ascii="Arial" w:eastAsia="Calibri" w:hAnsi="Arial" w:cs="Arial"/>
          <w:b/>
          <w:color w:val="000000" w:themeColor="text1"/>
          <w:lang w:val="es-ES_tradnl"/>
        </w:rPr>
      </w:pPr>
    </w:p>
    <w:p w14:paraId="7FB7061F" w14:textId="77777777" w:rsidR="005709B9" w:rsidRPr="00A51520" w:rsidRDefault="005709B9" w:rsidP="005709B9">
      <w:pPr>
        <w:pStyle w:val="Prrafodelista"/>
        <w:numPr>
          <w:ilvl w:val="0"/>
          <w:numId w:val="1"/>
        </w:numPr>
        <w:tabs>
          <w:tab w:val="left" w:pos="0"/>
          <w:tab w:val="left" w:pos="142"/>
          <w:tab w:val="left" w:pos="284"/>
        </w:tabs>
        <w:spacing w:after="0" w:line="276" w:lineRule="auto"/>
        <w:ind w:left="0" w:firstLine="0"/>
        <w:jc w:val="both"/>
        <w:rPr>
          <w:rFonts w:ascii="Arial" w:eastAsia="Calibri" w:hAnsi="Arial" w:cs="Arial"/>
          <w:b/>
          <w:color w:val="000000" w:themeColor="text1"/>
          <w:lang w:val="es-ES_tradnl"/>
        </w:rPr>
      </w:pPr>
      <w:r w:rsidRPr="00A51520">
        <w:rPr>
          <w:rFonts w:ascii="Arial" w:eastAsia="Calibri" w:hAnsi="Arial" w:cs="Arial"/>
          <w:b/>
          <w:color w:val="000000" w:themeColor="text1"/>
          <w:lang w:val="es-ES_tradnl"/>
        </w:rPr>
        <w:t xml:space="preserve">Problema planteado </w:t>
      </w:r>
    </w:p>
    <w:p w14:paraId="2B72D018" w14:textId="77777777" w:rsidR="005709B9" w:rsidRPr="00A51520" w:rsidRDefault="005709B9" w:rsidP="005709B9">
      <w:pPr>
        <w:tabs>
          <w:tab w:val="left" w:pos="426"/>
        </w:tabs>
        <w:spacing w:line="276" w:lineRule="auto"/>
        <w:jc w:val="both"/>
        <w:rPr>
          <w:rFonts w:ascii="Arial" w:eastAsia="Calibri" w:hAnsi="Arial" w:cs="Arial"/>
          <w:b/>
          <w:color w:val="000000" w:themeColor="text1"/>
          <w:lang w:val="es-ES_tradnl"/>
        </w:rPr>
      </w:pPr>
    </w:p>
    <w:p w14:paraId="6EA5F3DF" w14:textId="77777777" w:rsidR="005709B9" w:rsidRDefault="005709B9" w:rsidP="005709B9">
      <w:pPr>
        <w:spacing w:line="276" w:lineRule="auto"/>
        <w:jc w:val="both"/>
        <w:rPr>
          <w:rFonts w:ascii="Arial" w:hAnsi="Arial" w:cs="Arial"/>
          <w:lang w:val="es-ES_tradnl"/>
        </w:rPr>
      </w:pPr>
      <w:r>
        <w:rPr>
          <w:rFonts w:ascii="Arial" w:hAnsi="Arial" w:cs="Arial"/>
          <w:color w:val="000000" w:themeColor="text1"/>
          <w:lang w:val="es-ES_tradnl"/>
        </w:rPr>
        <w:t>U</w:t>
      </w:r>
      <w:r w:rsidRPr="00A51520">
        <w:rPr>
          <w:rFonts w:ascii="Arial" w:hAnsi="Arial" w:cs="Arial"/>
          <w:color w:val="000000" w:themeColor="text1"/>
          <w:lang w:val="es-ES_tradnl"/>
        </w:rPr>
        <w:t xml:space="preserve">sted </w:t>
      </w:r>
      <w:r>
        <w:rPr>
          <w:rFonts w:ascii="Arial" w:hAnsi="Arial" w:cs="Arial"/>
          <w:color w:val="000000" w:themeColor="text1"/>
          <w:lang w:val="es-ES_tradnl"/>
        </w:rPr>
        <w:t xml:space="preserve">realiza </w:t>
      </w:r>
      <w:r w:rsidRPr="00A51520">
        <w:rPr>
          <w:rFonts w:ascii="Arial" w:hAnsi="Arial" w:cs="Arial"/>
          <w:color w:val="000000" w:themeColor="text1"/>
          <w:lang w:val="es-ES_tradnl"/>
        </w:rPr>
        <w:t>la</w:t>
      </w:r>
      <w:r>
        <w:rPr>
          <w:rFonts w:ascii="Arial" w:hAnsi="Arial" w:cs="Arial"/>
          <w:color w:val="000000" w:themeColor="text1"/>
          <w:lang w:val="es-ES_tradnl"/>
        </w:rPr>
        <w:t>s</w:t>
      </w:r>
      <w:r w:rsidRPr="00A51520">
        <w:rPr>
          <w:rFonts w:ascii="Arial" w:hAnsi="Arial" w:cs="Arial"/>
          <w:color w:val="000000" w:themeColor="text1"/>
          <w:lang w:val="es-ES_tradnl"/>
        </w:rPr>
        <w:t xml:space="preserve"> siguiente</w:t>
      </w:r>
      <w:r>
        <w:rPr>
          <w:rFonts w:ascii="Arial" w:hAnsi="Arial" w:cs="Arial"/>
          <w:color w:val="000000" w:themeColor="text1"/>
          <w:lang w:val="es-ES_tradnl"/>
        </w:rPr>
        <w:t>s</w:t>
      </w:r>
      <w:r w:rsidRPr="00A51520">
        <w:rPr>
          <w:rFonts w:ascii="Arial" w:hAnsi="Arial" w:cs="Arial"/>
          <w:color w:val="000000" w:themeColor="text1"/>
          <w:lang w:val="es-ES_tradnl"/>
        </w:rPr>
        <w:t xml:space="preserve"> </w:t>
      </w:r>
      <w:r>
        <w:rPr>
          <w:rFonts w:ascii="Arial" w:hAnsi="Arial" w:cs="Arial"/>
          <w:color w:val="000000" w:themeColor="text1"/>
          <w:lang w:val="es-ES_tradnl"/>
        </w:rPr>
        <w:t>preguntas</w:t>
      </w:r>
      <w:r>
        <w:rPr>
          <w:rFonts w:ascii="Arial" w:hAnsi="Arial" w:cs="Arial"/>
          <w:lang w:val="es-ES_tradnl"/>
        </w:rPr>
        <w:t xml:space="preserve">: </w:t>
      </w:r>
    </w:p>
    <w:p w14:paraId="6F8992F7" w14:textId="77777777" w:rsidR="005709B9" w:rsidRPr="00361F21" w:rsidRDefault="005709B9" w:rsidP="005709B9">
      <w:pPr>
        <w:spacing w:line="276" w:lineRule="auto"/>
        <w:ind w:left="567" w:right="616"/>
        <w:jc w:val="both"/>
        <w:rPr>
          <w:rFonts w:ascii="Arial" w:hAnsi="Arial" w:cs="Arial"/>
          <w:sz w:val="21"/>
          <w:szCs w:val="21"/>
        </w:rPr>
      </w:pPr>
      <w:r w:rsidRPr="00361F21">
        <w:rPr>
          <w:rFonts w:ascii="Arial" w:hAnsi="Arial" w:cs="Arial"/>
          <w:sz w:val="21"/>
          <w:szCs w:val="21"/>
        </w:rPr>
        <w:lastRenderedPageBreak/>
        <w:t>“[…] [¿]Si dos empresas se van a fusionar ¿puede la sociedad que absorbe tomar como propia la experiencia de la absorbida e incluirla en su RUP? ¿o esa experiencia se pierde?</w:t>
      </w:r>
    </w:p>
    <w:p w14:paraId="0BD80FBC" w14:textId="77777777" w:rsidR="005709B9" w:rsidRPr="00361F21" w:rsidRDefault="005709B9" w:rsidP="005709B9">
      <w:pPr>
        <w:spacing w:line="276" w:lineRule="auto"/>
        <w:ind w:left="567" w:right="616"/>
        <w:jc w:val="both"/>
        <w:rPr>
          <w:rFonts w:ascii="Arial" w:hAnsi="Arial" w:cs="Arial"/>
          <w:sz w:val="21"/>
          <w:szCs w:val="21"/>
        </w:rPr>
      </w:pPr>
    </w:p>
    <w:p w14:paraId="7AE05877" w14:textId="77777777" w:rsidR="005709B9" w:rsidRPr="00361F21" w:rsidRDefault="005709B9" w:rsidP="005709B9">
      <w:pPr>
        <w:spacing w:line="276" w:lineRule="auto"/>
        <w:ind w:left="567" w:right="616"/>
        <w:jc w:val="both"/>
        <w:rPr>
          <w:rFonts w:ascii="Arial" w:hAnsi="Arial" w:cs="Arial"/>
          <w:sz w:val="21"/>
          <w:szCs w:val="21"/>
          <w:lang w:val="es-ES_tradnl"/>
        </w:rPr>
      </w:pPr>
      <w:r w:rsidRPr="00361F21">
        <w:rPr>
          <w:rFonts w:ascii="Arial" w:hAnsi="Arial" w:cs="Arial"/>
          <w:sz w:val="21"/>
          <w:szCs w:val="21"/>
        </w:rPr>
        <w:t>En caso de no poder tomar la experiencia que se puede hacer para no perder la experiencia? […]” (sic)</w:t>
      </w:r>
    </w:p>
    <w:p w14:paraId="0BAEBDC7" w14:textId="77777777" w:rsidR="005709B9" w:rsidRPr="0065218F" w:rsidRDefault="005709B9" w:rsidP="005709B9">
      <w:pPr>
        <w:spacing w:line="276" w:lineRule="auto"/>
        <w:ind w:right="476"/>
        <w:jc w:val="both"/>
        <w:rPr>
          <w:rFonts w:ascii="Arial" w:eastAsia="Calibri" w:hAnsi="Arial" w:cs="Arial"/>
          <w:bCs/>
          <w:sz w:val="20"/>
          <w:szCs w:val="20"/>
        </w:rPr>
      </w:pPr>
    </w:p>
    <w:p w14:paraId="49B3282D" w14:textId="77777777" w:rsidR="005709B9" w:rsidRPr="00A51520" w:rsidRDefault="005709B9" w:rsidP="005709B9">
      <w:pPr>
        <w:pStyle w:val="Prrafodelista"/>
        <w:numPr>
          <w:ilvl w:val="0"/>
          <w:numId w:val="1"/>
        </w:numPr>
        <w:tabs>
          <w:tab w:val="left" w:pos="0"/>
          <w:tab w:val="left" w:pos="284"/>
        </w:tabs>
        <w:spacing w:after="0" w:line="240" w:lineRule="auto"/>
        <w:ind w:left="0" w:firstLine="0"/>
        <w:jc w:val="both"/>
        <w:rPr>
          <w:rFonts w:ascii="Arial" w:eastAsia="Calibri" w:hAnsi="Arial" w:cs="Arial"/>
          <w:b/>
          <w:color w:val="000000" w:themeColor="text1"/>
          <w:lang w:val="es-ES_tradnl"/>
        </w:rPr>
      </w:pPr>
      <w:r w:rsidRPr="00A51520">
        <w:rPr>
          <w:rFonts w:ascii="Arial" w:eastAsia="Calibri" w:hAnsi="Arial" w:cs="Arial"/>
          <w:b/>
          <w:color w:val="000000" w:themeColor="text1"/>
          <w:lang w:val="es-ES_tradnl"/>
        </w:rPr>
        <w:t>Consideraciones</w:t>
      </w:r>
    </w:p>
    <w:p w14:paraId="7919189E" w14:textId="77777777" w:rsidR="005709B9" w:rsidRDefault="005709B9" w:rsidP="005709B9">
      <w:pPr>
        <w:spacing w:line="276" w:lineRule="auto"/>
        <w:jc w:val="both"/>
        <w:rPr>
          <w:rFonts w:ascii="Arial" w:eastAsia="Calibri" w:hAnsi="Arial" w:cs="Arial"/>
          <w:color w:val="000000" w:themeColor="text1"/>
        </w:rPr>
      </w:pPr>
    </w:p>
    <w:p w14:paraId="52D2502C" w14:textId="77777777" w:rsidR="005709B9" w:rsidRDefault="005709B9" w:rsidP="005709B9">
      <w:pPr>
        <w:spacing w:line="276" w:lineRule="auto"/>
        <w:jc w:val="both"/>
        <w:rPr>
          <w:rFonts w:ascii="Arial" w:eastAsia="Calibri" w:hAnsi="Arial" w:cs="Arial"/>
          <w:color w:val="000000" w:themeColor="text1"/>
          <w:lang w:val="es-MX"/>
        </w:rPr>
      </w:pPr>
      <w:r w:rsidRPr="00361F21">
        <w:rPr>
          <w:rFonts w:ascii="Arial" w:eastAsia="Calibri" w:hAnsi="Arial" w:cs="Arial"/>
          <w:color w:val="000000" w:themeColor="text1"/>
          <w:lang w:val="es-MX"/>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consultas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p>
    <w:p w14:paraId="695A7BAD" w14:textId="77777777" w:rsidR="005709B9" w:rsidRPr="00361F21" w:rsidRDefault="005709B9" w:rsidP="005709B9">
      <w:pPr>
        <w:spacing w:line="276" w:lineRule="auto"/>
        <w:jc w:val="both"/>
        <w:rPr>
          <w:rFonts w:ascii="Arial" w:eastAsia="Calibri" w:hAnsi="Arial" w:cs="Arial"/>
          <w:color w:val="000000" w:themeColor="text1"/>
          <w:lang w:val="es-MX"/>
        </w:rPr>
      </w:pPr>
    </w:p>
    <w:p w14:paraId="4F4797EE" w14:textId="77777777" w:rsidR="005709B9" w:rsidRDefault="005709B9" w:rsidP="005709B9">
      <w:pPr>
        <w:spacing w:line="276" w:lineRule="auto"/>
        <w:ind w:firstLine="567"/>
        <w:jc w:val="both"/>
        <w:rPr>
          <w:rFonts w:ascii="Arial" w:eastAsia="Calibri" w:hAnsi="Arial" w:cs="Arial"/>
          <w:color w:val="000000" w:themeColor="text1"/>
          <w:lang w:val="es-MX"/>
        </w:rPr>
      </w:pPr>
      <w:r w:rsidRPr="00361F21">
        <w:rPr>
          <w:rFonts w:ascii="Arial" w:eastAsia="Calibri" w:hAnsi="Arial" w:cs="Arial"/>
          <w:color w:val="000000" w:themeColor="text1"/>
          <w:lang w:val="es-MX"/>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089C5783" w14:textId="77777777" w:rsidR="005709B9" w:rsidRPr="00361F21" w:rsidRDefault="005709B9" w:rsidP="005709B9">
      <w:pPr>
        <w:spacing w:line="276" w:lineRule="auto"/>
        <w:ind w:firstLine="567"/>
        <w:jc w:val="both"/>
        <w:rPr>
          <w:rFonts w:ascii="Arial" w:eastAsia="Calibri" w:hAnsi="Arial" w:cs="Arial"/>
          <w:color w:val="000000" w:themeColor="text1"/>
          <w:lang w:val="es-MX"/>
        </w:rPr>
      </w:pPr>
    </w:p>
    <w:p w14:paraId="70D5EC17" w14:textId="77777777" w:rsidR="005709B9" w:rsidRPr="00361F21" w:rsidRDefault="005709B9" w:rsidP="005709B9">
      <w:pPr>
        <w:spacing w:line="276" w:lineRule="auto"/>
        <w:ind w:firstLine="567"/>
        <w:jc w:val="both"/>
        <w:rPr>
          <w:rFonts w:ascii="Arial" w:eastAsia="Calibri" w:hAnsi="Arial" w:cs="Arial"/>
          <w:color w:val="000000" w:themeColor="text1"/>
          <w:lang w:val="es-MX"/>
        </w:rPr>
      </w:pPr>
      <w:r w:rsidRPr="00361F21">
        <w:rPr>
          <w:rFonts w:ascii="Arial" w:eastAsia="Calibri" w:hAnsi="Arial" w:cs="Arial"/>
          <w:color w:val="000000" w:themeColor="text1"/>
          <w:lang w:val="es-MX"/>
        </w:rPr>
        <w:t>Bajo estas consideraciones, corresponde a cada entidad pública, en ejercicio de su competencia y previa valoración de los elementos fácticos y jurídicos, determinar si es procedente o no la celebración de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59CF34B3" w14:textId="77777777" w:rsidR="005709B9" w:rsidRDefault="005709B9" w:rsidP="005709B9">
      <w:pPr>
        <w:spacing w:line="276" w:lineRule="auto"/>
        <w:jc w:val="both"/>
        <w:rPr>
          <w:rFonts w:ascii="Arial" w:eastAsia="Calibri" w:hAnsi="Arial" w:cs="Arial"/>
          <w:color w:val="000000" w:themeColor="text1"/>
          <w:lang w:val="es-MX"/>
        </w:rPr>
      </w:pPr>
      <w:r w:rsidRPr="00361F21">
        <w:rPr>
          <w:rFonts w:ascii="Arial" w:eastAsia="Calibri" w:hAnsi="Arial" w:cs="Arial"/>
          <w:color w:val="000000" w:themeColor="text1"/>
          <w:lang w:val="es-MX"/>
        </w:rPr>
        <w:lastRenderedPageBreak/>
        <w:t>Por ello, la Subdirección, dentro de los límites de sus atribuciones, resolverá la consulta conforme a las normas generales en materia de contratación estatal. Con este objetivo se analizarán los siguientes temas: i) noción de experiencia; ii) experiencia de los consorcios y uniones temporales; y iii) experiencia adquirida por matrices y subordinadas de una sociedad comercial.</w:t>
      </w:r>
    </w:p>
    <w:p w14:paraId="7D25AB16" w14:textId="77777777" w:rsidR="005709B9" w:rsidRPr="00361F21" w:rsidRDefault="005709B9" w:rsidP="005709B9">
      <w:pPr>
        <w:spacing w:line="276" w:lineRule="auto"/>
        <w:jc w:val="both"/>
        <w:rPr>
          <w:rFonts w:ascii="Arial" w:eastAsia="Calibri" w:hAnsi="Arial" w:cs="Arial"/>
          <w:color w:val="000000" w:themeColor="text1"/>
          <w:lang w:val="es-MX"/>
        </w:rPr>
      </w:pPr>
    </w:p>
    <w:p w14:paraId="2921790F" w14:textId="77777777" w:rsidR="005709B9" w:rsidRPr="00361F21" w:rsidRDefault="005709B9" w:rsidP="005709B9">
      <w:pPr>
        <w:spacing w:line="276" w:lineRule="auto"/>
        <w:ind w:firstLine="567"/>
        <w:jc w:val="both"/>
        <w:rPr>
          <w:rFonts w:ascii="Arial" w:eastAsia="Calibri" w:hAnsi="Arial" w:cs="Arial"/>
          <w:color w:val="000000" w:themeColor="text1"/>
          <w:lang w:val="es-MX"/>
        </w:rPr>
      </w:pPr>
      <w:r w:rsidRPr="00361F21">
        <w:rPr>
          <w:rFonts w:ascii="Arial" w:eastAsia="Calibri" w:hAnsi="Arial" w:cs="Arial"/>
          <w:color w:val="000000" w:themeColor="text1"/>
          <w:lang w:val="es-MX"/>
        </w:rPr>
        <w:t>La Agencia Nacional de Contratación Pública ‒ Colombia Compra Eficiente, estudió el tema de experiencia y su noción</w:t>
      </w:r>
      <w:r>
        <w:rPr>
          <w:rFonts w:ascii="Arial" w:eastAsia="Calibri" w:hAnsi="Arial" w:cs="Arial"/>
          <w:color w:val="000000" w:themeColor="text1"/>
          <w:lang w:val="es-MX"/>
        </w:rPr>
        <w:t xml:space="preserve"> </w:t>
      </w:r>
      <w:r w:rsidRPr="00361F21">
        <w:rPr>
          <w:rFonts w:ascii="Arial" w:eastAsia="Calibri" w:hAnsi="Arial" w:cs="Arial"/>
          <w:color w:val="000000" w:themeColor="text1"/>
          <w:lang w:val="es-MX"/>
        </w:rPr>
        <w:t xml:space="preserve">en los conceptos C-025 del 16 de marzo de 2020, C-051 del 2 de marzo de 2020, C-165 del 1 de abril de 2020, C-233 del 16 de abril de 2020, C-407 de 12 de junio de 2020, C-398 de 30 de junio de 2020, C-470 del 14 de julio de 2020, C-511 del 18 de agosto de 2020, C-584 de 31 de agosto 2020, C-619 de 21 de septiembre 2020, C-710 del 9 de diciembre de 2020, C-717 del 10 de diciembre de 2020, C-729 del 11 de diciembre de 2020, C-103 del 24 de marzo del 2021, C-140 del 9 de abril del 2021, C-230 del 25 de mayo de 2021, C-316 del 29 de junio de 2021, C-318 del 29 de junio de 2021, C-326 del 2 de julio de 2021, C-725 del 25 de enero de 2022, C-084 del 16 de marzo de 2022 y C-517 del 11 de agosto de 2022, </w:t>
      </w:r>
      <w:r>
        <w:rPr>
          <w:rFonts w:ascii="Arial" w:eastAsia="Calibri" w:hAnsi="Arial" w:cs="Arial"/>
          <w:color w:val="000000" w:themeColor="text1"/>
          <w:lang w:val="es-MX"/>
        </w:rPr>
        <w:t xml:space="preserve">C-569 del 13 de septiembre de 2022 y C-820 del 29 de noviembre de 2022 </w:t>
      </w:r>
      <w:r w:rsidRPr="00361F21">
        <w:rPr>
          <w:rFonts w:ascii="Arial" w:eastAsia="Calibri" w:hAnsi="Arial" w:cs="Arial"/>
          <w:color w:val="000000" w:themeColor="text1"/>
          <w:lang w:val="es-MX"/>
        </w:rPr>
        <w:t>ente otros</w:t>
      </w:r>
      <w:r w:rsidRPr="00361F21">
        <w:rPr>
          <w:rFonts w:ascii="Arial" w:eastAsia="Calibri" w:hAnsi="Arial" w:cs="Arial"/>
          <w:color w:val="000000" w:themeColor="text1"/>
          <w:vertAlign w:val="superscript"/>
          <w:lang w:val="es-MX"/>
        </w:rPr>
        <w:footnoteReference w:id="2"/>
      </w:r>
      <w:r w:rsidRPr="00361F21">
        <w:rPr>
          <w:rFonts w:ascii="Arial" w:eastAsia="Calibri" w:hAnsi="Arial" w:cs="Arial"/>
          <w:color w:val="000000" w:themeColor="text1"/>
          <w:lang w:val="es-MX"/>
        </w:rPr>
        <w:t xml:space="preserve">. </w:t>
      </w:r>
      <w:r w:rsidRPr="00361F21">
        <w:rPr>
          <w:rFonts w:ascii="Arial" w:eastAsia="Calibri" w:hAnsi="Arial" w:cs="Arial"/>
          <w:bCs/>
          <w:color w:val="000000" w:themeColor="text1"/>
          <w:lang w:val="es-ES"/>
        </w:rPr>
        <w:t>Las tesis desarrolladas en estos conceptos se reiteran a continuación y se complementan en lo pertinente</w:t>
      </w:r>
    </w:p>
    <w:p w14:paraId="042DF6EA" w14:textId="77777777" w:rsidR="005709B9" w:rsidRPr="00361F21" w:rsidRDefault="005709B9" w:rsidP="005709B9">
      <w:pPr>
        <w:spacing w:line="276" w:lineRule="auto"/>
        <w:jc w:val="both"/>
        <w:rPr>
          <w:rFonts w:ascii="Arial" w:eastAsia="Calibri" w:hAnsi="Arial" w:cs="Arial"/>
          <w:color w:val="000000" w:themeColor="text1"/>
          <w:lang w:val="es-MX"/>
        </w:rPr>
      </w:pPr>
    </w:p>
    <w:p w14:paraId="726626E7" w14:textId="77777777" w:rsidR="005709B9" w:rsidRPr="0091736C" w:rsidRDefault="005709B9" w:rsidP="005709B9">
      <w:pPr>
        <w:spacing w:line="276" w:lineRule="auto"/>
        <w:jc w:val="both"/>
        <w:rPr>
          <w:rFonts w:ascii="Arial" w:eastAsia="Calibri" w:hAnsi="Arial" w:cs="Arial"/>
          <w:b/>
        </w:rPr>
      </w:pPr>
      <w:r>
        <w:rPr>
          <w:rFonts w:ascii="Arial" w:eastAsia="Calibri" w:hAnsi="Arial" w:cs="Arial"/>
          <w:b/>
          <w:bCs/>
          <w:color w:val="000000" w:themeColor="text1"/>
          <w:lang w:val="es-ES_tradnl"/>
        </w:rPr>
        <w:t xml:space="preserve">2.1 </w:t>
      </w:r>
      <w:r w:rsidRPr="0091736C">
        <w:rPr>
          <w:rFonts w:ascii="Arial" w:eastAsia="Calibri" w:hAnsi="Arial" w:cs="Arial"/>
          <w:b/>
        </w:rPr>
        <w:t>Aproximación general al concepto de experiencia en la contratación pública</w:t>
      </w:r>
    </w:p>
    <w:p w14:paraId="53EF5916" w14:textId="77777777" w:rsidR="005709B9" w:rsidRPr="0091736C" w:rsidRDefault="005709B9" w:rsidP="005709B9">
      <w:pPr>
        <w:spacing w:line="276" w:lineRule="auto"/>
        <w:jc w:val="both"/>
        <w:rPr>
          <w:rFonts w:ascii="Arial" w:eastAsia="Calibri" w:hAnsi="Arial" w:cs="Arial"/>
          <w:b/>
        </w:rPr>
      </w:pPr>
    </w:p>
    <w:p w14:paraId="203993DC" w14:textId="77777777" w:rsidR="005709B9" w:rsidRPr="0091736C" w:rsidRDefault="005709B9" w:rsidP="005709B9">
      <w:pPr>
        <w:spacing w:line="276" w:lineRule="auto"/>
        <w:jc w:val="both"/>
        <w:rPr>
          <w:rFonts w:ascii="Arial" w:eastAsia="Calibri" w:hAnsi="Arial" w:cs="Arial"/>
          <w:highlight w:val="yellow"/>
        </w:rPr>
      </w:pPr>
      <w:bookmarkStart w:id="4" w:name="_Hlk113212496"/>
      <w:r w:rsidRPr="0091736C">
        <w:rPr>
          <w:rFonts w:ascii="Arial" w:eastAsia="Calibri" w:hAnsi="Arial" w:cs="Arial"/>
        </w:rPr>
        <w:t>La Ley 1150 de 2007, en el artículo 5, establece los requisitos habilitantes para participar en un procedimiento contractual,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w:t>
      </w:r>
      <w:r w:rsidRPr="0091736C">
        <w:rPr>
          <w:rFonts w:ascii="Arial" w:eastAsia="Calibri" w:hAnsi="Arial" w:cs="Arial"/>
          <w:vertAlign w:val="superscript"/>
        </w:rPr>
        <w:footnoteReference w:id="3"/>
      </w:r>
      <w:r w:rsidRPr="0091736C">
        <w:rPr>
          <w:rFonts w:ascii="Arial" w:eastAsia="Calibri" w:hAnsi="Arial" w:cs="Arial"/>
        </w:rPr>
        <w:t xml:space="preserve">. En ese sentido, 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w:t>
      </w:r>
      <w:r w:rsidRPr="0091736C">
        <w:rPr>
          <w:rFonts w:ascii="Arial" w:eastAsia="Calibri" w:hAnsi="Arial" w:cs="Arial"/>
        </w:rPr>
        <w:lastRenderedPageBreak/>
        <w:t>estudio del sector y sus componentes, como la identificación de riesgos, así como el mercado y precio del bien, obra o servicio a contratar</w:t>
      </w:r>
      <w:r w:rsidRPr="0091736C">
        <w:rPr>
          <w:rFonts w:ascii="Arial" w:eastAsia="Calibri" w:hAnsi="Arial" w:cs="Arial"/>
          <w:vertAlign w:val="superscript"/>
        </w:rPr>
        <w:footnoteReference w:id="4"/>
      </w:r>
      <w:r w:rsidRPr="0091736C">
        <w:rPr>
          <w:rFonts w:ascii="Arial" w:eastAsia="Calibri" w:hAnsi="Arial" w:cs="Arial"/>
        </w:rPr>
        <w:t>.</w:t>
      </w:r>
    </w:p>
    <w:p w14:paraId="5BEA23DB" w14:textId="77777777" w:rsidR="005709B9" w:rsidRPr="0091736C" w:rsidRDefault="005709B9" w:rsidP="005709B9">
      <w:pPr>
        <w:spacing w:before="120" w:after="120" w:line="276" w:lineRule="auto"/>
        <w:ind w:firstLine="708"/>
        <w:jc w:val="both"/>
        <w:rPr>
          <w:rFonts w:ascii="Arial" w:eastAsia="Calibri" w:hAnsi="Arial" w:cs="Arial"/>
        </w:rPr>
      </w:pPr>
      <w:r w:rsidRPr="0091736C">
        <w:rPr>
          <w:rFonts w:ascii="Arial" w:eastAsia="Calibri" w:hAnsi="Arial" w:cs="Arial"/>
        </w:rPr>
        <w:t>La experiencia que se deriva de los contratos que el proponente ha celebrado y ejecutado con diferentes contratantes, sin importar la naturaleza de estos, se verifica con el Registro Único de Proponentes – RUP</w:t>
      </w:r>
      <w:r w:rsidRPr="0091736C">
        <w:rPr>
          <w:rFonts w:ascii="Arial" w:eastAsia="Calibri" w:hAnsi="Arial" w:cs="Arial"/>
          <w:vertAlign w:val="superscript"/>
        </w:rPr>
        <w:footnoteReference w:id="5"/>
      </w:r>
      <w:r w:rsidRPr="0091736C">
        <w:rPr>
          <w:rFonts w:ascii="Arial" w:eastAsia="Calibri" w:hAnsi="Arial" w:cs="Arial"/>
        </w:rPr>
        <w:t>, cuando este certificado sea exigible de acuerdo con la ley. En el RUP constan los requisitos habilitantes que se evalúan exclusivamente con este documento, que es su plena prueba, sin que la entidad o el proponente puedan solicitar o aportar otra documentación</w:t>
      </w:r>
      <w:r w:rsidRPr="0091736C">
        <w:rPr>
          <w:rFonts w:ascii="Arial" w:eastAsia="Calibri" w:hAnsi="Arial" w:cs="Arial"/>
          <w:vertAlign w:val="superscript"/>
        </w:rPr>
        <w:footnoteReference w:id="6"/>
      </w:r>
      <w:r w:rsidRPr="0091736C">
        <w:rPr>
          <w:rFonts w:ascii="Arial" w:eastAsia="Calibri" w:hAnsi="Arial" w:cs="Arial"/>
        </w:rPr>
        <w:t>.</w:t>
      </w:r>
    </w:p>
    <w:p w14:paraId="406E6698" w14:textId="77777777" w:rsidR="005709B9" w:rsidRPr="0091736C" w:rsidRDefault="005709B9" w:rsidP="005709B9">
      <w:pPr>
        <w:spacing w:line="276" w:lineRule="auto"/>
        <w:ind w:firstLine="708"/>
        <w:jc w:val="both"/>
        <w:rPr>
          <w:rFonts w:ascii="Arial" w:eastAsia="Calibri" w:hAnsi="Arial" w:cs="Arial"/>
        </w:rPr>
      </w:pPr>
      <w:r w:rsidRPr="0091736C">
        <w:rPr>
          <w:rFonts w:ascii="Arial" w:eastAsia="Calibri" w:hAnsi="Arial" w:cs="Arial"/>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Tales documentos deben codificarse con el clasificador de bienes y servicios en el tercer nivel</w:t>
      </w:r>
      <w:r w:rsidRPr="0091736C">
        <w:rPr>
          <w:rFonts w:ascii="Arial" w:eastAsia="Calibri" w:hAnsi="Arial" w:cs="Arial"/>
          <w:vertAlign w:val="superscript"/>
        </w:rPr>
        <w:footnoteReference w:id="7"/>
      </w:r>
      <w:r w:rsidRPr="0091736C">
        <w:rPr>
          <w:rFonts w:ascii="Arial" w:eastAsia="Calibri" w:hAnsi="Arial" w:cs="Arial"/>
        </w:rPr>
        <w:t xml:space="preserve">.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Por lo anterior, es pertinente aclarar que los códigos del clasificador de bienes y servicios ayudan a que exista un lenguaje común en la denominación de </w:t>
      </w:r>
      <w:r w:rsidRPr="0091736C">
        <w:rPr>
          <w:rFonts w:ascii="Arial" w:eastAsia="Calibri" w:hAnsi="Arial" w:cs="Arial"/>
        </w:rPr>
        <w:lastRenderedPageBreak/>
        <w:t>los bienes, obras o servicios que los proveedores ofrecen y que las entidades solicitan, sin que la entidad los evalúe, ya que lo que es objeto de evaluación es la experiencia clasificada de esta forma.</w:t>
      </w:r>
    </w:p>
    <w:p w14:paraId="6662AD7B" w14:textId="77777777" w:rsidR="005709B9" w:rsidRPr="0091736C" w:rsidRDefault="005709B9" w:rsidP="005709B9">
      <w:pPr>
        <w:spacing w:before="120" w:line="276" w:lineRule="auto"/>
        <w:ind w:firstLine="709"/>
        <w:jc w:val="both"/>
        <w:rPr>
          <w:rFonts w:ascii="Arial" w:eastAsia="Calibri" w:hAnsi="Arial" w:cs="Arial"/>
        </w:rPr>
      </w:pPr>
      <w:r w:rsidRPr="0091736C">
        <w:rPr>
          <w:rFonts w:ascii="Arial" w:eastAsia="Calibri" w:hAnsi="Arial" w:cs="Arial"/>
        </w:rPr>
        <w:t xml:space="preserve">La Agencia Nacional de Contratación Pública - Colombia Compra Eficiente puso a disposición de los interesados del Sistema de Compra Pública el </w:t>
      </w:r>
      <w:r w:rsidRPr="0091736C">
        <w:rPr>
          <w:rFonts w:ascii="Arial" w:eastAsia="Calibri" w:hAnsi="Arial" w:cs="Arial"/>
          <w:i/>
          <w:iCs/>
        </w:rPr>
        <w:t>Manual para determinar y verificar requisitos habilitantes en los procesos de contratación</w:t>
      </w:r>
      <w:r>
        <w:rPr>
          <w:rStyle w:val="Refdenotaalpie"/>
          <w:rFonts w:ascii="Arial" w:eastAsia="Calibri" w:hAnsi="Arial" w:cs="Arial"/>
          <w:i/>
          <w:iCs/>
        </w:rPr>
        <w:footnoteReference w:id="8"/>
      </w:r>
      <w:r w:rsidRPr="0091736C">
        <w:rPr>
          <w:rFonts w:ascii="Arial" w:eastAsia="Calibri" w:hAnsi="Arial" w:cs="Arial"/>
        </w:rPr>
        <w:t>. En dicho Manual se establecen las definiciones de cada requisito habilitante y se dan lineamientos orientadores sobre lo que las entidades pueden hacer para configurarlos. Sobre el particular, para la experiencia</w:t>
      </w:r>
      <w:r>
        <w:rPr>
          <w:rFonts w:ascii="Arial" w:eastAsia="Calibri" w:hAnsi="Arial" w:cs="Arial"/>
        </w:rPr>
        <w:t xml:space="preserve"> </w:t>
      </w:r>
      <w:r w:rsidRPr="0091736C">
        <w:rPr>
          <w:rFonts w:ascii="Arial" w:eastAsia="Calibri" w:hAnsi="Arial" w:cs="Arial"/>
        </w:rPr>
        <w:t>como requisito habilitante el Manual se centra en una de sus cualidades y es que es personal, lo cual significa que quien tiene la experiencia lo hace en razón de su participación, con anterioridad, en actividades que le permitieron conocer cómo ejecutar el objeto contractual que la entidad pretende satisfacer ahora</w:t>
      </w:r>
      <w:r w:rsidRPr="0091736C">
        <w:rPr>
          <w:rFonts w:ascii="Arial" w:eastAsia="Calibri" w:hAnsi="Arial" w:cs="Arial"/>
          <w:vertAlign w:val="superscript"/>
        </w:rPr>
        <w:footnoteReference w:id="9"/>
      </w:r>
      <w:r w:rsidRPr="0091736C">
        <w:rPr>
          <w:rFonts w:ascii="Arial" w:eastAsia="Calibri" w:hAnsi="Arial" w:cs="Arial"/>
        </w:rPr>
        <w:t>.</w:t>
      </w:r>
    </w:p>
    <w:p w14:paraId="72A646D6" w14:textId="77777777" w:rsidR="005709B9" w:rsidRDefault="005709B9" w:rsidP="005709B9">
      <w:pPr>
        <w:spacing w:before="120" w:after="120" w:line="276" w:lineRule="auto"/>
        <w:ind w:firstLine="708"/>
        <w:jc w:val="both"/>
        <w:rPr>
          <w:rFonts w:ascii="Arial" w:eastAsia="Calibri" w:hAnsi="Arial" w:cs="Arial"/>
        </w:rPr>
      </w:pPr>
      <w:r w:rsidRPr="0091736C">
        <w:rPr>
          <w:rFonts w:ascii="Arial" w:eastAsia="Calibri" w:hAnsi="Arial" w:cs="Arial"/>
        </w:rPr>
        <w:t xml:space="preserve">Lo anterior es determinante, porque no es posible tener experiencia si en la práctica no se han ejecutado actividades similares previas. Precisamente, de la experiencia se deriva el conocimiento del proponente, y para la contratación pública es importante, ya que garantiza que no habrá improvisación ni mayores costos por errores o dificultades originadas en realizar una actividad por primera </w:t>
      </w:r>
      <w:r w:rsidRPr="006F1606">
        <w:rPr>
          <w:rFonts w:ascii="Arial" w:eastAsia="Calibri" w:hAnsi="Arial" w:cs="Arial"/>
        </w:rPr>
        <w:t xml:space="preserve">vez. </w:t>
      </w:r>
      <w:bookmarkStart w:id="7" w:name="_Hlk113212591"/>
      <w:r w:rsidRPr="006F1606">
        <w:rPr>
          <w:rFonts w:ascii="Arial" w:eastAsia="Calibri" w:hAnsi="Arial" w:cs="Arial"/>
        </w:rPr>
        <w:t xml:space="preserve">Al respecto, la jurisprudencia ha señalado que la experiencia acreditable </w:t>
      </w:r>
      <w:r>
        <w:rPr>
          <w:rFonts w:ascii="Arial" w:hAnsi="Arial" w:cs="Arial"/>
        </w:rPr>
        <w:t>“</w:t>
      </w:r>
      <w:r w:rsidRPr="006F1606">
        <w:rPr>
          <w:rFonts w:ascii="Arial" w:eastAsia="Calibri" w:hAnsi="Arial" w:cs="Arial"/>
        </w:rPr>
        <w:t xml:space="preserve">no es más que un valor agregado para el contratista en consideración al registro documentado del hecho de haberlo ejecutado, es decir de haber cumplido las consideraciones pactadas, asunto que alude a un </w:t>
      </w:r>
      <w:r w:rsidRPr="00CE3AF1">
        <w:rPr>
          <w:rFonts w:ascii="Arial" w:eastAsia="Calibri" w:hAnsi="Arial" w:cs="Arial"/>
        </w:rPr>
        <w:t>estado adquirido por el contratante en función de la real ejecución que han hecho del contrato</w:t>
      </w:r>
      <w:r w:rsidRPr="006F1606">
        <w:rPr>
          <w:rFonts w:ascii="Arial" w:eastAsia="Calibri" w:hAnsi="Arial" w:cs="Arial"/>
        </w:rPr>
        <w:t>. La experiencia predicada de un sujeto comprende unas competencias o habilidades que este obtuvo, como consecuencia de la ejecución del contrato […]</w:t>
      </w:r>
      <w:r>
        <w:rPr>
          <w:rFonts w:ascii="Arial" w:hAnsi="Arial" w:cs="Arial"/>
        </w:rPr>
        <w:t>”</w:t>
      </w:r>
      <w:r>
        <w:rPr>
          <w:rStyle w:val="Refdenotaalpie"/>
          <w:rFonts w:ascii="Arial" w:hAnsi="Arial" w:cs="Arial"/>
        </w:rPr>
        <w:footnoteReference w:id="10"/>
      </w:r>
      <w:r w:rsidRPr="006F1606">
        <w:rPr>
          <w:rFonts w:ascii="Arial" w:hAnsi="Arial" w:cs="Arial"/>
        </w:rPr>
        <w:t>.</w:t>
      </w:r>
      <w:r>
        <w:rPr>
          <w:rFonts w:ascii="Arial" w:hAnsi="Arial" w:cs="Arial"/>
        </w:rPr>
        <w:t xml:space="preserve"> En tal sentido, la ejecución del contrato “se revela como un aspecto inherente a la persona que lo ejecutó”, por lo que</w:t>
      </w:r>
      <w:r w:rsidRPr="006F1606">
        <w:rPr>
          <w:rFonts w:ascii="Arial" w:hAnsi="Arial" w:cs="Arial"/>
        </w:rPr>
        <w:t xml:space="preserve"> es en virtud de</w:t>
      </w:r>
      <w:r>
        <w:rPr>
          <w:rFonts w:ascii="Arial" w:hAnsi="Arial" w:cs="Arial"/>
        </w:rPr>
        <w:t xml:space="preserve"> dicha</w:t>
      </w:r>
      <w:r w:rsidRPr="006F1606">
        <w:rPr>
          <w:rFonts w:ascii="Arial" w:hAnsi="Arial" w:cs="Arial"/>
        </w:rPr>
        <w:t xml:space="preserve"> </w:t>
      </w:r>
      <w:r>
        <w:rPr>
          <w:rFonts w:ascii="Arial" w:hAnsi="Arial" w:cs="Arial"/>
        </w:rPr>
        <w:t xml:space="preserve">ejecución </w:t>
      </w:r>
      <w:r w:rsidRPr="006F1606">
        <w:rPr>
          <w:rFonts w:ascii="Arial" w:hAnsi="Arial" w:cs="Arial"/>
        </w:rPr>
        <w:t>que se obtiene las habilidades y competencia</w:t>
      </w:r>
      <w:r>
        <w:rPr>
          <w:rFonts w:ascii="Arial" w:hAnsi="Arial" w:cs="Arial"/>
        </w:rPr>
        <w:t xml:space="preserve">s que califican al proponente. </w:t>
      </w:r>
    </w:p>
    <w:bookmarkEnd w:id="7"/>
    <w:p w14:paraId="6FF862F2" w14:textId="77777777" w:rsidR="005709B9" w:rsidRDefault="005709B9" w:rsidP="005709B9">
      <w:pPr>
        <w:spacing w:before="120" w:after="120" w:line="276" w:lineRule="auto"/>
        <w:ind w:firstLine="708"/>
        <w:jc w:val="both"/>
        <w:rPr>
          <w:rFonts w:ascii="Arial" w:eastAsia="Calibri" w:hAnsi="Arial" w:cs="Arial"/>
        </w:rPr>
      </w:pPr>
      <w:r w:rsidRPr="0091736C">
        <w:rPr>
          <w:rFonts w:ascii="Arial" w:eastAsia="Calibri" w:hAnsi="Arial" w:cs="Arial"/>
        </w:rPr>
        <w:lastRenderedPageBreak/>
        <w:t xml:space="preserve">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evento en el cual, por tratarse de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que puede funcionar para las exigencias de la entidad ayudando a que exista pluralidad de oferentes. </w:t>
      </w:r>
    </w:p>
    <w:p w14:paraId="26F8CAA3" w14:textId="77777777" w:rsidR="005709B9" w:rsidRPr="0091736C" w:rsidRDefault="005709B9" w:rsidP="005709B9">
      <w:pPr>
        <w:spacing w:before="120" w:after="120" w:line="276" w:lineRule="auto"/>
        <w:ind w:firstLine="708"/>
        <w:jc w:val="both"/>
        <w:rPr>
          <w:rFonts w:ascii="Arial" w:eastAsia="Calibri" w:hAnsi="Arial" w:cs="Arial"/>
        </w:rPr>
      </w:pPr>
      <w:bookmarkStart w:id="8" w:name="_Hlk113212612"/>
      <w:r>
        <w:rPr>
          <w:rFonts w:ascii="Arial" w:eastAsia="Calibri" w:hAnsi="Arial" w:cs="Arial"/>
        </w:rPr>
        <w:t>De lo anteriormente expuesto</w:t>
      </w:r>
      <w:bookmarkEnd w:id="8"/>
      <w:r w:rsidRPr="0091736C">
        <w:rPr>
          <w:rFonts w:ascii="Arial" w:eastAsia="Calibri" w:hAnsi="Arial" w:cs="Arial"/>
        </w:rPr>
        <w:t>, se pueden extraer cuatro conclusiones relevantes respecto de la experiencia</w:t>
      </w:r>
      <w:r>
        <w:rPr>
          <w:rFonts w:ascii="Arial" w:eastAsia="Calibri" w:hAnsi="Arial" w:cs="Arial"/>
        </w:rPr>
        <w:t xml:space="preserve">, </w:t>
      </w:r>
      <w:r w:rsidRPr="0091736C">
        <w:rPr>
          <w:rFonts w:ascii="Arial" w:eastAsia="Calibri" w:hAnsi="Arial" w:cs="Arial"/>
        </w:rPr>
        <w:t xml:space="preserve">para evaluar a continuación las figuras y reformas estatutarias de las sociedades comerciales: </w:t>
      </w:r>
    </w:p>
    <w:p w14:paraId="31829845" w14:textId="77777777" w:rsidR="005709B9" w:rsidRPr="0091736C" w:rsidRDefault="005709B9" w:rsidP="005709B9">
      <w:pPr>
        <w:spacing w:before="120" w:after="120" w:line="276" w:lineRule="auto"/>
        <w:ind w:firstLine="708"/>
        <w:jc w:val="both"/>
        <w:rPr>
          <w:rFonts w:ascii="Arial" w:eastAsia="Calibri" w:hAnsi="Arial" w:cs="Arial"/>
        </w:rPr>
      </w:pPr>
      <w:r w:rsidRPr="0091736C">
        <w:rPr>
          <w:rFonts w:ascii="Arial" w:eastAsia="Calibri" w:hAnsi="Arial" w:cs="Arial"/>
        </w:rPr>
        <w:t>i) La experiencia es personal, esto es, se adquiere participando, directa o indirectamente, sin que sea posible no hacerlo y tener experiencia.</w:t>
      </w:r>
    </w:p>
    <w:p w14:paraId="7A186CB9" w14:textId="77777777" w:rsidR="005709B9" w:rsidRPr="0091736C" w:rsidRDefault="005709B9" w:rsidP="005709B9">
      <w:pPr>
        <w:spacing w:before="120" w:after="120" w:line="276" w:lineRule="auto"/>
        <w:ind w:firstLine="708"/>
        <w:jc w:val="both"/>
        <w:rPr>
          <w:rFonts w:ascii="Arial" w:eastAsia="Calibri" w:hAnsi="Arial" w:cs="Arial"/>
        </w:rPr>
      </w:pPr>
      <w:r w:rsidRPr="0091736C">
        <w:rPr>
          <w:rFonts w:ascii="Arial" w:eastAsia="Calibri" w:hAnsi="Arial" w:cs="Arial"/>
        </w:rPr>
        <w:t>ii) La experiencia se puede compartir, sin que implique que la compartida a una persona se entienda suya, ya que dentro del procedimiento contractual se reflejará que esa persona tiene la experiencia de otra, como es el caso de las figuras asociativas</w:t>
      </w:r>
      <w:r>
        <w:rPr>
          <w:rFonts w:ascii="Arial" w:eastAsia="Calibri" w:hAnsi="Arial" w:cs="Arial"/>
        </w:rPr>
        <w:t xml:space="preserve">  –</w:t>
      </w:r>
      <w:r w:rsidRPr="0091736C">
        <w:rPr>
          <w:rFonts w:ascii="Arial" w:eastAsia="Calibri" w:hAnsi="Arial" w:cs="Arial"/>
        </w:rPr>
        <w:t>consorcios y uniones temporales</w:t>
      </w:r>
      <w:r>
        <w:rPr>
          <w:rFonts w:ascii="Arial" w:eastAsia="Calibri" w:hAnsi="Arial" w:cs="Arial"/>
        </w:rPr>
        <w:t xml:space="preserve">– </w:t>
      </w:r>
      <w:r w:rsidRPr="0091736C">
        <w:rPr>
          <w:rFonts w:ascii="Arial" w:eastAsia="Calibri" w:hAnsi="Arial" w:cs="Arial"/>
        </w:rPr>
        <w:t>que se verificará en el documento privado de constitución.</w:t>
      </w:r>
    </w:p>
    <w:p w14:paraId="160FF75C" w14:textId="77777777" w:rsidR="005709B9" w:rsidRPr="0091736C" w:rsidRDefault="005709B9" w:rsidP="005709B9">
      <w:pPr>
        <w:spacing w:before="120" w:after="120" w:line="276" w:lineRule="auto"/>
        <w:ind w:firstLine="708"/>
        <w:jc w:val="both"/>
        <w:rPr>
          <w:rFonts w:ascii="Arial" w:eastAsia="Calibri" w:hAnsi="Arial" w:cs="Arial"/>
        </w:rPr>
      </w:pPr>
      <w:r w:rsidRPr="0091736C">
        <w:rPr>
          <w:rFonts w:ascii="Arial" w:eastAsia="Calibri" w:hAnsi="Arial" w:cs="Arial"/>
        </w:rPr>
        <w:t>iii) La experiencia se puede transferir, y esto es diferente a compartir, lo que implica que la experiencia de una persona se traslada a otra, y esta última acredita la experiencia como propia, como sucede con algunas figuras y reformas estatutarias, que se explicarán con más detalle en el numeral 2.2. de este concepto.</w:t>
      </w:r>
    </w:p>
    <w:p w14:paraId="7D914B87" w14:textId="77777777" w:rsidR="005709B9" w:rsidRPr="0091736C" w:rsidRDefault="005709B9" w:rsidP="005709B9">
      <w:pPr>
        <w:spacing w:line="276" w:lineRule="auto"/>
        <w:ind w:firstLine="708"/>
        <w:jc w:val="both"/>
        <w:rPr>
          <w:rFonts w:ascii="Arial" w:eastAsia="Calibri" w:hAnsi="Arial" w:cs="Arial"/>
        </w:rPr>
      </w:pPr>
      <w:r w:rsidRPr="0091736C">
        <w:rPr>
          <w:rFonts w:ascii="Arial" w:eastAsia="Calibri" w:hAnsi="Arial" w:cs="Arial"/>
        </w:rPr>
        <w:t xml:space="preserve">iv) Cuando </w:t>
      </w:r>
      <w:bookmarkStart w:id="9" w:name="_Hlk113212638"/>
      <w:r w:rsidRPr="0091736C">
        <w:rPr>
          <w:rFonts w:ascii="Arial" w:eastAsia="Calibri" w:hAnsi="Arial" w:cs="Arial"/>
        </w:rPr>
        <w:t>la persona que adquirió la experiencia desaparece o se liquida no es posible que comparta o transfiera su experiencia, p</w:t>
      </w:r>
      <w:r>
        <w:rPr>
          <w:rFonts w:ascii="Arial" w:eastAsia="Calibri" w:hAnsi="Arial" w:cs="Arial"/>
        </w:rPr>
        <w:t>uesto que</w:t>
      </w:r>
      <w:r w:rsidRPr="0091736C">
        <w:rPr>
          <w:rFonts w:ascii="Arial" w:eastAsia="Calibri" w:hAnsi="Arial" w:cs="Arial"/>
        </w:rPr>
        <w:t xml:space="preserve">, al ser </w:t>
      </w:r>
      <w:r>
        <w:rPr>
          <w:rFonts w:ascii="Arial" w:eastAsia="Calibri" w:hAnsi="Arial" w:cs="Arial"/>
        </w:rPr>
        <w:t xml:space="preserve">esta </w:t>
      </w:r>
      <w:r w:rsidRPr="0091736C">
        <w:rPr>
          <w:rFonts w:ascii="Arial" w:eastAsia="Calibri" w:hAnsi="Arial" w:cs="Arial"/>
        </w:rPr>
        <w:t>personal, sigue la suerte de quien la adquirió</w:t>
      </w:r>
      <w:bookmarkEnd w:id="9"/>
      <w:r w:rsidRPr="0091736C">
        <w:rPr>
          <w:rFonts w:ascii="Arial" w:eastAsia="Calibri" w:hAnsi="Arial" w:cs="Arial"/>
        </w:rPr>
        <w:t>.</w:t>
      </w:r>
    </w:p>
    <w:p w14:paraId="4A0B6258" w14:textId="77777777" w:rsidR="005709B9" w:rsidRPr="0091736C" w:rsidRDefault="005709B9" w:rsidP="005709B9">
      <w:pPr>
        <w:spacing w:before="120" w:after="120" w:line="276" w:lineRule="auto"/>
        <w:ind w:firstLine="708"/>
        <w:jc w:val="both"/>
        <w:rPr>
          <w:rFonts w:ascii="Arial" w:eastAsia="Calibri" w:hAnsi="Arial" w:cs="Arial"/>
        </w:rPr>
      </w:pPr>
      <w:r w:rsidRPr="0091736C">
        <w:rPr>
          <w:rFonts w:ascii="Arial" w:eastAsia="Calibri" w:hAnsi="Arial" w:cs="Arial"/>
        </w:rPr>
        <w:t xml:space="preserve">De lo anterior se </w:t>
      </w:r>
      <w:r>
        <w:rPr>
          <w:rFonts w:ascii="Arial" w:eastAsia="Calibri" w:hAnsi="Arial" w:cs="Arial"/>
        </w:rPr>
        <w:t>desprende</w:t>
      </w:r>
      <w:r w:rsidRPr="0091736C">
        <w:rPr>
          <w:rFonts w:ascii="Arial" w:eastAsia="Calibri" w:hAnsi="Arial" w:cs="Arial"/>
        </w:rPr>
        <w:t xml:space="preserve"> que, por regla general, en la actividad contractual regulada por el Estatuto General de Contratación de la Administración Pública la experiencia es personal e intransferible, salvo algunas excepciones. Una primera excepción a la regla anteriormente descrita se encuentra consagrada en el numeral 2.5. del artículo 2.2.1.1.1.5.2. del Decreto 1082 de 2015, con arreglo al cual si bien para la inscripción, renovación o actualización del Registro Único de Proponentes (RUP) la persona jurídica interesada debe presentar ante la cámara de comercio respectiva los certificados de los bienes, obras o servicios cuya experiencia requiere acreditar, </w:t>
      </w:r>
      <w:r>
        <w:rPr>
          <w:rFonts w:ascii="Arial" w:eastAsia="Calibri" w:hAnsi="Arial" w:cs="Arial"/>
        </w:rPr>
        <w:t>“</w:t>
      </w:r>
      <w:r w:rsidRPr="0091736C">
        <w:rPr>
          <w:rFonts w:ascii="Arial" w:eastAsia="Calibri" w:hAnsi="Arial" w:cs="Arial"/>
        </w:rPr>
        <w:t>Si la constitución del interesado es menor a tres (3) años, puede acreditar la experiencia de sus accionistas, socios o constituyentes</w:t>
      </w:r>
      <w:r>
        <w:rPr>
          <w:rFonts w:ascii="Arial" w:eastAsia="Calibri" w:hAnsi="Arial" w:cs="Arial"/>
        </w:rPr>
        <w:t>”</w:t>
      </w:r>
      <w:r w:rsidRPr="0091736C">
        <w:rPr>
          <w:rFonts w:ascii="Arial" w:eastAsia="Calibri" w:hAnsi="Arial" w:cs="Arial"/>
        </w:rPr>
        <w:t>.</w:t>
      </w:r>
    </w:p>
    <w:p w14:paraId="31C89DD1" w14:textId="77777777" w:rsidR="005709B9" w:rsidRPr="0091736C" w:rsidRDefault="005709B9" w:rsidP="005709B9">
      <w:pPr>
        <w:spacing w:before="120" w:line="276" w:lineRule="auto"/>
        <w:ind w:firstLine="709"/>
        <w:jc w:val="both"/>
        <w:rPr>
          <w:rFonts w:ascii="Arial" w:eastAsia="Calibri" w:hAnsi="Arial" w:cs="Arial"/>
        </w:rPr>
      </w:pPr>
      <w:r w:rsidRPr="0091736C">
        <w:rPr>
          <w:rFonts w:ascii="Arial" w:eastAsia="Calibri" w:hAnsi="Arial" w:cs="Arial"/>
        </w:rPr>
        <w:t xml:space="preserve">Como segunda excepción al carácter intransferible de la experiencia puede mencionarse el caso de algunas reformas estatutarias de las personas jurídicas o de reorganización empresarial, en las que la persona jurídica no se liquida y por lo tanto puede transferir su </w:t>
      </w:r>
      <w:r w:rsidRPr="0091736C">
        <w:rPr>
          <w:rFonts w:ascii="Arial" w:eastAsia="Calibri" w:hAnsi="Arial" w:cs="Arial"/>
        </w:rPr>
        <w:lastRenderedPageBreak/>
        <w:t xml:space="preserve">experiencia a la persona jurídica resultante. En efecto, la Subdirección de Gestión Contractual, en el concepto C-002 del 20 de febrero de 2020, reiterado en los conceptos </w:t>
      </w:r>
      <w:r w:rsidRPr="00DC5CAD">
        <w:rPr>
          <w:rFonts w:ascii="Arial" w:eastAsia="Calibri" w:hAnsi="Arial" w:cs="Arial"/>
        </w:rPr>
        <w:t>C-491 del 27 de julio de 2020</w:t>
      </w:r>
      <w:r>
        <w:rPr>
          <w:rFonts w:ascii="Arial" w:eastAsia="Calibri" w:hAnsi="Arial" w:cs="Arial"/>
        </w:rPr>
        <w:t xml:space="preserve">, C-350 del 1 de junio de 2020, C-584 del 31 de agosto de 2020, C-002 del 9 de febrero de 2021, C-115 del 29 de marzo de 2021, C-343 del 13 de julio de 2021 y C-342 del 13 de julio de 2021, </w:t>
      </w:r>
      <w:r w:rsidRPr="0091736C">
        <w:rPr>
          <w:rFonts w:ascii="Arial" w:eastAsia="Calibri" w:hAnsi="Arial" w:cs="Arial"/>
        </w:rPr>
        <w:t xml:space="preserve">modificó la tesis que hasta ese momento había sostenido la Subdirección, en virtud de la cual se afirmaba que en las reformas estatutarias que implicaban una escisión o una fusión de las personas jurídicas no era posible la transferencia de la experiencia, ya que esta era personal e intransferible, según una interpretación del artículo 2.2.1.1.1.5.3. del Decreto 1082 de 2015, que establece que </w:t>
      </w:r>
      <w:bookmarkStart w:id="10" w:name="_Hlk113212671"/>
      <w:r>
        <w:rPr>
          <w:rFonts w:ascii="Arial" w:eastAsia="Calibri" w:hAnsi="Arial" w:cs="Arial"/>
        </w:rPr>
        <w:t xml:space="preserve">se debe verificar la experiencia de </w:t>
      </w:r>
      <w:bookmarkEnd w:id="10"/>
      <w:r>
        <w:rPr>
          <w:rFonts w:ascii="Arial" w:eastAsia="Calibri" w:hAnsi="Arial" w:cs="Arial"/>
        </w:rPr>
        <w:t>“l</w:t>
      </w:r>
      <w:r w:rsidRPr="0091736C">
        <w:rPr>
          <w:rFonts w:ascii="Arial" w:eastAsia="Calibri" w:hAnsi="Arial" w:cs="Arial"/>
        </w:rPr>
        <w:t>os contratos celebrados por el interesado para cada uno de los bienes, obras y servicios que ofrecerá a las Entidades Estatales, identificados con el Clasificador de Bienes y Servicios en el tercer nivel y su valor expresado en SMMLV […]</w:t>
      </w:r>
      <w:r>
        <w:rPr>
          <w:rFonts w:ascii="Arial" w:eastAsia="Calibri" w:hAnsi="Arial" w:cs="Arial"/>
        </w:rPr>
        <w:t>”</w:t>
      </w:r>
      <w:r w:rsidRPr="0091736C">
        <w:rPr>
          <w:rFonts w:ascii="Arial" w:eastAsia="Calibri" w:hAnsi="Arial" w:cs="Arial"/>
        </w:rPr>
        <w:t>. En el concepto C-002</w:t>
      </w:r>
      <w:r>
        <w:rPr>
          <w:rFonts w:ascii="Arial" w:eastAsia="Calibri" w:hAnsi="Arial" w:cs="Arial"/>
        </w:rPr>
        <w:t xml:space="preserve"> de 2020</w:t>
      </w:r>
      <w:r w:rsidRPr="0091736C">
        <w:rPr>
          <w:rFonts w:ascii="Arial" w:eastAsia="Calibri" w:hAnsi="Arial" w:cs="Arial"/>
        </w:rPr>
        <w:t xml:space="preserve">, como se dijo, la Subdirección de Gestión Contractual modificó razonablemente dicho argumento, por considerar que de conformidad con la regulación aplicable y teniendo en cuenta los conceptos de </w:t>
      </w:r>
      <w:r>
        <w:rPr>
          <w:rFonts w:ascii="Arial" w:eastAsia="Calibri" w:hAnsi="Arial" w:cs="Arial"/>
        </w:rPr>
        <w:t>“</w:t>
      </w:r>
      <w:r w:rsidRPr="0091736C">
        <w:rPr>
          <w:rFonts w:ascii="Arial" w:eastAsia="Calibri" w:hAnsi="Arial" w:cs="Arial"/>
        </w:rPr>
        <w:t>disolución</w:t>
      </w:r>
      <w:r>
        <w:rPr>
          <w:rFonts w:ascii="Arial" w:eastAsia="Calibri" w:hAnsi="Arial" w:cs="Arial"/>
        </w:rPr>
        <w:t xml:space="preserve">” </w:t>
      </w:r>
      <w:r w:rsidRPr="0091736C">
        <w:rPr>
          <w:rFonts w:ascii="Arial" w:eastAsia="Calibri" w:hAnsi="Arial" w:cs="Arial"/>
        </w:rPr>
        <w:t xml:space="preserve">y </w:t>
      </w:r>
      <w:r>
        <w:rPr>
          <w:rFonts w:ascii="Arial" w:eastAsia="Calibri" w:hAnsi="Arial" w:cs="Arial"/>
        </w:rPr>
        <w:t>“</w:t>
      </w:r>
      <w:r w:rsidRPr="0091736C">
        <w:rPr>
          <w:rFonts w:ascii="Arial" w:eastAsia="Calibri" w:hAnsi="Arial" w:cs="Arial"/>
        </w:rPr>
        <w:t>liquidación</w:t>
      </w:r>
      <w:r>
        <w:rPr>
          <w:rFonts w:ascii="Arial" w:eastAsia="Calibri" w:hAnsi="Arial" w:cs="Arial"/>
        </w:rPr>
        <w:t>”</w:t>
      </w:r>
      <w:r w:rsidRPr="0091736C">
        <w:rPr>
          <w:rFonts w:ascii="Arial" w:eastAsia="Calibri" w:hAnsi="Arial" w:cs="Arial"/>
        </w:rPr>
        <w:t xml:space="preserve"> del Código de Comercio, es viable la transferencia de experiencia en la transformación y en la fusión, pero no en la escisión,</w:t>
      </w:r>
      <w:bookmarkStart w:id="11" w:name="_Hlk113212692"/>
      <w:r w:rsidRPr="0091736C">
        <w:rPr>
          <w:rFonts w:ascii="Arial" w:eastAsia="Calibri" w:hAnsi="Arial" w:cs="Arial"/>
        </w:rPr>
        <w:t xml:space="preserve"> </w:t>
      </w:r>
      <w:r>
        <w:rPr>
          <w:rFonts w:ascii="Arial" w:eastAsia="Calibri" w:hAnsi="Arial" w:cs="Arial"/>
        </w:rPr>
        <w:t xml:space="preserve">tesis que </w:t>
      </w:r>
      <w:r w:rsidRPr="0091736C">
        <w:rPr>
          <w:rFonts w:ascii="Arial" w:eastAsia="Calibri" w:hAnsi="Arial" w:cs="Arial"/>
        </w:rPr>
        <w:t>se r</w:t>
      </w:r>
      <w:r>
        <w:rPr>
          <w:rFonts w:ascii="Arial" w:eastAsia="Calibri" w:hAnsi="Arial" w:cs="Arial"/>
        </w:rPr>
        <w:t>eitera</w:t>
      </w:r>
      <w:r w:rsidRPr="0091736C">
        <w:rPr>
          <w:rFonts w:ascii="Arial" w:eastAsia="Calibri" w:hAnsi="Arial" w:cs="Arial"/>
        </w:rPr>
        <w:t xml:space="preserve"> </w:t>
      </w:r>
      <w:r>
        <w:rPr>
          <w:rFonts w:ascii="Arial" w:eastAsia="Calibri" w:hAnsi="Arial" w:cs="Arial"/>
        </w:rPr>
        <w:t>en este concepto como a continuación se expone.</w:t>
      </w:r>
      <w:bookmarkEnd w:id="11"/>
    </w:p>
    <w:bookmarkEnd w:id="4"/>
    <w:p w14:paraId="785B1837" w14:textId="77777777" w:rsidR="005709B9" w:rsidRDefault="005709B9" w:rsidP="005709B9"/>
    <w:p w14:paraId="59BCE626" w14:textId="77777777" w:rsidR="005709B9" w:rsidRPr="0091736C" w:rsidRDefault="005709B9" w:rsidP="005709B9">
      <w:pPr>
        <w:spacing w:line="276" w:lineRule="auto"/>
        <w:jc w:val="both"/>
        <w:rPr>
          <w:rFonts w:ascii="Arial" w:eastAsia="Calibri" w:hAnsi="Arial" w:cs="Arial"/>
          <w:b/>
        </w:rPr>
      </w:pPr>
      <w:r w:rsidRPr="0091736C">
        <w:rPr>
          <w:rFonts w:ascii="Arial" w:eastAsia="Calibri" w:hAnsi="Arial" w:cs="Arial"/>
          <w:b/>
        </w:rPr>
        <w:t>.2. Figuras y reformas estatutarias, y efectos sobre la experiencia de las sociedades comerciales</w:t>
      </w:r>
    </w:p>
    <w:p w14:paraId="3ED6167F" w14:textId="77777777" w:rsidR="005709B9" w:rsidRPr="0091736C" w:rsidRDefault="005709B9" w:rsidP="005709B9">
      <w:pPr>
        <w:spacing w:line="276" w:lineRule="auto"/>
        <w:jc w:val="both"/>
        <w:rPr>
          <w:rFonts w:ascii="Arial" w:eastAsia="Calibri" w:hAnsi="Arial" w:cs="Arial"/>
          <w:b/>
        </w:rPr>
      </w:pPr>
    </w:p>
    <w:p w14:paraId="3629E60C" w14:textId="77777777" w:rsidR="005709B9" w:rsidRPr="0091736C" w:rsidRDefault="005709B9" w:rsidP="005709B9">
      <w:pPr>
        <w:spacing w:after="120" w:line="276" w:lineRule="auto"/>
        <w:jc w:val="both"/>
        <w:rPr>
          <w:rFonts w:ascii="Arial" w:eastAsia="Calibri" w:hAnsi="Arial" w:cs="Arial"/>
          <w:bCs/>
        </w:rPr>
      </w:pPr>
      <w:r w:rsidRPr="0091736C">
        <w:rPr>
          <w:rFonts w:ascii="Arial" w:eastAsia="Calibri" w:hAnsi="Arial" w:cs="Arial"/>
          <w:bCs/>
        </w:rPr>
        <w:t xml:space="preserve">Antes de analizar las figuras y reformas estatutarias, es necesario aclarar dos conceptos respecto de las sociedades comerciales: i) </w:t>
      </w:r>
      <w:r>
        <w:rPr>
          <w:rFonts w:ascii="Arial" w:eastAsia="Calibri" w:hAnsi="Arial" w:cs="Arial"/>
          <w:bCs/>
        </w:rPr>
        <w:t>“</w:t>
      </w:r>
      <w:r w:rsidRPr="0091736C">
        <w:rPr>
          <w:rFonts w:ascii="Arial" w:eastAsia="Calibri" w:hAnsi="Arial" w:cs="Arial"/>
          <w:bCs/>
        </w:rPr>
        <w:t>disolución</w:t>
      </w:r>
      <w:r>
        <w:rPr>
          <w:rFonts w:ascii="Arial" w:eastAsia="Calibri" w:hAnsi="Arial" w:cs="Arial"/>
          <w:bCs/>
        </w:rPr>
        <w:t>”</w:t>
      </w:r>
      <w:r w:rsidRPr="0091736C">
        <w:rPr>
          <w:rFonts w:ascii="Arial" w:eastAsia="Calibri" w:hAnsi="Arial" w:cs="Arial"/>
          <w:bCs/>
        </w:rPr>
        <w:t xml:space="preserve"> y ii) </w:t>
      </w:r>
      <w:r>
        <w:rPr>
          <w:rFonts w:ascii="Arial" w:eastAsia="Calibri" w:hAnsi="Arial" w:cs="Arial"/>
          <w:bCs/>
        </w:rPr>
        <w:t>“</w:t>
      </w:r>
      <w:r w:rsidRPr="0091736C">
        <w:rPr>
          <w:rFonts w:ascii="Arial" w:eastAsia="Calibri" w:hAnsi="Arial" w:cs="Arial"/>
          <w:bCs/>
        </w:rPr>
        <w:t>liquidación</w:t>
      </w:r>
      <w:r>
        <w:rPr>
          <w:rFonts w:ascii="Arial" w:eastAsia="Calibri" w:hAnsi="Arial" w:cs="Arial"/>
          <w:bCs/>
        </w:rPr>
        <w:t>”</w:t>
      </w:r>
      <w:r w:rsidRPr="0091736C">
        <w:rPr>
          <w:rFonts w:ascii="Arial" w:eastAsia="Calibri" w:hAnsi="Arial" w:cs="Arial"/>
          <w:bCs/>
        </w:rPr>
        <w:t xml:space="preserve">, ya que se aplican a las figuras y reformas estatutarias, y tienen incidencia en la posibilidad de transferir o no la experiencia de una sociedad. </w:t>
      </w:r>
    </w:p>
    <w:p w14:paraId="006B2105" w14:textId="77777777" w:rsidR="005709B9" w:rsidRPr="0091736C" w:rsidRDefault="005709B9" w:rsidP="005709B9">
      <w:pPr>
        <w:spacing w:line="276" w:lineRule="auto"/>
        <w:ind w:firstLine="708"/>
        <w:jc w:val="both"/>
        <w:rPr>
          <w:rFonts w:ascii="Arial" w:eastAsia="Calibri" w:hAnsi="Arial" w:cs="Arial"/>
          <w:bCs/>
        </w:rPr>
      </w:pPr>
      <w:r w:rsidRPr="0091736C">
        <w:rPr>
          <w:rFonts w:ascii="Arial" w:eastAsia="Calibri" w:hAnsi="Arial" w:cs="Arial"/>
          <w:bCs/>
        </w:rPr>
        <w:t xml:space="preserve">En primer lugar, el Código de Comercio señala, como efecto de la </w:t>
      </w:r>
      <w:r>
        <w:rPr>
          <w:rFonts w:ascii="Arial" w:eastAsia="Calibri" w:hAnsi="Arial" w:cs="Arial"/>
          <w:bCs/>
        </w:rPr>
        <w:t>“</w:t>
      </w:r>
      <w:r w:rsidRPr="0091736C">
        <w:rPr>
          <w:rFonts w:ascii="Arial" w:eastAsia="Calibri" w:hAnsi="Arial" w:cs="Arial"/>
          <w:bCs/>
        </w:rPr>
        <w:t>disolución</w:t>
      </w:r>
      <w:r>
        <w:rPr>
          <w:rFonts w:ascii="Arial" w:eastAsia="Calibri" w:hAnsi="Arial" w:cs="Arial"/>
          <w:bCs/>
        </w:rPr>
        <w:t>”</w:t>
      </w:r>
      <w:r w:rsidRPr="0091736C">
        <w:rPr>
          <w:rFonts w:ascii="Arial" w:eastAsia="Calibri" w:hAnsi="Arial" w:cs="Arial"/>
          <w:bCs/>
        </w:rPr>
        <w:t xml:space="preserve">, que la persona jurídica no desaparece, sino que conserva su capacidad jurídica, únicamente para </w:t>
      </w:r>
      <w:r>
        <w:rPr>
          <w:rFonts w:ascii="Arial" w:eastAsia="Calibri" w:hAnsi="Arial" w:cs="Arial"/>
          <w:bCs/>
        </w:rPr>
        <w:t>“</w:t>
      </w:r>
      <w:r w:rsidRPr="0091736C">
        <w:rPr>
          <w:rFonts w:ascii="Arial" w:eastAsia="Calibri" w:hAnsi="Arial" w:cs="Arial"/>
          <w:bCs/>
        </w:rPr>
        <w:t>liquidarse</w:t>
      </w:r>
      <w:r>
        <w:rPr>
          <w:rFonts w:ascii="Arial" w:eastAsia="Calibri" w:hAnsi="Arial" w:cs="Arial"/>
          <w:bCs/>
        </w:rPr>
        <w:t>”</w:t>
      </w:r>
      <w:r w:rsidRPr="0091736C">
        <w:rPr>
          <w:rFonts w:ascii="Arial" w:eastAsia="Calibri" w:hAnsi="Arial" w:cs="Arial"/>
          <w:bCs/>
        </w:rPr>
        <w:t xml:space="preserve"> y para las operaciones o actos autorizados por la ley</w:t>
      </w:r>
      <w:r w:rsidRPr="0091736C">
        <w:rPr>
          <w:rFonts w:ascii="Arial" w:eastAsia="Calibri" w:hAnsi="Arial" w:cs="Arial"/>
          <w:bCs/>
          <w:vertAlign w:val="superscript"/>
        </w:rPr>
        <w:footnoteReference w:id="11"/>
      </w:r>
      <w:r w:rsidRPr="0091736C">
        <w:rPr>
          <w:rFonts w:ascii="Arial" w:eastAsia="Calibri" w:hAnsi="Arial" w:cs="Arial"/>
          <w:bCs/>
        </w:rPr>
        <w:t xml:space="preserve">, como las figuras y reformas estatutarias que se verán a continuación. Con esto se anticipa que si la persona jurídica no desaparece, su experiencia se conserva y puede transferirse. Por el contrario, respecto de la </w:t>
      </w:r>
      <w:r>
        <w:rPr>
          <w:rFonts w:ascii="Arial" w:eastAsia="Calibri" w:hAnsi="Arial" w:cs="Arial"/>
          <w:bCs/>
        </w:rPr>
        <w:t>“</w:t>
      </w:r>
      <w:r w:rsidRPr="0091736C">
        <w:rPr>
          <w:rFonts w:ascii="Arial" w:eastAsia="Calibri" w:hAnsi="Arial" w:cs="Arial"/>
          <w:bCs/>
        </w:rPr>
        <w:t>liquidación</w:t>
      </w:r>
      <w:r>
        <w:rPr>
          <w:rFonts w:ascii="Arial" w:eastAsia="Calibri" w:hAnsi="Arial" w:cs="Arial"/>
          <w:bCs/>
        </w:rPr>
        <w:t>”</w:t>
      </w:r>
      <w:r w:rsidRPr="0091736C">
        <w:rPr>
          <w:rFonts w:ascii="Arial" w:eastAsia="Calibri" w:hAnsi="Arial" w:cs="Arial"/>
          <w:bCs/>
        </w:rPr>
        <w:t xml:space="preserve"> de las sociedades comerciales, el Código de Comercio señala el procedimiento para </w:t>
      </w:r>
      <w:r w:rsidRPr="0091736C">
        <w:rPr>
          <w:rFonts w:ascii="Arial" w:eastAsia="Calibri" w:hAnsi="Arial" w:cs="Arial"/>
          <w:bCs/>
        </w:rPr>
        <w:lastRenderedPageBreak/>
        <w:t>realizar el inventario y distribución del patrimonio social, de lo cual se infiere que termina la persona jurídica</w:t>
      </w:r>
      <w:r w:rsidRPr="0091736C">
        <w:rPr>
          <w:rFonts w:ascii="Arial" w:eastAsia="Calibri" w:hAnsi="Arial" w:cs="Arial"/>
          <w:bCs/>
          <w:vertAlign w:val="superscript"/>
        </w:rPr>
        <w:footnoteReference w:id="12"/>
      </w:r>
      <w:r w:rsidRPr="0091736C">
        <w:rPr>
          <w:rFonts w:ascii="Arial" w:eastAsia="Calibri" w:hAnsi="Arial" w:cs="Arial"/>
          <w:bCs/>
        </w:rPr>
        <w:t xml:space="preserve"> y la experiencia desaparece junto con la sociedad que la adquirió.</w:t>
      </w:r>
    </w:p>
    <w:p w14:paraId="28DE7B4F" w14:textId="77777777" w:rsidR="005709B9" w:rsidRPr="0091736C" w:rsidRDefault="005709B9" w:rsidP="005709B9">
      <w:pPr>
        <w:spacing w:line="276" w:lineRule="auto"/>
        <w:jc w:val="both"/>
        <w:rPr>
          <w:rFonts w:ascii="Arial" w:eastAsia="Calibri" w:hAnsi="Arial" w:cs="Arial"/>
        </w:rPr>
      </w:pPr>
    </w:p>
    <w:p w14:paraId="7A2D4BE8" w14:textId="77777777" w:rsidR="005709B9" w:rsidRPr="0091736C" w:rsidRDefault="005709B9" w:rsidP="005709B9">
      <w:pPr>
        <w:spacing w:line="276" w:lineRule="auto"/>
        <w:jc w:val="both"/>
        <w:rPr>
          <w:rFonts w:ascii="Arial" w:eastAsia="Calibri" w:hAnsi="Arial" w:cs="Arial"/>
          <w:b/>
          <w:bCs/>
        </w:rPr>
      </w:pPr>
      <w:r w:rsidRPr="0091736C">
        <w:rPr>
          <w:rFonts w:ascii="Arial" w:eastAsia="Calibri" w:hAnsi="Arial" w:cs="Arial"/>
          <w:b/>
          <w:bCs/>
        </w:rPr>
        <w:t>a) Transformación</w:t>
      </w:r>
    </w:p>
    <w:p w14:paraId="36C5F031" w14:textId="77777777" w:rsidR="005709B9" w:rsidRPr="0091736C" w:rsidRDefault="005709B9" w:rsidP="005709B9">
      <w:pPr>
        <w:spacing w:line="276" w:lineRule="auto"/>
        <w:jc w:val="both"/>
        <w:rPr>
          <w:rFonts w:ascii="Arial" w:eastAsia="Calibri" w:hAnsi="Arial" w:cs="Arial"/>
          <w:b/>
          <w:bCs/>
        </w:rPr>
      </w:pPr>
    </w:p>
    <w:p w14:paraId="629C4F0E" w14:textId="77777777" w:rsidR="005709B9" w:rsidRPr="0091736C" w:rsidRDefault="005709B9" w:rsidP="005709B9">
      <w:pPr>
        <w:spacing w:after="120" w:line="276" w:lineRule="auto"/>
        <w:jc w:val="both"/>
        <w:rPr>
          <w:rFonts w:ascii="Arial" w:eastAsia="Calibri" w:hAnsi="Arial" w:cs="Arial"/>
        </w:rPr>
      </w:pPr>
      <w:r w:rsidRPr="0091736C">
        <w:rPr>
          <w:rFonts w:ascii="Arial" w:eastAsia="Calibri" w:hAnsi="Arial" w:cs="Arial"/>
        </w:rPr>
        <w:t xml:space="preserve">Es una reforma a los estatutos de una sociedad comercial, en la cual se detalla la naturaleza jurídica, composición, estructura, capital, entre otros, con el propósito de transformar o cambiar la forma o tipo societario que adoptó, como sociedad anónima, limitada, en comandita, etc. Es decir, si una sociedad se crea como sociedad de responsabilidad limitada y, sin </w:t>
      </w:r>
      <w:r>
        <w:rPr>
          <w:rFonts w:ascii="Arial" w:eastAsia="Calibri" w:hAnsi="Arial" w:cs="Arial"/>
        </w:rPr>
        <w:t>“</w:t>
      </w:r>
      <w:r w:rsidRPr="0091736C">
        <w:rPr>
          <w:rFonts w:ascii="Arial" w:eastAsia="Calibri" w:hAnsi="Arial" w:cs="Arial"/>
        </w:rPr>
        <w:t>disolverse</w:t>
      </w:r>
      <w:r>
        <w:rPr>
          <w:rFonts w:ascii="Arial" w:eastAsia="Calibri" w:hAnsi="Arial" w:cs="Arial"/>
        </w:rPr>
        <w:t>”,</w:t>
      </w:r>
      <w:r w:rsidRPr="0091736C">
        <w:rPr>
          <w:rFonts w:ascii="Arial" w:eastAsia="Calibri" w:hAnsi="Arial" w:cs="Arial"/>
        </w:rPr>
        <w:t xml:space="preserve"> decide adoptar la figura de sociedad anónima, lo podrá hacer mediante una reforma estatutaria, sin que se interrumpa la continuidad de la sociedad comercial o persona jurídica</w:t>
      </w:r>
      <w:r w:rsidRPr="0091736C">
        <w:rPr>
          <w:rFonts w:ascii="Arial" w:eastAsia="Calibri" w:hAnsi="Arial" w:cs="Arial"/>
          <w:vertAlign w:val="superscript"/>
        </w:rPr>
        <w:footnoteReference w:id="13"/>
      </w:r>
      <w:r w:rsidRPr="0091736C">
        <w:rPr>
          <w:rFonts w:ascii="Arial" w:eastAsia="Calibri" w:hAnsi="Arial" w:cs="Arial"/>
        </w:rPr>
        <w:t>. Es importante destacar que en esta reforma estatutaria solo participa la sociedad involucrada, y no existen otras sociedades que se relacionen o intervengan, lo cual diferencia la transformación de otras reformas o figuras.</w:t>
      </w:r>
    </w:p>
    <w:p w14:paraId="2191C253" w14:textId="77777777" w:rsidR="005709B9" w:rsidRPr="0091736C" w:rsidRDefault="005709B9" w:rsidP="005709B9">
      <w:pPr>
        <w:spacing w:line="276" w:lineRule="auto"/>
        <w:ind w:firstLine="708"/>
        <w:jc w:val="both"/>
        <w:rPr>
          <w:rFonts w:ascii="Arial" w:eastAsia="Calibri" w:hAnsi="Arial" w:cs="Arial"/>
        </w:rPr>
      </w:pPr>
      <w:r w:rsidRPr="0091736C">
        <w:rPr>
          <w:rFonts w:ascii="Arial" w:eastAsia="Calibri" w:hAnsi="Arial" w:cs="Arial"/>
        </w:rPr>
        <w:t xml:space="preserve">Respecto de la experiencia, teniendo en cuenta que la sociedad solo cambia su forma, lo cual, de acuerdo con el Código de Comercio, no afecta sus actividades, la sociedad continuará con la experiencia adquirida, ya que la misma es personal y mientras la persona jurídica exista la experiencia sigue vigente y puede incrementarse, siempre que la empresa continúe ejecutando contratos que le permitan aumentar el conocimiento en su objeto social. Esto se reafirma teniendo en cuenta que en la transformación la norma señala expresamente que la sociedad no se </w:t>
      </w:r>
      <w:r>
        <w:rPr>
          <w:rFonts w:ascii="Arial" w:eastAsia="Calibri" w:hAnsi="Arial" w:cs="Arial"/>
        </w:rPr>
        <w:t>“</w:t>
      </w:r>
      <w:r w:rsidRPr="0091736C">
        <w:rPr>
          <w:rFonts w:ascii="Arial" w:eastAsia="Calibri" w:hAnsi="Arial" w:cs="Arial"/>
        </w:rPr>
        <w:t>disuelve</w:t>
      </w:r>
      <w:r>
        <w:rPr>
          <w:rFonts w:ascii="Arial" w:eastAsia="Calibri" w:hAnsi="Arial" w:cs="Arial"/>
        </w:rPr>
        <w:t>”</w:t>
      </w:r>
      <w:r w:rsidRPr="0091736C">
        <w:rPr>
          <w:rFonts w:ascii="Arial" w:eastAsia="Calibri" w:hAnsi="Arial" w:cs="Arial"/>
        </w:rPr>
        <w:t xml:space="preserve"> y</w:t>
      </w:r>
      <w:r>
        <w:rPr>
          <w:rFonts w:ascii="Arial" w:eastAsia="Calibri" w:hAnsi="Arial" w:cs="Arial"/>
        </w:rPr>
        <w:t>,</w:t>
      </w:r>
      <w:r w:rsidRPr="0091736C">
        <w:rPr>
          <w:rFonts w:ascii="Arial" w:eastAsia="Calibri" w:hAnsi="Arial" w:cs="Arial"/>
        </w:rPr>
        <w:t xml:space="preserve"> por ende</w:t>
      </w:r>
      <w:r>
        <w:rPr>
          <w:rFonts w:ascii="Arial" w:eastAsia="Calibri" w:hAnsi="Arial" w:cs="Arial"/>
        </w:rPr>
        <w:t>,</w:t>
      </w:r>
      <w:r w:rsidRPr="0091736C">
        <w:rPr>
          <w:rFonts w:ascii="Arial" w:eastAsia="Calibri" w:hAnsi="Arial" w:cs="Arial"/>
        </w:rPr>
        <w:t xml:space="preserve"> tampoco se </w:t>
      </w:r>
      <w:r>
        <w:rPr>
          <w:rFonts w:ascii="Arial" w:eastAsia="Calibri" w:hAnsi="Arial" w:cs="Arial"/>
        </w:rPr>
        <w:t>“</w:t>
      </w:r>
      <w:r w:rsidRPr="0091736C">
        <w:rPr>
          <w:rFonts w:ascii="Arial" w:eastAsia="Calibri" w:hAnsi="Arial" w:cs="Arial"/>
        </w:rPr>
        <w:t>liquida</w:t>
      </w:r>
      <w:r>
        <w:rPr>
          <w:rFonts w:ascii="Arial" w:eastAsia="Calibri" w:hAnsi="Arial" w:cs="Arial"/>
        </w:rPr>
        <w:t>”</w:t>
      </w:r>
      <w:r w:rsidRPr="0091736C">
        <w:rPr>
          <w:rFonts w:ascii="Arial" w:eastAsia="Calibri" w:hAnsi="Arial" w:cs="Arial"/>
        </w:rPr>
        <w:t xml:space="preserve">, porque, de acuerdo con el artículo 222 del Código de Comercio, para </w:t>
      </w:r>
      <w:r>
        <w:rPr>
          <w:rFonts w:ascii="Arial" w:eastAsia="Calibri" w:hAnsi="Arial" w:cs="Arial"/>
        </w:rPr>
        <w:t>“</w:t>
      </w:r>
      <w:r w:rsidRPr="0091736C">
        <w:rPr>
          <w:rFonts w:ascii="Arial" w:eastAsia="Calibri" w:hAnsi="Arial" w:cs="Arial"/>
        </w:rPr>
        <w:t>liquidarse</w:t>
      </w:r>
      <w:r>
        <w:rPr>
          <w:rFonts w:ascii="Arial" w:eastAsia="Calibri" w:hAnsi="Arial" w:cs="Arial"/>
        </w:rPr>
        <w:t>”</w:t>
      </w:r>
      <w:r w:rsidRPr="0091736C">
        <w:rPr>
          <w:rFonts w:ascii="Arial" w:eastAsia="Calibri" w:hAnsi="Arial" w:cs="Arial"/>
        </w:rPr>
        <w:t xml:space="preserve"> necesita estar </w:t>
      </w:r>
      <w:r>
        <w:rPr>
          <w:rFonts w:ascii="Arial" w:eastAsia="Calibri" w:hAnsi="Arial" w:cs="Arial"/>
        </w:rPr>
        <w:t>“</w:t>
      </w:r>
      <w:r w:rsidRPr="0091736C">
        <w:rPr>
          <w:rFonts w:ascii="Arial" w:eastAsia="Calibri" w:hAnsi="Arial" w:cs="Arial"/>
        </w:rPr>
        <w:t>disuelta</w:t>
      </w:r>
      <w:r>
        <w:rPr>
          <w:rFonts w:ascii="Arial" w:eastAsia="Calibri" w:hAnsi="Arial" w:cs="Arial"/>
        </w:rPr>
        <w:t>”. De esta manera,</w:t>
      </w:r>
      <w:r w:rsidRPr="0091736C">
        <w:rPr>
          <w:rFonts w:ascii="Arial" w:eastAsia="Calibri" w:hAnsi="Arial" w:cs="Arial"/>
        </w:rPr>
        <w:t xml:space="preserve"> solo cambia el tipo societario que había adoptado en su constitución, es decir, no sufre modificaciones o alteraciones y por eso puede continuar adquiriendo experiencia y compartirla, pero no puede trasladarla, porque para ello tendría que </w:t>
      </w:r>
      <w:r>
        <w:rPr>
          <w:rFonts w:ascii="Arial" w:eastAsia="Calibri" w:hAnsi="Arial" w:cs="Arial"/>
        </w:rPr>
        <w:t>“</w:t>
      </w:r>
      <w:r w:rsidRPr="0091736C">
        <w:rPr>
          <w:rFonts w:ascii="Arial" w:eastAsia="Calibri" w:hAnsi="Arial" w:cs="Arial"/>
        </w:rPr>
        <w:t>disolverse</w:t>
      </w:r>
      <w:r>
        <w:rPr>
          <w:rFonts w:ascii="Arial" w:eastAsia="Calibri" w:hAnsi="Arial" w:cs="Arial"/>
        </w:rPr>
        <w:t>”</w:t>
      </w:r>
      <w:r w:rsidRPr="0091736C">
        <w:rPr>
          <w:rFonts w:ascii="Arial" w:eastAsia="Calibri" w:hAnsi="Arial" w:cs="Arial"/>
        </w:rPr>
        <w:t xml:space="preserve"> </w:t>
      </w:r>
      <w:r>
        <w:rPr>
          <w:rFonts w:ascii="Arial" w:eastAsia="Calibri" w:hAnsi="Arial" w:cs="Arial"/>
        </w:rPr>
        <w:t>–</w:t>
      </w:r>
      <w:r w:rsidRPr="0091736C">
        <w:rPr>
          <w:rFonts w:ascii="Arial" w:eastAsia="Calibri" w:hAnsi="Arial" w:cs="Arial"/>
        </w:rPr>
        <w:t>o conformar un consorcio</w:t>
      </w:r>
      <w:r>
        <w:rPr>
          <w:rFonts w:ascii="Arial" w:eastAsia="Calibri" w:hAnsi="Arial" w:cs="Arial"/>
        </w:rPr>
        <w:t>–</w:t>
      </w:r>
      <w:r w:rsidRPr="0091736C">
        <w:rPr>
          <w:rFonts w:ascii="Arial" w:eastAsia="Calibri" w:hAnsi="Arial" w:cs="Arial"/>
        </w:rPr>
        <w:t xml:space="preserve">, como se verá en la fusión y en una de las modalidades de escisión.  </w:t>
      </w:r>
    </w:p>
    <w:p w14:paraId="6FD8B5C1" w14:textId="77777777" w:rsidR="005709B9" w:rsidRPr="0091736C" w:rsidRDefault="005709B9" w:rsidP="005709B9">
      <w:pPr>
        <w:spacing w:line="276" w:lineRule="auto"/>
        <w:jc w:val="both"/>
        <w:rPr>
          <w:rFonts w:ascii="Arial" w:eastAsia="Calibri" w:hAnsi="Arial" w:cs="Arial"/>
          <w:b/>
          <w:bCs/>
        </w:rPr>
      </w:pPr>
    </w:p>
    <w:p w14:paraId="67C19184" w14:textId="77777777" w:rsidR="005709B9" w:rsidRPr="0091736C" w:rsidRDefault="005709B9" w:rsidP="005709B9">
      <w:pPr>
        <w:spacing w:line="276" w:lineRule="auto"/>
        <w:jc w:val="both"/>
        <w:rPr>
          <w:rFonts w:ascii="Arial" w:eastAsia="Calibri" w:hAnsi="Arial" w:cs="Arial"/>
          <w:b/>
          <w:bCs/>
        </w:rPr>
      </w:pPr>
      <w:r w:rsidRPr="0091736C">
        <w:rPr>
          <w:rFonts w:ascii="Arial" w:eastAsia="Calibri" w:hAnsi="Arial" w:cs="Arial"/>
          <w:b/>
          <w:bCs/>
        </w:rPr>
        <w:t>b) Escisión</w:t>
      </w:r>
    </w:p>
    <w:p w14:paraId="07F85E15" w14:textId="77777777" w:rsidR="005709B9" w:rsidRPr="0091736C" w:rsidRDefault="005709B9" w:rsidP="005709B9">
      <w:pPr>
        <w:spacing w:line="276" w:lineRule="auto"/>
        <w:jc w:val="both"/>
        <w:rPr>
          <w:rFonts w:ascii="Arial" w:eastAsia="Calibri" w:hAnsi="Arial" w:cs="Arial"/>
          <w:b/>
          <w:bCs/>
        </w:rPr>
      </w:pPr>
    </w:p>
    <w:p w14:paraId="5E3DF909" w14:textId="77777777" w:rsidR="005709B9" w:rsidRPr="0091736C" w:rsidRDefault="005709B9" w:rsidP="005709B9">
      <w:pPr>
        <w:spacing w:after="120" w:line="276" w:lineRule="auto"/>
        <w:jc w:val="both"/>
        <w:rPr>
          <w:rFonts w:ascii="Arial" w:eastAsia="Calibri" w:hAnsi="Arial" w:cs="Arial"/>
        </w:rPr>
      </w:pPr>
      <w:r w:rsidRPr="0091736C">
        <w:rPr>
          <w:rFonts w:ascii="Arial" w:eastAsia="Calibri" w:hAnsi="Arial" w:cs="Arial"/>
        </w:rPr>
        <w:lastRenderedPageBreak/>
        <w:t xml:space="preserve">Es una figura con dos modalidades reguladas por la Ley 222 de 1995. La primera se refiere a una sociedad que no se </w:t>
      </w:r>
      <w:r>
        <w:rPr>
          <w:rFonts w:ascii="Arial" w:eastAsia="Calibri" w:hAnsi="Arial" w:cs="Arial"/>
        </w:rPr>
        <w:t>“</w:t>
      </w:r>
      <w:r w:rsidRPr="0091736C">
        <w:rPr>
          <w:rFonts w:ascii="Arial" w:eastAsia="Calibri" w:hAnsi="Arial" w:cs="Arial"/>
        </w:rPr>
        <w:t>disuelve</w:t>
      </w:r>
      <w:r>
        <w:rPr>
          <w:rFonts w:ascii="Arial" w:eastAsia="Calibri" w:hAnsi="Arial" w:cs="Arial"/>
        </w:rPr>
        <w:t>”</w:t>
      </w:r>
      <w:r w:rsidRPr="0091736C">
        <w:rPr>
          <w:rFonts w:ascii="Arial" w:eastAsia="Calibri" w:hAnsi="Arial" w:cs="Arial"/>
        </w:rPr>
        <w:t xml:space="preserve"> ni se </w:t>
      </w:r>
      <w:r>
        <w:rPr>
          <w:rFonts w:ascii="Arial" w:eastAsia="Calibri" w:hAnsi="Arial" w:cs="Arial"/>
        </w:rPr>
        <w:t>“</w:t>
      </w:r>
      <w:r w:rsidRPr="0091736C">
        <w:rPr>
          <w:rFonts w:ascii="Arial" w:eastAsia="Calibri" w:hAnsi="Arial" w:cs="Arial"/>
        </w:rPr>
        <w:t>liquida</w:t>
      </w:r>
      <w:r>
        <w:rPr>
          <w:rFonts w:ascii="Arial" w:eastAsia="Calibri" w:hAnsi="Arial" w:cs="Arial"/>
        </w:rPr>
        <w:t>”</w:t>
      </w:r>
      <w:r w:rsidRPr="0091736C">
        <w:rPr>
          <w:rFonts w:ascii="Arial" w:eastAsia="Calibri" w:hAnsi="Arial" w:cs="Arial"/>
        </w:rPr>
        <w:t xml:space="preserve">, es decir, permanece sin modificaciones ni reformas, pero fracciona su patrimonio para transferir una o varias partes, a una o varias sociedades existentes o por crearse. En este caso, la escisión se refiere al patrimonio de la sociedad sin incluir ningún otro aspecto, lo cual significa que la sociedad continúa con un patrimonio reducido debido al fraccionamiento, pero no existe ninguna otra implicación para la persona jurídica, como su desaparición por </w:t>
      </w:r>
      <w:r>
        <w:rPr>
          <w:rFonts w:ascii="Arial" w:eastAsia="Calibri" w:hAnsi="Arial" w:cs="Arial"/>
        </w:rPr>
        <w:t>“</w:t>
      </w:r>
      <w:r w:rsidRPr="0091736C">
        <w:rPr>
          <w:rFonts w:ascii="Arial" w:eastAsia="Calibri" w:hAnsi="Arial" w:cs="Arial"/>
        </w:rPr>
        <w:t>disolverse</w:t>
      </w:r>
      <w:r>
        <w:rPr>
          <w:rFonts w:ascii="Arial" w:eastAsia="Calibri" w:hAnsi="Arial" w:cs="Arial"/>
        </w:rPr>
        <w:t>”</w:t>
      </w:r>
      <w:r w:rsidRPr="0091736C">
        <w:rPr>
          <w:rFonts w:ascii="Arial" w:eastAsia="Calibri" w:hAnsi="Arial" w:cs="Arial"/>
        </w:rPr>
        <w:t xml:space="preserve"> o </w:t>
      </w:r>
      <w:r>
        <w:rPr>
          <w:rFonts w:ascii="Arial" w:eastAsia="Calibri" w:hAnsi="Arial" w:cs="Arial"/>
        </w:rPr>
        <w:t>“</w:t>
      </w:r>
      <w:r w:rsidRPr="0091736C">
        <w:rPr>
          <w:rFonts w:ascii="Arial" w:eastAsia="Calibri" w:hAnsi="Arial" w:cs="Arial"/>
        </w:rPr>
        <w:t>liquidarse</w:t>
      </w:r>
      <w:r>
        <w:rPr>
          <w:rFonts w:ascii="Arial" w:eastAsia="Calibri" w:hAnsi="Arial" w:cs="Arial"/>
        </w:rPr>
        <w:t>”</w:t>
      </w:r>
      <w:r w:rsidRPr="0091736C">
        <w:rPr>
          <w:rFonts w:ascii="Arial" w:eastAsia="Calibri" w:hAnsi="Arial" w:cs="Arial"/>
        </w:rPr>
        <w:t xml:space="preserve">, de acuerdo con lo mencionado sobre estos conceptos. En ese sentido, </w:t>
      </w:r>
      <w:r>
        <w:rPr>
          <w:rFonts w:ascii="Arial" w:eastAsia="Calibri" w:hAnsi="Arial" w:cs="Arial"/>
        </w:rPr>
        <w:t xml:space="preserve">esta Subdirección </w:t>
      </w:r>
      <w:r w:rsidRPr="0091736C">
        <w:rPr>
          <w:rFonts w:ascii="Arial" w:eastAsia="Calibri" w:hAnsi="Arial" w:cs="Arial"/>
        </w:rPr>
        <w:t xml:space="preserve">considera que las sociedades que reciben una parte del patrimonio de una sociedad que continúa existiendo, no reciben su experiencia, ya que no es posible que varias sociedades tengan la misma experiencia, duplicándola tantas veces se haya fraccionado el patrimonio, porque la experiencia pertenece a quien la adquirió ejecutando los contratos a su cargo. </w:t>
      </w:r>
    </w:p>
    <w:p w14:paraId="0A87AAF6" w14:textId="77777777" w:rsidR="005709B9" w:rsidRPr="0091736C" w:rsidRDefault="005709B9" w:rsidP="005709B9">
      <w:pPr>
        <w:spacing w:line="276" w:lineRule="auto"/>
        <w:ind w:firstLine="708"/>
        <w:jc w:val="both"/>
        <w:rPr>
          <w:rFonts w:ascii="Arial" w:eastAsia="Calibri" w:hAnsi="Arial" w:cs="Arial"/>
        </w:rPr>
      </w:pPr>
      <w:r w:rsidRPr="0091736C">
        <w:rPr>
          <w:rFonts w:ascii="Arial" w:eastAsia="Calibri" w:hAnsi="Arial" w:cs="Arial"/>
        </w:rPr>
        <w:t xml:space="preserve">La segunda modalidad se trata de una sociedad que se </w:t>
      </w:r>
      <w:r>
        <w:rPr>
          <w:rFonts w:ascii="Arial" w:eastAsia="Calibri" w:hAnsi="Arial" w:cs="Arial"/>
        </w:rPr>
        <w:t>“</w:t>
      </w:r>
      <w:r w:rsidRPr="0091736C">
        <w:rPr>
          <w:rFonts w:ascii="Arial" w:eastAsia="Calibri" w:hAnsi="Arial" w:cs="Arial"/>
        </w:rPr>
        <w:t>disuelve</w:t>
      </w:r>
      <w:r>
        <w:rPr>
          <w:rFonts w:ascii="Arial" w:eastAsia="Calibri" w:hAnsi="Arial" w:cs="Arial"/>
        </w:rPr>
        <w:t>”</w:t>
      </w:r>
      <w:r w:rsidRPr="0091736C">
        <w:rPr>
          <w:rFonts w:ascii="Arial" w:eastAsia="Calibri" w:hAnsi="Arial" w:cs="Arial"/>
        </w:rPr>
        <w:t xml:space="preserve"> sin </w:t>
      </w:r>
      <w:r>
        <w:rPr>
          <w:rFonts w:ascii="Arial" w:eastAsia="Calibri" w:hAnsi="Arial" w:cs="Arial"/>
        </w:rPr>
        <w:t>“</w:t>
      </w:r>
      <w:r w:rsidRPr="0091736C">
        <w:rPr>
          <w:rFonts w:ascii="Arial" w:eastAsia="Calibri" w:hAnsi="Arial" w:cs="Arial"/>
        </w:rPr>
        <w:t>liquidarse</w:t>
      </w:r>
      <w:r>
        <w:rPr>
          <w:rFonts w:ascii="Arial" w:eastAsia="Calibri" w:hAnsi="Arial" w:cs="Arial"/>
        </w:rPr>
        <w:t>”,</w:t>
      </w:r>
      <w:r w:rsidRPr="0091736C">
        <w:rPr>
          <w:rFonts w:ascii="Arial" w:eastAsia="Calibri" w:hAnsi="Arial" w:cs="Arial"/>
        </w:rPr>
        <w:t xml:space="preserve"> esto es, que implica una reforma social, lo cual no ocurre con la primera modalidad, y también existe fraccionamiento del patrimonio con el mismo fin</w:t>
      </w:r>
      <w:r w:rsidRPr="0091736C">
        <w:rPr>
          <w:rFonts w:ascii="Arial" w:eastAsia="Calibri" w:hAnsi="Arial" w:cs="Arial"/>
          <w:vertAlign w:val="superscript"/>
        </w:rPr>
        <w:footnoteReference w:id="14"/>
      </w:r>
      <w:r w:rsidRPr="0091736C">
        <w:rPr>
          <w:rFonts w:ascii="Arial" w:eastAsia="Calibri" w:hAnsi="Arial" w:cs="Arial"/>
        </w:rPr>
        <w:t xml:space="preserve">. Como se observa, participa una sociedad y otra, u otras, que reciben la transferencia del patrimonio en bloque. </w:t>
      </w:r>
    </w:p>
    <w:p w14:paraId="11B646EF" w14:textId="77777777" w:rsidR="005709B9" w:rsidRPr="0091736C" w:rsidRDefault="005709B9" w:rsidP="005709B9">
      <w:pPr>
        <w:spacing w:before="120" w:after="120" w:line="276" w:lineRule="auto"/>
        <w:ind w:firstLine="708"/>
        <w:jc w:val="both"/>
        <w:rPr>
          <w:rFonts w:ascii="Arial" w:eastAsia="Calibri" w:hAnsi="Arial" w:cs="Arial"/>
        </w:rPr>
      </w:pPr>
      <w:r w:rsidRPr="0091736C">
        <w:rPr>
          <w:rFonts w:ascii="Arial" w:eastAsia="Calibri" w:hAnsi="Arial" w:cs="Arial"/>
        </w:rPr>
        <w:t xml:space="preserve">Para la primera modalidad de escisión, teniendo en cuenta que la sociedad continúa sin alteraciones, esta puede compartir la experiencia a través de esquemas asociativos, pero no la transfiere, porque para ello tendría que </w:t>
      </w:r>
      <w:r>
        <w:rPr>
          <w:rFonts w:ascii="Arial" w:eastAsia="Calibri" w:hAnsi="Arial" w:cs="Arial"/>
        </w:rPr>
        <w:t>“</w:t>
      </w:r>
      <w:r w:rsidRPr="0091736C">
        <w:rPr>
          <w:rFonts w:ascii="Arial" w:eastAsia="Calibri" w:hAnsi="Arial" w:cs="Arial"/>
        </w:rPr>
        <w:t>disolverse</w:t>
      </w:r>
      <w:r>
        <w:rPr>
          <w:rFonts w:ascii="Arial" w:eastAsia="Calibri" w:hAnsi="Arial" w:cs="Arial"/>
        </w:rPr>
        <w:t>”</w:t>
      </w:r>
      <w:r w:rsidRPr="0091736C">
        <w:rPr>
          <w:rFonts w:ascii="Arial" w:eastAsia="Calibri" w:hAnsi="Arial" w:cs="Arial"/>
        </w:rPr>
        <w:t xml:space="preserve"> sin </w:t>
      </w:r>
      <w:r>
        <w:rPr>
          <w:rFonts w:ascii="Arial" w:eastAsia="Calibri" w:hAnsi="Arial" w:cs="Arial"/>
        </w:rPr>
        <w:t>“</w:t>
      </w:r>
      <w:r w:rsidRPr="0091736C">
        <w:rPr>
          <w:rFonts w:ascii="Arial" w:eastAsia="Calibri" w:hAnsi="Arial" w:cs="Arial"/>
        </w:rPr>
        <w:t>liquidarse</w:t>
      </w:r>
      <w:r>
        <w:rPr>
          <w:rFonts w:ascii="Arial" w:eastAsia="Calibri" w:hAnsi="Arial" w:cs="Arial"/>
        </w:rPr>
        <w:t>”</w:t>
      </w:r>
      <w:r w:rsidRPr="0091736C">
        <w:rPr>
          <w:rFonts w:ascii="Arial" w:eastAsia="Calibri" w:hAnsi="Arial" w:cs="Arial"/>
        </w:rPr>
        <w:t xml:space="preserve">, puesto que la </w:t>
      </w:r>
      <w:r>
        <w:rPr>
          <w:rFonts w:ascii="Arial" w:eastAsia="Calibri" w:hAnsi="Arial" w:cs="Arial"/>
        </w:rPr>
        <w:t>“</w:t>
      </w:r>
      <w:r w:rsidRPr="0091736C">
        <w:rPr>
          <w:rFonts w:ascii="Arial" w:eastAsia="Calibri" w:hAnsi="Arial" w:cs="Arial"/>
        </w:rPr>
        <w:t>liquidación</w:t>
      </w:r>
      <w:r>
        <w:rPr>
          <w:rFonts w:ascii="Arial" w:eastAsia="Calibri" w:hAnsi="Arial" w:cs="Arial"/>
        </w:rPr>
        <w:t xml:space="preserve">” </w:t>
      </w:r>
      <w:r w:rsidRPr="0091736C">
        <w:rPr>
          <w:rFonts w:ascii="Arial" w:eastAsia="Calibri" w:hAnsi="Arial" w:cs="Arial"/>
        </w:rPr>
        <w:t xml:space="preserve">implicaría que desaparece la persona y así su experiencia. Para explicarlo, hay que </w:t>
      </w:r>
      <w:r>
        <w:rPr>
          <w:rFonts w:ascii="Arial" w:eastAsia="Calibri" w:hAnsi="Arial" w:cs="Arial"/>
        </w:rPr>
        <w:t>retomar l</w:t>
      </w:r>
      <w:r w:rsidRPr="0091736C">
        <w:rPr>
          <w:rFonts w:ascii="Arial" w:eastAsia="Calibri" w:hAnsi="Arial" w:cs="Arial"/>
        </w:rPr>
        <w:t xml:space="preserve">a definición de </w:t>
      </w:r>
      <w:r>
        <w:rPr>
          <w:rFonts w:ascii="Arial" w:eastAsia="Calibri" w:hAnsi="Arial" w:cs="Arial"/>
        </w:rPr>
        <w:t>“</w:t>
      </w:r>
      <w:r w:rsidRPr="0091736C">
        <w:rPr>
          <w:rFonts w:ascii="Arial" w:eastAsia="Calibri" w:hAnsi="Arial" w:cs="Arial"/>
        </w:rPr>
        <w:t>disolución</w:t>
      </w:r>
      <w:r>
        <w:rPr>
          <w:rFonts w:ascii="Arial" w:eastAsia="Calibri" w:hAnsi="Arial" w:cs="Arial"/>
        </w:rPr>
        <w:t>”</w:t>
      </w:r>
      <w:r w:rsidRPr="0091736C">
        <w:rPr>
          <w:rFonts w:ascii="Arial" w:eastAsia="Calibri" w:hAnsi="Arial" w:cs="Arial"/>
        </w:rPr>
        <w:t>, do</w:t>
      </w:r>
      <w:r>
        <w:rPr>
          <w:rFonts w:ascii="Arial" w:eastAsia="Calibri" w:hAnsi="Arial" w:cs="Arial"/>
        </w:rPr>
        <w:t>n</w:t>
      </w:r>
      <w:r w:rsidRPr="0091736C">
        <w:rPr>
          <w:rFonts w:ascii="Arial" w:eastAsia="Calibri" w:hAnsi="Arial" w:cs="Arial"/>
        </w:rPr>
        <w:t xml:space="preserve">de la persona jurídica no desaparece y solo puede hacer trámites para </w:t>
      </w:r>
      <w:r>
        <w:rPr>
          <w:rFonts w:ascii="Arial" w:eastAsia="Calibri" w:hAnsi="Arial" w:cs="Arial"/>
        </w:rPr>
        <w:t>“</w:t>
      </w:r>
      <w:r w:rsidRPr="0091736C">
        <w:rPr>
          <w:rFonts w:ascii="Arial" w:eastAsia="Calibri" w:hAnsi="Arial" w:cs="Arial"/>
        </w:rPr>
        <w:t>liquidarse</w:t>
      </w:r>
      <w:r>
        <w:rPr>
          <w:rFonts w:ascii="Arial" w:eastAsia="Calibri" w:hAnsi="Arial" w:cs="Arial"/>
        </w:rPr>
        <w:t>”</w:t>
      </w:r>
      <w:r w:rsidRPr="0091736C">
        <w:rPr>
          <w:rFonts w:ascii="Arial" w:eastAsia="Calibri" w:hAnsi="Arial" w:cs="Arial"/>
        </w:rPr>
        <w:t xml:space="preserve">. Sin embargo, hay una excepción a esa regla y es, precisamente, la de las figuras y reformas estatutarias que aquí se explican, particularmente la fusión, ya que por esa excepción la persona tiene continuidad en otra persona, y sigue siendo quien era, lo cual no es el caso de la escisión, ya que en la primera modalidad no existe </w:t>
      </w:r>
      <w:r>
        <w:rPr>
          <w:rFonts w:ascii="Arial" w:eastAsia="Calibri" w:hAnsi="Arial" w:cs="Arial"/>
        </w:rPr>
        <w:t>“</w:t>
      </w:r>
      <w:r w:rsidRPr="0091736C">
        <w:rPr>
          <w:rFonts w:ascii="Arial" w:eastAsia="Calibri" w:hAnsi="Arial" w:cs="Arial"/>
        </w:rPr>
        <w:t>disolución</w:t>
      </w:r>
      <w:r>
        <w:rPr>
          <w:rFonts w:ascii="Arial" w:eastAsia="Calibri" w:hAnsi="Arial" w:cs="Arial"/>
        </w:rPr>
        <w:t>”</w:t>
      </w:r>
      <w:r w:rsidRPr="0091736C">
        <w:rPr>
          <w:rFonts w:ascii="Arial" w:eastAsia="Calibri" w:hAnsi="Arial" w:cs="Arial"/>
        </w:rPr>
        <w:t xml:space="preserve">. Esto significa que la persona continúa por sí misma y puede adquirir experiencia, pero no puede transferirla porque le pertenece, al ser quien la adquirió. </w:t>
      </w:r>
    </w:p>
    <w:p w14:paraId="18CBEEB5" w14:textId="77777777" w:rsidR="005709B9" w:rsidRPr="0091736C" w:rsidRDefault="005709B9" w:rsidP="005709B9">
      <w:pPr>
        <w:spacing w:before="120" w:after="120" w:line="276" w:lineRule="auto"/>
        <w:ind w:firstLine="708"/>
        <w:jc w:val="both"/>
        <w:rPr>
          <w:rFonts w:ascii="Arial" w:eastAsia="Calibri" w:hAnsi="Arial" w:cs="Arial"/>
        </w:rPr>
      </w:pPr>
      <w:r w:rsidRPr="0091736C">
        <w:rPr>
          <w:rFonts w:ascii="Arial" w:eastAsia="Calibri" w:hAnsi="Arial" w:cs="Arial"/>
        </w:rPr>
        <w:t xml:space="preserve">Por otro lado, a pesar de que en la segunda modalidad existe </w:t>
      </w:r>
      <w:r>
        <w:rPr>
          <w:rFonts w:ascii="Arial" w:eastAsia="Calibri" w:hAnsi="Arial" w:cs="Arial"/>
        </w:rPr>
        <w:t>“</w:t>
      </w:r>
      <w:r w:rsidRPr="0091736C">
        <w:rPr>
          <w:rFonts w:ascii="Arial" w:eastAsia="Calibri" w:hAnsi="Arial" w:cs="Arial"/>
        </w:rPr>
        <w:t>disolución</w:t>
      </w:r>
      <w:r>
        <w:rPr>
          <w:rFonts w:ascii="Arial" w:eastAsia="Calibri" w:hAnsi="Arial" w:cs="Arial"/>
        </w:rPr>
        <w:t>”</w:t>
      </w:r>
      <w:r w:rsidRPr="0091736C">
        <w:rPr>
          <w:rFonts w:ascii="Arial" w:eastAsia="Calibri" w:hAnsi="Arial" w:cs="Arial"/>
        </w:rPr>
        <w:t xml:space="preserve">, no hay transferencia de la experiencia porque la persona jurídica fraccionada deja de ser quien es y desaparece, quedando dividida en varias sociedades nuevas o existentes que reciben su patrimonio, sin que sea posible determinar cuál de todas las sociedades que recibieron parte del patrimonio de la sociedad escindida tiene la experiencia. Tampoco es posible que todas las </w:t>
      </w:r>
      <w:r w:rsidRPr="0091736C">
        <w:rPr>
          <w:rFonts w:ascii="Arial" w:eastAsia="Calibri" w:hAnsi="Arial" w:cs="Arial"/>
        </w:rPr>
        <w:lastRenderedPageBreak/>
        <w:t xml:space="preserve">sociedades que recibieron el patrimonio acrediten la misma experiencia multiplicándola tantas veces sea necesario, porque la experiencia es de quien la adquirió y como esa persona jurídica no puede continuar en otra persona, porque desapareció, quedando fraccionada en 2 o más partes, esto no corresponde con la definición de experiencia personal ni de transferencia de experiencia, donde la persona jurídica sigue siendo quien es a través de otra, sin cambios como fraccionamientos que implican que la persona ya no sea quien era y desaparezca. </w:t>
      </w:r>
    </w:p>
    <w:p w14:paraId="62914BDA" w14:textId="77777777" w:rsidR="005709B9" w:rsidRPr="0091736C" w:rsidRDefault="005709B9" w:rsidP="005709B9">
      <w:pPr>
        <w:spacing w:before="120" w:line="276" w:lineRule="auto"/>
        <w:ind w:firstLine="709"/>
        <w:jc w:val="both"/>
        <w:rPr>
          <w:rFonts w:ascii="Arial" w:eastAsia="Calibri" w:hAnsi="Arial" w:cs="Arial"/>
        </w:rPr>
      </w:pPr>
      <w:r w:rsidRPr="0091736C">
        <w:rPr>
          <w:rFonts w:ascii="Arial" w:eastAsia="Calibri" w:hAnsi="Arial" w:cs="Arial"/>
        </w:rPr>
        <w:t xml:space="preserve">Pero en la fusión, como se verá, a pesar de que la sociedad está </w:t>
      </w:r>
      <w:r>
        <w:rPr>
          <w:rFonts w:ascii="Arial" w:eastAsia="Calibri" w:hAnsi="Arial" w:cs="Arial"/>
        </w:rPr>
        <w:t>“</w:t>
      </w:r>
      <w:r w:rsidRPr="0091736C">
        <w:rPr>
          <w:rFonts w:ascii="Arial" w:eastAsia="Calibri" w:hAnsi="Arial" w:cs="Arial"/>
        </w:rPr>
        <w:t>disuelta</w:t>
      </w:r>
      <w:r>
        <w:rPr>
          <w:rFonts w:ascii="Arial" w:eastAsia="Calibri" w:hAnsi="Arial" w:cs="Arial"/>
        </w:rPr>
        <w:t>”</w:t>
      </w:r>
      <w:r w:rsidRPr="0091736C">
        <w:rPr>
          <w:rFonts w:ascii="Arial" w:eastAsia="Calibri" w:hAnsi="Arial" w:cs="Arial"/>
        </w:rPr>
        <w:t xml:space="preserve"> y debería </w:t>
      </w:r>
      <w:r>
        <w:rPr>
          <w:rFonts w:ascii="Arial" w:eastAsia="Calibri" w:hAnsi="Arial" w:cs="Arial"/>
        </w:rPr>
        <w:t>“</w:t>
      </w:r>
      <w:r w:rsidRPr="0091736C">
        <w:rPr>
          <w:rFonts w:ascii="Arial" w:eastAsia="Calibri" w:hAnsi="Arial" w:cs="Arial"/>
        </w:rPr>
        <w:t>liquidarse</w:t>
      </w:r>
      <w:r>
        <w:rPr>
          <w:rFonts w:ascii="Arial" w:eastAsia="Calibri" w:hAnsi="Arial" w:cs="Arial"/>
        </w:rPr>
        <w:t>”</w:t>
      </w:r>
      <w:r w:rsidRPr="0091736C">
        <w:rPr>
          <w:rFonts w:ascii="Arial" w:eastAsia="Calibri" w:hAnsi="Arial" w:cs="Arial"/>
        </w:rPr>
        <w:t xml:space="preserve"> para desaparecer, la ley permite que no desaparezca y tenga continuidad convertida en otra sociedad, por lo que, por expresa disposición legal, la sociedad puede no </w:t>
      </w:r>
      <w:r>
        <w:rPr>
          <w:rFonts w:ascii="Arial" w:eastAsia="Calibri" w:hAnsi="Arial" w:cs="Arial"/>
        </w:rPr>
        <w:t>“</w:t>
      </w:r>
      <w:r w:rsidRPr="0091736C">
        <w:rPr>
          <w:rFonts w:ascii="Arial" w:eastAsia="Calibri" w:hAnsi="Arial" w:cs="Arial"/>
        </w:rPr>
        <w:t>liquidarse</w:t>
      </w:r>
      <w:r>
        <w:rPr>
          <w:rFonts w:ascii="Arial" w:eastAsia="Calibri" w:hAnsi="Arial" w:cs="Arial"/>
        </w:rPr>
        <w:t>”</w:t>
      </w:r>
      <w:r w:rsidRPr="0091736C">
        <w:rPr>
          <w:rFonts w:ascii="Arial" w:eastAsia="Calibri" w:hAnsi="Arial" w:cs="Arial"/>
        </w:rPr>
        <w:t>, sino continuar a través de otra sociedad, porque así lo dispuso el legislador. Esto implica que se traslada la experiencia y no se comparte, porque compartir implica que siga existiendo como una persona individualmente considerada, pero como continúa a través de otra, lo que sucede es la transferencia de la experiencia.</w:t>
      </w:r>
    </w:p>
    <w:p w14:paraId="7B17C993" w14:textId="77777777" w:rsidR="005709B9" w:rsidRPr="0091736C" w:rsidRDefault="005709B9" w:rsidP="005709B9">
      <w:pPr>
        <w:spacing w:line="276" w:lineRule="auto"/>
        <w:jc w:val="both"/>
        <w:rPr>
          <w:rFonts w:ascii="Arial" w:eastAsia="Calibri" w:hAnsi="Arial" w:cs="Arial"/>
        </w:rPr>
      </w:pPr>
    </w:p>
    <w:p w14:paraId="5A9D155F" w14:textId="77777777" w:rsidR="005709B9" w:rsidRPr="0091736C" w:rsidRDefault="005709B9" w:rsidP="005709B9">
      <w:pPr>
        <w:spacing w:line="276" w:lineRule="auto"/>
        <w:jc w:val="both"/>
        <w:rPr>
          <w:rFonts w:ascii="Arial" w:eastAsia="Calibri" w:hAnsi="Arial" w:cs="Arial"/>
          <w:b/>
          <w:bCs/>
        </w:rPr>
      </w:pPr>
      <w:r w:rsidRPr="0091736C">
        <w:rPr>
          <w:rFonts w:ascii="Arial" w:eastAsia="Calibri" w:hAnsi="Arial" w:cs="Arial"/>
          <w:b/>
          <w:bCs/>
        </w:rPr>
        <w:t>c) Fusión</w:t>
      </w:r>
    </w:p>
    <w:p w14:paraId="5749B8D9" w14:textId="77777777" w:rsidR="005709B9" w:rsidRPr="0091736C" w:rsidRDefault="005709B9" w:rsidP="005709B9">
      <w:pPr>
        <w:spacing w:line="276" w:lineRule="auto"/>
        <w:jc w:val="both"/>
        <w:rPr>
          <w:rFonts w:ascii="Arial" w:eastAsia="Calibri" w:hAnsi="Arial" w:cs="Arial"/>
          <w:b/>
          <w:bCs/>
        </w:rPr>
      </w:pPr>
    </w:p>
    <w:p w14:paraId="424546C8" w14:textId="77777777" w:rsidR="005709B9" w:rsidRPr="0091736C" w:rsidRDefault="005709B9" w:rsidP="005709B9">
      <w:pPr>
        <w:spacing w:line="276" w:lineRule="auto"/>
        <w:jc w:val="both"/>
        <w:rPr>
          <w:rFonts w:ascii="Arial" w:eastAsia="Calibri" w:hAnsi="Arial" w:cs="Arial"/>
        </w:rPr>
      </w:pPr>
      <w:r w:rsidRPr="0091736C">
        <w:rPr>
          <w:rFonts w:ascii="Arial" w:eastAsia="Calibri" w:hAnsi="Arial" w:cs="Arial"/>
        </w:rPr>
        <w:t xml:space="preserve">Es una figura con 4 tipologías: i) por absorción: una o más sociedades se </w:t>
      </w:r>
      <w:r>
        <w:rPr>
          <w:rFonts w:ascii="Arial" w:eastAsia="Calibri" w:hAnsi="Arial" w:cs="Arial"/>
        </w:rPr>
        <w:t>“</w:t>
      </w:r>
      <w:r w:rsidRPr="0091736C">
        <w:rPr>
          <w:rFonts w:ascii="Arial" w:eastAsia="Calibri" w:hAnsi="Arial" w:cs="Arial"/>
        </w:rPr>
        <w:t>disuelven</w:t>
      </w:r>
      <w:r>
        <w:rPr>
          <w:rFonts w:ascii="Arial" w:eastAsia="Calibri" w:hAnsi="Arial" w:cs="Arial"/>
        </w:rPr>
        <w:t>”</w:t>
      </w:r>
      <w:r w:rsidRPr="0091736C">
        <w:rPr>
          <w:rFonts w:ascii="Arial" w:eastAsia="Calibri" w:hAnsi="Arial" w:cs="Arial"/>
        </w:rPr>
        <w:t xml:space="preserve"> sin «liquidarse» para ser absorbidas por otra existente; ii) por creación: una o más sociedades se «disuelven» sin </w:t>
      </w:r>
      <w:r>
        <w:rPr>
          <w:rFonts w:ascii="Arial" w:eastAsia="Calibri" w:hAnsi="Arial" w:cs="Arial"/>
        </w:rPr>
        <w:t>“</w:t>
      </w:r>
      <w:r w:rsidRPr="0091736C">
        <w:rPr>
          <w:rFonts w:ascii="Arial" w:eastAsia="Calibri" w:hAnsi="Arial" w:cs="Arial"/>
        </w:rPr>
        <w:t>liquidarse</w:t>
      </w:r>
      <w:r>
        <w:rPr>
          <w:rFonts w:ascii="Arial" w:eastAsia="Calibri" w:hAnsi="Arial" w:cs="Arial"/>
        </w:rPr>
        <w:t>”</w:t>
      </w:r>
      <w:r w:rsidRPr="0091736C">
        <w:rPr>
          <w:rFonts w:ascii="Arial" w:eastAsia="Calibri" w:hAnsi="Arial" w:cs="Arial"/>
        </w:rPr>
        <w:t xml:space="preserve"> para ser absorbidas por otra nueva</w:t>
      </w:r>
      <w:r w:rsidRPr="0091736C">
        <w:rPr>
          <w:rFonts w:ascii="Arial" w:eastAsia="Calibri" w:hAnsi="Arial" w:cs="Arial"/>
          <w:vertAlign w:val="superscript"/>
        </w:rPr>
        <w:footnoteReference w:id="15"/>
      </w:r>
      <w:r w:rsidRPr="0091736C">
        <w:rPr>
          <w:rFonts w:ascii="Arial" w:eastAsia="Calibri" w:hAnsi="Arial" w:cs="Arial"/>
        </w:rPr>
        <w:t xml:space="preserve">; iii) impropia: una sociedad se </w:t>
      </w:r>
      <w:r>
        <w:rPr>
          <w:rFonts w:ascii="Arial" w:eastAsia="Calibri" w:hAnsi="Arial" w:cs="Arial"/>
        </w:rPr>
        <w:t>“</w:t>
      </w:r>
      <w:r w:rsidRPr="0091736C">
        <w:rPr>
          <w:rFonts w:ascii="Arial" w:eastAsia="Calibri" w:hAnsi="Arial" w:cs="Arial"/>
        </w:rPr>
        <w:t>disuelve</w:t>
      </w:r>
      <w:r>
        <w:rPr>
          <w:rFonts w:ascii="Arial" w:eastAsia="Calibri" w:hAnsi="Arial" w:cs="Arial"/>
        </w:rPr>
        <w:t>”</w:t>
      </w:r>
      <w:r w:rsidRPr="0091736C">
        <w:rPr>
          <w:rFonts w:ascii="Arial" w:eastAsia="Calibri" w:hAnsi="Arial" w:cs="Arial"/>
        </w:rPr>
        <w:t xml:space="preserve"> sin el propósito de realizar una fusión sino de </w:t>
      </w:r>
      <w:r>
        <w:rPr>
          <w:rFonts w:ascii="Arial" w:eastAsia="Calibri" w:hAnsi="Arial" w:cs="Arial"/>
        </w:rPr>
        <w:t>“</w:t>
      </w:r>
      <w:r w:rsidRPr="0091736C">
        <w:rPr>
          <w:rFonts w:ascii="Arial" w:eastAsia="Calibri" w:hAnsi="Arial" w:cs="Arial"/>
        </w:rPr>
        <w:t>liquidarse</w:t>
      </w:r>
      <w:r>
        <w:rPr>
          <w:rFonts w:ascii="Arial" w:eastAsia="Calibri" w:hAnsi="Arial" w:cs="Arial"/>
        </w:rPr>
        <w:t>”</w:t>
      </w:r>
      <w:r w:rsidRPr="0091736C">
        <w:rPr>
          <w:rFonts w:ascii="Arial" w:eastAsia="Calibri" w:hAnsi="Arial" w:cs="Arial"/>
        </w:rPr>
        <w:t xml:space="preserve"> y antes de la liquidación se toma la decisión de crear una sociedad</w:t>
      </w:r>
      <w:r w:rsidRPr="0091736C">
        <w:rPr>
          <w:rFonts w:ascii="Arial" w:eastAsia="Calibri" w:hAnsi="Arial" w:cs="Arial"/>
          <w:vertAlign w:val="superscript"/>
        </w:rPr>
        <w:footnoteReference w:id="16"/>
      </w:r>
      <w:r w:rsidRPr="0091736C">
        <w:rPr>
          <w:rFonts w:ascii="Arial" w:eastAsia="Calibri" w:hAnsi="Arial" w:cs="Arial"/>
        </w:rPr>
        <w:t>; iv) abreviada: solo aplica cuando una Sociedad por Acciones Simplificada (S.A.S.) pertenece a otra sociedad en más del 90% de sus acciones, y es posible que esa sociedad controlante absorba a la S.A.S, es decir, que ocurra una fusión por absorción</w:t>
      </w:r>
      <w:r w:rsidRPr="0091736C">
        <w:rPr>
          <w:rFonts w:ascii="Arial" w:eastAsia="Calibri" w:hAnsi="Arial" w:cs="Arial"/>
          <w:vertAlign w:val="superscript"/>
        </w:rPr>
        <w:footnoteReference w:id="17"/>
      </w:r>
      <w:r w:rsidRPr="0091736C">
        <w:rPr>
          <w:rFonts w:ascii="Arial" w:eastAsia="Calibri" w:hAnsi="Arial" w:cs="Arial"/>
        </w:rPr>
        <w:t xml:space="preserve">. La norma no se refiere a la </w:t>
      </w:r>
      <w:r>
        <w:rPr>
          <w:rFonts w:ascii="Arial" w:eastAsia="Calibri" w:hAnsi="Arial" w:cs="Arial"/>
        </w:rPr>
        <w:t>“</w:t>
      </w:r>
      <w:r w:rsidRPr="0091736C">
        <w:rPr>
          <w:rFonts w:ascii="Arial" w:eastAsia="Calibri" w:hAnsi="Arial" w:cs="Arial"/>
        </w:rPr>
        <w:t>disolución de la S.A.S</w:t>
      </w:r>
      <w:r>
        <w:rPr>
          <w:rFonts w:ascii="Arial" w:eastAsia="Calibri" w:hAnsi="Arial" w:cs="Arial"/>
        </w:rPr>
        <w:t>”</w:t>
      </w:r>
      <w:r w:rsidRPr="0091736C">
        <w:rPr>
          <w:rFonts w:ascii="Arial" w:eastAsia="Calibri" w:hAnsi="Arial" w:cs="Arial"/>
        </w:rPr>
        <w:t xml:space="preserve">, lo cual no implica que no exista </w:t>
      </w:r>
      <w:r w:rsidRPr="0091736C">
        <w:rPr>
          <w:rFonts w:ascii="Arial" w:eastAsia="Calibri" w:hAnsi="Arial" w:cs="Arial"/>
        </w:rPr>
        <w:lastRenderedPageBreak/>
        <w:t xml:space="preserve">fusión, sino que es abreviada porque no se requiere configurar el estado de </w:t>
      </w:r>
      <w:r>
        <w:rPr>
          <w:rFonts w:ascii="Arial" w:eastAsia="Calibri" w:hAnsi="Arial" w:cs="Arial"/>
        </w:rPr>
        <w:t>“</w:t>
      </w:r>
      <w:r w:rsidRPr="0091736C">
        <w:rPr>
          <w:rFonts w:ascii="Arial" w:eastAsia="Calibri" w:hAnsi="Arial" w:cs="Arial"/>
        </w:rPr>
        <w:t>disolución</w:t>
      </w:r>
      <w:r>
        <w:rPr>
          <w:rFonts w:ascii="Arial" w:eastAsia="Calibri" w:hAnsi="Arial" w:cs="Arial"/>
        </w:rPr>
        <w:t>”</w:t>
      </w:r>
      <w:r w:rsidRPr="0091736C">
        <w:rPr>
          <w:rFonts w:ascii="Arial" w:eastAsia="Calibri" w:hAnsi="Arial" w:cs="Arial"/>
        </w:rPr>
        <w:t xml:space="preserve"> de la sociedad.</w:t>
      </w:r>
    </w:p>
    <w:p w14:paraId="76B93A59" w14:textId="77777777" w:rsidR="005709B9" w:rsidRPr="0091736C" w:rsidRDefault="005709B9" w:rsidP="005709B9">
      <w:pPr>
        <w:spacing w:before="120" w:line="276" w:lineRule="auto"/>
        <w:ind w:firstLine="708"/>
        <w:jc w:val="both"/>
        <w:rPr>
          <w:rFonts w:ascii="Arial" w:eastAsia="Calibri" w:hAnsi="Arial" w:cs="Arial"/>
          <w:bCs/>
        </w:rPr>
      </w:pPr>
      <w:bookmarkStart w:id="12" w:name="_Hlk77271644"/>
      <w:r w:rsidRPr="0091736C">
        <w:rPr>
          <w:rFonts w:ascii="Arial" w:eastAsia="Calibri" w:hAnsi="Arial" w:cs="Arial"/>
          <w:bCs/>
        </w:rPr>
        <w:t xml:space="preserve">Para analizar la fusión y sus efectos respecto de la experiencia de la sociedad que se </w:t>
      </w:r>
      <w:r>
        <w:rPr>
          <w:rFonts w:ascii="Arial" w:eastAsia="Calibri" w:hAnsi="Arial" w:cs="Arial"/>
        </w:rPr>
        <w:t>“</w:t>
      </w:r>
      <w:r w:rsidRPr="0091736C">
        <w:rPr>
          <w:rFonts w:ascii="Arial" w:eastAsia="Calibri" w:hAnsi="Arial" w:cs="Arial"/>
          <w:bCs/>
        </w:rPr>
        <w:t>disuelve</w:t>
      </w:r>
      <w:r>
        <w:rPr>
          <w:rFonts w:ascii="Arial" w:eastAsia="Calibri" w:hAnsi="Arial" w:cs="Arial"/>
          <w:bCs/>
        </w:rPr>
        <w:t>”</w:t>
      </w:r>
      <w:r w:rsidRPr="0091736C">
        <w:rPr>
          <w:rFonts w:ascii="Arial" w:eastAsia="Calibri" w:hAnsi="Arial" w:cs="Arial"/>
          <w:bCs/>
        </w:rPr>
        <w:t xml:space="preserve"> pero no se </w:t>
      </w:r>
      <w:r>
        <w:rPr>
          <w:rFonts w:ascii="Arial" w:eastAsia="Calibri" w:hAnsi="Arial" w:cs="Arial"/>
        </w:rPr>
        <w:t>“l</w:t>
      </w:r>
      <w:r w:rsidRPr="0091736C">
        <w:rPr>
          <w:rFonts w:ascii="Arial" w:eastAsia="Calibri" w:hAnsi="Arial" w:cs="Arial"/>
          <w:bCs/>
        </w:rPr>
        <w:t>iquida</w:t>
      </w:r>
      <w:r>
        <w:rPr>
          <w:rFonts w:ascii="Arial" w:eastAsia="Calibri" w:hAnsi="Arial" w:cs="Arial"/>
          <w:bCs/>
        </w:rPr>
        <w:t>”</w:t>
      </w:r>
      <w:r w:rsidRPr="0091736C">
        <w:rPr>
          <w:rFonts w:ascii="Arial" w:eastAsia="Calibri" w:hAnsi="Arial" w:cs="Arial"/>
          <w:bCs/>
        </w:rPr>
        <w:t>, es necesario reiterar la explicación dada respecto de la segunda modalidad de escisión, y es que siempre que la sociedad no se liquide, es decir, que no desaparezca, la experiencia puede ser trasladada y no compartida. Lo anterior, toda vez que la trasferencia ocurre porque la persona jurídica continúa a través de otra, esto es, deja de ser quien es, pero no desaparece porque otra sociedad se convierte en ella, ya sea una sociedad nueva</w:t>
      </w:r>
      <w:r>
        <w:rPr>
          <w:rFonts w:ascii="Arial" w:eastAsia="Calibri" w:hAnsi="Arial" w:cs="Arial"/>
          <w:bCs/>
        </w:rPr>
        <w:t>,</w:t>
      </w:r>
      <w:r w:rsidRPr="0091736C">
        <w:rPr>
          <w:rFonts w:ascii="Arial" w:eastAsia="Calibri" w:hAnsi="Arial" w:cs="Arial"/>
          <w:bCs/>
        </w:rPr>
        <w:t xml:space="preserve"> cuando es fusión por creación</w:t>
      </w:r>
      <w:r>
        <w:rPr>
          <w:rFonts w:ascii="Arial" w:eastAsia="Calibri" w:hAnsi="Arial" w:cs="Arial"/>
          <w:bCs/>
        </w:rPr>
        <w:t>;</w:t>
      </w:r>
      <w:r w:rsidRPr="0091736C">
        <w:rPr>
          <w:rFonts w:ascii="Arial" w:eastAsia="Calibri" w:hAnsi="Arial" w:cs="Arial"/>
          <w:bCs/>
        </w:rPr>
        <w:t xml:space="preserve"> o una sociedad existente</w:t>
      </w:r>
      <w:r>
        <w:rPr>
          <w:rFonts w:ascii="Arial" w:eastAsia="Calibri" w:hAnsi="Arial" w:cs="Arial"/>
          <w:bCs/>
        </w:rPr>
        <w:t>,</w:t>
      </w:r>
      <w:r w:rsidRPr="0091736C">
        <w:rPr>
          <w:rFonts w:ascii="Arial" w:eastAsia="Calibri" w:hAnsi="Arial" w:cs="Arial"/>
          <w:bCs/>
        </w:rPr>
        <w:t xml:space="preserve"> en la fusión por absorción. La experiencia no se comparte, porque para esto la sociedad debería continuar individualmente considerada, pero en este evento continúa a través de otra, a quien le </w:t>
      </w:r>
      <w:r w:rsidRPr="000231A1">
        <w:rPr>
          <w:rFonts w:ascii="Arial" w:eastAsia="Calibri" w:hAnsi="Arial" w:cs="Arial"/>
          <w:bCs/>
          <w:i/>
          <w:iCs/>
        </w:rPr>
        <w:t>transfiere</w:t>
      </w:r>
      <w:r w:rsidRPr="0091736C">
        <w:rPr>
          <w:rFonts w:ascii="Arial" w:eastAsia="Calibri" w:hAnsi="Arial" w:cs="Arial"/>
          <w:bCs/>
        </w:rPr>
        <w:t xml:space="preserve"> su experiencia y todos sus derechos y obligaciones, de conformidad con el artículo 172 y siguientes del Código de Comercio.</w:t>
      </w:r>
    </w:p>
    <w:bookmarkEnd w:id="12"/>
    <w:p w14:paraId="3B00646A" w14:textId="77777777" w:rsidR="005709B9" w:rsidRPr="0091736C" w:rsidRDefault="005709B9" w:rsidP="005709B9">
      <w:pPr>
        <w:spacing w:before="120" w:line="276" w:lineRule="auto"/>
        <w:ind w:firstLine="708"/>
        <w:jc w:val="both"/>
        <w:rPr>
          <w:rFonts w:ascii="Arial" w:eastAsia="Calibri" w:hAnsi="Arial" w:cs="Arial"/>
          <w:bCs/>
        </w:rPr>
      </w:pPr>
      <w:r w:rsidRPr="0091736C">
        <w:rPr>
          <w:rFonts w:ascii="Arial" w:eastAsia="Calibri" w:hAnsi="Arial" w:cs="Arial"/>
          <w:bCs/>
        </w:rPr>
        <w:t xml:space="preserve">La anterior conclusión es coherente con lo establecido en la Guía de Asuntos Corporativos en los Procesos de Contratación, expedida por la Agencia Nacional de Contratación Pública </w:t>
      </w:r>
      <w:r>
        <w:rPr>
          <w:rFonts w:ascii="Arial" w:eastAsia="Calibri" w:hAnsi="Arial" w:cs="Arial"/>
          <w:bCs/>
        </w:rPr>
        <w:t>–</w:t>
      </w:r>
      <w:r w:rsidRPr="0091736C">
        <w:rPr>
          <w:rFonts w:ascii="Arial" w:eastAsia="Calibri" w:hAnsi="Arial" w:cs="Arial"/>
          <w:bCs/>
        </w:rPr>
        <w:t xml:space="preserve"> Colombia Compra Eficiente, pues en ella se dice que </w:t>
      </w:r>
      <w:r>
        <w:rPr>
          <w:rFonts w:ascii="Arial" w:eastAsia="Calibri" w:hAnsi="Arial" w:cs="Arial"/>
          <w:bCs/>
        </w:rPr>
        <w:t>“</w:t>
      </w:r>
      <w:r w:rsidRPr="0091736C">
        <w:rPr>
          <w:rFonts w:ascii="Arial" w:eastAsia="Calibri" w:hAnsi="Arial" w:cs="Arial"/>
          <w:bCs/>
        </w:rPr>
        <w:t>La experiencia de las personas jurídicas es de carácter personal y en principio es intransferible. Por lo tanto, no es posible trasladar la experiencia de un proponente a otro en eventos de escisión o liquidación de una persona jurídica, ni que la experiencia sea enajenada por una persona jurídica en favor de otra persona jurídica o natural</w:t>
      </w:r>
      <w:r>
        <w:rPr>
          <w:rFonts w:ascii="Arial" w:eastAsia="Calibri" w:hAnsi="Arial" w:cs="Arial"/>
          <w:bCs/>
        </w:rPr>
        <w:t>”</w:t>
      </w:r>
      <w:r w:rsidRPr="0091736C">
        <w:rPr>
          <w:rFonts w:ascii="Arial" w:eastAsia="Calibri" w:hAnsi="Arial" w:cs="Arial"/>
          <w:bCs/>
        </w:rPr>
        <w:t xml:space="preserve">. Obsérvese que la Guía no establece que la experiencia es </w:t>
      </w:r>
      <w:r>
        <w:rPr>
          <w:rFonts w:ascii="Arial" w:eastAsia="Calibri" w:hAnsi="Arial" w:cs="Arial"/>
          <w:bCs/>
        </w:rPr>
        <w:t>“</w:t>
      </w:r>
      <w:r w:rsidRPr="0091736C">
        <w:rPr>
          <w:rFonts w:ascii="Arial" w:eastAsia="Calibri" w:hAnsi="Arial" w:cs="Arial"/>
          <w:bCs/>
        </w:rPr>
        <w:t>siempre</w:t>
      </w:r>
      <w:r>
        <w:rPr>
          <w:rFonts w:ascii="Arial" w:eastAsia="Calibri" w:hAnsi="Arial" w:cs="Arial"/>
          <w:bCs/>
        </w:rPr>
        <w:t>”</w:t>
      </w:r>
      <w:r w:rsidRPr="0091736C">
        <w:rPr>
          <w:rFonts w:ascii="Arial" w:eastAsia="Calibri" w:hAnsi="Arial" w:cs="Arial"/>
          <w:bCs/>
        </w:rPr>
        <w:t xml:space="preserve"> intransferible, sino que sostiene que ello es así </w:t>
      </w:r>
      <w:r>
        <w:rPr>
          <w:rFonts w:ascii="Arial" w:eastAsia="Calibri" w:hAnsi="Arial" w:cs="Arial"/>
          <w:bCs/>
        </w:rPr>
        <w:t>“</w:t>
      </w:r>
      <w:r w:rsidRPr="0091736C">
        <w:rPr>
          <w:rFonts w:ascii="Arial" w:eastAsia="Calibri" w:hAnsi="Arial" w:cs="Arial"/>
          <w:bCs/>
        </w:rPr>
        <w:t>en principio</w:t>
      </w:r>
      <w:r>
        <w:rPr>
          <w:rFonts w:ascii="Arial" w:eastAsia="Calibri" w:hAnsi="Arial" w:cs="Arial"/>
          <w:bCs/>
        </w:rPr>
        <w:t>”</w:t>
      </w:r>
      <w:r w:rsidRPr="0091736C">
        <w:rPr>
          <w:rFonts w:ascii="Arial" w:eastAsia="Calibri" w:hAnsi="Arial" w:cs="Arial"/>
          <w:bCs/>
        </w:rPr>
        <w:t xml:space="preserve">. Además, precisa que no es posible transferir la experiencia en la escisión y en la liquidación, justamente porque </w:t>
      </w:r>
      <w:r>
        <w:rPr>
          <w:rFonts w:ascii="Arial" w:eastAsia="Calibri" w:hAnsi="Arial" w:cs="Arial"/>
          <w:bCs/>
        </w:rPr>
        <w:t xml:space="preserve">en </w:t>
      </w:r>
      <w:r w:rsidRPr="0091736C">
        <w:rPr>
          <w:rFonts w:ascii="Arial" w:eastAsia="Calibri" w:hAnsi="Arial" w:cs="Arial"/>
          <w:bCs/>
        </w:rPr>
        <w:t xml:space="preserve">esos casos la persona jurídica desaparece, lo que no sucede en la fusión. Es decir que en este supuesto sí es posible la transferencia de la experiencia de la sociedad fusionada a la resultante. </w:t>
      </w:r>
    </w:p>
    <w:p w14:paraId="1919088F" w14:textId="77777777" w:rsidR="005709B9" w:rsidRPr="0091736C" w:rsidRDefault="005709B9" w:rsidP="005709B9">
      <w:pPr>
        <w:spacing w:before="120" w:line="276" w:lineRule="auto"/>
        <w:ind w:firstLine="708"/>
        <w:jc w:val="both"/>
        <w:rPr>
          <w:rFonts w:ascii="Arial" w:eastAsia="Calibri" w:hAnsi="Arial" w:cs="Arial"/>
          <w:bCs/>
        </w:rPr>
      </w:pPr>
      <w:r w:rsidRPr="0091736C">
        <w:rPr>
          <w:rFonts w:ascii="Arial" w:eastAsia="Calibri" w:hAnsi="Arial" w:cs="Arial"/>
          <w:bCs/>
        </w:rPr>
        <w:t>Esta postura en torno a la validez de la transferencia de experiencia de la sociedad absorbida a la absorbente es compartida por la Superintendencia de Sociedades. Dicha entidad</w:t>
      </w:r>
      <w:r>
        <w:rPr>
          <w:rFonts w:ascii="Arial" w:eastAsia="Calibri" w:hAnsi="Arial" w:cs="Arial"/>
          <w:bCs/>
        </w:rPr>
        <w:t>,</w:t>
      </w:r>
      <w:r w:rsidRPr="0091736C">
        <w:rPr>
          <w:rFonts w:ascii="Arial" w:eastAsia="Calibri" w:hAnsi="Arial" w:cs="Arial"/>
          <w:bCs/>
        </w:rPr>
        <w:t xml:space="preserve"> en ejercicio de la función consultiva</w:t>
      </w:r>
      <w:r>
        <w:rPr>
          <w:rFonts w:ascii="Arial" w:eastAsia="Calibri" w:hAnsi="Arial" w:cs="Arial"/>
          <w:bCs/>
        </w:rPr>
        <w:t>,</w:t>
      </w:r>
      <w:r w:rsidRPr="0091736C">
        <w:rPr>
          <w:rFonts w:ascii="Arial" w:eastAsia="Calibri" w:hAnsi="Arial" w:cs="Arial"/>
          <w:bCs/>
        </w:rPr>
        <w:t xml:space="preserve"> ha manifestado que </w:t>
      </w:r>
      <w:r>
        <w:rPr>
          <w:rFonts w:ascii="Arial" w:eastAsia="Calibri" w:hAnsi="Arial" w:cs="Arial"/>
          <w:bCs/>
        </w:rPr>
        <w:t xml:space="preserve">en </w:t>
      </w:r>
      <w:r w:rsidRPr="0091736C">
        <w:rPr>
          <w:rFonts w:ascii="Arial" w:eastAsia="Calibri" w:hAnsi="Arial" w:cs="Arial"/>
          <w:bCs/>
        </w:rPr>
        <w:t>esta figura es adecuada que la sociedad absorbida transfiera a la segunda sus atributos en lo relacionado con la experiencia</w:t>
      </w:r>
      <w:r w:rsidRPr="0091736C">
        <w:rPr>
          <w:rFonts w:ascii="Arial" w:eastAsia="Calibri" w:hAnsi="Arial" w:cs="Arial"/>
          <w:bCs/>
          <w:vertAlign w:val="superscript"/>
        </w:rPr>
        <w:footnoteReference w:id="18"/>
      </w:r>
      <w:r w:rsidRPr="0091736C">
        <w:rPr>
          <w:rFonts w:ascii="Arial" w:eastAsia="Calibri" w:hAnsi="Arial" w:cs="Arial"/>
          <w:bCs/>
        </w:rPr>
        <w:t xml:space="preserve">. Al respecto se ha manifestado: </w:t>
      </w:r>
    </w:p>
    <w:p w14:paraId="706A0573" w14:textId="77777777" w:rsidR="005709B9" w:rsidRPr="0091736C" w:rsidRDefault="005709B9" w:rsidP="005709B9">
      <w:pPr>
        <w:ind w:left="709" w:right="709"/>
        <w:jc w:val="both"/>
        <w:rPr>
          <w:rFonts w:ascii="Arial" w:hAnsi="Arial" w:cs="Arial"/>
          <w:sz w:val="21"/>
          <w:szCs w:val="21"/>
        </w:rPr>
      </w:pPr>
    </w:p>
    <w:p w14:paraId="2E601320" w14:textId="77777777" w:rsidR="005709B9" w:rsidRPr="0091736C" w:rsidRDefault="005709B9" w:rsidP="005709B9">
      <w:pPr>
        <w:ind w:left="709" w:right="709"/>
        <w:jc w:val="both"/>
        <w:rPr>
          <w:rFonts w:ascii="Arial" w:hAnsi="Arial" w:cs="Arial"/>
          <w:sz w:val="21"/>
          <w:szCs w:val="21"/>
        </w:rPr>
      </w:pPr>
      <w:r w:rsidRPr="0091736C">
        <w:rPr>
          <w:rFonts w:ascii="Arial" w:hAnsi="Arial" w:cs="Arial"/>
          <w:sz w:val="21"/>
          <w:szCs w:val="21"/>
        </w:rPr>
        <w:t xml:space="preserve">La fusión surge como el mecanismo pertinente para que los atributos de las compañías absorbidas, sean aprovechados por la compañía que las absorbe, entre éstos, la experiencia derivada de las obras cumplidas, bienes suministrados o servicios prestados durante la vigencia de la absorbida.  Por supuesto, frente a la normatividad alusiva a la contratación estatal, considera este despacho que resulta discrecional para </w:t>
      </w:r>
      <w:r w:rsidRPr="0091736C">
        <w:rPr>
          <w:rFonts w:ascii="Arial" w:hAnsi="Arial" w:cs="Arial"/>
          <w:sz w:val="21"/>
          <w:szCs w:val="21"/>
        </w:rPr>
        <w:lastRenderedPageBreak/>
        <w:t>la entidad estatal contratante coincidir, o no, con esta oficina en el sentido anotado y habilitar como proponente, para considerar su propuesta, a aquellos quienes, en virtud de su calidad de absorbentes, aprovechan todos los recursos que le fueron transmitidos por las absorbidas, incluidos intangibles como su experiencia, Know How, entre otros</w:t>
      </w:r>
      <w:r>
        <w:rPr>
          <w:rFonts w:ascii="Arial" w:hAnsi="Arial" w:cs="Arial"/>
          <w:sz w:val="21"/>
          <w:szCs w:val="21"/>
        </w:rPr>
        <w:t>.</w:t>
      </w:r>
    </w:p>
    <w:p w14:paraId="36CA8054" w14:textId="77777777" w:rsidR="005709B9" w:rsidRPr="0091736C" w:rsidRDefault="005709B9" w:rsidP="005709B9">
      <w:pPr>
        <w:ind w:left="709" w:right="709"/>
        <w:jc w:val="both"/>
        <w:rPr>
          <w:rFonts w:ascii="Arial" w:hAnsi="Arial" w:cs="Arial"/>
          <w:sz w:val="21"/>
          <w:szCs w:val="21"/>
        </w:rPr>
      </w:pPr>
    </w:p>
    <w:p w14:paraId="11A9D7DB" w14:textId="77777777" w:rsidR="005709B9" w:rsidRPr="0091736C" w:rsidRDefault="005709B9" w:rsidP="005709B9">
      <w:pPr>
        <w:ind w:left="709" w:right="709"/>
        <w:jc w:val="both"/>
        <w:rPr>
          <w:rFonts w:ascii="Arial" w:hAnsi="Arial" w:cs="Arial"/>
          <w:sz w:val="21"/>
          <w:szCs w:val="21"/>
        </w:rPr>
      </w:pPr>
      <w:r w:rsidRPr="0091736C">
        <w:rPr>
          <w:rFonts w:ascii="Arial" w:hAnsi="Arial" w:cs="Arial"/>
          <w:sz w:val="21"/>
          <w:szCs w:val="21"/>
        </w:rPr>
        <w:t>[…]</w:t>
      </w:r>
    </w:p>
    <w:p w14:paraId="3BCAAF05" w14:textId="77777777" w:rsidR="005709B9" w:rsidRPr="0091736C" w:rsidRDefault="005709B9" w:rsidP="005709B9">
      <w:pPr>
        <w:ind w:left="709" w:right="709"/>
        <w:jc w:val="both"/>
        <w:rPr>
          <w:rFonts w:ascii="Arial" w:hAnsi="Arial" w:cs="Arial"/>
          <w:sz w:val="21"/>
          <w:szCs w:val="21"/>
        </w:rPr>
      </w:pPr>
    </w:p>
    <w:p w14:paraId="69A93113" w14:textId="77777777" w:rsidR="005709B9" w:rsidRPr="0091736C" w:rsidRDefault="005709B9" w:rsidP="005709B9">
      <w:pPr>
        <w:ind w:left="709" w:right="709"/>
        <w:jc w:val="both"/>
        <w:rPr>
          <w:rFonts w:ascii="Arial" w:hAnsi="Arial" w:cs="Arial"/>
          <w:sz w:val="21"/>
          <w:szCs w:val="21"/>
        </w:rPr>
      </w:pPr>
      <w:r w:rsidRPr="0091736C">
        <w:rPr>
          <w:rFonts w:ascii="Arial" w:hAnsi="Arial" w:cs="Arial"/>
          <w:sz w:val="21"/>
          <w:szCs w:val="21"/>
        </w:rPr>
        <w:t xml:space="preserve">En cuanto refiere a </w:t>
      </w:r>
      <w:r w:rsidRPr="0091736C">
        <w:rPr>
          <w:rFonts w:ascii="Arial" w:hAnsi="Arial" w:cs="Arial"/>
          <w:i/>
          <w:iCs/>
          <w:sz w:val="21"/>
          <w:szCs w:val="21"/>
          <w:u w:val="single"/>
        </w:rPr>
        <w:t xml:space="preserve">la certificación que sobre la experiencia de un proponente, expiden las cámaras de comercio a través del Registro Único de Proponentes que administran, esta oficina considera que la normativa a que se ha venido aludiendo no reguló, pero tampoco prohibió, otras situaciones de transferencia de experiencia como la que se presenta con la fusión, </w:t>
      </w:r>
      <w:r w:rsidRPr="0091736C">
        <w:rPr>
          <w:rFonts w:ascii="Arial" w:hAnsi="Arial" w:cs="Arial"/>
          <w:sz w:val="21"/>
          <w:szCs w:val="21"/>
        </w:rPr>
        <w:t>por lo que la considera válida para efecto de ser invocada por la absorbente, a través del certificado que le expida la cámara de comercio con base en la información depositada en el Registro Único de Proponentes, RUP</w:t>
      </w:r>
      <w:r w:rsidRPr="0091736C">
        <w:rPr>
          <w:rFonts w:ascii="Arial" w:hAnsi="Arial" w:cs="Arial"/>
          <w:sz w:val="21"/>
          <w:szCs w:val="21"/>
          <w:vertAlign w:val="superscript"/>
        </w:rPr>
        <w:footnoteReference w:id="19"/>
      </w:r>
      <w:r w:rsidRPr="0091736C">
        <w:rPr>
          <w:rFonts w:ascii="Arial" w:hAnsi="Arial" w:cs="Arial"/>
          <w:sz w:val="21"/>
          <w:szCs w:val="21"/>
        </w:rPr>
        <w:t xml:space="preserve">. </w:t>
      </w:r>
      <w:r>
        <w:rPr>
          <w:rFonts w:ascii="Arial" w:hAnsi="Arial" w:cs="Arial"/>
          <w:sz w:val="21"/>
          <w:szCs w:val="21"/>
        </w:rPr>
        <w:t>(</w:t>
      </w:r>
      <w:r w:rsidRPr="0091736C">
        <w:rPr>
          <w:rFonts w:ascii="Arial" w:hAnsi="Arial" w:cs="Arial"/>
          <w:sz w:val="21"/>
          <w:szCs w:val="21"/>
        </w:rPr>
        <w:t>Énfasis fuera de texto</w:t>
      </w:r>
      <w:r>
        <w:rPr>
          <w:rFonts w:ascii="Arial" w:hAnsi="Arial" w:cs="Arial"/>
          <w:sz w:val="21"/>
          <w:szCs w:val="21"/>
        </w:rPr>
        <w:t>).</w:t>
      </w:r>
    </w:p>
    <w:p w14:paraId="1ACC9313" w14:textId="77777777" w:rsidR="005709B9" w:rsidRPr="0091736C" w:rsidRDefault="005709B9" w:rsidP="005709B9">
      <w:pPr>
        <w:spacing w:line="276" w:lineRule="auto"/>
        <w:ind w:left="709" w:right="709"/>
        <w:jc w:val="both"/>
        <w:rPr>
          <w:rFonts w:ascii="Arial" w:hAnsi="Arial" w:cs="Arial"/>
          <w:sz w:val="21"/>
          <w:szCs w:val="21"/>
        </w:rPr>
      </w:pPr>
    </w:p>
    <w:p w14:paraId="35330C55" w14:textId="77777777" w:rsidR="005709B9" w:rsidRPr="0091736C" w:rsidRDefault="005709B9" w:rsidP="005709B9">
      <w:pPr>
        <w:spacing w:line="276" w:lineRule="auto"/>
        <w:ind w:firstLine="708"/>
        <w:jc w:val="both"/>
        <w:rPr>
          <w:rFonts w:ascii="Arial" w:hAnsi="Arial" w:cs="Arial"/>
          <w:color w:val="000000"/>
        </w:rPr>
      </w:pPr>
      <w:r w:rsidRPr="0091736C">
        <w:rPr>
          <w:rFonts w:ascii="Arial" w:eastAsia="Calibri" w:hAnsi="Arial" w:cs="Arial"/>
          <w:bCs/>
        </w:rPr>
        <w:t xml:space="preserve">En efecto, el artículo 2.2.1.1.1.5.3 del Decreto 1082 de 2015 hace referencia a que las cámaras de comercio deberán registrar la experiencia certificada con base en los </w:t>
      </w:r>
      <w:r>
        <w:rPr>
          <w:rFonts w:ascii="Arial" w:eastAsia="Calibri" w:hAnsi="Arial" w:cs="Arial"/>
          <w:bCs/>
        </w:rPr>
        <w:t>“</w:t>
      </w:r>
      <w:r w:rsidRPr="0091736C">
        <w:rPr>
          <w:rFonts w:ascii="Arial" w:hAnsi="Arial" w:cs="Arial"/>
          <w:color w:val="000000"/>
        </w:rPr>
        <w:t>Los contratos celebrados por el interesado</w:t>
      </w:r>
      <w:r>
        <w:rPr>
          <w:rFonts w:ascii="Arial" w:hAnsi="Arial" w:cs="Arial"/>
          <w:color w:val="000000"/>
        </w:rPr>
        <w:t>”</w:t>
      </w:r>
      <w:r w:rsidRPr="0091736C">
        <w:rPr>
          <w:rFonts w:ascii="Arial" w:hAnsi="Arial" w:cs="Arial"/>
          <w:color w:val="000000"/>
        </w:rPr>
        <w:t xml:space="preserve"> y </w:t>
      </w:r>
      <w:r>
        <w:rPr>
          <w:rFonts w:ascii="Arial" w:hAnsi="Arial" w:cs="Arial"/>
          <w:color w:val="000000"/>
        </w:rPr>
        <w:t>“</w:t>
      </w:r>
      <w:r w:rsidRPr="0091736C">
        <w:rPr>
          <w:rFonts w:ascii="Arial" w:hAnsi="Arial" w:cs="Arial"/>
          <w:color w:val="000000"/>
        </w:rPr>
        <w:t>Los contratos celebrados por consorcios, uniones temporales y sociedades en las cuales el interesado tenga o haya tenido participación</w:t>
      </w:r>
      <w:r>
        <w:rPr>
          <w:rFonts w:ascii="Arial" w:hAnsi="Arial" w:cs="Arial"/>
          <w:color w:val="000000"/>
        </w:rPr>
        <w:t>”</w:t>
      </w:r>
      <w:r w:rsidRPr="0091736C">
        <w:rPr>
          <w:rFonts w:ascii="Arial" w:hAnsi="Arial" w:cs="Arial"/>
          <w:color w:val="000000"/>
        </w:rPr>
        <w:t xml:space="preserve">, sin hacer alusión a las diferentes reformas estatutarias que podrían amparar la transferencia de experiencia conforme a lo explicado </w:t>
      </w:r>
      <w:r w:rsidRPr="0091736C">
        <w:rPr>
          <w:rFonts w:ascii="Arial" w:hAnsi="Arial" w:cs="Arial"/>
          <w:i/>
          <w:iCs/>
          <w:color w:val="000000"/>
        </w:rPr>
        <w:t>supra</w:t>
      </w:r>
      <w:r w:rsidRPr="0091736C">
        <w:rPr>
          <w:rFonts w:ascii="Arial" w:hAnsi="Arial" w:cs="Arial"/>
          <w:i/>
          <w:iCs/>
          <w:color w:val="000000"/>
          <w:vertAlign w:val="superscript"/>
        </w:rPr>
        <w:footnoteReference w:id="20"/>
      </w:r>
      <w:r w:rsidRPr="0091736C">
        <w:rPr>
          <w:rFonts w:ascii="Arial" w:hAnsi="Arial" w:cs="Arial"/>
          <w:color w:val="000000"/>
        </w:rPr>
        <w:t xml:space="preserve">. Caso contario ocurre con la posibilidad de que una sociedad, durante los primeros tres (3) años de su constitución–e incluso después– pueda acreditar como suya la experiencia de socios, supuesto regulado por el numeral 2.5 del artículo 2.2.1.1.1.5.2 del Decreto 1082 de 2015. </w:t>
      </w:r>
    </w:p>
    <w:p w14:paraId="026CD6D9" w14:textId="77777777" w:rsidR="005709B9" w:rsidRPr="00634064" w:rsidRDefault="005709B9" w:rsidP="005709B9">
      <w:pPr>
        <w:spacing w:before="120" w:line="276" w:lineRule="auto"/>
        <w:ind w:firstLine="708"/>
        <w:jc w:val="both"/>
        <w:rPr>
          <w:rFonts w:ascii="Arial" w:hAnsi="Arial" w:cs="Arial"/>
          <w:bCs/>
          <w:color w:val="000000"/>
        </w:rPr>
      </w:pPr>
      <w:r w:rsidRPr="0091736C">
        <w:rPr>
          <w:rFonts w:ascii="Arial" w:hAnsi="Arial" w:cs="Arial"/>
          <w:color w:val="000000"/>
        </w:rPr>
        <w:t>En ese sentido, considerando que el RUP es el documento que constituye plena prueba de la experiencia adquirida por el proponente, es necesario que la experiencia de la sociedad absorbida qued</w:t>
      </w:r>
      <w:r>
        <w:rPr>
          <w:rFonts w:ascii="Arial" w:hAnsi="Arial" w:cs="Arial"/>
          <w:color w:val="000000"/>
        </w:rPr>
        <w:t>e</w:t>
      </w:r>
      <w:r w:rsidRPr="0091736C">
        <w:rPr>
          <w:rFonts w:ascii="Arial" w:hAnsi="Arial" w:cs="Arial"/>
          <w:color w:val="000000"/>
        </w:rPr>
        <w:t xml:space="preserve"> incorporada en el RUP de la absorbente para que esta pueda acreditarla. Esto implica que la sociedad absorbente haya adelantado el respectivo trámite de actualización o renovación del RUP, en el marco del cual se haya consolidado la transferencia de experiencia. </w:t>
      </w:r>
      <w:r w:rsidRPr="00634064">
        <w:rPr>
          <w:rFonts w:ascii="Arial" w:hAnsi="Arial" w:cs="Arial"/>
          <w:bCs/>
          <w:color w:val="000000"/>
        </w:rPr>
        <w:t xml:space="preserve">Para estos efectos, el proponente debe realizar el trámite pertinente ante la </w:t>
      </w:r>
      <w:r>
        <w:rPr>
          <w:rFonts w:ascii="Arial" w:hAnsi="Arial" w:cs="Arial"/>
          <w:bCs/>
          <w:color w:val="000000"/>
        </w:rPr>
        <w:t>c</w:t>
      </w:r>
      <w:r w:rsidRPr="00634064">
        <w:rPr>
          <w:rFonts w:ascii="Arial" w:hAnsi="Arial" w:cs="Arial"/>
          <w:bCs/>
          <w:color w:val="000000"/>
        </w:rPr>
        <w:t xml:space="preserve">ámara de </w:t>
      </w:r>
      <w:r>
        <w:rPr>
          <w:rFonts w:ascii="Arial" w:hAnsi="Arial" w:cs="Arial"/>
          <w:bCs/>
          <w:color w:val="000000"/>
        </w:rPr>
        <w:t>c</w:t>
      </w:r>
      <w:r w:rsidRPr="00634064">
        <w:rPr>
          <w:rFonts w:ascii="Arial" w:hAnsi="Arial" w:cs="Arial"/>
          <w:bCs/>
          <w:color w:val="000000"/>
        </w:rPr>
        <w:t xml:space="preserve">omercio </w:t>
      </w:r>
      <w:r w:rsidRPr="00634064">
        <w:rPr>
          <w:rFonts w:ascii="Arial" w:hAnsi="Arial" w:cs="Arial"/>
          <w:color w:val="000000"/>
        </w:rPr>
        <w:lastRenderedPageBreak/>
        <w:t>con copia de los contratos o con certificados de los contratos celebrados con diferentes contratantes y los demás documentos requeridos</w:t>
      </w:r>
      <w:r>
        <w:rPr>
          <w:rFonts w:ascii="Arial" w:hAnsi="Arial" w:cs="Arial"/>
          <w:color w:val="000000"/>
        </w:rPr>
        <w:t xml:space="preserve"> por dicha entidad</w:t>
      </w:r>
      <w:r w:rsidRPr="00634064">
        <w:rPr>
          <w:rFonts w:ascii="Arial" w:hAnsi="Arial" w:cs="Arial"/>
          <w:color w:val="000000"/>
        </w:rPr>
        <w:t>. Tales contratos deben codificarse con el clasificador de bienes y servicios en el tercer nivel</w:t>
      </w:r>
      <w:r>
        <w:rPr>
          <w:rFonts w:ascii="Arial" w:hAnsi="Arial" w:cs="Arial"/>
          <w:color w:val="000000"/>
        </w:rPr>
        <w:t>, como se explicó anteriormente.</w:t>
      </w:r>
      <w:r w:rsidRPr="00634064">
        <w:rPr>
          <w:rFonts w:ascii="Arial" w:hAnsi="Arial" w:cs="Arial"/>
          <w:color w:val="000000"/>
        </w:rPr>
        <w:t xml:space="preserve"> </w:t>
      </w:r>
    </w:p>
    <w:p w14:paraId="247AFEA0" w14:textId="77777777" w:rsidR="005709B9" w:rsidRPr="00A51520" w:rsidRDefault="005709B9" w:rsidP="005709B9">
      <w:pPr>
        <w:spacing w:line="276" w:lineRule="auto"/>
        <w:jc w:val="both"/>
        <w:rPr>
          <w:rFonts w:ascii="Arial" w:hAnsi="Arial" w:cs="Arial"/>
          <w:lang w:eastAsia="es-MX"/>
        </w:rPr>
      </w:pPr>
    </w:p>
    <w:p w14:paraId="1D871805" w14:textId="77777777" w:rsidR="005709B9" w:rsidRPr="00A51520" w:rsidRDefault="005709B9" w:rsidP="005709B9">
      <w:pPr>
        <w:tabs>
          <w:tab w:val="left" w:pos="0"/>
        </w:tabs>
        <w:jc w:val="both"/>
        <w:rPr>
          <w:rFonts w:ascii="Arial" w:eastAsia="Calibri" w:hAnsi="Arial" w:cs="Arial"/>
          <w:b/>
          <w:color w:val="000000" w:themeColor="text1"/>
          <w:lang w:val="es-ES_tradnl"/>
        </w:rPr>
      </w:pPr>
      <w:r w:rsidRPr="00A51520">
        <w:rPr>
          <w:rFonts w:ascii="Arial" w:eastAsia="Calibri" w:hAnsi="Arial" w:cs="Arial"/>
          <w:b/>
          <w:color w:val="000000" w:themeColor="text1"/>
          <w:lang w:val="es-ES_tradnl"/>
        </w:rPr>
        <w:t>3. Respuesta</w:t>
      </w:r>
    </w:p>
    <w:p w14:paraId="62B144C4" w14:textId="77777777" w:rsidR="005709B9" w:rsidRPr="00A51520" w:rsidRDefault="005709B9" w:rsidP="005709B9">
      <w:pPr>
        <w:spacing w:line="276" w:lineRule="auto"/>
        <w:jc w:val="both"/>
        <w:rPr>
          <w:rFonts w:ascii="Arial" w:hAnsi="Arial" w:cs="Arial"/>
          <w:color w:val="000000" w:themeColor="text1"/>
          <w:lang w:val="es-ES_tradnl"/>
        </w:rPr>
      </w:pPr>
    </w:p>
    <w:p w14:paraId="45A801F2" w14:textId="77777777" w:rsidR="005709B9" w:rsidRPr="00361F21" w:rsidRDefault="005709B9" w:rsidP="005709B9">
      <w:pPr>
        <w:spacing w:line="276" w:lineRule="auto"/>
        <w:ind w:left="567" w:right="616"/>
        <w:jc w:val="both"/>
        <w:rPr>
          <w:rFonts w:ascii="Arial" w:hAnsi="Arial" w:cs="Arial"/>
          <w:sz w:val="21"/>
          <w:szCs w:val="21"/>
        </w:rPr>
      </w:pPr>
      <w:r w:rsidRPr="00361F21">
        <w:rPr>
          <w:rFonts w:ascii="Arial" w:hAnsi="Arial" w:cs="Arial"/>
          <w:sz w:val="21"/>
          <w:szCs w:val="21"/>
        </w:rPr>
        <w:t>“[…] [¿]Si dos empresas se van a fusionar ¿puede la sociedad que absorbe tomar como propia la experiencia de la absorbida e incluirla en su RUP? ¿o esa experiencia se pierde?</w:t>
      </w:r>
    </w:p>
    <w:p w14:paraId="595F8C96" w14:textId="77777777" w:rsidR="005709B9" w:rsidRPr="00361F21" w:rsidRDefault="005709B9" w:rsidP="005709B9">
      <w:pPr>
        <w:spacing w:line="276" w:lineRule="auto"/>
        <w:ind w:left="567" w:right="616"/>
        <w:jc w:val="both"/>
        <w:rPr>
          <w:rFonts w:ascii="Arial" w:hAnsi="Arial" w:cs="Arial"/>
          <w:sz w:val="21"/>
          <w:szCs w:val="21"/>
        </w:rPr>
      </w:pPr>
    </w:p>
    <w:p w14:paraId="41A13101" w14:textId="77777777" w:rsidR="005709B9" w:rsidRPr="00361F21" w:rsidRDefault="005709B9" w:rsidP="005709B9">
      <w:pPr>
        <w:spacing w:line="276" w:lineRule="auto"/>
        <w:ind w:left="567" w:right="616"/>
        <w:jc w:val="both"/>
        <w:rPr>
          <w:rFonts w:ascii="Arial" w:hAnsi="Arial" w:cs="Arial"/>
          <w:sz w:val="21"/>
          <w:szCs w:val="21"/>
          <w:lang w:val="es-ES_tradnl"/>
        </w:rPr>
      </w:pPr>
      <w:r w:rsidRPr="00361F21">
        <w:rPr>
          <w:rFonts w:ascii="Arial" w:hAnsi="Arial" w:cs="Arial"/>
          <w:sz w:val="21"/>
          <w:szCs w:val="21"/>
        </w:rPr>
        <w:t>En caso de no poder tomar la experiencia que se puede hacer para no perder la experiencia? […]” (sic)</w:t>
      </w:r>
    </w:p>
    <w:p w14:paraId="5FE1DD63" w14:textId="77777777" w:rsidR="005709B9" w:rsidRDefault="005709B9" w:rsidP="005709B9">
      <w:pPr>
        <w:spacing w:line="276" w:lineRule="auto"/>
        <w:ind w:right="476"/>
        <w:jc w:val="both"/>
        <w:rPr>
          <w:rFonts w:ascii="Arial" w:eastAsia="Calibri" w:hAnsi="Arial" w:cs="Arial"/>
          <w:bCs/>
          <w:sz w:val="21"/>
          <w:szCs w:val="21"/>
          <w:lang w:val="es-ES_tradnl"/>
        </w:rPr>
      </w:pPr>
    </w:p>
    <w:p w14:paraId="76F6F9A0" w14:textId="77777777" w:rsidR="005709B9" w:rsidRPr="00C51C15" w:rsidRDefault="005709B9" w:rsidP="005709B9">
      <w:pPr>
        <w:spacing w:line="276" w:lineRule="auto"/>
        <w:jc w:val="both"/>
        <w:rPr>
          <w:rFonts w:ascii="Arial" w:hAnsi="Arial" w:cs="Arial"/>
          <w:bCs/>
          <w:color w:val="000000"/>
        </w:rPr>
      </w:pPr>
      <w:r w:rsidRPr="00C51C15">
        <w:rPr>
          <w:rFonts w:ascii="Arial" w:hAnsi="Arial" w:cs="Arial"/>
          <w:bCs/>
          <w:color w:val="000000"/>
        </w:rPr>
        <w:t>Con fundamento en las consideraciones efectuadas,</w:t>
      </w:r>
      <w:r>
        <w:rPr>
          <w:rFonts w:ascii="Arial" w:hAnsi="Arial" w:cs="Arial"/>
          <w:bCs/>
          <w:color w:val="000000"/>
        </w:rPr>
        <w:t xml:space="preserve"> </w:t>
      </w:r>
      <w:r w:rsidRPr="00C51C15">
        <w:rPr>
          <w:rFonts w:ascii="Arial" w:hAnsi="Arial" w:cs="Arial"/>
          <w:bCs/>
          <w:color w:val="000000"/>
        </w:rPr>
        <w:t xml:space="preserve">la Subdirección de Gestión Contractual responde su petición, reiterando </w:t>
      </w:r>
      <w:r>
        <w:rPr>
          <w:rFonts w:ascii="Arial" w:hAnsi="Arial" w:cs="Arial"/>
          <w:bCs/>
          <w:color w:val="000000"/>
        </w:rPr>
        <w:t xml:space="preserve">que </w:t>
      </w:r>
      <w:r w:rsidRPr="00C51C15">
        <w:rPr>
          <w:rFonts w:ascii="Arial" w:hAnsi="Arial" w:cs="Arial"/>
          <w:bCs/>
          <w:color w:val="000000"/>
        </w:rPr>
        <w:t>si bien en principio la experiencia de las personas jurídicas es intransferible en la contratación estatal regulada por el Estatuto General de Contratación de la Administración Pública, dicha regla general tiene excepciones. Una de ellas se presenta en la fusión, pues, al disolverse la persona jurídica, sin liquidarse, puede transferirle la experiencia a la sociedad resultante.</w:t>
      </w:r>
      <w:r>
        <w:rPr>
          <w:rFonts w:ascii="Arial" w:hAnsi="Arial" w:cs="Arial"/>
          <w:bCs/>
          <w:color w:val="000000"/>
        </w:rPr>
        <w:t xml:space="preserve"> En efecto</w:t>
      </w:r>
      <w:r w:rsidRPr="00C51C15">
        <w:rPr>
          <w:rFonts w:ascii="Arial" w:hAnsi="Arial" w:cs="Arial"/>
          <w:bCs/>
          <w:color w:val="000000"/>
        </w:rPr>
        <w:t xml:space="preserve">, en la fusión por absorción y en la </w:t>
      </w:r>
      <w:r>
        <w:rPr>
          <w:rFonts w:ascii="Arial" w:hAnsi="Arial" w:cs="Arial"/>
          <w:bCs/>
          <w:color w:val="000000"/>
        </w:rPr>
        <w:t xml:space="preserve">que da lugar a la </w:t>
      </w:r>
      <w:r w:rsidRPr="00C51C15">
        <w:rPr>
          <w:rFonts w:ascii="Arial" w:hAnsi="Arial" w:cs="Arial"/>
          <w:bCs/>
          <w:color w:val="000000"/>
        </w:rPr>
        <w:t>creación de una nueva sociedad, la experiencia es transferible en la medida en que la sociedad se disuelve y no se liquida, es decir, no desaparece</w:t>
      </w:r>
      <w:r>
        <w:rPr>
          <w:rFonts w:ascii="Arial" w:hAnsi="Arial" w:cs="Arial"/>
          <w:bCs/>
          <w:color w:val="000000"/>
        </w:rPr>
        <w:t>, sino que continúa a través de otra</w:t>
      </w:r>
      <w:r w:rsidRPr="00C51C15">
        <w:rPr>
          <w:rFonts w:ascii="Arial" w:hAnsi="Arial" w:cs="Arial"/>
          <w:bCs/>
          <w:color w:val="000000"/>
        </w:rPr>
        <w:t xml:space="preserve">. En este sentido, la trasferencia de la experiencia ocurre porque la persona jurídica continúa a través de otra, esto es, deja de ser quien es pero no desaparece porque otra sociedad se convierte en ella, ya sea una sociedad nueva cuando es fusión por creación, o una sociedad existente en la fusión por absorción. </w:t>
      </w:r>
    </w:p>
    <w:p w14:paraId="7BD36715" w14:textId="77777777" w:rsidR="005709B9" w:rsidRDefault="005709B9" w:rsidP="005709B9">
      <w:pPr>
        <w:spacing w:before="120" w:line="276" w:lineRule="auto"/>
        <w:ind w:firstLine="709"/>
        <w:jc w:val="both"/>
        <w:rPr>
          <w:rFonts w:ascii="Arial" w:hAnsi="Arial" w:cs="Arial"/>
          <w:bCs/>
          <w:color w:val="000000"/>
        </w:rPr>
      </w:pPr>
      <w:r w:rsidRPr="00C6624E">
        <w:rPr>
          <w:rFonts w:ascii="Arial" w:hAnsi="Arial" w:cs="Arial"/>
          <w:bCs/>
          <w:color w:val="000000"/>
        </w:rPr>
        <w:t>En consecuencia, en la fusión por absorción</w:t>
      </w:r>
      <w:r w:rsidRPr="00C51C15">
        <w:rPr>
          <w:rFonts w:ascii="Arial" w:hAnsi="Arial" w:cs="Arial"/>
          <w:bCs/>
          <w:color w:val="000000"/>
        </w:rPr>
        <w:t xml:space="preserve"> o creación de una nueva sociedad</w:t>
      </w:r>
      <w:r w:rsidRPr="00C6624E">
        <w:rPr>
          <w:rFonts w:ascii="Arial" w:hAnsi="Arial" w:cs="Arial"/>
          <w:bCs/>
          <w:color w:val="000000"/>
        </w:rPr>
        <w:t xml:space="preserve"> es posible que la sociedad absorbente</w:t>
      </w:r>
      <w:r>
        <w:rPr>
          <w:rFonts w:ascii="Arial" w:hAnsi="Arial" w:cs="Arial"/>
          <w:bCs/>
          <w:color w:val="000000"/>
        </w:rPr>
        <w:t xml:space="preserve"> o la nueva</w:t>
      </w:r>
      <w:r w:rsidRPr="00C6624E">
        <w:rPr>
          <w:rFonts w:ascii="Arial" w:hAnsi="Arial" w:cs="Arial"/>
          <w:bCs/>
          <w:color w:val="000000"/>
        </w:rPr>
        <w:t xml:space="preserve"> obtenga la experiencia de la absorbida, porque esta última continuó a través de la primera, y ello impli</w:t>
      </w:r>
      <w:r>
        <w:rPr>
          <w:rFonts w:ascii="Arial" w:hAnsi="Arial" w:cs="Arial"/>
          <w:bCs/>
          <w:color w:val="000000"/>
        </w:rPr>
        <w:t>c</w:t>
      </w:r>
      <w:r w:rsidRPr="00C6624E">
        <w:rPr>
          <w:rFonts w:ascii="Arial" w:hAnsi="Arial" w:cs="Arial"/>
          <w:bCs/>
          <w:color w:val="000000"/>
        </w:rPr>
        <w:t>a que transfirió su experiencia debido a que no se liquidó, es decir</w:t>
      </w:r>
      <w:r>
        <w:rPr>
          <w:rFonts w:ascii="Arial" w:hAnsi="Arial" w:cs="Arial"/>
          <w:bCs/>
          <w:color w:val="000000"/>
        </w:rPr>
        <w:t>,</w:t>
      </w:r>
      <w:r w:rsidRPr="00C6624E">
        <w:rPr>
          <w:rFonts w:ascii="Arial" w:hAnsi="Arial" w:cs="Arial"/>
          <w:bCs/>
          <w:color w:val="000000"/>
        </w:rPr>
        <w:t xml:space="preserve"> no desapareció, lo que haría imposible la transferencia de experiencia. </w:t>
      </w:r>
    </w:p>
    <w:p w14:paraId="7826897C" w14:textId="77777777" w:rsidR="005709B9" w:rsidRPr="00150A26" w:rsidRDefault="005709B9" w:rsidP="005709B9">
      <w:pPr>
        <w:spacing w:before="120" w:line="276" w:lineRule="auto"/>
        <w:ind w:firstLine="709"/>
        <w:jc w:val="both"/>
        <w:rPr>
          <w:rFonts w:ascii="Arial" w:hAnsi="Arial" w:cs="Arial"/>
          <w:bCs/>
          <w:color w:val="000000"/>
        </w:rPr>
      </w:pPr>
      <w:r>
        <w:rPr>
          <w:rFonts w:ascii="Arial" w:hAnsi="Arial" w:cs="Arial"/>
          <w:bCs/>
          <w:color w:val="000000"/>
        </w:rPr>
        <w:t xml:space="preserve">Sin embargo, cabe señalar que, en todos los casos se deberán tener en cuenta las condiciones bajo las cuales se creó o desarrolló la figura de Fusión que son </w:t>
      </w:r>
      <w:r w:rsidRPr="0091736C">
        <w:rPr>
          <w:rFonts w:ascii="Arial" w:eastAsia="Calibri" w:hAnsi="Arial" w:cs="Arial"/>
        </w:rPr>
        <w:t xml:space="preserve">i) por absorción: una o más sociedades se </w:t>
      </w:r>
      <w:r>
        <w:rPr>
          <w:rFonts w:ascii="Arial" w:eastAsia="Calibri" w:hAnsi="Arial" w:cs="Arial"/>
        </w:rPr>
        <w:t>“</w:t>
      </w:r>
      <w:r w:rsidRPr="0091736C">
        <w:rPr>
          <w:rFonts w:ascii="Arial" w:eastAsia="Calibri" w:hAnsi="Arial" w:cs="Arial"/>
        </w:rPr>
        <w:t>disuelven</w:t>
      </w:r>
      <w:r>
        <w:rPr>
          <w:rFonts w:ascii="Arial" w:eastAsia="Calibri" w:hAnsi="Arial" w:cs="Arial"/>
        </w:rPr>
        <w:t>”</w:t>
      </w:r>
      <w:r w:rsidRPr="0091736C">
        <w:rPr>
          <w:rFonts w:ascii="Arial" w:eastAsia="Calibri" w:hAnsi="Arial" w:cs="Arial"/>
        </w:rPr>
        <w:t xml:space="preserve"> sin </w:t>
      </w:r>
      <w:r>
        <w:rPr>
          <w:rFonts w:ascii="Arial" w:eastAsia="Calibri" w:hAnsi="Arial" w:cs="Arial"/>
        </w:rPr>
        <w:t>“</w:t>
      </w:r>
      <w:r w:rsidRPr="0091736C">
        <w:rPr>
          <w:rFonts w:ascii="Arial" w:eastAsia="Calibri" w:hAnsi="Arial" w:cs="Arial"/>
        </w:rPr>
        <w:t>liquidarse</w:t>
      </w:r>
      <w:r>
        <w:rPr>
          <w:rFonts w:ascii="Arial" w:eastAsia="Calibri" w:hAnsi="Arial" w:cs="Arial"/>
        </w:rPr>
        <w:t>”</w:t>
      </w:r>
      <w:r w:rsidRPr="0091736C">
        <w:rPr>
          <w:rFonts w:ascii="Arial" w:eastAsia="Calibri" w:hAnsi="Arial" w:cs="Arial"/>
        </w:rPr>
        <w:t xml:space="preserve"> para ser absorbidas por otra existente; ii) por creación: una o más sociedades se </w:t>
      </w:r>
      <w:r>
        <w:rPr>
          <w:rFonts w:ascii="Arial" w:eastAsia="Calibri" w:hAnsi="Arial" w:cs="Arial"/>
        </w:rPr>
        <w:t>“</w:t>
      </w:r>
      <w:r w:rsidRPr="0091736C">
        <w:rPr>
          <w:rFonts w:ascii="Arial" w:eastAsia="Calibri" w:hAnsi="Arial" w:cs="Arial"/>
        </w:rPr>
        <w:t>disuelven</w:t>
      </w:r>
      <w:r>
        <w:rPr>
          <w:rFonts w:ascii="Arial" w:eastAsia="Calibri" w:hAnsi="Arial" w:cs="Arial"/>
        </w:rPr>
        <w:t>”</w:t>
      </w:r>
      <w:r w:rsidRPr="0091736C">
        <w:rPr>
          <w:rFonts w:ascii="Arial" w:eastAsia="Calibri" w:hAnsi="Arial" w:cs="Arial"/>
        </w:rPr>
        <w:t xml:space="preserve"> sin </w:t>
      </w:r>
      <w:r>
        <w:rPr>
          <w:rFonts w:ascii="Arial" w:eastAsia="Calibri" w:hAnsi="Arial" w:cs="Arial"/>
        </w:rPr>
        <w:t>“</w:t>
      </w:r>
      <w:r w:rsidRPr="0091736C">
        <w:rPr>
          <w:rFonts w:ascii="Arial" w:eastAsia="Calibri" w:hAnsi="Arial" w:cs="Arial"/>
        </w:rPr>
        <w:t>liquidarse</w:t>
      </w:r>
      <w:r>
        <w:rPr>
          <w:rFonts w:ascii="Arial" w:eastAsia="Calibri" w:hAnsi="Arial" w:cs="Arial"/>
        </w:rPr>
        <w:t>”</w:t>
      </w:r>
      <w:r w:rsidRPr="0091736C">
        <w:rPr>
          <w:rFonts w:ascii="Arial" w:eastAsia="Calibri" w:hAnsi="Arial" w:cs="Arial"/>
        </w:rPr>
        <w:t xml:space="preserve"> para ser absorbidas por otra </w:t>
      </w:r>
      <w:r w:rsidRPr="0091736C">
        <w:rPr>
          <w:rFonts w:ascii="Arial" w:eastAsia="Calibri" w:hAnsi="Arial" w:cs="Arial"/>
        </w:rPr>
        <w:lastRenderedPageBreak/>
        <w:t>nuev</w:t>
      </w:r>
      <w:r>
        <w:rPr>
          <w:rFonts w:ascii="Arial" w:eastAsia="Calibri" w:hAnsi="Arial" w:cs="Arial"/>
        </w:rPr>
        <w:t>a,</w:t>
      </w:r>
      <w:r w:rsidRPr="0091736C">
        <w:rPr>
          <w:rFonts w:ascii="Arial" w:eastAsia="Calibri" w:hAnsi="Arial" w:cs="Arial"/>
        </w:rPr>
        <w:t xml:space="preserve"> iii) impropia: una sociedad se </w:t>
      </w:r>
      <w:r>
        <w:rPr>
          <w:rFonts w:ascii="Arial" w:eastAsia="Calibri" w:hAnsi="Arial" w:cs="Arial"/>
        </w:rPr>
        <w:t>“</w:t>
      </w:r>
      <w:r w:rsidRPr="0091736C">
        <w:rPr>
          <w:rFonts w:ascii="Arial" w:eastAsia="Calibri" w:hAnsi="Arial" w:cs="Arial"/>
        </w:rPr>
        <w:t>disuelve</w:t>
      </w:r>
      <w:r>
        <w:rPr>
          <w:rFonts w:ascii="Arial" w:eastAsia="Calibri" w:hAnsi="Arial" w:cs="Arial"/>
        </w:rPr>
        <w:t xml:space="preserve">” </w:t>
      </w:r>
      <w:r w:rsidRPr="0091736C">
        <w:rPr>
          <w:rFonts w:ascii="Arial" w:eastAsia="Calibri" w:hAnsi="Arial" w:cs="Arial"/>
        </w:rPr>
        <w:t xml:space="preserve">sin el propósito de realizar una fusión sino de </w:t>
      </w:r>
      <w:r>
        <w:rPr>
          <w:rFonts w:ascii="Arial" w:eastAsia="Calibri" w:hAnsi="Arial" w:cs="Arial"/>
        </w:rPr>
        <w:t>“</w:t>
      </w:r>
      <w:r w:rsidRPr="0091736C">
        <w:rPr>
          <w:rFonts w:ascii="Arial" w:eastAsia="Calibri" w:hAnsi="Arial" w:cs="Arial"/>
        </w:rPr>
        <w:t>liquidarse</w:t>
      </w:r>
      <w:r>
        <w:rPr>
          <w:rFonts w:ascii="Arial" w:eastAsia="Calibri" w:hAnsi="Arial" w:cs="Arial"/>
        </w:rPr>
        <w:t>”</w:t>
      </w:r>
      <w:r w:rsidRPr="0091736C">
        <w:rPr>
          <w:rFonts w:ascii="Arial" w:eastAsia="Calibri" w:hAnsi="Arial" w:cs="Arial"/>
        </w:rPr>
        <w:t>, y antes de la liquidación se toma la decisión de crear una socieda</w:t>
      </w:r>
      <w:r>
        <w:rPr>
          <w:rFonts w:ascii="Arial" w:eastAsia="Calibri" w:hAnsi="Arial" w:cs="Arial"/>
        </w:rPr>
        <w:t>d y,</w:t>
      </w:r>
      <w:r w:rsidRPr="0091736C">
        <w:rPr>
          <w:rFonts w:ascii="Arial" w:eastAsia="Calibri" w:hAnsi="Arial" w:cs="Arial"/>
        </w:rPr>
        <w:t xml:space="preserve"> iv) abreviada: solo aplica cuando una Sociedad por Acciones Simplificada (S.A.S.) pertenece a otra sociedad en más del 90% de sus acciones, y es posible que esa sociedad controlante absorba a la S.A.S, es decir, que ocurra una fusión por absorció</w:t>
      </w:r>
      <w:r>
        <w:rPr>
          <w:rFonts w:ascii="Arial" w:eastAsia="Calibri" w:hAnsi="Arial" w:cs="Arial"/>
        </w:rPr>
        <w:t>n. Por lo tanto, el interesado deberá dar aplicación a lo anteriormente explicado.</w:t>
      </w:r>
    </w:p>
    <w:p w14:paraId="797559CC" w14:textId="77777777" w:rsidR="005709B9" w:rsidRPr="00625547" w:rsidRDefault="005709B9" w:rsidP="005709B9">
      <w:pPr>
        <w:spacing w:line="276" w:lineRule="auto"/>
        <w:jc w:val="both"/>
        <w:rPr>
          <w:rFonts w:ascii="Arial" w:hAnsi="Arial" w:cs="Arial"/>
          <w:iCs/>
          <w:lang w:eastAsia="es-MX"/>
        </w:rPr>
      </w:pPr>
    </w:p>
    <w:p w14:paraId="2602DBC6" w14:textId="77777777" w:rsidR="005709B9" w:rsidRPr="00A51520" w:rsidRDefault="005709B9" w:rsidP="005709B9">
      <w:pPr>
        <w:widowControl w:val="0"/>
        <w:autoSpaceDE w:val="0"/>
        <w:autoSpaceDN w:val="0"/>
        <w:spacing w:before="120" w:line="276" w:lineRule="auto"/>
        <w:jc w:val="both"/>
        <w:rPr>
          <w:rFonts w:ascii="Arial" w:hAnsi="Arial" w:cs="Arial"/>
          <w:lang w:val="es-ES_tradnl" w:bidi="es-ES"/>
        </w:rPr>
      </w:pPr>
      <w:r w:rsidRPr="00A51520">
        <w:rPr>
          <w:rFonts w:ascii="Arial" w:hAnsi="Arial" w:cs="Arial"/>
          <w:color w:val="000000" w:themeColor="text1"/>
          <w:lang w:val="es-ES_tradnl"/>
        </w:rPr>
        <w:t>Este concepto tiene el alcance previsto en el artículo 28 del Código de Procedimiento Administrativo y de lo Contencioso Administrativo.</w:t>
      </w:r>
    </w:p>
    <w:p w14:paraId="56B60DB9" w14:textId="77777777" w:rsidR="005709B9" w:rsidRPr="00A51520" w:rsidRDefault="005709B9" w:rsidP="005709B9">
      <w:pPr>
        <w:spacing w:before="120" w:line="276" w:lineRule="auto"/>
        <w:jc w:val="both"/>
        <w:rPr>
          <w:rFonts w:ascii="Arial" w:hAnsi="Arial" w:cs="Arial"/>
          <w:color w:val="000000" w:themeColor="text1"/>
          <w:lang w:val="es-ES_tradnl"/>
        </w:rPr>
      </w:pPr>
    </w:p>
    <w:p w14:paraId="21396766" w14:textId="77777777" w:rsidR="005709B9" w:rsidRPr="006830FE" w:rsidRDefault="005709B9" w:rsidP="005709B9">
      <w:pPr>
        <w:spacing w:after="0" w:line="240" w:lineRule="auto"/>
        <w:rPr>
          <w:rFonts w:ascii="Arial" w:eastAsia="Calibri" w:hAnsi="Arial" w:cs="Arial"/>
          <w:bCs/>
          <w:lang w:val="es-MX"/>
        </w:rPr>
      </w:pPr>
      <w:r>
        <w:rPr>
          <w:lang w:val="es-ES_tradnl"/>
        </w:rPr>
        <w:t xml:space="preserve"> </w:t>
      </w:r>
      <w:r w:rsidRPr="006830FE">
        <w:rPr>
          <w:rFonts w:ascii="Arial" w:eastAsia="Calibri" w:hAnsi="Arial" w:cs="Arial"/>
          <w:bCs/>
          <w:lang w:val="es-MX"/>
        </w:rPr>
        <w:t>Atentamente,</w:t>
      </w:r>
    </w:p>
    <w:p w14:paraId="32406AD4" w14:textId="77777777" w:rsidR="005709B9" w:rsidRPr="006830FE" w:rsidRDefault="005709B9" w:rsidP="005709B9">
      <w:pPr>
        <w:spacing w:after="0" w:line="240" w:lineRule="auto"/>
        <w:rPr>
          <w:rFonts w:ascii="Arial" w:eastAsia="Calibri" w:hAnsi="Arial" w:cs="Arial"/>
          <w:bCs/>
          <w:lang w:val="es-MX"/>
        </w:rPr>
      </w:pPr>
    </w:p>
    <w:p w14:paraId="6C4F1863" w14:textId="77777777" w:rsidR="005709B9" w:rsidRPr="006830FE" w:rsidRDefault="005709B9" w:rsidP="005709B9">
      <w:pPr>
        <w:spacing w:after="0" w:line="240" w:lineRule="auto"/>
        <w:jc w:val="center"/>
        <w:rPr>
          <w:rFonts w:ascii="Arial" w:eastAsia="Times New Roman" w:hAnsi="Arial" w:cs="Arial"/>
          <w:sz w:val="18"/>
          <w:szCs w:val="20"/>
          <w:lang w:eastAsia="es-CO"/>
        </w:rPr>
      </w:pPr>
      <w:r>
        <w:rPr>
          <w:rFonts w:ascii="Arial" w:eastAsia="Calibri" w:hAnsi="Arial" w:cs="Arial"/>
          <w:b/>
          <w:bCs/>
          <w:noProof/>
          <w:color w:val="000000"/>
          <w:sz w:val="18"/>
          <w:szCs w:val="18"/>
          <w:shd w:val="clear" w:color="auto" w:fill="FFFFFF"/>
          <w:lang w:val="es-ES"/>
        </w:rPr>
        <w:drawing>
          <wp:inline distT="0" distB="0" distL="0" distR="0" wp14:anchorId="072C7495" wp14:editId="4F812636">
            <wp:extent cx="3152775" cy="1209675"/>
            <wp:effectExtent l="0" t="0" r="9525" b="9525"/>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r>
        <w:rPr>
          <w:rFonts w:ascii="Arial" w:hAnsi="Arial" w:cs="Arial"/>
          <w:color w:val="000000"/>
          <w:shd w:val="clear" w:color="auto" w:fill="FFFFFF"/>
        </w:rPr>
        <w:br/>
      </w:r>
      <w:r w:rsidRPr="006830FE">
        <w:rPr>
          <w:rFonts w:ascii="Arial" w:eastAsia="Calibri" w:hAnsi="Arial" w:cs="Arial"/>
          <w:b/>
          <w:bCs/>
          <w:color w:val="000000"/>
          <w:sz w:val="18"/>
          <w:szCs w:val="18"/>
          <w:shd w:val="clear" w:color="auto" w:fill="FFFFFF"/>
          <w:lang w:val="es-ES"/>
        </w:rPr>
        <w:br/>
      </w:r>
      <w:r w:rsidRPr="006830FE">
        <w:rPr>
          <w:rFonts w:ascii="Arial" w:eastAsia="Calibri" w:hAnsi="Arial" w:cs="Arial"/>
          <w:color w:val="000000"/>
          <w:shd w:val="clear" w:color="auto" w:fill="FFFFFF"/>
          <w:lang w:val="es-MX"/>
        </w:rPr>
        <w:br/>
      </w:r>
    </w:p>
    <w:p w14:paraId="316771D8" w14:textId="77777777" w:rsidR="005709B9" w:rsidRPr="000733A0" w:rsidRDefault="005709B9" w:rsidP="005709B9">
      <w:pPr>
        <w:spacing w:after="0" w:line="240" w:lineRule="auto"/>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5709B9" w:rsidRPr="00A44D1E" w14:paraId="3CC0FB87" w14:textId="77777777" w:rsidTr="00F52068">
        <w:trPr>
          <w:trHeight w:val="315"/>
        </w:trPr>
        <w:tc>
          <w:tcPr>
            <w:tcW w:w="812" w:type="dxa"/>
            <w:vAlign w:val="center"/>
            <w:hideMark/>
          </w:tcPr>
          <w:p w14:paraId="68874A40" w14:textId="77777777" w:rsidR="005709B9" w:rsidRPr="00A44D1E" w:rsidRDefault="005709B9" w:rsidP="00F52068">
            <w:pPr>
              <w:rPr>
                <w:rFonts w:ascii="Arial" w:eastAsia="Times New Roman" w:hAnsi="Arial" w:cs="Arial"/>
                <w:sz w:val="16"/>
                <w:szCs w:val="16"/>
                <w:lang w:eastAsia="es-ES_tradnl"/>
              </w:rPr>
            </w:pPr>
            <w:r w:rsidRPr="00A44D1E">
              <w:rPr>
                <w:rFonts w:ascii="Arial" w:eastAsia="Times New Roman" w:hAnsi="Arial" w:cs="Arial"/>
                <w:sz w:val="16"/>
                <w:szCs w:val="16"/>
                <w:lang w:eastAsia="es-ES_tradnl"/>
              </w:rPr>
              <w:t>Elaboró:</w:t>
            </w:r>
          </w:p>
        </w:tc>
        <w:tc>
          <w:tcPr>
            <w:tcW w:w="4291" w:type="dxa"/>
            <w:tcBorders>
              <w:top w:val="nil"/>
              <w:left w:val="nil"/>
              <w:bottom w:val="dotted" w:sz="4" w:space="0" w:color="7F7F7F" w:themeColor="text1" w:themeTint="80"/>
              <w:right w:val="nil"/>
            </w:tcBorders>
            <w:vAlign w:val="center"/>
            <w:hideMark/>
          </w:tcPr>
          <w:p w14:paraId="293870D6" w14:textId="77777777" w:rsidR="005709B9" w:rsidRPr="00A44D1E" w:rsidRDefault="005709B9" w:rsidP="00F52068">
            <w:pPr>
              <w:rPr>
                <w:rFonts w:ascii="Arial" w:eastAsia="Times New Roman" w:hAnsi="Arial" w:cs="Arial"/>
                <w:sz w:val="16"/>
                <w:szCs w:val="16"/>
                <w:lang w:val="es-ES_tradnl" w:eastAsia="es-ES_tradnl"/>
              </w:rPr>
            </w:pPr>
            <w:r w:rsidRPr="00A44D1E">
              <w:rPr>
                <w:rFonts w:ascii="Arial" w:eastAsia="Times New Roman" w:hAnsi="Arial" w:cs="Arial"/>
                <w:sz w:val="16"/>
                <w:szCs w:val="16"/>
                <w:lang w:val="es-ES_tradnl" w:eastAsia="es-ES_tradnl"/>
              </w:rPr>
              <w:t>Melissa Fernández Reinoso</w:t>
            </w:r>
          </w:p>
          <w:p w14:paraId="754D97AF" w14:textId="77777777" w:rsidR="005709B9" w:rsidRPr="00A44D1E" w:rsidRDefault="005709B9" w:rsidP="00F52068">
            <w:pPr>
              <w:rPr>
                <w:rFonts w:ascii="Arial" w:eastAsia="Times New Roman" w:hAnsi="Arial" w:cs="Arial"/>
                <w:sz w:val="16"/>
                <w:szCs w:val="16"/>
                <w:lang w:eastAsia="es-ES_tradnl"/>
              </w:rPr>
            </w:pPr>
            <w:r>
              <w:rPr>
                <w:rFonts w:ascii="Arial" w:eastAsia="Times New Roman" w:hAnsi="Arial" w:cs="Arial"/>
                <w:sz w:val="16"/>
                <w:szCs w:val="16"/>
                <w:lang w:val="es-ES_tradnl" w:eastAsia="es-ES_tradnl"/>
              </w:rPr>
              <w:t>Contratista</w:t>
            </w:r>
            <w:r w:rsidRPr="00A44D1E">
              <w:rPr>
                <w:rFonts w:ascii="Arial" w:eastAsia="Times New Roman" w:hAnsi="Arial" w:cs="Arial"/>
                <w:sz w:val="16"/>
                <w:szCs w:val="16"/>
                <w:lang w:val="es-ES_tradnl" w:eastAsia="es-ES_tradnl"/>
              </w:rPr>
              <w:t xml:space="preserve"> de la Subdirección de Gestión Contractual</w:t>
            </w:r>
          </w:p>
        </w:tc>
      </w:tr>
      <w:tr w:rsidR="005709B9" w:rsidRPr="00A44D1E" w14:paraId="5A8F7337" w14:textId="77777777" w:rsidTr="00F52068">
        <w:trPr>
          <w:trHeight w:val="330"/>
        </w:trPr>
        <w:tc>
          <w:tcPr>
            <w:tcW w:w="812" w:type="dxa"/>
            <w:vAlign w:val="center"/>
            <w:hideMark/>
          </w:tcPr>
          <w:p w14:paraId="527E33B2" w14:textId="77777777" w:rsidR="005709B9" w:rsidRPr="00A44D1E" w:rsidRDefault="005709B9" w:rsidP="00F52068">
            <w:pPr>
              <w:rPr>
                <w:rFonts w:ascii="Arial" w:eastAsia="Times New Roman" w:hAnsi="Arial" w:cs="Arial"/>
                <w:sz w:val="16"/>
                <w:szCs w:val="16"/>
                <w:lang w:eastAsia="es-ES_tradnl"/>
              </w:rPr>
            </w:pPr>
            <w:r w:rsidRPr="00A44D1E">
              <w:rPr>
                <w:rFonts w:ascii="Arial" w:eastAsia="Times New Roman" w:hAnsi="Arial" w:cs="Arial"/>
                <w:sz w:val="16"/>
                <w:szCs w:val="16"/>
                <w:lang w:eastAsia="es-ES_tradnl"/>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4E9222B5" w14:textId="77777777" w:rsidR="005709B9" w:rsidRPr="00A44D1E" w:rsidRDefault="005709B9" w:rsidP="00F52068">
            <w:pPr>
              <w:spacing w:line="276" w:lineRule="auto"/>
              <w:rPr>
                <w:rFonts w:ascii="Arial" w:eastAsia="Times New Roman" w:hAnsi="Arial" w:cs="Arial"/>
                <w:sz w:val="16"/>
                <w:szCs w:val="16"/>
                <w:lang w:val="es-ES_tradnl" w:eastAsia="es-ES"/>
              </w:rPr>
            </w:pPr>
            <w:r w:rsidRPr="00A44D1E">
              <w:rPr>
                <w:rFonts w:ascii="Arial" w:eastAsia="Times New Roman" w:hAnsi="Arial" w:cs="Arial"/>
                <w:sz w:val="16"/>
                <w:szCs w:val="16"/>
                <w:lang w:val="es-ES_tradnl" w:eastAsia="es-ES"/>
              </w:rPr>
              <w:t xml:space="preserve">Diana </w:t>
            </w:r>
            <w:r>
              <w:rPr>
                <w:rFonts w:ascii="Arial" w:eastAsia="Times New Roman" w:hAnsi="Arial" w:cs="Arial"/>
                <w:sz w:val="16"/>
                <w:szCs w:val="16"/>
                <w:lang w:val="es-ES_tradnl" w:eastAsia="es-ES"/>
              </w:rPr>
              <w:t xml:space="preserve">Lucia </w:t>
            </w:r>
            <w:r w:rsidRPr="00A44D1E">
              <w:rPr>
                <w:rFonts w:ascii="Arial" w:eastAsia="Times New Roman" w:hAnsi="Arial" w:cs="Arial"/>
                <w:sz w:val="16"/>
                <w:szCs w:val="16"/>
                <w:lang w:val="es-ES_tradnl" w:eastAsia="es-ES"/>
              </w:rPr>
              <w:t>Saavedra</w:t>
            </w:r>
            <w:r>
              <w:rPr>
                <w:rFonts w:ascii="Arial" w:eastAsia="Times New Roman" w:hAnsi="Arial" w:cs="Arial"/>
                <w:sz w:val="16"/>
                <w:szCs w:val="16"/>
                <w:lang w:val="es-ES_tradnl" w:eastAsia="es-ES"/>
              </w:rPr>
              <w:t xml:space="preserve"> Castañeda</w:t>
            </w:r>
            <w:r w:rsidRPr="00A44D1E">
              <w:rPr>
                <w:rFonts w:ascii="Arial" w:eastAsia="Times New Roman" w:hAnsi="Arial" w:cs="Arial"/>
                <w:sz w:val="16"/>
                <w:szCs w:val="16"/>
                <w:lang w:val="es-ES_tradnl" w:eastAsia="es-ES"/>
              </w:rPr>
              <w:t xml:space="preserve"> </w:t>
            </w:r>
          </w:p>
          <w:p w14:paraId="574A5AEF" w14:textId="77777777" w:rsidR="005709B9" w:rsidRPr="00A44D1E" w:rsidRDefault="005709B9" w:rsidP="00F52068">
            <w:pPr>
              <w:rPr>
                <w:rFonts w:ascii="Arial" w:eastAsia="Times New Roman" w:hAnsi="Arial" w:cs="Arial"/>
                <w:sz w:val="16"/>
                <w:szCs w:val="16"/>
                <w:lang w:eastAsia="es-ES_tradnl"/>
              </w:rPr>
            </w:pPr>
            <w:r w:rsidRPr="00A44D1E">
              <w:rPr>
                <w:rFonts w:ascii="Arial" w:eastAsia="Times New Roman" w:hAnsi="Arial" w:cs="Arial"/>
                <w:sz w:val="16"/>
                <w:szCs w:val="16"/>
                <w:lang w:val="es-ES_tradnl" w:eastAsia="es-ES"/>
              </w:rPr>
              <w:t>Contratista de la Subdirección de Gestión Contractual</w:t>
            </w:r>
          </w:p>
        </w:tc>
      </w:tr>
      <w:tr w:rsidR="005709B9" w:rsidRPr="00A44D1E" w14:paraId="6304958E" w14:textId="77777777" w:rsidTr="00F52068">
        <w:trPr>
          <w:trHeight w:val="300"/>
        </w:trPr>
        <w:tc>
          <w:tcPr>
            <w:tcW w:w="812" w:type="dxa"/>
            <w:vAlign w:val="center"/>
            <w:hideMark/>
          </w:tcPr>
          <w:p w14:paraId="4C43F081" w14:textId="77777777" w:rsidR="005709B9" w:rsidRPr="00A44D1E" w:rsidRDefault="005709B9" w:rsidP="00F52068">
            <w:pPr>
              <w:rPr>
                <w:rFonts w:ascii="Arial" w:eastAsia="Times New Roman" w:hAnsi="Arial" w:cs="Arial"/>
                <w:sz w:val="16"/>
                <w:szCs w:val="16"/>
                <w:lang w:eastAsia="es-ES_tradnl"/>
              </w:rPr>
            </w:pPr>
            <w:r w:rsidRPr="00A44D1E">
              <w:rPr>
                <w:rFonts w:ascii="Arial" w:eastAsia="Times New Roman" w:hAnsi="Arial" w:cs="Arial"/>
                <w:sz w:val="16"/>
                <w:szCs w:val="16"/>
                <w:lang w:eastAsia="es-ES_tradnl"/>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656E5170" w14:textId="77777777" w:rsidR="005709B9" w:rsidRPr="00A44D1E" w:rsidRDefault="005709B9" w:rsidP="00F52068">
            <w:pPr>
              <w:rPr>
                <w:rFonts w:ascii="Arial" w:eastAsia="Times New Roman" w:hAnsi="Arial" w:cs="Arial"/>
                <w:sz w:val="16"/>
                <w:szCs w:val="16"/>
                <w:lang w:eastAsia="es-ES_tradnl"/>
              </w:rPr>
            </w:pPr>
            <w:r w:rsidRPr="00A44D1E">
              <w:rPr>
                <w:rFonts w:ascii="Arial" w:eastAsia="Times New Roman" w:hAnsi="Arial" w:cs="Arial"/>
                <w:sz w:val="16"/>
                <w:szCs w:val="16"/>
                <w:lang w:eastAsia="es-ES_tradnl"/>
              </w:rPr>
              <w:t>Nohelia del Carmen Zawady Palacio</w:t>
            </w:r>
          </w:p>
          <w:p w14:paraId="543727F4" w14:textId="77777777" w:rsidR="005709B9" w:rsidRPr="00A44D1E" w:rsidRDefault="005709B9" w:rsidP="00F52068">
            <w:pPr>
              <w:rPr>
                <w:rFonts w:ascii="Arial" w:eastAsia="Times New Roman" w:hAnsi="Arial" w:cs="Arial"/>
                <w:sz w:val="16"/>
                <w:szCs w:val="16"/>
                <w:lang w:eastAsia="es-ES_tradnl"/>
              </w:rPr>
            </w:pPr>
            <w:r w:rsidRPr="00A44D1E">
              <w:rPr>
                <w:rFonts w:ascii="Arial" w:eastAsia="Times New Roman" w:hAnsi="Arial" w:cs="Arial"/>
                <w:sz w:val="16"/>
                <w:szCs w:val="16"/>
                <w:lang w:eastAsia="es-ES_tradnl"/>
              </w:rPr>
              <w:t xml:space="preserve">Subdirectora de Gestión Contractual </w:t>
            </w:r>
          </w:p>
        </w:tc>
      </w:tr>
    </w:tbl>
    <w:p w14:paraId="41EA413A" w14:textId="77777777" w:rsidR="005709B9" w:rsidRPr="00A44D1E" w:rsidRDefault="005709B9" w:rsidP="005709B9">
      <w:pPr>
        <w:spacing w:after="0" w:line="240" w:lineRule="auto"/>
        <w:rPr>
          <w:rFonts w:ascii="Arial" w:eastAsia="Times New Roman" w:hAnsi="Arial" w:cs="Arial"/>
          <w:sz w:val="24"/>
          <w:szCs w:val="24"/>
          <w:lang w:val="es-MX" w:eastAsia="es-ES_tradnl"/>
        </w:rPr>
      </w:pPr>
    </w:p>
    <w:p w14:paraId="52D52356" w14:textId="77777777" w:rsidR="005709B9" w:rsidRPr="00A44D1E" w:rsidRDefault="005709B9" w:rsidP="005709B9">
      <w:pPr>
        <w:spacing w:after="0" w:line="240" w:lineRule="auto"/>
        <w:rPr>
          <w:rFonts w:ascii="Geomanist Light" w:eastAsia="Times New Roman" w:hAnsi="Geomanist Light" w:cs="Times New Roman"/>
          <w:sz w:val="24"/>
          <w:szCs w:val="24"/>
          <w:lang w:val="es-MX" w:eastAsia="en-GB"/>
        </w:rPr>
      </w:pPr>
    </w:p>
    <w:p w14:paraId="55B98F34" w14:textId="77777777" w:rsidR="005709B9" w:rsidRPr="00A44D1E" w:rsidRDefault="005709B9" w:rsidP="005709B9">
      <w:pPr>
        <w:spacing w:after="0" w:line="240" w:lineRule="auto"/>
        <w:jc w:val="both"/>
        <w:rPr>
          <w:rFonts w:ascii="Geomanist Light" w:eastAsia="Times New Roman" w:hAnsi="Geomanist Light" w:cs="Arial"/>
          <w:color w:val="000000" w:themeColor="text1"/>
          <w:sz w:val="24"/>
          <w:szCs w:val="24"/>
          <w:lang w:val="es-ES_tradnl" w:eastAsia="es-ES_tradnl"/>
        </w:rPr>
      </w:pPr>
    </w:p>
    <w:p w14:paraId="4AB7AC7C" w14:textId="77777777" w:rsidR="005709B9" w:rsidRPr="00FC36CE" w:rsidRDefault="005709B9" w:rsidP="005709B9">
      <w:pPr>
        <w:rPr>
          <w:lang w:val="es-ES_tradnl"/>
        </w:rPr>
      </w:pPr>
    </w:p>
    <w:p w14:paraId="0360EEC9" w14:textId="77777777" w:rsidR="005709B9" w:rsidRPr="00612797" w:rsidRDefault="005709B9" w:rsidP="005709B9">
      <w:pPr>
        <w:rPr>
          <w:lang w:val="es-ES_tradnl"/>
        </w:rPr>
      </w:pPr>
    </w:p>
    <w:p w14:paraId="342484B5" w14:textId="77777777" w:rsidR="005709B9" w:rsidRPr="005709B9" w:rsidRDefault="005709B9">
      <w:pPr>
        <w:rPr>
          <w:lang w:val="es-ES_tradnl"/>
        </w:rPr>
      </w:pPr>
    </w:p>
    <w:sectPr w:rsidR="005709B9" w:rsidRPr="005709B9"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9CCED" w14:textId="77777777" w:rsidR="00272A14" w:rsidRDefault="00272A14" w:rsidP="005709B9">
      <w:pPr>
        <w:spacing w:after="0" w:line="240" w:lineRule="auto"/>
      </w:pPr>
      <w:r>
        <w:separator/>
      </w:r>
    </w:p>
  </w:endnote>
  <w:endnote w:type="continuationSeparator" w:id="0">
    <w:p w14:paraId="7AEA9785" w14:textId="77777777" w:rsidR="00272A14" w:rsidRDefault="00272A14" w:rsidP="005709B9">
      <w:pPr>
        <w:spacing w:after="0" w:line="240" w:lineRule="auto"/>
      </w:pPr>
      <w:r>
        <w:continuationSeparator/>
      </w:r>
    </w:p>
  </w:endnote>
  <w:endnote w:type="continuationNotice" w:id="1">
    <w:p w14:paraId="5D101BC4" w14:textId="77777777" w:rsidR="00602EAF" w:rsidRDefault="00602E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charset w:val="00"/>
    <w:family w:val="modern"/>
    <w:pitch w:val="variable"/>
    <w:sig w:usb0="A000002F" w:usb1="1000004A" w:usb2="00000000" w:usb3="00000000" w:csb0="00000193"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2760" w14:textId="77777777" w:rsidR="004A1847" w:rsidRDefault="008822E4" w:rsidP="008614E5">
    <w:pPr>
      <w:pStyle w:val="Piedepgina"/>
    </w:pPr>
    <w:r>
      <w:rPr>
        <w:noProof/>
      </w:rPr>
      <w:drawing>
        <wp:inline distT="0" distB="0" distL="0" distR="0" wp14:anchorId="59A787C7" wp14:editId="0B10C6F2">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7F04C35A"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0379931A" w14:textId="77777777" w:rsidR="006219F8" w:rsidRPr="00080DA3" w:rsidRDefault="008822E4"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A0CFE6C" w14:textId="77777777" w:rsidR="006219F8" w:rsidRPr="00080DA3" w:rsidRDefault="008822E4" w:rsidP="00A07532">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0F8954FF" w14:textId="77777777" w:rsidR="006219F8" w:rsidRPr="00080DA3" w:rsidRDefault="008822E4"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228E735C" w14:textId="77777777" w:rsidR="006219F8" w:rsidRPr="004B6B0E" w:rsidRDefault="008822E4"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DEC5727" w14:textId="77777777" w:rsidR="006219F8" w:rsidRPr="00080DA3" w:rsidRDefault="008822E4"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ED85EFC" w14:textId="77777777" w:rsidR="00A07532" w:rsidRPr="00080DA3" w:rsidRDefault="008822E4" w:rsidP="00A07532">
          <w:pPr>
            <w:pStyle w:val="Piedepgina"/>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DC0F85C" w14:textId="77777777" w:rsidR="006219F8" w:rsidRPr="00080DA3" w:rsidRDefault="008822E4"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 xml:space="preserve">PAGE  \* </w:instrText>
          </w:r>
          <w:r w:rsidRPr="00080DA3">
            <w:rPr>
              <w:rFonts w:ascii="Geomanist Light" w:hAnsi="Geomanist Light"/>
              <w:b/>
              <w:bCs/>
              <w:sz w:val="18"/>
              <w:szCs w:val="18"/>
            </w:rPr>
            <w:instrText>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C73D0B" w14:textId="77777777" w:rsidR="006219F8" w:rsidRDefault="008822E4"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20734" w14:textId="77777777" w:rsidR="00272A14" w:rsidRDefault="00272A14" w:rsidP="005709B9">
      <w:pPr>
        <w:spacing w:after="0" w:line="240" w:lineRule="auto"/>
      </w:pPr>
      <w:r>
        <w:separator/>
      </w:r>
    </w:p>
  </w:footnote>
  <w:footnote w:type="continuationSeparator" w:id="0">
    <w:p w14:paraId="375DFC5D" w14:textId="77777777" w:rsidR="00272A14" w:rsidRDefault="00272A14" w:rsidP="005709B9">
      <w:pPr>
        <w:spacing w:after="0" w:line="240" w:lineRule="auto"/>
      </w:pPr>
      <w:r>
        <w:continuationSeparator/>
      </w:r>
    </w:p>
  </w:footnote>
  <w:footnote w:type="continuationNotice" w:id="1">
    <w:p w14:paraId="71B1CE65" w14:textId="77777777" w:rsidR="00602EAF" w:rsidRDefault="00602EAF">
      <w:pPr>
        <w:spacing w:after="0" w:line="240" w:lineRule="auto"/>
      </w:pPr>
    </w:p>
  </w:footnote>
  <w:footnote w:id="2">
    <w:p w14:paraId="28A3B44B" w14:textId="77777777" w:rsidR="005709B9" w:rsidRDefault="005709B9" w:rsidP="005709B9">
      <w:pPr>
        <w:pStyle w:val="Textonotapie"/>
        <w:ind w:firstLine="707"/>
        <w:jc w:val="both"/>
        <w:rPr>
          <w:rFonts w:ascii="Arial" w:hAnsi="Arial" w:cs="Arial"/>
          <w:sz w:val="18"/>
          <w:szCs w:val="18"/>
          <w:shd w:val="clear" w:color="auto" w:fill="E6E6E6"/>
        </w:rPr>
      </w:pPr>
      <w:r w:rsidRPr="006F3DC6">
        <w:rPr>
          <w:rStyle w:val="Refdenotaalpie"/>
          <w:rFonts w:ascii="Arial" w:hAnsi="Arial" w:cs="Arial"/>
          <w:sz w:val="18"/>
          <w:szCs w:val="18"/>
        </w:rPr>
        <w:footnoteRef/>
      </w:r>
      <w:r w:rsidRPr="006F3DC6">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6F3DC6">
          <w:rPr>
            <w:rStyle w:val="Hipervnculo"/>
            <w:rFonts w:ascii="Arial" w:hAnsi="Arial" w:cs="Arial"/>
            <w:sz w:val="18"/>
            <w:szCs w:val="18"/>
          </w:rPr>
          <w:t>https://relatoria.colombiacompra.gov.co/busqueda/conceptos</w:t>
        </w:r>
      </w:hyperlink>
      <w:r w:rsidRPr="006F3DC6">
        <w:rPr>
          <w:rStyle w:val="Hipervnculo"/>
          <w:rFonts w:ascii="Arial" w:hAnsi="Arial" w:cs="Arial"/>
          <w:sz w:val="18"/>
          <w:szCs w:val="18"/>
        </w:rPr>
        <w:t xml:space="preserve">. </w:t>
      </w:r>
      <w:r w:rsidRPr="006F3DC6">
        <w:rPr>
          <w:rFonts w:ascii="Arial" w:hAnsi="Arial" w:cs="Arial"/>
          <w:sz w:val="18"/>
          <w:szCs w:val="18"/>
          <w:shd w:val="clear" w:color="auto" w:fill="E6E6E6"/>
        </w:rPr>
        <w:t xml:space="preserve"> </w:t>
      </w:r>
    </w:p>
    <w:p w14:paraId="2B487072" w14:textId="77777777" w:rsidR="005709B9" w:rsidRPr="006F3DC6" w:rsidRDefault="005709B9" w:rsidP="005709B9">
      <w:pPr>
        <w:pStyle w:val="Textonotapie"/>
        <w:ind w:firstLine="707"/>
        <w:jc w:val="both"/>
        <w:rPr>
          <w:rFonts w:ascii="Arial" w:hAnsi="Arial" w:cs="Arial"/>
          <w:sz w:val="18"/>
          <w:szCs w:val="18"/>
        </w:rPr>
      </w:pPr>
    </w:p>
  </w:footnote>
  <w:footnote w:id="3">
    <w:p w14:paraId="150E9F08" w14:textId="77777777" w:rsidR="005709B9" w:rsidRPr="00EE5B62" w:rsidRDefault="005709B9" w:rsidP="005709B9">
      <w:pPr>
        <w:pStyle w:val="Textonotapie"/>
        <w:ind w:firstLine="708"/>
        <w:jc w:val="both"/>
        <w:rPr>
          <w:rFonts w:ascii="Arial" w:hAnsi="Arial" w:cs="Arial"/>
          <w:sz w:val="14"/>
          <w:szCs w:val="14"/>
        </w:rPr>
      </w:pPr>
      <w:r w:rsidRPr="00EE5B62">
        <w:rPr>
          <w:rStyle w:val="Refdenotaalpie"/>
          <w:rFonts w:ascii="Arial" w:hAnsi="Arial" w:cs="Arial"/>
          <w:sz w:val="14"/>
          <w:szCs w:val="14"/>
        </w:rPr>
        <w:footnoteRef/>
      </w:r>
      <w:r w:rsidRPr="00EE5B62">
        <w:rPr>
          <w:rFonts w:ascii="Arial" w:hAnsi="Arial" w:cs="Arial"/>
          <w:sz w:val="14"/>
          <w:szCs w:val="14"/>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6CF7B2AC" w14:textId="77777777" w:rsidR="005709B9" w:rsidRPr="00EE5B62" w:rsidRDefault="005709B9" w:rsidP="005709B9">
      <w:pPr>
        <w:pStyle w:val="Textonotapie"/>
        <w:ind w:firstLine="708"/>
        <w:jc w:val="both"/>
        <w:rPr>
          <w:rFonts w:ascii="Arial" w:hAnsi="Arial" w:cs="Arial"/>
          <w:sz w:val="14"/>
          <w:szCs w:val="14"/>
        </w:rPr>
      </w:pPr>
      <w:r w:rsidRPr="00EE5B62">
        <w:rPr>
          <w:rFonts w:ascii="Arial" w:hAnsi="Arial" w:cs="Arial"/>
          <w:sz w:val="14"/>
          <w:szCs w:val="14"/>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758E563C" w14:textId="77777777" w:rsidR="005709B9" w:rsidRPr="00EE5B62" w:rsidRDefault="005709B9" w:rsidP="005709B9">
      <w:pPr>
        <w:pStyle w:val="Textonotapie"/>
        <w:jc w:val="both"/>
        <w:rPr>
          <w:rFonts w:ascii="Arial" w:hAnsi="Arial" w:cs="Arial"/>
          <w:sz w:val="14"/>
          <w:szCs w:val="14"/>
          <w:lang w:val="es-ES"/>
        </w:rPr>
      </w:pPr>
    </w:p>
  </w:footnote>
  <w:footnote w:id="4">
    <w:p w14:paraId="708F2F69" w14:textId="77777777" w:rsidR="005709B9" w:rsidRPr="00EE5B62" w:rsidRDefault="005709B9" w:rsidP="005709B9">
      <w:pPr>
        <w:pStyle w:val="Textonotapie"/>
        <w:ind w:firstLine="708"/>
        <w:jc w:val="both"/>
        <w:rPr>
          <w:rFonts w:ascii="Arial" w:hAnsi="Arial" w:cs="Arial"/>
          <w:sz w:val="14"/>
          <w:szCs w:val="14"/>
        </w:rPr>
      </w:pPr>
      <w:r w:rsidRPr="00EE5B62">
        <w:rPr>
          <w:rStyle w:val="Refdenotaalpie"/>
          <w:rFonts w:ascii="Arial" w:hAnsi="Arial" w:cs="Arial"/>
          <w:sz w:val="14"/>
          <w:szCs w:val="14"/>
        </w:rPr>
        <w:footnoteRef/>
      </w:r>
      <w:r w:rsidRPr="00EE5B62">
        <w:rPr>
          <w:rFonts w:ascii="Arial" w:hAnsi="Arial" w:cs="Arial"/>
          <w:sz w:val="14"/>
          <w:szCs w:val="14"/>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401AB379" w14:textId="77777777" w:rsidR="005709B9" w:rsidRPr="00EE5B62" w:rsidRDefault="005709B9" w:rsidP="005709B9">
      <w:pPr>
        <w:pStyle w:val="Textonotapie"/>
        <w:ind w:firstLine="708"/>
        <w:jc w:val="both"/>
        <w:rPr>
          <w:rFonts w:ascii="Arial" w:hAnsi="Arial" w:cs="Arial"/>
          <w:sz w:val="14"/>
          <w:szCs w:val="14"/>
          <w:lang w:val="es-ES"/>
        </w:rPr>
      </w:pPr>
    </w:p>
  </w:footnote>
  <w:footnote w:id="5">
    <w:p w14:paraId="5B640B30" w14:textId="77777777" w:rsidR="005709B9" w:rsidRPr="00EE5B62" w:rsidRDefault="005709B9" w:rsidP="005709B9">
      <w:pPr>
        <w:pStyle w:val="Textonotapie"/>
        <w:ind w:firstLine="708"/>
        <w:jc w:val="both"/>
        <w:rPr>
          <w:rFonts w:ascii="Arial" w:hAnsi="Arial" w:cs="Arial"/>
          <w:sz w:val="14"/>
          <w:szCs w:val="14"/>
        </w:rPr>
      </w:pPr>
      <w:r w:rsidRPr="00EE5B62">
        <w:rPr>
          <w:rStyle w:val="Refdenotaalpie"/>
          <w:rFonts w:ascii="Arial" w:hAnsi="Arial" w:cs="Arial"/>
          <w:sz w:val="14"/>
          <w:szCs w:val="14"/>
        </w:rPr>
        <w:footnoteRef/>
      </w:r>
      <w:r w:rsidRPr="00EE5B62">
        <w:rPr>
          <w:rFonts w:ascii="Arial" w:hAnsi="Arial" w:cs="Arial"/>
          <w:sz w:val="14"/>
          <w:szCs w:val="14"/>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280E0F4C" w14:textId="77777777" w:rsidR="005709B9" w:rsidRPr="00EE5B62" w:rsidRDefault="005709B9" w:rsidP="005709B9">
      <w:pPr>
        <w:pStyle w:val="Textonotapie"/>
        <w:ind w:firstLine="708"/>
        <w:jc w:val="both"/>
        <w:rPr>
          <w:rFonts w:ascii="Arial" w:hAnsi="Arial" w:cs="Arial"/>
          <w:sz w:val="14"/>
          <w:szCs w:val="14"/>
        </w:rPr>
      </w:pPr>
      <w:r w:rsidRPr="00EE5B62">
        <w:rPr>
          <w:rFonts w:ascii="Arial" w:hAnsi="Arial" w:cs="Arial"/>
          <w:sz w:val="14"/>
          <w:szCs w:val="14"/>
        </w:rPr>
        <w:t>»1. Experiencia – Los contratos celebrados por el interesado para cada uno de los bienes, obras y servicios que ofrecerá a las Entidades Estatales, identificados con el Clasificador de Bienes y Servicios en el tercer nivel y su valor expresado en SMMLV.</w:t>
      </w:r>
    </w:p>
    <w:p w14:paraId="3E6DAECD" w14:textId="77777777" w:rsidR="005709B9" w:rsidRPr="00EE5B62" w:rsidRDefault="005709B9" w:rsidP="005709B9">
      <w:pPr>
        <w:pStyle w:val="Textonotapie"/>
        <w:ind w:firstLine="708"/>
        <w:jc w:val="both"/>
        <w:rPr>
          <w:rFonts w:ascii="Arial" w:hAnsi="Arial" w:cs="Arial"/>
          <w:sz w:val="14"/>
          <w:szCs w:val="14"/>
        </w:rPr>
      </w:pPr>
      <w:r w:rsidRPr="00EE5B62">
        <w:rPr>
          <w:rFonts w:ascii="Arial" w:hAnsi="Arial" w:cs="Arial"/>
          <w:sz w:val="14"/>
          <w:szCs w:val="14"/>
        </w:rPr>
        <w:t>[...]».</w:t>
      </w:r>
    </w:p>
    <w:p w14:paraId="10D7C04C" w14:textId="77777777" w:rsidR="005709B9" w:rsidRPr="00EE5B62" w:rsidRDefault="005709B9" w:rsidP="005709B9">
      <w:pPr>
        <w:pStyle w:val="Textonotapie"/>
        <w:ind w:firstLine="708"/>
        <w:jc w:val="both"/>
        <w:rPr>
          <w:rFonts w:ascii="Arial" w:hAnsi="Arial" w:cs="Arial"/>
          <w:sz w:val="14"/>
          <w:szCs w:val="14"/>
          <w:lang w:val="es-ES"/>
        </w:rPr>
      </w:pPr>
    </w:p>
  </w:footnote>
  <w:footnote w:id="6">
    <w:p w14:paraId="3FF8E493" w14:textId="77777777" w:rsidR="005709B9" w:rsidRPr="00EE5B62" w:rsidRDefault="005709B9" w:rsidP="005709B9">
      <w:pPr>
        <w:pStyle w:val="Textonotapie"/>
        <w:ind w:firstLine="708"/>
        <w:jc w:val="both"/>
        <w:rPr>
          <w:rFonts w:ascii="Arial" w:hAnsi="Arial" w:cs="Arial"/>
          <w:sz w:val="14"/>
          <w:szCs w:val="14"/>
        </w:rPr>
      </w:pPr>
      <w:r w:rsidRPr="00EE5B62">
        <w:rPr>
          <w:rStyle w:val="Refdenotaalpie"/>
          <w:rFonts w:ascii="Arial" w:hAnsi="Arial" w:cs="Arial"/>
          <w:sz w:val="14"/>
          <w:szCs w:val="14"/>
        </w:rPr>
        <w:footnoteRef/>
      </w:r>
      <w:r w:rsidRPr="00EE5B62">
        <w:rPr>
          <w:rFonts w:ascii="Arial" w:hAnsi="Arial" w:cs="Arial"/>
          <w:sz w:val="14"/>
          <w:szCs w:val="14"/>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A65A163" w14:textId="77777777" w:rsidR="005709B9" w:rsidRPr="00EE5B62" w:rsidRDefault="005709B9" w:rsidP="005709B9">
      <w:pPr>
        <w:pStyle w:val="Textonotapie"/>
        <w:ind w:firstLine="708"/>
        <w:jc w:val="both"/>
        <w:rPr>
          <w:rFonts w:ascii="Arial" w:hAnsi="Arial" w:cs="Arial"/>
          <w:sz w:val="14"/>
          <w:szCs w:val="14"/>
        </w:rPr>
      </w:pPr>
      <w:r w:rsidRPr="00EE5B62">
        <w:rPr>
          <w:rFonts w:ascii="Arial" w:hAnsi="Arial" w:cs="Arial"/>
          <w:sz w:val="14"/>
          <w:szCs w:val="14"/>
        </w:rPr>
        <w:t>[...]</w:t>
      </w:r>
    </w:p>
    <w:p w14:paraId="37ED1F78" w14:textId="77777777" w:rsidR="005709B9" w:rsidRPr="00EE5B62" w:rsidRDefault="005709B9" w:rsidP="005709B9">
      <w:pPr>
        <w:pStyle w:val="Textonotapie"/>
        <w:ind w:firstLine="708"/>
        <w:jc w:val="both"/>
        <w:rPr>
          <w:rFonts w:ascii="Arial" w:hAnsi="Arial" w:cs="Arial"/>
          <w:sz w:val="14"/>
          <w:szCs w:val="14"/>
        </w:rPr>
      </w:pPr>
      <w:r w:rsidRPr="00EE5B62">
        <w:rPr>
          <w:rFonts w:ascii="Arial" w:hAnsi="Arial" w:cs="Arial"/>
          <w:sz w:val="14"/>
          <w:szCs w:val="14"/>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1EDD0388" w14:textId="77777777" w:rsidR="005709B9" w:rsidRPr="00EE5B62" w:rsidRDefault="005709B9" w:rsidP="005709B9">
      <w:pPr>
        <w:pStyle w:val="Textonotapie"/>
        <w:ind w:firstLine="708"/>
        <w:jc w:val="both"/>
        <w:rPr>
          <w:rFonts w:ascii="Arial" w:hAnsi="Arial" w:cs="Arial"/>
          <w:sz w:val="14"/>
          <w:szCs w:val="14"/>
        </w:rPr>
      </w:pPr>
      <w:r w:rsidRPr="00EE5B62">
        <w:rPr>
          <w:rFonts w:ascii="Arial" w:hAnsi="Arial" w:cs="Arial"/>
          <w:sz w:val="14"/>
          <w:szCs w:val="14"/>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1FDD3015" w14:textId="77777777" w:rsidR="005709B9" w:rsidRPr="00EE5B62" w:rsidRDefault="005709B9" w:rsidP="005709B9">
      <w:pPr>
        <w:pStyle w:val="Textonotapie"/>
        <w:jc w:val="both"/>
        <w:rPr>
          <w:rFonts w:ascii="Arial" w:hAnsi="Arial" w:cs="Arial"/>
          <w:sz w:val="14"/>
          <w:szCs w:val="14"/>
          <w:lang w:val="es-ES"/>
        </w:rPr>
      </w:pPr>
    </w:p>
  </w:footnote>
  <w:footnote w:id="7">
    <w:p w14:paraId="038A4789" w14:textId="77777777" w:rsidR="005709B9" w:rsidRPr="00EE5B62" w:rsidRDefault="005709B9" w:rsidP="005709B9">
      <w:pPr>
        <w:pStyle w:val="Textonotapie"/>
        <w:ind w:firstLine="708"/>
        <w:jc w:val="both"/>
        <w:rPr>
          <w:rFonts w:ascii="Arial" w:hAnsi="Arial" w:cs="Arial"/>
          <w:sz w:val="14"/>
          <w:szCs w:val="14"/>
        </w:rPr>
      </w:pPr>
      <w:r w:rsidRPr="00EE5B62">
        <w:rPr>
          <w:rStyle w:val="Refdenotaalpie"/>
          <w:rFonts w:ascii="Arial" w:hAnsi="Arial" w:cs="Arial"/>
          <w:sz w:val="14"/>
          <w:szCs w:val="14"/>
        </w:rPr>
        <w:footnoteRef/>
      </w:r>
      <w:r w:rsidRPr="00EE5B62">
        <w:rPr>
          <w:rFonts w:ascii="Arial" w:hAnsi="Arial" w:cs="Arial"/>
          <w:sz w:val="14"/>
          <w:szCs w:val="14"/>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6AE70532" w14:textId="77777777" w:rsidR="005709B9" w:rsidRPr="00EE5B62" w:rsidRDefault="005709B9" w:rsidP="005709B9">
      <w:pPr>
        <w:pStyle w:val="Textonotapie"/>
        <w:ind w:firstLine="708"/>
        <w:jc w:val="both"/>
        <w:rPr>
          <w:rFonts w:ascii="Arial" w:hAnsi="Arial" w:cs="Arial"/>
          <w:sz w:val="14"/>
          <w:szCs w:val="14"/>
        </w:rPr>
      </w:pPr>
      <w:r w:rsidRPr="00EE5B62">
        <w:rPr>
          <w:rFonts w:ascii="Arial" w:hAnsi="Arial" w:cs="Arial"/>
          <w:sz w:val="14"/>
          <w:szCs w:val="14"/>
        </w:rPr>
        <w:t>»1.    Si es una persona natural:</w:t>
      </w:r>
    </w:p>
    <w:p w14:paraId="3BBF325F" w14:textId="77777777" w:rsidR="005709B9" w:rsidRPr="00EE5B62" w:rsidRDefault="005709B9" w:rsidP="005709B9">
      <w:pPr>
        <w:pStyle w:val="Textonotapie"/>
        <w:ind w:firstLine="708"/>
        <w:jc w:val="both"/>
        <w:rPr>
          <w:rFonts w:ascii="Arial" w:hAnsi="Arial" w:cs="Arial"/>
          <w:sz w:val="14"/>
          <w:szCs w:val="14"/>
        </w:rPr>
      </w:pPr>
      <w:r w:rsidRPr="00EE5B62">
        <w:rPr>
          <w:rFonts w:ascii="Arial" w:hAnsi="Arial" w:cs="Arial"/>
          <w:sz w:val="14"/>
          <w:szCs w:val="14"/>
        </w:rPr>
        <w:t>»1.1. Bienes, obras y servicios que ofrecerá a las Entidades Estatales, identificados con el Clasificador de Bienes y Servicios en el tercer nivel.</w:t>
      </w:r>
    </w:p>
    <w:p w14:paraId="30FC2CDF" w14:textId="77777777" w:rsidR="005709B9" w:rsidRPr="00EE5B62" w:rsidRDefault="005709B9" w:rsidP="005709B9">
      <w:pPr>
        <w:pStyle w:val="Textonotapie"/>
        <w:ind w:firstLine="708"/>
        <w:jc w:val="both"/>
        <w:rPr>
          <w:rFonts w:ascii="Arial" w:hAnsi="Arial" w:cs="Arial"/>
          <w:sz w:val="14"/>
          <w:szCs w:val="14"/>
        </w:rPr>
      </w:pPr>
      <w:r w:rsidRPr="00EE5B62">
        <w:rPr>
          <w:rFonts w:ascii="Arial" w:hAnsi="Arial" w:cs="Arial"/>
          <w:sz w:val="14"/>
          <w:szCs w:val="14"/>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55522FFE" w14:textId="77777777" w:rsidR="005709B9" w:rsidRPr="00EE5B62" w:rsidRDefault="005709B9" w:rsidP="005709B9">
      <w:pPr>
        <w:pStyle w:val="Textonotapie"/>
        <w:ind w:firstLine="708"/>
        <w:jc w:val="both"/>
        <w:rPr>
          <w:rFonts w:ascii="Arial" w:hAnsi="Arial" w:cs="Arial"/>
          <w:sz w:val="14"/>
          <w:szCs w:val="14"/>
          <w:lang w:val="es-ES"/>
        </w:rPr>
      </w:pPr>
    </w:p>
  </w:footnote>
  <w:footnote w:id="8">
    <w:p w14:paraId="4D07F9F7" w14:textId="77777777" w:rsidR="005709B9" w:rsidRPr="00EE5B62" w:rsidRDefault="005709B9" w:rsidP="005709B9">
      <w:pPr>
        <w:pStyle w:val="Textonotapie"/>
        <w:ind w:firstLine="709"/>
        <w:jc w:val="both"/>
        <w:rPr>
          <w:rFonts w:ascii="Arial" w:hAnsi="Arial" w:cs="Arial"/>
          <w:sz w:val="14"/>
          <w:szCs w:val="14"/>
        </w:rPr>
      </w:pPr>
      <w:r w:rsidRPr="00EE5B62">
        <w:rPr>
          <w:rStyle w:val="Refdenotaalpie"/>
          <w:sz w:val="14"/>
          <w:szCs w:val="14"/>
        </w:rPr>
        <w:footnoteRef/>
      </w:r>
      <w:r w:rsidRPr="00EE5B62">
        <w:rPr>
          <w:sz w:val="14"/>
          <w:szCs w:val="14"/>
        </w:rPr>
        <w:t xml:space="preserve"> </w:t>
      </w:r>
      <w:bookmarkStart w:id="5" w:name="_Hlk110954603"/>
      <w:r w:rsidRPr="00EE5B62">
        <w:rPr>
          <w:rFonts w:ascii="Arial" w:hAnsi="Arial" w:cs="Arial"/>
          <w:sz w:val="14"/>
          <w:szCs w:val="14"/>
        </w:rPr>
        <w:t xml:space="preserve">La versión actualizada puede ser consultada en: </w:t>
      </w:r>
      <w:hyperlink r:id="rId2" w:history="1">
        <w:r w:rsidRPr="00EE5B62">
          <w:rPr>
            <w:rStyle w:val="Hipervnculo"/>
            <w:rFonts w:ascii="Arial" w:hAnsi="Arial" w:cs="Arial"/>
            <w:sz w:val="14"/>
            <w:szCs w:val="14"/>
          </w:rPr>
          <w:t>https://www.colombiacompra.gov.co/sites/cce_public/files/files_2020/cce-eicp-ma-04._manual_requisitos_habilitantes_v.02.pdf</w:t>
        </w:r>
      </w:hyperlink>
      <w:r w:rsidRPr="00EE5B62">
        <w:rPr>
          <w:rFonts w:ascii="Arial" w:hAnsi="Arial" w:cs="Arial"/>
          <w:sz w:val="14"/>
          <w:szCs w:val="14"/>
          <w:u w:val="single"/>
        </w:rPr>
        <w:t>.</w:t>
      </w:r>
    </w:p>
    <w:bookmarkEnd w:id="5"/>
    <w:p w14:paraId="460D58A3" w14:textId="77777777" w:rsidR="005709B9" w:rsidRPr="00EE5B62" w:rsidRDefault="005709B9" w:rsidP="005709B9">
      <w:pPr>
        <w:pStyle w:val="Textonotapie"/>
        <w:jc w:val="both"/>
        <w:rPr>
          <w:sz w:val="14"/>
          <w:szCs w:val="14"/>
          <w:lang w:val="es-CO"/>
        </w:rPr>
      </w:pPr>
    </w:p>
  </w:footnote>
  <w:footnote w:id="9">
    <w:p w14:paraId="090E523D" w14:textId="77777777" w:rsidR="005709B9" w:rsidRPr="00EE5B62" w:rsidRDefault="005709B9" w:rsidP="005709B9">
      <w:pPr>
        <w:pStyle w:val="Textonotapie"/>
        <w:ind w:firstLine="708"/>
        <w:jc w:val="both"/>
        <w:rPr>
          <w:rFonts w:ascii="Arial" w:hAnsi="Arial" w:cs="Arial"/>
          <w:sz w:val="14"/>
          <w:szCs w:val="14"/>
        </w:rPr>
      </w:pPr>
      <w:r w:rsidRPr="00EE5B62">
        <w:rPr>
          <w:rStyle w:val="Refdenotaalpie"/>
          <w:rFonts w:ascii="Arial" w:hAnsi="Arial" w:cs="Arial"/>
          <w:sz w:val="14"/>
          <w:szCs w:val="14"/>
        </w:rPr>
        <w:footnoteRef/>
      </w:r>
      <w:r w:rsidRPr="00EE5B62">
        <w:rPr>
          <w:rFonts w:ascii="Arial" w:hAnsi="Arial" w:cs="Arial"/>
          <w:sz w:val="14"/>
          <w:szCs w:val="14"/>
        </w:rPr>
        <w:t xml:space="preserve"> Colombia Compra Eficiente, Manual para determinar y verificar requisitos habilitantes en los procesos de contratación V2: «</w:t>
      </w:r>
      <w:bookmarkStart w:id="6" w:name="_Hlk110954624"/>
      <w:r w:rsidRPr="00EE5B62">
        <w:rPr>
          <w:rFonts w:ascii="Arial" w:hAnsi="Arial" w:cs="Arial"/>
          <w:sz w:val="14"/>
          <w:szCs w:val="14"/>
          <w:lang w:val="es-CO"/>
        </w:rPr>
        <w:t>Dentro de los requisitos habilitantes establecidos por el artículo 5 de la Ley 1150 de 2007 se destaca la experiencia, la cual debe ser entendida como el conocimiento del proponente derivado de su participación previa en actividades iguales o similares a las previstas en el objeto del contrato con contratantes públicos, privados, nacionales o extranjeros, ya sea directamente o en asocio con otra persona, como es el caso de los proponentes plurales, en cuyo evento la experiencia no deja de ser personal, sino que es proporcional a la participación como miembro de un consorcio o unión temporal, evento en el cual, por tratarse de esquemas asociativos, la experiencia es compartida</w:t>
      </w:r>
      <w:r w:rsidRPr="00EE5B62">
        <w:rPr>
          <w:rFonts w:ascii="Arial" w:hAnsi="Arial" w:cs="Arial"/>
          <w:sz w:val="14"/>
          <w:szCs w:val="14"/>
        </w:rPr>
        <w:t>.</w:t>
      </w:r>
    </w:p>
    <w:p w14:paraId="0575ACA7" w14:textId="77777777" w:rsidR="005709B9" w:rsidRPr="00EE5B62" w:rsidRDefault="005709B9" w:rsidP="005709B9">
      <w:pPr>
        <w:pStyle w:val="Textonotapie"/>
        <w:ind w:firstLine="708"/>
        <w:jc w:val="both"/>
        <w:rPr>
          <w:rFonts w:ascii="Arial" w:hAnsi="Arial" w:cs="Arial"/>
          <w:sz w:val="14"/>
          <w:szCs w:val="14"/>
        </w:rPr>
      </w:pPr>
      <w:r w:rsidRPr="00EE5B62">
        <w:rPr>
          <w:rFonts w:ascii="Arial" w:hAnsi="Arial" w:cs="Arial"/>
          <w:sz w:val="14"/>
          <w:szCs w:val="14"/>
        </w:rPr>
        <w:t>[...]</w:t>
      </w:r>
    </w:p>
    <w:p w14:paraId="0E6D48E1" w14:textId="77777777" w:rsidR="005709B9" w:rsidRPr="00EE5B62" w:rsidRDefault="005709B9" w:rsidP="005709B9">
      <w:pPr>
        <w:pStyle w:val="Textonotapie"/>
        <w:ind w:firstLine="708"/>
        <w:jc w:val="both"/>
        <w:rPr>
          <w:rFonts w:ascii="Arial" w:hAnsi="Arial" w:cs="Arial"/>
          <w:sz w:val="14"/>
          <w:szCs w:val="14"/>
          <w:lang w:val="es-CO"/>
        </w:rPr>
      </w:pPr>
      <w:r w:rsidRPr="00EE5B62">
        <w:rPr>
          <w:rFonts w:ascii="Arial" w:hAnsi="Arial" w:cs="Arial"/>
          <w:sz w:val="14"/>
          <w:szCs w:val="14"/>
        </w:rPr>
        <w:t>»</w:t>
      </w:r>
      <w:r w:rsidRPr="00EE5B62">
        <w:rPr>
          <w:rFonts w:ascii="Arial" w:hAnsi="Arial" w:cs="Arial"/>
          <w:sz w:val="14"/>
          <w:szCs w:val="14"/>
          <w:lang w:val="es-CO"/>
        </w:rPr>
        <w:t xml:space="preserve">Así mismo, la experiencia requerida en un Proceso de Contratación debe ser adecuada y proporcional a la naturaleza del contrato, su valor, complejidad y Riesgo. Es adecuada cuando es afín al tipo de actividades previstas en el objeto del negocio a celebrar. Por ejemplo, si es para prestar un servicio de aseo general, el proponente debe tener experiencia en tal servicio, sin que sea relevante el lugar en el cual lo haya ejecutado o quién fue el contratante. </w:t>
      </w:r>
    </w:p>
    <w:p w14:paraId="11919AC9" w14:textId="77777777" w:rsidR="005709B9" w:rsidRPr="00EE5B62" w:rsidRDefault="005709B9" w:rsidP="005709B9">
      <w:pPr>
        <w:pStyle w:val="Textonotapie"/>
        <w:ind w:firstLine="708"/>
        <w:jc w:val="both"/>
        <w:rPr>
          <w:rFonts w:ascii="Arial" w:hAnsi="Arial" w:cs="Arial"/>
          <w:sz w:val="14"/>
          <w:szCs w:val="14"/>
        </w:rPr>
      </w:pPr>
      <w:r w:rsidRPr="00EE5B62">
        <w:rPr>
          <w:rFonts w:ascii="Arial" w:hAnsi="Arial" w:cs="Arial"/>
          <w:sz w:val="14"/>
          <w:szCs w:val="14"/>
        </w:rPr>
        <w:t>»</w:t>
      </w:r>
      <w:r w:rsidRPr="00EE5B62">
        <w:rPr>
          <w:rFonts w:ascii="Arial" w:hAnsi="Arial" w:cs="Arial"/>
          <w:sz w:val="14"/>
          <w:szCs w:val="14"/>
          <w:lang w:val="es-CO"/>
        </w:rPr>
        <w:t xml:space="preserve">Es proporcional cuando tiene relación con el alcance, la cuantía, Riesgo y la complejidad del negocio a celebrar. Por ejemplo, en una obra pública con un presupuesto oficial de 100 SMMLV, la experiencia exigida es proporcional si se exige que los proponentes hayan participado en Procesos de Contratación entre 90 y 100 SMMLV del mismo tipo de obra. </w:t>
      </w:r>
    </w:p>
    <w:p w14:paraId="19EBC998" w14:textId="77777777" w:rsidR="005709B9" w:rsidRPr="00EE5B62" w:rsidRDefault="005709B9" w:rsidP="005709B9">
      <w:pPr>
        <w:pStyle w:val="Textonotapie"/>
        <w:ind w:firstLine="708"/>
        <w:jc w:val="both"/>
        <w:rPr>
          <w:rFonts w:ascii="Arial" w:hAnsi="Arial" w:cs="Arial"/>
          <w:sz w:val="14"/>
          <w:szCs w:val="14"/>
        </w:rPr>
      </w:pPr>
      <w:r w:rsidRPr="00EE5B62">
        <w:rPr>
          <w:rFonts w:ascii="Arial" w:hAnsi="Arial" w:cs="Arial"/>
          <w:sz w:val="14"/>
          <w:szCs w:val="14"/>
        </w:rPr>
        <w:t>[...]».</w:t>
      </w:r>
    </w:p>
    <w:bookmarkEnd w:id="6"/>
  </w:footnote>
  <w:footnote w:id="10">
    <w:p w14:paraId="05A18505" w14:textId="77777777" w:rsidR="005709B9" w:rsidRPr="00EE5B62" w:rsidRDefault="005709B9" w:rsidP="005709B9">
      <w:pPr>
        <w:pStyle w:val="Textonotapie"/>
        <w:ind w:firstLine="709"/>
        <w:jc w:val="both"/>
        <w:rPr>
          <w:sz w:val="14"/>
          <w:szCs w:val="14"/>
          <w:lang w:val="es-CO"/>
        </w:rPr>
      </w:pPr>
      <w:r w:rsidRPr="00EE5B62">
        <w:rPr>
          <w:rStyle w:val="Refdenotaalpie"/>
          <w:sz w:val="14"/>
          <w:szCs w:val="14"/>
        </w:rPr>
        <w:footnoteRef/>
      </w:r>
      <w:r w:rsidRPr="00EE5B62">
        <w:rPr>
          <w:sz w:val="14"/>
          <w:szCs w:val="14"/>
        </w:rPr>
        <w:t xml:space="preserve"> </w:t>
      </w:r>
      <w:r w:rsidRPr="00EE5B62">
        <w:rPr>
          <w:rFonts w:ascii="Arial" w:hAnsi="Arial" w:cs="Arial"/>
          <w:sz w:val="14"/>
          <w:szCs w:val="14"/>
          <w:lang w:val="es-CO"/>
        </w:rPr>
        <w:t>Consejo de Estado. Sección Tercera. Sentencia del 20 de abril del 2022. Radicación Nro. 54482. C.P.: Jaime Enrique Rodríguez Navas.</w:t>
      </w:r>
    </w:p>
  </w:footnote>
  <w:footnote w:id="11">
    <w:p w14:paraId="2078B828" w14:textId="77777777" w:rsidR="005709B9" w:rsidRPr="00EE5B62" w:rsidRDefault="005709B9" w:rsidP="005709B9">
      <w:pPr>
        <w:pStyle w:val="Textonotapie"/>
        <w:ind w:firstLine="708"/>
        <w:jc w:val="both"/>
        <w:rPr>
          <w:rFonts w:ascii="Arial" w:hAnsi="Arial" w:cs="Arial"/>
          <w:sz w:val="14"/>
          <w:szCs w:val="14"/>
        </w:rPr>
      </w:pPr>
      <w:r w:rsidRPr="00EE5B62">
        <w:rPr>
          <w:rStyle w:val="Refdenotaalpie"/>
          <w:rFonts w:ascii="Arial" w:hAnsi="Arial" w:cs="Arial"/>
          <w:sz w:val="14"/>
          <w:szCs w:val="14"/>
        </w:rPr>
        <w:footnoteRef/>
      </w:r>
      <w:r w:rsidRPr="00EE5B62">
        <w:rPr>
          <w:rFonts w:ascii="Arial" w:hAnsi="Arial" w:cs="Arial"/>
          <w:sz w:val="14"/>
          <w:szCs w:val="14"/>
        </w:rPr>
        <w:t xml:space="preserve"> Código de Comercio: «Artículo 222. Efectos posteriores a la liquidación de la sociedad. Disuelta la sociedad se procederá de inmediato a su liquidación. En consecuencia, no podrá iniciar nuevas operaciones en desarrollo de su objeto y conservará su capacidad jurídica únicamente para los actos necesarios a la inmediata liquidación. Cualquier operación o acto ajeno a este fin, salvo los autorizados expresamente por la Ley, hará responsables frente a la sociedad, a los asociados y a terceros, en forma ilimitada y solidaria, al liquidador, y al revisor fiscal que no se hubiere opuesto.</w:t>
      </w:r>
    </w:p>
    <w:p w14:paraId="523D97DE" w14:textId="77777777" w:rsidR="005709B9" w:rsidRPr="00EE5B62" w:rsidRDefault="005709B9" w:rsidP="005709B9">
      <w:pPr>
        <w:pStyle w:val="Textonotapie"/>
        <w:ind w:firstLine="708"/>
        <w:jc w:val="both"/>
        <w:rPr>
          <w:rFonts w:ascii="Arial" w:hAnsi="Arial" w:cs="Arial"/>
          <w:sz w:val="14"/>
          <w:szCs w:val="14"/>
        </w:rPr>
      </w:pPr>
      <w:r w:rsidRPr="00EE5B62">
        <w:rPr>
          <w:rFonts w:ascii="Arial" w:hAnsi="Arial" w:cs="Arial"/>
          <w:sz w:val="14"/>
          <w:szCs w:val="14"/>
        </w:rPr>
        <w:t>»El nombre de la sociedad disuelta deberá adicionarse siempre con la expresión ‘en liquidación’. Los encargados de realizarla responderán de los daños y perjuicios que se deriven por dicha omisión».</w:t>
      </w:r>
    </w:p>
    <w:p w14:paraId="1FF8087A" w14:textId="77777777" w:rsidR="005709B9" w:rsidRPr="00EE5B62" w:rsidRDefault="005709B9" w:rsidP="005709B9">
      <w:pPr>
        <w:pStyle w:val="Textonotapie"/>
        <w:jc w:val="both"/>
        <w:rPr>
          <w:rFonts w:ascii="Arial" w:hAnsi="Arial" w:cs="Arial"/>
          <w:sz w:val="14"/>
          <w:szCs w:val="14"/>
          <w:lang w:val="es-CO"/>
        </w:rPr>
      </w:pPr>
    </w:p>
  </w:footnote>
  <w:footnote w:id="12">
    <w:p w14:paraId="0969E838" w14:textId="77777777" w:rsidR="005709B9" w:rsidRPr="00EE5B62" w:rsidRDefault="005709B9" w:rsidP="005709B9">
      <w:pPr>
        <w:pStyle w:val="Textonotapie"/>
        <w:ind w:firstLine="708"/>
        <w:jc w:val="both"/>
        <w:rPr>
          <w:rFonts w:ascii="Arial" w:hAnsi="Arial" w:cs="Arial"/>
          <w:sz w:val="14"/>
          <w:szCs w:val="14"/>
        </w:rPr>
      </w:pPr>
      <w:r w:rsidRPr="00EE5B62">
        <w:rPr>
          <w:rStyle w:val="Refdenotaalpie"/>
          <w:rFonts w:ascii="Arial" w:hAnsi="Arial" w:cs="Arial"/>
          <w:sz w:val="14"/>
          <w:szCs w:val="14"/>
        </w:rPr>
        <w:footnoteRef/>
      </w:r>
      <w:r w:rsidRPr="00EE5B62">
        <w:rPr>
          <w:rFonts w:ascii="Arial" w:hAnsi="Arial" w:cs="Arial"/>
          <w:sz w:val="14"/>
          <w:szCs w:val="14"/>
        </w:rPr>
        <w:t xml:space="preserve"> Ver artículos 225 y ss. del Código de Comercio.</w:t>
      </w:r>
    </w:p>
    <w:p w14:paraId="3EFE7327" w14:textId="77777777" w:rsidR="005709B9" w:rsidRPr="00EE5B62" w:rsidRDefault="005709B9" w:rsidP="005709B9">
      <w:pPr>
        <w:pStyle w:val="Textonotapie"/>
        <w:ind w:firstLine="708"/>
        <w:jc w:val="both"/>
        <w:rPr>
          <w:rFonts w:ascii="Arial" w:hAnsi="Arial" w:cs="Arial"/>
          <w:sz w:val="14"/>
          <w:szCs w:val="14"/>
          <w:lang w:val="es-CO"/>
        </w:rPr>
      </w:pPr>
      <w:r w:rsidRPr="00EE5B62">
        <w:rPr>
          <w:rFonts w:ascii="Arial" w:hAnsi="Arial" w:cs="Arial"/>
          <w:sz w:val="14"/>
          <w:szCs w:val="14"/>
        </w:rPr>
        <w:t xml:space="preserve"> </w:t>
      </w:r>
    </w:p>
  </w:footnote>
  <w:footnote w:id="13">
    <w:p w14:paraId="42946B98" w14:textId="77777777" w:rsidR="005709B9" w:rsidRPr="00EE5B62" w:rsidRDefault="005709B9" w:rsidP="005709B9">
      <w:pPr>
        <w:pStyle w:val="Textonotapie"/>
        <w:ind w:firstLine="708"/>
        <w:jc w:val="both"/>
        <w:rPr>
          <w:rFonts w:ascii="Arial" w:hAnsi="Arial" w:cs="Arial"/>
          <w:sz w:val="14"/>
          <w:szCs w:val="14"/>
        </w:rPr>
      </w:pPr>
      <w:r w:rsidRPr="00EE5B62">
        <w:rPr>
          <w:rStyle w:val="Refdenotaalpie"/>
          <w:rFonts w:ascii="Arial" w:hAnsi="Arial" w:cs="Arial"/>
          <w:sz w:val="14"/>
          <w:szCs w:val="14"/>
        </w:rPr>
        <w:footnoteRef/>
      </w:r>
      <w:r w:rsidRPr="00EE5B62">
        <w:rPr>
          <w:rFonts w:ascii="Arial" w:hAnsi="Arial" w:cs="Arial"/>
          <w:sz w:val="14"/>
          <w:szCs w:val="14"/>
        </w:rPr>
        <w:t xml:space="preserve"> Código de Comercio: «Artículo 167. Reforma de contrato social por transformación de sociedad. Una sociedad podrá, antes de su disolución, adoptar cualquiera otra de las formas de la sociedad comercial reguladas en este Código, mediante una reforma del contrato social.</w:t>
      </w:r>
    </w:p>
    <w:p w14:paraId="52F08A8C" w14:textId="77777777" w:rsidR="005709B9" w:rsidRPr="00EE5B62" w:rsidRDefault="005709B9" w:rsidP="005709B9">
      <w:pPr>
        <w:pStyle w:val="Textonotapie"/>
        <w:ind w:firstLine="708"/>
        <w:jc w:val="both"/>
        <w:rPr>
          <w:rFonts w:ascii="Arial" w:hAnsi="Arial" w:cs="Arial"/>
          <w:sz w:val="14"/>
          <w:szCs w:val="14"/>
        </w:rPr>
      </w:pPr>
      <w:r w:rsidRPr="00EE5B62">
        <w:rPr>
          <w:rFonts w:ascii="Arial" w:hAnsi="Arial" w:cs="Arial"/>
          <w:sz w:val="14"/>
          <w:szCs w:val="14"/>
        </w:rPr>
        <w:t>»La transformación no producirá solución de continuidad en la existencia de la sociedad como persona jurídica, ni en sus actividades ni en su patrimonio».</w:t>
      </w:r>
    </w:p>
    <w:p w14:paraId="70FFFF03" w14:textId="77777777" w:rsidR="005709B9" w:rsidRPr="00EE5B62" w:rsidRDefault="005709B9" w:rsidP="005709B9">
      <w:pPr>
        <w:pStyle w:val="Textonotapie"/>
        <w:ind w:firstLine="708"/>
        <w:jc w:val="both"/>
        <w:rPr>
          <w:rFonts w:ascii="Arial" w:hAnsi="Arial" w:cs="Arial"/>
          <w:sz w:val="14"/>
          <w:szCs w:val="14"/>
        </w:rPr>
      </w:pPr>
    </w:p>
  </w:footnote>
  <w:footnote w:id="14">
    <w:p w14:paraId="27E71459" w14:textId="77777777" w:rsidR="005709B9" w:rsidRPr="00EE5B62" w:rsidRDefault="005709B9" w:rsidP="005709B9">
      <w:pPr>
        <w:pStyle w:val="Textonotapie"/>
        <w:ind w:firstLine="708"/>
        <w:jc w:val="both"/>
        <w:rPr>
          <w:rFonts w:ascii="Arial" w:hAnsi="Arial" w:cs="Arial"/>
          <w:sz w:val="14"/>
          <w:szCs w:val="14"/>
        </w:rPr>
      </w:pPr>
      <w:r w:rsidRPr="00EE5B62">
        <w:rPr>
          <w:rStyle w:val="Refdenotaalpie"/>
          <w:rFonts w:ascii="Arial" w:hAnsi="Arial" w:cs="Arial"/>
          <w:sz w:val="14"/>
          <w:szCs w:val="14"/>
        </w:rPr>
        <w:footnoteRef/>
      </w:r>
      <w:r w:rsidRPr="00EE5B62">
        <w:rPr>
          <w:rFonts w:ascii="Arial" w:hAnsi="Arial" w:cs="Arial"/>
          <w:sz w:val="14"/>
          <w:szCs w:val="14"/>
        </w:rPr>
        <w:t xml:space="preserve"> Ley 222 de 1995: «Artículo 3. Modalidades. Habrá escisión cuando:</w:t>
      </w:r>
    </w:p>
    <w:p w14:paraId="6704505A" w14:textId="77777777" w:rsidR="005709B9" w:rsidRPr="00EE5B62" w:rsidRDefault="005709B9" w:rsidP="005709B9">
      <w:pPr>
        <w:pStyle w:val="Textonotapie"/>
        <w:ind w:firstLine="708"/>
        <w:jc w:val="both"/>
        <w:rPr>
          <w:rFonts w:ascii="Arial" w:hAnsi="Arial" w:cs="Arial"/>
          <w:sz w:val="14"/>
          <w:szCs w:val="14"/>
        </w:rPr>
      </w:pPr>
      <w:r w:rsidRPr="00EE5B62">
        <w:rPr>
          <w:rFonts w:ascii="Arial" w:hAnsi="Arial" w:cs="Arial"/>
          <w:sz w:val="14"/>
          <w:szCs w:val="14"/>
        </w:rPr>
        <w:t>»1. Una sociedad sin disolverse, transfiere en bloque una o varias partes de su patrimonio a una o más sociedades existentes o las destina a la creación de una o varias sociedades.</w:t>
      </w:r>
    </w:p>
    <w:p w14:paraId="2B8B8B7A" w14:textId="77777777" w:rsidR="005709B9" w:rsidRPr="00EE5B62" w:rsidRDefault="005709B9" w:rsidP="005709B9">
      <w:pPr>
        <w:pStyle w:val="Textonotapie"/>
        <w:ind w:firstLine="708"/>
        <w:jc w:val="both"/>
        <w:rPr>
          <w:rFonts w:ascii="Arial" w:hAnsi="Arial" w:cs="Arial"/>
          <w:sz w:val="14"/>
          <w:szCs w:val="14"/>
        </w:rPr>
      </w:pPr>
      <w:r w:rsidRPr="00EE5B62">
        <w:rPr>
          <w:rFonts w:ascii="Arial" w:hAnsi="Arial" w:cs="Arial"/>
          <w:sz w:val="14"/>
          <w:szCs w:val="14"/>
        </w:rPr>
        <w:t>»2. Una sociedad se disuelve sin liquidarse, dividiendo su patrimonio en dos o más partes, que se transfieren a varias sociedades existentes o se destinan a la creación de nuevas sociedades.</w:t>
      </w:r>
    </w:p>
    <w:p w14:paraId="237287B0" w14:textId="77777777" w:rsidR="005709B9" w:rsidRPr="00EE5B62" w:rsidRDefault="005709B9" w:rsidP="005709B9">
      <w:pPr>
        <w:pStyle w:val="Textonotapie"/>
        <w:ind w:firstLine="708"/>
        <w:jc w:val="both"/>
        <w:rPr>
          <w:rFonts w:ascii="Arial" w:hAnsi="Arial" w:cs="Arial"/>
          <w:sz w:val="14"/>
          <w:szCs w:val="14"/>
        </w:rPr>
      </w:pPr>
      <w:r w:rsidRPr="00EE5B62">
        <w:rPr>
          <w:rFonts w:ascii="Arial" w:hAnsi="Arial" w:cs="Arial"/>
          <w:sz w:val="14"/>
          <w:szCs w:val="14"/>
        </w:rPr>
        <w:t>»La sociedad o sociedades destinatarias de las transferencias resultantes de la escisión, se denominarán sociedades beneficiarias.</w:t>
      </w:r>
    </w:p>
    <w:p w14:paraId="7BCC1F89" w14:textId="77777777" w:rsidR="005709B9" w:rsidRPr="00EE5B62" w:rsidRDefault="005709B9" w:rsidP="005709B9">
      <w:pPr>
        <w:pStyle w:val="Textonotapie"/>
        <w:ind w:firstLine="708"/>
        <w:jc w:val="both"/>
        <w:rPr>
          <w:rFonts w:ascii="Arial" w:hAnsi="Arial" w:cs="Arial"/>
          <w:sz w:val="14"/>
          <w:szCs w:val="14"/>
          <w:lang w:val="es-CO"/>
        </w:rPr>
      </w:pPr>
      <w:r w:rsidRPr="00EE5B62">
        <w:rPr>
          <w:rFonts w:ascii="Arial" w:hAnsi="Arial" w:cs="Arial"/>
          <w:sz w:val="14"/>
          <w:szCs w:val="14"/>
        </w:rPr>
        <w:t>»Los socios de la sociedad escindida participarán en el capital de las Sociedades beneficiarias en la misma proporción que tengan en aquélla, salvo que por unanimidad de las acciones, cuotas sociales o partes de interés representadas en la asamblea o junta de socios de la escindente, se apruebe una participación diferente».</w:t>
      </w:r>
    </w:p>
  </w:footnote>
  <w:footnote w:id="15">
    <w:p w14:paraId="60E2B83D" w14:textId="77777777" w:rsidR="005709B9" w:rsidRPr="00EE5B62" w:rsidRDefault="005709B9" w:rsidP="005709B9">
      <w:pPr>
        <w:pStyle w:val="Textonotapie"/>
        <w:ind w:firstLine="708"/>
        <w:jc w:val="both"/>
        <w:rPr>
          <w:rFonts w:ascii="Arial" w:hAnsi="Arial" w:cs="Arial"/>
          <w:sz w:val="14"/>
          <w:szCs w:val="14"/>
        </w:rPr>
      </w:pPr>
      <w:r w:rsidRPr="00EE5B62">
        <w:rPr>
          <w:rStyle w:val="Refdenotaalpie"/>
          <w:rFonts w:ascii="Arial" w:hAnsi="Arial" w:cs="Arial"/>
          <w:sz w:val="14"/>
          <w:szCs w:val="14"/>
        </w:rPr>
        <w:footnoteRef/>
      </w:r>
      <w:r w:rsidRPr="00EE5B62">
        <w:rPr>
          <w:rFonts w:ascii="Arial" w:hAnsi="Arial" w:cs="Arial"/>
          <w:sz w:val="14"/>
          <w:szCs w:val="14"/>
        </w:rPr>
        <w:t xml:space="preserve"> Código de Comercio: «Artículo 172. Fusión de la sociedad-concepto. Habrá fusión cuando una o más sociedades se disuelvan, sin liquidarse, para ser absorbidas por otra o para crear una nueva.</w:t>
      </w:r>
    </w:p>
    <w:p w14:paraId="74C2E488" w14:textId="77777777" w:rsidR="005709B9" w:rsidRPr="00EE5B62" w:rsidRDefault="005709B9" w:rsidP="005709B9">
      <w:pPr>
        <w:pStyle w:val="Textonotapie"/>
        <w:ind w:firstLine="708"/>
        <w:jc w:val="both"/>
        <w:rPr>
          <w:rFonts w:ascii="Arial" w:hAnsi="Arial" w:cs="Arial"/>
          <w:sz w:val="14"/>
          <w:szCs w:val="14"/>
        </w:rPr>
      </w:pPr>
      <w:r w:rsidRPr="00EE5B62">
        <w:rPr>
          <w:rFonts w:ascii="Arial" w:hAnsi="Arial" w:cs="Arial"/>
          <w:sz w:val="14"/>
          <w:szCs w:val="14"/>
        </w:rPr>
        <w:t>»La absorbente o la nueva compañía adquirirá los derechos y obligaciones de la sociedad o sociedades disueltas al formalizarse el acuerdo de fusión».</w:t>
      </w:r>
    </w:p>
    <w:p w14:paraId="73C63694" w14:textId="77777777" w:rsidR="005709B9" w:rsidRPr="00EE5B62" w:rsidRDefault="005709B9" w:rsidP="005709B9">
      <w:pPr>
        <w:pStyle w:val="Textonotapie"/>
        <w:jc w:val="both"/>
        <w:rPr>
          <w:rFonts w:ascii="Arial" w:hAnsi="Arial" w:cs="Arial"/>
          <w:sz w:val="14"/>
          <w:szCs w:val="14"/>
          <w:lang w:val="es-CO"/>
        </w:rPr>
      </w:pPr>
    </w:p>
  </w:footnote>
  <w:footnote w:id="16">
    <w:p w14:paraId="1628D1AA" w14:textId="77777777" w:rsidR="005709B9" w:rsidRPr="00EE5B62" w:rsidRDefault="005709B9" w:rsidP="005709B9">
      <w:pPr>
        <w:pStyle w:val="Textonotapie"/>
        <w:ind w:firstLine="708"/>
        <w:jc w:val="both"/>
        <w:rPr>
          <w:rFonts w:ascii="Arial" w:hAnsi="Arial" w:cs="Arial"/>
          <w:sz w:val="14"/>
          <w:szCs w:val="14"/>
        </w:rPr>
      </w:pPr>
      <w:r w:rsidRPr="00EE5B62">
        <w:rPr>
          <w:rStyle w:val="Refdenotaalpie"/>
          <w:rFonts w:ascii="Arial" w:hAnsi="Arial" w:cs="Arial"/>
          <w:sz w:val="14"/>
          <w:szCs w:val="14"/>
        </w:rPr>
        <w:footnoteRef/>
      </w:r>
      <w:r w:rsidRPr="00EE5B62">
        <w:rPr>
          <w:rFonts w:ascii="Arial" w:hAnsi="Arial" w:cs="Arial"/>
          <w:sz w:val="14"/>
          <w:szCs w:val="14"/>
        </w:rPr>
        <w:t xml:space="preserve"> Código de Comercio: «Artículo 180. Formación de nueva sociedad que continua negocios de la disuelta. Lo dispuesto en esta Sección podrá aplicarse también al caso de la formación de una nueva sociedad para continuar los negocios de una sociedad disuelta, siempre que no haya variaciones en el giro de sus actividades o negocios y que la operación se celebre dentro de los seis meses siguientes a la fecha de disolución».</w:t>
      </w:r>
    </w:p>
    <w:p w14:paraId="37003103" w14:textId="77777777" w:rsidR="005709B9" w:rsidRPr="00EE5B62" w:rsidRDefault="005709B9" w:rsidP="005709B9">
      <w:pPr>
        <w:pStyle w:val="Textonotapie"/>
        <w:ind w:firstLine="708"/>
        <w:jc w:val="both"/>
        <w:rPr>
          <w:rFonts w:ascii="Arial" w:hAnsi="Arial" w:cs="Arial"/>
          <w:sz w:val="14"/>
          <w:szCs w:val="14"/>
          <w:lang w:val="es-CO"/>
        </w:rPr>
      </w:pPr>
    </w:p>
  </w:footnote>
  <w:footnote w:id="17">
    <w:p w14:paraId="1D651A28" w14:textId="77777777" w:rsidR="005709B9" w:rsidRPr="00EE5B62" w:rsidRDefault="005709B9" w:rsidP="005709B9">
      <w:pPr>
        <w:pStyle w:val="Textonotapie"/>
        <w:ind w:firstLine="708"/>
        <w:jc w:val="both"/>
        <w:rPr>
          <w:rFonts w:ascii="Arial" w:hAnsi="Arial" w:cs="Arial"/>
          <w:sz w:val="14"/>
          <w:szCs w:val="14"/>
        </w:rPr>
      </w:pPr>
      <w:r w:rsidRPr="00EE5B62">
        <w:rPr>
          <w:rStyle w:val="Refdenotaalpie"/>
          <w:rFonts w:ascii="Arial" w:hAnsi="Arial" w:cs="Arial"/>
          <w:sz w:val="14"/>
          <w:szCs w:val="14"/>
        </w:rPr>
        <w:footnoteRef/>
      </w:r>
      <w:r w:rsidRPr="00EE5B62">
        <w:rPr>
          <w:rFonts w:ascii="Arial" w:hAnsi="Arial" w:cs="Arial"/>
          <w:sz w:val="14"/>
          <w:szCs w:val="14"/>
        </w:rPr>
        <w:t xml:space="preserve"> Ley 1258 de 2008: «Artículo 33. Fusión abreviada. En aquellos casos en que una sociedad detente más del noventa (90%) de las acciones de una sociedad por acciones simplificada, aquella podrá absorber a esta, mediante determinación adoptada por los representantes legales o por las juntas directivas de las sociedades participantes en el proceso de fusión.</w:t>
      </w:r>
    </w:p>
    <w:p w14:paraId="4AA930BF" w14:textId="77777777" w:rsidR="005709B9" w:rsidRPr="00EE5B62" w:rsidRDefault="005709B9" w:rsidP="005709B9">
      <w:pPr>
        <w:pStyle w:val="Textonotapie"/>
        <w:ind w:firstLine="708"/>
        <w:jc w:val="both"/>
        <w:rPr>
          <w:rFonts w:ascii="Arial" w:hAnsi="Arial" w:cs="Arial"/>
          <w:sz w:val="14"/>
          <w:szCs w:val="14"/>
        </w:rPr>
      </w:pPr>
      <w:r w:rsidRPr="00EE5B62">
        <w:rPr>
          <w:rFonts w:ascii="Arial" w:hAnsi="Arial" w:cs="Arial"/>
          <w:sz w:val="14"/>
          <w:szCs w:val="14"/>
        </w:rPr>
        <w:t>»El acuerdo de fusión podrá realizarse por documento privado inscrito en el Registro Mercantil, salvo que dentro de los activos transferidos se encuentren bienes cuya enajenación requiera escritura pública. La fusión podrá dar lugar al derecho de retiro a favor de los accionistas ausentes y disidentes en los términos de la Ley 222 de 1995, así como a la acción de oposición judicial prevista en el artículo 175 del Código de Comercio.</w:t>
      </w:r>
    </w:p>
    <w:p w14:paraId="57BFDC69" w14:textId="77777777" w:rsidR="005709B9" w:rsidRPr="00EE5B62" w:rsidRDefault="005709B9" w:rsidP="005709B9">
      <w:pPr>
        <w:pStyle w:val="Textonotapie"/>
        <w:ind w:firstLine="708"/>
        <w:jc w:val="both"/>
        <w:rPr>
          <w:rFonts w:ascii="Arial" w:hAnsi="Arial" w:cs="Arial"/>
          <w:sz w:val="14"/>
          <w:szCs w:val="14"/>
        </w:rPr>
      </w:pPr>
      <w:r w:rsidRPr="00EE5B62">
        <w:rPr>
          <w:rFonts w:ascii="Arial" w:hAnsi="Arial" w:cs="Arial"/>
          <w:sz w:val="14"/>
          <w:szCs w:val="14"/>
        </w:rPr>
        <w:t>»El texto del acuerdo de fusión abreviada tendrá que ser publicado en un diario de amplia circulación según lo establece la Ley 222 de 1995, dentro de ese mismo término habrá lugar a la oposición por parte de terceros interesados quienes podrán exigir garantías necesarias y/o suficientes».</w:t>
      </w:r>
    </w:p>
    <w:p w14:paraId="76779DDB" w14:textId="77777777" w:rsidR="005709B9" w:rsidRPr="00EE5B62" w:rsidRDefault="005709B9" w:rsidP="005709B9">
      <w:pPr>
        <w:pStyle w:val="Textonotapie"/>
        <w:ind w:firstLine="708"/>
        <w:jc w:val="both"/>
        <w:rPr>
          <w:rFonts w:ascii="Arial" w:hAnsi="Arial" w:cs="Arial"/>
          <w:sz w:val="14"/>
          <w:szCs w:val="14"/>
          <w:lang w:val="es-CO"/>
        </w:rPr>
      </w:pPr>
    </w:p>
  </w:footnote>
  <w:footnote w:id="18">
    <w:p w14:paraId="65EFC21C" w14:textId="77777777" w:rsidR="005709B9" w:rsidRPr="00EE5B62" w:rsidRDefault="005709B9" w:rsidP="005709B9">
      <w:pPr>
        <w:pStyle w:val="Textonotapie"/>
        <w:ind w:firstLine="708"/>
        <w:jc w:val="both"/>
        <w:rPr>
          <w:rFonts w:ascii="Arial" w:hAnsi="Arial" w:cs="Arial"/>
          <w:sz w:val="14"/>
          <w:szCs w:val="14"/>
        </w:rPr>
      </w:pPr>
      <w:r w:rsidRPr="00EE5B62">
        <w:rPr>
          <w:rStyle w:val="Refdenotaalpie"/>
          <w:rFonts w:ascii="Arial" w:hAnsi="Arial" w:cs="Arial"/>
          <w:sz w:val="14"/>
          <w:szCs w:val="14"/>
        </w:rPr>
        <w:footnoteRef/>
      </w:r>
      <w:r w:rsidRPr="00EE5B62">
        <w:rPr>
          <w:rFonts w:ascii="Arial" w:hAnsi="Arial" w:cs="Arial"/>
          <w:sz w:val="14"/>
          <w:szCs w:val="14"/>
        </w:rPr>
        <w:t xml:space="preserve"> Superintendencia de Sociedades. Oficios 220-072759 del 14 de mayo de 2014, 220-100613 del 14 de julio de 2015, 220-079814 del 31 de agosto de 2015,220-142284 del 15 de julio de 2016, 095721 del 16 de junio de 2020.</w:t>
      </w:r>
    </w:p>
    <w:p w14:paraId="39F68736" w14:textId="77777777" w:rsidR="005709B9" w:rsidRPr="00EE5B62" w:rsidRDefault="005709B9" w:rsidP="005709B9">
      <w:pPr>
        <w:pStyle w:val="Textonotapie"/>
        <w:ind w:firstLine="708"/>
        <w:jc w:val="both"/>
        <w:rPr>
          <w:rFonts w:ascii="Arial" w:hAnsi="Arial" w:cs="Arial"/>
          <w:sz w:val="14"/>
          <w:szCs w:val="14"/>
          <w:lang w:val="es-CO"/>
        </w:rPr>
      </w:pPr>
    </w:p>
  </w:footnote>
  <w:footnote w:id="19">
    <w:p w14:paraId="41ADF0B1" w14:textId="77777777" w:rsidR="005709B9" w:rsidRPr="00EE5B62" w:rsidRDefault="005709B9" w:rsidP="005709B9">
      <w:pPr>
        <w:pStyle w:val="Textonotapie"/>
        <w:ind w:firstLine="708"/>
        <w:rPr>
          <w:sz w:val="14"/>
          <w:szCs w:val="14"/>
          <w:lang w:val="es-CO"/>
        </w:rPr>
      </w:pPr>
      <w:r w:rsidRPr="00EE5B62">
        <w:rPr>
          <w:rStyle w:val="Refdenotaalpie"/>
          <w:rFonts w:ascii="Arial" w:hAnsi="Arial" w:cs="Arial"/>
          <w:sz w:val="14"/>
          <w:szCs w:val="14"/>
        </w:rPr>
        <w:footnoteRef/>
      </w:r>
      <w:r w:rsidRPr="00EE5B62">
        <w:rPr>
          <w:rFonts w:ascii="Arial" w:hAnsi="Arial" w:cs="Arial"/>
          <w:sz w:val="14"/>
          <w:szCs w:val="14"/>
        </w:rPr>
        <w:t xml:space="preserve"> Superintendencia de Sociedades. Oficio 220- 063311 del 6 de abril de 2020.</w:t>
      </w:r>
    </w:p>
  </w:footnote>
  <w:footnote w:id="20">
    <w:p w14:paraId="48F79A7B" w14:textId="77777777" w:rsidR="005709B9" w:rsidRPr="00EE5B62" w:rsidRDefault="005709B9" w:rsidP="005709B9">
      <w:pPr>
        <w:pStyle w:val="Textonotapie"/>
        <w:ind w:firstLine="708"/>
        <w:jc w:val="both"/>
        <w:rPr>
          <w:rFonts w:ascii="Arial" w:hAnsi="Arial" w:cs="Arial"/>
          <w:sz w:val="14"/>
          <w:szCs w:val="14"/>
          <w:lang w:val="es-CO"/>
        </w:rPr>
      </w:pPr>
      <w:r w:rsidRPr="00EE5B62">
        <w:rPr>
          <w:rStyle w:val="Refdenotaalpie"/>
          <w:rFonts w:ascii="Arial" w:hAnsi="Arial" w:cs="Arial"/>
          <w:sz w:val="14"/>
          <w:szCs w:val="14"/>
        </w:rPr>
        <w:footnoteRef/>
      </w:r>
      <w:r w:rsidRPr="00EE5B62">
        <w:rPr>
          <w:rFonts w:ascii="Arial" w:hAnsi="Arial" w:cs="Arial"/>
          <w:sz w:val="14"/>
          <w:szCs w:val="14"/>
        </w:rPr>
        <w:t xml:space="preserve"> </w:t>
      </w:r>
      <w:r w:rsidRPr="00EE5B62">
        <w:rPr>
          <w:rFonts w:ascii="Arial" w:hAnsi="Arial" w:cs="Arial"/>
          <w:sz w:val="14"/>
          <w:szCs w:val="14"/>
          <w:lang w:val="es-CO"/>
        </w:rPr>
        <w:t xml:space="preserve">Decreto 1082 de 2015: «Artículo 2.2.1.1.1.5.3. Requisitos habilitantes contenidos en el RUP. Las cámaras de comercio, con base en la información a la que hace referencia el artículo anterior, deben verificar y certificar los siguientes requisitos habilitantes: </w:t>
      </w:r>
    </w:p>
    <w:p w14:paraId="5DEE34E7" w14:textId="77777777" w:rsidR="005709B9" w:rsidRPr="00EE5B62" w:rsidRDefault="005709B9" w:rsidP="005709B9">
      <w:pPr>
        <w:pStyle w:val="Textonotapie"/>
        <w:ind w:firstLine="708"/>
        <w:jc w:val="both"/>
        <w:rPr>
          <w:rFonts w:ascii="Arial" w:hAnsi="Arial" w:cs="Arial"/>
          <w:sz w:val="14"/>
          <w:szCs w:val="14"/>
          <w:lang w:val="es-CO"/>
        </w:rPr>
      </w:pPr>
      <w:r w:rsidRPr="00EE5B62">
        <w:rPr>
          <w:rFonts w:ascii="Arial" w:hAnsi="Arial" w:cs="Arial"/>
          <w:sz w:val="14"/>
          <w:szCs w:val="14"/>
          <w:lang w:val="es-CO"/>
        </w:rPr>
        <w:t xml:space="preserve">»1. Experiencia – Los contratos celebrados por el interesado para cada uno de los bienes, obras y servicios que ofrecerá a las Entidades Estatales, identificados con el Clasificador de Bienes y Servicios en el tercer nivel y su valor expresado en smmlv. </w:t>
      </w:r>
    </w:p>
    <w:p w14:paraId="1670620E" w14:textId="77777777" w:rsidR="005709B9" w:rsidRPr="00EE5B62" w:rsidRDefault="005709B9" w:rsidP="005709B9">
      <w:pPr>
        <w:pStyle w:val="Textonotapie"/>
        <w:ind w:firstLine="708"/>
        <w:jc w:val="both"/>
        <w:rPr>
          <w:sz w:val="14"/>
          <w:szCs w:val="14"/>
          <w:lang w:val="es-CO"/>
        </w:rPr>
      </w:pPr>
      <w:r w:rsidRPr="00EE5B62">
        <w:rPr>
          <w:rFonts w:ascii="Arial" w:hAnsi="Arial" w:cs="Arial"/>
          <w:sz w:val="14"/>
          <w:szCs w:val="14"/>
          <w:lang w:val="es-CO"/>
        </w:rPr>
        <w:t>»Los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6848" w14:textId="77777777" w:rsidR="00906B3C" w:rsidRPr="00F2135D" w:rsidRDefault="008822E4" w:rsidP="008614E5">
    <w:pPr>
      <w:spacing w:after="0"/>
      <w:rPr>
        <w:rFonts w:ascii="Geomanist Light" w:hAnsi="Geomanist Light"/>
        <w:color w:val="002060"/>
        <w:sz w:val="16"/>
        <w:szCs w:val="16"/>
        <w:lang w:val="pt-PT"/>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6401D19F" wp14:editId="34D3B4E7">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F2135D">
      <w:rPr>
        <w:rFonts w:ascii="Geomanist Light" w:hAnsi="Geomanist Light"/>
        <w:color w:val="002060"/>
        <w:sz w:val="16"/>
        <w:szCs w:val="16"/>
        <w:lang w:val="pt-PT"/>
      </w:rPr>
      <w:t>FORMATO PQRSD</w:t>
    </w:r>
  </w:p>
  <w:p w14:paraId="56A39102" w14:textId="77777777" w:rsidR="007566FE" w:rsidRPr="00F2135D" w:rsidRDefault="008822E4"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val="pt-PT" w:eastAsia="es-CO"/>
      </w:rPr>
    </w:pPr>
    <w:r w:rsidRPr="00F2135D">
      <w:rPr>
        <w:rFonts w:ascii="Geomanist Light" w:eastAsia="Geo" w:hAnsi="Geomanist Light" w:cs="Geo"/>
        <w:b/>
        <w:color w:val="000000"/>
        <w:sz w:val="16"/>
        <w:szCs w:val="16"/>
        <w:lang w:val="pt-PT" w:eastAsia="es-CO"/>
      </w:rPr>
      <w:t xml:space="preserve">Código: </w:t>
    </w:r>
    <w:r w:rsidRPr="00F2135D">
      <w:rPr>
        <w:rFonts w:ascii="Geomanist Light" w:eastAsia="Geo" w:hAnsi="Geomanist Light" w:cs="Geo"/>
        <w:color w:val="000000"/>
        <w:sz w:val="16"/>
        <w:szCs w:val="16"/>
        <w:lang w:val="pt-PT" w:eastAsia="es-CO"/>
      </w:rPr>
      <w:t>CCE-PQRSD-FM-08</w:t>
    </w:r>
  </w:p>
  <w:p w14:paraId="5BFEE77F" w14:textId="77777777" w:rsidR="00793403" w:rsidRDefault="008822E4"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38CFCA39" wp14:editId="168DD16A">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eastAsia="Geo" w:hAnsi="Geomanist Light" w:cs="Geo"/>
        <w:b/>
        <w:color w:val="000000"/>
        <w:sz w:val="16"/>
        <w:szCs w:val="16"/>
        <w:lang w:eastAsia="es-CO"/>
      </w:rPr>
      <w:t>Versión</w:t>
    </w:r>
    <w:r w:rsidRPr="007566FE">
      <w:rPr>
        <w:rFonts w:ascii="Geomanist Light" w:eastAsia="Arial Nova" w:hAnsi="Geomanist Light" w:cs="Arial Nova"/>
        <w:b/>
        <w:color w:val="000000"/>
        <w:sz w:val="16"/>
        <w:szCs w:val="16"/>
        <w:lang w:eastAsia="es-CO"/>
      </w:rPr>
      <w:t xml:space="preserve">: </w:t>
    </w:r>
    <w:r w:rsidRPr="007566FE">
      <w:rPr>
        <w:rFonts w:ascii="Geomanist Light" w:eastAsia="Geo" w:hAnsi="Geomanist Light" w:cs="Geo"/>
        <w:sz w:val="16"/>
        <w:szCs w:val="16"/>
        <w:lang w:eastAsia="es-CO"/>
      </w:rPr>
      <w:t>0</w:t>
    </w:r>
    <w:r>
      <w:rPr>
        <w:rFonts w:ascii="Geomanist Light" w:eastAsia="Geo" w:hAnsi="Geomanist Light" w:cs="Geo"/>
        <w:sz w:val="16"/>
        <w:szCs w:val="16"/>
        <w:lang w:eastAsia="es-CO"/>
      </w:rPr>
      <w:t>2</w:t>
    </w:r>
    <w:r w:rsidRPr="007566FE">
      <w:rPr>
        <w:rFonts w:ascii="Geomanist Light" w:eastAsia="Geo" w:hAnsi="Geomanist Light" w:cs="Geo"/>
        <w:sz w:val="16"/>
        <w:szCs w:val="16"/>
        <w:lang w:eastAsia="es-CO"/>
      </w:rPr>
      <w:t xml:space="preserve"> DEL </w:t>
    </w:r>
    <w:r>
      <w:rPr>
        <w:rFonts w:ascii="Geomanist Light" w:eastAsia="Geo" w:hAnsi="Geomanist Light" w:cs="Geo"/>
        <w:sz w:val="16"/>
        <w:szCs w:val="16"/>
        <w:lang w:eastAsia="es-CO"/>
      </w:rPr>
      <w:t>28</w:t>
    </w:r>
    <w:r w:rsidRPr="007566FE">
      <w:rPr>
        <w:rFonts w:ascii="Geomanist Light" w:eastAsia="Geo" w:hAnsi="Geomanist Light" w:cs="Geo"/>
        <w:sz w:val="16"/>
        <w:szCs w:val="16"/>
        <w:lang w:eastAsia="es-CO"/>
      </w:rPr>
      <w:t xml:space="preserve"> DE </w:t>
    </w:r>
    <w:r>
      <w:rPr>
        <w:rFonts w:ascii="Geomanist Light" w:eastAsia="Geo" w:hAnsi="Geomanist Light" w:cs="Geo"/>
        <w:sz w:val="16"/>
        <w:szCs w:val="16"/>
        <w:lang w:eastAsia="es-CO"/>
      </w:rPr>
      <w:t>SEPTIEMBRE</w:t>
    </w:r>
    <w:r w:rsidRPr="007566FE">
      <w:rPr>
        <w:rFonts w:ascii="Geomanist Light" w:eastAsia="Geo" w:hAnsi="Geomanist Light" w:cs="Geo"/>
        <w:sz w:val="16"/>
        <w:szCs w:val="16"/>
        <w:lang w:eastAsia="es-CO"/>
      </w:rPr>
      <w:t xml:space="preserve"> DE 2022</w:t>
    </w:r>
  </w:p>
  <w:p w14:paraId="5D03D0F2" w14:textId="77777777" w:rsidR="00793403" w:rsidRPr="007566FE" w:rsidRDefault="008822E4" w:rsidP="008614E5">
    <w:pPr>
      <w:spacing w:after="0"/>
      <w:rPr>
        <w:rFonts w:ascii="Geomanist Light" w:hAnsi="Geomanist Light"/>
        <w:color w:val="002060"/>
        <w:sz w:val="16"/>
        <w:szCs w:val="16"/>
      </w:rPr>
    </w:pPr>
  </w:p>
  <w:p w14:paraId="7673BDA3" w14:textId="77777777" w:rsidR="004A1847" w:rsidRPr="00906B3C" w:rsidRDefault="008822E4"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497814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B9"/>
    <w:rsid w:val="00065768"/>
    <w:rsid w:val="00272A14"/>
    <w:rsid w:val="005709B9"/>
    <w:rsid w:val="00602EAF"/>
    <w:rsid w:val="00FA24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FD628"/>
  <w15:chartTrackingRefBased/>
  <w15:docId w15:val="{E4B3C3C4-4095-4799-823B-C669AB25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9B9"/>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09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9B9"/>
    <w:rPr>
      <w:kern w:val="0"/>
      <w14:ligatures w14:val="none"/>
    </w:rPr>
  </w:style>
  <w:style w:type="paragraph" w:styleId="Piedepgina">
    <w:name w:val="footer"/>
    <w:basedOn w:val="Normal"/>
    <w:link w:val="PiedepginaCar"/>
    <w:uiPriority w:val="99"/>
    <w:unhideWhenUsed/>
    <w:rsid w:val="005709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9B9"/>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5709B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5709B9"/>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5709B9"/>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5709B9"/>
    <w:rPr>
      <w:vertAlign w:val="superscript"/>
    </w:rPr>
  </w:style>
  <w:style w:type="table" w:styleId="Tablaconcuadrcula">
    <w:name w:val="Table Grid"/>
    <w:basedOn w:val="Tablanormal"/>
    <w:uiPriority w:val="39"/>
    <w:rsid w:val="005709B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709B9"/>
    <w:pPr>
      <w:ind w:left="720"/>
      <w:contextualSpacing/>
    </w:pPr>
    <w:rPr>
      <w:rFonts w:ascii="Geomanist Light" w:hAnsi="Geomanist Light"/>
      <w:lang w:val="es-ES"/>
    </w:rPr>
  </w:style>
  <w:style w:type="paragraph" w:customStyle="1" w:styleId="Appelnotedebasde">
    <w:name w:val="Appel note de bas de..."/>
    <w:basedOn w:val="Normal"/>
    <w:link w:val="Refdenotaalpie"/>
    <w:uiPriority w:val="99"/>
    <w:rsid w:val="005709B9"/>
    <w:pPr>
      <w:spacing w:line="240" w:lineRule="exact"/>
    </w:pPr>
    <w:rPr>
      <w:kern w:val="2"/>
      <w:vertAlign w:val="superscript"/>
      <w14:ligatures w14:val="standardContextual"/>
    </w:rPr>
  </w:style>
  <w:style w:type="character" w:styleId="Hipervnculo">
    <w:name w:val="Hyperlink"/>
    <w:basedOn w:val="Fuentedeprrafopredeter"/>
    <w:uiPriority w:val="99"/>
    <w:unhideWhenUsed/>
    <w:rsid w:val="005709B9"/>
    <w:rPr>
      <w:color w:val="0563C1" w:themeColor="hyperlink"/>
      <w:u w:val="single"/>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709B9"/>
    <w:rPr>
      <w:rFonts w:ascii="Geomanist Light" w:hAnsi="Geomanist Light"/>
      <w:kern w:val="0"/>
      <w:lang w:val="es-ES"/>
      <w14:ligatures w14:val="none"/>
    </w:rPr>
  </w:style>
  <w:style w:type="paragraph" w:styleId="Textoindependiente">
    <w:name w:val="Body Text"/>
    <w:basedOn w:val="Normal"/>
    <w:link w:val="TextoindependienteCar"/>
    <w:uiPriority w:val="1"/>
    <w:semiHidden/>
    <w:unhideWhenUsed/>
    <w:qFormat/>
    <w:rsid w:val="005709B9"/>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semiHidden/>
    <w:rsid w:val="005709B9"/>
    <w:rPr>
      <w:rFonts w:ascii="Arial MT" w:eastAsia="Arial MT" w:hAnsi="Arial MT" w:cs="Arial MT"/>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zalduacontreras@yaho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files_2020/cce-eicp-ma-04._manual_requisitos_habilitantes_v.02.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FC315B-9687-4CC4-8B20-02F2D00B80CD}">
  <ds:schemaRefs>
    <ds:schemaRef ds:uri="9d85dbaf-23eb-4e57-a637-93dcacc8b1a1"/>
    <ds:schemaRef ds:uri="http://schemas.openxmlformats.org/package/2006/metadata/core-properties"/>
    <ds:schemaRef ds:uri="http://purl.org/dc/dcmitype/"/>
    <ds:schemaRef ds:uri="a6cb9e4b-f1d1-4245-83ec-6cad768d538a"/>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ACDEBCDC-CC6C-451B-9532-74382474E932}">
  <ds:schemaRefs>
    <ds:schemaRef ds:uri="http://schemas.microsoft.com/sharepoint/v3/contenttype/forms"/>
  </ds:schemaRefs>
</ds:datastoreItem>
</file>

<file path=customXml/itemProps3.xml><?xml version="1.0" encoding="utf-8"?>
<ds:datastoreItem xmlns:ds="http://schemas.openxmlformats.org/officeDocument/2006/customXml" ds:itemID="{DD088E74-8A24-43A4-98B6-AE83FD296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5494</Words>
  <Characters>30222</Characters>
  <Application>Microsoft Office Word</Application>
  <DocSecurity>0</DocSecurity>
  <Lines>251</Lines>
  <Paragraphs>71</Paragraphs>
  <ScaleCrop>false</ScaleCrop>
  <Company/>
  <LinksUpToDate>false</LinksUpToDate>
  <CharactersWithSpaces>35645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Fernández Reinoso</dc:creator>
  <cp:keywords/>
  <dc:description/>
  <cp:lastModifiedBy>Melissa Fernández Reinoso</cp:lastModifiedBy>
  <cp:revision>2</cp:revision>
  <dcterms:created xsi:type="dcterms:W3CDTF">2023-05-26T13:15:00Z</dcterms:created>
  <dcterms:modified xsi:type="dcterms:W3CDTF">2023-05-26T13:15:00Z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