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A0E4"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Definición – Finalidad </w:t>
      </w:r>
    </w:p>
    <w:p w14:paraId="5D122783"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C82C0E2"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Cs/>
          <w:noProof/>
          <w:sz w:val="20"/>
          <w:szCs w:val="20"/>
          <w:lang w:val="es-ES_tradnl"/>
        </w:rPr>
        <w:t>[…]</w:t>
      </w:r>
      <w:r w:rsidRPr="00D90815">
        <w:rPr>
          <w:rFonts w:ascii="Arial" w:eastAsia="Calibri" w:hAnsi="Arial" w:cs="Arial"/>
          <w:b/>
          <w:noProof/>
          <w:sz w:val="20"/>
          <w:szCs w:val="20"/>
          <w:lang w:val="es-ES_tradnl"/>
        </w:rPr>
        <w:t xml:space="preserve"> </w:t>
      </w:r>
      <w:r w:rsidRPr="00D90815">
        <w:rPr>
          <w:rFonts w:ascii="Arial" w:hAnsi="Arial" w:cs="Arial"/>
          <w:bCs/>
          <w:sz w:val="20"/>
          <w:szCs w:val="20"/>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5F2E4DFB"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
          <w:noProof/>
          <w:sz w:val="20"/>
          <w:szCs w:val="20"/>
          <w:lang w:val="es-ES_tradnl"/>
        </w:rPr>
        <w:t xml:space="preserve"> </w:t>
      </w:r>
    </w:p>
    <w:p w14:paraId="0E7272A6" w14:textId="77777777" w:rsidR="00E710FF" w:rsidRPr="00D90815" w:rsidRDefault="00E710FF" w:rsidP="00E710FF">
      <w:pPr>
        <w:spacing w:after="0" w:line="240" w:lineRule="auto"/>
        <w:contextualSpacing/>
        <w:jc w:val="both"/>
        <w:rPr>
          <w:rFonts w:ascii="Arial" w:eastAsia="Calibri" w:hAnsi="Arial" w:cs="Arial"/>
          <w:bCs/>
          <w:noProof/>
          <w:sz w:val="20"/>
          <w:szCs w:val="20"/>
          <w:lang w:val="es-ES_tradnl"/>
        </w:rPr>
      </w:pPr>
      <w:r w:rsidRPr="00D90815">
        <w:rPr>
          <w:rFonts w:ascii="Arial" w:eastAsia="Calibri" w:hAnsi="Arial" w:cs="Arial"/>
          <w:bCs/>
          <w:noProof/>
          <w:sz w:val="20"/>
          <w:szCs w:val="20"/>
          <w:lang w:val="es-ES_tradnl"/>
        </w:rPr>
        <w:t>[…]</w:t>
      </w:r>
    </w:p>
    <w:p w14:paraId="57A50353"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07D69C1"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hAnsi="Arial" w:cs="Arial"/>
          <w:bCs/>
          <w:sz w:val="20"/>
          <w:szCs w:val="20"/>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w:t>
      </w:r>
    </w:p>
    <w:p w14:paraId="164F12D1"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2919F95"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Restricciones </w:t>
      </w:r>
    </w:p>
    <w:p w14:paraId="57A41828"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4D3F8847" w14:textId="77777777" w:rsidR="00E710FF" w:rsidRPr="00D90815" w:rsidRDefault="00E710FF" w:rsidP="00E710FF">
      <w:pPr>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 xml:space="preserve">De conformidad con lo anterior, la Ley 996 de 2005 establece dos (2) tipos de restricciones en materia de contratación, las cuales coinciden parcialmente. </w:t>
      </w:r>
      <w:r w:rsidRPr="00D90815">
        <w:rPr>
          <w:rFonts w:ascii="Arial" w:eastAsia="Arial" w:hAnsi="Arial" w:cs="Arial"/>
          <w:i/>
          <w:iCs/>
          <w:sz w:val="20"/>
          <w:szCs w:val="20"/>
          <w:lang w:val="es-ES" w:eastAsia="es-ES" w:bidi="es-ES"/>
        </w:rPr>
        <w:t>En primer lugar</w:t>
      </w:r>
      <w:r w:rsidRPr="00D90815">
        <w:rPr>
          <w:rFonts w:ascii="Arial" w:eastAsia="Arial" w:hAnsi="Arial" w:cs="Arial"/>
          <w:sz w:val="20"/>
          <w:szCs w:val="20"/>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D90815">
        <w:rPr>
          <w:rFonts w:ascii="Arial" w:eastAsia="Arial" w:hAnsi="Arial" w:cs="Arial"/>
          <w:i/>
          <w:iCs/>
          <w:sz w:val="20"/>
          <w:szCs w:val="20"/>
          <w:lang w:val="es-ES" w:eastAsia="es-ES" w:bidi="es-ES"/>
        </w:rPr>
        <w:t>En segundo lugar</w:t>
      </w:r>
      <w:r w:rsidRPr="00D90815">
        <w:rPr>
          <w:rFonts w:ascii="Arial" w:eastAsia="Arial" w:hAnsi="Arial" w:cs="Arial"/>
          <w:sz w:val="20"/>
          <w:szCs w:val="20"/>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95BEC27"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67F5E45"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Alcance </w:t>
      </w:r>
    </w:p>
    <w:p w14:paraId="0F506F8F"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BD48968"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r w:rsidRPr="00D90815">
        <w:rPr>
          <w:rFonts w:ascii="Arial" w:eastAsia="Calibri" w:hAnsi="Arial" w:cs="Arial"/>
          <w:bCs/>
          <w:sz w:val="20"/>
          <w:szCs w:val="20"/>
          <w:lang w:val="es-MX"/>
        </w:rPr>
        <w:t>En primer lugar, el inciso primero del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D90815">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p>
    <w:p w14:paraId="43A8270F"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24EF40D8"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Definición – Criterio orgánico </w:t>
      </w:r>
    </w:p>
    <w:p w14:paraId="09976282"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FAAC602" w14:textId="77777777" w:rsidR="00E710FF" w:rsidRPr="00D90815" w:rsidRDefault="00E710FF" w:rsidP="00E710FF">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Calibri" w:hAnsi="Arial" w:cs="Arial"/>
          <w:bCs/>
          <w:noProof/>
          <w:sz w:val="20"/>
          <w:szCs w:val="20"/>
          <w:lang w:val="es-ES_tradnl"/>
        </w:rPr>
        <w:t>[…]</w:t>
      </w:r>
      <w:r w:rsidRPr="00D90815">
        <w:rPr>
          <w:rFonts w:ascii="Arial" w:eastAsia="Calibri" w:hAnsi="Arial" w:cs="Arial"/>
          <w:b/>
          <w:noProof/>
          <w:sz w:val="20"/>
          <w:szCs w:val="20"/>
          <w:lang w:val="es-ES_tradnl"/>
        </w:rPr>
        <w:t xml:space="preserve"> </w:t>
      </w:r>
      <w:r w:rsidRPr="00D90815">
        <w:rPr>
          <w:rFonts w:ascii="Arial" w:eastAsia="Arial" w:hAnsi="Arial" w:cs="Arial"/>
          <w:sz w:val="20"/>
          <w:szCs w:val="20"/>
          <w:lang w:val="es-ES" w:eastAsia="es-ES" w:bidi="es-ES"/>
        </w:rPr>
        <w:t xml:space="preserve">Aunque la ley no la definió ni desarrolló, el Decreto 1082 de 2015 califica a los convenios o contratos </w:t>
      </w:r>
      <w:r w:rsidRPr="00D90815">
        <w:rPr>
          <w:rFonts w:ascii="Arial" w:eastAsia="Arial" w:hAnsi="Arial" w:cs="Arial"/>
          <w:sz w:val="20"/>
          <w:szCs w:val="20"/>
          <w:lang w:val="es-ES" w:eastAsia="es-ES" w:bidi="es-ES"/>
        </w:rPr>
        <w:lastRenderedPageBreak/>
        <w:t>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D90815">
        <w:rPr>
          <w:rFonts w:ascii="Arial" w:eastAsia="Arial" w:hAnsi="Arial" w:cs="Arial"/>
          <w:spacing w:val="-6"/>
          <w:sz w:val="20"/>
          <w:szCs w:val="20"/>
          <w:lang w:val="es-ES" w:eastAsia="es-ES" w:bidi="es-ES"/>
        </w:rPr>
        <w:t xml:space="preserve"> </w:t>
      </w:r>
      <w:r w:rsidRPr="00D90815">
        <w:rPr>
          <w:rFonts w:ascii="Arial" w:eastAsia="Arial" w:hAnsi="Arial" w:cs="Arial"/>
          <w:sz w:val="20"/>
          <w:szCs w:val="20"/>
          <w:lang w:val="es-ES" w:eastAsia="es-ES" w:bidi="es-ES"/>
        </w:rPr>
        <w:t>estatales.</w:t>
      </w:r>
    </w:p>
    <w:p w14:paraId="257AF7B8"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797E2223"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CONTRATOS Y CONVENIOS INTERADMINISTRATIVOS – Modalidad de selección</w:t>
      </w:r>
    </w:p>
    <w:p w14:paraId="76F07FD0"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3644C5F" w14:textId="77777777" w:rsidR="00E710FF" w:rsidRPr="00D90815" w:rsidRDefault="00E710FF" w:rsidP="00E710FF">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w:t>
      </w:r>
      <w:r w:rsidRPr="00D90815">
        <w:rPr>
          <w:rFonts w:ascii="Arial" w:eastAsia="Arial" w:hAnsi="Arial" w:cs="Arial"/>
          <w:spacing w:val="-18"/>
          <w:sz w:val="20"/>
          <w:szCs w:val="20"/>
          <w:lang w:val="es-ES" w:eastAsia="es-ES" w:bidi="es-ES"/>
        </w:rPr>
        <w:t xml:space="preserve"> </w:t>
      </w:r>
      <w:r w:rsidRPr="00D90815">
        <w:rPr>
          <w:rFonts w:ascii="Arial" w:eastAsia="Arial" w:hAnsi="Arial" w:cs="Arial"/>
          <w:sz w:val="20"/>
          <w:szCs w:val="20"/>
          <w:lang w:val="es-ES" w:eastAsia="es-ES" w:bidi="es-ES"/>
        </w:rPr>
        <w:t>interadministrativo.</w:t>
      </w:r>
    </w:p>
    <w:p w14:paraId="39D28B17"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5D2EBC22"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 xml:space="preserve">LEY DE GARANTÍAS ELECTORALES ‒ Prohibición por elección de cargos populares – Convenios y contratos interadministrativos – Tipologia contractual – Modalidad de selección </w:t>
      </w:r>
    </w:p>
    <w:p w14:paraId="64F448D4"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A9ADD1D" w14:textId="77777777" w:rsidR="00E710FF" w:rsidRPr="00D90815" w:rsidRDefault="00E710FF" w:rsidP="00E710FF">
      <w:pPr>
        <w:widowControl w:val="0"/>
        <w:autoSpaceDE w:val="0"/>
        <w:autoSpaceDN w:val="0"/>
        <w:spacing w:after="0" w:line="240" w:lineRule="auto"/>
        <w:contextualSpacing/>
        <w:jc w:val="both"/>
        <w:rPr>
          <w:rFonts w:ascii="Arial" w:eastAsia="Arial" w:hAnsi="Arial" w:cs="Arial"/>
          <w:sz w:val="20"/>
          <w:szCs w:val="20"/>
          <w:lang w:val="es-ES" w:eastAsia="es-ES" w:bidi="es-ES"/>
        </w:rPr>
      </w:pPr>
      <w:r w:rsidRPr="00D90815">
        <w:rPr>
          <w:rFonts w:ascii="Arial" w:eastAsia="Arial" w:hAnsi="Arial" w:cs="Arial"/>
          <w:sz w:val="20"/>
          <w:szCs w:val="20"/>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D90815">
        <w:rPr>
          <w:rFonts w:ascii="Arial" w:eastAsia="Arial" w:hAnsi="Arial" w:cs="Arial"/>
          <w:spacing w:val="-3"/>
          <w:sz w:val="20"/>
          <w:szCs w:val="20"/>
          <w:lang w:val="es-ES" w:eastAsia="es-ES" w:bidi="es-ES"/>
        </w:rPr>
        <w:t xml:space="preserve"> </w:t>
      </w:r>
      <w:r w:rsidRPr="00D90815">
        <w:rPr>
          <w:rFonts w:ascii="Arial" w:eastAsia="Arial" w:hAnsi="Arial" w:cs="Arial"/>
          <w:sz w:val="20"/>
          <w:szCs w:val="20"/>
          <w:lang w:val="es-ES" w:eastAsia="es-ES" w:bidi="es-ES"/>
        </w:rPr>
        <w:t>estatales.</w:t>
      </w:r>
    </w:p>
    <w:p w14:paraId="72214AD1"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0240375B" w14:textId="77777777" w:rsidR="00E710FF" w:rsidRPr="00D90815" w:rsidRDefault="00E710FF" w:rsidP="00E710FF">
      <w:pPr>
        <w:spacing w:after="0" w:line="240" w:lineRule="auto"/>
        <w:contextualSpacing/>
        <w:jc w:val="both"/>
        <w:rPr>
          <w:rFonts w:ascii="Arial" w:eastAsia="Calibri" w:hAnsi="Arial" w:cs="Arial"/>
          <w:b/>
          <w:noProof/>
          <w:lang w:val="es-ES_tradnl"/>
        </w:rPr>
      </w:pPr>
      <w:r w:rsidRPr="00D90815">
        <w:rPr>
          <w:rFonts w:ascii="Arial" w:eastAsia="Calibri" w:hAnsi="Arial" w:cs="Arial"/>
          <w:b/>
          <w:noProof/>
          <w:lang w:val="es-ES_tradnl"/>
        </w:rPr>
        <w:t>LEY DE GARANTÍAS ELECTORALES ‒ Prohibición por elección de cargos populares – Modificación de la nómina</w:t>
      </w:r>
    </w:p>
    <w:p w14:paraId="7498423F"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03260D4" w14:textId="77777777" w:rsidR="00E710FF" w:rsidRPr="00D90815" w:rsidRDefault="00E710FF" w:rsidP="00E710FF">
      <w:pPr>
        <w:spacing w:after="0" w:line="240" w:lineRule="auto"/>
        <w:contextualSpacing/>
        <w:jc w:val="both"/>
        <w:rPr>
          <w:rFonts w:ascii="Arial" w:hAnsi="Arial" w:cs="Arial"/>
          <w:sz w:val="20"/>
          <w:szCs w:val="20"/>
          <w:lang w:val="es-MX"/>
        </w:rPr>
      </w:pPr>
      <w:r w:rsidRPr="00D90815">
        <w:rPr>
          <w:rFonts w:ascii="Arial" w:eastAsia="Calibri" w:hAnsi="Arial" w:cs="Arial"/>
          <w:bCs/>
          <w:noProof/>
          <w:sz w:val="20"/>
          <w:szCs w:val="20"/>
          <w:lang w:val="es-ES_tradnl"/>
        </w:rPr>
        <w:t xml:space="preserve">[…] </w:t>
      </w:r>
      <w:r w:rsidRPr="00D90815">
        <w:rPr>
          <w:rFonts w:ascii="Arial" w:hAnsi="Arial" w:cs="Arial"/>
          <w:sz w:val="20"/>
          <w:szCs w:val="20"/>
          <w:shd w:val="clear" w:color="auto" w:fill="FFFFFF"/>
          <w:lang w:val="es-MX"/>
        </w:rPr>
        <w:t>la nómina del respectivo ente territorial o entidad estatal no se podrá modificar dentro de los cuatro (4) meses anteriores a las elecciones a cargos de elección popular, salvo que se trate de la provisión de cargos por faltas definitivas, con ocasión de muerte o renuncia irrevocable del cargo correspondiente debidamente aceptada y en los casos de aplicación de las normas de carrera administrativa. Sobre esta prohibición e</w:t>
      </w:r>
      <w:r w:rsidRPr="00D90815">
        <w:rPr>
          <w:rFonts w:ascii="Arial" w:hAnsi="Arial" w:cs="Arial"/>
          <w:sz w:val="20"/>
          <w:szCs w:val="20"/>
          <w:lang w:val="es-MX"/>
        </w:rPr>
        <w:t xml:space="preserve">s importante decir que esta restricción, que aplica a todos los organismos y entidades de la Rama Ejecutiva, respeta el equilibrio que debe existir entre la moralidad administrativa y la eficacia de la administración. Al respecto, la Corte Constitucional, en Sentencia C-1153 de 2005, sostuvo que las limitaciones previstas en el artículo 38 de la Ley 996 de 2005 están claramente encaminadas a garantizar los principios de la función administrativa previstos en el artículo 209 de la Constitución Política, en particular la moralidad, la imparcialidad y la eficacia en el cumplimiento de las funciones. </w:t>
      </w:r>
    </w:p>
    <w:p w14:paraId="77B96BD2" w14:textId="77777777" w:rsidR="00E710FF" w:rsidRPr="00D90815" w:rsidRDefault="00E710FF" w:rsidP="00E710FF">
      <w:pPr>
        <w:spacing w:after="0" w:line="240" w:lineRule="auto"/>
        <w:contextualSpacing/>
        <w:jc w:val="both"/>
        <w:rPr>
          <w:rFonts w:ascii="Arial" w:eastAsia="Calibri" w:hAnsi="Arial" w:cs="Arial"/>
          <w:b/>
          <w:noProof/>
          <w:sz w:val="20"/>
          <w:szCs w:val="20"/>
          <w:lang w:val="es-ES_tradnl"/>
        </w:rPr>
      </w:pPr>
    </w:p>
    <w:p w14:paraId="1F6A4A15" w14:textId="77777777" w:rsidR="00E710FF" w:rsidRPr="00D90815" w:rsidRDefault="00E710FF" w:rsidP="00E710FF">
      <w:pPr>
        <w:spacing w:after="0" w:line="240" w:lineRule="auto"/>
        <w:contextualSpacing/>
        <w:jc w:val="both"/>
        <w:rPr>
          <w:rFonts w:ascii="Arial" w:hAnsi="Arial" w:cs="Arial"/>
          <w:b/>
          <w:lang w:val="es-MX"/>
        </w:rPr>
      </w:pPr>
      <w:r w:rsidRPr="00D90815">
        <w:rPr>
          <w:rFonts w:ascii="Arial" w:eastAsia="Calibri" w:hAnsi="Arial" w:cs="Arial"/>
          <w:b/>
          <w:noProof/>
          <w:lang w:val="es-ES_tradnl"/>
        </w:rPr>
        <w:t xml:space="preserve">LEY DE GARANTÍAS ELECTORALES ‒ Prohibición por elección de cargos populares – Periodo de aplicación </w:t>
      </w:r>
    </w:p>
    <w:p w14:paraId="4BA8C598" w14:textId="77777777" w:rsidR="00E710FF" w:rsidRPr="00D90815" w:rsidRDefault="00E710FF" w:rsidP="00E710FF">
      <w:pPr>
        <w:spacing w:after="0" w:line="240" w:lineRule="auto"/>
        <w:contextualSpacing/>
        <w:rPr>
          <w:sz w:val="20"/>
          <w:szCs w:val="20"/>
        </w:rPr>
      </w:pPr>
    </w:p>
    <w:p w14:paraId="24B13A60" w14:textId="77777777" w:rsidR="00E710FF" w:rsidRPr="00D90815" w:rsidRDefault="00E710FF" w:rsidP="00E710FF">
      <w:pPr>
        <w:spacing w:after="0" w:line="240" w:lineRule="auto"/>
        <w:contextualSpacing/>
        <w:jc w:val="both"/>
        <w:rPr>
          <w:rFonts w:ascii="Arial" w:hAnsi="Arial" w:cs="Arial"/>
          <w:sz w:val="20"/>
          <w:szCs w:val="20"/>
          <w:shd w:val="clear" w:color="auto" w:fill="FFFFFF"/>
          <w:lang w:val="es-MX"/>
        </w:rPr>
      </w:pPr>
      <w:r w:rsidRPr="00D90815">
        <w:rPr>
          <w:rFonts w:ascii="Arial" w:hAnsi="Arial" w:cs="Arial"/>
          <w:sz w:val="20"/>
          <w:szCs w:val="20"/>
          <w:shd w:val="clear" w:color="auto" w:fill="FFFFFF"/>
          <w:lang w:val="es-MX"/>
        </w:rPr>
        <w:t xml:space="preserve">La Ley 996 de 2005 establece que dichas prohibiciones se aplicarán durante los cuatro (4) meses anteriores a las elecciones. Con motivo de las elecciones de autoridades locales que se realizan el último domingo </w:t>
      </w:r>
      <w:r w:rsidRPr="00D90815">
        <w:rPr>
          <w:rFonts w:ascii="Arial" w:hAnsi="Arial" w:cs="Arial"/>
          <w:sz w:val="20"/>
          <w:szCs w:val="20"/>
          <w:shd w:val="clear" w:color="auto" w:fill="FFFFFF"/>
          <w:lang w:val="es-MX"/>
        </w:rPr>
        <w:lastRenderedPageBreak/>
        <w:t>del mes de octubre, es decir el 29 de octubre de 2023, la mencionada ley entrará en vigencia desde el próximo 29 de junio y se extenderá hasta el día en el que se celebran las elecciones.</w:t>
      </w:r>
    </w:p>
    <w:p w14:paraId="3D84F4ED" w14:textId="77777777" w:rsidR="007F697D" w:rsidRDefault="007F697D" w:rsidP="00EA3441">
      <w:pPr>
        <w:jc w:val="both"/>
        <w:rPr>
          <w:rFonts w:ascii="Arial" w:hAnsi="Arial" w:cs="Arial"/>
          <w:bCs/>
          <w:lang w:val="es-ES_tradnl"/>
        </w:rPr>
      </w:pPr>
    </w:p>
    <w:p w14:paraId="6631A065" w14:textId="3286C94D" w:rsidR="00EA3441" w:rsidRDefault="00EA3441" w:rsidP="00EA3441">
      <w:pPr>
        <w:jc w:val="both"/>
        <w:rPr>
          <w:rFonts w:ascii="Arial" w:hAnsi="Arial" w:cs="Arial"/>
          <w:b/>
          <w:lang w:val="es-ES_tradnl"/>
        </w:rPr>
      </w:pPr>
      <w:r w:rsidRPr="00EA3441">
        <w:rPr>
          <w:rFonts w:ascii="Arial" w:hAnsi="Arial" w:cs="Arial"/>
          <w:b/>
          <w:lang w:val="es-ES_tradnl"/>
        </w:rPr>
        <w:t xml:space="preserve">INTEROPERABILIDAD </w:t>
      </w:r>
      <w:r>
        <w:rPr>
          <w:rFonts w:ascii="Arial" w:hAnsi="Arial" w:cs="Arial"/>
          <w:b/>
          <w:lang w:val="es-ES_tradnl"/>
        </w:rPr>
        <w:t xml:space="preserve">E </w:t>
      </w:r>
      <w:r w:rsidRPr="00EA3441">
        <w:rPr>
          <w:rFonts w:ascii="Arial" w:hAnsi="Arial" w:cs="Arial"/>
          <w:b/>
          <w:lang w:val="es-ES_tradnl"/>
        </w:rPr>
        <w:t>INTERCAMBIO DE INFORMACI</w:t>
      </w:r>
      <w:r>
        <w:rPr>
          <w:rFonts w:ascii="Arial" w:hAnsi="Arial" w:cs="Arial"/>
          <w:b/>
          <w:lang w:val="es-ES_tradnl"/>
        </w:rPr>
        <w:t>Ó</w:t>
      </w:r>
      <w:r w:rsidRPr="00EA3441">
        <w:rPr>
          <w:rFonts w:ascii="Arial" w:hAnsi="Arial" w:cs="Arial"/>
          <w:b/>
          <w:lang w:val="es-ES_tradnl"/>
        </w:rPr>
        <w:t>N ENTRE ENTIDADES P</w:t>
      </w:r>
      <w:r>
        <w:rPr>
          <w:rFonts w:ascii="Arial" w:hAnsi="Arial" w:cs="Arial"/>
          <w:b/>
          <w:lang w:val="es-ES_tradnl"/>
        </w:rPr>
        <w:t>Ú</w:t>
      </w:r>
      <w:r w:rsidRPr="00EA3441">
        <w:rPr>
          <w:rFonts w:ascii="Arial" w:hAnsi="Arial" w:cs="Arial"/>
          <w:b/>
          <w:lang w:val="es-ES_tradnl"/>
        </w:rPr>
        <w:t xml:space="preserve">BLICAS </w:t>
      </w:r>
    </w:p>
    <w:p w14:paraId="1BA498FB" w14:textId="77777777" w:rsidR="00EA3441" w:rsidRPr="00EA3441" w:rsidRDefault="00EA3441" w:rsidP="00EA3441">
      <w:pPr>
        <w:jc w:val="both"/>
        <w:rPr>
          <w:rFonts w:ascii="Arial" w:hAnsi="Arial" w:cs="Arial"/>
          <w:bCs/>
          <w:sz w:val="20"/>
          <w:szCs w:val="20"/>
          <w:lang w:val="es-ES_tradnl"/>
        </w:rPr>
      </w:pPr>
      <w:r w:rsidRPr="00EA3441">
        <w:rPr>
          <w:rFonts w:ascii="Arial" w:hAnsi="Arial" w:cs="Arial"/>
          <w:bCs/>
          <w:sz w:val="20"/>
          <w:szCs w:val="20"/>
          <w:lang w:val="es-ES_tradnl"/>
        </w:rPr>
        <w:t xml:space="preserve">El Marco de interoperabilidad de Gobierno Digital surge con el propósito de contribuir en la entrega de servicios digitales, de manera completa, adecuada, minimizando los pasos y evitando el desplazamiento del ciudadano a diversas entidades para obtener la información necesaria de una entidad y acceder así a sus derechos y obligaciones con el Estado. La interoperabilidad permite fortalecer la visión de unidad del Estado, al tener una mayor capacidad de comunicación, entrega y uso de servicios digitales de valor para mejorar la calidad de vida de los ciudadanos.  </w:t>
      </w:r>
    </w:p>
    <w:p w14:paraId="05C711AC" w14:textId="5F7EB9A3" w:rsidR="00E710FF" w:rsidRPr="00EA3441" w:rsidRDefault="00EA3441" w:rsidP="00EA3441">
      <w:pPr>
        <w:jc w:val="both"/>
        <w:rPr>
          <w:rFonts w:ascii="Arial" w:hAnsi="Arial" w:cs="Arial"/>
          <w:bCs/>
          <w:lang w:val="es-ES_tradnl"/>
        </w:rPr>
      </w:pPr>
      <w:r w:rsidRPr="00EA3441">
        <w:rPr>
          <w:rFonts w:ascii="Arial" w:hAnsi="Arial" w:cs="Arial"/>
          <w:bCs/>
          <w:sz w:val="20"/>
          <w:szCs w:val="20"/>
          <w:lang w:val="es-ES_tradnl"/>
        </w:rPr>
        <w:t>El Marco de Interoperabilidad de Gobierno Digital es la herramienta que acompaña a las entidades en el desarrollo de sus capacidades de intercambio de información, sin importar sus restricciones o su tamaño. Para esto se estructuró dividiendo la interoperabilidad en sus diferentes ámbitos y puntos de vista que constituyen el ejercicio de intercambiar información en cuatro (4) dominios de interoperabilidad.  Para realizar una mejor adopción y seguimiento a la implementación de este Marco, se desarrolló un modelo de madurez que ayuda a las entidades a identificar su estado de avance en el cumplimiento de los lineamientos para cada uno de los dominios. Finalmente, los lineamientos son descritos a un nivel detallado a través de un conjunto de actividades y recomendaciones que facilitan su cumplimiento, conteniendo acciones a emprender y habilitadores transversales a utilizar para garantizar el intercambio efectivo de información.</w:t>
      </w:r>
      <w:r w:rsidRPr="00EA3441">
        <w:rPr>
          <w:rFonts w:ascii="Arial" w:hAnsi="Arial" w:cs="Arial"/>
          <w:bCs/>
          <w:lang w:val="es-ES_tradnl"/>
        </w:rPr>
        <w:t xml:space="preserve"> </w:t>
      </w:r>
      <w:r w:rsidR="00E710FF" w:rsidRPr="00EA3441">
        <w:rPr>
          <w:rFonts w:ascii="Arial" w:hAnsi="Arial" w:cs="Arial"/>
          <w:bCs/>
          <w:lang w:val="es-ES_tradnl"/>
        </w:rPr>
        <w:br w:type="page"/>
      </w:r>
    </w:p>
    <w:p w14:paraId="3D92B9FE" w14:textId="5F21A3C8" w:rsidR="004B0B13" w:rsidRDefault="004B0B13" w:rsidP="00551222">
      <w:pPr>
        <w:spacing w:after="0" w:line="240" w:lineRule="auto"/>
        <w:contextualSpacing/>
        <w:jc w:val="both"/>
        <w:rPr>
          <w:rFonts w:ascii="Arial" w:hAnsi="Arial" w:cs="Arial"/>
          <w:bCs/>
          <w:lang w:val="es-ES_tradnl"/>
        </w:rPr>
      </w:pPr>
      <w:r>
        <w:rPr>
          <w:rFonts w:ascii="Arial" w:hAnsi="Arial" w:cs="Arial"/>
          <w:bCs/>
          <w:lang w:val="es-ES_tradnl"/>
        </w:rPr>
        <w:lastRenderedPageBreak/>
        <w:t xml:space="preserve">Bogotá D.C, 27 de junio de 2023 </w:t>
      </w:r>
    </w:p>
    <w:p w14:paraId="176A231D" w14:textId="3678C15E" w:rsidR="00FF4400" w:rsidRPr="00551222" w:rsidRDefault="00FF4400" w:rsidP="00982FC5">
      <w:pPr>
        <w:spacing w:after="0" w:line="240" w:lineRule="auto"/>
        <w:contextualSpacing/>
        <w:jc w:val="right"/>
        <w:rPr>
          <w:rFonts w:ascii="Arial" w:hAnsi="Arial" w:cs="Arial"/>
          <w:bCs/>
          <w:lang w:val="es-ES_tradnl"/>
        </w:rPr>
      </w:pPr>
    </w:p>
    <w:p w14:paraId="5B181E04" w14:textId="08C98826" w:rsidR="00551222" w:rsidRPr="00551222" w:rsidRDefault="00551222" w:rsidP="00FF4400">
      <w:pPr>
        <w:spacing w:after="0" w:line="240" w:lineRule="auto"/>
        <w:contextualSpacing/>
        <w:jc w:val="right"/>
        <w:rPr>
          <w:rFonts w:ascii="Arial" w:hAnsi="Arial" w:cs="Arial"/>
          <w:bCs/>
          <w:lang w:val="es-ES_tradnl"/>
        </w:rPr>
      </w:pPr>
    </w:p>
    <w:p w14:paraId="3C765A28" w14:textId="26A4F99E" w:rsidR="00551222" w:rsidRPr="00551222" w:rsidRDefault="00E80A29" w:rsidP="00551222">
      <w:pPr>
        <w:spacing w:after="0" w:line="240" w:lineRule="auto"/>
        <w:contextualSpacing/>
        <w:rPr>
          <w:rFonts w:ascii="Arial" w:hAnsi="Arial" w:cs="Arial"/>
          <w:lang w:val="es-ES_tradnl"/>
        </w:rPr>
      </w:pPr>
      <w:bookmarkStart w:id="0" w:name="_Hlk70510939"/>
      <w:r>
        <w:rPr>
          <w:noProof/>
        </w:rPr>
        <w:drawing>
          <wp:anchor distT="0" distB="0" distL="0" distR="0" simplePos="0" relativeHeight="251659264" behindDoc="0" locked="0" layoutInCell="1" allowOverlap="1" wp14:anchorId="616C373D" wp14:editId="49D92ED6">
            <wp:simplePos x="0" y="0"/>
            <wp:positionH relativeFrom="page">
              <wp:posOffset>4426357</wp:posOffset>
            </wp:positionH>
            <wp:positionV relativeFrom="paragraph">
              <wp:posOffset>65812</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r w:rsidR="00551222" w:rsidRPr="00551222">
        <w:rPr>
          <w:rFonts w:ascii="Arial" w:hAnsi="Arial" w:cs="Arial"/>
          <w:lang w:val="es-ES_tradnl"/>
        </w:rPr>
        <w:t>Señora</w:t>
      </w:r>
    </w:p>
    <w:p w14:paraId="236D928A" w14:textId="2E68F22D" w:rsidR="00551222" w:rsidRPr="00551222" w:rsidRDefault="00E529B2" w:rsidP="00551222">
      <w:pPr>
        <w:spacing w:after="0" w:line="240" w:lineRule="auto"/>
        <w:contextualSpacing/>
        <w:jc w:val="both"/>
        <w:rPr>
          <w:rFonts w:ascii="Arial" w:hAnsi="Arial" w:cs="Arial"/>
          <w:b/>
          <w:lang w:val="es-ES_tradnl"/>
        </w:rPr>
      </w:pPr>
      <w:r>
        <w:rPr>
          <w:rFonts w:ascii="Arial" w:hAnsi="Arial" w:cs="Arial"/>
          <w:b/>
          <w:lang w:val="es-ES_tradnl"/>
        </w:rPr>
        <w:t>Sonia Marcela Salazar</w:t>
      </w:r>
    </w:p>
    <w:p w14:paraId="3D9B8216" w14:textId="1D6EE335" w:rsidR="00551222" w:rsidRPr="00551222" w:rsidRDefault="00E529B2" w:rsidP="00551222">
      <w:pPr>
        <w:spacing w:after="0" w:line="240" w:lineRule="auto"/>
        <w:contextualSpacing/>
        <w:jc w:val="both"/>
        <w:rPr>
          <w:rFonts w:ascii="Arial" w:hAnsi="Arial" w:cs="Arial"/>
          <w:bCs/>
          <w:lang w:val="es-ES_tradnl"/>
        </w:rPr>
      </w:pPr>
      <w:r>
        <w:rPr>
          <w:rFonts w:ascii="Arial" w:hAnsi="Arial" w:cs="Arial"/>
          <w:bCs/>
          <w:lang w:val="es-ES_tradnl"/>
        </w:rPr>
        <w:t>soniasalazar.910@hotmail.com</w:t>
      </w:r>
    </w:p>
    <w:p w14:paraId="11DA6A8D" w14:textId="77777777" w:rsidR="00551222" w:rsidRPr="00551222" w:rsidRDefault="00551222" w:rsidP="00551222">
      <w:pPr>
        <w:spacing w:after="0" w:line="240" w:lineRule="auto"/>
        <w:contextualSpacing/>
        <w:rPr>
          <w:rFonts w:ascii="Arial" w:hAnsi="Arial" w:cs="Arial"/>
          <w:lang w:val="es-MX"/>
        </w:rPr>
      </w:pPr>
      <w:r w:rsidRPr="00551222">
        <w:rPr>
          <w:rFonts w:ascii="Arial" w:hAnsi="Arial" w:cs="Arial"/>
          <w:lang w:val="es-MX"/>
        </w:rPr>
        <w:t>Ciudad</w:t>
      </w:r>
    </w:p>
    <w:p w14:paraId="03364D90" w14:textId="3A49B91A" w:rsidR="00551222" w:rsidRPr="00551222" w:rsidRDefault="00551222" w:rsidP="00551222">
      <w:pPr>
        <w:spacing w:after="0" w:line="240" w:lineRule="auto"/>
        <w:contextualSpacing/>
        <w:rPr>
          <w:rFonts w:ascii="Arial" w:hAnsi="Arial" w:cs="Arial"/>
          <w:lang w:val="es-MX"/>
        </w:rPr>
      </w:pPr>
    </w:p>
    <w:p w14:paraId="554A327A" w14:textId="77777777" w:rsidR="00551222" w:rsidRPr="00551222" w:rsidRDefault="00551222" w:rsidP="00551222">
      <w:pPr>
        <w:spacing w:after="0" w:line="240" w:lineRule="auto"/>
        <w:contextualSpacing/>
        <w:rPr>
          <w:rFonts w:ascii="Arial" w:hAnsi="Arial" w:cs="Arial"/>
          <w:b/>
          <w:bCs/>
          <w:lang w:val="es-ES_tradnl"/>
        </w:rPr>
      </w:pPr>
    </w:p>
    <w:p w14:paraId="1A7F4FC3" w14:textId="0C812F65" w:rsidR="00551222" w:rsidRPr="00551222" w:rsidRDefault="00551222" w:rsidP="00551222">
      <w:pPr>
        <w:spacing w:after="0" w:line="240" w:lineRule="auto"/>
        <w:ind w:left="2124" w:firstLine="708"/>
        <w:contextualSpacing/>
        <w:rPr>
          <w:rFonts w:ascii="Arial" w:hAnsi="Arial" w:cs="Arial"/>
          <w:b/>
          <w:bCs/>
          <w:lang w:val="es-ES_tradnl"/>
        </w:rPr>
      </w:pPr>
      <w:r w:rsidRPr="00551222">
        <w:rPr>
          <w:rFonts w:ascii="Arial" w:hAnsi="Arial" w:cs="Arial"/>
          <w:b/>
          <w:bCs/>
          <w:lang w:val="es-ES_tradnl"/>
        </w:rPr>
        <w:t>Concepto C – 1</w:t>
      </w:r>
      <w:r w:rsidR="00E529B2">
        <w:rPr>
          <w:rFonts w:ascii="Arial" w:hAnsi="Arial" w:cs="Arial"/>
          <w:b/>
          <w:bCs/>
          <w:lang w:val="es-ES_tradnl"/>
        </w:rPr>
        <w:t>3</w:t>
      </w:r>
      <w:r w:rsidR="00047A51">
        <w:rPr>
          <w:rFonts w:ascii="Arial" w:hAnsi="Arial" w:cs="Arial"/>
          <w:b/>
          <w:bCs/>
          <w:lang w:val="es-ES_tradnl"/>
        </w:rPr>
        <w:t>4</w:t>
      </w:r>
      <w:r w:rsidRPr="00551222">
        <w:rPr>
          <w:rFonts w:ascii="Arial" w:hAnsi="Arial" w:cs="Arial"/>
          <w:b/>
          <w:bCs/>
          <w:lang w:val="es-ES_tradnl"/>
        </w:rPr>
        <w:t xml:space="preserve"> de 2023</w:t>
      </w:r>
    </w:p>
    <w:p w14:paraId="2123A35D" w14:textId="77777777" w:rsidR="00551222" w:rsidRPr="00551222" w:rsidRDefault="00551222" w:rsidP="00551222">
      <w:pPr>
        <w:spacing w:after="0" w:line="240" w:lineRule="auto"/>
        <w:ind w:left="2824" w:hanging="2818"/>
        <w:contextualSpacing/>
        <w:jc w:val="both"/>
        <w:rPr>
          <w:rFonts w:ascii="Arial" w:eastAsia="Calibri" w:hAnsi="Arial" w:cs="Arial"/>
          <w:b/>
          <w:noProof/>
          <w:lang w:val="es-ES_tradnl"/>
        </w:rPr>
      </w:pPr>
    </w:p>
    <w:p w14:paraId="6F3EF11D" w14:textId="0DA1B486" w:rsidR="00551222" w:rsidRPr="00551222" w:rsidRDefault="00551222" w:rsidP="00551222">
      <w:pPr>
        <w:spacing w:after="0" w:line="240" w:lineRule="auto"/>
        <w:ind w:left="2832" w:hanging="2184"/>
        <w:contextualSpacing/>
        <w:jc w:val="both"/>
        <w:rPr>
          <w:rFonts w:ascii="Arial" w:hAnsi="Arial" w:cs="Arial"/>
          <w:lang w:val="es-MX"/>
        </w:rPr>
      </w:pPr>
      <w:r w:rsidRPr="00551222">
        <w:rPr>
          <w:rFonts w:ascii="Arial" w:eastAsia="Calibri" w:hAnsi="Arial" w:cs="Arial"/>
          <w:b/>
          <w:noProof/>
          <w:lang w:val="es-ES_tradnl"/>
        </w:rPr>
        <w:t>Temas</w:t>
      </w:r>
      <w:r w:rsidRPr="00551222">
        <w:rPr>
          <w:rFonts w:ascii="Arial" w:eastAsia="Calibri" w:hAnsi="Arial" w:cs="Arial"/>
          <w:bCs/>
          <w:noProof/>
          <w:lang w:val="es-ES_tradnl"/>
        </w:rPr>
        <w:t xml:space="preserve">: </w:t>
      </w:r>
      <w:r w:rsidRPr="00551222">
        <w:rPr>
          <w:rFonts w:ascii="Arial" w:eastAsia="Calibri" w:hAnsi="Arial" w:cs="Arial"/>
          <w:bCs/>
          <w:noProof/>
          <w:lang w:val="es-ES_tradnl"/>
        </w:rPr>
        <w:tab/>
        <w:t xml:space="preserve">LEY DE GARANTÍAS ELECTORALES – Definición – Finalidad / LEY DE GARANTÍAS ELECTORALES – Restricciones /  LEY DE GARANTÍAS ELECTORALES ‒ Prohibición por elección de cargos populares – Convenios y contratos interadministrativos – Alcance / LEY DE GARANTÍAS ELECTORALES ‒ Prohibición por elección de cargos populares – Convenios y contratos interadministrativos – Definición – Criterio orgánico / CONTRATOS Y CONVENIOS INTERADMINISTRATIVOS – Modalidad de selección / LEY DE GARANTÍAS ELECTORALES ‒ Prohibición por elección de cargos populares – Convenios y contratos interadministrativos – Tipologia contractual – Modalidad de selección / LEY DE GARANTÍAS ELECTORALES ‒ Prohibición por elección de cargos populares – Modificación de la nómina / LEY DE GARANTÍAS ELECTORALES ‒ Prohibición por elección de cargos populares – Periodo de aplicación </w:t>
      </w:r>
    </w:p>
    <w:p w14:paraId="5CB4C691" w14:textId="77777777" w:rsidR="00551222" w:rsidRPr="00551222" w:rsidRDefault="00551222" w:rsidP="00551222">
      <w:pPr>
        <w:spacing w:after="0" w:line="240" w:lineRule="auto"/>
        <w:ind w:left="2835" w:hanging="2835"/>
        <w:contextualSpacing/>
        <w:jc w:val="both"/>
        <w:rPr>
          <w:rFonts w:ascii="Arial" w:eastAsia="Calibri" w:hAnsi="Arial" w:cs="Arial"/>
          <w:b/>
          <w:noProof/>
          <w:lang w:val="es-ES_tradnl"/>
        </w:rPr>
      </w:pPr>
    </w:p>
    <w:p w14:paraId="423C75D5" w14:textId="0AC44558" w:rsidR="00551222" w:rsidRPr="00551222" w:rsidRDefault="00551222" w:rsidP="00E529B2">
      <w:pPr>
        <w:spacing w:after="0" w:line="240" w:lineRule="auto"/>
        <w:ind w:left="2835" w:hanging="2835"/>
        <w:contextualSpacing/>
        <w:jc w:val="both"/>
        <w:rPr>
          <w:rFonts w:ascii="Arial" w:hAnsi="Arial" w:cs="Arial"/>
          <w:lang w:val="es-ES_tradnl"/>
        </w:rPr>
      </w:pPr>
      <w:r w:rsidRPr="00551222">
        <w:rPr>
          <w:rFonts w:ascii="Arial" w:eastAsia="Calibri" w:hAnsi="Arial" w:cs="Arial"/>
          <w:b/>
          <w:noProof/>
          <w:lang w:val="es-ES_tradnl"/>
        </w:rPr>
        <w:t>Radicación</w:t>
      </w:r>
      <w:r w:rsidRPr="00551222">
        <w:rPr>
          <w:rFonts w:ascii="Arial" w:eastAsia="Calibri" w:hAnsi="Arial" w:cs="Arial"/>
          <w:bCs/>
          <w:noProof/>
          <w:lang w:val="es-ES_tradnl"/>
        </w:rPr>
        <w:t>:</w:t>
      </w:r>
      <w:r w:rsidRPr="00551222">
        <w:rPr>
          <w:rFonts w:ascii="Arial" w:eastAsia="Calibri" w:hAnsi="Arial" w:cs="Arial"/>
          <w:bCs/>
          <w:noProof/>
          <w:lang w:val="es-ES_tradnl"/>
        </w:rPr>
        <w:tab/>
        <w:t>Respuesta a consulta</w:t>
      </w:r>
      <w:r w:rsidRPr="00551222">
        <w:rPr>
          <w:sz w:val="24"/>
          <w:lang w:val="es-MX"/>
        </w:rPr>
        <w:t xml:space="preserve"> </w:t>
      </w:r>
      <w:r w:rsidR="00E529B2" w:rsidRPr="00E529B2">
        <w:rPr>
          <w:rFonts w:ascii="Arial" w:eastAsia="Calibri" w:hAnsi="Arial" w:cs="Arial"/>
          <w:bCs/>
          <w:noProof/>
          <w:lang w:val="es-ES_tradnl"/>
        </w:rPr>
        <w:t>P20230412003203</w:t>
      </w:r>
    </w:p>
    <w:p w14:paraId="21191673" w14:textId="77777777" w:rsidR="00E529B2" w:rsidRDefault="00E529B2" w:rsidP="00551222">
      <w:pPr>
        <w:spacing w:after="0" w:line="276" w:lineRule="auto"/>
        <w:contextualSpacing/>
        <w:rPr>
          <w:rFonts w:ascii="Arial" w:hAnsi="Arial" w:cs="Arial"/>
          <w:lang w:val="es-ES_tradnl"/>
        </w:rPr>
      </w:pPr>
    </w:p>
    <w:p w14:paraId="24813FB3" w14:textId="2CADC6F1" w:rsidR="00551222" w:rsidRPr="00551222" w:rsidRDefault="00551222" w:rsidP="00551222">
      <w:pPr>
        <w:spacing w:after="0" w:line="276" w:lineRule="auto"/>
        <w:contextualSpacing/>
        <w:rPr>
          <w:rFonts w:ascii="Arial" w:hAnsi="Arial" w:cs="Arial"/>
          <w:lang w:val="es-ES_tradnl"/>
        </w:rPr>
      </w:pPr>
      <w:r w:rsidRPr="00551222">
        <w:rPr>
          <w:rFonts w:ascii="Arial" w:hAnsi="Arial" w:cs="Arial"/>
          <w:lang w:val="es-ES_tradnl"/>
        </w:rPr>
        <w:t xml:space="preserve">Estimada Señora </w:t>
      </w:r>
      <w:r w:rsidR="00E529B2">
        <w:rPr>
          <w:rFonts w:ascii="Arial" w:hAnsi="Arial" w:cs="Arial"/>
          <w:bCs/>
          <w:lang w:val="es-ES_tradnl"/>
        </w:rPr>
        <w:t>Salazar</w:t>
      </w:r>
      <w:r w:rsidRPr="00551222">
        <w:rPr>
          <w:rFonts w:ascii="Arial" w:hAnsi="Arial" w:cs="Arial"/>
          <w:lang w:val="es-ES_tradnl"/>
        </w:rPr>
        <w:t xml:space="preserve">,   </w:t>
      </w:r>
    </w:p>
    <w:p w14:paraId="0D758F45" w14:textId="77777777" w:rsidR="00551222" w:rsidRPr="00551222" w:rsidRDefault="00551222" w:rsidP="00551222">
      <w:pPr>
        <w:spacing w:after="0" w:line="276" w:lineRule="auto"/>
        <w:contextualSpacing/>
        <w:rPr>
          <w:rFonts w:ascii="Arial" w:hAnsi="Arial" w:cs="Arial"/>
          <w:lang w:val="es-ES_tradnl"/>
        </w:rPr>
      </w:pPr>
    </w:p>
    <w:p w14:paraId="72060A5A" w14:textId="4432FACF" w:rsidR="00551222" w:rsidRPr="00551222" w:rsidRDefault="00551222" w:rsidP="00551222">
      <w:pPr>
        <w:spacing w:after="0" w:line="276" w:lineRule="auto"/>
        <w:ind w:right="51"/>
        <w:contextualSpacing/>
        <w:jc w:val="both"/>
        <w:rPr>
          <w:rFonts w:ascii="Arial" w:eastAsia="Calibri" w:hAnsi="Arial" w:cs="Arial"/>
          <w:lang w:val="es-MX"/>
        </w:rPr>
      </w:pPr>
      <w:r w:rsidRPr="0055122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su consulta del </w:t>
      </w:r>
      <w:r w:rsidR="00E529B2">
        <w:rPr>
          <w:rFonts w:ascii="Arial" w:eastAsia="Calibri" w:hAnsi="Arial" w:cs="Arial"/>
        </w:rPr>
        <w:t xml:space="preserve">12 </w:t>
      </w:r>
      <w:r w:rsidRPr="00551222">
        <w:rPr>
          <w:rFonts w:ascii="Arial" w:eastAsia="Calibri" w:hAnsi="Arial" w:cs="Arial"/>
        </w:rPr>
        <w:t xml:space="preserve">de </w:t>
      </w:r>
      <w:r w:rsidR="00E529B2">
        <w:rPr>
          <w:rFonts w:ascii="Arial" w:eastAsia="Calibri" w:hAnsi="Arial" w:cs="Arial"/>
        </w:rPr>
        <w:t>abril</w:t>
      </w:r>
      <w:r w:rsidRPr="00551222">
        <w:rPr>
          <w:rFonts w:ascii="Arial" w:eastAsia="Calibri" w:hAnsi="Arial" w:cs="Arial"/>
        </w:rPr>
        <w:t xml:space="preserve"> de 2023. </w:t>
      </w:r>
      <w:r w:rsidRPr="00551222">
        <w:rPr>
          <w:rFonts w:ascii="Arial" w:eastAsia="Calibri" w:hAnsi="Arial" w:cs="Arial"/>
          <w:lang w:val="es-MX"/>
        </w:rPr>
        <w:t xml:space="preserve">     </w:t>
      </w:r>
    </w:p>
    <w:p w14:paraId="6CC8190D" w14:textId="77777777" w:rsidR="00551222" w:rsidRPr="00551222" w:rsidRDefault="00551222" w:rsidP="00551222">
      <w:pPr>
        <w:spacing w:after="0" w:line="276" w:lineRule="auto"/>
        <w:contextualSpacing/>
        <w:rPr>
          <w:rFonts w:ascii="Arial" w:hAnsi="Arial" w:cs="Arial"/>
          <w:b/>
          <w:lang w:val="es-ES_tradnl"/>
        </w:rPr>
      </w:pPr>
    </w:p>
    <w:p w14:paraId="5375F963" w14:textId="77777777" w:rsidR="00551222" w:rsidRPr="00551222" w:rsidRDefault="00551222" w:rsidP="00551222">
      <w:pPr>
        <w:spacing w:after="0" w:line="276" w:lineRule="auto"/>
        <w:contextualSpacing/>
        <w:rPr>
          <w:rFonts w:ascii="Arial" w:hAnsi="Arial" w:cs="Arial"/>
          <w:b/>
          <w:lang w:val="es-ES_tradnl"/>
        </w:rPr>
      </w:pPr>
      <w:r w:rsidRPr="00551222">
        <w:rPr>
          <w:rFonts w:ascii="Arial" w:hAnsi="Arial" w:cs="Arial"/>
          <w:b/>
          <w:lang w:val="es-ES_tradnl"/>
        </w:rPr>
        <w:t xml:space="preserve">1. Problema planteado </w:t>
      </w:r>
    </w:p>
    <w:p w14:paraId="6FED39EE" w14:textId="77777777" w:rsidR="00551222" w:rsidRPr="00551222" w:rsidRDefault="00551222" w:rsidP="00551222">
      <w:pPr>
        <w:spacing w:after="0" w:line="276" w:lineRule="auto"/>
        <w:contextualSpacing/>
        <w:jc w:val="both"/>
        <w:rPr>
          <w:rFonts w:ascii="Arial" w:hAnsi="Arial" w:cs="Arial"/>
          <w:lang w:val="es-ES_tradnl"/>
        </w:rPr>
      </w:pPr>
    </w:p>
    <w:p w14:paraId="3BCBA8C4" w14:textId="77777777" w:rsidR="00E529B2" w:rsidRDefault="00551222" w:rsidP="00551222">
      <w:pPr>
        <w:spacing w:after="0" w:line="276" w:lineRule="auto"/>
        <w:contextualSpacing/>
        <w:jc w:val="both"/>
        <w:rPr>
          <w:rFonts w:ascii="Arial" w:hAnsi="Arial" w:cs="Arial"/>
          <w:lang w:val="es-ES_tradnl"/>
        </w:rPr>
      </w:pPr>
      <w:r w:rsidRPr="00551222">
        <w:rPr>
          <w:rFonts w:ascii="Arial" w:hAnsi="Arial" w:cs="Arial"/>
          <w:lang w:val="es-ES_tradnl"/>
        </w:rPr>
        <w:t>Respecto de la Ley de Garantías Electorales, usted formula la siguiente consulta:</w:t>
      </w:r>
    </w:p>
    <w:p w14:paraId="64261087" w14:textId="77777777" w:rsidR="00E529B2" w:rsidRDefault="00E529B2" w:rsidP="00551222">
      <w:pPr>
        <w:spacing w:after="0" w:line="276" w:lineRule="auto"/>
        <w:contextualSpacing/>
        <w:jc w:val="both"/>
        <w:rPr>
          <w:rFonts w:ascii="Arial" w:hAnsi="Arial" w:cs="Arial"/>
          <w:lang w:val="es-ES_tradnl"/>
        </w:rPr>
      </w:pPr>
    </w:p>
    <w:p w14:paraId="7AD46009" w14:textId="111E745D" w:rsidR="00551222" w:rsidRPr="00E529B2" w:rsidRDefault="00E529B2" w:rsidP="00551222">
      <w:pPr>
        <w:spacing w:after="0" w:line="276" w:lineRule="auto"/>
        <w:contextualSpacing/>
        <w:jc w:val="both"/>
        <w:rPr>
          <w:rFonts w:ascii="Arial" w:hAnsi="Arial" w:cs="Arial"/>
          <w:i/>
          <w:iCs/>
          <w:lang w:val="es-ES_tradnl"/>
        </w:rPr>
      </w:pPr>
      <w:r w:rsidRPr="00E529B2">
        <w:rPr>
          <w:rFonts w:ascii="Arial" w:hAnsi="Arial" w:cs="Arial"/>
          <w:i/>
          <w:iCs/>
          <w:lang w:val="es-ES_tradnl"/>
        </w:rPr>
        <w:t xml:space="preserve">       (…)</w:t>
      </w:r>
      <w:r w:rsidR="00551222" w:rsidRPr="00E529B2">
        <w:rPr>
          <w:rFonts w:ascii="Arial" w:hAnsi="Arial" w:cs="Arial"/>
          <w:i/>
          <w:iCs/>
          <w:lang w:val="es-ES_tradnl"/>
        </w:rPr>
        <w:t xml:space="preserve"> </w:t>
      </w:r>
    </w:p>
    <w:p w14:paraId="1C7FF8DC" w14:textId="5281892B" w:rsidR="00E529B2" w:rsidRPr="00E529B2" w:rsidRDefault="00E529B2" w:rsidP="00E529B2">
      <w:pPr>
        <w:pStyle w:val="elementtoproof"/>
        <w:shd w:val="clear" w:color="auto" w:fill="FFFFFF"/>
        <w:ind w:left="720" w:right="1466"/>
        <w:jc w:val="both"/>
        <w:rPr>
          <w:rFonts w:ascii="Arial" w:eastAsia="Times New Roman" w:hAnsi="Arial" w:cs="Arial"/>
          <w:i/>
          <w:iCs/>
          <w:color w:val="000000"/>
        </w:rPr>
      </w:pPr>
      <w:r>
        <w:rPr>
          <w:rStyle w:val="contentpasted0"/>
          <w:rFonts w:ascii="Arial" w:eastAsia="Times New Roman" w:hAnsi="Arial" w:cs="Arial"/>
          <w:i/>
          <w:iCs/>
          <w:color w:val="000000"/>
        </w:rPr>
        <w:t>2</w:t>
      </w:r>
      <w:bookmarkStart w:id="1" w:name="_Hlk135880409"/>
      <w:r>
        <w:rPr>
          <w:rStyle w:val="contentpasted0"/>
          <w:rFonts w:ascii="Arial" w:eastAsia="Times New Roman" w:hAnsi="Arial" w:cs="Arial"/>
          <w:i/>
          <w:iCs/>
          <w:color w:val="000000"/>
        </w:rPr>
        <w:t xml:space="preserve">. </w:t>
      </w:r>
      <w:r w:rsidRPr="00E529B2">
        <w:rPr>
          <w:rStyle w:val="contentpasted0"/>
          <w:rFonts w:ascii="Arial" w:eastAsia="Times New Roman" w:hAnsi="Arial" w:cs="Arial"/>
          <w:i/>
          <w:iCs/>
          <w:color w:val="000000"/>
        </w:rPr>
        <w:t xml:space="preserve">Lo importante: cuando se firma un "ACUERDO DE SERVICIO" para el traspaso de información entre dos entidades públicas en el marco de la vigencia de ley garantías, ¿se está incurriendo en alguna ilegalidad? ¿Qué </w:t>
      </w:r>
      <w:r w:rsidRPr="00E529B2">
        <w:rPr>
          <w:rStyle w:val="contentpasted0"/>
          <w:rFonts w:ascii="Arial" w:eastAsia="Times New Roman" w:hAnsi="Arial" w:cs="Arial"/>
          <w:i/>
          <w:iCs/>
          <w:color w:val="000000"/>
        </w:rPr>
        <w:lastRenderedPageBreak/>
        <w:t>diferencias hay entre acuerdo de servicio, contratos y convenios? ¿Qué estipula la ley de garantías referente a la prohibición de suscripción de acuerdos, contratos y convenios (entre otras figuras) y cuáles son los montos restringidos durante esta ley?</w:t>
      </w:r>
      <w:r>
        <w:rPr>
          <w:rStyle w:val="contentpasted0"/>
          <w:rFonts w:ascii="Arial" w:eastAsia="Times New Roman" w:hAnsi="Arial" w:cs="Arial"/>
          <w:i/>
          <w:iCs/>
          <w:color w:val="000000"/>
        </w:rPr>
        <w:t xml:space="preserve"> (…)</w:t>
      </w:r>
      <w:bookmarkEnd w:id="1"/>
    </w:p>
    <w:p w14:paraId="45961FE0" w14:textId="77777777" w:rsidR="00551222" w:rsidRPr="00551222" w:rsidRDefault="00551222" w:rsidP="00551222">
      <w:pPr>
        <w:spacing w:after="0" w:line="276" w:lineRule="auto"/>
        <w:contextualSpacing/>
        <w:rPr>
          <w:rFonts w:ascii="Arial" w:hAnsi="Arial" w:cs="Arial"/>
          <w:b/>
          <w:lang w:val="es-ES_tradnl"/>
        </w:rPr>
      </w:pPr>
      <w:r w:rsidRPr="00551222">
        <w:rPr>
          <w:rFonts w:ascii="Arial" w:hAnsi="Arial" w:cs="Arial"/>
          <w:b/>
          <w:lang w:val="es-ES_tradnl"/>
        </w:rPr>
        <w:t xml:space="preserve">2. Consideraciones </w:t>
      </w:r>
    </w:p>
    <w:p w14:paraId="2B519B7C" w14:textId="77777777" w:rsidR="00551222" w:rsidRPr="00551222" w:rsidRDefault="00551222" w:rsidP="00551222">
      <w:pPr>
        <w:spacing w:after="0" w:line="276" w:lineRule="auto"/>
        <w:contextualSpacing/>
        <w:jc w:val="both"/>
        <w:rPr>
          <w:rFonts w:ascii="Arial" w:hAnsi="Arial" w:cs="Arial"/>
          <w:bCs/>
          <w:lang w:val="es-ES"/>
        </w:rPr>
      </w:pPr>
    </w:p>
    <w:p w14:paraId="74C6A5FB" w14:textId="4B27BBF6" w:rsidR="00551222" w:rsidRPr="00551222" w:rsidRDefault="00551222" w:rsidP="00551222">
      <w:pPr>
        <w:spacing w:after="120" w:line="276" w:lineRule="auto"/>
        <w:jc w:val="both"/>
        <w:rPr>
          <w:rFonts w:ascii="Arial" w:hAnsi="Arial" w:cs="Arial"/>
          <w:bCs/>
          <w:lang w:val="es-ES"/>
        </w:rPr>
      </w:pPr>
      <w:r w:rsidRPr="00551222">
        <w:rPr>
          <w:rFonts w:ascii="Arial" w:hAnsi="Arial" w:cs="Arial"/>
          <w:bCs/>
          <w:lang w:val="es-ES"/>
        </w:rPr>
        <w:t xml:space="preserve">Con el fin de atender su solicitud de consulta, esta Subdirección analizará los siguientes temas: </w:t>
      </w:r>
      <w:bookmarkStart w:id="2" w:name="_Hlk135879122"/>
      <w:r w:rsidRPr="00551222">
        <w:rPr>
          <w:rFonts w:ascii="Arial" w:hAnsi="Arial" w:cs="Arial"/>
          <w:bCs/>
          <w:lang w:val="es-MX"/>
        </w:rPr>
        <w:t xml:space="preserve">i) </w:t>
      </w:r>
      <w:r w:rsidR="00E847AA">
        <w:rPr>
          <w:rFonts w:ascii="Arial" w:hAnsi="Arial" w:cs="Arial"/>
          <w:bCs/>
          <w:lang w:val="es-MX"/>
        </w:rPr>
        <w:t>D</w:t>
      </w:r>
      <w:r w:rsidRPr="00551222">
        <w:rPr>
          <w:rFonts w:ascii="Arial" w:hAnsi="Arial" w:cs="Arial"/>
          <w:bCs/>
          <w:lang w:val="es-MX"/>
        </w:rPr>
        <w:t xml:space="preserve">efinición y finalidad de la Ley de Garantías Electorales y; ii) </w:t>
      </w:r>
      <w:r w:rsidR="00E847AA" w:rsidRPr="002B14A6">
        <w:rPr>
          <w:rFonts w:ascii="Arial" w:hAnsi="Arial" w:cs="Arial"/>
          <w:bCs/>
          <w:lang w:val="es-MX"/>
        </w:rPr>
        <w:t>Restricciones para la celebración de contratos y convenios interadministrativos</w:t>
      </w:r>
      <w:r w:rsidR="00E55607">
        <w:rPr>
          <w:rFonts w:ascii="Arial" w:hAnsi="Arial" w:cs="Arial"/>
          <w:bCs/>
          <w:lang w:val="es-MX"/>
        </w:rPr>
        <w:t>, concepto y diferencias. iii) Acuerdos de Servicio para el intercambio de información entre entidades publicas</w:t>
      </w:r>
    </w:p>
    <w:p w14:paraId="03DA8865" w14:textId="77777777" w:rsidR="00551222" w:rsidRPr="00551222" w:rsidRDefault="00551222" w:rsidP="00551222">
      <w:pPr>
        <w:tabs>
          <w:tab w:val="left" w:pos="426"/>
        </w:tabs>
        <w:spacing w:after="0" w:line="276" w:lineRule="auto"/>
        <w:ind w:firstLine="709"/>
        <w:jc w:val="both"/>
        <w:rPr>
          <w:rFonts w:ascii="Arial" w:eastAsia="Calibri" w:hAnsi="Arial" w:cs="Arial"/>
          <w:lang w:val="es-ES_tradnl"/>
        </w:rPr>
      </w:pPr>
      <w:bookmarkStart w:id="3" w:name="_Hlk96420693"/>
      <w:bookmarkEnd w:id="2"/>
      <w:r w:rsidRPr="00551222">
        <w:rPr>
          <w:rFonts w:ascii="Arial" w:eastAsia="Calibri" w:hAnsi="Arial" w:cs="Arial"/>
          <w:lang w:val="es-ES_tradnl"/>
        </w:rPr>
        <w:t xml:space="preserve">La Agencia Nacional de Contratación Pública – Colombia Compra Eficiente ha impartido lineamientos sobre la aplicación de la Ley 996 de 2005, entre otros, mediante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del 22 de diciembre de 2021, C-699 del 6 de enero de 2022, C-700 del 6 de enero de 2021, C-723 del 28 de diciembre de 2021, </w:t>
      </w:r>
      <w:r w:rsidRPr="00551222">
        <w:rPr>
          <w:rFonts w:ascii="Arial" w:eastAsia="Calibri" w:hAnsi="Arial" w:cs="Arial"/>
          <w:bCs/>
          <w:lang w:val="es-MX"/>
        </w:rPr>
        <w:t xml:space="preserve">C-715 del 21 de enero de 2022, C-718 del 24 de enero de 2022 y C-726 del 24 de enero de 2022, C-002 del 15 de febrero de 2022,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C-098 del 9 de marzo de 2022, C-099 del 22 de marzo de 2022, C-102 del 22 de marzo de 2022, C-107 del 18 de marzo de 2022, C-111 del 22 de marzo de 2022. C-115 del 22 de marzo </w:t>
      </w:r>
      <w:r w:rsidRPr="00551222">
        <w:rPr>
          <w:rFonts w:ascii="Arial" w:eastAsia="Calibri" w:hAnsi="Arial" w:cs="Arial"/>
          <w:bCs/>
          <w:lang w:val="es-MX"/>
        </w:rPr>
        <w:lastRenderedPageBreak/>
        <w:t>de 2022, C-116 del 18 de marzo de 2022, C-127 del 22 de marzo de 2022, C-164 del 22 de marzo de 2022, C-608 del 23 de septiembre de 2022 y C-049 del 13 de abril de 2023</w:t>
      </w:r>
      <w:bookmarkEnd w:id="3"/>
      <w:r w:rsidRPr="00551222">
        <w:rPr>
          <w:rFonts w:ascii="Arial" w:eastAsia="Calibri" w:hAnsi="Arial" w:cs="Arial"/>
          <w:vertAlign w:val="superscript"/>
          <w:lang w:val="es-ES" w:eastAsia="es-ES"/>
        </w:rPr>
        <w:footnoteReference w:id="2"/>
      </w:r>
      <w:r w:rsidRPr="00551222">
        <w:rPr>
          <w:rFonts w:ascii="Arial" w:eastAsia="Calibri" w:hAnsi="Arial" w:cs="Arial"/>
          <w:lang w:val="es-ES" w:eastAsia="es-ES"/>
        </w:rPr>
        <w:t>. La tesis expuesta en estos conceptos se reitera y se complementa en lo pertinente en el presente escrito.</w:t>
      </w:r>
    </w:p>
    <w:p w14:paraId="71AF480E" w14:textId="77777777" w:rsidR="00551222" w:rsidRPr="00551222" w:rsidRDefault="00551222" w:rsidP="00551222">
      <w:pPr>
        <w:tabs>
          <w:tab w:val="left" w:pos="426"/>
        </w:tabs>
        <w:spacing w:after="0" w:line="276" w:lineRule="auto"/>
        <w:contextualSpacing/>
        <w:jc w:val="both"/>
        <w:rPr>
          <w:rFonts w:ascii="Arial" w:eastAsia="Calibri" w:hAnsi="Arial" w:cs="Arial"/>
          <w:lang w:val="es-ES_tradnl"/>
        </w:rPr>
      </w:pPr>
    </w:p>
    <w:p w14:paraId="6C6C3838" w14:textId="77777777" w:rsidR="00551222" w:rsidRPr="00551222" w:rsidRDefault="00551222" w:rsidP="00551222">
      <w:pPr>
        <w:tabs>
          <w:tab w:val="left" w:pos="426"/>
        </w:tabs>
        <w:spacing w:after="0" w:line="276" w:lineRule="auto"/>
        <w:contextualSpacing/>
        <w:jc w:val="both"/>
        <w:rPr>
          <w:rFonts w:ascii="Arial" w:eastAsia="Calibri" w:hAnsi="Arial" w:cs="Arial"/>
          <w:b/>
          <w:bCs/>
          <w:lang w:val="es-MX"/>
        </w:rPr>
      </w:pPr>
      <w:r w:rsidRPr="00551222">
        <w:rPr>
          <w:rFonts w:ascii="Arial" w:eastAsia="Calibri" w:hAnsi="Arial" w:cs="Arial"/>
          <w:b/>
          <w:bCs/>
          <w:lang w:val="es-MX"/>
        </w:rPr>
        <w:t>2.1. Definición y finalidad de la Ley de Garantías Electorales: alcance de las restricciones</w:t>
      </w:r>
    </w:p>
    <w:p w14:paraId="0EB5B55B" w14:textId="77777777" w:rsidR="00551222" w:rsidRPr="00551222" w:rsidRDefault="00551222" w:rsidP="00551222">
      <w:pPr>
        <w:tabs>
          <w:tab w:val="left" w:pos="426"/>
        </w:tabs>
        <w:spacing w:after="0" w:line="276" w:lineRule="auto"/>
        <w:ind w:firstLine="709"/>
        <w:contextualSpacing/>
        <w:jc w:val="both"/>
        <w:rPr>
          <w:rFonts w:ascii="Arial" w:eastAsia="Calibri" w:hAnsi="Arial" w:cs="Arial"/>
          <w:bCs/>
          <w:lang w:val="es-MX"/>
        </w:rPr>
      </w:pPr>
    </w:p>
    <w:p w14:paraId="6BFB2505" w14:textId="77777777" w:rsidR="00551222" w:rsidRPr="00551222" w:rsidRDefault="00551222" w:rsidP="00551222">
      <w:pPr>
        <w:tabs>
          <w:tab w:val="left" w:pos="426"/>
        </w:tabs>
        <w:spacing w:after="120" w:line="276" w:lineRule="auto"/>
        <w:jc w:val="both"/>
        <w:rPr>
          <w:rFonts w:ascii="Arial" w:hAnsi="Arial" w:cs="Arial"/>
          <w:bCs/>
          <w:lang w:val="es-MX" w:eastAsia="es-CO"/>
        </w:rPr>
      </w:pPr>
      <w:r w:rsidRPr="00551222">
        <w:rPr>
          <w:rFonts w:ascii="Arial" w:eastAsia="Calibri" w:hAnsi="Arial" w:cs="Arial"/>
          <w:bCs/>
          <w:lang w:val="es-MX"/>
        </w:rPr>
        <w:t>El ordenamiento jurídico colombiano contempla previsiones claras para evitar la obtención de beneficios personales en asuntos propios de la administración pública</w:t>
      </w:r>
      <w:r w:rsidRPr="00551222">
        <w:rPr>
          <w:rFonts w:ascii="Arial" w:eastAsia="Calibri" w:hAnsi="Arial" w:cs="Arial"/>
          <w:bCs/>
          <w:i/>
          <w:iCs/>
          <w:lang w:val="es-MX"/>
        </w:rPr>
        <w:t xml:space="preserve">. </w:t>
      </w:r>
      <w:r w:rsidRPr="00551222">
        <w:rPr>
          <w:rFonts w:ascii="Arial" w:eastAsia="Calibri" w:hAnsi="Arial" w:cs="Arial"/>
          <w:bCs/>
          <w:lang w:val="es-MX"/>
        </w:rPr>
        <w:t>Por ejemplo, el artículo 127 de la Constitución Política establece una prohibición contractual a los servidores públicos y en cuanto a aspectos políticos consagra restricciones a ciertos empleados del Estado, incluso en época no electoral</w:t>
      </w:r>
      <w:r w:rsidRPr="00551222">
        <w:rPr>
          <w:rFonts w:ascii="Arial" w:eastAsia="Calibri" w:hAnsi="Arial" w:cs="Arial"/>
          <w:bCs/>
          <w:vertAlign w:val="superscript"/>
          <w:lang w:val="es-MX"/>
        </w:rPr>
        <w:footnoteReference w:id="3"/>
      </w:r>
      <w:r w:rsidRPr="00551222">
        <w:rPr>
          <w:rFonts w:ascii="Arial" w:eastAsia="Calibri" w:hAnsi="Arial" w:cs="Arial"/>
          <w:bCs/>
          <w:lang w:val="es-MX"/>
        </w:rPr>
        <w:t xml:space="preserve">. </w:t>
      </w:r>
    </w:p>
    <w:p w14:paraId="1CC81D2A" w14:textId="77777777" w:rsidR="00551222" w:rsidRPr="00551222" w:rsidRDefault="00551222" w:rsidP="00551222">
      <w:pPr>
        <w:tabs>
          <w:tab w:val="left" w:pos="426"/>
        </w:tabs>
        <w:spacing w:after="0" w:line="276" w:lineRule="auto"/>
        <w:ind w:firstLine="709"/>
        <w:jc w:val="both"/>
        <w:rPr>
          <w:rFonts w:ascii="Arial" w:hAnsi="Arial" w:cs="Arial"/>
          <w:bCs/>
          <w:lang w:val="es-MX" w:eastAsia="es-CO"/>
        </w:rPr>
      </w:pPr>
      <w:r w:rsidRPr="00551222">
        <w:rPr>
          <w:rFonts w:ascii="Arial" w:hAnsi="Arial" w:cs="Arial"/>
          <w:bCs/>
          <w:lang w:val="es-MX" w:eastAsia="es-CO"/>
        </w:rPr>
        <w:t xml:space="preserve">En el mismo sentido, </w:t>
      </w:r>
      <w:bookmarkStart w:id="4" w:name="_Hlk99576829"/>
      <w:r w:rsidRPr="00551222">
        <w:rPr>
          <w:rFonts w:ascii="Arial" w:hAnsi="Arial" w:cs="Arial"/>
          <w:bCs/>
          <w:lang w:val="es-MX" w:eastAsia="es-CO"/>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51222">
        <w:rPr>
          <w:rFonts w:ascii="Arial" w:hAnsi="Arial" w:cs="Arial"/>
          <w:bCs/>
          <w:vertAlign w:val="superscript"/>
          <w:lang w:val="es-MX" w:eastAsia="es-CO"/>
        </w:rPr>
        <w:footnoteReference w:id="4"/>
      </w:r>
      <w:r w:rsidRPr="00551222">
        <w:rPr>
          <w:rFonts w:ascii="Arial"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51222">
        <w:rPr>
          <w:rFonts w:ascii="Arial" w:eastAsia="Calibri" w:hAnsi="Arial" w:cs="Arial"/>
          <w:noProof/>
          <w:lang w:val="es-ES_tradnl"/>
        </w:rPr>
        <w:t xml:space="preserve"> </w:t>
      </w:r>
      <w:bookmarkEnd w:id="4"/>
      <w:r w:rsidRPr="00551222">
        <w:rPr>
          <w:rFonts w:ascii="Arial" w:hAnsi="Arial" w:cs="Arial"/>
          <w:bCs/>
          <w:lang w:val="es-MX" w:eastAsia="es-CO"/>
        </w:rPr>
        <w:t>En armonía con lo anterior, la Corte Constitucional ha abordado la definición de la Ley de Garantías Electorales. De esta manera, explica que tiene como propósito:</w:t>
      </w:r>
    </w:p>
    <w:p w14:paraId="4413A0E9" w14:textId="77777777" w:rsidR="00551222" w:rsidRPr="00551222" w:rsidRDefault="00551222" w:rsidP="00551222">
      <w:pPr>
        <w:spacing w:after="0" w:line="276" w:lineRule="auto"/>
        <w:ind w:right="709"/>
        <w:contextualSpacing/>
        <w:jc w:val="both"/>
        <w:rPr>
          <w:rFonts w:ascii="Arial" w:hAnsi="Arial" w:cs="Arial"/>
          <w:color w:val="FF0000"/>
          <w:lang w:val="es-ES" w:eastAsia="es-CO"/>
        </w:rPr>
      </w:pPr>
    </w:p>
    <w:p w14:paraId="4010DD84"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sz w:val="21"/>
          <w:szCs w:val="21"/>
          <w:lang w:val="es-ES" w:eastAsia="es-CO"/>
        </w:rPr>
        <w:t xml:space="preserve">“[…] </w:t>
      </w:r>
      <w:r w:rsidRPr="00551222">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620EE6BF"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p>
    <w:p w14:paraId="70B70666"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 </w:t>
      </w:r>
    </w:p>
    <w:p w14:paraId="387D6F2A" w14:textId="77777777" w:rsidR="00551222" w:rsidRPr="00551222" w:rsidRDefault="00551222" w:rsidP="00551222">
      <w:pPr>
        <w:spacing w:after="0" w:line="240" w:lineRule="auto"/>
        <w:ind w:right="709"/>
        <w:contextualSpacing/>
        <w:jc w:val="both"/>
        <w:rPr>
          <w:rFonts w:ascii="Arial" w:hAnsi="Arial" w:cs="Arial"/>
          <w:bCs/>
          <w:sz w:val="21"/>
          <w:szCs w:val="21"/>
          <w:lang w:val="es-MX" w:eastAsia="es-CO"/>
        </w:rPr>
      </w:pPr>
    </w:p>
    <w:p w14:paraId="3F1E7EB1"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w:t>
      </w:r>
      <w:r w:rsidRPr="00551222">
        <w:rPr>
          <w:rFonts w:ascii="Arial" w:hAnsi="Arial" w:cs="Arial"/>
          <w:bCs/>
          <w:sz w:val="21"/>
          <w:szCs w:val="21"/>
          <w:lang w:val="es-MX" w:eastAsia="es-CO"/>
        </w:rPr>
        <w:lastRenderedPageBreak/>
        <w:t>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51222">
        <w:rPr>
          <w:rFonts w:ascii="Arial" w:eastAsia="Calibri" w:hAnsi="Arial" w:cs="Arial"/>
          <w:sz w:val="21"/>
          <w:szCs w:val="21"/>
          <w:vertAlign w:val="superscript"/>
          <w:lang w:val="es-MX"/>
        </w:rPr>
        <w:footnoteReference w:id="5"/>
      </w:r>
      <w:r w:rsidRPr="00551222">
        <w:rPr>
          <w:rFonts w:ascii="Arial" w:hAnsi="Arial" w:cs="Arial"/>
          <w:bCs/>
          <w:sz w:val="21"/>
          <w:szCs w:val="21"/>
          <w:lang w:val="es-MX" w:eastAsia="es-CO"/>
        </w:rPr>
        <w:t>.</w:t>
      </w:r>
    </w:p>
    <w:p w14:paraId="0FEF1D60" w14:textId="77777777" w:rsidR="00551222" w:rsidRPr="00551222" w:rsidRDefault="00551222" w:rsidP="00551222">
      <w:pPr>
        <w:spacing w:after="0" w:line="276" w:lineRule="auto"/>
        <w:ind w:left="708" w:right="709"/>
        <w:contextualSpacing/>
        <w:jc w:val="both"/>
        <w:rPr>
          <w:rFonts w:ascii="Arial" w:hAnsi="Arial" w:cs="Arial"/>
          <w:bCs/>
          <w:lang w:val="es-MX" w:eastAsia="es-CO"/>
        </w:rPr>
      </w:pPr>
    </w:p>
    <w:p w14:paraId="6346B3E1" w14:textId="77777777" w:rsidR="00551222" w:rsidRPr="00551222" w:rsidRDefault="00551222" w:rsidP="00551222">
      <w:pPr>
        <w:spacing w:after="0" w:line="276" w:lineRule="auto"/>
        <w:ind w:firstLine="709"/>
        <w:contextualSpacing/>
        <w:jc w:val="both"/>
        <w:rPr>
          <w:rFonts w:ascii="Arial" w:hAnsi="Arial" w:cs="Arial"/>
          <w:bCs/>
          <w:lang w:val="es-MX" w:eastAsia="es-CO"/>
        </w:rPr>
      </w:pPr>
      <w:bookmarkStart w:id="5" w:name="_Hlk78818186"/>
      <w:r w:rsidRPr="00551222">
        <w:rPr>
          <w:rFonts w:ascii="Arial" w:hAnsi="Arial" w:cs="Arial"/>
          <w:bCs/>
          <w:lang w:val="es-MX"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5"/>
      <w:r w:rsidRPr="00551222">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2A6FADEF" w14:textId="77777777" w:rsidR="00551222" w:rsidRPr="00551222" w:rsidRDefault="00551222" w:rsidP="00551222">
      <w:pPr>
        <w:spacing w:after="0" w:line="276" w:lineRule="auto"/>
        <w:ind w:firstLine="709"/>
        <w:contextualSpacing/>
        <w:jc w:val="both"/>
        <w:rPr>
          <w:rFonts w:ascii="Arial" w:hAnsi="Arial" w:cs="Arial"/>
          <w:bCs/>
          <w:lang w:val="es-MX" w:eastAsia="es-CO"/>
        </w:rPr>
      </w:pPr>
    </w:p>
    <w:p w14:paraId="19707295"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51222">
        <w:rPr>
          <w:rFonts w:ascii="Arial" w:hAnsi="Arial" w:cs="Arial"/>
          <w:bCs/>
          <w:sz w:val="21"/>
          <w:szCs w:val="21"/>
          <w:lang w:val="es-MX" w:eastAsia="es-CO"/>
        </w:rPr>
        <w:t>legis</w:t>
      </w:r>
      <w:proofErr w:type="spellEnd"/>
      <w:r w:rsidRPr="00551222">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09E87FEB"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p>
    <w:p w14:paraId="37802048" w14:textId="77777777" w:rsidR="00551222" w:rsidRPr="00551222" w:rsidRDefault="00551222" w:rsidP="00551222">
      <w:pPr>
        <w:spacing w:after="0" w:line="240" w:lineRule="auto"/>
        <w:ind w:left="709" w:right="709"/>
        <w:contextualSpacing/>
        <w:jc w:val="both"/>
        <w:rPr>
          <w:rFonts w:ascii="Arial" w:hAnsi="Arial" w:cs="Arial"/>
          <w:bCs/>
          <w:sz w:val="21"/>
          <w:szCs w:val="21"/>
          <w:lang w:val="es-MX" w:eastAsia="es-CO"/>
        </w:rPr>
      </w:pPr>
      <w:r w:rsidRPr="00551222">
        <w:rPr>
          <w:rFonts w:ascii="Arial" w:hAnsi="Arial" w:cs="Arial"/>
          <w:bCs/>
          <w:sz w:val="21"/>
          <w:szCs w:val="21"/>
          <w:lang w:val="es-MX" w:eastAsia="es-CO"/>
        </w:rPr>
        <w:t>La jurisprudencia de la Corte Constitucional</w:t>
      </w:r>
      <w:r w:rsidRPr="00551222">
        <w:rPr>
          <w:rFonts w:ascii="Arial" w:hAnsi="Arial" w:cs="Arial"/>
          <w:bCs/>
          <w:sz w:val="21"/>
          <w:szCs w:val="21"/>
          <w:vertAlign w:val="superscript"/>
          <w:lang w:val="es-MX" w:eastAsia="es-CO"/>
        </w:rPr>
        <w:footnoteReference w:id="6"/>
      </w:r>
      <w:r w:rsidRPr="00551222">
        <w:rPr>
          <w:rFonts w:ascii="Arial" w:hAnsi="Arial" w:cs="Arial"/>
          <w:bCs/>
          <w:sz w:val="21"/>
          <w:szCs w:val="21"/>
          <w:lang w:val="es-MX" w:eastAsia="es-CO"/>
        </w:rPr>
        <w:t> y del Consejo de Estado</w:t>
      </w:r>
      <w:r w:rsidRPr="00551222">
        <w:rPr>
          <w:rFonts w:ascii="Arial" w:hAnsi="Arial" w:cs="Arial"/>
          <w:bCs/>
          <w:sz w:val="21"/>
          <w:szCs w:val="21"/>
          <w:vertAlign w:val="superscript"/>
          <w:lang w:val="es-MX" w:eastAsia="es-CO"/>
        </w:rPr>
        <w:footnoteReference w:id="7"/>
      </w:r>
      <w:r w:rsidRPr="00551222">
        <w:rPr>
          <w:rFonts w:ascii="Arial"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w:t>
      </w:r>
      <w:r w:rsidRPr="00551222">
        <w:rPr>
          <w:rFonts w:ascii="Arial" w:hAnsi="Arial" w:cs="Arial"/>
          <w:bCs/>
          <w:sz w:val="21"/>
          <w:szCs w:val="21"/>
          <w:lang w:val="es-MX" w:eastAsia="es-CO"/>
        </w:rPr>
        <w:lastRenderedPageBreak/>
        <w:t>obrar, sobrepasar sus precisos términos comporta el desconocimiento de la voluntad del legislador”</w:t>
      </w:r>
      <w:r w:rsidRPr="00551222">
        <w:rPr>
          <w:rFonts w:ascii="Arial" w:hAnsi="Arial" w:cs="Arial"/>
          <w:bCs/>
          <w:sz w:val="21"/>
          <w:szCs w:val="21"/>
          <w:vertAlign w:val="superscript"/>
          <w:lang w:val="es-MX" w:eastAsia="es-CO"/>
        </w:rPr>
        <w:footnoteReference w:id="8"/>
      </w:r>
      <w:r w:rsidRPr="00551222">
        <w:rPr>
          <w:rFonts w:ascii="Arial" w:hAnsi="Arial" w:cs="Arial"/>
          <w:bCs/>
          <w:sz w:val="21"/>
          <w:szCs w:val="21"/>
          <w:lang w:val="es-MX" w:eastAsia="es-CO"/>
        </w:rPr>
        <w:t>.</w:t>
      </w:r>
    </w:p>
    <w:p w14:paraId="49632FB1" w14:textId="77777777" w:rsidR="00551222" w:rsidRPr="00551222" w:rsidRDefault="00551222" w:rsidP="00551222">
      <w:pPr>
        <w:spacing w:after="0" w:line="276" w:lineRule="auto"/>
        <w:ind w:right="709"/>
        <w:jc w:val="both"/>
        <w:rPr>
          <w:rFonts w:ascii="Arial" w:hAnsi="Arial" w:cs="Arial"/>
          <w:bCs/>
          <w:color w:val="FF0000"/>
          <w:lang w:val="es-MX" w:eastAsia="es-CO"/>
        </w:rPr>
      </w:pPr>
    </w:p>
    <w:p w14:paraId="7D29625A" w14:textId="77777777" w:rsidR="00551222" w:rsidRPr="00551222" w:rsidRDefault="00551222" w:rsidP="00551222">
      <w:pPr>
        <w:spacing w:after="120" w:line="276" w:lineRule="auto"/>
        <w:jc w:val="both"/>
        <w:rPr>
          <w:rFonts w:ascii="Arial" w:eastAsia="Arial" w:hAnsi="Arial" w:cs="Arial"/>
          <w:lang w:val="es-ES" w:eastAsia="es-ES" w:bidi="es-ES"/>
        </w:rPr>
      </w:pPr>
      <w:r w:rsidRPr="00551222">
        <w:rPr>
          <w:rFonts w:ascii="Arial" w:hAnsi="Arial" w:cs="Arial"/>
          <w:bCs/>
          <w:color w:val="FF0000"/>
          <w:lang w:val="es-MX" w:eastAsia="es-CO"/>
        </w:rPr>
        <w:tab/>
      </w:r>
      <w:r w:rsidRPr="00551222">
        <w:rPr>
          <w:rFonts w:ascii="Arial" w:hAnsi="Arial" w:cs="Arial"/>
          <w:bCs/>
          <w:lang w:val="es-MX" w:eastAsia="es-CO"/>
        </w:rPr>
        <w:t>De</w:t>
      </w:r>
      <w:r w:rsidRPr="00551222">
        <w:rPr>
          <w:rFonts w:ascii="Arial" w:eastAsia="Arial" w:hAnsi="Arial" w:cs="Arial"/>
          <w:lang w:val="es-ES" w:eastAsia="es-ES" w:bidi="es-ES"/>
        </w:rPr>
        <w:t xml:space="preserve"> conformidad con lo anterior, </w:t>
      </w:r>
      <w:bookmarkStart w:id="6" w:name="_Hlk77236098"/>
      <w:r w:rsidRPr="00551222">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territorial.</w:t>
      </w:r>
      <w:bookmarkEnd w:id="6"/>
    </w:p>
    <w:p w14:paraId="37AF1AB8" w14:textId="77777777" w:rsidR="00551222" w:rsidRPr="00551222" w:rsidRDefault="00551222" w:rsidP="00551222">
      <w:pPr>
        <w:spacing w:after="120" w:line="276" w:lineRule="auto"/>
        <w:ind w:firstLine="708"/>
        <w:jc w:val="both"/>
        <w:rPr>
          <w:rFonts w:ascii="Arial" w:eastAsia="Calibri" w:hAnsi="Arial" w:cs="Arial"/>
          <w:lang w:val="es-MX"/>
        </w:rPr>
      </w:pPr>
      <w:r w:rsidRPr="00551222">
        <w:rPr>
          <w:rFonts w:ascii="Arial" w:eastAsia="Calibri" w:hAnsi="Arial" w:cs="Arial"/>
          <w:lang w:val="es-MX"/>
        </w:rPr>
        <w:t xml:space="preserve">Por un lado, el artículo 33 de la Ley 996 de 2005 prohíbe </w:t>
      </w:r>
      <w:r w:rsidRPr="00551222">
        <w:rPr>
          <w:rFonts w:ascii="Arial" w:eastAsia="Calibri" w:hAnsi="Arial" w:cs="Arial"/>
          <w:bCs/>
          <w:lang w:val="es-MX"/>
        </w:rPr>
        <w:t xml:space="preserve">“[…] </w:t>
      </w:r>
      <w:r w:rsidRPr="00551222">
        <w:rPr>
          <w:rFonts w:ascii="Arial" w:eastAsia="Calibri" w:hAnsi="Arial" w:cs="Arial"/>
          <w:lang w:val="es-MX"/>
        </w:rPr>
        <w:t>la contratación directa por parte de todos los entes del Estado</w:t>
      </w:r>
      <w:r w:rsidRPr="00551222">
        <w:rPr>
          <w:rFonts w:ascii="Arial" w:eastAsia="Calibri" w:hAnsi="Arial" w:cs="Arial"/>
          <w:bCs/>
          <w:lang w:val="es-MX"/>
        </w:rPr>
        <w:t>”</w:t>
      </w:r>
      <w:r w:rsidRPr="00551222">
        <w:rPr>
          <w:rFonts w:ascii="Arial" w:eastAsia="Calibri" w:hAnsi="Arial" w:cs="Arial"/>
          <w:lang w:val="es-MX"/>
        </w:rPr>
        <w:t xml:space="preserve"> durante los cuatro (4) meses anteriores a las elecciones presidenciales, salvo </w:t>
      </w:r>
      <w:r w:rsidRPr="00551222">
        <w:rPr>
          <w:rFonts w:ascii="Arial" w:eastAsia="Calibri" w:hAnsi="Arial" w:cs="Arial"/>
          <w:bCs/>
          <w:lang w:val="es-MX"/>
        </w:rPr>
        <w:t xml:space="preserve">“[…] </w:t>
      </w:r>
      <w:r w:rsidRPr="00551222">
        <w:rPr>
          <w:rFonts w:ascii="Arial" w:eastAsia="Calibri" w:hAnsi="Arial" w:cs="Arial"/>
          <w:lang w:val="es-MX"/>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51222">
        <w:rPr>
          <w:rFonts w:ascii="Arial" w:eastAsia="Calibri" w:hAnsi="Arial" w:cs="Arial"/>
          <w:bCs/>
          <w:lang w:val="es-MX"/>
        </w:rPr>
        <w:t>”</w:t>
      </w:r>
      <w:r w:rsidRPr="00551222">
        <w:rPr>
          <w:rFonts w:ascii="Arial" w:eastAsia="Calibri" w:hAnsi="Arial" w:cs="Arial"/>
          <w:bCs/>
          <w:vertAlign w:val="superscript"/>
          <w:lang w:val="es-MX"/>
        </w:rPr>
        <w:footnoteReference w:id="9"/>
      </w:r>
      <w:r w:rsidRPr="00551222">
        <w:rPr>
          <w:rFonts w:ascii="Arial" w:eastAsia="Calibri" w:hAnsi="Arial" w:cs="Arial"/>
          <w:lang w:val="es-MX"/>
        </w:rPr>
        <w:t>.</w:t>
      </w:r>
    </w:p>
    <w:p w14:paraId="53A0E0C8" w14:textId="77777777" w:rsidR="00551222" w:rsidRPr="00551222" w:rsidRDefault="00551222" w:rsidP="00551222">
      <w:pPr>
        <w:widowControl w:val="0"/>
        <w:autoSpaceDE w:val="0"/>
        <w:autoSpaceDN w:val="0"/>
        <w:spacing w:after="120" w:line="276" w:lineRule="auto"/>
        <w:ind w:right="113" w:firstLine="708"/>
        <w:jc w:val="both"/>
        <w:rPr>
          <w:rFonts w:ascii="Arial" w:eastAsia="Arial" w:hAnsi="Arial" w:cs="Arial"/>
          <w:lang w:val="es-ES" w:eastAsia="es-ES" w:bidi="es-ES"/>
        </w:rPr>
      </w:pPr>
      <w:r w:rsidRPr="00551222">
        <w:rPr>
          <w:rFonts w:ascii="Arial" w:eastAsia="Calibri" w:hAnsi="Arial" w:cs="Arial"/>
          <w:lang w:val="es-MX"/>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51222">
        <w:rPr>
          <w:rFonts w:ascii="Arial" w:eastAsia="Calibri" w:hAnsi="Arial" w:cs="Arial"/>
          <w:bCs/>
          <w:lang w:val="es-MX"/>
        </w:rPr>
        <w:t xml:space="preserve">“[…] </w:t>
      </w:r>
      <w:r w:rsidRPr="00551222">
        <w:rPr>
          <w:rFonts w:ascii="Arial" w:eastAsia="Calibri" w:hAnsi="Arial" w:cs="Arial"/>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51222">
        <w:rPr>
          <w:rFonts w:ascii="Arial" w:eastAsia="Calibri" w:hAnsi="Arial" w:cs="Arial"/>
          <w:bCs/>
          <w:lang w:val="es-MX"/>
        </w:rPr>
        <w:t>”</w:t>
      </w:r>
      <w:r w:rsidRPr="00551222">
        <w:rPr>
          <w:rFonts w:ascii="Arial" w:eastAsia="Calibri" w:hAnsi="Arial" w:cs="Arial"/>
          <w:bCs/>
          <w:vertAlign w:val="superscript"/>
          <w:lang w:val="es-MX"/>
        </w:rPr>
        <w:footnoteReference w:id="10"/>
      </w:r>
      <w:r w:rsidRPr="00551222">
        <w:rPr>
          <w:rFonts w:ascii="Arial" w:eastAsia="Calibri" w:hAnsi="Arial" w:cs="Arial"/>
          <w:lang w:val="es-MX"/>
        </w:rPr>
        <w:t>.</w:t>
      </w:r>
      <w:r w:rsidRPr="00551222">
        <w:rPr>
          <w:rFonts w:ascii="Arial" w:eastAsia="Arial" w:hAnsi="Arial" w:cs="Arial"/>
          <w:lang w:val="es-ES" w:eastAsia="es-ES" w:bidi="es-ES"/>
        </w:rPr>
        <w:t xml:space="preserve"> </w:t>
      </w:r>
    </w:p>
    <w:p w14:paraId="5DDC2DA0" w14:textId="77777777" w:rsidR="00551222" w:rsidRPr="00551222" w:rsidRDefault="00551222" w:rsidP="00551222">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551222">
        <w:rPr>
          <w:rFonts w:ascii="Arial" w:eastAsia="Arial" w:hAnsi="Arial" w:cs="Arial"/>
          <w:lang w:val="es-ES" w:eastAsia="es-ES" w:bidi="es-ES"/>
        </w:rPr>
        <w:lastRenderedPageBreak/>
        <w:t>La Sala de Consulta y Servicio Civil del Consejo de Estado ha aclarado la distinción en la aplicación de las prohibiciones de la Ley 996 de 2005, dependiendo del tipo de elección que se trate. Al respecto, considera que:</w:t>
      </w:r>
    </w:p>
    <w:p w14:paraId="62CF2C37" w14:textId="77777777" w:rsidR="00551222" w:rsidRPr="00551222" w:rsidRDefault="00551222" w:rsidP="00551222">
      <w:pPr>
        <w:widowControl w:val="0"/>
        <w:autoSpaceDE w:val="0"/>
        <w:autoSpaceDN w:val="0"/>
        <w:spacing w:after="0" w:line="276" w:lineRule="auto"/>
        <w:ind w:left="805" w:right="811"/>
        <w:contextualSpacing/>
        <w:jc w:val="both"/>
        <w:rPr>
          <w:rFonts w:ascii="Arial" w:eastAsia="Arial" w:hAnsi="Arial" w:cs="Arial"/>
          <w:lang w:val="es-ES" w:eastAsia="es-ES" w:bidi="es-ES"/>
        </w:rPr>
      </w:pPr>
    </w:p>
    <w:p w14:paraId="40E012B2" w14:textId="77777777" w:rsidR="00551222" w:rsidRPr="00551222" w:rsidRDefault="00551222" w:rsidP="0055122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51222">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9" w:name="_Hlk76109421"/>
      <w:r w:rsidRPr="00551222">
        <w:rPr>
          <w:rFonts w:ascii="Arial" w:eastAsia="Arial" w:hAnsi="Arial" w:cs="Arial"/>
          <w:sz w:val="21"/>
          <w:szCs w:val="21"/>
          <w:lang w:val="es-ES" w:eastAsia="es-ES" w:bidi="es-ES"/>
        </w:rPr>
        <w:t>se integran parcialmente</w:t>
      </w:r>
      <w:bookmarkEnd w:id="9"/>
      <w:r w:rsidRPr="00551222">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51222">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51222">
        <w:rPr>
          <w:rFonts w:ascii="Arial" w:eastAsia="Arial" w:hAnsi="Arial" w:cs="Arial"/>
          <w:sz w:val="21"/>
          <w:szCs w:val="21"/>
          <w:lang w:val="es-ES" w:eastAsia="es-ES" w:bidi="es-ES"/>
        </w:rPr>
        <w:t>”.</w:t>
      </w:r>
      <w:r w:rsidRPr="00551222">
        <w:rPr>
          <w:rFonts w:ascii="Arial" w:eastAsia="Arial" w:hAnsi="Arial" w:cs="Arial"/>
          <w:sz w:val="21"/>
          <w:szCs w:val="21"/>
          <w:vertAlign w:val="superscript"/>
          <w:lang w:val="es-ES" w:eastAsia="es-ES" w:bidi="es-ES"/>
        </w:rPr>
        <w:footnoteReference w:id="11"/>
      </w:r>
    </w:p>
    <w:p w14:paraId="6F3A12E6" w14:textId="77777777" w:rsidR="00551222" w:rsidRPr="00551222" w:rsidRDefault="00551222" w:rsidP="00551222">
      <w:pPr>
        <w:widowControl w:val="0"/>
        <w:autoSpaceDE w:val="0"/>
        <w:autoSpaceDN w:val="0"/>
        <w:spacing w:after="0" w:line="276" w:lineRule="auto"/>
        <w:contextualSpacing/>
        <w:rPr>
          <w:rFonts w:ascii="Arial" w:eastAsia="Arial" w:hAnsi="Arial" w:cs="Arial"/>
          <w:lang w:val="es-ES" w:eastAsia="es-ES" w:bidi="es-ES"/>
        </w:rPr>
      </w:pPr>
    </w:p>
    <w:p w14:paraId="21F3F266" w14:textId="77777777" w:rsidR="00551222" w:rsidRPr="00551222" w:rsidRDefault="00551222" w:rsidP="00551222">
      <w:pPr>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 xml:space="preserve">De conformidad con lo anterior, </w:t>
      </w:r>
      <w:bookmarkStart w:id="10" w:name="_Hlk77236420"/>
      <w:bookmarkStart w:id="11" w:name="_Hlk78818435"/>
      <w:bookmarkStart w:id="12" w:name="_Hlk75780333"/>
      <w:r w:rsidRPr="00551222">
        <w:rPr>
          <w:rFonts w:ascii="Arial" w:eastAsia="Arial" w:hAnsi="Arial" w:cs="Arial"/>
          <w:lang w:val="es-ES" w:eastAsia="es-ES" w:bidi="es-ES"/>
        </w:rPr>
        <w:t xml:space="preserve">la Ley 996 de 2005 establece dos (2) tipos de restricciones en materia de contratación, las cuales coinciden parcialmente. </w:t>
      </w:r>
      <w:r w:rsidRPr="00551222">
        <w:rPr>
          <w:rFonts w:ascii="Arial" w:eastAsia="Arial" w:hAnsi="Arial" w:cs="Arial"/>
          <w:i/>
          <w:iCs/>
          <w:lang w:val="es-ES" w:eastAsia="es-ES" w:bidi="es-ES"/>
        </w:rPr>
        <w:t>En primer lugar</w:t>
      </w:r>
      <w:r w:rsidRPr="00551222">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51222">
        <w:rPr>
          <w:rFonts w:ascii="Arial" w:eastAsia="Arial" w:hAnsi="Arial" w:cs="Arial"/>
          <w:i/>
          <w:iCs/>
          <w:lang w:val="es-ES" w:eastAsia="es-ES" w:bidi="es-ES"/>
        </w:rPr>
        <w:t>En segundo lugar</w:t>
      </w:r>
      <w:r w:rsidRPr="00551222">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0"/>
    </w:p>
    <w:bookmarkEnd w:id="11"/>
    <w:p w14:paraId="26A6FBD0" w14:textId="77777777" w:rsidR="00551222" w:rsidRPr="00551222" w:rsidRDefault="00551222" w:rsidP="00551222">
      <w:pPr>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2"/>
    <w:p w14:paraId="6F171C59" w14:textId="77777777" w:rsidR="00551222" w:rsidRPr="00551222" w:rsidRDefault="00551222" w:rsidP="00551222">
      <w:pPr>
        <w:spacing w:after="0" w:line="276" w:lineRule="auto"/>
        <w:ind w:firstLine="709"/>
        <w:contextualSpacing/>
        <w:jc w:val="both"/>
        <w:rPr>
          <w:rFonts w:ascii="Arial" w:hAnsi="Arial" w:cs="Arial"/>
          <w:bCs/>
          <w:lang w:val="es-MX" w:eastAsia="x-none"/>
        </w:rPr>
      </w:pPr>
      <w:r w:rsidRPr="00551222">
        <w:rPr>
          <w:rFonts w:ascii="Arial" w:eastAsia="Arial" w:hAnsi="Arial" w:cs="Arial"/>
          <w:lang w:val="es-ES" w:eastAsia="es-ES" w:bidi="es-ES"/>
        </w:rPr>
        <w:lastRenderedPageBreak/>
        <w:t xml:space="preserve">Teniendo en cuenta el objeto de la consulta y que en </w:t>
      </w:r>
      <w:proofErr w:type="spellStart"/>
      <w:r w:rsidRPr="00551222">
        <w:rPr>
          <w:rFonts w:ascii="Arial" w:eastAsia="Arial" w:hAnsi="Arial" w:cs="Arial"/>
          <w:lang w:val="es-ES" w:eastAsia="es-ES" w:bidi="es-ES"/>
        </w:rPr>
        <w:t>le</w:t>
      </w:r>
      <w:proofErr w:type="spellEnd"/>
      <w:r w:rsidRPr="00551222">
        <w:rPr>
          <w:rFonts w:ascii="Arial" w:eastAsia="Arial" w:hAnsi="Arial" w:cs="Arial"/>
          <w:lang w:val="es-ES" w:eastAsia="es-ES" w:bidi="es-ES"/>
        </w:rPr>
        <w:t xml:space="preserve"> presente año se desarrollaran elecciones </w:t>
      </w:r>
      <w:r w:rsidRPr="00551222">
        <w:rPr>
          <w:rFonts w:ascii="Arial" w:hAnsi="Arial" w:cs="Arial"/>
          <w:lang w:val="es-ES_tradnl"/>
        </w:rPr>
        <w:t xml:space="preserve">de autoridades territoriales, tales como gobernadores, alcaldes, diputados, concejales, ediles y miembros de las juntas administradoras locales, a continuación, se analizará la prohibición contenida en el parágrafo del artículo 38 de la Ley de Garantías Electorales respecto a la celebración de contratos y convenios interadministrativos y la modificación de nóminas. </w:t>
      </w:r>
    </w:p>
    <w:p w14:paraId="64A76E9A" w14:textId="77777777" w:rsidR="00551222" w:rsidRPr="00551222" w:rsidRDefault="00551222" w:rsidP="00551222">
      <w:pPr>
        <w:spacing w:after="0" w:line="276" w:lineRule="auto"/>
        <w:ind w:firstLine="709"/>
        <w:jc w:val="both"/>
        <w:rPr>
          <w:rFonts w:ascii="Arial" w:hAnsi="Arial" w:cs="Arial"/>
          <w:bCs/>
          <w:lang w:val="es-ES_tradnl" w:eastAsia="x-none"/>
        </w:rPr>
      </w:pPr>
      <w:bookmarkStart w:id="13" w:name="_Hlk75787147"/>
    </w:p>
    <w:p w14:paraId="064AF5EC" w14:textId="7D60A6B0" w:rsidR="00551222" w:rsidRPr="00551222" w:rsidRDefault="00551222" w:rsidP="00551222">
      <w:pPr>
        <w:spacing w:after="0" w:line="276" w:lineRule="auto"/>
        <w:jc w:val="both"/>
        <w:rPr>
          <w:rFonts w:ascii="Arial" w:eastAsia="Calibri" w:hAnsi="Arial" w:cs="Arial"/>
          <w:b/>
          <w:bCs/>
          <w:lang w:val="es-MX"/>
        </w:rPr>
      </w:pPr>
      <w:bookmarkStart w:id="14" w:name="_Hlk75784645"/>
      <w:bookmarkEnd w:id="13"/>
      <w:r w:rsidRPr="00551222">
        <w:rPr>
          <w:rFonts w:ascii="Arial" w:eastAsia="Calibri" w:hAnsi="Arial" w:cs="Arial"/>
          <w:b/>
          <w:bCs/>
          <w:lang w:val="es-MX"/>
        </w:rPr>
        <w:t xml:space="preserve">2.2. </w:t>
      </w:r>
      <w:bookmarkStart w:id="15" w:name="_Hlk135879205"/>
      <w:bookmarkStart w:id="16" w:name="_Hlk77153296"/>
      <w:r w:rsidRPr="00551222">
        <w:rPr>
          <w:rFonts w:ascii="Arial" w:hAnsi="Arial" w:cs="Arial"/>
          <w:b/>
          <w:bCs/>
          <w:lang w:val="es-MX" w:eastAsia="es-CO"/>
        </w:rPr>
        <w:t xml:space="preserve">Restricciones </w:t>
      </w:r>
      <w:bookmarkStart w:id="17" w:name="_Hlk75643279"/>
      <w:r w:rsidRPr="00551222">
        <w:rPr>
          <w:rFonts w:ascii="Arial" w:hAnsi="Arial" w:cs="Arial"/>
          <w:b/>
          <w:bCs/>
          <w:lang w:val="es-MX" w:eastAsia="es-CO"/>
        </w:rPr>
        <w:t xml:space="preserve">para la celebración de contratos y convenios interadministrativos </w:t>
      </w:r>
      <w:bookmarkEnd w:id="15"/>
    </w:p>
    <w:p w14:paraId="04C90866" w14:textId="77777777" w:rsidR="00551222" w:rsidRPr="00551222" w:rsidRDefault="00551222" w:rsidP="00551222">
      <w:pPr>
        <w:tabs>
          <w:tab w:val="left" w:pos="426"/>
        </w:tabs>
        <w:spacing w:after="0" w:line="276" w:lineRule="auto"/>
        <w:jc w:val="both"/>
        <w:rPr>
          <w:rFonts w:ascii="Arial" w:eastAsia="Calibri" w:hAnsi="Arial" w:cs="Arial"/>
          <w:bCs/>
          <w:lang w:val="es-MX"/>
        </w:rPr>
      </w:pPr>
      <w:bookmarkStart w:id="18" w:name="_Hlk88210558"/>
      <w:bookmarkEnd w:id="16"/>
      <w:bookmarkEnd w:id="17"/>
    </w:p>
    <w:p w14:paraId="2F53E43B" w14:textId="4024746D" w:rsidR="00551222" w:rsidRPr="00551222" w:rsidRDefault="00551222" w:rsidP="00551222">
      <w:pPr>
        <w:tabs>
          <w:tab w:val="left" w:pos="426"/>
        </w:tabs>
        <w:spacing w:after="120" w:line="276" w:lineRule="auto"/>
        <w:jc w:val="both"/>
        <w:rPr>
          <w:rFonts w:ascii="Arial" w:eastAsia="Calibri" w:hAnsi="Arial" w:cs="Arial"/>
          <w:bCs/>
          <w:lang w:val="es-MX"/>
        </w:rPr>
      </w:pPr>
      <w:bookmarkStart w:id="19" w:name="_Hlk114827887"/>
      <w:r w:rsidRPr="00551222">
        <w:rPr>
          <w:rFonts w:ascii="Arial" w:eastAsia="Calibri" w:hAnsi="Arial" w:cs="Arial"/>
          <w:bCs/>
          <w:lang w:val="es-MX"/>
        </w:rPr>
        <w:t xml:space="preserve">En primer lugar, el inciso primero del parágrafo del artículo 38 de la Ley 996 de 2005 dispone que “[l]os Gobernadores, </w:t>
      </w:r>
      <w:r w:rsidR="00E55607" w:rsidRPr="00551222">
        <w:rPr>
          <w:rFonts w:ascii="Arial" w:eastAsia="Calibri" w:hAnsi="Arial" w:cs="Arial"/>
          <w:bCs/>
          <w:lang w:val="es-MX"/>
        </w:rPr>
        <w:t>alcaldes</w:t>
      </w:r>
      <w:r w:rsidRPr="00551222">
        <w:rPr>
          <w:rFonts w:ascii="Arial" w:eastAsia="Calibri" w:hAnsi="Arial" w:cs="Arial"/>
          <w:bCs/>
          <w:lang w:val="es-MX"/>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51222">
        <w:rPr>
          <w:rFonts w:ascii="Arial" w:hAnsi="Arial" w:cs="Arial"/>
          <w:bCs/>
          <w:iCs/>
          <w:lang w:val="es-MX" w:eastAsia="x-none"/>
        </w:rPr>
        <w:t xml:space="preserve"> </w:t>
      </w:r>
      <w:bookmarkStart w:id="20" w:name="_Hlk99578153"/>
      <w:bookmarkEnd w:id="18"/>
      <w:r w:rsidRPr="00551222">
        <w:rPr>
          <w:rFonts w:ascii="Arial" w:hAnsi="Arial" w:cs="Arial"/>
          <w:bCs/>
          <w:iCs/>
          <w:lang w:val="es-MX"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19"/>
      <w:bookmarkEnd w:id="20"/>
      <w:r w:rsidRPr="00551222">
        <w:rPr>
          <w:rFonts w:ascii="Arial" w:hAnsi="Arial" w:cs="Arial"/>
          <w:bCs/>
          <w:iCs/>
          <w:vertAlign w:val="superscript"/>
          <w:lang w:val="es-MX" w:eastAsia="x-none"/>
        </w:rPr>
        <w:footnoteReference w:id="12"/>
      </w:r>
      <w:r w:rsidRPr="00551222">
        <w:rPr>
          <w:rFonts w:ascii="Arial" w:hAnsi="Arial" w:cs="Arial"/>
          <w:bCs/>
          <w:iCs/>
          <w:lang w:val="es-MX" w:eastAsia="x-none"/>
        </w:rPr>
        <w:t>.</w:t>
      </w:r>
      <w:r w:rsidRPr="00551222">
        <w:rPr>
          <w:rFonts w:ascii="Arial" w:eastAsia="Calibri" w:hAnsi="Arial" w:cs="Arial"/>
          <w:lang w:val="es-MX"/>
        </w:rPr>
        <w:t xml:space="preserve"> </w:t>
      </w:r>
    </w:p>
    <w:p w14:paraId="40678798"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Calibri" w:hAnsi="Arial" w:cs="Arial"/>
          <w:bCs/>
          <w:lang w:val="es-MX" w:eastAsia="es-ES" w:bidi="es-ES"/>
        </w:rPr>
        <w:t xml:space="preserve">Ahora bien, </w:t>
      </w:r>
      <w:bookmarkStart w:id="21" w:name="_Hlk78820161"/>
      <w:r w:rsidRPr="00551222">
        <w:rPr>
          <w:rFonts w:ascii="Arial" w:eastAsia="Calibri" w:hAnsi="Arial" w:cs="Arial"/>
          <w:bCs/>
          <w:lang w:val="es-MX" w:eastAsia="es-ES" w:bidi="es-ES"/>
        </w:rPr>
        <w:t xml:space="preserve">para determinar el alcance de la prohibición consagrada por la Ley de Garantías Electorales, conviene precisar la tipología de convenios o contratos interadministrativos. </w:t>
      </w:r>
      <w:bookmarkStart w:id="22" w:name="_Hlk114827997"/>
      <w:r w:rsidRPr="00551222">
        <w:rPr>
          <w:rFonts w:ascii="Arial" w:eastAsia="Arial" w:hAnsi="Arial" w:cs="Arial"/>
          <w:lang w:val="es-ES" w:eastAsia="es-ES" w:bidi="es-ES"/>
        </w:rPr>
        <w:t>Aunque la ley no la definió ni desarrolló, el Decreto 1082 de 2015 califica a los convenios o contratos interadministrativos como aquella contratación entre entidades estatales</w:t>
      </w:r>
      <w:r w:rsidRPr="00551222">
        <w:rPr>
          <w:rFonts w:ascii="Arial" w:eastAsia="Arial" w:hAnsi="Arial" w:cs="Arial"/>
          <w:vertAlign w:val="superscript"/>
          <w:lang w:val="es-ES" w:eastAsia="es-ES" w:bidi="es-ES"/>
        </w:rPr>
        <w:footnoteReference w:id="13"/>
      </w:r>
      <w:r w:rsidRPr="00551222">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51222">
        <w:rPr>
          <w:rFonts w:ascii="Arial" w:eastAsia="Arial" w:hAnsi="Arial" w:cs="Arial"/>
          <w:spacing w:val="-6"/>
          <w:lang w:val="es-ES" w:eastAsia="es-ES" w:bidi="es-ES"/>
        </w:rPr>
        <w:t xml:space="preserve"> </w:t>
      </w:r>
      <w:r w:rsidRPr="00551222">
        <w:rPr>
          <w:rFonts w:ascii="Arial" w:eastAsia="Arial" w:hAnsi="Arial" w:cs="Arial"/>
          <w:lang w:val="es-ES" w:eastAsia="es-ES" w:bidi="es-ES"/>
        </w:rPr>
        <w:t>estatales.</w:t>
      </w:r>
    </w:p>
    <w:p w14:paraId="5EC9BC17"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bookmarkStart w:id="23" w:name="_Hlk78820654"/>
      <w:bookmarkEnd w:id="21"/>
      <w:bookmarkEnd w:id="22"/>
      <w:r w:rsidRPr="00551222">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7C41B171"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bookmarkStart w:id="24" w:name="_Hlk99578261"/>
      <w:bookmarkEnd w:id="23"/>
      <w:r w:rsidRPr="00551222">
        <w:rPr>
          <w:rFonts w:ascii="Arial" w:eastAsia="Arial" w:hAnsi="Arial" w:cs="Arial"/>
          <w:lang w:val="es-ES" w:eastAsia="es-ES" w:bidi="es-ES"/>
        </w:rPr>
        <w:lastRenderedPageBreak/>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51222">
        <w:rPr>
          <w:rFonts w:ascii="Arial" w:eastAsia="Arial" w:hAnsi="Arial" w:cs="Arial"/>
          <w:vertAlign w:val="superscript"/>
          <w:lang w:val="es-ES" w:eastAsia="es-ES" w:bidi="es-ES"/>
        </w:rPr>
        <w:footnoteReference w:id="14"/>
      </w:r>
      <w:r w:rsidRPr="00551222">
        <w:rPr>
          <w:rFonts w:ascii="Arial" w:eastAsia="Arial" w:hAnsi="Arial" w:cs="Arial"/>
          <w:lang w:val="es-ES" w:eastAsia="es-ES" w:bidi="es-ES"/>
        </w:rPr>
        <w:t>. Nótese que, en este caso, lo que cambia es la modalidad de selección y no la naturaleza de contrato</w:t>
      </w:r>
      <w:r w:rsidRPr="00551222">
        <w:rPr>
          <w:rFonts w:ascii="Arial" w:eastAsia="Arial" w:hAnsi="Arial" w:cs="Arial"/>
          <w:spacing w:val="-18"/>
          <w:lang w:val="es-ES" w:eastAsia="es-ES" w:bidi="es-ES"/>
        </w:rPr>
        <w:t xml:space="preserve"> </w:t>
      </w:r>
      <w:r w:rsidRPr="00551222">
        <w:rPr>
          <w:rFonts w:ascii="Arial" w:eastAsia="Arial" w:hAnsi="Arial" w:cs="Arial"/>
          <w:lang w:val="es-ES" w:eastAsia="es-ES" w:bidi="es-ES"/>
        </w:rPr>
        <w:t>interadministrativo.</w:t>
      </w:r>
    </w:p>
    <w:bookmarkEnd w:id="24"/>
    <w:p w14:paraId="7F413C40" w14:textId="77777777" w:rsidR="00551222" w:rsidRPr="00551222" w:rsidRDefault="00551222" w:rsidP="00551222">
      <w:pPr>
        <w:widowControl w:val="0"/>
        <w:autoSpaceDE w:val="0"/>
        <w:autoSpaceDN w:val="0"/>
        <w:spacing w:before="114" w:after="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51222">
        <w:rPr>
          <w:rFonts w:ascii="Arial" w:eastAsia="Arial" w:hAnsi="Arial" w:cs="Arial"/>
          <w:spacing w:val="-13"/>
          <w:lang w:val="es-ES" w:eastAsia="es-ES" w:bidi="es-ES"/>
        </w:rPr>
        <w:t xml:space="preserve"> </w:t>
      </w:r>
      <w:r w:rsidRPr="00551222">
        <w:rPr>
          <w:rFonts w:ascii="Arial" w:eastAsia="Arial" w:hAnsi="Arial" w:cs="Arial"/>
          <w:lang w:val="es-ES" w:eastAsia="es-ES" w:bidi="es-ES"/>
        </w:rPr>
        <w:t>que:</w:t>
      </w:r>
    </w:p>
    <w:p w14:paraId="04B15B5D" w14:textId="77777777" w:rsidR="00551222" w:rsidRPr="00551222" w:rsidRDefault="00551222" w:rsidP="00551222">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230AB8DB" w14:textId="77777777" w:rsidR="00551222" w:rsidRPr="00551222" w:rsidRDefault="00551222" w:rsidP="00551222">
      <w:pPr>
        <w:spacing w:after="0" w:line="240" w:lineRule="auto"/>
        <w:ind w:left="709" w:right="709"/>
        <w:contextualSpacing/>
        <w:jc w:val="both"/>
        <w:rPr>
          <w:rFonts w:ascii="Arial" w:eastAsia="Calibri" w:hAnsi="Arial" w:cs="Arial"/>
          <w:sz w:val="21"/>
          <w:lang w:val="es-MX"/>
        </w:rPr>
      </w:pPr>
      <w:r w:rsidRPr="00551222">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551222">
        <w:rPr>
          <w:rFonts w:ascii="Arial" w:eastAsia="Calibri" w:hAnsi="Arial" w:cs="Arial"/>
          <w:sz w:val="21"/>
          <w:lang w:val="es-MX"/>
        </w:rPr>
        <w:t>iv</w:t>
      </w:r>
      <w:proofErr w:type="spellEnd"/>
      <w:r w:rsidRPr="00551222">
        <w:rPr>
          <w:rFonts w:ascii="Arial" w:eastAsia="Calibri"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551222">
        <w:rPr>
          <w:rFonts w:ascii="Arial" w:eastAsia="Calibri" w:hAnsi="Arial" w:cs="Arial"/>
          <w:sz w:val="21"/>
          <w:lang w:val="es-MX"/>
        </w:rPr>
        <w:t>vii</w:t>
      </w:r>
      <w:proofErr w:type="spellEnd"/>
      <w:r w:rsidRPr="00551222">
        <w:rPr>
          <w:rFonts w:ascii="Arial" w:eastAsia="Calibri" w:hAnsi="Arial" w:cs="Arial"/>
          <w:sz w:val="21"/>
          <w:lang w:val="es-MX"/>
        </w:rPr>
        <w:t>) persiguen  una finalidad común a través de la realización de intereses compartidos entre las entidades vinculadas; (</w:t>
      </w:r>
      <w:proofErr w:type="spellStart"/>
      <w:r w:rsidRPr="00551222">
        <w:rPr>
          <w:rFonts w:ascii="Arial" w:eastAsia="Calibri" w:hAnsi="Arial" w:cs="Arial"/>
          <w:sz w:val="21"/>
          <w:lang w:val="es-MX"/>
        </w:rPr>
        <w:t>viii</w:t>
      </w:r>
      <w:proofErr w:type="spellEnd"/>
      <w:r w:rsidRPr="00551222">
        <w:rPr>
          <w:rFonts w:ascii="Arial" w:eastAsia="Calibri" w:hAnsi="Arial" w:cs="Arial"/>
          <w:sz w:val="21"/>
          <w:lang w:val="es-MX"/>
        </w:rPr>
        <w:t>) la acción mediante la cual se deben ventilar las diferencias que sobre el particular surjan es la de controversias contractuales”</w:t>
      </w:r>
      <w:r w:rsidRPr="00551222">
        <w:rPr>
          <w:rFonts w:ascii="Arial" w:eastAsia="Calibri" w:hAnsi="Arial" w:cs="Arial"/>
          <w:sz w:val="21"/>
          <w:vertAlign w:val="superscript"/>
          <w:lang w:val="es-MX"/>
        </w:rPr>
        <w:footnoteReference w:id="15"/>
      </w:r>
      <w:r w:rsidRPr="00551222">
        <w:rPr>
          <w:rFonts w:ascii="Arial" w:eastAsia="Calibri" w:hAnsi="Arial" w:cs="Arial"/>
          <w:sz w:val="21"/>
          <w:lang w:val="es-MX"/>
        </w:rPr>
        <w:t>.</w:t>
      </w:r>
    </w:p>
    <w:p w14:paraId="6D627AA1" w14:textId="77777777" w:rsidR="00551222" w:rsidRPr="00551222" w:rsidRDefault="00551222" w:rsidP="00551222">
      <w:pPr>
        <w:spacing w:after="0" w:line="276" w:lineRule="auto"/>
        <w:ind w:left="709" w:right="709"/>
        <w:contextualSpacing/>
        <w:jc w:val="both"/>
        <w:rPr>
          <w:rFonts w:ascii="Arial" w:eastAsia="Calibri" w:hAnsi="Arial" w:cs="Arial"/>
          <w:color w:val="FF0000"/>
          <w:lang w:val="es-MX"/>
        </w:rPr>
      </w:pPr>
    </w:p>
    <w:p w14:paraId="760760DB"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 xml:space="preserve">En ese sentido, los convenios interadministrativos se caracterizan por los sujetos que </w:t>
      </w:r>
      <w:r w:rsidRPr="00551222">
        <w:rPr>
          <w:rFonts w:ascii="Arial" w:eastAsia="Arial" w:hAnsi="Arial" w:cs="Arial"/>
          <w:lang w:val="es-ES" w:eastAsia="es-ES" w:bidi="es-ES"/>
        </w:rPr>
        <w:lastRenderedPageBreak/>
        <w:t>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 en adelante EGCAP – establece la contratación directa como la modalidad de selección aplicable, por regla general, a la celebración de los contratos interadministrativos.</w:t>
      </w:r>
    </w:p>
    <w:p w14:paraId="141BA0D5" w14:textId="77777777" w:rsidR="00551222" w:rsidRPr="00551222" w:rsidRDefault="00551222" w:rsidP="00551222">
      <w:pPr>
        <w:widowControl w:val="0"/>
        <w:autoSpaceDE w:val="0"/>
        <w:autoSpaceDN w:val="0"/>
        <w:spacing w:after="120" w:line="276" w:lineRule="auto"/>
        <w:ind w:firstLine="707"/>
        <w:jc w:val="both"/>
        <w:rPr>
          <w:rFonts w:ascii="Arial" w:eastAsia="Arial" w:hAnsi="Arial" w:cs="Arial"/>
          <w:lang w:val="es-ES" w:eastAsia="es-ES" w:bidi="es-ES"/>
        </w:rPr>
      </w:pPr>
      <w:r w:rsidRPr="00551222">
        <w:rPr>
          <w:rFonts w:ascii="Arial" w:eastAsia="Arial" w:hAnsi="Arial" w:cs="Arial"/>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51222">
        <w:rPr>
          <w:rFonts w:ascii="Arial" w:eastAsia="Arial" w:hAnsi="Arial" w:cs="Arial"/>
          <w:spacing w:val="-3"/>
          <w:lang w:val="es-ES" w:eastAsia="es-ES" w:bidi="es-ES"/>
        </w:rPr>
        <w:t xml:space="preserve"> </w:t>
      </w:r>
      <w:r w:rsidRPr="00551222">
        <w:rPr>
          <w:rFonts w:ascii="Arial" w:eastAsia="Arial" w:hAnsi="Arial" w:cs="Arial"/>
          <w:lang w:val="es-ES" w:eastAsia="es-ES" w:bidi="es-ES"/>
        </w:rPr>
        <w:t>estatales.</w:t>
      </w:r>
    </w:p>
    <w:p w14:paraId="02F5B4D1" w14:textId="77777777" w:rsidR="00551222" w:rsidRPr="00551222" w:rsidRDefault="00551222" w:rsidP="00551222">
      <w:pPr>
        <w:widowControl w:val="0"/>
        <w:autoSpaceDE w:val="0"/>
        <w:autoSpaceDN w:val="0"/>
        <w:spacing w:after="120" w:line="276" w:lineRule="auto"/>
        <w:ind w:firstLine="709"/>
        <w:jc w:val="both"/>
        <w:rPr>
          <w:rFonts w:ascii="Arial" w:eastAsia="Arial" w:hAnsi="Arial" w:cs="Arial"/>
          <w:lang w:val="es-ES" w:eastAsia="es-ES" w:bidi="es-ES"/>
        </w:rPr>
      </w:pPr>
      <w:r w:rsidRPr="00551222">
        <w:rPr>
          <w:rFonts w:ascii="Arial" w:eastAsia="Arial" w:hAnsi="Arial" w:cs="Arial"/>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51222">
        <w:rPr>
          <w:rFonts w:ascii="Arial" w:eastAsia="Arial" w:hAnsi="Arial" w:cs="Arial"/>
          <w:spacing w:val="-4"/>
          <w:lang w:val="es-ES" w:eastAsia="es-ES" w:bidi="es-ES"/>
        </w:rPr>
        <w:t xml:space="preserve"> </w:t>
      </w:r>
      <w:r w:rsidRPr="00551222">
        <w:rPr>
          <w:rFonts w:ascii="Arial" w:eastAsia="Arial" w:hAnsi="Arial" w:cs="Arial"/>
          <w:lang w:val="es-ES" w:eastAsia="es-ES" w:bidi="es-ES"/>
        </w:rPr>
        <w:t>estatales.</w:t>
      </w:r>
    </w:p>
    <w:p w14:paraId="27267A90" w14:textId="77777777" w:rsidR="00551222" w:rsidRPr="00551222" w:rsidRDefault="00551222" w:rsidP="00551222">
      <w:pPr>
        <w:widowControl w:val="0"/>
        <w:autoSpaceDE w:val="0"/>
        <w:autoSpaceDN w:val="0"/>
        <w:spacing w:after="120" w:line="276" w:lineRule="auto"/>
        <w:ind w:firstLine="708"/>
        <w:jc w:val="both"/>
        <w:rPr>
          <w:rFonts w:ascii="Arial" w:eastAsia="Arial" w:hAnsi="Arial" w:cs="Arial"/>
          <w:lang w:val="es-ES" w:eastAsia="es-ES" w:bidi="es-ES"/>
        </w:rPr>
      </w:pPr>
      <w:r w:rsidRPr="00551222">
        <w:rPr>
          <w:rFonts w:ascii="Arial" w:eastAsia="Arial" w:hAnsi="Arial" w:cs="Arial"/>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0A38A87B" w14:textId="77777777" w:rsidR="00551222" w:rsidRPr="00551222" w:rsidRDefault="00551222" w:rsidP="00551222">
      <w:pPr>
        <w:widowControl w:val="0"/>
        <w:autoSpaceDE w:val="0"/>
        <w:autoSpaceDN w:val="0"/>
        <w:spacing w:after="120" w:line="276" w:lineRule="auto"/>
        <w:ind w:firstLine="708"/>
        <w:jc w:val="both"/>
        <w:rPr>
          <w:rFonts w:ascii="Arial" w:eastAsia="Calibri" w:hAnsi="Arial" w:cs="Arial"/>
          <w:bCs/>
          <w:lang w:val="es-MX" w:eastAsia="es-ES" w:bidi="es-ES"/>
        </w:rPr>
      </w:pPr>
      <w:r w:rsidRPr="00551222">
        <w:rPr>
          <w:rFonts w:ascii="Arial" w:eastAsia="Arial" w:hAnsi="Arial" w:cs="Arial"/>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w:t>
      </w:r>
      <w:r w:rsidRPr="00551222">
        <w:rPr>
          <w:rFonts w:ascii="Arial" w:eastAsia="Arial" w:hAnsi="Arial" w:cs="Arial"/>
          <w:lang w:val="es-ES" w:eastAsia="es-ES" w:bidi="es-ES"/>
        </w:rPr>
        <w:lastRenderedPageBreak/>
        <w:t>EGCAP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51222">
        <w:rPr>
          <w:rFonts w:ascii="Arial" w:eastAsia="Arial" w:hAnsi="Arial" w:cs="Arial"/>
          <w:spacing w:val="-4"/>
          <w:lang w:val="es-ES" w:eastAsia="es-ES" w:bidi="es-ES"/>
        </w:rPr>
        <w:t xml:space="preserve"> </w:t>
      </w:r>
      <w:r w:rsidRPr="00551222">
        <w:rPr>
          <w:rFonts w:ascii="Arial" w:eastAsia="Arial" w:hAnsi="Arial" w:cs="Arial"/>
          <w:lang w:val="es-ES" w:eastAsia="es-ES" w:bidi="es-ES"/>
        </w:rPr>
        <w:t>[…]”</w:t>
      </w:r>
      <w:r w:rsidRPr="00551222">
        <w:rPr>
          <w:rFonts w:ascii="Arial" w:eastAsia="Arial" w:hAnsi="Arial" w:cs="Arial"/>
          <w:vertAlign w:val="superscript"/>
          <w:lang w:val="es-ES" w:eastAsia="es-ES" w:bidi="es-ES"/>
        </w:rPr>
        <w:footnoteReference w:id="16"/>
      </w:r>
      <w:r w:rsidRPr="00551222">
        <w:rPr>
          <w:rFonts w:ascii="Arial" w:eastAsia="Arial" w:hAnsi="Arial" w:cs="Arial"/>
          <w:lang w:val="es-ES" w:eastAsia="es-ES" w:bidi="es-ES"/>
        </w:rPr>
        <w:t>.</w:t>
      </w:r>
      <w:bookmarkStart w:id="25" w:name="_Hlk77171241"/>
    </w:p>
    <w:p w14:paraId="3AA429B6" w14:textId="77777777" w:rsidR="00551222" w:rsidRPr="00551222" w:rsidRDefault="00551222" w:rsidP="00551222">
      <w:pPr>
        <w:widowControl w:val="0"/>
        <w:autoSpaceDE w:val="0"/>
        <w:autoSpaceDN w:val="0"/>
        <w:spacing w:after="0" w:line="276" w:lineRule="auto"/>
        <w:ind w:firstLine="709"/>
        <w:contextualSpacing/>
        <w:jc w:val="both"/>
        <w:rPr>
          <w:rFonts w:ascii="Arial" w:eastAsia="Arial" w:hAnsi="Arial" w:cs="Arial"/>
          <w:lang w:val="es-ES" w:eastAsia="es-ES" w:bidi="es-ES"/>
        </w:rPr>
      </w:pPr>
      <w:r w:rsidRPr="00551222">
        <w:rPr>
          <w:rFonts w:ascii="Arial" w:eastAsia="Arial" w:hAnsi="Arial" w:cs="Arial"/>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6E0F958" w14:textId="77777777" w:rsidR="00551222" w:rsidRPr="00551222" w:rsidRDefault="00551222" w:rsidP="00551222">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3FCA70B9"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ES_tradnl"/>
        </w:rPr>
      </w:pPr>
      <w:r w:rsidRPr="00551222">
        <w:rPr>
          <w:rFonts w:ascii="Arial" w:eastAsia="Calibri" w:hAnsi="Arial" w:cs="Arial"/>
          <w:sz w:val="21"/>
          <w:szCs w:val="21"/>
          <w:lang w:val="es-ES_tradnl"/>
        </w:rPr>
        <w:t>“La Sala de Consulta y Servicio Civil</w:t>
      </w:r>
      <w:r w:rsidRPr="00551222">
        <w:rPr>
          <w:rFonts w:ascii="Arial" w:eastAsia="Calibri" w:hAnsi="Arial" w:cs="Arial"/>
          <w:sz w:val="21"/>
          <w:szCs w:val="21"/>
          <w:vertAlign w:val="superscript"/>
          <w:lang w:val="es-ES_tradnl"/>
        </w:rPr>
        <w:footnoteReference w:id="17"/>
      </w:r>
      <w:r w:rsidRPr="00551222">
        <w:rPr>
          <w:rFonts w:ascii="Arial" w:eastAsia="Calibri" w:hAnsi="Arial" w:cs="Arial"/>
          <w:sz w:val="21"/>
          <w:szCs w:val="21"/>
          <w:lang w:val="es-ES_tradnl"/>
        </w:rPr>
        <w:t xml:space="preserve"> de esta Corporación se ha referido a los </w:t>
      </w:r>
      <w:r w:rsidRPr="00551222">
        <w:rPr>
          <w:rFonts w:ascii="Arial" w:eastAsia="Calibri" w:hAnsi="Arial" w:cs="Arial"/>
          <w:i/>
          <w:sz w:val="21"/>
          <w:szCs w:val="21"/>
          <w:lang w:val="es-ES_tradnl"/>
        </w:rPr>
        <w:t>“convenios interadministrativos”</w:t>
      </w:r>
      <w:r w:rsidRPr="00551222">
        <w:rPr>
          <w:rFonts w:ascii="Arial" w:eastAsia="Calibri" w:hAnsi="Arial" w:cs="Arial"/>
          <w:sz w:val="21"/>
          <w:szCs w:val="21"/>
          <w:lang w:val="es-ES_tradnl"/>
        </w:rPr>
        <w:t xml:space="preserve"> a los cuales alude el artículo 95 de la Ley 489 de 1998, calificándolos de </w:t>
      </w:r>
      <w:r w:rsidRPr="00551222">
        <w:rPr>
          <w:rFonts w:ascii="Arial" w:eastAsia="Calibri" w:hAnsi="Arial" w:cs="Arial"/>
          <w:i/>
          <w:sz w:val="21"/>
          <w:szCs w:val="21"/>
          <w:lang w:val="es-ES_tradnl"/>
        </w:rPr>
        <w:t xml:space="preserve">“puros” </w:t>
      </w:r>
      <w:r w:rsidRPr="00551222">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551222">
        <w:rPr>
          <w:rFonts w:ascii="Arial" w:eastAsia="Calibri" w:hAnsi="Arial" w:cs="Arial"/>
          <w:i/>
          <w:sz w:val="21"/>
          <w:szCs w:val="21"/>
          <w:lang w:val="es-ES_tradnl"/>
        </w:rPr>
        <w:t>“intercambio patrimonial”</w:t>
      </w:r>
      <w:r w:rsidRPr="00551222">
        <w:rPr>
          <w:rFonts w:ascii="Arial" w:eastAsia="Calibri" w:hAnsi="Arial" w:cs="Arial"/>
          <w:sz w:val="21"/>
          <w:szCs w:val="21"/>
          <w:lang w:val="es-ES_tradnl"/>
        </w:rPr>
        <w:t>. Sin perjuicio de lo anterior, en otra oportunidad, la misma Sala</w:t>
      </w:r>
      <w:r w:rsidRPr="00551222">
        <w:rPr>
          <w:rFonts w:ascii="Arial" w:eastAsia="Calibri" w:hAnsi="Arial" w:cs="Arial"/>
          <w:sz w:val="21"/>
          <w:szCs w:val="21"/>
          <w:vertAlign w:val="superscript"/>
          <w:lang w:val="es-ES_tradnl"/>
        </w:rPr>
        <w:footnoteReference w:id="18"/>
      </w:r>
      <w:r w:rsidRPr="00551222">
        <w:rPr>
          <w:rFonts w:ascii="Arial" w:eastAsia="Calibri" w:hAnsi="Arial" w:cs="Arial"/>
          <w:sz w:val="21"/>
          <w:szCs w:val="21"/>
          <w:lang w:val="es-ES_tradnl"/>
        </w:rPr>
        <w:t xml:space="preserve"> había indicado que, si bien en dichos convenios no se daba un </w:t>
      </w:r>
      <w:r w:rsidRPr="00551222">
        <w:rPr>
          <w:rFonts w:ascii="Arial" w:eastAsia="Calibri" w:hAnsi="Arial" w:cs="Arial"/>
          <w:i/>
          <w:sz w:val="21"/>
          <w:szCs w:val="21"/>
          <w:lang w:val="es-ES_tradnl"/>
        </w:rPr>
        <w:t>“verdadero intercambio de bienes o servicios (contrato conmutativo)”</w:t>
      </w:r>
      <w:r w:rsidRPr="00551222">
        <w:rPr>
          <w:rFonts w:ascii="Arial" w:eastAsia="Calibri" w:hAnsi="Arial" w:cs="Arial"/>
          <w:sz w:val="21"/>
          <w:szCs w:val="21"/>
          <w:lang w:val="es-ES_tradnl"/>
        </w:rPr>
        <w:t>, ello no impedía que se conviniera una remuneración a cargo de alguna(s) entidad(es).</w:t>
      </w:r>
    </w:p>
    <w:p w14:paraId="5453352F"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ES_tradnl"/>
        </w:rPr>
      </w:pPr>
    </w:p>
    <w:p w14:paraId="172C2CF6" w14:textId="77777777" w:rsidR="00551222" w:rsidRPr="00551222" w:rsidRDefault="00551222" w:rsidP="00551222">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551222">
        <w:rPr>
          <w:rFonts w:ascii="Arial" w:eastAsia="Arial" w:hAnsi="Arial" w:cs="Arial"/>
          <w:sz w:val="21"/>
          <w:szCs w:val="21"/>
          <w:lang w:val="es-ES_tradnl" w:eastAsia="es-ES" w:bidi="es-ES"/>
        </w:rPr>
        <w:t xml:space="preserve">Lo expuesto evidencia que, en general, las interpretaciones en torno a los </w:t>
      </w:r>
      <w:r w:rsidRPr="00551222">
        <w:rPr>
          <w:rFonts w:ascii="Arial" w:eastAsia="Arial" w:hAnsi="Arial" w:cs="Arial"/>
          <w:i/>
          <w:sz w:val="21"/>
          <w:szCs w:val="21"/>
          <w:lang w:val="es-ES_tradnl" w:eastAsia="es-ES" w:bidi="es-ES"/>
        </w:rPr>
        <w:t>“convenios interadministrativos”</w:t>
      </w:r>
      <w:r w:rsidRPr="00551222">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51222">
        <w:rPr>
          <w:rFonts w:ascii="Arial" w:eastAsia="Arial" w:hAnsi="Arial" w:cs="Arial"/>
          <w:sz w:val="21"/>
          <w:szCs w:val="21"/>
          <w:vertAlign w:val="superscript"/>
          <w:lang w:val="es-ES_tradnl" w:eastAsia="es-ES" w:bidi="es-ES"/>
        </w:rPr>
        <w:footnoteReference w:id="19"/>
      </w:r>
      <w:r w:rsidRPr="00551222">
        <w:rPr>
          <w:rFonts w:ascii="Arial" w:eastAsia="Arial" w:hAnsi="Arial" w:cs="Arial"/>
          <w:sz w:val="21"/>
          <w:szCs w:val="21"/>
          <w:vertAlign w:val="superscript"/>
          <w:lang w:val="es-ES_tradnl" w:eastAsia="es-ES" w:bidi="es-ES"/>
        </w:rPr>
        <w:footnoteReference w:id="20"/>
      </w:r>
      <w:r w:rsidRPr="00551222">
        <w:rPr>
          <w:rFonts w:ascii="Arial" w:eastAsia="Arial" w:hAnsi="Arial" w:cs="Arial"/>
          <w:sz w:val="21"/>
          <w:szCs w:val="21"/>
          <w:lang w:val="es-ES_tradnl" w:eastAsia="es-ES" w:bidi="es-ES"/>
        </w:rPr>
        <w:t>.</w:t>
      </w:r>
    </w:p>
    <w:p w14:paraId="14C58787"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p>
    <w:p w14:paraId="78ECF552" w14:textId="77777777" w:rsidR="00551222" w:rsidRPr="00551222" w:rsidRDefault="00551222" w:rsidP="00551222">
      <w:pPr>
        <w:widowControl w:val="0"/>
        <w:autoSpaceDE w:val="0"/>
        <w:autoSpaceDN w:val="0"/>
        <w:spacing w:after="120" w:line="276" w:lineRule="auto"/>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Vale la pena reiterar que el legislador y el ordenamiento jurídico, en general, en distintas ocasiones utiliza de forma indistinta los conceptos de contrato o convenio para referirse a la misma institución jurídica</w:t>
      </w:r>
      <w:r w:rsidRPr="00551222">
        <w:rPr>
          <w:rFonts w:ascii="Arial" w:eastAsia="Arial" w:hAnsi="Arial" w:cs="Arial"/>
          <w:vertAlign w:val="superscript"/>
          <w:lang w:val="es-ES" w:eastAsia="es-ES" w:bidi="es-ES"/>
        </w:rPr>
        <w:footnoteReference w:id="21"/>
      </w:r>
      <w:r w:rsidRPr="00551222">
        <w:rPr>
          <w:rFonts w:ascii="Arial" w:eastAsia="Arial" w:hAnsi="Arial" w:cs="Arial"/>
          <w:lang w:val="es-ES" w:eastAsia="es-ES" w:bidi="es-ES"/>
        </w:rPr>
        <w:t>. Incluso, la Corte Constitucional fundamenta la posibilidad de celebrar convenios interadministrativos de forma directa, con fundamento en la causal establecida en la Ley 1150 de 2007 respecto a los contratos interadministrativos</w:t>
      </w:r>
      <w:r w:rsidRPr="00551222">
        <w:rPr>
          <w:rFonts w:ascii="Arial" w:eastAsia="Arial" w:hAnsi="Arial" w:cs="Arial"/>
          <w:vertAlign w:val="superscript"/>
          <w:lang w:val="es-ES" w:eastAsia="es-ES" w:bidi="es-ES"/>
        </w:rPr>
        <w:footnoteReference w:id="22"/>
      </w:r>
      <w:r w:rsidRPr="00551222">
        <w:rPr>
          <w:rFonts w:ascii="Arial" w:eastAsia="Arial" w:hAnsi="Arial" w:cs="Arial"/>
          <w:lang w:val="es-ES" w:eastAsia="es-ES" w:bidi="es-ES"/>
        </w:rPr>
        <w:t>.</w:t>
      </w:r>
    </w:p>
    <w:p w14:paraId="358C3C3B"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Electorales. En este sentido, la Circular, refiriéndose al parágrafo del artículo 38 de la Ley 996 de 2005, expresa:</w:t>
      </w:r>
    </w:p>
    <w:p w14:paraId="5FEF7D92"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p>
    <w:p w14:paraId="01B13797"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51222">
        <w:rPr>
          <w:rFonts w:ascii="Arial" w:eastAsia="Calibri" w:hAnsi="Arial" w:cs="Arial"/>
          <w:sz w:val="21"/>
          <w:szCs w:val="21"/>
          <w:lang w:val="es-MX"/>
        </w:rPr>
        <w:t>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w:t>
      </w:r>
    </w:p>
    <w:p w14:paraId="06AE3E67"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MX"/>
        </w:rPr>
        <w:t xml:space="preserve"> </w:t>
      </w:r>
    </w:p>
    <w:p w14:paraId="659C9EC7"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r w:rsidRPr="00551222">
        <w:rPr>
          <w:rFonts w:ascii="Arial" w:eastAsia="Calibri" w:hAnsi="Arial" w:cs="Arial"/>
          <w:sz w:val="21"/>
          <w:szCs w:val="21"/>
          <w:lang w:val="es-MX"/>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w:t>
      </w:r>
      <w:r w:rsidRPr="00551222">
        <w:rPr>
          <w:rFonts w:ascii="Arial" w:eastAsia="Calibri" w:hAnsi="Arial" w:cs="Arial"/>
          <w:sz w:val="21"/>
          <w:szCs w:val="21"/>
          <w:lang w:val="es-MX"/>
        </w:rPr>
        <w:lastRenderedPageBreak/>
        <w:t>contraprestación para ninguna de las entidades ni la prestación de un servicio a cargo de alguna de ellas y en favor de la otra parte del convenio.</w:t>
      </w:r>
    </w:p>
    <w:p w14:paraId="44843351" w14:textId="77777777" w:rsidR="00551222" w:rsidRPr="00551222" w:rsidRDefault="00551222" w:rsidP="00551222">
      <w:pPr>
        <w:spacing w:after="0" w:line="240" w:lineRule="auto"/>
        <w:ind w:left="709" w:right="709"/>
        <w:contextualSpacing/>
        <w:jc w:val="both"/>
        <w:rPr>
          <w:rFonts w:ascii="Arial" w:eastAsia="Calibri" w:hAnsi="Arial" w:cs="Arial"/>
          <w:sz w:val="21"/>
          <w:szCs w:val="21"/>
          <w:lang w:val="es-MX"/>
        </w:rPr>
      </w:pPr>
    </w:p>
    <w:p w14:paraId="1EB17EB9" w14:textId="77777777" w:rsidR="00551222" w:rsidRPr="00551222" w:rsidRDefault="00551222" w:rsidP="00551222">
      <w:pPr>
        <w:spacing w:after="0" w:line="240" w:lineRule="auto"/>
        <w:ind w:left="709" w:right="709"/>
        <w:contextualSpacing/>
        <w:jc w:val="both"/>
        <w:rPr>
          <w:rFonts w:ascii="Calibri" w:eastAsia="Calibri" w:hAnsi="Calibri"/>
          <w:sz w:val="24"/>
          <w:lang w:val="es-MX"/>
        </w:rPr>
      </w:pPr>
      <w:r w:rsidRPr="00551222">
        <w:rPr>
          <w:rFonts w:ascii="Arial" w:eastAsia="Calibri" w:hAnsi="Arial" w:cs="Arial"/>
          <w:sz w:val="21"/>
          <w:szCs w:val="21"/>
          <w:lang w:val="es-MX"/>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1A573FF3" w14:textId="77777777" w:rsidR="00551222" w:rsidRPr="00551222" w:rsidRDefault="00551222" w:rsidP="00551222">
      <w:pPr>
        <w:widowControl w:val="0"/>
        <w:autoSpaceDE w:val="0"/>
        <w:autoSpaceDN w:val="0"/>
        <w:spacing w:after="0" w:line="276" w:lineRule="auto"/>
        <w:contextualSpacing/>
        <w:jc w:val="both"/>
        <w:rPr>
          <w:rFonts w:ascii="Arial" w:eastAsia="Arial" w:hAnsi="Arial" w:cs="Arial"/>
          <w:lang w:val="es-ES" w:eastAsia="es-ES" w:bidi="es-ES"/>
        </w:rPr>
      </w:pPr>
    </w:p>
    <w:p w14:paraId="203CFE5C" w14:textId="77777777" w:rsidR="00551222" w:rsidRPr="00551222" w:rsidRDefault="00551222" w:rsidP="00551222">
      <w:pPr>
        <w:widowControl w:val="0"/>
        <w:autoSpaceDE w:val="0"/>
        <w:autoSpaceDN w:val="0"/>
        <w:spacing w:after="120" w:line="276" w:lineRule="auto"/>
        <w:jc w:val="both"/>
        <w:rPr>
          <w:rFonts w:ascii="Arial" w:eastAsia="Arial" w:hAnsi="Arial" w:cs="Arial"/>
          <w:lang w:val="es-ES" w:eastAsia="es-ES" w:bidi="es-ES"/>
        </w:rPr>
      </w:pPr>
      <w:r w:rsidRPr="00551222">
        <w:rPr>
          <w:rFonts w:ascii="Arial" w:eastAsia="Arial" w:hAnsi="Arial" w:cs="Arial"/>
          <w:color w:val="FF0000"/>
          <w:lang w:val="es-ES" w:eastAsia="es-ES" w:bidi="es-ES"/>
        </w:rPr>
        <w:tab/>
      </w:r>
      <w:r w:rsidRPr="00551222">
        <w:rPr>
          <w:rFonts w:ascii="Arial" w:eastAsia="Arial" w:hAnsi="Arial" w:cs="Arial"/>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5"/>
    </w:p>
    <w:p w14:paraId="5EF6C1EC" w14:textId="77777777" w:rsidR="00551222" w:rsidRPr="00551222" w:rsidRDefault="00551222" w:rsidP="00551222">
      <w:pPr>
        <w:tabs>
          <w:tab w:val="left" w:pos="426"/>
        </w:tabs>
        <w:spacing w:after="120" w:line="276" w:lineRule="auto"/>
        <w:ind w:firstLine="709"/>
        <w:jc w:val="both"/>
        <w:rPr>
          <w:rFonts w:ascii="Arial" w:hAnsi="Arial" w:cs="Arial"/>
          <w:bCs/>
          <w:lang w:val="es-MX" w:eastAsia="es-CO"/>
        </w:rPr>
      </w:pPr>
      <w:r w:rsidRPr="00551222">
        <w:rPr>
          <w:rFonts w:ascii="Arial" w:hAnsi="Arial" w:cs="Arial"/>
          <w:bCs/>
          <w:lang w:val="es-MX" w:eastAsia="es-CO"/>
        </w:rPr>
        <w:t xml:space="preserve">Conforme a lo expuesto, debe señalarse que </w:t>
      </w:r>
      <w:bookmarkStart w:id="26" w:name="_Hlk114828165"/>
      <w:r w:rsidRPr="00551222">
        <w:rPr>
          <w:rFonts w:ascii="Arial" w:hAnsi="Arial" w:cs="Arial"/>
          <w:bCs/>
          <w:lang w:val="es-MX" w:eastAsia="es-CO"/>
        </w:rPr>
        <w:t>el inciso primero del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l</w:t>
      </w:r>
      <w:r w:rsidRPr="00551222">
        <w:rPr>
          <w:rFonts w:ascii="Arial" w:eastAsia="Calibri" w:hAnsi="Arial" w:cs="Arial"/>
          <w:bCs/>
          <w:lang w:val="es-MX"/>
        </w:rPr>
        <w:t>os gobernadores, alcaldes municipales y/o distritales, secretarios, gerentes y directores de entidades descentralizadas del orden municipal, departamental o distrital</w:t>
      </w:r>
      <w:r w:rsidRPr="00551222">
        <w:rPr>
          <w:rFonts w:ascii="Arial" w:hAnsi="Arial" w:cs="Arial"/>
          <w:bCs/>
          <w:lang w:val="es-MX" w:eastAsia="es-CO"/>
        </w:rPr>
        <w:t xml:space="preserve"> no se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551222">
        <w:rPr>
          <w:rFonts w:ascii="Arial" w:eastAsia="Times New Roman" w:hAnsi="Arial" w:cs="Arial"/>
          <w:bCs/>
          <w:lang w:val="es-MX" w:eastAsia="es-CO"/>
        </w:rPr>
        <w:t xml:space="preserve"> De esta manera, la prohibición aplica a todos los contratos 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551222">
        <w:rPr>
          <w:rFonts w:ascii="Arial" w:eastAsia="Calibri" w:hAnsi="Arial" w:cs="Arial"/>
          <w:color w:val="000000" w:themeColor="text1"/>
          <w:lang w:val="es-MX"/>
        </w:rPr>
        <w:t> </w:t>
      </w:r>
      <w:bookmarkEnd w:id="26"/>
    </w:p>
    <w:p w14:paraId="3B7A64E9" w14:textId="77777777" w:rsidR="00551222" w:rsidRPr="00551222" w:rsidRDefault="00551222" w:rsidP="00551222">
      <w:pPr>
        <w:tabs>
          <w:tab w:val="left" w:pos="426"/>
        </w:tabs>
        <w:spacing w:after="0" w:line="276" w:lineRule="auto"/>
        <w:ind w:firstLine="709"/>
        <w:jc w:val="both"/>
        <w:rPr>
          <w:rFonts w:ascii="Arial" w:hAnsi="Arial" w:cs="Arial"/>
          <w:bCs/>
          <w:lang w:val="es-MX" w:eastAsia="es-CO"/>
        </w:rPr>
      </w:pPr>
      <w:r w:rsidRPr="00551222">
        <w:rPr>
          <w:rFonts w:ascii="Arial" w:hAnsi="Arial" w:cs="Arial"/>
          <w:bCs/>
          <w:lang w:val="es-MX" w:eastAsia="es-CO"/>
        </w:rPr>
        <w:t xml:space="preserve">En segundo lugar, en atención a la consulta planteada, es importante mencionar que el inciso cuarto del parágrafo del artículo 38 de la Ley 996 de 2055, el cual establece: </w:t>
      </w:r>
    </w:p>
    <w:p w14:paraId="617E00E1" w14:textId="77777777" w:rsidR="00551222" w:rsidRPr="00551222" w:rsidRDefault="00551222" w:rsidP="00551222">
      <w:pPr>
        <w:spacing w:after="0" w:line="240" w:lineRule="auto"/>
        <w:ind w:left="709" w:right="709"/>
        <w:jc w:val="both"/>
        <w:rPr>
          <w:rFonts w:ascii="Arial" w:hAnsi="Arial" w:cs="Arial"/>
          <w:sz w:val="21"/>
          <w:szCs w:val="21"/>
          <w:shd w:val="clear" w:color="auto" w:fill="FFFFFF"/>
          <w:lang w:val="es-MX"/>
        </w:rPr>
      </w:pPr>
    </w:p>
    <w:p w14:paraId="39F4A775" w14:textId="77777777" w:rsidR="00551222" w:rsidRPr="00551222" w:rsidRDefault="00551222" w:rsidP="00551222">
      <w:pPr>
        <w:spacing w:after="0" w:line="240" w:lineRule="auto"/>
        <w:ind w:left="709" w:right="709"/>
        <w:jc w:val="both"/>
        <w:rPr>
          <w:rFonts w:ascii="Arial" w:hAnsi="Arial" w:cs="Arial"/>
          <w:sz w:val="21"/>
          <w:szCs w:val="21"/>
          <w:shd w:val="clear" w:color="auto" w:fill="FFFFFF"/>
          <w:lang w:val="es-MX"/>
        </w:rPr>
      </w:pPr>
      <w:r w:rsidRPr="00551222">
        <w:rPr>
          <w:rFonts w:ascii="Arial" w:hAnsi="Arial" w:cs="Arial"/>
          <w:sz w:val="21"/>
          <w:szCs w:val="21"/>
          <w:shd w:val="clear" w:color="auto" w:fill="FFFFFF"/>
          <w:lang w:val="es-MX"/>
        </w:rPr>
        <w:t xml:space="preserve">“La nómina del respectivo ente territorial o entidad no se podrá modificar dentro de los cuatro (4) meses anteriores a las elecciones a cargos de elección popular, salvo que se trate de provisión de cargos por faltas definitivas, con ocasión de muerte o renuncia </w:t>
      </w:r>
      <w:r w:rsidRPr="00551222">
        <w:rPr>
          <w:rFonts w:ascii="Arial" w:hAnsi="Arial" w:cs="Arial"/>
          <w:sz w:val="21"/>
          <w:szCs w:val="21"/>
          <w:shd w:val="clear" w:color="auto" w:fill="FFFFFF"/>
          <w:lang w:val="es-MX"/>
        </w:rPr>
        <w:lastRenderedPageBreak/>
        <w:t xml:space="preserve">irrevocable del cargo correspondiente debidamente aceptada, y en los casos de aplicación de las normas de carrera administrativa”. </w:t>
      </w:r>
    </w:p>
    <w:p w14:paraId="79C906AC" w14:textId="77777777" w:rsidR="00551222" w:rsidRPr="00551222" w:rsidRDefault="00551222" w:rsidP="00551222">
      <w:pPr>
        <w:tabs>
          <w:tab w:val="left" w:pos="426"/>
        </w:tabs>
        <w:spacing w:after="0" w:line="276" w:lineRule="auto"/>
        <w:ind w:firstLine="709"/>
        <w:jc w:val="both"/>
        <w:rPr>
          <w:rFonts w:ascii="Arial" w:hAnsi="Arial" w:cs="Arial"/>
          <w:bCs/>
          <w:lang w:val="es-MX" w:eastAsia="es-CO"/>
        </w:rPr>
      </w:pPr>
    </w:p>
    <w:p w14:paraId="3011E627" w14:textId="77777777" w:rsidR="00551222" w:rsidRPr="00551222" w:rsidRDefault="00551222" w:rsidP="00551222">
      <w:pPr>
        <w:spacing w:after="120" w:line="276" w:lineRule="auto"/>
        <w:ind w:firstLine="709"/>
        <w:jc w:val="both"/>
        <w:rPr>
          <w:rFonts w:ascii="Arial" w:hAnsi="Arial" w:cs="Arial"/>
          <w:lang w:val="es-MX"/>
        </w:rPr>
      </w:pPr>
      <w:r w:rsidRPr="00551222">
        <w:rPr>
          <w:rFonts w:ascii="Arial" w:hAnsi="Arial" w:cs="Arial"/>
          <w:shd w:val="clear" w:color="auto" w:fill="FFFFFF"/>
          <w:lang w:val="es-MX"/>
        </w:rPr>
        <w:t>De acuerdo con el texto antes citado, la nómina del respectivo ente territorial o entidad estatal no se podrá modificar dentro de los cuatro (4) meses anteriores a las elecciones a cargos de elección popular, salvo que se trate de la provisión de cargos por faltas definitivas, con ocasión de muerte o renuncia irrevocable del cargo correspondiente debidamente aceptada y en los casos de aplicación de las normas de carrera administrativa. Sobre esta prohibición e</w:t>
      </w:r>
      <w:r w:rsidRPr="00551222">
        <w:rPr>
          <w:rFonts w:ascii="Arial" w:hAnsi="Arial" w:cs="Arial"/>
          <w:lang w:val="es-MX"/>
        </w:rPr>
        <w:t xml:space="preserve">s importante decir que esta restricción, que aplica a todos los organismos y entidades de la Rama Ejecutiva, respeta el equilibrio que debe existir entre la moralidad administrativa y la eficacia de la administración. Al respecto, la Corte Constitucional, en Sentencia C-1153 de 2005, sostuvo que las limitaciones previstas en el artículo 38 de la Ley 996 de 2005 están claramente encaminadas a garantizar los principios de la función administrativa previstos en el artículo 209 de la Constitución Política, en particular la moralidad, la imparcialidad y la eficacia en el cumplimiento de las funciones. </w:t>
      </w:r>
    </w:p>
    <w:p w14:paraId="39B72EC6" w14:textId="77777777" w:rsidR="00551222" w:rsidRP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 xml:space="preserve">Respecto de su contenido, el artículo 38 </w:t>
      </w:r>
      <w:r w:rsidRPr="00551222">
        <w:rPr>
          <w:rFonts w:ascii="Arial" w:hAnsi="Arial" w:cs="Arial"/>
          <w:i/>
          <w:iCs/>
          <w:shd w:val="clear" w:color="auto" w:fill="FFFFFF"/>
          <w:lang w:val="es-MX"/>
        </w:rPr>
        <w:t>ibidem</w:t>
      </w:r>
      <w:r w:rsidRPr="00551222">
        <w:rPr>
          <w:rFonts w:ascii="Arial" w:hAnsi="Arial" w:cs="Arial"/>
          <w:shd w:val="clear" w:color="auto" w:fill="FFFFFF"/>
          <w:lang w:val="es-MX"/>
        </w:rPr>
        <w:t xml:space="preserve"> consagra que, durante el tiempo de aplicación de la Ley de Garantías Electorales no es viable la modificación de la nómina, por lo tanto, durante dicho término no se podrán crear cargos ni proveer los mismos, no se podrán hacer nuevos nombramientos y no se podrá efectuar el retiro del servicio a servidores públicos por declaratoria de insubsistencia del nombramiento. </w:t>
      </w:r>
    </w:p>
    <w:p w14:paraId="438A3C25" w14:textId="77777777" w:rsidR="00551222" w:rsidRP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En ese contexto, el Departamento Administrativo de la Función Pública, retomando conceptos de la Sala de Consulta y del Servicio Civil</w:t>
      </w:r>
      <w:r w:rsidRPr="00551222">
        <w:rPr>
          <w:rFonts w:ascii="Arial" w:hAnsi="Arial" w:cs="Arial"/>
          <w:vertAlign w:val="superscript"/>
          <w:lang w:val="es-MX"/>
        </w:rPr>
        <w:footnoteReference w:id="23"/>
      </w:r>
      <w:r w:rsidRPr="00551222">
        <w:rPr>
          <w:rFonts w:ascii="Arial" w:hAnsi="Arial" w:cs="Arial"/>
          <w:shd w:val="clear" w:color="auto" w:fill="FFFFFF"/>
          <w:lang w:val="es-MX"/>
        </w:rPr>
        <w:t>, en relación con la posibilidad de crear o suprimir empleos como resultado de procesos de restructuración o rediseño de planta de personal en vigencia de la Ley de Garantías Electorales, ha señalado que, p</w:t>
      </w:r>
      <w:r w:rsidRPr="00551222">
        <w:rPr>
          <w:rFonts w:ascii="Arial" w:hAnsi="Arial" w:cs="Arial"/>
          <w:lang w:val="es-MX"/>
        </w:rPr>
        <w:t>odrán efectuarse procesos de ajuste de la planta de personal durante la vigencia de la Ley </w:t>
      </w:r>
      <w:hyperlink r:id="rId12" w:anchor="0" w:history="1">
        <w:r w:rsidRPr="00551222">
          <w:rPr>
            <w:rFonts w:ascii="Arial" w:hAnsi="Arial" w:cs="Arial"/>
            <w:lang w:val="es-MX"/>
          </w:rPr>
          <w:t>996 </w:t>
        </w:r>
      </w:hyperlink>
      <w:r w:rsidRPr="00551222">
        <w:rPr>
          <w:rFonts w:ascii="Arial" w:hAnsi="Arial" w:cs="Arial"/>
          <w:lang w:val="es-MX"/>
        </w:rPr>
        <w:t>de 2005, en las entidades de la Rama Ejecutiva de los órdenes nacional, departamental, distrital o municipal, siempre que ello no implique la modificación de la nómina de la entidad, es decir, ni crear, ni suprimir empleos, toda vez que la prohibición de suspender cualquier forma de vinculación que afecte la nómina estatal hace referencia a la imposibilidad de creación de nuevos cargos y su provisión, así como a la incorporación y desvinculación de persona alguna de la planta de la respectiva entidad. Por otro lado, el mismo Departamento Administrativo de la Función Público, en Circular Conjunta 100-006 de 2021</w:t>
      </w:r>
      <w:r w:rsidRPr="00551222">
        <w:rPr>
          <w:rFonts w:ascii="Arial" w:hAnsi="Arial" w:cs="Arial"/>
          <w:vertAlign w:val="superscript"/>
          <w:lang w:val="es-MX"/>
        </w:rPr>
        <w:footnoteReference w:id="24"/>
      </w:r>
      <w:r w:rsidRPr="00551222">
        <w:rPr>
          <w:rFonts w:ascii="Arial" w:hAnsi="Arial" w:cs="Arial"/>
          <w:lang w:val="es-MX"/>
        </w:rPr>
        <w:t>, reiterado en concepto 034611 del 11 de enero de 2022</w:t>
      </w:r>
      <w:r w:rsidRPr="00551222">
        <w:rPr>
          <w:rFonts w:ascii="Arial" w:hAnsi="Arial" w:cs="Arial"/>
          <w:vertAlign w:val="superscript"/>
          <w:lang w:val="es-MX"/>
        </w:rPr>
        <w:footnoteReference w:id="25"/>
      </w:r>
      <w:r w:rsidRPr="00551222">
        <w:rPr>
          <w:rFonts w:ascii="Arial" w:hAnsi="Arial" w:cs="Arial"/>
          <w:lang w:val="es-MX"/>
        </w:rPr>
        <w:t xml:space="preserve">,  señaló que </w:t>
      </w:r>
      <w:r w:rsidRPr="00551222">
        <w:rPr>
          <w:rFonts w:ascii="Arial" w:hAnsi="Arial" w:cs="Arial"/>
          <w:shd w:val="clear" w:color="auto" w:fill="FFFFFF"/>
          <w:lang w:val="es-MX"/>
        </w:rPr>
        <w:t xml:space="preserve">en vigencia de la restricción no es posible proveer las vacantes definitivas, salvo que se trate de vacantes </w:t>
      </w:r>
      <w:r w:rsidRPr="00551222">
        <w:rPr>
          <w:rFonts w:ascii="Arial" w:hAnsi="Arial" w:cs="Arial"/>
          <w:shd w:val="clear" w:color="auto" w:fill="FFFFFF"/>
          <w:lang w:val="es-MX"/>
        </w:rPr>
        <w:lastRenderedPageBreak/>
        <w:t>generadas por renuncia, licencia o muerte indispensables para el cabal funcionamiento de la Administración Pública, y en los casos de aplicación de las normas de carrera administrativa. No obstante, a su juicio, en estos casos se pueden efectuar nombramientos provisionales, siempre que no se trate de crear nuevos cargos y a la provisión de los mismos</w:t>
      </w:r>
      <w:r w:rsidRPr="00551222">
        <w:rPr>
          <w:rFonts w:ascii="Arial" w:hAnsi="Arial" w:cs="Arial"/>
          <w:shd w:val="clear" w:color="auto" w:fill="FFFFFF"/>
          <w:vertAlign w:val="superscript"/>
          <w:lang w:val="es-MX"/>
        </w:rPr>
        <w:footnoteReference w:id="26"/>
      </w:r>
      <w:r w:rsidRPr="00551222">
        <w:rPr>
          <w:rFonts w:ascii="Arial" w:hAnsi="Arial" w:cs="Arial"/>
          <w:shd w:val="clear" w:color="auto" w:fill="FFFFFF"/>
          <w:lang w:val="es-MX"/>
        </w:rPr>
        <w:t xml:space="preserve">. </w:t>
      </w:r>
    </w:p>
    <w:p w14:paraId="29322598" w14:textId="77777777" w:rsidR="00551222" w:rsidRPr="00551222" w:rsidRDefault="00551222" w:rsidP="00551222">
      <w:pPr>
        <w:numPr>
          <w:ilvl w:val="12"/>
          <w:numId w:val="0"/>
        </w:numPr>
        <w:spacing w:after="120" w:line="276" w:lineRule="auto"/>
        <w:ind w:firstLine="709"/>
        <w:jc w:val="both"/>
        <w:rPr>
          <w:rFonts w:ascii="Arial" w:hAnsi="Arial" w:cs="Arial"/>
          <w:lang w:val="es-MX"/>
        </w:rPr>
      </w:pPr>
      <w:r w:rsidRPr="00551222">
        <w:rPr>
          <w:rFonts w:ascii="Arial" w:hAnsi="Arial" w:cs="Arial"/>
          <w:lang w:val="es-MX"/>
        </w:rPr>
        <w:t xml:space="preserve">Respecto de las excepciones a esta prohibición, es importante resaltar que en aras de respetar el equilibrio que debe existir entre la guarda de la moralidad administrativa y la eficacia de la administración, se autoriza la vinculación en nómina: (a) cuando se trate de proveer cargos por faltas definitivas derivada de muerte o renuncia y (b) los cargos de carrera administrativa.  </w:t>
      </w:r>
    </w:p>
    <w:p w14:paraId="03D8FD02" w14:textId="77777777" w:rsidR="00551222" w:rsidRDefault="00551222" w:rsidP="00551222">
      <w:pPr>
        <w:spacing w:after="0" w:line="276" w:lineRule="auto"/>
        <w:ind w:firstLine="708"/>
        <w:jc w:val="both"/>
        <w:rPr>
          <w:rFonts w:ascii="Arial" w:hAnsi="Arial" w:cs="Arial"/>
          <w:shd w:val="clear" w:color="auto" w:fill="FFFFFF"/>
          <w:lang w:val="es-MX"/>
        </w:rPr>
      </w:pPr>
      <w:r w:rsidRPr="00551222">
        <w:rPr>
          <w:rFonts w:ascii="Arial" w:hAnsi="Arial" w:cs="Arial"/>
          <w:lang w:val="es-MX"/>
        </w:rPr>
        <w:t xml:space="preserve">En tercer lugar, una vez explicadas las restricciones para celebrar </w:t>
      </w:r>
      <w:r w:rsidRPr="00551222">
        <w:rPr>
          <w:rFonts w:ascii="Arial" w:hAnsi="Arial" w:cs="Arial"/>
          <w:lang w:val="es-MX" w:eastAsia="es-CO"/>
        </w:rPr>
        <w:t xml:space="preserve">celebración de contratos y convenios interadministrativos y para la modificación de nóminas, </w:t>
      </w:r>
      <w:r w:rsidRPr="00551222">
        <w:rPr>
          <w:rFonts w:ascii="Arial" w:hAnsi="Arial" w:cs="Arial"/>
          <w:lang w:val="es-MX"/>
        </w:rPr>
        <w:t xml:space="preserve">es imperioso referirse </w:t>
      </w:r>
      <w:r w:rsidRPr="00551222">
        <w:rPr>
          <w:rFonts w:ascii="Arial" w:hAnsi="Arial" w:cs="Arial"/>
          <w:shd w:val="clear" w:color="auto" w:fill="FFFFFF"/>
          <w:lang w:val="es-MX"/>
        </w:rPr>
        <w:t>al periodo de duración de la Ley de Garantías Electorales por elecciones de autoridades locales que se llevarán a cabo en el año en curso.</w:t>
      </w:r>
      <w:r w:rsidRPr="00551222">
        <w:rPr>
          <w:rFonts w:ascii="Arial" w:hAnsi="Arial" w:cs="Arial"/>
          <w:lang w:val="es-MX"/>
        </w:rPr>
        <w:t xml:space="preserve"> </w:t>
      </w:r>
      <w:r w:rsidRPr="00551222">
        <w:rPr>
          <w:rFonts w:ascii="Arial" w:hAnsi="Arial" w:cs="Arial"/>
          <w:shd w:val="clear" w:color="auto" w:fill="FFFFFF"/>
          <w:lang w:val="es-MX"/>
        </w:rPr>
        <w:t>La Ley 996 de 2005 establece que dichas prohibiciones se aplicarán durante los cuatro (4) meses anteriores a las elecciones. Con motivo de las elecciones de autoridades locales que se realizan el último domingo del mes de octubre, es decir el 29 de octubre de 2023, la mencionada ley entrará en vigencia desde el próximo 29 de junio y se extenderá hasta el día en el que se celebran las elecciones.</w:t>
      </w:r>
    </w:p>
    <w:p w14:paraId="54346185" w14:textId="77777777" w:rsidR="00E55607" w:rsidRDefault="00E55607" w:rsidP="00551222">
      <w:pPr>
        <w:spacing w:after="0" w:line="276" w:lineRule="auto"/>
        <w:ind w:firstLine="708"/>
        <w:jc w:val="both"/>
        <w:rPr>
          <w:rFonts w:ascii="Arial" w:hAnsi="Arial" w:cs="Arial"/>
          <w:shd w:val="clear" w:color="auto" w:fill="FFFFFF"/>
          <w:lang w:val="es-MX"/>
        </w:rPr>
      </w:pPr>
    </w:p>
    <w:p w14:paraId="5C5A8894" w14:textId="38011D73" w:rsidR="00E55607" w:rsidRDefault="00E55607" w:rsidP="00551222">
      <w:pPr>
        <w:spacing w:after="0" w:line="276" w:lineRule="auto"/>
        <w:ind w:firstLine="708"/>
        <w:jc w:val="both"/>
        <w:rPr>
          <w:rFonts w:ascii="Arial" w:hAnsi="Arial" w:cs="Arial"/>
          <w:b/>
          <w:bCs/>
          <w:shd w:val="clear" w:color="auto" w:fill="FFFFFF"/>
          <w:lang w:val="es-MX"/>
        </w:rPr>
      </w:pPr>
      <w:r w:rsidRPr="00E55607">
        <w:rPr>
          <w:rFonts w:ascii="Arial" w:hAnsi="Arial" w:cs="Arial"/>
          <w:b/>
          <w:bCs/>
          <w:shd w:val="clear" w:color="auto" w:fill="FFFFFF"/>
          <w:lang w:val="es-MX"/>
        </w:rPr>
        <w:t xml:space="preserve">2.3 Acuerdos de servicio para el intercambio de información </w:t>
      </w:r>
      <w:r>
        <w:rPr>
          <w:rFonts w:ascii="Arial" w:hAnsi="Arial" w:cs="Arial"/>
          <w:b/>
          <w:bCs/>
          <w:shd w:val="clear" w:color="auto" w:fill="FFFFFF"/>
          <w:lang w:val="es-MX"/>
        </w:rPr>
        <w:t xml:space="preserve">entre entidades publicas </w:t>
      </w:r>
    </w:p>
    <w:p w14:paraId="20832BFC" w14:textId="77777777" w:rsidR="00A300ED" w:rsidRDefault="00A300ED" w:rsidP="00551222">
      <w:pPr>
        <w:spacing w:after="0" w:line="276" w:lineRule="auto"/>
        <w:ind w:firstLine="708"/>
        <w:jc w:val="both"/>
        <w:rPr>
          <w:rFonts w:ascii="Arial" w:hAnsi="Arial" w:cs="Arial"/>
          <w:b/>
          <w:bCs/>
          <w:shd w:val="clear" w:color="auto" w:fill="FFFFFF"/>
          <w:lang w:val="es-MX"/>
        </w:rPr>
      </w:pPr>
    </w:p>
    <w:p w14:paraId="6F8AB20C" w14:textId="77777777" w:rsidR="00C0048B" w:rsidRDefault="00C0048B" w:rsidP="00551222">
      <w:pPr>
        <w:spacing w:after="0" w:line="276" w:lineRule="auto"/>
        <w:ind w:firstLine="708"/>
        <w:jc w:val="both"/>
        <w:rPr>
          <w:rFonts w:ascii="Arial" w:hAnsi="Arial" w:cs="Arial"/>
          <w:shd w:val="clear" w:color="auto" w:fill="FFFFFF"/>
          <w:lang w:val="es-MX"/>
        </w:rPr>
      </w:pPr>
      <w:r>
        <w:rPr>
          <w:rFonts w:ascii="Arial" w:hAnsi="Arial" w:cs="Arial"/>
          <w:shd w:val="clear" w:color="auto" w:fill="FFFFFF"/>
          <w:lang w:val="es-MX"/>
        </w:rPr>
        <w:t>Los acuerdos de servicio para el intercambio de información se encuentran estrictamente</w:t>
      </w:r>
      <w:r w:rsidR="00135108">
        <w:rPr>
          <w:rFonts w:ascii="Arial" w:hAnsi="Arial" w:cs="Arial"/>
          <w:shd w:val="clear" w:color="auto" w:fill="FFFFFF"/>
          <w:lang w:val="es-MX"/>
        </w:rPr>
        <w:t xml:space="preserve"> </w:t>
      </w:r>
    </w:p>
    <w:p w14:paraId="0569F341" w14:textId="36DD7AC2" w:rsidR="00C0048B" w:rsidRDefault="00135108" w:rsidP="00551222">
      <w:pPr>
        <w:spacing w:after="0" w:line="276" w:lineRule="auto"/>
        <w:ind w:firstLine="708"/>
        <w:jc w:val="both"/>
        <w:rPr>
          <w:rFonts w:ascii="Arial" w:hAnsi="Arial" w:cs="Arial"/>
          <w:shd w:val="clear" w:color="auto" w:fill="FFFFFF"/>
          <w:lang w:val="es-MX"/>
        </w:rPr>
      </w:pPr>
      <w:r>
        <w:rPr>
          <w:rFonts w:ascii="Arial" w:hAnsi="Arial" w:cs="Arial"/>
          <w:shd w:val="clear" w:color="auto" w:fill="FFFFFF"/>
          <w:lang w:val="es-MX"/>
        </w:rPr>
        <w:t>relacionado</w:t>
      </w:r>
      <w:r w:rsidR="00C0048B">
        <w:rPr>
          <w:rFonts w:ascii="Arial" w:hAnsi="Arial" w:cs="Arial"/>
          <w:shd w:val="clear" w:color="auto" w:fill="FFFFFF"/>
          <w:lang w:val="es-MX"/>
        </w:rPr>
        <w:t>s</w:t>
      </w:r>
      <w:r>
        <w:rPr>
          <w:rFonts w:ascii="Arial" w:hAnsi="Arial" w:cs="Arial"/>
          <w:shd w:val="clear" w:color="auto" w:fill="FFFFFF"/>
          <w:lang w:val="es-MX"/>
        </w:rPr>
        <w:t xml:space="preserve"> con la política de </w:t>
      </w:r>
      <w:r w:rsidRPr="00135108">
        <w:rPr>
          <w:rFonts w:ascii="Arial" w:hAnsi="Arial" w:cs="Arial"/>
          <w:shd w:val="clear" w:color="auto" w:fill="FFFFFF"/>
          <w:lang w:val="es-MX"/>
        </w:rPr>
        <w:t xml:space="preserve">gobernanza de la interoperabilidad </w:t>
      </w:r>
      <w:r w:rsidR="00C0048B">
        <w:rPr>
          <w:rFonts w:ascii="Arial" w:hAnsi="Arial" w:cs="Arial"/>
          <w:shd w:val="clear" w:color="auto" w:fill="FFFFFF"/>
          <w:lang w:val="es-MX"/>
        </w:rPr>
        <w:t xml:space="preserve">la cual </w:t>
      </w:r>
      <w:r w:rsidRPr="00135108">
        <w:rPr>
          <w:rFonts w:ascii="Arial" w:hAnsi="Arial" w:cs="Arial"/>
          <w:shd w:val="clear" w:color="auto" w:fill="FFFFFF"/>
          <w:lang w:val="es-MX"/>
        </w:rPr>
        <w:t>tiene por objetivo supervisar los intercambios de información que se realizan en las entidades del Estado, en donde se garanticen las</w:t>
      </w:r>
      <w:r w:rsidR="00C0048B">
        <w:rPr>
          <w:rFonts w:ascii="Arial" w:hAnsi="Arial" w:cs="Arial"/>
          <w:shd w:val="clear" w:color="auto" w:fill="FFFFFF"/>
          <w:lang w:val="es-MX"/>
        </w:rPr>
        <w:t xml:space="preserve"> </w:t>
      </w:r>
      <w:r w:rsidRPr="00135108">
        <w:rPr>
          <w:rFonts w:ascii="Arial" w:hAnsi="Arial" w:cs="Arial"/>
          <w:shd w:val="clear" w:color="auto" w:fill="FFFFFF"/>
          <w:lang w:val="es-MX"/>
        </w:rPr>
        <w:t xml:space="preserve">decisiones que se tomen alrededor de los acuerdos, estructuras y responsabilidades necesarias para realizar los ejercicios de interoperabilidad.  </w:t>
      </w:r>
    </w:p>
    <w:p w14:paraId="0CF2F7C3" w14:textId="77777777" w:rsidR="00C0048B" w:rsidRDefault="00C0048B" w:rsidP="00551222">
      <w:pPr>
        <w:spacing w:after="0" w:line="276" w:lineRule="auto"/>
        <w:ind w:firstLine="708"/>
        <w:jc w:val="both"/>
        <w:rPr>
          <w:rFonts w:ascii="Arial" w:hAnsi="Arial" w:cs="Arial"/>
          <w:shd w:val="clear" w:color="auto" w:fill="FFFFFF"/>
          <w:lang w:val="es-MX"/>
        </w:rPr>
      </w:pPr>
    </w:p>
    <w:p w14:paraId="34ECE90D" w14:textId="3A45CBC5" w:rsidR="007B514F" w:rsidRDefault="00135108" w:rsidP="00551222">
      <w:pPr>
        <w:spacing w:after="0" w:line="276" w:lineRule="auto"/>
        <w:ind w:firstLine="708"/>
        <w:jc w:val="both"/>
        <w:rPr>
          <w:rFonts w:ascii="Arial" w:hAnsi="Arial" w:cs="Arial"/>
          <w:shd w:val="clear" w:color="auto" w:fill="FFFFFF"/>
          <w:lang w:val="es-MX"/>
        </w:rPr>
      </w:pPr>
      <w:r w:rsidRPr="00135108">
        <w:rPr>
          <w:rFonts w:ascii="Arial" w:hAnsi="Arial" w:cs="Arial"/>
          <w:shd w:val="clear" w:color="auto" w:fill="FFFFFF"/>
          <w:lang w:val="es-MX"/>
        </w:rPr>
        <w:t xml:space="preserve"> Los Servicios Ciudadanos Digitales operan en un entorno en el cual es necesario el apoyo político y administrativo a los esfuerzos de interoperabilidad entre entidades o sectores, en donde se facilite la colaboración conviniendo en objetivos comunes y satisfaciendo las necesidades de información de las entidades y de los ciudadanos.  Para esto la interoperabilidad tendrá los resultados esperados si las directivas de todos los actores implicados priorizan los recursos necesarios y así garantizan mantener en el tiempo estos acuerdos de intercambio de información.  Los recursos asignados deben propender por generar las competencias y habilidades suficientes para estandarizar, consumir y prestar servicios de intercambio de información. Así mismo las entidades deben fomentar la colaboración y participación entre sí para facilitar los intercambios </w:t>
      </w:r>
      <w:r w:rsidRPr="00135108">
        <w:rPr>
          <w:rFonts w:ascii="Arial" w:hAnsi="Arial" w:cs="Arial"/>
          <w:shd w:val="clear" w:color="auto" w:fill="FFFFFF"/>
          <w:lang w:val="es-MX"/>
        </w:rPr>
        <w:lastRenderedPageBreak/>
        <w:t xml:space="preserve">de información, lo anterior está orientado a buscar estrategias de interoperabilidad que contemplen los dominios de interoperabilidad definidos en </w:t>
      </w:r>
      <w:r w:rsidR="007B514F">
        <w:rPr>
          <w:rFonts w:ascii="Arial" w:hAnsi="Arial" w:cs="Arial"/>
          <w:shd w:val="clear" w:color="auto" w:fill="FFFFFF"/>
          <w:lang w:val="es-MX"/>
        </w:rPr>
        <w:t>el Marco de interoperabilidad Para Gobierno Digital</w:t>
      </w:r>
      <w:r w:rsidR="007B514F">
        <w:rPr>
          <w:rStyle w:val="Refdenotaalpie"/>
          <w:rFonts w:ascii="Arial" w:hAnsi="Arial" w:cs="Arial"/>
          <w:shd w:val="clear" w:color="auto" w:fill="FFFFFF"/>
          <w:lang w:val="es-MX"/>
        </w:rPr>
        <w:footnoteReference w:id="27"/>
      </w:r>
    </w:p>
    <w:p w14:paraId="6C09930E" w14:textId="77777777" w:rsidR="007B514F" w:rsidRDefault="007B514F" w:rsidP="00551222">
      <w:pPr>
        <w:spacing w:after="0" w:line="276" w:lineRule="auto"/>
        <w:ind w:firstLine="708"/>
        <w:jc w:val="both"/>
        <w:rPr>
          <w:rFonts w:ascii="Arial" w:hAnsi="Arial" w:cs="Arial"/>
          <w:shd w:val="clear" w:color="auto" w:fill="FFFFFF"/>
          <w:lang w:val="es-MX"/>
        </w:rPr>
      </w:pPr>
    </w:p>
    <w:p w14:paraId="0187DF68" w14:textId="77A5D4D4" w:rsidR="00135108" w:rsidRPr="00135108" w:rsidRDefault="007B514F" w:rsidP="00551222">
      <w:pPr>
        <w:spacing w:after="0" w:line="276" w:lineRule="auto"/>
        <w:ind w:firstLine="708"/>
        <w:jc w:val="both"/>
        <w:rPr>
          <w:rFonts w:ascii="Arial" w:hAnsi="Arial" w:cs="Arial"/>
          <w:shd w:val="clear" w:color="auto" w:fill="FFFFFF"/>
          <w:lang w:val="es-MX"/>
        </w:rPr>
      </w:pPr>
      <w:r>
        <w:rPr>
          <w:rFonts w:ascii="Arial" w:hAnsi="Arial" w:cs="Arial"/>
          <w:shd w:val="clear" w:color="auto" w:fill="FFFFFF"/>
          <w:lang w:val="es-MX"/>
        </w:rPr>
        <w:t>E</w:t>
      </w:r>
      <w:r w:rsidR="00135108" w:rsidRPr="00135108">
        <w:rPr>
          <w:rFonts w:ascii="Arial" w:hAnsi="Arial" w:cs="Arial"/>
          <w:shd w:val="clear" w:color="auto" w:fill="FFFFFF"/>
          <w:lang w:val="es-MX"/>
        </w:rPr>
        <w:t>s importante que, para la Gobernanza de la Interoperabilidad, las entidades o sectores definan una estrategia de interoperabilidad, que sea coordinada, comunicada, supervisada y ejecutada teniendo como base los principios, dominios, lineamientos y herramientas definidas para este propósito. Estas estrategias podrán ser realizadas de forma colaborativa, dependiendo las necesidades del ciudadano o de las mismas entidades para poder facilitar los ejercicios de intercambio de información a través de experiencias, reutilización y oportunidad de la información que, para el caso de las entidades les permita tomar decisiones estratégicas y responder a las necesidades del ciudadano de forma eficiente y transparente.  Los servicios de intercambio de información han de ser gobernados con el propósito de garantizar la integración y ejecución constante de servicios estandarizados e interoperables, para lo cual es importante contemplar aspectos como delegar en la entidad un responsable en temas de interoperabilidad que garantice en todo momento la entrega y el funcionamiento correcto de los servicios de intercambio, manteniendo las características definidas en los acuerdos realizados entre las entidades para el intercambio, entre las cuales se destacan la seguridad de la información, su entendimiento, disponibilidad y calidad de los datos.</w:t>
      </w:r>
    </w:p>
    <w:p w14:paraId="2ED88856" w14:textId="77777777" w:rsidR="00135108" w:rsidRDefault="00135108" w:rsidP="00551222">
      <w:pPr>
        <w:spacing w:after="0" w:line="276" w:lineRule="auto"/>
        <w:ind w:firstLine="708"/>
        <w:jc w:val="both"/>
        <w:rPr>
          <w:rFonts w:ascii="Arial" w:hAnsi="Arial" w:cs="Arial"/>
          <w:b/>
          <w:bCs/>
          <w:shd w:val="clear" w:color="auto" w:fill="FFFFFF"/>
          <w:lang w:val="es-MX"/>
        </w:rPr>
      </w:pPr>
    </w:p>
    <w:p w14:paraId="567F9260" w14:textId="77777777" w:rsidR="00551222" w:rsidRPr="00551222" w:rsidRDefault="00551222" w:rsidP="00551222">
      <w:pPr>
        <w:spacing w:after="0" w:line="276" w:lineRule="auto"/>
        <w:ind w:right="79"/>
        <w:contextualSpacing/>
        <w:jc w:val="both"/>
        <w:rPr>
          <w:rFonts w:ascii="Arial" w:eastAsia="Calibri" w:hAnsi="Arial" w:cs="Arial"/>
          <w:b/>
          <w:noProof/>
          <w:lang w:val="es-ES_tradnl"/>
        </w:rPr>
      </w:pPr>
      <w:bookmarkStart w:id="27" w:name="_1y810tw" w:colFirst="0" w:colLast="0"/>
      <w:bookmarkStart w:id="28" w:name="_2xcytpi" w:colFirst="0" w:colLast="0"/>
      <w:bookmarkStart w:id="29" w:name="_1ci93xb" w:colFirst="0" w:colLast="0"/>
      <w:bookmarkStart w:id="30" w:name="_3whwml4" w:colFirst="0" w:colLast="0"/>
      <w:bookmarkEnd w:id="14"/>
      <w:bookmarkEnd w:id="27"/>
      <w:bookmarkEnd w:id="28"/>
      <w:bookmarkEnd w:id="29"/>
      <w:bookmarkEnd w:id="30"/>
      <w:r w:rsidRPr="00551222">
        <w:rPr>
          <w:rFonts w:ascii="Arial" w:eastAsia="Calibri" w:hAnsi="Arial" w:cs="Arial"/>
          <w:b/>
          <w:noProof/>
          <w:lang w:val="es-ES_tradnl"/>
        </w:rPr>
        <w:t>3. Respuesta</w:t>
      </w:r>
    </w:p>
    <w:p w14:paraId="771F44EA" w14:textId="77777777" w:rsidR="00551222" w:rsidRPr="00551222" w:rsidRDefault="00551222" w:rsidP="00551222">
      <w:pPr>
        <w:spacing w:after="0" w:line="276" w:lineRule="auto"/>
        <w:ind w:right="79"/>
        <w:contextualSpacing/>
        <w:jc w:val="both"/>
        <w:rPr>
          <w:rFonts w:ascii="Arial" w:eastAsia="Calibri" w:hAnsi="Arial" w:cs="Arial"/>
          <w:b/>
          <w:noProof/>
          <w:lang w:val="es-ES_tradnl"/>
        </w:rPr>
      </w:pPr>
    </w:p>
    <w:p w14:paraId="0E294E2E" w14:textId="29BA3B48" w:rsidR="00551222" w:rsidRPr="00551222" w:rsidRDefault="00551222" w:rsidP="002A11BD">
      <w:pPr>
        <w:spacing w:after="0" w:line="240" w:lineRule="auto"/>
        <w:ind w:left="709" w:right="709"/>
        <w:contextualSpacing/>
        <w:jc w:val="both"/>
        <w:rPr>
          <w:rFonts w:ascii="Arial" w:hAnsi="Arial" w:cs="Arial"/>
          <w:sz w:val="21"/>
          <w:szCs w:val="21"/>
          <w:lang w:val="es-ES_tradnl"/>
        </w:rPr>
      </w:pPr>
      <w:r w:rsidRPr="00551222">
        <w:rPr>
          <w:rFonts w:ascii="Arial" w:hAnsi="Arial" w:cs="Arial"/>
          <w:sz w:val="21"/>
          <w:szCs w:val="21"/>
          <w:lang w:val="es-ES_tradnl"/>
        </w:rPr>
        <w:t>“</w:t>
      </w:r>
      <w:r w:rsidR="002A11BD">
        <w:rPr>
          <w:rStyle w:val="contentpasted0"/>
          <w:rFonts w:ascii="Arial" w:eastAsia="Times New Roman" w:hAnsi="Arial" w:cs="Arial"/>
          <w:i/>
          <w:iCs/>
          <w:color w:val="000000"/>
        </w:rPr>
        <w:t>C</w:t>
      </w:r>
      <w:r w:rsidR="002A11BD" w:rsidRPr="00E529B2">
        <w:rPr>
          <w:rStyle w:val="contentpasted0"/>
          <w:rFonts w:ascii="Arial" w:eastAsia="Times New Roman" w:hAnsi="Arial" w:cs="Arial"/>
          <w:i/>
          <w:iCs/>
          <w:color w:val="000000"/>
        </w:rPr>
        <w:t>uando se firma un "ACUERDO DE SERVICIO" para el traspaso de información entre dos entidades públicas en el marco de la vigencia de ley garantías, ¿se está incurriendo en alguna ilegalidad? ¿Qué diferencias hay entre acuerdo de servicio, contratos y convenios? ¿Qué estipula la ley de garantías referente a la prohibición de suscripción de acuerdos, contratos y convenios (entre otras figuras) y cuáles son los montos restringidos durante esta ley</w:t>
      </w:r>
      <w:r w:rsidR="002A11BD" w:rsidRPr="00551222">
        <w:rPr>
          <w:rFonts w:ascii="Arial" w:hAnsi="Arial" w:cs="Arial"/>
          <w:sz w:val="21"/>
          <w:szCs w:val="21"/>
          <w:lang w:val="es-ES_tradnl"/>
        </w:rPr>
        <w:t>”?</w:t>
      </w:r>
    </w:p>
    <w:p w14:paraId="61A8EAD0" w14:textId="77777777" w:rsidR="00551222" w:rsidRPr="00551222" w:rsidRDefault="00551222" w:rsidP="00551222">
      <w:pPr>
        <w:spacing w:after="0" w:line="240" w:lineRule="auto"/>
        <w:ind w:left="567" w:right="786"/>
        <w:jc w:val="both"/>
        <w:rPr>
          <w:rFonts w:ascii="Arial" w:hAnsi="Arial" w:cs="Arial"/>
          <w:color w:val="FF0000"/>
          <w:lang w:val="es-ES_tradnl"/>
        </w:rPr>
      </w:pPr>
    </w:p>
    <w:p w14:paraId="28451EEE" w14:textId="19FA988F" w:rsidR="00551222" w:rsidRPr="00551222" w:rsidRDefault="002A11BD" w:rsidP="00551222">
      <w:pPr>
        <w:spacing w:after="120" w:line="276" w:lineRule="auto"/>
        <w:jc w:val="both"/>
        <w:rPr>
          <w:rFonts w:ascii="Arial" w:eastAsia="Arial" w:hAnsi="Arial" w:cs="Arial"/>
          <w:lang w:val="es-ES" w:eastAsia="es-ES" w:bidi="es-ES"/>
        </w:rPr>
      </w:pPr>
      <w:r>
        <w:rPr>
          <w:rFonts w:ascii="Arial" w:eastAsia="Arial" w:hAnsi="Arial" w:cs="Arial"/>
          <w:lang w:val="es-MX"/>
        </w:rPr>
        <w:t xml:space="preserve">         </w:t>
      </w:r>
      <w:r w:rsidR="00551222" w:rsidRPr="00551222">
        <w:rPr>
          <w:rFonts w:ascii="Arial" w:eastAsia="Arial" w:hAnsi="Arial" w:cs="Arial"/>
          <w:lang w:val="es-MX"/>
        </w:rPr>
        <w:t xml:space="preserve">De acuerdo con la interpretación de las normas generales del sistema de compras y contratación pública, </w:t>
      </w:r>
      <w:r w:rsidR="00551222" w:rsidRPr="00551222">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7EC0637A" w14:textId="0D5338A6" w:rsidR="00551222" w:rsidRPr="00551222" w:rsidRDefault="002A11BD" w:rsidP="002A11BD">
      <w:pPr>
        <w:spacing w:after="120" w:line="276" w:lineRule="auto"/>
        <w:jc w:val="both"/>
        <w:rPr>
          <w:rFonts w:ascii="Arial" w:hAnsi="Arial" w:cs="Arial"/>
          <w:shd w:val="clear" w:color="auto" w:fill="FFFFFF"/>
          <w:lang w:val="es-MX"/>
        </w:rPr>
      </w:pPr>
      <w:r>
        <w:rPr>
          <w:rFonts w:ascii="Arial" w:hAnsi="Arial" w:cs="Arial"/>
          <w:bCs/>
          <w:lang w:val="es-ES_tradnl" w:eastAsia="es-CO"/>
        </w:rPr>
        <w:t xml:space="preserve">          E</w:t>
      </w:r>
      <w:r w:rsidR="00551222" w:rsidRPr="00551222">
        <w:rPr>
          <w:rFonts w:ascii="Arial" w:hAnsi="Arial" w:cs="Arial"/>
          <w:bCs/>
          <w:lang w:val="es-ES_tradnl" w:eastAsia="es-CO"/>
        </w:rPr>
        <w:t>s importante resaltar que, por un lado, el inciso primero del</w:t>
      </w:r>
      <w:r w:rsidR="00551222" w:rsidRPr="00551222">
        <w:rPr>
          <w:rFonts w:ascii="Arial" w:hAnsi="Arial" w:cs="Arial"/>
          <w:bCs/>
          <w:lang w:val="es-MX" w:eastAsia="es-CO"/>
        </w:rPr>
        <w:t xml:space="preserve"> parágrafo del artículo 38 de la Ley de Garantías Electorales, establece una restricción en virtud de la cual, durante el periodo de cuatro (4) meses anteriores a cualquier jornada de elecciones, las entidades territoriales, como es el caso de los municipios a los cuales se hace referencia en su consulta, no pueden suscribir </w:t>
      </w:r>
      <w:r w:rsidR="00551222" w:rsidRPr="00551222">
        <w:rPr>
          <w:rFonts w:ascii="Arial" w:hAnsi="Arial" w:cs="Arial"/>
          <w:bCs/>
          <w:lang w:val="es-MX" w:eastAsia="es-CO"/>
        </w:rPr>
        <w:lastRenderedPageBreak/>
        <w:t>convenios interadministrativos que impliquen la ejecución de recursos públicos. Por otro lado, d</w:t>
      </w:r>
      <w:r w:rsidR="00551222" w:rsidRPr="00551222">
        <w:rPr>
          <w:rFonts w:ascii="Arial" w:hAnsi="Arial" w:cs="Arial"/>
          <w:shd w:val="clear" w:color="auto" w:fill="FFFFFF"/>
          <w:lang w:val="es-MX"/>
        </w:rPr>
        <w:t xml:space="preserve">e acuerdo con el inciso cuarto </w:t>
      </w:r>
      <w:r w:rsidR="00551222" w:rsidRPr="00551222">
        <w:rPr>
          <w:rFonts w:ascii="Arial" w:hAnsi="Arial" w:cs="Arial"/>
          <w:i/>
          <w:iCs/>
          <w:shd w:val="clear" w:color="auto" w:fill="FFFFFF"/>
          <w:lang w:val="es-MX"/>
        </w:rPr>
        <w:t>ibidem</w:t>
      </w:r>
      <w:r w:rsidR="00551222" w:rsidRPr="00551222">
        <w:rPr>
          <w:rFonts w:ascii="Arial" w:hAnsi="Arial" w:cs="Arial"/>
          <w:shd w:val="clear" w:color="auto" w:fill="FFFFFF"/>
          <w:lang w:val="es-MX"/>
        </w:rPr>
        <w:t xml:space="preserve">, la nómina del respectivo ente territorial o entidad estatal no se podrá modificar dentro de los cuatro (4) meses anteriores a las elecciones a cargos de elección popular, salvo que se trate de la provisión de cargos por faltas definitivas, con ocasión de muerte o renuncia irrevocable del cargo correspondiente debidamente aceptada y en los casos de aplicación de las normas de carrera administrativa. </w:t>
      </w:r>
    </w:p>
    <w:p w14:paraId="35B5496A" w14:textId="3DBFA243" w:rsidR="00551222" w:rsidRDefault="00551222" w:rsidP="00551222">
      <w:pPr>
        <w:spacing w:after="120" w:line="276" w:lineRule="auto"/>
        <w:ind w:firstLine="709"/>
        <w:jc w:val="both"/>
        <w:rPr>
          <w:rFonts w:ascii="Arial" w:hAnsi="Arial" w:cs="Arial"/>
          <w:shd w:val="clear" w:color="auto" w:fill="FFFFFF"/>
          <w:lang w:val="es-MX"/>
        </w:rPr>
      </w:pPr>
      <w:r w:rsidRPr="00551222">
        <w:rPr>
          <w:rFonts w:ascii="Arial" w:hAnsi="Arial" w:cs="Arial"/>
          <w:shd w:val="clear" w:color="auto" w:fill="FFFFFF"/>
          <w:lang w:val="es-MX"/>
        </w:rPr>
        <w:t xml:space="preserve">Respecto al periodo de duración de la Ley de Garantías Electorales por elecciones de autoridades locales que se llevarán a cabo en el año en curso, es menester indicar que, la Ley 996 de 2005 establece que dichas prohibiciones se aplicaran durante los cuatro (4) meses anteriores a las elecciones. Con motivo de las elecciones de autoridades locales que se realizan el último domingo del mes de octubre, es decir el 29 de octubre de 2023, la mencionada ley </w:t>
      </w:r>
      <w:r w:rsidR="000F2FFB" w:rsidRPr="00551222">
        <w:rPr>
          <w:rFonts w:ascii="Arial" w:hAnsi="Arial" w:cs="Arial"/>
          <w:shd w:val="clear" w:color="auto" w:fill="FFFFFF"/>
          <w:lang w:val="es-MX"/>
        </w:rPr>
        <w:t>entrará en vigor</w:t>
      </w:r>
      <w:r w:rsidRPr="00551222">
        <w:rPr>
          <w:rFonts w:ascii="Arial" w:hAnsi="Arial" w:cs="Arial"/>
          <w:shd w:val="clear" w:color="auto" w:fill="FFFFFF"/>
          <w:lang w:val="es-MX"/>
        </w:rPr>
        <w:t xml:space="preserve"> desde el próximo 29 de junio y se extenderá hasta el día en el que se celebran las elecciones.</w:t>
      </w:r>
    </w:p>
    <w:p w14:paraId="30FD5D9B" w14:textId="2D49B101" w:rsidR="000F2FFB" w:rsidRDefault="000F2FFB" w:rsidP="00551222">
      <w:pPr>
        <w:spacing w:after="120" w:line="276" w:lineRule="auto"/>
        <w:ind w:firstLine="709"/>
        <w:jc w:val="both"/>
        <w:rPr>
          <w:rFonts w:ascii="Arial" w:hAnsi="Arial" w:cs="Arial"/>
          <w:shd w:val="clear" w:color="auto" w:fill="FFFFFF"/>
          <w:lang w:val="es-MX"/>
        </w:rPr>
      </w:pPr>
      <w:r>
        <w:rPr>
          <w:rFonts w:ascii="Arial" w:hAnsi="Arial" w:cs="Arial"/>
          <w:shd w:val="clear" w:color="auto" w:fill="FFFFFF"/>
          <w:lang w:val="es-MX"/>
        </w:rPr>
        <w:t xml:space="preserve">De igual manera, para el intercambio de información entre entidades públicas se deben atender las </w:t>
      </w:r>
      <w:r w:rsidRPr="000F2FFB">
        <w:rPr>
          <w:rFonts w:ascii="Arial" w:hAnsi="Arial" w:cs="Arial"/>
          <w:shd w:val="clear" w:color="auto" w:fill="FFFFFF"/>
          <w:lang w:val="es-MX"/>
        </w:rPr>
        <w:t>estrategias de interoperabilidad definidos en el Marco</w:t>
      </w:r>
      <w:r>
        <w:rPr>
          <w:rFonts w:ascii="Arial" w:hAnsi="Arial" w:cs="Arial"/>
          <w:shd w:val="clear" w:color="auto" w:fill="FFFFFF"/>
          <w:lang w:val="es-MX"/>
        </w:rPr>
        <w:t xml:space="preserve"> </w:t>
      </w:r>
      <w:r w:rsidRPr="000F2FFB">
        <w:rPr>
          <w:rFonts w:ascii="Arial" w:hAnsi="Arial" w:cs="Arial"/>
          <w:shd w:val="clear" w:color="auto" w:fill="FFFFFF"/>
          <w:lang w:val="es-MX"/>
        </w:rPr>
        <w:t xml:space="preserve">de interoperabilidad </w:t>
      </w:r>
      <w:r>
        <w:rPr>
          <w:rFonts w:ascii="Arial" w:hAnsi="Arial" w:cs="Arial"/>
          <w:shd w:val="clear" w:color="auto" w:fill="FFFFFF"/>
          <w:lang w:val="es-MX"/>
        </w:rPr>
        <w:t>p</w:t>
      </w:r>
      <w:r w:rsidRPr="000F2FFB">
        <w:rPr>
          <w:rFonts w:ascii="Arial" w:hAnsi="Arial" w:cs="Arial"/>
          <w:shd w:val="clear" w:color="auto" w:fill="FFFFFF"/>
          <w:lang w:val="es-MX"/>
        </w:rPr>
        <w:t>ara Gobierno Digita</w:t>
      </w:r>
      <w:r>
        <w:rPr>
          <w:rFonts w:ascii="Arial" w:hAnsi="Arial" w:cs="Arial"/>
          <w:shd w:val="clear" w:color="auto" w:fill="FFFFFF"/>
          <w:lang w:val="es-MX"/>
        </w:rPr>
        <w:t xml:space="preserve">l del Ministerio de las Tecnologías de Información y Tecnologías de la Información.  </w:t>
      </w:r>
    </w:p>
    <w:p w14:paraId="06CE385C" w14:textId="63223A6A" w:rsidR="00551222" w:rsidRPr="00551222" w:rsidRDefault="009702D5" w:rsidP="00551222">
      <w:pPr>
        <w:spacing w:after="0" w:line="276" w:lineRule="auto"/>
        <w:ind w:firstLine="709"/>
        <w:jc w:val="both"/>
        <w:rPr>
          <w:rFonts w:ascii="Arial" w:hAnsi="Arial" w:cs="Arial"/>
          <w:bCs/>
          <w:lang w:val="es-ES"/>
        </w:rPr>
      </w:pPr>
      <w:r>
        <w:rPr>
          <w:rFonts w:ascii="Arial" w:eastAsia="Calibri" w:hAnsi="Arial" w:cs="Arial"/>
          <w:bCs/>
          <w:lang w:val="es-MX" w:eastAsia="es-CO"/>
        </w:rPr>
        <w:t>B</w:t>
      </w:r>
      <w:r w:rsidR="00551222" w:rsidRPr="00551222">
        <w:rPr>
          <w:rFonts w:ascii="Arial" w:eastAsia="Calibri" w:hAnsi="Arial" w:cs="Arial"/>
          <w:bCs/>
          <w:lang w:val="es-MX" w:eastAsia="es-CO"/>
        </w:rPr>
        <w:t xml:space="preserve">ajo estas consideraciones, corresponde a cada entidad pública, en ejercicio de su competencia y previa valoración de los elementos fácticos y jurídicos, determinar si es procedente o no la celebración de un determinado </w:t>
      </w:r>
      <w:r w:rsidR="002A11BD">
        <w:rPr>
          <w:rFonts w:ascii="Arial" w:eastAsia="Calibri" w:hAnsi="Arial" w:cs="Arial"/>
          <w:bCs/>
          <w:lang w:val="es-MX" w:eastAsia="es-CO"/>
        </w:rPr>
        <w:t xml:space="preserve">acuerdo con convenio </w:t>
      </w:r>
      <w:r w:rsidR="00551222" w:rsidRPr="00551222">
        <w:rPr>
          <w:rFonts w:ascii="Arial" w:eastAsia="Calibri" w:hAnsi="Arial" w:cs="Arial"/>
          <w:bCs/>
          <w:lang w:val="es-MX" w:eastAsia="es-CO"/>
        </w:rPr>
        <w:t xml:space="preserv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00551222" w:rsidRPr="00551222">
        <w:rPr>
          <w:rFonts w:ascii="Arial" w:hAnsi="Arial" w:cs="Arial"/>
          <w:bCs/>
          <w:lang w:val="es-ES"/>
        </w:rPr>
        <w:t xml:space="preserve"> </w:t>
      </w:r>
    </w:p>
    <w:p w14:paraId="3054D486" w14:textId="77777777" w:rsidR="00551222" w:rsidRPr="00551222" w:rsidRDefault="00551222" w:rsidP="00551222">
      <w:pPr>
        <w:spacing w:after="0" w:line="276" w:lineRule="auto"/>
        <w:ind w:firstLine="709"/>
        <w:jc w:val="both"/>
        <w:rPr>
          <w:rFonts w:ascii="Arial" w:hAnsi="Arial" w:cs="Arial"/>
          <w:bCs/>
          <w:lang w:val="es-ES"/>
        </w:rPr>
      </w:pPr>
    </w:p>
    <w:p w14:paraId="4169EDE0" w14:textId="77777777" w:rsidR="00551222" w:rsidRPr="00551222" w:rsidRDefault="00551222" w:rsidP="00551222">
      <w:pPr>
        <w:spacing w:after="0" w:line="276" w:lineRule="auto"/>
        <w:jc w:val="both"/>
        <w:rPr>
          <w:rFonts w:ascii="Arial" w:eastAsia="Calibri" w:hAnsi="Arial" w:cs="Arial"/>
        </w:rPr>
      </w:pPr>
      <w:r w:rsidRPr="005512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7D77202" w14:textId="77777777" w:rsidR="00551222" w:rsidRPr="00551222" w:rsidRDefault="00551222" w:rsidP="00551222">
      <w:pPr>
        <w:spacing w:after="0" w:line="276" w:lineRule="auto"/>
        <w:jc w:val="both"/>
        <w:rPr>
          <w:rFonts w:ascii="Times New Roman" w:eastAsia="Times New Roman" w:hAnsi="Times New Roman" w:cs="Times New Roman"/>
          <w:sz w:val="24"/>
          <w:szCs w:val="24"/>
          <w:lang w:eastAsia="es-ES_tradnl"/>
        </w:rPr>
      </w:pPr>
    </w:p>
    <w:p w14:paraId="3F3D8314" w14:textId="77777777" w:rsidR="00551222" w:rsidRPr="00551222" w:rsidRDefault="00551222" w:rsidP="00551222">
      <w:pPr>
        <w:spacing w:after="0" w:line="276" w:lineRule="auto"/>
        <w:jc w:val="both"/>
        <w:rPr>
          <w:rFonts w:ascii="Arial" w:hAnsi="Arial" w:cs="Arial"/>
          <w:lang w:val="es-ES_tradnl" w:eastAsia="es-CO"/>
        </w:rPr>
      </w:pPr>
      <w:bookmarkStart w:id="31" w:name="_Hlk50986665"/>
      <w:bookmarkStart w:id="32" w:name="_Hlk52766744"/>
      <w:r w:rsidRPr="00551222">
        <w:rPr>
          <w:rFonts w:ascii="Arial" w:hAnsi="Arial" w:cs="Arial"/>
          <w:lang w:val="es-ES_tradnl" w:eastAsia="es-CO"/>
        </w:rPr>
        <w:t>Atentamente,</w:t>
      </w:r>
    </w:p>
    <w:p w14:paraId="35DA73A1" w14:textId="16BA261E" w:rsidR="00551222" w:rsidRDefault="00E80A29" w:rsidP="00551222">
      <w:pPr>
        <w:spacing w:after="240" w:line="276" w:lineRule="auto"/>
        <w:jc w:val="center"/>
        <w:rPr>
          <w:rFonts w:ascii="Arial" w:eastAsia="Yu Gothic UI Semibold" w:hAnsi="Arial" w:cs="Arial"/>
          <w:noProof/>
          <w:highlight w:val="yellow"/>
          <w:lang w:eastAsia="es-CO"/>
        </w:rPr>
      </w:pPr>
      <w:r>
        <w:rPr>
          <w:noProof/>
        </w:rPr>
        <w:drawing>
          <wp:inline distT="0" distB="0" distL="0" distR="0" wp14:anchorId="78B45B4B" wp14:editId="3A1F466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5208466B" w14:textId="77777777" w:rsidR="00E80A29" w:rsidRPr="00551222" w:rsidRDefault="00E80A29" w:rsidP="00551222">
      <w:pPr>
        <w:spacing w:after="240" w:line="276" w:lineRule="auto"/>
        <w:jc w:val="center"/>
        <w:rPr>
          <w:rFonts w:ascii="Arial" w:eastAsia="Yu Gothic UI Semibold" w:hAnsi="Arial" w:cs="Arial"/>
          <w:noProof/>
          <w:highlight w:val="yellow"/>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5186"/>
      </w:tblGrid>
      <w:tr w:rsidR="00551222" w:rsidRPr="00551222" w14:paraId="4B2C3C15" w14:textId="77777777" w:rsidTr="00DB1B04">
        <w:trPr>
          <w:trHeight w:val="111"/>
        </w:trPr>
        <w:tc>
          <w:tcPr>
            <w:tcW w:w="1107" w:type="dxa"/>
            <w:vAlign w:val="center"/>
            <w:hideMark/>
          </w:tcPr>
          <w:p w14:paraId="1892A768" w14:textId="1AAA01A9"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lastRenderedPageBreak/>
              <w:t>Elaboró:</w:t>
            </w:r>
          </w:p>
        </w:tc>
        <w:tc>
          <w:tcPr>
            <w:tcW w:w="5186" w:type="dxa"/>
            <w:tcBorders>
              <w:top w:val="nil"/>
              <w:left w:val="nil"/>
              <w:bottom w:val="dotted" w:sz="4" w:space="0" w:color="7F7F7F" w:themeColor="text1" w:themeTint="80"/>
              <w:right w:val="nil"/>
            </w:tcBorders>
            <w:vAlign w:val="center"/>
            <w:hideMark/>
          </w:tcPr>
          <w:p w14:paraId="4D2CF1EF" w14:textId="6222C906" w:rsidR="00551222" w:rsidRPr="00551222" w:rsidRDefault="002A11BD" w:rsidP="00551222">
            <w:pPr>
              <w:jc w:val="both"/>
              <w:rPr>
                <w:rFonts w:ascii="Arial" w:eastAsia="Yu Gothic UI Semibold" w:hAnsi="Arial" w:cs="Arial"/>
                <w:color w:val="000000" w:themeColor="text1"/>
                <w:sz w:val="16"/>
                <w:szCs w:val="16"/>
                <w:lang w:val="es-ES_tradnl" w:eastAsia="es-ES"/>
              </w:rPr>
            </w:pPr>
            <w:r>
              <w:rPr>
                <w:rFonts w:ascii="Arial" w:eastAsia="Yu Gothic UI Semibold" w:hAnsi="Arial" w:cs="Arial"/>
                <w:color w:val="000000" w:themeColor="text1"/>
                <w:sz w:val="16"/>
                <w:szCs w:val="16"/>
                <w:lang w:val="es-ES_tradnl" w:eastAsia="es-ES"/>
              </w:rPr>
              <w:t>Christian Camilo Orjuela Galeano</w:t>
            </w:r>
            <w:r w:rsidR="00551222" w:rsidRPr="00551222">
              <w:rPr>
                <w:rFonts w:ascii="Arial" w:eastAsia="Yu Gothic UI Semibold" w:hAnsi="Arial" w:cs="Arial"/>
                <w:color w:val="000000" w:themeColor="text1"/>
                <w:sz w:val="16"/>
                <w:szCs w:val="16"/>
                <w:lang w:val="es-ES_tradnl" w:eastAsia="es-ES"/>
              </w:rPr>
              <w:t xml:space="preserve"> </w:t>
            </w:r>
          </w:p>
          <w:p w14:paraId="504A3DA8"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 xml:space="preserve">Contratista de la Subdirección de Gestión Contractual </w:t>
            </w:r>
          </w:p>
        </w:tc>
      </w:tr>
      <w:tr w:rsidR="00551222" w:rsidRPr="00551222" w14:paraId="52733DE7" w14:textId="77777777" w:rsidTr="00DB1B04">
        <w:trPr>
          <w:trHeight w:val="229"/>
        </w:trPr>
        <w:tc>
          <w:tcPr>
            <w:tcW w:w="1107" w:type="dxa"/>
            <w:vAlign w:val="center"/>
            <w:hideMark/>
          </w:tcPr>
          <w:p w14:paraId="7B09DA9A"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themeColor="text1"/>
                <w:sz w:val="16"/>
                <w:szCs w:val="16"/>
                <w:lang w:val="es-ES_tradnl" w:eastAsia="es-ES"/>
              </w:rPr>
              <w:t>Revisó: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44143224" w14:textId="5C302F9A" w:rsidR="00551222" w:rsidRPr="00551222" w:rsidRDefault="002A11BD" w:rsidP="00551222">
            <w:pPr>
              <w:jc w:val="both"/>
              <w:rPr>
                <w:rFonts w:ascii="Arial" w:hAnsi="Arial" w:cs="Arial"/>
                <w:sz w:val="16"/>
                <w:szCs w:val="16"/>
                <w:lang w:val="es-ES_tradnl" w:eastAsia="es-ES"/>
              </w:rPr>
            </w:pPr>
            <w:r>
              <w:rPr>
                <w:rFonts w:ascii="Arial" w:hAnsi="Arial" w:cs="Arial"/>
                <w:sz w:val="16"/>
                <w:szCs w:val="16"/>
                <w:lang w:val="es-ES_tradnl" w:eastAsia="es-ES"/>
              </w:rPr>
              <w:t>Diana Carolina Armenta Celis</w:t>
            </w:r>
            <w:r w:rsidR="00551222" w:rsidRPr="00551222">
              <w:rPr>
                <w:rFonts w:ascii="Arial" w:hAnsi="Arial" w:cs="Arial"/>
                <w:sz w:val="16"/>
                <w:szCs w:val="16"/>
                <w:lang w:val="es-ES_tradnl" w:eastAsia="es-ES"/>
              </w:rPr>
              <w:t xml:space="preserve"> </w:t>
            </w:r>
          </w:p>
          <w:p w14:paraId="55D47401" w14:textId="4D727E9B" w:rsidR="00551222" w:rsidRPr="00551222" w:rsidRDefault="002A11BD" w:rsidP="00551222">
            <w:pPr>
              <w:jc w:val="both"/>
              <w:rPr>
                <w:rFonts w:ascii="Arial" w:eastAsia="Yu Gothic UI Semibold" w:hAnsi="Arial" w:cs="Arial"/>
                <w:color w:val="000000" w:themeColor="text1"/>
                <w:sz w:val="16"/>
                <w:szCs w:val="16"/>
                <w:lang w:val="es-ES" w:eastAsia="es-ES"/>
              </w:rPr>
            </w:pPr>
            <w:r w:rsidRPr="00551222">
              <w:rPr>
                <w:rFonts w:ascii="Arial" w:eastAsia="Yu Gothic UI Semibold" w:hAnsi="Arial" w:cs="Arial"/>
                <w:color w:val="000000" w:themeColor="text1"/>
                <w:sz w:val="16"/>
                <w:szCs w:val="16"/>
                <w:lang w:val="es-ES_tradnl" w:eastAsia="es-ES"/>
              </w:rPr>
              <w:t>Contratista de la Subdirección de Gestión Contractual</w:t>
            </w:r>
          </w:p>
        </w:tc>
      </w:tr>
      <w:tr w:rsidR="00551222" w:rsidRPr="00551222" w14:paraId="25E658B8" w14:textId="77777777" w:rsidTr="00DB1B04">
        <w:trPr>
          <w:trHeight w:val="208"/>
        </w:trPr>
        <w:tc>
          <w:tcPr>
            <w:tcW w:w="1107" w:type="dxa"/>
            <w:vAlign w:val="center"/>
            <w:hideMark/>
          </w:tcPr>
          <w:p w14:paraId="2A1AA435" w14:textId="77777777" w:rsidR="00551222" w:rsidRPr="00551222" w:rsidRDefault="00551222" w:rsidP="00551222">
            <w:pPr>
              <w:jc w:val="both"/>
              <w:rPr>
                <w:rFonts w:ascii="Arial" w:eastAsia="Yu Gothic UI Semibold" w:hAnsi="Arial" w:cs="Arial"/>
                <w:sz w:val="16"/>
                <w:szCs w:val="16"/>
                <w:lang w:val="es-ES_tradnl" w:eastAsia="es-ES"/>
              </w:rPr>
            </w:pPr>
            <w:r w:rsidRPr="00551222">
              <w:rPr>
                <w:rFonts w:ascii="Arial" w:eastAsia="Yu Gothic UI Semibold" w:hAnsi="Arial" w:cs="Arial"/>
                <w:sz w:val="16"/>
                <w:szCs w:val="16"/>
                <w:lang w:val="es-ES_tradnl" w:eastAsia="es-ES"/>
              </w:rPr>
              <w:t>Aprobó:</w:t>
            </w:r>
          </w:p>
        </w:tc>
        <w:tc>
          <w:tcPr>
            <w:tcW w:w="5186" w:type="dxa"/>
            <w:tcBorders>
              <w:top w:val="dotted" w:sz="4" w:space="0" w:color="7F7F7F" w:themeColor="text1" w:themeTint="80"/>
              <w:left w:val="nil"/>
              <w:bottom w:val="dotted" w:sz="4" w:space="0" w:color="7F7F7F" w:themeColor="text1" w:themeTint="80"/>
              <w:right w:val="nil"/>
            </w:tcBorders>
            <w:vAlign w:val="center"/>
            <w:hideMark/>
          </w:tcPr>
          <w:p w14:paraId="5B1A3E33" w14:textId="77777777" w:rsidR="00551222" w:rsidRPr="00551222" w:rsidRDefault="00551222" w:rsidP="00551222">
            <w:pPr>
              <w:rPr>
                <w:rFonts w:ascii="Arial" w:eastAsia="Yu Gothic UI Semibold" w:hAnsi="Arial" w:cs="Arial"/>
                <w:color w:val="000000"/>
                <w:sz w:val="16"/>
                <w:szCs w:val="16"/>
                <w:lang w:val="es-MX"/>
              </w:rPr>
            </w:pPr>
            <w:r w:rsidRPr="00551222">
              <w:rPr>
                <w:rFonts w:ascii="Arial" w:eastAsia="Yu Gothic UI Semibold" w:hAnsi="Arial" w:cs="Arial"/>
                <w:color w:val="000000"/>
                <w:sz w:val="16"/>
                <w:szCs w:val="16"/>
                <w:lang w:val="es-MX"/>
              </w:rPr>
              <w:t>Nohelia del Carmen Zawady Palacio</w:t>
            </w:r>
          </w:p>
          <w:p w14:paraId="18D1062B" w14:textId="77777777" w:rsidR="00551222" w:rsidRPr="00551222" w:rsidRDefault="00551222" w:rsidP="00551222">
            <w:pPr>
              <w:jc w:val="both"/>
              <w:rPr>
                <w:rFonts w:ascii="Arial" w:eastAsia="Yu Gothic UI Semibold" w:hAnsi="Arial" w:cs="Arial"/>
                <w:color w:val="000000" w:themeColor="text1"/>
                <w:sz w:val="16"/>
                <w:szCs w:val="16"/>
                <w:lang w:val="es-ES_tradnl" w:eastAsia="es-ES"/>
              </w:rPr>
            </w:pPr>
            <w:r w:rsidRPr="00551222">
              <w:rPr>
                <w:rFonts w:ascii="Arial" w:eastAsia="Yu Gothic UI Semibold" w:hAnsi="Arial" w:cs="Arial"/>
                <w:color w:val="000000"/>
                <w:sz w:val="16"/>
                <w:szCs w:val="16"/>
                <w:lang w:val="es-MX"/>
              </w:rPr>
              <w:t>Subdirectora de Gestión Contractual ANCP – CCE</w:t>
            </w:r>
          </w:p>
        </w:tc>
      </w:tr>
      <w:bookmarkEnd w:id="0"/>
      <w:bookmarkEnd w:id="31"/>
      <w:bookmarkEnd w:id="32"/>
    </w:tbl>
    <w:p w14:paraId="0F293BF4" w14:textId="0F6FB6C1" w:rsidR="00127233" w:rsidRPr="00551222" w:rsidRDefault="00127233" w:rsidP="00551222"/>
    <w:sectPr w:rsidR="00127233" w:rsidRPr="00551222"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0832" w14:textId="77777777" w:rsidR="00AF4E0F" w:rsidRDefault="00AF4E0F" w:rsidP="004A1847">
      <w:pPr>
        <w:spacing w:after="0" w:line="240" w:lineRule="auto"/>
      </w:pPr>
      <w:r>
        <w:separator/>
      </w:r>
    </w:p>
  </w:endnote>
  <w:endnote w:type="continuationSeparator" w:id="0">
    <w:p w14:paraId="14486283" w14:textId="77777777" w:rsidR="00AF4E0F" w:rsidRDefault="00AF4E0F" w:rsidP="004A1847">
      <w:pPr>
        <w:spacing w:after="0" w:line="240" w:lineRule="auto"/>
      </w:pPr>
      <w:r>
        <w:continuationSeparator/>
      </w:r>
    </w:p>
  </w:endnote>
  <w:endnote w:type="continuationNotice" w:id="1">
    <w:p w14:paraId="4194C311" w14:textId="77777777" w:rsidR="00AF4E0F" w:rsidRDefault="00AF4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Yu Gothic UI Semibold">
    <w:panose1 w:val="020B07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EB2E" w14:textId="77777777" w:rsidR="00AF4E0F" w:rsidRDefault="00AF4E0F" w:rsidP="004A1847">
      <w:pPr>
        <w:spacing w:after="0" w:line="240" w:lineRule="auto"/>
      </w:pPr>
      <w:r>
        <w:separator/>
      </w:r>
    </w:p>
  </w:footnote>
  <w:footnote w:type="continuationSeparator" w:id="0">
    <w:p w14:paraId="3C535CCD" w14:textId="77777777" w:rsidR="00AF4E0F" w:rsidRDefault="00AF4E0F" w:rsidP="004A1847">
      <w:pPr>
        <w:spacing w:after="0" w:line="240" w:lineRule="auto"/>
      </w:pPr>
      <w:r>
        <w:continuationSeparator/>
      </w:r>
    </w:p>
  </w:footnote>
  <w:footnote w:type="continuationNotice" w:id="1">
    <w:p w14:paraId="7C79C5EE" w14:textId="77777777" w:rsidR="00AF4E0F" w:rsidRDefault="00AF4E0F">
      <w:pPr>
        <w:spacing w:after="0" w:line="240" w:lineRule="auto"/>
      </w:pPr>
    </w:p>
  </w:footnote>
  <w:footnote w:id="2">
    <w:p w14:paraId="2293B901"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C42017">
          <w:rPr>
            <w:rStyle w:val="Hipervnculo"/>
            <w:rFonts w:ascii="Arial" w:hAnsi="Arial" w:cs="Arial"/>
            <w:sz w:val="16"/>
            <w:szCs w:val="16"/>
          </w:rPr>
          <w:t>https://relatoria.colombiacompra.gov.co/busqueda/conceptos</w:t>
        </w:r>
      </w:hyperlink>
    </w:p>
    <w:p w14:paraId="182D2B51" w14:textId="77777777" w:rsidR="00551222" w:rsidRPr="00C42017" w:rsidRDefault="00551222" w:rsidP="00C42017">
      <w:pPr>
        <w:pStyle w:val="Textonotapie"/>
        <w:ind w:firstLine="708"/>
        <w:contextualSpacing/>
        <w:jc w:val="both"/>
        <w:rPr>
          <w:rFonts w:ascii="Arial" w:hAnsi="Arial" w:cs="Arial"/>
          <w:sz w:val="16"/>
          <w:szCs w:val="16"/>
          <w:lang w:val="es-CO"/>
        </w:rPr>
      </w:pPr>
    </w:p>
  </w:footnote>
  <w:footnote w:id="3">
    <w:p w14:paraId="17E36EA3"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B181D23" w14:textId="77777777" w:rsidR="00551222" w:rsidRPr="00C42017" w:rsidRDefault="00551222" w:rsidP="00C42017">
      <w:pPr>
        <w:pStyle w:val="Textonotapie"/>
        <w:ind w:firstLine="709"/>
        <w:contextualSpacing/>
        <w:jc w:val="both"/>
        <w:rPr>
          <w:rFonts w:ascii="Arial" w:hAnsi="Arial" w:cs="Arial"/>
          <w:sz w:val="16"/>
          <w:szCs w:val="16"/>
        </w:rPr>
      </w:pPr>
    </w:p>
    <w:p w14:paraId="37228ADA" w14:textId="77777777" w:rsidR="00551222" w:rsidRPr="00C42017" w:rsidRDefault="00551222" w:rsidP="00C42017">
      <w:pPr>
        <w:pStyle w:val="Textonotapie"/>
        <w:ind w:firstLine="709"/>
        <w:contextualSpacing/>
        <w:jc w:val="both"/>
        <w:rPr>
          <w:rFonts w:ascii="Arial" w:hAnsi="Arial" w:cs="Arial"/>
          <w:sz w:val="16"/>
          <w:szCs w:val="16"/>
        </w:rPr>
      </w:pPr>
      <w:r w:rsidRPr="00C42017">
        <w:rPr>
          <w:rFonts w:ascii="Arial" w:hAnsi="Arial" w:cs="Arial"/>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3359D72" w14:textId="77777777" w:rsidR="00551222" w:rsidRPr="00C42017" w:rsidRDefault="00551222" w:rsidP="00C42017">
      <w:pPr>
        <w:pStyle w:val="Textonotapie"/>
        <w:ind w:firstLine="709"/>
        <w:contextualSpacing/>
        <w:jc w:val="both"/>
        <w:rPr>
          <w:rFonts w:ascii="Arial" w:hAnsi="Arial" w:cs="Arial"/>
          <w:sz w:val="16"/>
          <w:szCs w:val="16"/>
        </w:rPr>
      </w:pPr>
    </w:p>
  </w:footnote>
  <w:footnote w:id="4">
    <w:p w14:paraId="7AE5E67E"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Gaceta del Congreso de la República No. 71 del 2005.</w:t>
      </w:r>
    </w:p>
  </w:footnote>
  <w:footnote w:id="5">
    <w:p w14:paraId="60C865EF"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Corte Constitucional, Sentencia C- 1153 de 2005, M.P. Marco Gerardo Monroy Cabra.</w:t>
      </w:r>
    </w:p>
  </w:footnote>
  <w:footnote w:id="6">
    <w:p w14:paraId="02FB6CE7" w14:textId="77777777" w:rsidR="00551222" w:rsidRPr="00C42017" w:rsidRDefault="00551222" w:rsidP="00C42017">
      <w:pPr>
        <w:pStyle w:val="Textonotapie"/>
        <w:ind w:firstLine="709"/>
        <w:contextualSpacing/>
        <w:jc w:val="both"/>
        <w:rPr>
          <w:rFonts w:ascii="Arial" w:hAnsi="Arial" w:cs="Arial"/>
          <w:sz w:val="16"/>
          <w:szCs w:val="16"/>
        </w:rPr>
      </w:pPr>
    </w:p>
    <w:p w14:paraId="028D7CB0"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08F52A35" w14:textId="77777777" w:rsidR="00551222" w:rsidRPr="00C42017" w:rsidRDefault="00551222" w:rsidP="00C42017">
      <w:pPr>
        <w:pStyle w:val="Textonotapie"/>
        <w:ind w:firstLine="709"/>
        <w:contextualSpacing/>
        <w:jc w:val="both"/>
        <w:rPr>
          <w:rFonts w:ascii="Arial" w:hAnsi="Arial" w:cs="Arial"/>
          <w:sz w:val="16"/>
          <w:szCs w:val="16"/>
          <w:lang w:val="es-CO"/>
        </w:rPr>
      </w:pPr>
    </w:p>
    <w:p w14:paraId="4060FB8E" w14:textId="77777777" w:rsidR="00551222" w:rsidRPr="00C42017" w:rsidRDefault="00551222" w:rsidP="00C42017">
      <w:pPr>
        <w:pStyle w:val="Textonotapie"/>
        <w:ind w:firstLine="709"/>
        <w:contextualSpacing/>
        <w:jc w:val="both"/>
        <w:rPr>
          <w:rFonts w:ascii="Arial" w:hAnsi="Arial" w:cs="Arial"/>
          <w:sz w:val="16"/>
          <w:szCs w:val="16"/>
          <w:lang w:val="es-CO"/>
        </w:rPr>
      </w:pPr>
      <w:r w:rsidRPr="00C42017">
        <w:rPr>
          <w:rStyle w:val="Refdenotaalpie"/>
          <w:rFonts w:ascii="Arial" w:hAnsi="Arial" w:cs="Arial"/>
          <w:sz w:val="16"/>
          <w:szCs w:val="16"/>
        </w:rPr>
        <w:footnoteRef/>
      </w:r>
      <w:r w:rsidRPr="00C42017">
        <w:rPr>
          <w:rFonts w:ascii="Arial" w:hAnsi="Arial" w:cs="Arial"/>
          <w:sz w:val="16"/>
          <w:szCs w:val="16"/>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39F53AA" w14:textId="77777777" w:rsidR="00551222" w:rsidRPr="00C42017" w:rsidRDefault="00551222" w:rsidP="00C42017">
      <w:pPr>
        <w:pStyle w:val="Textonotapie"/>
        <w:ind w:firstLine="709"/>
        <w:contextualSpacing/>
        <w:jc w:val="both"/>
        <w:rPr>
          <w:rFonts w:ascii="Arial" w:hAnsi="Arial" w:cs="Arial"/>
          <w:sz w:val="16"/>
          <w:szCs w:val="16"/>
          <w:lang w:val="es-CO"/>
        </w:rPr>
      </w:pPr>
    </w:p>
  </w:footnote>
  <w:footnote w:id="8">
    <w:p w14:paraId="725989A8"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de fecha 24 de julio de 2013, radicado 2166, Consejero Ponente: Álvaro Namén Vargas.  </w:t>
      </w:r>
    </w:p>
    <w:p w14:paraId="7002D742" w14:textId="77777777" w:rsidR="00551222" w:rsidRPr="00C42017" w:rsidRDefault="00551222" w:rsidP="00C42017">
      <w:pPr>
        <w:pStyle w:val="Textonotapie"/>
        <w:ind w:firstLine="709"/>
        <w:contextualSpacing/>
        <w:jc w:val="both"/>
        <w:rPr>
          <w:rFonts w:ascii="Arial" w:hAnsi="Arial" w:cs="Arial"/>
          <w:sz w:val="16"/>
          <w:szCs w:val="16"/>
        </w:rPr>
      </w:pPr>
    </w:p>
  </w:footnote>
  <w:footnote w:id="9">
    <w:p w14:paraId="3808E81A"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bookmarkStart w:id="7" w:name="33"/>
      <w:r w:rsidRPr="00C42017">
        <w:rPr>
          <w:rFonts w:ascii="Arial" w:eastAsia="Calibri" w:hAnsi="Arial" w:cs="Arial"/>
          <w:color w:val="000000"/>
          <w:sz w:val="16"/>
          <w:szCs w:val="16"/>
        </w:rPr>
        <w:t>“</w:t>
      </w:r>
      <w:r w:rsidRPr="00C42017">
        <w:rPr>
          <w:rFonts w:ascii="Arial" w:hAnsi="Arial" w:cs="Arial"/>
          <w:sz w:val="16"/>
          <w:szCs w:val="16"/>
        </w:rPr>
        <w:t>Artículo 33. Restricciones a la contratación pública.</w:t>
      </w:r>
      <w:bookmarkEnd w:id="7"/>
      <w:r w:rsidRPr="00C42017">
        <w:rPr>
          <w:rFonts w:ascii="Arial" w:hAnsi="Arial" w:cs="Arial"/>
          <w:sz w:val="16"/>
          <w:szCs w:val="16"/>
        </w:rPr>
        <w:t> Durante los cuatro (4) meses anteriores a la elección presidencial y hasta la realización de la elección en la segunda vuelta, si fuere el caso, queda prohibida la contratación directa por parte de todos los entes del Estado.</w:t>
      </w:r>
    </w:p>
    <w:p w14:paraId="48BD014A"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Fonts w:ascii="Arial" w:eastAsia="Calibri" w:hAnsi="Arial" w:cs="Arial"/>
          <w:color w:val="000000"/>
          <w:sz w:val="16"/>
          <w:szCs w:val="16"/>
        </w:rPr>
        <w:t>»</w:t>
      </w:r>
      <w:r w:rsidRPr="00C42017">
        <w:rPr>
          <w:rFonts w:ascii="Arial" w:hAnsi="Arial" w:cs="Arial"/>
          <w:sz w:val="16"/>
          <w:szCs w:val="16"/>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C42017">
        <w:rPr>
          <w:rFonts w:ascii="Arial" w:eastAsia="Calibri" w:hAnsi="Arial" w:cs="Arial"/>
          <w:color w:val="000000"/>
          <w:sz w:val="16"/>
          <w:szCs w:val="16"/>
        </w:rPr>
        <w:t>”</w:t>
      </w:r>
      <w:r w:rsidRPr="00C42017">
        <w:rPr>
          <w:rFonts w:ascii="Arial" w:hAnsi="Arial" w:cs="Arial"/>
          <w:sz w:val="16"/>
          <w:szCs w:val="16"/>
        </w:rPr>
        <w:t>.</w:t>
      </w:r>
    </w:p>
    <w:p w14:paraId="15E7578A"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0">
    <w:p w14:paraId="671612EF" w14:textId="77777777" w:rsidR="00551222" w:rsidRPr="00C42017" w:rsidRDefault="00551222" w:rsidP="00C42017">
      <w:pPr>
        <w:pStyle w:val="NormalWeb"/>
        <w:spacing w:after="0" w:line="240" w:lineRule="auto"/>
        <w:ind w:firstLine="709"/>
        <w:contextualSpacing/>
        <w:rPr>
          <w:rFonts w:ascii="Arial" w:hAnsi="Arial" w:cs="Arial"/>
          <w:sz w:val="16"/>
          <w:szCs w:val="16"/>
          <w:lang w:val="es-MX"/>
        </w:rPr>
      </w:pPr>
      <w:r w:rsidRPr="00C42017">
        <w:rPr>
          <w:rStyle w:val="Refdenotaalpie"/>
          <w:rFonts w:ascii="Arial" w:hAnsi="Arial" w:cs="Arial"/>
          <w:sz w:val="16"/>
          <w:szCs w:val="16"/>
        </w:rPr>
        <w:footnoteRef/>
      </w:r>
      <w:r w:rsidRPr="00C42017">
        <w:rPr>
          <w:rFonts w:ascii="Arial" w:hAnsi="Arial" w:cs="Arial"/>
          <w:sz w:val="16"/>
          <w:szCs w:val="16"/>
        </w:rPr>
        <w:t xml:space="preserve"> </w:t>
      </w:r>
      <w:bookmarkStart w:id="8" w:name="38"/>
      <w:r w:rsidRPr="00C42017">
        <w:rPr>
          <w:rFonts w:ascii="Arial" w:hAnsi="Arial" w:cs="Arial"/>
          <w:sz w:val="16"/>
          <w:szCs w:val="16"/>
        </w:rPr>
        <w:t>“</w:t>
      </w:r>
      <w:r w:rsidRPr="00C42017">
        <w:rPr>
          <w:rFonts w:ascii="Arial" w:hAnsi="Arial" w:cs="Arial"/>
          <w:sz w:val="16"/>
          <w:szCs w:val="16"/>
          <w:lang w:val="es-MX"/>
        </w:rPr>
        <w:t>Artículo 38. Prohibiciones para los servidores públicos. A los empleados del Estado les está prohibido:</w:t>
      </w:r>
      <w:bookmarkEnd w:id="8"/>
    </w:p>
    <w:p w14:paraId="54E157CE" w14:textId="77777777" w:rsidR="00551222" w:rsidRPr="00C42017" w:rsidRDefault="00551222" w:rsidP="00C42017">
      <w:pPr>
        <w:pStyle w:val="NormalWeb"/>
        <w:spacing w:after="0" w:line="240" w:lineRule="auto"/>
        <w:ind w:firstLine="709"/>
        <w:contextualSpacing/>
        <w:rPr>
          <w:rFonts w:ascii="Arial" w:hAnsi="Arial" w:cs="Arial"/>
          <w:sz w:val="16"/>
          <w:szCs w:val="16"/>
          <w:lang w:val="es-MX"/>
        </w:rPr>
      </w:pPr>
      <w:r w:rsidRPr="00C42017">
        <w:rPr>
          <w:rFonts w:ascii="Arial" w:hAnsi="Arial" w:cs="Arial"/>
          <w:sz w:val="16"/>
          <w:szCs w:val="16"/>
          <w:lang w:val="es-MX"/>
        </w:rPr>
        <w:t>[…]</w:t>
      </w:r>
    </w:p>
    <w:p w14:paraId="63F252C6" w14:textId="77777777" w:rsidR="00551222" w:rsidRPr="00C42017" w:rsidRDefault="00551222" w:rsidP="00C42017">
      <w:pPr>
        <w:pStyle w:val="NormalWeb"/>
        <w:spacing w:after="0" w:line="240" w:lineRule="auto"/>
        <w:ind w:firstLine="709"/>
        <w:contextualSpacing/>
        <w:rPr>
          <w:rFonts w:ascii="Arial" w:hAnsi="Arial" w:cs="Arial"/>
          <w:sz w:val="16"/>
          <w:szCs w:val="16"/>
          <w:lang w:val="es-MX"/>
        </w:rPr>
      </w:pPr>
      <w:r w:rsidRPr="00C42017">
        <w:rPr>
          <w:rStyle w:val="baj"/>
          <w:rFonts w:ascii="Arial" w:hAnsi="Arial" w:cs="Arial"/>
          <w:sz w:val="16"/>
          <w:szCs w:val="16"/>
          <w:lang w:val="es-MX"/>
        </w:rPr>
        <w:t>Parágrafo.</w:t>
      </w:r>
      <w:r w:rsidRPr="00C42017">
        <w:rPr>
          <w:rFonts w:ascii="Arial" w:hAnsi="Arial" w:cs="Arial"/>
          <w:sz w:val="16"/>
          <w:szCs w:val="16"/>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footnote>
  <w:footnote w:id="11">
    <w:p w14:paraId="625E6712" w14:textId="77777777" w:rsidR="00551222" w:rsidRPr="00C42017" w:rsidRDefault="00551222" w:rsidP="00C42017">
      <w:pPr>
        <w:spacing w:after="0" w:line="240" w:lineRule="auto"/>
        <w:ind w:left="100" w:right="244" w:firstLine="709"/>
        <w:contextualSpacing/>
        <w:jc w:val="both"/>
        <w:rPr>
          <w:rFonts w:ascii="Arial" w:hAnsi="Arial" w:cs="Arial"/>
          <w:sz w:val="16"/>
          <w:szCs w:val="16"/>
        </w:rPr>
      </w:pPr>
    </w:p>
    <w:p w14:paraId="5AA50204" w14:textId="77777777" w:rsidR="00551222" w:rsidRPr="00C42017" w:rsidRDefault="00551222" w:rsidP="00C42017">
      <w:pPr>
        <w:spacing w:after="0" w:line="240" w:lineRule="auto"/>
        <w:ind w:left="100" w:right="244"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Concepto del 17 de febrero de 2015. C.P. William Zambrano Cetina. Radicación No. 11001-03-06-000-2015-00164-00(2269).</w:t>
      </w:r>
    </w:p>
    <w:p w14:paraId="074B438D" w14:textId="77777777" w:rsidR="00551222" w:rsidRPr="00C42017" w:rsidRDefault="00551222" w:rsidP="00C42017">
      <w:pPr>
        <w:spacing w:after="0" w:line="240" w:lineRule="auto"/>
        <w:ind w:left="100" w:right="244" w:firstLine="709"/>
        <w:contextualSpacing/>
        <w:jc w:val="both"/>
        <w:rPr>
          <w:rFonts w:ascii="Arial" w:hAnsi="Arial" w:cs="Arial"/>
          <w:sz w:val="16"/>
          <w:szCs w:val="16"/>
          <w:lang w:val="es-ES"/>
        </w:rPr>
      </w:pPr>
    </w:p>
  </w:footnote>
  <w:footnote w:id="12">
    <w:p w14:paraId="6D6B2181" w14:textId="77777777" w:rsidR="00551222" w:rsidRPr="00C42017" w:rsidRDefault="00551222" w:rsidP="00C42017">
      <w:pPr>
        <w:pStyle w:val="Textonotapie"/>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Sala de Consulta y Servicio Civil. Concepto de 20 de febrero de2006. Radicación 11001-03-06-000-2006-00023-00(1724). Consejero Ponente: Flavio Augusto Rodríguez Arce.</w:t>
      </w:r>
    </w:p>
    <w:p w14:paraId="41F1554A" w14:textId="77777777" w:rsidR="00551222" w:rsidRPr="00C42017" w:rsidRDefault="00551222" w:rsidP="00C42017">
      <w:pPr>
        <w:pStyle w:val="Textonotapie"/>
        <w:ind w:firstLine="709"/>
        <w:contextualSpacing/>
        <w:jc w:val="both"/>
        <w:rPr>
          <w:rFonts w:ascii="Arial" w:hAnsi="Arial" w:cs="Arial"/>
          <w:sz w:val="16"/>
          <w:szCs w:val="16"/>
        </w:rPr>
      </w:pPr>
    </w:p>
  </w:footnote>
  <w:footnote w:id="13">
    <w:p w14:paraId="6261C26F"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5B6D1243"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Fonts w:ascii="Arial" w:hAnsi="Arial"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C42017">
        <w:rPr>
          <w:rFonts w:ascii="Arial" w:hAnsi="Arial" w:cs="Arial"/>
          <w:spacing w:val="-1"/>
          <w:sz w:val="16"/>
          <w:szCs w:val="16"/>
        </w:rPr>
        <w:t xml:space="preserve"> </w:t>
      </w:r>
      <w:r w:rsidRPr="00C42017">
        <w:rPr>
          <w:rFonts w:ascii="Arial" w:hAnsi="Arial" w:cs="Arial"/>
          <w:sz w:val="16"/>
          <w:szCs w:val="16"/>
        </w:rPr>
        <w:t>Estatales”.</w:t>
      </w:r>
    </w:p>
    <w:p w14:paraId="02626A70"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4">
    <w:p w14:paraId="1499F2DA"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C42017">
        <w:rPr>
          <w:rFonts w:ascii="Arial" w:hAnsi="Arial" w:cs="Arial"/>
          <w:spacing w:val="-6"/>
          <w:sz w:val="16"/>
          <w:szCs w:val="16"/>
        </w:rPr>
        <w:t xml:space="preserve"> </w:t>
      </w:r>
      <w:r w:rsidRPr="00C42017">
        <w:rPr>
          <w:rFonts w:ascii="Arial" w:hAnsi="Arial" w:cs="Arial"/>
          <w:sz w:val="16"/>
          <w:szCs w:val="16"/>
        </w:rPr>
        <w:t>artículo”.</w:t>
      </w:r>
    </w:p>
    <w:p w14:paraId="71065675"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5">
    <w:p w14:paraId="1B2FBF5E" w14:textId="77777777" w:rsidR="00551222" w:rsidRPr="00C42017" w:rsidRDefault="00551222" w:rsidP="00C42017">
      <w:pPr>
        <w:spacing w:after="0" w:line="240" w:lineRule="auto"/>
        <w:ind w:right="454"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position w:val="7"/>
          <w:sz w:val="16"/>
          <w:szCs w:val="16"/>
        </w:rPr>
        <w:t xml:space="preserve"> </w:t>
      </w:r>
      <w:r w:rsidRPr="00C42017">
        <w:rPr>
          <w:rFonts w:ascii="Arial" w:hAnsi="Arial" w:cs="Arial"/>
          <w:sz w:val="16"/>
          <w:szCs w:val="16"/>
        </w:rPr>
        <w:t>Consejo de Estado. Sección Tercera. Sentencia del 23 de junio de 2010. Radicación No. 66001-23-31-000-1998-00261-01(17.860). Consejero Ponente: Mauricio Fajardo Gómez.</w:t>
      </w:r>
    </w:p>
    <w:p w14:paraId="11CD2C2E" w14:textId="77777777" w:rsidR="00551222" w:rsidRPr="00C42017" w:rsidRDefault="00551222" w:rsidP="00C42017">
      <w:pPr>
        <w:spacing w:after="0" w:line="240" w:lineRule="auto"/>
        <w:ind w:right="454" w:firstLine="709"/>
        <w:contextualSpacing/>
        <w:jc w:val="both"/>
        <w:rPr>
          <w:rFonts w:ascii="Arial" w:hAnsi="Arial" w:cs="Arial"/>
          <w:sz w:val="16"/>
          <w:szCs w:val="16"/>
        </w:rPr>
      </w:pPr>
    </w:p>
  </w:footnote>
  <w:footnote w:id="16">
    <w:p w14:paraId="07248894" w14:textId="77777777" w:rsidR="00551222" w:rsidRPr="00C42017" w:rsidRDefault="00551222" w:rsidP="00C42017">
      <w:pPr>
        <w:spacing w:after="0" w:line="240" w:lineRule="auto"/>
        <w:ind w:firstLine="709"/>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Consejo de Estado. Sección Tercera. Subsección C. Sentencia del 11 de diciembre de 2019. Exp. 46.986. C.P. Jaime Enrique Rodríguez Navas.</w:t>
      </w:r>
    </w:p>
    <w:p w14:paraId="1F983B28" w14:textId="77777777" w:rsidR="00551222" w:rsidRPr="00C42017" w:rsidRDefault="00551222" w:rsidP="00C42017">
      <w:pPr>
        <w:spacing w:after="0" w:line="240" w:lineRule="auto"/>
        <w:ind w:firstLine="709"/>
        <w:contextualSpacing/>
        <w:jc w:val="both"/>
        <w:rPr>
          <w:rFonts w:ascii="Arial" w:hAnsi="Arial" w:cs="Arial"/>
          <w:sz w:val="16"/>
          <w:szCs w:val="16"/>
        </w:rPr>
      </w:pPr>
    </w:p>
  </w:footnote>
  <w:footnote w:id="17">
    <w:p w14:paraId="2E223983"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“CE. SCSC. Concepto de 1 de noviembre de 2016 [Rad. 11001-03-06-000-2016-00125-00(2305)]. MP. Germán Alberto Bula Escobar”.</w:t>
      </w:r>
    </w:p>
  </w:footnote>
  <w:footnote w:id="18">
    <w:p w14:paraId="7205111B" w14:textId="77777777" w:rsidR="00551222" w:rsidRPr="00C42017" w:rsidRDefault="00551222" w:rsidP="00C42017">
      <w:pPr>
        <w:pStyle w:val="Textonotapie"/>
        <w:ind w:firstLine="708"/>
        <w:contextualSpacing/>
        <w:jc w:val="both"/>
        <w:rPr>
          <w:rFonts w:ascii="Arial" w:hAnsi="Arial" w:cs="Arial"/>
          <w:sz w:val="16"/>
          <w:szCs w:val="16"/>
        </w:rPr>
      </w:pPr>
    </w:p>
    <w:p w14:paraId="476E33B1"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“CE. SCSC. Concepto de 30 de abril de 2008 [Rad. 11001-03-06-000-2008-00013-00(1881)]. MP. Enrique José Arboleda Perdomo. En esta oportunidad, la Sala indicó que el contenido </w:t>
      </w:r>
      <w:r w:rsidRPr="00C42017">
        <w:rPr>
          <w:rFonts w:ascii="Arial" w:hAnsi="Arial" w:cs="Arial"/>
          <w:i/>
          <w:sz w:val="16"/>
          <w:szCs w:val="16"/>
        </w:rPr>
        <w:t>“obligacional”</w:t>
      </w:r>
      <w:r w:rsidRPr="00C42017">
        <w:rPr>
          <w:rFonts w:ascii="Arial" w:hAnsi="Arial" w:cs="Arial"/>
          <w:sz w:val="16"/>
          <w:szCs w:val="16"/>
        </w:rPr>
        <w:t xml:space="preserve"> de los convenios se estructura definiendo el resultado querido por las partes y los medios que cada entidad despliega para la obtención del respectivo objeto”.</w:t>
      </w:r>
    </w:p>
    <w:p w14:paraId="69C1E2F1" w14:textId="77777777" w:rsidR="00551222" w:rsidRPr="00C42017" w:rsidRDefault="00551222" w:rsidP="00C42017">
      <w:pPr>
        <w:pStyle w:val="Textonotapie"/>
        <w:ind w:firstLine="708"/>
        <w:contextualSpacing/>
        <w:jc w:val="both"/>
        <w:rPr>
          <w:rFonts w:ascii="Arial" w:hAnsi="Arial" w:cs="Arial"/>
          <w:sz w:val="16"/>
          <w:szCs w:val="16"/>
        </w:rPr>
      </w:pPr>
    </w:p>
  </w:footnote>
  <w:footnote w:id="19">
    <w:p w14:paraId="4E2C28FE"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[Referencia propia de la cita] “La normativa vigente del EGCAP </w:t>
      </w:r>
      <w:r w:rsidRPr="00C42017">
        <w:rPr>
          <w:rFonts w:ascii="Arial" w:hAnsi="Arial" w:cs="Arial"/>
          <w:i/>
          <w:sz w:val="16"/>
          <w:szCs w:val="16"/>
        </w:rPr>
        <w:t>[literal c) del numeral 4. del artículo 2 de la Ley 1150/07]</w:t>
      </w:r>
      <w:r w:rsidRPr="00C42017">
        <w:rPr>
          <w:rFonts w:ascii="Arial" w:hAnsi="Arial" w:cs="Arial"/>
          <w:sz w:val="16"/>
          <w:szCs w:val="16"/>
        </w:rPr>
        <w:t xml:space="preserve"> se refiere a </w:t>
      </w:r>
      <w:r w:rsidRPr="00C42017">
        <w:rPr>
          <w:rFonts w:ascii="Arial" w:hAnsi="Arial" w:cs="Arial"/>
          <w:i/>
          <w:sz w:val="16"/>
          <w:szCs w:val="16"/>
        </w:rPr>
        <w:t>“contratos interadministrativos”</w:t>
      </w:r>
      <w:r w:rsidRPr="00C42017">
        <w:rPr>
          <w:rFonts w:ascii="Arial" w:hAnsi="Arial"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0F2D7244" w14:textId="77777777" w:rsidR="00551222" w:rsidRPr="00C42017" w:rsidRDefault="00551222" w:rsidP="00C42017">
      <w:pPr>
        <w:pStyle w:val="Textonotapie"/>
        <w:ind w:firstLine="708"/>
        <w:contextualSpacing/>
        <w:jc w:val="both"/>
        <w:rPr>
          <w:rFonts w:ascii="Arial" w:hAnsi="Arial" w:cs="Arial"/>
          <w:sz w:val="16"/>
          <w:szCs w:val="16"/>
        </w:rPr>
      </w:pPr>
    </w:p>
  </w:footnote>
  <w:footnote w:id="20">
    <w:p w14:paraId="5D8553F2"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5EF2626C" w14:textId="77777777" w:rsidR="00551222" w:rsidRPr="00C42017" w:rsidRDefault="00551222" w:rsidP="00C42017">
      <w:pPr>
        <w:pStyle w:val="Textonotapie"/>
        <w:ind w:firstLine="708"/>
        <w:contextualSpacing/>
        <w:jc w:val="both"/>
        <w:rPr>
          <w:rFonts w:ascii="Arial" w:hAnsi="Arial" w:cs="Arial"/>
          <w:sz w:val="16"/>
          <w:szCs w:val="16"/>
        </w:rPr>
      </w:pPr>
    </w:p>
  </w:footnote>
  <w:footnote w:id="21">
    <w:p w14:paraId="13B6BE93"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Es lo que sucede, por ejemplo, con el Decreto 092 de 2017, que en su desarrollo hace referencia tanto a los “contratos” como a los “convenios”. </w:t>
      </w:r>
    </w:p>
  </w:footnote>
  <w:footnote w:id="22">
    <w:p w14:paraId="64B9D21C" w14:textId="77777777" w:rsidR="00551222" w:rsidRPr="00C42017" w:rsidRDefault="00551222" w:rsidP="00C42017">
      <w:pPr>
        <w:pStyle w:val="Textonotapie"/>
        <w:ind w:firstLine="708"/>
        <w:contextualSpacing/>
        <w:jc w:val="both"/>
        <w:rPr>
          <w:rFonts w:ascii="Arial" w:hAnsi="Arial" w:cs="Arial"/>
          <w:sz w:val="16"/>
          <w:szCs w:val="16"/>
        </w:rPr>
      </w:pPr>
    </w:p>
    <w:p w14:paraId="47BE6BAA"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p w14:paraId="6F353D62" w14:textId="77777777" w:rsidR="00551222" w:rsidRPr="00C42017" w:rsidRDefault="00551222" w:rsidP="00C42017">
      <w:pPr>
        <w:pStyle w:val="Textonotapie"/>
        <w:ind w:firstLine="708"/>
        <w:contextualSpacing/>
        <w:jc w:val="both"/>
        <w:rPr>
          <w:rFonts w:ascii="Arial" w:hAnsi="Arial" w:cs="Arial"/>
          <w:sz w:val="16"/>
          <w:szCs w:val="16"/>
          <w:lang w:val="es-CO"/>
        </w:rPr>
      </w:pPr>
    </w:p>
  </w:footnote>
  <w:footnote w:id="23">
    <w:p w14:paraId="6880D6A1" w14:textId="77777777" w:rsidR="00551222" w:rsidRPr="00C42017" w:rsidRDefault="00551222" w:rsidP="00C42017">
      <w:pPr>
        <w:pStyle w:val="Textonotapie"/>
        <w:ind w:firstLine="708"/>
        <w:contextualSpacing/>
        <w:jc w:val="both"/>
        <w:rPr>
          <w:rFonts w:ascii="Arial" w:hAnsi="Arial" w:cs="Arial"/>
          <w:sz w:val="16"/>
          <w:szCs w:val="16"/>
          <w:shd w:val="clear" w:color="auto" w:fill="FFFFFF"/>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sz w:val="16"/>
          <w:szCs w:val="16"/>
          <w:shd w:val="clear" w:color="auto" w:fill="FFFFFF"/>
        </w:rPr>
        <w:t>Sala de Consulta y Servicio Civil del Consejo de Estado. Conceptos No. </w:t>
      </w:r>
      <w:hyperlink r:id="rId2" w:anchor="0" w:history="1">
        <w:r w:rsidRPr="00C42017">
          <w:rPr>
            <w:rStyle w:val="Hipervnculo"/>
            <w:rFonts w:ascii="Arial" w:hAnsi="Arial" w:cs="Arial"/>
            <w:sz w:val="16"/>
            <w:szCs w:val="16"/>
            <w:shd w:val="clear" w:color="auto" w:fill="FFFFFF"/>
          </w:rPr>
          <w:t>1985 </w:t>
        </w:r>
      </w:hyperlink>
      <w:r w:rsidRPr="00C42017">
        <w:rPr>
          <w:rFonts w:ascii="Arial" w:hAnsi="Arial" w:cs="Arial"/>
          <w:sz w:val="16"/>
          <w:szCs w:val="16"/>
          <w:shd w:val="clear" w:color="auto" w:fill="FFFFFF"/>
        </w:rPr>
        <w:t xml:space="preserve">de 2010 - Adición - y No. 1846 de 2007. </w:t>
      </w:r>
    </w:p>
    <w:p w14:paraId="31B6CC69" w14:textId="77777777" w:rsidR="00551222" w:rsidRPr="00C42017" w:rsidRDefault="00551222" w:rsidP="00C42017">
      <w:pPr>
        <w:pStyle w:val="Textonotapie"/>
        <w:ind w:firstLine="708"/>
        <w:contextualSpacing/>
        <w:jc w:val="both"/>
        <w:rPr>
          <w:rFonts w:ascii="Arial" w:hAnsi="Arial" w:cs="Arial"/>
          <w:sz w:val="16"/>
          <w:szCs w:val="16"/>
        </w:rPr>
      </w:pPr>
    </w:p>
  </w:footnote>
  <w:footnote w:id="24">
    <w:p w14:paraId="4CCC9D87" w14:textId="77777777" w:rsidR="00551222" w:rsidRPr="00C42017" w:rsidRDefault="00551222" w:rsidP="00C42017">
      <w:pPr>
        <w:pStyle w:val="Ttulo2"/>
        <w:shd w:val="clear" w:color="auto" w:fill="FFFFFF"/>
        <w:spacing w:before="0" w:line="240" w:lineRule="auto"/>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b/>
          <w:bCs/>
          <w:color w:val="333333"/>
          <w:sz w:val="16"/>
          <w:szCs w:val="16"/>
          <w:shd w:val="clear" w:color="auto" w:fill="FFFFFF"/>
        </w:rPr>
        <w:t xml:space="preserve">Director </w:t>
      </w:r>
      <w:r w:rsidRPr="00C42017">
        <w:rPr>
          <w:rFonts w:ascii="Arial" w:hAnsi="Arial" w:cs="Arial"/>
          <w:color w:val="333333"/>
          <w:sz w:val="16"/>
          <w:szCs w:val="16"/>
          <w:shd w:val="clear" w:color="auto" w:fill="FFFFFF"/>
        </w:rPr>
        <w:t xml:space="preserve">del Departamento Administrativo de la Presidencia de la República y Director del Departamento Administrativo de la Función Pública. </w:t>
      </w:r>
      <w:r w:rsidRPr="00C42017">
        <w:rPr>
          <w:rStyle w:val="Textoennegrita"/>
          <w:rFonts w:ascii="Arial" w:hAnsi="Arial" w:cs="Arial"/>
          <w:color w:val="333333"/>
          <w:sz w:val="16"/>
          <w:szCs w:val="16"/>
        </w:rPr>
        <w:t xml:space="preserve">Circular Conjunta 100-006 de 2021. Esta Circular puede ser consulta en el siguiente enlace:  </w:t>
      </w:r>
      <w:hyperlink r:id="rId3" w:anchor=":~:text=La%20Ley%20de%20Garant%C3%ADas%20proh%C3%ADbe,de%20la%20Rep%C3%BAblica%20sea%20elegido" w:history="1">
        <w:r w:rsidRPr="00C42017">
          <w:rPr>
            <w:rStyle w:val="Hipervnculo"/>
            <w:rFonts w:ascii="Arial" w:hAnsi="Arial" w:cs="Arial"/>
            <w:color w:val="auto"/>
            <w:sz w:val="16"/>
            <w:szCs w:val="16"/>
          </w:rPr>
          <w:t>https://www.funcionpublica.gov.co/eva/gestornormativo/norma.php?i=173606#:~:text=La%20Ley%20de%20Garant%C3%ADas%20proh%C3%ADbe,de%20la%20Rep%C3%BAblica%20sea%20elegido</w:t>
        </w:r>
      </w:hyperlink>
      <w:r w:rsidRPr="00C42017">
        <w:rPr>
          <w:rFonts w:ascii="Arial" w:hAnsi="Arial" w:cs="Arial"/>
          <w:sz w:val="16"/>
          <w:szCs w:val="16"/>
        </w:rPr>
        <w:t xml:space="preserve">.   </w:t>
      </w:r>
    </w:p>
    <w:p w14:paraId="60C42586" w14:textId="77777777" w:rsidR="00551222" w:rsidRPr="00C42017" w:rsidRDefault="00551222" w:rsidP="00C42017">
      <w:pPr>
        <w:pStyle w:val="Ttulo2"/>
        <w:shd w:val="clear" w:color="auto" w:fill="FFFFFF"/>
        <w:spacing w:before="0" w:line="240" w:lineRule="auto"/>
        <w:ind w:firstLine="708"/>
        <w:contextualSpacing/>
        <w:jc w:val="both"/>
        <w:rPr>
          <w:rFonts w:ascii="Arial" w:hAnsi="Arial" w:cs="Arial"/>
          <w:sz w:val="16"/>
          <w:szCs w:val="16"/>
        </w:rPr>
      </w:pPr>
    </w:p>
  </w:footnote>
  <w:footnote w:id="25">
    <w:p w14:paraId="5FE06B95" w14:textId="77777777" w:rsidR="00551222" w:rsidRPr="00C42017" w:rsidRDefault="00551222" w:rsidP="00C42017">
      <w:pPr>
        <w:pStyle w:val="Textonotapie"/>
        <w:ind w:firstLine="708"/>
        <w:contextualSpacing/>
        <w:jc w:val="both"/>
        <w:rPr>
          <w:rFonts w:ascii="Arial" w:hAnsi="Arial" w:cs="Arial"/>
          <w:sz w:val="16"/>
          <w:szCs w:val="16"/>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color w:val="333333"/>
          <w:sz w:val="16"/>
          <w:szCs w:val="16"/>
          <w:shd w:val="clear" w:color="auto" w:fill="FFFFFF"/>
        </w:rPr>
        <w:t>Departamento Administrativo de la Función Pública</w:t>
      </w:r>
      <w:r w:rsidRPr="00C42017">
        <w:rPr>
          <w:rFonts w:ascii="Arial" w:hAnsi="Arial" w:cs="Arial"/>
          <w:sz w:val="16"/>
          <w:szCs w:val="16"/>
        </w:rPr>
        <w:t xml:space="preserve">. Concepto 034611 de 2022. Este concepto puede ser consultado en el siguiente enlace: </w:t>
      </w:r>
      <w:hyperlink r:id="rId4" w:history="1">
        <w:r w:rsidRPr="00C42017">
          <w:rPr>
            <w:rStyle w:val="Hipervnculo"/>
            <w:rFonts w:ascii="Arial" w:hAnsi="Arial" w:cs="Arial"/>
            <w:sz w:val="16"/>
            <w:szCs w:val="16"/>
          </w:rPr>
          <w:t>https://www.funcionpublica.gov.co/eva/gestornormativo/norma.php?i=179946</w:t>
        </w:r>
      </w:hyperlink>
      <w:r w:rsidRPr="00C42017">
        <w:rPr>
          <w:rFonts w:ascii="Arial" w:hAnsi="Arial" w:cs="Arial"/>
          <w:sz w:val="16"/>
          <w:szCs w:val="16"/>
        </w:rPr>
        <w:t xml:space="preserve"> </w:t>
      </w:r>
    </w:p>
    <w:p w14:paraId="3F8C0E2B" w14:textId="77777777" w:rsidR="00551222" w:rsidRPr="00C42017" w:rsidRDefault="00551222" w:rsidP="00C42017">
      <w:pPr>
        <w:pStyle w:val="Textonotapie"/>
        <w:ind w:firstLine="708"/>
        <w:contextualSpacing/>
        <w:jc w:val="both"/>
        <w:rPr>
          <w:rFonts w:ascii="Arial" w:hAnsi="Arial" w:cs="Arial"/>
          <w:sz w:val="16"/>
          <w:szCs w:val="16"/>
        </w:rPr>
      </w:pPr>
    </w:p>
  </w:footnote>
  <w:footnote w:id="26">
    <w:p w14:paraId="7B0855B1" w14:textId="77777777" w:rsidR="00551222" w:rsidRPr="00C42017" w:rsidRDefault="00551222" w:rsidP="00C42017">
      <w:pPr>
        <w:pStyle w:val="Textonotapie"/>
        <w:ind w:firstLine="708"/>
        <w:contextualSpacing/>
        <w:jc w:val="both"/>
        <w:rPr>
          <w:rFonts w:ascii="Arial" w:hAnsi="Arial" w:cs="Arial"/>
          <w:b/>
          <w:bCs/>
          <w:sz w:val="16"/>
          <w:szCs w:val="16"/>
          <w:shd w:val="clear" w:color="auto" w:fill="FFFFFF"/>
        </w:rPr>
      </w:pPr>
      <w:r w:rsidRPr="00C42017">
        <w:rPr>
          <w:rStyle w:val="Refdenotaalpie"/>
          <w:rFonts w:ascii="Arial" w:hAnsi="Arial" w:cs="Arial"/>
          <w:sz w:val="16"/>
          <w:szCs w:val="16"/>
        </w:rPr>
        <w:footnoteRef/>
      </w:r>
      <w:r w:rsidRPr="00C42017">
        <w:rPr>
          <w:rFonts w:ascii="Arial" w:hAnsi="Arial" w:cs="Arial"/>
          <w:sz w:val="16"/>
          <w:szCs w:val="16"/>
        </w:rPr>
        <w:t xml:space="preserve"> </w:t>
      </w:r>
      <w:r w:rsidRPr="00C42017">
        <w:rPr>
          <w:rFonts w:ascii="Arial" w:hAnsi="Arial" w:cs="Arial"/>
          <w:sz w:val="16"/>
          <w:szCs w:val="16"/>
          <w:shd w:val="clear" w:color="auto" w:fill="FFFFFF"/>
        </w:rPr>
        <w:t xml:space="preserve"> </w:t>
      </w:r>
      <w:r w:rsidRPr="00C42017">
        <w:rPr>
          <w:rFonts w:ascii="Arial" w:hAnsi="Arial" w:cs="Arial"/>
          <w:sz w:val="16"/>
          <w:szCs w:val="16"/>
        </w:rPr>
        <w:t xml:space="preserve">Corte Constitucional de Colombia. Sentencia C-1153 de 2055. Magistrado Ponente: </w:t>
      </w:r>
      <w:r w:rsidRPr="00C42017">
        <w:rPr>
          <w:rFonts w:ascii="Arial" w:hAnsi="Arial" w:cs="Arial"/>
          <w:color w:val="2D2D2D"/>
          <w:sz w:val="16"/>
          <w:szCs w:val="16"/>
          <w:shd w:val="clear" w:color="auto" w:fill="FFFFFF"/>
        </w:rPr>
        <w:t xml:space="preserve">Dr. Marco Gerardo Monroy Cabra. En dicha providencia, la Alta Corporación señaló que </w:t>
      </w:r>
      <w:r w:rsidRPr="00C42017">
        <w:rPr>
          <w:rFonts w:ascii="Arial" w:hAnsi="Arial" w:cs="Arial"/>
          <w:sz w:val="16"/>
          <w:szCs w:val="16"/>
          <w:shd w:val="clear" w:color="auto" w:fill="FFFFFF"/>
        </w:rPr>
        <w:t>se entiende que la prohibición de </w:t>
      </w:r>
      <w:r w:rsidRPr="00C42017">
        <w:rPr>
          <w:rStyle w:val="Textoennegrita"/>
          <w:rFonts w:ascii="Arial" w:hAnsi="Arial" w:cs="Arial"/>
          <w:b w:val="0"/>
          <w:bCs w:val="0"/>
          <w:sz w:val="16"/>
          <w:szCs w:val="16"/>
          <w:shd w:val="clear" w:color="auto" w:fill="FFFFFF"/>
        </w:rPr>
        <w:t>suspender cualquier forma de vinculación que afecte la nómina </w:t>
      </w:r>
      <w:r w:rsidRPr="00C42017">
        <w:rPr>
          <w:rFonts w:ascii="Arial" w:hAnsi="Arial" w:cs="Arial"/>
          <w:b/>
          <w:bCs/>
          <w:sz w:val="16"/>
          <w:szCs w:val="16"/>
          <w:shd w:val="clear" w:color="auto" w:fill="FFFFFF"/>
        </w:rPr>
        <w:t>estatal hace referencia a la </w:t>
      </w:r>
      <w:r w:rsidRPr="00C42017">
        <w:rPr>
          <w:rStyle w:val="Textoennegrita"/>
          <w:rFonts w:ascii="Arial" w:hAnsi="Arial" w:cs="Arial"/>
          <w:b w:val="0"/>
          <w:bCs w:val="0"/>
          <w:sz w:val="16"/>
          <w:szCs w:val="16"/>
          <w:shd w:val="clear" w:color="auto" w:fill="FFFFFF"/>
        </w:rPr>
        <w:t>imposibilidad de creación de nuevos cargos </w:t>
      </w:r>
      <w:r w:rsidRPr="00C42017">
        <w:rPr>
          <w:rFonts w:ascii="Arial" w:hAnsi="Arial" w:cs="Arial"/>
          <w:b/>
          <w:bCs/>
          <w:sz w:val="16"/>
          <w:szCs w:val="16"/>
          <w:shd w:val="clear" w:color="auto" w:fill="FFFFFF"/>
        </w:rPr>
        <w:t>y a la </w:t>
      </w:r>
      <w:r w:rsidRPr="00C42017">
        <w:rPr>
          <w:rStyle w:val="Textoennegrita"/>
          <w:rFonts w:ascii="Arial" w:hAnsi="Arial" w:cs="Arial"/>
          <w:b w:val="0"/>
          <w:bCs w:val="0"/>
          <w:sz w:val="16"/>
          <w:szCs w:val="16"/>
          <w:shd w:val="clear" w:color="auto" w:fill="FFFFFF"/>
        </w:rPr>
        <w:t>provisión de los mismos</w:t>
      </w:r>
      <w:r w:rsidRPr="00C42017">
        <w:rPr>
          <w:rFonts w:ascii="Arial" w:hAnsi="Arial" w:cs="Arial"/>
          <w:b/>
          <w:bCs/>
          <w:sz w:val="16"/>
          <w:szCs w:val="16"/>
          <w:shd w:val="clear" w:color="auto" w:fill="FFFFFF"/>
        </w:rPr>
        <w:t>.</w:t>
      </w:r>
    </w:p>
    <w:p w14:paraId="09CC71D9" w14:textId="77777777" w:rsidR="00551222" w:rsidRPr="00C42017" w:rsidRDefault="00551222" w:rsidP="00C42017">
      <w:pPr>
        <w:pStyle w:val="Textonotapie"/>
        <w:ind w:firstLine="708"/>
        <w:contextualSpacing/>
        <w:jc w:val="both"/>
        <w:rPr>
          <w:rFonts w:ascii="Arial" w:hAnsi="Arial" w:cs="Arial"/>
          <w:sz w:val="16"/>
          <w:szCs w:val="16"/>
        </w:rPr>
      </w:pPr>
    </w:p>
  </w:footnote>
  <w:footnote w:id="27">
    <w:p w14:paraId="22A7278C" w14:textId="166F1B17" w:rsidR="007B514F" w:rsidRPr="000F2FFB" w:rsidRDefault="007B514F" w:rsidP="007B514F">
      <w:pPr>
        <w:pStyle w:val="Textonotapie"/>
        <w:jc w:val="both"/>
        <w:rPr>
          <w:rFonts w:ascii="Arial" w:hAnsi="Arial" w:cs="Arial"/>
          <w:sz w:val="16"/>
          <w:szCs w:val="16"/>
          <w:lang w:val="es-ES"/>
        </w:rPr>
      </w:pPr>
      <w:r w:rsidRPr="000F2FFB">
        <w:rPr>
          <w:rStyle w:val="Refdenotaalpie"/>
          <w:rFonts w:ascii="Arial" w:hAnsi="Arial" w:cs="Arial"/>
          <w:sz w:val="16"/>
          <w:szCs w:val="16"/>
        </w:rPr>
        <w:footnoteRef/>
      </w:r>
      <w:r w:rsidRPr="000F2FFB">
        <w:rPr>
          <w:rFonts w:ascii="Arial" w:hAnsi="Arial" w:cs="Arial"/>
          <w:sz w:val="16"/>
          <w:szCs w:val="16"/>
        </w:rPr>
        <w:t xml:space="preserve"> </w:t>
      </w:r>
      <w:r w:rsidRPr="000F2FFB">
        <w:rPr>
          <w:rFonts w:ascii="Arial" w:hAnsi="Arial" w:cs="Arial"/>
          <w:sz w:val="16"/>
          <w:szCs w:val="16"/>
          <w:lang w:val="es-ES"/>
        </w:rPr>
        <w:t xml:space="preserve">Disponible en versión web en Chrome </w:t>
      </w:r>
      <w:r w:rsidRPr="000F2FFB">
        <w:rPr>
          <w:rFonts w:ascii="Arial" w:hAnsi="Arial" w:cs="Arial"/>
          <w:sz w:val="16"/>
          <w:szCs w:val="16"/>
          <w:u w:val="single"/>
          <w:lang w:val="es-ES"/>
        </w:rPr>
        <w:t>https://lenguaje.mintic.gov.co/sites/default/files/archivos /marco_de_ interoperabilidad_para_gobierno_digital.pdf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AAE6DFA"/>
    <w:multiLevelType w:val="hybridMultilevel"/>
    <w:tmpl w:val="534C1770"/>
    <w:lvl w:ilvl="0" w:tplc="7DFCC46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15F117C"/>
    <w:multiLevelType w:val="multilevel"/>
    <w:tmpl w:val="DB807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0395951">
    <w:abstractNumId w:val="3"/>
  </w:num>
  <w:num w:numId="2" w16cid:durableId="1408454564">
    <w:abstractNumId w:val="0"/>
  </w:num>
  <w:num w:numId="3" w16cid:durableId="1897622572">
    <w:abstractNumId w:val="2"/>
  </w:num>
  <w:num w:numId="4" w16cid:durableId="606619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40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47A51"/>
    <w:rsid w:val="00083334"/>
    <w:rsid w:val="000956CF"/>
    <w:rsid w:val="000A683E"/>
    <w:rsid w:val="000F2FFB"/>
    <w:rsid w:val="0011595A"/>
    <w:rsid w:val="001220C5"/>
    <w:rsid w:val="001267F7"/>
    <w:rsid w:val="00127233"/>
    <w:rsid w:val="00130999"/>
    <w:rsid w:val="00132EFB"/>
    <w:rsid w:val="00135108"/>
    <w:rsid w:val="00146343"/>
    <w:rsid w:val="00164D81"/>
    <w:rsid w:val="001A1011"/>
    <w:rsid w:val="001A48D0"/>
    <w:rsid w:val="002653C1"/>
    <w:rsid w:val="0026611D"/>
    <w:rsid w:val="002951A0"/>
    <w:rsid w:val="002A11BD"/>
    <w:rsid w:val="002A64FD"/>
    <w:rsid w:val="002C6840"/>
    <w:rsid w:val="002F0839"/>
    <w:rsid w:val="00301469"/>
    <w:rsid w:val="00306EE1"/>
    <w:rsid w:val="00310B9B"/>
    <w:rsid w:val="0036461C"/>
    <w:rsid w:val="00367884"/>
    <w:rsid w:val="0039439C"/>
    <w:rsid w:val="003B3391"/>
    <w:rsid w:val="003B69E7"/>
    <w:rsid w:val="003C013B"/>
    <w:rsid w:val="003D0F4D"/>
    <w:rsid w:val="003F58A1"/>
    <w:rsid w:val="00410DD6"/>
    <w:rsid w:val="004134C9"/>
    <w:rsid w:val="0043138C"/>
    <w:rsid w:val="00462A59"/>
    <w:rsid w:val="004A1847"/>
    <w:rsid w:val="004B0B13"/>
    <w:rsid w:val="004B6B0E"/>
    <w:rsid w:val="004D25B3"/>
    <w:rsid w:val="00511405"/>
    <w:rsid w:val="00526E9D"/>
    <w:rsid w:val="00547856"/>
    <w:rsid w:val="00547A74"/>
    <w:rsid w:val="00551222"/>
    <w:rsid w:val="005566E8"/>
    <w:rsid w:val="00573F6E"/>
    <w:rsid w:val="005746AB"/>
    <w:rsid w:val="0059357F"/>
    <w:rsid w:val="005A1130"/>
    <w:rsid w:val="005D1B71"/>
    <w:rsid w:val="005D65C8"/>
    <w:rsid w:val="006219F8"/>
    <w:rsid w:val="00681FDB"/>
    <w:rsid w:val="006A7DAD"/>
    <w:rsid w:val="006B6A70"/>
    <w:rsid w:val="006D70BA"/>
    <w:rsid w:val="007566FE"/>
    <w:rsid w:val="0076726F"/>
    <w:rsid w:val="0077144B"/>
    <w:rsid w:val="00793403"/>
    <w:rsid w:val="007B514F"/>
    <w:rsid w:val="007C0CDF"/>
    <w:rsid w:val="007E2A2F"/>
    <w:rsid w:val="007F2B7C"/>
    <w:rsid w:val="007F697D"/>
    <w:rsid w:val="00811651"/>
    <w:rsid w:val="0081471B"/>
    <w:rsid w:val="00820F5B"/>
    <w:rsid w:val="00833452"/>
    <w:rsid w:val="008614E5"/>
    <w:rsid w:val="008678EB"/>
    <w:rsid w:val="00875894"/>
    <w:rsid w:val="00881C10"/>
    <w:rsid w:val="00890411"/>
    <w:rsid w:val="008D5C70"/>
    <w:rsid w:val="008F13B7"/>
    <w:rsid w:val="009025AF"/>
    <w:rsid w:val="00904F23"/>
    <w:rsid w:val="00906B3C"/>
    <w:rsid w:val="0095342C"/>
    <w:rsid w:val="009702D5"/>
    <w:rsid w:val="00982FC5"/>
    <w:rsid w:val="009F33F2"/>
    <w:rsid w:val="009F6C77"/>
    <w:rsid w:val="00A0159A"/>
    <w:rsid w:val="00A07532"/>
    <w:rsid w:val="00A1085C"/>
    <w:rsid w:val="00A300ED"/>
    <w:rsid w:val="00A309E2"/>
    <w:rsid w:val="00A8066E"/>
    <w:rsid w:val="00AA4B8A"/>
    <w:rsid w:val="00AA6BF7"/>
    <w:rsid w:val="00AF4E0F"/>
    <w:rsid w:val="00B01ED6"/>
    <w:rsid w:val="00B06D09"/>
    <w:rsid w:val="00B771A9"/>
    <w:rsid w:val="00B809BB"/>
    <w:rsid w:val="00B8248A"/>
    <w:rsid w:val="00BB7726"/>
    <w:rsid w:val="00BE2710"/>
    <w:rsid w:val="00C0048B"/>
    <w:rsid w:val="00C2329E"/>
    <w:rsid w:val="00C30461"/>
    <w:rsid w:val="00C42017"/>
    <w:rsid w:val="00C754BE"/>
    <w:rsid w:val="00C87572"/>
    <w:rsid w:val="00C9405D"/>
    <w:rsid w:val="00CC1B26"/>
    <w:rsid w:val="00CD284F"/>
    <w:rsid w:val="00CF23AA"/>
    <w:rsid w:val="00D01921"/>
    <w:rsid w:val="00D752B7"/>
    <w:rsid w:val="00DA1854"/>
    <w:rsid w:val="00DB0887"/>
    <w:rsid w:val="00DF1E43"/>
    <w:rsid w:val="00E20894"/>
    <w:rsid w:val="00E26B7C"/>
    <w:rsid w:val="00E529B2"/>
    <w:rsid w:val="00E55607"/>
    <w:rsid w:val="00E710FF"/>
    <w:rsid w:val="00E80A29"/>
    <w:rsid w:val="00E847AA"/>
    <w:rsid w:val="00EA3003"/>
    <w:rsid w:val="00EA3441"/>
    <w:rsid w:val="00EB3C91"/>
    <w:rsid w:val="00EB66DA"/>
    <w:rsid w:val="00EF0B49"/>
    <w:rsid w:val="00F605F2"/>
    <w:rsid w:val="00F76AFC"/>
    <w:rsid w:val="00F8319B"/>
    <w:rsid w:val="00FA5516"/>
    <w:rsid w:val="00FD6F73"/>
    <w:rsid w:val="00FF4400"/>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semiHidden/>
    <w:unhideWhenUsed/>
    <w:qFormat/>
    <w:rsid w:val="003B3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2Car">
    <w:name w:val="Título 2 Car"/>
    <w:basedOn w:val="Fuentedeprrafopredeter"/>
    <w:link w:val="Ttulo2"/>
    <w:uiPriority w:val="9"/>
    <w:semiHidden/>
    <w:rsid w:val="003B33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B3391"/>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3B3391"/>
    <w:pPr>
      <w:spacing w:line="240" w:lineRule="exact"/>
    </w:pPr>
    <w:rPr>
      <w:vertAlign w:val="superscript"/>
    </w:rPr>
  </w:style>
  <w:style w:type="character" w:customStyle="1" w:styleId="baj">
    <w:name w:val="b_aj"/>
    <w:basedOn w:val="Fuentedeprrafopredeter"/>
    <w:rsid w:val="003B3391"/>
  </w:style>
  <w:style w:type="character" w:styleId="Hipervnculo">
    <w:name w:val="Hyperlink"/>
    <w:basedOn w:val="Fuentedeprrafopredeter"/>
    <w:uiPriority w:val="99"/>
    <w:unhideWhenUsed/>
    <w:rsid w:val="003B3391"/>
    <w:rPr>
      <w:color w:val="0563C1" w:themeColor="hyperlink"/>
      <w:u w:val="single"/>
    </w:rPr>
  </w:style>
  <w:style w:type="character" w:styleId="Textoennegrita">
    <w:name w:val="Strong"/>
    <w:basedOn w:val="Fuentedeprrafopredeter"/>
    <w:uiPriority w:val="22"/>
    <w:qFormat/>
    <w:rsid w:val="003B3391"/>
    <w:rPr>
      <w:b/>
      <w:bCs/>
    </w:rPr>
  </w:style>
  <w:style w:type="paragraph" w:customStyle="1" w:styleId="elementtoproof">
    <w:name w:val="elementtoproof"/>
    <w:basedOn w:val="Normal"/>
    <w:rsid w:val="00E529B2"/>
    <w:pPr>
      <w:spacing w:before="100" w:beforeAutospacing="1" w:after="100" w:afterAutospacing="1" w:line="240" w:lineRule="auto"/>
    </w:pPr>
    <w:rPr>
      <w:rFonts w:ascii="Calibri" w:hAnsi="Calibri" w:cs="Calibri"/>
      <w:lang w:eastAsia="es-CO"/>
    </w:rPr>
  </w:style>
  <w:style w:type="character" w:customStyle="1" w:styleId="contentpasted0">
    <w:name w:val="contentpasted0"/>
    <w:basedOn w:val="Fuentedeprrafopredeter"/>
    <w:rsid w:val="00E529B2"/>
  </w:style>
  <w:style w:type="character" w:styleId="Mencinsinresolver">
    <w:name w:val="Unresolved Mention"/>
    <w:basedOn w:val="Fuentedeprrafopredeter"/>
    <w:uiPriority w:val="99"/>
    <w:semiHidden/>
    <w:unhideWhenUsed/>
    <w:rsid w:val="007B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2984">
      <w:bodyDiv w:val="1"/>
      <w:marLeft w:val="0"/>
      <w:marRight w:val="0"/>
      <w:marTop w:val="0"/>
      <w:marBottom w:val="0"/>
      <w:divBdr>
        <w:top w:val="none" w:sz="0" w:space="0" w:color="auto"/>
        <w:left w:val="none" w:sz="0" w:space="0" w:color="auto"/>
        <w:bottom w:val="none" w:sz="0" w:space="0" w:color="auto"/>
        <w:right w:val="none" w:sz="0" w:space="0" w:color="auto"/>
      </w:divBdr>
      <w:divsChild>
        <w:div w:id="299380627">
          <w:marLeft w:val="0"/>
          <w:marRight w:val="0"/>
          <w:marTop w:val="0"/>
          <w:marBottom w:val="0"/>
          <w:divBdr>
            <w:top w:val="none" w:sz="0" w:space="0" w:color="auto"/>
            <w:left w:val="none" w:sz="0" w:space="0" w:color="auto"/>
            <w:bottom w:val="none" w:sz="0" w:space="0" w:color="auto"/>
            <w:right w:val="none" w:sz="0" w:space="0" w:color="auto"/>
          </w:divBdr>
        </w:div>
      </w:divsChild>
    </w:div>
    <w:div w:id="7816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1823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173606" TargetMode="External"/><Relationship Id="rId2" Type="http://schemas.openxmlformats.org/officeDocument/2006/relationships/hyperlink" Target="https://www.funcionpublica.gov.co/eva/gestornormativo/norma.php?i=65574"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funcionpublica.gov.co/eva/gestornormativo/norma.php?i=1799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C922FAE6-59D6-47DF-AB66-671A98225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7912</Words>
  <Characters>43522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17</cp:revision>
  <dcterms:created xsi:type="dcterms:W3CDTF">2023-05-25T08:25:00Z</dcterms:created>
  <dcterms:modified xsi:type="dcterms:W3CDTF">2023-06-09T15:17:00Z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