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3806" w14:textId="488682B5" w:rsidR="006219F8" w:rsidRPr="007566FE" w:rsidRDefault="006219F8" w:rsidP="00526E9D">
      <w:pPr>
        <w:rPr>
          <w:rFonts w:ascii="Arial Nova" w:hAnsi="Arial Nova"/>
          <w:color w:val="000000" w:themeColor="text1"/>
        </w:rPr>
      </w:pPr>
    </w:p>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p w14:paraId="567C445C" w14:textId="77777777" w:rsidR="008C40BC" w:rsidRPr="00C14681" w:rsidRDefault="008C40BC" w:rsidP="008C40BC">
      <w:pPr>
        <w:spacing w:after="0" w:line="240" w:lineRule="auto"/>
        <w:jc w:val="both"/>
        <w:rPr>
          <w:rFonts w:ascii="Arial" w:eastAsia="Calibri" w:hAnsi="Arial" w:cs="Arial"/>
          <w:b/>
          <w:bCs/>
          <w:color w:val="000000"/>
          <w:lang w:val="es-ES"/>
        </w:rPr>
      </w:pPr>
      <w:bookmarkStart w:id="0" w:name="_Hlk35420410"/>
      <w:bookmarkStart w:id="1" w:name="_Hlk34951122"/>
      <w:r w:rsidRPr="00EC024F">
        <w:rPr>
          <w:rFonts w:ascii="Arial" w:eastAsia="Calibri" w:hAnsi="Arial" w:cs="Arial"/>
          <w:b/>
          <w:bCs/>
          <w:color w:val="000000"/>
          <w:lang w:val="es-ES"/>
        </w:rPr>
        <w:t>OBRA PÚBLICA</w:t>
      </w:r>
      <w:r w:rsidRPr="00C14681">
        <w:rPr>
          <w:rFonts w:ascii="Arial" w:eastAsia="Calibri" w:hAnsi="Arial" w:cs="Arial"/>
          <w:b/>
          <w:bCs/>
          <w:color w:val="000000"/>
          <w:lang w:val="es-ES"/>
        </w:rPr>
        <w:t xml:space="preserve"> </w:t>
      </w:r>
      <w:r w:rsidRPr="00C14681">
        <w:rPr>
          <w:rFonts w:ascii="Arial" w:eastAsia="Calibri" w:hAnsi="Arial" w:cs="Arial"/>
          <w:b/>
          <w:bCs/>
          <w:color w:val="000000"/>
          <w:lang w:val="es-MX"/>
        </w:rPr>
        <w:t xml:space="preserve">– </w:t>
      </w:r>
      <w:r w:rsidRPr="00C14681">
        <w:rPr>
          <w:rFonts w:ascii="Arial" w:eastAsia="Calibri" w:hAnsi="Arial" w:cs="Arial"/>
          <w:b/>
          <w:bCs/>
          <w:color w:val="000000"/>
          <w:lang w:val="es-ES"/>
        </w:rPr>
        <w:t xml:space="preserve">Trabajos materiales </w:t>
      </w:r>
      <w:r w:rsidRPr="00C14681">
        <w:rPr>
          <w:rFonts w:ascii="Arial" w:eastAsia="Calibri" w:hAnsi="Arial" w:cs="Arial"/>
          <w:b/>
          <w:bCs/>
          <w:color w:val="000000"/>
          <w:lang w:val="es-MX"/>
        </w:rPr>
        <w:t>– B</w:t>
      </w:r>
      <w:proofErr w:type="spellStart"/>
      <w:r w:rsidRPr="00C14681">
        <w:rPr>
          <w:rFonts w:ascii="Arial" w:eastAsia="Calibri" w:hAnsi="Arial" w:cs="Arial"/>
          <w:b/>
          <w:bCs/>
          <w:color w:val="000000"/>
          <w:lang w:val="es-ES"/>
        </w:rPr>
        <w:t>ienes</w:t>
      </w:r>
      <w:proofErr w:type="spellEnd"/>
      <w:r w:rsidRPr="00C14681">
        <w:rPr>
          <w:rFonts w:ascii="Arial" w:eastAsia="Calibri" w:hAnsi="Arial" w:cs="Arial"/>
          <w:b/>
          <w:bCs/>
          <w:color w:val="000000"/>
          <w:lang w:val="es-ES"/>
        </w:rPr>
        <w:t xml:space="preserve"> inmuebles</w:t>
      </w:r>
    </w:p>
    <w:bookmarkEnd w:id="0"/>
    <w:p w14:paraId="7857541D" w14:textId="77777777" w:rsidR="008C40BC" w:rsidRPr="00C14681" w:rsidRDefault="008C40BC" w:rsidP="008C40BC">
      <w:pPr>
        <w:spacing w:after="0" w:line="240" w:lineRule="auto"/>
        <w:jc w:val="both"/>
        <w:rPr>
          <w:rFonts w:ascii="Arial" w:eastAsia="Calibri" w:hAnsi="Arial" w:cs="Arial"/>
          <w:color w:val="000000"/>
          <w:lang w:val="es-ES_tradnl"/>
        </w:rPr>
      </w:pPr>
    </w:p>
    <w:p w14:paraId="4942D372" w14:textId="2CE9A713" w:rsidR="008C40BC" w:rsidRPr="000125C9" w:rsidRDefault="000A4714" w:rsidP="000125C9">
      <w:pPr>
        <w:spacing w:after="0" w:line="240" w:lineRule="auto"/>
        <w:jc w:val="both"/>
        <w:rPr>
          <w:rFonts w:ascii="Arial" w:eastAsia="Calibri" w:hAnsi="Arial" w:cs="Arial"/>
          <w:color w:val="000000"/>
          <w:sz w:val="16"/>
          <w:szCs w:val="16"/>
          <w:lang w:val="es-ES_tradnl"/>
        </w:rPr>
      </w:pPr>
      <w:r w:rsidRPr="000125C9">
        <w:rPr>
          <w:rFonts w:ascii="Arial" w:eastAsia="Calibri" w:hAnsi="Arial" w:cs="Arial"/>
          <w:color w:val="000000"/>
          <w:sz w:val="20"/>
          <w:szCs w:val="20"/>
          <w:lang w:val="es-ES_tradnl"/>
        </w:rPr>
        <w:t xml:space="preserve">En </w:t>
      </w:r>
      <w:r w:rsidRPr="000125C9">
        <w:rPr>
          <w:rFonts w:ascii="Arial" w:eastAsia="Calibri" w:hAnsi="Arial" w:cs="Arial"/>
          <w:i/>
          <w:iCs/>
          <w:color w:val="000000"/>
          <w:sz w:val="20"/>
          <w:szCs w:val="20"/>
          <w:lang w:val="es-ES_tradnl"/>
        </w:rPr>
        <w:t>sentido amplio</w:t>
      </w:r>
      <w:r w:rsidRPr="000125C9">
        <w:rPr>
          <w:rFonts w:ascii="Arial" w:eastAsia="Calibri" w:hAnsi="Arial" w:cs="Arial"/>
          <w:color w:val="000000"/>
          <w:sz w:val="20"/>
          <w:szCs w:val="20"/>
          <w:lang w:val="es-ES_tradnl"/>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0125C9">
        <w:rPr>
          <w:rFonts w:ascii="Arial" w:eastAsia="Calibri" w:hAnsi="Arial" w:cs="Arial"/>
          <w:i/>
          <w:iCs/>
          <w:color w:val="000000"/>
          <w:sz w:val="20"/>
          <w:szCs w:val="20"/>
          <w:lang w:val="es-ES_tradnl"/>
        </w:rPr>
        <w:t>sentido restringido</w:t>
      </w:r>
      <w:r w:rsidRPr="000125C9">
        <w:rPr>
          <w:rFonts w:ascii="Arial" w:eastAsia="Calibri" w:hAnsi="Arial" w:cs="Arial"/>
          <w:color w:val="000000"/>
          <w:sz w:val="20"/>
          <w:szCs w:val="20"/>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 </w:t>
      </w:r>
      <w:r w:rsidR="000125C9" w:rsidRPr="000125C9">
        <w:rPr>
          <w:rFonts w:ascii="Arial" w:eastAsia="Calibri" w:hAnsi="Arial" w:cs="Arial"/>
          <w:color w:val="000000"/>
          <w:sz w:val="20"/>
          <w:szCs w:val="20"/>
          <w:lang w:val="es-ES_tradnl"/>
        </w:rPr>
        <w:t>[…]</w:t>
      </w:r>
    </w:p>
    <w:p w14:paraId="23B6A072" w14:textId="77777777" w:rsidR="008C40BC" w:rsidRPr="000125C9" w:rsidRDefault="008C40BC" w:rsidP="008C40BC">
      <w:pPr>
        <w:spacing w:after="0" w:line="240" w:lineRule="auto"/>
        <w:jc w:val="both"/>
        <w:rPr>
          <w:rFonts w:ascii="Arial" w:eastAsia="Calibri" w:hAnsi="Arial" w:cs="Arial"/>
          <w:color w:val="000000"/>
          <w:szCs w:val="28"/>
          <w:lang w:val="es-ES_tradnl"/>
        </w:rPr>
      </w:pPr>
    </w:p>
    <w:p w14:paraId="3035FBB3" w14:textId="77777777" w:rsidR="008C40BC" w:rsidRDefault="008C40BC" w:rsidP="008C40BC">
      <w:pPr>
        <w:spacing w:after="0" w:line="240" w:lineRule="auto"/>
        <w:jc w:val="both"/>
        <w:rPr>
          <w:rFonts w:ascii="Arial" w:eastAsia="Calibri" w:hAnsi="Arial" w:cs="Arial"/>
          <w:b/>
          <w:bCs/>
          <w:color w:val="000000"/>
          <w:lang w:val="es-ES_tradnl"/>
        </w:rPr>
      </w:pPr>
      <w:r>
        <w:rPr>
          <w:rFonts w:ascii="Arial" w:eastAsia="Calibri" w:hAnsi="Arial" w:cs="Arial"/>
          <w:b/>
          <w:bCs/>
          <w:color w:val="000000"/>
          <w:lang w:val="es-ES_tradnl"/>
        </w:rPr>
        <w:t xml:space="preserve">OBRA PÚBLICA – Cerramiento de predios – Definición – Obra </w:t>
      </w:r>
    </w:p>
    <w:p w14:paraId="2205C40B" w14:textId="77777777" w:rsidR="008C40BC" w:rsidRDefault="008C40BC" w:rsidP="008C40BC">
      <w:pPr>
        <w:spacing w:after="0" w:line="240" w:lineRule="auto"/>
        <w:jc w:val="both"/>
        <w:rPr>
          <w:rFonts w:ascii="Arial" w:eastAsia="Calibri" w:hAnsi="Arial" w:cs="Arial"/>
          <w:b/>
          <w:bCs/>
          <w:color w:val="000000"/>
          <w:lang w:val="es-ES_tradnl"/>
        </w:rPr>
      </w:pPr>
    </w:p>
    <w:p w14:paraId="523E8E72" w14:textId="00486C4C" w:rsidR="008C40BC" w:rsidRPr="009C23C1" w:rsidRDefault="000125C9" w:rsidP="009C23C1">
      <w:pPr>
        <w:spacing w:after="0" w:line="240" w:lineRule="auto"/>
        <w:jc w:val="both"/>
        <w:rPr>
          <w:rFonts w:ascii="Arial" w:eastAsia="Calibri" w:hAnsi="Arial" w:cs="Arial"/>
          <w:color w:val="000000"/>
          <w:sz w:val="20"/>
          <w:szCs w:val="20"/>
          <w:lang w:val="es-ES_tradnl"/>
        </w:rPr>
      </w:pPr>
      <w:r w:rsidRPr="009C23C1">
        <w:rPr>
          <w:rFonts w:ascii="Arial" w:eastAsia="Calibri" w:hAnsi="Arial" w:cs="Arial"/>
          <w:color w:val="000000"/>
          <w:sz w:val="20"/>
          <w:szCs w:val="20"/>
          <w:lang w:val="es-ES_tradnl"/>
        </w:rPr>
        <w:t xml:space="preserve">En relación con las actividades de cerramiento de predios, es importante señalar que el Diccionario prehispánico del español jurídico define el </w:t>
      </w:r>
      <w:r w:rsidRPr="009C23C1">
        <w:rPr>
          <w:rFonts w:ascii="Arial" w:eastAsia="Calibri" w:hAnsi="Arial" w:cs="Arial"/>
          <w:i/>
          <w:iCs/>
          <w:color w:val="000000"/>
          <w:sz w:val="20"/>
          <w:szCs w:val="20"/>
          <w:lang w:val="es-ES_tradnl"/>
        </w:rPr>
        <w:t>derecho de cerramiento</w:t>
      </w:r>
      <w:r w:rsidRPr="009C23C1">
        <w:rPr>
          <w:rFonts w:ascii="Arial" w:eastAsia="Calibri" w:hAnsi="Arial" w:cs="Arial"/>
          <w:color w:val="000000"/>
          <w:sz w:val="20"/>
          <w:szCs w:val="20"/>
          <w:lang w:val="es-ES_tradnl"/>
        </w:rPr>
        <w:t xml:space="preserve"> como aquel que tiene el dueño de un predio a cerrarlo o cercarlo por todas partes, sin perjuicio de las servidumbres que se hayan constituido a favor de otros.</w:t>
      </w:r>
      <w:r w:rsidR="009C23C1">
        <w:rPr>
          <w:rFonts w:ascii="Arial" w:eastAsia="Calibri" w:hAnsi="Arial" w:cs="Arial"/>
          <w:color w:val="000000"/>
          <w:sz w:val="20"/>
          <w:szCs w:val="20"/>
          <w:lang w:val="es-ES_tradnl"/>
        </w:rPr>
        <w:t xml:space="preserve"> </w:t>
      </w:r>
      <w:r w:rsidRPr="009C23C1">
        <w:rPr>
          <w:rFonts w:ascii="Arial" w:eastAsia="Calibri" w:hAnsi="Arial" w:cs="Arial"/>
          <w:color w:val="000000"/>
          <w:sz w:val="20"/>
          <w:szCs w:val="20"/>
          <w:lang w:val="es-ES_tradnl"/>
        </w:rPr>
        <w:t xml:space="preserve">Así mismo, indica que el </w:t>
      </w:r>
      <w:r w:rsidRPr="009C23C1">
        <w:rPr>
          <w:rFonts w:ascii="Arial" w:eastAsia="Calibri" w:hAnsi="Arial" w:cs="Arial"/>
          <w:i/>
          <w:iCs/>
          <w:color w:val="000000"/>
          <w:sz w:val="20"/>
          <w:szCs w:val="20"/>
          <w:lang w:val="es-ES_tradnl"/>
        </w:rPr>
        <w:t>cerramiento</w:t>
      </w:r>
      <w:r w:rsidRPr="009C23C1">
        <w:rPr>
          <w:rFonts w:ascii="Arial" w:eastAsia="Calibri" w:hAnsi="Arial" w:cs="Arial"/>
          <w:color w:val="000000"/>
          <w:sz w:val="20"/>
          <w:szCs w:val="20"/>
          <w:lang w:val="es-ES_tradnl"/>
        </w:rPr>
        <w:t xml:space="preserve"> puede consistir en paredes, fosos, cercas vivas o muertas</w:t>
      </w:r>
      <w:r w:rsidR="009C23C1">
        <w:rPr>
          <w:rFonts w:ascii="Arial" w:eastAsia="Calibri" w:hAnsi="Arial" w:cs="Arial"/>
          <w:color w:val="000000"/>
          <w:sz w:val="20"/>
          <w:szCs w:val="20"/>
          <w:lang w:val="es-ES_tradnl"/>
        </w:rPr>
        <w:t xml:space="preserve">. </w:t>
      </w:r>
      <w:r w:rsidRPr="009C23C1">
        <w:rPr>
          <w:rFonts w:ascii="Arial" w:eastAsia="Calibri" w:hAnsi="Arial" w:cs="Arial"/>
          <w:color w:val="000000"/>
          <w:sz w:val="20"/>
          <w:szCs w:val="20"/>
          <w:lang w:val="es-ES_tradnl"/>
        </w:rPr>
        <w:t>Estas características del derecho de cerramiento concuerdan con la definición incorporada en nuestro ordenamiento jurídico, en el artículo 902 del Código Civil. En este sentido, el cerramiento de un predio consiste en encerrarlo a través de elementos como, por ejemplo, paredes, cercar o mallas.</w:t>
      </w:r>
    </w:p>
    <w:p w14:paraId="44EB8AF3" w14:textId="77777777" w:rsidR="008C40BC" w:rsidRPr="009C23C1" w:rsidRDefault="008C40BC" w:rsidP="009C23C1">
      <w:pPr>
        <w:spacing w:after="0" w:line="240" w:lineRule="auto"/>
        <w:jc w:val="both"/>
        <w:rPr>
          <w:rFonts w:ascii="Arial" w:eastAsia="Calibri" w:hAnsi="Arial" w:cs="Arial"/>
          <w:color w:val="000000"/>
          <w:sz w:val="20"/>
          <w:szCs w:val="20"/>
          <w:lang w:val="es-ES_tradnl"/>
        </w:rPr>
      </w:pPr>
      <w:r w:rsidRPr="009C23C1">
        <w:rPr>
          <w:rFonts w:ascii="Arial" w:eastAsia="Calibri" w:hAnsi="Arial" w:cs="Arial"/>
          <w:color w:val="000000"/>
          <w:sz w:val="20"/>
          <w:szCs w:val="20"/>
          <w:lang w:val="es-ES_tradnl"/>
        </w:rPr>
        <w:t>[…]</w:t>
      </w:r>
    </w:p>
    <w:p w14:paraId="33A1DD22" w14:textId="77777777" w:rsidR="009C23C1" w:rsidRPr="009C23C1" w:rsidRDefault="009C23C1" w:rsidP="009C23C1">
      <w:pPr>
        <w:spacing w:after="0" w:line="240" w:lineRule="auto"/>
        <w:jc w:val="both"/>
        <w:rPr>
          <w:rFonts w:ascii="Arial" w:eastAsia="Calibri" w:hAnsi="Arial" w:cs="Arial"/>
          <w:color w:val="000000"/>
          <w:sz w:val="20"/>
          <w:szCs w:val="20"/>
          <w:lang w:val="es-ES_tradnl"/>
        </w:rPr>
      </w:pPr>
      <w:r w:rsidRPr="009C23C1">
        <w:rPr>
          <w:rFonts w:ascii="Arial" w:eastAsia="Calibri" w:hAnsi="Arial" w:cs="Arial"/>
          <w:color w:val="000000"/>
          <w:sz w:val="20"/>
          <w:szCs w:val="20"/>
          <w:lang w:val="es-ES_tradnl"/>
        </w:rPr>
        <w:t xml:space="preserve">Adicionalmente, es bueno precisar que las actividades de cerramiento son tratadas como “obras” en el Decreto 1077 de 2015. Así, entre otros, en el artículo 2.2.6.1.1.1 sobre licencias urbanísticas de dicho decreto, se establece que “[p]ara adelantar obras de construcción, […] cerramiento y demolición de edificaciones, […] se requiere de manera previa a su ejecución la obtención de la licencia urbanística correspondiente”, y se indica que “[l]a licencia urbanística es el acto administrativo de carácter particular y concreto, expedido por el curador urbano o la autoridad municipal o distrital competente, por medio del </w:t>
      </w:r>
      <w:proofErr w:type="spellStart"/>
      <w:r w:rsidRPr="009C23C1">
        <w:rPr>
          <w:rFonts w:ascii="Arial" w:eastAsia="Calibri" w:hAnsi="Arial" w:cs="Arial"/>
          <w:color w:val="000000"/>
          <w:sz w:val="20"/>
          <w:szCs w:val="20"/>
          <w:lang w:val="es-ES_tradnl"/>
        </w:rPr>
        <w:t>cuál</w:t>
      </w:r>
      <w:proofErr w:type="spellEnd"/>
      <w:r w:rsidRPr="009C23C1">
        <w:rPr>
          <w:rFonts w:ascii="Arial" w:eastAsia="Calibri" w:hAnsi="Arial" w:cs="Arial"/>
          <w:color w:val="000000"/>
          <w:sz w:val="20"/>
          <w:szCs w:val="20"/>
          <w:lang w:val="es-ES_tradnl"/>
        </w:rPr>
        <w:t xml:space="preserve"> [sic] se autoriza específicamente a adelantar obras de urbanización y parcelación de predios, de construcción, […] cerramiento y demolición de edificaciones […]”.</w:t>
      </w:r>
    </w:p>
    <w:p w14:paraId="235110A9" w14:textId="77777777" w:rsidR="009C23C1" w:rsidRDefault="009C23C1" w:rsidP="009C23C1">
      <w:pPr>
        <w:spacing w:after="0" w:line="240" w:lineRule="auto"/>
        <w:jc w:val="both"/>
        <w:rPr>
          <w:rFonts w:ascii="Arial" w:eastAsia="Calibri" w:hAnsi="Arial" w:cs="Arial"/>
          <w:color w:val="000000"/>
          <w:sz w:val="20"/>
          <w:szCs w:val="20"/>
          <w:lang w:val="es-ES_tradnl"/>
        </w:rPr>
      </w:pPr>
    </w:p>
    <w:p w14:paraId="63AD2BE7" w14:textId="425A7541" w:rsidR="009C23C1" w:rsidRPr="009C23C1" w:rsidRDefault="009C23C1" w:rsidP="009C23C1">
      <w:pPr>
        <w:spacing w:after="0" w:line="240" w:lineRule="auto"/>
        <w:jc w:val="both"/>
        <w:rPr>
          <w:rFonts w:ascii="Arial" w:eastAsia="Calibri" w:hAnsi="Arial" w:cs="Arial"/>
          <w:color w:val="000000"/>
          <w:sz w:val="20"/>
          <w:szCs w:val="20"/>
          <w:lang w:val="es-ES_tradnl"/>
        </w:rPr>
      </w:pPr>
      <w:r w:rsidRPr="009C23C1">
        <w:rPr>
          <w:rFonts w:ascii="Arial" w:eastAsia="Calibri" w:hAnsi="Arial" w:cs="Arial"/>
          <w:color w:val="000000"/>
          <w:sz w:val="20"/>
          <w:szCs w:val="20"/>
          <w:lang w:val="es-ES_tradnl"/>
        </w:rPr>
        <w:t xml:space="preserve">De acuerdo con la anterior, se advierte que, las actividades de cerramiento de predios constituyen verdaderos trabajos materiales sobre bienes inmuebles, los cuales se materializan a través de la instalación de los elementos mediante los que se concreta el cerramiento, las cuales necesariamente suponen una intervención del respectivo predio. Esto supone que la contratación de este tipo de actividades por parte de Entidades Estatales </w:t>
      </w:r>
      <w:proofErr w:type="gramStart"/>
      <w:r w:rsidRPr="009C23C1">
        <w:rPr>
          <w:rFonts w:ascii="Arial" w:eastAsia="Calibri" w:hAnsi="Arial" w:cs="Arial"/>
          <w:color w:val="000000"/>
          <w:sz w:val="20"/>
          <w:szCs w:val="20"/>
          <w:lang w:val="es-ES_tradnl"/>
        </w:rPr>
        <w:t>se enmarca dentro del</w:t>
      </w:r>
      <w:proofErr w:type="gramEnd"/>
      <w:r w:rsidRPr="009C23C1">
        <w:rPr>
          <w:rFonts w:ascii="Arial" w:eastAsia="Calibri" w:hAnsi="Arial" w:cs="Arial"/>
          <w:color w:val="000000"/>
          <w:sz w:val="20"/>
          <w:szCs w:val="20"/>
          <w:lang w:val="es-ES_tradnl"/>
        </w:rPr>
        <w:t xml:space="preserve"> tipo contractual descrito en el numeral 1° del artículo 32 de la Ley 80 de 1993, el cual podrán celebrar sin perjuicio de la aplicación de la modalidad de selección que resulte procedente conforme al artículo 2 de la Ley 1150 de 2007, de acuerdo con las especificaciones particulares del objeto contractual. </w:t>
      </w:r>
    </w:p>
    <w:p w14:paraId="7F992FCE" w14:textId="77777777" w:rsidR="008C40BC" w:rsidRPr="009C23C1" w:rsidRDefault="008C40BC" w:rsidP="009C23C1">
      <w:pPr>
        <w:spacing w:after="0" w:line="240" w:lineRule="auto"/>
        <w:jc w:val="both"/>
        <w:rPr>
          <w:rFonts w:ascii="Arial" w:eastAsia="Calibri" w:hAnsi="Arial" w:cs="Arial"/>
          <w:color w:val="000000"/>
          <w:sz w:val="20"/>
          <w:szCs w:val="20"/>
          <w:lang w:val="es-ES_tradnl"/>
        </w:rPr>
      </w:pPr>
    </w:p>
    <w:p w14:paraId="32CBEB12" w14:textId="77777777" w:rsidR="008C40BC" w:rsidRDefault="008C40BC" w:rsidP="008C40BC">
      <w:pPr>
        <w:spacing w:after="0" w:line="240" w:lineRule="auto"/>
        <w:jc w:val="both"/>
        <w:rPr>
          <w:rFonts w:ascii="Arial" w:eastAsia="Calibri" w:hAnsi="Arial" w:cs="Arial"/>
          <w:b/>
          <w:bCs/>
          <w:color w:val="000000"/>
          <w:lang w:val="es-ES_tradnl"/>
        </w:rPr>
      </w:pPr>
    </w:p>
    <w:p w14:paraId="7BA151F3" w14:textId="77777777" w:rsidR="008C40BC" w:rsidRDefault="008C40BC" w:rsidP="008C40BC">
      <w:pPr>
        <w:spacing w:before="100" w:beforeAutospacing="1" w:after="100" w:afterAutospacing="1" w:line="240" w:lineRule="auto"/>
        <w:rPr>
          <w:rFonts w:ascii="Arial" w:eastAsia="Times New Roman" w:hAnsi="Arial" w:cs="Arial"/>
          <w:lang w:eastAsia="es-MX"/>
        </w:rPr>
      </w:pPr>
    </w:p>
    <w:p w14:paraId="6421A0FD" w14:textId="77777777" w:rsidR="00E13E01" w:rsidRDefault="00E13E01" w:rsidP="008C40BC">
      <w:pPr>
        <w:spacing w:before="100" w:beforeAutospacing="1" w:after="100" w:afterAutospacing="1" w:line="240" w:lineRule="auto"/>
        <w:rPr>
          <w:rFonts w:ascii="Arial" w:eastAsia="Times New Roman" w:hAnsi="Arial" w:cs="Arial"/>
          <w:lang w:eastAsia="es-MX"/>
        </w:rPr>
      </w:pPr>
    </w:p>
    <w:p w14:paraId="69924EE2" w14:textId="35177146" w:rsidR="008C40BC" w:rsidRPr="007A4176" w:rsidRDefault="0094195C" w:rsidP="35B56B9C">
      <w:pPr>
        <w:spacing w:after="0" w:line="240" w:lineRule="auto"/>
        <w:jc w:val="both"/>
        <w:rPr>
          <w:rFonts w:ascii="Arial" w:eastAsia="Times New Roman" w:hAnsi="Arial" w:cs="Arial"/>
          <w:lang w:eastAsia="es-MX"/>
        </w:rPr>
      </w:pPr>
      <w:r w:rsidRPr="35B56B9C">
        <w:rPr>
          <w:rFonts w:ascii="Arial" w:eastAsia="Times New Roman" w:hAnsi="Arial" w:cs="Arial"/>
          <w:lang w:eastAsia="es-MX"/>
        </w:rPr>
        <w:t>Bogotá D.C.</w:t>
      </w:r>
      <w:r w:rsidR="00610580">
        <w:rPr>
          <w:rFonts w:ascii="Arial" w:eastAsia="Times New Roman" w:hAnsi="Arial" w:cs="Arial"/>
          <w:lang w:eastAsia="es-MX"/>
        </w:rPr>
        <w:t xml:space="preserve"> 10</w:t>
      </w:r>
      <w:r w:rsidR="0087572C">
        <w:rPr>
          <w:rFonts w:ascii="Arial" w:eastAsia="Times New Roman" w:hAnsi="Arial" w:cs="Arial"/>
          <w:lang w:eastAsia="es-MX"/>
        </w:rPr>
        <w:t xml:space="preserve"> DE ABRIL DEL 2023</w:t>
      </w:r>
    </w:p>
    <w:p w14:paraId="2CE91609" w14:textId="77777777" w:rsidR="008C40BC" w:rsidRDefault="008C40BC" w:rsidP="008C40BC">
      <w:pPr>
        <w:spacing w:after="0" w:line="240" w:lineRule="auto"/>
        <w:jc w:val="both"/>
        <w:rPr>
          <w:rFonts w:ascii="Arial" w:eastAsia="Times New Roman" w:hAnsi="Arial" w:cs="Arial"/>
          <w:b/>
          <w:color w:val="000000"/>
          <w:szCs w:val="24"/>
          <w:lang w:val="es-ES_tradnl" w:eastAsia="es-ES_tradnl"/>
        </w:rPr>
      </w:pPr>
    </w:p>
    <w:p w14:paraId="0B379114" w14:textId="1D9ED51E" w:rsidR="0094195C" w:rsidRPr="007A4176" w:rsidRDefault="0EB87405" w:rsidP="05DBF0C2">
      <w:pPr>
        <w:spacing w:after="0" w:line="240" w:lineRule="auto"/>
        <w:jc w:val="right"/>
      </w:pPr>
      <w:r>
        <w:rPr>
          <w:noProof/>
        </w:rPr>
        <w:drawing>
          <wp:inline distT="0" distB="0" distL="0" distR="0" wp14:anchorId="4361533C" wp14:editId="1ACD7335">
            <wp:extent cx="2800350" cy="764262"/>
            <wp:effectExtent l="0" t="0" r="0" b="0"/>
            <wp:docPr id="761762735" name="Imagen 76176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00350" cy="764262"/>
                    </a:xfrm>
                    <a:prstGeom prst="rect">
                      <a:avLst/>
                    </a:prstGeom>
                  </pic:spPr>
                </pic:pic>
              </a:graphicData>
            </a:graphic>
          </wp:inline>
        </w:drawing>
      </w:r>
    </w:p>
    <w:p w14:paraId="04FF1A42" w14:textId="77777777" w:rsidR="008C40BC" w:rsidRPr="002265CA" w:rsidRDefault="008C40BC" w:rsidP="008C40BC">
      <w:pPr>
        <w:spacing w:after="0" w:line="240" w:lineRule="auto"/>
        <w:rPr>
          <w:rFonts w:ascii="Arial" w:eastAsia="Calibri" w:hAnsi="Arial" w:cs="Arial"/>
          <w:color w:val="000000"/>
          <w:szCs w:val="20"/>
          <w:lang w:val="es-MX"/>
        </w:rPr>
      </w:pPr>
      <w:bookmarkStart w:id="2" w:name="_Hlk100051121"/>
      <w:r w:rsidRPr="002265CA">
        <w:rPr>
          <w:rFonts w:ascii="Arial" w:eastAsia="Calibri" w:hAnsi="Arial" w:cs="Arial"/>
          <w:color w:val="000000"/>
          <w:szCs w:val="20"/>
          <w:lang w:val="es-MX"/>
        </w:rPr>
        <w:t>Señor</w:t>
      </w:r>
    </w:p>
    <w:p w14:paraId="499F184A" w14:textId="77777777" w:rsidR="008C40BC" w:rsidRDefault="008C40BC" w:rsidP="008C40BC">
      <w:pPr>
        <w:spacing w:after="0" w:line="240" w:lineRule="auto"/>
        <w:rPr>
          <w:rFonts w:ascii="Arial" w:eastAsia="Calibri" w:hAnsi="Arial" w:cs="Arial"/>
          <w:b/>
          <w:color w:val="000000"/>
          <w:szCs w:val="20"/>
          <w:lang w:val="es-MX"/>
        </w:rPr>
      </w:pPr>
      <w:r>
        <w:rPr>
          <w:rFonts w:ascii="Arial" w:eastAsia="Calibri" w:hAnsi="Arial" w:cs="Arial"/>
          <w:b/>
          <w:color w:val="000000"/>
          <w:szCs w:val="20"/>
          <w:lang w:val="es-MX"/>
        </w:rPr>
        <w:t xml:space="preserve">Pablo Franklin Aguirre </w:t>
      </w:r>
      <w:proofErr w:type="spellStart"/>
      <w:r>
        <w:rPr>
          <w:rFonts w:ascii="Arial" w:eastAsia="Calibri" w:hAnsi="Arial" w:cs="Arial"/>
          <w:b/>
          <w:color w:val="000000"/>
          <w:szCs w:val="20"/>
          <w:lang w:val="es-MX"/>
        </w:rPr>
        <w:t>Tutalcha</w:t>
      </w:r>
      <w:proofErr w:type="spellEnd"/>
    </w:p>
    <w:p w14:paraId="77739F34" w14:textId="77777777" w:rsidR="008C40BC" w:rsidRDefault="008C40BC" w:rsidP="008C40BC">
      <w:pPr>
        <w:spacing w:after="0" w:line="240" w:lineRule="auto"/>
        <w:rPr>
          <w:rFonts w:ascii="Arial" w:eastAsia="Calibri" w:hAnsi="Arial" w:cs="Arial"/>
          <w:color w:val="000000"/>
          <w:szCs w:val="20"/>
          <w:lang w:val="es-MX"/>
        </w:rPr>
      </w:pPr>
      <w:r>
        <w:rPr>
          <w:rFonts w:ascii="Arial" w:eastAsia="Calibri" w:hAnsi="Arial" w:cs="Arial"/>
          <w:color w:val="000000"/>
          <w:szCs w:val="20"/>
          <w:lang w:val="es-MX"/>
        </w:rPr>
        <w:t>Secretario de Ambiente y Desarrollo Sostenible</w:t>
      </w:r>
    </w:p>
    <w:p w14:paraId="29AF834E" w14:textId="195AD3C9" w:rsidR="008C40BC" w:rsidRDefault="008C40BC" w:rsidP="12949CBD">
      <w:pPr>
        <w:spacing w:after="0" w:line="240" w:lineRule="auto"/>
        <w:rPr>
          <w:rFonts w:ascii="Arial" w:eastAsia="Calibri" w:hAnsi="Arial" w:cs="Arial"/>
          <w:color w:val="000000"/>
          <w:lang w:val="es-MX"/>
        </w:rPr>
      </w:pPr>
      <w:r w:rsidRPr="12949CBD">
        <w:rPr>
          <w:rFonts w:ascii="Arial" w:eastAsia="Calibri" w:hAnsi="Arial" w:cs="Arial"/>
          <w:color w:val="000000" w:themeColor="text1"/>
          <w:lang w:val="es-MX"/>
        </w:rPr>
        <w:t>Gobernación de Nariño</w:t>
      </w:r>
      <w:r w:rsidR="4EE4B70A" w:rsidRPr="12949CBD">
        <w:rPr>
          <w:rFonts w:ascii="Arial" w:eastAsia="Calibri" w:hAnsi="Arial" w:cs="Arial"/>
          <w:color w:val="000000" w:themeColor="text1"/>
          <w:lang w:val="es-MX"/>
        </w:rPr>
        <w:t xml:space="preserve"> </w:t>
      </w:r>
    </w:p>
    <w:p w14:paraId="4D4D1317" w14:textId="77777777" w:rsidR="008C40BC" w:rsidRDefault="008C40BC" w:rsidP="008C40BC">
      <w:pPr>
        <w:spacing w:after="0" w:line="240" w:lineRule="auto"/>
        <w:rPr>
          <w:rFonts w:ascii="Arial" w:eastAsia="Calibri" w:hAnsi="Arial" w:cs="Arial"/>
          <w:color w:val="000000"/>
          <w:szCs w:val="20"/>
          <w:lang w:val="es-MX"/>
        </w:rPr>
      </w:pPr>
      <w:r>
        <w:rPr>
          <w:rFonts w:ascii="Arial" w:eastAsia="Calibri" w:hAnsi="Arial" w:cs="Arial"/>
          <w:color w:val="000000"/>
          <w:szCs w:val="20"/>
          <w:lang w:val="es-MX"/>
        </w:rPr>
        <w:t>Pasto, Nariño</w:t>
      </w:r>
    </w:p>
    <w:p w14:paraId="20E22556" w14:textId="77777777" w:rsidR="008C40BC" w:rsidRPr="002265CA" w:rsidRDefault="008C40BC" w:rsidP="008C40BC">
      <w:pPr>
        <w:spacing w:after="0" w:line="240" w:lineRule="auto"/>
        <w:rPr>
          <w:rFonts w:ascii="Arial" w:eastAsia="Calibri" w:hAnsi="Arial" w:cs="Arial"/>
          <w:color w:val="000000"/>
          <w:szCs w:val="20"/>
          <w:lang w:val="es-MX"/>
        </w:rPr>
      </w:pPr>
    </w:p>
    <w:p w14:paraId="1EBF0EC3" w14:textId="77777777" w:rsidR="008C40BC" w:rsidRPr="002265CA" w:rsidRDefault="008C40BC" w:rsidP="008C40BC">
      <w:pPr>
        <w:spacing w:after="0" w:line="240" w:lineRule="auto"/>
        <w:jc w:val="center"/>
        <w:rPr>
          <w:rFonts w:ascii="Arial" w:eastAsia="Calibri" w:hAnsi="Arial" w:cs="Arial"/>
          <w:b/>
          <w:color w:val="000000"/>
          <w:lang w:val="es-MX"/>
        </w:rPr>
      </w:pPr>
      <w:r w:rsidRPr="002265CA">
        <w:rPr>
          <w:rFonts w:ascii="Arial" w:eastAsia="Calibri" w:hAnsi="Arial" w:cs="Arial"/>
          <w:b/>
          <w:color w:val="000000"/>
          <w:lang w:val="es-MX"/>
        </w:rPr>
        <w:t xml:space="preserve">Concepto C </w:t>
      </w:r>
      <w:r>
        <w:rPr>
          <w:rFonts w:ascii="Arial" w:eastAsia="Calibri" w:hAnsi="Arial" w:cs="Arial"/>
          <w:b/>
          <w:color w:val="000000"/>
          <w:lang w:val="es-MX"/>
        </w:rPr>
        <w:t>– 038</w:t>
      </w:r>
      <w:r w:rsidRPr="002265CA">
        <w:rPr>
          <w:rFonts w:ascii="Arial" w:eastAsia="Calibri" w:hAnsi="Arial" w:cs="Arial"/>
          <w:b/>
          <w:color w:val="000000"/>
          <w:lang w:val="es-MX"/>
        </w:rPr>
        <w:t xml:space="preserve"> de 202</w:t>
      </w:r>
      <w:r>
        <w:rPr>
          <w:rFonts w:ascii="Arial" w:eastAsia="Calibri" w:hAnsi="Arial" w:cs="Arial"/>
          <w:b/>
          <w:color w:val="000000"/>
          <w:lang w:val="es-MX"/>
        </w:rPr>
        <w:t>3</w:t>
      </w:r>
    </w:p>
    <w:p w14:paraId="22A6235C" w14:textId="77777777" w:rsidR="008C40BC" w:rsidRPr="002265CA" w:rsidRDefault="008C40BC" w:rsidP="008C40BC">
      <w:pPr>
        <w:spacing w:after="0" w:line="240" w:lineRule="auto"/>
        <w:rPr>
          <w:rFonts w:ascii="Arial" w:eastAsia="Calibri" w:hAnsi="Arial" w:cs="Arial"/>
          <w:color w:val="000000"/>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8C40BC" w:rsidRPr="002265CA" w14:paraId="36BF1646" w14:textId="77777777" w:rsidTr="00425E7C">
        <w:tc>
          <w:tcPr>
            <w:tcW w:w="2977" w:type="dxa"/>
            <w:hideMark/>
          </w:tcPr>
          <w:p w14:paraId="5AA75610" w14:textId="77777777" w:rsidR="008C40BC" w:rsidRPr="002265CA" w:rsidRDefault="008C40BC" w:rsidP="00E65D64">
            <w:pPr>
              <w:rPr>
                <w:rFonts w:ascii="Arial" w:eastAsia="Calibri" w:hAnsi="Arial" w:cs="Arial"/>
                <w:color w:val="000000"/>
              </w:rPr>
            </w:pPr>
            <w:r w:rsidRPr="002265CA">
              <w:rPr>
                <w:rFonts w:ascii="Arial" w:eastAsia="Calibri" w:hAnsi="Arial" w:cs="Arial"/>
                <w:b/>
                <w:color w:val="000000"/>
              </w:rPr>
              <w:t>Temas:</w:t>
            </w:r>
            <w:r w:rsidRPr="002265CA">
              <w:rPr>
                <w:rFonts w:ascii="Arial" w:eastAsia="Calibri" w:hAnsi="Arial" w:cs="Arial"/>
                <w:color w:val="000000"/>
              </w:rPr>
              <w:t xml:space="preserve">           </w:t>
            </w:r>
          </w:p>
          <w:p w14:paraId="609D9541" w14:textId="77777777" w:rsidR="008C40BC" w:rsidRPr="002265CA" w:rsidRDefault="008C40BC" w:rsidP="00E65D64">
            <w:pPr>
              <w:rPr>
                <w:rFonts w:ascii="Arial" w:eastAsia="Calibri" w:hAnsi="Arial" w:cs="Arial"/>
                <w:color w:val="000000"/>
              </w:rPr>
            </w:pPr>
            <w:r w:rsidRPr="002265CA">
              <w:rPr>
                <w:rFonts w:ascii="Arial" w:eastAsia="Calibri" w:hAnsi="Arial" w:cs="Arial"/>
                <w:color w:val="000000"/>
              </w:rPr>
              <w:t xml:space="preserve">                           </w:t>
            </w:r>
          </w:p>
        </w:tc>
        <w:tc>
          <w:tcPr>
            <w:tcW w:w="5949" w:type="dxa"/>
            <w:hideMark/>
          </w:tcPr>
          <w:p w14:paraId="1873B89B" w14:textId="77777777" w:rsidR="008C40BC" w:rsidRDefault="008C40BC" w:rsidP="00E65D64">
            <w:pPr>
              <w:jc w:val="both"/>
              <w:rPr>
                <w:rFonts w:ascii="Arial" w:eastAsia="Calibri" w:hAnsi="Arial" w:cs="Arial"/>
                <w:color w:val="000000"/>
                <w:lang w:val="es-ES_tradnl"/>
              </w:rPr>
            </w:pPr>
            <w:r w:rsidRPr="00477CA3">
              <w:rPr>
                <w:rFonts w:ascii="Arial" w:eastAsia="Calibri" w:hAnsi="Arial" w:cs="Arial"/>
                <w:color w:val="000000"/>
                <w:lang w:val="es-ES_tradnl"/>
              </w:rPr>
              <w:t>OBRA PÚBLICA – Trabajos materiales – Bienes inmuebles</w:t>
            </w:r>
            <w:r>
              <w:rPr>
                <w:rFonts w:ascii="Arial" w:eastAsia="Calibri" w:hAnsi="Arial" w:cs="Arial"/>
                <w:color w:val="000000"/>
                <w:lang w:val="es-ES_tradnl"/>
              </w:rPr>
              <w:t xml:space="preserve"> / </w:t>
            </w:r>
            <w:r w:rsidRPr="00477CA3">
              <w:rPr>
                <w:rFonts w:ascii="Arial" w:eastAsia="Calibri" w:hAnsi="Arial" w:cs="Arial"/>
                <w:color w:val="000000"/>
                <w:lang w:val="es-ES_tradnl"/>
              </w:rPr>
              <w:t>OBRA PÚBLICA – Cerramiento de predios – Definición – Obra</w:t>
            </w:r>
          </w:p>
          <w:p w14:paraId="2A7DCB8E" w14:textId="77777777" w:rsidR="008C40BC" w:rsidRDefault="008C40BC" w:rsidP="00E65D64">
            <w:pPr>
              <w:jc w:val="both"/>
              <w:rPr>
                <w:rFonts w:ascii="Arial" w:eastAsia="Calibri" w:hAnsi="Arial" w:cs="Arial"/>
                <w:color w:val="000000"/>
                <w:lang w:val="es-ES_tradnl"/>
              </w:rPr>
            </w:pPr>
          </w:p>
          <w:p w14:paraId="36F6D7BC" w14:textId="77777777" w:rsidR="008C40BC" w:rsidRPr="002265CA" w:rsidRDefault="008C40BC" w:rsidP="00E65D64">
            <w:pPr>
              <w:jc w:val="both"/>
              <w:rPr>
                <w:rFonts w:ascii="Arial" w:eastAsia="Calibri" w:hAnsi="Arial" w:cs="Arial"/>
                <w:b/>
                <w:color w:val="000000"/>
                <w:lang w:val="es-ES_tradnl"/>
              </w:rPr>
            </w:pPr>
          </w:p>
        </w:tc>
      </w:tr>
      <w:tr w:rsidR="008C40BC" w:rsidRPr="002265CA" w14:paraId="4F6BCBE2" w14:textId="77777777" w:rsidTr="00425E7C">
        <w:tc>
          <w:tcPr>
            <w:tcW w:w="2977" w:type="dxa"/>
          </w:tcPr>
          <w:p w14:paraId="5BC64023" w14:textId="77777777" w:rsidR="008C40BC" w:rsidRPr="002265CA" w:rsidRDefault="008C40BC" w:rsidP="00E65D64">
            <w:pPr>
              <w:rPr>
                <w:rFonts w:ascii="Arial" w:eastAsia="Calibri" w:hAnsi="Arial" w:cs="Arial"/>
                <w:b/>
                <w:color w:val="000000"/>
              </w:rPr>
            </w:pPr>
            <w:r w:rsidRPr="002265CA">
              <w:rPr>
                <w:rFonts w:ascii="Arial" w:eastAsia="Calibri" w:hAnsi="Arial" w:cs="Arial"/>
                <w:b/>
                <w:color w:val="000000"/>
              </w:rPr>
              <w:t>Radicación:</w:t>
            </w:r>
            <w:r w:rsidRPr="002265CA">
              <w:rPr>
                <w:rFonts w:ascii="Arial" w:eastAsia="Calibri" w:hAnsi="Arial" w:cs="Arial"/>
                <w:color w:val="000000"/>
              </w:rPr>
              <w:t xml:space="preserve">                              </w:t>
            </w:r>
          </w:p>
        </w:tc>
        <w:tc>
          <w:tcPr>
            <w:tcW w:w="5949" w:type="dxa"/>
          </w:tcPr>
          <w:p w14:paraId="5F976E35" w14:textId="77777777" w:rsidR="008C40BC" w:rsidRPr="002265CA" w:rsidRDefault="008C40BC" w:rsidP="00E65D64">
            <w:pPr>
              <w:jc w:val="both"/>
              <w:rPr>
                <w:rFonts w:ascii="Arial" w:eastAsia="Calibri" w:hAnsi="Arial" w:cs="Arial"/>
                <w:color w:val="000000"/>
              </w:rPr>
            </w:pPr>
            <w:r w:rsidRPr="002265CA">
              <w:rPr>
                <w:rFonts w:ascii="Arial" w:eastAsia="Calibri" w:hAnsi="Arial" w:cs="Arial"/>
                <w:color w:val="000000"/>
              </w:rPr>
              <w:t xml:space="preserve">Respuesta a consulta </w:t>
            </w:r>
            <w:r w:rsidRPr="00813C25">
              <w:rPr>
                <w:rFonts w:ascii="Arial" w:eastAsia="Calibri" w:hAnsi="Arial" w:cs="Arial"/>
                <w:color w:val="000000"/>
              </w:rPr>
              <w:t>P202</w:t>
            </w:r>
            <w:r>
              <w:rPr>
                <w:rFonts w:ascii="Arial" w:eastAsia="Calibri" w:hAnsi="Arial" w:cs="Arial"/>
                <w:color w:val="000000"/>
              </w:rPr>
              <w:t>30222001631</w:t>
            </w:r>
          </w:p>
        </w:tc>
      </w:tr>
      <w:tr w:rsidR="008C40BC" w:rsidRPr="002265CA" w14:paraId="33D7DE58" w14:textId="77777777" w:rsidTr="00425E7C">
        <w:tc>
          <w:tcPr>
            <w:tcW w:w="2977" w:type="dxa"/>
          </w:tcPr>
          <w:p w14:paraId="757974C4" w14:textId="77777777" w:rsidR="008C40BC" w:rsidRPr="002265CA" w:rsidRDefault="008C40BC" w:rsidP="00E65D64">
            <w:pPr>
              <w:rPr>
                <w:rFonts w:ascii="Arial" w:eastAsia="Calibri" w:hAnsi="Arial" w:cs="Arial"/>
                <w:b/>
                <w:color w:val="000000"/>
              </w:rPr>
            </w:pPr>
          </w:p>
        </w:tc>
        <w:tc>
          <w:tcPr>
            <w:tcW w:w="5949" w:type="dxa"/>
          </w:tcPr>
          <w:p w14:paraId="4F8170F9" w14:textId="77777777" w:rsidR="008C40BC" w:rsidRPr="002265CA" w:rsidRDefault="008C40BC" w:rsidP="00E65D64">
            <w:pPr>
              <w:jc w:val="both"/>
              <w:rPr>
                <w:rFonts w:ascii="Arial" w:eastAsia="Calibri" w:hAnsi="Arial" w:cs="Arial"/>
                <w:color w:val="000000"/>
              </w:rPr>
            </w:pPr>
          </w:p>
        </w:tc>
      </w:tr>
    </w:tbl>
    <w:p w14:paraId="7B79A04B" w14:textId="77777777" w:rsidR="008C40BC" w:rsidRPr="002265CA" w:rsidRDefault="008C40BC" w:rsidP="008C40BC">
      <w:pPr>
        <w:spacing w:after="0" w:line="240" w:lineRule="auto"/>
        <w:jc w:val="both"/>
        <w:rPr>
          <w:rFonts w:ascii="Arial" w:eastAsia="Calibri" w:hAnsi="Arial" w:cs="Arial"/>
          <w:color w:val="000000"/>
          <w:lang w:val="es-MX"/>
        </w:rPr>
      </w:pPr>
    </w:p>
    <w:p w14:paraId="040764A5" w14:textId="77777777" w:rsidR="008C40BC" w:rsidRPr="002265CA" w:rsidRDefault="008C40BC" w:rsidP="008C40BC">
      <w:pPr>
        <w:spacing w:after="0" w:line="240" w:lineRule="auto"/>
        <w:jc w:val="both"/>
        <w:rPr>
          <w:rFonts w:ascii="Arial" w:eastAsia="Calibri" w:hAnsi="Arial" w:cs="Arial"/>
          <w:color w:val="000000"/>
          <w:lang w:val="es-MX"/>
        </w:rPr>
      </w:pPr>
    </w:p>
    <w:p w14:paraId="2AACCA1C" w14:textId="77777777" w:rsidR="008C40BC" w:rsidRPr="002265CA" w:rsidRDefault="008C40BC" w:rsidP="008C40BC">
      <w:pPr>
        <w:spacing w:after="0" w:line="240" w:lineRule="auto"/>
        <w:rPr>
          <w:rFonts w:ascii="Arial" w:eastAsia="Calibri" w:hAnsi="Arial" w:cs="Arial"/>
          <w:color w:val="000000"/>
          <w:lang w:val="es-MX"/>
        </w:rPr>
      </w:pPr>
      <w:r w:rsidRPr="002265CA">
        <w:rPr>
          <w:rFonts w:ascii="Arial" w:eastAsia="Calibri" w:hAnsi="Arial" w:cs="Arial"/>
          <w:color w:val="000000"/>
          <w:lang w:val="es-MX"/>
        </w:rPr>
        <w:t>Estimado señor</w:t>
      </w:r>
      <w:r>
        <w:rPr>
          <w:rFonts w:ascii="Arial" w:eastAsia="Calibri" w:hAnsi="Arial" w:cs="Arial"/>
          <w:color w:val="000000"/>
          <w:lang w:val="es-MX"/>
        </w:rPr>
        <w:t xml:space="preserve"> Aguirre </w:t>
      </w:r>
      <w:proofErr w:type="spellStart"/>
      <w:r>
        <w:rPr>
          <w:rFonts w:ascii="Arial" w:eastAsia="Calibri" w:hAnsi="Arial" w:cs="Arial"/>
          <w:color w:val="000000"/>
          <w:lang w:val="es-MX"/>
        </w:rPr>
        <w:t>Tutalcha</w:t>
      </w:r>
      <w:proofErr w:type="spellEnd"/>
      <w:r w:rsidRPr="002265CA">
        <w:rPr>
          <w:rFonts w:ascii="Arial" w:eastAsia="Calibri" w:hAnsi="Arial" w:cs="Arial"/>
          <w:color w:val="000000"/>
          <w:lang w:val="es-MX"/>
        </w:rPr>
        <w:t>,</w:t>
      </w:r>
    </w:p>
    <w:p w14:paraId="41D2688B" w14:textId="77777777" w:rsidR="008C40BC" w:rsidRPr="002265CA" w:rsidRDefault="008C40BC" w:rsidP="008C40BC">
      <w:pPr>
        <w:spacing w:after="0" w:line="240" w:lineRule="auto"/>
        <w:rPr>
          <w:rFonts w:ascii="Arial" w:eastAsia="Calibri" w:hAnsi="Arial" w:cs="Arial"/>
          <w:color w:val="000000"/>
          <w:lang w:val="es-MX"/>
        </w:rPr>
      </w:pPr>
    </w:p>
    <w:p w14:paraId="40016434" w14:textId="30E38F69" w:rsidR="008C40BC" w:rsidRPr="002265CA" w:rsidRDefault="008C40BC" w:rsidP="008C40BC">
      <w:pPr>
        <w:spacing w:after="0" w:line="276" w:lineRule="auto"/>
        <w:ind w:right="49"/>
        <w:jc w:val="both"/>
        <w:rPr>
          <w:rFonts w:ascii="Arial" w:eastAsia="Calibri" w:hAnsi="Arial" w:cs="Arial"/>
          <w:color w:val="000000"/>
          <w:lang w:val="es-MX"/>
        </w:rPr>
      </w:pPr>
      <w:r w:rsidRPr="002265CA">
        <w:rPr>
          <w:rFonts w:ascii="Arial" w:eastAsia="Calibri" w:hAnsi="Arial" w:cs="Arial"/>
          <w:color w:val="000000"/>
          <w:lang w:val="es-MX"/>
        </w:rPr>
        <w:t>La Agencia Nacional de Contratación Pública</w:t>
      </w:r>
      <w:r>
        <w:rPr>
          <w:rFonts w:ascii="Arial" w:eastAsia="Calibri" w:hAnsi="Arial" w:cs="Arial"/>
          <w:color w:val="000000"/>
          <w:lang w:val="es-MX"/>
        </w:rPr>
        <w:t xml:space="preserve"> – </w:t>
      </w:r>
      <w:r w:rsidRPr="002265CA">
        <w:rPr>
          <w:rFonts w:ascii="Arial" w:eastAsia="Calibri" w:hAnsi="Arial" w:cs="Arial"/>
          <w:color w:val="000000"/>
          <w:lang w:val="es-MX"/>
        </w:rPr>
        <w:t>Colombia Compra Eficiente</w:t>
      </w:r>
      <w:r>
        <w:rPr>
          <w:rFonts w:ascii="Arial" w:eastAsia="Calibri" w:hAnsi="Arial" w:cs="Arial"/>
          <w:color w:val="000000"/>
          <w:lang w:val="es-MX"/>
        </w:rPr>
        <w:t xml:space="preserve"> </w:t>
      </w:r>
      <w:r w:rsidRPr="002265CA">
        <w:rPr>
          <w:rFonts w:ascii="Arial" w:eastAsia="Calibri" w:hAnsi="Arial" w:cs="Arial"/>
          <w:color w:val="000000"/>
          <w:lang w:val="es-MX"/>
        </w:rPr>
        <w:t xml:space="preserve">responde su consulta del </w:t>
      </w:r>
      <w:r>
        <w:rPr>
          <w:rFonts w:ascii="Arial" w:eastAsia="Calibri" w:hAnsi="Arial" w:cs="Arial"/>
          <w:color w:val="000000"/>
          <w:lang w:val="es-MX"/>
        </w:rPr>
        <w:t>22</w:t>
      </w:r>
      <w:r w:rsidRPr="002265CA">
        <w:rPr>
          <w:rFonts w:ascii="Arial" w:eastAsia="Calibri" w:hAnsi="Arial" w:cs="Arial"/>
          <w:color w:val="000000"/>
          <w:lang w:val="es-MX"/>
        </w:rPr>
        <w:t xml:space="preserve"> de </w:t>
      </w:r>
      <w:r>
        <w:rPr>
          <w:rFonts w:ascii="Arial" w:eastAsia="Calibri" w:hAnsi="Arial" w:cs="Arial"/>
          <w:color w:val="000000"/>
          <w:lang w:val="es-MX"/>
        </w:rPr>
        <w:t>febrero</w:t>
      </w:r>
      <w:r w:rsidRPr="002265CA">
        <w:rPr>
          <w:rFonts w:ascii="Arial" w:eastAsia="Calibri" w:hAnsi="Arial" w:cs="Arial"/>
          <w:color w:val="000000"/>
          <w:lang w:val="es-MX"/>
        </w:rPr>
        <w:t xml:space="preserve"> de 202</w:t>
      </w:r>
      <w:r>
        <w:rPr>
          <w:rFonts w:ascii="Arial" w:eastAsia="Calibri" w:hAnsi="Arial" w:cs="Arial"/>
          <w:color w:val="000000"/>
          <w:lang w:val="es-MX"/>
        </w:rPr>
        <w:t>3</w:t>
      </w:r>
      <w:r w:rsidRPr="002265CA">
        <w:rPr>
          <w:rFonts w:ascii="Arial" w:eastAsia="Calibri" w:hAnsi="Arial" w:cs="Arial"/>
          <w:color w:val="000000"/>
          <w:lang w:val="es-MX"/>
        </w:rPr>
        <w:t>, en ejercicio de la competencia otorgada por el numeral 8</w:t>
      </w:r>
      <w:r w:rsidR="00F13EE9">
        <w:rPr>
          <w:rFonts w:ascii="Arial" w:eastAsia="Calibri" w:hAnsi="Arial" w:cs="Arial"/>
          <w:color w:val="000000"/>
          <w:lang w:val="es-MX"/>
        </w:rPr>
        <w:t>°</w:t>
      </w:r>
      <w:r w:rsidRPr="002265CA">
        <w:rPr>
          <w:rFonts w:ascii="Arial" w:eastAsia="Calibri" w:hAnsi="Arial" w:cs="Arial"/>
          <w:color w:val="000000"/>
          <w:lang w:val="es-MX"/>
        </w:rPr>
        <w:t xml:space="preserve"> del artículo 11 y el numeral 5</w:t>
      </w:r>
      <w:r w:rsidR="00F13EE9">
        <w:rPr>
          <w:rFonts w:ascii="Arial" w:eastAsia="Calibri" w:hAnsi="Arial" w:cs="Arial"/>
          <w:color w:val="000000"/>
          <w:lang w:val="es-MX"/>
        </w:rPr>
        <w:t>°</w:t>
      </w:r>
      <w:r w:rsidRPr="002265CA">
        <w:rPr>
          <w:rFonts w:ascii="Arial" w:eastAsia="Calibri" w:hAnsi="Arial" w:cs="Arial"/>
          <w:color w:val="000000"/>
          <w:lang w:val="es-MX"/>
        </w:rPr>
        <w:t xml:space="preserve"> del artículo 3 del Decreto Ley 4170 de 2011. </w:t>
      </w:r>
    </w:p>
    <w:p w14:paraId="106DF237" w14:textId="77777777" w:rsidR="008C40BC" w:rsidRPr="002265CA" w:rsidRDefault="008C40BC" w:rsidP="008C40BC">
      <w:pPr>
        <w:tabs>
          <w:tab w:val="left" w:pos="284"/>
        </w:tabs>
        <w:spacing w:after="0" w:line="276" w:lineRule="auto"/>
        <w:contextualSpacing/>
        <w:jc w:val="both"/>
        <w:rPr>
          <w:rFonts w:ascii="Arial" w:eastAsia="Calibri" w:hAnsi="Arial" w:cs="Arial"/>
          <w:color w:val="000000"/>
          <w:lang w:val="es-MX"/>
        </w:rPr>
      </w:pPr>
    </w:p>
    <w:p w14:paraId="64F1DADB" w14:textId="77777777" w:rsidR="008C40BC" w:rsidRPr="002265CA" w:rsidRDefault="008C40BC" w:rsidP="008C40BC">
      <w:pPr>
        <w:tabs>
          <w:tab w:val="left" w:pos="284"/>
        </w:tabs>
        <w:spacing w:after="0" w:line="276" w:lineRule="auto"/>
        <w:contextualSpacing/>
        <w:jc w:val="both"/>
        <w:rPr>
          <w:rFonts w:ascii="Arial" w:eastAsia="Calibri" w:hAnsi="Arial" w:cs="Arial"/>
          <w:b/>
          <w:color w:val="000000"/>
          <w:lang w:val="es-MX"/>
        </w:rPr>
      </w:pPr>
      <w:r w:rsidRPr="002265CA">
        <w:rPr>
          <w:rFonts w:ascii="Arial" w:eastAsia="Calibri" w:hAnsi="Arial" w:cs="Arial"/>
          <w:b/>
          <w:color w:val="000000"/>
          <w:lang w:val="es-MX"/>
        </w:rPr>
        <w:t>1.</w:t>
      </w:r>
      <w:r w:rsidRPr="002265CA">
        <w:rPr>
          <w:rFonts w:ascii="Arial" w:eastAsia="Calibri" w:hAnsi="Arial" w:cs="Arial"/>
          <w:color w:val="000000"/>
          <w:lang w:val="es-MX"/>
        </w:rPr>
        <w:t xml:space="preserve"> </w:t>
      </w:r>
      <w:r w:rsidRPr="002265CA">
        <w:rPr>
          <w:rFonts w:ascii="Arial" w:eastAsia="Calibri" w:hAnsi="Arial" w:cs="Arial"/>
          <w:b/>
          <w:color w:val="000000"/>
          <w:lang w:val="es-MX"/>
        </w:rPr>
        <w:t xml:space="preserve">Problemas planteados </w:t>
      </w:r>
    </w:p>
    <w:p w14:paraId="2D65EA36" w14:textId="77777777" w:rsidR="008C40BC" w:rsidRPr="002265CA" w:rsidRDefault="008C40BC" w:rsidP="008C40BC">
      <w:pPr>
        <w:tabs>
          <w:tab w:val="left" w:pos="426"/>
        </w:tabs>
        <w:spacing w:after="0" w:line="276" w:lineRule="auto"/>
        <w:jc w:val="both"/>
        <w:rPr>
          <w:rFonts w:ascii="Arial" w:eastAsia="Calibri" w:hAnsi="Arial" w:cs="Arial"/>
          <w:b/>
          <w:color w:val="000000"/>
          <w:lang w:val="es-MX"/>
        </w:rPr>
      </w:pPr>
    </w:p>
    <w:p w14:paraId="452DD144" w14:textId="51274996" w:rsidR="008C40BC" w:rsidRPr="00315ACB" w:rsidRDefault="008C40BC" w:rsidP="00315ACB">
      <w:pPr>
        <w:tabs>
          <w:tab w:val="left" w:pos="426"/>
        </w:tabs>
        <w:spacing w:after="0" w:line="276" w:lineRule="auto"/>
        <w:jc w:val="both"/>
        <w:rPr>
          <w:rFonts w:ascii="Arial" w:eastAsia="Calibri" w:hAnsi="Arial" w:cs="Arial"/>
          <w:color w:val="000000"/>
          <w:lang w:val="es-MX"/>
        </w:rPr>
      </w:pPr>
      <w:r w:rsidRPr="0094195C">
        <w:rPr>
          <w:rFonts w:ascii="Arial" w:eastAsia="Calibri" w:hAnsi="Arial" w:cs="Arial"/>
          <w:color w:val="000000"/>
          <w:lang w:val="es-MX"/>
        </w:rPr>
        <w:t xml:space="preserve">Usted realiza la siguiente consulta: </w:t>
      </w:r>
      <w:r w:rsidRPr="00315ACB">
        <w:rPr>
          <w:rFonts w:ascii="Arial" w:eastAsia="Calibri" w:hAnsi="Arial" w:cs="Arial"/>
          <w:color w:val="000000"/>
          <w:lang w:val="es-MX"/>
        </w:rPr>
        <w:t>“Por medio del presente me permito solicitar de manera comedida se nos apoye brindando un concepto respecto a sí, un proyecto para realizar actividades de asilamiento o cierre de predios rurales con objeto de conservación y restauración, se consideran como obra civil, o en su defecto que otro tipo denominación de obra tendría, y cuál sería el marco normativo que lo regula</w:t>
      </w:r>
      <w:r w:rsidR="0094195C">
        <w:rPr>
          <w:rFonts w:ascii="Arial" w:eastAsia="Calibri" w:hAnsi="Arial" w:cs="Arial"/>
          <w:color w:val="000000"/>
          <w:lang w:val="es-MX"/>
        </w:rPr>
        <w:t>”</w:t>
      </w:r>
      <w:r w:rsidRPr="00315ACB">
        <w:rPr>
          <w:rFonts w:ascii="Arial" w:eastAsia="Calibri" w:hAnsi="Arial" w:cs="Arial"/>
          <w:color w:val="000000"/>
          <w:lang w:val="es-MX"/>
        </w:rPr>
        <w:t xml:space="preserve"> [sic].</w:t>
      </w:r>
    </w:p>
    <w:p w14:paraId="09C1F513" w14:textId="77777777" w:rsidR="008C40BC" w:rsidRPr="002265CA" w:rsidRDefault="008C40BC" w:rsidP="008C40BC">
      <w:pPr>
        <w:tabs>
          <w:tab w:val="left" w:pos="426"/>
        </w:tabs>
        <w:spacing w:after="0" w:line="276" w:lineRule="auto"/>
        <w:jc w:val="both"/>
        <w:rPr>
          <w:rFonts w:ascii="Arial" w:eastAsia="Calibri" w:hAnsi="Arial" w:cs="Arial"/>
          <w:color w:val="000000"/>
          <w:lang w:val="es-MX"/>
        </w:rPr>
      </w:pPr>
    </w:p>
    <w:p w14:paraId="70E3856F" w14:textId="77777777" w:rsidR="008C40BC" w:rsidRDefault="008C40BC" w:rsidP="008C40BC">
      <w:pPr>
        <w:tabs>
          <w:tab w:val="left" w:pos="426"/>
        </w:tabs>
        <w:spacing w:after="0" w:line="276" w:lineRule="auto"/>
        <w:jc w:val="both"/>
        <w:rPr>
          <w:rFonts w:ascii="Arial" w:eastAsia="Calibri" w:hAnsi="Arial" w:cs="Arial"/>
          <w:b/>
          <w:color w:val="000000"/>
          <w:lang w:val="es-MX"/>
        </w:rPr>
      </w:pPr>
      <w:r w:rsidRPr="002265CA">
        <w:rPr>
          <w:rFonts w:ascii="Arial" w:eastAsia="Calibri" w:hAnsi="Arial" w:cs="Arial"/>
          <w:b/>
          <w:color w:val="000000"/>
          <w:lang w:val="es-MX"/>
        </w:rPr>
        <w:t>2.</w:t>
      </w:r>
      <w:r w:rsidRPr="002265CA">
        <w:rPr>
          <w:rFonts w:ascii="Arial" w:eastAsia="Calibri" w:hAnsi="Arial" w:cs="Arial"/>
          <w:color w:val="000000"/>
          <w:lang w:val="es-MX"/>
        </w:rPr>
        <w:t xml:space="preserve"> </w:t>
      </w:r>
      <w:r w:rsidRPr="002265CA">
        <w:rPr>
          <w:rFonts w:ascii="Arial" w:eastAsia="Calibri" w:hAnsi="Arial" w:cs="Arial"/>
          <w:b/>
          <w:color w:val="000000"/>
          <w:lang w:val="es-MX"/>
        </w:rPr>
        <w:t>Consideraciones</w:t>
      </w:r>
    </w:p>
    <w:p w14:paraId="6F938EBD" w14:textId="77777777" w:rsidR="00534607" w:rsidRPr="002265CA" w:rsidRDefault="00534607" w:rsidP="008C40BC">
      <w:pPr>
        <w:tabs>
          <w:tab w:val="left" w:pos="426"/>
        </w:tabs>
        <w:spacing w:after="0" w:line="276" w:lineRule="auto"/>
        <w:jc w:val="both"/>
        <w:rPr>
          <w:rFonts w:ascii="Arial" w:eastAsia="Calibri" w:hAnsi="Arial" w:cs="Arial"/>
          <w:b/>
          <w:color w:val="000000"/>
          <w:lang w:val="es-MX"/>
        </w:rPr>
      </w:pPr>
    </w:p>
    <w:p w14:paraId="178D6161" w14:textId="38EC8EA8" w:rsidR="00534607" w:rsidRPr="007A0C25" w:rsidRDefault="00534607" w:rsidP="00534607">
      <w:pPr>
        <w:spacing w:after="120" w:line="276" w:lineRule="auto"/>
        <w:jc w:val="both"/>
        <w:rPr>
          <w:rFonts w:ascii="Arial" w:hAnsi="Arial" w:cs="Arial"/>
          <w:bCs/>
          <w:lang w:val="es-ES"/>
        </w:rPr>
      </w:pPr>
      <w:r w:rsidRPr="007A0C25">
        <w:rPr>
          <w:rFonts w:ascii="Arial" w:hAnsi="Arial" w:cs="Arial"/>
          <w:bCs/>
          <w:lang w:val="es-ES"/>
        </w:rPr>
        <w:t>En ejercicio de las competencias establecidas en los artículos 3</w:t>
      </w:r>
      <w:r>
        <w:rPr>
          <w:rFonts w:ascii="Arial" w:hAnsi="Arial" w:cs="Arial"/>
          <w:bCs/>
          <w:lang w:val="es-ES"/>
        </w:rPr>
        <w:t xml:space="preserve">, numeral </w:t>
      </w:r>
      <w:r w:rsidRPr="007A0C25">
        <w:rPr>
          <w:rFonts w:ascii="Arial" w:hAnsi="Arial" w:cs="Arial"/>
          <w:bCs/>
          <w:lang w:val="es-ES"/>
        </w:rPr>
        <w:t>5</w:t>
      </w:r>
      <w:r>
        <w:rPr>
          <w:rFonts w:ascii="Arial" w:hAnsi="Arial" w:cs="Arial"/>
          <w:bCs/>
          <w:lang w:val="es-ES"/>
        </w:rPr>
        <w:t>°</w:t>
      </w:r>
      <w:r w:rsidRPr="007A0C25">
        <w:rPr>
          <w:rFonts w:ascii="Arial" w:hAnsi="Arial" w:cs="Arial"/>
          <w:bCs/>
          <w:lang w:val="es-ES"/>
        </w:rPr>
        <w:t xml:space="preserve"> y 11</w:t>
      </w:r>
      <w:r>
        <w:rPr>
          <w:rFonts w:ascii="Arial" w:hAnsi="Arial" w:cs="Arial"/>
          <w:bCs/>
          <w:lang w:val="es-ES"/>
        </w:rPr>
        <w:t xml:space="preserve">, numeral </w:t>
      </w:r>
      <w:r w:rsidRPr="007A0C25">
        <w:rPr>
          <w:rFonts w:ascii="Arial" w:hAnsi="Arial" w:cs="Arial"/>
          <w:bCs/>
          <w:lang w:val="es-ES"/>
        </w:rPr>
        <w:t>8</w:t>
      </w:r>
      <w:r>
        <w:rPr>
          <w:rFonts w:ascii="Arial" w:hAnsi="Arial" w:cs="Arial"/>
          <w:bCs/>
          <w:lang w:val="es-ES"/>
        </w:rPr>
        <w:t>°</w:t>
      </w:r>
      <w:r w:rsidRPr="007A0C25">
        <w:rPr>
          <w:rFonts w:ascii="Arial" w:hAnsi="Arial" w:cs="Arial"/>
          <w:bCs/>
          <w:lang w:val="es-ES"/>
        </w:rPr>
        <w:t xml:space="preserve"> del Decreto Ley 4170 de 2011, la Agencia Nacional de Contratación Pública – Colombia Compra </w:t>
      </w:r>
      <w:r w:rsidRPr="007A0C25">
        <w:rPr>
          <w:rFonts w:ascii="Arial" w:hAnsi="Arial" w:cs="Arial"/>
          <w:bCs/>
          <w:lang w:val="es-ES"/>
        </w:rPr>
        <w:lastRenderedPageBreak/>
        <w:t>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25DD7CB7" w14:textId="77777777" w:rsidR="00534607" w:rsidRPr="007A0C25" w:rsidRDefault="00534607" w:rsidP="00534607">
      <w:pPr>
        <w:spacing w:after="120" w:line="276" w:lineRule="auto"/>
        <w:ind w:firstLine="708"/>
        <w:jc w:val="both"/>
        <w:rPr>
          <w:rFonts w:ascii="Arial" w:hAnsi="Arial" w:cs="Arial"/>
          <w:bCs/>
          <w:lang w:val="es-ES"/>
        </w:rPr>
      </w:pPr>
      <w:r w:rsidRPr="007A0C25">
        <w:rPr>
          <w:rFonts w:ascii="Arial" w:hAnsi="Arial" w:cs="Arial"/>
          <w:bCs/>
          <w:lang w:val="es-ES"/>
        </w:rPr>
        <w:t xml:space="preserve">La competencia de esta entidad se fija con límites claros, con el objeto de evitar que la Agencia actúe como una instancia de validación de las actuaciones de las entidades sujetas a la Ley 80 de 1993 o de los demás participes de la contratación pública. Esta competencia de interpretación de normas generales, por definición, no puede extenderse a la resolución de controversias ni brindar asesorías sobre casos puntuales. </w:t>
      </w:r>
      <w:r w:rsidRPr="007A0C25">
        <w:rPr>
          <w:rFonts w:ascii="Arial" w:hAnsi="Arial" w:cs="Arial"/>
          <w:lang w:val="es-ES"/>
        </w:rPr>
        <w:t>Esto en la medida en que, para resolver una consulta de carácter particular es necesario conocer un sinnúmero de detalles de la actuación administrativa y acceder a los documentos del procedimiento contractual donde surge la inquietud.</w:t>
      </w:r>
      <w:r w:rsidRPr="007A0C25">
        <w:rPr>
          <w:rFonts w:ascii="Arial" w:hAnsi="Arial" w:cs="Arial"/>
          <w:bCs/>
          <w:lang w:val="es-ES"/>
        </w:rPr>
        <w:t xml:space="preserve"> Por lo anterior, previo concepto de sus órganos asesores, la solución de estos temas corresponde a la entidad que adelanta el procedimiento de selección y, en caso de conflicto, a las autoridades judiciales, fiscales y disciplinarias.</w:t>
      </w:r>
    </w:p>
    <w:p w14:paraId="3D062DFB" w14:textId="55655153" w:rsidR="00534607" w:rsidRPr="007A0C25" w:rsidRDefault="00534607" w:rsidP="00534607">
      <w:pPr>
        <w:spacing w:before="120" w:after="120" w:line="276" w:lineRule="auto"/>
        <w:ind w:firstLine="709"/>
        <w:jc w:val="both"/>
        <w:rPr>
          <w:rFonts w:ascii="Arial" w:eastAsia="Calibri" w:hAnsi="Arial" w:cs="Arial"/>
        </w:rPr>
      </w:pPr>
      <w:r w:rsidRPr="007A0C25">
        <w:rPr>
          <w:rFonts w:ascii="Arial" w:eastAsia="Calibri" w:hAnsi="Arial" w:cs="Arial"/>
          <w:bCs/>
          <w:lang w:eastAsia="es-CO"/>
        </w:rPr>
        <w:t xml:space="preserve">Bajo estas consideraciones, corresponde a cada entidad pública, en ejercicio de su competencia y previa valoración de los elementos fácticos y jurídicos, determinar </w:t>
      </w:r>
      <w:r>
        <w:rPr>
          <w:rFonts w:ascii="Arial" w:eastAsia="Calibri" w:hAnsi="Arial" w:cs="Arial"/>
          <w:bCs/>
          <w:lang w:eastAsia="es-CO"/>
        </w:rPr>
        <w:t xml:space="preserve">cuál es el régimen aplicable a </w:t>
      </w:r>
      <w:r w:rsidRPr="007A0C25">
        <w:rPr>
          <w:rFonts w:ascii="Arial" w:eastAsia="Calibri" w:hAnsi="Arial" w:cs="Arial"/>
          <w:bCs/>
          <w:lang w:eastAsia="es-CO"/>
        </w:rPr>
        <w:t>l</w:t>
      </w:r>
      <w:r>
        <w:rPr>
          <w:rFonts w:ascii="Arial" w:eastAsia="Calibri" w:hAnsi="Arial" w:cs="Arial"/>
          <w:bCs/>
          <w:lang w:eastAsia="es-CO"/>
        </w:rPr>
        <w:t>os</w:t>
      </w:r>
      <w:r w:rsidRPr="007A0C25">
        <w:rPr>
          <w:rFonts w:ascii="Arial" w:eastAsia="Calibri" w:hAnsi="Arial" w:cs="Arial"/>
          <w:bCs/>
          <w:lang w:eastAsia="es-CO"/>
        </w:rPr>
        <w:t xml:space="preserve"> contrato</w:t>
      </w:r>
      <w:r>
        <w:rPr>
          <w:rFonts w:ascii="Arial" w:eastAsia="Calibri" w:hAnsi="Arial" w:cs="Arial"/>
          <w:bCs/>
          <w:lang w:eastAsia="es-CO"/>
        </w:rPr>
        <w:t>s</w:t>
      </w:r>
      <w:r w:rsidRPr="007A0C25">
        <w:rPr>
          <w:rFonts w:ascii="Arial" w:eastAsia="Calibri" w:hAnsi="Arial" w:cs="Arial"/>
          <w:bCs/>
          <w:lang w:eastAsia="es-CO"/>
        </w:rPr>
        <w:t xml:space="preserve"> </w:t>
      </w:r>
      <w:r>
        <w:rPr>
          <w:rFonts w:ascii="Arial" w:eastAsia="Calibri" w:hAnsi="Arial" w:cs="Arial"/>
          <w:bCs/>
          <w:lang w:eastAsia="es-CO"/>
        </w:rPr>
        <w:t>que celebran</w:t>
      </w:r>
      <w:r w:rsidRPr="007A0C25">
        <w:rPr>
          <w:rFonts w:ascii="Arial" w:eastAsia="Calibri" w:hAnsi="Arial" w:cs="Arial"/>
          <w:bCs/>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lang w:val="es-ES"/>
        </w:rPr>
        <w:t xml:space="preserve"> </w:t>
      </w:r>
    </w:p>
    <w:p w14:paraId="2F1652A0" w14:textId="67868ECA" w:rsidR="008C40BC" w:rsidRDefault="003F1486" w:rsidP="00315ACB">
      <w:pPr>
        <w:tabs>
          <w:tab w:val="left" w:pos="284"/>
        </w:tabs>
        <w:spacing w:after="0" w:line="276" w:lineRule="auto"/>
        <w:contextualSpacing/>
        <w:jc w:val="both"/>
        <w:rPr>
          <w:rFonts w:ascii="Arial" w:eastAsia="Calibri" w:hAnsi="Arial" w:cs="Arial"/>
          <w:color w:val="000000"/>
          <w:lang w:val="es-ES_tradnl"/>
        </w:rPr>
      </w:pPr>
      <w:r>
        <w:rPr>
          <w:rFonts w:ascii="Arial" w:hAnsi="Arial" w:cs="Arial"/>
          <w:bCs/>
          <w:lang w:val="es-ES"/>
        </w:rPr>
        <w:tab/>
      </w:r>
      <w:r>
        <w:rPr>
          <w:rFonts w:ascii="Arial" w:hAnsi="Arial" w:cs="Arial"/>
          <w:bCs/>
          <w:lang w:val="es-ES"/>
        </w:rPr>
        <w:tab/>
        <w:t>Aclarado lo anterior</w:t>
      </w:r>
      <w:r w:rsidRPr="007A0C25">
        <w:rPr>
          <w:rFonts w:ascii="Arial" w:hAnsi="Arial" w:cs="Arial"/>
          <w:bCs/>
          <w:lang w:val="es-ES"/>
        </w:rPr>
        <w:t xml:space="preserve">, </w:t>
      </w:r>
      <w:r>
        <w:rPr>
          <w:rFonts w:ascii="Arial" w:hAnsi="Arial" w:cs="Arial"/>
          <w:bCs/>
          <w:lang w:val="es-ES"/>
        </w:rPr>
        <w:t>esta</w:t>
      </w:r>
      <w:r w:rsidRPr="007A0C25">
        <w:rPr>
          <w:rFonts w:ascii="Arial" w:hAnsi="Arial" w:cs="Arial"/>
          <w:bCs/>
          <w:lang w:val="es-ES"/>
        </w:rPr>
        <w:t xml:space="preserve"> Subdirección –dentro de los límites de sus atribuciones, esto es, haciendo abstracción del caso particular expuesto por el peticionario– resolverá la consulta conforme a las normas generales en materia de contratación estatal</w:t>
      </w:r>
      <w:r w:rsidR="006A47A4">
        <w:rPr>
          <w:rFonts w:ascii="Arial" w:hAnsi="Arial" w:cs="Arial"/>
          <w:bCs/>
          <w:lang w:val="es-ES"/>
        </w:rPr>
        <w:t xml:space="preserve">. </w:t>
      </w:r>
      <w:r w:rsidR="006A47A4">
        <w:rPr>
          <w:rFonts w:ascii="Arial" w:eastAsia="Calibri" w:hAnsi="Arial" w:cs="Arial"/>
          <w:color w:val="000000"/>
          <w:lang w:val="es-ES_tradnl"/>
        </w:rPr>
        <w:t xml:space="preserve">Para estos efectos, se retomarán algunas consideraciones sobre el </w:t>
      </w:r>
      <w:r w:rsidR="00DE357C">
        <w:rPr>
          <w:rFonts w:ascii="Arial" w:eastAsia="Calibri" w:hAnsi="Arial" w:cs="Arial"/>
          <w:color w:val="000000"/>
          <w:lang w:val="es-ES_tradnl"/>
        </w:rPr>
        <w:t xml:space="preserve">contrato de </w:t>
      </w:r>
      <w:r w:rsidR="008C40BC" w:rsidRPr="00C04027">
        <w:rPr>
          <w:rFonts w:ascii="Arial" w:eastAsia="Calibri" w:hAnsi="Arial" w:cs="Arial"/>
          <w:color w:val="000000"/>
          <w:lang w:val="es-ES_tradnl"/>
        </w:rPr>
        <w:t xml:space="preserve">obra pública </w:t>
      </w:r>
      <w:r w:rsidR="00DE357C">
        <w:rPr>
          <w:rFonts w:ascii="Arial" w:eastAsia="Calibri" w:hAnsi="Arial" w:cs="Arial"/>
          <w:color w:val="000000"/>
          <w:lang w:val="es-ES_tradnl"/>
        </w:rPr>
        <w:t xml:space="preserve">realizadas en </w:t>
      </w:r>
      <w:r w:rsidR="008C40BC" w:rsidRPr="00C04027">
        <w:rPr>
          <w:rFonts w:ascii="Arial" w:eastAsia="Calibri" w:hAnsi="Arial" w:cs="Arial"/>
          <w:color w:val="000000"/>
          <w:lang w:val="es-ES_tradnl"/>
        </w:rPr>
        <w:t xml:space="preserve">los </w:t>
      </w:r>
      <w:r w:rsidR="00DE357C">
        <w:rPr>
          <w:rFonts w:ascii="Arial" w:eastAsia="Calibri" w:hAnsi="Arial" w:cs="Arial"/>
          <w:color w:val="000000"/>
          <w:lang w:val="es-ES_tradnl"/>
        </w:rPr>
        <w:t>c</w:t>
      </w:r>
      <w:r w:rsidR="008C40BC" w:rsidRPr="00C04027">
        <w:rPr>
          <w:rFonts w:ascii="Arial" w:eastAsia="Calibri" w:hAnsi="Arial" w:cs="Arial"/>
          <w:color w:val="000000"/>
          <w:lang w:val="es-ES_tradnl"/>
        </w:rPr>
        <w:t>onceptos C-225 del 14 de abril de 2020 y C-768 del 30 de noviembre de 2022</w:t>
      </w:r>
      <w:r w:rsidR="00DE357C">
        <w:rPr>
          <w:rFonts w:ascii="Arial" w:eastAsia="Calibri" w:hAnsi="Arial" w:cs="Arial"/>
          <w:color w:val="000000"/>
          <w:lang w:val="es-ES_tradnl"/>
        </w:rPr>
        <w:t xml:space="preserve">, cuyas </w:t>
      </w:r>
      <w:r w:rsidR="008C40BC" w:rsidRPr="00C04027">
        <w:rPr>
          <w:rFonts w:ascii="Arial" w:eastAsia="Calibri" w:hAnsi="Arial" w:cs="Arial"/>
          <w:color w:val="000000"/>
          <w:lang w:val="es-ES_tradnl"/>
        </w:rPr>
        <w:t xml:space="preserve">tesis </w:t>
      </w:r>
      <w:r w:rsidR="00DE357C">
        <w:rPr>
          <w:rFonts w:ascii="Arial" w:eastAsia="Calibri" w:hAnsi="Arial" w:cs="Arial"/>
          <w:color w:val="000000"/>
          <w:lang w:val="es-ES_tradnl"/>
        </w:rPr>
        <w:t xml:space="preserve">se reiteran a continuación y </w:t>
      </w:r>
      <w:r w:rsidR="008C40BC" w:rsidRPr="00C04027">
        <w:rPr>
          <w:rFonts w:ascii="Arial" w:eastAsia="Calibri" w:hAnsi="Arial" w:cs="Arial"/>
          <w:color w:val="000000"/>
          <w:lang w:val="es-ES_tradnl"/>
        </w:rPr>
        <w:t>se complementa</w:t>
      </w:r>
      <w:r w:rsidR="00DE357C">
        <w:rPr>
          <w:rFonts w:ascii="Arial" w:eastAsia="Calibri" w:hAnsi="Arial" w:cs="Arial"/>
          <w:color w:val="000000"/>
          <w:lang w:val="es-ES_tradnl"/>
        </w:rPr>
        <w:t>n en lo pertinente.</w:t>
      </w:r>
    </w:p>
    <w:p w14:paraId="066C9101" w14:textId="77777777" w:rsidR="008C40BC" w:rsidRPr="002265CA" w:rsidRDefault="008C40BC" w:rsidP="008C40BC">
      <w:pPr>
        <w:spacing w:after="0" w:line="276" w:lineRule="auto"/>
        <w:jc w:val="both"/>
        <w:rPr>
          <w:rFonts w:ascii="Arial" w:eastAsia="Calibri" w:hAnsi="Arial" w:cs="Arial"/>
          <w:color w:val="000000"/>
          <w:lang w:val="es-ES_tradnl"/>
        </w:rPr>
      </w:pPr>
    </w:p>
    <w:p w14:paraId="0E0394C7" w14:textId="77777777" w:rsidR="008C40BC" w:rsidRPr="002265CA" w:rsidRDefault="008C40BC" w:rsidP="008C40BC">
      <w:pPr>
        <w:spacing w:after="0" w:line="276" w:lineRule="auto"/>
        <w:jc w:val="both"/>
        <w:rPr>
          <w:rFonts w:ascii="Arial" w:eastAsia="Calibri" w:hAnsi="Arial" w:cs="Arial"/>
          <w:b/>
          <w:bCs/>
          <w:color w:val="000000"/>
          <w:lang w:val="es-ES_tradnl"/>
        </w:rPr>
      </w:pPr>
      <w:r w:rsidRPr="002265CA">
        <w:rPr>
          <w:rFonts w:ascii="Arial" w:eastAsia="Calibri" w:hAnsi="Arial" w:cs="Arial"/>
          <w:b/>
          <w:bCs/>
          <w:color w:val="000000"/>
          <w:lang w:val="es-ES_tradnl"/>
        </w:rPr>
        <w:t xml:space="preserve">2.1. Obra pública: características y objeto </w:t>
      </w:r>
    </w:p>
    <w:p w14:paraId="3A6F5FB9" w14:textId="77777777" w:rsidR="008C40BC" w:rsidRPr="002265CA" w:rsidRDefault="008C40BC" w:rsidP="008C40BC">
      <w:pPr>
        <w:spacing w:after="0" w:line="240" w:lineRule="auto"/>
        <w:jc w:val="both"/>
        <w:rPr>
          <w:rFonts w:ascii="Arial" w:eastAsia="Calibri" w:hAnsi="Arial" w:cs="Arial"/>
          <w:b/>
          <w:bCs/>
          <w:color w:val="000000"/>
          <w:lang w:val="es-ES_tradnl"/>
        </w:rPr>
      </w:pPr>
    </w:p>
    <w:p w14:paraId="5DB81658" w14:textId="77777777" w:rsidR="008C40BC" w:rsidRPr="002265CA" w:rsidRDefault="008C40BC" w:rsidP="008C40BC">
      <w:pPr>
        <w:spacing w:after="0" w:line="276" w:lineRule="auto"/>
        <w:jc w:val="both"/>
        <w:rPr>
          <w:rFonts w:ascii="Arial" w:eastAsia="Calibri" w:hAnsi="Arial" w:cs="Arial"/>
          <w:color w:val="000000"/>
          <w:lang w:val="es-ES_tradnl"/>
        </w:rPr>
      </w:pPr>
      <w:r w:rsidRPr="002265CA">
        <w:rPr>
          <w:rFonts w:ascii="Arial" w:eastAsia="Calibri" w:hAnsi="Arial" w:cs="Arial"/>
          <w:color w:val="000000"/>
          <w:lang w:val="es-ES_tradnl"/>
        </w:rPr>
        <w:t>Conforme a</w:t>
      </w:r>
      <w:r>
        <w:rPr>
          <w:rFonts w:ascii="Arial" w:eastAsia="Calibri" w:hAnsi="Arial" w:cs="Arial"/>
          <w:color w:val="000000"/>
          <w:lang w:val="es-ES_tradnl"/>
        </w:rPr>
        <w:t xml:space="preserve"> lo explicado en los</w:t>
      </w:r>
      <w:r w:rsidRPr="002265CA">
        <w:rPr>
          <w:rFonts w:ascii="Arial" w:eastAsia="Calibri" w:hAnsi="Arial" w:cs="Arial"/>
          <w:color w:val="000000"/>
          <w:lang w:val="es-ES_tradnl"/>
        </w:rPr>
        <w:t xml:space="preserve"> </w:t>
      </w:r>
      <w:r>
        <w:rPr>
          <w:rFonts w:ascii="Arial" w:eastAsia="Calibri" w:hAnsi="Arial" w:cs="Arial"/>
          <w:color w:val="000000"/>
          <w:lang w:val="es-ES_tradnl"/>
        </w:rPr>
        <w:t>c</w:t>
      </w:r>
      <w:r w:rsidRPr="002265CA">
        <w:rPr>
          <w:rFonts w:ascii="Arial" w:eastAsia="Calibri" w:hAnsi="Arial" w:cs="Arial"/>
          <w:color w:val="000000"/>
          <w:lang w:val="es-ES_tradnl"/>
        </w:rPr>
        <w:t>oncepto</w:t>
      </w:r>
      <w:r>
        <w:rPr>
          <w:rFonts w:ascii="Arial" w:eastAsia="Calibri" w:hAnsi="Arial" w:cs="Arial"/>
          <w:color w:val="000000"/>
          <w:lang w:val="es-ES_tradnl"/>
        </w:rPr>
        <w:t>s</w:t>
      </w:r>
      <w:r w:rsidRPr="002265CA">
        <w:rPr>
          <w:rFonts w:ascii="Arial" w:eastAsia="Calibri" w:hAnsi="Arial" w:cs="Arial"/>
          <w:color w:val="000000"/>
          <w:lang w:val="es-ES_tradnl"/>
        </w:rPr>
        <w:t xml:space="preserve"> con radicado No. 4201913000008014 del 24 de diciembre de 2019</w:t>
      </w:r>
      <w:r>
        <w:rPr>
          <w:rFonts w:ascii="Arial" w:eastAsia="Calibri" w:hAnsi="Arial" w:cs="Arial"/>
          <w:color w:val="000000"/>
          <w:lang w:val="es-ES_tradnl"/>
        </w:rPr>
        <w:t xml:space="preserve"> y C-225 del 14 de abril de 2020</w:t>
      </w:r>
      <w:r w:rsidRPr="002265CA">
        <w:rPr>
          <w:rFonts w:ascii="Arial" w:eastAsia="Calibri" w:hAnsi="Arial" w:cs="Arial"/>
          <w:color w:val="000000"/>
          <w:lang w:val="es-ES_tradnl"/>
        </w:rPr>
        <w:t xml:space="preserve">, Colombia </w:t>
      </w:r>
      <w:r>
        <w:rPr>
          <w:rFonts w:ascii="Arial" w:eastAsia="Calibri" w:hAnsi="Arial" w:cs="Arial"/>
          <w:color w:val="000000"/>
          <w:lang w:val="es-ES_tradnl"/>
        </w:rPr>
        <w:t>C</w:t>
      </w:r>
      <w:r w:rsidRPr="002265CA">
        <w:rPr>
          <w:rFonts w:ascii="Arial" w:eastAsia="Calibri" w:hAnsi="Arial" w:cs="Arial"/>
          <w:color w:val="000000"/>
          <w:lang w:val="es-ES_tradnl"/>
        </w:rPr>
        <w:t xml:space="preserve">ompra </w:t>
      </w:r>
      <w:r>
        <w:rPr>
          <w:rFonts w:ascii="Arial" w:eastAsia="Calibri" w:hAnsi="Arial" w:cs="Arial"/>
          <w:color w:val="000000"/>
          <w:lang w:val="es-ES_tradnl"/>
        </w:rPr>
        <w:t>E</w:t>
      </w:r>
      <w:r w:rsidRPr="002265CA">
        <w:rPr>
          <w:rFonts w:ascii="Arial" w:eastAsia="Calibri" w:hAnsi="Arial" w:cs="Arial"/>
          <w:color w:val="000000"/>
          <w:lang w:val="es-ES_tradnl"/>
        </w:rPr>
        <w:t xml:space="preserve">ficiente sostiene que 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w:t>
      </w:r>
      <w:r w:rsidRPr="002265CA">
        <w:rPr>
          <w:rFonts w:ascii="Arial" w:eastAsia="Calibri" w:hAnsi="Arial" w:cs="Arial"/>
          <w:color w:val="000000"/>
          <w:lang w:val="es-ES_tradnl"/>
        </w:rPr>
        <w:lastRenderedPageBreak/>
        <w:t xml:space="preserve">relevancia, en la medida </w:t>
      </w:r>
      <w:r>
        <w:rPr>
          <w:rFonts w:ascii="Arial" w:eastAsia="Calibri" w:hAnsi="Arial" w:cs="Arial"/>
          <w:color w:val="000000"/>
          <w:lang w:val="es-ES_tradnl"/>
        </w:rPr>
        <w:t xml:space="preserve">en </w:t>
      </w:r>
      <w:r w:rsidRPr="002265CA">
        <w:rPr>
          <w:rFonts w:ascii="Arial" w:eastAsia="Calibri" w:hAnsi="Arial" w:cs="Arial"/>
          <w:color w:val="000000"/>
          <w:lang w:val="es-ES_tradnl"/>
        </w:rPr>
        <w:t xml:space="preserve">que dicho tipo contractual se diferencia de la definición y regulación prevista en el derecho privado para el contrato de confección de obra material regulado en el Código Civil.   </w:t>
      </w:r>
    </w:p>
    <w:p w14:paraId="7A3E1B83" w14:textId="77777777" w:rsidR="008C40BC" w:rsidRPr="002265CA" w:rsidRDefault="008C40BC" w:rsidP="008C40BC">
      <w:pPr>
        <w:spacing w:before="120" w:after="0" w:line="276" w:lineRule="auto"/>
        <w:ind w:firstLine="709"/>
        <w:jc w:val="both"/>
        <w:rPr>
          <w:rFonts w:ascii="Arial" w:eastAsia="Calibri" w:hAnsi="Arial" w:cs="Arial"/>
          <w:color w:val="000000"/>
          <w:lang w:val="es-ES_tradnl"/>
        </w:rPr>
      </w:pPr>
      <w:r w:rsidRPr="002265CA">
        <w:rPr>
          <w:rFonts w:ascii="Arial" w:eastAsia="Calibri" w:hAnsi="Arial" w:cs="Arial"/>
          <w:color w:val="000000"/>
          <w:lang w:val="es-ES_tradnl"/>
        </w:rPr>
        <w:t xml:space="preserve">En efecto, </w:t>
      </w:r>
      <w:r>
        <w:rPr>
          <w:rFonts w:ascii="Arial" w:eastAsia="Calibri" w:hAnsi="Arial" w:cs="Arial"/>
          <w:color w:val="000000"/>
          <w:lang w:val="es-ES_tradnl"/>
        </w:rPr>
        <w:t xml:space="preserve">en </w:t>
      </w:r>
      <w:r w:rsidRPr="002265CA">
        <w:rPr>
          <w:rFonts w:ascii="Arial" w:eastAsia="Calibri" w:hAnsi="Arial" w:cs="Arial"/>
          <w:color w:val="000000"/>
          <w:lang w:val="es-ES_tradnl"/>
        </w:rPr>
        <w:t xml:space="preserve">el derecho privado brilla por </w:t>
      </w:r>
      <w:r>
        <w:rPr>
          <w:rFonts w:ascii="Arial" w:eastAsia="Calibri" w:hAnsi="Arial" w:cs="Arial"/>
          <w:color w:val="000000"/>
          <w:lang w:val="es-ES_tradnl"/>
        </w:rPr>
        <w:t>su</w:t>
      </w:r>
      <w:r w:rsidRPr="002265CA">
        <w:rPr>
          <w:rFonts w:ascii="Arial" w:eastAsia="Calibri" w:hAnsi="Arial" w:cs="Arial"/>
          <w:color w:val="000000"/>
          <w:lang w:val="es-ES_tradnl"/>
        </w:rPr>
        <w:t xml:space="preserve"> ausencia una definición del contrato de obra. El artículo 2053 del Código Civil lo tipifica como una de las clases de arrendamiento y establece reglas para diferenciarlo de la compraventa, para lo cual dispone que </w:t>
      </w:r>
      <w:r>
        <w:rPr>
          <w:rFonts w:ascii="Arial" w:eastAsia="Calibri" w:hAnsi="Arial" w:cs="Arial"/>
          <w:color w:val="000000"/>
          <w:lang w:val="es-ES_tradnl"/>
        </w:rPr>
        <w:t>“</w:t>
      </w:r>
      <w:r w:rsidRPr="002265CA">
        <w:rPr>
          <w:rFonts w:ascii="Arial" w:eastAsia="Calibri" w:hAnsi="Arial" w:cs="Arial"/>
          <w:color w:val="000000"/>
          <w:lang w:val="es-ES_tradnl"/>
        </w:rPr>
        <w:t>Si al artífice suministra la materia para la confección de una obra material, el contrato es de venta; pero no se perfecciona sino por la aprobación del que ordenó la obra</w:t>
      </w:r>
      <w:r>
        <w:rPr>
          <w:rFonts w:ascii="Arial" w:eastAsia="Calibri" w:hAnsi="Arial" w:cs="Arial"/>
          <w:color w:val="000000"/>
          <w:lang w:val="es-ES_tradnl"/>
        </w:rPr>
        <w:t>”</w:t>
      </w:r>
      <w:r w:rsidRPr="002265CA">
        <w:rPr>
          <w:rFonts w:ascii="Arial" w:eastAsia="Calibri" w:hAnsi="Arial" w:cs="Arial"/>
          <w:color w:val="000000"/>
          <w:lang w:val="es-ES_tradnl"/>
        </w:rPr>
        <w:t xml:space="preserve">. Por el contrario, </w:t>
      </w:r>
      <w:r>
        <w:rPr>
          <w:rFonts w:ascii="Arial" w:eastAsia="Calibri" w:hAnsi="Arial" w:cs="Arial"/>
          <w:color w:val="000000"/>
          <w:lang w:val="es-ES_tradnl"/>
        </w:rPr>
        <w:t>“</w:t>
      </w:r>
      <w:r w:rsidRPr="002265CA">
        <w:rPr>
          <w:rFonts w:ascii="Arial" w:eastAsia="Calibri" w:hAnsi="Arial" w:cs="Arial"/>
          <w:color w:val="000000"/>
          <w:lang w:val="es-ES_tradnl"/>
        </w:rPr>
        <w:t>Si la materia es suministrada por la persona que encargó la obra, el contrato es de arrendamiento</w:t>
      </w:r>
      <w:r>
        <w:rPr>
          <w:rFonts w:ascii="Arial" w:eastAsia="Calibri" w:hAnsi="Arial" w:cs="Arial"/>
          <w:color w:val="000000"/>
          <w:lang w:val="es-ES_tradnl"/>
        </w:rPr>
        <w:t>”</w:t>
      </w:r>
      <w:r w:rsidRPr="002265CA">
        <w:rPr>
          <w:rFonts w:ascii="Arial" w:eastAsia="Calibri" w:hAnsi="Arial" w:cs="Arial"/>
          <w:color w:val="000000"/>
          <w:lang w:val="es-ES_tradnl"/>
        </w:rPr>
        <w:t xml:space="preserve">; pero </w:t>
      </w:r>
      <w:r>
        <w:rPr>
          <w:rFonts w:ascii="Arial" w:eastAsia="Calibri" w:hAnsi="Arial" w:cs="Arial"/>
          <w:color w:val="000000"/>
          <w:lang w:val="es-ES_tradnl"/>
        </w:rPr>
        <w:t>“</w:t>
      </w:r>
      <w:r w:rsidRPr="002265CA">
        <w:rPr>
          <w:rFonts w:ascii="Arial" w:eastAsia="Calibri" w:hAnsi="Arial" w:cs="Arial"/>
          <w:color w:val="000000"/>
          <w:lang w:val="es-ES_tradnl"/>
        </w:rPr>
        <w:t>Si la materia principal es suministrada por el que ha ordenado la obra, poniendo el artífice lo demás, el contrato es de arrendamiento; en el caso contrario, de venta</w:t>
      </w:r>
      <w:r>
        <w:rPr>
          <w:rFonts w:ascii="Arial" w:eastAsia="Calibri" w:hAnsi="Arial" w:cs="Arial"/>
          <w:color w:val="000000"/>
          <w:lang w:val="es-ES_tradnl"/>
        </w:rPr>
        <w:t>”</w:t>
      </w:r>
      <w:r w:rsidRPr="002265CA">
        <w:rPr>
          <w:rFonts w:ascii="Arial" w:eastAsia="Calibri" w:hAnsi="Arial" w:cs="Arial"/>
          <w:color w:val="000000"/>
          <w:lang w:val="es-ES_tradnl"/>
        </w:rPr>
        <w:t>.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3BB25FDC" w14:textId="77777777" w:rsidR="008C40BC" w:rsidRDefault="008C40BC" w:rsidP="008C40BC">
      <w:pPr>
        <w:spacing w:after="0" w:line="240" w:lineRule="auto"/>
        <w:ind w:left="709" w:right="709"/>
        <w:jc w:val="both"/>
        <w:rPr>
          <w:rFonts w:ascii="Arial" w:eastAsia="Calibri" w:hAnsi="Arial" w:cs="Arial"/>
          <w:color w:val="000000"/>
          <w:sz w:val="21"/>
          <w:szCs w:val="21"/>
          <w:lang w:val="es-ES_tradnl"/>
        </w:rPr>
      </w:pPr>
    </w:p>
    <w:p w14:paraId="45144AB8" w14:textId="1D58579B" w:rsidR="008C40BC" w:rsidRPr="002265CA" w:rsidRDefault="00DE357C" w:rsidP="008C40BC">
      <w:pPr>
        <w:spacing w:after="12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8C40BC" w:rsidRPr="002265CA">
        <w:rPr>
          <w:rFonts w:ascii="Arial" w:eastAsia="Calibri" w:hAnsi="Arial" w:cs="Arial"/>
          <w:color w:val="000000"/>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36835FD8" w14:textId="13A9469B" w:rsidR="008C40BC" w:rsidRPr="002265CA" w:rsidRDefault="008C40BC" w:rsidP="008C40BC">
      <w:pPr>
        <w:spacing w:after="0" w:line="240" w:lineRule="auto"/>
        <w:ind w:left="709" w:right="709"/>
        <w:jc w:val="both"/>
        <w:rPr>
          <w:rFonts w:ascii="Arial" w:eastAsia="Calibri" w:hAnsi="Arial" w:cs="Arial"/>
          <w:color w:val="000000"/>
          <w:sz w:val="21"/>
          <w:szCs w:val="21"/>
          <w:lang w:val="es-ES_tradnl"/>
        </w:rPr>
      </w:pPr>
      <w:r w:rsidRPr="002265CA">
        <w:rPr>
          <w:rFonts w:ascii="Arial" w:eastAsia="Calibri" w:hAnsi="Arial" w:cs="Arial"/>
          <w:color w:val="000000"/>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00DE357C">
        <w:rPr>
          <w:rFonts w:ascii="Arial" w:eastAsia="Calibri" w:hAnsi="Arial" w:cs="Arial"/>
          <w:color w:val="000000"/>
          <w:sz w:val="21"/>
          <w:szCs w:val="21"/>
          <w:lang w:val="es-ES_tradnl"/>
        </w:rPr>
        <w:t>”</w:t>
      </w:r>
      <w:r w:rsidRPr="002265CA">
        <w:rPr>
          <w:rFonts w:ascii="Arial" w:eastAsia="Calibri" w:hAnsi="Arial" w:cs="Arial"/>
          <w:color w:val="000000"/>
          <w:sz w:val="21"/>
          <w:szCs w:val="21"/>
          <w:vertAlign w:val="superscript"/>
          <w:lang w:val="es-ES_tradnl"/>
        </w:rPr>
        <w:footnoteReference w:id="2"/>
      </w:r>
      <w:r w:rsidRPr="002265CA">
        <w:rPr>
          <w:rFonts w:ascii="Arial" w:eastAsia="Calibri" w:hAnsi="Arial" w:cs="Arial"/>
          <w:color w:val="000000"/>
          <w:sz w:val="21"/>
          <w:szCs w:val="21"/>
          <w:lang w:val="es-ES_tradnl"/>
        </w:rPr>
        <w:t xml:space="preserve">.  </w:t>
      </w:r>
    </w:p>
    <w:p w14:paraId="6900A3A1" w14:textId="77777777" w:rsidR="008C40BC" w:rsidRPr="002265CA" w:rsidRDefault="008C40BC" w:rsidP="008C40BC">
      <w:pPr>
        <w:spacing w:after="0" w:line="240" w:lineRule="auto"/>
        <w:ind w:left="709" w:right="709"/>
        <w:jc w:val="both"/>
        <w:rPr>
          <w:rFonts w:ascii="Arial" w:eastAsia="Calibri" w:hAnsi="Arial" w:cs="Arial"/>
          <w:color w:val="000000"/>
          <w:sz w:val="21"/>
          <w:szCs w:val="21"/>
          <w:lang w:val="es-ES_tradnl"/>
        </w:rPr>
      </w:pPr>
      <w:r w:rsidRPr="002265CA">
        <w:rPr>
          <w:rFonts w:ascii="Arial" w:eastAsia="Calibri" w:hAnsi="Arial" w:cs="Arial"/>
          <w:color w:val="000000"/>
          <w:sz w:val="21"/>
          <w:szCs w:val="21"/>
          <w:lang w:val="es-ES_tradnl"/>
        </w:rPr>
        <w:t xml:space="preserve">        </w:t>
      </w:r>
    </w:p>
    <w:p w14:paraId="5892403D" w14:textId="77777777" w:rsidR="008C40BC" w:rsidRPr="002265CA" w:rsidRDefault="008C40BC" w:rsidP="008C40BC">
      <w:pPr>
        <w:spacing w:after="0" w:line="276" w:lineRule="auto"/>
        <w:ind w:firstLine="709"/>
        <w:jc w:val="both"/>
        <w:rPr>
          <w:rFonts w:ascii="Arial" w:eastAsia="Calibri" w:hAnsi="Arial" w:cs="Arial"/>
          <w:color w:val="000000"/>
          <w:lang w:val="es-ES_tradnl"/>
        </w:rPr>
      </w:pPr>
      <w:bookmarkStart w:id="3" w:name="_Hlk35420344"/>
      <w:r w:rsidRPr="002265CA">
        <w:rPr>
          <w:rFonts w:ascii="Arial" w:eastAsia="Calibri" w:hAnsi="Arial" w:cs="Arial"/>
          <w:color w:val="000000"/>
          <w:lang w:val="es-ES_tradnl"/>
        </w:rPr>
        <w:t xml:space="preserve">En </w:t>
      </w:r>
      <w:r w:rsidRPr="002265CA">
        <w:rPr>
          <w:rFonts w:ascii="Arial" w:eastAsia="Calibri" w:hAnsi="Arial" w:cs="Arial"/>
          <w:i/>
          <w:iCs/>
          <w:color w:val="000000"/>
          <w:lang w:val="es-ES_tradnl"/>
        </w:rPr>
        <w:t>sentido amplio</w:t>
      </w:r>
      <w:r w:rsidRPr="002265CA">
        <w:rPr>
          <w:rFonts w:ascii="Arial" w:eastAsia="Calibri" w:hAnsi="Arial" w:cs="Arial"/>
          <w:color w:val="000000"/>
          <w:lang w:val="es-ES_tradnl"/>
        </w:rPr>
        <w:t xml:space="preserve">, dado que la </w:t>
      </w:r>
      <w:r>
        <w:rPr>
          <w:rFonts w:ascii="Arial" w:eastAsia="Calibri" w:hAnsi="Arial" w:cs="Arial"/>
          <w:color w:val="000000"/>
          <w:lang w:val="es-ES_tradnl"/>
        </w:rPr>
        <w:t>“</w:t>
      </w:r>
      <w:r w:rsidRPr="002265CA">
        <w:rPr>
          <w:rFonts w:ascii="Arial" w:eastAsia="Calibri" w:hAnsi="Arial" w:cs="Arial"/>
          <w:color w:val="000000"/>
          <w:lang w:val="es-ES_tradnl"/>
        </w:rPr>
        <w:t>obra</w:t>
      </w:r>
      <w:r>
        <w:rPr>
          <w:rFonts w:ascii="Arial" w:eastAsia="Calibri" w:hAnsi="Arial" w:cs="Arial"/>
          <w:color w:val="000000"/>
          <w:lang w:val="es-ES_tradnl"/>
        </w:rPr>
        <w:t>”</w:t>
      </w:r>
      <w:r w:rsidRPr="002265CA">
        <w:rPr>
          <w:rFonts w:ascii="Arial" w:eastAsia="Calibri" w:hAnsi="Arial" w:cs="Arial"/>
          <w:color w:val="000000"/>
          <w:lang w:val="es-ES_tradnl"/>
        </w:rPr>
        <w:t xml:space="preserve"> es un bien que crea la actividad humana, el hecho de que sea </w:t>
      </w:r>
      <w:r>
        <w:rPr>
          <w:rFonts w:ascii="Arial" w:eastAsia="Calibri" w:hAnsi="Arial" w:cs="Arial"/>
          <w:color w:val="000000"/>
          <w:lang w:val="es-ES_tradnl"/>
        </w:rPr>
        <w:t>“</w:t>
      </w:r>
      <w:r w:rsidRPr="002265CA">
        <w:rPr>
          <w:rFonts w:ascii="Arial" w:eastAsia="Calibri" w:hAnsi="Arial" w:cs="Arial"/>
          <w:color w:val="000000"/>
          <w:lang w:val="es-ES_tradnl"/>
        </w:rPr>
        <w:t>p</w:t>
      </w:r>
      <w:r>
        <w:rPr>
          <w:rFonts w:ascii="Arial" w:eastAsia="Calibri" w:hAnsi="Arial" w:cs="Arial"/>
          <w:color w:val="000000"/>
          <w:lang w:val="es-ES_tradnl"/>
        </w:rPr>
        <w:t>ú</w:t>
      </w:r>
      <w:r w:rsidRPr="002265CA">
        <w:rPr>
          <w:rFonts w:ascii="Arial" w:eastAsia="Calibri" w:hAnsi="Arial" w:cs="Arial"/>
          <w:color w:val="000000"/>
          <w:lang w:val="es-ES_tradnl"/>
        </w:rPr>
        <w:t>blica</w:t>
      </w:r>
      <w:r>
        <w:rPr>
          <w:rFonts w:ascii="Arial" w:eastAsia="Calibri" w:hAnsi="Arial" w:cs="Arial"/>
          <w:color w:val="000000"/>
          <w:lang w:val="es-ES_tradnl"/>
        </w:rPr>
        <w:t>”</w:t>
      </w:r>
      <w:r w:rsidRPr="002265CA">
        <w:rPr>
          <w:rFonts w:ascii="Arial" w:eastAsia="Calibri" w:hAnsi="Arial" w:cs="Arial"/>
          <w:color w:val="000000"/>
          <w:lang w:val="es-ES_tradnl"/>
        </w:rPr>
        <w:t xml:space="preserve"> significa que es todo trabajo material en cuya creación o realización interviene el Estado. No obstante, el numeral 1 del artículo 32 de la Ley 80 de 1993 opta por un </w:t>
      </w:r>
      <w:r w:rsidRPr="002265CA">
        <w:rPr>
          <w:rFonts w:ascii="Arial" w:eastAsia="Calibri" w:hAnsi="Arial" w:cs="Arial"/>
          <w:i/>
          <w:iCs/>
          <w:color w:val="000000"/>
          <w:lang w:val="es-ES_tradnl"/>
        </w:rPr>
        <w:t>sentido restringido</w:t>
      </w:r>
      <w:r w:rsidRPr="002265CA">
        <w:rPr>
          <w:rFonts w:ascii="Arial" w:eastAsia="Calibri" w:hAnsi="Arial" w:cs="Arial"/>
          <w:color w:val="000000"/>
          <w:lang w:val="es-ES_tradnl"/>
        </w:rPr>
        <w:t xml:space="preserve">, al disponer que </w:t>
      </w:r>
      <w:r>
        <w:rPr>
          <w:rFonts w:ascii="Arial" w:eastAsia="Calibri" w:hAnsi="Arial" w:cs="Arial"/>
          <w:color w:val="000000"/>
          <w:lang w:val="es-ES_tradnl"/>
        </w:rPr>
        <w:t>“</w:t>
      </w:r>
      <w:r w:rsidRPr="002265CA">
        <w:rPr>
          <w:rFonts w:ascii="Arial" w:eastAsia="Calibri" w:hAnsi="Arial" w:cs="Arial"/>
          <w:color w:val="000000"/>
          <w:lang w:val="es-ES_tradnl"/>
        </w:rPr>
        <w:t>Son contratos de obra los que celebren las entidades estatales para la construcción, mantenimiento, instalación y, en general, para la realización de cualquier otro trabajo material sobre bienes inmuebles, cualquiera que sea la modalidad de ejecución y pago</w:t>
      </w:r>
      <w:r>
        <w:rPr>
          <w:rFonts w:ascii="Arial" w:eastAsia="Calibri" w:hAnsi="Arial" w:cs="Arial"/>
          <w:color w:val="000000"/>
          <w:lang w:val="es-ES_tradnl"/>
        </w:rPr>
        <w:t>”</w:t>
      </w:r>
      <w:r w:rsidRPr="002265CA">
        <w:rPr>
          <w:rFonts w:ascii="Arial" w:eastAsia="Calibri" w:hAnsi="Arial" w:cs="Arial"/>
          <w:color w:val="000000"/>
          <w:lang w:val="es-ES_tradnl"/>
        </w:rPr>
        <w:t xml:space="preserve">,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w:t>
      </w:r>
      <w:r w:rsidRPr="002265CA">
        <w:rPr>
          <w:rFonts w:ascii="Arial" w:eastAsia="Calibri" w:hAnsi="Arial" w:cs="Arial"/>
          <w:color w:val="000000"/>
          <w:lang w:val="es-ES_tradnl"/>
        </w:rPr>
        <w:lastRenderedPageBreak/>
        <w:t>modificar bienes inmuebles, lo cual incluye trabajos de construcción, instalación, conservación, mantenimiento, reparación y demolición de esos mismos</w:t>
      </w:r>
      <w:bookmarkEnd w:id="3"/>
      <w:r w:rsidRPr="002265CA">
        <w:rPr>
          <w:rFonts w:ascii="Arial" w:eastAsia="Calibri" w:hAnsi="Arial" w:cs="Arial"/>
          <w:color w:val="000000"/>
          <w:vertAlign w:val="superscript"/>
          <w:lang w:val="es-ES_tradnl"/>
        </w:rPr>
        <w:footnoteReference w:id="3"/>
      </w:r>
      <w:r w:rsidRPr="002265CA">
        <w:rPr>
          <w:rFonts w:ascii="Arial" w:eastAsia="Calibri" w:hAnsi="Arial" w:cs="Arial"/>
          <w:color w:val="000000"/>
          <w:lang w:val="es-ES_tradnl"/>
        </w:rPr>
        <w:t>. De esta manera:</w:t>
      </w:r>
    </w:p>
    <w:p w14:paraId="7DB73B73" w14:textId="77777777" w:rsidR="008C40BC" w:rsidRPr="002265CA" w:rsidRDefault="008C40BC" w:rsidP="008C40BC">
      <w:pPr>
        <w:spacing w:after="0" w:line="240" w:lineRule="auto"/>
        <w:ind w:firstLine="709"/>
        <w:jc w:val="both"/>
        <w:rPr>
          <w:rFonts w:ascii="Arial" w:eastAsia="Calibri" w:hAnsi="Arial" w:cs="Arial"/>
          <w:color w:val="000000"/>
          <w:lang w:val="es-ES_tradnl"/>
        </w:rPr>
      </w:pPr>
    </w:p>
    <w:p w14:paraId="79709C11" w14:textId="71824C1C" w:rsidR="008C40BC" w:rsidRPr="002265CA" w:rsidRDefault="00DE357C" w:rsidP="008C40BC">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8C40BC" w:rsidRPr="002265CA">
        <w:rPr>
          <w:rFonts w:ascii="Arial" w:eastAsia="Calibri" w:hAnsi="Arial" w:cs="Arial"/>
          <w:color w:val="000000"/>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70202A97" w14:textId="529073E2" w:rsidR="008C40BC" w:rsidRPr="002265CA" w:rsidRDefault="008C40BC" w:rsidP="008C40BC">
      <w:pPr>
        <w:spacing w:before="120" w:after="0" w:line="240" w:lineRule="auto"/>
        <w:ind w:left="709" w:right="709"/>
        <w:jc w:val="both"/>
        <w:rPr>
          <w:rFonts w:ascii="Arial" w:eastAsia="Calibri" w:hAnsi="Arial" w:cs="Arial"/>
          <w:color w:val="000000"/>
          <w:sz w:val="21"/>
          <w:szCs w:val="21"/>
          <w:lang w:val="es-ES_tradnl"/>
        </w:rPr>
      </w:pPr>
      <w:r w:rsidRPr="002265CA">
        <w:rPr>
          <w:rFonts w:ascii="Arial" w:eastAsia="Calibri" w:hAnsi="Arial" w:cs="Arial"/>
          <w:color w:val="000000"/>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00DE357C">
        <w:rPr>
          <w:rFonts w:ascii="Arial" w:eastAsia="Calibri" w:hAnsi="Arial" w:cs="Arial"/>
          <w:color w:val="000000"/>
          <w:sz w:val="21"/>
          <w:szCs w:val="21"/>
          <w:lang w:val="es-ES_tradnl"/>
        </w:rPr>
        <w:t>”</w:t>
      </w:r>
      <w:r w:rsidRPr="002265CA">
        <w:rPr>
          <w:rFonts w:ascii="Arial" w:eastAsia="Calibri" w:hAnsi="Arial" w:cs="Arial"/>
          <w:color w:val="000000"/>
          <w:sz w:val="21"/>
          <w:szCs w:val="21"/>
          <w:vertAlign w:val="superscript"/>
          <w:lang w:val="es-ES_tradnl"/>
        </w:rPr>
        <w:footnoteReference w:id="4"/>
      </w:r>
      <w:r w:rsidRPr="002265CA">
        <w:rPr>
          <w:rFonts w:ascii="Arial" w:eastAsia="Calibri" w:hAnsi="Arial" w:cs="Arial"/>
          <w:color w:val="000000"/>
          <w:sz w:val="21"/>
          <w:szCs w:val="21"/>
          <w:lang w:val="es-ES_tradnl"/>
        </w:rPr>
        <w:t>.</w:t>
      </w:r>
    </w:p>
    <w:p w14:paraId="1D0ECAC9" w14:textId="77777777" w:rsidR="008C40BC" w:rsidRPr="002265CA" w:rsidRDefault="008C40BC" w:rsidP="008C40BC">
      <w:pPr>
        <w:spacing w:after="0" w:line="240" w:lineRule="auto"/>
        <w:ind w:left="709" w:right="709"/>
        <w:jc w:val="both"/>
        <w:rPr>
          <w:rFonts w:ascii="Arial" w:eastAsia="Calibri" w:hAnsi="Arial" w:cs="Arial"/>
          <w:color w:val="000000"/>
          <w:sz w:val="21"/>
          <w:szCs w:val="21"/>
          <w:lang w:val="es-ES_tradnl"/>
        </w:rPr>
      </w:pPr>
    </w:p>
    <w:p w14:paraId="5B863219" w14:textId="77777777" w:rsidR="008C40BC" w:rsidRDefault="008C40BC" w:rsidP="008C40BC">
      <w:pPr>
        <w:spacing w:after="0" w:line="276" w:lineRule="auto"/>
        <w:ind w:firstLine="709"/>
        <w:jc w:val="both"/>
        <w:rPr>
          <w:rFonts w:ascii="Arial" w:eastAsia="Calibri" w:hAnsi="Arial" w:cs="Arial"/>
          <w:color w:val="000000"/>
          <w:lang w:val="es-ES_tradnl"/>
        </w:rPr>
      </w:pPr>
      <w:r w:rsidRPr="002265CA">
        <w:rPr>
          <w:rFonts w:ascii="Arial" w:eastAsia="Calibri" w:hAnsi="Arial" w:cs="Arial"/>
          <w:color w:val="000000"/>
          <w:lang w:val="es-ES_tradnl"/>
        </w:rPr>
        <w:t xml:space="preserve">En la disposición citada 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o la demolición. En este marco, para que las actividades de </w:t>
      </w:r>
      <w:r>
        <w:rPr>
          <w:rFonts w:ascii="Arial" w:eastAsia="Calibri" w:hAnsi="Arial" w:cs="Arial"/>
          <w:color w:val="000000"/>
          <w:lang w:val="es-ES_tradnl"/>
        </w:rPr>
        <w:t xml:space="preserve">cierre de predios rurales </w:t>
      </w:r>
      <w:r w:rsidRPr="002265CA">
        <w:rPr>
          <w:rFonts w:ascii="Arial" w:eastAsia="Calibri" w:hAnsi="Arial" w:cs="Arial"/>
          <w:color w:val="000000"/>
          <w:lang w:val="es-ES_tradnl"/>
        </w:rPr>
        <w:t>sean consideradas contratos de obra deben implicar una actividad material sobre bienes inmuebles</w:t>
      </w:r>
      <w:r>
        <w:rPr>
          <w:rFonts w:ascii="Arial" w:eastAsia="Calibri" w:hAnsi="Arial" w:cs="Arial"/>
          <w:color w:val="000000"/>
          <w:lang w:val="es-ES_tradnl"/>
        </w:rPr>
        <w:t>.</w:t>
      </w:r>
    </w:p>
    <w:p w14:paraId="3A213E1E" w14:textId="77777777" w:rsidR="001B436E" w:rsidRDefault="001B436E" w:rsidP="008C40BC">
      <w:pPr>
        <w:spacing w:after="0" w:line="276" w:lineRule="auto"/>
        <w:jc w:val="both"/>
        <w:rPr>
          <w:rFonts w:ascii="Arial" w:eastAsia="Calibri" w:hAnsi="Arial" w:cs="Arial"/>
          <w:color w:val="000000"/>
          <w:lang w:val="es-ES_tradnl"/>
        </w:rPr>
      </w:pPr>
    </w:p>
    <w:p w14:paraId="23E94B17" w14:textId="46A16EB7" w:rsidR="008C40BC" w:rsidRPr="00C04027" w:rsidRDefault="008C40BC" w:rsidP="008C40BC">
      <w:pPr>
        <w:spacing w:after="0" w:line="276" w:lineRule="auto"/>
        <w:jc w:val="both"/>
        <w:rPr>
          <w:rFonts w:ascii="Arial" w:eastAsia="Calibri" w:hAnsi="Arial" w:cs="Arial"/>
          <w:b/>
          <w:bCs/>
          <w:color w:val="000000"/>
          <w:lang w:val="es-ES_tradnl"/>
        </w:rPr>
      </w:pPr>
      <w:r w:rsidRPr="00C04027">
        <w:rPr>
          <w:rFonts w:ascii="Arial" w:eastAsia="Calibri" w:hAnsi="Arial" w:cs="Arial"/>
          <w:b/>
          <w:bCs/>
          <w:color w:val="000000"/>
          <w:lang w:val="es-ES_tradnl"/>
        </w:rPr>
        <w:t xml:space="preserve">2.2. </w:t>
      </w:r>
      <w:r w:rsidR="00657C43">
        <w:rPr>
          <w:rFonts w:ascii="Arial" w:eastAsia="Calibri" w:hAnsi="Arial" w:cs="Arial"/>
          <w:b/>
          <w:bCs/>
          <w:color w:val="000000"/>
          <w:lang w:val="es-ES_tradnl"/>
        </w:rPr>
        <w:t>Tipología contractual aplicable a las a</w:t>
      </w:r>
      <w:r w:rsidRPr="00C04027">
        <w:rPr>
          <w:rFonts w:ascii="Arial" w:eastAsia="Calibri" w:hAnsi="Arial" w:cs="Arial"/>
          <w:b/>
          <w:bCs/>
          <w:color w:val="000000"/>
          <w:lang w:val="es-ES_tradnl"/>
        </w:rPr>
        <w:t>ctividades de cerramiento de predios</w:t>
      </w:r>
    </w:p>
    <w:p w14:paraId="47F27398" w14:textId="77777777" w:rsidR="008C40BC" w:rsidRDefault="008C40BC" w:rsidP="008C40BC">
      <w:pPr>
        <w:spacing w:after="0" w:line="276" w:lineRule="auto"/>
        <w:jc w:val="both"/>
        <w:rPr>
          <w:rFonts w:ascii="Arial" w:eastAsia="Calibri" w:hAnsi="Arial" w:cs="Arial"/>
          <w:color w:val="000000"/>
          <w:lang w:val="es-ES_tradnl"/>
        </w:rPr>
      </w:pPr>
    </w:p>
    <w:p w14:paraId="3B495793" w14:textId="2D1B4878" w:rsidR="008C40BC" w:rsidRDefault="008C40BC" w:rsidP="008C40BC">
      <w:pPr>
        <w:spacing w:after="120" w:line="276" w:lineRule="auto"/>
        <w:jc w:val="both"/>
        <w:rPr>
          <w:rFonts w:ascii="Arial" w:eastAsia="Calibri" w:hAnsi="Arial" w:cs="Arial"/>
          <w:color w:val="000000"/>
          <w:lang w:val="es-ES_tradnl"/>
        </w:rPr>
      </w:pPr>
      <w:r>
        <w:rPr>
          <w:rFonts w:ascii="Arial" w:eastAsia="Calibri" w:hAnsi="Arial" w:cs="Arial"/>
          <w:color w:val="000000"/>
          <w:lang w:val="es-ES_tradnl"/>
        </w:rPr>
        <w:t xml:space="preserve">En relación con las actividades de cerramiento de predios, es importante señalar que el Diccionario prehispánico del español jurídico define el </w:t>
      </w:r>
      <w:r w:rsidRPr="00315ACB">
        <w:rPr>
          <w:rFonts w:ascii="Arial" w:eastAsia="Calibri" w:hAnsi="Arial" w:cs="Arial"/>
          <w:i/>
          <w:iCs/>
          <w:color w:val="000000"/>
          <w:lang w:val="es-ES_tradnl"/>
        </w:rPr>
        <w:t>derecho de cerramiento</w:t>
      </w:r>
      <w:r w:rsidR="00657C43">
        <w:rPr>
          <w:rFonts w:ascii="Arial" w:eastAsia="Calibri" w:hAnsi="Arial" w:cs="Arial"/>
          <w:color w:val="000000"/>
          <w:lang w:val="es-ES_tradnl"/>
        </w:rPr>
        <w:t xml:space="preserve"> </w:t>
      </w:r>
      <w:r>
        <w:rPr>
          <w:rFonts w:ascii="Arial" w:eastAsia="Calibri" w:hAnsi="Arial" w:cs="Arial"/>
          <w:color w:val="000000"/>
          <w:lang w:val="es-ES_tradnl"/>
        </w:rPr>
        <w:t>como aquel que tiene el dueño de un predio a cerrarlo o cercarlo por todas partes, sin perjuicio de las servidumbres que se hayan constituido a favor de otros.</w:t>
      </w:r>
      <w:r>
        <w:rPr>
          <w:rStyle w:val="Refdenotaalpie"/>
          <w:rFonts w:ascii="Arial" w:eastAsia="Calibri" w:hAnsi="Arial" w:cs="Arial"/>
          <w:color w:val="000000"/>
          <w:lang w:val="es-ES_tradnl"/>
        </w:rPr>
        <w:footnoteReference w:id="5"/>
      </w:r>
      <w:r>
        <w:rPr>
          <w:rFonts w:ascii="Arial" w:eastAsia="Calibri" w:hAnsi="Arial" w:cs="Arial"/>
          <w:color w:val="000000"/>
          <w:lang w:val="es-ES_tradnl"/>
        </w:rPr>
        <w:t xml:space="preserve"> Así mismo, indica que el </w:t>
      </w:r>
      <w:r w:rsidRPr="00315ACB">
        <w:rPr>
          <w:rFonts w:ascii="Arial" w:eastAsia="Calibri" w:hAnsi="Arial" w:cs="Arial"/>
          <w:i/>
          <w:iCs/>
          <w:color w:val="000000"/>
          <w:lang w:val="es-ES_tradnl"/>
        </w:rPr>
        <w:t>cerramiento</w:t>
      </w:r>
      <w:r>
        <w:rPr>
          <w:rFonts w:ascii="Arial" w:eastAsia="Calibri" w:hAnsi="Arial" w:cs="Arial"/>
          <w:color w:val="000000"/>
          <w:lang w:val="es-ES_tradnl"/>
        </w:rPr>
        <w:t xml:space="preserve"> puede consistir en paredes, fosos, cercas vivas o muertas.</w:t>
      </w:r>
      <w:r>
        <w:rPr>
          <w:rStyle w:val="Refdenotaalpie"/>
          <w:rFonts w:ascii="Arial" w:eastAsia="Calibri" w:hAnsi="Arial" w:cs="Arial"/>
          <w:color w:val="000000"/>
          <w:lang w:val="es-ES_tradnl"/>
        </w:rPr>
        <w:footnoteReference w:id="6"/>
      </w:r>
      <w:r>
        <w:rPr>
          <w:rFonts w:ascii="Arial" w:eastAsia="Calibri" w:hAnsi="Arial" w:cs="Arial"/>
          <w:color w:val="000000"/>
          <w:lang w:val="es-ES_tradnl"/>
        </w:rPr>
        <w:t xml:space="preserve"> Estas características del derecho de cerramiento concuerdan con la definición incorporada en nuestro ordenamiento jurídico, en el artículo 902 del </w:t>
      </w:r>
      <w:r>
        <w:rPr>
          <w:rFonts w:ascii="Arial" w:eastAsia="Calibri" w:hAnsi="Arial" w:cs="Arial"/>
          <w:color w:val="000000"/>
          <w:lang w:val="es-ES_tradnl"/>
        </w:rPr>
        <w:lastRenderedPageBreak/>
        <w:t>Código Civil</w:t>
      </w:r>
      <w:r>
        <w:rPr>
          <w:rStyle w:val="Refdenotaalpie"/>
          <w:rFonts w:ascii="Arial" w:eastAsia="Calibri" w:hAnsi="Arial" w:cs="Arial"/>
          <w:color w:val="000000"/>
          <w:lang w:val="es-ES_tradnl"/>
        </w:rPr>
        <w:footnoteReference w:id="7"/>
      </w:r>
      <w:r>
        <w:rPr>
          <w:rFonts w:ascii="Arial" w:eastAsia="Calibri" w:hAnsi="Arial" w:cs="Arial"/>
          <w:color w:val="000000"/>
          <w:lang w:val="es-ES_tradnl"/>
        </w:rPr>
        <w:t>. En este sentido, el cerramiento de un predio consiste en encerrarlo a través de elementos como, por ejemplo, paredes</w:t>
      </w:r>
      <w:r w:rsidR="00657C43">
        <w:rPr>
          <w:rFonts w:ascii="Arial" w:eastAsia="Calibri" w:hAnsi="Arial" w:cs="Arial"/>
          <w:color w:val="000000"/>
          <w:lang w:val="es-ES_tradnl"/>
        </w:rPr>
        <w:t>, cercar o</w:t>
      </w:r>
      <w:r>
        <w:rPr>
          <w:rFonts w:ascii="Arial" w:eastAsia="Calibri" w:hAnsi="Arial" w:cs="Arial"/>
          <w:color w:val="000000"/>
          <w:lang w:val="es-ES_tradnl"/>
        </w:rPr>
        <w:t xml:space="preserve"> mallas.</w:t>
      </w:r>
    </w:p>
    <w:p w14:paraId="07B17594" w14:textId="77777777" w:rsidR="008C40BC" w:rsidRDefault="008C40BC" w:rsidP="008C40BC">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A propósito del otorgamiento de licencias ambientales para los distintos usos del suelo rural, el numeral 5 del artículo 21 del Decreto 3600 de 2007, se refiere al cerramiento de la siguiente manera: “[e]</w:t>
      </w:r>
      <w:r w:rsidRPr="003E57F3">
        <w:rPr>
          <w:rFonts w:ascii="Arial" w:eastAsia="Calibri" w:hAnsi="Arial" w:cs="Arial"/>
          <w:color w:val="000000"/>
          <w:lang w:val="es-ES_tradnl"/>
        </w:rPr>
        <w:t>l cerramiento de los predios se realizará con elementos transparentes, los cuales se podrán combinar con elementos vegetales de acuerdo con lo que para el efecto se especifique en las normas urbanísticas. En todo caso, se prohibirán los cerramientos con tapias o muros que obstaculicen o impidan el disfrute visual del paisaje rural</w:t>
      </w:r>
      <w:r>
        <w:rPr>
          <w:rFonts w:ascii="Arial" w:eastAsia="Calibri" w:hAnsi="Arial" w:cs="Arial"/>
          <w:color w:val="000000"/>
          <w:lang w:val="es-ES_tradnl"/>
        </w:rPr>
        <w:t>”</w:t>
      </w:r>
      <w:r w:rsidRPr="003E57F3">
        <w:rPr>
          <w:rFonts w:ascii="Arial" w:eastAsia="Calibri" w:hAnsi="Arial" w:cs="Arial"/>
          <w:color w:val="000000"/>
          <w:lang w:val="es-ES_tradnl"/>
        </w:rPr>
        <w:t>.</w:t>
      </w:r>
    </w:p>
    <w:p w14:paraId="3DF853B5" w14:textId="77777777" w:rsidR="008C40BC" w:rsidRDefault="008C40BC" w:rsidP="008C40BC">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Adicionalmente, es bueno precisar que las actividades de cerramiento son tratadas como “obras” en el Decreto 1077 de 2015. Así, entre otros, en el artículo 2.2.6.1.1.1 sobre licencias urbanísticas de dicho decreto, se establece que “[p]ara adelantar obras de construcción, […] cerramiento y demolición de edificaciones, […] s</w:t>
      </w:r>
      <w:r w:rsidRPr="00D03D1C">
        <w:rPr>
          <w:rFonts w:ascii="Arial" w:eastAsia="Calibri" w:hAnsi="Arial" w:cs="Arial"/>
          <w:color w:val="000000"/>
          <w:lang w:val="es-ES_tradnl"/>
        </w:rPr>
        <w:t>e requiere de manera previa a su ejecución la obtención de la licencia urbanística correspondiente</w:t>
      </w:r>
      <w:r>
        <w:rPr>
          <w:rFonts w:ascii="Arial" w:eastAsia="Calibri" w:hAnsi="Arial" w:cs="Arial"/>
          <w:color w:val="000000"/>
          <w:lang w:val="es-ES_tradnl"/>
        </w:rPr>
        <w:t>”, y se indica que “[l]</w:t>
      </w:r>
      <w:r w:rsidRPr="00DD0108">
        <w:rPr>
          <w:rFonts w:ascii="Arial" w:eastAsia="Calibri" w:hAnsi="Arial" w:cs="Arial"/>
          <w:color w:val="000000"/>
          <w:lang w:val="es-ES_tradnl"/>
        </w:rPr>
        <w:t xml:space="preserve">a licencia urbanística es el acto administrativo de carácter particular y concreto, expedido por el curador urbano o la autoridad municipal o distrital competente, por medio del </w:t>
      </w:r>
      <w:proofErr w:type="spellStart"/>
      <w:r w:rsidRPr="00DD0108">
        <w:rPr>
          <w:rFonts w:ascii="Arial" w:eastAsia="Calibri" w:hAnsi="Arial" w:cs="Arial"/>
          <w:color w:val="000000"/>
          <w:lang w:val="es-ES_tradnl"/>
        </w:rPr>
        <w:t>cuál</w:t>
      </w:r>
      <w:proofErr w:type="spellEnd"/>
      <w:r w:rsidRPr="00DD0108">
        <w:rPr>
          <w:rFonts w:ascii="Arial" w:eastAsia="Calibri" w:hAnsi="Arial" w:cs="Arial"/>
          <w:color w:val="000000"/>
          <w:lang w:val="es-ES_tradnl"/>
        </w:rPr>
        <w:t xml:space="preserve"> </w:t>
      </w:r>
      <w:r>
        <w:rPr>
          <w:rFonts w:ascii="Arial" w:eastAsia="Calibri" w:hAnsi="Arial" w:cs="Arial"/>
          <w:color w:val="000000"/>
          <w:lang w:val="es-ES_tradnl"/>
        </w:rPr>
        <w:t xml:space="preserve">[sic] </w:t>
      </w:r>
      <w:r w:rsidRPr="00DD0108">
        <w:rPr>
          <w:rFonts w:ascii="Arial" w:eastAsia="Calibri" w:hAnsi="Arial" w:cs="Arial"/>
          <w:color w:val="000000"/>
          <w:lang w:val="es-ES_tradnl"/>
        </w:rPr>
        <w:t>se autoriza específicamente a adelantar obras de urbanización y parcelación de predios, de construcción</w:t>
      </w:r>
      <w:r>
        <w:rPr>
          <w:rFonts w:ascii="Arial" w:eastAsia="Calibri" w:hAnsi="Arial" w:cs="Arial"/>
          <w:color w:val="000000"/>
          <w:lang w:val="es-ES_tradnl"/>
        </w:rPr>
        <w:t>, […] cerramiento y demolición de edificaciones […]”.</w:t>
      </w:r>
    </w:p>
    <w:p w14:paraId="0B148A4C" w14:textId="4AA894DD" w:rsidR="00DC4704" w:rsidRDefault="00657C43" w:rsidP="00DC4704">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 xml:space="preserve">De acuerdo con la </w:t>
      </w:r>
      <w:r w:rsidR="001C3D98">
        <w:rPr>
          <w:rFonts w:ascii="Arial" w:eastAsia="Calibri" w:hAnsi="Arial" w:cs="Arial"/>
          <w:color w:val="000000"/>
          <w:lang w:val="es-ES_tradnl"/>
        </w:rPr>
        <w:t>anterior</w:t>
      </w:r>
      <w:r w:rsidR="008C40BC">
        <w:rPr>
          <w:rFonts w:ascii="Arial" w:eastAsia="Calibri" w:hAnsi="Arial" w:cs="Arial"/>
          <w:color w:val="000000"/>
          <w:lang w:val="es-ES_tradnl"/>
        </w:rPr>
        <w:t>,</w:t>
      </w:r>
      <w:r w:rsidR="001C3D98">
        <w:rPr>
          <w:rFonts w:ascii="Arial" w:eastAsia="Calibri" w:hAnsi="Arial" w:cs="Arial"/>
          <w:color w:val="000000"/>
          <w:lang w:val="es-ES_tradnl"/>
        </w:rPr>
        <w:t xml:space="preserve"> se advierte que</w:t>
      </w:r>
      <w:r w:rsidR="003E2EFA">
        <w:rPr>
          <w:rFonts w:ascii="Arial" w:eastAsia="Calibri" w:hAnsi="Arial" w:cs="Arial"/>
          <w:color w:val="000000"/>
          <w:lang w:val="es-ES_tradnl"/>
        </w:rPr>
        <w:t>,</w:t>
      </w:r>
      <w:r w:rsidR="001C3D98">
        <w:rPr>
          <w:rFonts w:ascii="Arial" w:eastAsia="Calibri" w:hAnsi="Arial" w:cs="Arial"/>
          <w:color w:val="000000"/>
          <w:lang w:val="es-ES_tradnl"/>
        </w:rPr>
        <w:t xml:space="preserve"> </w:t>
      </w:r>
      <w:r w:rsidR="008C40BC">
        <w:rPr>
          <w:rFonts w:ascii="Arial" w:eastAsia="Calibri" w:hAnsi="Arial" w:cs="Arial"/>
          <w:color w:val="000000"/>
          <w:lang w:val="es-ES_tradnl"/>
        </w:rPr>
        <w:t xml:space="preserve">las actividades de cerramiento de predios </w:t>
      </w:r>
      <w:r w:rsidR="003475B4">
        <w:rPr>
          <w:rFonts w:ascii="Arial" w:eastAsia="Calibri" w:hAnsi="Arial" w:cs="Arial"/>
          <w:color w:val="000000"/>
          <w:lang w:val="es-ES_tradnl"/>
        </w:rPr>
        <w:t xml:space="preserve">constituyen verdaderos trabajos materiales sobre bienes inmuebles, los cuales se materializan a través de </w:t>
      </w:r>
      <w:r w:rsidR="007130B8">
        <w:rPr>
          <w:rFonts w:ascii="Arial" w:eastAsia="Calibri" w:hAnsi="Arial" w:cs="Arial"/>
          <w:color w:val="000000"/>
          <w:lang w:val="es-ES_tradnl"/>
        </w:rPr>
        <w:t xml:space="preserve">la instalación de </w:t>
      </w:r>
      <w:r w:rsidR="003475B4">
        <w:rPr>
          <w:rFonts w:ascii="Arial" w:eastAsia="Calibri" w:hAnsi="Arial" w:cs="Arial"/>
          <w:color w:val="000000"/>
          <w:lang w:val="es-ES_tradnl"/>
        </w:rPr>
        <w:t xml:space="preserve">los elementos </w:t>
      </w:r>
      <w:r w:rsidR="0050144B">
        <w:rPr>
          <w:rFonts w:ascii="Arial" w:eastAsia="Calibri" w:hAnsi="Arial" w:cs="Arial"/>
          <w:color w:val="000000"/>
          <w:lang w:val="es-ES_tradnl"/>
        </w:rPr>
        <w:t>mediante</w:t>
      </w:r>
      <w:r w:rsidR="003475B4">
        <w:rPr>
          <w:rFonts w:ascii="Arial" w:eastAsia="Calibri" w:hAnsi="Arial" w:cs="Arial"/>
          <w:color w:val="000000"/>
          <w:lang w:val="es-ES_tradnl"/>
        </w:rPr>
        <w:t xml:space="preserve"> los </w:t>
      </w:r>
      <w:r w:rsidR="0050144B">
        <w:rPr>
          <w:rFonts w:ascii="Arial" w:eastAsia="Calibri" w:hAnsi="Arial" w:cs="Arial"/>
          <w:color w:val="000000"/>
          <w:lang w:val="es-ES_tradnl"/>
        </w:rPr>
        <w:t>que</w:t>
      </w:r>
      <w:r w:rsidR="003475B4">
        <w:rPr>
          <w:rFonts w:ascii="Arial" w:eastAsia="Calibri" w:hAnsi="Arial" w:cs="Arial"/>
          <w:color w:val="000000"/>
          <w:lang w:val="es-ES_tradnl"/>
        </w:rPr>
        <w:t xml:space="preserve"> se</w:t>
      </w:r>
      <w:r w:rsidR="007130B8">
        <w:rPr>
          <w:rFonts w:ascii="Arial" w:eastAsia="Calibri" w:hAnsi="Arial" w:cs="Arial"/>
          <w:color w:val="000000"/>
          <w:lang w:val="es-ES_tradnl"/>
        </w:rPr>
        <w:t xml:space="preserve"> concreta el cerramiento, las cuales necesariamente</w:t>
      </w:r>
      <w:r w:rsidR="003E2EFA">
        <w:rPr>
          <w:rFonts w:ascii="Arial" w:eastAsia="Calibri" w:hAnsi="Arial" w:cs="Arial"/>
          <w:color w:val="000000"/>
          <w:lang w:val="es-ES_tradnl"/>
        </w:rPr>
        <w:t xml:space="preserve"> suponen una intervención </w:t>
      </w:r>
      <w:r w:rsidR="00363540">
        <w:rPr>
          <w:rFonts w:ascii="Arial" w:eastAsia="Calibri" w:hAnsi="Arial" w:cs="Arial"/>
          <w:color w:val="000000"/>
          <w:lang w:val="es-ES_tradnl"/>
        </w:rPr>
        <w:t xml:space="preserve">del respectivo predio. Esto supone que </w:t>
      </w:r>
      <w:r w:rsidR="00190A36">
        <w:rPr>
          <w:rFonts w:ascii="Arial" w:eastAsia="Calibri" w:hAnsi="Arial" w:cs="Arial"/>
          <w:color w:val="000000"/>
          <w:lang w:val="es-ES_tradnl"/>
        </w:rPr>
        <w:t xml:space="preserve">la contratación de este tipo de actividades por parte de Entidades Estatales </w:t>
      </w:r>
      <w:proofErr w:type="gramStart"/>
      <w:r w:rsidR="00190A36">
        <w:rPr>
          <w:rFonts w:ascii="Arial" w:eastAsia="Calibri" w:hAnsi="Arial" w:cs="Arial"/>
          <w:color w:val="000000"/>
          <w:lang w:val="es-ES_tradnl"/>
        </w:rPr>
        <w:t>se enmarca</w:t>
      </w:r>
      <w:r w:rsidR="00431263">
        <w:rPr>
          <w:rFonts w:ascii="Arial" w:eastAsia="Calibri" w:hAnsi="Arial" w:cs="Arial"/>
          <w:color w:val="000000"/>
          <w:lang w:val="es-ES_tradnl"/>
        </w:rPr>
        <w:t xml:space="preserve"> dentro del</w:t>
      </w:r>
      <w:proofErr w:type="gramEnd"/>
      <w:r w:rsidR="00431263">
        <w:rPr>
          <w:rFonts w:ascii="Arial" w:eastAsia="Calibri" w:hAnsi="Arial" w:cs="Arial"/>
          <w:color w:val="000000"/>
          <w:lang w:val="es-ES_tradnl"/>
        </w:rPr>
        <w:t xml:space="preserve"> tipo contractual descrito en el numeral 1</w:t>
      </w:r>
      <w:r w:rsidR="006463BA">
        <w:rPr>
          <w:rFonts w:ascii="Arial" w:eastAsia="Calibri" w:hAnsi="Arial" w:cs="Arial"/>
          <w:color w:val="000000"/>
          <w:lang w:val="es-ES_tradnl"/>
        </w:rPr>
        <w:t>°</w:t>
      </w:r>
      <w:r w:rsidR="00431263">
        <w:rPr>
          <w:rFonts w:ascii="Arial" w:eastAsia="Calibri" w:hAnsi="Arial" w:cs="Arial"/>
          <w:color w:val="000000"/>
          <w:lang w:val="es-ES_tradnl"/>
        </w:rPr>
        <w:t xml:space="preserve"> del artículo 32 de la Ley 80 de 1993</w:t>
      </w:r>
      <w:r w:rsidR="006463BA">
        <w:rPr>
          <w:rFonts w:ascii="Arial" w:eastAsia="Calibri" w:hAnsi="Arial" w:cs="Arial"/>
          <w:color w:val="000000"/>
          <w:lang w:val="es-ES_tradnl"/>
        </w:rPr>
        <w:t>, el cual</w:t>
      </w:r>
      <w:r w:rsidR="00664DF1">
        <w:rPr>
          <w:rFonts w:ascii="Arial" w:eastAsia="Calibri" w:hAnsi="Arial" w:cs="Arial"/>
          <w:color w:val="000000"/>
          <w:lang w:val="es-ES_tradnl"/>
        </w:rPr>
        <w:t xml:space="preserve"> </w:t>
      </w:r>
      <w:r w:rsidR="00DC4704">
        <w:rPr>
          <w:rFonts w:ascii="Arial" w:eastAsia="Calibri" w:hAnsi="Arial" w:cs="Arial"/>
          <w:color w:val="000000"/>
          <w:lang w:val="es-ES_tradnl"/>
        </w:rPr>
        <w:t>podrán celebrar</w:t>
      </w:r>
      <w:r w:rsidR="00664DF1">
        <w:rPr>
          <w:rFonts w:ascii="Arial" w:eastAsia="Calibri" w:hAnsi="Arial" w:cs="Arial"/>
          <w:color w:val="000000"/>
          <w:lang w:val="es-ES_tradnl"/>
        </w:rPr>
        <w:t xml:space="preserve"> sin perjuicio de la aplicación de la modalidad de selección que resulte procedente </w:t>
      </w:r>
      <w:r w:rsidR="00DC4704">
        <w:rPr>
          <w:rFonts w:ascii="Arial" w:eastAsia="Calibri" w:hAnsi="Arial" w:cs="Arial"/>
          <w:color w:val="000000"/>
          <w:lang w:val="es-ES_tradnl"/>
        </w:rPr>
        <w:t xml:space="preserve">conforme al artículo 2 de la Ley 1150 de 2007, de acuerdo con las especificaciones particulares del objeto contractual. </w:t>
      </w:r>
    </w:p>
    <w:p w14:paraId="01798E26" w14:textId="174B7964" w:rsidR="00190A36" w:rsidRDefault="00190A36" w:rsidP="00A87337">
      <w:pPr>
        <w:spacing w:after="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 xml:space="preserve">Con todo, no sobra advertir que corresponde a las Entidades Estatales </w:t>
      </w:r>
      <w:r w:rsidR="001573C3">
        <w:rPr>
          <w:rFonts w:ascii="Arial" w:eastAsia="Calibri" w:hAnsi="Arial" w:cs="Arial"/>
          <w:color w:val="000000"/>
          <w:lang w:val="es-ES_tradnl"/>
        </w:rPr>
        <w:t xml:space="preserve">determinar el tipo de contractual, procedimiento y normativa aplicable a cada uno de los contratos que celebran, </w:t>
      </w:r>
      <w:r w:rsidR="00A87337">
        <w:rPr>
          <w:rFonts w:ascii="Arial" w:eastAsia="Calibri" w:hAnsi="Arial" w:cs="Arial"/>
          <w:color w:val="000000"/>
          <w:lang w:val="es-ES_tradnl"/>
        </w:rPr>
        <w:t>para lo cual resulta necesario tener en cuenta las características y especificaciones</w:t>
      </w:r>
      <w:r w:rsidR="001573C3">
        <w:rPr>
          <w:rFonts w:ascii="Arial" w:eastAsia="Calibri" w:hAnsi="Arial" w:cs="Arial"/>
          <w:color w:val="000000"/>
          <w:lang w:val="es-ES_tradnl"/>
        </w:rPr>
        <w:t xml:space="preserve"> </w:t>
      </w:r>
      <w:r w:rsidR="00A87337">
        <w:rPr>
          <w:rFonts w:ascii="Arial" w:eastAsia="Calibri" w:hAnsi="Arial" w:cs="Arial"/>
          <w:color w:val="000000"/>
          <w:lang w:val="es-ES_tradnl"/>
        </w:rPr>
        <w:t xml:space="preserve">del respectivo objeto contractual. En ese sentido, el análisis aquí realizado no exime a las Entidades Estatales de realizar los estudios y análisis requeridos para los efectos explicados. </w:t>
      </w:r>
    </w:p>
    <w:p w14:paraId="2301EDC6" w14:textId="77777777" w:rsidR="00BC06F9" w:rsidRDefault="00BC06F9" w:rsidP="008C40BC">
      <w:pPr>
        <w:spacing w:after="0" w:line="276" w:lineRule="auto"/>
        <w:ind w:firstLine="709"/>
        <w:jc w:val="both"/>
        <w:rPr>
          <w:rFonts w:ascii="Arial" w:eastAsia="Calibri" w:hAnsi="Arial" w:cs="Arial"/>
          <w:color w:val="000000"/>
          <w:lang w:val="es-ES_tradnl"/>
        </w:rPr>
      </w:pPr>
    </w:p>
    <w:p w14:paraId="02A444A0" w14:textId="77777777" w:rsidR="00BC06F9" w:rsidRDefault="00BC06F9" w:rsidP="008C40BC">
      <w:pPr>
        <w:spacing w:after="0" w:line="276" w:lineRule="auto"/>
        <w:ind w:firstLine="709"/>
        <w:jc w:val="both"/>
        <w:rPr>
          <w:rFonts w:ascii="Arial" w:eastAsia="Calibri" w:hAnsi="Arial" w:cs="Arial"/>
          <w:color w:val="000000"/>
          <w:lang w:val="es-ES_tradnl"/>
        </w:rPr>
      </w:pPr>
    </w:p>
    <w:p w14:paraId="5A135FC4" w14:textId="77777777" w:rsidR="00BC06F9" w:rsidRPr="008A541F" w:rsidRDefault="00BC06F9" w:rsidP="008C40BC">
      <w:pPr>
        <w:spacing w:after="0" w:line="276" w:lineRule="auto"/>
        <w:ind w:firstLine="709"/>
        <w:jc w:val="both"/>
        <w:rPr>
          <w:rFonts w:ascii="Arial" w:eastAsia="Calibri" w:hAnsi="Arial" w:cs="Arial"/>
          <w:color w:val="000000"/>
          <w:lang w:val="es-ES_tradnl"/>
        </w:rPr>
      </w:pPr>
    </w:p>
    <w:p w14:paraId="4F4736C4" w14:textId="77777777" w:rsidR="008C40BC" w:rsidRDefault="008C40BC" w:rsidP="008C40BC">
      <w:pPr>
        <w:tabs>
          <w:tab w:val="left" w:pos="284"/>
        </w:tabs>
        <w:spacing w:after="0" w:line="276" w:lineRule="auto"/>
        <w:contextualSpacing/>
        <w:jc w:val="both"/>
        <w:rPr>
          <w:rFonts w:ascii="Arial" w:eastAsia="Calibri" w:hAnsi="Arial" w:cs="Arial"/>
          <w:b/>
          <w:color w:val="000000"/>
          <w:lang w:val="es-MX"/>
        </w:rPr>
      </w:pPr>
    </w:p>
    <w:p w14:paraId="7A0CCF8C" w14:textId="77777777" w:rsidR="008C40BC" w:rsidRPr="002265CA" w:rsidRDefault="008C40BC" w:rsidP="008C40BC">
      <w:pPr>
        <w:tabs>
          <w:tab w:val="left" w:pos="284"/>
        </w:tabs>
        <w:spacing w:after="0" w:line="276" w:lineRule="auto"/>
        <w:contextualSpacing/>
        <w:jc w:val="both"/>
        <w:rPr>
          <w:rFonts w:ascii="Arial" w:eastAsia="Calibri" w:hAnsi="Arial" w:cs="Arial"/>
          <w:color w:val="000000"/>
          <w:lang w:val="es-MX"/>
        </w:rPr>
      </w:pPr>
      <w:r w:rsidRPr="002265CA">
        <w:rPr>
          <w:rFonts w:ascii="Arial" w:eastAsia="Calibri" w:hAnsi="Arial" w:cs="Arial"/>
          <w:b/>
          <w:color w:val="000000"/>
          <w:lang w:val="es-MX"/>
        </w:rPr>
        <w:lastRenderedPageBreak/>
        <w:t>3. Respuesta</w:t>
      </w:r>
    </w:p>
    <w:p w14:paraId="58831F99" w14:textId="77777777" w:rsidR="008C40BC" w:rsidRPr="002265CA" w:rsidRDefault="008C40BC" w:rsidP="008C40BC">
      <w:pPr>
        <w:tabs>
          <w:tab w:val="left" w:pos="426"/>
        </w:tabs>
        <w:spacing w:after="0" w:line="276" w:lineRule="auto"/>
        <w:ind w:right="709"/>
        <w:jc w:val="both"/>
        <w:rPr>
          <w:rFonts w:ascii="Arial" w:eastAsia="Calibri" w:hAnsi="Arial" w:cs="Arial"/>
          <w:color w:val="000000"/>
          <w:lang w:val="es-MX"/>
        </w:rPr>
      </w:pPr>
    </w:p>
    <w:p w14:paraId="39602698" w14:textId="77777777" w:rsidR="008C40BC" w:rsidRPr="00D75084" w:rsidRDefault="008C40BC" w:rsidP="008C40BC">
      <w:pPr>
        <w:tabs>
          <w:tab w:val="left" w:pos="426"/>
        </w:tabs>
        <w:spacing w:after="0" w:line="240" w:lineRule="auto"/>
        <w:ind w:left="709" w:right="709"/>
        <w:jc w:val="both"/>
        <w:rPr>
          <w:rFonts w:ascii="Arial" w:eastAsia="Calibri" w:hAnsi="Arial" w:cs="Arial"/>
          <w:color w:val="000000"/>
          <w:sz w:val="21"/>
          <w:szCs w:val="21"/>
          <w:lang w:val="es-MX"/>
        </w:rPr>
      </w:pPr>
      <w:r w:rsidRPr="00D75084">
        <w:rPr>
          <w:rFonts w:ascii="Arial" w:eastAsia="Calibri" w:hAnsi="Arial" w:cs="Arial"/>
          <w:color w:val="000000"/>
          <w:sz w:val="21"/>
          <w:szCs w:val="21"/>
          <w:lang w:val="es-MX"/>
        </w:rPr>
        <w:t>“Por medio del presente me permito solicitar de manera comedida se nos apoye brindando un concepto respecto a sí, un proyecto para realizar actividades de asilamiento o cierre de predios rurales con objeto de conservación y restauración, se consideran como obra civil, o en su defecto que otro tipo denominación de obra tendría, y cuál sería el marco normativo que lo regula</w:t>
      </w:r>
      <w:r>
        <w:rPr>
          <w:rFonts w:ascii="Arial" w:eastAsia="Calibri" w:hAnsi="Arial" w:cs="Arial"/>
          <w:color w:val="000000"/>
          <w:sz w:val="21"/>
          <w:szCs w:val="21"/>
          <w:lang w:val="es-MX"/>
        </w:rPr>
        <w:t xml:space="preserve"> [sic]</w:t>
      </w:r>
      <w:r w:rsidRPr="00D75084">
        <w:rPr>
          <w:rFonts w:ascii="Arial" w:eastAsia="Calibri" w:hAnsi="Arial" w:cs="Arial"/>
          <w:color w:val="000000"/>
          <w:sz w:val="21"/>
          <w:szCs w:val="21"/>
          <w:lang w:val="es-MX"/>
        </w:rPr>
        <w:t>”.</w:t>
      </w:r>
    </w:p>
    <w:p w14:paraId="38B57248" w14:textId="77777777" w:rsidR="008C40BC" w:rsidRDefault="008C40BC" w:rsidP="008C40BC">
      <w:pPr>
        <w:tabs>
          <w:tab w:val="left" w:pos="709"/>
        </w:tabs>
        <w:spacing w:after="0" w:line="276" w:lineRule="auto"/>
        <w:jc w:val="both"/>
        <w:rPr>
          <w:rFonts w:ascii="Arial" w:eastAsia="Calibri" w:hAnsi="Arial" w:cs="Arial"/>
          <w:color w:val="000000"/>
          <w:lang w:val="es-MX"/>
        </w:rPr>
      </w:pPr>
    </w:p>
    <w:p w14:paraId="23EDFE90" w14:textId="13EC67B7" w:rsidR="008C40BC" w:rsidRDefault="008C40BC" w:rsidP="008C40BC">
      <w:pPr>
        <w:spacing w:after="120" w:line="276" w:lineRule="auto"/>
        <w:jc w:val="both"/>
        <w:rPr>
          <w:rFonts w:ascii="Arial" w:eastAsia="Calibri" w:hAnsi="Arial" w:cs="Arial"/>
          <w:color w:val="000000"/>
          <w:lang w:val="es-ES_tradnl"/>
        </w:rPr>
      </w:pPr>
      <w:r w:rsidRPr="00136873">
        <w:rPr>
          <w:rFonts w:ascii="Arial" w:eastAsia="Calibri" w:hAnsi="Arial" w:cs="Arial"/>
          <w:color w:val="000000"/>
          <w:lang w:val="es-MX"/>
        </w:rPr>
        <w:t>Conforme</w:t>
      </w:r>
      <w:r>
        <w:rPr>
          <w:rFonts w:ascii="Arial" w:eastAsia="Calibri" w:hAnsi="Arial" w:cs="Arial"/>
          <w:color w:val="000000"/>
          <w:lang w:val="es-MX"/>
        </w:rPr>
        <w:t xml:space="preserve"> a lo expuesto,</w:t>
      </w:r>
      <w:r w:rsidRPr="00136873">
        <w:rPr>
          <w:rFonts w:ascii="Arial" w:eastAsia="Calibri" w:hAnsi="Arial" w:cs="Arial"/>
          <w:color w:val="000000"/>
          <w:lang w:val="es-MX"/>
        </w:rPr>
        <w:t xml:space="preserve"> </w:t>
      </w:r>
      <w:r w:rsidRPr="002265CA">
        <w:rPr>
          <w:rFonts w:ascii="Arial" w:eastAsia="Calibri" w:hAnsi="Arial" w:cs="Arial"/>
          <w:color w:val="000000"/>
          <w:lang w:val="es-ES_tradnl"/>
        </w:rPr>
        <w:t xml:space="preserve">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w:t>
      </w:r>
      <w:r>
        <w:rPr>
          <w:rFonts w:ascii="Arial" w:eastAsia="Calibri" w:hAnsi="Arial" w:cs="Arial"/>
          <w:color w:val="000000"/>
          <w:lang w:val="es-ES_tradnl"/>
        </w:rPr>
        <w:t xml:space="preserve">en </w:t>
      </w:r>
      <w:r w:rsidRPr="002265CA">
        <w:rPr>
          <w:rFonts w:ascii="Arial" w:eastAsia="Calibri" w:hAnsi="Arial" w:cs="Arial"/>
          <w:color w:val="000000"/>
          <w:lang w:val="es-ES_tradnl"/>
        </w:rPr>
        <w:t xml:space="preserve">que dicho tipo contractual se diferencia de la definición y regulación prevista en el derecho privado para el contrato de confección de obra material regulado en el Código Civil.   </w:t>
      </w:r>
    </w:p>
    <w:p w14:paraId="7C4B9BF2" w14:textId="4A82AFA6" w:rsidR="008C40BC" w:rsidRDefault="008C40BC" w:rsidP="008C40BC">
      <w:pPr>
        <w:tabs>
          <w:tab w:val="left" w:pos="709"/>
        </w:tabs>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El artículo 32</w:t>
      </w:r>
      <w:r w:rsidR="006463BA">
        <w:rPr>
          <w:rFonts w:ascii="Arial" w:eastAsia="Calibri" w:hAnsi="Arial" w:cs="Arial"/>
          <w:color w:val="000000"/>
          <w:lang w:val="es-ES_tradnl"/>
        </w:rPr>
        <w:t>, numeral 1°</w:t>
      </w:r>
      <w:r>
        <w:rPr>
          <w:rFonts w:ascii="Arial" w:eastAsia="Calibri" w:hAnsi="Arial" w:cs="Arial"/>
          <w:color w:val="000000"/>
          <w:lang w:val="es-ES_tradnl"/>
        </w:rPr>
        <w:t xml:space="preserve"> de la Ley 80 de 2023 contempla que “[s]</w:t>
      </w:r>
      <w:proofErr w:type="spellStart"/>
      <w:r w:rsidRPr="00463E33">
        <w:rPr>
          <w:rFonts w:ascii="Arial" w:eastAsia="Calibri" w:hAnsi="Arial" w:cs="Arial"/>
          <w:color w:val="000000"/>
          <w:lang w:val="es-ES_tradnl"/>
        </w:rPr>
        <w:t>on</w:t>
      </w:r>
      <w:proofErr w:type="spellEnd"/>
      <w:r w:rsidRPr="00463E33">
        <w:rPr>
          <w:rFonts w:ascii="Arial" w:eastAsia="Calibri" w:hAnsi="Arial" w:cs="Arial"/>
          <w:color w:val="000000"/>
          <w:lang w:val="es-ES_tradnl"/>
        </w:rPr>
        <w:t xml:space="preserve"> contratos de obra los que celebren las entidades estatales para la construcción, mantenimiento, instalación y, en general, para la realización de cualquier otro trabajo material sobre bienes inmuebles, cualquiera que sea la modalidad de ejecución y pago</w:t>
      </w:r>
      <w:r>
        <w:rPr>
          <w:rFonts w:ascii="Arial" w:eastAsia="Calibri" w:hAnsi="Arial" w:cs="Arial"/>
          <w:color w:val="000000"/>
          <w:lang w:val="es-ES_tradnl"/>
        </w:rPr>
        <w:t>”.</w:t>
      </w:r>
      <w:r w:rsidRPr="00463E33">
        <w:t xml:space="preserve"> </w:t>
      </w:r>
      <w:r>
        <w:rPr>
          <w:rFonts w:ascii="Arial" w:eastAsia="Calibri" w:hAnsi="Arial" w:cs="Arial"/>
          <w:color w:val="000000"/>
          <w:lang w:val="es-ES_tradnl"/>
        </w:rPr>
        <w:t>De esta manera, e</w:t>
      </w:r>
      <w:r w:rsidRPr="00463E33">
        <w:rPr>
          <w:rFonts w:ascii="Arial" w:eastAsia="Calibri" w:hAnsi="Arial" w:cs="Arial"/>
          <w:color w:val="000000"/>
          <w:lang w:val="es-ES_tradnl"/>
        </w:rPr>
        <w:t>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r>
        <w:rPr>
          <w:rFonts w:ascii="Arial" w:eastAsia="Calibri" w:hAnsi="Arial" w:cs="Arial"/>
          <w:color w:val="000000"/>
          <w:lang w:val="es-ES_tradnl"/>
        </w:rPr>
        <w:t>.</w:t>
      </w:r>
    </w:p>
    <w:p w14:paraId="7BAA979C" w14:textId="6F538855" w:rsidR="008C40BC" w:rsidRPr="002D51CC" w:rsidRDefault="008C40BC" w:rsidP="008C40BC">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 xml:space="preserve">Por otra parte, en relación con las actividades de cerramiento de predios, es importante señalar que el Diccionario prehispánico del español jurídico define el </w:t>
      </w:r>
      <w:r w:rsidRPr="00315ACB">
        <w:rPr>
          <w:rFonts w:ascii="Arial" w:eastAsia="Calibri" w:hAnsi="Arial" w:cs="Arial"/>
          <w:i/>
          <w:iCs/>
          <w:color w:val="000000"/>
          <w:lang w:val="es-ES_tradnl"/>
        </w:rPr>
        <w:t xml:space="preserve">“derecho de cerramiento” </w:t>
      </w:r>
      <w:r>
        <w:rPr>
          <w:rFonts w:ascii="Arial" w:eastAsia="Calibri" w:hAnsi="Arial" w:cs="Arial"/>
          <w:color w:val="000000"/>
          <w:lang w:val="es-ES_tradnl"/>
        </w:rPr>
        <w:t xml:space="preserve">como aquel que tiene el dueño de un predio a cerrarlo o cercarlo por todas partes, sin perjuicio de las servidumbres que se hayan constituido a favor de otros. </w:t>
      </w:r>
      <w:r w:rsidR="00A87337">
        <w:rPr>
          <w:rFonts w:ascii="Arial" w:eastAsia="Calibri" w:hAnsi="Arial" w:cs="Arial"/>
          <w:color w:val="000000"/>
          <w:lang w:val="es-ES_tradnl"/>
        </w:rPr>
        <w:t>Asimismo</w:t>
      </w:r>
      <w:r>
        <w:rPr>
          <w:rFonts w:ascii="Arial" w:eastAsia="Calibri" w:hAnsi="Arial" w:cs="Arial"/>
          <w:color w:val="000000"/>
          <w:lang w:val="es-ES_tradnl"/>
        </w:rPr>
        <w:t xml:space="preserve">, indica que el cerramiento puede consistir en paredes, fosos, cercas vivas o muertas. Estas características del derecho de cerramiento concuerdan con la definición incorporada en nuestro ordenamiento jurídico, en el artículo 902 del Código Civil. En este sentido, el cerramiento de un predio consiste en encerrarlo a través de elementos como, por ejemplo, paredes o mallas. </w:t>
      </w:r>
    </w:p>
    <w:p w14:paraId="02547CC5" w14:textId="0A84C3DC" w:rsidR="00A87337" w:rsidRDefault="00D3080C" w:rsidP="00A87337">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En virtud de lo anterior</w:t>
      </w:r>
      <w:r w:rsidR="00A87337">
        <w:rPr>
          <w:rFonts w:ascii="Arial" w:eastAsia="Calibri" w:hAnsi="Arial" w:cs="Arial"/>
          <w:color w:val="000000"/>
          <w:lang w:val="es-ES_tradnl"/>
        </w:rPr>
        <w:t xml:space="preserve">, las actividades de cerramiento de predios constituyen verdaderos trabajos materiales sobre bienes inmuebles, que se materializan con la instalación de los elementos a través de los cuales se concreta el cerramiento, las </w:t>
      </w:r>
      <w:r w:rsidR="0050144B">
        <w:rPr>
          <w:rFonts w:ascii="Arial" w:eastAsia="Calibri" w:hAnsi="Arial" w:cs="Arial"/>
          <w:color w:val="000000"/>
          <w:lang w:val="es-ES_tradnl"/>
        </w:rPr>
        <w:t>que</w:t>
      </w:r>
      <w:r w:rsidR="00A87337">
        <w:rPr>
          <w:rFonts w:ascii="Arial" w:eastAsia="Calibri" w:hAnsi="Arial" w:cs="Arial"/>
          <w:color w:val="000000"/>
          <w:lang w:val="es-ES_tradnl"/>
        </w:rPr>
        <w:t xml:space="preserve"> necesariamente suponen una intervención del respectivo predio. Esto </w:t>
      </w:r>
      <w:r w:rsidR="0050144B">
        <w:rPr>
          <w:rFonts w:ascii="Arial" w:eastAsia="Calibri" w:hAnsi="Arial" w:cs="Arial"/>
          <w:color w:val="000000"/>
          <w:lang w:val="es-ES_tradnl"/>
        </w:rPr>
        <w:t>implica</w:t>
      </w:r>
      <w:r w:rsidR="00A87337">
        <w:rPr>
          <w:rFonts w:ascii="Arial" w:eastAsia="Calibri" w:hAnsi="Arial" w:cs="Arial"/>
          <w:color w:val="000000"/>
          <w:lang w:val="es-ES_tradnl"/>
        </w:rPr>
        <w:t xml:space="preserve"> que la contratación de </w:t>
      </w:r>
      <w:r w:rsidR="0050144B">
        <w:rPr>
          <w:rFonts w:ascii="Arial" w:eastAsia="Calibri" w:hAnsi="Arial" w:cs="Arial"/>
          <w:color w:val="000000"/>
          <w:lang w:val="es-ES_tradnl"/>
        </w:rPr>
        <w:t xml:space="preserve">estas </w:t>
      </w:r>
      <w:r w:rsidR="00A87337">
        <w:rPr>
          <w:rFonts w:ascii="Arial" w:eastAsia="Calibri" w:hAnsi="Arial" w:cs="Arial"/>
          <w:color w:val="000000"/>
          <w:lang w:val="es-ES_tradnl"/>
        </w:rPr>
        <w:t>actividades</w:t>
      </w:r>
      <w:r>
        <w:rPr>
          <w:rFonts w:ascii="Arial" w:eastAsia="Calibri" w:hAnsi="Arial" w:cs="Arial"/>
          <w:color w:val="000000"/>
          <w:lang w:val="es-ES_tradnl"/>
        </w:rPr>
        <w:t>,</w:t>
      </w:r>
      <w:r w:rsidR="00BC06F9">
        <w:rPr>
          <w:rFonts w:ascii="Arial" w:eastAsia="Calibri" w:hAnsi="Arial" w:cs="Arial"/>
          <w:color w:val="000000"/>
          <w:lang w:val="es-ES_tradnl"/>
        </w:rPr>
        <w:t xml:space="preserve"> en principio,</w:t>
      </w:r>
      <w:r w:rsidR="00A87337">
        <w:rPr>
          <w:rFonts w:ascii="Arial" w:eastAsia="Calibri" w:hAnsi="Arial" w:cs="Arial"/>
          <w:color w:val="000000"/>
          <w:lang w:val="es-ES_tradnl"/>
        </w:rPr>
        <w:t xml:space="preserve"> </w:t>
      </w:r>
      <w:r>
        <w:rPr>
          <w:rFonts w:ascii="Arial" w:eastAsia="Calibri" w:hAnsi="Arial" w:cs="Arial"/>
          <w:color w:val="000000"/>
          <w:lang w:val="es-ES_tradnl"/>
        </w:rPr>
        <w:t>se</w:t>
      </w:r>
      <w:r w:rsidR="00A87337">
        <w:rPr>
          <w:rFonts w:ascii="Arial" w:eastAsia="Calibri" w:hAnsi="Arial" w:cs="Arial"/>
          <w:color w:val="000000"/>
          <w:lang w:val="es-ES_tradnl"/>
        </w:rPr>
        <w:t xml:space="preserve"> enmarca </w:t>
      </w:r>
      <w:r>
        <w:rPr>
          <w:rFonts w:ascii="Arial" w:eastAsia="Calibri" w:hAnsi="Arial" w:cs="Arial"/>
          <w:color w:val="000000"/>
          <w:lang w:val="es-ES_tradnl"/>
        </w:rPr>
        <w:t xml:space="preserve">en </w:t>
      </w:r>
      <w:r w:rsidR="00A87337">
        <w:rPr>
          <w:rFonts w:ascii="Arial" w:eastAsia="Calibri" w:hAnsi="Arial" w:cs="Arial"/>
          <w:color w:val="000000"/>
          <w:lang w:val="es-ES_tradnl"/>
        </w:rPr>
        <w:t xml:space="preserve">el tipo contractual descrito en el numeral 1° del artículo 32 de la Ley 80 de 1993, el cual podrán celebrar sin perjuicio de la aplicación de la modalidad de selección que resulte procedente </w:t>
      </w:r>
      <w:r>
        <w:rPr>
          <w:rFonts w:ascii="Arial" w:eastAsia="Calibri" w:hAnsi="Arial" w:cs="Arial"/>
          <w:color w:val="000000"/>
          <w:lang w:val="es-ES_tradnl"/>
        </w:rPr>
        <w:t>de acuerdo con lo dispuesto en</w:t>
      </w:r>
      <w:r w:rsidR="00A87337">
        <w:rPr>
          <w:rFonts w:ascii="Arial" w:eastAsia="Calibri" w:hAnsi="Arial" w:cs="Arial"/>
          <w:color w:val="000000"/>
          <w:lang w:val="es-ES_tradnl"/>
        </w:rPr>
        <w:t xml:space="preserve"> </w:t>
      </w:r>
      <w:r>
        <w:rPr>
          <w:rFonts w:ascii="Arial" w:eastAsia="Calibri" w:hAnsi="Arial" w:cs="Arial"/>
          <w:color w:val="000000"/>
          <w:lang w:val="es-ES_tradnl"/>
        </w:rPr>
        <w:t>e</w:t>
      </w:r>
      <w:r w:rsidR="00A87337">
        <w:rPr>
          <w:rFonts w:ascii="Arial" w:eastAsia="Calibri" w:hAnsi="Arial" w:cs="Arial"/>
          <w:color w:val="000000"/>
          <w:lang w:val="es-ES_tradnl"/>
        </w:rPr>
        <w:t>l artículo 2 de la Ley 1150 de 2007</w:t>
      </w:r>
      <w:r>
        <w:rPr>
          <w:rFonts w:ascii="Arial" w:eastAsia="Calibri" w:hAnsi="Arial" w:cs="Arial"/>
          <w:color w:val="000000"/>
          <w:lang w:val="es-ES_tradnl"/>
        </w:rPr>
        <w:t>.</w:t>
      </w:r>
    </w:p>
    <w:p w14:paraId="0F44E6D1" w14:textId="77777777" w:rsidR="008C40BC" w:rsidRPr="002875E7" w:rsidRDefault="008C40BC" w:rsidP="008C40BC">
      <w:pPr>
        <w:spacing w:after="0" w:line="276" w:lineRule="auto"/>
        <w:jc w:val="both"/>
        <w:rPr>
          <w:rFonts w:ascii="Arial" w:eastAsia="Calibri" w:hAnsi="Arial" w:cs="Arial"/>
          <w:color w:val="000000"/>
          <w:lang w:val="es-ES_tradnl"/>
        </w:rPr>
      </w:pPr>
    </w:p>
    <w:p w14:paraId="6157A11D" w14:textId="77777777" w:rsidR="008C40BC" w:rsidRPr="00136873" w:rsidRDefault="008C40BC" w:rsidP="008C40BC">
      <w:pPr>
        <w:spacing w:after="0" w:line="276" w:lineRule="auto"/>
        <w:jc w:val="both"/>
        <w:rPr>
          <w:rFonts w:ascii="Arial" w:eastAsia="Calibri" w:hAnsi="Arial" w:cs="Arial"/>
          <w:color w:val="000000"/>
          <w:lang w:val="es-MX"/>
        </w:rPr>
      </w:pPr>
      <w:r w:rsidRPr="00136873">
        <w:rPr>
          <w:rFonts w:ascii="Arial" w:eastAsia="Calibri" w:hAnsi="Arial" w:cs="Arial"/>
          <w:color w:val="000000"/>
          <w:lang w:val="es-MX"/>
        </w:rPr>
        <w:lastRenderedPageBreak/>
        <w:t>Este concepto tiene el alcance previsto en el artículo 28 del Código de Procedimiento Administrativo y de lo Contencioso Administrativo.</w:t>
      </w:r>
    </w:p>
    <w:p w14:paraId="79CCB06C" w14:textId="77777777" w:rsidR="008C40BC" w:rsidRPr="007A4176" w:rsidRDefault="008C40BC" w:rsidP="008C40BC">
      <w:pPr>
        <w:spacing w:before="120" w:after="0" w:line="276" w:lineRule="auto"/>
        <w:jc w:val="both"/>
        <w:rPr>
          <w:rFonts w:ascii="Arial" w:eastAsia="Times New Roman" w:hAnsi="Arial" w:cs="Arial"/>
          <w:color w:val="000000"/>
          <w:szCs w:val="24"/>
          <w:lang w:val="es-ES_tradnl" w:eastAsia="es-ES_tradnl"/>
        </w:rPr>
      </w:pPr>
    </w:p>
    <w:p w14:paraId="3C9905BD" w14:textId="77777777" w:rsidR="008C40BC" w:rsidRDefault="008C40BC" w:rsidP="008C40BC">
      <w:pPr>
        <w:spacing w:after="0" w:line="276" w:lineRule="auto"/>
        <w:jc w:val="both"/>
        <w:rPr>
          <w:rFonts w:ascii="Arial" w:eastAsia="Times New Roman" w:hAnsi="Arial" w:cs="Arial"/>
          <w:color w:val="000000"/>
          <w:lang w:val="es-ES_tradnl" w:eastAsia="es-CO"/>
        </w:rPr>
      </w:pPr>
      <w:r w:rsidRPr="007A4176">
        <w:rPr>
          <w:rFonts w:ascii="Arial" w:eastAsia="Times New Roman" w:hAnsi="Arial" w:cs="Arial"/>
          <w:color w:val="000000"/>
          <w:lang w:val="es-ES_tradnl" w:eastAsia="es-CO"/>
        </w:rPr>
        <w:t>Atentamente,</w:t>
      </w:r>
    </w:p>
    <w:p w14:paraId="024BE590" w14:textId="77777777" w:rsidR="00C4139B" w:rsidRPr="007A4176" w:rsidRDefault="00C4139B" w:rsidP="008C40BC">
      <w:pPr>
        <w:spacing w:after="0" w:line="276" w:lineRule="auto"/>
        <w:jc w:val="both"/>
        <w:rPr>
          <w:rFonts w:ascii="Arial" w:eastAsia="Times New Roman" w:hAnsi="Arial" w:cs="Arial"/>
          <w:color w:val="000000"/>
          <w:lang w:val="es-ES_tradnl" w:eastAsia="es-CO"/>
        </w:rPr>
      </w:pPr>
    </w:p>
    <w:p w14:paraId="5A7C0B50" w14:textId="1DB05D35" w:rsidR="008C40BC" w:rsidRPr="007A4176" w:rsidRDefault="00C4139B" w:rsidP="00C4139B">
      <w:pPr>
        <w:spacing w:after="0" w:line="276" w:lineRule="auto"/>
        <w:jc w:val="center"/>
        <w:rPr>
          <w:rFonts w:ascii="Arial" w:eastAsia="Times New Roman" w:hAnsi="Arial" w:cs="Arial"/>
          <w:color w:val="000000"/>
          <w:lang w:val="es-ES_tradnl" w:eastAsia="es-CO"/>
        </w:rPr>
      </w:pPr>
      <w:r>
        <w:rPr>
          <w:rFonts w:ascii="Arial" w:hAnsi="Arial" w:cs="Arial"/>
          <w:noProof/>
          <w:color w:val="000000"/>
          <w:lang w:val="es-ES_tradnl" w:eastAsia="es-CO"/>
        </w:rPr>
        <w:drawing>
          <wp:inline distT="0" distB="0" distL="0" distR="0" wp14:anchorId="05F169BF" wp14:editId="2327D229">
            <wp:extent cx="2479250" cy="956207"/>
            <wp:effectExtent l="0" t="0" r="0" b="0"/>
            <wp:docPr id="13627925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4665" cy="962152"/>
                    </a:xfrm>
                    <a:prstGeom prst="rect">
                      <a:avLst/>
                    </a:prstGeom>
                    <a:noFill/>
                    <a:ln>
                      <a:noFill/>
                    </a:ln>
                  </pic:spPr>
                </pic:pic>
              </a:graphicData>
            </a:graphic>
          </wp:inline>
        </w:drawing>
      </w:r>
      <w:r>
        <w:rPr>
          <w:rFonts w:ascii="Calibri" w:hAnsi="Calibri" w:cs="Calibri"/>
          <w:color w:val="000000"/>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C40BC" w:rsidRPr="007A4176" w14:paraId="2CB4A548" w14:textId="77777777" w:rsidTr="00E65D64">
        <w:trPr>
          <w:trHeight w:val="160"/>
        </w:trPr>
        <w:tc>
          <w:tcPr>
            <w:tcW w:w="812" w:type="dxa"/>
            <w:vAlign w:val="center"/>
            <w:hideMark/>
          </w:tcPr>
          <w:p w14:paraId="63CAE33D" w14:textId="77777777" w:rsidR="008C40BC" w:rsidRPr="007A4176" w:rsidRDefault="008C40BC" w:rsidP="00E65D64">
            <w:pPr>
              <w:jc w:val="both"/>
              <w:rPr>
                <w:rFonts w:ascii="Arial" w:eastAsia="Times New Roman" w:hAnsi="Arial" w:cs="Arial"/>
                <w:color w:val="000000"/>
                <w:sz w:val="16"/>
                <w:szCs w:val="16"/>
                <w:lang w:val="es-ES_tradnl" w:eastAsia="es-ES"/>
              </w:rPr>
            </w:pPr>
            <w:r w:rsidRPr="007A4176">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797C7991" w14:textId="77777777" w:rsidR="008C40BC" w:rsidRPr="007A4176" w:rsidRDefault="008C40BC" w:rsidP="00E65D6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Kevin </w:t>
            </w:r>
            <w:proofErr w:type="spellStart"/>
            <w:r>
              <w:rPr>
                <w:rFonts w:ascii="Arial" w:eastAsia="Times New Roman" w:hAnsi="Arial" w:cs="Arial"/>
                <w:color w:val="000000"/>
                <w:sz w:val="16"/>
                <w:szCs w:val="16"/>
                <w:lang w:val="es-ES_tradnl" w:eastAsia="es-ES"/>
              </w:rPr>
              <w:t>Arlid</w:t>
            </w:r>
            <w:proofErr w:type="spellEnd"/>
            <w:r>
              <w:rPr>
                <w:rFonts w:ascii="Arial" w:eastAsia="Times New Roman" w:hAnsi="Arial" w:cs="Arial"/>
                <w:color w:val="000000"/>
                <w:sz w:val="16"/>
                <w:szCs w:val="16"/>
                <w:lang w:val="es-ES_tradnl" w:eastAsia="es-ES"/>
              </w:rPr>
              <w:t xml:space="preserve"> Herrera Santa</w:t>
            </w:r>
          </w:p>
          <w:p w14:paraId="3750AAC9" w14:textId="77777777" w:rsidR="008C40BC" w:rsidRPr="007A4176" w:rsidRDefault="008C40BC" w:rsidP="00E65D64">
            <w:pPr>
              <w:jc w:val="both"/>
              <w:rPr>
                <w:rFonts w:ascii="Arial" w:eastAsia="Times New Roman" w:hAnsi="Arial" w:cs="Arial"/>
                <w:color w:val="000000"/>
                <w:sz w:val="16"/>
                <w:szCs w:val="16"/>
                <w:lang w:val="es-ES_tradnl" w:eastAsia="es-ES"/>
              </w:rPr>
            </w:pPr>
            <w:r w:rsidRPr="007A4176">
              <w:rPr>
                <w:rFonts w:ascii="Arial" w:eastAsia="Times New Roman" w:hAnsi="Arial" w:cs="Arial"/>
                <w:color w:val="000000"/>
                <w:sz w:val="16"/>
                <w:szCs w:val="16"/>
                <w:lang w:val="es-ES_tradnl" w:eastAsia="es-ES"/>
              </w:rPr>
              <w:t>Contratista de la Subdirección de Gestión Contractual</w:t>
            </w:r>
          </w:p>
        </w:tc>
      </w:tr>
      <w:tr w:rsidR="008C40BC" w:rsidRPr="007A4176" w14:paraId="4B9D1609" w14:textId="77777777" w:rsidTr="00E65D64">
        <w:trPr>
          <w:trHeight w:val="330"/>
        </w:trPr>
        <w:tc>
          <w:tcPr>
            <w:tcW w:w="812" w:type="dxa"/>
            <w:vAlign w:val="center"/>
            <w:hideMark/>
          </w:tcPr>
          <w:p w14:paraId="293580D7" w14:textId="77777777" w:rsidR="008C40BC" w:rsidRPr="007A4176" w:rsidRDefault="008C40BC" w:rsidP="00E65D64">
            <w:pPr>
              <w:jc w:val="both"/>
              <w:rPr>
                <w:rFonts w:ascii="Arial" w:eastAsia="Times New Roman" w:hAnsi="Arial" w:cs="Arial"/>
                <w:color w:val="000000"/>
                <w:sz w:val="16"/>
                <w:szCs w:val="16"/>
                <w:lang w:val="es-ES_tradnl" w:eastAsia="es-ES"/>
              </w:rPr>
            </w:pPr>
            <w:r w:rsidRPr="007A4176">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49C8F1A" w14:textId="77777777" w:rsidR="008C40BC" w:rsidRPr="007A4176" w:rsidRDefault="008C40BC" w:rsidP="00E65D64">
            <w:pPr>
              <w:jc w:val="both"/>
              <w:rPr>
                <w:rFonts w:ascii="Arial" w:eastAsia="Times New Roman" w:hAnsi="Arial" w:cs="Arial"/>
                <w:color w:val="000000"/>
                <w:sz w:val="16"/>
                <w:szCs w:val="16"/>
                <w:lang w:val="es-ES_tradnl" w:eastAsia="es-ES"/>
              </w:rPr>
            </w:pPr>
            <w:r w:rsidRPr="00E83155">
              <w:rPr>
                <w:rFonts w:ascii="Arial" w:eastAsia="Times New Roman" w:hAnsi="Arial" w:cs="Arial"/>
                <w:color w:val="000000"/>
                <w:sz w:val="16"/>
                <w:szCs w:val="16"/>
                <w:lang w:val="es-ES_tradnl" w:eastAsia="es-ES"/>
              </w:rPr>
              <w:t>Alejandro Sarmiento Cantillo</w:t>
            </w:r>
            <w:r w:rsidRPr="007A4176">
              <w:rPr>
                <w:rFonts w:ascii="Arial" w:eastAsia="Times New Roman" w:hAnsi="Arial" w:cs="Arial"/>
                <w:color w:val="000000"/>
                <w:sz w:val="16"/>
                <w:szCs w:val="16"/>
                <w:lang w:val="es-ES_tradnl" w:eastAsia="es-ES"/>
              </w:rPr>
              <w:t xml:space="preserve"> </w:t>
            </w:r>
          </w:p>
          <w:p w14:paraId="052A8781" w14:textId="77777777" w:rsidR="008C40BC" w:rsidRPr="007A4176" w:rsidRDefault="008C40BC" w:rsidP="00E65D64">
            <w:pPr>
              <w:jc w:val="both"/>
              <w:rPr>
                <w:rFonts w:ascii="Arial" w:eastAsia="Times New Roman" w:hAnsi="Arial" w:cs="Arial"/>
                <w:color w:val="000000"/>
                <w:sz w:val="16"/>
                <w:szCs w:val="16"/>
                <w:lang w:val="es-ES_tradnl" w:eastAsia="es-ES"/>
              </w:rPr>
            </w:pPr>
            <w:r w:rsidRPr="007A4176">
              <w:rPr>
                <w:rFonts w:ascii="Arial" w:eastAsia="Times New Roman" w:hAnsi="Arial" w:cs="Arial"/>
                <w:color w:val="000000"/>
                <w:sz w:val="16"/>
                <w:szCs w:val="16"/>
                <w:lang w:val="es-ES_tradnl" w:eastAsia="es-ES"/>
              </w:rPr>
              <w:t>Gestor T1-15 de la Subdirección de Gestión Contractual</w:t>
            </w:r>
          </w:p>
        </w:tc>
      </w:tr>
      <w:tr w:rsidR="008C40BC" w:rsidRPr="007A4176" w14:paraId="3B576302" w14:textId="77777777" w:rsidTr="00E65D64">
        <w:trPr>
          <w:trHeight w:val="300"/>
        </w:trPr>
        <w:tc>
          <w:tcPr>
            <w:tcW w:w="812" w:type="dxa"/>
            <w:vAlign w:val="center"/>
            <w:hideMark/>
          </w:tcPr>
          <w:p w14:paraId="64633D9F" w14:textId="77777777" w:rsidR="008C40BC" w:rsidRPr="007A4176" w:rsidRDefault="008C40BC" w:rsidP="00E65D64">
            <w:pPr>
              <w:jc w:val="both"/>
              <w:rPr>
                <w:rFonts w:ascii="Arial" w:eastAsia="Times New Roman" w:hAnsi="Arial" w:cs="Arial"/>
                <w:color w:val="000000"/>
                <w:sz w:val="16"/>
                <w:szCs w:val="16"/>
                <w:lang w:val="es-ES_tradnl" w:eastAsia="es-ES"/>
              </w:rPr>
            </w:pPr>
            <w:r w:rsidRPr="007A4176">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E3FDB3F" w14:textId="77777777" w:rsidR="008C40BC" w:rsidRPr="00A27CEA" w:rsidRDefault="008C40BC" w:rsidP="00E65D64">
            <w:pPr>
              <w:rPr>
                <w:rFonts w:ascii="Arial" w:hAnsi="Arial" w:cs="Arial"/>
                <w:sz w:val="16"/>
                <w:szCs w:val="16"/>
              </w:rPr>
            </w:pPr>
            <w:r w:rsidRPr="00A27CEA">
              <w:rPr>
                <w:rFonts w:ascii="Arial" w:hAnsi="Arial" w:cs="Arial"/>
                <w:sz w:val="16"/>
                <w:szCs w:val="16"/>
              </w:rPr>
              <w:t>Nohelia del C</w:t>
            </w:r>
            <w:r>
              <w:rPr>
                <w:rFonts w:ascii="Arial" w:hAnsi="Arial" w:cs="Arial"/>
                <w:sz w:val="16"/>
                <w:szCs w:val="16"/>
              </w:rPr>
              <w:t>a</w:t>
            </w:r>
            <w:r w:rsidRPr="00A27CEA">
              <w:rPr>
                <w:rFonts w:ascii="Arial" w:hAnsi="Arial" w:cs="Arial"/>
                <w:sz w:val="16"/>
                <w:szCs w:val="16"/>
              </w:rPr>
              <w:t xml:space="preserve">rmen </w:t>
            </w:r>
            <w:proofErr w:type="spellStart"/>
            <w:r w:rsidRPr="00A27CEA">
              <w:rPr>
                <w:rFonts w:ascii="Arial" w:hAnsi="Arial" w:cs="Arial"/>
                <w:sz w:val="16"/>
                <w:szCs w:val="16"/>
              </w:rPr>
              <w:t>Zawady</w:t>
            </w:r>
            <w:proofErr w:type="spellEnd"/>
            <w:r w:rsidRPr="00A27CEA">
              <w:rPr>
                <w:rFonts w:ascii="Arial" w:hAnsi="Arial" w:cs="Arial"/>
                <w:sz w:val="16"/>
                <w:szCs w:val="16"/>
              </w:rPr>
              <w:t xml:space="preserve"> Palacio</w:t>
            </w:r>
          </w:p>
          <w:p w14:paraId="02CADB9A" w14:textId="77777777" w:rsidR="008C40BC" w:rsidRPr="007A4176" w:rsidRDefault="008C40BC" w:rsidP="00E65D64">
            <w:pPr>
              <w:jc w:val="both"/>
              <w:rPr>
                <w:rFonts w:ascii="Arial" w:eastAsia="Times New Roman" w:hAnsi="Arial" w:cs="Arial"/>
                <w:color w:val="000000"/>
                <w:sz w:val="16"/>
                <w:szCs w:val="16"/>
                <w:lang w:val="es-ES_tradnl" w:eastAsia="es-ES"/>
              </w:rPr>
            </w:pPr>
            <w:r w:rsidRPr="00A27CEA">
              <w:rPr>
                <w:rFonts w:ascii="Arial" w:hAnsi="Arial" w:cs="Arial"/>
                <w:sz w:val="16"/>
                <w:szCs w:val="16"/>
              </w:rPr>
              <w:t>Subdirectora de Gestión Contractual ANCP – CCE</w:t>
            </w:r>
          </w:p>
        </w:tc>
      </w:tr>
      <w:bookmarkEnd w:id="2"/>
    </w:tbl>
    <w:p w14:paraId="227E292F" w14:textId="77777777" w:rsidR="008C40BC" w:rsidRPr="007A4176" w:rsidRDefault="008C40BC" w:rsidP="008C40BC">
      <w:pPr>
        <w:tabs>
          <w:tab w:val="left" w:pos="3570"/>
        </w:tabs>
        <w:spacing w:after="0" w:line="240" w:lineRule="auto"/>
        <w:rPr>
          <w:rFonts w:ascii="Arial" w:eastAsia="Times New Roman" w:hAnsi="Arial" w:cs="Arial"/>
          <w:sz w:val="24"/>
          <w:szCs w:val="24"/>
          <w:lang w:val="es-ES_tradnl" w:eastAsia="es-ES_tradnl"/>
        </w:rPr>
      </w:pPr>
    </w:p>
    <w:p w14:paraId="5CFEB84E" w14:textId="77777777" w:rsidR="008C40BC" w:rsidRPr="007A4176" w:rsidRDefault="008C40BC" w:rsidP="008C40BC"/>
    <w:p w14:paraId="5CD9DF3C" w14:textId="2D55E7D3" w:rsidR="001A1011" w:rsidRPr="008C40BC" w:rsidRDefault="001A1011" w:rsidP="006219F8">
      <w:pPr>
        <w:spacing w:after="0" w:line="240" w:lineRule="auto"/>
        <w:rPr>
          <w:rFonts w:ascii="Geomanist Light" w:hAnsi="Geomanist Light"/>
          <w:b/>
          <w:color w:val="404040" w:themeColor="text1" w:themeTint="BF"/>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BB10" w14:textId="77777777" w:rsidR="00A11BBA" w:rsidRDefault="00A11BBA" w:rsidP="004A1847">
      <w:pPr>
        <w:spacing w:after="0" w:line="240" w:lineRule="auto"/>
      </w:pPr>
      <w:r>
        <w:separator/>
      </w:r>
    </w:p>
  </w:endnote>
  <w:endnote w:type="continuationSeparator" w:id="0">
    <w:p w14:paraId="32C681D0" w14:textId="77777777" w:rsidR="00A11BBA" w:rsidRDefault="00A11BBA" w:rsidP="004A1847">
      <w:pPr>
        <w:spacing w:after="0" w:line="240" w:lineRule="auto"/>
      </w:pPr>
      <w:r>
        <w:continuationSeparator/>
      </w:r>
    </w:p>
  </w:endnote>
  <w:endnote w:type="continuationNotice" w:id="1">
    <w:p w14:paraId="2B74EC2A" w14:textId="77777777" w:rsidR="00A11BBA" w:rsidRDefault="00A11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AA7E" w14:textId="77777777" w:rsidR="00A11BBA" w:rsidRDefault="00A11BBA" w:rsidP="004A1847">
      <w:pPr>
        <w:spacing w:after="0" w:line="240" w:lineRule="auto"/>
      </w:pPr>
      <w:r>
        <w:separator/>
      </w:r>
    </w:p>
  </w:footnote>
  <w:footnote w:type="continuationSeparator" w:id="0">
    <w:p w14:paraId="49004986" w14:textId="77777777" w:rsidR="00A11BBA" w:rsidRDefault="00A11BBA" w:rsidP="004A1847">
      <w:pPr>
        <w:spacing w:after="0" w:line="240" w:lineRule="auto"/>
      </w:pPr>
      <w:r>
        <w:continuationSeparator/>
      </w:r>
    </w:p>
  </w:footnote>
  <w:footnote w:type="continuationNotice" w:id="1">
    <w:p w14:paraId="56F9CD74" w14:textId="77777777" w:rsidR="00A11BBA" w:rsidRDefault="00A11BBA">
      <w:pPr>
        <w:spacing w:after="0" w:line="240" w:lineRule="auto"/>
      </w:pPr>
    </w:p>
  </w:footnote>
  <w:footnote w:id="2">
    <w:p w14:paraId="11B65D86" w14:textId="77777777" w:rsidR="008C40BC" w:rsidRDefault="008C40BC" w:rsidP="008C40BC">
      <w:pPr>
        <w:pStyle w:val="Textonotapie"/>
        <w:ind w:firstLine="708"/>
        <w:jc w:val="both"/>
        <w:rPr>
          <w:rFonts w:ascii="Arial" w:hAnsi="Arial" w:cs="Arial"/>
          <w:color w:val="000000"/>
          <w:sz w:val="19"/>
          <w:szCs w:val="19"/>
        </w:rPr>
      </w:pPr>
      <w:r w:rsidRPr="002265CA">
        <w:rPr>
          <w:rStyle w:val="Refdenotaalpie"/>
          <w:rFonts w:ascii="Arial" w:hAnsi="Arial" w:cs="Arial"/>
          <w:color w:val="000000"/>
          <w:sz w:val="19"/>
          <w:szCs w:val="19"/>
        </w:rPr>
        <w:footnoteRef/>
      </w:r>
      <w:r w:rsidRPr="002265CA">
        <w:rPr>
          <w:rFonts w:ascii="Arial" w:hAnsi="Arial" w:cs="Arial"/>
          <w:color w:val="000000"/>
          <w:sz w:val="19"/>
          <w:szCs w:val="19"/>
        </w:rPr>
        <w:t xml:space="preserve"> ALESSANDRI RODRÍGUEZ, Arturo. De los contratos. Santiago de Chile: Editorial Jurídica EDIAR-CONOCSUR LTDA, 1988. p. 182. </w:t>
      </w:r>
    </w:p>
    <w:p w14:paraId="1F0F87D0" w14:textId="77777777" w:rsidR="00DE357C" w:rsidRPr="002265CA" w:rsidRDefault="00DE357C" w:rsidP="008C40BC">
      <w:pPr>
        <w:pStyle w:val="Textonotapie"/>
        <w:ind w:firstLine="708"/>
        <w:jc w:val="both"/>
        <w:rPr>
          <w:rFonts w:ascii="Arial" w:hAnsi="Arial" w:cs="Arial"/>
          <w:color w:val="000000"/>
          <w:sz w:val="19"/>
          <w:szCs w:val="19"/>
          <w:lang w:val="es-ES"/>
        </w:rPr>
      </w:pPr>
    </w:p>
  </w:footnote>
  <w:footnote w:id="3">
    <w:p w14:paraId="1C2E991A" w14:textId="77777777" w:rsidR="008C40BC" w:rsidRPr="002265CA" w:rsidRDefault="008C40BC" w:rsidP="008C40BC">
      <w:pPr>
        <w:pStyle w:val="Textonotapie"/>
        <w:ind w:firstLine="708"/>
        <w:rPr>
          <w:rFonts w:ascii="Arial" w:hAnsi="Arial" w:cs="Arial"/>
          <w:color w:val="000000"/>
          <w:sz w:val="19"/>
          <w:szCs w:val="19"/>
        </w:rPr>
      </w:pPr>
      <w:r w:rsidRPr="002265CA">
        <w:rPr>
          <w:rStyle w:val="Refdenotaalpie"/>
          <w:color w:val="000000"/>
        </w:rPr>
        <w:footnoteRef/>
      </w:r>
      <w:r w:rsidRPr="002265CA">
        <w:rPr>
          <w:color w:val="000000"/>
        </w:rPr>
        <w:t xml:space="preserve"> </w:t>
      </w:r>
      <w:r w:rsidRPr="002265CA">
        <w:rPr>
          <w:rFonts w:ascii="Arial" w:hAnsi="Arial" w:cs="Arial"/>
          <w:color w:val="000000"/>
          <w:sz w:val="19"/>
          <w:szCs w:val="19"/>
        </w:rPr>
        <w:t>OSPINA MENA, Jesús Marino. Régimen de la Contratación Estatal. Un salto a la contratación liquida. Bogotá: Dike, 2020. p. 168.</w:t>
      </w:r>
    </w:p>
    <w:p w14:paraId="42B42F7F" w14:textId="77777777" w:rsidR="008C40BC" w:rsidRPr="002265CA" w:rsidRDefault="008C40BC" w:rsidP="008C40BC">
      <w:pPr>
        <w:pStyle w:val="Textonotapie"/>
        <w:ind w:firstLine="708"/>
        <w:rPr>
          <w:color w:val="000000"/>
          <w:lang w:val="es-ES"/>
        </w:rPr>
      </w:pPr>
    </w:p>
  </w:footnote>
  <w:footnote w:id="4">
    <w:p w14:paraId="158EE5B1" w14:textId="77777777" w:rsidR="008C40BC" w:rsidRDefault="008C40BC" w:rsidP="008C40BC">
      <w:pPr>
        <w:pStyle w:val="Textonotapie"/>
        <w:ind w:firstLine="708"/>
        <w:rPr>
          <w:rFonts w:ascii="Arial" w:hAnsi="Arial" w:cs="Arial"/>
          <w:color w:val="000000"/>
          <w:sz w:val="19"/>
          <w:szCs w:val="19"/>
        </w:rPr>
      </w:pPr>
      <w:r w:rsidRPr="002265CA">
        <w:rPr>
          <w:rStyle w:val="Refdenotaalpie"/>
          <w:rFonts w:ascii="Arial" w:hAnsi="Arial" w:cs="Arial"/>
          <w:color w:val="000000"/>
          <w:sz w:val="19"/>
          <w:szCs w:val="19"/>
        </w:rPr>
        <w:footnoteRef/>
      </w:r>
      <w:r w:rsidRPr="002265CA">
        <w:rPr>
          <w:rFonts w:ascii="Arial" w:hAnsi="Arial" w:cs="Arial"/>
          <w:color w:val="000000"/>
          <w:sz w:val="19"/>
          <w:szCs w:val="19"/>
        </w:rPr>
        <w:t xml:space="preserve"> CONSEJO DE ESTADO. Sala de Consulta y Servicio Civil. Concepto del 5 de septiembre de 2018. Rad. 2.386. C.P. Edgar González López.</w:t>
      </w:r>
    </w:p>
    <w:p w14:paraId="7A4A6334" w14:textId="77777777" w:rsidR="00A87337" w:rsidRPr="002265CA" w:rsidRDefault="00A87337" w:rsidP="008C40BC">
      <w:pPr>
        <w:pStyle w:val="Textonotapie"/>
        <w:ind w:firstLine="708"/>
        <w:rPr>
          <w:rFonts w:ascii="Arial" w:hAnsi="Arial" w:cs="Arial"/>
          <w:color w:val="000000"/>
          <w:sz w:val="19"/>
          <w:szCs w:val="19"/>
        </w:rPr>
      </w:pPr>
    </w:p>
  </w:footnote>
  <w:footnote w:id="5">
    <w:p w14:paraId="260E86E0" w14:textId="77777777" w:rsidR="008C40BC" w:rsidRPr="007B0D85" w:rsidRDefault="008C40BC" w:rsidP="008C40BC">
      <w:pPr>
        <w:pStyle w:val="Textonotapie"/>
        <w:ind w:firstLine="709"/>
        <w:rPr>
          <w:rFonts w:ascii="Arial" w:hAnsi="Arial" w:cs="Arial"/>
          <w:sz w:val="19"/>
          <w:szCs w:val="19"/>
        </w:rPr>
      </w:pPr>
      <w:r w:rsidRPr="007B0D85">
        <w:rPr>
          <w:rStyle w:val="Refdenotaalpie"/>
          <w:rFonts w:ascii="Arial" w:hAnsi="Arial" w:cs="Arial"/>
          <w:sz w:val="19"/>
          <w:szCs w:val="19"/>
        </w:rPr>
        <w:footnoteRef/>
      </w:r>
      <w:r w:rsidRPr="007B0D85">
        <w:rPr>
          <w:rFonts w:ascii="Arial" w:hAnsi="Arial" w:cs="Arial"/>
          <w:sz w:val="19"/>
          <w:szCs w:val="19"/>
        </w:rPr>
        <w:t xml:space="preserve"> Diccionario prehispánico del español jurídico, 2023. Disponible en </w:t>
      </w:r>
      <w:hyperlink r:id="rId1" w:history="1">
        <w:r w:rsidRPr="007B0D85">
          <w:rPr>
            <w:rStyle w:val="Hipervnculo"/>
            <w:rFonts w:ascii="Arial" w:hAnsi="Arial" w:cs="Arial"/>
            <w:sz w:val="19"/>
            <w:szCs w:val="19"/>
          </w:rPr>
          <w:t>https://dpej.rae.es/lema/derecho-de-cerramiento</w:t>
        </w:r>
      </w:hyperlink>
      <w:r w:rsidRPr="007B0D85">
        <w:rPr>
          <w:rFonts w:ascii="Arial" w:hAnsi="Arial" w:cs="Arial"/>
          <w:sz w:val="19"/>
          <w:szCs w:val="19"/>
        </w:rPr>
        <w:t xml:space="preserve"> </w:t>
      </w:r>
    </w:p>
  </w:footnote>
  <w:footnote w:id="6">
    <w:p w14:paraId="7DE10F5E" w14:textId="77777777" w:rsidR="00A87337" w:rsidRDefault="00A87337" w:rsidP="008C40BC">
      <w:pPr>
        <w:pStyle w:val="Textonotapie"/>
        <w:ind w:firstLine="709"/>
        <w:rPr>
          <w:rFonts w:ascii="Arial" w:hAnsi="Arial" w:cs="Arial"/>
          <w:sz w:val="19"/>
          <w:szCs w:val="19"/>
        </w:rPr>
      </w:pPr>
    </w:p>
    <w:p w14:paraId="16591578" w14:textId="0ED0DDFE" w:rsidR="008C40BC" w:rsidRDefault="008C40BC" w:rsidP="008C40BC">
      <w:pPr>
        <w:pStyle w:val="Textonotapie"/>
        <w:ind w:firstLine="709"/>
      </w:pPr>
      <w:r w:rsidRPr="007B0D85">
        <w:rPr>
          <w:rStyle w:val="Refdenotaalpie"/>
          <w:rFonts w:ascii="Arial" w:hAnsi="Arial" w:cs="Arial"/>
          <w:sz w:val="19"/>
          <w:szCs w:val="19"/>
        </w:rPr>
        <w:footnoteRef/>
      </w:r>
      <w:r w:rsidRPr="007B0D85">
        <w:rPr>
          <w:rFonts w:ascii="Arial" w:hAnsi="Arial" w:cs="Arial"/>
          <w:sz w:val="19"/>
          <w:szCs w:val="19"/>
        </w:rPr>
        <w:t xml:space="preserve"> </w:t>
      </w:r>
      <w:r w:rsidRPr="007B0D85">
        <w:rPr>
          <w:rFonts w:ascii="Arial" w:hAnsi="Arial" w:cs="Arial"/>
          <w:i/>
          <w:iCs/>
          <w:sz w:val="19"/>
          <w:szCs w:val="19"/>
        </w:rPr>
        <w:t>Ibíd.</w:t>
      </w:r>
    </w:p>
  </w:footnote>
  <w:footnote w:id="7">
    <w:p w14:paraId="72996B1E" w14:textId="1DC0EFA9" w:rsidR="008C40BC" w:rsidRPr="007B0D85" w:rsidRDefault="008C40BC" w:rsidP="008C40BC">
      <w:pPr>
        <w:pStyle w:val="Textonotapie"/>
        <w:ind w:firstLine="709"/>
        <w:rPr>
          <w:rFonts w:ascii="Arial" w:hAnsi="Arial" w:cs="Arial"/>
          <w:sz w:val="19"/>
          <w:szCs w:val="19"/>
        </w:rPr>
      </w:pPr>
      <w:r w:rsidRPr="007B0D85">
        <w:rPr>
          <w:rStyle w:val="Refdenotaalpie"/>
          <w:rFonts w:ascii="Arial" w:hAnsi="Arial" w:cs="Arial"/>
          <w:sz w:val="19"/>
          <w:szCs w:val="19"/>
        </w:rPr>
        <w:footnoteRef/>
      </w:r>
      <w:r w:rsidRPr="007B0D85">
        <w:rPr>
          <w:rFonts w:ascii="Arial" w:hAnsi="Arial" w:cs="Arial"/>
          <w:sz w:val="19"/>
          <w:szCs w:val="19"/>
        </w:rPr>
        <w:t xml:space="preserve"> Código Civil: </w:t>
      </w:r>
      <w:r w:rsidR="00A87337">
        <w:rPr>
          <w:rFonts w:ascii="Arial" w:hAnsi="Arial" w:cs="Arial"/>
          <w:sz w:val="19"/>
          <w:szCs w:val="19"/>
        </w:rPr>
        <w:t>“</w:t>
      </w:r>
      <w:r w:rsidRPr="007B0D85">
        <w:rPr>
          <w:rFonts w:ascii="Arial" w:hAnsi="Arial" w:cs="Arial"/>
          <w:sz w:val="19"/>
          <w:szCs w:val="19"/>
        </w:rPr>
        <w:t>Artículo 902. El dueño de un predio tiene derecho para cerrarlo o cercarlo por todas partes, sin perjuicio de las servidumbres constituidas a favor de otros predios.</w:t>
      </w:r>
    </w:p>
    <w:p w14:paraId="02AF4587" w14:textId="55E84A0E" w:rsidR="008C40BC" w:rsidRDefault="008C40BC" w:rsidP="008C40BC">
      <w:pPr>
        <w:pStyle w:val="Textonotapie"/>
        <w:ind w:firstLine="709"/>
      </w:pPr>
      <w:r w:rsidRPr="007B0D85">
        <w:rPr>
          <w:rFonts w:ascii="Arial" w:hAnsi="Arial" w:cs="Arial"/>
          <w:sz w:val="19"/>
          <w:szCs w:val="19"/>
        </w:rPr>
        <w:t>El cerramiento podrá consistir en paredes, fosos, cercas vivas o muertas</w:t>
      </w:r>
      <w:r w:rsidR="00A87337">
        <w:rPr>
          <w:rFonts w:ascii="Arial" w:hAnsi="Arial" w:cs="Arial"/>
          <w:sz w:val="19"/>
          <w:szCs w:val="19"/>
        </w:rPr>
        <w:t>”</w:t>
      </w:r>
      <w:r w:rsidRPr="007B0D85">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5C9"/>
    <w:rsid w:val="00083334"/>
    <w:rsid w:val="000956CF"/>
    <w:rsid w:val="000A4714"/>
    <w:rsid w:val="000A683E"/>
    <w:rsid w:val="0011595A"/>
    <w:rsid w:val="001220C5"/>
    <w:rsid w:val="001267F7"/>
    <w:rsid w:val="00127233"/>
    <w:rsid w:val="00130999"/>
    <w:rsid w:val="001573C3"/>
    <w:rsid w:val="00164D81"/>
    <w:rsid w:val="00190A36"/>
    <w:rsid w:val="001A1011"/>
    <w:rsid w:val="001A48D0"/>
    <w:rsid w:val="001B436E"/>
    <w:rsid w:val="001C3D98"/>
    <w:rsid w:val="002653C1"/>
    <w:rsid w:val="0026611D"/>
    <w:rsid w:val="002951A0"/>
    <w:rsid w:val="002A64FD"/>
    <w:rsid w:val="002F0839"/>
    <w:rsid w:val="00301469"/>
    <w:rsid w:val="00306EE1"/>
    <w:rsid w:val="00310B9B"/>
    <w:rsid w:val="00315ACB"/>
    <w:rsid w:val="003475B4"/>
    <w:rsid w:val="00363540"/>
    <w:rsid w:val="0036461C"/>
    <w:rsid w:val="00367884"/>
    <w:rsid w:val="0039439C"/>
    <w:rsid w:val="003B69E7"/>
    <w:rsid w:val="003C013B"/>
    <w:rsid w:val="003D0F4D"/>
    <w:rsid w:val="003E2EFA"/>
    <w:rsid w:val="003F1486"/>
    <w:rsid w:val="003F58A1"/>
    <w:rsid w:val="00410DD6"/>
    <w:rsid w:val="004134C9"/>
    <w:rsid w:val="00425E7C"/>
    <w:rsid w:val="00431263"/>
    <w:rsid w:val="0043138C"/>
    <w:rsid w:val="00462A59"/>
    <w:rsid w:val="004A1847"/>
    <w:rsid w:val="004B6B0E"/>
    <w:rsid w:val="004D25B3"/>
    <w:rsid w:val="004F604F"/>
    <w:rsid w:val="0050144B"/>
    <w:rsid w:val="00511405"/>
    <w:rsid w:val="00526E9D"/>
    <w:rsid w:val="00534607"/>
    <w:rsid w:val="00547856"/>
    <w:rsid w:val="00547A74"/>
    <w:rsid w:val="005566E8"/>
    <w:rsid w:val="005746AB"/>
    <w:rsid w:val="0059357F"/>
    <w:rsid w:val="005A1130"/>
    <w:rsid w:val="005D65C8"/>
    <w:rsid w:val="00610580"/>
    <w:rsid w:val="006219F8"/>
    <w:rsid w:val="006463BA"/>
    <w:rsid w:val="00657C43"/>
    <w:rsid w:val="00664DF1"/>
    <w:rsid w:val="00681FDB"/>
    <w:rsid w:val="006A47A4"/>
    <w:rsid w:val="006A7DAD"/>
    <w:rsid w:val="006D70BA"/>
    <w:rsid w:val="007130B8"/>
    <w:rsid w:val="007566FE"/>
    <w:rsid w:val="0076726F"/>
    <w:rsid w:val="0077144B"/>
    <w:rsid w:val="00793403"/>
    <w:rsid w:val="007C0CDF"/>
    <w:rsid w:val="007E2A2F"/>
    <w:rsid w:val="007F2B7C"/>
    <w:rsid w:val="00811651"/>
    <w:rsid w:val="00820F5B"/>
    <w:rsid w:val="00833452"/>
    <w:rsid w:val="008614E5"/>
    <w:rsid w:val="008678EB"/>
    <w:rsid w:val="0087572C"/>
    <w:rsid w:val="00875894"/>
    <w:rsid w:val="00881C10"/>
    <w:rsid w:val="00890411"/>
    <w:rsid w:val="008C40BC"/>
    <w:rsid w:val="008D5C70"/>
    <w:rsid w:val="009025AF"/>
    <w:rsid w:val="00904F23"/>
    <w:rsid w:val="00906B3C"/>
    <w:rsid w:val="0094195C"/>
    <w:rsid w:val="0095342C"/>
    <w:rsid w:val="009C23C1"/>
    <w:rsid w:val="009F33F2"/>
    <w:rsid w:val="009F6C77"/>
    <w:rsid w:val="00A07532"/>
    <w:rsid w:val="00A1085C"/>
    <w:rsid w:val="00A11BBA"/>
    <w:rsid w:val="00A309E2"/>
    <w:rsid w:val="00A8066E"/>
    <w:rsid w:val="00A87337"/>
    <w:rsid w:val="00AA4B8A"/>
    <w:rsid w:val="00AA6BF7"/>
    <w:rsid w:val="00B01ED6"/>
    <w:rsid w:val="00B06D09"/>
    <w:rsid w:val="00B771A9"/>
    <w:rsid w:val="00B809BB"/>
    <w:rsid w:val="00B8248A"/>
    <w:rsid w:val="00BB7726"/>
    <w:rsid w:val="00BC06F9"/>
    <w:rsid w:val="00BE12A0"/>
    <w:rsid w:val="00C2329E"/>
    <w:rsid w:val="00C30461"/>
    <w:rsid w:val="00C4139B"/>
    <w:rsid w:val="00C754BE"/>
    <w:rsid w:val="00C87572"/>
    <w:rsid w:val="00C9405D"/>
    <w:rsid w:val="00CC1B26"/>
    <w:rsid w:val="00CD284F"/>
    <w:rsid w:val="00CF23AA"/>
    <w:rsid w:val="00D01921"/>
    <w:rsid w:val="00D3080C"/>
    <w:rsid w:val="00D752B7"/>
    <w:rsid w:val="00DA1854"/>
    <w:rsid w:val="00DB0887"/>
    <w:rsid w:val="00DC4704"/>
    <w:rsid w:val="00DE357C"/>
    <w:rsid w:val="00DF1E43"/>
    <w:rsid w:val="00E13E01"/>
    <w:rsid w:val="00E20894"/>
    <w:rsid w:val="00E26B7C"/>
    <w:rsid w:val="00E44D54"/>
    <w:rsid w:val="00EA3003"/>
    <w:rsid w:val="00EB3C91"/>
    <w:rsid w:val="00EB66DA"/>
    <w:rsid w:val="00F13EE9"/>
    <w:rsid w:val="00F605F2"/>
    <w:rsid w:val="00F76AFC"/>
    <w:rsid w:val="00F8319B"/>
    <w:rsid w:val="00FA5516"/>
    <w:rsid w:val="00FB1E31"/>
    <w:rsid w:val="00FD6F73"/>
    <w:rsid w:val="05DBF0C2"/>
    <w:rsid w:val="0EB87405"/>
    <w:rsid w:val="12949CBD"/>
    <w:rsid w:val="1CC63BF5"/>
    <w:rsid w:val="2F9951DC"/>
    <w:rsid w:val="35B56B9C"/>
    <w:rsid w:val="3EA2D60F"/>
    <w:rsid w:val="4EE4B70A"/>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rsid w:val="008C40BC"/>
    <w:pPr>
      <w:spacing w:line="240" w:lineRule="exact"/>
    </w:pPr>
    <w:rPr>
      <w:vertAlign w:val="superscript"/>
    </w:rPr>
  </w:style>
  <w:style w:type="character" w:styleId="Hipervnculo">
    <w:name w:val="Hyperlink"/>
    <w:basedOn w:val="Fuentedeprrafopredeter"/>
    <w:uiPriority w:val="99"/>
    <w:unhideWhenUsed/>
    <w:rsid w:val="008C4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pej.rae.es/lema/derecho-de-cerramien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54478A08-84F3-4EEC-91DC-7B671F86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3004</Words>
  <Characters>16528</Characters>
  <Application>Microsoft Office Word</Application>
  <DocSecurity>0</DocSecurity>
  <Lines>137</Lines>
  <Paragraphs>38</Paragraphs>
  <ScaleCrop>false</ScaleCrop>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9</cp:revision>
  <dcterms:created xsi:type="dcterms:W3CDTF">2023-04-10T22:18:00Z</dcterms:created>
  <dcterms:modified xsi:type="dcterms:W3CDTF">2023-06-15T13:51:00Z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