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4B7F" w14:textId="77777777" w:rsidR="009B0A10" w:rsidRPr="009B0A10" w:rsidRDefault="009B0A10" w:rsidP="009B0A10">
      <w:pPr>
        <w:textAlignment w:val="baseline"/>
        <w:rPr>
          <w:rFonts w:ascii="Geomanist Light" w:eastAsia="Times New Roman" w:hAnsi="Geomanist Light" w:cs="Arial"/>
          <w:kern w:val="0"/>
          <w:sz w:val="22"/>
          <w:szCs w:val="22"/>
          <w:lang w:val="es-CO" w:eastAsia="es-CO"/>
          <w14:ligatures w14:val="none"/>
        </w:rPr>
      </w:pPr>
    </w:p>
    <w:p w14:paraId="40163249" w14:textId="77777777" w:rsidR="009B0A10" w:rsidRPr="009B0A10" w:rsidRDefault="009B0A10" w:rsidP="009B0A10">
      <w:pPr>
        <w:tabs>
          <w:tab w:val="left" w:pos="426"/>
        </w:tabs>
        <w:jc w:val="both"/>
        <w:rPr>
          <w:rFonts w:ascii="Arial" w:eastAsia="Calibri" w:hAnsi="Arial" w:cs="Arial"/>
          <w:b/>
          <w:bCs/>
          <w:kern w:val="0"/>
          <w:sz w:val="22"/>
          <w:szCs w:val="22"/>
          <w:lang w:val="es-MX"/>
          <w14:ligatures w14:val="none"/>
        </w:rPr>
      </w:pPr>
      <w:bookmarkStart w:id="0" w:name="_Hlk77152637"/>
      <w:bookmarkStart w:id="1" w:name="_Hlk77157066"/>
      <w:bookmarkStart w:id="2" w:name="_Hlk78821436"/>
      <w:r w:rsidRPr="009B0A10">
        <w:rPr>
          <w:rFonts w:ascii="Arial" w:eastAsia="Calibri" w:hAnsi="Arial" w:cs="Arial"/>
          <w:b/>
          <w:bCs/>
          <w:kern w:val="0"/>
          <w:sz w:val="22"/>
          <w:szCs w:val="22"/>
          <w:lang w:val="es-MX"/>
          <w14:ligatures w14:val="none"/>
        </w:rPr>
        <w:t>LEY DE GARANTÍAS ELECTORALES ‒</w:t>
      </w:r>
      <w:bookmarkEnd w:id="0"/>
      <w:r w:rsidRPr="009B0A10">
        <w:rPr>
          <w:rFonts w:ascii="Arial" w:eastAsia="Calibri" w:hAnsi="Arial" w:cs="Arial"/>
          <w:b/>
          <w:bCs/>
          <w:kern w:val="0"/>
          <w:sz w:val="22"/>
          <w:szCs w:val="22"/>
          <w:lang w:val="es-MX"/>
          <w14:ligatures w14:val="none"/>
        </w:rPr>
        <w:t xml:space="preserve"> Tipos de restricciones </w:t>
      </w:r>
      <w:bookmarkStart w:id="3" w:name="_Hlk77157034"/>
      <w:r w:rsidRPr="009B0A10">
        <w:rPr>
          <w:rFonts w:ascii="Arial" w:eastAsia="Calibri" w:hAnsi="Arial" w:cs="Arial"/>
          <w:b/>
          <w:bCs/>
          <w:kern w:val="0"/>
          <w:sz w:val="22"/>
          <w:szCs w:val="22"/>
          <w:lang w:val="es-MX"/>
          <w14:ligatures w14:val="none"/>
        </w:rPr>
        <w:t xml:space="preserve">‒ </w:t>
      </w:r>
      <w:bookmarkStart w:id="4" w:name="_Hlk77153098"/>
      <w:bookmarkEnd w:id="3"/>
      <w:r w:rsidRPr="009B0A10">
        <w:rPr>
          <w:rFonts w:ascii="Arial" w:eastAsia="Calibri" w:hAnsi="Arial" w:cs="Arial"/>
          <w:b/>
          <w:bCs/>
          <w:kern w:val="0"/>
          <w:sz w:val="22"/>
          <w:szCs w:val="22"/>
          <w:lang w:val="es-MX"/>
          <w14:ligatures w14:val="none"/>
        </w:rPr>
        <w:t xml:space="preserve">Ámbito temporal </w:t>
      </w:r>
      <w:bookmarkEnd w:id="4"/>
      <w:r w:rsidRPr="009B0A10">
        <w:rPr>
          <w:rFonts w:ascii="Arial" w:eastAsia="Calibri" w:hAnsi="Arial" w:cs="Arial"/>
          <w:b/>
          <w:bCs/>
          <w:kern w:val="0"/>
          <w:sz w:val="22"/>
          <w:szCs w:val="22"/>
          <w:lang w:val="es-MX"/>
          <w14:ligatures w14:val="none"/>
        </w:rPr>
        <w:t>– Artículo 38</w:t>
      </w:r>
    </w:p>
    <w:p w14:paraId="2E93EA9F" w14:textId="77777777" w:rsidR="009B0A10" w:rsidRPr="009B0A10" w:rsidRDefault="009B0A10" w:rsidP="009B0A10">
      <w:pPr>
        <w:tabs>
          <w:tab w:val="left" w:pos="426"/>
        </w:tabs>
        <w:jc w:val="both"/>
        <w:rPr>
          <w:rFonts w:ascii="Arial" w:eastAsia="Calibri" w:hAnsi="Arial" w:cs="Arial"/>
          <w:b/>
          <w:bCs/>
          <w:kern w:val="0"/>
          <w:sz w:val="20"/>
          <w:szCs w:val="20"/>
          <w:lang w:val="es-MX"/>
          <w14:ligatures w14:val="none"/>
        </w:rPr>
      </w:pPr>
    </w:p>
    <w:bookmarkEnd w:id="1"/>
    <w:p w14:paraId="7B9C8FE7" w14:textId="77777777" w:rsidR="009B0A10" w:rsidRPr="009B0A10" w:rsidRDefault="009B0A10" w:rsidP="009B0A10">
      <w:pPr>
        <w:tabs>
          <w:tab w:val="left" w:pos="426"/>
        </w:tabs>
        <w:jc w:val="both"/>
        <w:rPr>
          <w:rFonts w:ascii="Arial" w:eastAsia="Calibri" w:hAnsi="Arial" w:cs="Arial"/>
          <w:noProof/>
          <w:kern w:val="0"/>
          <w:sz w:val="20"/>
          <w:szCs w:val="20"/>
          <w14:ligatures w14:val="none"/>
        </w:rPr>
      </w:pPr>
      <w:r w:rsidRPr="009B0A10">
        <w:rPr>
          <w:rFonts w:ascii="Arial" w:eastAsia="Calibri" w:hAnsi="Arial" w:cs="Arial"/>
          <w:noProof/>
          <w:kern w:val="0"/>
          <w:sz w:val="20"/>
          <w:szCs w:val="20"/>
          <w14:ligatures w14:val="none"/>
        </w:rPr>
        <w:t>[…]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40498F53" w14:textId="77777777" w:rsidR="009B0A10" w:rsidRPr="009B0A10" w:rsidRDefault="009B0A10" w:rsidP="009B0A10">
      <w:pPr>
        <w:tabs>
          <w:tab w:val="left" w:pos="426"/>
        </w:tabs>
        <w:jc w:val="both"/>
        <w:rPr>
          <w:rFonts w:ascii="Arial" w:eastAsia="Calibri" w:hAnsi="Arial" w:cs="Arial"/>
          <w:noProof/>
          <w:kern w:val="0"/>
          <w:sz w:val="20"/>
          <w:szCs w:val="20"/>
          <w14:ligatures w14:val="none"/>
        </w:rPr>
      </w:pPr>
      <w:r w:rsidRPr="009B0A10">
        <w:rPr>
          <w:rFonts w:ascii="Arial" w:eastAsia="Calibri" w:hAnsi="Arial" w:cs="Arial"/>
          <w:noProof/>
          <w:kern w:val="0"/>
          <w:sz w:val="20"/>
          <w:szCs w:val="20"/>
          <w14:ligatures w14:val="none"/>
        </w:rPr>
        <w:t>[…]</w:t>
      </w:r>
    </w:p>
    <w:p w14:paraId="610C271C" w14:textId="77777777" w:rsidR="009B0A10" w:rsidRPr="009B0A10" w:rsidRDefault="009B0A10" w:rsidP="009B0A10">
      <w:pPr>
        <w:tabs>
          <w:tab w:val="left" w:pos="426"/>
        </w:tabs>
        <w:jc w:val="both"/>
        <w:rPr>
          <w:rFonts w:ascii="Arial" w:eastAsia="Calibri" w:hAnsi="Arial" w:cs="Arial"/>
          <w:noProof/>
          <w:kern w:val="0"/>
          <w:sz w:val="20"/>
          <w:szCs w:val="20"/>
          <w14:ligatures w14:val="none"/>
        </w:rPr>
      </w:pPr>
      <w:r w:rsidRPr="009B0A10">
        <w:rPr>
          <w:rFonts w:ascii="Arial" w:eastAsia="Calibri" w:hAnsi="Arial" w:cs="Arial"/>
          <w:noProof/>
          <w:kern w:val="0"/>
          <w:sz w:val="20"/>
          <w:szCs w:val="20"/>
          <w14:ligatures w14:val="none"/>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A4553B6" w14:textId="77777777" w:rsidR="009B0A10" w:rsidRPr="009B0A10" w:rsidRDefault="009B0A10" w:rsidP="009B0A10">
      <w:pPr>
        <w:tabs>
          <w:tab w:val="left" w:pos="426"/>
        </w:tabs>
        <w:jc w:val="both"/>
        <w:rPr>
          <w:rFonts w:ascii="Arial" w:eastAsia="Calibri" w:hAnsi="Arial" w:cs="Arial"/>
          <w:b/>
          <w:bCs/>
          <w:noProof/>
          <w:kern w:val="0"/>
          <w:sz w:val="20"/>
          <w:szCs w:val="20"/>
          <w14:ligatures w14:val="none"/>
        </w:rPr>
      </w:pPr>
    </w:p>
    <w:p w14:paraId="40A92E3B" w14:textId="77777777" w:rsidR="009B0A10" w:rsidRPr="009B0A10" w:rsidRDefault="009B0A10" w:rsidP="009B0A10">
      <w:pPr>
        <w:tabs>
          <w:tab w:val="left" w:pos="426"/>
        </w:tabs>
        <w:jc w:val="both"/>
        <w:rPr>
          <w:rFonts w:ascii="Arial" w:eastAsia="Calibri" w:hAnsi="Arial" w:cs="Arial"/>
          <w:b/>
          <w:bCs/>
          <w:kern w:val="0"/>
          <w:sz w:val="22"/>
          <w:szCs w:val="22"/>
          <w:lang w:val="es-MX"/>
          <w14:ligatures w14:val="none"/>
        </w:rPr>
      </w:pPr>
      <w:r w:rsidRPr="009B0A10">
        <w:rPr>
          <w:rFonts w:ascii="Arial" w:eastAsia="Calibri" w:hAnsi="Arial" w:cs="Arial"/>
          <w:b/>
          <w:bCs/>
          <w:kern w:val="0"/>
          <w:sz w:val="22"/>
          <w:szCs w:val="22"/>
          <w:lang w:val="es-MX"/>
          <w14:ligatures w14:val="none"/>
        </w:rPr>
        <w:t>LEY 1276 DE 2009 – Convenios – Contratación – Parágrafo del artículo 8 – Estampilla – Adulto mayor</w:t>
      </w:r>
    </w:p>
    <w:p w14:paraId="355F615B" w14:textId="77777777" w:rsidR="009B0A10" w:rsidRPr="009B0A10" w:rsidRDefault="009B0A10" w:rsidP="009B0A10">
      <w:pPr>
        <w:tabs>
          <w:tab w:val="left" w:pos="426"/>
        </w:tabs>
        <w:jc w:val="both"/>
        <w:rPr>
          <w:rFonts w:ascii="Arial" w:eastAsia="Calibri" w:hAnsi="Arial" w:cs="Arial"/>
          <w:noProof/>
          <w:kern w:val="0"/>
          <w:sz w:val="20"/>
          <w:szCs w:val="20"/>
          <w:lang w:val="es-MX"/>
          <w14:ligatures w14:val="none"/>
        </w:rPr>
      </w:pPr>
    </w:p>
    <w:p w14:paraId="2726A452" w14:textId="77777777" w:rsidR="009B0A10" w:rsidRPr="009B0A10" w:rsidRDefault="009B0A10" w:rsidP="009B0A10">
      <w:pPr>
        <w:tabs>
          <w:tab w:val="left" w:pos="426"/>
        </w:tabs>
        <w:jc w:val="both"/>
        <w:rPr>
          <w:rFonts w:ascii="Arial" w:eastAsia="Calibri" w:hAnsi="Arial" w:cs="Arial"/>
          <w:noProof/>
          <w:kern w:val="0"/>
          <w:sz w:val="20"/>
          <w:szCs w:val="20"/>
          <w:lang w:val="es-MX"/>
          <w14:ligatures w14:val="none"/>
        </w:rPr>
      </w:pPr>
      <w:r w:rsidRPr="009B0A10">
        <w:rPr>
          <w:rFonts w:ascii="Arial" w:eastAsia="Calibri" w:hAnsi="Arial" w:cs="Arial"/>
          <w:noProof/>
          <w:kern w:val="0"/>
          <w:sz w:val="20"/>
          <w:szCs w:val="20"/>
          <w:lang w:val="es-MX"/>
          <w14:ligatures w14:val="none"/>
        </w:rPr>
        <w:t>Los convenios sub examine están regulados, entonces, por el EGCAP (infra num. i) o, eventualmente, por el Decreto 092 de 2018 (infra num. ii), siendo la aplicación de aquel la regla general, mientras que la de este último la excepción, dentro de los parámetros que pasarán a explicarse a continuación:</w:t>
      </w:r>
    </w:p>
    <w:p w14:paraId="107AA37A" w14:textId="77777777" w:rsidR="009B0A10" w:rsidRPr="009B0A10" w:rsidRDefault="009B0A10" w:rsidP="009B0A10">
      <w:pPr>
        <w:tabs>
          <w:tab w:val="left" w:pos="426"/>
        </w:tabs>
        <w:jc w:val="both"/>
        <w:rPr>
          <w:rFonts w:ascii="Arial" w:eastAsia="Calibri" w:hAnsi="Arial" w:cs="Arial"/>
          <w:noProof/>
          <w:kern w:val="0"/>
          <w:sz w:val="20"/>
          <w:szCs w:val="20"/>
          <w:lang w:val="es-MX"/>
          <w14:ligatures w14:val="none"/>
        </w:rPr>
      </w:pPr>
    </w:p>
    <w:p w14:paraId="4BDE2FF3" w14:textId="77777777" w:rsidR="009B0A10" w:rsidRPr="009B0A10" w:rsidRDefault="009B0A10" w:rsidP="009B0A10">
      <w:pPr>
        <w:tabs>
          <w:tab w:val="left" w:pos="426"/>
        </w:tabs>
        <w:jc w:val="both"/>
        <w:rPr>
          <w:rFonts w:ascii="Arial" w:eastAsia="Times New Roman" w:hAnsi="Arial" w:cs="Arial"/>
          <w:kern w:val="0"/>
          <w:sz w:val="20"/>
          <w:szCs w:val="20"/>
          <w:lang w:val="es-CO" w:eastAsia="x-none"/>
          <w14:ligatures w14:val="none"/>
        </w:rPr>
      </w:pPr>
      <w:r w:rsidRPr="009B0A10">
        <w:rPr>
          <w:rFonts w:ascii="Arial" w:eastAsia="Calibri" w:hAnsi="Arial" w:cs="Arial"/>
          <w:noProof/>
          <w:kern w:val="0"/>
          <w:sz w:val="20"/>
          <w:szCs w:val="20"/>
          <w:lang w:val="es-MX"/>
          <w14:ligatures w14:val="none"/>
        </w:rPr>
        <w:t>i)</w:t>
      </w:r>
      <w:r w:rsidRPr="009B0A10">
        <w:rPr>
          <w:rFonts w:ascii="Arial" w:eastAsia="Calibri" w:hAnsi="Arial" w:cs="Arial"/>
          <w:noProof/>
          <w:kern w:val="0"/>
          <w:sz w:val="20"/>
          <w:szCs w:val="20"/>
          <w:lang w:val="es-MX"/>
          <w14:ligatures w14:val="none"/>
        </w:rPr>
        <w:tab/>
        <w:t>Los procedimientos contractuales mediante los cuales las entidades ejecutan recursos públicos y satisfacen el interés general deben regirse por la normativa de contratación pública ―Ley 80 de 1993, Ley 1150 de 2007, Decreto 1082 de 2015 y normas complementarias―, que contiene los principios, reglas y procedimientos que rigen los contratos de las entidades estatales. Como se explicó, el EGCAP se aplica a las entidades estatales relacionadas en el citado artículo 2 y demás normas que lo complementan, dentro de las cuales se encuentran mencionados los departamentos, distritos y municipios.</w:t>
      </w:r>
    </w:p>
    <w:p w14:paraId="25E252B3" w14:textId="77777777" w:rsidR="009B0A10" w:rsidRPr="009B0A10" w:rsidRDefault="009B0A10" w:rsidP="009B0A10">
      <w:pPr>
        <w:tabs>
          <w:tab w:val="left" w:pos="426"/>
        </w:tabs>
        <w:jc w:val="both"/>
        <w:rPr>
          <w:rFonts w:ascii="Arial" w:eastAsia="Times New Roman" w:hAnsi="Arial" w:cs="Arial"/>
          <w:kern w:val="0"/>
          <w:sz w:val="20"/>
          <w:szCs w:val="20"/>
          <w:lang w:val="es-CO" w:eastAsia="x-none"/>
          <w14:ligatures w14:val="none"/>
        </w:rPr>
      </w:pPr>
      <w:r w:rsidRPr="009B0A10">
        <w:rPr>
          <w:rFonts w:ascii="Arial" w:eastAsia="Times New Roman" w:hAnsi="Arial" w:cs="Arial"/>
          <w:kern w:val="0"/>
          <w:sz w:val="20"/>
          <w:szCs w:val="20"/>
          <w:lang w:val="es-CO" w:eastAsia="x-none"/>
          <w14:ligatures w14:val="none"/>
        </w:rPr>
        <w:t>[…]</w:t>
      </w:r>
    </w:p>
    <w:p w14:paraId="768B5333" w14:textId="77777777" w:rsidR="009B0A10" w:rsidRPr="009B0A10" w:rsidRDefault="009B0A10" w:rsidP="009B0A10">
      <w:pPr>
        <w:tabs>
          <w:tab w:val="left" w:pos="426"/>
        </w:tabs>
        <w:jc w:val="both"/>
        <w:rPr>
          <w:rFonts w:ascii="Arial" w:eastAsia="Calibri" w:hAnsi="Arial" w:cs="Arial"/>
          <w:kern w:val="0"/>
          <w:sz w:val="20"/>
          <w:szCs w:val="20"/>
          <w:lang w:val="es-MX"/>
          <w14:ligatures w14:val="none"/>
        </w:rPr>
      </w:pPr>
      <w:r w:rsidRPr="009B0A10">
        <w:rPr>
          <w:rFonts w:ascii="Arial" w:eastAsia="Calibri" w:hAnsi="Arial" w:cs="Arial"/>
          <w:kern w:val="0"/>
          <w:sz w:val="20"/>
          <w:szCs w:val="20"/>
          <w:lang w:val="es-MX"/>
          <w14:ligatures w14:val="none"/>
        </w:rPr>
        <w:t>Por otra parte, teniendo en cuenta el objeto de su consulta, es importante señalar que, de conformidad con el artículo 3 de la Ley 1276 de 2009, las Asambleas Departamentales y los Concejos Distritales y Municipales se encuentran habilitados para emitir la “Estampilla para el bienestar del Adulto Mayor”, como recurso de obligatorio recaudo para contribuir a la construcción, instalación, adecuación, dotación, funcionamiento y desarrollo d programas de prevención y promoción de los Centros de Bienestar del Anciano y Centros de Vida para la Tercera Edad, en sus respectivas entidades territoriales. A su turno, sobre la destinación del producto de dichos recursos, el precitado artículo dispone lo siguiente: “[e]l producto de dichos recursos se destinará, como mínimo, en un 70% para la financiación de los Centros Vida, de acuerdo con las definiciones de la presente ley; y el 30% restante, a la dotación y funcionamiento de los Centros de Bienestar del Anciano, sin perjuicio de los recursos adicionales que puedan gestionarse a través del sector privado y la cooperación internacional".</w:t>
      </w:r>
    </w:p>
    <w:bookmarkEnd w:id="2"/>
    <w:p w14:paraId="000B92C9" w14:textId="77777777" w:rsidR="009B0A10" w:rsidRPr="009B0A10" w:rsidRDefault="009B0A10" w:rsidP="009B0A10">
      <w:pPr>
        <w:tabs>
          <w:tab w:val="left" w:pos="3374"/>
        </w:tabs>
        <w:rPr>
          <w:rFonts w:ascii="Arial" w:eastAsia="Calibri" w:hAnsi="Arial" w:cs="Arial"/>
          <w:kern w:val="0"/>
          <w:sz w:val="22"/>
          <w:szCs w:val="22"/>
          <w:lang w:val="es-MX"/>
          <w14:ligatures w14:val="none"/>
        </w:rPr>
      </w:pPr>
    </w:p>
    <w:p w14:paraId="570AC80A" w14:textId="018F17D8" w:rsidR="009B0A10" w:rsidRPr="009B0A10" w:rsidRDefault="009B0A10" w:rsidP="009B0A10">
      <w:pPr>
        <w:jc w:val="right"/>
        <w:rPr>
          <w:rFonts w:ascii="Arial" w:eastAsia="Calibri" w:hAnsi="Arial" w:cs="Arial"/>
          <w:kern w:val="0"/>
          <w:sz w:val="22"/>
          <w:szCs w:val="22"/>
          <w:lang w:val="es-CO"/>
          <w14:ligatures w14:val="none"/>
        </w:rPr>
      </w:pPr>
      <w:r>
        <w:rPr>
          <w:rFonts w:ascii="Arial" w:eastAsia="Calibri" w:hAnsi="Arial" w:cs="Arial"/>
          <w:noProof/>
          <w:kern w:val="0"/>
          <w:sz w:val="22"/>
          <w:szCs w:val="22"/>
          <w:lang w:val="es-CO"/>
        </w:rPr>
        <w:lastRenderedPageBreak/>
        <w:drawing>
          <wp:inline distT="0" distB="0" distL="0" distR="0" wp14:anchorId="69927B41" wp14:editId="7DC99BED">
            <wp:extent cx="3119821" cy="884725"/>
            <wp:effectExtent l="0" t="0" r="4445" b="4445"/>
            <wp:docPr id="2658267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26789" name="Imagen 265826789"/>
                    <pic:cNvPicPr/>
                  </pic:nvPicPr>
                  <pic:blipFill>
                    <a:blip r:embed="rId7">
                      <a:extLst>
                        <a:ext uri="{28A0092B-C50C-407E-A947-70E740481C1C}">
                          <a14:useLocalDpi xmlns:a14="http://schemas.microsoft.com/office/drawing/2010/main" val="0"/>
                        </a:ext>
                      </a:extLst>
                    </a:blip>
                    <a:stretch>
                      <a:fillRect/>
                    </a:stretch>
                  </pic:blipFill>
                  <pic:spPr>
                    <a:xfrm>
                      <a:off x="0" y="0"/>
                      <a:ext cx="3131936" cy="888161"/>
                    </a:xfrm>
                    <a:prstGeom prst="rect">
                      <a:avLst/>
                    </a:prstGeom>
                  </pic:spPr>
                </pic:pic>
              </a:graphicData>
            </a:graphic>
          </wp:inline>
        </w:drawing>
      </w:r>
    </w:p>
    <w:p w14:paraId="53A9091D" w14:textId="77777777" w:rsidR="009B0A10" w:rsidRPr="009B0A10" w:rsidRDefault="009B0A10" w:rsidP="009B0A10">
      <w:pPr>
        <w:jc w:val="both"/>
        <w:rPr>
          <w:rFonts w:ascii="Arial" w:eastAsia="Calibri" w:hAnsi="Arial" w:cs="Arial"/>
          <w:kern w:val="0"/>
          <w:sz w:val="22"/>
          <w:szCs w:val="22"/>
          <w:lang w:val="es-CO"/>
          <w14:ligatures w14:val="none"/>
        </w:rPr>
      </w:pPr>
      <w:bookmarkStart w:id="5" w:name="_Hlk96417464"/>
      <w:bookmarkStart w:id="6" w:name="_Hlk106355763"/>
    </w:p>
    <w:p w14:paraId="16CF9114" w14:textId="77777777" w:rsidR="009B0A10" w:rsidRPr="009B0A10" w:rsidRDefault="009B0A10" w:rsidP="009B0A10">
      <w:pPr>
        <w:jc w:val="both"/>
        <w:rPr>
          <w:rFonts w:ascii="Arial" w:eastAsia="Calibri" w:hAnsi="Arial" w:cs="Arial"/>
          <w:kern w:val="0"/>
          <w:sz w:val="22"/>
          <w:szCs w:val="22"/>
          <w:lang w:val="es-CO"/>
          <w14:ligatures w14:val="none"/>
        </w:rPr>
      </w:pPr>
      <w:r w:rsidRPr="009B0A10">
        <w:rPr>
          <w:rFonts w:ascii="Arial" w:eastAsia="Calibri" w:hAnsi="Arial" w:cs="Arial"/>
          <w:kern w:val="0"/>
          <w:sz w:val="22"/>
          <w:szCs w:val="22"/>
          <w:lang w:val="es-CO"/>
          <w14:ligatures w14:val="none"/>
        </w:rPr>
        <w:t>Señora</w:t>
      </w:r>
    </w:p>
    <w:p w14:paraId="33FD6330" w14:textId="77777777" w:rsidR="009B0A10" w:rsidRPr="009B0A10" w:rsidRDefault="009B0A10" w:rsidP="009B0A10">
      <w:pPr>
        <w:jc w:val="both"/>
        <w:rPr>
          <w:rFonts w:ascii="Arial" w:eastAsia="Calibri" w:hAnsi="Arial" w:cs="Arial"/>
          <w:b/>
          <w:kern w:val="0"/>
          <w:sz w:val="22"/>
          <w:szCs w:val="22"/>
          <w:lang w:val="es-CO"/>
          <w14:ligatures w14:val="none"/>
        </w:rPr>
      </w:pPr>
      <w:r w:rsidRPr="009B0A10">
        <w:rPr>
          <w:rFonts w:ascii="Arial" w:eastAsia="Calibri" w:hAnsi="Arial" w:cs="Arial"/>
          <w:b/>
          <w:kern w:val="0"/>
          <w:sz w:val="22"/>
          <w:szCs w:val="22"/>
          <w:lang w:val="es-CO"/>
          <w14:ligatures w14:val="none"/>
        </w:rPr>
        <w:t>Dana María Mancilla Uribe</w:t>
      </w:r>
    </w:p>
    <w:p w14:paraId="1AD307C0" w14:textId="77777777" w:rsidR="009B0A10" w:rsidRPr="009B0A10" w:rsidRDefault="009B0A10" w:rsidP="009B0A10">
      <w:pPr>
        <w:jc w:val="both"/>
        <w:rPr>
          <w:rFonts w:ascii="Arial" w:eastAsia="Calibri" w:hAnsi="Arial" w:cs="Arial"/>
          <w:kern w:val="0"/>
          <w:sz w:val="22"/>
          <w:szCs w:val="22"/>
          <w:lang w:val="es-CO"/>
          <w14:ligatures w14:val="none"/>
        </w:rPr>
      </w:pPr>
      <w:r w:rsidRPr="009B0A10">
        <w:rPr>
          <w:rFonts w:ascii="Arial" w:eastAsia="Calibri" w:hAnsi="Arial" w:cs="Arial"/>
          <w:kern w:val="0"/>
          <w:sz w:val="22"/>
          <w:szCs w:val="22"/>
          <w:lang w:val="es-CO"/>
          <w14:ligatures w14:val="none"/>
        </w:rPr>
        <w:t>Bucaramanga, Santander</w:t>
      </w:r>
    </w:p>
    <w:p w14:paraId="2CDD0607" w14:textId="77777777" w:rsidR="009B0A10" w:rsidRPr="009B0A10" w:rsidRDefault="009B0A10" w:rsidP="009B0A10">
      <w:pPr>
        <w:jc w:val="both"/>
        <w:rPr>
          <w:rFonts w:ascii="Arial" w:eastAsia="Calibri" w:hAnsi="Arial" w:cs="Arial"/>
          <w:kern w:val="0"/>
          <w:sz w:val="22"/>
          <w:szCs w:val="22"/>
          <w:lang w:val="es-CO"/>
          <w14:ligatures w14:val="none"/>
        </w:rPr>
      </w:pPr>
    </w:p>
    <w:p w14:paraId="363CF3A4" w14:textId="77777777" w:rsidR="009B0A10" w:rsidRPr="009B0A10" w:rsidRDefault="009B0A10" w:rsidP="009B0A10">
      <w:pPr>
        <w:jc w:val="both"/>
        <w:rPr>
          <w:rFonts w:ascii="Arial" w:eastAsia="Calibri" w:hAnsi="Arial" w:cs="Arial"/>
          <w:kern w:val="0"/>
          <w:sz w:val="22"/>
          <w:szCs w:val="22"/>
          <w:lang w:val="es-CO"/>
          <w14:ligatures w14:val="none"/>
        </w:rPr>
      </w:pPr>
    </w:p>
    <w:p w14:paraId="5B5B9DCA" w14:textId="77777777" w:rsidR="009B0A10" w:rsidRPr="009B0A10" w:rsidRDefault="009B0A10" w:rsidP="009B0A10">
      <w:pPr>
        <w:jc w:val="both"/>
        <w:rPr>
          <w:rFonts w:ascii="Arial" w:eastAsia="Calibri" w:hAnsi="Arial" w:cs="Arial"/>
          <w:kern w:val="0"/>
          <w:sz w:val="22"/>
          <w:szCs w:val="22"/>
          <w:lang w:val="es-CO"/>
          <w14:ligatures w14:val="none"/>
        </w:rPr>
      </w:pPr>
      <w:r w:rsidRPr="009B0A10">
        <w:rPr>
          <w:rFonts w:ascii="Arial" w:eastAsia="Calibri" w:hAnsi="Arial" w:cs="Arial"/>
          <w:kern w:val="0"/>
          <w:sz w:val="22"/>
          <w:szCs w:val="22"/>
          <w:lang w:val="es-CO"/>
          <w14:ligatures w14:val="none"/>
        </w:rPr>
        <w:t xml:space="preserve">                                            </w:t>
      </w:r>
      <w:r w:rsidRPr="009B0A10">
        <w:rPr>
          <w:rFonts w:ascii="Arial" w:eastAsia="Calibri" w:hAnsi="Arial" w:cs="Arial"/>
          <w:b/>
          <w:kern w:val="0"/>
          <w:sz w:val="22"/>
          <w:szCs w:val="22"/>
          <w:lang w:val="es-CO"/>
          <w14:ligatures w14:val="none"/>
        </w:rPr>
        <w:t>Concepto C – 078 de 2023</w:t>
      </w:r>
      <w:r w:rsidRPr="009B0A10">
        <w:rPr>
          <w:rFonts w:ascii="Arial" w:eastAsia="Calibri" w:hAnsi="Arial" w:cs="Arial"/>
          <w:kern w:val="0"/>
          <w:sz w:val="22"/>
          <w:szCs w:val="22"/>
          <w:lang w:val="es-CO"/>
          <w14:ligatures w14:val="none"/>
        </w:rPr>
        <w:t xml:space="preserve"> </w:t>
      </w:r>
    </w:p>
    <w:p w14:paraId="64C12599" w14:textId="77777777" w:rsidR="009B0A10" w:rsidRPr="009B0A10" w:rsidRDefault="009B0A10" w:rsidP="009B0A10">
      <w:pPr>
        <w:jc w:val="both"/>
        <w:rPr>
          <w:rFonts w:ascii="Arial" w:eastAsia="Calibri" w:hAnsi="Arial" w:cs="Arial"/>
          <w:b/>
          <w:kern w:val="0"/>
          <w:sz w:val="22"/>
          <w:szCs w:val="22"/>
          <w:lang w:val="es-CO"/>
          <w14:ligatures w14:val="none"/>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B0A10" w:rsidRPr="009B0A10" w14:paraId="14EB959F" w14:textId="77777777" w:rsidTr="003B7FBF">
        <w:trPr>
          <w:trHeight w:val="485"/>
        </w:trPr>
        <w:tc>
          <w:tcPr>
            <w:tcW w:w="2689" w:type="dxa"/>
            <w:hideMark/>
          </w:tcPr>
          <w:p w14:paraId="60CC48E7" w14:textId="77777777" w:rsidR="009B0A10" w:rsidRPr="009B0A10" w:rsidRDefault="009B0A10" w:rsidP="009B0A10">
            <w:pPr>
              <w:rPr>
                <w:rFonts w:ascii="Arial" w:eastAsia="Calibri" w:hAnsi="Arial" w:cs="Arial"/>
                <w:noProof/>
              </w:rPr>
            </w:pPr>
            <w:r w:rsidRPr="009B0A10">
              <w:rPr>
                <w:rFonts w:ascii="Arial" w:eastAsia="Calibri" w:hAnsi="Arial" w:cs="Arial"/>
                <w:b/>
                <w:noProof/>
              </w:rPr>
              <w:t>Temas:</w:t>
            </w:r>
            <w:r w:rsidRPr="009B0A10">
              <w:rPr>
                <w:rFonts w:ascii="Arial" w:eastAsia="Calibri" w:hAnsi="Arial" w:cs="Arial"/>
                <w:noProof/>
              </w:rPr>
              <w:t xml:space="preserve">        </w:t>
            </w:r>
          </w:p>
        </w:tc>
        <w:tc>
          <w:tcPr>
            <w:tcW w:w="6237" w:type="dxa"/>
            <w:hideMark/>
          </w:tcPr>
          <w:p w14:paraId="1815BC75" w14:textId="77777777" w:rsidR="009B0A10" w:rsidRPr="009B0A10" w:rsidRDefault="009B0A10" w:rsidP="009B0A10">
            <w:pPr>
              <w:spacing w:after="120"/>
              <w:ind w:right="703"/>
              <w:jc w:val="both"/>
              <w:rPr>
                <w:rFonts w:ascii="Arial" w:eastAsia="Calibri" w:hAnsi="Arial" w:cs="Arial"/>
                <w:bCs/>
                <w:highlight w:val="yellow"/>
                <w:lang w:val="es-MX"/>
              </w:rPr>
            </w:pPr>
            <w:r w:rsidRPr="009B0A10">
              <w:rPr>
                <w:rFonts w:ascii="Arial" w:eastAsia="Calibri" w:hAnsi="Arial" w:cs="Arial"/>
                <w:bCs/>
                <w:lang w:val="es-MX"/>
              </w:rPr>
              <w:t>LEY DE GARANTÍAS ELECTORALES ‒ Tipos de restricciones ‒ Ámbito temporal – Artículo 38 / LEY 1276 DE 2009 – Convenios – Contratación – Parágrafo del artículo 8 – Estampilla – Adulto mayor</w:t>
            </w:r>
          </w:p>
        </w:tc>
      </w:tr>
      <w:tr w:rsidR="009B0A10" w:rsidRPr="009B0A10" w14:paraId="71250067" w14:textId="77777777" w:rsidTr="003B7FBF">
        <w:tc>
          <w:tcPr>
            <w:tcW w:w="2689" w:type="dxa"/>
          </w:tcPr>
          <w:p w14:paraId="2CD7A252" w14:textId="77777777" w:rsidR="009B0A10" w:rsidRPr="009B0A10" w:rsidRDefault="009B0A10" w:rsidP="009B0A10">
            <w:pPr>
              <w:rPr>
                <w:rFonts w:ascii="Arial" w:eastAsia="Calibri" w:hAnsi="Arial" w:cs="Arial"/>
                <w:b/>
                <w:noProof/>
              </w:rPr>
            </w:pPr>
            <w:r w:rsidRPr="009B0A10">
              <w:rPr>
                <w:rFonts w:ascii="Arial" w:eastAsia="Calibri" w:hAnsi="Arial" w:cs="Arial"/>
                <w:b/>
                <w:noProof/>
              </w:rPr>
              <w:t>Radicación:</w:t>
            </w:r>
            <w:r w:rsidRPr="009B0A10">
              <w:rPr>
                <w:rFonts w:ascii="Arial" w:eastAsia="Calibri" w:hAnsi="Arial" w:cs="Arial"/>
                <w:noProof/>
              </w:rPr>
              <w:t xml:space="preserve">                              </w:t>
            </w:r>
          </w:p>
        </w:tc>
        <w:tc>
          <w:tcPr>
            <w:tcW w:w="6237" w:type="dxa"/>
          </w:tcPr>
          <w:p w14:paraId="677AE80C" w14:textId="77777777" w:rsidR="009B0A10" w:rsidRPr="009B0A10" w:rsidRDefault="009B0A10" w:rsidP="009B0A10">
            <w:pPr>
              <w:jc w:val="both"/>
              <w:rPr>
                <w:rFonts w:ascii="Arial" w:eastAsia="Calibri" w:hAnsi="Arial" w:cs="Arial"/>
                <w:noProof/>
              </w:rPr>
            </w:pPr>
            <w:r w:rsidRPr="009B0A10">
              <w:rPr>
                <w:rFonts w:ascii="Arial" w:eastAsia="Calibri" w:hAnsi="Arial" w:cs="Arial"/>
                <w:noProof/>
              </w:rPr>
              <w:t>Respuesta a consultas acumuladas P20230310002238 y P20230315002415</w:t>
            </w:r>
          </w:p>
        </w:tc>
      </w:tr>
    </w:tbl>
    <w:p w14:paraId="338D6CC6" w14:textId="77777777" w:rsidR="009B0A10" w:rsidRPr="009B0A10" w:rsidRDefault="009B0A10" w:rsidP="009B0A10">
      <w:pPr>
        <w:jc w:val="both"/>
        <w:rPr>
          <w:rFonts w:ascii="Arial" w:eastAsia="Calibri" w:hAnsi="Arial" w:cs="Arial"/>
          <w:kern w:val="0"/>
          <w:sz w:val="22"/>
          <w:szCs w:val="22"/>
          <w:lang w:val="es-CO"/>
          <w14:ligatures w14:val="none"/>
        </w:rPr>
      </w:pPr>
    </w:p>
    <w:p w14:paraId="5392BD6C" w14:textId="77777777" w:rsidR="009B0A10" w:rsidRPr="009B0A10" w:rsidRDefault="009B0A10" w:rsidP="009B0A10">
      <w:pPr>
        <w:jc w:val="both"/>
        <w:rPr>
          <w:rFonts w:ascii="Arial" w:eastAsia="Calibri" w:hAnsi="Arial" w:cs="Arial"/>
          <w:kern w:val="0"/>
          <w:sz w:val="22"/>
          <w:szCs w:val="22"/>
          <w:lang w:val="es-CO"/>
          <w14:ligatures w14:val="none"/>
        </w:rPr>
      </w:pPr>
    </w:p>
    <w:p w14:paraId="3F79BBBD" w14:textId="77777777" w:rsidR="009B0A10" w:rsidRPr="009B0A10" w:rsidRDefault="009B0A10" w:rsidP="009B0A10">
      <w:pPr>
        <w:spacing w:line="276" w:lineRule="auto"/>
        <w:jc w:val="both"/>
        <w:rPr>
          <w:rFonts w:ascii="Arial" w:eastAsia="Calibri" w:hAnsi="Arial" w:cs="Arial"/>
          <w:kern w:val="0"/>
          <w:sz w:val="22"/>
          <w:szCs w:val="22"/>
          <w:lang w:val="es-CO"/>
          <w14:ligatures w14:val="none"/>
        </w:rPr>
      </w:pPr>
      <w:r w:rsidRPr="009B0A10">
        <w:rPr>
          <w:rFonts w:ascii="Arial" w:eastAsia="Calibri" w:hAnsi="Arial" w:cs="Arial"/>
          <w:kern w:val="0"/>
          <w:sz w:val="22"/>
          <w:szCs w:val="22"/>
          <w:lang w:val="es-CO"/>
          <w14:ligatures w14:val="none"/>
        </w:rPr>
        <w:t>Estimada señora Mancilla Uribe:</w:t>
      </w:r>
    </w:p>
    <w:p w14:paraId="3C2423E4" w14:textId="77777777" w:rsidR="009B0A10" w:rsidRPr="009B0A10" w:rsidRDefault="009B0A10" w:rsidP="009B0A10">
      <w:pPr>
        <w:spacing w:line="276" w:lineRule="auto"/>
        <w:ind w:firstLine="709"/>
        <w:jc w:val="both"/>
        <w:rPr>
          <w:rFonts w:ascii="Arial" w:eastAsia="Calibri" w:hAnsi="Arial" w:cs="Arial"/>
          <w:kern w:val="0"/>
          <w:sz w:val="22"/>
          <w:szCs w:val="22"/>
          <w:lang w:val="es-CO"/>
          <w14:ligatures w14:val="none"/>
        </w:rPr>
      </w:pPr>
    </w:p>
    <w:p w14:paraId="5181C0B0" w14:textId="77777777" w:rsidR="009B0A10" w:rsidRPr="009B0A10" w:rsidRDefault="009B0A10" w:rsidP="009B0A10">
      <w:pPr>
        <w:spacing w:line="276" w:lineRule="auto"/>
        <w:ind w:right="51"/>
        <w:jc w:val="both"/>
        <w:rPr>
          <w:rFonts w:ascii="Arial" w:eastAsia="Calibri" w:hAnsi="Arial" w:cs="Arial"/>
          <w:kern w:val="0"/>
          <w:sz w:val="22"/>
          <w:szCs w:val="22"/>
          <w:lang w:val="es-CO"/>
          <w14:ligatures w14:val="none"/>
        </w:rPr>
      </w:pPr>
      <w:r w:rsidRPr="009B0A10">
        <w:rPr>
          <w:rFonts w:ascii="Arial" w:eastAsia="Calibri" w:hAnsi="Arial" w:cs="Arial"/>
          <w:kern w:val="0"/>
          <w:sz w:val="22"/>
          <w:szCs w:val="22"/>
          <w:lang w:val="es-CO"/>
          <w14:ligatures w14:val="none"/>
        </w:rPr>
        <w:t xml:space="preserve">En ejercicio de la competencia otorgada por el numeral 8 del artículo 11 y el numeral 5 del artículo 3 del Decreto Ley 4170 de 2011, la Agencia Nacional de Contratación Pública – Colombia Compra Eficiente responde sus consultas acumuladas del 10 y 15 de marzo de 2023. Estas consultas fueron remitidas por Ministerio de Hacienda y Crédito Público, mediante oficios con radicados No. 2-2023-011576 y 2-2023-012655 de las mismas fechas, respectivamente. </w:t>
      </w:r>
    </w:p>
    <w:p w14:paraId="79C9F820" w14:textId="77777777" w:rsidR="009B0A10" w:rsidRPr="009B0A10" w:rsidRDefault="009B0A10" w:rsidP="009B0A10">
      <w:pPr>
        <w:spacing w:line="276" w:lineRule="auto"/>
        <w:jc w:val="both"/>
        <w:rPr>
          <w:rFonts w:ascii="Arial" w:eastAsia="Calibri" w:hAnsi="Arial" w:cs="Arial"/>
          <w:kern w:val="0"/>
          <w:sz w:val="22"/>
          <w:szCs w:val="22"/>
          <w:lang w:val="es-CO"/>
          <w14:ligatures w14:val="none"/>
        </w:rPr>
      </w:pPr>
    </w:p>
    <w:p w14:paraId="5440DBCF" w14:textId="77777777" w:rsidR="009B0A10" w:rsidRPr="009B0A10" w:rsidRDefault="009B0A10" w:rsidP="009B0A10">
      <w:pPr>
        <w:tabs>
          <w:tab w:val="left" w:pos="284"/>
        </w:tabs>
        <w:spacing w:line="276" w:lineRule="auto"/>
        <w:jc w:val="both"/>
        <w:rPr>
          <w:rFonts w:ascii="Arial" w:eastAsia="Calibri" w:hAnsi="Arial" w:cs="Arial"/>
          <w:b/>
          <w:kern w:val="0"/>
          <w:sz w:val="22"/>
          <w:szCs w:val="22"/>
          <w:lang w:val="es-CO"/>
          <w14:ligatures w14:val="none"/>
        </w:rPr>
      </w:pPr>
      <w:r w:rsidRPr="009B0A10">
        <w:rPr>
          <w:rFonts w:ascii="Arial" w:eastAsia="Calibri" w:hAnsi="Arial" w:cs="Arial"/>
          <w:b/>
          <w:kern w:val="0"/>
          <w:sz w:val="22"/>
          <w:szCs w:val="22"/>
          <w:lang w:val="es-CO"/>
          <w14:ligatures w14:val="none"/>
        </w:rPr>
        <w:t xml:space="preserve">1. Problema planteado </w:t>
      </w:r>
    </w:p>
    <w:p w14:paraId="573D7B86" w14:textId="77777777" w:rsidR="009B0A10" w:rsidRPr="009B0A10" w:rsidRDefault="009B0A10" w:rsidP="009B0A10">
      <w:pPr>
        <w:tabs>
          <w:tab w:val="left" w:pos="284"/>
        </w:tabs>
        <w:spacing w:line="276" w:lineRule="auto"/>
        <w:ind w:firstLine="709"/>
        <w:contextualSpacing/>
        <w:jc w:val="both"/>
        <w:rPr>
          <w:rFonts w:ascii="Arial" w:eastAsia="Calibri" w:hAnsi="Arial" w:cs="Arial"/>
          <w:b/>
          <w:kern w:val="0"/>
          <w:sz w:val="22"/>
          <w:szCs w:val="22"/>
          <w:lang w:val="es-CO"/>
          <w14:ligatures w14:val="none"/>
        </w:rPr>
      </w:pPr>
    </w:p>
    <w:p w14:paraId="6CB8B006" w14:textId="77777777" w:rsidR="009B0A10" w:rsidRPr="009B0A10" w:rsidRDefault="009B0A10" w:rsidP="009B0A10">
      <w:pPr>
        <w:spacing w:line="276" w:lineRule="auto"/>
        <w:jc w:val="both"/>
        <w:rPr>
          <w:rFonts w:ascii="Arial" w:eastAsia="Times New Roman" w:hAnsi="Arial" w:cs="Arial"/>
          <w:kern w:val="0"/>
          <w:sz w:val="22"/>
          <w:lang w:val="es-CO" w:eastAsia="es-CO"/>
          <w14:ligatures w14:val="none"/>
        </w:rPr>
      </w:pPr>
      <w:bookmarkStart w:id="7" w:name="_Hlk58917991"/>
      <w:bookmarkStart w:id="8" w:name="_Hlk56103000"/>
      <w:r w:rsidRPr="009B0A10">
        <w:rPr>
          <w:rFonts w:ascii="Arial" w:eastAsia="Times New Roman" w:hAnsi="Arial" w:cs="Arial"/>
          <w:kern w:val="0"/>
          <w:sz w:val="22"/>
          <w:lang w:val="es-CO" w:eastAsia="es-CO"/>
          <w14:ligatures w14:val="none"/>
        </w:rPr>
        <w:t>Usted pone de presente algunas consideraciones sobre los Centros de Bienestar del Adulto Mayor y los convenios de asociación, teniendo en cuenta la Ley 996 de 2005 –Ley de Garantías–. Al respecto, solicita lo siguiente: “Generar un concepto sobre la aplicación de la Ley de Garantías sobre los convenios de asociación suscritos entre los Municipios de Santander y los Centros de Protección del Adulto Mayor y el giro de recursos de estampilla del adulto mayor”.</w:t>
      </w:r>
    </w:p>
    <w:p w14:paraId="0445C90C" w14:textId="77777777" w:rsidR="009B0A10" w:rsidRPr="009B0A10" w:rsidRDefault="009B0A10" w:rsidP="009B0A10">
      <w:pPr>
        <w:spacing w:line="276" w:lineRule="auto"/>
        <w:jc w:val="both"/>
        <w:rPr>
          <w:rFonts w:ascii="Arial" w:eastAsia="Times New Roman" w:hAnsi="Arial" w:cs="Arial"/>
          <w:kern w:val="0"/>
          <w:sz w:val="22"/>
          <w:lang w:val="es-CO" w:eastAsia="es-CO"/>
          <w14:ligatures w14:val="none"/>
        </w:rPr>
      </w:pPr>
    </w:p>
    <w:bookmarkEnd w:id="7"/>
    <w:bookmarkEnd w:id="8"/>
    <w:p w14:paraId="043E965F" w14:textId="77777777" w:rsidR="009B0A10" w:rsidRPr="009B0A10" w:rsidRDefault="009B0A10" w:rsidP="009B0A10">
      <w:pPr>
        <w:tabs>
          <w:tab w:val="left" w:pos="284"/>
        </w:tabs>
        <w:spacing w:line="276" w:lineRule="auto"/>
        <w:jc w:val="both"/>
        <w:rPr>
          <w:rFonts w:ascii="Arial" w:eastAsia="Calibri" w:hAnsi="Arial" w:cs="Arial"/>
          <w:b/>
          <w:kern w:val="0"/>
          <w:sz w:val="22"/>
          <w:szCs w:val="22"/>
          <w:lang w:val="es-CO"/>
          <w14:ligatures w14:val="none"/>
        </w:rPr>
      </w:pPr>
      <w:r w:rsidRPr="009B0A10">
        <w:rPr>
          <w:rFonts w:ascii="Arial" w:eastAsia="Calibri" w:hAnsi="Arial" w:cs="Arial"/>
          <w:b/>
          <w:kern w:val="0"/>
          <w:sz w:val="22"/>
          <w:szCs w:val="22"/>
          <w:lang w:val="es-CO"/>
          <w14:ligatures w14:val="none"/>
        </w:rPr>
        <w:t>2. Consideraciones</w:t>
      </w:r>
    </w:p>
    <w:p w14:paraId="701B7926" w14:textId="77777777" w:rsidR="009B0A10" w:rsidRPr="009B0A10" w:rsidRDefault="009B0A10" w:rsidP="009B0A10">
      <w:pPr>
        <w:tabs>
          <w:tab w:val="left" w:pos="426"/>
        </w:tabs>
        <w:ind w:firstLine="709"/>
        <w:jc w:val="both"/>
        <w:rPr>
          <w:rFonts w:ascii="Arial" w:eastAsia="Calibri" w:hAnsi="Arial" w:cs="Arial"/>
          <w:bCs/>
          <w:kern w:val="0"/>
          <w:sz w:val="22"/>
          <w:szCs w:val="22"/>
          <w:lang w:val="es-CO"/>
          <w14:ligatures w14:val="none"/>
        </w:rPr>
      </w:pPr>
    </w:p>
    <w:p w14:paraId="6903A14F" w14:textId="77777777" w:rsidR="009B0A10" w:rsidRPr="009B0A10" w:rsidRDefault="009B0A10" w:rsidP="009B0A10">
      <w:pPr>
        <w:spacing w:line="276" w:lineRule="auto"/>
        <w:jc w:val="both"/>
        <w:rPr>
          <w:rFonts w:ascii="Arial" w:eastAsia="Calibri" w:hAnsi="Arial" w:cs="Arial"/>
          <w:color w:val="000000" w:themeColor="text1"/>
          <w:kern w:val="0"/>
          <w:sz w:val="22"/>
          <w:szCs w:val="22"/>
          <w:lang w:val="es-ES"/>
          <w14:ligatures w14:val="none"/>
        </w:rPr>
      </w:pPr>
      <w:bookmarkStart w:id="9" w:name="_Hlk96420693"/>
      <w:r w:rsidRPr="009B0A10">
        <w:rPr>
          <w:rFonts w:ascii="Arial" w:eastAsia="Calibri" w:hAnsi="Arial" w:cs="Arial"/>
          <w:bCs/>
          <w:kern w:val="0"/>
          <w:sz w:val="22"/>
          <w:szCs w:val="22"/>
          <w:lang w:val="es-CO"/>
          <w14:ligatures w14:val="none"/>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w:t>
      </w:r>
      <w:r w:rsidRPr="009B0A10">
        <w:rPr>
          <w:rFonts w:ascii="Arial" w:eastAsia="Calibri" w:hAnsi="Arial" w:cs="Arial"/>
          <w:bCs/>
          <w:kern w:val="0"/>
          <w:sz w:val="22"/>
          <w:szCs w:val="22"/>
          <w:lang w:val="es-CO"/>
          <w14:ligatures w14:val="none"/>
        </w:rPr>
        <w:lastRenderedPageBreak/>
        <w:t>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 C-116 del 18 de febrero de 2022, C-163 del 29 de marzo de 2022 y C-279 del 17 de junio de 2022. La tesis desarrollada en estos conceptos se reitera y complementa a continuación:</w:t>
      </w:r>
    </w:p>
    <w:bookmarkEnd w:id="9"/>
    <w:p w14:paraId="4B50534D" w14:textId="77777777" w:rsidR="009B0A10" w:rsidRPr="009B0A10" w:rsidRDefault="009B0A10" w:rsidP="009B0A10">
      <w:pPr>
        <w:tabs>
          <w:tab w:val="left" w:pos="426"/>
        </w:tabs>
        <w:spacing w:line="276" w:lineRule="auto"/>
        <w:ind w:firstLine="709"/>
        <w:jc w:val="both"/>
        <w:rPr>
          <w:rFonts w:ascii="Arial" w:eastAsia="Calibri" w:hAnsi="Arial" w:cs="Arial"/>
          <w:b/>
          <w:bCs/>
          <w:kern w:val="0"/>
          <w:sz w:val="22"/>
          <w:szCs w:val="22"/>
          <w:lang w:val="es-CO"/>
          <w14:ligatures w14:val="none"/>
        </w:rPr>
      </w:pPr>
    </w:p>
    <w:p w14:paraId="6398979F" w14:textId="77777777" w:rsidR="009B0A10" w:rsidRPr="009B0A10" w:rsidRDefault="009B0A10" w:rsidP="009B0A10">
      <w:pPr>
        <w:tabs>
          <w:tab w:val="left" w:pos="426"/>
        </w:tabs>
        <w:spacing w:line="276" w:lineRule="auto"/>
        <w:jc w:val="both"/>
        <w:rPr>
          <w:rFonts w:ascii="Arial" w:eastAsia="Calibri" w:hAnsi="Arial" w:cs="Arial"/>
          <w:b/>
          <w:bCs/>
          <w:kern w:val="0"/>
          <w:sz w:val="22"/>
          <w:szCs w:val="22"/>
          <w:lang w:val="es-CO"/>
          <w14:ligatures w14:val="none"/>
        </w:rPr>
      </w:pPr>
      <w:r w:rsidRPr="009B0A10">
        <w:rPr>
          <w:rFonts w:ascii="Arial" w:eastAsia="Calibri" w:hAnsi="Arial" w:cs="Arial"/>
          <w:b/>
          <w:bCs/>
          <w:kern w:val="0"/>
          <w:sz w:val="22"/>
          <w:szCs w:val="22"/>
          <w:lang w:val="es-CO"/>
          <w14:ligatures w14:val="none"/>
        </w:rPr>
        <w:t>2.1. Definición y finalidad de la Ley de Garantías Electorales: alcance de las restricciones</w:t>
      </w:r>
    </w:p>
    <w:p w14:paraId="6FFDA91E" w14:textId="77777777" w:rsidR="009B0A10" w:rsidRPr="009B0A10" w:rsidRDefault="009B0A10" w:rsidP="009B0A10">
      <w:pPr>
        <w:tabs>
          <w:tab w:val="left" w:pos="426"/>
        </w:tabs>
        <w:spacing w:line="276" w:lineRule="auto"/>
        <w:ind w:firstLine="709"/>
        <w:jc w:val="both"/>
        <w:rPr>
          <w:rFonts w:ascii="Arial" w:eastAsia="Calibri" w:hAnsi="Arial" w:cs="Arial"/>
          <w:bCs/>
          <w:kern w:val="0"/>
          <w:sz w:val="22"/>
          <w:szCs w:val="22"/>
          <w:lang w:val="es-CO"/>
          <w14:ligatures w14:val="none"/>
        </w:rPr>
      </w:pPr>
    </w:p>
    <w:p w14:paraId="714DD57D" w14:textId="77777777" w:rsidR="009B0A10" w:rsidRPr="009B0A10" w:rsidRDefault="009B0A10" w:rsidP="009B0A10">
      <w:pPr>
        <w:tabs>
          <w:tab w:val="left" w:pos="426"/>
        </w:tabs>
        <w:spacing w:after="120" w:line="276" w:lineRule="auto"/>
        <w:jc w:val="both"/>
        <w:rPr>
          <w:rFonts w:ascii="Arial" w:eastAsia="Times New Roman" w:hAnsi="Arial" w:cs="Arial"/>
          <w:bCs/>
          <w:kern w:val="0"/>
          <w:sz w:val="22"/>
          <w:szCs w:val="22"/>
          <w:lang w:val="es-CO" w:eastAsia="es-CO"/>
          <w14:ligatures w14:val="none"/>
        </w:rPr>
      </w:pPr>
      <w:r w:rsidRPr="009B0A10">
        <w:rPr>
          <w:rFonts w:ascii="Arial" w:eastAsia="Calibri" w:hAnsi="Arial" w:cs="Arial"/>
          <w:bCs/>
          <w:kern w:val="0"/>
          <w:sz w:val="22"/>
          <w:szCs w:val="22"/>
          <w:lang w:val="es-CO"/>
          <w14:ligatures w14:val="none"/>
        </w:rPr>
        <w:t>El ordenamiento jurídico colombiano contempla previsiones claras para evitar la obtención de beneficios personales en asuntos propios de la administración pública</w:t>
      </w:r>
      <w:r w:rsidRPr="009B0A10">
        <w:rPr>
          <w:rFonts w:ascii="Arial" w:eastAsia="Calibri" w:hAnsi="Arial" w:cs="Arial"/>
          <w:bCs/>
          <w:i/>
          <w:iCs/>
          <w:kern w:val="0"/>
          <w:sz w:val="22"/>
          <w:szCs w:val="22"/>
          <w:lang w:val="es-CO"/>
          <w14:ligatures w14:val="none"/>
        </w:rPr>
        <w:t xml:space="preserve">. </w:t>
      </w:r>
      <w:r w:rsidRPr="009B0A10">
        <w:rPr>
          <w:rFonts w:ascii="Arial" w:eastAsia="Calibri" w:hAnsi="Arial" w:cs="Arial"/>
          <w:bCs/>
          <w:kern w:val="0"/>
          <w:sz w:val="22"/>
          <w:szCs w:val="22"/>
          <w:lang w:val="es-CO"/>
          <w14:ligatures w14:val="none"/>
        </w:rPr>
        <w:t>Por ejemplo, el artículo 127 de la Constitución Política establece una prohibición contractual a los servidores públicos y en cuanto a aspectos políticos establece restricciones a ciertos empleados del Estado, incluso en época no electoral</w:t>
      </w:r>
      <w:r w:rsidRPr="009B0A10">
        <w:rPr>
          <w:rFonts w:ascii="Arial" w:eastAsia="Calibri" w:hAnsi="Arial" w:cs="Arial"/>
          <w:bCs/>
          <w:kern w:val="0"/>
          <w:sz w:val="22"/>
          <w:szCs w:val="22"/>
          <w:vertAlign w:val="superscript"/>
          <w:lang w:val="es-CO"/>
          <w14:ligatures w14:val="none"/>
        </w:rPr>
        <w:footnoteReference w:id="1"/>
      </w:r>
      <w:r w:rsidRPr="009B0A10">
        <w:rPr>
          <w:rFonts w:ascii="Arial" w:eastAsia="Calibri" w:hAnsi="Arial" w:cs="Arial"/>
          <w:bCs/>
          <w:kern w:val="0"/>
          <w:sz w:val="22"/>
          <w:szCs w:val="22"/>
          <w:lang w:val="es-CO"/>
          <w14:ligatures w14:val="none"/>
        </w:rPr>
        <w:t xml:space="preserve">. </w:t>
      </w:r>
    </w:p>
    <w:p w14:paraId="52040456" w14:textId="77777777" w:rsidR="009B0A10" w:rsidRPr="009B0A10" w:rsidRDefault="009B0A10" w:rsidP="009B0A10">
      <w:pPr>
        <w:tabs>
          <w:tab w:val="left" w:pos="426"/>
        </w:tabs>
        <w:spacing w:line="276" w:lineRule="auto"/>
        <w:ind w:firstLine="709"/>
        <w:jc w:val="both"/>
        <w:rPr>
          <w:rFonts w:ascii="Arial" w:eastAsia="Times New Roman" w:hAnsi="Arial" w:cs="Arial"/>
          <w:bCs/>
          <w:kern w:val="0"/>
          <w:sz w:val="22"/>
          <w:szCs w:val="22"/>
          <w:lang w:val="es-MX" w:eastAsia="es-CO"/>
          <w14:ligatures w14:val="none"/>
        </w:rPr>
      </w:pPr>
      <w:r w:rsidRPr="009B0A10">
        <w:rPr>
          <w:rFonts w:ascii="Arial" w:eastAsia="Times New Roman" w:hAnsi="Arial" w:cs="Arial"/>
          <w:bCs/>
          <w:kern w:val="0"/>
          <w:sz w:val="22"/>
          <w:szCs w:val="22"/>
          <w:lang w:val="es-CO" w:eastAsia="es-CO"/>
          <w14:ligatures w14:val="none"/>
        </w:rPr>
        <w:t>En el mismo sentido</w:t>
      </w:r>
      <w:r w:rsidRPr="009B0A10">
        <w:rPr>
          <w:rFonts w:ascii="Arial" w:eastAsia="Times New Roman" w:hAnsi="Arial" w:cs="Arial"/>
          <w:bCs/>
          <w:kern w:val="0"/>
          <w:sz w:val="22"/>
          <w:szCs w:val="22"/>
          <w:lang w:val="es-MX" w:eastAsia="es-CO"/>
          <w14:ligatures w14:val="none"/>
        </w:rPr>
        <w:t xml:space="preserve">, la Ley 996 de 2005, conocida como “Ley de Garantías Electorales”, se suma al andamiaje de orden constitucional y legal que se ha ocupado de evitar la injerencia </w:t>
      </w:r>
      <w:r w:rsidRPr="009B0A10">
        <w:rPr>
          <w:rFonts w:ascii="Arial" w:eastAsia="Times New Roman" w:hAnsi="Arial" w:cs="Arial"/>
          <w:bCs/>
          <w:kern w:val="0"/>
          <w:sz w:val="22"/>
          <w:szCs w:val="22"/>
          <w:lang w:val="es-MX" w:eastAsia="es-CO"/>
          <w14:ligatures w14:val="none"/>
        </w:rPr>
        <w:lastRenderedPageBreak/>
        <w:t>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9B0A10">
        <w:rPr>
          <w:rFonts w:ascii="Arial" w:eastAsia="Times New Roman" w:hAnsi="Arial" w:cs="Arial"/>
          <w:bCs/>
          <w:kern w:val="0"/>
          <w:sz w:val="22"/>
          <w:szCs w:val="22"/>
          <w:vertAlign w:val="superscript"/>
          <w:lang w:val="es-MX" w:eastAsia="es-CO"/>
          <w14:ligatures w14:val="none"/>
        </w:rPr>
        <w:footnoteReference w:id="2"/>
      </w:r>
      <w:r w:rsidRPr="009B0A10">
        <w:rPr>
          <w:rFonts w:ascii="Arial" w:eastAsia="Times New Roman" w:hAnsi="Arial" w:cs="Arial"/>
          <w:bCs/>
          <w:kern w:val="0"/>
          <w:sz w:val="22"/>
          <w:szCs w:val="22"/>
          <w:lang w:val="es-MX" w:eastAsia="es-CO"/>
          <w14:ligatures w14:val="none"/>
        </w:rPr>
        <w:t>. En esta medida, introduce limitaciones para realizar nombramientos, postulaciones, contrataciones o cualquier otro tipo de actividad que implique destinación de recursos públicos bajo el devenir propio de las entidades estatales.</w:t>
      </w:r>
      <w:r w:rsidRPr="009B0A10">
        <w:rPr>
          <w:rFonts w:ascii="Arial" w:eastAsia="Calibri" w:hAnsi="Arial" w:cs="Arial"/>
          <w:noProof/>
          <w:kern w:val="0"/>
          <w:sz w:val="22"/>
          <w:szCs w:val="22"/>
          <w14:ligatures w14:val="none"/>
        </w:rPr>
        <w:t xml:space="preserve"> </w:t>
      </w:r>
      <w:r w:rsidRPr="009B0A10">
        <w:rPr>
          <w:rFonts w:ascii="Arial" w:eastAsia="Times New Roman" w:hAnsi="Arial" w:cs="Arial"/>
          <w:bCs/>
          <w:kern w:val="0"/>
          <w:sz w:val="22"/>
          <w:szCs w:val="22"/>
          <w:lang w:val="es-MX" w:eastAsia="es-CO"/>
          <w14:ligatures w14:val="none"/>
        </w:rPr>
        <w:t>En armonía con lo anterior, la Corte Constitucional ha abordado la definición de la Ley de Garantías Electorales. De esta manera, explica que tiene como propósito:</w:t>
      </w:r>
    </w:p>
    <w:p w14:paraId="7F272EAE" w14:textId="77777777" w:rsidR="009B0A10" w:rsidRPr="009B0A10" w:rsidRDefault="009B0A10" w:rsidP="009B0A10">
      <w:pPr>
        <w:spacing w:line="276" w:lineRule="auto"/>
        <w:ind w:right="709"/>
        <w:jc w:val="both"/>
        <w:rPr>
          <w:rFonts w:ascii="Arial" w:eastAsia="Times New Roman" w:hAnsi="Arial" w:cs="Arial"/>
          <w:kern w:val="0"/>
          <w:sz w:val="21"/>
          <w:szCs w:val="21"/>
          <w:lang w:val="es-ES" w:eastAsia="es-CO"/>
          <w14:ligatures w14:val="none"/>
        </w:rPr>
      </w:pPr>
    </w:p>
    <w:p w14:paraId="1D36C871" w14:textId="77777777" w:rsidR="009B0A10" w:rsidRPr="009B0A10" w:rsidRDefault="009B0A10" w:rsidP="009B0A10">
      <w:pPr>
        <w:ind w:left="709" w:right="709"/>
        <w:jc w:val="both"/>
        <w:rPr>
          <w:rFonts w:ascii="Arial" w:eastAsia="Times New Roman" w:hAnsi="Arial" w:cs="Arial"/>
          <w:bCs/>
          <w:kern w:val="0"/>
          <w:sz w:val="21"/>
          <w:szCs w:val="21"/>
          <w:lang w:val="es-MX" w:eastAsia="es-CO"/>
          <w14:ligatures w14:val="none"/>
        </w:rPr>
      </w:pPr>
      <w:r w:rsidRPr="009B0A10">
        <w:rPr>
          <w:rFonts w:ascii="Arial" w:eastAsia="Times New Roman" w:hAnsi="Arial" w:cs="Arial"/>
          <w:kern w:val="0"/>
          <w:sz w:val="21"/>
          <w:szCs w:val="21"/>
          <w:lang w:val="es-ES" w:eastAsia="es-CO"/>
          <w14:ligatures w14:val="none"/>
        </w:rPr>
        <w:t xml:space="preserve">“[…] </w:t>
      </w:r>
      <w:r w:rsidRPr="009B0A10">
        <w:rPr>
          <w:rFonts w:ascii="Arial" w:eastAsia="Times New Roman" w:hAnsi="Arial" w:cs="Arial"/>
          <w:bCs/>
          <w:kern w:val="0"/>
          <w:sz w:val="21"/>
          <w:szCs w:val="21"/>
          <w:lang w:val="es-MX" w:eastAsia="es-CO"/>
          <w14:ligatures w14:val="none"/>
        </w:rPr>
        <w:t>la definición de reglas claras que permitan acceder a los canales de expresión democrática de manera efectiva e igualitaria. El objetivo de una ley de garantías es definir esas reglas.</w:t>
      </w:r>
    </w:p>
    <w:p w14:paraId="59B45B02" w14:textId="77777777" w:rsidR="009B0A10" w:rsidRPr="009B0A10" w:rsidRDefault="009B0A10" w:rsidP="009B0A10">
      <w:pPr>
        <w:spacing w:after="120"/>
        <w:ind w:left="709" w:right="709"/>
        <w:jc w:val="both"/>
        <w:rPr>
          <w:rFonts w:ascii="Arial" w:eastAsia="Times New Roman" w:hAnsi="Arial" w:cs="Arial"/>
          <w:bCs/>
          <w:kern w:val="0"/>
          <w:sz w:val="21"/>
          <w:szCs w:val="21"/>
          <w:lang w:val="es-MX" w:eastAsia="es-CO"/>
          <w14:ligatures w14:val="none"/>
        </w:rPr>
      </w:pPr>
      <w:r w:rsidRPr="009B0A10">
        <w:rPr>
          <w:rFonts w:ascii="Arial" w:eastAsia="Times New Roman" w:hAnsi="Arial" w:cs="Arial"/>
          <w:bCs/>
          <w:kern w:val="0"/>
          <w:sz w:val="21"/>
          <w:szCs w:val="21"/>
          <w:lang w:val="es-MX" w:eastAsia="es-CO"/>
          <w14:ligatures w14:val="none"/>
        </w:rPr>
        <w:t xml:space="preserve">[…] </w:t>
      </w:r>
    </w:p>
    <w:p w14:paraId="77145243" w14:textId="77777777" w:rsidR="009B0A10" w:rsidRPr="009B0A10" w:rsidRDefault="009B0A10" w:rsidP="009B0A10">
      <w:pPr>
        <w:ind w:left="709" w:right="709"/>
        <w:jc w:val="both"/>
        <w:rPr>
          <w:rFonts w:ascii="Arial" w:eastAsia="Times New Roman" w:hAnsi="Arial" w:cs="Arial"/>
          <w:bCs/>
          <w:kern w:val="0"/>
          <w:sz w:val="21"/>
          <w:szCs w:val="21"/>
          <w:lang w:val="es-MX" w:eastAsia="es-CO"/>
          <w14:ligatures w14:val="none"/>
        </w:rPr>
      </w:pPr>
      <w:r w:rsidRPr="009B0A10">
        <w:rPr>
          <w:rFonts w:ascii="Arial" w:eastAsia="Times New Roman" w:hAnsi="Arial" w:cs="Arial"/>
          <w:bCs/>
          <w:kern w:val="0"/>
          <w:sz w:val="21"/>
          <w:szCs w:val="21"/>
          <w:lang w:val="es-MX" w:eastAsia="es-CO"/>
          <w14:ligatures w14:val="none"/>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B0A10">
        <w:rPr>
          <w:rFonts w:ascii="Arial" w:eastAsia="Calibri" w:hAnsi="Arial" w:cs="Arial"/>
          <w:kern w:val="0"/>
          <w:sz w:val="20"/>
          <w:szCs w:val="20"/>
          <w:vertAlign w:val="superscript"/>
          <w:lang w:val="es-MX"/>
          <w14:ligatures w14:val="none"/>
        </w:rPr>
        <w:footnoteReference w:id="3"/>
      </w:r>
    </w:p>
    <w:p w14:paraId="61A4BBD0" w14:textId="77777777" w:rsidR="009B0A10" w:rsidRPr="009B0A10" w:rsidRDefault="009B0A10" w:rsidP="009B0A10">
      <w:pPr>
        <w:spacing w:line="276" w:lineRule="auto"/>
        <w:ind w:left="709" w:right="709"/>
        <w:jc w:val="both"/>
        <w:rPr>
          <w:rFonts w:ascii="Arial" w:eastAsia="Times New Roman" w:hAnsi="Arial" w:cs="Arial"/>
          <w:bCs/>
          <w:kern w:val="0"/>
          <w:sz w:val="21"/>
          <w:szCs w:val="21"/>
          <w:lang w:val="es-MX" w:eastAsia="es-CO"/>
          <w14:ligatures w14:val="none"/>
        </w:rPr>
      </w:pPr>
    </w:p>
    <w:p w14:paraId="07C614ED" w14:textId="77777777" w:rsidR="009B0A10" w:rsidRPr="009B0A10" w:rsidRDefault="009B0A10" w:rsidP="009B0A10">
      <w:pPr>
        <w:spacing w:line="276" w:lineRule="auto"/>
        <w:ind w:firstLine="709"/>
        <w:jc w:val="both"/>
        <w:rPr>
          <w:rFonts w:ascii="Arial" w:eastAsia="Times New Roman" w:hAnsi="Arial" w:cs="Arial"/>
          <w:bCs/>
          <w:kern w:val="0"/>
          <w:sz w:val="22"/>
          <w:szCs w:val="22"/>
          <w:lang w:val="es-MX" w:eastAsia="es-CO"/>
          <w14:ligatures w14:val="none"/>
        </w:rPr>
      </w:pPr>
      <w:bookmarkStart w:id="10" w:name="_Hlk78818186"/>
      <w:r w:rsidRPr="009B0A10">
        <w:rPr>
          <w:rFonts w:ascii="Arial" w:eastAsia="Times New Roman" w:hAnsi="Arial" w:cs="Arial"/>
          <w:bCs/>
          <w:kern w:val="0"/>
          <w:sz w:val="22"/>
          <w:szCs w:val="22"/>
          <w:lang w:val="es-MX" w:eastAsia="es-CO"/>
          <w14:ligatures w14:val="none"/>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0"/>
      <w:r w:rsidRPr="009B0A10">
        <w:rPr>
          <w:rFonts w:ascii="Arial" w:eastAsia="Times New Roman" w:hAnsi="Arial" w:cs="Arial"/>
          <w:bCs/>
          <w:kern w:val="0"/>
          <w:sz w:val="22"/>
          <w:szCs w:val="22"/>
          <w:lang w:val="es-MX" w:eastAsia="es-CO"/>
          <w14:ligatures w14:val="none"/>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51D6CF6" w14:textId="77777777" w:rsidR="009B0A10" w:rsidRPr="009B0A10" w:rsidRDefault="009B0A10" w:rsidP="009B0A10">
      <w:pPr>
        <w:spacing w:line="276" w:lineRule="auto"/>
        <w:ind w:firstLine="709"/>
        <w:jc w:val="both"/>
        <w:rPr>
          <w:rFonts w:ascii="Arial" w:eastAsia="Times New Roman" w:hAnsi="Arial" w:cs="Arial"/>
          <w:bCs/>
          <w:kern w:val="0"/>
          <w:sz w:val="22"/>
          <w:szCs w:val="22"/>
          <w:lang w:val="es-MX" w:eastAsia="es-CO"/>
          <w14:ligatures w14:val="none"/>
        </w:rPr>
      </w:pPr>
    </w:p>
    <w:p w14:paraId="64EA014A" w14:textId="77777777" w:rsidR="009B0A10" w:rsidRPr="009B0A10" w:rsidRDefault="009B0A10" w:rsidP="009B0A10">
      <w:pPr>
        <w:spacing w:after="120"/>
        <w:ind w:left="709" w:right="709"/>
        <w:jc w:val="both"/>
        <w:rPr>
          <w:rFonts w:ascii="Arial" w:eastAsia="Times New Roman" w:hAnsi="Arial" w:cs="Arial"/>
          <w:bCs/>
          <w:kern w:val="0"/>
          <w:sz w:val="21"/>
          <w:szCs w:val="21"/>
          <w:lang w:val="es-MX" w:eastAsia="es-CO"/>
          <w14:ligatures w14:val="none"/>
        </w:rPr>
      </w:pPr>
      <w:r w:rsidRPr="009B0A10">
        <w:rPr>
          <w:rFonts w:ascii="Arial" w:eastAsia="Times New Roman" w:hAnsi="Arial" w:cs="Arial"/>
          <w:bCs/>
          <w:kern w:val="0"/>
          <w:sz w:val="21"/>
          <w:szCs w:val="21"/>
          <w:lang w:val="es-MX" w:eastAsia="es-CO"/>
          <w14:ligatures w14:val="none"/>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w:t>
      </w:r>
      <w:r w:rsidRPr="009B0A10">
        <w:rPr>
          <w:rFonts w:ascii="Arial" w:eastAsia="Times New Roman" w:hAnsi="Arial" w:cs="Arial"/>
          <w:bCs/>
          <w:kern w:val="0"/>
          <w:sz w:val="21"/>
          <w:szCs w:val="21"/>
          <w:lang w:val="es-MX" w:eastAsia="es-CO"/>
          <w14:ligatures w14:val="none"/>
        </w:rPr>
        <w:lastRenderedPageBreak/>
        <w:t>son disponibles ni pueden ser derogadas, modificadas, ampliadas o adicionadas por acuerdo o convenio o acto unilateral.</w:t>
      </w:r>
    </w:p>
    <w:p w14:paraId="0040719E" w14:textId="77777777" w:rsidR="009B0A10" w:rsidRPr="009B0A10" w:rsidRDefault="009B0A10" w:rsidP="009B0A10">
      <w:pPr>
        <w:ind w:left="709" w:right="709"/>
        <w:jc w:val="both"/>
        <w:rPr>
          <w:rFonts w:ascii="Arial" w:eastAsia="Times New Roman" w:hAnsi="Arial" w:cs="Arial"/>
          <w:bCs/>
          <w:kern w:val="0"/>
          <w:sz w:val="21"/>
          <w:szCs w:val="21"/>
          <w:lang w:val="es-MX" w:eastAsia="es-CO"/>
          <w14:ligatures w14:val="none"/>
        </w:rPr>
      </w:pPr>
      <w:r w:rsidRPr="009B0A10">
        <w:rPr>
          <w:rFonts w:ascii="Arial" w:eastAsia="Times New Roman" w:hAnsi="Arial" w:cs="Arial"/>
          <w:bCs/>
          <w:kern w:val="0"/>
          <w:sz w:val="21"/>
          <w:szCs w:val="21"/>
          <w:lang w:val="es-MX" w:eastAsia="es-CO"/>
          <w14:ligatures w14:val="none"/>
        </w:rPr>
        <w:t>La jurisprudencia de la Corte Constitucional</w:t>
      </w:r>
      <w:r w:rsidRPr="009B0A10">
        <w:rPr>
          <w:rFonts w:ascii="Arial" w:eastAsia="Times New Roman" w:hAnsi="Arial" w:cs="Arial"/>
          <w:bCs/>
          <w:kern w:val="0"/>
          <w:sz w:val="21"/>
          <w:szCs w:val="21"/>
          <w:vertAlign w:val="superscript"/>
          <w:lang w:val="es-MX" w:eastAsia="es-CO"/>
          <w14:ligatures w14:val="none"/>
        </w:rPr>
        <w:footnoteReference w:id="4"/>
      </w:r>
      <w:r w:rsidRPr="009B0A10">
        <w:rPr>
          <w:rFonts w:ascii="Arial" w:eastAsia="Times New Roman" w:hAnsi="Arial" w:cs="Arial"/>
          <w:bCs/>
          <w:kern w:val="0"/>
          <w:sz w:val="21"/>
          <w:szCs w:val="21"/>
          <w:lang w:val="es-MX" w:eastAsia="es-CO"/>
          <w14:ligatures w14:val="none"/>
        </w:rPr>
        <w:t> y del Consejo de Estado</w:t>
      </w:r>
      <w:r w:rsidRPr="009B0A10">
        <w:rPr>
          <w:rFonts w:ascii="Arial" w:eastAsia="Times New Roman" w:hAnsi="Arial" w:cs="Arial"/>
          <w:bCs/>
          <w:kern w:val="0"/>
          <w:sz w:val="21"/>
          <w:szCs w:val="21"/>
          <w:vertAlign w:val="superscript"/>
          <w:lang w:val="es-MX" w:eastAsia="es-CO"/>
          <w14:ligatures w14:val="none"/>
        </w:rPr>
        <w:footnoteReference w:id="5"/>
      </w:r>
      <w:r w:rsidRPr="009B0A10">
        <w:rPr>
          <w:rFonts w:ascii="Arial" w:eastAsia="Times New Roman" w:hAnsi="Arial" w:cs="Arial"/>
          <w:bCs/>
          <w:kern w:val="0"/>
          <w:sz w:val="21"/>
          <w:szCs w:val="21"/>
          <w:lang w:val="es-MX" w:eastAsia="es-CO"/>
          <w14:ligatures w14:val="none"/>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B0A10">
        <w:rPr>
          <w:rFonts w:ascii="Arial" w:eastAsia="Times New Roman" w:hAnsi="Arial" w:cs="Arial"/>
          <w:bCs/>
          <w:kern w:val="0"/>
          <w:sz w:val="22"/>
          <w:szCs w:val="22"/>
          <w:vertAlign w:val="superscript"/>
          <w:lang w:val="es-MX" w:eastAsia="es-CO"/>
          <w14:ligatures w14:val="none"/>
        </w:rPr>
        <w:footnoteReference w:id="6"/>
      </w:r>
      <w:r w:rsidRPr="009B0A10">
        <w:rPr>
          <w:rFonts w:ascii="Arial" w:eastAsia="Times New Roman" w:hAnsi="Arial" w:cs="Arial"/>
          <w:bCs/>
          <w:kern w:val="0"/>
          <w:sz w:val="21"/>
          <w:szCs w:val="21"/>
          <w:lang w:val="es-MX" w:eastAsia="es-CO"/>
          <w14:ligatures w14:val="none"/>
        </w:rPr>
        <w:t>.</w:t>
      </w:r>
    </w:p>
    <w:p w14:paraId="435365EF" w14:textId="77777777" w:rsidR="009B0A10" w:rsidRPr="009B0A10" w:rsidRDefault="009B0A10" w:rsidP="009B0A10">
      <w:pPr>
        <w:spacing w:line="276" w:lineRule="auto"/>
        <w:ind w:right="709"/>
        <w:jc w:val="both"/>
        <w:rPr>
          <w:rFonts w:ascii="Arial" w:eastAsia="Times New Roman" w:hAnsi="Arial" w:cs="Arial"/>
          <w:bCs/>
          <w:kern w:val="0"/>
          <w:sz w:val="21"/>
          <w:szCs w:val="21"/>
          <w:lang w:val="es-MX" w:eastAsia="es-CO"/>
          <w14:ligatures w14:val="none"/>
        </w:rPr>
      </w:pPr>
    </w:p>
    <w:p w14:paraId="717A49C1" w14:textId="77777777" w:rsidR="009B0A10" w:rsidRPr="009B0A10" w:rsidRDefault="009B0A10" w:rsidP="009B0A10">
      <w:pPr>
        <w:spacing w:after="120" w:line="276" w:lineRule="auto"/>
        <w:jc w:val="both"/>
        <w:rPr>
          <w:rFonts w:ascii="Arial" w:eastAsia="Arial" w:hAnsi="Arial" w:cs="Arial"/>
          <w:kern w:val="0"/>
          <w:sz w:val="22"/>
          <w:szCs w:val="22"/>
          <w:lang w:val="es-ES" w:eastAsia="es-ES" w:bidi="es-ES"/>
          <w14:ligatures w14:val="none"/>
        </w:rPr>
      </w:pPr>
      <w:r w:rsidRPr="009B0A10">
        <w:rPr>
          <w:rFonts w:ascii="Arial" w:eastAsia="Times New Roman" w:hAnsi="Arial" w:cs="Arial"/>
          <w:bCs/>
          <w:kern w:val="0"/>
          <w:sz w:val="22"/>
          <w:szCs w:val="22"/>
          <w:lang w:val="es-MX" w:eastAsia="es-CO"/>
          <w14:ligatures w14:val="none"/>
        </w:rPr>
        <w:tab/>
        <w:t>De</w:t>
      </w:r>
      <w:r w:rsidRPr="009B0A10">
        <w:rPr>
          <w:rFonts w:ascii="Arial" w:eastAsia="Arial" w:hAnsi="Arial" w:cs="Arial"/>
          <w:kern w:val="0"/>
          <w:sz w:val="22"/>
          <w:szCs w:val="22"/>
          <w:lang w:val="es-ES" w:eastAsia="es-ES" w:bidi="es-ES"/>
          <w14:ligatures w14:val="none"/>
        </w:rPr>
        <w:t xml:space="preserve"> conformidad con lo anterior, </w:t>
      </w:r>
      <w:bookmarkStart w:id="11" w:name="_Hlk77236098"/>
      <w:r w:rsidRPr="009B0A10">
        <w:rPr>
          <w:rFonts w:ascii="Arial" w:eastAsia="Arial" w:hAnsi="Arial" w:cs="Arial"/>
          <w:kern w:val="0"/>
          <w:sz w:val="22"/>
          <w:szCs w:val="22"/>
          <w:lang w:val="es-ES" w:eastAsia="es-ES" w:bidi="es-ES"/>
          <w14:ligatures w14:val="none"/>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1"/>
    </w:p>
    <w:p w14:paraId="7B6C67B9" w14:textId="77777777" w:rsidR="009B0A10" w:rsidRPr="009B0A10" w:rsidRDefault="009B0A10" w:rsidP="009B0A10">
      <w:pPr>
        <w:spacing w:after="120" w:line="276" w:lineRule="auto"/>
        <w:ind w:firstLine="708"/>
        <w:jc w:val="both"/>
        <w:rPr>
          <w:rFonts w:ascii="Arial" w:eastAsia="Calibri" w:hAnsi="Arial" w:cs="Arial"/>
          <w:kern w:val="0"/>
          <w:sz w:val="22"/>
          <w:szCs w:val="22"/>
          <w:lang w:val="es-CO"/>
          <w14:ligatures w14:val="none"/>
        </w:rPr>
      </w:pPr>
      <w:r w:rsidRPr="009B0A10">
        <w:rPr>
          <w:rFonts w:ascii="Arial" w:eastAsia="Calibri" w:hAnsi="Arial" w:cs="Arial"/>
          <w:kern w:val="0"/>
          <w:sz w:val="22"/>
          <w:szCs w:val="22"/>
          <w:lang w:val="es-CO"/>
          <w14:ligatures w14:val="none"/>
        </w:rPr>
        <w:t xml:space="preserve">Por un lado, el artículo 33 de la Ley 996 de 2005 prohíbe </w:t>
      </w:r>
      <w:r w:rsidRPr="009B0A10">
        <w:rPr>
          <w:rFonts w:ascii="Arial" w:eastAsia="Calibri" w:hAnsi="Arial" w:cs="Arial"/>
          <w:bCs/>
          <w:kern w:val="0"/>
          <w:sz w:val="22"/>
          <w:szCs w:val="22"/>
          <w:lang w:val="es-CO"/>
          <w14:ligatures w14:val="none"/>
        </w:rPr>
        <w:t xml:space="preserve">“[…] </w:t>
      </w:r>
      <w:r w:rsidRPr="009B0A10">
        <w:rPr>
          <w:rFonts w:ascii="Arial" w:eastAsia="Calibri" w:hAnsi="Arial" w:cs="Arial"/>
          <w:kern w:val="0"/>
          <w:sz w:val="22"/>
          <w:szCs w:val="22"/>
          <w:lang w:val="es-CO"/>
          <w14:ligatures w14:val="none"/>
        </w:rPr>
        <w:t>la contratación directa por parte de todos los entes del Estado</w:t>
      </w:r>
      <w:r w:rsidRPr="009B0A10">
        <w:rPr>
          <w:rFonts w:ascii="Arial" w:eastAsia="Calibri" w:hAnsi="Arial" w:cs="Arial"/>
          <w:bCs/>
          <w:kern w:val="0"/>
          <w:sz w:val="22"/>
          <w:szCs w:val="22"/>
          <w:lang w:val="es-CO"/>
          <w14:ligatures w14:val="none"/>
        </w:rPr>
        <w:t>”</w:t>
      </w:r>
      <w:r w:rsidRPr="009B0A10">
        <w:rPr>
          <w:rFonts w:ascii="Arial" w:eastAsia="Calibri" w:hAnsi="Arial" w:cs="Arial"/>
          <w:kern w:val="0"/>
          <w:sz w:val="22"/>
          <w:szCs w:val="22"/>
          <w:lang w:val="es-CO"/>
          <w14:ligatures w14:val="none"/>
        </w:rPr>
        <w:t xml:space="preserve"> durante los cuatro (4) meses anteriores a las elecciones presidenciales, salvo </w:t>
      </w:r>
      <w:r w:rsidRPr="009B0A10">
        <w:rPr>
          <w:rFonts w:ascii="Arial" w:eastAsia="Calibri" w:hAnsi="Arial" w:cs="Arial"/>
          <w:bCs/>
          <w:kern w:val="0"/>
          <w:sz w:val="22"/>
          <w:szCs w:val="22"/>
          <w:lang w:val="es-CO"/>
          <w14:ligatures w14:val="none"/>
        </w:rPr>
        <w:t xml:space="preserve">“[…] </w:t>
      </w:r>
      <w:r w:rsidRPr="009B0A10">
        <w:rPr>
          <w:rFonts w:ascii="Arial" w:eastAsia="Calibri" w:hAnsi="Arial" w:cs="Arial"/>
          <w:kern w:val="0"/>
          <w:sz w:val="22"/>
          <w:szCs w:val="22"/>
          <w:lang w:val="es-CO"/>
          <w14:ligatures w14:val="none"/>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B0A10">
        <w:rPr>
          <w:rFonts w:ascii="Arial" w:eastAsia="Calibri" w:hAnsi="Arial" w:cs="Arial"/>
          <w:bCs/>
          <w:kern w:val="0"/>
          <w:sz w:val="22"/>
          <w:szCs w:val="22"/>
          <w:lang w:val="es-CO"/>
          <w14:ligatures w14:val="none"/>
        </w:rPr>
        <w:t>”</w:t>
      </w:r>
      <w:r w:rsidRPr="009B0A10">
        <w:rPr>
          <w:rFonts w:ascii="Arial" w:eastAsia="Calibri" w:hAnsi="Arial" w:cs="Arial"/>
          <w:bCs/>
          <w:kern w:val="0"/>
          <w:sz w:val="22"/>
          <w:szCs w:val="22"/>
          <w:vertAlign w:val="superscript"/>
          <w:lang w:val="es-CO"/>
          <w14:ligatures w14:val="none"/>
        </w:rPr>
        <w:footnoteReference w:id="7"/>
      </w:r>
      <w:r w:rsidRPr="009B0A10">
        <w:rPr>
          <w:rFonts w:ascii="Arial" w:eastAsia="Calibri" w:hAnsi="Arial" w:cs="Arial"/>
          <w:kern w:val="0"/>
          <w:sz w:val="22"/>
          <w:szCs w:val="22"/>
          <w:lang w:val="es-CO"/>
          <w14:ligatures w14:val="none"/>
        </w:rPr>
        <w:t>.</w:t>
      </w:r>
    </w:p>
    <w:p w14:paraId="08D412BB" w14:textId="77777777" w:rsidR="009B0A10" w:rsidRPr="009B0A10" w:rsidRDefault="009B0A10" w:rsidP="009B0A10">
      <w:pPr>
        <w:widowControl w:val="0"/>
        <w:autoSpaceDE w:val="0"/>
        <w:autoSpaceDN w:val="0"/>
        <w:spacing w:line="276" w:lineRule="auto"/>
        <w:ind w:right="113" w:firstLine="708"/>
        <w:jc w:val="both"/>
        <w:rPr>
          <w:rFonts w:ascii="Arial" w:eastAsia="Arial" w:hAnsi="Arial" w:cs="Arial"/>
          <w:kern w:val="0"/>
          <w:sz w:val="22"/>
          <w:szCs w:val="22"/>
          <w:lang w:val="es-ES" w:eastAsia="es-ES" w:bidi="es-ES"/>
          <w14:ligatures w14:val="none"/>
        </w:rPr>
      </w:pPr>
      <w:r w:rsidRPr="009B0A10">
        <w:rPr>
          <w:rFonts w:ascii="Arial" w:eastAsia="Calibri" w:hAnsi="Arial" w:cs="Arial"/>
          <w:kern w:val="0"/>
          <w:sz w:val="22"/>
          <w:szCs w:val="22"/>
          <w:lang w:val="es-CO"/>
          <w14:ligatures w14:val="none"/>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B0A10">
        <w:rPr>
          <w:rFonts w:ascii="Arial" w:eastAsia="Calibri" w:hAnsi="Arial" w:cs="Arial"/>
          <w:bCs/>
          <w:kern w:val="0"/>
          <w:sz w:val="22"/>
          <w:szCs w:val="22"/>
          <w:lang w:val="es-CO"/>
          <w14:ligatures w14:val="none"/>
        </w:rPr>
        <w:t xml:space="preserve">“[…] </w:t>
      </w:r>
      <w:r w:rsidRPr="009B0A10">
        <w:rPr>
          <w:rFonts w:ascii="Arial" w:eastAsia="Calibri" w:hAnsi="Arial" w:cs="Arial"/>
          <w:kern w:val="0"/>
          <w:sz w:val="22"/>
          <w:szCs w:val="22"/>
          <w:lang w:val="es-MX"/>
          <w14:ligatures w14:val="none"/>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B0A10">
        <w:rPr>
          <w:rFonts w:ascii="Arial" w:eastAsia="Calibri" w:hAnsi="Arial" w:cs="Arial"/>
          <w:bCs/>
          <w:kern w:val="0"/>
          <w:sz w:val="19"/>
          <w:szCs w:val="19"/>
          <w:lang w:val="es-CO"/>
          <w14:ligatures w14:val="none"/>
        </w:rPr>
        <w:t>”</w:t>
      </w:r>
      <w:r w:rsidRPr="009B0A10">
        <w:rPr>
          <w:rFonts w:ascii="Arial" w:eastAsia="Calibri" w:hAnsi="Arial" w:cs="Arial"/>
          <w:bCs/>
          <w:kern w:val="0"/>
          <w:sz w:val="19"/>
          <w:szCs w:val="19"/>
          <w:vertAlign w:val="superscript"/>
          <w:lang w:val="es-CO"/>
          <w14:ligatures w14:val="none"/>
        </w:rPr>
        <w:footnoteReference w:id="8"/>
      </w:r>
      <w:r w:rsidRPr="009B0A10">
        <w:rPr>
          <w:rFonts w:ascii="Arial" w:eastAsia="Calibri" w:hAnsi="Arial" w:cs="Arial"/>
          <w:kern w:val="0"/>
          <w:sz w:val="22"/>
          <w:szCs w:val="22"/>
          <w:lang w:val="es-MX"/>
          <w14:ligatures w14:val="none"/>
        </w:rPr>
        <w:t>.</w:t>
      </w:r>
      <w:r w:rsidRPr="009B0A10">
        <w:rPr>
          <w:rFonts w:ascii="Arial" w:eastAsia="Arial" w:hAnsi="Arial" w:cs="Arial"/>
          <w:kern w:val="0"/>
          <w:sz w:val="22"/>
          <w:szCs w:val="22"/>
          <w:lang w:val="es-ES" w:eastAsia="es-ES" w:bidi="es-ES"/>
          <w14:ligatures w14:val="none"/>
        </w:rPr>
        <w:t xml:space="preserve"> La Sala de Consulta y Servicio Civil del Consejo de Estado ha aclarado la distinción en la aplicación de las prohibiciones de la Ley 996 de 2005, dependiendo del tipo de elección que se trate. Al respecto, considera que:</w:t>
      </w:r>
    </w:p>
    <w:p w14:paraId="4ADF4069" w14:textId="77777777" w:rsidR="009B0A10" w:rsidRPr="009B0A10" w:rsidRDefault="009B0A10" w:rsidP="009B0A10">
      <w:pPr>
        <w:widowControl w:val="0"/>
        <w:autoSpaceDE w:val="0"/>
        <w:autoSpaceDN w:val="0"/>
        <w:spacing w:line="276" w:lineRule="auto"/>
        <w:ind w:left="805" w:right="812"/>
        <w:jc w:val="both"/>
        <w:rPr>
          <w:rFonts w:ascii="Arial" w:eastAsia="Arial" w:hAnsi="Arial" w:cs="Arial"/>
          <w:kern w:val="0"/>
          <w:sz w:val="22"/>
          <w:szCs w:val="22"/>
          <w:lang w:val="es-ES" w:eastAsia="es-ES" w:bidi="es-ES"/>
          <w14:ligatures w14:val="none"/>
        </w:rPr>
      </w:pPr>
    </w:p>
    <w:p w14:paraId="71B6E9FD" w14:textId="77777777" w:rsidR="009B0A10" w:rsidRPr="009B0A10" w:rsidRDefault="009B0A10" w:rsidP="009B0A10">
      <w:pPr>
        <w:widowControl w:val="0"/>
        <w:autoSpaceDE w:val="0"/>
        <w:autoSpaceDN w:val="0"/>
        <w:ind w:left="709" w:right="709"/>
        <w:jc w:val="both"/>
        <w:rPr>
          <w:rFonts w:ascii="Arial" w:eastAsia="Arial" w:hAnsi="Arial" w:cs="Arial"/>
          <w:kern w:val="0"/>
          <w:sz w:val="21"/>
          <w:szCs w:val="21"/>
          <w:lang w:val="es-ES" w:eastAsia="es-ES" w:bidi="es-ES"/>
          <w14:ligatures w14:val="none"/>
        </w:rPr>
      </w:pPr>
      <w:r w:rsidRPr="009B0A10">
        <w:rPr>
          <w:rFonts w:ascii="Arial" w:eastAsia="Arial" w:hAnsi="Arial" w:cs="Arial"/>
          <w:kern w:val="0"/>
          <w:sz w:val="21"/>
          <w:szCs w:val="21"/>
          <w:lang w:val="es-ES" w:eastAsia="es-ES" w:bidi="es-ES"/>
          <w14:ligatures w14:val="none"/>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4" w:name="_Hlk76109421"/>
      <w:r w:rsidRPr="009B0A10">
        <w:rPr>
          <w:rFonts w:ascii="Arial" w:eastAsia="Arial" w:hAnsi="Arial" w:cs="Arial"/>
          <w:kern w:val="0"/>
          <w:sz w:val="21"/>
          <w:szCs w:val="21"/>
          <w:lang w:val="es-ES" w:eastAsia="es-ES" w:bidi="es-ES"/>
          <w14:ligatures w14:val="none"/>
        </w:rPr>
        <w:t>se integran parcialmente</w:t>
      </w:r>
      <w:bookmarkEnd w:id="14"/>
      <w:r w:rsidRPr="009B0A10">
        <w:rPr>
          <w:rFonts w:ascii="Arial" w:eastAsia="Arial" w:hAnsi="Arial" w:cs="Arial"/>
          <w:kern w:val="0"/>
          <w:sz w:val="21"/>
          <w:szCs w:val="21"/>
          <w:lang w:val="es-ES" w:eastAsia="es-ES" w:bidi="es-ES"/>
          <w14:ligatures w14:val="none"/>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B0A10">
        <w:rPr>
          <w:rFonts w:ascii="Arial" w:eastAsia="Arial" w:hAnsi="Arial" w:cs="Arial"/>
          <w:bCs/>
          <w:kern w:val="0"/>
          <w:sz w:val="21"/>
          <w:szCs w:val="21"/>
          <w:lang w:val="es-ES" w:eastAsia="es-ES" w:bidi="es-ES"/>
          <w14:ligatures w14:val="none"/>
        </w:rPr>
        <w:t xml:space="preserve">En cambio, para elecciones en general, excluyendo las correspondientes a </w:t>
      </w:r>
      <w:proofErr w:type="gramStart"/>
      <w:r w:rsidRPr="009B0A10">
        <w:rPr>
          <w:rFonts w:ascii="Arial" w:eastAsia="Arial" w:hAnsi="Arial" w:cs="Arial"/>
          <w:bCs/>
          <w:kern w:val="0"/>
          <w:sz w:val="21"/>
          <w:szCs w:val="21"/>
          <w:lang w:val="es-ES" w:eastAsia="es-ES" w:bidi="es-ES"/>
          <w14:ligatures w14:val="none"/>
        </w:rPr>
        <w:t>Presidente</w:t>
      </w:r>
      <w:proofErr w:type="gramEnd"/>
      <w:r w:rsidRPr="009B0A10">
        <w:rPr>
          <w:rFonts w:ascii="Arial" w:eastAsia="Arial" w:hAnsi="Arial" w:cs="Arial"/>
          <w:bCs/>
          <w:kern w:val="0"/>
          <w:sz w:val="21"/>
          <w:szCs w:val="21"/>
          <w:lang w:val="es-ES" w:eastAsia="es-ES" w:bidi="es-ES"/>
          <w14:ligatures w14:val="none"/>
        </w:rPr>
        <w:t xml:space="preserve"> de la República, a las autoridades territoriales allí mencionadas sólo se aplican las restricciones contenidas en el parágrafo del artículo 38”</w:t>
      </w:r>
      <w:r w:rsidRPr="009B0A10">
        <w:rPr>
          <w:rFonts w:ascii="Arial" w:eastAsia="Arial" w:hAnsi="Arial" w:cs="Arial"/>
          <w:kern w:val="0"/>
          <w:sz w:val="21"/>
          <w:szCs w:val="21"/>
          <w:vertAlign w:val="superscript"/>
          <w:lang w:val="es-ES" w:eastAsia="es-ES" w:bidi="es-ES"/>
          <w14:ligatures w14:val="none"/>
        </w:rPr>
        <w:footnoteReference w:id="9"/>
      </w:r>
      <w:r w:rsidRPr="009B0A10">
        <w:rPr>
          <w:rFonts w:ascii="Arial" w:eastAsia="Arial" w:hAnsi="Arial" w:cs="Arial"/>
          <w:kern w:val="0"/>
          <w:sz w:val="21"/>
          <w:szCs w:val="21"/>
          <w:lang w:val="es-ES" w:eastAsia="es-ES" w:bidi="es-ES"/>
          <w14:ligatures w14:val="none"/>
        </w:rPr>
        <w:t>.</w:t>
      </w:r>
    </w:p>
    <w:p w14:paraId="113B73B1" w14:textId="77777777" w:rsidR="009B0A10" w:rsidRPr="009B0A10" w:rsidRDefault="009B0A10" w:rsidP="009B0A10">
      <w:pPr>
        <w:widowControl w:val="0"/>
        <w:autoSpaceDE w:val="0"/>
        <w:autoSpaceDN w:val="0"/>
        <w:spacing w:before="8" w:line="276" w:lineRule="auto"/>
        <w:rPr>
          <w:rFonts w:ascii="Arial" w:eastAsia="Arial" w:hAnsi="Arial" w:cs="Arial"/>
          <w:kern w:val="0"/>
          <w:sz w:val="22"/>
          <w:szCs w:val="22"/>
          <w:lang w:val="es-ES" w:eastAsia="es-ES" w:bidi="es-ES"/>
          <w14:ligatures w14:val="none"/>
        </w:rPr>
      </w:pPr>
    </w:p>
    <w:p w14:paraId="30D20C9E" w14:textId="77777777" w:rsidR="009B0A10" w:rsidRPr="009B0A10" w:rsidRDefault="009B0A10" w:rsidP="009B0A10">
      <w:pPr>
        <w:spacing w:after="120" w:line="276" w:lineRule="auto"/>
        <w:ind w:firstLine="709"/>
        <w:jc w:val="both"/>
        <w:rPr>
          <w:rFonts w:ascii="Arial" w:eastAsia="Arial" w:hAnsi="Arial" w:cs="Arial"/>
          <w:kern w:val="0"/>
          <w:sz w:val="22"/>
          <w:szCs w:val="22"/>
          <w:lang w:val="es-ES" w:eastAsia="es-ES" w:bidi="es-ES"/>
          <w14:ligatures w14:val="none"/>
        </w:rPr>
      </w:pPr>
      <w:r w:rsidRPr="009B0A10">
        <w:rPr>
          <w:rFonts w:ascii="Arial" w:eastAsia="Arial" w:hAnsi="Arial" w:cs="Arial"/>
          <w:kern w:val="0"/>
          <w:sz w:val="22"/>
          <w:szCs w:val="22"/>
          <w:lang w:val="es-ES" w:eastAsia="es-ES" w:bidi="es-ES"/>
          <w14:ligatures w14:val="none"/>
        </w:rPr>
        <w:t>De conformidad con lo anterior</w:t>
      </w:r>
      <w:bookmarkStart w:id="15" w:name="_Hlk99438241"/>
      <w:r w:rsidRPr="009B0A10">
        <w:rPr>
          <w:rFonts w:ascii="Arial" w:eastAsia="Arial" w:hAnsi="Arial" w:cs="Arial"/>
          <w:kern w:val="0"/>
          <w:sz w:val="22"/>
          <w:szCs w:val="22"/>
          <w:lang w:val="es-ES" w:eastAsia="es-ES" w:bidi="es-ES"/>
          <w14:ligatures w14:val="none"/>
        </w:rPr>
        <w:t xml:space="preserve">, </w:t>
      </w:r>
      <w:bookmarkStart w:id="16" w:name="_Hlk77236420"/>
      <w:bookmarkStart w:id="17" w:name="_Hlk78818435"/>
      <w:bookmarkStart w:id="18" w:name="_Hlk75780333"/>
      <w:r w:rsidRPr="009B0A10">
        <w:rPr>
          <w:rFonts w:ascii="Arial" w:eastAsia="Arial" w:hAnsi="Arial" w:cs="Arial"/>
          <w:kern w:val="0"/>
          <w:sz w:val="22"/>
          <w:szCs w:val="22"/>
          <w:lang w:val="es-ES" w:eastAsia="es-ES" w:bidi="es-ES"/>
          <w14:ligatures w14:val="none"/>
        </w:rPr>
        <w:t xml:space="preserve">la Ley 996 de 2005 establece dos (2) tipos de restricciones en materia de contratación, las cuales coinciden parcialmente. </w:t>
      </w:r>
      <w:r w:rsidRPr="009B0A10">
        <w:rPr>
          <w:rFonts w:ascii="Arial" w:eastAsia="Arial" w:hAnsi="Arial" w:cs="Arial"/>
          <w:i/>
          <w:iCs/>
          <w:kern w:val="0"/>
          <w:sz w:val="22"/>
          <w:szCs w:val="22"/>
          <w:lang w:val="es-ES" w:eastAsia="es-ES" w:bidi="es-ES"/>
          <w14:ligatures w14:val="none"/>
        </w:rPr>
        <w:t>En primer lugar</w:t>
      </w:r>
      <w:r w:rsidRPr="009B0A10">
        <w:rPr>
          <w:rFonts w:ascii="Arial" w:eastAsia="Arial" w:hAnsi="Arial" w:cs="Arial"/>
          <w:kern w:val="0"/>
          <w:sz w:val="22"/>
          <w:szCs w:val="22"/>
          <w:lang w:val="es-ES" w:eastAsia="es-ES" w:bidi="es-ES"/>
          <w14:ligatures w14:val="none"/>
        </w:rPr>
        <w:t xml:space="preserve">, la del artículo 33 que opera solo respecto de las elecciones presidenciales, en virtud de la cual queda proscrita la contratación directa dentro de los cuatro (4) meses anteriores a la celebración de los comicios, </w:t>
      </w:r>
      <w:r w:rsidRPr="009B0A10">
        <w:rPr>
          <w:rFonts w:ascii="Arial" w:eastAsia="Arial" w:hAnsi="Arial" w:cs="Arial"/>
          <w:kern w:val="0"/>
          <w:sz w:val="22"/>
          <w:szCs w:val="22"/>
          <w:lang w:val="es-ES" w:eastAsia="es-ES" w:bidi="es-ES"/>
          <w14:ligatures w14:val="none"/>
        </w:rPr>
        <w:lastRenderedPageBreak/>
        <w:t xml:space="preserve">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B0A10">
        <w:rPr>
          <w:rFonts w:ascii="Arial" w:eastAsia="Arial" w:hAnsi="Arial" w:cs="Arial"/>
          <w:i/>
          <w:iCs/>
          <w:kern w:val="0"/>
          <w:sz w:val="22"/>
          <w:szCs w:val="22"/>
          <w:lang w:val="es-ES" w:eastAsia="es-ES" w:bidi="es-ES"/>
          <w14:ligatures w14:val="none"/>
        </w:rPr>
        <w:t>En segundo lugar</w:t>
      </w:r>
      <w:r w:rsidRPr="009B0A10">
        <w:rPr>
          <w:rFonts w:ascii="Arial" w:eastAsia="Arial" w:hAnsi="Arial" w:cs="Arial"/>
          <w:kern w:val="0"/>
          <w:sz w:val="22"/>
          <w:szCs w:val="22"/>
          <w:lang w:val="es-ES" w:eastAsia="es-ES" w:bidi="es-ES"/>
          <w14:ligatures w14:val="none"/>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6"/>
    </w:p>
    <w:bookmarkEnd w:id="15"/>
    <w:bookmarkEnd w:id="17"/>
    <w:p w14:paraId="053ACF89" w14:textId="77777777" w:rsidR="009B0A10" w:rsidRPr="009B0A10" w:rsidRDefault="009B0A10" w:rsidP="009B0A10">
      <w:pPr>
        <w:spacing w:after="120" w:line="276" w:lineRule="auto"/>
        <w:ind w:firstLine="709"/>
        <w:jc w:val="both"/>
        <w:rPr>
          <w:rFonts w:ascii="Arial" w:eastAsia="Arial" w:hAnsi="Arial" w:cs="Arial"/>
          <w:kern w:val="0"/>
          <w:sz w:val="22"/>
          <w:szCs w:val="22"/>
          <w:lang w:val="es-ES" w:eastAsia="es-ES" w:bidi="es-ES"/>
          <w14:ligatures w14:val="none"/>
        </w:rPr>
      </w:pPr>
      <w:r w:rsidRPr="009B0A10">
        <w:rPr>
          <w:rFonts w:ascii="Arial" w:eastAsia="Arial" w:hAnsi="Arial" w:cs="Arial"/>
          <w:kern w:val="0"/>
          <w:sz w:val="22"/>
          <w:szCs w:val="22"/>
          <w:lang w:val="es-ES" w:eastAsia="es-ES" w:bidi="es-ES"/>
          <w14:ligatures w14:val="none"/>
        </w:rPr>
        <w:t xml:space="preserve">Ambas restricciones no son excluyentes, lo que permite concluir que en el período preelectoral para elección de </w:t>
      </w:r>
      <w:proofErr w:type="gramStart"/>
      <w:r w:rsidRPr="009B0A10">
        <w:rPr>
          <w:rFonts w:ascii="Arial" w:eastAsia="Arial" w:hAnsi="Arial" w:cs="Arial"/>
          <w:kern w:val="0"/>
          <w:sz w:val="22"/>
          <w:szCs w:val="22"/>
          <w:lang w:val="es-ES" w:eastAsia="es-ES" w:bidi="es-ES"/>
          <w14:ligatures w14:val="none"/>
        </w:rPr>
        <w:t>Presidente</w:t>
      </w:r>
      <w:proofErr w:type="gramEnd"/>
      <w:r w:rsidRPr="009B0A10">
        <w:rPr>
          <w:rFonts w:ascii="Arial" w:eastAsia="Arial" w:hAnsi="Arial" w:cs="Arial"/>
          <w:kern w:val="0"/>
          <w:sz w:val="22"/>
          <w:szCs w:val="22"/>
          <w:lang w:val="es-ES" w:eastAsia="es-ES" w:bidi="es-ES"/>
          <w14:ligatures w14:val="none"/>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B0A10">
        <w:rPr>
          <w:rFonts w:ascii="Arial" w:eastAsia="Arial" w:hAnsi="Arial" w:cs="Arial"/>
          <w:kern w:val="0"/>
          <w:sz w:val="22"/>
          <w:szCs w:val="22"/>
          <w:lang w:val="es-ES" w:eastAsia="es-ES" w:bidi="es-ES"/>
          <w14:ligatures w14:val="none"/>
        </w:rPr>
        <w:t>Presidente</w:t>
      </w:r>
      <w:proofErr w:type="gramEnd"/>
      <w:r w:rsidRPr="009B0A10">
        <w:rPr>
          <w:rFonts w:ascii="Arial" w:eastAsia="Arial" w:hAnsi="Arial" w:cs="Arial"/>
          <w:kern w:val="0"/>
          <w:sz w:val="22"/>
          <w:szCs w:val="22"/>
          <w:lang w:val="es-ES" w:eastAsia="es-ES" w:bidi="es-ES"/>
          <w14:ligatures w14:val="none"/>
        </w:rPr>
        <w:t xml:space="preserve"> de la República, las autoridades allí mencionadas sólo deben aplicar las restricciones contenidas en el parágrafo del artículo 38.</w:t>
      </w:r>
    </w:p>
    <w:bookmarkEnd w:id="18"/>
    <w:p w14:paraId="3C386ED8" w14:textId="77777777" w:rsidR="009B0A10" w:rsidRPr="009B0A10" w:rsidRDefault="009B0A10" w:rsidP="009B0A10">
      <w:pPr>
        <w:spacing w:line="276" w:lineRule="auto"/>
        <w:ind w:firstLine="708"/>
        <w:jc w:val="both"/>
        <w:rPr>
          <w:rFonts w:ascii="Arial" w:eastAsia="Arial" w:hAnsi="Arial" w:cs="Arial"/>
          <w:kern w:val="0"/>
          <w:sz w:val="22"/>
          <w:szCs w:val="22"/>
          <w:lang w:val="es-ES" w:eastAsia="es-ES" w:bidi="es-ES"/>
          <w14:ligatures w14:val="none"/>
        </w:rPr>
      </w:pPr>
      <w:r w:rsidRPr="009B0A10">
        <w:rPr>
          <w:rFonts w:ascii="Arial" w:eastAsia="Arial" w:hAnsi="Arial" w:cs="Arial"/>
          <w:kern w:val="0"/>
          <w:sz w:val="22"/>
          <w:szCs w:val="22"/>
          <w:lang w:val="es-ES" w:eastAsia="es-ES" w:bidi="es-ES"/>
          <w14:ligatures w14:val="none"/>
        </w:rPr>
        <w:t xml:space="preserve">La Corte Constitucional, en la Sentencia C-1153 del 11 de noviembre de 2005, señaló que, para que la garantía sea plena, era necesario que la prohibición se aplicara para el </w:t>
      </w:r>
      <w:proofErr w:type="gramStart"/>
      <w:r w:rsidRPr="009B0A10">
        <w:rPr>
          <w:rFonts w:ascii="Arial" w:eastAsia="Arial" w:hAnsi="Arial" w:cs="Arial"/>
          <w:kern w:val="0"/>
          <w:sz w:val="22"/>
          <w:szCs w:val="22"/>
          <w:lang w:val="es-ES" w:eastAsia="es-ES" w:bidi="es-ES"/>
          <w14:ligatures w14:val="none"/>
        </w:rPr>
        <w:t>Presidente</w:t>
      </w:r>
      <w:proofErr w:type="gramEnd"/>
      <w:r w:rsidRPr="009B0A10">
        <w:rPr>
          <w:rFonts w:ascii="Arial" w:eastAsia="Arial" w:hAnsi="Arial" w:cs="Arial"/>
          <w:kern w:val="0"/>
          <w:sz w:val="22"/>
          <w:szCs w:val="22"/>
          <w:lang w:val="es-ES" w:eastAsia="es-ES" w:bidi="es-ES"/>
          <w14:ligatures w14:val="none"/>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C013786" w14:textId="77777777" w:rsidR="009B0A10" w:rsidRPr="009B0A10" w:rsidRDefault="009B0A10" w:rsidP="009B0A10">
      <w:pPr>
        <w:spacing w:line="276" w:lineRule="auto"/>
        <w:jc w:val="both"/>
        <w:rPr>
          <w:rFonts w:ascii="Arial" w:eastAsia="Calibri" w:hAnsi="Arial" w:cs="Arial"/>
          <w:b/>
          <w:bCs/>
          <w:color w:val="000000"/>
          <w:kern w:val="0"/>
          <w:sz w:val="22"/>
          <w:szCs w:val="22"/>
          <w:lang w:val="es-CO"/>
          <w14:ligatures w14:val="none"/>
        </w:rPr>
      </w:pPr>
    </w:p>
    <w:p w14:paraId="35BBEE77" w14:textId="77777777" w:rsidR="009B0A10" w:rsidRPr="009B0A10" w:rsidRDefault="009B0A10" w:rsidP="009B0A10">
      <w:pPr>
        <w:spacing w:line="276" w:lineRule="auto"/>
        <w:jc w:val="both"/>
        <w:rPr>
          <w:rFonts w:ascii="Arial" w:eastAsia="Calibri" w:hAnsi="Arial" w:cs="Arial"/>
          <w:b/>
          <w:bCs/>
          <w:color w:val="000000"/>
          <w:kern w:val="0"/>
          <w:sz w:val="22"/>
          <w:szCs w:val="22"/>
          <w:lang w:val="es-CO"/>
          <w14:ligatures w14:val="none"/>
        </w:rPr>
      </w:pPr>
      <w:r w:rsidRPr="009B0A10">
        <w:rPr>
          <w:rFonts w:ascii="Arial" w:eastAsia="Calibri" w:hAnsi="Arial" w:cs="Arial"/>
          <w:b/>
          <w:bCs/>
          <w:color w:val="000000"/>
          <w:kern w:val="0"/>
          <w:sz w:val="22"/>
          <w:szCs w:val="22"/>
          <w:lang w:val="es-CO"/>
          <w14:ligatures w14:val="none"/>
        </w:rPr>
        <w:t xml:space="preserve">2.2. Ley 1276 de 2009: convenios del parágrafo del artículo 8 y recaudo de la Estampilla para el bienestar del Adulto Mayor </w:t>
      </w:r>
    </w:p>
    <w:p w14:paraId="05B81C75" w14:textId="77777777" w:rsidR="009B0A10" w:rsidRPr="009B0A10" w:rsidRDefault="009B0A10" w:rsidP="009B0A10">
      <w:pPr>
        <w:spacing w:line="276" w:lineRule="auto"/>
        <w:jc w:val="both"/>
        <w:rPr>
          <w:rFonts w:ascii="Arial" w:eastAsia="Calibri" w:hAnsi="Arial" w:cs="Arial"/>
          <w:color w:val="000000"/>
          <w:kern w:val="0"/>
          <w:sz w:val="22"/>
          <w:szCs w:val="22"/>
          <w14:ligatures w14:val="none"/>
        </w:rPr>
      </w:pPr>
    </w:p>
    <w:p w14:paraId="03286416" w14:textId="77777777" w:rsidR="009B0A10" w:rsidRPr="009B0A10" w:rsidRDefault="009B0A10" w:rsidP="009B0A10">
      <w:pPr>
        <w:spacing w:line="276" w:lineRule="auto"/>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 xml:space="preserve">La Constitución Política de 1991 establece tres (3) regímenes de contratación. El </w:t>
      </w:r>
      <w:r w:rsidRPr="009B0A10">
        <w:rPr>
          <w:rFonts w:ascii="Arial" w:eastAsia="Calibri" w:hAnsi="Arial" w:cs="Arial"/>
          <w:i/>
          <w:color w:val="000000"/>
          <w:kern w:val="0"/>
          <w:sz w:val="22"/>
          <w:szCs w:val="22"/>
          <w14:ligatures w14:val="none"/>
        </w:rPr>
        <w:t xml:space="preserve">primero </w:t>
      </w:r>
      <w:r w:rsidRPr="009B0A10">
        <w:rPr>
          <w:rFonts w:ascii="Arial" w:eastAsia="Calibri" w:hAnsi="Arial" w:cs="Arial"/>
          <w:color w:val="000000"/>
          <w:kern w:val="0"/>
          <w:sz w:val="22"/>
          <w:szCs w:val="22"/>
          <w14:ligatures w14:val="none"/>
        </w:rPr>
        <w:t xml:space="preserve">se fundamenta en la competencia prevista en el inciso final del artículo 150 superior, por el cual se faculta al Congreso de la República para expedir un Estatuto General de Contratación de la Administración Pública. El </w:t>
      </w:r>
      <w:r w:rsidRPr="009B0A10">
        <w:rPr>
          <w:rFonts w:ascii="Arial" w:eastAsia="Calibri" w:hAnsi="Arial" w:cs="Arial"/>
          <w:i/>
          <w:color w:val="000000"/>
          <w:kern w:val="0"/>
          <w:sz w:val="22"/>
          <w:szCs w:val="22"/>
          <w14:ligatures w14:val="none"/>
        </w:rPr>
        <w:t>segundo</w:t>
      </w:r>
      <w:r w:rsidRPr="009B0A10">
        <w:rPr>
          <w:rFonts w:ascii="Arial" w:eastAsia="Calibri" w:hAnsi="Arial" w:cs="Arial"/>
          <w:color w:val="000000"/>
          <w:kern w:val="0"/>
          <w:sz w:val="22"/>
          <w:szCs w:val="22"/>
          <w14:ligatures w14:val="none"/>
        </w:rPr>
        <w:t xml:space="preserve">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artículo 355 establece el régimen de los contratos con las ESAL, el cual –además de </w:t>
      </w:r>
      <w:r w:rsidRPr="009B0A10">
        <w:rPr>
          <w:rFonts w:ascii="Arial" w:eastAsia="Calibri" w:hAnsi="Arial" w:cs="Arial"/>
          <w:color w:val="000000"/>
          <w:kern w:val="0"/>
          <w:sz w:val="22"/>
          <w:szCs w:val="22"/>
          <w14:ligatures w14:val="none"/>
        </w:rPr>
        <w:lastRenderedPageBreak/>
        <w:t xml:space="preserve">extenderse a los </w:t>
      </w:r>
      <w:r w:rsidRPr="009B0A10">
        <w:rPr>
          <w:rFonts w:ascii="Arial" w:eastAsia="Calibri" w:hAnsi="Arial" w:cs="Arial"/>
          <w:i/>
          <w:iCs/>
          <w:color w:val="000000"/>
          <w:kern w:val="0"/>
          <w:sz w:val="22"/>
          <w:szCs w:val="22"/>
          <w14:ligatures w14:val="none"/>
        </w:rPr>
        <w:t>convenios de asociación</w:t>
      </w:r>
      <w:r w:rsidRPr="009B0A10">
        <w:rPr>
          <w:rFonts w:ascii="Arial" w:eastAsia="Calibri" w:hAnsi="Arial" w:cs="Arial"/>
          <w:color w:val="000000"/>
          <w:kern w:val="0"/>
          <w:sz w:val="22"/>
          <w:szCs w:val="22"/>
          <w14:ligatures w14:val="none"/>
        </w:rPr>
        <w:t xml:space="preserve"> en virtud de lo dispuesto en el artículo 96 de la Ley 489 de 1998– se desarrolló a través del Decreto 092 de 2017. </w:t>
      </w:r>
    </w:p>
    <w:p w14:paraId="3F946095" w14:textId="77777777" w:rsidR="009B0A10" w:rsidRPr="009B0A10" w:rsidRDefault="009B0A10" w:rsidP="009B0A10">
      <w:pPr>
        <w:spacing w:before="120" w:line="276" w:lineRule="auto"/>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ab/>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Además, pese a la aplicación de las normas comunes sobre obligaciones y contratos en las entidades del régimen exceptuado, deben respetar los principios de la función administrativa, de la gestión fiscal y el régimen de inhabilidades e incompatibilidades, los cuales se concretan en los respectivos manuales de contratación –Ley 1150 de 2007, art. 13–. Sin embargo, en relación con la regulación de los </w:t>
      </w:r>
      <w:r w:rsidRPr="009B0A10">
        <w:rPr>
          <w:rFonts w:ascii="Arial" w:eastAsia="Calibri" w:hAnsi="Arial" w:cs="Arial"/>
          <w:i/>
          <w:iCs/>
          <w:color w:val="000000"/>
          <w:kern w:val="0"/>
          <w:sz w:val="22"/>
          <w:szCs w:val="22"/>
          <w14:ligatures w14:val="none"/>
        </w:rPr>
        <w:t>contratos del art. 355 de la Constitución</w:t>
      </w:r>
      <w:r w:rsidRPr="009B0A10">
        <w:rPr>
          <w:rFonts w:ascii="Arial" w:eastAsia="Calibri" w:hAnsi="Arial" w:cs="Arial"/>
          <w:color w:val="000000"/>
          <w:kern w:val="0"/>
          <w:sz w:val="22"/>
          <w:szCs w:val="22"/>
          <w14:ligatures w14:val="none"/>
        </w:rPr>
        <w:t xml:space="preserve"> y los </w:t>
      </w:r>
      <w:r w:rsidRPr="009B0A10">
        <w:rPr>
          <w:rFonts w:ascii="Arial" w:eastAsia="Calibri" w:hAnsi="Arial" w:cs="Arial"/>
          <w:i/>
          <w:iCs/>
          <w:color w:val="000000"/>
          <w:kern w:val="0"/>
          <w:sz w:val="22"/>
          <w:szCs w:val="22"/>
          <w14:ligatures w14:val="none"/>
        </w:rPr>
        <w:t>convenios de asociación</w:t>
      </w:r>
      <w:r w:rsidRPr="009B0A10">
        <w:rPr>
          <w:rFonts w:ascii="Arial" w:eastAsia="Calibri" w:hAnsi="Arial" w:cs="Arial"/>
          <w:color w:val="000000"/>
          <w:kern w:val="0"/>
          <w:sz w:val="22"/>
          <w:szCs w:val="22"/>
          <w14:ligatures w14:val="none"/>
        </w:rPr>
        <w:t xml:space="preserve">, los artículos 6, 7 y 8 del </w:t>
      </w:r>
      <w:bookmarkStart w:id="19" w:name="_Hlk38214426"/>
      <w:r w:rsidRPr="009B0A10">
        <w:rPr>
          <w:rFonts w:ascii="Arial" w:eastAsia="Calibri" w:hAnsi="Arial" w:cs="Arial"/>
          <w:color w:val="000000"/>
          <w:kern w:val="0"/>
          <w:sz w:val="22"/>
          <w:szCs w:val="22"/>
          <w14:ligatures w14:val="none"/>
        </w:rPr>
        <w:t>Decreto 092 de 2017</w:t>
      </w:r>
      <w:bookmarkEnd w:id="19"/>
      <w:r w:rsidRPr="009B0A10">
        <w:rPr>
          <w:rFonts w:ascii="Arial" w:eastAsia="Calibri" w:hAnsi="Arial" w:cs="Arial"/>
          <w:color w:val="000000"/>
          <w:kern w:val="0"/>
          <w:sz w:val="22"/>
          <w:szCs w:val="22"/>
          <w14:ligatures w14:val="none"/>
        </w:rPr>
        <w:t xml:space="preserve"> disponen lo siguiente:</w:t>
      </w:r>
    </w:p>
    <w:p w14:paraId="3A49FDA3" w14:textId="77777777" w:rsidR="009B0A10" w:rsidRPr="009B0A10" w:rsidRDefault="009B0A10" w:rsidP="009B0A10">
      <w:pPr>
        <w:spacing w:line="259" w:lineRule="auto"/>
        <w:jc w:val="both"/>
        <w:rPr>
          <w:rFonts w:ascii="Arial" w:eastAsia="Calibri" w:hAnsi="Arial" w:cs="Arial"/>
          <w:color w:val="000000"/>
          <w:kern w:val="0"/>
          <w:sz w:val="22"/>
          <w:szCs w:val="22"/>
          <w14:ligatures w14:val="none"/>
        </w:rPr>
      </w:pPr>
    </w:p>
    <w:p w14:paraId="439427F6"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14:ligatures w14:val="none"/>
        </w:rPr>
      </w:pPr>
      <w:r w:rsidRPr="009B0A10">
        <w:rPr>
          <w:rFonts w:ascii="Arial" w:eastAsia="Calibri" w:hAnsi="Arial" w:cs="Arial"/>
          <w:color w:val="000000"/>
          <w:kern w:val="0"/>
          <w:sz w:val="21"/>
          <w:szCs w:val="21"/>
          <w14:ligatures w14:val="none"/>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25CDE8BA"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14:ligatures w14:val="none"/>
        </w:rPr>
      </w:pPr>
    </w:p>
    <w:p w14:paraId="6765F1AC"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14:ligatures w14:val="none"/>
        </w:rPr>
      </w:pPr>
      <w:r w:rsidRPr="009B0A10">
        <w:rPr>
          <w:rFonts w:ascii="Arial" w:eastAsia="Calibri" w:hAnsi="Arial" w:cs="Arial"/>
          <w:color w:val="000000"/>
          <w:kern w:val="0"/>
          <w:sz w:val="21"/>
          <w:szCs w:val="21"/>
          <w14:ligatures w14:val="none"/>
        </w:rPr>
        <w:t>Artículo 7°. Aplicación de los principios de la contratación estatal. La contratación a la que hace referencia el presente decreto está sujeta a los principios de la contratación estatal y a las normas presupuestales aplicables […]</w:t>
      </w:r>
    </w:p>
    <w:p w14:paraId="4CF545F9"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14:ligatures w14:val="none"/>
        </w:rPr>
      </w:pPr>
    </w:p>
    <w:p w14:paraId="788A5046"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14:ligatures w14:val="none"/>
        </w:rPr>
      </w:pPr>
      <w:r w:rsidRPr="009B0A10">
        <w:rPr>
          <w:rFonts w:ascii="Arial" w:eastAsia="Calibri" w:hAnsi="Arial" w:cs="Arial"/>
          <w:color w:val="000000"/>
          <w:kern w:val="0"/>
          <w:sz w:val="21"/>
          <w:szCs w:val="21"/>
          <w14:ligatures w14:val="none"/>
        </w:rPr>
        <w:t xml:space="preserve">Artículo 8°. Aplicación de normas generales del sistema de contratación pública. La contratación a la que hace referencia el presente decreto está sujeta </w:t>
      </w:r>
      <w:bookmarkStart w:id="20" w:name="_Hlk38206940"/>
      <w:r w:rsidRPr="009B0A10">
        <w:rPr>
          <w:rFonts w:ascii="Arial" w:eastAsia="Calibri" w:hAnsi="Arial" w:cs="Arial"/>
          <w:color w:val="000000"/>
          <w:kern w:val="0"/>
          <w:sz w:val="21"/>
          <w:szCs w:val="21"/>
          <w14:ligatures w14:val="none"/>
        </w:rPr>
        <w:t xml:space="preserve">a las </w:t>
      </w:r>
      <w:bookmarkStart w:id="21" w:name="_Hlk38633960"/>
      <w:r w:rsidRPr="009B0A10">
        <w:rPr>
          <w:rFonts w:ascii="Arial" w:eastAsia="Calibri" w:hAnsi="Arial" w:cs="Arial"/>
          <w:color w:val="000000"/>
          <w:kern w:val="0"/>
          <w:sz w:val="21"/>
          <w:szCs w:val="21"/>
          <w14:ligatures w14:val="none"/>
        </w:rPr>
        <w:t xml:space="preserve">normas generales </w:t>
      </w:r>
      <w:bookmarkStart w:id="22" w:name="_Hlk38275055"/>
      <w:r w:rsidRPr="009B0A10">
        <w:rPr>
          <w:rFonts w:ascii="Arial" w:eastAsia="Calibri" w:hAnsi="Arial" w:cs="Arial"/>
          <w:color w:val="000000"/>
          <w:kern w:val="0"/>
          <w:sz w:val="21"/>
          <w:szCs w:val="21"/>
          <w14:ligatures w14:val="none"/>
        </w:rPr>
        <w:t>aplicables a la contratación pública</w:t>
      </w:r>
      <w:bookmarkEnd w:id="20"/>
      <w:bookmarkEnd w:id="21"/>
      <w:r w:rsidRPr="009B0A10">
        <w:rPr>
          <w:rFonts w:ascii="Arial" w:eastAsia="Calibri" w:hAnsi="Arial" w:cs="Arial"/>
          <w:color w:val="000000"/>
          <w:kern w:val="0"/>
          <w:sz w:val="21"/>
          <w:szCs w:val="21"/>
          <w14:ligatures w14:val="none"/>
        </w:rPr>
        <w:t xml:space="preserve"> </w:t>
      </w:r>
      <w:bookmarkEnd w:id="22"/>
      <w:r w:rsidRPr="009B0A10">
        <w:rPr>
          <w:rFonts w:ascii="Arial" w:eastAsia="Calibri" w:hAnsi="Arial" w:cs="Arial"/>
          <w:color w:val="000000"/>
          <w:kern w:val="0"/>
          <w:sz w:val="21"/>
          <w:szCs w:val="21"/>
          <w14:ligatures w14:val="none"/>
        </w:rPr>
        <w:t xml:space="preserve">excepto en lo reglamentado en el presente decreto”. </w:t>
      </w:r>
    </w:p>
    <w:p w14:paraId="6D368011" w14:textId="77777777" w:rsidR="009B0A10" w:rsidRPr="009B0A10" w:rsidRDefault="009B0A10" w:rsidP="009B0A10">
      <w:pPr>
        <w:spacing w:line="259" w:lineRule="auto"/>
        <w:ind w:left="709" w:right="709"/>
        <w:jc w:val="both"/>
        <w:rPr>
          <w:rFonts w:ascii="Arial" w:eastAsia="Calibri" w:hAnsi="Arial" w:cs="Arial"/>
          <w:color w:val="000000"/>
          <w:kern w:val="0"/>
          <w:sz w:val="22"/>
          <w:szCs w:val="22"/>
          <w14:ligatures w14:val="none"/>
        </w:rPr>
      </w:pPr>
    </w:p>
    <w:p w14:paraId="5EDC0914" w14:textId="77777777" w:rsidR="009B0A10" w:rsidRPr="009B0A10" w:rsidRDefault="009B0A10" w:rsidP="009B0A10">
      <w:pPr>
        <w:spacing w:line="276" w:lineRule="auto"/>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ab/>
        <w:t xml:space="preserve">Las anteriores normas, integran las lagunas o vacíos normativos del Decreto 092 de 2017, y se aplican a todo lo que no esté expresamente regulado en él. Por ello no es posible aplicar ninguna de las disposiciones anteriormente citadas en temas como la competencia para celebrar los </w:t>
      </w:r>
      <w:r w:rsidRPr="009B0A10">
        <w:rPr>
          <w:rFonts w:ascii="Arial" w:eastAsia="Calibri" w:hAnsi="Arial" w:cs="Arial"/>
          <w:i/>
          <w:iCs/>
          <w:color w:val="000000"/>
          <w:kern w:val="0"/>
          <w:sz w:val="22"/>
          <w:szCs w:val="22"/>
          <w14:ligatures w14:val="none"/>
        </w:rPr>
        <w:t xml:space="preserve">contratos del artículo 355 de la Constitución </w:t>
      </w:r>
      <w:r w:rsidRPr="009B0A10">
        <w:rPr>
          <w:rFonts w:ascii="Arial" w:eastAsia="Calibri" w:hAnsi="Arial" w:cs="Arial"/>
          <w:color w:val="000000"/>
          <w:kern w:val="0"/>
          <w:sz w:val="22"/>
          <w:szCs w:val="22"/>
          <w14:ligatures w14:val="none"/>
        </w:rPr>
        <w:t xml:space="preserve">y la </w:t>
      </w:r>
      <w:proofErr w:type="spellStart"/>
      <w:r w:rsidRPr="009B0A10">
        <w:rPr>
          <w:rFonts w:ascii="Arial" w:eastAsia="Calibri" w:hAnsi="Arial" w:cs="Arial"/>
          <w:color w:val="000000"/>
          <w:kern w:val="0"/>
          <w:sz w:val="22"/>
          <w:szCs w:val="22"/>
          <w14:ligatures w14:val="none"/>
        </w:rPr>
        <w:t>indelegabilidad</w:t>
      </w:r>
      <w:proofErr w:type="spellEnd"/>
      <w:r w:rsidRPr="009B0A10">
        <w:rPr>
          <w:rFonts w:ascii="Arial" w:eastAsia="Calibri" w:hAnsi="Arial" w:cs="Arial"/>
          <w:color w:val="000000"/>
          <w:kern w:val="0"/>
          <w:sz w:val="22"/>
          <w:szCs w:val="22"/>
          <w14:ligatures w14:val="none"/>
        </w:rPr>
        <w:t xml:space="preserve"> de la autorización –art. 2–, la idoneidad de las ESAL –art. 3–, su registro en el SECOP –art. 9– y la inaplicación del registro único de proponentes –art. 10–. </w:t>
      </w:r>
    </w:p>
    <w:p w14:paraId="3A553CAD" w14:textId="77777777" w:rsidR="009B0A10" w:rsidRPr="009B0A10" w:rsidRDefault="009B0A10" w:rsidP="009B0A10">
      <w:pPr>
        <w:spacing w:before="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Por otro lado, existen algunas disposiciones normativas que habilitan a diferentes entidades estatales para suscribir contratos o convenios en unos eventos en particular, como es el caso del artículo 3 de la Ley 1575 de 2012</w:t>
      </w:r>
      <w:r w:rsidRPr="009B0A10">
        <w:rPr>
          <w:rFonts w:ascii="Arial" w:eastAsia="Calibri" w:hAnsi="Arial" w:cs="Arial"/>
          <w:color w:val="000000"/>
          <w:kern w:val="0"/>
          <w:sz w:val="22"/>
          <w:szCs w:val="22"/>
          <w:vertAlign w:val="superscript"/>
          <w14:ligatures w14:val="none"/>
        </w:rPr>
        <w:footnoteReference w:id="10"/>
      </w:r>
      <w:r w:rsidRPr="009B0A10">
        <w:rPr>
          <w:rFonts w:ascii="Arial" w:eastAsia="Calibri" w:hAnsi="Arial" w:cs="Arial"/>
          <w:color w:val="000000"/>
          <w:kern w:val="0"/>
          <w:sz w:val="22"/>
          <w:szCs w:val="22"/>
          <w14:ligatures w14:val="none"/>
        </w:rPr>
        <w:t xml:space="preserve">, sobre contratación con cuerpos de bomberos; el </w:t>
      </w:r>
      <w:r w:rsidRPr="009B0A10">
        <w:rPr>
          <w:rFonts w:ascii="Arial" w:eastAsia="Calibri" w:hAnsi="Arial" w:cs="Arial"/>
          <w:color w:val="000000"/>
          <w:kern w:val="0"/>
          <w:sz w:val="22"/>
          <w:szCs w:val="22"/>
          <w14:ligatures w14:val="none"/>
        </w:rPr>
        <w:lastRenderedPageBreak/>
        <w:t>artículo 6 de la Ley 1551 de 2012</w:t>
      </w:r>
      <w:r w:rsidRPr="009B0A10">
        <w:rPr>
          <w:rFonts w:ascii="Arial" w:eastAsia="Calibri" w:hAnsi="Arial" w:cs="Arial"/>
          <w:color w:val="000000"/>
          <w:kern w:val="0"/>
          <w:sz w:val="22"/>
          <w:szCs w:val="22"/>
          <w:vertAlign w:val="superscript"/>
          <w14:ligatures w14:val="none"/>
        </w:rPr>
        <w:footnoteReference w:id="11"/>
      </w:r>
      <w:r w:rsidRPr="009B0A10">
        <w:rPr>
          <w:rFonts w:ascii="Arial" w:eastAsia="Calibri" w:hAnsi="Arial" w:cs="Arial"/>
          <w:color w:val="000000"/>
          <w:kern w:val="0"/>
          <w:sz w:val="22"/>
          <w:szCs w:val="22"/>
          <w14:ligatures w14:val="none"/>
        </w:rPr>
        <w:t xml:space="preserve">, en materia de convenios solidarios; o el </w:t>
      </w:r>
      <w:proofErr w:type="spellStart"/>
      <w:r w:rsidRPr="009B0A10">
        <w:rPr>
          <w:rFonts w:ascii="Arial" w:eastAsia="Calibri" w:hAnsi="Arial" w:cs="Arial"/>
          <w:color w:val="000000"/>
          <w:kern w:val="0"/>
          <w:sz w:val="22"/>
          <w:szCs w:val="22"/>
          <w14:ligatures w14:val="none"/>
        </w:rPr>
        <w:t>el</w:t>
      </w:r>
      <w:proofErr w:type="spellEnd"/>
      <w:r w:rsidRPr="009B0A10">
        <w:rPr>
          <w:rFonts w:ascii="Arial" w:eastAsia="Calibri" w:hAnsi="Arial" w:cs="Arial"/>
          <w:color w:val="000000"/>
          <w:kern w:val="0"/>
          <w:sz w:val="22"/>
          <w:szCs w:val="22"/>
          <w14:ligatures w14:val="none"/>
        </w:rPr>
        <w:t xml:space="preserve"> parágrafo del artículo 8 de la Ley 1276 de 2009, modificado por el artículo 16 de la Ley 1850 de 2017, que se refiere a los convenios para el manejo de los denominados </w:t>
      </w:r>
      <w:r w:rsidRPr="009B0A10">
        <w:rPr>
          <w:rFonts w:ascii="Arial" w:eastAsia="Calibri" w:hAnsi="Arial" w:cs="Arial"/>
          <w:i/>
          <w:color w:val="000000"/>
          <w:kern w:val="0"/>
          <w:sz w:val="22"/>
          <w:szCs w:val="22"/>
          <w14:ligatures w14:val="none"/>
        </w:rPr>
        <w:t>Centros Vida, Centros de Bienestar del Anciano y Granjas del Adulto Mayor</w:t>
      </w:r>
      <w:r w:rsidRPr="009B0A10">
        <w:rPr>
          <w:rFonts w:ascii="Arial" w:eastAsia="Calibri" w:hAnsi="Arial" w:cs="Arial"/>
          <w:color w:val="000000"/>
          <w:kern w:val="0"/>
          <w:sz w:val="22"/>
          <w:szCs w:val="22"/>
          <w14:ligatures w14:val="none"/>
        </w:rPr>
        <w:t xml:space="preserve">. </w:t>
      </w:r>
    </w:p>
    <w:p w14:paraId="73058EB6" w14:textId="77777777" w:rsidR="009B0A10" w:rsidRPr="009B0A10" w:rsidRDefault="009B0A10" w:rsidP="009B0A10">
      <w:pPr>
        <w:spacing w:before="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Algunas de estas normas remiten directamente al estatuto aplicable, como ocurre con el artículo 6 de la Ley 1551 de 2012, cuyo numeral 16 remite al artículo 355 de la Constitución, esto es, al Decreto 092 de 2017, habida consideración de que este Decreto reguló ese artículo constitucional. Sin embargo, hay otras que no se refieren ni directa ni indirectamente al régimen contractual aplicable, como es el caso del referido parágrafo del artículo 8 de la Ley 1276 de 2009.</w:t>
      </w:r>
    </w:p>
    <w:p w14:paraId="3740E277" w14:textId="77777777" w:rsidR="009B0A10" w:rsidRPr="009B0A10" w:rsidRDefault="009B0A10" w:rsidP="009B0A10">
      <w:pPr>
        <w:spacing w:before="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 xml:space="preserve">En relación con este tipo de normas, podría pensarse </w:t>
      </w:r>
      <w:r w:rsidRPr="009B0A10">
        <w:rPr>
          <w:rFonts w:ascii="Arial" w:eastAsia="Calibri" w:hAnsi="Arial" w:cs="Arial"/>
          <w:i/>
          <w:color w:val="000000"/>
          <w:kern w:val="0"/>
          <w:sz w:val="22"/>
          <w:szCs w:val="22"/>
          <w14:ligatures w14:val="none"/>
        </w:rPr>
        <w:t xml:space="preserve">prima facie </w:t>
      </w:r>
      <w:r w:rsidRPr="009B0A10">
        <w:rPr>
          <w:rFonts w:ascii="Arial" w:eastAsia="Calibri" w:hAnsi="Arial" w:cs="Arial"/>
          <w:color w:val="000000"/>
          <w:kern w:val="0"/>
          <w:sz w:val="22"/>
          <w:szCs w:val="22"/>
          <w14:ligatures w14:val="none"/>
        </w:rPr>
        <w:t>que establecen un régimen de contratación diferente a los tres (3) señalados y, en consecuencia, que no hay lugar a la aplicación de ninguno de estos en lo que respecta al trámite contractual, lo que, a su vez, generaría 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esos regímenes de contratación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4F3CBCEE" w14:textId="77777777" w:rsidR="009B0A10" w:rsidRPr="009B0A10" w:rsidRDefault="009B0A10" w:rsidP="009B0A10">
      <w:pPr>
        <w:spacing w:before="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En ese sentido, la Agencia Nacional de Contratación Pública advierte que el artículo 8 de la Ley 1276 de 2009 disponía lo siguiente:</w:t>
      </w:r>
    </w:p>
    <w:p w14:paraId="6828DE29" w14:textId="77777777" w:rsidR="009B0A10" w:rsidRPr="009B0A10" w:rsidRDefault="009B0A10" w:rsidP="009B0A10">
      <w:pPr>
        <w:spacing w:line="259" w:lineRule="auto"/>
        <w:ind w:firstLine="708"/>
        <w:jc w:val="both"/>
        <w:rPr>
          <w:rFonts w:ascii="Arial" w:eastAsia="Calibri" w:hAnsi="Arial" w:cs="Arial"/>
          <w:color w:val="000000"/>
          <w:kern w:val="0"/>
          <w:sz w:val="22"/>
          <w:szCs w:val="22"/>
          <w14:ligatures w14:val="none"/>
        </w:rPr>
      </w:pPr>
    </w:p>
    <w:p w14:paraId="02DFB3B9"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lastRenderedPageBreak/>
        <w:t xml:space="preserve">“Artículo 8o. &lt;Ver modificaciones a este artículo directamente en la ley 687 de 2001&gt; </w:t>
      </w:r>
      <w:proofErr w:type="spellStart"/>
      <w:r w:rsidRPr="009B0A10">
        <w:rPr>
          <w:rFonts w:ascii="Arial" w:eastAsia="Calibri" w:hAnsi="Arial" w:cs="Arial"/>
          <w:color w:val="000000"/>
          <w:kern w:val="0"/>
          <w:sz w:val="21"/>
          <w:szCs w:val="21"/>
          <w:lang w:val="es-CO"/>
          <w14:ligatures w14:val="none"/>
        </w:rPr>
        <w:t>Modifícase</w:t>
      </w:r>
      <w:proofErr w:type="spellEnd"/>
      <w:r w:rsidRPr="009B0A10">
        <w:rPr>
          <w:rFonts w:ascii="Arial" w:eastAsia="Calibri" w:hAnsi="Arial" w:cs="Arial"/>
          <w:color w:val="000000"/>
          <w:kern w:val="0"/>
          <w:sz w:val="21"/>
          <w:szCs w:val="21"/>
          <w:lang w:val="es-CO"/>
          <w14:ligatures w14:val="none"/>
        </w:rPr>
        <w:t xml:space="preserve"> el artículo 5o de la Ley 687 de 2001, el cual quedará así: Responsabilidad. El Alcalde municipal o distrital será el responsable del desarrollo de los programas que se deriven de la aplicación de los recursos de la estampilla y delegará en la dependencia afín con el manejo de los mismos, la ejecución de los proyectos que componen los Centros Vida y creará todos los sistemas de información que permitan un seguimiento completo a la gestión por estos realizada.</w:t>
      </w:r>
    </w:p>
    <w:p w14:paraId="5AFE781A"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p>
    <w:p w14:paraId="6F526A9E"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t xml:space="preserve">Parágrafo. </w:t>
      </w:r>
      <w:r w:rsidRPr="009B0A10">
        <w:rPr>
          <w:rFonts w:ascii="Arial" w:eastAsia="Calibri" w:hAnsi="Arial" w:cs="Arial"/>
          <w:i/>
          <w:color w:val="000000"/>
          <w:kern w:val="0"/>
          <w:sz w:val="21"/>
          <w:szCs w:val="21"/>
          <w:lang w:val="es-CO"/>
          <w14:ligatures w14:val="none"/>
        </w:rPr>
        <w:t>Los distritos y municipios podrán suscribir convenios con entidades reconocidas para el manejo de los Centros Vida</w:t>
      </w:r>
      <w:r w:rsidRPr="009B0A10">
        <w:rPr>
          <w:rFonts w:ascii="Arial" w:eastAsia="Calibri" w:hAnsi="Arial" w:cs="Arial"/>
          <w:color w:val="000000"/>
          <w:kern w:val="0"/>
          <w:sz w:val="21"/>
          <w:szCs w:val="21"/>
          <w:lang w:val="es-CO"/>
          <w14:ligatures w14:val="none"/>
        </w:rPr>
        <w:t>; no obstante, estos deberán prever dentro de su estructura administrativa la unidad encargada de su seguimiento y control como estrategia de una política pública orientada a mejorar las condiciones de vida de las personas de tercera edad”. (Cursivas propias)</w:t>
      </w:r>
    </w:p>
    <w:p w14:paraId="47D112D4" w14:textId="77777777" w:rsidR="009B0A10" w:rsidRPr="009B0A10" w:rsidRDefault="009B0A10" w:rsidP="009B0A10">
      <w:pPr>
        <w:spacing w:line="259" w:lineRule="auto"/>
        <w:ind w:firstLine="709"/>
        <w:jc w:val="both"/>
        <w:rPr>
          <w:rFonts w:ascii="Arial" w:eastAsia="Calibri" w:hAnsi="Arial" w:cs="Arial"/>
          <w:color w:val="000000"/>
          <w:kern w:val="0"/>
          <w:sz w:val="22"/>
          <w:szCs w:val="22"/>
          <w14:ligatures w14:val="none"/>
        </w:rPr>
      </w:pPr>
    </w:p>
    <w:p w14:paraId="3ACC2A5B" w14:textId="77777777" w:rsidR="009B0A10" w:rsidRPr="009B0A10" w:rsidRDefault="009B0A10" w:rsidP="009B0A10">
      <w:pPr>
        <w:spacing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 xml:space="preserve">Esta norma fue modificada por el artículo 16 de la Ley 1850 de 2017 vigente desde 19 de julio del año 2017. En consecuencia, el texto vigente de la norma </w:t>
      </w:r>
      <w:r w:rsidRPr="009B0A10">
        <w:rPr>
          <w:rFonts w:ascii="Arial" w:eastAsia="Calibri" w:hAnsi="Arial" w:cs="Arial"/>
          <w:i/>
          <w:color w:val="000000"/>
          <w:kern w:val="0"/>
          <w:sz w:val="22"/>
          <w:szCs w:val="22"/>
          <w14:ligatures w14:val="none"/>
        </w:rPr>
        <w:t xml:space="preserve">sub examine </w:t>
      </w:r>
      <w:r w:rsidRPr="009B0A10">
        <w:rPr>
          <w:rFonts w:ascii="Arial" w:eastAsia="Calibri" w:hAnsi="Arial" w:cs="Arial"/>
          <w:color w:val="000000"/>
          <w:kern w:val="0"/>
          <w:sz w:val="22"/>
          <w:szCs w:val="22"/>
          <w14:ligatures w14:val="none"/>
        </w:rPr>
        <w:t>es el siguiente:</w:t>
      </w:r>
    </w:p>
    <w:p w14:paraId="4581A8A5" w14:textId="77777777" w:rsidR="009B0A10" w:rsidRPr="009B0A10" w:rsidRDefault="009B0A10" w:rsidP="009B0A10">
      <w:pPr>
        <w:spacing w:line="259" w:lineRule="auto"/>
        <w:ind w:firstLine="709"/>
        <w:jc w:val="both"/>
        <w:rPr>
          <w:rFonts w:ascii="Arial" w:eastAsia="Calibri" w:hAnsi="Arial" w:cs="Arial"/>
          <w:color w:val="000000"/>
          <w:kern w:val="0"/>
          <w:sz w:val="22"/>
          <w:szCs w:val="22"/>
          <w14:ligatures w14:val="none"/>
        </w:rPr>
      </w:pPr>
    </w:p>
    <w:p w14:paraId="1A2F95A4"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t xml:space="preserve">“Artículo 16. </w:t>
      </w:r>
      <w:proofErr w:type="spellStart"/>
      <w:r w:rsidRPr="009B0A10">
        <w:rPr>
          <w:rFonts w:ascii="Arial" w:eastAsia="Calibri" w:hAnsi="Arial" w:cs="Arial"/>
          <w:color w:val="000000"/>
          <w:kern w:val="0"/>
          <w:sz w:val="21"/>
          <w:szCs w:val="21"/>
          <w:lang w:val="es-CO"/>
          <w14:ligatures w14:val="none"/>
        </w:rPr>
        <w:t>Modifícase</w:t>
      </w:r>
      <w:proofErr w:type="spellEnd"/>
      <w:r w:rsidRPr="009B0A10">
        <w:rPr>
          <w:rFonts w:ascii="Arial" w:eastAsia="Calibri" w:hAnsi="Arial" w:cs="Arial"/>
          <w:color w:val="000000"/>
          <w:kern w:val="0"/>
          <w:sz w:val="21"/>
          <w:szCs w:val="21"/>
          <w:lang w:val="es-CO"/>
          <w14:ligatures w14:val="none"/>
        </w:rPr>
        <w:t xml:space="preserve"> el artículo 8o de la Ley 1276 de 2009. A través del cual se modifica el artículo 5o de la Ley 687 de 2001, el cual quedará así:</w:t>
      </w:r>
    </w:p>
    <w:p w14:paraId="2E8C63EF"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p>
    <w:p w14:paraId="5AE299DF"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t xml:space="preserve">Artículo 8o. </w:t>
      </w:r>
      <w:proofErr w:type="spellStart"/>
      <w:r w:rsidRPr="009B0A10">
        <w:rPr>
          <w:rFonts w:ascii="Arial" w:eastAsia="Calibri" w:hAnsi="Arial" w:cs="Arial"/>
          <w:color w:val="000000"/>
          <w:kern w:val="0"/>
          <w:sz w:val="21"/>
          <w:szCs w:val="21"/>
          <w:lang w:val="es-CO"/>
          <w14:ligatures w14:val="none"/>
        </w:rPr>
        <w:t>Modifícase</w:t>
      </w:r>
      <w:proofErr w:type="spellEnd"/>
      <w:r w:rsidRPr="009B0A10">
        <w:rPr>
          <w:rFonts w:ascii="Arial" w:eastAsia="Calibri" w:hAnsi="Arial" w:cs="Arial"/>
          <w:color w:val="000000"/>
          <w:kern w:val="0"/>
          <w:sz w:val="21"/>
          <w:szCs w:val="21"/>
          <w:lang w:val="es-CO"/>
          <w14:ligatures w14:val="none"/>
        </w:rPr>
        <w:t xml:space="preserve"> el artículo 5o de la Ley 687 de 2001, el cual quedará así: Responsabilidad.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mayor, creando todos los sistemas de información que permitan un seguimiento completo de la gestión realizada por estos.</w:t>
      </w:r>
    </w:p>
    <w:p w14:paraId="4235D5E1"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lang w:val="es-CO"/>
          <w14:ligatures w14:val="none"/>
        </w:rPr>
      </w:pPr>
    </w:p>
    <w:p w14:paraId="265AF8B9" w14:textId="77777777" w:rsidR="009B0A10" w:rsidRPr="009B0A10" w:rsidRDefault="009B0A10" w:rsidP="009B0A10">
      <w:pPr>
        <w:spacing w:line="259" w:lineRule="auto"/>
        <w:ind w:left="709" w:right="760"/>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1"/>
          <w:szCs w:val="21"/>
          <w:lang w:val="es-CO"/>
          <w14:ligatures w14:val="none"/>
        </w:rPr>
        <w:t xml:space="preserve">Parágrafo. </w:t>
      </w:r>
      <w:r w:rsidRPr="009B0A10">
        <w:rPr>
          <w:rFonts w:ascii="Arial" w:eastAsia="Calibri" w:hAnsi="Arial" w:cs="Arial"/>
          <w:i/>
          <w:color w:val="000000"/>
          <w:kern w:val="0"/>
          <w:sz w:val="21"/>
          <w:szCs w:val="21"/>
          <w:lang w:val="es-CO"/>
          <w14:ligatures w14:val="none"/>
        </w:rPr>
        <w:t>La ejecución de los recursos en los departamentos, distritos y municipios se podrá realizar a través de convenios con entidades reconocidas para el manejo de los Centros Vida, Centros de Bienestar del Anciano y Granjas para adulto mayor</w:t>
      </w:r>
      <w:r w:rsidRPr="009B0A10">
        <w:rPr>
          <w:rFonts w:ascii="Arial" w:eastAsia="Calibri" w:hAnsi="Arial" w:cs="Arial"/>
          <w:color w:val="000000"/>
          <w:kern w:val="0"/>
          <w:sz w:val="21"/>
          <w:szCs w:val="21"/>
          <w:lang w:val="es-CO"/>
          <w14:ligatures w14:val="none"/>
        </w:rPr>
        <w:t>, no obstante, estos deberán prever dentro de su estructura administrativa la unidad encargada de su seguimiento y control como estrategia de una política</w:t>
      </w:r>
      <w:r w:rsidRPr="009B0A10">
        <w:rPr>
          <w:rFonts w:ascii="Arial" w:eastAsia="Calibri" w:hAnsi="Arial" w:cs="Arial"/>
          <w:color w:val="000000"/>
          <w:kern w:val="0"/>
          <w:sz w:val="22"/>
          <w:szCs w:val="22"/>
          <w:lang w:val="es-CO"/>
          <w14:ligatures w14:val="none"/>
        </w:rPr>
        <w:t xml:space="preserve"> pública orientada a mejorar las condiciones de vida de las personas de tercera edad”. (Cursivas propias)</w:t>
      </w:r>
    </w:p>
    <w:p w14:paraId="0B049ED6" w14:textId="77777777" w:rsidR="009B0A10" w:rsidRPr="009B0A10" w:rsidRDefault="009B0A10" w:rsidP="009B0A10">
      <w:pPr>
        <w:spacing w:line="259" w:lineRule="auto"/>
        <w:jc w:val="both"/>
        <w:rPr>
          <w:rFonts w:ascii="Arial" w:eastAsia="Calibri" w:hAnsi="Arial" w:cs="Arial"/>
          <w:color w:val="000000"/>
          <w:kern w:val="0"/>
          <w:sz w:val="22"/>
          <w:szCs w:val="22"/>
          <w14:ligatures w14:val="none"/>
        </w:rPr>
      </w:pPr>
    </w:p>
    <w:p w14:paraId="4B4E321C" w14:textId="77777777" w:rsidR="009B0A10" w:rsidRPr="009B0A10" w:rsidRDefault="009B0A10" w:rsidP="009B0A10">
      <w:pPr>
        <w:spacing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14:ligatures w14:val="none"/>
        </w:rPr>
        <w:t>Nótese que la norma citada autoriza a las entidades territoriales a celebrar “convenios con entidades reconocidas para el manejo de los Centros Vida,</w:t>
      </w:r>
      <w:r w:rsidRPr="009B0A10">
        <w:rPr>
          <w:rFonts w:ascii="Calibri" w:eastAsia="Calibri" w:hAnsi="Calibri" w:cs="Arial"/>
          <w:kern w:val="0"/>
          <w:sz w:val="22"/>
          <w:szCs w:val="22"/>
          <w:lang w:val="es-CO"/>
          <w14:ligatures w14:val="none"/>
        </w:rPr>
        <w:t xml:space="preserve"> </w:t>
      </w:r>
      <w:r w:rsidRPr="009B0A10">
        <w:rPr>
          <w:rFonts w:ascii="Arial" w:eastAsia="Calibri" w:hAnsi="Arial" w:cs="Arial"/>
          <w:color w:val="000000"/>
          <w:kern w:val="0"/>
          <w:sz w:val="22"/>
          <w:szCs w:val="22"/>
          <w14:ligatures w14:val="none"/>
        </w:rPr>
        <w:t xml:space="preserve">Centros de Bienestar del Anciano y Granjas para adulto mayor […]”, pero no establece la regulación contractual aplicable a ese tipo de convenios. Tal regulación tampoco se deriva de ninguno de los otros artículos de la Ley 1850 de 2017, así como no lo hacían el artículo 5 de la Ley 687 de 2001 o el artículo 8 de la Ley 1276 </w:t>
      </w:r>
      <w:r w:rsidRPr="009B0A10">
        <w:rPr>
          <w:rFonts w:ascii="Arial" w:eastAsia="Calibri" w:hAnsi="Arial" w:cs="Arial"/>
          <w:color w:val="000000"/>
          <w:kern w:val="0"/>
          <w:sz w:val="22"/>
          <w:szCs w:val="22"/>
          <w14:ligatures w14:val="none"/>
        </w:rPr>
        <w:lastRenderedPageBreak/>
        <w:t>de 2009</w:t>
      </w:r>
      <w:r w:rsidRPr="009B0A10">
        <w:rPr>
          <w:rFonts w:ascii="Arial" w:eastAsia="Calibri" w:hAnsi="Arial" w:cs="Arial"/>
          <w:color w:val="000000"/>
          <w:kern w:val="0"/>
          <w:sz w:val="22"/>
          <w:szCs w:val="22"/>
          <w:vertAlign w:val="superscript"/>
          <w14:ligatures w14:val="none"/>
        </w:rPr>
        <w:footnoteReference w:id="12"/>
      </w:r>
      <w:r w:rsidRPr="009B0A10">
        <w:rPr>
          <w:rFonts w:ascii="Arial" w:eastAsia="Calibri" w:hAnsi="Arial" w:cs="Arial"/>
          <w:color w:val="000000"/>
          <w:kern w:val="0"/>
          <w:sz w:val="22"/>
          <w:szCs w:val="22"/>
          <w14:ligatures w14:val="none"/>
        </w:rPr>
        <w:t xml:space="preserve">. De hecho, ninguna de estas tres leyes reguló la materia, omisión que se explica en el hecho que dichas normas regulan </w:t>
      </w:r>
      <w:r w:rsidRPr="009B0A10">
        <w:rPr>
          <w:rFonts w:ascii="Arial" w:eastAsia="Calibri" w:hAnsi="Arial" w:cs="Arial"/>
          <w:color w:val="000000"/>
          <w:kern w:val="0"/>
          <w:sz w:val="22"/>
          <w:szCs w:val="22"/>
          <w:lang w:val="es-CO"/>
          <w14:ligatures w14:val="none"/>
        </w:rPr>
        <w:t>la “estampilla pro-dotación y funcionamiento de los Centros de Bienestar del Anciano, instituciones y centros de vida para la tercera edad”, aspecto sustancialmente distinto de las normas que regulan la contratación con el Estado.</w:t>
      </w:r>
    </w:p>
    <w:p w14:paraId="11E5491F" w14:textId="77777777" w:rsidR="009B0A10" w:rsidRPr="009B0A10" w:rsidRDefault="009B0A10" w:rsidP="009B0A10">
      <w:pPr>
        <w:spacing w:before="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9B0A10">
        <w:rPr>
          <w:rFonts w:ascii="Arial" w:eastAsia="Calibri" w:hAnsi="Arial" w:cs="Arial"/>
          <w:color w:val="000000"/>
          <w:kern w:val="0"/>
          <w:sz w:val="22"/>
          <w:szCs w:val="22"/>
          <w14:ligatures w14:val="none"/>
        </w:rPr>
        <w:t>anteriormente,</w:t>
      </w:r>
      <w:proofErr w:type="gramEnd"/>
      <w:r w:rsidRPr="009B0A10">
        <w:rPr>
          <w:rFonts w:ascii="Arial" w:eastAsia="Calibri" w:hAnsi="Arial" w:cs="Arial"/>
          <w:color w:val="000000"/>
          <w:kern w:val="0"/>
          <w:sz w:val="22"/>
          <w:szCs w:val="22"/>
          <w14:ligatures w14:val="none"/>
        </w:rPr>
        <w:t xml:space="preserve"> están regulados por el EGCAP y, eventualmente, por las disposiciones especiales contenidas en el Decreto 092 del 2017. Lo anterior, siempre que el convenio sea suscrito con una ESAL y únicamente si se cumplen los otros requisitos que se derivan del contenido de dicho decreto, entre ellos, que no se genere </w:t>
      </w:r>
      <w:r w:rsidRPr="009B0A10">
        <w:rPr>
          <w:rFonts w:ascii="Arial" w:eastAsia="Calibri" w:hAnsi="Arial" w:cs="Arial"/>
          <w:color w:val="000000"/>
          <w:kern w:val="0"/>
          <w:sz w:val="22"/>
          <w:szCs w:val="22"/>
          <w:lang w:val="es-CO"/>
          <w14:ligatures w14:val="none"/>
        </w:rPr>
        <w:t>una contraprestación directa a favor de la entidad y tampoco una relación conmutativa entre esta y la ESAL;</w:t>
      </w:r>
      <w:r w:rsidRPr="009B0A10">
        <w:rPr>
          <w:rFonts w:ascii="Arial" w:eastAsia="Calibri" w:hAnsi="Arial" w:cs="Arial"/>
          <w:color w:val="000000"/>
          <w:kern w:val="0"/>
          <w:sz w:val="22"/>
          <w:szCs w:val="22"/>
          <w14:ligatures w14:val="none"/>
        </w:rPr>
        <w:t xml:space="preserve"> así como también que el negocio jurídico tenga como objeto “impulsar programas y actividades de interés público de acuerdo con el Plan Nacional o los planes seccionales de Desarrollo, en los términos del artículo 355 de la Constitución Política”.</w:t>
      </w:r>
    </w:p>
    <w:p w14:paraId="2432E1C9" w14:textId="77777777" w:rsidR="009B0A10" w:rsidRPr="009B0A10" w:rsidRDefault="009B0A10" w:rsidP="009B0A10">
      <w:pPr>
        <w:spacing w:before="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 xml:space="preserve">Al respecto, la Agencia Nacional de Contratación Pública considera necesario hacer dos precisiones: </w:t>
      </w:r>
      <w:r w:rsidRPr="009B0A10">
        <w:rPr>
          <w:rFonts w:ascii="Arial" w:eastAsia="Calibri" w:hAnsi="Arial" w:cs="Arial"/>
          <w:i/>
          <w:color w:val="000000"/>
          <w:kern w:val="0"/>
          <w:sz w:val="22"/>
          <w:szCs w:val="22"/>
          <w14:ligatures w14:val="none"/>
        </w:rPr>
        <w:t>por un lado</w:t>
      </w:r>
      <w:r w:rsidRPr="009B0A10">
        <w:rPr>
          <w:rFonts w:ascii="Arial" w:eastAsia="Calibri" w:hAnsi="Arial" w:cs="Arial"/>
          <w:color w:val="000000"/>
          <w:kern w:val="0"/>
          <w:sz w:val="22"/>
          <w:szCs w:val="22"/>
          <w14:ligatures w14:val="none"/>
        </w:rPr>
        <w:t xml:space="preserve">, que los convenios referidos en las tres normas </w:t>
      </w:r>
      <w:proofErr w:type="gramStart"/>
      <w:r w:rsidRPr="009B0A10">
        <w:rPr>
          <w:rFonts w:ascii="Arial" w:eastAsia="Calibri" w:hAnsi="Arial" w:cs="Arial"/>
          <w:i/>
          <w:color w:val="000000"/>
          <w:kern w:val="0"/>
          <w:sz w:val="22"/>
          <w:szCs w:val="22"/>
          <w14:ligatures w14:val="none"/>
        </w:rPr>
        <w:t>sub lite</w:t>
      </w:r>
      <w:proofErr w:type="gramEnd"/>
      <w:r w:rsidRPr="009B0A10">
        <w:rPr>
          <w:rFonts w:ascii="Arial" w:eastAsia="Calibri" w:hAnsi="Arial" w:cs="Arial"/>
          <w:color w:val="000000"/>
          <w:kern w:val="0"/>
          <w:sz w:val="22"/>
          <w:szCs w:val="22"/>
          <w14:ligatures w14:val="none"/>
        </w:rPr>
        <w:t xml:space="preserve"> no podrán regularse por las disposiciones de los regímenes exceptuados del EGCAP –tercero de los regímenes constitucionales de contratación–, pues dichos convenios son suscritos por entidades territoriales únicamente, particularmente, los departamentos, los distritos y los municipios. Lo anterior debido a su competencia frente a la ejecución de los recursos de la estampilla enunciada en los párrafos precedentes; autoridades que se denominan “entidades estatales” para los fines de la contratación estatal, y cuyos procesos contractuales son regulados por el EGCAP, según los artículos 1 y 2 de la Ley 80 de 1993, que establecen lo siguiente:</w:t>
      </w:r>
    </w:p>
    <w:p w14:paraId="4F0CA659" w14:textId="77777777" w:rsidR="009B0A10" w:rsidRPr="009B0A10" w:rsidRDefault="009B0A10" w:rsidP="009B0A10">
      <w:pPr>
        <w:spacing w:line="259" w:lineRule="auto"/>
        <w:ind w:firstLine="709"/>
        <w:jc w:val="both"/>
        <w:rPr>
          <w:rFonts w:ascii="Arial" w:eastAsia="Calibri" w:hAnsi="Arial" w:cs="Arial"/>
          <w:color w:val="000000"/>
          <w:kern w:val="0"/>
          <w:sz w:val="20"/>
          <w:szCs w:val="20"/>
          <w14:ligatures w14:val="none"/>
        </w:rPr>
      </w:pPr>
    </w:p>
    <w:p w14:paraId="3356855E"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proofErr w:type="spellStart"/>
      <w:r w:rsidRPr="009B0A10">
        <w:rPr>
          <w:rFonts w:ascii="Arial" w:eastAsia="Calibri" w:hAnsi="Arial" w:cs="Arial"/>
          <w:color w:val="000000"/>
          <w:kern w:val="0"/>
          <w:sz w:val="21"/>
          <w:szCs w:val="21"/>
          <w:lang w:val="es-CO"/>
          <w14:ligatures w14:val="none"/>
        </w:rPr>
        <w:t>WArtículo</w:t>
      </w:r>
      <w:proofErr w:type="spellEnd"/>
      <w:r w:rsidRPr="009B0A10">
        <w:rPr>
          <w:rFonts w:ascii="Arial" w:eastAsia="Calibri" w:hAnsi="Arial" w:cs="Arial"/>
          <w:color w:val="000000"/>
          <w:kern w:val="0"/>
          <w:sz w:val="21"/>
          <w:szCs w:val="21"/>
          <w:lang w:val="es-CO"/>
          <w14:ligatures w14:val="none"/>
        </w:rPr>
        <w:t xml:space="preserve"> 1o. Del objeto. La presente ley tiene por objeto disponer las </w:t>
      </w:r>
      <w:r w:rsidRPr="009B0A10">
        <w:rPr>
          <w:rFonts w:ascii="Arial" w:eastAsia="Calibri" w:hAnsi="Arial" w:cs="Arial"/>
          <w:i/>
          <w:color w:val="000000"/>
          <w:kern w:val="0"/>
          <w:sz w:val="21"/>
          <w:szCs w:val="21"/>
          <w:lang w:val="es-CO"/>
          <w14:ligatures w14:val="none"/>
        </w:rPr>
        <w:t>reglas y principios que rigen los contratos de las entidades estatales</w:t>
      </w:r>
      <w:r w:rsidRPr="009B0A10">
        <w:rPr>
          <w:rFonts w:ascii="Arial" w:eastAsia="Calibri" w:hAnsi="Arial" w:cs="Arial"/>
          <w:color w:val="000000"/>
          <w:kern w:val="0"/>
          <w:sz w:val="21"/>
          <w:szCs w:val="21"/>
          <w:lang w:val="es-CO"/>
          <w14:ligatures w14:val="none"/>
        </w:rPr>
        <w:t>.</w:t>
      </w:r>
    </w:p>
    <w:p w14:paraId="1947233E"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p>
    <w:p w14:paraId="591FCEEC"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t>Artículo 2o. DE LA DEFINICIÓN DE ENTIDADES, SERVIDORES Y SERVICIOS PÚBLICOS. Para los solos efectos de esta ley:</w:t>
      </w:r>
    </w:p>
    <w:p w14:paraId="345225ED"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p>
    <w:p w14:paraId="4E85C80B"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t xml:space="preserve">1o. </w:t>
      </w:r>
      <w:r w:rsidRPr="009B0A10">
        <w:rPr>
          <w:rFonts w:ascii="Arial" w:eastAsia="Calibri" w:hAnsi="Arial" w:cs="Arial"/>
          <w:i/>
          <w:color w:val="000000"/>
          <w:kern w:val="0"/>
          <w:sz w:val="21"/>
          <w:szCs w:val="21"/>
          <w:lang w:val="es-CO"/>
          <w14:ligatures w14:val="none"/>
        </w:rPr>
        <w:t>Se denominan entidades estatales</w:t>
      </w:r>
      <w:r w:rsidRPr="009B0A10">
        <w:rPr>
          <w:rFonts w:ascii="Arial" w:eastAsia="Calibri" w:hAnsi="Arial" w:cs="Arial"/>
          <w:color w:val="000000"/>
          <w:kern w:val="0"/>
          <w:sz w:val="21"/>
          <w:szCs w:val="21"/>
          <w:lang w:val="es-CO"/>
          <w14:ligatures w14:val="none"/>
        </w:rPr>
        <w:t>:</w:t>
      </w:r>
    </w:p>
    <w:p w14:paraId="7D582AC1"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p>
    <w:p w14:paraId="3A6D295F" w14:textId="77777777" w:rsidR="009B0A10" w:rsidRPr="009B0A10" w:rsidRDefault="009B0A10" w:rsidP="009B0A10">
      <w:pPr>
        <w:spacing w:line="259" w:lineRule="auto"/>
        <w:ind w:left="709" w:right="709"/>
        <w:jc w:val="both"/>
        <w:rPr>
          <w:rFonts w:ascii="Arial" w:eastAsia="Calibri" w:hAnsi="Arial" w:cs="Arial"/>
          <w:color w:val="000000"/>
          <w:kern w:val="0"/>
          <w:sz w:val="21"/>
          <w:szCs w:val="21"/>
          <w:lang w:val="es-CO"/>
          <w14:ligatures w14:val="none"/>
        </w:rPr>
      </w:pPr>
      <w:r w:rsidRPr="009B0A10">
        <w:rPr>
          <w:rFonts w:ascii="Arial" w:eastAsia="Calibri" w:hAnsi="Arial" w:cs="Arial"/>
          <w:color w:val="000000"/>
          <w:kern w:val="0"/>
          <w:sz w:val="21"/>
          <w:szCs w:val="21"/>
          <w:lang w:val="es-CO"/>
          <w14:ligatures w14:val="none"/>
        </w:rPr>
        <w:t xml:space="preserve">a) La Nación, las regiones, </w:t>
      </w:r>
      <w:r w:rsidRPr="009B0A10">
        <w:rPr>
          <w:rFonts w:ascii="Arial" w:eastAsia="Calibri" w:hAnsi="Arial" w:cs="Arial"/>
          <w:i/>
          <w:color w:val="000000"/>
          <w:kern w:val="0"/>
          <w:sz w:val="21"/>
          <w:szCs w:val="21"/>
          <w:lang w:val="es-CO"/>
          <w14:ligatures w14:val="none"/>
        </w:rPr>
        <w:t>los departamentos</w:t>
      </w:r>
      <w:r w:rsidRPr="009B0A10">
        <w:rPr>
          <w:rFonts w:ascii="Arial" w:eastAsia="Calibri" w:hAnsi="Arial" w:cs="Arial"/>
          <w:color w:val="000000"/>
          <w:kern w:val="0"/>
          <w:sz w:val="21"/>
          <w:szCs w:val="21"/>
          <w:lang w:val="es-CO"/>
          <w14:ligatures w14:val="none"/>
        </w:rPr>
        <w:t xml:space="preserve">, las provincias, </w:t>
      </w:r>
      <w:r w:rsidRPr="009B0A10">
        <w:rPr>
          <w:rFonts w:ascii="Arial" w:eastAsia="Calibri" w:hAnsi="Arial" w:cs="Arial"/>
          <w:i/>
          <w:color w:val="000000"/>
          <w:kern w:val="0"/>
          <w:sz w:val="21"/>
          <w:szCs w:val="21"/>
          <w:lang w:val="es-CO"/>
          <w14:ligatures w14:val="none"/>
        </w:rPr>
        <w:t>el distrito capital y los distritos especiales</w:t>
      </w:r>
      <w:r w:rsidRPr="009B0A10">
        <w:rPr>
          <w:rFonts w:ascii="Arial" w:eastAsia="Calibri" w:hAnsi="Arial" w:cs="Arial"/>
          <w:color w:val="000000"/>
          <w:kern w:val="0"/>
          <w:sz w:val="21"/>
          <w:szCs w:val="21"/>
          <w:lang w:val="es-CO"/>
          <w14:ligatures w14:val="none"/>
        </w:rPr>
        <w:t xml:space="preserve">, las áreas metropolitanas, las asociaciones de municipios, los territorios indígenas y </w:t>
      </w:r>
      <w:r w:rsidRPr="009B0A10">
        <w:rPr>
          <w:rFonts w:ascii="Arial" w:eastAsia="Calibri" w:hAnsi="Arial" w:cs="Arial"/>
          <w:i/>
          <w:color w:val="000000"/>
          <w:kern w:val="0"/>
          <w:sz w:val="21"/>
          <w:szCs w:val="21"/>
          <w:lang w:val="es-CO"/>
          <w14:ligatures w14:val="none"/>
        </w:rPr>
        <w:t>los municipios</w:t>
      </w:r>
      <w:r w:rsidRPr="009B0A10">
        <w:rPr>
          <w:rFonts w:ascii="Arial" w:eastAsia="Calibri" w:hAnsi="Arial" w:cs="Arial"/>
          <w:color w:val="000000"/>
          <w:kern w:val="0"/>
          <w:sz w:val="21"/>
          <w:szCs w:val="21"/>
          <w:lang w:val="es-CO"/>
          <w14:ligatures w14:val="none"/>
        </w:rPr>
        <w:t xml:space="preserve">; los establecimientos públicos, las empresas industriales y comerciales del Estado, las sociedades de economía mixta en las que el Estado tenga participación superior al cincuenta por ciento (50%), así como las </w:t>
      </w:r>
      <w:r w:rsidRPr="009B0A10">
        <w:rPr>
          <w:rFonts w:ascii="Arial" w:eastAsia="Calibri" w:hAnsi="Arial" w:cs="Arial"/>
          <w:color w:val="000000"/>
          <w:kern w:val="0"/>
          <w:sz w:val="21"/>
          <w:szCs w:val="21"/>
          <w:lang w:val="es-CO"/>
          <w14:ligatures w14:val="none"/>
        </w:rPr>
        <w:lastRenderedPageBreak/>
        <w:t>entidades descentralizadas indirectas y las demás personas jurídicas en las que exista dicha participación pública mayoritaria, cualquiera sea la denominación que ellas adopten, en todos los órdenes y niveles. […]” (Cursivas propias)</w:t>
      </w:r>
    </w:p>
    <w:p w14:paraId="08D8F3B6" w14:textId="77777777" w:rsidR="009B0A10" w:rsidRPr="009B0A10" w:rsidRDefault="009B0A10" w:rsidP="009B0A10">
      <w:pPr>
        <w:spacing w:line="259" w:lineRule="auto"/>
        <w:jc w:val="both"/>
        <w:rPr>
          <w:rFonts w:ascii="Arial" w:eastAsia="Calibri" w:hAnsi="Arial" w:cs="Arial"/>
          <w:color w:val="000000"/>
          <w:kern w:val="0"/>
          <w:sz w:val="22"/>
          <w:szCs w:val="22"/>
          <w14:ligatures w14:val="none"/>
        </w:rPr>
      </w:pPr>
    </w:p>
    <w:p w14:paraId="060A4A90" w14:textId="77777777" w:rsidR="009B0A10" w:rsidRPr="009B0A10" w:rsidRDefault="009B0A10" w:rsidP="009B0A10">
      <w:pPr>
        <w:spacing w:after="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i/>
          <w:color w:val="000000"/>
          <w:kern w:val="0"/>
          <w:sz w:val="22"/>
          <w:szCs w:val="22"/>
          <w14:ligatures w14:val="none"/>
        </w:rPr>
        <w:t>Por otro lado</w:t>
      </w:r>
      <w:r w:rsidRPr="009B0A10">
        <w:rPr>
          <w:rFonts w:ascii="Arial" w:eastAsia="Calibri" w:hAnsi="Arial" w:cs="Arial"/>
          <w:iCs/>
          <w:color w:val="000000"/>
          <w:kern w:val="0"/>
          <w:sz w:val="22"/>
          <w:szCs w:val="22"/>
          <w14:ligatures w14:val="none"/>
        </w:rPr>
        <w:t>, el Decreto 0</w:t>
      </w:r>
      <w:r w:rsidRPr="009B0A10">
        <w:rPr>
          <w:rFonts w:ascii="Arial" w:eastAsia="Calibri" w:hAnsi="Arial" w:cs="Arial"/>
          <w:color w:val="000000"/>
          <w:kern w:val="0"/>
          <w:sz w:val="22"/>
          <w:szCs w:val="22"/>
          <w14:ligatures w14:val="none"/>
        </w:rPr>
        <w:t xml:space="preserve">92 de 2017 también puede aplicarse a los convenios regulados por el artículo 5 de la Ley 687 de 2001, modificado por el artículo 8 de la Ley 1276 de 2009 y, posteriormente, por el artículo 16 de la Ley 1850 de 2017. En efecto, la aplicación de aquel Decreto resulta procedente y también necesaria, en aquellos eventos en los que el convenio se celebra con una ESAL. Es de resaltar que las tres normas mencionadas no contienen ninguna regulación procesal o sustantiva en materia de contratación estatal, esto es, no establecen las disposiciones que habrían de tenerse en cuenta en el trámite de contratación. </w:t>
      </w:r>
    </w:p>
    <w:p w14:paraId="53DB27B0" w14:textId="77777777" w:rsidR="009B0A10" w:rsidRPr="009B0A10" w:rsidRDefault="009B0A10" w:rsidP="009B0A10">
      <w:pPr>
        <w:spacing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Incluso, el Ministerio de Salud y de la Protección Social, en documento sin fecha denominado “Orientaciones a las entidades territoriales para la aplicación de la Ley 1276 de 2009 y normas complementarias sobre la Estampilla para el Bienestar del Adulto Mayor”</w:t>
      </w:r>
      <w:r w:rsidRPr="009B0A10">
        <w:rPr>
          <w:rFonts w:ascii="Arial" w:eastAsia="Calibri" w:hAnsi="Arial" w:cs="Arial"/>
          <w:color w:val="000000"/>
          <w:kern w:val="0"/>
          <w:sz w:val="22"/>
          <w:szCs w:val="22"/>
          <w:vertAlign w:val="superscript"/>
          <w14:ligatures w14:val="none"/>
        </w:rPr>
        <w:footnoteReference w:id="13"/>
      </w:r>
      <w:r w:rsidRPr="009B0A10">
        <w:rPr>
          <w:rFonts w:ascii="Arial" w:eastAsia="Calibri" w:hAnsi="Arial" w:cs="Arial"/>
          <w:color w:val="000000"/>
          <w:kern w:val="0"/>
          <w:sz w:val="22"/>
          <w:szCs w:val="22"/>
          <w14:ligatures w14:val="none"/>
        </w:rPr>
        <w:t>, refiriéndose al régimen de contratación resaltó lo siguiente:</w:t>
      </w:r>
    </w:p>
    <w:p w14:paraId="198E7FAE" w14:textId="77777777" w:rsidR="009B0A10" w:rsidRPr="009B0A10" w:rsidRDefault="009B0A10" w:rsidP="009B0A10">
      <w:pPr>
        <w:spacing w:line="259" w:lineRule="auto"/>
        <w:ind w:firstLine="709"/>
        <w:jc w:val="both"/>
        <w:rPr>
          <w:rFonts w:ascii="Arial" w:eastAsia="Calibri" w:hAnsi="Arial" w:cs="Arial"/>
          <w:color w:val="000000"/>
          <w:kern w:val="0"/>
          <w:sz w:val="20"/>
          <w:szCs w:val="20"/>
          <w14:ligatures w14:val="none"/>
        </w:rPr>
      </w:pPr>
    </w:p>
    <w:p w14:paraId="0AC4E98A" w14:textId="77777777" w:rsidR="009B0A10" w:rsidRPr="009B0A10" w:rsidRDefault="009B0A10" w:rsidP="009B0A10">
      <w:pPr>
        <w:spacing w:line="259" w:lineRule="auto"/>
        <w:ind w:left="709" w:right="760"/>
        <w:jc w:val="both"/>
        <w:rPr>
          <w:rFonts w:ascii="Arial" w:eastAsia="Calibri" w:hAnsi="Arial" w:cs="Arial"/>
          <w:color w:val="000000"/>
          <w:kern w:val="0"/>
          <w:sz w:val="21"/>
          <w:szCs w:val="21"/>
          <w14:ligatures w14:val="none"/>
        </w:rPr>
      </w:pPr>
      <w:r w:rsidRPr="009B0A10">
        <w:rPr>
          <w:rFonts w:ascii="Arial" w:eastAsia="Calibri" w:hAnsi="Arial" w:cs="Arial"/>
          <w:color w:val="000000"/>
          <w:kern w:val="0"/>
          <w:sz w:val="21"/>
          <w:szCs w:val="21"/>
          <w14:ligatures w14:val="none"/>
        </w:rPr>
        <w:t xml:space="preserve">“Los centros vida a que se refiere la Ley 1276 son de naturaleza pública, de creación distrital y municipal, razón por la cual la norma establece que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9B0A10">
        <w:rPr>
          <w:rFonts w:ascii="Arial" w:eastAsia="Calibri" w:hAnsi="Arial" w:cs="Arial"/>
          <w:i/>
          <w:color w:val="000000"/>
          <w:kern w:val="0"/>
          <w:sz w:val="21"/>
          <w:szCs w:val="21"/>
          <w14:ligatures w14:val="none"/>
        </w:rPr>
        <w:t xml:space="preserve">Estos convenios se rigen por la normatividad contractual vigente”. </w:t>
      </w:r>
      <w:r w:rsidRPr="009B0A10">
        <w:rPr>
          <w:rFonts w:ascii="Arial" w:eastAsia="Calibri" w:hAnsi="Arial" w:cs="Arial"/>
          <w:color w:val="000000"/>
          <w:kern w:val="0"/>
          <w:sz w:val="21"/>
          <w:szCs w:val="21"/>
          <w14:ligatures w14:val="none"/>
        </w:rPr>
        <w:t>(Cursivas propias)</w:t>
      </w:r>
    </w:p>
    <w:p w14:paraId="3F4016DE" w14:textId="77777777" w:rsidR="009B0A10" w:rsidRPr="009B0A10" w:rsidRDefault="009B0A10" w:rsidP="009B0A10">
      <w:pPr>
        <w:spacing w:line="259" w:lineRule="auto"/>
        <w:ind w:firstLine="709"/>
        <w:jc w:val="both"/>
        <w:rPr>
          <w:rFonts w:ascii="Arial" w:eastAsia="Calibri" w:hAnsi="Arial" w:cs="Arial"/>
          <w:color w:val="000000"/>
          <w:kern w:val="0"/>
          <w:sz w:val="20"/>
          <w:szCs w:val="20"/>
          <w14:ligatures w14:val="none"/>
        </w:rPr>
      </w:pPr>
    </w:p>
    <w:p w14:paraId="18BA2448" w14:textId="77777777" w:rsidR="009B0A10" w:rsidRPr="009B0A10" w:rsidRDefault="009B0A10" w:rsidP="009B0A10">
      <w:pPr>
        <w:spacing w:after="120" w:line="276" w:lineRule="auto"/>
        <w:ind w:firstLine="709"/>
        <w:jc w:val="both"/>
        <w:rPr>
          <w:rFonts w:ascii="Arial" w:eastAsia="Calibri" w:hAnsi="Arial" w:cs="Arial"/>
          <w:color w:val="000000"/>
          <w:kern w:val="0"/>
          <w:sz w:val="22"/>
          <w:szCs w:val="22"/>
          <w14:ligatures w14:val="none"/>
        </w:rPr>
      </w:pPr>
      <w:r w:rsidRPr="009B0A10">
        <w:rPr>
          <w:rFonts w:ascii="Arial" w:eastAsia="Calibri" w:hAnsi="Arial" w:cs="Arial"/>
          <w:color w:val="000000"/>
          <w:kern w:val="0"/>
          <w:sz w:val="22"/>
          <w:szCs w:val="22"/>
          <w14:ligatures w14:val="none"/>
        </w:rPr>
        <w:t xml:space="preserve">Los convenios </w:t>
      </w:r>
      <w:r w:rsidRPr="009B0A10">
        <w:rPr>
          <w:rFonts w:ascii="Arial" w:eastAsia="Calibri" w:hAnsi="Arial" w:cs="Arial"/>
          <w:i/>
          <w:color w:val="000000"/>
          <w:kern w:val="0"/>
          <w:sz w:val="22"/>
          <w:szCs w:val="22"/>
          <w14:ligatures w14:val="none"/>
        </w:rPr>
        <w:t xml:space="preserve">sub examine </w:t>
      </w:r>
      <w:r w:rsidRPr="009B0A10">
        <w:rPr>
          <w:rFonts w:ascii="Arial" w:eastAsia="Calibri" w:hAnsi="Arial" w:cs="Arial"/>
          <w:color w:val="000000"/>
          <w:kern w:val="0"/>
          <w:sz w:val="22"/>
          <w:szCs w:val="22"/>
          <w14:ligatures w14:val="none"/>
        </w:rPr>
        <w:t>están regulados, entonces, por el EGCAP (</w:t>
      </w:r>
      <w:r w:rsidRPr="009B0A10">
        <w:rPr>
          <w:rFonts w:ascii="Arial" w:eastAsia="Calibri" w:hAnsi="Arial" w:cs="Arial"/>
          <w:i/>
          <w:color w:val="000000"/>
          <w:kern w:val="0"/>
          <w:sz w:val="22"/>
          <w:szCs w:val="22"/>
          <w14:ligatures w14:val="none"/>
        </w:rPr>
        <w:t xml:space="preserve">infra </w:t>
      </w:r>
      <w:proofErr w:type="spellStart"/>
      <w:r w:rsidRPr="009B0A10">
        <w:rPr>
          <w:rFonts w:ascii="Arial" w:eastAsia="Calibri" w:hAnsi="Arial" w:cs="Arial"/>
          <w:color w:val="000000"/>
          <w:kern w:val="0"/>
          <w:sz w:val="22"/>
          <w:szCs w:val="22"/>
          <w14:ligatures w14:val="none"/>
        </w:rPr>
        <w:t>num</w:t>
      </w:r>
      <w:proofErr w:type="spellEnd"/>
      <w:r w:rsidRPr="009B0A10">
        <w:rPr>
          <w:rFonts w:ascii="Arial" w:eastAsia="Calibri" w:hAnsi="Arial" w:cs="Arial"/>
          <w:color w:val="000000"/>
          <w:kern w:val="0"/>
          <w:sz w:val="22"/>
          <w:szCs w:val="22"/>
          <w14:ligatures w14:val="none"/>
        </w:rPr>
        <w:t xml:space="preserve">. </w:t>
      </w:r>
      <w:r w:rsidRPr="009B0A10">
        <w:rPr>
          <w:rFonts w:ascii="Arial" w:eastAsia="Calibri" w:hAnsi="Arial" w:cs="Arial"/>
          <w:i/>
          <w:color w:val="000000"/>
          <w:kern w:val="0"/>
          <w:sz w:val="22"/>
          <w:szCs w:val="22"/>
          <w14:ligatures w14:val="none"/>
        </w:rPr>
        <w:t>i</w:t>
      </w:r>
      <w:r w:rsidRPr="009B0A10">
        <w:rPr>
          <w:rFonts w:ascii="Arial" w:eastAsia="Calibri" w:hAnsi="Arial" w:cs="Arial"/>
          <w:color w:val="000000"/>
          <w:kern w:val="0"/>
          <w:sz w:val="22"/>
          <w:szCs w:val="22"/>
          <w14:ligatures w14:val="none"/>
        </w:rPr>
        <w:t>) o, eventualmente, por el Decreto 092 de 2018 (</w:t>
      </w:r>
      <w:r w:rsidRPr="009B0A10">
        <w:rPr>
          <w:rFonts w:ascii="Arial" w:eastAsia="Calibri" w:hAnsi="Arial" w:cs="Arial"/>
          <w:i/>
          <w:color w:val="000000"/>
          <w:kern w:val="0"/>
          <w:sz w:val="22"/>
          <w:szCs w:val="22"/>
          <w14:ligatures w14:val="none"/>
        </w:rPr>
        <w:t xml:space="preserve">infra </w:t>
      </w:r>
      <w:proofErr w:type="spellStart"/>
      <w:r w:rsidRPr="009B0A10">
        <w:rPr>
          <w:rFonts w:ascii="Arial" w:eastAsia="Calibri" w:hAnsi="Arial" w:cs="Arial"/>
          <w:color w:val="000000"/>
          <w:kern w:val="0"/>
          <w:sz w:val="22"/>
          <w:szCs w:val="22"/>
          <w14:ligatures w14:val="none"/>
        </w:rPr>
        <w:t>num</w:t>
      </w:r>
      <w:proofErr w:type="spellEnd"/>
      <w:r w:rsidRPr="009B0A10">
        <w:rPr>
          <w:rFonts w:ascii="Arial" w:eastAsia="Calibri" w:hAnsi="Arial" w:cs="Arial"/>
          <w:color w:val="000000"/>
          <w:kern w:val="0"/>
          <w:sz w:val="22"/>
          <w:szCs w:val="22"/>
          <w14:ligatures w14:val="none"/>
        </w:rPr>
        <w:t xml:space="preserve">. </w:t>
      </w:r>
      <w:proofErr w:type="spellStart"/>
      <w:r w:rsidRPr="009B0A10">
        <w:rPr>
          <w:rFonts w:ascii="Arial" w:eastAsia="Calibri" w:hAnsi="Arial" w:cs="Arial"/>
          <w:i/>
          <w:color w:val="000000"/>
          <w:kern w:val="0"/>
          <w:sz w:val="22"/>
          <w:szCs w:val="22"/>
          <w14:ligatures w14:val="none"/>
        </w:rPr>
        <w:t>ii</w:t>
      </w:r>
      <w:proofErr w:type="spellEnd"/>
      <w:r w:rsidRPr="009B0A10">
        <w:rPr>
          <w:rFonts w:ascii="Arial" w:eastAsia="Calibri" w:hAnsi="Arial" w:cs="Arial"/>
          <w:color w:val="000000"/>
          <w:kern w:val="0"/>
          <w:sz w:val="22"/>
          <w:szCs w:val="22"/>
          <w14:ligatures w14:val="none"/>
        </w:rPr>
        <w:t>), siendo la aplicación de aquel la regla general, mientras que la de este último la excepción, dentro de los parámetros que pasarán a explicarse a continuación:</w:t>
      </w:r>
    </w:p>
    <w:p w14:paraId="380EABA2" w14:textId="77777777" w:rsidR="009B0A10" w:rsidRPr="009B0A10" w:rsidRDefault="009B0A10" w:rsidP="009B0A10">
      <w:pPr>
        <w:numPr>
          <w:ilvl w:val="0"/>
          <w:numId w:val="2"/>
        </w:numPr>
        <w:tabs>
          <w:tab w:val="left" w:pos="1134"/>
        </w:tabs>
        <w:spacing w:before="120" w:after="160" w:line="276" w:lineRule="auto"/>
        <w:ind w:left="0" w:firstLine="709"/>
        <w:contextualSpacing/>
        <w:jc w:val="both"/>
        <w:rPr>
          <w:rFonts w:ascii="Arial" w:eastAsia="Calibri" w:hAnsi="Arial" w:cs="Arial"/>
          <w:i/>
          <w:color w:val="000000"/>
          <w:kern w:val="0"/>
          <w:sz w:val="22"/>
          <w:szCs w:val="22"/>
          <w14:ligatures w14:val="none"/>
        </w:rPr>
      </w:pPr>
      <w:r w:rsidRPr="009B0A10">
        <w:rPr>
          <w:rFonts w:ascii="Arial" w:eastAsia="Calibri" w:hAnsi="Arial" w:cs="Arial"/>
          <w:color w:val="000000"/>
          <w:kern w:val="0"/>
          <w:sz w:val="22"/>
          <w:szCs w:val="22"/>
          <w:lang w:val="es-CO"/>
          <w14:ligatures w14:val="none"/>
        </w:rPr>
        <w:t xml:space="preserve">Los procedimientos contractuales mediante los cuales las entidades ejecutan recursos públicos y satisfacen el interés general deben regirse por la normativa de contratación pública ―Ley 80 de 1993, Ley 1150 de 2007, Decreto 1082 de 2015 y normas complementarias―, que contiene los principios, reglas y procedimientos que rigen los contratos de las entidades estatales. Como se explicó, el EGCAP se aplica a las entidades estatales relacionadas en el citado artículo 2 y demás normas que lo complementan, dentro de las cuales se encuentran mencionados los departamentos, distritos y municipios. </w:t>
      </w:r>
    </w:p>
    <w:p w14:paraId="25DB38A6" w14:textId="77777777" w:rsidR="009B0A10" w:rsidRPr="009B0A10" w:rsidRDefault="009B0A10" w:rsidP="009B0A10">
      <w:pPr>
        <w:spacing w:before="120"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lastRenderedPageBreak/>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9B0A10">
        <w:rPr>
          <w:rFonts w:ascii="Arial" w:eastAsia="Calibri" w:hAnsi="Arial" w:cs="Arial"/>
          <w:color w:val="000000"/>
          <w:kern w:val="0"/>
          <w:sz w:val="22"/>
          <w:szCs w:val="22"/>
          <w:vertAlign w:val="superscript"/>
          <w:lang w:val="es-CO"/>
          <w14:ligatures w14:val="none"/>
        </w:rPr>
        <w:footnoteReference w:id="14"/>
      </w:r>
      <w:r w:rsidRPr="009B0A10">
        <w:rPr>
          <w:rFonts w:ascii="Arial" w:eastAsia="Calibri" w:hAnsi="Arial" w:cs="Arial"/>
          <w:color w:val="000000"/>
          <w:kern w:val="0"/>
          <w:sz w:val="22"/>
          <w:szCs w:val="22"/>
          <w:lang w:val="es-CO"/>
          <w14:ligatures w14:val="none"/>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66190721" w14:textId="77777777" w:rsidR="009B0A10" w:rsidRPr="009B0A10" w:rsidRDefault="009B0A10" w:rsidP="009B0A10">
      <w:pPr>
        <w:spacing w:before="120" w:line="276" w:lineRule="auto"/>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ab/>
        <w:t>La determinación de la modalidad de selección del contratista para el caso de los convenios regulados en el parágrafo del artículo 16 de la Ley 1850 de 2017, que modificó el artículo 8 de la Ley 1276 de 2010, depende de las particularidades del caso, entre las que se resaltan la cuantía del contrato y el objeto del mismo, siendo una decisión que, en todo caso, le corresponde a la entidad contratante de manera autónoma, con apego a las directrices que establecen las Leyes 80 de 1993 y 1150 de 2007, así como las que contiene el Decreto 1082 de 2015, entre otras normas complementarias y reglamentarias.</w:t>
      </w:r>
    </w:p>
    <w:p w14:paraId="69335A1F" w14:textId="77777777" w:rsidR="009B0A10" w:rsidRPr="009B0A10" w:rsidRDefault="009B0A10" w:rsidP="009B0A10">
      <w:pPr>
        <w:spacing w:before="120"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Lo anterior, claro está, cuando no se trate de un convenio interadministrativo, pues para este caso la modalidad es la contratación directa, de acuerdo con lo que establece el artículo 2.2.1.2.1.4.4. del Decreto 1082 de 2015, “Por medio del cual se expide el Decreto único reglamentario del sector administrativo de planeación nacional”</w:t>
      </w:r>
      <w:r w:rsidRPr="009B0A10">
        <w:rPr>
          <w:rFonts w:ascii="Arial" w:eastAsia="Calibri" w:hAnsi="Arial" w:cs="Arial"/>
          <w:color w:val="000000"/>
          <w:kern w:val="0"/>
          <w:sz w:val="22"/>
          <w:szCs w:val="22"/>
          <w:vertAlign w:val="superscript"/>
          <w:lang w:val="es-CO"/>
          <w14:ligatures w14:val="none"/>
        </w:rPr>
        <w:footnoteReference w:id="15"/>
      </w:r>
      <w:r w:rsidRPr="009B0A10">
        <w:rPr>
          <w:rFonts w:ascii="Arial" w:eastAsia="Calibri" w:hAnsi="Arial" w:cs="Arial"/>
          <w:color w:val="000000"/>
          <w:kern w:val="0"/>
          <w:sz w:val="22"/>
          <w:szCs w:val="22"/>
          <w:lang w:val="es-CO"/>
          <w14:ligatures w14:val="none"/>
        </w:rPr>
        <w:t>. En todo caso, hay que tener en cuenta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9B0A10">
        <w:rPr>
          <w:rFonts w:ascii="Arial" w:eastAsia="Calibri" w:hAnsi="Arial" w:cs="Arial"/>
          <w:color w:val="000000"/>
          <w:kern w:val="0"/>
          <w:sz w:val="22"/>
          <w:szCs w:val="22"/>
          <w:vertAlign w:val="superscript"/>
          <w:lang w:val="es-CO"/>
          <w14:ligatures w14:val="none"/>
        </w:rPr>
        <w:footnoteReference w:id="16"/>
      </w:r>
      <w:r w:rsidRPr="009B0A10">
        <w:rPr>
          <w:rFonts w:ascii="Arial" w:eastAsia="Calibri" w:hAnsi="Arial" w:cs="Arial"/>
          <w:color w:val="000000"/>
          <w:kern w:val="0"/>
          <w:sz w:val="22"/>
          <w:szCs w:val="22"/>
          <w:lang w:val="es-CO"/>
          <w14:ligatures w14:val="none"/>
        </w:rPr>
        <w:t xml:space="preserve">. Nótese que, </w:t>
      </w:r>
      <w:r w:rsidRPr="009B0A10">
        <w:rPr>
          <w:rFonts w:ascii="Arial" w:eastAsia="Calibri" w:hAnsi="Arial" w:cs="Arial"/>
          <w:color w:val="000000"/>
          <w:kern w:val="0"/>
          <w:sz w:val="22"/>
          <w:szCs w:val="22"/>
          <w:lang w:val="es-CO"/>
          <w14:ligatures w14:val="none"/>
        </w:rPr>
        <w:lastRenderedPageBreak/>
        <w:t>en este caso, lo que cambia es la modalidad de selección y no la naturaleza de contrato interadministrativo.</w:t>
      </w:r>
    </w:p>
    <w:p w14:paraId="72154EFF" w14:textId="77777777" w:rsidR="009B0A10" w:rsidRPr="009B0A10" w:rsidRDefault="009B0A10" w:rsidP="009B0A10">
      <w:pPr>
        <w:spacing w:before="120" w:line="276" w:lineRule="auto"/>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ab/>
        <w:t>Si bien es cierto que los contratos o convenios interadministrativos están previstos en la Ley 80 de 1993, en la Ley 1150 de 2007 y en el Decreto 1082 de 2015, también lo es que esto no quiere decir que solo puedan celebrarse entre entidades estatales que apliquen el régimen de contratación allí previsto. Lo anterior por cuanto una entidad estatal de Ley 80 de 1993 puede celebrar esta clase de convenios con una entidad estatal de régimen especial y no por ello dejará de ser un contrato o convenio interadministrativo, caso en el cual su ejecución estará sometida a la Ley 80 de 1993</w:t>
      </w:r>
      <w:r w:rsidRPr="009B0A10">
        <w:rPr>
          <w:rFonts w:ascii="Arial" w:eastAsia="Calibri" w:hAnsi="Arial" w:cs="Arial"/>
          <w:color w:val="000000"/>
          <w:kern w:val="0"/>
          <w:sz w:val="22"/>
          <w:szCs w:val="22"/>
          <w:vertAlign w:val="superscript"/>
          <w:lang w:val="es-CO"/>
          <w14:ligatures w14:val="none"/>
        </w:rPr>
        <w:footnoteReference w:id="17"/>
      </w:r>
      <w:r w:rsidRPr="009B0A10">
        <w:rPr>
          <w:rFonts w:ascii="Arial" w:eastAsia="Calibri" w:hAnsi="Arial" w:cs="Arial"/>
          <w:color w:val="000000"/>
          <w:kern w:val="0"/>
          <w:sz w:val="22"/>
          <w:szCs w:val="22"/>
          <w:lang w:val="es-CO"/>
          <w14:ligatures w14:val="none"/>
        </w:rPr>
        <w:t>.</w:t>
      </w:r>
    </w:p>
    <w:p w14:paraId="36847084" w14:textId="77777777" w:rsidR="009B0A10" w:rsidRPr="009B0A10" w:rsidRDefault="009B0A10" w:rsidP="009B0A10">
      <w:pPr>
        <w:spacing w:before="120" w:after="120" w:line="276" w:lineRule="auto"/>
        <w:ind w:firstLine="709"/>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Por regla general, el Estatuto General de Contratación de la Administración Pública establece la contratación directa como la modalidad de selección aplicable para la celebración de los contratos interadministrativos. </w:t>
      </w:r>
    </w:p>
    <w:p w14:paraId="70280C0F" w14:textId="21C1A1EF" w:rsidR="009B0A10" w:rsidRPr="009B0A10" w:rsidRDefault="009B0A10" w:rsidP="009B0A10">
      <w:pPr>
        <w:numPr>
          <w:ilvl w:val="0"/>
          <w:numId w:val="1"/>
        </w:numPr>
        <w:tabs>
          <w:tab w:val="left" w:pos="1134"/>
        </w:tabs>
        <w:spacing w:before="120" w:after="120" w:line="276" w:lineRule="auto"/>
        <w:ind w:left="0" w:firstLine="709"/>
        <w:contextualSpacing/>
        <w:jc w:val="both"/>
        <w:rPr>
          <w:rFonts w:ascii="Arial" w:eastAsia="Calibri" w:hAnsi="Arial" w:cs="Arial"/>
          <w:i/>
          <w:color w:val="000000"/>
          <w:kern w:val="0"/>
          <w:sz w:val="22"/>
          <w:szCs w:val="22"/>
          <w14:ligatures w14:val="none"/>
        </w:rPr>
      </w:pPr>
      <w:r w:rsidRPr="009B0A10">
        <w:rPr>
          <w:rFonts w:ascii="Arial" w:eastAsia="Calibri" w:hAnsi="Arial" w:cs="Arial"/>
          <w:color w:val="000000"/>
          <w:kern w:val="0"/>
          <w:sz w:val="22"/>
          <w:szCs w:val="22"/>
          <w:lang w:val="es-CO"/>
          <w14:ligatures w14:val="none"/>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9B0A10">
        <w:rPr>
          <w:rFonts w:ascii="Arial" w:eastAsia="Calibri" w:hAnsi="Arial" w:cs="Arial"/>
          <w:color w:val="000000"/>
          <w:kern w:val="0"/>
          <w:sz w:val="22"/>
          <w:szCs w:val="22"/>
          <w:vertAlign w:val="superscript"/>
          <w:lang w:val="es-CO"/>
          <w14:ligatures w14:val="none"/>
        </w:rPr>
        <w:footnoteReference w:id="18"/>
      </w:r>
      <w:r w:rsidRPr="009B0A10">
        <w:rPr>
          <w:rFonts w:ascii="Arial" w:eastAsia="Calibri" w:hAnsi="Arial" w:cs="Arial"/>
          <w:color w:val="000000"/>
          <w:kern w:val="0"/>
          <w:sz w:val="22"/>
          <w:szCs w:val="22"/>
          <w:lang w:val="es-CO"/>
          <w14:ligatures w14:val="none"/>
        </w:rPr>
        <w:t>.</w:t>
      </w:r>
    </w:p>
    <w:p w14:paraId="735561E1" w14:textId="5B65EC53" w:rsidR="009B0A10" w:rsidRPr="009B0A10" w:rsidRDefault="009B0A10" w:rsidP="009B0A10">
      <w:pPr>
        <w:spacing w:before="120"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9B0A10">
        <w:rPr>
          <w:rFonts w:ascii="Arial" w:eastAsia="Calibri" w:hAnsi="Arial" w:cs="Arial"/>
          <w:color w:val="000000"/>
          <w:kern w:val="0"/>
          <w:sz w:val="21"/>
          <w:szCs w:val="21"/>
          <w:vertAlign w:val="superscript"/>
          <w:lang w:val="es-CO"/>
          <w14:ligatures w14:val="none"/>
        </w:rPr>
        <w:footnoteReference w:id="19"/>
      </w:r>
      <w:r w:rsidRPr="009B0A10">
        <w:rPr>
          <w:rFonts w:ascii="Arial" w:eastAsia="Calibri" w:hAnsi="Arial" w:cs="Arial"/>
          <w:color w:val="000000"/>
          <w:kern w:val="0"/>
          <w:sz w:val="22"/>
          <w:szCs w:val="22"/>
          <w:lang w:val="es-CO"/>
          <w14:ligatures w14:val="none"/>
        </w:rPr>
        <w:t>. Ambas figuras tienen como fin desarrollar conjuntamente actividades relacionadas con los cometidos y funciones legales asignadas a la entidad.</w:t>
      </w:r>
    </w:p>
    <w:p w14:paraId="2D98F10C" w14:textId="77777777" w:rsidR="009B0A10" w:rsidRPr="009B0A10" w:rsidRDefault="009B0A10" w:rsidP="009B0A10">
      <w:pPr>
        <w:spacing w:before="120"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lastRenderedPageBreak/>
        <w:t>Por otra parte, teniendo en cuenta el objeto de su consulta, es importante señalar que, de conformidad con el artículo 3 de la Ley 1276 de 2009, las Asambleas Departamentales y los Concejos Distritales y Municipales se encuentran habilitados para emitir la “Estampilla para el bienestar del Adulto Mayor”, como recurso de obligatorio recaudo para contribuir a la construcción, instalación, adecuación, dotación, funcionamiento y desarrollo d programas de prevención y promoción de los Centros de Bienestar del Anciano y Centros de Vida para la Tercera Edad, en sus respectivas entidades territoriales. A su turno, sobre la destinación del producto de dichos recursos, el precitado artículo dispone lo siguiente: “[e]l producto de dichos recursos se destinará, como mínimo, en un 70% para la financiación de los Centros Vida, de acuerdo con las definiciones de la presente ley; y el 30% restante, a la dotación y funcionamiento de los Centros de Bienestar del Anciano, sin perjuicio de los recursos adicionales que puedan gestionarse a través del sector privado y la cooperación internacional".</w:t>
      </w:r>
    </w:p>
    <w:p w14:paraId="5F641A05" w14:textId="77777777" w:rsidR="009B0A10" w:rsidRPr="009B0A10" w:rsidRDefault="009B0A10" w:rsidP="009B0A10">
      <w:pPr>
        <w:spacing w:before="120"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 xml:space="preserve">De igual forma, el recaudo de la estampilla de cada Administración Departamental será distribuido en los distritos y municipios de su jurisdicción, en proporción directa al número de adulto mayores de los niveles I y II del Sisbén que se atiendan en los centros de vida y en los centros de bienestar del anciano en los entes Distritales o Municipales. </w:t>
      </w:r>
    </w:p>
    <w:p w14:paraId="1E4728A8" w14:textId="77777777" w:rsidR="009B0A10" w:rsidRPr="009B0A10" w:rsidRDefault="009B0A10" w:rsidP="009B0A10">
      <w:pPr>
        <w:spacing w:before="120" w:line="276" w:lineRule="auto"/>
        <w:ind w:firstLine="708"/>
        <w:jc w:val="both"/>
        <w:rPr>
          <w:rFonts w:ascii="Arial" w:eastAsia="Calibri" w:hAnsi="Arial" w:cs="Arial"/>
          <w:color w:val="000000"/>
          <w:kern w:val="0"/>
          <w:sz w:val="22"/>
          <w:szCs w:val="22"/>
          <w:lang w:val="es-CO"/>
          <w14:ligatures w14:val="none"/>
        </w:rPr>
      </w:pPr>
      <w:r w:rsidRPr="009B0A10">
        <w:rPr>
          <w:rFonts w:ascii="Arial" w:eastAsia="Calibri" w:hAnsi="Arial" w:cs="Arial"/>
          <w:color w:val="000000"/>
          <w:kern w:val="0"/>
          <w:sz w:val="22"/>
          <w:szCs w:val="22"/>
          <w:lang w:val="es-CO"/>
          <w14:ligatures w14:val="none"/>
        </w:rPr>
        <w:t xml:space="preserve">Finalmente, i) conforme al artículo 5 de la Ley 1276 de 2009, el recaudo de la estampilla en cuestión será aplicado, en su totalidad, a la dotación y funcionamiento de los Centros de Bienestar del Anciano y de los Centros de Vida para la Tercera Edad, en la respectiva jurisdicción, y </w:t>
      </w:r>
      <w:proofErr w:type="spellStart"/>
      <w:r w:rsidRPr="009B0A10">
        <w:rPr>
          <w:rFonts w:ascii="Arial" w:eastAsia="Calibri" w:hAnsi="Arial" w:cs="Arial"/>
          <w:color w:val="000000"/>
          <w:kern w:val="0"/>
          <w:sz w:val="22"/>
          <w:szCs w:val="22"/>
          <w:lang w:val="es-CO"/>
          <w14:ligatures w14:val="none"/>
        </w:rPr>
        <w:t>ii</w:t>
      </w:r>
      <w:proofErr w:type="spellEnd"/>
      <w:r w:rsidRPr="009B0A10">
        <w:rPr>
          <w:rFonts w:ascii="Arial" w:eastAsia="Calibri" w:hAnsi="Arial" w:cs="Arial"/>
          <w:color w:val="000000"/>
          <w:kern w:val="0"/>
          <w:sz w:val="22"/>
          <w:szCs w:val="22"/>
          <w:lang w:val="es-CO"/>
          <w14:ligatures w14:val="none"/>
        </w:rPr>
        <w:t xml:space="preserve">) de acuerdo con el artículo 9 </w:t>
      </w:r>
      <w:r w:rsidRPr="009B0A10">
        <w:rPr>
          <w:rFonts w:ascii="Arial" w:eastAsia="Calibri" w:hAnsi="Arial" w:cs="Arial"/>
          <w:i/>
          <w:iCs/>
          <w:color w:val="000000"/>
          <w:kern w:val="0"/>
          <w:sz w:val="22"/>
          <w:szCs w:val="22"/>
          <w:lang w:val="es-CO"/>
          <w14:ligatures w14:val="none"/>
        </w:rPr>
        <w:t xml:space="preserve">ídem, </w:t>
      </w:r>
      <w:r w:rsidRPr="009B0A10">
        <w:rPr>
          <w:rFonts w:ascii="Arial" w:eastAsia="Calibri" w:hAnsi="Arial" w:cs="Arial"/>
          <w:color w:val="000000"/>
          <w:kern w:val="0"/>
          <w:sz w:val="22"/>
          <w:szCs w:val="22"/>
          <w:lang w:val="es-CO"/>
          <w14:ligatures w14:val="none"/>
        </w:rPr>
        <w:t>en el Acuerdo del Concejo municipal o distrital, en donde se establezca la creación de la estampilla, se adoptarán las definiciones de Centros Vida, anteriormente contempladas, y se establecerán aquellos servicios que como mínimo, se garantizarán a la población objetivo, de acuerdo con los recursos a recaudar y el censo de beneficiarios.</w:t>
      </w:r>
    </w:p>
    <w:p w14:paraId="2AEF6BA8" w14:textId="77777777" w:rsidR="009B0A10" w:rsidRPr="009B0A10" w:rsidRDefault="009B0A10" w:rsidP="009B0A10">
      <w:pPr>
        <w:spacing w:line="276" w:lineRule="auto"/>
        <w:jc w:val="both"/>
        <w:rPr>
          <w:rFonts w:ascii="Arial" w:eastAsia="Calibri" w:hAnsi="Arial" w:cs="Arial"/>
          <w:b/>
          <w:kern w:val="0"/>
          <w:sz w:val="22"/>
          <w:szCs w:val="22"/>
          <w:lang w:val="es-CO"/>
          <w14:ligatures w14:val="none"/>
        </w:rPr>
      </w:pPr>
    </w:p>
    <w:p w14:paraId="3E01CF78" w14:textId="77777777" w:rsidR="009B0A10" w:rsidRPr="009B0A10" w:rsidRDefault="009B0A10" w:rsidP="009B0A10">
      <w:pPr>
        <w:spacing w:line="276" w:lineRule="auto"/>
        <w:jc w:val="both"/>
        <w:rPr>
          <w:rFonts w:ascii="Arial" w:eastAsia="Times New Roman" w:hAnsi="Arial" w:cs="Arial"/>
          <w:color w:val="1A1A1A"/>
          <w:kern w:val="0"/>
          <w:sz w:val="22"/>
          <w:lang w:val="es-CO" w:eastAsia="es-ES_tradnl"/>
          <w14:ligatures w14:val="none"/>
        </w:rPr>
      </w:pPr>
      <w:r w:rsidRPr="009B0A10">
        <w:rPr>
          <w:rFonts w:ascii="Arial" w:eastAsia="Calibri" w:hAnsi="Arial" w:cs="Arial"/>
          <w:b/>
          <w:kern w:val="0"/>
          <w:sz w:val="22"/>
          <w:szCs w:val="22"/>
          <w:lang w:val="es-CO"/>
          <w14:ligatures w14:val="none"/>
        </w:rPr>
        <w:t>3. Respuesta</w:t>
      </w:r>
    </w:p>
    <w:p w14:paraId="6680F45A" w14:textId="77777777" w:rsidR="009B0A10" w:rsidRPr="009B0A10" w:rsidRDefault="009B0A10" w:rsidP="009B0A10">
      <w:pPr>
        <w:spacing w:line="276" w:lineRule="auto"/>
        <w:jc w:val="both"/>
        <w:rPr>
          <w:rFonts w:ascii="Arial" w:eastAsia="Calibri" w:hAnsi="Arial" w:cs="Arial"/>
          <w:bCs/>
          <w:kern w:val="0"/>
          <w:sz w:val="22"/>
          <w:szCs w:val="22"/>
          <w:lang w:val="es-CO"/>
          <w14:ligatures w14:val="none"/>
        </w:rPr>
      </w:pPr>
    </w:p>
    <w:p w14:paraId="7C2AFEA7" w14:textId="77777777" w:rsidR="009B0A10" w:rsidRPr="009B0A10" w:rsidRDefault="009B0A10" w:rsidP="009B0A10">
      <w:pPr>
        <w:ind w:left="709" w:right="709"/>
        <w:jc w:val="both"/>
        <w:rPr>
          <w:rFonts w:ascii="Arial" w:eastAsia="Times New Roman" w:hAnsi="Arial" w:cs="Arial"/>
          <w:kern w:val="0"/>
          <w:sz w:val="21"/>
          <w:szCs w:val="21"/>
          <w:lang w:val="es-CO" w:eastAsia="es-CO"/>
          <w14:ligatures w14:val="none"/>
        </w:rPr>
      </w:pPr>
      <w:bookmarkStart w:id="23" w:name="_Hlk57650395"/>
      <w:r w:rsidRPr="009B0A10">
        <w:rPr>
          <w:rFonts w:ascii="Arial" w:eastAsia="Times New Roman" w:hAnsi="Arial" w:cs="Arial"/>
          <w:kern w:val="0"/>
          <w:sz w:val="21"/>
          <w:szCs w:val="21"/>
          <w:lang w:val="es-CO" w:eastAsia="es-CO"/>
          <w14:ligatures w14:val="none"/>
        </w:rPr>
        <w:t>“Generar un concepto sobre la aplicación de la Ley de Garantías sobre los convenios de asociación suscritos entre los Municipios de Santander y los Centros de Protección del Adulto Mayor y el giro de recursos de estampilla del adulto mayor”.</w:t>
      </w:r>
    </w:p>
    <w:p w14:paraId="18784455" w14:textId="77777777" w:rsidR="009B0A10" w:rsidRPr="009B0A10" w:rsidRDefault="009B0A10" w:rsidP="009B0A10">
      <w:pPr>
        <w:spacing w:line="276" w:lineRule="auto"/>
        <w:ind w:right="709"/>
        <w:jc w:val="both"/>
        <w:rPr>
          <w:rFonts w:ascii="Arial" w:eastAsia="Times New Roman" w:hAnsi="Arial" w:cs="Arial"/>
          <w:kern w:val="0"/>
          <w:sz w:val="22"/>
          <w:szCs w:val="22"/>
          <w:lang w:val="es-CO" w:eastAsia="es-ES_tradnl"/>
          <w14:ligatures w14:val="none"/>
        </w:rPr>
      </w:pPr>
    </w:p>
    <w:p w14:paraId="58E22780" w14:textId="77777777" w:rsidR="009B0A10" w:rsidRPr="009B0A10" w:rsidRDefault="009B0A10" w:rsidP="009B0A10">
      <w:pPr>
        <w:spacing w:after="120" w:line="276" w:lineRule="auto"/>
        <w:jc w:val="both"/>
        <w:rPr>
          <w:rFonts w:ascii="Arial" w:eastAsia="Times New Roman" w:hAnsi="Arial" w:cs="Arial"/>
          <w:bCs/>
          <w:kern w:val="0"/>
          <w:sz w:val="22"/>
          <w:szCs w:val="22"/>
          <w:lang w:val="es-MX" w:eastAsia="es-CO"/>
          <w14:ligatures w14:val="none"/>
        </w:rPr>
      </w:pPr>
      <w:r w:rsidRPr="009B0A10">
        <w:rPr>
          <w:rFonts w:ascii="Arial" w:eastAsia="Times New Roman" w:hAnsi="Arial" w:cs="Arial"/>
          <w:bCs/>
          <w:kern w:val="0"/>
          <w:sz w:val="22"/>
          <w:szCs w:val="22"/>
          <w:lang w:val="es-MX" w:eastAsia="es-CO"/>
          <w14:ligatures w14:val="none"/>
        </w:rPr>
        <w:t xml:space="preserve">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w:t>
      </w:r>
      <w:r w:rsidRPr="009B0A10">
        <w:rPr>
          <w:rFonts w:ascii="Arial" w:eastAsia="Times New Roman" w:hAnsi="Arial" w:cs="Arial"/>
          <w:bCs/>
          <w:kern w:val="0"/>
          <w:sz w:val="22"/>
          <w:szCs w:val="22"/>
          <w:lang w:val="es-MX" w:eastAsia="es-CO"/>
          <w14:ligatures w14:val="none"/>
        </w:rPr>
        <w:lastRenderedPageBreak/>
        <w:t>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712434C" w14:textId="77777777" w:rsidR="009B0A10" w:rsidRPr="009B0A10" w:rsidRDefault="009B0A10" w:rsidP="009B0A10">
      <w:pPr>
        <w:spacing w:after="120" w:line="276" w:lineRule="auto"/>
        <w:ind w:firstLine="709"/>
        <w:jc w:val="both"/>
        <w:rPr>
          <w:rFonts w:ascii="Arial" w:eastAsia="Times New Roman" w:hAnsi="Arial" w:cs="Arial"/>
          <w:bCs/>
          <w:kern w:val="0"/>
          <w:sz w:val="22"/>
          <w:szCs w:val="22"/>
          <w:lang w:val="es-MX" w:eastAsia="es-CO"/>
          <w14:ligatures w14:val="none"/>
        </w:rPr>
      </w:pPr>
      <w:r w:rsidRPr="009B0A10">
        <w:rPr>
          <w:rFonts w:ascii="Arial" w:eastAsia="Times New Roman" w:hAnsi="Arial" w:cs="Arial"/>
          <w:bCs/>
          <w:kern w:val="0"/>
          <w:sz w:val="22"/>
          <w:szCs w:val="22"/>
          <w:lang w:val="es-MX" w:eastAsia="es-CO"/>
          <w14:ligatures w14:val="none"/>
        </w:rPr>
        <w:t>En particular,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12ACA6BC" w14:textId="77777777" w:rsidR="009B0A10" w:rsidRPr="009B0A10" w:rsidRDefault="009B0A10" w:rsidP="009B0A10">
      <w:pPr>
        <w:spacing w:line="276" w:lineRule="auto"/>
        <w:ind w:firstLine="709"/>
        <w:jc w:val="both"/>
        <w:rPr>
          <w:rFonts w:ascii="Arial" w:eastAsia="Times New Roman" w:hAnsi="Arial" w:cs="Arial"/>
          <w:bCs/>
          <w:kern w:val="0"/>
          <w:sz w:val="22"/>
          <w:szCs w:val="22"/>
          <w:lang w:val="es-MX" w:eastAsia="es-CO"/>
          <w14:ligatures w14:val="none"/>
        </w:rPr>
      </w:pPr>
      <w:r w:rsidRPr="009B0A10">
        <w:rPr>
          <w:rFonts w:ascii="Arial" w:eastAsia="Times New Roman" w:hAnsi="Arial" w:cs="Arial"/>
          <w:bCs/>
          <w:kern w:val="0"/>
          <w:sz w:val="22"/>
          <w:szCs w:val="22"/>
          <w:lang w:val="es-MX" w:eastAsia="es-CO"/>
          <w14:ligatures w14:val="none"/>
        </w:rPr>
        <w:t xml:space="preserve">Por otra parte, de acuerdo con las consideraciones realizadas en el presente concepto, los convenios del parágrafo del artículo 8 de la Ley 1276 de 2009 están regulados, entonces, por el EGCAP o, eventualmente, por el Decreto 092 de 2018, siendo la aplicación de aquel la regla general, mientras que la de este último la excepción. En ese sentido, la aplicación de la restricción contenida en el parágrafo del artículo 38 de la Ley de Garantías dependerá de si lo que se celebra es un convenio interadministrativo o no, así como si el mismo implica la ejecución de recursos públicos o no. Por lo tanto, en caso de no tratarse de un convenio interadministrativo para la ejecución de recursos públicos, la restricción de la Ley de Garantías en comento no resultaría aplicable. </w:t>
      </w:r>
    </w:p>
    <w:p w14:paraId="048531F9" w14:textId="77777777" w:rsidR="009B0A10" w:rsidRPr="009B0A10" w:rsidRDefault="009B0A10" w:rsidP="009B0A10">
      <w:pPr>
        <w:spacing w:line="276" w:lineRule="auto"/>
        <w:jc w:val="both"/>
        <w:rPr>
          <w:rFonts w:ascii="Arial" w:eastAsia="Times New Roman" w:hAnsi="Arial" w:cs="Arial"/>
          <w:bCs/>
          <w:kern w:val="0"/>
          <w:sz w:val="22"/>
          <w:szCs w:val="22"/>
          <w:lang w:val="es-MX" w:eastAsia="es-CO"/>
          <w14:ligatures w14:val="none"/>
        </w:rPr>
      </w:pPr>
    </w:p>
    <w:p w14:paraId="04DACF5D" w14:textId="77777777" w:rsidR="009B0A10" w:rsidRPr="009B0A10" w:rsidRDefault="009B0A10" w:rsidP="009B0A10">
      <w:pPr>
        <w:spacing w:line="276" w:lineRule="auto"/>
        <w:jc w:val="both"/>
        <w:rPr>
          <w:rFonts w:ascii="Times New Roman" w:eastAsia="Times New Roman" w:hAnsi="Times New Roman" w:cs="Times New Roman"/>
          <w:kern w:val="0"/>
          <w:lang w:val="es-CO" w:eastAsia="es-ES_tradnl"/>
          <w14:ligatures w14:val="none"/>
        </w:rPr>
      </w:pPr>
      <w:r w:rsidRPr="009B0A10">
        <w:rPr>
          <w:rFonts w:ascii="Arial" w:eastAsia="Calibri" w:hAnsi="Arial" w:cs="Arial"/>
          <w:kern w:val="0"/>
          <w:sz w:val="22"/>
          <w:szCs w:val="22"/>
          <w:lang w:val="es-CO"/>
          <w14:ligatures w14:val="none"/>
        </w:rPr>
        <w:t>Este concepto tiene el alcance previsto en el artículo 28 del Código de Procedimiento Administrativo y de lo Contencioso Administrativo.</w:t>
      </w:r>
    </w:p>
    <w:p w14:paraId="5951D536" w14:textId="77777777" w:rsidR="009B0A10" w:rsidRPr="009B0A10" w:rsidRDefault="009B0A10" w:rsidP="009B0A10">
      <w:pPr>
        <w:spacing w:line="276" w:lineRule="auto"/>
        <w:jc w:val="both"/>
        <w:rPr>
          <w:rFonts w:ascii="Times New Roman" w:eastAsia="Times New Roman" w:hAnsi="Times New Roman" w:cs="Times New Roman"/>
          <w:kern w:val="0"/>
          <w:lang w:val="es-CO" w:eastAsia="es-ES_tradnl"/>
          <w14:ligatures w14:val="none"/>
        </w:rPr>
      </w:pPr>
    </w:p>
    <w:p w14:paraId="336D5BD3" w14:textId="77777777" w:rsidR="009B0A10" w:rsidRPr="009B0A10" w:rsidRDefault="009B0A10" w:rsidP="009B0A10">
      <w:pPr>
        <w:spacing w:line="276" w:lineRule="auto"/>
        <w:jc w:val="both"/>
        <w:rPr>
          <w:rFonts w:ascii="Arial" w:eastAsia="Times New Roman" w:hAnsi="Arial" w:cs="Arial"/>
          <w:kern w:val="0"/>
          <w:sz w:val="22"/>
          <w:szCs w:val="22"/>
          <w:lang w:val="es-CO" w:eastAsia="es-CO"/>
          <w14:ligatures w14:val="none"/>
        </w:rPr>
      </w:pPr>
      <w:r w:rsidRPr="009B0A10">
        <w:rPr>
          <w:rFonts w:ascii="Arial" w:eastAsia="Times New Roman" w:hAnsi="Arial" w:cs="Arial"/>
          <w:kern w:val="0"/>
          <w:sz w:val="22"/>
          <w:szCs w:val="22"/>
          <w:lang w:val="es-CO" w:eastAsia="es-CO"/>
          <w14:ligatures w14:val="none"/>
        </w:rPr>
        <w:t>Atentamente,</w:t>
      </w:r>
    </w:p>
    <w:bookmarkEnd w:id="5"/>
    <w:bookmarkEnd w:id="6"/>
    <w:bookmarkEnd w:id="23"/>
    <w:p w14:paraId="05687404" w14:textId="74417D6F" w:rsidR="009B0A10" w:rsidRPr="009B0A10" w:rsidRDefault="009B0A10" w:rsidP="009B0A10">
      <w:pPr>
        <w:spacing w:after="160" w:line="276" w:lineRule="auto"/>
        <w:jc w:val="center"/>
        <w:rPr>
          <w:noProof/>
          <w:kern w:val="0"/>
          <w:sz w:val="22"/>
          <w:szCs w:val="22"/>
          <w:lang w:val="es-CO" w:eastAsia="es-CO"/>
          <w14:ligatures w14:val="none"/>
        </w:rPr>
      </w:pPr>
      <w:r>
        <w:rPr>
          <w:noProof/>
          <w:sz w:val="22"/>
          <w:szCs w:val="22"/>
          <w:lang w:eastAsia="es-CO"/>
        </w:rPr>
        <w:drawing>
          <wp:inline distT="0" distB="0" distL="0" distR="0" wp14:anchorId="5F1523CD" wp14:editId="603B15C0">
            <wp:extent cx="2930908" cy="1128089"/>
            <wp:effectExtent l="0" t="0" r="3175" b="2540"/>
            <wp:docPr id="54921976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325" cy="1148649"/>
                    </a:xfrm>
                    <a:prstGeom prst="rect">
                      <a:avLst/>
                    </a:prstGeom>
                    <a:noFill/>
                    <a:ln>
                      <a:noFill/>
                    </a:ln>
                  </pic:spPr>
                </pic:pic>
              </a:graphicData>
            </a:graphic>
          </wp:inline>
        </w:drawing>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9B0A10" w:rsidRPr="009B0A10" w14:paraId="5C93E2A0" w14:textId="77777777" w:rsidTr="003B7FBF">
        <w:trPr>
          <w:trHeight w:val="305"/>
        </w:trPr>
        <w:tc>
          <w:tcPr>
            <w:tcW w:w="1025" w:type="dxa"/>
            <w:vAlign w:val="center"/>
            <w:hideMark/>
          </w:tcPr>
          <w:p w14:paraId="13376013"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Elaboró:</w:t>
            </w:r>
          </w:p>
        </w:tc>
        <w:tc>
          <w:tcPr>
            <w:tcW w:w="5102" w:type="dxa"/>
            <w:tcBorders>
              <w:top w:val="nil"/>
              <w:left w:val="nil"/>
              <w:bottom w:val="dotted" w:sz="4" w:space="0" w:color="7F7F7F"/>
              <w:right w:val="nil"/>
            </w:tcBorders>
            <w:vAlign w:val="center"/>
            <w:hideMark/>
          </w:tcPr>
          <w:p w14:paraId="4E6D693B"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 xml:space="preserve">Kevin </w:t>
            </w:r>
            <w:proofErr w:type="spellStart"/>
            <w:r w:rsidRPr="009B0A10">
              <w:rPr>
                <w:rFonts w:ascii="Arial" w:eastAsia="Calibri" w:hAnsi="Arial" w:cs="Arial"/>
                <w:sz w:val="16"/>
                <w:szCs w:val="16"/>
                <w:lang w:eastAsia="es-ES"/>
              </w:rPr>
              <w:t>Arlid</w:t>
            </w:r>
            <w:proofErr w:type="spellEnd"/>
            <w:r w:rsidRPr="009B0A10">
              <w:rPr>
                <w:rFonts w:ascii="Arial" w:eastAsia="Calibri" w:hAnsi="Arial" w:cs="Arial"/>
                <w:sz w:val="16"/>
                <w:szCs w:val="16"/>
                <w:lang w:eastAsia="es-ES"/>
              </w:rPr>
              <w:t xml:space="preserve"> Herrera Santa</w:t>
            </w:r>
          </w:p>
          <w:p w14:paraId="566ADC57"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Contratista de la Subdirección de Gestión Contractual</w:t>
            </w:r>
          </w:p>
        </w:tc>
      </w:tr>
      <w:tr w:rsidR="009B0A10" w:rsidRPr="009B0A10" w14:paraId="258EE73C" w14:textId="77777777" w:rsidTr="003B7FBF">
        <w:trPr>
          <w:trHeight w:val="319"/>
        </w:trPr>
        <w:tc>
          <w:tcPr>
            <w:tcW w:w="1025" w:type="dxa"/>
            <w:vAlign w:val="center"/>
            <w:hideMark/>
          </w:tcPr>
          <w:p w14:paraId="3069F8FB"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Revisó:</w:t>
            </w:r>
          </w:p>
        </w:tc>
        <w:tc>
          <w:tcPr>
            <w:tcW w:w="5102" w:type="dxa"/>
            <w:tcBorders>
              <w:top w:val="dotted" w:sz="4" w:space="0" w:color="7F7F7F"/>
              <w:left w:val="nil"/>
              <w:bottom w:val="dotted" w:sz="4" w:space="0" w:color="7F7F7F"/>
              <w:right w:val="nil"/>
            </w:tcBorders>
            <w:vAlign w:val="center"/>
            <w:hideMark/>
          </w:tcPr>
          <w:p w14:paraId="6C817B64"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Alejandro Sarmiento Cantillo</w:t>
            </w:r>
          </w:p>
          <w:p w14:paraId="3E678CBC"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 xml:space="preserve">Gestor T1-15 de la Subdirección de Gestión Contractual   </w:t>
            </w:r>
          </w:p>
        </w:tc>
      </w:tr>
      <w:tr w:rsidR="009B0A10" w:rsidRPr="009B0A10" w14:paraId="2793173D" w14:textId="77777777" w:rsidTr="003B7FBF">
        <w:trPr>
          <w:trHeight w:val="290"/>
        </w:trPr>
        <w:tc>
          <w:tcPr>
            <w:tcW w:w="1025" w:type="dxa"/>
            <w:vAlign w:val="center"/>
            <w:hideMark/>
          </w:tcPr>
          <w:p w14:paraId="7649A197"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Aprobó:</w:t>
            </w:r>
          </w:p>
        </w:tc>
        <w:tc>
          <w:tcPr>
            <w:tcW w:w="5102" w:type="dxa"/>
            <w:tcBorders>
              <w:top w:val="dotted" w:sz="4" w:space="0" w:color="7F7F7F"/>
              <w:left w:val="nil"/>
              <w:bottom w:val="dotted" w:sz="4" w:space="0" w:color="7F7F7F"/>
              <w:right w:val="nil"/>
            </w:tcBorders>
            <w:vAlign w:val="center"/>
            <w:hideMark/>
          </w:tcPr>
          <w:p w14:paraId="01C911EC"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 xml:space="preserve">Nohelia del Carmen </w:t>
            </w:r>
            <w:proofErr w:type="spellStart"/>
            <w:r w:rsidRPr="009B0A10">
              <w:rPr>
                <w:rFonts w:ascii="Arial" w:eastAsia="Calibri" w:hAnsi="Arial" w:cs="Arial"/>
                <w:sz w:val="16"/>
                <w:szCs w:val="16"/>
                <w:lang w:eastAsia="es-ES"/>
              </w:rPr>
              <w:t>Zawady</w:t>
            </w:r>
            <w:proofErr w:type="spellEnd"/>
            <w:r w:rsidRPr="009B0A10">
              <w:rPr>
                <w:rFonts w:ascii="Arial" w:eastAsia="Calibri" w:hAnsi="Arial" w:cs="Arial"/>
                <w:sz w:val="16"/>
                <w:szCs w:val="16"/>
                <w:lang w:eastAsia="es-ES"/>
              </w:rPr>
              <w:t xml:space="preserve"> Palacio</w:t>
            </w:r>
          </w:p>
          <w:p w14:paraId="19C14C26" w14:textId="77777777" w:rsidR="009B0A10" w:rsidRPr="009B0A10" w:rsidRDefault="009B0A10" w:rsidP="009B0A10">
            <w:pPr>
              <w:jc w:val="both"/>
              <w:rPr>
                <w:rFonts w:ascii="Arial" w:eastAsia="Calibri" w:hAnsi="Arial" w:cs="Arial"/>
                <w:sz w:val="16"/>
                <w:szCs w:val="16"/>
                <w:lang w:eastAsia="es-ES"/>
              </w:rPr>
            </w:pPr>
            <w:r w:rsidRPr="009B0A10">
              <w:rPr>
                <w:rFonts w:ascii="Arial" w:eastAsia="Calibri" w:hAnsi="Arial" w:cs="Arial"/>
                <w:sz w:val="16"/>
                <w:szCs w:val="16"/>
                <w:lang w:eastAsia="es-ES"/>
              </w:rPr>
              <w:t>Subdirectora de Gestión Contractual ANCP – CCE</w:t>
            </w:r>
          </w:p>
        </w:tc>
      </w:tr>
    </w:tbl>
    <w:p w14:paraId="0F1DED7E" w14:textId="77777777" w:rsidR="002015F8" w:rsidRDefault="002015F8"/>
    <w:sectPr w:rsidR="002015F8" w:rsidSect="0039439C">
      <w:headerReference w:type="default" r:id="rId9"/>
      <w:footerReference w:type="default" r:id="rId10"/>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FECC" w14:textId="77777777" w:rsidR="009B0A10" w:rsidRDefault="009B0A10" w:rsidP="009B0A10">
      <w:r>
        <w:separator/>
      </w:r>
    </w:p>
  </w:endnote>
  <w:endnote w:type="continuationSeparator" w:id="0">
    <w:p w14:paraId="54BF5F3F" w14:textId="77777777" w:rsidR="009B0A10" w:rsidRDefault="009B0A10" w:rsidP="009B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4633" w14:textId="77777777" w:rsidR="004A1847" w:rsidRDefault="009B0A10" w:rsidP="008614E5">
    <w:pPr>
      <w:pStyle w:val="Piedepgina"/>
    </w:pPr>
    <w:r>
      <w:rPr>
        <w:noProof/>
      </w:rPr>
      <w:drawing>
        <wp:inline distT="0" distB="0" distL="0" distR="0" wp14:anchorId="61DDDFEC" wp14:editId="17E45AA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E2CECFA"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210BB0" w14:textId="77777777" w:rsidR="006219F8" w:rsidRPr="00080DA3" w:rsidRDefault="009B0A10"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CA2DC4" w14:textId="77777777" w:rsidR="006219F8" w:rsidRPr="00080DA3" w:rsidRDefault="009B0A10"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94A6EFA" w14:textId="77777777" w:rsidR="006219F8" w:rsidRPr="00080DA3" w:rsidRDefault="009B0A10"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7903E32" w14:textId="77777777" w:rsidR="006219F8" w:rsidRPr="004B6B0E" w:rsidRDefault="009B0A10"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3AEC1AE" w14:textId="77777777" w:rsidR="006219F8" w:rsidRPr="00080DA3" w:rsidRDefault="009B0A10"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2490EEC" w14:textId="77777777" w:rsidR="00A07532" w:rsidRPr="00080DA3" w:rsidRDefault="009B0A10" w:rsidP="00A07532">
          <w:pPr>
            <w:pStyle w:val="Piedepgina"/>
            <w:jc w:val="center"/>
            <w:rPr>
              <w:rFonts w:ascii="Geomanist Light" w:hAnsi="Geomanist Light"/>
              <w:sz w:val="18"/>
              <w:szCs w:val="18"/>
            </w:rPr>
          </w:pPr>
          <w:r>
            <w:rPr>
              <w:rFonts w:ascii="Geomanist Light" w:hAnsi="Geomanist Light"/>
              <w:sz w:val="18"/>
              <w:szCs w:val="18"/>
            </w:rPr>
            <w:t>2</w:t>
          </w:r>
          <w:r>
            <w:rPr>
              <w:rFonts w:ascii="Geomanist Light" w:hAnsi="Geomanist Light"/>
              <w:sz w:val="18"/>
              <w:szCs w:val="18"/>
            </w:rPr>
            <w:t>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7CE3DFE" w14:textId="77777777" w:rsidR="006219F8" w:rsidRPr="00080DA3" w:rsidRDefault="009B0A10"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6C8BF308" w14:textId="77777777" w:rsidR="006219F8" w:rsidRDefault="009B0A10"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9A0F" w14:textId="77777777" w:rsidR="009B0A10" w:rsidRDefault="009B0A10" w:rsidP="009B0A10">
      <w:r>
        <w:separator/>
      </w:r>
    </w:p>
  </w:footnote>
  <w:footnote w:type="continuationSeparator" w:id="0">
    <w:p w14:paraId="7E740C22" w14:textId="77777777" w:rsidR="009B0A10" w:rsidRDefault="009B0A10" w:rsidP="009B0A10">
      <w:r>
        <w:continuationSeparator/>
      </w:r>
    </w:p>
  </w:footnote>
  <w:footnote w:id="1">
    <w:p w14:paraId="6C41DE87" w14:textId="77777777" w:rsidR="009B0A10" w:rsidRPr="00997D5A" w:rsidRDefault="009B0A10" w:rsidP="009B0A1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El artículo 127 de la Constitución Política señala: </w:t>
      </w:r>
      <w:r>
        <w:rPr>
          <w:rFonts w:ascii="Arial" w:hAnsi="Arial" w:cs="Arial"/>
          <w:sz w:val="19"/>
          <w:szCs w:val="19"/>
        </w:rPr>
        <w:t>“</w:t>
      </w:r>
      <w:r w:rsidRPr="00997D5A">
        <w:rPr>
          <w:rFonts w:ascii="Arial" w:hAnsi="Arial" w:cs="Arial"/>
          <w:sz w:val="19"/>
          <w:szCs w:val="19"/>
        </w:rPr>
        <w:t xml:space="preserve">Los servidores públicos no podrán celebrar, por si o por interpuesta persona, o en representación de otro, contrato alguno con entidades públicas o con personas privadas que manejen o administren recursos públicos, salvo las excepciones legales. </w:t>
      </w:r>
    </w:p>
    <w:p w14:paraId="3602D1D0" w14:textId="77777777" w:rsidR="009B0A10" w:rsidRPr="00997D5A" w:rsidRDefault="009B0A10" w:rsidP="009B0A10">
      <w:pPr>
        <w:pStyle w:val="Textonotapie"/>
        <w:ind w:firstLine="709"/>
        <w:jc w:val="both"/>
        <w:rPr>
          <w:rFonts w:ascii="Arial" w:hAnsi="Arial" w:cs="Arial"/>
          <w:sz w:val="19"/>
          <w:szCs w:val="19"/>
        </w:rPr>
      </w:pPr>
      <w:r w:rsidRPr="00997D5A">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r>
        <w:rPr>
          <w:rFonts w:ascii="Arial" w:hAnsi="Arial" w:cs="Arial"/>
          <w:sz w:val="19"/>
          <w:szCs w:val="19"/>
        </w:rPr>
        <w:t>”</w:t>
      </w:r>
      <w:r w:rsidRPr="00997D5A">
        <w:rPr>
          <w:rFonts w:ascii="Arial" w:hAnsi="Arial" w:cs="Arial"/>
          <w:sz w:val="19"/>
          <w:szCs w:val="19"/>
        </w:rPr>
        <w:t>.</w:t>
      </w:r>
    </w:p>
  </w:footnote>
  <w:footnote w:id="2">
    <w:p w14:paraId="2537DA47" w14:textId="77777777" w:rsidR="009B0A10" w:rsidRPr="00997D5A" w:rsidRDefault="009B0A10" w:rsidP="009B0A1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sz w:val="19"/>
          <w:szCs w:val="19"/>
        </w:rPr>
        <w:t>Gaceta del Congreso de la República No. 71 del 2005.</w:t>
      </w:r>
    </w:p>
    <w:p w14:paraId="6ABD94BB" w14:textId="77777777" w:rsidR="009B0A10" w:rsidRPr="00997D5A" w:rsidRDefault="009B0A10" w:rsidP="009B0A10">
      <w:pPr>
        <w:pStyle w:val="Textonotapie"/>
        <w:ind w:firstLine="709"/>
        <w:jc w:val="both"/>
        <w:rPr>
          <w:rFonts w:ascii="Arial" w:hAnsi="Arial" w:cs="Arial"/>
          <w:sz w:val="19"/>
          <w:szCs w:val="19"/>
        </w:rPr>
      </w:pPr>
    </w:p>
  </w:footnote>
  <w:footnote w:id="3">
    <w:p w14:paraId="05FFB9F5" w14:textId="77777777" w:rsidR="009B0A10" w:rsidRPr="00997D5A" w:rsidRDefault="009B0A10" w:rsidP="009B0A1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sz w:val="19"/>
          <w:szCs w:val="19"/>
        </w:rPr>
        <w:t>Corte Constitucional, Sentencia C- 1153 de 2005, M.P. Marco Gerardo Monroy Cabra.</w:t>
      </w:r>
    </w:p>
  </w:footnote>
  <w:footnote w:id="4">
    <w:p w14:paraId="3E8D8E52" w14:textId="77777777" w:rsidR="009B0A10" w:rsidRPr="00997D5A" w:rsidRDefault="009B0A10" w:rsidP="009B0A1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5799C0F8" w14:textId="77777777" w:rsidR="009B0A10" w:rsidRPr="00997D5A" w:rsidRDefault="009B0A10" w:rsidP="009B0A1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sz w:val="19"/>
          <w:szCs w:val="19"/>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408CDA7D" w14:textId="77777777" w:rsidR="009B0A10" w:rsidRPr="00997D5A" w:rsidRDefault="009B0A10" w:rsidP="009B0A1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sz w:val="19"/>
          <w:szCs w:val="19"/>
        </w:rPr>
        <w:t xml:space="preserve">Consejo de Estado, Sala de Consulta y Servicio Civil de fecha 24 de julio de 2013, radicado 2166, Consejero Ponente: Álvaro Namén Vargas.  </w:t>
      </w:r>
    </w:p>
  </w:footnote>
  <w:footnote w:id="7">
    <w:p w14:paraId="76A6B291" w14:textId="3B0AD400" w:rsidR="009B0A10" w:rsidRPr="00997D5A" w:rsidRDefault="009B0A10" w:rsidP="009B0A10">
      <w:pPr>
        <w:ind w:firstLine="709"/>
        <w:jc w:val="both"/>
        <w:rPr>
          <w:rFonts w:ascii="Arial" w:eastAsia="Times New Roman"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bookmarkStart w:id="12" w:name="33"/>
      <w:r>
        <w:rPr>
          <w:rFonts w:ascii="Arial" w:eastAsia="Calibri" w:hAnsi="Arial" w:cs="Arial"/>
          <w:bCs/>
          <w:color w:val="000000"/>
          <w:sz w:val="19"/>
          <w:szCs w:val="19"/>
        </w:rPr>
        <w:t>“</w:t>
      </w:r>
      <w:r w:rsidRPr="00997D5A">
        <w:rPr>
          <w:rFonts w:ascii="Arial" w:eastAsia="Times New Roman" w:hAnsi="Arial" w:cs="Arial"/>
          <w:sz w:val="19"/>
          <w:szCs w:val="19"/>
        </w:rPr>
        <w:t>Artículo 33. Restricciones a la contratación pública.</w:t>
      </w:r>
      <w:bookmarkEnd w:id="12"/>
      <w:r w:rsidRPr="00997D5A">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741D579D" w14:textId="77777777" w:rsidR="009B0A10" w:rsidRPr="00997D5A" w:rsidRDefault="009B0A10" w:rsidP="009B0A10">
      <w:pPr>
        <w:ind w:firstLine="709"/>
        <w:jc w:val="both"/>
        <w:rPr>
          <w:rFonts w:ascii="Arial" w:eastAsia="Times New Roman" w:hAnsi="Arial" w:cs="Arial"/>
          <w:sz w:val="19"/>
          <w:szCs w:val="19"/>
        </w:rPr>
      </w:pPr>
      <w:r w:rsidRPr="00997D5A">
        <w:rPr>
          <w:rFonts w:ascii="Arial" w:eastAsia="Times New Roman" w:hAnsi="Arial" w:cs="Arial"/>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color w:val="000000"/>
          <w:sz w:val="19"/>
          <w:szCs w:val="19"/>
        </w:rPr>
        <w:t>”</w:t>
      </w:r>
      <w:r w:rsidRPr="00997D5A">
        <w:rPr>
          <w:rFonts w:ascii="Arial" w:eastAsia="Times New Roman" w:hAnsi="Arial" w:cs="Arial"/>
          <w:sz w:val="19"/>
          <w:szCs w:val="19"/>
        </w:rPr>
        <w:t>.</w:t>
      </w:r>
    </w:p>
  </w:footnote>
  <w:footnote w:id="8">
    <w:p w14:paraId="24B71474" w14:textId="77777777" w:rsidR="009B0A10" w:rsidRPr="00997D5A" w:rsidRDefault="009B0A10" w:rsidP="009B0A10">
      <w:pPr>
        <w:pStyle w:val="NormalWeb"/>
        <w:spacing w:after="0" w:line="240" w:lineRule="auto"/>
        <w:ind w:firstLine="709"/>
        <w:jc w:val="both"/>
        <w:rPr>
          <w:rFonts w:ascii="Arial" w:hAnsi="Arial" w:cs="Arial"/>
          <w:sz w:val="19"/>
          <w:szCs w:val="19"/>
          <w:lang w:val="es-MX"/>
        </w:rPr>
      </w:pPr>
      <w:r w:rsidRPr="00997D5A">
        <w:rPr>
          <w:rStyle w:val="Refdenotaalpie"/>
          <w:rFonts w:ascii="Arial" w:hAnsi="Arial" w:cs="Arial"/>
          <w:sz w:val="19"/>
          <w:szCs w:val="19"/>
        </w:rPr>
        <w:footnoteRef/>
      </w:r>
      <w:r w:rsidRPr="00997D5A">
        <w:rPr>
          <w:rFonts w:ascii="Arial" w:hAnsi="Arial" w:cs="Arial"/>
          <w:sz w:val="19"/>
          <w:szCs w:val="19"/>
        </w:rPr>
        <w:t xml:space="preserve"> </w:t>
      </w:r>
      <w:bookmarkStart w:id="13" w:name="38"/>
      <w:r>
        <w:rPr>
          <w:rFonts w:ascii="Arial" w:eastAsia="Calibri" w:hAnsi="Arial" w:cs="Arial"/>
          <w:bCs/>
          <w:color w:val="000000"/>
          <w:sz w:val="19"/>
          <w:szCs w:val="19"/>
        </w:rPr>
        <w:t>“</w:t>
      </w:r>
      <w:r w:rsidRPr="00997D5A">
        <w:rPr>
          <w:rFonts w:ascii="Arial" w:hAnsi="Arial" w:cs="Arial"/>
          <w:sz w:val="19"/>
          <w:szCs w:val="19"/>
          <w:lang w:val="es-MX"/>
        </w:rPr>
        <w:t>Artículo 38. Prohibiciones para los servidores públicos. A los empleados del Estado les está prohibido:</w:t>
      </w:r>
      <w:bookmarkEnd w:id="13"/>
    </w:p>
    <w:p w14:paraId="1E9867B5" w14:textId="77777777" w:rsidR="009B0A10" w:rsidRPr="00997D5A" w:rsidRDefault="009B0A10" w:rsidP="009B0A10">
      <w:pPr>
        <w:pStyle w:val="NormalWeb"/>
        <w:spacing w:after="0" w:line="240" w:lineRule="auto"/>
        <w:ind w:firstLine="709"/>
        <w:jc w:val="both"/>
        <w:rPr>
          <w:rFonts w:ascii="Arial" w:hAnsi="Arial" w:cs="Arial"/>
          <w:sz w:val="19"/>
          <w:szCs w:val="19"/>
          <w:lang w:val="es-MX"/>
        </w:rPr>
      </w:pPr>
      <w:r w:rsidRPr="00997D5A">
        <w:rPr>
          <w:rFonts w:ascii="Arial" w:hAnsi="Arial" w:cs="Arial"/>
          <w:sz w:val="19"/>
          <w:szCs w:val="19"/>
          <w:lang w:val="es-MX"/>
        </w:rPr>
        <w:t>[…]</w:t>
      </w:r>
    </w:p>
    <w:p w14:paraId="57CF3BC2" w14:textId="77777777" w:rsidR="009B0A10" w:rsidRPr="00997D5A" w:rsidRDefault="009B0A10" w:rsidP="009B0A10">
      <w:pPr>
        <w:pStyle w:val="NormalWeb"/>
        <w:spacing w:after="0" w:line="240" w:lineRule="auto"/>
        <w:ind w:firstLine="709"/>
        <w:jc w:val="both"/>
        <w:rPr>
          <w:rFonts w:ascii="Arial" w:hAnsi="Arial" w:cs="Arial"/>
          <w:sz w:val="19"/>
          <w:szCs w:val="19"/>
          <w:lang w:val="es-MX"/>
        </w:rPr>
      </w:pPr>
      <w:r w:rsidRPr="00997D5A">
        <w:rPr>
          <w:rStyle w:val="baj"/>
          <w:rFonts w:ascii="Arial" w:hAnsi="Arial" w:cs="Arial"/>
          <w:sz w:val="19"/>
          <w:szCs w:val="19"/>
          <w:lang w:val="es-MX"/>
        </w:rPr>
        <w:t>Parágrafo.</w:t>
      </w:r>
      <w:r w:rsidRPr="00997D5A">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color w:val="000000"/>
          <w:sz w:val="19"/>
          <w:szCs w:val="19"/>
        </w:rPr>
        <w:t>”</w:t>
      </w:r>
      <w:r w:rsidRPr="00997D5A">
        <w:rPr>
          <w:rFonts w:ascii="Arial" w:hAnsi="Arial" w:cs="Arial"/>
          <w:sz w:val="19"/>
          <w:szCs w:val="19"/>
          <w:lang w:val="es-MX"/>
        </w:rPr>
        <w:t>.</w:t>
      </w:r>
    </w:p>
  </w:footnote>
  <w:footnote w:id="9">
    <w:p w14:paraId="44345360" w14:textId="77777777" w:rsidR="009B0A10" w:rsidRPr="00997D5A" w:rsidRDefault="009B0A10" w:rsidP="009B0A10">
      <w:pPr>
        <w:ind w:left="100" w:right="244" w:firstLine="709"/>
        <w:jc w:val="both"/>
        <w:rPr>
          <w:rFonts w:ascii="Arial" w:hAnsi="Arial" w:cs="Arial"/>
          <w:sz w:val="19"/>
          <w:szCs w:val="19"/>
          <w:lang w:val="es-ES"/>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266F51CF" w14:textId="77777777" w:rsidR="009B0A10" w:rsidRPr="00AA67D4" w:rsidRDefault="009B0A10" w:rsidP="009B0A10">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Pr>
          <w:rFonts w:ascii="Arial" w:hAnsi="Arial" w:cs="Arial"/>
          <w:color w:val="000000"/>
          <w:sz w:val="19"/>
          <w:szCs w:val="19"/>
        </w:rPr>
        <w:t>“</w:t>
      </w:r>
      <w:r w:rsidRPr="00AA67D4">
        <w:rPr>
          <w:rFonts w:ascii="Arial" w:hAnsi="Arial" w:cs="Arial"/>
          <w:color w:val="000000"/>
          <w:sz w:val="19"/>
          <w:szCs w:val="19"/>
        </w:rPr>
        <w:t>ARTÍCULO 3o. COMPETENCIAS DEL NIVEL NACIONAL Y TERRITORIAL. El servicio público esencial se prestará con fundamento en los principios de subsidiariedad, coordinación y concurrencia, en cumplimiento de lo dispuesto en el artículo 288 de la Constitución.</w:t>
      </w:r>
    </w:p>
    <w:p w14:paraId="17A23410" w14:textId="77777777" w:rsidR="009B0A10" w:rsidRPr="00AA67D4" w:rsidRDefault="009B0A10" w:rsidP="009B0A10">
      <w:pPr>
        <w:pStyle w:val="Textonotapie"/>
        <w:ind w:firstLine="708"/>
        <w:jc w:val="both"/>
        <w:rPr>
          <w:rFonts w:ascii="Arial" w:hAnsi="Arial" w:cs="Arial"/>
          <w:color w:val="000000"/>
          <w:sz w:val="19"/>
          <w:szCs w:val="19"/>
        </w:rPr>
      </w:pPr>
      <w:r w:rsidRPr="00AA67D4">
        <w:rPr>
          <w:rFonts w:ascii="Arial" w:hAnsi="Arial" w:cs="Arial"/>
          <w:color w:val="000000"/>
          <w:sz w:val="19"/>
          <w:szCs w:val="19"/>
        </w:rPr>
        <w:t>[…]</w:t>
      </w:r>
    </w:p>
    <w:p w14:paraId="44B416B0" w14:textId="77777777" w:rsidR="009B0A10" w:rsidRPr="00AA67D4" w:rsidRDefault="009B0A10" w:rsidP="009B0A10">
      <w:pPr>
        <w:pStyle w:val="Textonotapie"/>
        <w:ind w:firstLine="708"/>
        <w:jc w:val="both"/>
        <w:rPr>
          <w:rFonts w:ascii="Arial" w:hAnsi="Arial" w:cs="Arial"/>
          <w:color w:val="000000"/>
          <w:sz w:val="19"/>
          <w:szCs w:val="19"/>
        </w:rPr>
      </w:pPr>
      <w:r w:rsidRPr="00AA67D4">
        <w:rPr>
          <w:rFonts w:ascii="Arial" w:hAnsi="Arial" w:cs="Arial"/>
          <w:color w:val="000000"/>
          <w:sz w:val="19"/>
          <w:szCs w:val="19"/>
        </w:rPr>
        <w:t xml:space="preserve">Es obligación de los distritos, con asiento en su respectiva jurisdicción y de los municipios la prestación del servicio público esencial a través de los cuerpos de bomberos oficiales o </w:t>
      </w:r>
      <w:r w:rsidRPr="00AA67D4">
        <w:rPr>
          <w:rFonts w:ascii="Arial" w:hAnsi="Arial" w:cs="Arial"/>
          <w:i/>
          <w:color w:val="000000"/>
          <w:sz w:val="19"/>
          <w:szCs w:val="19"/>
        </w:rPr>
        <w:t>mediante la celebración de contratos y/o convenios con los cuerpos de bomberos voluntarios</w:t>
      </w:r>
      <w:r w:rsidRPr="00AA67D4">
        <w:rPr>
          <w:rFonts w:ascii="Arial" w:hAnsi="Arial" w:cs="Arial"/>
          <w:color w:val="000000"/>
          <w:sz w:val="19"/>
          <w:szCs w:val="19"/>
        </w:rPr>
        <w:t>. […]</w:t>
      </w:r>
      <w:r>
        <w:rPr>
          <w:rFonts w:ascii="Arial" w:hAnsi="Arial" w:cs="Arial"/>
          <w:color w:val="000000"/>
          <w:sz w:val="19"/>
          <w:szCs w:val="19"/>
        </w:rPr>
        <w:t>”</w:t>
      </w:r>
      <w:r w:rsidRPr="00AA67D4">
        <w:rPr>
          <w:rFonts w:ascii="Arial" w:hAnsi="Arial" w:cs="Arial"/>
          <w:color w:val="000000"/>
          <w:sz w:val="19"/>
          <w:szCs w:val="19"/>
        </w:rPr>
        <w:t xml:space="preserve"> (Cursivas propias).</w:t>
      </w:r>
    </w:p>
    <w:p w14:paraId="4BD745B6" w14:textId="77777777" w:rsidR="009B0A10" w:rsidRPr="00AA67D4" w:rsidRDefault="009B0A10" w:rsidP="009B0A10">
      <w:pPr>
        <w:pStyle w:val="Textonotapie"/>
        <w:ind w:firstLine="708"/>
        <w:jc w:val="both"/>
        <w:rPr>
          <w:rFonts w:ascii="Arial" w:hAnsi="Arial" w:cs="Arial"/>
          <w:color w:val="000000"/>
          <w:sz w:val="16"/>
          <w:szCs w:val="16"/>
          <w:lang w:val="es-CO"/>
        </w:rPr>
      </w:pPr>
    </w:p>
  </w:footnote>
  <w:footnote w:id="11">
    <w:p w14:paraId="1C9A46EA" w14:textId="77777777" w:rsidR="009B0A10" w:rsidRPr="00AA67D4" w:rsidRDefault="009B0A10" w:rsidP="009B0A10">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Pr>
          <w:rFonts w:ascii="Arial" w:hAnsi="Arial" w:cs="Arial"/>
          <w:color w:val="000000"/>
          <w:sz w:val="19"/>
          <w:szCs w:val="19"/>
        </w:rPr>
        <w:t>“</w:t>
      </w:r>
      <w:r w:rsidRPr="00AA67D4">
        <w:rPr>
          <w:rFonts w:ascii="Arial" w:hAnsi="Arial" w:cs="Arial"/>
          <w:color w:val="000000"/>
          <w:sz w:val="19"/>
          <w:szCs w:val="19"/>
        </w:rPr>
        <w:t>ARTÍCULO 6o. &lt;Ver modificaciones a este artículo directamente en la Ley 136 de 1994&gt; El artículo 3o de la Ley 136 de 1994 quedará así:</w:t>
      </w:r>
    </w:p>
    <w:p w14:paraId="659F32C8" w14:textId="77777777" w:rsidR="009B0A10" w:rsidRPr="00AA67D4" w:rsidRDefault="009B0A10" w:rsidP="009B0A10">
      <w:pPr>
        <w:pStyle w:val="Textonotapie"/>
        <w:ind w:firstLine="708"/>
        <w:jc w:val="both"/>
        <w:rPr>
          <w:rFonts w:ascii="Arial" w:hAnsi="Arial" w:cs="Arial"/>
          <w:color w:val="000000"/>
          <w:sz w:val="19"/>
          <w:szCs w:val="19"/>
        </w:rPr>
      </w:pPr>
      <w:r w:rsidRPr="00AA67D4">
        <w:rPr>
          <w:rFonts w:ascii="Arial" w:hAnsi="Arial" w:cs="Arial"/>
          <w:color w:val="000000"/>
          <w:sz w:val="19"/>
          <w:szCs w:val="19"/>
        </w:rPr>
        <w:t>Artículo 3o. Funciones de los municipios. Corresponde al municipio:</w:t>
      </w:r>
    </w:p>
    <w:p w14:paraId="276C1034" w14:textId="77777777" w:rsidR="009B0A10" w:rsidRPr="00AA67D4" w:rsidRDefault="009B0A10" w:rsidP="009B0A10">
      <w:pPr>
        <w:pStyle w:val="Textonotapie"/>
        <w:ind w:firstLine="708"/>
        <w:jc w:val="both"/>
        <w:rPr>
          <w:rFonts w:ascii="Arial" w:hAnsi="Arial" w:cs="Arial"/>
          <w:color w:val="000000"/>
          <w:sz w:val="19"/>
          <w:szCs w:val="19"/>
        </w:rPr>
      </w:pPr>
      <w:r w:rsidRPr="00AA67D4">
        <w:rPr>
          <w:rFonts w:ascii="Arial" w:hAnsi="Arial" w:cs="Arial"/>
          <w:color w:val="000000"/>
          <w:sz w:val="19"/>
          <w:szCs w:val="19"/>
        </w:rPr>
        <w:t>[…]</w:t>
      </w:r>
    </w:p>
    <w:p w14:paraId="77B663CB" w14:textId="77777777" w:rsidR="009B0A10" w:rsidRPr="00AA67D4" w:rsidRDefault="009B0A10" w:rsidP="009B0A10">
      <w:pPr>
        <w:pStyle w:val="Textonotapie"/>
        <w:ind w:firstLine="708"/>
        <w:jc w:val="both"/>
        <w:rPr>
          <w:rFonts w:ascii="Arial" w:hAnsi="Arial" w:cs="Arial"/>
          <w:color w:val="000000"/>
          <w:sz w:val="19"/>
          <w:szCs w:val="19"/>
        </w:rPr>
      </w:pPr>
      <w:r w:rsidRPr="00AA67D4">
        <w:rPr>
          <w:rFonts w:ascii="Arial" w:hAnsi="Arial" w:cs="Arial"/>
          <w:color w:val="000000"/>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Pr>
          <w:rFonts w:ascii="Arial" w:hAnsi="Arial" w:cs="Arial"/>
          <w:color w:val="000000"/>
          <w:sz w:val="19"/>
          <w:szCs w:val="19"/>
        </w:rPr>
        <w:t>”</w:t>
      </w:r>
    </w:p>
  </w:footnote>
  <w:footnote w:id="12">
    <w:p w14:paraId="2B1F58D6" w14:textId="77777777" w:rsidR="009B0A10" w:rsidRPr="00AA67D4" w:rsidRDefault="009B0A10" w:rsidP="009B0A10">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sidRPr="00AA67D4">
        <w:rPr>
          <w:rFonts w:ascii="Arial" w:hAnsi="Arial" w:cs="Arial"/>
          <w:color w:val="000000"/>
          <w:sz w:val="19"/>
          <w:szCs w:val="19"/>
        </w:rPr>
        <w:t>Estas normas hacen parte de los antecedentes legislativos de la norma en comento, así como también la Ley 48 1986.</w:t>
      </w:r>
    </w:p>
  </w:footnote>
  <w:footnote w:id="13">
    <w:p w14:paraId="6C9FC768" w14:textId="77777777" w:rsidR="009B0A10" w:rsidRPr="009965C8" w:rsidRDefault="009B0A10" w:rsidP="009B0A10">
      <w:pPr>
        <w:pStyle w:val="Textonotapie"/>
        <w:ind w:firstLine="708"/>
        <w:jc w:val="both"/>
        <w:rPr>
          <w:rFonts w:ascii="Arial" w:hAnsi="Arial" w:cs="Arial"/>
          <w:sz w:val="19"/>
          <w:szCs w:val="19"/>
          <w:lang w:val="es-CO"/>
        </w:rPr>
      </w:pPr>
      <w:r w:rsidRPr="009965C8">
        <w:rPr>
          <w:rStyle w:val="Refdenotaalpie"/>
          <w:rFonts w:ascii="Arial" w:hAnsi="Arial" w:cs="Arial"/>
          <w:sz w:val="19"/>
          <w:szCs w:val="19"/>
        </w:rPr>
        <w:footnoteRef/>
      </w:r>
      <w:r w:rsidRPr="009965C8">
        <w:rPr>
          <w:rFonts w:ascii="Arial" w:hAnsi="Arial" w:cs="Arial"/>
          <w:sz w:val="19"/>
          <w:szCs w:val="19"/>
        </w:rPr>
        <w:t xml:space="preserve"> </w:t>
      </w:r>
      <w:r w:rsidRPr="009965C8">
        <w:rPr>
          <w:rFonts w:ascii="Arial" w:hAnsi="Arial" w:cs="Arial"/>
          <w:sz w:val="19"/>
          <w:szCs w:val="19"/>
        </w:rPr>
        <w:t>Documento suscrito por la Oficina de Promoción Social del Ministerio de Salud y de la Protección Social. D</w:t>
      </w:r>
      <w:r>
        <w:rPr>
          <w:rFonts w:ascii="Arial" w:hAnsi="Arial" w:cs="Arial"/>
          <w:sz w:val="19"/>
          <w:szCs w:val="19"/>
        </w:rPr>
        <w:t>ocumento d</w:t>
      </w:r>
      <w:r w:rsidRPr="009965C8">
        <w:rPr>
          <w:rFonts w:ascii="Arial" w:hAnsi="Arial" w:cs="Arial"/>
          <w:sz w:val="19"/>
          <w:szCs w:val="19"/>
        </w:rPr>
        <w:t>isponible para consulta en</w:t>
      </w:r>
      <w:r>
        <w:rPr>
          <w:rFonts w:ascii="Arial" w:hAnsi="Arial" w:cs="Arial"/>
          <w:sz w:val="19"/>
          <w:szCs w:val="19"/>
        </w:rPr>
        <w:t xml:space="preserve"> (consultado el 13 de julio de 2020)</w:t>
      </w:r>
      <w:r w:rsidRPr="009965C8">
        <w:rPr>
          <w:rFonts w:ascii="Arial" w:hAnsi="Arial" w:cs="Arial"/>
          <w:sz w:val="19"/>
          <w:szCs w:val="19"/>
        </w:rPr>
        <w:t>: https://www.minsalud.gov.co/Documentos%20y%20Publicaciones/Alcances%20de%20la%20Ley%201276%20de%202009.pdf</w:t>
      </w:r>
    </w:p>
  </w:footnote>
  <w:footnote w:id="14">
    <w:p w14:paraId="48B1CD6D" w14:textId="77777777" w:rsidR="009B0A10" w:rsidRPr="00AA67D4" w:rsidRDefault="009B0A10" w:rsidP="009B0A10">
      <w:pPr>
        <w:pStyle w:val="Textonotapie"/>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sidRPr="00AA67D4">
        <w:rPr>
          <w:rFonts w:ascii="Arial" w:hAnsi="Arial" w:cs="Arial"/>
          <w:color w:val="000000"/>
          <w:sz w:val="19"/>
          <w:szCs w:val="19"/>
        </w:rPr>
        <w:t xml:space="preserve">Ley 1150 de 2007: </w:t>
      </w:r>
      <w:r>
        <w:rPr>
          <w:rFonts w:ascii="Arial" w:hAnsi="Arial" w:cs="Arial"/>
          <w:color w:val="000000"/>
          <w:sz w:val="19"/>
          <w:szCs w:val="19"/>
        </w:rPr>
        <w:t>“</w:t>
      </w:r>
      <w:r w:rsidRPr="00AA67D4">
        <w:rPr>
          <w:rFonts w:ascii="Arial" w:hAnsi="Arial" w:cs="Arial"/>
          <w:color w:val="000000"/>
          <w:sz w:val="19"/>
          <w:szCs w:val="19"/>
        </w:rPr>
        <w:t>Artículo 2. De las modalidades de selección. La escogencia del contratista se efectuará con arreglo a las modalidades de selección de licitación pública, selección abreviada, concurso de méritos y contratación directa [...]</w:t>
      </w:r>
      <w:r>
        <w:rPr>
          <w:rFonts w:ascii="Arial" w:hAnsi="Arial" w:cs="Arial"/>
          <w:color w:val="000000"/>
          <w:sz w:val="19"/>
          <w:szCs w:val="19"/>
        </w:rPr>
        <w:t>”</w:t>
      </w:r>
      <w:r w:rsidRPr="00AA67D4">
        <w:rPr>
          <w:rFonts w:ascii="Arial" w:hAnsi="Arial" w:cs="Arial"/>
          <w:color w:val="000000"/>
          <w:sz w:val="19"/>
          <w:szCs w:val="19"/>
        </w:rPr>
        <w:t>.</w:t>
      </w:r>
    </w:p>
    <w:p w14:paraId="6822B71F" w14:textId="77777777" w:rsidR="009B0A10" w:rsidRPr="00AA67D4" w:rsidRDefault="009B0A10" w:rsidP="009B0A10">
      <w:pPr>
        <w:pStyle w:val="Textonotapie"/>
        <w:ind w:firstLine="709"/>
        <w:jc w:val="both"/>
        <w:rPr>
          <w:rFonts w:ascii="Arial" w:hAnsi="Arial" w:cs="Arial"/>
          <w:color w:val="000000"/>
          <w:sz w:val="19"/>
          <w:szCs w:val="19"/>
          <w:lang w:val="es-ES"/>
        </w:rPr>
      </w:pPr>
    </w:p>
  </w:footnote>
  <w:footnote w:id="15">
    <w:p w14:paraId="16D80904" w14:textId="77777777" w:rsidR="009B0A10" w:rsidRPr="00AA67D4" w:rsidRDefault="009B0A10" w:rsidP="009B0A10">
      <w:pPr>
        <w:pStyle w:val="Textonotapie"/>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sidRPr="00AA67D4">
        <w:rPr>
          <w:rFonts w:ascii="Arial" w:hAnsi="Arial" w:cs="Arial"/>
          <w:color w:val="000000"/>
          <w:sz w:val="19"/>
          <w:szCs w:val="19"/>
        </w:rPr>
        <w:t xml:space="preserve">Decreto 1082 de 2015: </w:t>
      </w:r>
      <w:r>
        <w:rPr>
          <w:rFonts w:ascii="Arial" w:hAnsi="Arial" w:cs="Arial"/>
          <w:color w:val="000000"/>
          <w:sz w:val="19"/>
          <w:szCs w:val="19"/>
        </w:rPr>
        <w:t>“</w:t>
      </w:r>
      <w:r w:rsidRPr="00AA67D4">
        <w:rPr>
          <w:rFonts w:ascii="Arial" w:hAnsi="Arial" w:cs="Arial"/>
          <w:color w:val="000000"/>
          <w:sz w:val="19"/>
          <w:szCs w:val="19"/>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78DE8F61" w14:textId="77777777" w:rsidR="009B0A10" w:rsidRPr="00AA67D4" w:rsidRDefault="009B0A10" w:rsidP="009B0A10">
      <w:pPr>
        <w:pStyle w:val="Textonotapie"/>
        <w:ind w:firstLine="709"/>
        <w:jc w:val="both"/>
        <w:rPr>
          <w:rFonts w:ascii="Arial" w:hAnsi="Arial" w:cs="Arial"/>
          <w:color w:val="000000"/>
          <w:sz w:val="19"/>
          <w:szCs w:val="19"/>
        </w:rPr>
      </w:pPr>
      <w:r w:rsidRPr="00AA67D4">
        <w:rPr>
          <w:rFonts w:ascii="Arial" w:hAnsi="Arial" w:cs="Arial"/>
          <w:color w:val="000000"/>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Pr>
          <w:rFonts w:ascii="Arial" w:hAnsi="Arial" w:cs="Arial"/>
          <w:color w:val="000000"/>
          <w:sz w:val="19"/>
          <w:szCs w:val="19"/>
        </w:rPr>
        <w:t>”</w:t>
      </w:r>
      <w:r w:rsidRPr="00AA67D4">
        <w:rPr>
          <w:rFonts w:ascii="Arial" w:hAnsi="Arial" w:cs="Arial"/>
          <w:color w:val="000000"/>
          <w:sz w:val="19"/>
          <w:szCs w:val="19"/>
        </w:rPr>
        <w:t>.</w:t>
      </w:r>
    </w:p>
    <w:p w14:paraId="0D2F6D89" w14:textId="77777777" w:rsidR="009B0A10" w:rsidRPr="00AA67D4" w:rsidRDefault="009B0A10" w:rsidP="009B0A10">
      <w:pPr>
        <w:pStyle w:val="Textonotapie"/>
        <w:ind w:firstLine="709"/>
        <w:jc w:val="both"/>
        <w:rPr>
          <w:rFonts w:ascii="Arial" w:hAnsi="Arial" w:cs="Arial"/>
          <w:color w:val="000000"/>
          <w:sz w:val="16"/>
          <w:szCs w:val="16"/>
        </w:rPr>
      </w:pPr>
    </w:p>
  </w:footnote>
  <w:footnote w:id="16">
    <w:p w14:paraId="6F89C675" w14:textId="77777777" w:rsidR="009B0A10" w:rsidRPr="00094C70" w:rsidRDefault="009B0A10" w:rsidP="009B0A10">
      <w:pPr>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Style w:val="Refdenotaalpie"/>
          <w:rFonts w:ascii="Arial" w:hAnsi="Arial" w:cs="Arial"/>
          <w:color w:val="000000"/>
          <w:sz w:val="19"/>
          <w:szCs w:val="19"/>
        </w:rPr>
        <w:t xml:space="preserve"> </w:t>
      </w:r>
      <w:r w:rsidRPr="00AA67D4">
        <w:rPr>
          <w:rFonts w:ascii="Arial" w:hAnsi="Arial" w:cs="Arial"/>
          <w:color w:val="000000"/>
          <w:sz w:val="19"/>
          <w:szCs w:val="19"/>
        </w:rPr>
        <w:t xml:space="preserve">Ley 1150 de 2007: </w:t>
      </w:r>
      <w:r>
        <w:rPr>
          <w:rFonts w:ascii="Arial" w:hAnsi="Arial" w:cs="Arial"/>
          <w:color w:val="000000"/>
          <w:sz w:val="19"/>
          <w:szCs w:val="19"/>
        </w:rPr>
        <w:t>“</w:t>
      </w:r>
      <w:r w:rsidRPr="00AA67D4">
        <w:rPr>
          <w:rFonts w:ascii="Arial" w:hAnsi="Arial" w:cs="Arial"/>
          <w:color w:val="000000"/>
          <w:sz w:val="19"/>
          <w:szCs w:val="19"/>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Pr>
          <w:rFonts w:ascii="Arial" w:hAnsi="Arial" w:cs="Arial"/>
          <w:color w:val="000000"/>
          <w:sz w:val="19"/>
          <w:szCs w:val="19"/>
        </w:rPr>
        <w:t>”</w:t>
      </w:r>
      <w:r w:rsidRPr="00AA67D4">
        <w:rPr>
          <w:rFonts w:ascii="Arial" w:hAnsi="Arial" w:cs="Arial"/>
          <w:color w:val="000000"/>
          <w:sz w:val="19"/>
          <w:szCs w:val="19"/>
        </w:rPr>
        <w:t>.</w:t>
      </w:r>
    </w:p>
  </w:footnote>
  <w:footnote w:id="17">
    <w:p w14:paraId="138F5E5C" w14:textId="77777777" w:rsidR="009B0A10" w:rsidRPr="00AA67D4" w:rsidRDefault="009B0A10" w:rsidP="009B0A10">
      <w:pPr>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Style w:val="Refdenotaalpie"/>
          <w:rFonts w:ascii="Arial" w:hAnsi="Arial" w:cs="Arial"/>
          <w:color w:val="000000"/>
          <w:sz w:val="19"/>
          <w:szCs w:val="19"/>
        </w:rPr>
        <w:t xml:space="preserve"> </w:t>
      </w:r>
      <w:r w:rsidRPr="00AA67D4">
        <w:rPr>
          <w:rFonts w:ascii="Arial" w:hAnsi="Arial" w:cs="Arial"/>
          <w:color w:val="000000"/>
          <w:sz w:val="19"/>
          <w:szCs w:val="19"/>
        </w:rPr>
        <w:t>Ley 1150 de 2007, artículo 2, literal 4, numeral c, modificada por el artículo 92 de la Ley 1474 de 2011.</w:t>
      </w:r>
    </w:p>
  </w:footnote>
  <w:footnote w:id="18">
    <w:p w14:paraId="7E23999A" w14:textId="77777777" w:rsidR="009B0A10" w:rsidRPr="00AA67D4" w:rsidRDefault="009B0A10" w:rsidP="009B0A10">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sidRPr="00AA67D4">
        <w:rPr>
          <w:rFonts w:ascii="Arial" w:hAnsi="Arial" w:cs="Arial"/>
          <w:color w:val="000000"/>
          <w:sz w:val="19"/>
          <w:szCs w:val="19"/>
        </w:rPr>
        <w:t>Sobre esta norma consultar los conceptos del 8 de octubre de 2019, con radicado 2201913000007532, y del 20 de diciembre de 2019, cuyo radicado es el No. 4201913000008240.</w:t>
      </w:r>
    </w:p>
    <w:p w14:paraId="36C8B344" w14:textId="77777777" w:rsidR="009B0A10" w:rsidRPr="00AA67D4" w:rsidRDefault="009B0A10" w:rsidP="009B0A10">
      <w:pPr>
        <w:pStyle w:val="Textonotapie"/>
        <w:ind w:firstLine="708"/>
        <w:jc w:val="both"/>
        <w:rPr>
          <w:rFonts w:ascii="Arial" w:hAnsi="Arial" w:cs="Arial"/>
          <w:color w:val="000000"/>
          <w:sz w:val="16"/>
          <w:szCs w:val="16"/>
          <w:lang w:val="es-ES"/>
        </w:rPr>
      </w:pPr>
    </w:p>
  </w:footnote>
  <w:footnote w:id="19">
    <w:p w14:paraId="4C91F72B" w14:textId="77777777" w:rsidR="009B0A10" w:rsidRPr="00AA67D4" w:rsidRDefault="009B0A10" w:rsidP="009B0A10">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Pr>
          <w:rFonts w:ascii="Arial" w:hAnsi="Arial" w:cs="Arial"/>
          <w:color w:val="000000"/>
          <w:sz w:val="19"/>
          <w:szCs w:val="19"/>
        </w:rPr>
        <w:t>“</w:t>
      </w:r>
      <w:r w:rsidRPr="00AA67D4">
        <w:rPr>
          <w:rFonts w:ascii="Arial" w:hAnsi="Arial" w:cs="Arial"/>
          <w:color w:val="000000"/>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6C400B2" w14:textId="77777777" w:rsidR="009B0A10" w:rsidRPr="00AA67D4" w:rsidRDefault="009B0A10" w:rsidP="009B0A10">
      <w:pPr>
        <w:pStyle w:val="Textonotapie"/>
        <w:ind w:firstLine="708"/>
        <w:jc w:val="both"/>
        <w:rPr>
          <w:rFonts w:ascii="Arial" w:hAnsi="Arial" w:cs="Arial"/>
          <w:color w:val="000000"/>
          <w:sz w:val="19"/>
          <w:szCs w:val="19"/>
        </w:rPr>
      </w:pPr>
      <w:r w:rsidRPr="00AA67D4">
        <w:rPr>
          <w:rFonts w:ascii="Arial" w:hAnsi="Arial" w:cs="Arial"/>
          <w:color w:val="000000"/>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r>
        <w:rPr>
          <w:rFonts w:ascii="Arial" w:hAnsi="Arial" w:cs="Arial"/>
          <w:color w:val="000000"/>
          <w:sz w:val="19"/>
          <w:szCs w:val="19"/>
        </w:rPr>
        <w:t>”</w:t>
      </w:r>
      <w:r w:rsidRPr="00AA67D4">
        <w:rPr>
          <w:rFonts w:ascii="Arial" w:hAnsi="Arial" w:cs="Arial"/>
          <w:color w:val="000000"/>
          <w:sz w:val="19"/>
          <w:szCs w:val="19"/>
        </w:rPr>
        <w:t>.</w:t>
      </w:r>
    </w:p>
    <w:p w14:paraId="785B587E" w14:textId="77777777" w:rsidR="009B0A10" w:rsidRPr="00AA67D4" w:rsidRDefault="009B0A10" w:rsidP="009B0A10">
      <w:pPr>
        <w:pStyle w:val="Textonotapie"/>
        <w:ind w:firstLine="708"/>
        <w:jc w:val="both"/>
        <w:rPr>
          <w:rFonts w:ascii="Arial" w:hAnsi="Arial" w:cs="Arial"/>
          <w:color w:val="000000"/>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E3F0" w14:textId="77777777" w:rsidR="00906B3C" w:rsidRPr="007566FE" w:rsidRDefault="009B0A10"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6228CBF5" wp14:editId="52255D8E">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4A5B6C4B" w14:textId="77777777" w:rsidR="007566FE" w:rsidRPr="007566FE" w:rsidRDefault="009B0A10"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3056479F" w14:textId="77777777" w:rsidR="00793403" w:rsidRDefault="009B0A10"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E82EB78" wp14:editId="7F906775">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79067873" w14:textId="77777777" w:rsidR="00793403" w:rsidRPr="007566FE" w:rsidRDefault="009B0A10" w:rsidP="008614E5">
    <w:pPr>
      <w:rPr>
        <w:rFonts w:ascii="Geomanist Light" w:hAnsi="Geomanist Light"/>
        <w:color w:val="002060"/>
        <w:sz w:val="16"/>
        <w:szCs w:val="16"/>
      </w:rPr>
    </w:pPr>
  </w:p>
  <w:p w14:paraId="0847BDE1" w14:textId="77777777" w:rsidR="004A1847" w:rsidRPr="00906B3C" w:rsidRDefault="009B0A10"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908"/>
    <w:multiLevelType w:val="hybridMultilevel"/>
    <w:tmpl w:val="32E4C36E"/>
    <w:lvl w:ilvl="0" w:tplc="0536338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3FC3559"/>
    <w:multiLevelType w:val="hybridMultilevel"/>
    <w:tmpl w:val="7EF641E0"/>
    <w:lvl w:ilvl="0" w:tplc="97424340">
      <w:start w:val="2"/>
      <w:numFmt w:val="lowerRoman"/>
      <w:lvlText w:val="%1)"/>
      <w:lvlJc w:val="left"/>
      <w:pPr>
        <w:ind w:left="2137" w:hanging="720"/>
      </w:pPr>
      <w:rPr>
        <w:rFonts w:eastAsiaTheme="minorHAnsi" w:hint="default"/>
        <w:i/>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num w:numId="1" w16cid:durableId="779421611">
    <w:abstractNumId w:val="1"/>
  </w:num>
  <w:num w:numId="2" w16cid:durableId="124383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10"/>
    <w:rsid w:val="002015F8"/>
    <w:rsid w:val="00534E9A"/>
    <w:rsid w:val="009B0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F0E9FF4"/>
  <w15:chartTrackingRefBased/>
  <w15:docId w15:val="{D4E10204-B0EB-B44A-A41F-CB6AB106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A10"/>
    <w:pPr>
      <w:tabs>
        <w:tab w:val="center" w:pos="4419"/>
        <w:tab w:val="right" w:pos="8838"/>
      </w:tabs>
    </w:pPr>
    <w:rPr>
      <w:kern w:val="0"/>
      <w:sz w:val="22"/>
      <w:szCs w:val="22"/>
      <w:lang w:val="es-CO"/>
      <w14:ligatures w14:val="none"/>
    </w:rPr>
  </w:style>
  <w:style w:type="character" w:customStyle="1" w:styleId="EncabezadoCar">
    <w:name w:val="Encabezado Car"/>
    <w:basedOn w:val="Fuentedeprrafopredeter"/>
    <w:link w:val="Encabezado"/>
    <w:uiPriority w:val="99"/>
    <w:rsid w:val="009B0A10"/>
    <w:rPr>
      <w:kern w:val="0"/>
      <w:sz w:val="22"/>
      <w:szCs w:val="22"/>
      <w14:ligatures w14:val="none"/>
    </w:rPr>
  </w:style>
  <w:style w:type="paragraph" w:styleId="Piedepgina">
    <w:name w:val="footer"/>
    <w:basedOn w:val="Normal"/>
    <w:link w:val="PiedepginaCar"/>
    <w:uiPriority w:val="99"/>
    <w:unhideWhenUsed/>
    <w:rsid w:val="009B0A10"/>
    <w:pPr>
      <w:tabs>
        <w:tab w:val="center" w:pos="4419"/>
        <w:tab w:val="right" w:pos="8838"/>
      </w:tabs>
    </w:pPr>
    <w:rPr>
      <w:kern w:val="0"/>
      <w:sz w:val="22"/>
      <w:szCs w:val="22"/>
      <w:lang w:val="es-CO"/>
      <w14:ligatures w14:val="none"/>
    </w:rPr>
  </w:style>
  <w:style w:type="character" w:customStyle="1" w:styleId="PiedepginaCar">
    <w:name w:val="Pie de página Car"/>
    <w:basedOn w:val="Fuentedeprrafopredeter"/>
    <w:link w:val="Piedepgina"/>
    <w:uiPriority w:val="99"/>
    <w:rsid w:val="009B0A1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B0A1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B0A10"/>
    <w:rPr>
      <w:sz w:val="20"/>
      <w:szCs w:val="20"/>
      <w:lang w:val="es-MX"/>
    </w:rPr>
  </w:style>
  <w:style w:type="character" w:customStyle="1" w:styleId="TextonotapieCar1">
    <w:name w:val="Texto nota pie Car1"/>
    <w:basedOn w:val="Fuentedeprrafopredeter"/>
    <w:uiPriority w:val="99"/>
    <w:semiHidden/>
    <w:rsid w:val="009B0A10"/>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9B0A10"/>
    <w:rPr>
      <w:vertAlign w:val="superscript"/>
    </w:rPr>
  </w:style>
  <w:style w:type="table" w:styleId="Tablaconcuadrcula">
    <w:name w:val="Table Grid"/>
    <w:basedOn w:val="Tablanormal"/>
    <w:uiPriority w:val="39"/>
    <w:rsid w:val="009B0A1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0A10"/>
    <w:pPr>
      <w:spacing w:after="160" w:line="259" w:lineRule="auto"/>
    </w:pPr>
    <w:rPr>
      <w:rFonts w:ascii="Times New Roman" w:hAnsi="Times New Roman" w:cs="Times New Roman"/>
      <w:kern w:val="0"/>
      <w:lang w:val="es-CO"/>
      <w14:ligatures w14:val="none"/>
    </w:rPr>
  </w:style>
  <w:style w:type="paragraph" w:customStyle="1" w:styleId="Appelnotedebasde">
    <w:name w:val="Appel note de bas de..."/>
    <w:basedOn w:val="Normal"/>
    <w:link w:val="Refdenotaalpie"/>
    <w:uiPriority w:val="99"/>
    <w:rsid w:val="009B0A10"/>
    <w:pPr>
      <w:spacing w:after="160" w:line="240" w:lineRule="exact"/>
      <w:jc w:val="both"/>
    </w:pPr>
    <w:rPr>
      <w:vertAlign w:val="superscript"/>
      <w:lang w:val="es-CO"/>
    </w:rPr>
  </w:style>
  <w:style w:type="table" w:customStyle="1" w:styleId="Tablaconcuadrcula1">
    <w:name w:val="Tabla con cuadrícula1"/>
    <w:basedOn w:val="Tablanormal"/>
    <w:next w:val="Tablaconcuadrcula"/>
    <w:uiPriority w:val="39"/>
    <w:rsid w:val="009B0A1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B0A10"/>
  </w:style>
  <w:style w:type="table" w:customStyle="1" w:styleId="Tablaconcuadrcula3">
    <w:name w:val="Tabla con cuadrícula3"/>
    <w:basedOn w:val="Tablanormal"/>
    <w:next w:val="Tablaconcuadrcula"/>
    <w:uiPriority w:val="59"/>
    <w:qFormat/>
    <w:rsid w:val="009B0A1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B48F5-5BC8-4756-ABA2-05A3B7960292}"/>
</file>

<file path=customXml/itemProps2.xml><?xml version="1.0" encoding="utf-8"?>
<ds:datastoreItem xmlns:ds="http://schemas.openxmlformats.org/officeDocument/2006/customXml" ds:itemID="{EBB54B4A-4453-4838-96B8-E0BD72001776}"/>
</file>

<file path=customXml/itemProps3.xml><?xml version="1.0" encoding="utf-8"?>
<ds:datastoreItem xmlns:ds="http://schemas.openxmlformats.org/officeDocument/2006/customXml" ds:itemID="{D2181122-45D2-4098-A0B9-4D33D00115A9}"/>
</file>

<file path=docProps/app.xml><?xml version="1.0" encoding="utf-8"?>
<Properties xmlns="http://schemas.openxmlformats.org/officeDocument/2006/extended-properties" xmlns:vt="http://schemas.openxmlformats.org/officeDocument/2006/docPropsVTypes">
  <Template>Normal.dotm</Template>
  <TotalTime>4</TotalTime>
  <Pages>16</Pages>
  <Words>6508</Words>
  <Characters>35796</Characters>
  <Application>Microsoft Office Word</Application>
  <DocSecurity>0</DocSecurity>
  <Lines>298</Lines>
  <Paragraphs>84</Paragraphs>
  <ScaleCrop>false</ScaleCrop>
  <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Herrera Santa</dc:creator>
  <cp:keywords/>
  <dc:description/>
  <cp:lastModifiedBy>Kevin Herrera Santa</cp:lastModifiedBy>
  <cp:revision>1</cp:revision>
  <dcterms:created xsi:type="dcterms:W3CDTF">2023-06-09T17:21:00Z</dcterms:created>
  <dcterms:modified xsi:type="dcterms:W3CDTF">2023-06-09T17:28:00Z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