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6D0F" w14:textId="77777777" w:rsidR="00060BA9" w:rsidRPr="006028CE" w:rsidRDefault="00060BA9"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CONTRATO DE PRESTACIÓN DE SERVICIOS – Características</w:t>
      </w:r>
    </w:p>
    <w:p w14:paraId="0434F437" w14:textId="77777777" w:rsidR="00BE4DDF" w:rsidRPr="006028CE" w:rsidRDefault="00BE4DDF" w:rsidP="006028CE">
      <w:pPr>
        <w:widowControl w:val="0"/>
        <w:autoSpaceDE w:val="0"/>
        <w:autoSpaceDN w:val="0"/>
        <w:spacing w:line="240" w:lineRule="auto"/>
        <w:contextualSpacing/>
        <w:jc w:val="both"/>
        <w:rPr>
          <w:rFonts w:ascii="Arial" w:hAnsi="Arial" w:cs="Arial"/>
          <w:color w:val="000000" w:themeColor="text1"/>
          <w:sz w:val="20"/>
          <w:szCs w:val="20"/>
          <w:lang w:val="es-ES_tradnl"/>
        </w:rPr>
      </w:pPr>
    </w:p>
    <w:p w14:paraId="1568FB11" w14:textId="77777777" w:rsidR="00BE4DDF" w:rsidRPr="006028CE" w:rsidRDefault="00BE4DDF" w:rsidP="006028CE">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r w:rsidRPr="006028CE">
        <w:rPr>
          <w:rFonts w:ascii="Arial" w:hAnsi="Arial" w:cs="Arial"/>
          <w:color w:val="000000" w:themeColor="text1"/>
          <w:sz w:val="20"/>
          <w:szCs w:val="20"/>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6028CE">
        <w:rPr>
          <w:rFonts w:ascii="Arial" w:eastAsia="Calibri" w:hAnsi="Arial" w:cs="Arial"/>
          <w:color w:val="000000" w:themeColor="text1"/>
          <w:sz w:val="20"/>
          <w:szCs w:val="20"/>
          <w:lang w:val="es-ES_tradnl"/>
        </w:rPr>
        <w:t xml:space="preserve"> La celebración de dicho contrato debe efectuarse a través de la modalidad de contratación directa. </w:t>
      </w:r>
    </w:p>
    <w:p w14:paraId="6D505A24" w14:textId="77777777" w:rsidR="00BE4DDF" w:rsidRPr="006028CE" w:rsidRDefault="00BE4DDF" w:rsidP="006028CE">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p>
    <w:p w14:paraId="61756796" w14:textId="7013CADE" w:rsidR="00BE4DDF" w:rsidRPr="006028CE" w:rsidRDefault="00BE4DDF" w:rsidP="006028CE">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r w:rsidRPr="006028CE">
        <w:rPr>
          <w:rFonts w:ascii="Arial" w:eastAsia="Yu Gothic UI Semibold" w:hAnsi="Arial" w:cs="Arial"/>
          <w:sz w:val="20"/>
          <w:szCs w:val="20"/>
          <w:shd w:val="clear" w:color="auto" w:fill="FFFFFF"/>
          <w:lang w:val="es-ES_tradnl"/>
        </w:rPr>
        <w:t xml:space="preserve">[…] </w:t>
      </w:r>
      <w:r w:rsidRPr="006028CE">
        <w:rPr>
          <w:rFonts w:ascii="Arial" w:hAnsi="Arial" w:cs="Arial"/>
          <w:noProof/>
          <w:sz w:val="20"/>
          <w:szCs w:val="20"/>
          <w:lang w:val="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6028CE">
        <w:rPr>
          <w:rFonts w:ascii="Arial" w:hAnsi="Arial" w:cs="Arial"/>
          <w:i/>
          <w:noProof/>
          <w:sz w:val="20"/>
          <w:szCs w:val="20"/>
          <w:lang w:val="es-ES_tradnl"/>
        </w:rPr>
        <w:t xml:space="preserve">subordinación </w:t>
      </w:r>
      <w:r w:rsidRPr="006028CE">
        <w:rPr>
          <w:rFonts w:ascii="Arial" w:hAnsi="Arial" w:cs="Arial"/>
          <w:iCs/>
          <w:noProof/>
          <w:sz w:val="20"/>
          <w:szCs w:val="20"/>
          <w:lang w:val="es-ES_tradnl"/>
        </w:rPr>
        <w:t>ni</w:t>
      </w:r>
      <w:r w:rsidRPr="006028CE">
        <w:rPr>
          <w:rFonts w:ascii="Arial" w:hAnsi="Arial" w:cs="Arial"/>
          <w:i/>
          <w:noProof/>
          <w:sz w:val="20"/>
          <w:szCs w:val="20"/>
          <w:lang w:val="es-ES_tradnl"/>
        </w:rPr>
        <w:t xml:space="preserve"> dependencia</w:t>
      </w:r>
      <w:r w:rsidRPr="006028CE">
        <w:rPr>
          <w:rFonts w:ascii="Arial" w:hAnsi="Arial" w:cs="Arial"/>
          <w:iCs/>
          <w:noProof/>
          <w:sz w:val="20"/>
          <w:szCs w:val="20"/>
          <w:lang w:val="es-ES_tradnl"/>
        </w:rPr>
        <w:t>,</w:t>
      </w:r>
      <w:r w:rsidRPr="006028CE">
        <w:rPr>
          <w:rFonts w:ascii="Arial" w:hAnsi="Arial" w:cs="Arial"/>
          <w:noProof/>
          <w:sz w:val="20"/>
          <w:szCs w:val="20"/>
          <w:lang w:val="es-ES_tradnl"/>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6028CE">
        <w:rPr>
          <w:rFonts w:ascii="Arial" w:hAnsi="Arial" w:cs="Arial"/>
          <w:i/>
          <w:noProof/>
          <w:sz w:val="20"/>
          <w:szCs w:val="20"/>
          <w:lang w:val="es-ES_tradnl"/>
        </w:rPr>
        <w:t>no pueden</w:t>
      </w:r>
      <w:r w:rsidRPr="006028CE">
        <w:rPr>
          <w:rFonts w:ascii="Arial" w:hAnsi="Arial" w:cs="Arial"/>
          <w:noProof/>
          <w:sz w:val="20"/>
          <w:szCs w:val="20"/>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p>
    <w:p w14:paraId="4C0A48B5" w14:textId="77777777" w:rsidR="00BE4DDF" w:rsidRPr="006028CE" w:rsidRDefault="00BE4DDF" w:rsidP="006028CE">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p>
    <w:p w14:paraId="5CF26388" w14:textId="66BA1F09" w:rsidR="00060BA9" w:rsidRPr="006028CE" w:rsidRDefault="00060BA9"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ESTABILIDAD OCUPACIONAL REFORZADA – Corte Constitucional – Condiciones</w:t>
      </w:r>
      <w:r w:rsidR="00C27055" w:rsidRPr="006028CE">
        <w:rPr>
          <w:rFonts w:ascii="Arial" w:eastAsia="Calibri" w:hAnsi="Arial" w:cs="Arial"/>
          <w:b/>
          <w:bCs/>
          <w:color w:val="000000"/>
          <w:sz w:val="20"/>
          <w:szCs w:val="20"/>
          <w:lang w:val="es-ES_tradnl"/>
        </w:rPr>
        <w:t xml:space="preserve"> –Alcance</w:t>
      </w:r>
    </w:p>
    <w:p w14:paraId="75225FCC" w14:textId="7744522A" w:rsidR="00C27055" w:rsidRPr="006028CE" w:rsidRDefault="00C27055" w:rsidP="006028CE">
      <w:pPr>
        <w:pStyle w:val="Textoindependiente"/>
        <w:ind w:right="109"/>
        <w:jc w:val="both"/>
        <w:rPr>
          <w:sz w:val="20"/>
          <w:szCs w:val="20"/>
        </w:rPr>
      </w:pPr>
      <w:r w:rsidRPr="006028CE">
        <w:rPr>
          <w:sz w:val="20"/>
          <w:szCs w:val="20"/>
        </w:rPr>
        <w:t>Su aplicación en contratos prestación de servicios tiene origen jurisprudencial, a través de sentencias de la Corte Constitucional como la sentencia de Tutela 1210 del 5 de diciembre de 2008, Magistrada ponente Clara Inés Vargas Hernández, que previó la posibilidad que se prediquen ciertas garantías de la relación laboral a los contratos de prestación de servicios tales como, el principio de estabilidad laboral.</w:t>
      </w:r>
    </w:p>
    <w:p w14:paraId="235CAAA1" w14:textId="77777777" w:rsidR="00C27055" w:rsidRPr="006028CE" w:rsidRDefault="00C27055" w:rsidP="006028CE">
      <w:pPr>
        <w:pStyle w:val="Textoindependiente"/>
        <w:ind w:right="110"/>
        <w:jc w:val="both"/>
        <w:rPr>
          <w:sz w:val="20"/>
          <w:szCs w:val="20"/>
        </w:rPr>
      </w:pPr>
    </w:p>
    <w:p w14:paraId="2BF1C1A4" w14:textId="7917DBEA" w:rsidR="00C27055" w:rsidRPr="006028CE" w:rsidRDefault="00C27055" w:rsidP="006028CE">
      <w:pPr>
        <w:pStyle w:val="Textoindependiente"/>
        <w:ind w:right="110"/>
        <w:jc w:val="both"/>
        <w:rPr>
          <w:sz w:val="20"/>
          <w:szCs w:val="20"/>
        </w:rPr>
      </w:pPr>
      <w:r w:rsidRPr="006028CE">
        <w:rPr>
          <w:sz w:val="20"/>
          <w:szCs w:val="20"/>
        </w:rPr>
        <w:t>Posteriormente, en la sentencia T-040 de 2016, Magistrado ponente Alejandro Linares Cantillo, protegió el derecho a la estabilidad laboral reforzada a una persona que se le terminó el contrato de prestación de servicios, mientras estaba afectado su estado de salud por encontrarse en una situación de debilidad manifiesta. Esta situación se ha reiterado en las sentencias T-490 de 2010 y T-988 de 2012, por medio del cual se declara que en los contratos de prestación de servicios no desaparecen los derechos a la estabilidad ocupacional reforzada a quienes se encuentren en una condición de debilidad manifiesta.</w:t>
      </w:r>
    </w:p>
    <w:p w14:paraId="407CDB4A" w14:textId="77777777" w:rsidR="00BE4DDF" w:rsidRPr="006028CE" w:rsidRDefault="00BE4DDF"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p>
    <w:p w14:paraId="03825E43" w14:textId="515B02FD" w:rsidR="00060BA9" w:rsidRPr="006028CE" w:rsidRDefault="00060BA9"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ESTABILIDAD OCUPACIONAL REFORZADA DE PERSONAS EN SITUACION DE DEBILIDAD MANIFIESTA POR RAZONES DE SALUD– Fundamento constitucional</w:t>
      </w:r>
    </w:p>
    <w:p w14:paraId="3271A9B0" w14:textId="77777777" w:rsidR="00C27055" w:rsidRPr="006028CE" w:rsidRDefault="00C27055" w:rsidP="006028CE">
      <w:pPr>
        <w:spacing w:after="0" w:line="240" w:lineRule="auto"/>
        <w:ind w:right="105"/>
        <w:jc w:val="both"/>
        <w:rPr>
          <w:rFonts w:ascii="Arial" w:eastAsia="Calibri" w:hAnsi="Arial" w:cs="Arial"/>
          <w:b/>
          <w:bCs/>
          <w:color w:val="000000"/>
          <w:sz w:val="20"/>
          <w:szCs w:val="20"/>
        </w:rPr>
      </w:pPr>
    </w:p>
    <w:p w14:paraId="4D87958F" w14:textId="049E650C" w:rsidR="00C27055" w:rsidRPr="006028CE" w:rsidRDefault="00C27055" w:rsidP="006028CE">
      <w:pPr>
        <w:spacing w:after="120" w:line="240" w:lineRule="auto"/>
        <w:jc w:val="both"/>
        <w:rPr>
          <w:rFonts w:ascii="Arial" w:eastAsia="Calibri" w:hAnsi="Arial" w:cs="Arial"/>
          <w:sz w:val="20"/>
          <w:szCs w:val="20"/>
          <w:lang w:val="es-ES"/>
        </w:rPr>
      </w:pPr>
      <w:r w:rsidRPr="006028CE">
        <w:rPr>
          <w:rFonts w:ascii="Arial" w:eastAsia="Calibri" w:hAnsi="Arial" w:cs="Arial"/>
          <w:sz w:val="20"/>
          <w:szCs w:val="20"/>
          <w:lang w:val="es-ES"/>
        </w:rPr>
        <w:t xml:space="preserve">Con la expedición de la Constitución Política de 1991, el Estado colombiano reconoció su deber de brindar una protección reforzada a todas las personas que se hallen en circunstancias de debilidad manifiesta y, en particular, a las personas en situación de debilidad manifiesta por razones de salud. No en vano, las cláusulas abiertas contenidas en los artículos 5, 13, 47, 53 y 95 superiores dan cuenta de un compromiso u obligación, producto del principio de igualdad material y acorde con los fines de un Estado Social de Derecho, consistente en el otorgamiento de un tratamiento preferencial para quienes se encuentren en situación de vulnerabilidad a través de </w:t>
      </w:r>
      <w:r w:rsidRPr="006028CE">
        <w:rPr>
          <w:rFonts w:ascii="Arial" w:eastAsia="Calibri" w:hAnsi="Arial" w:cs="Arial"/>
          <w:i/>
          <w:iCs/>
          <w:sz w:val="20"/>
          <w:szCs w:val="20"/>
          <w:lang w:val="es-ES"/>
        </w:rPr>
        <w:t>acciones afirmativas</w:t>
      </w:r>
      <w:r w:rsidRPr="006028CE">
        <w:rPr>
          <w:rFonts w:ascii="Arial" w:eastAsia="Calibri" w:hAnsi="Arial" w:cs="Arial"/>
          <w:sz w:val="20"/>
          <w:szCs w:val="20"/>
          <w:lang w:val="es-ES"/>
        </w:rPr>
        <w:t>.</w:t>
      </w:r>
    </w:p>
    <w:p w14:paraId="4F558E55" w14:textId="0098F25C" w:rsidR="001807B2" w:rsidRPr="006028CE" w:rsidRDefault="001807B2" w:rsidP="006028CE">
      <w:pPr>
        <w:spacing w:after="120" w:line="240" w:lineRule="auto"/>
        <w:jc w:val="both"/>
        <w:rPr>
          <w:rFonts w:ascii="Arial" w:eastAsia="Calibri" w:hAnsi="Arial" w:cs="Arial"/>
          <w:sz w:val="20"/>
          <w:szCs w:val="20"/>
          <w:lang w:val="es-ES"/>
        </w:rPr>
      </w:pPr>
      <w:r w:rsidRPr="006028CE">
        <w:rPr>
          <w:rFonts w:ascii="Arial" w:eastAsia="Yu Gothic UI Semibold" w:hAnsi="Arial" w:cs="Arial"/>
          <w:sz w:val="20"/>
          <w:szCs w:val="20"/>
          <w:shd w:val="clear" w:color="auto" w:fill="FFFFFF"/>
          <w:lang w:val="es-ES_tradnl"/>
        </w:rPr>
        <w:t>[…]</w:t>
      </w:r>
    </w:p>
    <w:p w14:paraId="291B9997" w14:textId="28DF7043" w:rsidR="001807B2" w:rsidRPr="006028CE" w:rsidRDefault="001807B2" w:rsidP="006028CE">
      <w:pPr>
        <w:spacing w:after="120" w:line="240" w:lineRule="auto"/>
        <w:jc w:val="both"/>
        <w:rPr>
          <w:rFonts w:ascii="Arial" w:eastAsia="Calibri" w:hAnsi="Arial" w:cs="Arial"/>
          <w:sz w:val="20"/>
          <w:szCs w:val="20"/>
          <w:lang w:val="es-ES"/>
        </w:rPr>
      </w:pPr>
      <w:r w:rsidRPr="006028CE">
        <w:rPr>
          <w:rFonts w:ascii="Arial" w:eastAsia="Calibri" w:hAnsi="Arial" w:cs="Arial"/>
          <w:sz w:val="20"/>
          <w:szCs w:val="20"/>
          <w:lang w:val="es-ES"/>
        </w:rPr>
        <w:lastRenderedPageBreak/>
        <w:t xml:space="preserve">Dentro de dichas acciones afirmativas, encontramos a la </w:t>
      </w:r>
      <w:r w:rsidRPr="006028CE">
        <w:rPr>
          <w:rFonts w:ascii="Arial" w:eastAsia="Calibri" w:hAnsi="Arial" w:cs="Arial"/>
          <w:color w:val="000000"/>
          <w:sz w:val="20"/>
          <w:szCs w:val="20"/>
        </w:rPr>
        <w:t>estabilidad laboral, vista como un principio mínimo fundamental del derecho al trabajo, que desarrolla el principio de igualdad y el mandato de no discriminación y el principio de solidaridad social,</w:t>
      </w:r>
      <w:r w:rsidRPr="006028CE">
        <w:rPr>
          <w:rFonts w:ascii="Arial" w:eastAsia="Yu Gothic UI Semibold" w:hAnsi="Arial" w:cs="Arial"/>
          <w:sz w:val="20"/>
          <w:szCs w:val="20"/>
          <w:shd w:val="clear" w:color="auto" w:fill="FFFFFF"/>
          <w:lang w:val="es-ES_tradnl"/>
        </w:rPr>
        <w:t xml:space="preserve"> […].</w:t>
      </w:r>
    </w:p>
    <w:p w14:paraId="1FA4EC9F" w14:textId="77777777" w:rsidR="00C27055" w:rsidRPr="006028CE" w:rsidRDefault="00C27055" w:rsidP="006028CE">
      <w:pPr>
        <w:tabs>
          <w:tab w:val="left" w:pos="426"/>
        </w:tabs>
        <w:spacing w:after="0" w:line="240" w:lineRule="auto"/>
        <w:jc w:val="both"/>
        <w:rPr>
          <w:rFonts w:ascii="Arial" w:eastAsia="Calibri" w:hAnsi="Arial" w:cs="Arial"/>
          <w:color w:val="000000"/>
          <w:sz w:val="20"/>
          <w:szCs w:val="20"/>
          <w:lang w:val="es-ES"/>
        </w:rPr>
      </w:pPr>
    </w:p>
    <w:p w14:paraId="242EB0E4" w14:textId="3A622AD6" w:rsidR="00C27055" w:rsidRPr="006028CE" w:rsidRDefault="00C27055"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 xml:space="preserve">ESTABILIDAD OCUPACIONAL REFORZADA DE PERSONAS EN SITUACION DE DEBILIDAD MANIFIESTA POR RAZONES DE SALUD– Fundamento legal </w:t>
      </w:r>
    </w:p>
    <w:p w14:paraId="6A63E25F" w14:textId="77777777" w:rsidR="001807B2" w:rsidRPr="006028CE" w:rsidRDefault="001807B2" w:rsidP="006028CE">
      <w:pPr>
        <w:spacing w:after="120" w:line="240" w:lineRule="auto"/>
        <w:jc w:val="both"/>
        <w:rPr>
          <w:rFonts w:ascii="Arial" w:eastAsia="Yu Gothic UI Semibold" w:hAnsi="Arial" w:cs="Arial"/>
          <w:sz w:val="20"/>
          <w:szCs w:val="20"/>
          <w:shd w:val="clear" w:color="auto" w:fill="FFFFFF"/>
          <w:lang w:val="es-ES_tradnl"/>
        </w:rPr>
      </w:pPr>
    </w:p>
    <w:p w14:paraId="48881B38" w14:textId="34D1851C" w:rsidR="00C27055" w:rsidRPr="006028CE" w:rsidRDefault="001807B2" w:rsidP="006028CE">
      <w:pPr>
        <w:spacing w:after="120" w:line="240" w:lineRule="auto"/>
        <w:jc w:val="both"/>
        <w:rPr>
          <w:rFonts w:ascii="Arial" w:hAnsi="Arial" w:cs="Arial"/>
          <w:sz w:val="20"/>
          <w:szCs w:val="20"/>
        </w:rPr>
      </w:pPr>
      <w:r w:rsidRPr="006028CE">
        <w:rPr>
          <w:rFonts w:ascii="Arial" w:eastAsia="Yu Gothic UI Semibold" w:hAnsi="Arial" w:cs="Arial"/>
          <w:sz w:val="20"/>
          <w:szCs w:val="20"/>
          <w:shd w:val="clear" w:color="auto" w:fill="FFFFFF"/>
          <w:lang w:val="es-ES_tradnl"/>
        </w:rPr>
        <w:t xml:space="preserve">[…] </w:t>
      </w:r>
      <w:r w:rsidRPr="006028CE">
        <w:rPr>
          <w:rFonts w:ascii="Arial" w:hAnsi="Arial" w:cs="Arial"/>
          <w:sz w:val="20"/>
          <w:szCs w:val="20"/>
        </w:rPr>
        <w:t xml:space="preserve">la </w:t>
      </w:r>
      <w:r w:rsidRPr="006028CE">
        <w:rPr>
          <w:rFonts w:ascii="Arial" w:eastAsia="Calibri" w:hAnsi="Arial" w:cs="Arial"/>
          <w:color w:val="000000"/>
          <w:sz w:val="20"/>
          <w:szCs w:val="20"/>
        </w:rPr>
        <w:t>estabilidad</w:t>
      </w:r>
      <w:r w:rsidR="00C27055" w:rsidRPr="006028CE">
        <w:rPr>
          <w:rFonts w:ascii="Arial" w:eastAsia="Calibri" w:hAnsi="Arial" w:cs="Arial"/>
          <w:i/>
          <w:iCs/>
          <w:color w:val="000000"/>
          <w:sz w:val="20"/>
          <w:szCs w:val="20"/>
        </w:rPr>
        <w:t xml:space="preserve"> ocupacional reforzada de personas en situación de debilidad manifiesta por razones de salud</w:t>
      </w:r>
      <w:r w:rsidR="00C27055" w:rsidRPr="006028CE">
        <w:rPr>
          <w:rFonts w:ascii="Arial" w:eastAsia="Calibri" w:hAnsi="Arial" w:cs="Arial"/>
          <w:color w:val="000000"/>
          <w:sz w:val="20"/>
          <w:szCs w:val="20"/>
        </w:rPr>
        <w:t xml:space="preserve">, encuentra sustento en la </w:t>
      </w:r>
      <w:r w:rsidR="00C27055" w:rsidRPr="006028CE">
        <w:rPr>
          <w:rFonts w:ascii="Arial" w:hAnsi="Arial" w:cs="Arial"/>
          <w:sz w:val="20"/>
          <w:szCs w:val="20"/>
        </w:rPr>
        <w:t xml:space="preserve">Ley 361 de 1997, </w:t>
      </w:r>
      <w:r w:rsidR="00C27055" w:rsidRPr="006028CE">
        <w:rPr>
          <w:rFonts w:ascii="Arial" w:hAnsi="Arial" w:cs="Arial"/>
          <w:i/>
          <w:iCs/>
          <w:sz w:val="20"/>
          <w:szCs w:val="20"/>
        </w:rPr>
        <w:t>“Por la cual se establecen mecanismos de integración social de las personas en situación de discapacidad y se dictan otras disposiciones”,</w:t>
      </w:r>
      <w:r w:rsidR="00C27055" w:rsidRPr="006028CE">
        <w:rPr>
          <w:rFonts w:ascii="Arial" w:hAnsi="Arial" w:cs="Arial"/>
          <w:sz w:val="20"/>
          <w:szCs w:val="20"/>
        </w:rPr>
        <w:t xml:space="preserve"> especialmente en su  artículo 26 que dispuso que en ningún caso la discapacidad de una persona podrá ser un motivo para terminar su contrato</w:t>
      </w:r>
      <w:r w:rsidR="006028CE">
        <w:rPr>
          <w:rFonts w:ascii="Arial" w:hAnsi="Arial" w:cs="Arial"/>
          <w:sz w:val="20"/>
          <w:szCs w:val="20"/>
        </w:rPr>
        <w:t xml:space="preserve"> </w:t>
      </w:r>
      <w:r w:rsidR="006028CE" w:rsidRPr="006028CE">
        <w:rPr>
          <w:rFonts w:ascii="Arial" w:eastAsia="Yu Gothic UI Semibold" w:hAnsi="Arial" w:cs="Arial"/>
          <w:sz w:val="20"/>
          <w:szCs w:val="20"/>
          <w:shd w:val="clear" w:color="auto" w:fill="FFFFFF"/>
          <w:lang w:val="es-ES_tradnl"/>
        </w:rPr>
        <w:t>[…]</w:t>
      </w:r>
      <w:r w:rsidR="006028CE">
        <w:rPr>
          <w:rFonts w:ascii="Arial" w:eastAsia="Yu Gothic UI Semibold" w:hAnsi="Arial" w:cs="Arial"/>
          <w:sz w:val="20"/>
          <w:szCs w:val="20"/>
          <w:shd w:val="clear" w:color="auto" w:fill="FFFFFF"/>
          <w:lang w:val="es-ES_tradnl"/>
        </w:rPr>
        <w:t>.</w:t>
      </w:r>
    </w:p>
    <w:p w14:paraId="3AC7D08E" w14:textId="77777777" w:rsidR="00C27055" w:rsidRPr="006028CE" w:rsidRDefault="00C27055"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p>
    <w:p w14:paraId="6CDA7ADF" w14:textId="165B0AEA" w:rsidR="00C27055" w:rsidRPr="006028CE" w:rsidRDefault="00C27055"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ESTABILIDAD OCUPACIONAL REFORZADA DE PERSONAS EN SITUACION DE DEBILIDAD MANIFIESTA POR RAZONES DE SALUD– Fundamento jurisprudencial</w:t>
      </w:r>
    </w:p>
    <w:p w14:paraId="6F4B4592" w14:textId="77777777" w:rsidR="00C27055" w:rsidRPr="006028CE" w:rsidRDefault="00C27055"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p>
    <w:p w14:paraId="6F6C9DA6" w14:textId="1F2D255A" w:rsidR="001807B2" w:rsidRPr="006028CE" w:rsidRDefault="001807B2" w:rsidP="006028CE">
      <w:pPr>
        <w:tabs>
          <w:tab w:val="left" w:pos="426"/>
        </w:tabs>
        <w:spacing w:after="0" w:line="240" w:lineRule="auto"/>
        <w:jc w:val="both"/>
        <w:rPr>
          <w:rFonts w:ascii="Arial" w:eastAsia="Calibri" w:hAnsi="Arial" w:cs="Arial"/>
          <w:color w:val="000000"/>
          <w:sz w:val="20"/>
          <w:szCs w:val="20"/>
          <w:lang w:val="es-ES"/>
        </w:rPr>
      </w:pPr>
      <w:r w:rsidRPr="006028CE">
        <w:rPr>
          <w:rFonts w:ascii="Arial" w:eastAsia="Yu Gothic UI Semibold" w:hAnsi="Arial" w:cs="Arial"/>
          <w:sz w:val="20"/>
          <w:szCs w:val="20"/>
          <w:shd w:val="clear" w:color="auto" w:fill="FFFFFF"/>
          <w:lang w:val="es-ES_tradnl"/>
        </w:rPr>
        <w:t>[E]</w:t>
      </w:r>
      <w:r w:rsidRPr="006028CE">
        <w:rPr>
          <w:rFonts w:ascii="Arial" w:eastAsia="Calibri" w:hAnsi="Arial" w:cs="Arial"/>
          <w:color w:val="000000"/>
          <w:sz w:val="20"/>
          <w:szCs w:val="20"/>
          <w:lang w:val="es-ES"/>
        </w:rPr>
        <w:t>n sentencia de unificación 049 del 2 de febrero de 2017, magistrada ponente: María Victoria Calle Correa, en Sala Plena, unificó su jurisprudencia sobre la protección de estabilidad laboral reforzada que deben tener las personas en condición de debilidad manifiesta por cuestiones de salud en los contratos de prestación de servicios, con fundamento en el principio de solidaridad que supone asumir como propias causas en principio ajenas, cuando el titular de ellas no puede por razones objetivas ejercer su defensa y la protección individualmente de forma integral y en el mandato de no discriminación que prohíbe establecer tratamientos diferenciales injustificados entre dos personas o situaciones de hecho; y como en principio todas las personas se presumen iguales ante el derecho y en los derechos, cuando se pretende defender un trato distinto entre estas deben existir razones, constitucionalmente válidas, que lo justifiquen.</w:t>
      </w:r>
    </w:p>
    <w:p w14:paraId="6373EF7D" w14:textId="3E9C66FA" w:rsidR="001807B2" w:rsidRPr="006028CE" w:rsidRDefault="001807B2" w:rsidP="006028CE">
      <w:pPr>
        <w:tabs>
          <w:tab w:val="left" w:pos="426"/>
        </w:tabs>
        <w:spacing w:after="0" w:line="240" w:lineRule="auto"/>
        <w:jc w:val="both"/>
        <w:rPr>
          <w:rFonts w:ascii="Arial" w:eastAsia="Calibri" w:hAnsi="Arial" w:cs="Arial"/>
          <w:color w:val="000000"/>
          <w:sz w:val="20"/>
          <w:szCs w:val="20"/>
          <w:lang w:val="es-ES"/>
        </w:rPr>
      </w:pPr>
      <w:r w:rsidRPr="006028CE">
        <w:rPr>
          <w:rFonts w:ascii="Arial" w:eastAsia="Yu Gothic UI Semibold" w:hAnsi="Arial" w:cs="Arial"/>
          <w:sz w:val="20"/>
          <w:szCs w:val="20"/>
          <w:shd w:val="clear" w:color="auto" w:fill="FFFFFF"/>
          <w:lang w:val="es-ES_tradnl"/>
        </w:rPr>
        <w:t>[…]</w:t>
      </w:r>
    </w:p>
    <w:p w14:paraId="5BAD83BF" w14:textId="77777777" w:rsidR="006028CE" w:rsidRPr="006028CE" w:rsidRDefault="006028CE" w:rsidP="006028CE">
      <w:pPr>
        <w:pStyle w:val="Textoindependiente"/>
        <w:ind w:right="103"/>
        <w:jc w:val="both"/>
        <w:rPr>
          <w:sz w:val="20"/>
          <w:szCs w:val="20"/>
        </w:rPr>
      </w:pPr>
      <w:r w:rsidRPr="006028CE">
        <w:rPr>
          <w:sz w:val="20"/>
          <w:szCs w:val="20"/>
        </w:rPr>
        <w:t xml:space="preserve">En razón a lo anterior, la Corte Constitucional, en adelante, estableció que el derecho a la estabilidad laboral reforzada rige con independencia si la pérdida de calificación laboral es moderada, severa o profunda y además dejo sentada la línea de que dicha figura es aplicable a los contratos de prestación, conociéndose esta como </w:t>
      </w:r>
      <w:r w:rsidRPr="006028CE">
        <w:rPr>
          <w:i/>
          <w:iCs/>
          <w:sz w:val="20"/>
          <w:szCs w:val="20"/>
        </w:rPr>
        <w:t>estabilidad ocupacional reforzada</w:t>
      </w:r>
      <w:r w:rsidRPr="006028CE">
        <w:rPr>
          <w:sz w:val="20"/>
          <w:szCs w:val="20"/>
        </w:rPr>
        <w:t xml:space="preserve">. Dicho criterio fue reiterado y complementado en la sentencia </w:t>
      </w:r>
      <w:r w:rsidRPr="006028CE">
        <w:rPr>
          <w:rFonts w:eastAsia="Calibri"/>
          <w:color w:val="000000"/>
          <w:sz w:val="20"/>
          <w:szCs w:val="20"/>
        </w:rPr>
        <w:t xml:space="preserve">SU-380 del 3 de noviembre de 2021, donde indicó que </w:t>
      </w:r>
      <w:r w:rsidRPr="006028CE">
        <w:rPr>
          <w:sz w:val="20"/>
          <w:szCs w:val="20"/>
        </w:rPr>
        <w:t xml:space="preserve">las personas en situación de debilidad manifiesta por razones de salud vinculadas a través de un contrato de prestación de servicios tienen derecho a que se les garantice el derecho fundamental a la estabilidad ocupacional reforzada, y, por lo tanto, se les aplica lo previsto en el artículo 26 de la Ley 361 de 1997. </w:t>
      </w:r>
    </w:p>
    <w:p w14:paraId="29F24E83" w14:textId="77777777" w:rsidR="006028CE" w:rsidRPr="006028CE" w:rsidRDefault="006028CE" w:rsidP="006028CE">
      <w:pPr>
        <w:tabs>
          <w:tab w:val="left" w:pos="426"/>
        </w:tabs>
        <w:spacing w:after="0" w:line="240" w:lineRule="auto"/>
        <w:jc w:val="both"/>
        <w:rPr>
          <w:rFonts w:ascii="Arial" w:eastAsia="Calibri" w:hAnsi="Arial" w:cs="Arial"/>
          <w:color w:val="000000"/>
          <w:sz w:val="20"/>
          <w:szCs w:val="20"/>
          <w:lang w:val="es-ES"/>
        </w:rPr>
      </w:pPr>
      <w:r w:rsidRPr="006028CE">
        <w:rPr>
          <w:rFonts w:ascii="Arial" w:eastAsia="Yu Gothic UI Semibold" w:hAnsi="Arial" w:cs="Arial"/>
          <w:sz w:val="20"/>
          <w:szCs w:val="20"/>
          <w:shd w:val="clear" w:color="auto" w:fill="FFFFFF"/>
          <w:lang w:val="es-ES_tradnl"/>
        </w:rPr>
        <w:t>[…]</w:t>
      </w:r>
    </w:p>
    <w:p w14:paraId="2CDD487A" w14:textId="72B1CC2A" w:rsidR="006028CE" w:rsidRPr="006028CE" w:rsidRDefault="006028CE" w:rsidP="006028CE">
      <w:pPr>
        <w:pStyle w:val="Textoindependiente"/>
        <w:ind w:right="103"/>
        <w:jc w:val="both"/>
        <w:rPr>
          <w:rFonts w:eastAsia="Calibri"/>
          <w:color w:val="000000"/>
          <w:sz w:val="20"/>
          <w:szCs w:val="20"/>
        </w:rPr>
      </w:pPr>
      <w:r w:rsidRPr="006028CE">
        <w:rPr>
          <w:sz w:val="20"/>
          <w:szCs w:val="20"/>
        </w:rPr>
        <w:t xml:space="preserve">De esta manera, nuestro ordenamiento jurídico actual contempla que una persona en debilidad manifiesta por razones de salud no se le podrá terminar su contrato de prestación de servicios por razón de su discapacidad o enfermedad, salvo que medie autorización de la oficina de Trabajo, teniendo en cuenta que en dichos casos la presunción de discriminación debe ser desvirtuada por la entidad contratante. Ahora bien, si se le termina el contrato sin el permiso requerido, esta tendrá derecho a una indemnización equivalente a ciento ochenta (180) días del pago de honorarios, como también al </w:t>
      </w:r>
      <w:r w:rsidRPr="006028CE">
        <w:rPr>
          <w:rFonts w:eastAsia="Calibri"/>
          <w:color w:val="000000"/>
          <w:sz w:val="20"/>
          <w:szCs w:val="20"/>
        </w:rPr>
        <w:t>pago de los honorarios dejados de percibir desde la fecha de la terminación del contrato, hasta la renovación del mismo.</w:t>
      </w:r>
    </w:p>
    <w:p w14:paraId="0D3C061E" w14:textId="13B435D8" w:rsidR="00060BA9" w:rsidRPr="006028CE" w:rsidRDefault="00060BA9"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Times New Roman" w:hAnsi="Arial" w:cs="Arial"/>
          <w:sz w:val="20"/>
          <w:szCs w:val="20"/>
          <w:lang w:val="es-ES_tradnl" w:eastAsia="es-CO"/>
        </w:rPr>
        <w:br w:type="page"/>
      </w:r>
    </w:p>
    <w:p w14:paraId="02FF1DA6" w14:textId="2660DF1A" w:rsidR="0020130D" w:rsidRPr="00084F41" w:rsidRDefault="00864AF8" w:rsidP="0020130D">
      <w:pPr>
        <w:rPr>
          <w:rFonts w:ascii="Arial" w:eastAsia="Times New Roman" w:hAnsi="Arial" w:cs="Arial"/>
          <w:lang w:val="es-ES_tradnl" w:eastAsia="es-CO"/>
        </w:rPr>
      </w:pPr>
      <w:r w:rsidRPr="00864AF8">
        <w:rPr>
          <w:rFonts w:ascii="Geomanist Light" w:eastAsia="Times New Roman" w:hAnsi="Geomanist Light" w:cs="Arial"/>
          <w:b/>
          <w:bCs/>
          <w:noProof/>
          <w:lang w:val="es-ES_tradnl" w:eastAsia="es-CO"/>
        </w:rPr>
        <w:drawing>
          <wp:anchor distT="0" distB="0" distL="114300" distR="114300" simplePos="0" relativeHeight="251658240" behindDoc="1" locked="0" layoutInCell="1" allowOverlap="1" wp14:anchorId="28055683" wp14:editId="44AA6FE3">
            <wp:simplePos x="0" y="0"/>
            <wp:positionH relativeFrom="column">
              <wp:posOffset>3019734</wp:posOffset>
            </wp:positionH>
            <wp:positionV relativeFrom="paragraph">
              <wp:posOffset>4445</wp:posOffset>
            </wp:positionV>
            <wp:extent cx="3133870" cy="819150"/>
            <wp:effectExtent l="0" t="0" r="9525" b="0"/>
            <wp:wrapNone/>
            <wp:docPr id="12060219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2190" name="Imagen 1" descr="Interfaz de usuario gráfica,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140182" cy="820800"/>
                    </a:xfrm>
                    <a:prstGeom prst="rect">
                      <a:avLst/>
                    </a:prstGeom>
                  </pic:spPr>
                </pic:pic>
              </a:graphicData>
            </a:graphic>
            <wp14:sizeRelH relativeFrom="margin">
              <wp14:pctWidth>0</wp14:pctWidth>
            </wp14:sizeRelH>
            <wp14:sizeRelV relativeFrom="margin">
              <wp14:pctHeight>0</wp14:pctHeight>
            </wp14:sizeRelV>
          </wp:anchor>
        </w:drawing>
      </w:r>
      <w:r w:rsidR="0020130D" w:rsidRPr="00084F41">
        <w:rPr>
          <w:rFonts w:ascii="Arial" w:eastAsia="Times New Roman" w:hAnsi="Arial" w:cs="Arial"/>
          <w:lang w:val="es-ES_tradnl" w:eastAsia="es-CO"/>
        </w:rPr>
        <w:t>Bogotá, D</w:t>
      </w:r>
      <w:r w:rsidR="00084F41">
        <w:rPr>
          <w:rFonts w:ascii="Arial" w:eastAsia="Times New Roman" w:hAnsi="Arial" w:cs="Arial"/>
          <w:lang w:val="es-ES_tradnl" w:eastAsia="es-CO"/>
        </w:rPr>
        <w:t>.</w:t>
      </w:r>
      <w:r w:rsidR="0020130D" w:rsidRPr="00084F41">
        <w:rPr>
          <w:rFonts w:ascii="Arial" w:eastAsia="Times New Roman" w:hAnsi="Arial" w:cs="Arial"/>
          <w:lang w:val="es-ES_tradnl" w:eastAsia="es-CO"/>
        </w:rPr>
        <w:t xml:space="preserve"> C.</w:t>
      </w:r>
      <w:r w:rsidR="00084F41">
        <w:rPr>
          <w:rFonts w:ascii="Arial" w:eastAsia="Times New Roman" w:hAnsi="Arial" w:cs="Arial"/>
          <w:lang w:val="es-ES_tradnl" w:eastAsia="es-CO"/>
        </w:rPr>
        <w:t>,</w:t>
      </w:r>
      <w:r w:rsidR="0020130D" w:rsidRPr="00084F41">
        <w:rPr>
          <w:rFonts w:ascii="Arial" w:eastAsia="Times New Roman" w:hAnsi="Arial" w:cs="Arial"/>
          <w:lang w:val="es-ES_tradnl" w:eastAsia="es-CO"/>
        </w:rPr>
        <w:t xml:space="preserve"> </w:t>
      </w:r>
      <w:r w:rsidR="00084F41">
        <w:rPr>
          <w:rFonts w:ascii="Arial" w:eastAsia="Times New Roman" w:hAnsi="Arial" w:cs="Arial"/>
          <w:lang w:val="es-ES_tradnl" w:eastAsia="es-CO"/>
        </w:rPr>
        <w:t>25</w:t>
      </w:r>
      <w:r w:rsidR="0020130D" w:rsidRPr="00084F41">
        <w:rPr>
          <w:rFonts w:ascii="Arial" w:eastAsia="Times New Roman" w:hAnsi="Arial" w:cs="Arial"/>
          <w:lang w:val="es-ES_tradnl" w:eastAsia="es-CO"/>
        </w:rPr>
        <w:t xml:space="preserve"> de </w:t>
      </w:r>
      <w:r w:rsidR="00EF50C5">
        <w:rPr>
          <w:rFonts w:ascii="Arial" w:eastAsia="Times New Roman" w:hAnsi="Arial" w:cs="Arial"/>
          <w:lang w:val="es-ES_tradnl" w:eastAsia="es-CO"/>
        </w:rPr>
        <w:t>Mayo</w:t>
      </w:r>
      <w:r w:rsidR="0020130D" w:rsidRPr="00084F41">
        <w:rPr>
          <w:rFonts w:ascii="Arial" w:eastAsia="Times New Roman" w:hAnsi="Arial" w:cs="Arial"/>
          <w:lang w:val="es-ES_tradnl" w:eastAsia="es-CO"/>
        </w:rPr>
        <w:t xml:space="preserve"> del 2023</w:t>
      </w:r>
    </w:p>
    <w:p w14:paraId="10211691" w14:textId="6638A6B8" w:rsidR="0020130D" w:rsidRPr="00957445" w:rsidRDefault="0020130D" w:rsidP="00EF50C5">
      <w:pPr>
        <w:rPr>
          <w:rFonts w:ascii="Geomanist Light" w:eastAsia="Times New Roman" w:hAnsi="Geomanist Light" w:cs="Arial"/>
          <w:b/>
          <w:bCs/>
          <w:lang w:val="es-ES_tradnl" w:eastAsia="es-CO"/>
        </w:rPr>
      </w:pPr>
    </w:p>
    <w:p w14:paraId="606B6110" w14:textId="77777777" w:rsidR="0020130D" w:rsidRPr="002C7909" w:rsidRDefault="0020130D" w:rsidP="0020130D">
      <w:pPr>
        <w:spacing w:after="0" w:line="240" w:lineRule="auto"/>
        <w:contextualSpacing/>
        <w:rPr>
          <w:rFonts w:ascii="Arial" w:eastAsia="Geomanist Light" w:hAnsi="Arial" w:cs="Arial"/>
          <w:color w:val="000000"/>
          <w:lang w:val="es-MX"/>
        </w:rPr>
      </w:pPr>
    </w:p>
    <w:p w14:paraId="12778FFC" w14:textId="77777777" w:rsidR="0020130D" w:rsidRPr="0070639D" w:rsidRDefault="0020130D" w:rsidP="0020130D">
      <w:pPr>
        <w:tabs>
          <w:tab w:val="left" w:pos="3374"/>
        </w:tabs>
        <w:spacing w:after="0" w:line="240" w:lineRule="auto"/>
        <w:contextualSpacing/>
        <w:jc w:val="both"/>
        <w:rPr>
          <w:rFonts w:ascii="Arial" w:eastAsia="Calibri" w:hAnsi="Arial" w:cs="Arial"/>
          <w:color w:val="000000"/>
          <w:lang w:val="es-ES_tradnl"/>
        </w:rPr>
      </w:pPr>
      <w:r w:rsidRPr="0070639D">
        <w:rPr>
          <w:rFonts w:ascii="Arial" w:eastAsia="Calibri" w:hAnsi="Arial" w:cs="Arial"/>
          <w:color w:val="000000"/>
          <w:lang w:val="es-ES_tradnl"/>
        </w:rPr>
        <w:t>Señor</w:t>
      </w:r>
    </w:p>
    <w:p w14:paraId="0FDB82FA" w14:textId="268DAACC" w:rsidR="0020130D" w:rsidRPr="0070639D" w:rsidRDefault="000A0AF9" w:rsidP="0020130D">
      <w:pPr>
        <w:spacing w:after="0" w:line="240" w:lineRule="auto"/>
        <w:contextualSpacing/>
        <w:jc w:val="both"/>
        <w:rPr>
          <w:rFonts w:ascii="Arial" w:eastAsia="Calibri" w:hAnsi="Arial" w:cs="Arial"/>
          <w:b/>
          <w:bCs/>
        </w:rPr>
      </w:pPr>
      <w:r w:rsidRPr="0070639D">
        <w:rPr>
          <w:rFonts w:ascii="Arial" w:eastAsia="Calibri" w:hAnsi="Arial" w:cs="Arial"/>
          <w:b/>
          <w:bCs/>
        </w:rPr>
        <w:t>Juan David Orlas Arias</w:t>
      </w:r>
    </w:p>
    <w:p w14:paraId="4F4B69D8" w14:textId="2313001C" w:rsidR="000A0AF9" w:rsidRPr="0070639D" w:rsidRDefault="000A0AF9" w:rsidP="0020130D">
      <w:pPr>
        <w:spacing w:after="0" w:line="240" w:lineRule="auto"/>
        <w:contextualSpacing/>
        <w:jc w:val="both"/>
        <w:rPr>
          <w:rFonts w:ascii="Arial" w:hAnsi="Arial" w:cs="Arial"/>
        </w:rPr>
      </w:pPr>
      <w:r w:rsidRPr="0070639D">
        <w:rPr>
          <w:rFonts w:ascii="Arial" w:hAnsi="Arial" w:cs="Arial"/>
        </w:rPr>
        <w:t>Director</w:t>
      </w:r>
    </w:p>
    <w:p w14:paraId="05EC638E" w14:textId="1972D736" w:rsidR="000A0AF9" w:rsidRPr="0070639D" w:rsidRDefault="000A0AF9" w:rsidP="0020130D">
      <w:pPr>
        <w:spacing w:after="0" w:line="240" w:lineRule="auto"/>
        <w:contextualSpacing/>
        <w:jc w:val="both"/>
        <w:rPr>
          <w:rFonts w:ascii="Arial" w:hAnsi="Arial" w:cs="Arial"/>
        </w:rPr>
      </w:pPr>
      <w:r w:rsidRPr="0070639D">
        <w:rPr>
          <w:rFonts w:ascii="Arial" w:hAnsi="Arial" w:cs="Arial"/>
        </w:rPr>
        <w:t>INDER</w:t>
      </w:r>
      <w:r w:rsidR="0070639D" w:rsidRPr="0070639D">
        <w:rPr>
          <w:rFonts w:ascii="Arial" w:hAnsi="Arial" w:cs="Arial"/>
        </w:rPr>
        <w:t xml:space="preserve"> Girardota</w:t>
      </w:r>
    </w:p>
    <w:p w14:paraId="7072F72C" w14:textId="02ED1019" w:rsidR="0020130D" w:rsidRPr="0070639D" w:rsidRDefault="0070639D" w:rsidP="0020130D">
      <w:pPr>
        <w:spacing w:after="0" w:line="240" w:lineRule="auto"/>
        <w:contextualSpacing/>
        <w:jc w:val="both"/>
        <w:rPr>
          <w:rFonts w:ascii="Arial" w:eastAsia="Calibri" w:hAnsi="Arial" w:cs="Arial"/>
        </w:rPr>
      </w:pPr>
      <w:r>
        <w:rPr>
          <w:rFonts w:ascii="Arial" w:eastAsia="Calibri" w:hAnsi="Arial" w:cs="Arial"/>
        </w:rPr>
        <w:t>Bogotá, D.C.</w:t>
      </w:r>
    </w:p>
    <w:p w14:paraId="05815164" w14:textId="77777777" w:rsidR="0020130D" w:rsidRDefault="0020130D" w:rsidP="0020130D">
      <w:pPr>
        <w:spacing w:after="0" w:line="240" w:lineRule="auto"/>
        <w:contextualSpacing/>
        <w:rPr>
          <w:rFonts w:ascii="Arial" w:eastAsia="Calibri" w:hAnsi="Arial" w:cs="Arial"/>
          <w:b/>
        </w:rPr>
      </w:pPr>
    </w:p>
    <w:p w14:paraId="4D1C2D4A" w14:textId="77777777" w:rsidR="0020130D" w:rsidRPr="002C7909" w:rsidRDefault="0020130D" w:rsidP="0020130D">
      <w:pPr>
        <w:spacing w:after="0" w:line="240" w:lineRule="auto"/>
        <w:contextualSpacing/>
        <w:rPr>
          <w:rFonts w:ascii="Arial" w:eastAsia="Calibri" w:hAnsi="Arial" w:cs="Arial"/>
          <w:b/>
        </w:rPr>
      </w:pPr>
    </w:p>
    <w:p w14:paraId="4D02400E" w14:textId="67FB0514" w:rsidR="0020130D" w:rsidRPr="002C7909" w:rsidRDefault="0020130D" w:rsidP="00AE52CD">
      <w:pPr>
        <w:spacing w:after="0" w:line="240" w:lineRule="auto"/>
        <w:ind w:left="2124" w:firstLine="570"/>
        <w:contextualSpacing/>
        <w:rPr>
          <w:rFonts w:ascii="Arial" w:eastAsia="Calibri" w:hAnsi="Arial" w:cs="Arial"/>
          <w:b/>
          <w:bCs/>
        </w:rPr>
      </w:pPr>
      <w:r w:rsidRPr="002C7909">
        <w:rPr>
          <w:rFonts w:ascii="Arial" w:eastAsia="Calibri" w:hAnsi="Arial" w:cs="Arial"/>
          <w:b/>
        </w:rPr>
        <w:t xml:space="preserve">Concepto C – </w:t>
      </w:r>
      <w:r w:rsidR="009958A8">
        <w:rPr>
          <w:rFonts w:ascii="Arial" w:eastAsia="Calibri" w:hAnsi="Arial" w:cs="Arial"/>
          <w:b/>
        </w:rPr>
        <w:t>135</w:t>
      </w:r>
      <w:r w:rsidRPr="002C7909">
        <w:rPr>
          <w:rFonts w:ascii="Arial" w:eastAsia="Calibri" w:hAnsi="Arial" w:cs="Arial"/>
          <w:b/>
        </w:rPr>
        <w:t xml:space="preserve"> de 2023</w:t>
      </w:r>
    </w:p>
    <w:p w14:paraId="6A60408F" w14:textId="77777777" w:rsidR="0020130D" w:rsidRPr="002C7909" w:rsidRDefault="0020130D" w:rsidP="0020130D">
      <w:pPr>
        <w:spacing w:after="0" w:line="240" w:lineRule="auto"/>
        <w:contextualSpacing/>
        <w:jc w:val="both"/>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0130D" w:rsidRPr="002C7909" w14:paraId="0A7D0D73" w14:textId="77777777" w:rsidTr="00F20A46">
        <w:tc>
          <w:tcPr>
            <w:tcW w:w="2689" w:type="dxa"/>
            <w:hideMark/>
          </w:tcPr>
          <w:p w14:paraId="0999A83C" w14:textId="77777777" w:rsidR="0020130D" w:rsidRPr="002C7909" w:rsidRDefault="0020130D" w:rsidP="00F20A46">
            <w:pPr>
              <w:contextualSpacing/>
              <w:jc w:val="both"/>
              <w:rPr>
                <w:rFonts w:ascii="Arial" w:eastAsia="Calibri" w:hAnsi="Arial" w:cs="Arial"/>
                <w:color w:val="000000"/>
                <w:lang w:val="es-ES_tradnl"/>
              </w:rPr>
            </w:pPr>
            <w:r w:rsidRPr="002C7909">
              <w:rPr>
                <w:rFonts w:ascii="Arial" w:eastAsia="Calibri" w:hAnsi="Arial" w:cs="Arial"/>
                <w:b/>
                <w:color w:val="000000"/>
                <w:lang w:val="es-ES_tradnl"/>
              </w:rPr>
              <w:t>Temas:</w:t>
            </w:r>
            <w:r w:rsidRPr="002C7909">
              <w:rPr>
                <w:rFonts w:ascii="Arial" w:eastAsia="Calibri" w:hAnsi="Arial" w:cs="Arial"/>
                <w:color w:val="000000"/>
                <w:lang w:val="es-ES_tradnl"/>
              </w:rPr>
              <w:t xml:space="preserve">           </w:t>
            </w:r>
          </w:p>
          <w:p w14:paraId="66D7CA0E" w14:textId="77777777" w:rsidR="0020130D" w:rsidRPr="002C7909" w:rsidRDefault="0020130D" w:rsidP="00F20A46">
            <w:pPr>
              <w:contextualSpacing/>
              <w:jc w:val="both"/>
              <w:rPr>
                <w:rFonts w:ascii="Arial" w:eastAsia="Calibri" w:hAnsi="Arial" w:cs="Arial"/>
                <w:color w:val="000000"/>
                <w:lang w:val="es-ES_tradnl"/>
              </w:rPr>
            </w:pPr>
            <w:r w:rsidRPr="002C7909">
              <w:rPr>
                <w:rFonts w:ascii="Arial" w:eastAsia="Calibri" w:hAnsi="Arial" w:cs="Arial"/>
                <w:color w:val="000000"/>
                <w:lang w:val="es-ES_tradnl"/>
              </w:rPr>
              <w:t xml:space="preserve">                           </w:t>
            </w:r>
          </w:p>
        </w:tc>
        <w:tc>
          <w:tcPr>
            <w:tcW w:w="6237" w:type="dxa"/>
            <w:hideMark/>
          </w:tcPr>
          <w:p w14:paraId="7F6F6721" w14:textId="26C61A8D" w:rsidR="0020130D" w:rsidRDefault="0020130D" w:rsidP="00F20A46">
            <w:pPr>
              <w:widowControl w:val="0"/>
              <w:autoSpaceDE w:val="0"/>
              <w:autoSpaceDN w:val="0"/>
              <w:contextualSpacing/>
              <w:jc w:val="both"/>
              <w:rPr>
                <w:rFonts w:ascii="Arial" w:eastAsia="Calibri" w:hAnsi="Arial" w:cs="Arial"/>
                <w:color w:val="000000"/>
                <w:lang w:val="es-ES_tradnl"/>
              </w:rPr>
            </w:pPr>
            <w:r w:rsidRPr="002C7909">
              <w:rPr>
                <w:rFonts w:ascii="Arial" w:eastAsia="Calibri" w:hAnsi="Arial" w:cs="Arial"/>
                <w:color w:val="000000"/>
                <w:lang w:val="es-ES_tradnl"/>
              </w:rPr>
              <w:t xml:space="preserve">CONTRATO DE PRESTACIÓN DE SERVICIOS – </w:t>
            </w:r>
            <w:r w:rsidR="00715387">
              <w:rPr>
                <w:rFonts w:ascii="Arial" w:eastAsia="Calibri" w:hAnsi="Arial" w:cs="Arial"/>
                <w:color w:val="000000"/>
                <w:lang w:val="es-ES_tradnl"/>
              </w:rPr>
              <w:t>Características</w:t>
            </w:r>
            <w:r w:rsidRPr="002C7909">
              <w:rPr>
                <w:rFonts w:ascii="Arial" w:eastAsia="Calibri" w:hAnsi="Arial" w:cs="Arial"/>
                <w:color w:val="000000"/>
                <w:lang w:val="es-ES_tradnl"/>
              </w:rPr>
              <w:t xml:space="preserve"> /</w:t>
            </w:r>
            <w:r w:rsidRPr="002C7909">
              <w:rPr>
                <w:rFonts w:ascii="Calibri" w:eastAsia="Calibri" w:hAnsi="Calibri" w:cs="Times New Roman"/>
              </w:rPr>
              <w:t xml:space="preserve"> </w:t>
            </w:r>
            <w:r w:rsidR="00715387">
              <w:rPr>
                <w:rFonts w:ascii="Arial" w:eastAsia="Calibri" w:hAnsi="Arial" w:cs="Arial"/>
                <w:color w:val="000000"/>
                <w:lang w:val="es-ES_tradnl"/>
              </w:rPr>
              <w:t>ESTABILIDAD OCUPACIONAL REFORZADA</w:t>
            </w:r>
            <w:r w:rsidRPr="002C7909">
              <w:rPr>
                <w:rFonts w:ascii="Arial" w:eastAsia="Calibri" w:hAnsi="Arial" w:cs="Arial"/>
                <w:color w:val="000000"/>
                <w:lang w:val="es-ES_tradnl"/>
              </w:rPr>
              <w:t xml:space="preserve"> – Corte Constitucional – </w:t>
            </w:r>
            <w:r w:rsidR="00744D94">
              <w:rPr>
                <w:rFonts w:ascii="Arial" w:eastAsia="Calibri" w:hAnsi="Arial" w:cs="Arial"/>
                <w:color w:val="000000"/>
                <w:lang w:val="es-ES_tradnl"/>
              </w:rPr>
              <w:t>Condiciones - Alcance</w:t>
            </w:r>
            <w:r w:rsidRPr="002C7909">
              <w:rPr>
                <w:rFonts w:ascii="Arial" w:eastAsia="Calibri" w:hAnsi="Arial" w:cs="Arial"/>
                <w:color w:val="000000"/>
                <w:lang w:val="es-ES_tradnl"/>
              </w:rPr>
              <w:t>/</w:t>
            </w:r>
            <w:r w:rsidR="00276C5B" w:rsidRPr="00276C5B">
              <w:rPr>
                <w:rFonts w:ascii="Arial" w:eastAsia="Calibri" w:hAnsi="Arial" w:cs="Arial"/>
                <w:color w:val="000000"/>
                <w:lang w:val="es-ES_tradnl"/>
              </w:rPr>
              <w:t xml:space="preserve"> ESTABILIDAD OCUPACIONAL REFORZADA DE PERSONAS EN SITUACION DE DEBILIDAD MANIFIESTA POR RAZONES DE SALUD</w:t>
            </w:r>
            <w:r w:rsidRPr="002C7909">
              <w:rPr>
                <w:rFonts w:ascii="Arial" w:eastAsia="Calibri" w:hAnsi="Arial" w:cs="Arial"/>
                <w:color w:val="000000"/>
                <w:lang w:val="es-ES_tradnl"/>
              </w:rPr>
              <w:t xml:space="preserve">– </w:t>
            </w:r>
            <w:r w:rsidR="00276C5B">
              <w:rPr>
                <w:rFonts w:ascii="Arial" w:eastAsia="Calibri" w:hAnsi="Arial" w:cs="Arial"/>
                <w:color w:val="000000"/>
                <w:lang w:val="es-ES_tradnl"/>
              </w:rPr>
              <w:t>Fundamento constitucional, legal y jurisprudencial</w:t>
            </w:r>
          </w:p>
          <w:p w14:paraId="6FD45A57" w14:textId="77777777" w:rsidR="0020130D" w:rsidRPr="002C7909" w:rsidRDefault="0020130D" w:rsidP="00F20A46">
            <w:pPr>
              <w:widowControl w:val="0"/>
              <w:autoSpaceDE w:val="0"/>
              <w:autoSpaceDN w:val="0"/>
              <w:contextualSpacing/>
              <w:jc w:val="both"/>
              <w:rPr>
                <w:rFonts w:ascii="Arial" w:eastAsia="Calibri" w:hAnsi="Arial" w:cs="Arial"/>
                <w:color w:val="000000"/>
                <w:lang w:val="es-ES_tradnl"/>
              </w:rPr>
            </w:pPr>
          </w:p>
          <w:p w14:paraId="409AB776" w14:textId="77777777" w:rsidR="0020130D" w:rsidRPr="002C7909" w:rsidRDefault="0020130D" w:rsidP="00F20A46">
            <w:pPr>
              <w:widowControl w:val="0"/>
              <w:autoSpaceDE w:val="0"/>
              <w:autoSpaceDN w:val="0"/>
              <w:adjustRightInd w:val="0"/>
              <w:contextualSpacing/>
              <w:jc w:val="both"/>
              <w:rPr>
                <w:rFonts w:ascii="Arial" w:eastAsia="Calibri" w:hAnsi="Arial" w:cs="Arial"/>
                <w:color w:val="000000"/>
                <w:lang w:val="es-ES_tradnl"/>
              </w:rPr>
            </w:pPr>
          </w:p>
        </w:tc>
      </w:tr>
      <w:tr w:rsidR="0020130D" w:rsidRPr="002C7909" w14:paraId="6C737091" w14:textId="77777777" w:rsidTr="00F20A46">
        <w:tc>
          <w:tcPr>
            <w:tcW w:w="2689" w:type="dxa"/>
          </w:tcPr>
          <w:p w14:paraId="7A79B79C" w14:textId="77777777" w:rsidR="0020130D" w:rsidRPr="002C7909" w:rsidRDefault="0020130D" w:rsidP="00F20A46">
            <w:pPr>
              <w:contextualSpacing/>
              <w:jc w:val="both"/>
              <w:rPr>
                <w:rFonts w:ascii="Arial" w:eastAsia="Calibri" w:hAnsi="Arial" w:cs="Arial"/>
                <w:b/>
                <w:color w:val="000000"/>
                <w:lang w:val="es-ES_tradnl"/>
              </w:rPr>
            </w:pPr>
            <w:r w:rsidRPr="002C7909">
              <w:rPr>
                <w:rFonts w:ascii="Arial" w:eastAsia="Calibri" w:hAnsi="Arial" w:cs="Arial"/>
                <w:b/>
                <w:color w:val="000000"/>
                <w:lang w:val="es-ES_tradnl"/>
              </w:rPr>
              <w:t>Radicación:</w:t>
            </w:r>
            <w:r w:rsidRPr="002C7909">
              <w:rPr>
                <w:rFonts w:ascii="Arial" w:eastAsia="Calibri" w:hAnsi="Arial" w:cs="Arial"/>
                <w:color w:val="000000"/>
                <w:lang w:val="es-ES_tradnl"/>
              </w:rPr>
              <w:t xml:space="preserve">                              </w:t>
            </w:r>
          </w:p>
        </w:tc>
        <w:tc>
          <w:tcPr>
            <w:tcW w:w="6237" w:type="dxa"/>
          </w:tcPr>
          <w:p w14:paraId="2A85DCC6" w14:textId="4A111E66" w:rsidR="0020130D" w:rsidRPr="002C7909" w:rsidRDefault="0020130D" w:rsidP="00F20A46">
            <w:pPr>
              <w:widowControl w:val="0"/>
              <w:autoSpaceDE w:val="0"/>
              <w:autoSpaceDN w:val="0"/>
              <w:adjustRightInd w:val="0"/>
              <w:contextualSpacing/>
              <w:jc w:val="both"/>
              <w:rPr>
                <w:rFonts w:ascii="Arial" w:eastAsia="Calibri" w:hAnsi="Arial" w:cs="Arial"/>
                <w:color w:val="000000"/>
                <w:lang w:val="es-ES"/>
              </w:rPr>
            </w:pPr>
            <w:r w:rsidRPr="002C7909">
              <w:rPr>
                <w:rFonts w:ascii="Arial" w:eastAsia="Calibri" w:hAnsi="Arial" w:cs="Arial"/>
                <w:color w:val="000000"/>
                <w:lang w:val="es-ES"/>
              </w:rPr>
              <w:t>Respuesta a consulta No. P20230</w:t>
            </w:r>
            <w:r w:rsidR="00A84E21">
              <w:rPr>
                <w:rFonts w:ascii="Arial" w:eastAsia="Calibri" w:hAnsi="Arial" w:cs="Arial"/>
                <w:color w:val="000000"/>
                <w:lang w:val="es-ES"/>
              </w:rPr>
              <w:t>412</w:t>
            </w:r>
            <w:r w:rsidR="00172A40">
              <w:rPr>
                <w:rFonts w:ascii="Arial" w:eastAsia="Calibri" w:hAnsi="Arial" w:cs="Arial"/>
                <w:color w:val="000000"/>
                <w:lang w:val="es-ES"/>
              </w:rPr>
              <w:t>003212</w:t>
            </w:r>
          </w:p>
        </w:tc>
      </w:tr>
    </w:tbl>
    <w:p w14:paraId="23B2664F" w14:textId="77777777" w:rsidR="0020130D" w:rsidRDefault="0020130D" w:rsidP="0020130D">
      <w:pPr>
        <w:spacing w:after="0" w:line="276" w:lineRule="auto"/>
        <w:jc w:val="both"/>
        <w:rPr>
          <w:rFonts w:ascii="Arial" w:eastAsia="Calibri" w:hAnsi="Arial" w:cs="Arial"/>
          <w:color w:val="000000"/>
          <w:lang w:val="es-ES_tradnl"/>
        </w:rPr>
      </w:pPr>
    </w:p>
    <w:p w14:paraId="0E0BB374" w14:textId="77777777" w:rsidR="0020130D" w:rsidRPr="002C7909" w:rsidRDefault="0020130D" w:rsidP="0020130D">
      <w:pPr>
        <w:spacing w:after="0" w:line="276" w:lineRule="auto"/>
        <w:jc w:val="both"/>
        <w:rPr>
          <w:rFonts w:ascii="Arial" w:eastAsia="Calibri" w:hAnsi="Arial" w:cs="Arial"/>
          <w:color w:val="000000"/>
          <w:lang w:val="es-ES_tradnl"/>
        </w:rPr>
      </w:pPr>
    </w:p>
    <w:p w14:paraId="71F018F1" w14:textId="0CBAC6CC" w:rsidR="0020130D" w:rsidRDefault="0020130D" w:rsidP="0020130D">
      <w:pPr>
        <w:spacing w:after="0" w:line="276" w:lineRule="auto"/>
        <w:jc w:val="both"/>
        <w:rPr>
          <w:rFonts w:ascii="Arial" w:eastAsia="Calibri" w:hAnsi="Arial" w:cs="Arial"/>
          <w:color w:val="000000"/>
          <w:lang w:val="es-ES_tradnl"/>
        </w:rPr>
      </w:pPr>
      <w:r w:rsidRPr="002C7909">
        <w:rPr>
          <w:rFonts w:ascii="Arial" w:eastAsia="Calibri" w:hAnsi="Arial" w:cs="Arial"/>
          <w:color w:val="000000"/>
          <w:lang w:val="es-ES_tradnl"/>
        </w:rPr>
        <w:t xml:space="preserve">Estimado señor </w:t>
      </w:r>
      <w:r w:rsidR="0045621A">
        <w:rPr>
          <w:rFonts w:ascii="Arial" w:eastAsia="Calibri" w:hAnsi="Arial" w:cs="Arial"/>
          <w:color w:val="000000"/>
          <w:lang w:val="es-ES_tradnl"/>
        </w:rPr>
        <w:t>Orlas</w:t>
      </w:r>
      <w:r w:rsidRPr="002C7909">
        <w:rPr>
          <w:rFonts w:ascii="Arial" w:eastAsia="Calibri" w:hAnsi="Arial" w:cs="Arial"/>
          <w:color w:val="000000"/>
          <w:lang w:val="es-ES_tradnl"/>
        </w:rPr>
        <w:t>:</w:t>
      </w:r>
    </w:p>
    <w:p w14:paraId="22F9D169" w14:textId="77777777" w:rsidR="0020130D" w:rsidRPr="002C7909" w:rsidRDefault="0020130D" w:rsidP="0020130D">
      <w:pPr>
        <w:spacing w:after="0" w:line="276" w:lineRule="auto"/>
        <w:jc w:val="both"/>
        <w:rPr>
          <w:rFonts w:ascii="Arial" w:eastAsia="Calibri" w:hAnsi="Arial" w:cs="Arial"/>
          <w:color w:val="000000"/>
          <w:lang w:val="es-ES_tradnl"/>
        </w:rPr>
      </w:pPr>
    </w:p>
    <w:p w14:paraId="64E3665C" w14:textId="1E43926D" w:rsidR="0020130D" w:rsidRPr="002C7909" w:rsidRDefault="0020130D" w:rsidP="0020130D">
      <w:pPr>
        <w:spacing w:after="0" w:line="276" w:lineRule="auto"/>
        <w:ind w:right="51"/>
        <w:jc w:val="both"/>
        <w:rPr>
          <w:rFonts w:ascii="Arial" w:eastAsia="Calibri" w:hAnsi="Arial" w:cs="Arial"/>
          <w:color w:val="000000"/>
          <w:lang w:val="es-ES_tradnl"/>
        </w:rPr>
      </w:pPr>
      <w:r w:rsidRPr="002C7909">
        <w:rPr>
          <w:rFonts w:ascii="Arial" w:eastAsia="Calibri" w:hAnsi="Arial" w:cs="Arial"/>
          <w:color w:val="000000"/>
          <w:lang w:val="es-ES_tradnl"/>
        </w:rPr>
        <w:t xml:space="preserve">La Agencia Nacional de Contratación Pública – Colombia Compra Eficiente, en ejercicio de la competencia otorgada por el numeral 8 del artículo 11 y el numeral 5 del artículo 3 del Decreto Ley 4170 de 2011, responde su consulta del </w:t>
      </w:r>
      <w:r w:rsidR="00BA3FB3">
        <w:rPr>
          <w:rFonts w:ascii="Arial" w:eastAsia="Calibri" w:hAnsi="Arial" w:cs="Arial"/>
          <w:color w:val="000000"/>
          <w:lang w:val="es-ES_tradnl"/>
        </w:rPr>
        <w:t xml:space="preserve">1 de marzo de 2023, trasladada por el </w:t>
      </w:r>
      <w:r w:rsidR="00BA584D">
        <w:rPr>
          <w:rFonts w:ascii="Arial" w:eastAsia="Calibri" w:hAnsi="Arial" w:cs="Arial"/>
          <w:color w:val="000000"/>
          <w:lang w:val="es-ES_tradnl"/>
        </w:rPr>
        <w:t>Departamento Administrativo de la Función Pública el día</w:t>
      </w:r>
      <w:r w:rsidR="00BA3FB3">
        <w:rPr>
          <w:rFonts w:ascii="Arial" w:eastAsia="Calibri" w:hAnsi="Arial" w:cs="Arial"/>
          <w:color w:val="000000"/>
          <w:lang w:val="es-ES_tradnl"/>
        </w:rPr>
        <w:t xml:space="preserve">11 de abril de </w:t>
      </w:r>
      <w:r w:rsidRPr="002C7909">
        <w:rPr>
          <w:rFonts w:ascii="Arial" w:eastAsia="Calibri" w:hAnsi="Arial" w:cs="Arial"/>
          <w:color w:val="000000"/>
          <w:lang w:val="es-ES_tradnl"/>
        </w:rPr>
        <w:t>2023.</w:t>
      </w:r>
    </w:p>
    <w:p w14:paraId="02DAC0A0" w14:textId="77777777" w:rsidR="0020130D" w:rsidRPr="002C7909" w:rsidRDefault="0020130D" w:rsidP="0020130D">
      <w:pPr>
        <w:spacing w:after="0" w:line="276" w:lineRule="auto"/>
        <w:ind w:right="51"/>
        <w:jc w:val="both"/>
        <w:rPr>
          <w:rFonts w:ascii="Arial" w:eastAsia="Calibri" w:hAnsi="Arial" w:cs="Arial"/>
          <w:color w:val="000000"/>
          <w:lang w:val="es-ES_tradnl"/>
        </w:rPr>
      </w:pPr>
      <w:r w:rsidRPr="002C7909">
        <w:rPr>
          <w:rFonts w:ascii="Arial" w:eastAsia="Calibri" w:hAnsi="Arial" w:cs="Arial"/>
          <w:color w:val="000000"/>
          <w:lang w:val="es-ES_tradnl"/>
        </w:rPr>
        <w:t xml:space="preserve"> </w:t>
      </w:r>
    </w:p>
    <w:p w14:paraId="1D1C6E81" w14:textId="77777777" w:rsidR="0020130D" w:rsidRPr="002C7909" w:rsidRDefault="0020130D" w:rsidP="0020130D">
      <w:pPr>
        <w:numPr>
          <w:ilvl w:val="0"/>
          <w:numId w:val="4"/>
        </w:numPr>
        <w:tabs>
          <w:tab w:val="left" w:pos="284"/>
        </w:tabs>
        <w:spacing w:after="0" w:line="276" w:lineRule="auto"/>
        <w:ind w:left="0" w:firstLine="0"/>
        <w:jc w:val="both"/>
        <w:rPr>
          <w:rFonts w:ascii="Arial" w:eastAsia="Calibri" w:hAnsi="Arial" w:cs="Arial"/>
          <w:b/>
          <w:color w:val="000000"/>
          <w:lang w:val="es-ES_tradnl"/>
        </w:rPr>
      </w:pPr>
      <w:r w:rsidRPr="002C7909">
        <w:rPr>
          <w:rFonts w:ascii="Arial" w:eastAsia="Calibri" w:hAnsi="Arial" w:cs="Arial"/>
          <w:b/>
          <w:color w:val="000000"/>
          <w:lang w:val="es-ES_tradnl"/>
        </w:rPr>
        <w:t xml:space="preserve">Problema planteado </w:t>
      </w:r>
    </w:p>
    <w:p w14:paraId="66C7FD11" w14:textId="77777777" w:rsidR="0020130D" w:rsidRPr="002C7909" w:rsidRDefault="0020130D" w:rsidP="0020130D">
      <w:pPr>
        <w:tabs>
          <w:tab w:val="left" w:pos="426"/>
        </w:tabs>
        <w:spacing w:after="0" w:line="276" w:lineRule="auto"/>
        <w:jc w:val="both"/>
        <w:rPr>
          <w:rFonts w:ascii="Arial" w:eastAsia="Calibri" w:hAnsi="Arial" w:cs="Arial"/>
          <w:b/>
          <w:color w:val="000000"/>
          <w:lang w:val="es-ES_tradnl"/>
        </w:rPr>
      </w:pPr>
    </w:p>
    <w:p w14:paraId="21445A7B" w14:textId="77777777" w:rsidR="0020130D" w:rsidRDefault="0020130D" w:rsidP="0020130D">
      <w:pPr>
        <w:tabs>
          <w:tab w:val="left" w:pos="426"/>
        </w:tabs>
        <w:spacing w:after="0" w:line="276" w:lineRule="auto"/>
        <w:jc w:val="both"/>
        <w:rPr>
          <w:rFonts w:ascii="Arial" w:eastAsia="Calibri" w:hAnsi="Arial" w:cs="Arial"/>
          <w:color w:val="000000"/>
          <w:lang w:val="es-ES_tradnl"/>
        </w:rPr>
      </w:pPr>
      <w:r w:rsidRPr="002C7909">
        <w:rPr>
          <w:rFonts w:ascii="Arial" w:eastAsia="Calibri" w:hAnsi="Arial" w:cs="Arial"/>
          <w:color w:val="000000"/>
          <w:lang w:val="es-ES_tradnl"/>
        </w:rPr>
        <w:t xml:space="preserve"> Usted realiza la siguiente consulta: </w:t>
      </w:r>
    </w:p>
    <w:p w14:paraId="564FEA56" w14:textId="77777777" w:rsidR="0020130D" w:rsidRPr="002C7909" w:rsidRDefault="0020130D" w:rsidP="0020130D">
      <w:pPr>
        <w:tabs>
          <w:tab w:val="left" w:pos="426"/>
        </w:tabs>
        <w:spacing w:after="0" w:line="276" w:lineRule="auto"/>
        <w:jc w:val="both"/>
        <w:rPr>
          <w:rFonts w:ascii="Arial" w:eastAsia="Calibri" w:hAnsi="Arial" w:cs="Arial"/>
          <w:color w:val="000000"/>
          <w:lang w:val="es-ES_tradnl"/>
        </w:rPr>
      </w:pPr>
    </w:p>
    <w:p w14:paraId="31F0FA42" w14:textId="3D7E96DD" w:rsidR="0085071A" w:rsidRDefault="00C9658A" w:rsidP="0085071A">
      <w:pPr>
        <w:autoSpaceDE w:val="0"/>
        <w:autoSpaceDN w:val="0"/>
        <w:adjustRightInd w:val="0"/>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00042E26">
        <w:rPr>
          <w:rFonts w:ascii="Arial" w:eastAsia="Calibri" w:hAnsi="Arial" w:cs="Arial"/>
          <w:color w:val="000000"/>
          <w:sz w:val="21"/>
          <w:szCs w:val="21"/>
          <w:lang w:val="es-ES_tradnl"/>
        </w:rPr>
        <w:t xml:space="preserve">En el </w:t>
      </w:r>
      <w:r w:rsidR="0085071A">
        <w:rPr>
          <w:rFonts w:ascii="Arial" w:eastAsia="Calibri" w:hAnsi="Arial" w:cs="Arial"/>
          <w:color w:val="000000"/>
          <w:sz w:val="21"/>
          <w:szCs w:val="21"/>
          <w:lang w:val="es-ES_tradnl"/>
        </w:rPr>
        <w:t xml:space="preserve">año 2022 le fue </w:t>
      </w:r>
      <w:r w:rsidR="0085071A" w:rsidRPr="0085071A">
        <w:rPr>
          <w:rFonts w:ascii="Arial" w:eastAsia="Calibri" w:hAnsi="Arial" w:cs="Arial"/>
          <w:color w:val="000000"/>
          <w:sz w:val="21"/>
          <w:szCs w:val="21"/>
          <w:lang w:val="es-ES_tradnl"/>
        </w:rPr>
        <w:t>diagnosticado c</w:t>
      </w:r>
      <w:r w:rsidR="0085071A">
        <w:rPr>
          <w:rFonts w:ascii="Arial" w:eastAsia="Calibri" w:hAnsi="Arial" w:cs="Arial"/>
          <w:color w:val="000000"/>
          <w:sz w:val="21"/>
          <w:szCs w:val="21"/>
          <w:lang w:val="es-ES_tradnl"/>
        </w:rPr>
        <w:t>á</w:t>
      </w:r>
      <w:r w:rsidR="0085071A" w:rsidRPr="0085071A">
        <w:rPr>
          <w:rFonts w:ascii="Arial" w:eastAsia="Calibri" w:hAnsi="Arial" w:cs="Arial"/>
          <w:color w:val="000000"/>
          <w:sz w:val="21"/>
          <w:szCs w:val="21"/>
          <w:lang w:val="es-ES_tradnl"/>
        </w:rPr>
        <w:t>ncer de mama a contratista de la entidad la cual super los 180 días de</w:t>
      </w:r>
      <w:r w:rsidR="0085071A">
        <w:rPr>
          <w:rFonts w:ascii="Arial" w:eastAsia="Calibri" w:hAnsi="Arial" w:cs="Arial"/>
          <w:color w:val="000000"/>
          <w:sz w:val="21"/>
          <w:szCs w:val="21"/>
          <w:lang w:val="es-ES_tradnl"/>
        </w:rPr>
        <w:t xml:space="preserve"> </w:t>
      </w:r>
      <w:r w:rsidR="0085071A" w:rsidRPr="0085071A">
        <w:rPr>
          <w:rFonts w:ascii="Arial" w:eastAsia="Calibri" w:hAnsi="Arial" w:cs="Arial"/>
          <w:color w:val="000000"/>
          <w:sz w:val="21"/>
          <w:szCs w:val="21"/>
          <w:lang w:val="es-ES_tradnl"/>
        </w:rPr>
        <w:t>incapacidad, dicho contrato se terminó el 30 de noviembre del 2022 y a la fecha no se le ha generado más</w:t>
      </w:r>
      <w:r w:rsidR="0085071A">
        <w:rPr>
          <w:rFonts w:ascii="Arial" w:eastAsia="Calibri" w:hAnsi="Arial" w:cs="Arial"/>
          <w:color w:val="000000"/>
          <w:sz w:val="21"/>
          <w:szCs w:val="21"/>
          <w:lang w:val="es-ES_tradnl"/>
        </w:rPr>
        <w:t xml:space="preserve"> </w:t>
      </w:r>
      <w:r w:rsidR="0085071A" w:rsidRPr="0085071A">
        <w:rPr>
          <w:rFonts w:ascii="Arial" w:eastAsia="Calibri" w:hAnsi="Arial" w:cs="Arial"/>
          <w:color w:val="000000"/>
          <w:sz w:val="21"/>
          <w:szCs w:val="21"/>
          <w:lang w:val="es-ES_tradnl"/>
        </w:rPr>
        <w:t>contratos en atención a no generar una relación laboral y que la contratista debe adelantar trámites ante</w:t>
      </w:r>
      <w:r w:rsidR="0085071A">
        <w:rPr>
          <w:rFonts w:ascii="Arial" w:eastAsia="Calibri" w:hAnsi="Arial" w:cs="Arial"/>
          <w:color w:val="000000"/>
          <w:sz w:val="21"/>
          <w:szCs w:val="21"/>
          <w:lang w:val="es-ES_tradnl"/>
        </w:rPr>
        <w:t xml:space="preserve"> </w:t>
      </w:r>
      <w:r w:rsidR="0085071A" w:rsidRPr="0085071A">
        <w:rPr>
          <w:rFonts w:ascii="Arial" w:eastAsia="Calibri" w:hAnsi="Arial" w:cs="Arial"/>
          <w:color w:val="000000"/>
          <w:sz w:val="21"/>
          <w:szCs w:val="21"/>
          <w:lang w:val="es-ES_tradnl"/>
        </w:rPr>
        <w:t>el ARL.</w:t>
      </w:r>
    </w:p>
    <w:p w14:paraId="6E3EF680" w14:textId="77777777" w:rsidR="00D02E14" w:rsidRPr="0085071A" w:rsidRDefault="00D02E14" w:rsidP="0085071A">
      <w:pPr>
        <w:autoSpaceDE w:val="0"/>
        <w:autoSpaceDN w:val="0"/>
        <w:adjustRightInd w:val="0"/>
        <w:spacing w:after="0" w:line="240" w:lineRule="auto"/>
        <w:ind w:left="709" w:right="709"/>
        <w:jc w:val="both"/>
        <w:rPr>
          <w:rFonts w:ascii="Arial" w:eastAsia="Calibri" w:hAnsi="Arial" w:cs="Arial"/>
          <w:color w:val="000000"/>
          <w:sz w:val="21"/>
          <w:szCs w:val="21"/>
          <w:lang w:val="es-ES_tradnl"/>
        </w:rPr>
      </w:pPr>
    </w:p>
    <w:p w14:paraId="7D84246B" w14:textId="59063B59" w:rsidR="0020130D" w:rsidRPr="002C7909" w:rsidRDefault="0085071A" w:rsidP="0085071A">
      <w:pPr>
        <w:autoSpaceDE w:val="0"/>
        <w:autoSpaceDN w:val="0"/>
        <w:adjustRightInd w:val="0"/>
        <w:spacing w:after="0" w:line="240" w:lineRule="auto"/>
        <w:ind w:left="709" w:right="709"/>
        <w:jc w:val="both"/>
        <w:rPr>
          <w:rFonts w:ascii="Arial" w:eastAsia="Calibri" w:hAnsi="Arial" w:cs="Arial"/>
          <w:color w:val="000000"/>
          <w:sz w:val="21"/>
          <w:szCs w:val="21"/>
          <w:lang w:val="es-ES_tradnl"/>
        </w:rPr>
      </w:pPr>
      <w:r w:rsidRPr="0085071A">
        <w:rPr>
          <w:rFonts w:ascii="Arial" w:eastAsia="Calibri" w:hAnsi="Arial" w:cs="Arial"/>
          <w:color w:val="000000"/>
          <w:sz w:val="21"/>
          <w:szCs w:val="21"/>
          <w:lang w:val="es-ES_tradnl"/>
        </w:rPr>
        <w:t>La entidad tiene dudas sobre el procedimiento a seguir en cuanto a realizar un nuevo contrato, esto ya</w:t>
      </w:r>
      <w:r w:rsidR="00D02E14">
        <w:rPr>
          <w:rFonts w:ascii="Arial" w:eastAsia="Calibri" w:hAnsi="Arial" w:cs="Arial"/>
          <w:color w:val="000000"/>
          <w:sz w:val="21"/>
          <w:szCs w:val="21"/>
          <w:lang w:val="es-ES_tradnl"/>
        </w:rPr>
        <w:t xml:space="preserve"> </w:t>
      </w:r>
      <w:r w:rsidRPr="0085071A">
        <w:rPr>
          <w:rFonts w:ascii="Arial" w:eastAsia="Calibri" w:hAnsi="Arial" w:cs="Arial"/>
          <w:color w:val="000000"/>
          <w:sz w:val="21"/>
          <w:szCs w:val="21"/>
          <w:lang w:val="es-ES_tradnl"/>
        </w:rPr>
        <w:t xml:space="preserve">que la persona </w:t>
      </w:r>
      <w:r w:rsidR="00D02E14" w:rsidRPr="0085071A">
        <w:rPr>
          <w:rFonts w:ascii="Arial" w:eastAsia="Calibri" w:hAnsi="Arial" w:cs="Arial"/>
          <w:color w:val="000000"/>
          <w:sz w:val="21"/>
          <w:szCs w:val="21"/>
          <w:lang w:val="es-ES_tradnl"/>
        </w:rPr>
        <w:t>está</w:t>
      </w:r>
      <w:r w:rsidRPr="0085071A">
        <w:rPr>
          <w:rFonts w:ascii="Arial" w:eastAsia="Calibri" w:hAnsi="Arial" w:cs="Arial"/>
          <w:color w:val="000000"/>
          <w:sz w:val="21"/>
          <w:szCs w:val="21"/>
          <w:lang w:val="es-ES_tradnl"/>
        </w:rPr>
        <w:t xml:space="preserve"> pendiente de una </w:t>
      </w:r>
      <w:r w:rsidR="00D02E14" w:rsidRPr="0085071A">
        <w:rPr>
          <w:rFonts w:ascii="Arial" w:eastAsia="Calibri" w:hAnsi="Arial" w:cs="Arial"/>
          <w:color w:val="000000"/>
          <w:sz w:val="21"/>
          <w:szCs w:val="21"/>
          <w:lang w:val="es-ES_tradnl"/>
        </w:rPr>
        <w:t>cirugía</w:t>
      </w:r>
      <w:r w:rsidRPr="0085071A">
        <w:rPr>
          <w:rFonts w:ascii="Arial" w:eastAsia="Calibri" w:hAnsi="Arial" w:cs="Arial"/>
          <w:color w:val="000000"/>
          <w:sz w:val="21"/>
          <w:szCs w:val="21"/>
          <w:lang w:val="es-ES_tradnl"/>
        </w:rPr>
        <w:t xml:space="preserve"> de la cual no se sabe que cuidados deba tener y si pueda</w:t>
      </w:r>
      <w:r w:rsidR="00D02E14">
        <w:rPr>
          <w:rFonts w:ascii="Arial" w:eastAsia="Calibri" w:hAnsi="Arial" w:cs="Arial"/>
          <w:color w:val="000000"/>
          <w:sz w:val="21"/>
          <w:szCs w:val="21"/>
          <w:lang w:val="es-ES_tradnl"/>
        </w:rPr>
        <w:t xml:space="preserve"> </w:t>
      </w:r>
      <w:r w:rsidRPr="0085071A">
        <w:rPr>
          <w:rFonts w:ascii="Arial" w:eastAsia="Calibri" w:hAnsi="Arial" w:cs="Arial"/>
          <w:color w:val="000000"/>
          <w:sz w:val="21"/>
          <w:szCs w:val="21"/>
          <w:lang w:val="es-ES_tradnl"/>
        </w:rPr>
        <w:t xml:space="preserve">desarrollar el objeto del contrato, el cual es como instructora de </w:t>
      </w:r>
      <w:r w:rsidR="00D02E14" w:rsidRPr="0085071A">
        <w:rPr>
          <w:rFonts w:ascii="Arial" w:eastAsia="Calibri" w:hAnsi="Arial" w:cs="Arial"/>
          <w:color w:val="000000"/>
          <w:sz w:val="21"/>
          <w:szCs w:val="21"/>
          <w:lang w:val="es-ES_tradnl"/>
        </w:rPr>
        <w:t>recreación</w:t>
      </w:r>
      <w:r w:rsidRPr="0085071A">
        <w:rPr>
          <w:rFonts w:ascii="Arial" w:eastAsia="Calibri" w:hAnsi="Arial" w:cs="Arial"/>
          <w:color w:val="000000"/>
          <w:sz w:val="21"/>
          <w:szCs w:val="21"/>
          <w:lang w:val="es-ES_tradnl"/>
        </w:rPr>
        <w:t xml:space="preserve"> y aprovechamiento del</w:t>
      </w:r>
      <w:r w:rsidR="00D02E14">
        <w:rPr>
          <w:rFonts w:ascii="Arial" w:eastAsia="Calibri" w:hAnsi="Arial" w:cs="Arial"/>
          <w:color w:val="000000"/>
          <w:sz w:val="21"/>
          <w:szCs w:val="21"/>
          <w:lang w:val="es-ES_tradnl"/>
        </w:rPr>
        <w:t xml:space="preserve"> </w:t>
      </w:r>
      <w:r w:rsidRPr="0085071A">
        <w:rPr>
          <w:rFonts w:ascii="Arial" w:eastAsia="Calibri" w:hAnsi="Arial" w:cs="Arial"/>
          <w:color w:val="000000"/>
          <w:sz w:val="21"/>
          <w:szCs w:val="21"/>
          <w:lang w:val="es-ES_tradnl"/>
        </w:rPr>
        <w:t xml:space="preserve">tiempo libre y si ello </w:t>
      </w:r>
      <w:r w:rsidR="00D02E14" w:rsidRPr="0085071A">
        <w:rPr>
          <w:rFonts w:ascii="Arial" w:eastAsia="Calibri" w:hAnsi="Arial" w:cs="Arial"/>
          <w:color w:val="000000"/>
          <w:sz w:val="21"/>
          <w:szCs w:val="21"/>
          <w:lang w:val="es-ES_tradnl"/>
        </w:rPr>
        <w:t>generará</w:t>
      </w:r>
      <w:r w:rsidRPr="0085071A">
        <w:rPr>
          <w:rFonts w:ascii="Arial" w:eastAsia="Calibri" w:hAnsi="Arial" w:cs="Arial"/>
          <w:color w:val="000000"/>
          <w:sz w:val="21"/>
          <w:szCs w:val="21"/>
          <w:lang w:val="es-ES_tradnl"/>
        </w:rPr>
        <w:t xml:space="preserve"> </w:t>
      </w:r>
      <w:r w:rsidR="00D02E14" w:rsidRPr="0085071A">
        <w:rPr>
          <w:rFonts w:ascii="Arial" w:eastAsia="Calibri" w:hAnsi="Arial" w:cs="Arial"/>
          <w:color w:val="000000"/>
          <w:sz w:val="21"/>
          <w:szCs w:val="21"/>
          <w:lang w:val="es-ES_tradnl"/>
        </w:rPr>
        <w:t>relación</w:t>
      </w:r>
      <w:r w:rsidRPr="0085071A">
        <w:rPr>
          <w:rFonts w:ascii="Arial" w:eastAsia="Calibri" w:hAnsi="Arial" w:cs="Arial"/>
          <w:color w:val="000000"/>
          <w:sz w:val="21"/>
          <w:szCs w:val="21"/>
          <w:lang w:val="es-ES_tradnl"/>
        </w:rPr>
        <w:t xml:space="preserve"> laboral con el Instituto</w:t>
      </w:r>
      <w:r w:rsidR="00C9658A">
        <w:rPr>
          <w:rFonts w:ascii="Arial" w:eastAsia="Calibri" w:hAnsi="Arial" w:cs="Arial"/>
          <w:color w:val="000000"/>
          <w:sz w:val="21"/>
          <w:szCs w:val="21"/>
          <w:lang w:val="es-ES_tradnl"/>
        </w:rPr>
        <w:t xml:space="preserve"> (…)”</w:t>
      </w:r>
      <w:r w:rsidR="0020130D" w:rsidRPr="002C7909">
        <w:rPr>
          <w:rFonts w:ascii="Arial" w:eastAsia="Calibri" w:hAnsi="Arial" w:cs="Arial"/>
          <w:color w:val="000000"/>
          <w:sz w:val="21"/>
          <w:szCs w:val="21"/>
          <w:lang w:val="es-ES_tradnl"/>
        </w:rPr>
        <w:t xml:space="preserve"> (SIC).</w:t>
      </w:r>
    </w:p>
    <w:p w14:paraId="51760864" w14:textId="77777777" w:rsidR="0020130D" w:rsidRPr="002C7909" w:rsidRDefault="0020130D" w:rsidP="0020130D">
      <w:pPr>
        <w:tabs>
          <w:tab w:val="left" w:pos="426"/>
        </w:tabs>
        <w:spacing w:after="0" w:line="276" w:lineRule="auto"/>
        <w:contextualSpacing/>
        <w:jc w:val="both"/>
        <w:rPr>
          <w:rFonts w:ascii="Arial" w:eastAsia="Calibri" w:hAnsi="Arial" w:cs="Arial"/>
          <w:color w:val="000000"/>
          <w:lang w:val="es-ES_tradnl"/>
        </w:rPr>
      </w:pPr>
    </w:p>
    <w:p w14:paraId="382CD758" w14:textId="77777777" w:rsidR="0020130D" w:rsidRPr="002C7909" w:rsidRDefault="0020130D" w:rsidP="0020130D">
      <w:pPr>
        <w:numPr>
          <w:ilvl w:val="0"/>
          <w:numId w:val="4"/>
        </w:numPr>
        <w:tabs>
          <w:tab w:val="left" w:pos="426"/>
        </w:tabs>
        <w:spacing w:after="0" w:line="276" w:lineRule="auto"/>
        <w:ind w:left="284" w:hanging="284"/>
        <w:contextualSpacing/>
        <w:jc w:val="both"/>
        <w:rPr>
          <w:rFonts w:ascii="Arial" w:eastAsia="Calibri" w:hAnsi="Arial" w:cs="Arial"/>
          <w:b/>
          <w:color w:val="000000"/>
          <w:lang w:val="es-ES_tradnl"/>
        </w:rPr>
      </w:pPr>
      <w:r w:rsidRPr="002C7909">
        <w:rPr>
          <w:rFonts w:ascii="Arial" w:eastAsia="Calibri" w:hAnsi="Arial" w:cs="Arial"/>
          <w:b/>
          <w:color w:val="000000"/>
          <w:lang w:val="es-ES_tradnl"/>
        </w:rPr>
        <w:t>Consideraciones</w:t>
      </w:r>
    </w:p>
    <w:p w14:paraId="2B4E1DD7" w14:textId="77777777" w:rsidR="0020130D" w:rsidRPr="002C7909" w:rsidRDefault="0020130D" w:rsidP="0020130D">
      <w:pPr>
        <w:spacing w:after="0" w:line="276" w:lineRule="auto"/>
        <w:contextualSpacing/>
        <w:jc w:val="both"/>
        <w:rPr>
          <w:rFonts w:ascii="Arial" w:eastAsia="Calibri" w:hAnsi="Arial" w:cs="Arial"/>
          <w:color w:val="000000"/>
          <w:lang w:val="es-ES_tradnl"/>
        </w:rPr>
      </w:pPr>
    </w:p>
    <w:p w14:paraId="6EDB96E5" w14:textId="77777777" w:rsidR="0020130D" w:rsidRPr="002C7909" w:rsidRDefault="0020130D" w:rsidP="0020130D">
      <w:pPr>
        <w:spacing w:after="120" w:line="276" w:lineRule="auto"/>
        <w:jc w:val="both"/>
        <w:rPr>
          <w:rFonts w:ascii="Arial" w:eastAsia="Calibri" w:hAnsi="Arial" w:cs="Arial"/>
          <w:bCs/>
          <w:color w:val="000000"/>
        </w:rPr>
      </w:pPr>
      <w:r w:rsidRPr="002C7909">
        <w:rPr>
          <w:rFonts w:ascii="Arial" w:eastAsia="Calibri" w:hAnsi="Arial" w:cs="Arial"/>
          <w:bCs/>
          <w:color w:val="000000"/>
        </w:rPr>
        <w:t xml:space="preserve">En ejercicio de las competencias establecidas en el numeral 5 del artículo 3 y el numeral 8 del artículo 11 del Decreto </w:t>
      </w:r>
      <w:r>
        <w:rPr>
          <w:rFonts w:ascii="Arial" w:eastAsia="Calibri" w:hAnsi="Arial" w:cs="Arial"/>
          <w:bCs/>
          <w:color w:val="000000"/>
        </w:rPr>
        <w:t xml:space="preserve">Ley </w:t>
      </w:r>
      <w:r w:rsidRPr="002C7909">
        <w:rPr>
          <w:rFonts w:ascii="Arial" w:eastAsia="Calibri" w:hAnsi="Arial" w:cs="Arial"/>
          <w:bCs/>
          <w:color w:val="000000"/>
        </w:rPr>
        <w:t>4170 de 2011, la Agencia Nacional de Contratación Pública – Colombia Compra Eficiente resuelve las solicitudes sobre los asuntos de su competencia, esto es, sobre las temáticas de la contratación estatal y compras públicas relacionadas en los artículos citados.</w:t>
      </w:r>
      <w:bookmarkStart w:id="0" w:name="_Hlk61701014"/>
      <w:bookmarkStart w:id="1" w:name="_Hlk62136649"/>
      <w:r w:rsidRPr="002C7909">
        <w:rPr>
          <w:rFonts w:ascii="Arial" w:eastAsia="Calibri" w:hAnsi="Arial" w:cs="Arial"/>
          <w:bCs/>
          <w:color w:val="000000"/>
        </w:rPr>
        <w:t xml:space="preserve"> </w:t>
      </w:r>
      <w:r w:rsidRPr="002C7909">
        <w:rPr>
          <w:rFonts w:ascii="Arial" w:eastAsia="Calibri" w:hAnsi="Arial" w:cs="Arial"/>
          <w:color w:val="000000"/>
          <w:lang w:val="es-ES"/>
        </w:rPr>
        <w:t xml:space="preserve">Es necesario tener en cuenta que, de acuerdo con los establecido por las normas indicadas, </w:t>
      </w:r>
      <w:bookmarkStart w:id="2" w:name="_Hlk61026958"/>
      <w:r w:rsidRPr="002C7909">
        <w:rPr>
          <w:rFonts w:ascii="Arial" w:eastAsia="Calibri" w:hAnsi="Arial" w:cs="Arial"/>
          <w:color w:val="000000"/>
          <w:lang w:val="es-ES"/>
        </w:rPr>
        <w:t>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C7909">
        <w:rPr>
          <w:rFonts w:ascii="Arial" w:eastAsia="Calibri" w:hAnsi="Arial" w:cs="Arial"/>
          <w:bCs/>
          <w:color w:val="000000"/>
        </w:rPr>
        <w:t xml:space="preserve"> de todos los partícipes de la contratación estatal. Del mismo modo, resolver consultas sobre temas ajenos a temas contractuales es un asunto que escapa de la referida competencia consultiva.</w:t>
      </w:r>
    </w:p>
    <w:p w14:paraId="7938CE91" w14:textId="441EA48F" w:rsidR="0020130D" w:rsidRPr="002C7909" w:rsidRDefault="0020130D" w:rsidP="0020130D">
      <w:pPr>
        <w:spacing w:after="120" w:line="276" w:lineRule="auto"/>
        <w:ind w:firstLine="708"/>
        <w:jc w:val="both"/>
        <w:rPr>
          <w:rFonts w:ascii="Arial" w:eastAsia="Calibri" w:hAnsi="Arial" w:cs="Arial"/>
          <w:color w:val="000000"/>
          <w:lang w:val="es-ES"/>
        </w:rPr>
      </w:pPr>
      <w:r w:rsidRPr="002C7909">
        <w:rPr>
          <w:rFonts w:ascii="Arial" w:eastAsia="Calibri" w:hAnsi="Arial" w:cs="Arial"/>
          <w:color w:val="000000"/>
          <w:lang w:val="es-ES"/>
        </w:rPr>
        <w:t>La competencia de esta entidad se fija con límites claros, por un lado, con el objeto de evitar que la Agencia actúe como una instancia de validación de las actuaciones de las entidades sujetas a la Ley 80 de 1993 o de los demás participantes de la contratación pública</w:t>
      </w:r>
      <w:r w:rsidRPr="002C7909">
        <w:rPr>
          <w:rFonts w:ascii="Arial" w:eastAsia="Calibri" w:hAnsi="Arial" w:cs="Arial"/>
          <w:color w:val="000000"/>
          <w:vertAlign w:val="superscript"/>
          <w:lang w:val="es-ES"/>
        </w:rPr>
        <w:footnoteReference w:id="2"/>
      </w:r>
      <w:r w:rsidRPr="002C7909">
        <w:rPr>
          <w:rFonts w:ascii="Arial" w:eastAsia="Calibri" w:hAnsi="Arial" w:cs="Arial"/>
          <w:color w:val="000000"/>
          <w:lang w:val="es-ES"/>
        </w:rPr>
        <w:t>, así como para evitar que se invadan los ámbitos de otras entidades. Esta competencia de interpretación de normas generales, por definición, no puede extenderse a la resolución de controversias, ni a brindar asesorías sobre casos puntuales.</w:t>
      </w:r>
      <w:bookmarkEnd w:id="2"/>
      <w:r w:rsidRPr="002C7909">
        <w:rPr>
          <w:rFonts w:ascii="Arial" w:eastAsia="Calibri" w:hAnsi="Arial" w:cs="Arial"/>
          <w:color w:val="000000"/>
          <w:lang w:val="es-ES"/>
        </w:rPr>
        <w:t xml:space="preserve"> En este contexto, previo concepto de sus órganos asesores, la solución de estos temas corresponde a la entidad que adelanta el </w:t>
      </w:r>
      <w:r w:rsidR="006814CA">
        <w:rPr>
          <w:rFonts w:ascii="Arial" w:eastAsia="Calibri" w:hAnsi="Arial" w:cs="Arial"/>
          <w:color w:val="000000"/>
          <w:lang w:val="es-ES"/>
        </w:rPr>
        <w:t>P</w:t>
      </w:r>
      <w:r w:rsidR="008F2770">
        <w:rPr>
          <w:rFonts w:ascii="Arial" w:eastAsia="Calibri" w:hAnsi="Arial" w:cs="Arial"/>
          <w:color w:val="000000"/>
          <w:lang w:val="es-ES"/>
        </w:rPr>
        <w:t>roceso de Contratación</w:t>
      </w:r>
      <w:r w:rsidRPr="002C7909">
        <w:rPr>
          <w:rFonts w:ascii="Arial" w:eastAsia="Calibri" w:hAnsi="Arial" w:cs="Arial"/>
          <w:color w:val="000000"/>
          <w:lang w:val="es-ES"/>
        </w:rPr>
        <w:t xml:space="preserve"> y, en caso de conflicto, a las autoridades judiciales, fiscales y disciplinarias. </w:t>
      </w:r>
      <w:bookmarkEnd w:id="0"/>
      <w:bookmarkEnd w:id="1"/>
    </w:p>
    <w:p w14:paraId="135988CA" w14:textId="2F9F0D25" w:rsidR="0020130D" w:rsidRPr="002C7909" w:rsidRDefault="0020130D" w:rsidP="0020130D">
      <w:pPr>
        <w:spacing w:after="120" w:line="276" w:lineRule="auto"/>
        <w:ind w:firstLine="708"/>
        <w:jc w:val="both"/>
        <w:rPr>
          <w:rFonts w:ascii="Arial" w:eastAsia="Calibri" w:hAnsi="Arial" w:cs="Arial"/>
          <w:color w:val="000000"/>
        </w:rPr>
      </w:pPr>
      <w:r w:rsidRPr="002C7909">
        <w:rPr>
          <w:rFonts w:ascii="Arial" w:eastAsia="Calibri" w:hAnsi="Arial" w:cs="Arial"/>
          <w:color w:val="000000"/>
          <w:lang w:val="es-ES_tradnl"/>
        </w:rPr>
        <w:t xml:space="preserve">En atención a esto, dentro de los límites de la competencia consultiva atribuida a esta Agencia resolverá su consulta, previo desarrollo de los siguientes temas: i) </w:t>
      </w:r>
      <w:r w:rsidR="00F73DB5" w:rsidRPr="00F73DB5">
        <w:rPr>
          <w:rFonts w:ascii="Arial" w:eastAsia="Calibri" w:hAnsi="Arial" w:cs="Arial"/>
          <w:color w:val="000000"/>
          <w:lang w:val="es-ES_tradnl"/>
        </w:rPr>
        <w:t>Características generales del contrato de prestación de servicios</w:t>
      </w:r>
      <w:r w:rsidRPr="002C7909">
        <w:rPr>
          <w:rFonts w:ascii="Arial" w:eastAsia="Calibri" w:hAnsi="Arial" w:cs="Arial"/>
          <w:color w:val="000000"/>
          <w:lang w:val="es-ES_tradnl"/>
        </w:rPr>
        <w:t>;</w:t>
      </w:r>
      <w:r w:rsidR="00E452F2">
        <w:rPr>
          <w:rFonts w:ascii="Arial" w:eastAsia="Calibri" w:hAnsi="Arial" w:cs="Arial"/>
          <w:color w:val="000000"/>
          <w:lang w:val="es-ES_tradnl"/>
        </w:rPr>
        <w:t xml:space="preserve"> y </w:t>
      </w:r>
      <w:r w:rsidRPr="002C7909">
        <w:rPr>
          <w:rFonts w:ascii="Arial" w:eastAsia="Calibri" w:hAnsi="Arial" w:cs="Arial"/>
          <w:color w:val="000000"/>
          <w:lang w:val="es-ES_tradnl"/>
        </w:rPr>
        <w:t xml:space="preserve">ii) </w:t>
      </w:r>
      <w:r w:rsidR="00E452F2">
        <w:rPr>
          <w:rFonts w:ascii="Arial" w:eastAsia="Calibri" w:hAnsi="Arial" w:cs="Arial"/>
          <w:color w:val="000000"/>
          <w:lang w:val="es-ES_tradnl"/>
        </w:rPr>
        <w:t>estabilidad ocupacional reforzada de personas en situación de debilidad manifiesta por razones de salud</w:t>
      </w:r>
      <w:r w:rsidRPr="002C7909">
        <w:rPr>
          <w:rFonts w:ascii="Arial" w:eastAsia="Calibri" w:hAnsi="Arial" w:cs="Arial"/>
          <w:color w:val="000000"/>
          <w:lang w:val="es-ES_tradnl"/>
        </w:rPr>
        <w:t>.</w:t>
      </w:r>
    </w:p>
    <w:p w14:paraId="191AADCA" w14:textId="77777777" w:rsidR="00C02424" w:rsidRDefault="0020130D" w:rsidP="0020130D">
      <w:pPr>
        <w:spacing w:after="0" w:line="276" w:lineRule="auto"/>
        <w:ind w:firstLine="709"/>
        <w:jc w:val="both"/>
        <w:rPr>
          <w:rFonts w:ascii="Arial" w:eastAsia="Calibri" w:hAnsi="Arial" w:cs="Arial"/>
        </w:rPr>
      </w:pPr>
      <w:r w:rsidRPr="002C7909">
        <w:rPr>
          <w:rFonts w:ascii="Arial" w:eastAsia="Calibri" w:hAnsi="Arial" w:cs="Arial"/>
          <w:color w:val="000000"/>
          <w:lang w:val="es-ES"/>
        </w:rPr>
        <w:t xml:space="preserve">La Agencia Nacional de Contratación Pública – Colombia Compra Eficiente se pronunció </w:t>
      </w:r>
      <w:r w:rsidRPr="002C7909">
        <w:rPr>
          <w:rFonts w:ascii="Arial" w:eastAsia="Calibri" w:hAnsi="Arial" w:cs="Arial"/>
        </w:rPr>
        <w:t xml:space="preserve">en relación </w:t>
      </w:r>
      <w:r w:rsidR="000F62F7">
        <w:rPr>
          <w:rFonts w:ascii="Arial" w:eastAsia="Calibri" w:hAnsi="Arial" w:cs="Arial"/>
        </w:rPr>
        <w:t>a los contratos</w:t>
      </w:r>
      <w:r w:rsidRPr="002C7909">
        <w:rPr>
          <w:rFonts w:ascii="Arial" w:eastAsia="Calibri" w:hAnsi="Arial" w:cs="Arial"/>
        </w:rPr>
        <w:t xml:space="preserve"> prestación de servicios en </w:t>
      </w:r>
      <w:r w:rsidR="000F62F7">
        <w:rPr>
          <w:rFonts w:ascii="Arial" w:eastAsia="Calibri" w:hAnsi="Arial" w:cs="Arial"/>
        </w:rPr>
        <w:t>los</w:t>
      </w:r>
      <w:r w:rsidRPr="002C7909">
        <w:rPr>
          <w:rFonts w:ascii="Arial" w:eastAsia="Calibri" w:hAnsi="Arial" w:cs="Arial"/>
        </w:rPr>
        <w:t xml:space="preserve"> Concepto 4201912000006026 de 1° de octubre de 2019, </w:t>
      </w:r>
      <w:r w:rsidR="0004374E" w:rsidRPr="003E16E6">
        <w:rPr>
          <w:rFonts w:ascii="Arial" w:eastAsia="Calibri" w:hAnsi="Arial" w:cs="Arial"/>
        </w:rPr>
        <w:t>C–047 del 18 de febrero de 2020</w:t>
      </w:r>
      <w:r w:rsidR="0004374E" w:rsidRPr="003E16E6">
        <w:rPr>
          <w:rFonts w:ascii="Arial" w:hAnsi="Arial" w:cs="Arial"/>
          <w:noProof/>
          <w:lang w:val="es-ES_tradnl"/>
        </w:rPr>
        <w:t xml:space="preserve">, </w:t>
      </w:r>
      <w:r w:rsidR="0004374E" w:rsidRPr="003E16E6">
        <w:rPr>
          <w:rFonts w:ascii="Arial" w:eastAsia="Calibri" w:hAnsi="Arial" w:cs="Arial"/>
        </w:rPr>
        <w:t>C–071 del 4 de marzo de 2020,</w:t>
      </w:r>
      <w:r w:rsidR="0004374E" w:rsidRPr="003E16E6">
        <w:rPr>
          <w:rFonts w:ascii="Arial" w:hAnsi="Arial" w:cs="Arial"/>
          <w:noProof/>
          <w:lang w:val="es-ES_tradnl"/>
        </w:rPr>
        <w:t xml:space="preserve"> </w:t>
      </w:r>
      <w:r w:rsidR="0004374E" w:rsidRPr="003E16E6">
        <w:rPr>
          <w:rFonts w:ascii="Arial" w:eastAsia="Calibri" w:hAnsi="Arial" w:cs="Arial"/>
        </w:rPr>
        <w:t xml:space="preserve">C–188 del 13 de abril de 2020, C–005, 006, 018 y 138 del 11 de mayo de 2020, </w:t>
      </w:r>
      <w:r w:rsidR="0004374E" w:rsidRPr="003E16E6">
        <w:rPr>
          <w:rFonts w:ascii="Arial" w:hAnsi="Arial" w:cs="Arial"/>
          <w:noProof/>
          <w:lang w:val="es-ES_tradnl"/>
        </w:rPr>
        <w:t>C</w:t>
      </w:r>
      <w:r w:rsidR="0004374E" w:rsidRPr="003E16E6">
        <w:rPr>
          <w:rFonts w:ascii="Arial" w:eastAsia="Calibri" w:hAnsi="Arial" w:cs="Arial"/>
        </w:rPr>
        <w:t>–</w:t>
      </w:r>
      <w:r w:rsidR="0004374E" w:rsidRPr="003E16E6">
        <w:rPr>
          <w:rFonts w:ascii="Arial" w:hAnsi="Arial" w:cs="Arial"/>
          <w:noProof/>
          <w:lang w:val="es-ES_tradnl"/>
        </w:rPr>
        <w:t>053, 175, 255, 282, 293 y 320 del 12 de mayo de 2020, C</w:t>
      </w:r>
      <w:r w:rsidR="0004374E" w:rsidRPr="003E16E6">
        <w:rPr>
          <w:rFonts w:ascii="Arial" w:eastAsia="Calibri" w:hAnsi="Arial" w:cs="Arial"/>
        </w:rPr>
        <w:t>–</w:t>
      </w:r>
      <w:r w:rsidR="0004374E" w:rsidRPr="003E16E6">
        <w:rPr>
          <w:rFonts w:ascii="Arial" w:hAnsi="Arial" w:cs="Arial"/>
          <w:noProof/>
          <w:lang w:val="es-ES_tradnl"/>
        </w:rPr>
        <w:t>288 del 27 de mayo de 2020, C</w:t>
      </w:r>
      <w:r w:rsidR="0004374E" w:rsidRPr="003E16E6">
        <w:rPr>
          <w:rFonts w:ascii="Arial" w:eastAsia="Calibri" w:hAnsi="Arial" w:cs="Arial"/>
        </w:rPr>
        <w:t>–</w:t>
      </w:r>
      <w:r w:rsidR="0004374E" w:rsidRPr="003E16E6">
        <w:rPr>
          <w:rFonts w:ascii="Arial" w:hAnsi="Arial" w:cs="Arial"/>
          <w:noProof/>
          <w:lang w:val="es-ES_tradnl"/>
        </w:rPr>
        <w:t>345 del 23 de junio de 2020, C</w:t>
      </w:r>
      <w:r w:rsidR="0004374E" w:rsidRPr="003E16E6">
        <w:rPr>
          <w:rFonts w:ascii="Arial" w:eastAsia="Calibri" w:hAnsi="Arial" w:cs="Arial"/>
        </w:rPr>
        <w:t>–</w:t>
      </w:r>
      <w:r w:rsidR="0004374E" w:rsidRPr="003E16E6">
        <w:rPr>
          <w:rFonts w:ascii="Arial" w:hAnsi="Arial" w:cs="Arial"/>
          <w:noProof/>
          <w:lang w:val="es-ES_tradnl"/>
        </w:rPr>
        <w:t>484 del 6 de agosto de 2020, C</w:t>
      </w:r>
      <w:r w:rsidR="0004374E" w:rsidRPr="003E16E6">
        <w:rPr>
          <w:rFonts w:ascii="Arial" w:eastAsia="Calibri" w:hAnsi="Arial" w:cs="Arial"/>
        </w:rPr>
        <w:t>–</w:t>
      </w:r>
      <w:r w:rsidR="0004374E" w:rsidRPr="003E16E6">
        <w:rPr>
          <w:rFonts w:ascii="Arial" w:hAnsi="Arial" w:cs="Arial"/>
          <w:noProof/>
          <w:lang w:val="es-ES_tradnl"/>
        </w:rPr>
        <w:t>608 del 1 de octubre de 2020, C-145 del 8 de abril del 2021, C-491 del 14 de septiembre de 2021, C-517 del 30 de septiembre de 2021, C – 654 de 22 de noveimbre de</w:t>
      </w:r>
      <w:r w:rsidRPr="002C7909">
        <w:rPr>
          <w:rFonts w:ascii="Arial" w:eastAsia="Calibri" w:hAnsi="Arial" w:cs="Arial"/>
        </w:rPr>
        <w:t>, C-181 del 7 de abril de 2022, C-773 del 17 de noviembre de 2022, C- 953 del 25 de enero de 2023 y C-966 del 1 de febrero de 2023</w:t>
      </w:r>
      <w:r w:rsidR="004008A2">
        <w:rPr>
          <w:rFonts w:ascii="Arial" w:eastAsia="Calibri" w:hAnsi="Arial" w:cs="Arial"/>
        </w:rPr>
        <w:t>, entre otros</w:t>
      </w:r>
      <w:r w:rsidR="00A4775B">
        <w:rPr>
          <w:rStyle w:val="Refdenotaalpie"/>
          <w:rFonts w:ascii="Arial" w:eastAsia="Calibri" w:hAnsi="Arial" w:cs="Arial"/>
        </w:rPr>
        <w:footnoteReference w:id="3"/>
      </w:r>
      <w:r w:rsidRPr="002C7909">
        <w:rPr>
          <w:rFonts w:ascii="Arial" w:eastAsia="Calibri" w:hAnsi="Arial" w:cs="Arial"/>
        </w:rPr>
        <w:t xml:space="preserve">. </w:t>
      </w:r>
    </w:p>
    <w:p w14:paraId="5963A721" w14:textId="77777777" w:rsidR="00C02424" w:rsidRDefault="00C02424" w:rsidP="0020130D">
      <w:pPr>
        <w:spacing w:after="0" w:line="276" w:lineRule="auto"/>
        <w:ind w:firstLine="709"/>
        <w:jc w:val="both"/>
        <w:rPr>
          <w:rFonts w:ascii="Arial" w:eastAsia="Calibri" w:hAnsi="Arial" w:cs="Arial"/>
        </w:rPr>
      </w:pPr>
    </w:p>
    <w:p w14:paraId="6CE16773" w14:textId="0850807D" w:rsidR="0020130D" w:rsidRPr="002C7909" w:rsidRDefault="00C02424" w:rsidP="0020130D">
      <w:pPr>
        <w:spacing w:after="0" w:line="276" w:lineRule="auto"/>
        <w:ind w:firstLine="709"/>
        <w:jc w:val="both"/>
        <w:rPr>
          <w:rFonts w:ascii="Arial" w:eastAsia="Calibri" w:hAnsi="Arial" w:cs="Arial"/>
          <w:color w:val="000000"/>
        </w:rPr>
      </w:pPr>
      <w:r>
        <w:rPr>
          <w:rFonts w:ascii="Arial" w:eastAsia="Calibri" w:hAnsi="Arial" w:cs="Arial"/>
        </w:rPr>
        <w:t xml:space="preserve">Por su parte, </w:t>
      </w:r>
      <w:r w:rsidR="007D4763" w:rsidRPr="00A66DD2">
        <w:rPr>
          <w:rFonts w:ascii="Arial" w:eastAsia="Yu Gothic UI Semibold" w:hAnsi="Arial" w:cs="Arial"/>
        </w:rPr>
        <w:t xml:space="preserve">sobre la estabilidad ocupacional reforzada </w:t>
      </w:r>
      <w:r w:rsidR="00492600">
        <w:rPr>
          <w:rFonts w:ascii="Arial" w:eastAsia="Yu Gothic UI Semibold" w:hAnsi="Arial" w:cs="Arial"/>
        </w:rPr>
        <w:t>esta A</w:t>
      </w:r>
      <w:r w:rsidR="00340ABD">
        <w:rPr>
          <w:rFonts w:ascii="Arial" w:eastAsia="Yu Gothic UI Semibold" w:hAnsi="Arial" w:cs="Arial"/>
        </w:rPr>
        <w:t>gencia ha emitido los siguientes conceptos: 2201913</w:t>
      </w:r>
      <w:r w:rsidR="00B221C5">
        <w:rPr>
          <w:rFonts w:ascii="Arial" w:eastAsia="Yu Gothic UI Semibold" w:hAnsi="Arial" w:cs="Arial"/>
        </w:rPr>
        <w:t>000006142 del 22 de agosto de 2019,</w:t>
      </w:r>
      <w:r w:rsidR="00132AAC">
        <w:rPr>
          <w:rFonts w:ascii="Arial" w:eastAsia="Yu Gothic UI Semibold" w:hAnsi="Arial" w:cs="Arial"/>
        </w:rPr>
        <w:t xml:space="preserve"> </w:t>
      </w:r>
      <w:r w:rsidR="002059BB" w:rsidRPr="00A66DD2">
        <w:rPr>
          <w:rFonts w:ascii="Arial" w:hAnsi="Arial" w:cs="Arial"/>
        </w:rPr>
        <w:t>2201913000009150 del 11 de diciembre de 20</w:t>
      </w:r>
      <w:r w:rsidR="002059BB">
        <w:rPr>
          <w:rFonts w:ascii="Arial" w:hAnsi="Arial" w:cs="Arial"/>
        </w:rPr>
        <w:t xml:space="preserve">19, </w:t>
      </w:r>
      <w:r w:rsidR="002059BB" w:rsidRPr="00A66DD2">
        <w:rPr>
          <w:rFonts w:ascii="Arial" w:hAnsi="Arial" w:cs="Arial"/>
        </w:rPr>
        <w:t>2201913000009571 del 24 de diciembre de 2019</w:t>
      </w:r>
      <w:r w:rsidR="002059BB">
        <w:rPr>
          <w:rFonts w:ascii="Arial" w:hAnsi="Arial" w:cs="Arial"/>
        </w:rPr>
        <w:t>,</w:t>
      </w:r>
      <w:r w:rsidR="002059BB" w:rsidRPr="00A66DD2">
        <w:rPr>
          <w:rFonts w:ascii="Arial" w:hAnsi="Arial" w:cs="Arial"/>
        </w:rPr>
        <w:t xml:space="preserve"> </w:t>
      </w:r>
      <w:r w:rsidR="002059BB" w:rsidRPr="00A66DD2">
        <w:rPr>
          <w:rFonts w:ascii="Arial" w:eastAsia="Yu Gothic UI Semibold" w:hAnsi="Arial" w:cs="Arial"/>
          <w:shd w:val="clear" w:color="auto" w:fill="FFFFFF"/>
        </w:rPr>
        <w:t>C-712 del 7 de diciembre de 2022</w:t>
      </w:r>
      <w:r w:rsidR="002059BB">
        <w:rPr>
          <w:rFonts w:ascii="Arial" w:eastAsia="Yu Gothic UI Semibold" w:hAnsi="Arial" w:cs="Arial"/>
          <w:shd w:val="clear" w:color="auto" w:fill="FFFFFF"/>
        </w:rPr>
        <w:t>, C-789 del 22 de noviembre de 2022, C-920 del 14 de febrero de 2023</w:t>
      </w:r>
      <w:r w:rsidR="00132AAC">
        <w:rPr>
          <w:rFonts w:ascii="Arial" w:eastAsia="Yu Gothic UI Semibold" w:hAnsi="Arial" w:cs="Arial"/>
          <w:shd w:val="clear" w:color="auto" w:fill="FFFFFF"/>
        </w:rPr>
        <w:t xml:space="preserve"> y</w:t>
      </w:r>
      <w:r w:rsidR="002059BB">
        <w:rPr>
          <w:rFonts w:ascii="Arial" w:eastAsia="Yu Gothic UI Semibold" w:hAnsi="Arial" w:cs="Arial"/>
          <w:shd w:val="clear" w:color="auto" w:fill="FFFFFF"/>
        </w:rPr>
        <w:t xml:space="preserve"> C-031 del 17 de marzo de 2023</w:t>
      </w:r>
      <w:r w:rsidR="00132AAC">
        <w:rPr>
          <w:rFonts w:ascii="Arial" w:eastAsia="Yu Gothic UI Semibold" w:hAnsi="Arial" w:cs="Arial"/>
          <w:shd w:val="clear" w:color="auto" w:fill="FFFFFF"/>
        </w:rPr>
        <w:t xml:space="preserve">. </w:t>
      </w:r>
      <w:r w:rsidR="0020130D" w:rsidRPr="002C7909">
        <w:rPr>
          <w:rFonts w:ascii="Arial" w:eastAsia="Calibri" w:hAnsi="Arial" w:cs="Arial"/>
          <w:color w:val="000000"/>
        </w:rPr>
        <w:t>Las tesis expuestas en estos conceptos se reiteran y se complementan en lo pertinente a continuación.</w:t>
      </w:r>
    </w:p>
    <w:p w14:paraId="1E4A9E37" w14:textId="77777777" w:rsidR="0020130D" w:rsidRPr="002C7909" w:rsidRDefault="0020130D" w:rsidP="0020130D">
      <w:pPr>
        <w:spacing w:after="0" w:line="276" w:lineRule="auto"/>
        <w:ind w:firstLine="708"/>
        <w:jc w:val="both"/>
        <w:rPr>
          <w:rFonts w:ascii="Arial" w:eastAsia="Calibri" w:hAnsi="Arial" w:cs="Arial"/>
        </w:rPr>
      </w:pPr>
    </w:p>
    <w:p w14:paraId="51D5517B" w14:textId="349F140F" w:rsidR="0020130D" w:rsidRDefault="0020130D" w:rsidP="0020130D">
      <w:pPr>
        <w:spacing w:after="0" w:line="276" w:lineRule="auto"/>
        <w:jc w:val="both"/>
        <w:rPr>
          <w:rFonts w:ascii="Arial" w:hAnsi="Arial" w:cs="Arial"/>
          <w:b/>
          <w:bCs/>
          <w:color w:val="000000"/>
          <w:lang w:val="es-ES_tradnl"/>
        </w:rPr>
      </w:pPr>
      <w:r w:rsidRPr="002C7909">
        <w:rPr>
          <w:rFonts w:ascii="Arial" w:eastAsia="Calibri" w:hAnsi="Arial" w:cs="Arial"/>
          <w:b/>
          <w:bCs/>
          <w:color w:val="000000"/>
          <w:lang w:val="es-ES_tradnl"/>
        </w:rPr>
        <w:t xml:space="preserve">2.1. </w:t>
      </w:r>
      <w:r w:rsidR="00F73DB5" w:rsidRPr="00A66DD2">
        <w:rPr>
          <w:rFonts w:ascii="Arial" w:hAnsi="Arial" w:cs="Arial"/>
          <w:b/>
          <w:bCs/>
          <w:color w:val="000000"/>
          <w:lang w:val="es-ES_tradnl"/>
        </w:rPr>
        <w:t>Características generales del contrato de prestación de servicios</w:t>
      </w:r>
    </w:p>
    <w:p w14:paraId="1B60001F" w14:textId="77777777" w:rsidR="00F73DB5" w:rsidRPr="002C7909" w:rsidRDefault="00F73DB5" w:rsidP="0020130D">
      <w:pPr>
        <w:spacing w:after="0" w:line="276" w:lineRule="auto"/>
        <w:jc w:val="both"/>
        <w:rPr>
          <w:rFonts w:ascii="Arial" w:eastAsia="Calibri" w:hAnsi="Arial" w:cs="Arial"/>
          <w:b/>
          <w:bCs/>
          <w:color w:val="000000"/>
          <w:lang w:val="es-ES_tradnl"/>
        </w:rPr>
      </w:pPr>
    </w:p>
    <w:p w14:paraId="0E3CEA81" w14:textId="77777777" w:rsidR="004518B5" w:rsidRPr="00A66DD2" w:rsidRDefault="004518B5" w:rsidP="004518B5">
      <w:pPr>
        <w:tabs>
          <w:tab w:val="left" w:pos="0"/>
        </w:tabs>
        <w:spacing w:line="276" w:lineRule="auto"/>
        <w:contextualSpacing/>
        <w:jc w:val="both"/>
        <w:rPr>
          <w:rFonts w:ascii="Arial" w:eastAsia="Calibri" w:hAnsi="Arial" w:cs="Arial"/>
          <w:color w:val="000000" w:themeColor="text1"/>
          <w:lang w:val="es-ES_tradnl"/>
        </w:rPr>
      </w:pPr>
      <w:r w:rsidRPr="00A66DD2">
        <w:rPr>
          <w:rFonts w:ascii="Arial" w:hAnsi="Arial" w:cs="Arial"/>
          <w:color w:val="000000" w:themeColor="text1"/>
          <w:lang w:val="es-MX"/>
        </w:rPr>
        <w:t xml:space="preserve">El contrato de prestación de servicios es un contrato estatal típico, regulado en el numeral 3 del artículo 32 de la Ley 80 de 1993. Es definido como aquel que </w:t>
      </w:r>
      <w:r>
        <w:rPr>
          <w:rFonts w:ascii="Arial" w:hAnsi="Arial" w:cs="Arial"/>
          <w:color w:val="000000" w:themeColor="text1"/>
          <w:lang w:val="es-MX"/>
        </w:rPr>
        <w:t>“</w:t>
      </w:r>
      <w:r w:rsidRPr="00A66DD2">
        <w:rPr>
          <w:rFonts w:ascii="Arial" w:hAnsi="Arial" w:cs="Arial"/>
          <w:color w:val="000000" w:themeColor="text1"/>
          <w:lang w:val="es-MX"/>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Pr>
          <w:rFonts w:ascii="Arial" w:hAnsi="Arial" w:cs="Arial"/>
          <w:color w:val="000000" w:themeColor="text1"/>
          <w:lang w:val="es-MX"/>
        </w:rPr>
        <w:t>”</w:t>
      </w:r>
      <w:r w:rsidRPr="00A66DD2">
        <w:rPr>
          <w:rFonts w:ascii="Arial" w:hAnsi="Arial" w:cs="Arial"/>
          <w:color w:val="000000" w:themeColor="text1"/>
          <w:lang w:val="es-MX"/>
        </w:rPr>
        <w:t>.</w:t>
      </w:r>
      <w:r w:rsidRPr="00A66DD2">
        <w:rPr>
          <w:rFonts w:ascii="Arial" w:eastAsia="Calibri" w:hAnsi="Arial"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51FD0A7D" w14:textId="77777777" w:rsidR="004518B5" w:rsidRPr="00A66DD2" w:rsidRDefault="004518B5" w:rsidP="004518B5">
      <w:pPr>
        <w:spacing w:line="276" w:lineRule="auto"/>
        <w:ind w:right="709"/>
        <w:contextualSpacing/>
        <w:jc w:val="both"/>
        <w:rPr>
          <w:rFonts w:ascii="Arial" w:eastAsia="Calibri" w:hAnsi="Arial" w:cs="Arial"/>
          <w:color w:val="000000" w:themeColor="text1"/>
          <w:lang w:val="es-ES_tradnl"/>
        </w:rPr>
      </w:pPr>
    </w:p>
    <w:p w14:paraId="73883D04" w14:textId="77777777" w:rsidR="004518B5" w:rsidRPr="00A66DD2" w:rsidRDefault="004518B5" w:rsidP="004518B5">
      <w:pPr>
        <w:ind w:left="709" w:right="709"/>
        <w:contextualSpacing/>
        <w:jc w:val="both"/>
        <w:rPr>
          <w:rFonts w:ascii="Arial" w:eastAsia="Calibri" w:hAnsi="Arial" w:cs="Arial"/>
          <w:color w:val="000000" w:themeColor="text1"/>
          <w:sz w:val="21"/>
          <w:szCs w:val="21"/>
          <w:lang w:val="es-MX"/>
        </w:rPr>
      </w:pPr>
      <w:r>
        <w:rPr>
          <w:rFonts w:ascii="Arial" w:eastAsia="Yu Gothic UI Semibold" w:hAnsi="Arial" w:cs="Arial"/>
          <w:iCs/>
          <w:sz w:val="21"/>
          <w:szCs w:val="21"/>
          <w:lang w:eastAsia="es-MX"/>
        </w:rPr>
        <w:t>“</w:t>
      </w:r>
      <w:r w:rsidRPr="00A66DD2">
        <w:rPr>
          <w:rFonts w:ascii="Arial" w:eastAsia="Calibri" w:hAnsi="Arial" w:cs="Arial"/>
          <w:color w:val="000000" w:themeColor="text1"/>
          <w:sz w:val="21"/>
          <w:szCs w:val="21"/>
          <w:lang w:val="es-MX"/>
        </w:rPr>
        <w:t>La escogencia del contratista se efectuará con arreglo a las modalidades de selección de licitación pública, selección abreviada, concurso de méritos y contratación directa, con base en las siguientes reglas:</w:t>
      </w:r>
    </w:p>
    <w:p w14:paraId="4C99B9F7" w14:textId="77777777" w:rsidR="004518B5" w:rsidRDefault="004518B5" w:rsidP="004518B5">
      <w:pPr>
        <w:spacing w:after="120"/>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w:t>
      </w:r>
    </w:p>
    <w:p w14:paraId="408007C8" w14:textId="77777777" w:rsidR="004518B5" w:rsidRPr="000E75E5" w:rsidRDefault="004518B5" w:rsidP="004518B5">
      <w:pPr>
        <w:spacing w:after="120"/>
        <w:ind w:left="709" w:right="709"/>
        <w:contextualSpacing/>
        <w:jc w:val="both"/>
        <w:rPr>
          <w:rFonts w:ascii="Arial" w:eastAsia="Calibri" w:hAnsi="Arial" w:cs="Arial"/>
          <w:color w:val="000000" w:themeColor="text1"/>
          <w:sz w:val="12"/>
          <w:szCs w:val="12"/>
          <w:lang w:val="es-MX"/>
        </w:rPr>
      </w:pPr>
    </w:p>
    <w:p w14:paraId="0AB74F56" w14:textId="77777777" w:rsidR="004518B5" w:rsidRPr="00A66DD2" w:rsidRDefault="004518B5" w:rsidP="004518B5">
      <w:pPr>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4. Contratación directa. La modalidad de selección de contratación directa, solamente procederá en los siguientes casos:</w:t>
      </w:r>
    </w:p>
    <w:p w14:paraId="356B5B41" w14:textId="77777777" w:rsidR="004518B5" w:rsidRDefault="004518B5" w:rsidP="004518B5">
      <w:pPr>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w:t>
      </w:r>
    </w:p>
    <w:p w14:paraId="72988B40" w14:textId="77777777" w:rsidR="004518B5" w:rsidRPr="000E75E5" w:rsidRDefault="004518B5" w:rsidP="004518B5">
      <w:pPr>
        <w:ind w:left="709" w:right="709"/>
        <w:contextualSpacing/>
        <w:jc w:val="both"/>
        <w:rPr>
          <w:rFonts w:ascii="Arial" w:eastAsia="Calibri" w:hAnsi="Arial" w:cs="Arial"/>
          <w:color w:val="000000" w:themeColor="text1"/>
          <w:sz w:val="12"/>
          <w:szCs w:val="12"/>
          <w:lang w:val="es-MX"/>
        </w:rPr>
      </w:pPr>
    </w:p>
    <w:p w14:paraId="612310C2" w14:textId="77777777" w:rsidR="004518B5" w:rsidRPr="00A66DD2" w:rsidRDefault="004518B5" w:rsidP="004518B5">
      <w:pPr>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h) Para la prestación de servicios profesionales y de apoyo a la gestión, o para la ejecución de trabajos artísticos que sólo puedan encomendarse a determinadas personas naturales</w:t>
      </w:r>
      <w:r>
        <w:rPr>
          <w:rFonts w:ascii="Arial" w:eastAsia="Yu Gothic UI Semibold" w:hAnsi="Arial" w:cs="Arial"/>
          <w:iCs/>
          <w:sz w:val="21"/>
          <w:szCs w:val="21"/>
          <w:lang w:eastAsia="es-MX"/>
        </w:rPr>
        <w:t>”</w:t>
      </w:r>
      <w:r w:rsidRPr="00A66DD2">
        <w:rPr>
          <w:rFonts w:ascii="Arial" w:eastAsia="Calibri" w:hAnsi="Arial" w:cs="Arial"/>
          <w:color w:val="000000" w:themeColor="text1"/>
          <w:sz w:val="21"/>
          <w:szCs w:val="21"/>
          <w:lang w:val="es-MX"/>
        </w:rPr>
        <w:t>.</w:t>
      </w:r>
    </w:p>
    <w:p w14:paraId="499C4222" w14:textId="5C804245" w:rsidR="004518B5" w:rsidRPr="00A66DD2" w:rsidRDefault="004518B5" w:rsidP="004518B5">
      <w:pPr>
        <w:tabs>
          <w:tab w:val="left" w:pos="0"/>
        </w:tabs>
        <w:spacing w:line="276" w:lineRule="auto"/>
        <w:contextualSpacing/>
        <w:jc w:val="both"/>
        <w:rPr>
          <w:rFonts w:ascii="Arial" w:hAnsi="Arial" w:cs="Arial"/>
          <w:noProof/>
          <w:lang w:val="es-ES_tradnl"/>
        </w:rPr>
      </w:pPr>
      <w:r w:rsidRPr="00A66DD2">
        <w:rPr>
          <w:rFonts w:ascii="Arial" w:hAnsi="Arial" w:cs="Arial"/>
          <w:noProof/>
          <w:lang w:val="es-ES_tradnl"/>
        </w:rPr>
        <w:tab/>
        <w:t xml:space="preserve">En tal sentido, el </w:t>
      </w:r>
      <w:r>
        <w:rPr>
          <w:rFonts w:ascii="Arial" w:hAnsi="Arial" w:cs="Arial"/>
          <w:noProof/>
          <w:lang w:val="es-ES_tradnl"/>
        </w:rPr>
        <w:t>a</w:t>
      </w:r>
      <w:r w:rsidRPr="00A66DD2">
        <w:rPr>
          <w:rFonts w:ascii="Arial" w:hAnsi="Arial" w:cs="Arial"/>
          <w:noProof/>
          <w:lang w:val="es-ES_tradnl"/>
        </w:rPr>
        <w:t>rtículo 2.2.1.2.1.4.9</w:t>
      </w:r>
      <w:r>
        <w:rPr>
          <w:rFonts w:ascii="Arial" w:hAnsi="Arial" w:cs="Arial"/>
          <w:noProof/>
          <w:lang w:val="es-ES_tradnl"/>
        </w:rPr>
        <w:t xml:space="preserve"> d</w:t>
      </w:r>
      <w:r w:rsidRPr="00A66DD2">
        <w:rPr>
          <w:rFonts w:ascii="Arial" w:hAnsi="Arial" w:cs="Arial"/>
          <w:noProof/>
          <w:lang w:val="es-ES_tradnl"/>
        </w:rPr>
        <w:t>el Decreto 1082 de 2015</w:t>
      </w:r>
      <w:r>
        <w:rPr>
          <w:rFonts w:ascii="Arial" w:hAnsi="Arial" w:cs="Arial"/>
          <w:noProof/>
          <w:lang w:val="es-ES_tradnl"/>
        </w:rPr>
        <w:t xml:space="preserve"> </w:t>
      </w:r>
      <w:r w:rsidRPr="00A66DD2">
        <w:rPr>
          <w:rFonts w:ascii="Arial" w:hAnsi="Arial" w:cs="Arial"/>
          <w:noProof/>
          <w:lang w:val="es-ES_tradnl"/>
        </w:rPr>
        <w:t>reglamenta la contratación directa para los contratos de servicios profesionales y de apoyo a la gestión, o para la ejecución de trabajos artísticos que solo puedan encomendarse a determinadas personas naturales, en los siguientes términos:</w:t>
      </w:r>
    </w:p>
    <w:p w14:paraId="0AA1E65A" w14:textId="77777777" w:rsidR="004518B5" w:rsidRPr="00A66DD2" w:rsidRDefault="004518B5" w:rsidP="004518B5">
      <w:pPr>
        <w:tabs>
          <w:tab w:val="left" w:pos="0"/>
        </w:tabs>
        <w:spacing w:line="276" w:lineRule="auto"/>
        <w:contextualSpacing/>
        <w:jc w:val="both"/>
        <w:rPr>
          <w:rFonts w:ascii="Arial" w:hAnsi="Arial" w:cs="Arial"/>
          <w:noProof/>
          <w:lang w:val="es-ES_tradnl"/>
        </w:rPr>
      </w:pPr>
    </w:p>
    <w:p w14:paraId="000EAF90" w14:textId="77777777" w:rsidR="004518B5" w:rsidRDefault="004518B5" w:rsidP="004518B5">
      <w:pPr>
        <w:ind w:left="709" w:right="709"/>
        <w:contextualSpacing/>
        <w:jc w:val="both"/>
        <w:rPr>
          <w:rFonts w:ascii="Arial" w:hAnsi="Arial" w:cs="Arial"/>
          <w:sz w:val="21"/>
          <w:szCs w:val="21"/>
          <w:lang w:val="es-MX"/>
        </w:rPr>
      </w:pPr>
      <w:r>
        <w:rPr>
          <w:rFonts w:ascii="Arial" w:eastAsia="Yu Gothic UI Semibold" w:hAnsi="Arial" w:cs="Arial"/>
          <w:iCs/>
          <w:sz w:val="21"/>
          <w:szCs w:val="21"/>
          <w:lang w:eastAsia="es-MX"/>
        </w:rPr>
        <w:t>“</w:t>
      </w:r>
      <w:r w:rsidRPr="00A66DD2">
        <w:rPr>
          <w:rFonts w:ascii="Arial" w:hAnsi="Arial" w:cs="Arial"/>
          <w:sz w:val="21"/>
          <w:szCs w:val="21"/>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Pr>
          <w:rFonts w:ascii="Arial" w:hAnsi="Arial" w:cs="Arial"/>
          <w:sz w:val="21"/>
          <w:szCs w:val="21"/>
          <w:lang w:val="es-MX"/>
        </w:rPr>
        <w:t>.</w:t>
      </w:r>
    </w:p>
    <w:p w14:paraId="4E71E8E0" w14:textId="77777777" w:rsidR="004518B5" w:rsidRPr="000E75E5" w:rsidRDefault="004518B5" w:rsidP="004518B5">
      <w:pPr>
        <w:ind w:left="709" w:right="709"/>
        <w:contextualSpacing/>
        <w:jc w:val="both"/>
        <w:rPr>
          <w:rFonts w:ascii="Arial" w:hAnsi="Arial" w:cs="Arial"/>
          <w:sz w:val="12"/>
          <w:szCs w:val="12"/>
          <w:lang w:val="es-MX"/>
        </w:rPr>
      </w:pPr>
    </w:p>
    <w:p w14:paraId="02FFB0BF" w14:textId="77777777" w:rsidR="004518B5" w:rsidRDefault="004518B5" w:rsidP="004518B5">
      <w:pPr>
        <w:ind w:left="709" w:right="709"/>
        <w:contextualSpacing/>
        <w:jc w:val="both"/>
        <w:rPr>
          <w:rFonts w:ascii="Arial" w:hAnsi="Arial" w:cs="Arial"/>
          <w:sz w:val="21"/>
          <w:szCs w:val="21"/>
          <w:lang w:val="es-MX"/>
        </w:rPr>
      </w:pPr>
      <w:r w:rsidRPr="00A66DD2">
        <w:rPr>
          <w:rFonts w:ascii="Arial" w:hAnsi="Arial" w:cs="Arial"/>
          <w:sz w:val="21"/>
          <w:szCs w:val="21"/>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62C488F" w14:textId="77777777" w:rsidR="004518B5" w:rsidRPr="000E75E5" w:rsidRDefault="004518B5" w:rsidP="004518B5">
      <w:pPr>
        <w:ind w:left="709" w:right="709"/>
        <w:contextualSpacing/>
        <w:jc w:val="both"/>
        <w:rPr>
          <w:rFonts w:ascii="Arial" w:hAnsi="Arial" w:cs="Arial"/>
          <w:sz w:val="12"/>
          <w:szCs w:val="12"/>
          <w:lang w:val="es-MX"/>
        </w:rPr>
      </w:pPr>
    </w:p>
    <w:p w14:paraId="0BE86022" w14:textId="77777777" w:rsidR="004518B5" w:rsidRPr="00A66DD2" w:rsidRDefault="004518B5" w:rsidP="004518B5">
      <w:pPr>
        <w:ind w:left="709" w:right="709"/>
        <w:contextualSpacing/>
        <w:jc w:val="both"/>
        <w:rPr>
          <w:rFonts w:ascii="Arial" w:hAnsi="Arial" w:cs="Arial"/>
          <w:sz w:val="21"/>
          <w:szCs w:val="21"/>
          <w:lang w:val="es-MX"/>
        </w:rPr>
      </w:pPr>
      <w:r w:rsidRPr="00A66DD2">
        <w:rPr>
          <w:rFonts w:ascii="Arial" w:hAnsi="Arial" w:cs="Arial"/>
          <w:sz w:val="21"/>
          <w:szCs w:val="21"/>
          <w:lang w:val="es-MX"/>
        </w:rPr>
        <w:t>La Entidad Estatal, para la contratación de trabajos artísticos que solamente puedan en</w:t>
      </w:r>
      <w:r w:rsidRPr="00A66DD2">
        <w:rPr>
          <w:rFonts w:ascii="Arial" w:hAnsi="Arial" w:cs="Arial"/>
          <w:sz w:val="21"/>
          <w:szCs w:val="21"/>
          <w:lang w:val="es-MX"/>
        </w:rPr>
        <w:softHyphen/>
        <w:t>comendarse a determinadas personas naturales, debe justificar esta situación en los estudios y documentos previos</w:t>
      </w:r>
      <w:r>
        <w:rPr>
          <w:rFonts w:ascii="Arial" w:eastAsia="Yu Gothic UI Semibold" w:hAnsi="Arial" w:cs="Arial"/>
          <w:iCs/>
          <w:sz w:val="21"/>
          <w:szCs w:val="21"/>
          <w:lang w:eastAsia="es-MX"/>
        </w:rPr>
        <w:t>”</w:t>
      </w:r>
      <w:r w:rsidRPr="00A66DD2">
        <w:rPr>
          <w:rFonts w:ascii="Arial" w:hAnsi="Arial" w:cs="Arial"/>
          <w:sz w:val="21"/>
          <w:szCs w:val="21"/>
          <w:lang w:val="es-MX"/>
        </w:rPr>
        <w:t>.</w:t>
      </w:r>
    </w:p>
    <w:p w14:paraId="6CBCBC16" w14:textId="77777777" w:rsidR="004518B5" w:rsidRPr="00A66DD2" w:rsidRDefault="004518B5" w:rsidP="004518B5">
      <w:pPr>
        <w:tabs>
          <w:tab w:val="left" w:pos="0"/>
        </w:tabs>
        <w:spacing w:line="276" w:lineRule="auto"/>
        <w:jc w:val="both"/>
        <w:rPr>
          <w:rFonts w:ascii="Arial" w:hAnsi="Arial" w:cs="Arial"/>
          <w:noProof/>
          <w:sz w:val="21"/>
          <w:szCs w:val="21"/>
        </w:rPr>
      </w:pPr>
    </w:p>
    <w:p w14:paraId="1F8879A0" w14:textId="77777777" w:rsidR="004518B5" w:rsidRPr="00A66DD2" w:rsidRDefault="004518B5" w:rsidP="004518B5">
      <w:pPr>
        <w:tabs>
          <w:tab w:val="left" w:pos="0"/>
        </w:tabs>
        <w:spacing w:after="120" w:line="276" w:lineRule="auto"/>
        <w:jc w:val="both"/>
        <w:rPr>
          <w:rFonts w:ascii="Arial" w:hAnsi="Arial" w:cs="Arial"/>
          <w:color w:val="000000" w:themeColor="text1"/>
          <w:lang w:val="es-ES_tradnl"/>
        </w:rPr>
      </w:pPr>
      <w:r w:rsidRPr="00A66DD2">
        <w:rPr>
          <w:rFonts w:ascii="Arial" w:hAnsi="Arial" w:cs="Arial"/>
          <w:color w:val="000000" w:themeColor="text1"/>
          <w:lang w:val="es-ES_tradnl"/>
        </w:rPr>
        <w:tab/>
        <w:t>A partir de las disposiciones citadas, así como de la reciente Sentencia de Unificación Jurisprudencial del 9 de septiembre de 2021, proferida por el Consejo de Estado</w:t>
      </w:r>
      <w:r w:rsidRPr="00A66DD2">
        <w:rPr>
          <w:rFonts w:ascii="Arial" w:hAnsi="Arial" w:cs="Arial"/>
          <w:bCs/>
          <w:vertAlign w:val="superscript"/>
          <w:lang w:val="es-ES"/>
        </w:rPr>
        <w:footnoteReference w:id="4"/>
      </w:r>
      <w:r w:rsidRPr="00A66DD2">
        <w:rPr>
          <w:rFonts w:ascii="Arial" w:hAnsi="Arial" w:cs="Arial"/>
          <w:color w:val="000000" w:themeColor="text1"/>
          <w:lang w:val="es-ES_tradnl"/>
        </w:rPr>
        <w:t>, es posible señalar las siguientes características del contrato de prestación de servicios</w:t>
      </w:r>
      <w:r w:rsidRPr="00A66DD2">
        <w:rPr>
          <w:rFonts w:ascii="Arial" w:hAnsi="Arial" w:cs="Arial"/>
          <w:noProof/>
          <w:lang w:val="es-ES_tradnl"/>
        </w:rPr>
        <w:t>:</w:t>
      </w:r>
    </w:p>
    <w:p w14:paraId="51AEBCAD"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i) Solo puede celebrarse para realizar </w:t>
      </w:r>
      <w:r>
        <w:rPr>
          <w:rFonts w:ascii="Arial" w:hAnsi="Arial" w:cs="Arial"/>
          <w:noProof/>
          <w:lang w:val="es-ES_tradnl"/>
        </w:rPr>
        <w:t>“</w:t>
      </w:r>
      <w:r w:rsidRPr="00A66DD2">
        <w:rPr>
          <w:rFonts w:ascii="Arial" w:hAnsi="Arial" w:cs="Arial"/>
          <w:noProof/>
          <w:lang w:val="es-ES_tradnl"/>
        </w:rPr>
        <w:t>actividades relacionadas con la administración o funcionamiento de la entidad</w:t>
      </w:r>
      <w:r>
        <w:rPr>
          <w:rFonts w:ascii="Arial" w:hAnsi="Arial" w:cs="Arial"/>
          <w:noProof/>
          <w:lang w:val="es-ES_tradnl"/>
        </w:rPr>
        <w:t>”</w:t>
      </w:r>
      <w:r w:rsidRPr="00A66DD2">
        <w:rPr>
          <w:rFonts w:ascii="Arial" w:hAnsi="Arial" w:cs="Arial"/>
          <w:noProof/>
          <w:lang w:val="es-ES_tradnl"/>
        </w:rPr>
        <w:t>, es decir, que hagan parte de su giro ordinario o quehacer cotidiano</w:t>
      </w:r>
      <w:r w:rsidRPr="00A66DD2">
        <w:rPr>
          <w:rFonts w:ascii="Arial" w:hAnsi="Arial" w:cs="Arial"/>
          <w:noProof/>
          <w:vertAlign w:val="superscript"/>
          <w:lang w:val="es-ES_tradnl"/>
        </w:rPr>
        <w:footnoteReference w:id="5"/>
      </w:r>
      <w:r w:rsidRPr="00A66DD2">
        <w:rPr>
          <w:rFonts w:ascii="Arial" w:hAnsi="Arial" w:cs="Arial"/>
          <w:noProof/>
          <w:lang w:val="es-ES_tradnl"/>
        </w:rPr>
        <w:t>.</w:t>
      </w:r>
    </w:p>
    <w:p w14:paraId="3789129D"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ii) Respecto del tipo de personas que pueden ser contratadas, admite que se suscriba con personas naturales o jurídicas. Sin embargo, cuando se celebre con personas naturales la entidad estatal debe justificar, en los estudios previos, que las actividades </w:t>
      </w:r>
      <w:r>
        <w:rPr>
          <w:rFonts w:ascii="Arial" w:hAnsi="Arial" w:cs="Arial"/>
          <w:noProof/>
          <w:lang w:val="es-ES_tradnl"/>
        </w:rPr>
        <w:t>“</w:t>
      </w:r>
      <w:r w:rsidRPr="00A66DD2">
        <w:rPr>
          <w:rFonts w:ascii="Arial" w:hAnsi="Arial" w:cs="Arial"/>
          <w:noProof/>
          <w:lang w:val="es-ES_tradnl"/>
        </w:rPr>
        <w:t>no puedan realizarse con personal de planta o requieran conocimientos especializados</w:t>
      </w:r>
      <w:r>
        <w:rPr>
          <w:rFonts w:ascii="Arial" w:hAnsi="Arial" w:cs="Arial"/>
          <w:noProof/>
          <w:lang w:val="es-ES_tradnl"/>
        </w:rPr>
        <w:t>”</w:t>
      </w:r>
      <w:r w:rsidRPr="00A66DD2">
        <w:rPr>
          <w:rFonts w:ascii="Arial" w:hAnsi="Arial" w:cs="Arial"/>
          <w:noProof/>
          <w:lang w:val="es-ES_tradnl"/>
        </w:rPr>
        <w:t xml:space="preserve">. </w:t>
      </w:r>
    </w:p>
    <w:p w14:paraId="209BDBBE"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A66DD2">
        <w:rPr>
          <w:rFonts w:ascii="Arial" w:hAnsi="Arial" w:cs="Arial"/>
          <w:i/>
          <w:noProof/>
          <w:lang w:val="es-ES_tradnl"/>
        </w:rPr>
        <w:t xml:space="preserve">subordinación </w:t>
      </w:r>
      <w:r w:rsidRPr="00A66DD2">
        <w:rPr>
          <w:rFonts w:ascii="Arial" w:hAnsi="Arial" w:cs="Arial"/>
          <w:iCs/>
          <w:noProof/>
          <w:lang w:val="es-ES_tradnl"/>
        </w:rPr>
        <w:t>ni</w:t>
      </w:r>
      <w:r w:rsidRPr="00A66DD2">
        <w:rPr>
          <w:rFonts w:ascii="Arial" w:hAnsi="Arial" w:cs="Arial"/>
          <w:i/>
          <w:noProof/>
          <w:lang w:val="es-ES_tradnl"/>
        </w:rPr>
        <w:t xml:space="preserve"> dependencia</w:t>
      </w:r>
      <w:r w:rsidRPr="00A66DD2">
        <w:rPr>
          <w:rFonts w:ascii="Arial" w:hAnsi="Arial" w:cs="Arial"/>
          <w:iCs/>
          <w:noProof/>
          <w:lang w:val="es-ES_tradnl"/>
        </w:rPr>
        <w:t>,</w:t>
      </w:r>
      <w:r w:rsidRPr="00A66DD2">
        <w:rPr>
          <w:rFonts w:ascii="Arial" w:hAnsi="Arial" w:cs="Arial"/>
          <w:noProof/>
          <w:lang w:val="es-ES_tradnl"/>
        </w:rPr>
        <w:t xml:space="preserve"> que es uno de los elementos constitutivos del vínculo laboral</w:t>
      </w:r>
      <w:r w:rsidRPr="00A66DD2">
        <w:rPr>
          <w:rFonts w:ascii="Arial" w:hAnsi="Arial" w:cs="Arial"/>
          <w:noProof/>
          <w:vertAlign w:val="superscript"/>
          <w:lang w:val="es-ES_tradnl"/>
        </w:rPr>
        <w:footnoteReference w:id="6"/>
      </w:r>
      <w:r w:rsidRPr="00A66DD2">
        <w:rPr>
          <w:rFonts w:ascii="Arial" w:hAnsi="Arial" w:cs="Arial"/>
          <w:noProof/>
          <w:lang w:val="es-ES_tradnl"/>
        </w:rPr>
        <w:t xml:space="preserve">. Por eso, el artículo 32, numeral 3º, de la Ley 80 de 1993 establece que </w:t>
      </w:r>
      <w:r>
        <w:rPr>
          <w:rFonts w:ascii="Arial" w:hAnsi="Arial" w:cs="Arial"/>
          <w:noProof/>
          <w:lang w:val="es-ES_tradnl"/>
        </w:rPr>
        <w:t>“</w:t>
      </w:r>
      <w:r w:rsidRPr="00A66DD2">
        <w:rPr>
          <w:rFonts w:ascii="Arial" w:hAnsi="Arial" w:cs="Arial"/>
          <w:noProof/>
          <w:lang w:val="es-ES_tradnl"/>
        </w:rPr>
        <w:t>En ningún caso estos contratos generan relación laboral ni prestaciones sociales</w:t>
      </w:r>
      <w:r>
        <w:rPr>
          <w:rFonts w:ascii="Arial" w:hAnsi="Arial" w:cs="Arial"/>
          <w:noProof/>
          <w:lang w:val="es-ES_tradnl"/>
        </w:rPr>
        <w:t>”</w:t>
      </w:r>
      <w:r w:rsidRPr="00A66DD2">
        <w:rPr>
          <w:rFonts w:ascii="Arial" w:hAnsi="Arial" w:cs="Arial"/>
          <w:noProof/>
          <w:lang w:val="es-ES_tradnl"/>
        </w:rPr>
        <w:t xml:space="preserve">. Este inciso, más que un enunciado que aluda al </w:t>
      </w:r>
      <w:r>
        <w:rPr>
          <w:rFonts w:ascii="Arial" w:hAnsi="Arial" w:cs="Arial"/>
          <w:noProof/>
          <w:lang w:val="es-ES_tradnl"/>
        </w:rPr>
        <w:t>“</w:t>
      </w:r>
      <w:r w:rsidRPr="00A66DD2">
        <w:rPr>
          <w:rFonts w:ascii="Arial" w:hAnsi="Arial" w:cs="Arial"/>
          <w:noProof/>
          <w:lang w:val="es-ES_tradnl"/>
        </w:rPr>
        <w:t>ser</w:t>
      </w:r>
      <w:r>
        <w:rPr>
          <w:rFonts w:ascii="Arial" w:hAnsi="Arial" w:cs="Arial"/>
          <w:noProof/>
          <w:lang w:val="es-ES_tradnl"/>
        </w:rPr>
        <w:t>”</w:t>
      </w:r>
      <w:r w:rsidRPr="00A66DD2">
        <w:rPr>
          <w:rFonts w:ascii="Arial" w:hAnsi="Arial" w:cs="Arial"/>
          <w:noProof/>
          <w:lang w:val="es-ES_tradnl"/>
        </w:rPr>
        <w:t xml:space="preserve">, se refiere al </w:t>
      </w:r>
      <w:r>
        <w:rPr>
          <w:rFonts w:ascii="Arial" w:hAnsi="Arial" w:cs="Arial"/>
          <w:noProof/>
          <w:lang w:val="es-ES_tradnl"/>
        </w:rPr>
        <w:t>“</w:t>
      </w:r>
      <w:r w:rsidRPr="00A66DD2">
        <w:rPr>
          <w:rFonts w:ascii="Arial" w:hAnsi="Arial" w:cs="Arial"/>
          <w:noProof/>
          <w:lang w:val="es-ES_tradnl"/>
        </w:rPr>
        <w:t>deber ser</w:t>
      </w:r>
      <w:r>
        <w:rPr>
          <w:rFonts w:ascii="Arial" w:hAnsi="Arial" w:cs="Arial"/>
          <w:noProof/>
          <w:lang w:val="es-ES_tradnl"/>
        </w:rPr>
        <w:t>”</w:t>
      </w:r>
      <w:r w:rsidRPr="00A66DD2">
        <w:rPr>
          <w:rFonts w:ascii="Arial" w:hAnsi="Arial" w:cs="Arial"/>
          <w:noProof/>
          <w:lang w:val="es-ES_tradnl"/>
        </w:rPr>
        <w:t xml:space="preserve">, pues debe interpretarse en el sentido de que los contratos de prestación de servicios profesionales </w:t>
      </w:r>
      <w:r w:rsidRPr="00A66DD2">
        <w:rPr>
          <w:rFonts w:ascii="Arial" w:hAnsi="Arial" w:cs="Arial"/>
          <w:i/>
          <w:noProof/>
          <w:lang w:val="es-ES_tradnl"/>
        </w:rPr>
        <w:t>no pueden</w:t>
      </w:r>
      <w:r w:rsidRPr="00A66DD2">
        <w:rPr>
          <w:rFonts w:ascii="Arial" w:hAnsi="Arial"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w:t>
      </w:r>
      <w:r>
        <w:rPr>
          <w:rFonts w:ascii="Arial" w:hAnsi="Arial" w:cs="Arial"/>
          <w:noProof/>
          <w:lang w:val="es-ES_tradnl"/>
        </w:rPr>
        <w:t>“</w:t>
      </w:r>
      <w:r w:rsidRPr="00A66DD2">
        <w:rPr>
          <w:rFonts w:ascii="Arial" w:hAnsi="Arial" w:cs="Arial"/>
          <w:noProof/>
          <w:lang w:val="es-ES_tradnl"/>
        </w:rPr>
        <w:t>trabajador independiente</w:t>
      </w:r>
      <w:r>
        <w:rPr>
          <w:rFonts w:ascii="Arial" w:hAnsi="Arial" w:cs="Arial"/>
          <w:noProof/>
          <w:lang w:val="es-ES_tradnl"/>
        </w:rPr>
        <w:t>”</w:t>
      </w:r>
      <w:r w:rsidRPr="00A66DD2">
        <w:rPr>
          <w:rFonts w:ascii="Arial" w:hAnsi="Arial" w:cs="Arial"/>
          <w:noProof/>
          <w:lang w:val="es-ES_tradnl"/>
        </w:rPr>
        <w:t xml:space="preserve"> –como lo califican las normas de la seguridad social– debe cotizar por su cuenta y riesgo al Sistema de Seguridad Social Integral</w:t>
      </w:r>
      <w:r w:rsidRPr="00A66DD2">
        <w:rPr>
          <w:rFonts w:ascii="Arial" w:hAnsi="Arial" w:cs="Arial"/>
          <w:noProof/>
          <w:vertAlign w:val="superscript"/>
          <w:lang w:val="es-ES_tradnl"/>
        </w:rPr>
        <w:footnoteReference w:id="7"/>
      </w:r>
      <w:r w:rsidRPr="00A66DD2">
        <w:rPr>
          <w:rFonts w:ascii="Arial" w:hAnsi="Arial" w:cs="Arial"/>
          <w:noProof/>
          <w:lang w:val="es-ES_tradnl"/>
        </w:rPr>
        <w:t xml:space="preserve">. </w:t>
      </w:r>
    </w:p>
    <w:p w14:paraId="1649BF2C"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A pesar de este mandato deontológico, es posible que en la práctica se configure una relación laboral, pues el contrato de trabajo es </w:t>
      </w:r>
      <w:r w:rsidRPr="00A66DD2">
        <w:rPr>
          <w:rFonts w:ascii="Arial" w:hAnsi="Arial" w:cs="Arial"/>
          <w:i/>
          <w:iCs/>
          <w:noProof/>
          <w:lang w:val="es-ES_tradnl"/>
        </w:rPr>
        <w:t xml:space="preserve">de </w:t>
      </w:r>
      <w:r w:rsidRPr="00A66DD2">
        <w:rPr>
          <w:rFonts w:ascii="Arial" w:hAnsi="Arial" w:cs="Arial"/>
          <w:i/>
          <w:noProof/>
          <w:lang w:val="es-ES_tradnl"/>
        </w:rPr>
        <w:t>realidad</w:t>
      </w:r>
      <w:r w:rsidRPr="00A66DD2">
        <w:rPr>
          <w:rFonts w:ascii="Arial" w:hAnsi="Arial" w:cs="Arial"/>
          <w:noProof/>
          <w:lang w:val="es-ES_tradnl"/>
        </w:rPr>
        <w:t xml:space="preserve"> y para perfeccionarlo rige el principio de prevalencia de la realidad sobre las formalidades. En el sentido anterior, la Corte Constitucional declaró la exequibilidad condicionada del segundo inciso del numeral 3º del artículo 32, indicando que </w:t>
      </w:r>
      <w:r>
        <w:rPr>
          <w:rFonts w:ascii="Arial" w:hAnsi="Arial" w:cs="Arial"/>
          <w:noProof/>
          <w:lang w:val="es-ES_tradnl"/>
        </w:rPr>
        <w:t>“</w:t>
      </w:r>
      <w:r w:rsidRPr="00A66DD2">
        <w:rPr>
          <w:rFonts w:ascii="Arial" w:hAnsi="Arial" w:cs="Arial"/>
          <w:noProof/>
          <w:lang w:val="es-ES_tradnl"/>
        </w:rPr>
        <w:t>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Pr>
          <w:rFonts w:ascii="Arial" w:hAnsi="Arial" w:cs="Arial"/>
          <w:noProof/>
          <w:lang w:val="es-ES_tradnl"/>
        </w:rPr>
        <w:t>”</w:t>
      </w:r>
      <w:r w:rsidRPr="00A66DD2">
        <w:rPr>
          <w:rFonts w:ascii="Arial" w:hAnsi="Arial" w:cs="Arial"/>
          <w:noProof/>
          <w:vertAlign w:val="superscript"/>
          <w:lang w:val="es-ES_tradnl"/>
        </w:rPr>
        <w:footnoteReference w:id="8"/>
      </w:r>
      <w:r w:rsidRPr="00A66DD2">
        <w:rPr>
          <w:rFonts w:ascii="Arial" w:hAnsi="Arial" w:cs="Arial"/>
          <w:noProof/>
          <w:lang w:val="es-ES_tradnl"/>
        </w:rPr>
        <w:t>.</w:t>
      </w:r>
    </w:p>
    <w:p w14:paraId="2637C8D6" w14:textId="77777777" w:rsidR="004518B5" w:rsidRPr="00A66DD2" w:rsidRDefault="004518B5" w:rsidP="004518B5">
      <w:pPr>
        <w:spacing w:line="276" w:lineRule="auto"/>
        <w:ind w:firstLine="709"/>
        <w:jc w:val="both"/>
        <w:rPr>
          <w:rFonts w:ascii="Arial" w:hAnsi="Arial" w:cs="Arial"/>
          <w:noProof/>
          <w:lang w:val="es-ES_tradnl"/>
        </w:rPr>
      </w:pPr>
      <w:r w:rsidRPr="00A66DD2">
        <w:rPr>
          <w:rFonts w:ascii="Arial" w:hAnsi="Arial" w:cs="Arial"/>
          <w:noProof/>
          <w:lang w:val="es-ES_tradnl"/>
        </w:rPr>
        <w:t xml:space="preserve">iv) Deben ser temporales. La mencionada Sentencia de Unificacion Jurisprudencial del Consejo de Estado, frente a la duración del contrato de prestación de servicios señaló que solo puede celebrarse por un </w:t>
      </w:r>
      <w:r>
        <w:rPr>
          <w:rFonts w:ascii="Arial" w:hAnsi="Arial" w:cs="Arial"/>
          <w:noProof/>
          <w:lang w:val="es-ES_tradnl"/>
        </w:rPr>
        <w:t>“</w:t>
      </w:r>
      <w:r w:rsidRPr="00A66DD2">
        <w:rPr>
          <w:rFonts w:ascii="Arial" w:hAnsi="Arial" w:cs="Arial"/>
          <w:noProof/>
          <w:lang w:val="es-ES_tradnl"/>
        </w:rPr>
        <w:t>término estrictamente indispensable</w:t>
      </w:r>
      <w:r>
        <w:rPr>
          <w:rFonts w:ascii="Arial" w:hAnsi="Arial" w:cs="Arial"/>
          <w:noProof/>
          <w:lang w:val="es-ES_tradnl"/>
        </w:rPr>
        <w:t>”</w:t>
      </w:r>
      <w:r w:rsidRPr="00A66DD2">
        <w:rPr>
          <w:rFonts w:ascii="Arial" w:hAnsi="Arial" w:cs="Arial"/>
          <w:noProof/>
          <w:lang w:val="es-ES_tradnl"/>
        </w:rPr>
        <w:t xml:space="preserve">. En ese entendido, unificó el sentido y alcance del término estrictamente indispensable como </w:t>
      </w:r>
      <w:r>
        <w:rPr>
          <w:rFonts w:ascii="Arial" w:hAnsi="Arial" w:cs="Arial"/>
          <w:noProof/>
          <w:lang w:val="es-ES_tradnl"/>
        </w:rPr>
        <w:t>“</w:t>
      </w:r>
      <w:r w:rsidRPr="00A66DD2">
        <w:rPr>
          <w:rFonts w:ascii="Arial" w:hAnsi="Arial" w:cs="Arial"/>
          <w:noProof/>
          <w:lang w:val="es-ES_tradnl"/>
        </w:rPr>
        <w:t>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Pr>
          <w:rFonts w:ascii="Arial" w:hAnsi="Arial" w:cs="Arial"/>
          <w:noProof/>
          <w:lang w:val="es-ES_tradnl"/>
        </w:rPr>
        <w:t>”</w:t>
      </w:r>
      <w:r w:rsidRPr="00A66DD2">
        <w:rPr>
          <w:rFonts w:ascii="Arial" w:hAnsi="Arial" w:cs="Arial"/>
          <w:noProof/>
          <w:lang w:val="es-ES_tradnl"/>
        </w:rPr>
        <w:t>.</w:t>
      </w:r>
      <w:r>
        <w:rPr>
          <w:rFonts w:ascii="Arial" w:hAnsi="Arial" w:cs="Arial"/>
          <w:noProof/>
          <w:lang w:val="es-ES_tradnl"/>
        </w:rPr>
        <w:t xml:space="preserve"> </w:t>
      </w:r>
      <w:r w:rsidRPr="00A66DD2">
        <w:rPr>
          <w:rFonts w:ascii="Arial" w:hAnsi="Arial" w:cs="Arial"/>
          <w:lang w:val="es-MX"/>
        </w:rPr>
        <w:t xml:space="preserve">De igual manera, señaló que </w:t>
      </w:r>
      <w:r>
        <w:rPr>
          <w:rFonts w:ascii="Arial" w:hAnsi="Arial" w:cs="Arial"/>
          <w:lang w:val="es-MX"/>
        </w:rPr>
        <w:t>“</w:t>
      </w:r>
      <w:r w:rsidRPr="00A66DD2">
        <w:rPr>
          <w:rFonts w:ascii="Arial" w:hAnsi="Arial" w:cs="Arial"/>
          <w:lang w:val="es-MX"/>
        </w:rPr>
        <w:t>no cabe su empleo para la cobertura indefinida de necesidades permanentes o recurrentes</w:t>
      </w:r>
      <w:r>
        <w:rPr>
          <w:rFonts w:ascii="Arial" w:hAnsi="Arial" w:cs="Arial"/>
          <w:lang w:val="es-MX"/>
        </w:rPr>
        <w:t>”</w:t>
      </w:r>
      <w:r w:rsidRPr="00A66DD2">
        <w:rPr>
          <w:rFonts w:ascii="Arial" w:hAnsi="Arial" w:cs="Arial"/>
          <w:lang w:val="es-MX"/>
        </w:rPr>
        <w:t xml:space="preserve">. </w:t>
      </w:r>
      <w:r w:rsidRPr="00A66DD2">
        <w:rPr>
          <w:rFonts w:ascii="Arial" w:hAnsi="Arial" w:cs="Arial"/>
          <w:noProof/>
          <w:lang w:val="es-ES_tradnl"/>
        </w:rPr>
        <w:t>En sentido similar se manifestó la Corte Constitucional en la sentencia C-154 de 1997, expresando que:</w:t>
      </w:r>
    </w:p>
    <w:p w14:paraId="0C353F0A" w14:textId="77777777" w:rsidR="004518B5" w:rsidRPr="00A66DD2" w:rsidRDefault="004518B5" w:rsidP="004518B5">
      <w:pPr>
        <w:ind w:left="709" w:right="709"/>
        <w:contextualSpacing/>
        <w:jc w:val="both"/>
        <w:rPr>
          <w:rFonts w:ascii="Arial" w:hAnsi="Arial" w:cs="Arial"/>
          <w:noProof/>
          <w:sz w:val="21"/>
          <w:szCs w:val="21"/>
          <w:lang w:val="es-ES_tradnl"/>
        </w:rPr>
      </w:pPr>
      <w:r>
        <w:rPr>
          <w:rFonts w:ascii="Arial" w:eastAsia="Yu Gothic UI Semibold" w:hAnsi="Arial" w:cs="Arial"/>
          <w:iCs/>
          <w:sz w:val="21"/>
          <w:szCs w:val="21"/>
          <w:lang w:eastAsia="es-MX"/>
        </w:rPr>
        <w:t>“</w:t>
      </w:r>
      <w:r w:rsidRPr="00A66DD2">
        <w:rPr>
          <w:rFonts w:ascii="Arial" w:hAnsi="Arial"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Fonts w:ascii="Arial" w:hAnsi="Arial" w:cs="Arial"/>
          <w:noProof/>
          <w:sz w:val="21"/>
          <w:szCs w:val="21"/>
          <w:lang w:val="es-ES_tradnl"/>
        </w:rPr>
        <w:t>”</w:t>
      </w:r>
      <w:r w:rsidRPr="00A66DD2">
        <w:rPr>
          <w:rFonts w:ascii="Arial" w:hAnsi="Arial" w:cs="Arial"/>
          <w:noProof/>
          <w:sz w:val="21"/>
          <w:szCs w:val="21"/>
          <w:vertAlign w:val="superscript"/>
          <w:lang w:val="es-ES_tradnl"/>
        </w:rPr>
        <w:footnoteReference w:id="9"/>
      </w:r>
      <w:r w:rsidRPr="00A66DD2">
        <w:rPr>
          <w:rFonts w:ascii="Arial" w:hAnsi="Arial" w:cs="Arial"/>
          <w:noProof/>
          <w:sz w:val="21"/>
          <w:szCs w:val="21"/>
          <w:lang w:val="es-ES_tradnl"/>
        </w:rPr>
        <w:t>.</w:t>
      </w:r>
    </w:p>
    <w:p w14:paraId="71C01B47" w14:textId="77777777" w:rsidR="004518B5" w:rsidRPr="00A66DD2" w:rsidRDefault="004518B5" w:rsidP="004518B5">
      <w:pPr>
        <w:spacing w:line="276" w:lineRule="auto"/>
        <w:ind w:left="709" w:right="709"/>
        <w:contextualSpacing/>
        <w:jc w:val="both"/>
        <w:rPr>
          <w:rFonts w:ascii="Arial" w:hAnsi="Arial" w:cs="Arial"/>
          <w:noProof/>
          <w:lang w:val="es-ES_tradnl"/>
        </w:rPr>
      </w:pPr>
    </w:p>
    <w:p w14:paraId="71E358EB"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A66DD2">
        <w:rPr>
          <w:rFonts w:ascii="Arial" w:hAnsi="Arial" w:cs="Arial"/>
          <w:noProof/>
          <w:vertAlign w:val="superscript"/>
          <w:lang w:val="es-ES_tradnl"/>
        </w:rPr>
        <w:footnoteReference w:id="10"/>
      </w:r>
      <w:r w:rsidRPr="00A66DD2">
        <w:rPr>
          <w:rFonts w:ascii="Arial" w:hAnsi="Arial" w:cs="Arial"/>
          <w:noProof/>
          <w:lang w:val="es-ES_tradnl"/>
        </w:rPr>
        <w:t>. Esto también se deriva d</w:t>
      </w:r>
      <w:r w:rsidRPr="00A66DD2">
        <w:rPr>
          <w:rFonts w:ascii="Arial" w:eastAsia="Calibri" w:hAnsi="Arial"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39D71F64"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vi) Para su celebración no se requiere expedir un acto administrativo de justificación de la contratación directa</w:t>
      </w:r>
      <w:r w:rsidRPr="00A66DD2">
        <w:rPr>
          <w:rFonts w:ascii="Arial" w:hAnsi="Arial" w:cs="Arial"/>
          <w:noProof/>
          <w:vertAlign w:val="superscript"/>
          <w:lang w:val="es-ES_tradnl"/>
        </w:rPr>
        <w:footnoteReference w:id="11"/>
      </w:r>
      <w:r w:rsidRPr="00A66DD2">
        <w:rPr>
          <w:rFonts w:ascii="Arial" w:hAnsi="Arial" w:cs="Arial"/>
          <w:noProof/>
          <w:lang w:val="es-ES_tradnl"/>
        </w:rPr>
        <w:t>.</w:t>
      </w:r>
    </w:p>
    <w:p w14:paraId="0CDC0816"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A66DD2">
        <w:rPr>
          <w:rFonts w:ascii="Arial" w:hAnsi="Arial" w:cs="Arial"/>
          <w:noProof/>
          <w:vertAlign w:val="superscript"/>
          <w:lang w:val="es-ES_tradnl"/>
        </w:rPr>
        <w:footnoteReference w:id="12"/>
      </w:r>
      <w:r w:rsidRPr="00A66DD2">
        <w:rPr>
          <w:rFonts w:ascii="Arial" w:hAnsi="Arial" w:cs="Arial"/>
          <w:noProof/>
          <w:lang w:val="es-ES_tradnl"/>
        </w:rPr>
        <w:t>.</w:t>
      </w:r>
    </w:p>
    <w:p w14:paraId="702EF5C7"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viii) No es obligatoria la liquidación de estos contratos, como lo establece el artículo 217 del Decreto 019 de 2012, que modificó el artículo 60 de la Ley 80 de 1993</w:t>
      </w:r>
      <w:r w:rsidRPr="00A66DD2">
        <w:rPr>
          <w:rFonts w:ascii="Arial" w:hAnsi="Arial" w:cs="Arial"/>
          <w:noProof/>
          <w:vertAlign w:val="superscript"/>
          <w:lang w:val="es-ES_tradnl"/>
        </w:rPr>
        <w:footnoteReference w:id="13"/>
      </w:r>
      <w:r w:rsidRPr="00A66DD2">
        <w:rPr>
          <w:rFonts w:ascii="Arial" w:hAnsi="Arial" w:cs="Arial"/>
          <w:noProof/>
          <w:lang w:val="es-ES_tradnl"/>
        </w:rPr>
        <w:t>.</w:t>
      </w:r>
    </w:p>
    <w:p w14:paraId="5497BF90"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ix) Para su celebración el contratista no requiere estar inscrito en el Registro Único de Proponentes –en adelante RUP–, como lo señala el artículo 6 de la Ley 1150 de 2007</w:t>
      </w:r>
      <w:r w:rsidRPr="00A66DD2">
        <w:rPr>
          <w:rFonts w:ascii="Arial" w:hAnsi="Arial" w:cs="Arial"/>
          <w:noProof/>
          <w:vertAlign w:val="superscript"/>
          <w:lang w:val="es-ES_tradnl"/>
        </w:rPr>
        <w:footnoteReference w:id="14"/>
      </w:r>
      <w:r w:rsidRPr="00A66DD2">
        <w:rPr>
          <w:rFonts w:ascii="Arial" w:hAnsi="Arial" w:cs="Arial"/>
          <w:noProof/>
          <w:lang w:val="es-ES_tradnl"/>
        </w:rPr>
        <w:t>.</w:t>
      </w:r>
    </w:p>
    <w:p w14:paraId="5C9CE348" w14:textId="77777777" w:rsidR="004518B5" w:rsidRPr="00A66DD2" w:rsidRDefault="004518B5" w:rsidP="004518B5">
      <w:pPr>
        <w:spacing w:after="120" w:line="276" w:lineRule="auto"/>
        <w:ind w:firstLine="708"/>
        <w:jc w:val="both"/>
        <w:rPr>
          <w:rFonts w:ascii="Arial" w:hAnsi="Arial" w:cs="Arial"/>
          <w:noProof/>
          <w:lang w:val="es-ES_tradnl"/>
        </w:rPr>
      </w:pPr>
      <w:r w:rsidRPr="00A66DD2">
        <w:rPr>
          <w:rFonts w:ascii="Arial" w:hAnsi="Arial" w:cs="Arial"/>
          <w:noProof/>
          <w:lang w:val="es-ES_tradnl"/>
        </w:rPr>
        <w:t>x) No es obligtoria la exigencia de garantías</w:t>
      </w:r>
      <w:r w:rsidRPr="00A66DD2">
        <w:rPr>
          <w:rFonts w:ascii="Arial" w:hAnsi="Arial" w:cs="Arial"/>
          <w:noProof/>
          <w:vertAlign w:val="superscript"/>
          <w:lang w:val="es-ES_tradnl"/>
        </w:rPr>
        <w:footnoteReference w:id="15"/>
      </w:r>
      <w:r w:rsidRPr="00A66DD2">
        <w:rPr>
          <w:rFonts w:ascii="Arial" w:hAnsi="Arial" w:cs="Arial"/>
          <w:noProof/>
          <w:lang w:val="es-ES_tradnl"/>
        </w:rPr>
        <w:t>.</w:t>
      </w:r>
    </w:p>
    <w:p w14:paraId="09C8378C" w14:textId="77777777" w:rsidR="004518B5" w:rsidRPr="00A66DD2" w:rsidRDefault="004518B5" w:rsidP="004518B5">
      <w:pPr>
        <w:spacing w:after="120" w:line="276" w:lineRule="auto"/>
        <w:ind w:firstLine="708"/>
        <w:jc w:val="both"/>
        <w:rPr>
          <w:rFonts w:ascii="Arial" w:hAnsi="Arial" w:cs="Arial"/>
          <w:noProof/>
          <w:lang w:val="es-ES"/>
        </w:rPr>
      </w:pPr>
      <w:r w:rsidRPr="00A66DD2">
        <w:rPr>
          <w:rFonts w:ascii="Arial" w:hAnsi="Arial" w:cs="Arial"/>
          <w:noProof/>
          <w:lang w:val="es-ES_tradnl"/>
        </w:rPr>
        <w:t>xi) Como los demás contratos estatales, se trata de un contrato solemne que debe constar por escrito y debe ser publicado en el SECOP.</w:t>
      </w:r>
    </w:p>
    <w:p w14:paraId="6107A909" w14:textId="77777777" w:rsidR="004518B5" w:rsidRPr="00A66DD2" w:rsidRDefault="004518B5" w:rsidP="004518B5">
      <w:pPr>
        <w:tabs>
          <w:tab w:val="left" w:pos="0"/>
        </w:tabs>
        <w:spacing w:before="120" w:line="276" w:lineRule="auto"/>
        <w:ind w:firstLine="709"/>
        <w:jc w:val="both"/>
        <w:rPr>
          <w:rFonts w:ascii="Arial" w:hAnsi="Arial" w:cs="Arial"/>
          <w:color w:val="000000" w:themeColor="text1"/>
          <w:lang w:val="es-MX"/>
        </w:rPr>
      </w:pPr>
      <w:r w:rsidRPr="00A66DD2">
        <w:rPr>
          <w:rFonts w:ascii="Arial" w:hAnsi="Arial" w:cs="Arial"/>
          <w:color w:val="000000" w:themeColor="text1"/>
          <w:lang w:val="es-ES"/>
        </w:rPr>
        <w:t>xii) C</w:t>
      </w:r>
      <w:r w:rsidRPr="00A66DD2">
        <w:rPr>
          <w:rFonts w:ascii="Arial" w:hAnsi="Arial" w:cs="Arial"/>
          <w:color w:val="000000" w:themeColor="text1"/>
          <w:lang w:val="es-MX"/>
        </w:rPr>
        <w:t xml:space="preserve">omo especies del género </w:t>
      </w:r>
      <w:r w:rsidRPr="00A66DD2">
        <w:rPr>
          <w:rFonts w:ascii="Arial" w:hAnsi="Arial" w:cs="Arial"/>
          <w:i/>
          <w:color w:val="000000" w:themeColor="text1"/>
          <w:lang w:val="es-MX"/>
        </w:rPr>
        <w:t>prestación de servicios,</w:t>
      </w:r>
      <w:r w:rsidRPr="00A66DD2">
        <w:rPr>
          <w:rFonts w:ascii="Arial" w:hAnsi="Arial" w:cs="Arial"/>
          <w:color w:val="000000" w:themeColor="text1"/>
          <w:lang w:val="es-MX"/>
        </w:rPr>
        <w:t xml:space="preserve"> se incluyen </w:t>
      </w:r>
      <w:r w:rsidRPr="00A66DD2">
        <w:rPr>
          <w:rFonts w:ascii="Arial" w:hAnsi="Arial" w:cs="Arial"/>
          <w:color w:val="000000" w:themeColor="text1"/>
          <w:lang w:val="es-ES_tradnl"/>
        </w:rPr>
        <w:t xml:space="preserve">los </w:t>
      </w:r>
      <w:r w:rsidRPr="00A66DD2">
        <w:rPr>
          <w:rFonts w:ascii="Arial" w:hAnsi="Arial" w:cs="Arial"/>
          <w:i/>
          <w:iCs/>
          <w:color w:val="000000" w:themeColor="text1"/>
          <w:lang w:val="es-ES_tradnl"/>
        </w:rPr>
        <w:t>contratos de prestación de servicios profesionales, los contratos de prestación de servicios de apoyo a la gestión</w:t>
      </w:r>
      <w:r w:rsidRPr="00A66DD2">
        <w:rPr>
          <w:rFonts w:ascii="Arial" w:hAnsi="Arial" w:cs="Arial"/>
          <w:color w:val="000000" w:themeColor="text1"/>
          <w:lang w:val="es-ES_tradnl"/>
        </w:rPr>
        <w:t xml:space="preserve"> y los </w:t>
      </w:r>
      <w:r w:rsidRPr="00A66DD2">
        <w:rPr>
          <w:rFonts w:ascii="Arial" w:hAnsi="Arial" w:cs="Arial"/>
          <w:i/>
          <w:iCs/>
          <w:color w:val="000000" w:themeColor="text1"/>
          <w:lang w:val="es-ES_tradnl"/>
        </w:rPr>
        <w:t>contratos de prestación de servicios artísticos que solo pueden encomendarse a determinadas personas naturales</w:t>
      </w:r>
      <w:r w:rsidRPr="00A66DD2">
        <w:rPr>
          <w:rFonts w:ascii="Arial" w:hAnsi="Arial" w:cs="Arial"/>
          <w:color w:val="000000" w:themeColor="text1"/>
          <w:vertAlign w:val="superscript"/>
          <w:lang w:val="es-ES_tradnl"/>
        </w:rPr>
        <w:footnoteReference w:id="16"/>
      </w:r>
      <w:r w:rsidRPr="00A66DD2">
        <w:rPr>
          <w:rFonts w:ascii="Arial" w:hAnsi="Arial" w:cs="Arial"/>
          <w:color w:val="000000" w:themeColor="text1"/>
          <w:lang w:val="es-MX"/>
        </w:rPr>
        <w:t xml:space="preserve">. </w:t>
      </w:r>
      <w:r w:rsidRPr="00A66DD2">
        <w:rPr>
          <w:rFonts w:ascii="Arial" w:hAnsi="Arial" w:cs="Arial"/>
          <w:color w:val="000000" w:themeColor="text1"/>
          <w:lang w:val="es-ES_tradnl"/>
        </w:rPr>
        <w:t xml:space="preserve">La diferencia entre el contrato de prestación de servicios </w:t>
      </w:r>
      <w:r w:rsidRPr="00A66DD2">
        <w:rPr>
          <w:rFonts w:ascii="Arial" w:hAnsi="Arial" w:cs="Arial"/>
          <w:i/>
          <w:color w:val="000000" w:themeColor="text1"/>
          <w:lang w:val="es-ES_tradnl"/>
        </w:rPr>
        <w:t>profesionales</w:t>
      </w:r>
      <w:r w:rsidRPr="00A66DD2">
        <w:rPr>
          <w:rFonts w:ascii="Arial" w:hAnsi="Arial"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78ED57D5" w14:textId="77777777" w:rsidR="004518B5" w:rsidRPr="00A66DD2" w:rsidRDefault="004518B5" w:rsidP="00625AE7">
      <w:pPr>
        <w:spacing w:line="240" w:lineRule="auto"/>
        <w:ind w:left="709" w:right="709"/>
        <w:contextualSpacing/>
        <w:jc w:val="both"/>
        <w:rPr>
          <w:rFonts w:ascii="Arial" w:hAnsi="Arial" w:cs="Arial"/>
          <w:color w:val="000000" w:themeColor="text1"/>
          <w:sz w:val="21"/>
          <w:szCs w:val="21"/>
          <w:lang w:val="es-ES_tradnl"/>
        </w:rPr>
      </w:pPr>
      <w:r>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7"/>
      </w:r>
      <w:r w:rsidRPr="00A66DD2">
        <w:rPr>
          <w:rFonts w:ascii="Arial" w:hAnsi="Arial" w:cs="Arial"/>
          <w:color w:val="000000" w:themeColor="text1"/>
          <w:sz w:val="21"/>
          <w:szCs w:val="21"/>
          <w:lang w:val="es-ES_tradnl"/>
        </w:rPr>
        <w:t>.</w:t>
      </w:r>
    </w:p>
    <w:p w14:paraId="444F798B" w14:textId="77777777" w:rsidR="004518B5" w:rsidRPr="00A66DD2" w:rsidRDefault="004518B5" w:rsidP="004518B5">
      <w:pPr>
        <w:ind w:firstLine="709"/>
        <w:contextualSpacing/>
        <w:jc w:val="both"/>
        <w:rPr>
          <w:rFonts w:ascii="Arial" w:hAnsi="Arial" w:cs="Arial"/>
          <w:color w:val="000000" w:themeColor="text1"/>
          <w:lang w:val="es-ES_tradnl"/>
        </w:rPr>
      </w:pPr>
    </w:p>
    <w:p w14:paraId="37F6AA61" w14:textId="77777777" w:rsidR="004518B5" w:rsidRPr="00A66DD2" w:rsidRDefault="004518B5" w:rsidP="004518B5">
      <w:pPr>
        <w:spacing w:line="276" w:lineRule="auto"/>
        <w:ind w:firstLine="709"/>
        <w:contextualSpacing/>
        <w:jc w:val="both"/>
        <w:rPr>
          <w:rFonts w:ascii="Arial" w:hAnsi="Arial" w:cs="Arial"/>
          <w:color w:val="000000" w:themeColor="text1"/>
          <w:lang w:val="es-ES_tradnl"/>
        </w:rPr>
      </w:pPr>
      <w:r w:rsidRPr="00A66DD2">
        <w:rPr>
          <w:rFonts w:ascii="Arial" w:hAnsi="Arial" w:cs="Arial"/>
          <w:color w:val="000000" w:themeColor="text1"/>
          <w:lang w:val="es-ES_tradnl"/>
        </w:rPr>
        <w:t xml:space="preserve">Lo expuesto, según la jurisprudencia citada, se diferencia del objeto del </w:t>
      </w:r>
      <w:r w:rsidRPr="00A66DD2">
        <w:rPr>
          <w:rFonts w:ascii="Arial" w:hAnsi="Arial" w:cs="Arial"/>
          <w:i/>
          <w:iCs/>
          <w:color w:val="000000" w:themeColor="text1"/>
          <w:lang w:val="es-ES_tradnl"/>
        </w:rPr>
        <w:t>contrato de prestación de servicios de apoyo a la gestión</w:t>
      </w:r>
      <w:r w:rsidRPr="00A66DD2">
        <w:rPr>
          <w:rFonts w:ascii="Arial" w:hAnsi="Arial" w:cs="Arial"/>
          <w:color w:val="000000" w:themeColor="text1"/>
          <w:lang w:val="es-ES_tradnl"/>
        </w:rPr>
        <w:t>, en los siguientes aspectos:</w:t>
      </w:r>
    </w:p>
    <w:p w14:paraId="0CF31FC3" w14:textId="77777777" w:rsidR="004518B5" w:rsidRPr="00A66DD2" w:rsidRDefault="004518B5" w:rsidP="004518B5">
      <w:pPr>
        <w:spacing w:line="276" w:lineRule="auto"/>
        <w:ind w:firstLine="709"/>
        <w:contextualSpacing/>
        <w:jc w:val="both"/>
        <w:rPr>
          <w:rFonts w:ascii="Arial" w:hAnsi="Arial" w:cs="Arial"/>
          <w:color w:val="000000" w:themeColor="text1"/>
          <w:lang w:val="es-ES_tradnl"/>
        </w:rPr>
      </w:pPr>
    </w:p>
    <w:p w14:paraId="66162B1E" w14:textId="77777777" w:rsidR="004518B5" w:rsidRPr="00A66DD2" w:rsidRDefault="004518B5" w:rsidP="004F75E2">
      <w:pPr>
        <w:spacing w:line="240" w:lineRule="auto"/>
        <w:ind w:left="709" w:right="709"/>
        <w:contextualSpacing/>
        <w:jc w:val="both"/>
        <w:rPr>
          <w:rFonts w:ascii="Arial" w:hAnsi="Arial" w:cs="Arial"/>
          <w:color w:val="000000" w:themeColor="text1"/>
          <w:sz w:val="21"/>
          <w:szCs w:val="21"/>
          <w:lang w:val="es-ES_tradnl"/>
        </w:rPr>
      </w:pPr>
      <w:r>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B810F56" w14:textId="77777777" w:rsidR="004518B5" w:rsidRPr="0074035F" w:rsidRDefault="004518B5" w:rsidP="004F75E2">
      <w:pPr>
        <w:spacing w:line="240" w:lineRule="auto"/>
        <w:ind w:left="709" w:right="709"/>
        <w:contextualSpacing/>
        <w:jc w:val="both"/>
        <w:rPr>
          <w:rFonts w:ascii="Arial" w:hAnsi="Arial" w:cs="Arial"/>
          <w:color w:val="000000" w:themeColor="text1"/>
          <w:sz w:val="12"/>
          <w:szCs w:val="12"/>
          <w:lang w:val="es-ES_tradnl"/>
        </w:rPr>
      </w:pPr>
    </w:p>
    <w:p w14:paraId="21365699" w14:textId="77777777" w:rsidR="004518B5" w:rsidRPr="00A66DD2" w:rsidRDefault="004518B5" w:rsidP="004F75E2">
      <w:pPr>
        <w:spacing w:line="240" w:lineRule="auto"/>
        <w:ind w:left="709" w:right="709"/>
        <w:contextualSpacing/>
        <w:jc w:val="both"/>
        <w:rPr>
          <w:rFonts w:ascii="Arial" w:hAnsi="Arial" w:cs="Arial"/>
          <w:color w:val="000000" w:themeColor="text1"/>
          <w:sz w:val="21"/>
          <w:szCs w:val="21"/>
          <w:lang w:val="es-ES_tradnl"/>
        </w:rPr>
      </w:pPr>
      <w:r w:rsidRPr="00A66DD2">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3CA4E4E7" w14:textId="77777777" w:rsidR="004518B5" w:rsidRPr="0074035F" w:rsidRDefault="004518B5" w:rsidP="004F75E2">
      <w:pPr>
        <w:spacing w:line="240" w:lineRule="auto"/>
        <w:ind w:left="709" w:right="709"/>
        <w:contextualSpacing/>
        <w:jc w:val="both"/>
        <w:rPr>
          <w:rFonts w:ascii="Arial" w:hAnsi="Arial" w:cs="Arial"/>
          <w:color w:val="000000" w:themeColor="text1"/>
          <w:sz w:val="12"/>
          <w:szCs w:val="12"/>
          <w:lang w:val="es-ES_tradnl"/>
        </w:rPr>
      </w:pPr>
    </w:p>
    <w:p w14:paraId="1CEE4A09" w14:textId="77777777" w:rsidR="004518B5" w:rsidRPr="00A66DD2" w:rsidRDefault="004518B5" w:rsidP="004F75E2">
      <w:pPr>
        <w:spacing w:line="240" w:lineRule="auto"/>
        <w:ind w:left="709" w:right="709"/>
        <w:contextualSpacing/>
        <w:jc w:val="both"/>
        <w:rPr>
          <w:rFonts w:ascii="Arial" w:hAnsi="Arial" w:cs="Arial"/>
          <w:color w:val="000000" w:themeColor="text1"/>
          <w:sz w:val="21"/>
          <w:szCs w:val="21"/>
          <w:lang w:val="es-ES_tradnl"/>
        </w:rPr>
      </w:pPr>
      <w:r w:rsidRPr="00A66DD2">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8"/>
      </w:r>
      <w:r w:rsidRPr="00A66DD2">
        <w:rPr>
          <w:rFonts w:ascii="Arial" w:hAnsi="Arial" w:cs="Arial"/>
          <w:color w:val="000000" w:themeColor="text1"/>
          <w:sz w:val="21"/>
          <w:szCs w:val="21"/>
          <w:lang w:val="es-ES_tradnl"/>
        </w:rPr>
        <w:t>.</w:t>
      </w:r>
    </w:p>
    <w:p w14:paraId="7C9B061F" w14:textId="77777777" w:rsidR="004518B5" w:rsidRPr="00A66DD2" w:rsidRDefault="004518B5" w:rsidP="004518B5">
      <w:pPr>
        <w:spacing w:line="276" w:lineRule="auto"/>
        <w:ind w:firstLine="709"/>
        <w:contextualSpacing/>
        <w:jc w:val="both"/>
        <w:rPr>
          <w:rFonts w:ascii="Arial" w:hAnsi="Arial" w:cs="Arial"/>
          <w:color w:val="000000" w:themeColor="text1"/>
          <w:lang w:val="es-ES_tradnl"/>
        </w:rPr>
      </w:pPr>
    </w:p>
    <w:p w14:paraId="6246BEB5" w14:textId="77777777" w:rsidR="004518B5" w:rsidRPr="00A66DD2" w:rsidRDefault="004518B5" w:rsidP="004518B5">
      <w:pPr>
        <w:spacing w:line="276" w:lineRule="auto"/>
        <w:ind w:firstLine="709"/>
        <w:contextualSpacing/>
        <w:jc w:val="both"/>
        <w:rPr>
          <w:rFonts w:ascii="Arial" w:hAnsi="Arial" w:cs="Arial"/>
          <w:color w:val="000000" w:themeColor="text1"/>
          <w:lang w:val="es-ES_tradnl"/>
        </w:rPr>
      </w:pPr>
      <w:r w:rsidRPr="00A66DD2">
        <w:rPr>
          <w:rFonts w:ascii="Arial" w:hAnsi="Arial" w:cs="Arial"/>
          <w:color w:val="000000" w:themeColor="text1"/>
          <w:lang w:val="es-ES_tradnl"/>
        </w:rPr>
        <w:t xml:space="preserve">En relación con el </w:t>
      </w:r>
      <w:r w:rsidRPr="00A66DD2">
        <w:rPr>
          <w:rFonts w:ascii="Arial" w:hAnsi="Arial" w:cs="Arial"/>
          <w:i/>
          <w:iCs/>
          <w:color w:val="000000" w:themeColor="text1"/>
          <w:lang w:val="es-ES_tradnl"/>
        </w:rPr>
        <w:t>contrato de prestación de servicios artísticos que solo pueden encomendarse a determinadas personas naturales</w:t>
      </w:r>
      <w:r w:rsidRPr="00A66DD2">
        <w:rPr>
          <w:rFonts w:ascii="Arial" w:hAnsi="Arial" w:cs="Arial"/>
          <w:color w:val="000000" w:themeColor="text1"/>
          <w:lang w:val="es-ES_tradnl"/>
        </w:rPr>
        <w:t>, señala la mencionada decisión judicial lo siguiente:</w:t>
      </w:r>
    </w:p>
    <w:p w14:paraId="4F0F11E0" w14:textId="77777777" w:rsidR="004518B5" w:rsidRPr="00A66DD2" w:rsidRDefault="004518B5" w:rsidP="004518B5">
      <w:pPr>
        <w:spacing w:line="276" w:lineRule="auto"/>
        <w:ind w:left="709" w:right="709"/>
        <w:contextualSpacing/>
        <w:jc w:val="both"/>
        <w:rPr>
          <w:rFonts w:ascii="Arial" w:hAnsi="Arial" w:cs="Arial"/>
          <w:color w:val="000000" w:themeColor="text1"/>
          <w:lang w:val="es-ES_tradnl"/>
        </w:rPr>
      </w:pPr>
    </w:p>
    <w:p w14:paraId="102D9C57" w14:textId="77777777" w:rsidR="004518B5" w:rsidRPr="00A66DD2" w:rsidRDefault="004518B5" w:rsidP="004F75E2">
      <w:pPr>
        <w:spacing w:line="240" w:lineRule="auto"/>
        <w:ind w:left="709" w:right="709"/>
        <w:jc w:val="both"/>
        <w:rPr>
          <w:rFonts w:ascii="Arial" w:hAnsi="Arial" w:cs="Arial"/>
          <w:color w:val="000000" w:themeColor="text1"/>
          <w:sz w:val="21"/>
          <w:szCs w:val="21"/>
          <w:lang w:val="es-ES_tradnl"/>
        </w:rPr>
      </w:pPr>
      <w:r>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9"/>
      </w:r>
      <w:r w:rsidRPr="00A66DD2">
        <w:rPr>
          <w:rFonts w:ascii="Arial" w:hAnsi="Arial" w:cs="Arial"/>
          <w:color w:val="000000" w:themeColor="text1"/>
          <w:sz w:val="21"/>
          <w:szCs w:val="21"/>
          <w:lang w:val="es-ES_tradnl"/>
        </w:rPr>
        <w:t>.</w:t>
      </w:r>
    </w:p>
    <w:p w14:paraId="40D3608A" w14:textId="77777777" w:rsidR="004518B5" w:rsidRPr="00A66DD2" w:rsidRDefault="004518B5" w:rsidP="004518B5">
      <w:pPr>
        <w:spacing w:line="276" w:lineRule="auto"/>
        <w:ind w:left="709" w:right="709"/>
        <w:contextualSpacing/>
        <w:jc w:val="both"/>
        <w:rPr>
          <w:rFonts w:ascii="Arial" w:hAnsi="Arial" w:cs="Arial"/>
          <w:color w:val="000000" w:themeColor="text1"/>
          <w:lang w:val="es-ES_tradnl"/>
        </w:rPr>
      </w:pPr>
    </w:p>
    <w:p w14:paraId="082B6B0C" w14:textId="77777777" w:rsidR="004518B5" w:rsidRPr="00A66DD2" w:rsidRDefault="004518B5" w:rsidP="004518B5">
      <w:pPr>
        <w:spacing w:line="276" w:lineRule="auto"/>
        <w:ind w:firstLine="709"/>
        <w:contextualSpacing/>
        <w:jc w:val="both"/>
        <w:rPr>
          <w:rFonts w:ascii="Arial" w:hAnsi="Arial" w:cs="Arial"/>
          <w:color w:val="000000" w:themeColor="text1"/>
          <w:lang w:val="es-MX"/>
        </w:rPr>
      </w:pPr>
      <w:r w:rsidRPr="00A66DD2">
        <w:rPr>
          <w:rFonts w:ascii="Arial" w:hAnsi="Arial" w:cs="Arial"/>
          <w:color w:val="000000" w:themeColor="text1"/>
          <w:lang w:val="es-ES_tradnl"/>
        </w:rPr>
        <w:t xml:space="preserve">En este sentido, el contrato de prestación de servicios </w:t>
      </w:r>
      <w:r w:rsidRPr="00A66DD2">
        <w:rPr>
          <w:rFonts w:ascii="Arial" w:hAnsi="Arial" w:cs="Arial"/>
          <w:i/>
          <w:iCs/>
          <w:color w:val="000000" w:themeColor="text1"/>
          <w:lang w:val="es-ES_tradnl"/>
        </w:rPr>
        <w:t>profesionales</w:t>
      </w:r>
      <w:r w:rsidRPr="00A66DD2">
        <w:rPr>
          <w:rFonts w:ascii="Arial" w:hAnsi="Arial"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A66DD2">
        <w:rPr>
          <w:rFonts w:ascii="Arial" w:hAnsi="Arial" w:cs="Arial"/>
          <w:i/>
          <w:iCs/>
          <w:color w:val="000000" w:themeColor="text1"/>
          <w:lang w:val="es-ES_tradnl"/>
        </w:rPr>
        <w:t>saber intelectivo cualificado.</w:t>
      </w:r>
      <w:r w:rsidRPr="00A66DD2">
        <w:rPr>
          <w:rFonts w:ascii="Arial" w:hAnsi="Arial" w:cs="Arial"/>
          <w:color w:val="000000" w:themeColor="text1"/>
          <w:lang w:val="es-ES_tradnl"/>
        </w:rPr>
        <w:t xml:space="preserve"> En cambio, los contratos de prestación de servicios de </w:t>
      </w:r>
      <w:r w:rsidRPr="00A66DD2">
        <w:rPr>
          <w:rFonts w:ascii="Arial" w:hAnsi="Arial" w:cs="Arial"/>
          <w:i/>
          <w:iCs/>
          <w:color w:val="000000" w:themeColor="text1"/>
          <w:lang w:val="es-ES_tradnl"/>
        </w:rPr>
        <w:t>apoyo a la gestión</w:t>
      </w:r>
      <w:r w:rsidRPr="00A66DD2">
        <w:rPr>
          <w:rFonts w:ascii="Arial" w:hAnsi="Arial" w:cs="Arial"/>
          <w:color w:val="000000" w:themeColor="text1"/>
          <w:lang w:val="es-ES_tradnl"/>
        </w:rPr>
        <w:t xml:space="preserve"> y de </w:t>
      </w:r>
      <w:r w:rsidRPr="00A66DD2">
        <w:rPr>
          <w:rFonts w:ascii="Arial" w:hAnsi="Arial" w:cs="Arial"/>
          <w:i/>
          <w:iCs/>
          <w:color w:val="000000" w:themeColor="text1"/>
          <w:lang w:val="es-ES_tradnl"/>
        </w:rPr>
        <w:t>servicios artísticos</w:t>
      </w:r>
      <w:r w:rsidRPr="00A66DD2">
        <w:rPr>
          <w:rFonts w:ascii="Arial" w:hAnsi="Arial" w:cs="Arial"/>
          <w:color w:val="000000" w:themeColor="text1"/>
          <w:lang w:val="es-ES_tradnl"/>
        </w:rPr>
        <w:t xml:space="preserve"> no involucran ese conocimiento profesional </w:t>
      </w:r>
      <w:r w:rsidRPr="00A66DD2">
        <w:rPr>
          <w:rFonts w:ascii="Arial" w:hAnsi="Arial" w:cs="Arial"/>
          <w:color w:val="000000" w:themeColor="text1"/>
          <w:lang w:val="es-MX"/>
        </w:rPr>
        <w:t xml:space="preserve">o especializados para su ejecución. En los contratos de apoyo a la gestión </w:t>
      </w:r>
      <w:r w:rsidRPr="00A66DD2">
        <w:rPr>
          <w:rFonts w:ascii="Arial" w:hAnsi="Arial" w:cs="Arial"/>
          <w:color w:val="000000" w:themeColor="text1"/>
          <w:lang w:val="es-ES_tradnl"/>
        </w:rPr>
        <w:t xml:space="preserve">el contratista desempeña un esfuerzo o actividad de apoyo, acompañamiento, o soporte, </w:t>
      </w:r>
      <w:r w:rsidRPr="00A66DD2">
        <w:rPr>
          <w:rFonts w:ascii="Arial" w:hAnsi="Arial" w:cs="Arial"/>
          <w:color w:val="000000" w:themeColor="text1"/>
          <w:lang w:val="es-MX"/>
        </w:rPr>
        <w:t xml:space="preserve">donde </w:t>
      </w:r>
      <w:r>
        <w:rPr>
          <w:rFonts w:ascii="Arial" w:hAnsi="Arial" w:cs="Arial"/>
          <w:color w:val="000000" w:themeColor="text1"/>
          <w:lang w:val="es-ES_tradnl"/>
        </w:rPr>
        <w:t>“</w:t>
      </w:r>
      <w:r w:rsidRPr="00A66DD2">
        <w:rPr>
          <w:rFonts w:ascii="Arial" w:hAnsi="Arial" w:cs="Arial"/>
          <w:color w:val="000000" w:themeColor="text1"/>
          <w:lang w:val="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w:t>
      </w:r>
      <w:r>
        <w:rPr>
          <w:rFonts w:ascii="Arial" w:hAnsi="Arial" w:cs="Arial"/>
          <w:color w:val="000000" w:themeColor="text1"/>
          <w:lang w:val="es-ES_tradnl"/>
        </w:rPr>
        <w:t>”</w:t>
      </w:r>
      <w:r w:rsidRPr="00A66DD2">
        <w:rPr>
          <w:rFonts w:ascii="Arial" w:hAnsi="Arial" w:cs="Arial"/>
          <w:color w:val="000000" w:themeColor="text1"/>
          <w:lang w:val="es-ES_tradnl"/>
        </w:rPr>
        <w:t xml:space="preserve">. Igualmente, en el contrato de prestación de servicios artísticos lo prevalente es que la persona que lo ejecute se trate de un artista, es decir, </w:t>
      </w:r>
      <w:r>
        <w:rPr>
          <w:rFonts w:ascii="Arial" w:hAnsi="Arial" w:cs="Arial"/>
          <w:color w:val="000000" w:themeColor="text1"/>
          <w:lang w:val="es-ES_tradnl"/>
        </w:rPr>
        <w:t>“</w:t>
      </w:r>
      <w:r w:rsidRPr="00A66DD2">
        <w:rPr>
          <w:rFonts w:ascii="Arial" w:hAnsi="Arial" w:cs="Arial"/>
          <w:color w:val="000000" w:themeColor="text1"/>
          <w:lang w:val="es-ES_tradnl"/>
        </w:rPr>
        <w:t>una persona reconocida como realizador o productor de arte, de obras de arte, ejecutor de trabajos artísticos</w:t>
      </w:r>
      <w:r>
        <w:rPr>
          <w:rFonts w:ascii="Arial" w:hAnsi="Arial" w:cs="Arial"/>
          <w:color w:val="000000" w:themeColor="text1"/>
          <w:lang w:val="es-ES_tradnl"/>
        </w:rPr>
        <w:t>”</w:t>
      </w:r>
      <w:r w:rsidRPr="00A66DD2">
        <w:rPr>
          <w:rFonts w:ascii="Arial" w:hAnsi="Arial" w:cs="Arial"/>
          <w:color w:val="000000" w:themeColor="text1"/>
          <w:lang w:val="es-ES_tradnl"/>
        </w:rPr>
        <w:t>, para lo cual es indiferente el carácter de profesional.</w:t>
      </w:r>
    </w:p>
    <w:p w14:paraId="58FE8336" w14:textId="77777777" w:rsidR="0020130D" w:rsidRPr="004518B5" w:rsidRDefault="0020130D" w:rsidP="0020130D">
      <w:pPr>
        <w:spacing w:after="0" w:line="276" w:lineRule="auto"/>
        <w:ind w:firstLine="709"/>
        <w:jc w:val="both"/>
        <w:rPr>
          <w:rFonts w:ascii="Arial" w:eastAsia="Calibri" w:hAnsi="Arial" w:cs="Arial"/>
          <w:color w:val="000000"/>
          <w:lang w:val="es-MX"/>
        </w:rPr>
      </w:pPr>
    </w:p>
    <w:p w14:paraId="36FC8AAA" w14:textId="2D1013E1" w:rsidR="0020130D" w:rsidRDefault="0020130D" w:rsidP="0020130D">
      <w:pPr>
        <w:spacing w:after="0" w:line="276" w:lineRule="auto"/>
        <w:ind w:right="105"/>
        <w:jc w:val="both"/>
        <w:rPr>
          <w:rFonts w:ascii="Arial" w:eastAsia="Calibri" w:hAnsi="Arial" w:cs="Arial"/>
          <w:b/>
          <w:bCs/>
          <w:color w:val="000000"/>
        </w:rPr>
      </w:pPr>
      <w:r w:rsidRPr="002C7909">
        <w:rPr>
          <w:rFonts w:ascii="Arial" w:eastAsia="Calibri" w:hAnsi="Arial" w:cs="Arial"/>
          <w:b/>
          <w:bCs/>
          <w:color w:val="000000"/>
        </w:rPr>
        <w:t xml:space="preserve">2.2. </w:t>
      </w:r>
      <w:bookmarkStart w:id="4" w:name="_Hlk135923867"/>
      <w:r w:rsidR="00394DC6">
        <w:rPr>
          <w:rFonts w:ascii="Arial" w:eastAsia="Calibri" w:hAnsi="Arial" w:cs="Arial"/>
          <w:b/>
          <w:bCs/>
          <w:color w:val="000000"/>
        </w:rPr>
        <w:t>E</w:t>
      </w:r>
      <w:r w:rsidR="00394DC6" w:rsidRPr="00394DC6">
        <w:rPr>
          <w:rFonts w:ascii="Arial" w:eastAsia="Calibri" w:hAnsi="Arial" w:cs="Arial"/>
          <w:b/>
          <w:bCs/>
          <w:color w:val="000000"/>
        </w:rPr>
        <w:t xml:space="preserve">stabilidad ocupacional reforzada de personas en </w:t>
      </w:r>
      <w:bookmarkStart w:id="5" w:name="_Hlk135926644"/>
      <w:r w:rsidR="00394DC6" w:rsidRPr="00394DC6">
        <w:rPr>
          <w:rFonts w:ascii="Arial" w:eastAsia="Calibri" w:hAnsi="Arial" w:cs="Arial"/>
          <w:b/>
          <w:bCs/>
          <w:color w:val="000000"/>
        </w:rPr>
        <w:t>situación de debilidad manifiesta por razones de salud</w:t>
      </w:r>
      <w:bookmarkEnd w:id="4"/>
      <w:r w:rsidR="00394DC6" w:rsidRPr="00394DC6">
        <w:rPr>
          <w:rFonts w:ascii="Arial" w:eastAsia="Calibri" w:hAnsi="Arial" w:cs="Arial"/>
          <w:b/>
          <w:bCs/>
          <w:color w:val="000000"/>
        </w:rPr>
        <w:t>.</w:t>
      </w:r>
    </w:p>
    <w:bookmarkEnd w:id="5"/>
    <w:p w14:paraId="11607766" w14:textId="77777777" w:rsidR="0020130D" w:rsidRPr="002C7909" w:rsidRDefault="0020130D" w:rsidP="0020130D">
      <w:pPr>
        <w:spacing w:after="0" w:line="276" w:lineRule="auto"/>
        <w:ind w:right="105"/>
        <w:jc w:val="both"/>
        <w:rPr>
          <w:rFonts w:ascii="Arial" w:eastAsia="Calibri" w:hAnsi="Arial" w:cs="Arial"/>
          <w:b/>
          <w:bCs/>
          <w:color w:val="000000"/>
        </w:rPr>
      </w:pPr>
    </w:p>
    <w:p w14:paraId="3CD13D27" w14:textId="214380E7" w:rsidR="0020130D" w:rsidRPr="00D40A41" w:rsidRDefault="0020130D" w:rsidP="0020130D">
      <w:pPr>
        <w:spacing w:after="120" w:line="276" w:lineRule="auto"/>
        <w:jc w:val="both"/>
        <w:rPr>
          <w:rFonts w:ascii="Arial" w:eastAsia="Calibri" w:hAnsi="Arial" w:cs="Arial"/>
          <w:lang w:val="es-ES"/>
        </w:rPr>
      </w:pPr>
      <w:r w:rsidRPr="00D40A41">
        <w:rPr>
          <w:rFonts w:ascii="Arial" w:eastAsia="Calibri" w:hAnsi="Arial" w:cs="Arial"/>
          <w:lang w:val="es-ES"/>
        </w:rPr>
        <w:t xml:space="preserve">Con la expedición de la Constitución Política de 1991, el Estado colombiano reconoció su deber de brindar una protección reforzada a todas las personas que se hallen en circunstancias de debilidad manifiesta y, en particular, </w:t>
      </w:r>
      <w:r w:rsidR="00617027">
        <w:rPr>
          <w:rFonts w:ascii="Arial" w:eastAsia="Calibri" w:hAnsi="Arial" w:cs="Arial"/>
          <w:lang w:val="es-ES"/>
        </w:rPr>
        <w:t>a las personas en situación de debilidad manifiesta por razones de salud</w:t>
      </w:r>
      <w:r w:rsidRPr="00D40A41">
        <w:rPr>
          <w:rFonts w:ascii="Arial" w:eastAsia="Calibri" w:hAnsi="Arial" w:cs="Arial"/>
          <w:lang w:val="es-ES"/>
        </w:rPr>
        <w:t>. No en vano, las cláusulas abiertas contenidas en los artículos 5</w:t>
      </w:r>
      <w:r w:rsidRPr="00D40A41">
        <w:rPr>
          <w:rFonts w:ascii="Arial" w:eastAsia="Calibri" w:hAnsi="Arial" w:cs="Arial"/>
          <w:vertAlign w:val="superscript"/>
          <w:lang w:val="es-ES"/>
        </w:rPr>
        <w:footnoteReference w:id="20"/>
      </w:r>
      <w:r w:rsidRPr="00D40A41">
        <w:rPr>
          <w:rFonts w:ascii="Arial" w:eastAsia="Calibri" w:hAnsi="Arial" w:cs="Arial"/>
          <w:lang w:val="es-ES"/>
        </w:rPr>
        <w:t>, 13</w:t>
      </w:r>
      <w:r w:rsidRPr="00D40A41">
        <w:rPr>
          <w:rFonts w:ascii="Arial" w:eastAsia="Calibri" w:hAnsi="Arial" w:cs="Arial"/>
          <w:vertAlign w:val="superscript"/>
          <w:lang w:val="es-ES"/>
        </w:rPr>
        <w:footnoteReference w:id="21"/>
      </w:r>
      <w:r w:rsidRPr="00D40A41">
        <w:rPr>
          <w:rFonts w:ascii="Arial" w:eastAsia="Calibri" w:hAnsi="Arial" w:cs="Arial"/>
          <w:lang w:val="es-ES"/>
        </w:rPr>
        <w:t>, 4</w:t>
      </w:r>
      <w:r w:rsidR="00D74012">
        <w:rPr>
          <w:rFonts w:ascii="Arial" w:eastAsia="Calibri" w:hAnsi="Arial" w:cs="Arial"/>
          <w:lang w:val="es-ES"/>
        </w:rPr>
        <w:t>7</w:t>
      </w:r>
      <w:r w:rsidRPr="00D40A41">
        <w:rPr>
          <w:rFonts w:ascii="Arial" w:eastAsia="Calibri" w:hAnsi="Arial" w:cs="Arial"/>
          <w:vertAlign w:val="superscript"/>
          <w:lang w:val="es-ES"/>
        </w:rPr>
        <w:footnoteReference w:id="22"/>
      </w:r>
      <w:r w:rsidR="00C70FB2">
        <w:rPr>
          <w:rFonts w:ascii="Arial" w:eastAsia="Calibri" w:hAnsi="Arial" w:cs="Arial"/>
          <w:lang w:val="es-ES"/>
        </w:rPr>
        <w:t>, 53</w:t>
      </w:r>
      <w:r w:rsidR="00C70FB2">
        <w:rPr>
          <w:rStyle w:val="Refdenotaalpie"/>
          <w:rFonts w:ascii="Arial" w:eastAsia="Calibri" w:hAnsi="Arial" w:cs="Arial"/>
          <w:lang w:val="es-ES"/>
        </w:rPr>
        <w:footnoteReference w:id="23"/>
      </w:r>
      <w:r w:rsidR="0003171D">
        <w:rPr>
          <w:rFonts w:ascii="Arial" w:eastAsia="Calibri" w:hAnsi="Arial" w:cs="Arial"/>
          <w:lang w:val="es-ES"/>
        </w:rPr>
        <w:t xml:space="preserve"> y 95</w:t>
      </w:r>
      <w:r w:rsidR="0003171D">
        <w:rPr>
          <w:rStyle w:val="Refdenotaalpie"/>
          <w:rFonts w:ascii="Arial" w:eastAsia="Calibri" w:hAnsi="Arial" w:cs="Arial"/>
          <w:lang w:val="es-ES"/>
        </w:rPr>
        <w:footnoteReference w:id="24"/>
      </w:r>
      <w:r w:rsidRPr="00D40A41">
        <w:rPr>
          <w:rFonts w:ascii="Arial" w:eastAsia="Calibri" w:hAnsi="Arial" w:cs="Arial"/>
          <w:lang w:val="es-ES"/>
        </w:rPr>
        <w:t xml:space="preserve"> superiores dan cuenta de un compromiso u obligación, producto del principio de igualdad material y acorde con los fines de un Estado Social de Derecho, consistente en el otorgamiento de un tratamiento preferencial para quienes se encuentren en situación de vulnerabilidad a través de </w:t>
      </w:r>
      <w:r w:rsidRPr="00D40A41">
        <w:rPr>
          <w:rFonts w:ascii="Arial" w:eastAsia="Calibri" w:hAnsi="Arial" w:cs="Arial"/>
          <w:i/>
          <w:iCs/>
          <w:lang w:val="es-ES"/>
        </w:rPr>
        <w:t>acciones afirmativas</w:t>
      </w:r>
      <w:r w:rsidRPr="00D40A41">
        <w:rPr>
          <w:rFonts w:ascii="Arial" w:eastAsia="Calibri" w:hAnsi="Arial" w:cs="Arial"/>
          <w:lang w:val="es-ES"/>
        </w:rPr>
        <w:t>.</w:t>
      </w:r>
    </w:p>
    <w:p w14:paraId="4223C461" w14:textId="77777777" w:rsidR="0020130D" w:rsidRPr="00D40A41" w:rsidRDefault="0020130D" w:rsidP="0020130D">
      <w:pPr>
        <w:spacing w:after="120" w:line="276" w:lineRule="auto"/>
        <w:ind w:firstLine="708"/>
        <w:jc w:val="both"/>
        <w:rPr>
          <w:rFonts w:ascii="Arial" w:eastAsia="Calibri" w:hAnsi="Arial" w:cs="Arial"/>
          <w:lang w:val="es-ES"/>
        </w:rPr>
      </w:pPr>
      <w:r w:rsidRPr="00D40A41">
        <w:rPr>
          <w:rFonts w:ascii="Arial" w:eastAsia="Calibri" w:hAnsi="Arial" w:cs="Arial"/>
          <w:lang w:val="es-ES"/>
        </w:rPr>
        <w:t>Con esta expresión usualmente se conocen todas aquellas políticas públicas o mandatos de acción dirigidos a favorecer a determinadas personas o grupos, bien para reducir o eliminar las desigualdades de tipo social, cultural o económico que las afectan</w:t>
      </w:r>
      <w:r w:rsidRPr="00D40A41">
        <w:rPr>
          <w:rFonts w:ascii="Arial" w:eastAsia="Calibri" w:hAnsi="Arial" w:cs="Arial"/>
          <w:vertAlign w:val="superscript"/>
          <w:lang w:val="es-ES"/>
        </w:rPr>
        <w:footnoteReference w:id="25"/>
      </w:r>
      <w:r w:rsidRPr="00D40A41">
        <w:rPr>
          <w:rFonts w:ascii="Arial" w:eastAsia="Calibri" w:hAnsi="Arial" w:cs="Arial"/>
          <w:lang w:val="es-ES"/>
        </w:rPr>
        <w:t>, o bien para lograr que los miembros de una comunidad, históricamente discriminada, tenga una mayor representación</w:t>
      </w:r>
      <w:r w:rsidRPr="00D40A41">
        <w:rPr>
          <w:rFonts w:ascii="Arial" w:eastAsia="Calibri" w:hAnsi="Arial" w:cs="Arial"/>
          <w:vertAlign w:val="superscript"/>
          <w:lang w:val="es-ES"/>
        </w:rPr>
        <w:footnoteReference w:id="26"/>
      </w:r>
      <w:r w:rsidRPr="00D40A41">
        <w:rPr>
          <w:rFonts w:ascii="Arial" w:eastAsia="Calibri" w:hAnsi="Arial" w:cs="Arial"/>
          <w:lang w:val="es-ES"/>
        </w:rPr>
        <w:t>.</w:t>
      </w:r>
    </w:p>
    <w:p w14:paraId="3D31FDEA" w14:textId="77777777" w:rsidR="00626F47" w:rsidRDefault="003F72E4" w:rsidP="0041036D">
      <w:pPr>
        <w:tabs>
          <w:tab w:val="left" w:pos="426"/>
        </w:tabs>
        <w:spacing w:line="276" w:lineRule="auto"/>
        <w:jc w:val="both"/>
        <w:rPr>
          <w:rFonts w:ascii="Arial" w:eastAsia="Calibri" w:hAnsi="Arial" w:cs="Arial"/>
          <w:color w:val="000000"/>
        </w:rPr>
      </w:pPr>
      <w:r>
        <w:rPr>
          <w:rFonts w:ascii="Arial" w:eastAsia="Calibri" w:hAnsi="Arial" w:cs="Arial"/>
          <w:lang w:val="es-ES"/>
        </w:rPr>
        <w:tab/>
      </w:r>
      <w:r>
        <w:rPr>
          <w:rFonts w:ascii="Arial" w:eastAsia="Calibri" w:hAnsi="Arial" w:cs="Arial"/>
          <w:lang w:val="es-ES"/>
        </w:rPr>
        <w:tab/>
      </w:r>
      <w:r w:rsidR="009553D6">
        <w:rPr>
          <w:rFonts w:ascii="Arial" w:eastAsia="Calibri" w:hAnsi="Arial" w:cs="Arial"/>
          <w:lang w:val="es-ES"/>
        </w:rPr>
        <w:t>Dentro de dichas acciones afirmativas, encontramos</w:t>
      </w:r>
      <w:r w:rsidR="00AE6C95">
        <w:rPr>
          <w:rFonts w:ascii="Arial" w:eastAsia="Calibri" w:hAnsi="Arial" w:cs="Arial"/>
          <w:lang w:val="es-ES"/>
        </w:rPr>
        <w:t xml:space="preserve"> a</w:t>
      </w:r>
      <w:r w:rsidR="009553D6">
        <w:rPr>
          <w:rFonts w:ascii="Arial" w:eastAsia="Calibri" w:hAnsi="Arial" w:cs="Arial"/>
          <w:lang w:val="es-ES"/>
        </w:rPr>
        <w:t xml:space="preserve"> la </w:t>
      </w:r>
      <w:r w:rsidR="00D5424D" w:rsidRPr="00D5424D">
        <w:rPr>
          <w:rFonts w:ascii="Arial" w:eastAsia="Calibri" w:hAnsi="Arial" w:cs="Arial"/>
          <w:color w:val="000000"/>
        </w:rPr>
        <w:t>estabilidad laboral</w:t>
      </w:r>
      <w:r w:rsidR="009553D6">
        <w:rPr>
          <w:rFonts w:ascii="Arial" w:eastAsia="Calibri" w:hAnsi="Arial" w:cs="Arial"/>
          <w:color w:val="000000"/>
        </w:rPr>
        <w:t>, vist</w:t>
      </w:r>
      <w:r w:rsidR="00AE6C95">
        <w:rPr>
          <w:rFonts w:ascii="Arial" w:eastAsia="Calibri" w:hAnsi="Arial" w:cs="Arial"/>
          <w:color w:val="000000"/>
        </w:rPr>
        <w:t>a</w:t>
      </w:r>
      <w:r w:rsidR="009553D6">
        <w:rPr>
          <w:rFonts w:ascii="Arial" w:eastAsia="Calibri" w:hAnsi="Arial" w:cs="Arial"/>
          <w:color w:val="000000"/>
        </w:rPr>
        <w:t xml:space="preserve"> como</w:t>
      </w:r>
      <w:r w:rsidR="00D5424D" w:rsidRPr="00D5424D">
        <w:rPr>
          <w:rFonts w:ascii="Arial" w:eastAsia="Calibri" w:hAnsi="Arial" w:cs="Arial"/>
          <w:color w:val="000000"/>
        </w:rPr>
        <w:t xml:space="preserve"> un principio mínimo fundamental del derecho al trabajo, </w:t>
      </w:r>
      <w:r w:rsidR="00043F55">
        <w:rPr>
          <w:rFonts w:ascii="Arial" w:eastAsia="Calibri" w:hAnsi="Arial" w:cs="Arial"/>
          <w:color w:val="000000"/>
        </w:rPr>
        <w:t xml:space="preserve">que </w:t>
      </w:r>
      <w:r w:rsidR="00035A02">
        <w:rPr>
          <w:rFonts w:ascii="Arial" w:eastAsia="Calibri" w:hAnsi="Arial" w:cs="Arial"/>
          <w:color w:val="000000"/>
        </w:rPr>
        <w:t>desarrolla</w:t>
      </w:r>
      <w:r w:rsidR="00043F55" w:rsidRPr="00D5424D">
        <w:rPr>
          <w:rFonts w:ascii="Arial" w:eastAsia="Calibri" w:hAnsi="Arial" w:cs="Arial"/>
          <w:color w:val="000000"/>
        </w:rPr>
        <w:t xml:space="preserve"> el principio de igualdad y el mandato de no discriminación</w:t>
      </w:r>
      <w:r w:rsidR="007C40BA">
        <w:rPr>
          <w:rStyle w:val="Refdenotaalpie"/>
          <w:rFonts w:ascii="Arial" w:eastAsia="Calibri" w:hAnsi="Arial" w:cs="Arial"/>
          <w:color w:val="000000"/>
        </w:rPr>
        <w:footnoteReference w:id="27"/>
      </w:r>
      <w:r w:rsidR="00043F55" w:rsidRPr="00D5424D">
        <w:rPr>
          <w:rFonts w:ascii="Arial" w:eastAsia="Calibri" w:hAnsi="Arial" w:cs="Arial"/>
          <w:color w:val="000000"/>
        </w:rPr>
        <w:t>y el principio de solidaridad social</w:t>
      </w:r>
      <w:r w:rsidR="007C40BA">
        <w:rPr>
          <w:rStyle w:val="Refdenotaalpie"/>
          <w:rFonts w:ascii="Arial" w:eastAsia="Calibri" w:hAnsi="Arial" w:cs="Arial"/>
          <w:color w:val="000000"/>
        </w:rPr>
        <w:footnoteReference w:id="28"/>
      </w:r>
      <w:r w:rsidR="00AE6C95">
        <w:rPr>
          <w:rFonts w:ascii="Arial" w:eastAsia="Calibri" w:hAnsi="Arial" w:cs="Arial"/>
          <w:color w:val="000000"/>
        </w:rPr>
        <w:t xml:space="preserve">, materializándose a través de distintas </w:t>
      </w:r>
      <w:r w:rsidR="00D5424D" w:rsidRPr="00D5424D">
        <w:rPr>
          <w:rFonts w:ascii="Arial" w:eastAsia="Calibri" w:hAnsi="Arial" w:cs="Arial"/>
          <w:color w:val="000000"/>
        </w:rPr>
        <w:t xml:space="preserve">garantías, entre las que se cuentan la obligación de dar aviso previa la terminación del vínculo (preavisos) o el pago de indemnizaciones cuando este se produce sin causa justa. </w:t>
      </w:r>
      <w:r w:rsidR="00D22C20" w:rsidRPr="00D22C20">
        <w:rPr>
          <w:rFonts w:ascii="Arial" w:eastAsia="Calibri" w:hAnsi="Arial" w:cs="Arial"/>
          <w:color w:val="000000"/>
        </w:rPr>
        <w:t>Así, el ordenamiento jurídico prevé en cabeza del empleador la obligación de solicitar una autorización a la oficina del trabajo, previa la finalización del vínculo. En caso de obviar o incumplir esta obligación, el despido resulta ineficaz y conduce al reintegro del afectado y al pago de sumas de dinero como indemnización por el daño causado.</w:t>
      </w:r>
      <w:r w:rsidR="00677C3C">
        <w:rPr>
          <w:rFonts w:ascii="Arial" w:eastAsia="Calibri" w:hAnsi="Arial" w:cs="Arial"/>
          <w:color w:val="000000"/>
        </w:rPr>
        <w:t xml:space="preserve"> </w:t>
      </w:r>
    </w:p>
    <w:p w14:paraId="208934B3" w14:textId="19DF0D4D" w:rsidR="007C59BF" w:rsidRDefault="0041036D" w:rsidP="0041036D">
      <w:pPr>
        <w:tabs>
          <w:tab w:val="left" w:pos="426"/>
        </w:tabs>
        <w:spacing w:line="276" w:lineRule="auto"/>
        <w:jc w:val="both"/>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r>
      <w:r w:rsidR="00B1395D">
        <w:rPr>
          <w:rFonts w:ascii="Arial" w:eastAsia="Calibri" w:hAnsi="Arial" w:cs="Arial"/>
          <w:color w:val="000000"/>
        </w:rPr>
        <w:t xml:space="preserve">Al respecto, la Corte Constitucional en sentencia </w:t>
      </w:r>
      <w:r w:rsidR="00EE4434">
        <w:rPr>
          <w:rFonts w:ascii="Arial" w:eastAsia="Calibri" w:hAnsi="Arial" w:cs="Arial"/>
          <w:color w:val="000000"/>
        </w:rPr>
        <w:t xml:space="preserve">SU-380 </w:t>
      </w:r>
      <w:r w:rsidR="008121E5">
        <w:rPr>
          <w:rFonts w:ascii="Arial" w:eastAsia="Calibri" w:hAnsi="Arial" w:cs="Arial"/>
          <w:color w:val="000000"/>
        </w:rPr>
        <w:t>del 3 de noviembre de 2021</w:t>
      </w:r>
      <w:r w:rsidR="008121E5">
        <w:rPr>
          <w:rStyle w:val="Refdenotaalpie"/>
          <w:rFonts w:ascii="Arial" w:eastAsia="Calibri" w:hAnsi="Arial" w:cs="Arial"/>
          <w:color w:val="000000"/>
        </w:rPr>
        <w:footnoteReference w:id="29"/>
      </w:r>
      <w:r w:rsidR="00D5424D" w:rsidRPr="00D5424D">
        <w:rPr>
          <w:rFonts w:ascii="Arial" w:eastAsia="Calibri" w:hAnsi="Arial" w:cs="Arial"/>
          <w:color w:val="000000"/>
        </w:rPr>
        <w:t xml:space="preserve"> </w:t>
      </w:r>
      <w:r w:rsidR="007E5092">
        <w:rPr>
          <w:rFonts w:ascii="Arial" w:eastAsia="Calibri" w:hAnsi="Arial" w:cs="Arial"/>
          <w:color w:val="000000"/>
        </w:rPr>
        <w:t xml:space="preserve">indicó </w:t>
      </w:r>
      <w:r w:rsidR="003E5551">
        <w:rPr>
          <w:rFonts w:ascii="Arial" w:eastAsia="Calibri" w:hAnsi="Arial" w:cs="Arial"/>
          <w:color w:val="000000"/>
        </w:rPr>
        <w:t xml:space="preserve">que dicho principio da a lugar al derecho fundamental a la estabilidad laboral reforzada </w:t>
      </w:r>
      <w:r w:rsidR="00D5424D" w:rsidRPr="00D5424D">
        <w:rPr>
          <w:rFonts w:ascii="Arial" w:eastAsia="Calibri" w:hAnsi="Arial" w:cs="Arial"/>
          <w:color w:val="000000"/>
        </w:rPr>
        <w:t>que surge a partir de distintos mandatos constitucionales y cobija a diversos grupos poblacionales.</w:t>
      </w:r>
      <w:r w:rsidR="007C59BF">
        <w:rPr>
          <w:rFonts w:ascii="Arial" w:eastAsia="Calibri" w:hAnsi="Arial" w:cs="Arial"/>
          <w:color w:val="000000"/>
        </w:rPr>
        <w:t xml:space="preserve"> </w:t>
      </w:r>
    </w:p>
    <w:p w14:paraId="796F492E" w14:textId="77777777" w:rsidR="007C59BF" w:rsidRDefault="007C59BF" w:rsidP="00D5424D">
      <w:pPr>
        <w:tabs>
          <w:tab w:val="left" w:pos="426"/>
        </w:tabs>
        <w:spacing w:after="0" w:line="276" w:lineRule="auto"/>
        <w:jc w:val="both"/>
        <w:rPr>
          <w:rFonts w:ascii="Arial" w:eastAsia="Calibri" w:hAnsi="Arial" w:cs="Arial"/>
          <w:color w:val="000000"/>
        </w:rPr>
      </w:pPr>
    </w:p>
    <w:p w14:paraId="3E616550" w14:textId="0137565E" w:rsidR="002B6DC8" w:rsidRDefault="007C59BF" w:rsidP="00D5424D">
      <w:pPr>
        <w:tabs>
          <w:tab w:val="left" w:pos="426"/>
        </w:tabs>
        <w:spacing w:after="0" w:line="276" w:lineRule="auto"/>
        <w:jc w:val="both"/>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t xml:space="preserve">Sobre dichos grupos poblacionales, la </w:t>
      </w:r>
      <w:r w:rsidR="008A4C0C">
        <w:rPr>
          <w:rFonts w:ascii="Arial" w:eastAsia="Calibri" w:hAnsi="Arial" w:cs="Arial"/>
          <w:color w:val="000000"/>
        </w:rPr>
        <w:t>Corte Constitucional indicó que</w:t>
      </w:r>
      <w:r w:rsidR="002B6DC8">
        <w:rPr>
          <w:rFonts w:ascii="Arial" w:eastAsia="Calibri" w:hAnsi="Arial" w:cs="Arial"/>
          <w:color w:val="000000"/>
        </w:rPr>
        <w:t>:</w:t>
      </w:r>
    </w:p>
    <w:p w14:paraId="304FAA28" w14:textId="77777777" w:rsidR="004C273E" w:rsidRDefault="004C273E" w:rsidP="00D5424D">
      <w:pPr>
        <w:tabs>
          <w:tab w:val="left" w:pos="426"/>
        </w:tabs>
        <w:spacing w:after="0" w:line="276" w:lineRule="auto"/>
        <w:jc w:val="both"/>
        <w:rPr>
          <w:rFonts w:ascii="Arial" w:eastAsia="Calibri" w:hAnsi="Arial" w:cs="Arial"/>
          <w:color w:val="000000"/>
        </w:rPr>
      </w:pPr>
    </w:p>
    <w:p w14:paraId="1D0E6F20" w14:textId="62618FB1" w:rsidR="00D5424D" w:rsidRPr="004C273E" w:rsidRDefault="000704A9" w:rsidP="004C273E">
      <w:pPr>
        <w:tabs>
          <w:tab w:val="left" w:pos="426"/>
        </w:tabs>
        <w:spacing w:after="0" w:line="240" w:lineRule="auto"/>
        <w:ind w:left="709" w:right="709"/>
        <w:jc w:val="both"/>
        <w:rPr>
          <w:rFonts w:ascii="Arial" w:eastAsia="Calibri" w:hAnsi="Arial" w:cs="Arial"/>
          <w:color w:val="000000"/>
          <w:sz w:val="21"/>
          <w:szCs w:val="21"/>
        </w:rPr>
      </w:pPr>
      <w:r w:rsidRPr="004C273E">
        <w:rPr>
          <w:rFonts w:ascii="Arial" w:eastAsia="Calibri" w:hAnsi="Arial" w:cs="Arial"/>
          <w:color w:val="000000"/>
          <w:sz w:val="21"/>
          <w:szCs w:val="21"/>
        </w:rPr>
        <w:t>“</w:t>
      </w:r>
      <w:r w:rsidR="008A4C0C" w:rsidRPr="004C273E">
        <w:rPr>
          <w:rFonts w:ascii="Arial" w:eastAsia="Calibri" w:hAnsi="Arial" w:cs="Arial"/>
          <w:color w:val="000000"/>
          <w:sz w:val="21"/>
          <w:szCs w:val="21"/>
        </w:rPr>
        <w:t xml:space="preserve"> </w:t>
      </w:r>
      <w:r w:rsidR="00D5424D" w:rsidRPr="004C273E">
        <w:rPr>
          <w:rFonts w:ascii="Arial" w:eastAsia="Calibri" w:hAnsi="Arial" w:cs="Arial"/>
          <w:color w:val="000000"/>
          <w:sz w:val="21"/>
          <w:szCs w:val="21"/>
        </w:rPr>
        <w:t>Los titulares del derecho son, en principio las mujeres gestantes, las personas con discapacidad o en condición de debilidad manifiesta por razones de salud, los aforados de las organizaciones sindicales. En el ámbito de la función pública, a partir de la figura del retén social, el derecho también se ha desarrollado para la protección de personas próximas a pensionarse, mujeres cabeza de familia (y padres en situación de hecho análoga)</w:t>
      </w:r>
      <w:r w:rsidR="00F807B2" w:rsidRPr="004C273E">
        <w:rPr>
          <w:rFonts w:ascii="Arial" w:eastAsia="Calibri" w:hAnsi="Arial" w:cs="Arial"/>
          <w:color w:val="000000"/>
          <w:sz w:val="21"/>
          <w:szCs w:val="21"/>
        </w:rPr>
        <w:t>”</w:t>
      </w:r>
      <w:r w:rsidR="00F34886" w:rsidRPr="004C273E">
        <w:rPr>
          <w:rStyle w:val="Refdenotaalpie"/>
          <w:rFonts w:ascii="Arial" w:eastAsia="Calibri" w:hAnsi="Arial" w:cs="Arial"/>
          <w:color w:val="000000"/>
          <w:sz w:val="21"/>
          <w:szCs w:val="21"/>
        </w:rPr>
        <w:footnoteReference w:id="30"/>
      </w:r>
    </w:p>
    <w:p w14:paraId="4DC9EBE0" w14:textId="77777777" w:rsidR="00D5424D" w:rsidRPr="00D5424D" w:rsidRDefault="00D5424D" w:rsidP="00D5424D">
      <w:pPr>
        <w:tabs>
          <w:tab w:val="left" w:pos="426"/>
        </w:tabs>
        <w:spacing w:after="0" w:line="276" w:lineRule="auto"/>
        <w:jc w:val="both"/>
        <w:rPr>
          <w:rFonts w:ascii="Arial" w:eastAsia="Calibri" w:hAnsi="Arial" w:cs="Arial"/>
          <w:color w:val="000000"/>
        </w:rPr>
      </w:pPr>
      <w:r w:rsidRPr="00D5424D">
        <w:rPr>
          <w:rFonts w:ascii="Arial" w:eastAsia="Calibri" w:hAnsi="Arial" w:cs="Arial"/>
          <w:color w:val="000000"/>
        </w:rPr>
        <w:t xml:space="preserve"> </w:t>
      </w:r>
    </w:p>
    <w:p w14:paraId="6DDDB582" w14:textId="6301A4EF" w:rsidR="008F578B" w:rsidRPr="00A722CE" w:rsidRDefault="002745C1" w:rsidP="008F578B">
      <w:pPr>
        <w:pStyle w:val="Textoindependiente"/>
        <w:spacing w:line="276" w:lineRule="auto"/>
        <w:ind w:left="100" w:right="104"/>
        <w:jc w:val="both"/>
      </w:pPr>
      <w:r>
        <w:rPr>
          <w:rFonts w:eastAsia="Calibri"/>
          <w:color w:val="000000"/>
        </w:rPr>
        <w:tab/>
      </w:r>
      <w:r w:rsidR="002A1970" w:rsidRPr="002A1970">
        <w:rPr>
          <w:rFonts w:eastAsia="Calibri"/>
          <w:color w:val="000000"/>
        </w:rPr>
        <w:t>Ahora bien,</w:t>
      </w:r>
      <w:r>
        <w:rPr>
          <w:rFonts w:eastAsia="Calibri"/>
          <w:color w:val="000000"/>
        </w:rPr>
        <w:t xml:space="preserve"> en lo que respecta al tema de consulta</w:t>
      </w:r>
      <w:r w:rsidR="001F5056">
        <w:t xml:space="preserve">, la </w:t>
      </w:r>
      <w:r>
        <w:rPr>
          <w:rFonts w:eastAsia="Calibri"/>
          <w:color w:val="000000"/>
        </w:rPr>
        <w:t xml:space="preserve"> </w:t>
      </w:r>
      <w:r w:rsidRPr="001F5056">
        <w:rPr>
          <w:rFonts w:eastAsia="Calibri"/>
          <w:i/>
          <w:iCs/>
          <w:color w:val="000000"/>
        </w:rPr>
        <w:t>estabilidad ocupacional reforzada de personas en situación de debilidad manifiesta por razones de salud</w:t>
      </w:r>
      <w:r w:rsidR="004B312E">
        <w:rPr>
          <w:rFonts w:eastAsia="Calibri"/>
          <w:color w:val="000000"/>
        </w:rPr>
        <w:t>, enc</w:t>
      </w:r>
      <w:r w:rsidR="001F5056">
        <w:rPr>
          <w:rFonts w:eastAsia="Calibri"/>
          <w:color w:val="000000"/>
        </w:rPr>
        <w:t xml:space="preserve">uentra sustento en la </w:t>
      </w:r>
      <w:bookmarkStart w:id="9" w:name="_Hlk136551465"/>
      <w:r w:rsidR="008F578B" w:rsidRPr="00A722CE">
        <w:t>Ley 361 de 1997</w:t>
      </w:r>
      <w:bookmarkEnd w:id="9"/>
      <w:r w:rsidR="008F578B" w:rsidRPr="00A722CE">
        <w:t xml:space="preserve">, </w:t>
      </w:r>
      <w:r w:rsidR="008F578B" w:rsidRPr="001F5056">
        <w:rPr>
          <w:i/>
          <w:iCs/>
        </w:rPr>
        <w:t>“Por la cual se establecen mecanismos de integración social de las personas en situación de discapacidad y se dictan otras disposiciones”,</w:t>
      </w:r>
      <w:r w:rsidR="001F5056">
        <w:t xml:space="preserve"> especialmente en su </w:t>
      </w:r>
      <w:r w:rsidR="008F578B" w:rsidRPr="00A722CE">
        <w:t xml:space="preserve"> artículo 26 </w:t>
      </w:r>
      <w:r w:rsidR="001F5056">
        <w:t>que dispuso que</w:t>
      </w:r>
      <w:r w:rsidR="00B739B3">
        <w:t xml:space="preserve"> en</w:t>
      </w:r>
      <w:r w:rsidR="008F578B" w:rsidRPr="00A722CE">
        <w:t xml:space="preserve"> ningún caso la discapacidad de una persona podrá ser un motivo para terminar su contrato, en los siguientes términos:</w:t>
      </w:r>
    </w:p>
    <w:p w14:paraId="6D892D5E" w14:textId="77777777" w:rsidR="008F578B" w:rsidRPr="00A722CE" w:rsidRDefault="008F578B" w:rsidP="008F578B">
      <w:pPr>
        <w:pStyle w:val="Textoindependiente"/>
        <w:spacing w:before="10"/>
        <w:rPr>
          <w:sz w:val="20"/>
        </w:rPr>
      </w:pPr>
    </w:p>
    <w:p w14:paraId="429E53C7" w14:textId="290C6C98" w:rsidR="008F578B" w:rsidRPr="00FD3853" w:rsidRDefault="00FD3853" w:rsidP="00FD3853">
      <w:pPr>
        <w:spacing w:before="1" w:line="240" w:lineRule="auto"/>
        <w:ind w:left="805" w:right="529"/>
        <w:jc w:val="both"/>
        <w:rPr>
          <w:rFonts w:ascii="Arial" w:hAnsi="Arial" w:cs="Arial"/>
          <w:sz w:val="21"/>
        </w:rPr>
      </w:pPr>
      <w:r w:rsidRPr="00FD3853">
        <w:rPr>
          <w:rFonts w:ascii="Arial" w:hAnsi="Arial" w:cs="Arial"/>
          <w:sz w:val="21"/>
        </w:rPr>
        <w:t>“</w:t>
      </w:r>
      <w:r w:rsidR="008F578B" w:rsidRPr="00FD3853">
        <w:rPr>
          <w:rFonts w:ascii="Arial" w:hAnsi="Arial" w:cs="Arial"/>
          <w:sz w:val="21"/>
        </w:rPr>
        <w:t xml:space="preserve">Artículo 26. No discriminación a persona en situación de discapacidad.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w:t>
      </w:r>
      <w:r w:rsidR="008F578B" w:rsidRPr="00FD3853">
        <w:rPr>
          <w:rFonts w:ascii="Arial" w:hAnsi="Arial" w:cs="Arial"/>
          <w:sz w:val="21"/>
          <w:u w:val="single" w:color="4D4D4D"/>
        </w:rPr>
        <w:t>salvo que medie autorización de la oficina</w:t>
      </w:r>
      <w:r w:rsidR="008F578B" w:rsidRPr="00FD3853">
        <w:rPr>
          <w:rFonts w:ascii="Arial" w:hAnsi="Arial" w:cs="Arial"/>
          <w:sz w:val="21"/>
        </w:rPr>
        <w:t xml:space="preserve"> </w:t>
      </w:r>
      <w:r w:rsidR="008F578B" w:rsidRPr="00FD3853">
        <w:rPr>
          <w:rFonts w:ascii="Arial" w:hAnsi="Arial" w:cs="Arial"/>
          <w:sz w:val="21"/>
          <w:u w:val="single" w:color="4D4D4D"/>
        </w:rPr>
        <w:t>de Trabajo</w:t>
      </w:r>
      <w:r w:rsidR="008F578B" w:rsidRPr="00FD3853">
        <w:rPr>
          <w:rFonts w:ascii="Arial" w:hAnsi="Arial" w:cs="Arial"/>
          <w:sz w:val="21"/>
        </w:rPr>
        <w:t>.</w:t>
      </w:r>
    </w:p>
    <w:p w14:paraId="4F00D109" w14:textId="77777777" w:rsidR="008F578B" w:rsidRPr="00FD3853" w:rsidRDefault="008F578B" w:rsidP="00FD3853">
      <w:pPr>
        <w:pStyle w:val="Textoindependiente"/>
        <w:spacing w:before="11"/>
        <w:rPr>
          <w:sz w:val="12"/>
        </w:rPr>
      </w:pPr>
    </w:p>
    <w:p w14:paraId="6D6014A4" w14:textId="4CD2B43F" w:rsidR="008F578B" w:rsidRPr="00FD3853" w:rsidRDefault="008F578B" w:rsidP="00FD3853">
      <w:pPr>
        <w:spacing w:before="93" w:line="240" w:lineRule="auto"/>
        <w:ind w:left="805" w:right="535"/>
        <w:jc w:val="both"/>
        <w:rPr>
          <w:rFonts w:ascii="Arial" w:hAnsi="Arial" w:cs="Arial"/>
          <w:sz w:val="21"/>
        </w:rPr>
      </w:pPr>
      <w:r w:rsidRPr="00FD3853">
        <w:rPr>
          <w:rFonts w:ascii="Arial" w:hAnsi="Arial" w:cs="Arial"/>
          <w:sz w:val="21"/>
        </w:rPr>
        <w:t>No obstante, quienes fueren despedidos o su contrato terminado por razón de      su discapacidad, sin el cumplimiento del requisito previsto en el inciso anterior, tendrán derecho a una indemnización equivalente a ciento ochenta días del salario, sin perjuicio de las demás prestaciones e indemnizaciones a que hubiere lugar de acuerdo con el Código Sustantivo del Trabajo y demás normas que lo modifiquen, adicionen, complementen o</w:t>
      </w:r>
      <w:r w:rsidRPr="00FD3853">
        <w:rPr>
          <w:rFonts w:ascii="Arial" w:hAnsi="Arial" w:cs="Arial"/>
          <w:spacing w:val="-5"/>
          <w:sz w:val="21"/>
        </w:rPr>
        <w:t xml:space="preserve"> </w:t>
      </w:r>
      <w:r w:rsidRPr="00FD3853">
        <w:rPr>
          <w:rFonts w:ascii="Arial" w:hAnsi="Arial" w:cs="Arial"/>
          <w:sz w:val="21"/>
        </w:rPr>
        <w:t>aclaren.</w:t>
      </w:r>
      <w:r w:rsidR="00FD3853" w:rsidRPr="00FD3853">
        <w:rPr>
          <w:rFonts w:ascii="Arial" w:hAnsi="Arial" w:cs="Arial"/>
          <w:sz w:val="21"/>
        </w:rPr>
        <w:t>”</w:t>
      </w:r>
    </w:p>
    <w:p w14:paraId="1A04D7A2" w14:textId="77777777" w:rsidR="008F578B" w:rsidRPr="00A722CE" w:rsidRDefault="008F578B" w:rsidP="008F578B">
      <w:pPr>
        <w:pStyle w:val="Textoindependiente"/>
        <w:spacing w:before="2"/>
        <w:rPr>
          <w:sz w:val="25"/>
        </w:rPr>
      </w:pPr>
    </w:p>
    <w:p w14:paraId="46D125A9" w14:textId="356DA25D" w:rsidR="008F578B" w:rsidRPr="00A722CE" w:rsidRDefault="00B6529C" w:rsidP="00B6529C">
      <w:pPr>
        <w:pStyle w:val="Textoindependiente"/>
        <w:spacing w:line="276" w:lineRule="auto"/>
        <w:ind w:left="100" w:right="109" w:firstLine="608"/>
        <w:jc w:val="both"/>
      </w:pPr>
      <w:r>
        <w:t xml:space="preserve">Su aplicación en contratos prestación de servicios tiene origen jurisprudencial, </w:t>
      </w:r>
      <w:r w:rsidR="006C4416">
        <w:t xml:space="preserve">a través de sentencias de la Corte Constitucional como la </w:t>
      </w:r>
      <w:r w:rsidR="008F578B" w:rsidRPr="00A722CE">
        <w:t xml:space="preserve">sentencia de Tutela 1210 del 5 de diciembre de 2008, Magistrada ponente Clara Inés Vargas Hernández, </w:t>
      </w:r>
      <w:r w:rsidR="00B634AD">
        <w:t xml:space="preserve">que </w:t>
      </w:r>
      <w:r w:rsidR="008F578B" w:rsidRPr="00A722CE">
        <w:t>prev</w:t>
      </w:r>
      <w:r w:rsidR="00B634AD">
        <w:t>ió</w:t>
      </w:r>
      <w:r w:rsidR="008F578B" w:rsidRPr="00A722CE">
        <w:t xml:space="preserve"> la posibilidad que se prediquen ciertas garantías de la relación laboral a los contratos de prestación de servicios tales como, el principio de estabilidad laboral</w:t>
      </w:r>
      <w:r w:rsidR="008F578B" w:rsidRPr="00A722CE">
        <w:rPr>
          <w:rStyle w:val="Refdenotaalpie"/>
        </w:rPr>
        <w:footnoteReference w:id="31"/>
      </w:r>
      <w:r w:rsidR="008F578B" w:rsidRPr="00A722CE">
        <w:t>.</w:t>
      </w:r>
    </w:p>
    <w:p w14:paraId="609EACFE" w14:textId="77777777" w:rsidR="008F578B" w:rsidRPr="00A722CE" w:rsidRDefault="008F578B" w:rsidP="008F578B">
      <w:pPr>
        <w:pStyle w:val="Textoindependiente"/>
        <w:spacing w:before="6"/>
        <w:rPr>
          <w:sz w:val="25"/>
        </w:rPr>
      </w:pPr>
    </w:p>
    <w:p w14:paraId="425F7BFE" w14:textId="77777777" w:rsidR="008F578B" w:rsidRPr="00A722CE" w:rsidRDefault="008F578B" w:rsidP="00B634AD">
      <w:pPr>
        <w:pStyle w:val="Textoindependiente"/>
        <w:spacing w:line="276" w:lineRule="auto"/>
        <w:ind w:left="100" w:right="110" w:firstLine="608"/>
        <w:jc w:val="both"/>
      </w:pPr>
      <w:r w:rsidRPr="00A722CE">
        <w:t>Posteriormente, en la sentencia T-040 de 2016, Magistrado ponente Alejandro Linares Cantillo, protegió el derecho a la estabilidad laboral reforzada a una persona que se le terminó el contrato de prestación de servicios, mientras estaba afectado su estado de salud por encontrarse en una situación de debilidad manifiesta</w:t>
      </w:r>
      <w:r w:rsidRPr="00A722CE">
        <w:rPr>
          <w:rStyle w:val="Refdenotaalpie"/>
        </w:rPr>
        <w:footnoteReference w:id="32"/>
      </w:r>
      <w:r w:rsidRPr="00A722CE">
        <w:t>. Esta situación se ha reiterado en las sentencias T-490 de 2010</w:t>
      </w:r>
      <w:r w:rsidRPr="00A722CE">
        <w:rPr>
          <w:rStyle w:val="Refdenotaalpie"/>
        </w:rPr>
        <w:footnoteReference w:id="33"/>
      </w:r>
      <w:r w:rsidRPr="00A722CE">
        <w:t xml:space="preserve"> y T-988 de 2012</w:t>
      </w:r>
      <w:r w:rsidRPr="00A722CE">
        <w:rPr>
          <w:rStyle w:val="Refdenotaalpie"/>
        </w:rPr>
        <w:footnoteReference w:id="34"/>
      </w:r>
      <w:r w:rsidRPr="00A722CE">
        <w:t>, por medio del cual se declara que en los contratos de prestación de servicios no desaparecen los derechos a la estabilidad ocupacional reforzada a quienes se encuentren en una condición de debilidad manifiesta.</w:t>
      </w:r>
    </w:p>
    <w:p w14:paraId="64249271" w14:textId="77777777" w:rsidR="008F578B" w:rsidRPr="00A722CE" w:rsidRDefault="008F578B" w:rsidP="008F578B">
      <w:pPr>
        <w:pStyle w:val="Textoindependiente"/>
        <w:spacing w:before="6"/>
        <w:rPr>
          <w:sz w:val="25"/>
        </w:rPr>
      </w:pPr>
    </w:p>
    <w:p w14:paraId="3709682C" w14:textId="4C41D61C" w:rsidR="001E228F" w:rsidRDefault="008F578B" w:rsidP="00796935">
      <w:pPr>
        <w:pStyle w:val="Textoindependiente"/>
        <w:spacing w:line="276" w:lineRule="auto"/>
        <w:ind w:left="100" w:right="112" w:firstLine="608"/>
        <w:jc w:val="both"/>
        <w:rPr>
          <w:rFonts w:eastAsia="Calibri"/>
          <w:color w:val="000000"/>
        </w:rPr>
      </w:pPr>
      <w:r w:rsidRPr="00A722CE">
        <w:t>La protección a este derecho t</w:t>
      </w:r>
      <w:r w:rsidR="00632C29">
        <w:t>uvo</w:t>
      </w:r>
      <w:r w:rsidRPr="00A722CE">
        <w:t xml:space="preserve"> dos posiciones frente el pago de la indemnización de 180 días de salario o remuneración en los contratos de prestación de servicios</w:t>
      </w:r>
      <w:r w:rsidR="00632C29">
        <w:rPr>
          <w:rStyle w:val="Refdenotaalpie"/>
        </w:rPr>
        <w:footnoteReference w:id="35"/>
      </w:r>
      <w:r w:rsidRPr="00A722CE">
        <w:t xml:space="preserve">: </w:t>
      </w:r>
      <w:r w:rsidR="00E46C20">
        <w:t xml:space="preserve">Sin embargo, </w:t>
      </w:r>
      <w:bookmarkStart w:id="10" w:name="_Hlk136551137"/>
      <w:r w:rsidR="00E46C20">
        <w:t xml:space="preserve">en sentencia </w:t>
      </w:r>
      <w:r w:rsidRPr="00A722CE">
        <w:t>de unificación 049 del 2 de febrero de 2017, magistrada ponente: María Victoria Calle Correa, en Sala Plena, unificó su jurisprudencia sobre la protección de estabilidad laboral reforzada que deben tener las personas en condición de debilidad manifiesta por cuestiones de salud en los contratos de prestación de servicios</w:t>
      </w:r>
      <w:r w:rsidR="00796935">
        <w:t xml:space="preserve">, </w:t>
      </w:r>
      <w:r w:rsidR="001E228F">
        <w:rPr>
          <w:rFonts w:eastAsia="Calibri"/>
          <w:color w:val="000000"/>
        </w:rPr>
        <w:t xml:space="preserve">con fundamento en </w:t>
      </w:r>
      <w:r w:rsidR="00796935">
        <w:rPr>
          <w:rFonts w:eastAsia="Calibri"/>
          <w:color w:val="000000"/>
        </w:rPr>
        <w:t>el principio de</w:t>
      </w:r>
      <w:r w:rsidR="001E228F">
        <w:rPr>
          <w:rFonts w:eastAsia="Calibri"/>
          <w:color w:val="000000"/>
        </w:rPr>
        <w:t xml:space="preserve"> </w:t>
      </w:r>
      <w:r w:rsidR="001E228F" w:rsidRPr="002A1970">
        <w:rPr>
          <w:rFonts w:eastAsia="Calibri"/>
          <w:color w:val="000000"/>
        </w:rPr>
        <w:t>solidaridad</w:t>
      </w:r>
      <w:r w:rsidR="001E228F">
        <w:rPr>
          <w:rFonts w:eastAsia="Calibri"/>
          <w:color w:val="000000"/>
        </w:rPr>
        <w:t xml:space="preserve"> que</w:t>
      </w:r>
      <w:r w:rsidR="001E228F" w:rsidRPr="002A1970">
        <w:rPr>
          <w:rFonts w:eastAsia="Calibri"/>
          <w:color w:val="000000"/>
        </w:rPr>
        <w:t xml:space="preserve"> supone asumir como propias causas en principio ajenas, cuando el titular de ellas no puede por razones objetivas ejercer su defensa y</w:t>
      </w:r>
      <w:r w:rsidR="00796935">
        <w:rPr>
          <w:rFonts w:eastAsia="Calibri"/>
          <w:color w:val="000000"/>
        </w:rPr>
        <w:t xml:space="preserve"> la</w:t>
      </w:r>
      <w:r w:rsidR="00796935" w:rsidRPr="002A1970">
        <w:rPr>
          <w:rFonts w:eastAsia="Calibri"/>
          <w:color w:val="000000"/>
        </w:rPr>
        <w:t xml:space="preserve"> protección</w:t>
      </w:r>
      <w:r w:rsidR="001E228F" w:rsidRPr="002A1970">
        <w:rPr>
          <w:rFonts w:eastAsia="Calibri"/>
          <w:color w:val="000000"/>
        </w:rPr>
        <w:t xml:space="preserve"> individualmente de forma integral</w:t>
      </w:r>
      <w:r w:rsidR="001E228F">
        <w:rPr>
          <w:rFonts w:eastAsia="Calibri"/>
          <w:color w:val="000000"/>
        </w:rPr>
        <w:t xml:space="preserve"> y </w:t>
      </w:r>
      <w:r w:rsidR="00796935">
        <w:rPr>
          <w:rFonts w:eastAsia="Calibri"/>
          <w:color w:val="000000"/>
        </w:rPr>
        <w:t xml:space="preserve">en </w:t>
      </w:r>
      <w:r w:rsidR="001E228F">
        <w:rPr>
          <w:rFonts w:eastAsia="Calibri"/>
          <w:color w:val="000000"/>
        </w:rPr>
        <w:t xml:space="preserve">el </w:t>
      </w:r>
      <w:r w:rsidR="001E228F" w:rsidRPr="002A1970">
        <w:rPr>
          <w:rFonts w:eastAsia="Calibri"/>
          <w:color w:val="000000"/>
        </w:rPr>
        <w:t xml:space="preserve">mandato de no discriminación </w:t>
      </w:r>
      <w:r w:rsidR="001E228F">
        <w:rPr>
          <w:rFonts w:eastAsia="Calibri"/>
          <w:color w:val="000000"/>
        </w:rPr>
        <w:t xml:space="preserve">que </w:t>
      </w:r>
      <w:r w:rsidR="001E228F" w:rsidRPr="002A1970">
        <w:rPr>
          <w:rFonts w:eastAsia="Calibri"/>
          <w:color w:val="000000"/>
        </w:rPr>
        <w:t>prohíbe establecer tratamientos diferenciales injustificados entre dos personas o situaciones de hecho; y como en principio todas las personas se presumen iguales ante el derecho y en los derechos, cuando se pretende defender un trato distinto entre estas deben existir razones, constitucionalmente válidas, que lo justifiquen.</w:t>
      </w:r>
      <w:bookmarkEnd w:id="10"/>
    </w:p>
    <w:p w14:paraId="7EEE249D" w14:textId="77777777" w:rsidR="001E228F" w:rsidRDefault="001E228F" w:rsidP="001E228F">
      <w:pPr>
        <w:tabs>
          <w:tab w:val="left" w:pos="426"/>
        </w:tabs>
        <w:spacing w:after="0" w:line="276" w:lineRule="auto"/>
        <w:jc w:val="both"/>
        <w:rPr>
          <w:rFonts w:ascii="Arial" w:eastAsia="Calibri" w:hAnsi="Arial" w:cs="Arial"/>
          <w:color w:val="000000"/>
        </w:rPr>
      </w:pPr>
    </w:p>
    <w:p w14:paraId="4BE1FF1F" w14:textId="1FDB1B3B" w:rsidR="008F578B" w:rsidRPr="00A722CE" w:rsidRDefault="00EE55C0" w:rsidP="00E46C20">
      <w:pPr>
        <w:pStyle w:val="Textoindependiente"/>
        <w:spacing w:line="276" w:lineRule="auto"/>
        <w:ind w:left="100" w:right="112" w:firstLine="608"/>
        <w:jc w:val="both"/>
      </w:pPr>
      <w:r>
        <w:t>Por lo tanto, e</w:t>
      </w:r>
      <w:r w:rsidR="004558EF">
        <w:t>n dicha oportunidad, l</w:t>
      </w:r>
      <w:r w:rsidR="008F578B" w:rsidRPr="00A722CE">
        <w:t>a Corte Constitucional proteg</w:t>
      </w:r>
      <w:r w:rsidR="004558EF">
        <w:t>ió</w:t>
      </w:r>
      <w:r w:rsidR="008F578B" w:rsidRPr="00A722CE">
        <w:t xml:space="preserve"> el derecho fundamental de estabilidad ocupacional reforzada a una persona que tenía una lesión en su hombro izquierdo contratada por un contrato de prestación de servicios la cual fue despedida sin justa causa y sin la autorización del inspector de trabajo. Para proteger el derecho se ordena: i) renovar el contrato de prestación de servicios, ii) cancelar las remuneraciones que dejó de percibir entre el momento de su desvinculación, finalmente, iii) pagar una indemnización equivalente a 180 días de honorarios.</w:t>
      </w:r>
    </w:p>
    <w:p w14:paraId="38051A9C" w14:textId="77777777" w:rsidR="008F578B" w:rsidRPr="00A722CE" w:rsidRDefault="008F578B" w:rsidP="008F578B">
      <w:pPr>
        <w:pStyle w:val="Textoindependiente"/>
        <w:spacing w:before="3"/>
        <w:rPr>
          <w:sz w:val="25"/>
        </w:rPr>
      </w:pPr>
    </w:p>
    <w:p w14:paraId="166843F2" w14:textId="49D2AC14" w:rsidR="000E03D9" w:rsidRDefault="008F578B" w:rsidP="000E03D9">
      <w:pPr>
        <w:pStyle w:val="Textoindependiente"/>
        <w:spacing w:line="276" w:lineRule="auto"/>
        <w:ind w:left="100" w:right="103" w:firstLine="608"/>
        <w:jc w:val="both"/>
      </w:pPr>
      <w:r w:rsidRPr="00A722CE">
        <w:t>En razón a lo anterior, la Corte Constitucional</w:t>
      </w:r>
      <w:r w:rsidR="00493156">
        <w:t xml:space="preserve">, en adelante, </w:t>
      </w:r>
      <w:r w:rsidRPr="00A722CE">
        <w:t>establec</w:t>
      </w:r>
      <w:r w:rsidR="00493156">
        <w:t>ió</w:t>
      </w:r>
      <w:r w:rsidRPr="00A722CE">
        <w:t xml:space="preserve"> que el derecho a la estabilidad laboral reforzada rige con independencia si la pérdida de calificación laboral es moderada, severa o profunda y</w:t>
      </w:r>
      <w:r w:rsidR="00932288">
        <w:t xml:space="preserve"> además dejo sentada la línea de que dicha figura</w:t>
      </w:r>
      <w:r w:rsidRPr="00A722CE">
        <w:t xml:space="preserve"> es aplicable a los contratos de prestación</w:t>
      </w:r>
      <w:r w:rsidR="00FD4159">
        <w:t xml:space="preserve">, conociéndose esta como </w:t>
      </w:r>
      <w:r w:rsidR="00FD4159" w:rsidRPr="00FD4159">
        <w:rPr>
          <w:i/>
          <w:iCs/>
        </w:rPr>
        <w:t>estabilidad ocupacional reforzada</w:t>
      </w:r>
      <w:r w:rsidR="00FD4159">
        <w:t>.</w:t>
      </w:r>
      <w:r w:rsidRPr="00A722CE">
        <w:t xml:space="preserve"> </w:t>
      </w:r>
      <w:r w:rsidR="00237821">
        <w:t xml:space="preserve">Dicho criterio fue reiterado y complementado en la sentencia </w:t>
      </w:r>
      <w:r w:rsidR="00237821">
        <w:rPr>
          <w:rFonts w:eastAsia="Calibri"/>
          <w:color w:val="000000"/>
        </w:rPr>
        <w:t>SU-380 del 3 de noviembre de 2021</w:t>
      </w:r>
      <w:r w:rsidR="000E03D9">
        <w:rPr>
          <w:rFonts w:eastAsia="Calibri"/>
          <w:color w:val="000000"/>
        </w:rPr>
        <w:t xml:space="preserve">, donde indicó que </w:t>
      </w:r>
      <w:r w:rsidRPr="00A722CE">
        <w:t xml:space="preserve">las personas en situación </w:t>
      </w:r>
      <w:bookmarkStart w:id="11" w:name="_Hlk135925323"/>
      <w:r w:rsidRPr="00A722CE">
        <w:t xml:space="preserve">de </w:t>
      </w:r>
      <w:r w:rsidR="009D4113" w:rsidRPr="009D4113">
        <w:t>debilidad manifiesta por razones de salud</w:t>
      </w:r>
      <w:r w:rsidR="009D4113">
        <w:t xml:space="preserve"> </w:t>
      </w:r>
      <w:bookmarkEnd w:id="11"/>
      <w:r w:rsidR="009D4113">
        <w:t>v</w:t>
      </w:r>
      <w:r w:rsidR="009D4113" w:rsidRPr="00A722CE">
        <w:t>inculadas</w:t>
      </w:r>
      <w:r w:rsidRPr="00A722CE">
        <w:t xml:space="preserve"> a través de un contrato de prestación de servicios tienen derecho a que se les garantice el derecho fundamental a la estabilidad ocupacional reforzada, y</w:t>
      </w:r>
      <w:r w:rsidR="00E14416">
        <w:t>,</w:t>
      </w:r>
      <w:r w:rsidRPr="00A722CE">
        <w:t xml:space="preserve"> por lo tanto</w:t>
      </w:r>
      <w:r w:rsidR="007B2DE7">
        <w:t xml:space="preserve">, se </w:t>
      </w:r>
      <w:r w:rsidRPr="00A722CE">
        <w:t xml:space="preserve">les aplica lo previsto en el artículo 26 de la Ley 361 de 1997. </w:t>
      </w:r>
    </w:p>
    <w:p w14:paraId="522A7E3C" w14:textId="77777777" w:rsidR="000E03D9" w:rsidRDefault="000E03D9" w:rsidP="000E03D9">
      <w:pPr>
        <w:pStyle w:val="Textoindependiente"/>
        <w:spacing w:line="276" w:lineRule="auto"/>
        <w:ind w:left="100" w:right="103" w:firstLine="608"/>
        <w:jc w:val="both"/>
      </w:pPr>
    </w:p>
    <w:p w14:paraId="72A244F9" w14:textId="5BB84C85" w:rsidR="00DA3593" w:rsidRDefault="00DA3593" w:rsidP="00DF41C2">
      <w:pPr>
        <w:tabs>
          <w:tab w:val="left" w:pos="426"/>
        </w:tabs>
        <w:spacing w:after="0" w:line="276" w:lineRule="auto"/>
        <w:jc w:val="both"/>
        <w:rPr>
          <w:rFonts w:ascii="Arial" w:eastAsia="Calibri" w:hAnsi="Arial" w:cs="Arial"/>
          <w:color w:val="000000"/>
          <w:lang w:val="es-ES"/>
        </w:rPr>
      </w:pPr>
      <w:r>
        <w:rPr>
          <w:rFonts w:ascii="Arial" w:eastAsia="Calibri" w:hAnsi="Arial" w:cs="Arial"/>
          <w:color w:val="000000"/>
          <w:lang w:val="es-ES"/>
        </w:rPr>
        <w:tab/>
      </w:r>
      <w:r>
        <w:rPr>
          <w:rFonts w:ascii="Arial" w:eastAsia="Calibri" w:hAnsi="Arial" w:cs="Arial"/>
          <w:color w:val="000000"/>
          <w:lang w:val="es-ES"/>
        </w:rPr>
        <w:tab/>
      </w:r>
      <w:r w:rsidR="00CB058F" w:rsidRPr="00CB058F">
        <w:rPr>
          <w:rFonts w:ascii="Arial" w:eastAsia="Calibri" w:hAnsi="Arial" w:cs="Arial"/>
          <w:color w:val="000000"/>
          <w:lang w:val="es-ES"/>
        </w:rPr>
        <w:t xml:space="preserve">En </w:t>
      </w:r>
      <w:r w:rsidRPr="00CB058F">
        <w:rPr>
          <w:rFonts w:ascii="Arial" w:eastAsia="Calibri" w:hAnsi="Arial" w:cs="Arial"/>
          <w:color w:val="000000"/>
          <w:lang w:val="es-ES"/>
        </w:rPr>
        <w:t xml:space="preserve">conclusión, </w:t>
      </w:r>
      <w:r>
        <w:rPr>
          <w:rFonts w:ascii="Arial" w:eastAsia="Calibri" w:hAnsi="Arial" w:cs="Arial"/>
          <w:color w:val="000000"/>
          <w:lang w:val="es-ES"/>
        </w:rPr>
        <w:t xml:space="preserve">la sentencia de unificación </w:t>
      </w:r>
      <w:r>
        <w:rPr>
          <w:rFonts w:ascii="Arial" w:eastAsia="Calibri" w:hAnsi="Arial" w:cs="Arial"/>
          <w:color w:val="000000"/>
        </w:rPr>
        <w:t>SU-380 del 3 de noviembre de 2021</w:t>
      </w:r>
      <w:r w:rsidRPr="00CB058F">
        <w:rPr>
          <w:rFonts w:ascii="Arial" w:eastAsia="Calibri" w:hAnsi="Arial" w:cs="Arial"/>
          <w:color w:val="000000"/>
          <w:lang w:val="es-ES"/>
        </w:rPr>
        <w:t xml:space="preserve"> </w:t>
      </w:r>
      <w:r>
        <w:rPr>
          <w:rFonts w:ascii="Arial" w:eastAsia="Calibri" w:hAnsi="Arial" w:cs="Arial"/>
          <w:color w:val="000000"/>
          <w:lang w:val="es-ES"/>
        </w:rPr>
        <w:t>dispuso que:</w:t>
      </w:r>
    </w:p>
    <w:p w14:paraId="545E0E1C" w14:textId="77777777" w:rsidR="005C2817" w:rsidRDefault="005C2817" w:rsidP="00DA3593">
      <w:pPr>
        <w:tabs>
          <w:tab w:val="left" w:pos="426"/>
        </w:tabs>
        <w:spacing w:after="0" w:line="240" w:lineRule="auto"/>
        <w:ind w:left="709" w:right="709"/>
        <w:jc w:val="both"/>
        <w:rPr>
          <w:rFonts w:ascii="Arial" w:eastAsia="Calibri" w:hAnsi="Arial" w:cs="Arial"/>
          <w:color w:val="000000"/>
          <w:sz w:val="21"/>
          <w:szCs w:val="21"/>
          <w:lang w:val="es-ES"/>
        </w:rPr>
      </w:pPr>
      <w:r>
        <w:rPr>
          <w:rFonts w:ascii="Arial" w:eastAsia="Calibri" w:hAnsi="Arial" w:cs="Arial"/>
          <w:color w:val="000000"/>
          <w:sz w:val="21"/>
          <w:szCs w:val="21"/>
          <w:lang w:val="es-ES"/>
        </w:rPr>
        <w:t>“</w:t>
      </w:r>
      <w:r w:rsidR="00CB058F" w:rsidRPr="00DA3593">
        <w:rPr>
          <w:rFonts w:ascii="Arial" w:eastAsia="Calibri" w:hAnsi="Arial" w:cs="Arial"/>
          <w:color w:val="000000"/>
          <w:sz w:val="21"/>
          <w:szCs w:val="21"/>
          <w:lang w:val="es-ES"/>
        </w:rPr>
        <w:t>(i) la estabilidad laboral reforzada tiene fundamento constitucional en los mandatos de no discriminación, solidaridad social, integración de las personas en situación de discapacidad y estabilidad en el empleo; (ii) este derecho cobija tanto a personas con una discapacidad calificada por los órganos competentes, como a aquellas que enfrentan una situación de debilidad manifiesta por razones de salud que repercuta intensamente en el desempeño de sus funciones; (iii) la violación de la estabilidad laboral reforzada incluye (a) la presunción de un móvil discriminatorio siempre que el despido se dé sin autorización de la Oficina o inspección del trabajo; (b) una valoración razonada de los distintos elementos a partir de los cuales es posible inferir el conocimiento del empleador y que, en principio, operan para comprobar la presunción de despido injusto y, excepcionalmente, permiten desvirtuarla; (c) en el segundo evento, corresponde al empleador asumir la carga de demostrar la existencia de una causa justa para la terminación del vínculo. Por último, (iv) el despido en estas circunstancias es ineficaz y tiene como consecuencia, (a) la ineficacia de la desvinculación, (b) el pago de una indemnización equivalente a 180 días de salario y (c) el pago de los salarios, prestaciones y emolumentos dejados de percibir</w:t>
      </w:r>
      <w:r>
        <w:rPr>
          <w:rFonts w:ascii="Arial" w:eastAsia="Calibri" w:hAnsi="Arial" w:cs="Arial"/>
          <w:color w:val="000000"/>
          <w:sz w:val="21"/>
          <w:szCs w:val="21"/>
          <w:lang w:val="es-ES"/>
        </w:rPr>
        <w:t>.</w:t>
      </w:r>
    </w:p>
    <w:p w14:paraId="26CA569F" w14:textId="6A442C22" w:rsidR="00CB058F" w:rsidRPr="00DA3593" w:rsidRDefault="005C2817" w:rsidP="00DA3593">
      <w:pPr>
        <w:tabs>
          <w:tab w:val="left" w:pos="426"/>
        </w:tabs>
        <w:spacing w:after="0" w:line="240" w:lineRule="auto"/>
        <w:ind w:left="709" w:right="709"/>
        <w:jc w:val="both"/>
        <w:rPr>
          <w:rFonts w:ascii="Arial" w:eastAsia="Calibri" w:hAnsi="Arial" w:cs="Arial"/>
          <w:color w:val="000000"/>
          <w:sz w:val="21"/>
          <w:szCs w:val="21"/>
          <w:lang w:val="es-ES"/>
        </w:rPr>
      </w:pPr>
      <w:r>
        <w:rPr>
          <w:rFonts w:ascii="Arial" w:eastAsia="Calibri" w:hAnsi="Arial" w:cs="Arial"/>
          <w:color w:val="000000"/>
          <w:sz w:val="21"/>
          <w:szCs w:val="21"/>
          <w:lang w:val="es-ES"/>
        </w:rPr>
        <w:t>”</w:t>
      </w:r>
    </w:p>
    <w:p w14:paraId="1322B1AC" w14:textId="76BE6341" w:rsidR="00313C34" w:rsidRDefault="00313C34" w:rsidP="00313C34">
      <w:pPr>
        <w:pStyle w:val="Textoindependiente"/>
        <w:spacing w:line="276" w:lineRule="auto"/>
        <w:ind w:left="100" w:right="103" w:firstLine="608"/>
        <w:jc w:val="both"/>
        <w:rPr>
          <w:rFonts w:eastAsia="Calibri"/>
          <w:color w:val="000000"/>
        </w:rPr>
      </w:pPr>
      <w:r>
        <w:t xml:space="preserve">De esta manera, nuestro ordenamiento jurídico actual contempla que una </w:t>
      </w:r>
      <w:r w:rsidRPr="00A722CE">
        <w:t xml:space="preserve">persona en </w:t>
      </w:r>
      <w:r w:rsidRPr="003C1F08">
        <w:t xml:space="preserve">debilidad manifiesta por razones de salud </w:t>
      </w:r>
      <w:r w:rsidRPr="00A722CE">
        <w:t>no se le podrá terminar su contrato de prestación de servicios por razón de su discapacidad</w:t>
      </w:r>
      <w:r>
        <w:t xml:space="preserve"> o enfermedad</w:t>
      </w:r>
      <w:r w:rsidRPr="00A722CE">
        <w:t>, salvo que medie autorización de la oficina de Trabajo</w:t>
      </w:r>
      <w:r>
        <w:t xml:space="preserve">, teniendo en cuenta que en dichos casos la presunción de discriminación debe ser desvirtuada por la entidad contratante. </w:t>
      </w:r>
      <w:r w:rsidRPr="00A722CE">
        <w:t xml:space="preserve">Ahora bien, si se le termina el contrato sin el permiso requerido, esta tendrá derecho a una indemnización equivalente a ciento ochenta </w:t>
      </w:r>
      <w:r>
        <w:t>(180) d</w:t>
      </w:r>
      <w:r w:rsidRPr="00A722CE">
        <w:t xml:space="preserve">ías </w:t>
      </w:r>
      <w:r>
        <w:t xml:space="preserve">del pago de honorarios, como también </w:t>
      </w:r>
      <w:r w:rsidR="008F387C">
        <w:t xml:space="preserve">al </w:t>
      </w:r>
      <w:r w:rsidR="008F387C" w:rsidRPr="00FB080F">
        <w:rPr>
          <w:rFonts w:eastAsia="Calibri"/>
          <w:color w:val="000000"/>
        </w:rPr>
        <w:t xml:space="preserve">pago de los honorarios dejados de percibir desde la fecha </w:t>
      </w:r>
      <w:r w:rsidR="008F387C">
        <w:rPr>
          <w:rFonts w:eastAsia="Calibri"/>
          <w:color w:val="000000"/>
        </w:rPr>
        <w:t>de</w:t>
      </w:r>
      <w:r w:rsidR="008F387C" w:rsidRPr="00FB080F">
        <w:rPr>
          <w:rFonts w:eastAsia="Calibri"/>
          <w:color w:val="000000"/>
        </w:rPr>
        <w:t xml:space="preserve"> </w:t>
      </w:r>
      <w:r w:rsidR="008F387C">
        <w:rPr>
          <w:rFonts w:eastAsia="Calibri"/>
          <w:color w:val="000000"/>
        </w:rPr>
        <w:t>la terminación del contrato</w:t>
      </w:r>
      <w:r w:rsidR="008F387C" w:rsidRPr="00FB080F">
        <w:rPr>
          <w:rFonts w:eastAsia="Calibri"/>
          <w:color w:val="000000"/>
        </w:rPr>
        <w:t>, hasta la renovación del mismo</w:t>
      </w:r>
      <w:r w:rsidR="008F387C">
        <w:rPr>
          <w:rFonts w:eastAsia="Calibri"/>
          <w:color w:val="000000"/>
        </w:rPr>
        <w:t>.</w:t>
      </w:r>
    </w:p>
    <w:p w14:paraId="22C52A25" w14:textId="77777777" w:rsidR="00F241C9" w:rsidRPr="00313C34" w:rsidRDefault="00F241C9" w:rsidP="002A1970">
      <w:pPr>
        <w:tabs>
          <w:tab w:val="left" w:pos="426"/>
        </w:tabs>
        <w:spacing w:after="0" w:line="276" w:lineRule="auto"/>
        <w:jc w:val="both"/>
        <w:rPr>
          <w:rFonts w:ascii="Arial" w:eastAsia="Calibri" w:hAnsi="Arial" w:cs="Arial"/>
          <w:color w:val="000000"/>
          <w:lang w:val="es-ES"/>
        </w:rPr>
      </w:pPr>
    </w:p>
    <w:p w14:paraId="78C850D2" w14:textId="77777777" w:rsidR="0020130D" w:rsidRDefault="0020130D" w:rsidP="0020130D">
      <w:pPr>
        <w:spacing w:after="0" w:line="276" w:lineRule="auto"/>
        <w:jc w:val="both"/>
        <w:rPr>
          <w:rFonts w:ascii="Arial" w:eastAsia="Calibri" w:hAnsi="Arial" w:cs="Arial"/>
          <w:b/>
          <w:color w:val="000000"/>
        </w:rPr>
      </w:pPr>
      <w:r w:rsidRPr="002C7909">
        <w:rPr>
          <w:rFonts w:ascii="Arial" w:eastAsia="Calibri" w:hAnsi="Arial" w:cs="Arial"/>
          <w:b/>
          <w:color w:val="000000"/>
        </w:rPr>
        <w:t>3. Respuesta</w:t>
      </w:r>
    </w:p>
    <w:p w14:paraId="37D18B31" w14:textId="77777777" w:rsidR="0020130D" w:rsidRPr="002C7909" w:rsidRDefault="0020130D" w:rsidP="0020130D">
      <w:pPr>
        <w:spacing w:after="0" w:line="276" w:lineRule="auto"/>
        <w:jc w:val="both"/>
        <w:rPr>
          <w:rFonts w:ascii="Arial" w:eastAsia="Calibri" w:hAnsi="Arial" w:cs="Arial"/>
          <w:color w:val="000000"/>
        </w:rPr>
      </w:pPr>
    </w:p>
    <w:p w14:paraId="5637A918" w14:textId="77777777" w:rsidR="00276BB6" w:rsidRDefault="00C9658A" w:rsidP="00276BB6">
      <w:pPr>
        <w:autoSpaceDE w:val="0"/>
        <w:autoSpaceDN w:val="0"/>
        <w:adjustRightInd w:val="0"/>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00276BB6">
        <w:rPr>
          <w:rFonts w:ascii="Arial" w:eastAsia="Calibri" w:hAnsi="Arial" w:cs="Arial"/>
          <w:color w:val="000000"/>
          <w:sz w:val="21"/>
          <w:szCs w:val="21"/>
          <w:lang w:val="es-ES_tradnl"/>
        </w:rPr>
        <w:t xml:space="preserve">“En el año 2022 le fue </w:t>
      </w:r>
      <w:r w:rsidR="00276BB6" w:rsidRPr="0085071A">
        <w:rPr>
          <w:rFonts w:ascii="Arial" w:eastAsia="Calibri" w:hAnsi="Arial" w:cs="Arial"/>
          <w:color w:val="000000"/>
          <w:sz w:val="21"/>
          <w:szCs w:val="21"/>
          <w:lang w:val="es-ES_tradnl"/>
        </w:rPr>
        <w:t>diagnosticado c</w:t>
      </w:r>
      <w:r w:rsidR="00276BB6">
        <w:rPr>
          <w:rFonts w:ascii="Arial" w:eastAsia="Calibri" w:hAnsi="Arial" w:cs="Arial"/>
          <w:color w:val="000000"/>
          <w:sz w:val="21"/>
          <w:szCs w:val="21"/>
          <w:lang w:val="es-ES_tradnl"/>
        </w:rPr>
        <w:t>á</w:t>
      </w:r>
      <w:r w:rsidR="00276BB6" w:rsidRPr="0085071A">
        <w:rPr>
          <w:rFonts w:ascii="Arial" w:eastAsia="Calibri" w:hAnsi="Arial" w:cs="Arial"/>
          <w:color w:val="000000"/>
          <w:sz w:val="21"/>
          <w:szCs w:val="21"/>
          <w:lang w:val="es-ES_tradnl"/>
        </w:rPr>
        <w:t>ncer de mama a contratista de la entidad la cual super los 180 días de</w:t>
      </w:r>
      <w:r w:rsidR="00276BB6">
        <w:rPr>
          <w:rFonts w:ascii="Arial" w:eastAsia="Calibri" w:hAnsi="Arial" w:cs="Arial"/>
          <w:color w:val="000000"/>
          <w:sz w:val="21"/>
          <w:szCs w:val="21"/>
          <w:lang w:val="es-ES_tradnl"/>
        </w:rPr>
        <w:t xml:space="preserve"> </w:t>
      </w:r>
      <w:r w:rsidR="00276BB6" w:rsidRPr="0085071A">
        <w:rPr>
          <w:rFonts w:ascii="Arial" w:eastAsia="Calibri" w:hAnsi="Arial" w:cs="Arial"/>
          <w:color w:val="000000"/>
          <w:sz w:val="21"/>
          <w:szCs w:val="21"/>
          <w:lang w:val="es-ES_tradnl"/>
        </w:rPr>
        <w:t>incapacidad, dicho contrato se terminó el 30 de noviembre del 2022 y a la fecha no se le ha generado más</w:t>
      </w:r>
      <w:r w:rsidR="00276BB6">
        <w:rPr>
          <w:rFonts w:ascii="Arial" w:eastAsia="Calibri" w:hAnsi="Arial" w:cs="Arial"/>
          <w:color w:val="000000"/>
          <w:sz w:val="21"/>
          <w:szCs w:val="21"/>
          <w:lang w:val="es-ES_tradnl"/>
        </w:rPr>
        <w:t xml:space="preserve"> </w:t>
      </w:r>
      <w:r w:rsidR="00276BB6" w:rsidRPr="0085071A">
        <w:rPr>
          <w:rFonts w:ascii="Arial" w:eastAsia="Calibri" w:hAnsi="Arial" w:cs="Arial"/>
          <w:color w:val="000000"/>
          <w:sz w:val="21"/>
          <w:szCs w:val="21"/>
          <w:lang w:val="es-ES_tradnl"/>
        </w:rPr>
        <w:t>contratos en atención a no generar una relación laboral y que la contratista debe adelantar trámites ante</w:t>
      </w:r>
      <w:r w:rsidR="00276BB6">
        <w:rPr>
          <w:rFonts w:ascii="Arial" w:eastAsia="Calibri" w:hAnsi="Arial" w:cs="Arial"/>
          <w:color w:val="000000"/>
          <w:sz w:val="21"/>
          <w:szCs w:val="21"/>
          <w:lang w:val="es-ES_tradnl"/>
        </w:rPr>
        <w:t xml:space="preserve"> </w:t>
      </w:r>
      <w:r w:rsidR="00276BB6" w:rsidRPr="0085071A">
        <w:rPr>
          <w:rFonts w:ascii="Arial" w:eastAsia="Calibri" w:hAnsi="Arial" w:cs="Arial"/>
          <w:color w:val="000000"/>
          <w:sz w:val="21"/>
          <w:szCs w:val="21"/>
          <w:lang w:val="es-ES_tradnl"/>
        </w:rPr>
        <w:t>el ARL.</w:t>
      </w:r>
    </w:p>
    <w:p w14:paraId="305ECFB1" w14:textId="77777777" w:rsidR="00276BB6" w:rsidRPr="0085071A" w:rsidRDefault="00276BB6" w:rsidP="00276BB6">
      <w:pPr>
        <w:autoSpaceDE w:val="0"/>
        <w:autoSpaceDN w:val="0"/>
        <w:adjustRightInd w:val="0"/>
        <w:spacing w:after="0" w:line="240" w:lineRule="auto"/>
        <w:ind w:left="709" w:right="709"/>
        <w:jc w:val="both"/>
        <w:rPr>
          <w:rFonts w:ascii="Arial" w:eastAsia="Calibri" w:hAnsi="Arial" w:cs="Arial"/>
          <w:color w:val="000000"/>
          <w:sz w:val="21"/>
          <w:szCs w:val="21"/>
          <w:lang w:val="es-ES_tradnl"/>
        </w:rPr>
      </w:pPr>
    </w:p>
    <w:p w14:paraId="6CC30766" w14:textId="3AD0E17D" w:rsidR="0020130D" w:rsidRPr="002C7909" w:rsidRDefault="00276BB6" w:rsidP="00276BB6">
      <w:pPr>
        <w:autoSpaceDE w:val="0"/>
        <w:autoSpaceDN w:val="0"/>
        <w:adjustRightInd w:val="0"/>
        <w:spacing w:after="0" w:line="240" w:lineRule="auto"/>
        <w:ind w:left="709" w:right="709"/>
        <w:jc w:val="both"/>
        <w:rPr>
          <w:rFonts w:ascii="Arial" w:eastAsia="Calibri" w:hAnsi="Arial" w:cs="Arial"/>
          <w:color w:val="000000"/>
          <w:sz w:val="21"/>
          <w:szCs w:val="21"/>
          <w:lang w:val="es-ES_tradnl"/>
        </w:rPr>
      </w:pPr>
      <w:r w:rsidRPr="0085071A">
        <w:rPr>
          <w:rFonts w:ascii="Arial" w:eastAsia="Calibri" w:hAnsi="Arial" w:cs="Arial"/>
          <w:color w:val="000000"/>
          <w:sz w:val="21"/>
          <w:szCs w:val="21"/>
          <w:lang w:val="es-ES_tradnl"/>
        </w:rPr>
        <w:t>La entidad tiene dudas sobre el procedimiento a seguir en cuanto a realizar un nuevo contrato, esto ya</w:t>
      </w:r>
      <w:r>
        <w:rPr>
          <w:rFonts w:ascii="Arial" w:eastAsia="Calibri" w:hAnsi="Arial" w:cs="Arial"/>
          <w:color w:val="000000"/>
          <w:sz w:val="21"/>
          <w:szCs w:val="21"/>
          <w:lang w:val="es-ES_tradnl"/>
        </w:rPr>
        <w:t xml:space="preserve"> </w:t>
      </w:r>
      <w:r w:rsidRPr="0085071A">
        <w:rPr>
          <w:rFonts w:ascii="Arial" w:eastAsia="Calibri" w:hAnsi="Arial" w:cs="Arial"/>
          <w:color w:val="000000"/>
          <w:sz w:val="21"/>
          <w:szCs w:val="21"/>
          <w:lang w:val="es-ES_tradnl"/>
        </w:rPr>
        <w:t>que la persona está pendiente de una cirugía de la cual no se sabe que cuidados deba tener y si pueda</w:t>
      </w:r>
      <w:r>
        <w:rPr>
          <w:rFonts w:ascii="Arial" w:eastAsia="Calibri" w:hAnsi="Arial" w:cs="Arial"/>
          <w:color w:val="000000"/>
          <w:sz w:val="21"/>
          <w:szCs w:val="21"/>
          <w:lang w:val="es-ES_tradnl"/>
        </w:rPr>
        <w:t xml:space="preserve"> </w:t>
      </w:r>
      <w:r w:rsidRPr="0085071A">
        <w:rPr>
          <w:rFonts w:ascii="Arial" w:eastAsia="Calibri" w:hAnsi="Arial" w:cs="Arial"/>
          <w:color w:val="000000"/>
          <w:sz w:val="21"/>
          <w:szCs w:val="21"/>
          <w:lang w:val="es-ES_tradnl"/>
        </w:rPr>
        <w:t>desarrollar el objeto del contrato, el cual es como instructora de recreación y aprovechamiento del</w:t>
      </w:r>
      <w:r>
        <w:rPr>
          <w:rFonts w:ascii="Arial" w:eastAsia="Calibri" w:hAnsi="Arial" w:cs="Arial"/>
          <w:color w:val="000000"/>
          <w:sz w:val="21"/>
          <w:szCs w:val="21"/>
          <w:lang w:val="es-ES_tradnl"/>
        </w:rPr>
        <w:t xml:space="preserve"> </w:t>
      </w:r>
      <w:r w:rsidRPr="0085071A">
        <w:rPr>
          <w:rFonts w:ascii="Arial" w:eastAsia="Calibri" w:hAnsi="Arial" w:cs="Arial"/>
          <w:color w:val="000000"/>
          <w:sz w:val="21"/>
          <w:szCs w:val="21"/>
          <w:lang w:val="es-ES_tradnl"/>
        </w:rPr>
        <w:t>tiempo libre y si ello generará relación laboral con el Instituto</w:t>
      </w:r>
      <w:r>
        <w:rPr>
          <w:rFonts w:ascii="Arial" w:eastAsia="Calibri" w:hAnsi="Arial" w:cs="Arial"/>
          <w:color w:val="000000"/>
          <w:sz w:val="21"/>
          <w:szCs w:val="21"/>
          <w:lang w:val="es-ES_tradnl"/>
        </w:rPr>
        <w:t xml:space="preserve"> (…)”</w:t>
      </w:r>
      <w:r w:rsidRPr="002C7909">
        <w:rPr>
          <w:rFonts w:ascii="Arial" w:eastAsia="Calibri" w:hAnsi="Arial" w:cs="Arial"/>
          <w:color w:val="000000"/>
          <w:sz w:val="21"/>
          <w:szCs w:val="21"/>
          <w:lang w:val="es-ES_tradnl"/>
        </w:rPr>
        <w:t xml:space="preserve"> (SIC).</w:t>
      </w:r>
      <w:r w:rsidR="0020130D" w:rsidRPr="002C7909">
        <w:rPr>
          <w:rFonts w:ascii="Arial" w:eastAsia="Calibri" w:hAnsi="Arial" w:cs="Arial"/>
          <w:color w:val="000000"/>
          <w:sz w:val="21"/>
          <w:szCs w:val="21"/>
          <w:lang w:val="es-ES_tradnl"/>
        </w:rPr>
        <w:t>(SIC).</w:t>
      </w:r>
    </w:p>
    <w:p w14:paraId="10FFC8CC" w14:textId="77777777" w:rsidR="0020130D" w:rsidRPr="00080793" w:rsidRDefault="0020130D" w:rsidP="0020130D">
      <w:pPr>
        <w:autoSpaceDE w:val="0"/>
        <w:autoSpaceDN w:val="0"/>
        <w:adjustRightInd w:val="0"/>
        <w:spacing w:after="0" w:line="276" w:lineRule="auto"/>
        <w:ind w:right="709"/>
        <w:jc w:val="both"/>
        <w:rPr>
          <w:rFonts w:ascii="Arial" w:eastAsia="Calibri" w:hAnsi="Arial" w:cs="Arial"/>
          <w:color w:val="000000"/>
          <w:lang w:val="es-ES_tradnl"/>
        </w:rPr>
      </w:pPr>
    </w:p>
    <w:p w14:paraId="170F8B62" w14:textId="77777777" w:rsidR="00823CDF" w:rsidRDefault="0020130D" w:rsidP="00AC44DB">
      <w:pPr>
        <w:spacing w:after="120" w:line="276" w:lineRule="auto"/>
        <w:jc w:val="both"/>
        <w:rPr>
          <w:rFonts w:ascii="Arial" w:hAnsi="Arial" w:cs="Arial"/>
        </w:rPr>
      </w:pPr>
      <w:r w:rsidRPr="00080793">
        <w:rPr>
          <w:rFonts w:ascii="Arial" w:hAnsi="Arial" w:cs="Arial"/>
        </w:rPr>
        <w:t xml:space="preserve">De acuerdo con lo </w:t>
      </w:r>
      <w:r w:rsidR="00D35DEA">
        <w:rPr>
          <w:rFonts w:ascii="Arial" w:hAnsi="Arial" w:cs="Arial"/>
        </w:rPr>
        <w:t>expuesto</w:t>
      </w:r>
      <w:r w:rsidRPr="00080793">
        <w:rPr>
          <w:rFonts w:ascii="Arial" w:hAnsi="Arial" w:cs="Arial"/>
        </w:rPr>
        <w:t xml:space="preserve">, </w:t>
      </w:r>
      <w:r w:rsidR="00AC44DB">
        <w:rPr>
          <w:rFonts w:ascii="Arial" w:hAnsi="Arial" w:cs="Arial"/>
        </w:rPr>
        <w:t xml:space="preserve">y haciendo abstracción al caso particular </w:t>
      </w:r>
      <w:r w:rsidR="00D35DEA">
        <w:rPr>
          <w:rFonts w:ascii="Arial" w:hAnsi="Arial" w:cs="Arial"/>
        </w:rPr>
        <w:t>señalado en su pregunta, para esta Agencia es claro que en la actualidad nuestro ordenamiento jurídico contempla</w:t>
      </w:r>
      <w:r w:rsidR="00550343">
        <w:rPr>
          <w:rFonts w:ascii="Arial" w:hAnsi="Arial" w:cs="Arial"/>
        </w:rPr>
        <w:t xml:space="preserve"> </w:t>
      </w:r>
      <w:r w:rsidR="00550343" w:rsidRPr="00550343">
        <w:rPr>
          <w:rFonts w:ascii="Arial" w:hAnsi="Arial" w:cs="Arial"/>
        </w:rPr>
        <w:t xml:space="preserve">la estabilidad ocupacional reforzada </w:t>
      </w:r>
      <w:r w:rsidR="00D35DEA">
        <w:rPr>
          <w:rFonts w:ascii="Arial" w:hAnsi="Arial" w:cs="Arial"/>
        </w:rPr>
        <w:t xml:space="preserve">como </w:t>
      </w:r>
      <w:r w:rsidR="00550343" w:rsidRPr="00550343">
        <w:rPr>
          <w:rFonts w:ascii="Arial" w:hAnsi="Arial" w:cs="Arial"/>
        </w:rPr>
        <w:t xml:space="preserve">un derecho fundamental de origen constitucional, basado en el derecho al trabajo en todas sus modalidades y en condiciones dignas y justas, </w:t>
      </w:r>
      <w:r w:rsidR="00823CDF">
        <w:rPr>
          <w:rFonts w:ascii="Arial" w:hAnsi="Arial" w:cs="Arial"/>
        </w:rPr>
        <w:t xml:space="preserve">y por lo tanto su protección deviene </w:t>
      </w:r>
      <w:r w:rsidR="00550343" w:rsidRPr="00550343">
        <w:rPr>
          <w:rFonts w:ascii="Arial" w:hAnsi="Arial" w:cs="Arial"/>
        </w:rPr>
        <w:t>en el deber de solidaridad social</w:t>
      </w:r>
      <w:r w:rsidR="00823CDF">
        <w:rPr>
          <w:rFonts w:ascii="Arial" w:hAnsi="Arial" w:cs="Arial"/>
        </w:rPr>
        <w:t xml:space="preserve">, como </w:t>
      </w:r>
      <w:r w:rsidR="00550343" w:rsidRPr="00550343">
        <w:rPr>
          <w:rFonts w:ascii="Arial" w:hAnsi="Arial" w:cs="Arial"/>
        </w:rPr>
        <w:t>principio fundante del Estado</w:t>
      </w:r>
      <w:r w:rsidR="00823CDF">
        <w:rPr>
          <w:rFonts w:ascii="Arial" w:hAnsi="Arial" w:cs="Arial"/>
        </w:rPr>
        <w:t>,</w:t>
      </w:r>
      <w:r w:rsidR="00550343" w:rsidRPr="00550343">
        <w:rPr>
          <w:rFonts w:ascii="Arial" w:hAnsi="Arial" w:cs="Arial"/>
        </w:rPr>
        <w:t xml:space="preserve"> en el mandato de no discriminación, así como en el deber estatal de adelantar políticas de reintegración para personas en situación de discapacidad</w:t>
      </w:r>
      <w:r w:rsidR="00AC44DB">
        <w:rPr>
          <w:rFonts w:ascii="Arial" w:hAnsi="Arial" w:cs="Arial"/>
        </w:rPr>
        <w:t xml:space="preserve"> </w:t>
      </w:r>
      <w:r w:rsidR="00823CDF">
        <w:rPr>
          <w:rFonts w:ascii="Arial" w:hAnsi="Arial" w:cs="Arial"/>
        </w:rPr>
        <w:t xml:space="preserve">o de </w:t>
      </w:r>
      <w:r w:rsidR="00823CDF" w:rsidRPr="00823CDF">
        <w:rPr>
          <w:rFonts w:ascii="Arial" w:hAnsi="Arial" w:cs="Arial"/>
        </w:rPr>
        <w:t>situación de debilidad manifiesta por razones de salud.</w:t>
      </w:r>
    </w:p>
    <w:p w14:paraId="0A20620F" w14:textId="48183A1E" w:rsidR="00830B52" w:rsidRDefault="00823CDF" w:rsidP="00F73C24">
      <w:pPr>
        <w:spacing w:after="120" w:line="276" w:lineRule="auto"/>
        <w:ind w:firstLine="708"/>
        <w:jc w:val="both"/>
        <w:rPr>
          <w:rFonts w:ascii="Arial" w:hAnsi="Arial" w:cs="Arial"/>
        </w:rPr>
      </w:pPr>
      <w:r>
        <w:rPr>
          <w:rFonts w:ascii="Arial" w:hAnsi="Arial" w:cs="Arial"/>
        </w:rPr>
        <w:t xml:space="preserve">En ese orden de </w:t>
      </w:r>
      <w:r w:rsidR="00830B52">
        <w:rPr>
          <w:rFonts w:ascii="Arial" w:hAnsi="Arial" w:cs="Arial"/>
        </w:rPr>
        <w:t xml:space="preserve">ideas, se tiene </w:t>
      </w:r>
      <w:r w:rsidR="008F387C">
        <w:rPr>
          <w:rFonts w:ascii="Arial" w:hAnsi="Arial" w:cs="Arial"/>
        </w:rPr>
        <w:t>que,</w:t>
      </w:r>
      <w:r w:rsidR="00830B52">
        <w:rPr>
          <w:rFonts w:ascii="Arial" w:hAnsi="Arial" w:cs="Arial"/>
        </w:rPr>
        <w:t xml:space="preserve"> si la Entidad Estatal contratante conoce de </w:t>
      </w:r>
      <w:r w:rsidR="003E125B">
        <w:rPr>
          <w:rFonts w:ascii="Arial" w:hAnsi="Arial" w:cs="Arial"/>
        </w:rPr>
        <w:t xml:space="preserve">la </w:t>
      </w:r>
      <w:r w:rsidR="00830B52" w:rsidRPr="00823CDF">
        <w:rPr>
          <w:rFonts w:ascii="Arial" w:hAnsi="Arial" w:cs="Arial"/>
        </w:rPr>
        <w:t xml:space="preserve">situación de debilidad manifiesta </w:t>
      </w:r>
      <w:r w:rsidR="003E125B">
        <w:rPr>
          <w:rFonts w:ascii="Arial" w:hAnsi="Arial" w:cs="Arial"/>
        </w:rPr>
        <w:t xml:space="preserve">del contratista </w:t>
      </w:r>
      <w:r w:rsidR="00830B52" w:rsidRPr="00823CDF">
        <w:rPr>
          <w:rFonts w:ascii="Arial" w:hAnsi="Arial" w:cs="Arial"/>
        </w:rPr>
        <w:t xml:space="preserve">por razones de </w:t>
      </w:r>
      <w:r w:rsidR="003E125B">
        <w:rPr>
          <w:rFonts w:ascii="Arial" w:hAnsi="Arial" w:cs="Arial"/>
        </w:rPr>
        <w:t xml:space="preserve">su </w:t>
      </w:r>
      <w:r w:rsidR="00830B52" w:rsidRPr="00823CDF">
        <w:rPr>
          <w:rFonts w:ascii="Arial" w:hAnsi="Arial" w:cs="Arial"/>
        </w:rPr>
        <w:t>salud</w:t>
      </w:r>
      <w:r w:rsidR="008A5831">
        <w:rPr>
          <w:rFonts w:ascii="Arial" w:hAnsi="Arial" w:cs="Arial"/>
        </w:rPr>
        <w:t xml:space="preserve"> y</w:t>
      </w:r>
      <w:r w:rsidR="003E125B">
        <w:rPr>
          <w:rFonts w:ascii="Arial" w:hAnsi="Arial" w:cs="Arial"/>
        </w:rPr>
        <w:t xml:space="preserve"> subsiste la causa del contrato, es decir la necesidad que originó la</w:t>
      </w:r>
      <w:r w:rsidR="005E0734">
        <w:rPr>
          <w:rFonts w:ascii="Arial" w:hAnsi="Arial" w:cs="Arial"/>
        </w:rPr>
        <w:t xml:space="preserve"> celebración del contrato prestación de servicios sigue </w:t>
      </w:r>
      <w:r w:rsidR="0061798B">
        <w:rPr>
          <w:rFonts w:ascii="Arial" w:hAnsi="Arial" w:cs="Arial"/>
        </w:rPr>
        <w:t xml:space="preserve">existiendo </w:t>
      </w:r>
      <w:r w:rsidR="00F73C24">
        <w:rPr>
          <w:rFonts w:ascii="Arial" w:hAnsi="Arial" w:cs="Arial"/>
        </w:rPr>
        <w:t xml:space="preserve">para la </w:t>
      </w:r>
      <w:r w:rsidR="00633469">
        <w:rPr>
          <w:rFonts w:ascii="Arial" w:hAnsi="Arial" w:cs="Arial"/>
        </w:rPr>
        <w:t>Entidad Estatal</w:t>
      </w:r>
      <w:r w:rsidR="008A5831">
        <w:rPr>
          <w:rFonts w:ascii="Arial" w:hAnsi="Arial" w:cs="Arial"/>
        </w:rPr>
        <w:t xml:space="preserve">, no podrá dar por terminado el vínculo contractual, sin que medie </w:t>
      </w:r>
      <w:r w:rsidR="005E0734">
        <w:rPr>
          <w:rFonts w:ascii="Arial" w:hAnsi="Arial" w:cs="Arial"/>
        </w:rPr>
        <w:t>permiso del inspector del trabajo</w:t>
      </w:r>
      <w:r w:rsidR="00DB72D7">
        <w:rPr>
          <w:rFonts w:ascii="Arial" w:hAnsi="Arial" w:cs="Arial"/>
        </w:rPr>
        <w:t xml:space="preserve">, </w:t>
      </w:r>
      <w:r w:rsidR="001B54E4">
        <w:rPr>
          <w:rFonts w:ascii="Arial" w:hAnsi="Arial" w:cs="Arial"/>
        </w:rPr>
        <w:t>aun</w:t>
      </w:r>
      <w:r w:rsidR="00F73C24">
        <w:rPr>
          <w:rFonts w:ascii="Arial" w:hAnsi="Arial" w:cs="Arial"/>
        </w:rPr>
        <w:t xml:space="preserve"> cuando se haya configurado su terminación por cumplimiento de plazo contractual. </w:t>
      </w:r>
    </w:p>
    <w:p w14:paraId="041CC68B" w14:textId="3F487A7E" w:rsidR="005C2817" w:rsidRPr="00080793" w:rsidRDefault="00F73C24" w:rsidP="00BE7124">
      <w:pPr>
        <w:tabs>
          <w:tab w:val="left" w:pos="426"/>
        </w:tabs>
        <w:spacing w:after="0" w:line="276" w:lineRule="auto"/>
        <w:jc w:val="both"/>
        <w:rPr>
          <w:rFonts w:ascii="Arial" w:hAnsi="Arial" w:cs="Arial"/>
        </w:rPr>
      </w:pPr>
      <w:r>
        <w:rPr>
          <w:rFonts w:ascii="Arial" w:hAnsi="Arial" w:cs="Arial"/>
        </w:rPr>
        <w:tab/>
        <w:t>El no acatamiento de dichas directrices puede dar a lugar a que un juez ordene</w:t>
      </w:r>
      <w:r w:rsidR="005E2EE6">
        <w:rPr>
          <w:rFonts w:ascii="Arial" w:hAnsi="Arial" w:cs="Arial"/>
        </w:rPr>
        <w:t xml:space="preserve">, previo </w:t>
      </w:r>
      <w:r w:rsidR="005E2EE6" w:rsidRPr="00FB080F">
        <w:rPr>
          <w:rFonts w:ascii="Arial" w:eastAsia="Calibri" w:hAnsi="Arial" w:cs="Arial"/>
          <w:color w:val="000000"/>
          <w:lang w:val="es-ES"/>
        </w:rPr>
        <w:t>estudi</w:t>
      </w:r>
      <w:r w:rsidR="005E2EE6">
        <w:rPr>
          <w:rFonts w:ascii="Arial" w:eastAsia="Calibri" w:hAnsi="Arial" w:cs="Arial"/>
          <w:color w:val="000000"/>
          <w:lang w:val="es-ES"/>
        </w:rPr>
        <w:t xml:space="preserve">o </w:t>
      </w:r>
      <w:r w:rsidR="00CB2EA7">
        <w:rPr>
          <w:rFonts w:ascii="Arial" w:eastAsia="Calibri" w:hAnsi="Arial" w:cs="Arial"/>
          <w:color w:val="000000"/>
          <w:lang w:val="es-ES"/>
        </w:rPr>
        <w:t xml:space="preserve">de las particularidades del caso en concreto, </w:t>
      </w:r>
      <w:r w:rsidR="005E2EE6" w:rsidRPr="00FB080F">
        <w:rPr>
          <w:rFonts w:ascii="Arial" w:eastAsia="Calibri" w:hAnsi="Arial" w:cs="Arial"/>
          <w:color w:val="000000"/>
          <w:lang w:val="es-ES"/>
        </w:rPr>
        <w:t xml:space="preserve">la procedencia de cada una de </w:t>
      </w:r>
      <w:r w:rsidR="005E2EE6">
        <w:rPr>
          <w:rFonts w:ascii="Arial" w:eastAsia="Calibri" w:hAnsi="Arial" w:cs="Arial"/>
          <w:color w:val="000000"/>
          <w:lang w:val="es-ES"/>
        </w:rPr>
        <w:t xml:space="preserve">las </w:t>
      </w:r>
      <w:r w:rsidR="00BE7124">
        <w:rPr>
          <w:rFonts w:ascii="Arial" w:eastAsia="Calibri" w:hAnsi="Arial" w:cs="Arial"/>
          <w:color w:val="000000"/>
          <w:lang w:val="es-ES"/>
        </w:rPr>
        <w:t xml:space="preserve">siguientes </w:t>
      </w:r>
      <w:r w:rsidR="005E2EE6" w:rsidRPr="00FB080F">
        <w:rPr>
          <w:rFonts w:ascii="Arial" w:eastAsia="Calibri" w:hAnsi="Arial" w:cs="Arial"/>
          <w:color w:val="000000"/>
          <w:lang w:val="es-ES"/>
        </w:rPr>
        <w:t>medidas de protección</w:t>
      </w:r>
      <w:r w:rsidR="00361163">
        <w:rPr>
          <w:rFonts w:ascii="Arial" w:hAnsi="Arial" w:cs="Arial"/>
        </w:rPr>
        <w:t xml:space="preserve">: </w:t>
      </w:r>
      <w:r w:rsidR="00361163">
        <w:rPr>
          <w:rFonts w:ascii="Arial" w:eastAsia="Calibri" w:hAnsi="Arial" w:cs="Arial"/>
          <w:color w:val="000000"/>
          <w:lang w:val="es-ES"/>
        </w:rPr>
        <w:t xml:space="preserve">i) </w:t>
      </w:r>
      <w:r w:rsidR="005C2817" w:rsidRPr="00FB080F">
        <w:rPr>
          <w:rFonts w:ascii="Arial" w:eastAsia="Calibri" w:hAnsi="Arial" w:cs="Arial"/>
          <w:color w:val="000000"/>
          <w:lang w:val="es-ES"/>
        </w:rPr>
        <w:t>La renovación de la relación contractual</w:t>
      </w:r>
      <w:r w:rsidR="00361163">
        <w:rPr>
          <w:rFonts w:ascii="Arial" w:eastAsia="Calibri" w:hAnsi="Arial" w:cs="Arial"/>
          <w:color w:val="000000"/>
          <w:lang w:val="es-ES"/>
        </w:rPr>
        <w:t>; ii)</w:t>
      </w:r>
      <w:r w:rsidR="005C2817" w:rsidRPr="00FB080F">
        <w:rPr>
          <w:rFonts w:ascii="Arial" w:eastAsia="Calibri" w:hAnsi="Arial" w:cs="Arial"/>
          <w:color w:val="000000"/>
          <w:lang w:val="es-ES"/>
        </w:rPr>
        <w:t xml:space="preserve"> El pago de los honorarios dejados de percibir desde la </w:t>
      </w:r>
      <w:r w:rsidR="005E2EE6" w:rsidRPr="00FB080F">
        <w:rPr>
          <w:rFonts w:ascii="Arial" w:eastAsia="Calibri" w:hAnsi="Arial" w:cs="Arial"/>
          <w:color w:val="000000"/>
          <w:lang w:val="es-ES"/>
        </w:rPr>
        <w:t xml:space="preserve">fecha </w:t>
      </w:r>
      <w:r w:rsidR="005E2EE6">
        <w:rPr>
          <w:rFonts w:ascii="Arial" w:eastAsia="Calibri" w:hAnsi="Arial" w:cs="Arial"/>
          <w:color w:val="000000"/>
          <w:lang w:val="es-ES"/>
        </w:rPr>
        <w:t>de</w:t>
      </w:r>
      <w:r w:rsidR="005C2817" w:rsidRPr="00FB080F">
        <w:rPr>
          <w:rFonts w:ascii="Arial" w:eastAsia="Calibri" w:hAnsi="Arial" w:cs="Arial"/>
          <w:color w:val="000000"/>
          <w:lang w:val="es-ES"/>
        </w:rPr>
        <w:t xml:space="preserve"> no renovación del contrato, hasta la renovación del mismo;</w:t>
      </w:r>
      <w:r w:rsidR="005E2EE6">
        <w:rPr>
          <w:rFonts w:ascii="Arial" w:eastAsia="Calibri" w:hAnsi="Arial" w:cs="Arial"/>
          <w:color w:val="000000"/>
          <w:lang w:val="es-ES"/>
        </w:rPr>
        <w:t xml:space="preserve"> y, </w:t>
      </w:r>
      <w:r w:rsidR="0049727E">
        <w:rPr>
          <w:rFonts w:ascii="Arial" w:eastAsia="Calibri" w:hAnsi="Arial" w:cs="Arial"/>
          <w:color w:val="000000"/>
          <w:lang w:val="es-ES"/>
        </w:rPr>
        <w:t xml:space="preserve">iii) </w:t>
      </w:r>
      <w:r w:rsidR="005C2817" w:rsidRPr="00FB080F">
        <w:rPr>
          <w:rFonts w:ascii="Arial" w:eastAsia="Calibri" w:hAnsi="Arial" w:cs="Arial"/>
          <w:color w:val="000000"/>
          <w:lang w:val="es-ES"/>
        </w:rPr>
        <w:t>El pago por concepto de la indemnización por despido</w:t>
      </w:r>
      <w:r w:rsidR="006028CE">
        <w:rPr>
          <w:rFonts w:ascii="Arial" w:eastAsia="Calibri" w:hAnsi="Arial" w:cs="Arial"/>
          <w:color w:val="000000"/>
          <w:lang w:val="es-ES"/>
        </w:rPr>
        <w:t xml:space="preserve"> previsto en el artículo 26 de la </w:t>
      </w:r>
      <w:r w:rsidR="006028CE" w:rsidRPr="006028CE">
        <w:rPr>
          <w:rFonts w:ascii="Arial" w:eastAsia="Calibri" w:hAnsi="Arial" w:cs="Arial"/>
          <w:color w:val="000000"/>
          <w:lang w:val="es-ES"/>
        </w:rPr>
        <w:t>Ley 361 de 1997</w:t>
      </w:r>
    </w:p>
    <w:p w14:paraId="594F0F87" w14:textId="77777777" w:rsidR="0020130D" w:rsidRDefault="0020130D" w:rsidP="0020130D">
      <w:pPr>
        <w:spacing w:after="0" w:line="276" w:lineRule="auto"/>
        <w:ind w:firstLine="709"/>
        <w:jc w:val="both"/>
      </w:pPr>
    </w:p>
    <w:p w14:paraId="4913A029" w14:textId="77777777" w:rsidR="0020130D" w:rsidRPr="002C7909" w:rsidRDefault="0020130D" w:rsidP="0020130D">
      <w:pPr>
        <w:spacing w:after="0" w:line="276" w:lineRule="auto"/>
        <w:jc w:val="both"/>
        <w:rPr>
          <w:rFonts w:ascii="Arial" w:eastAsia="Calibri" w:hAnsi="Arial" w:cs="Arial"/>
          <w:lang w:val="es-MX"/>
        </w:rPr>
      </w:pPr>
      <w:r w:rsidRPr="002C7909">
        <w:rPr>
          <w:rFonts w:ascii="Arial" w:eastAsia="Arial" w:hAnsi="Arial" w:cs="Arial"/>
          <w:color w:val="000000"/>
          <w:lang w:val="es-MX" w:eastAsia="es-ES_tradnl"/>
        </w:rPr>
        <w:t xml:space="preserve">Este concepto tiene el alcance previsto en el artículo 28 del Código de Procedimiento Administrativo y de lo Contencioso Administrativo </w:t>
      </w:r>
      <w:r w:rsidRPr="002C7909">
        <w:rPr>
          <w:rFonts w:ascii="Arial" w:eastAsia="Calibri" w:hAnsi="Arial" w:cs="Arial"/>
          <w:lang w:val="es-MX"/>
        </w:rPr>
        <w:t>y las expresiones utilizadas con mayúscula inicial deben ser entendidas con el significado que les otorga el artículo 2.2.1.1.1.3.1. del Decreto 1082 de 2015.</w:t>
      </w:r>
    </w:p>
    <w:p w14:paraId="10F410E0" w14:textId="77777777" w:rsidR="0020130D" w:rsidRPr="002C7909" w:rsidRDefault="0020130D" w:rsidP="0020130D">
      <w:pPr>
        <w:spacing w:after="0" w:line="276" w:lineRule="auto"/>
        <w:jc w:val="both"/>
        <w:rPr>
          <w:rFonts w:ascii="Arial" w:eastAsia="Times New Roman" w:hAnsi="Arial" w:cs="Arial"/>
          <w:lang w:val="es-MX" w:eastAsia="es-CO"/>
        </w:rPr>
      </w:pPr>
    </w:p>
    <w:p w14:paraId="35BAABB9" w14:textId="77777777" w:rsidR="00084F41" w:rsidRPr="00013E7E" w:rsidRDefault="00084F41" w:rsidP="00084F41">
      <w:pPr>
        <w:spacing w:before="120" w:after="120" w:line="276" w:lineRule="auto"/>
        <w:rPr>
          <w:rFonts w:ascii="Arial" w:eastAsia="Times New Roman" w:hAnsi="Arial" w:cs="Arial"/>
          <w:lang w:eastAsia="es-CO"/>
        </w:rPr>
      </w:pPr>
      <w:r w:rsidRPr="00013E7E">
        <w:rPr>
          <w:rFonts w:ascii="Arial" w:eastAsia="Times New Roman" w:hAnsi="Arial" w:cs="Arial"/>
          <w:lang w:eastAsia="es-CO"/>
        </w:rPr>
        <w:t>Atentamente,</w:t>
      </w:r>
    </w:p>
    <w:p w14:paraId="125F1431" w14:textId="27D5C4BA" w:rsidR="00084F41" w:rsidRPr="00CB70D9" w:rsidRDefault="00060BA9" w:rsidP="00084F41">
      <w:pPr>
        <w:jc w:val="center"/>
        <w:rPr>
          <w:rFonts w:ascii="Arial" w:eastAsia="Times New Roman" w:hAnsi="Arial" w:cs="Arial"/>
          <w:lang w:eastAsia="es-CO"/>
        </w:rPr>
      </w:pPr>
      <w:r>
        <w:rPr>
          <w:noProof/>
        </w:rPr>
        <w:drawing>
          <wp:inline distT="0" distB="0" distL="0" distR="0" wp14:anchorId="3D47C557" wp14:editId="056A6790">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37258"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84F41" w:rsidRPr="003F5F71" w14:paraId="77AF08FB" w14:textId="77777777" w:rsidTr="00F20A46">
        <w:trPr>
          <w:trHeight w:val="409"/>
        </w:trPr>
        <w:tc>
          <w:tcPr>
            <w:tcW w:w="817" w:type="dxa"/>
            <w:tcBorders>
              <w:top w:val="nil"/>
              <w:left w:val="nil"/>
              <w:bottom w:val="nil"/>
              <w:right w:val="nil"/>
            </w:tcBorders>
            <w:vAlign w:val="center"/>
            <w:hideMark/>
          </w:tcPr>
          <w:p w14:paraId="64965292" w14:textId="77777777" w:rsidR="00084F41" w:rsidRPr="009C1F1A" w:rsidRDefault="00084F41" w:rsidP="00F20A46">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5EAA2C6" w14:textId="77777777" w:rsidR="00084F41" w:rsidRPr="009C1F1A" w:rsidRDefault="00084F41" w:rsidP="00F20A46">
            <w:pPr>
              <w:spacing w:after="0" w:line="240" w:lineRule="auto"/>
              <w:jc w:val="both"/>
              <w:rPr>
                <w:rFonts w:ascii="Arial" w:hAnsi="Arial" w:cs="Arial"/>
                <w:sz w:val="16"/>
                <w:szCs w:val="16"/>
              </w:rPr>
            </w:pPr>
            <w:r>
              <w:rPr>
                <w:rFonts w:ascii="Arial" w:hAnsi="Arial" w:cs="Arial"/>
                <w:sz w:val="16"/>
                <w:szCs w:val="16"/>
              </w:rPr>
              <w:t>Any Alejandra Tovar Castillo</w:t>
            </w:r>
          </w:p>
          <w:p w14:paraId="457369CF" w14:textId="77777777" w:rsidR="00084F41" w:rsidRPr="009C1F1A" w:rsidRDefault="00084F41" w:rsidP="00F20A46">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084F41" w:rsidRPr="003F5F71" w14:paraId="6C8E2737" w14:textId="77777777" w:rsidTr="00F20A46">
        <w:trPr>
          <w:trHeight w:val="409"/>
        </w:trPr>
        <w:tc>
          <w:tcPr>
            <w:tcW w:w="817" w:type="dxa"/>
            <w:tcBorders>
              <w:top w:val="nil"/>
              <w:left w:val="nil"/>
              <w:right w:val="nil"/>
            </w:tcBorders>
            <w:vAlign w:val="center"/>
          </w:tcPr>
          <w:p w14:paraId="10F87CC6" w14:textId="77777777" w:rsidR="00084F41" w:rsidRPr="1CF3ADA9" w:rsidRDefault="00084F41" w:rsidP="00F20A46">
            <w:pPr>
              <w:spacing w:after="0"/>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7D76783" w14:textId="364574C8" w:rsidR="00084F41" w:rsidRPr="009C1F1A" w:rsidRDefault="00084F41" w:rsidP="00F20A46">
            <w:pPr>
              <w:spacing w:after="0" w:line="240" w:lineRule="auto"/>
              <w:jc w:val="both"/>
              <w:rPr>
                <w:rFonts w:ascii="Arial" w:hAnsi="Arial" w:cs="Arial"/>
                <w:sz w:val="16"/>
                <w:szCs w:val="16"/>
              </w:rPr>
            </w:pPr>
            <w:r>
              <w:rPr>
                <w:rFonts w:ascii="Arial" w:hAnsi="Arial" w:cs="Arial"/>
                <w:sz w:val="16"/>
                <w:szCs w:val="16"/>
              </w:rPr>
              <w:t>Juan David Cárdenas Cabeza</w:t>
            </w:r>
          </w:p>
          <w:p w14:paraId="0DAACD2E" w14:textId="4EABE531" w:rsidR="00084F41" w:rsidRPr="009C1F1A" w:rsidRDefault="00084F41" w:rsidP="00F20A46">
            <w:pPr>
              <w:spacing w:after="0" w:line="240" w:lineRule="auto"/>
              <w:jc w:val="both"/>
              <w:rPr>
                <w:rFonts w:ascii="Arial" w:hAnsi="Arial" w:cs="Arial"/>
                <w:sz w:val="16"/>
                <w:szCs w:val="16"/>
              </w:rPr>
            </w:pPr>
            <w:r>
              <w:rPr>
                <w:rFonts w:ascii="Arial" w:hAnsi="Arial" w:cs="Arial"/>
                <w:sz w:val="16"/>
                <w:szCs w:val="16"/>
              </w:rPr>
              <w:t>Contratista de</w:t>
            </w:r>
            <w:r w:rsidRPr="009C1F1A">
              <w:rPr>
                <w:rFonts w:ascii="Arial" w:hAnsi="Arial" w:cs="Arial"/>
                <w:sz w:val="16"/>
                <w:szCs w:val="16"/>
              </w:rPr>
              <w:t xml:space="preserve"> la Subdirección de Gestión Contractual</w:t>
            </w:r>
          </w:p>
        </w:tc>
      </w:tr>
      <w:tr w:rsidR="00084F41" w:rsidRPr="003F5F71" w14:paraId="43F1FD5F" w14:textId="77777777" w:rsidTr="00F20A46">
        <w:trPr>
          <w:trHeight w:val="389"/>
        </w:trPr>
        <w:tc>
          <w:tcPr>
            <w:tcW w:w="817" w:type="dxa"/>
            <w:tcBorders>
              <w:top w:val="nil"/>
              <w:left w:val="nil"/>
              <w:bottom w:val="nil"/>
              <w:right w:val="nil"/>
            </w:tcBorders>
            <w:vAlign w:val="center"/>
            <w:hideMark/>
          </w:tcPr>
          <w:p w14:paraId="24834A17" w14:textId="77777777" w:rsidR="00084F41" w:rsidRPr="009C1F1A" w:rsidRDefault="00084F41" w:rsidP="00F20A46">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BBE176A" w14:textId="77777777" w:rsidR="00084F41" w:rsidRPr="009C1F1A" w:rsidRDefault="00084F41" w:rsidP="00F20A46">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26952D27" w14:textId="77777777" w:rsidR="00084F41" w:rsidRPr="009C1F1A" w:rsidRDefault="00084F41" w:rsidP="00F20A46">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tbl>
    <w:p w14:paraId="0F293BF4" w14:textId="0F6FB6C1" w:rsidR="00127233" w:rsidRPr="0020130D" w:rsidRDefault="00127233" w:rsidP="00084F41"/>
    <w:sectPr w:rsidR="00127233" w:rsidRPr="0020130D"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5FAB" w14:textId="77777777" w:rsidR="003C7049" w:rsidRDefault="003C7049" w:rsidP="004A1847">
      <w:pPr>
        <w:spacing w:after="0" w:line="240" w:lineRule="auto"/>
      </w:pPr>
      <w:r>
        <w:separator/>
      </w:r>
    </w:p>
  </w:endnote>
  <w:endnote w:type="continuationSeparator" w:id="0">
    <w:p w14:paraId="00B52C64" w14:textId="77777777" w:rsidR="003C7049" w:rsidRDefault="003C7049" w:rsidP="004A1847">
      <w:pPr>
        <w:spacing w:after="0" w:line="240" w:lineRule="auto"/>
      </w:pPr>
      <w:r>
        <w:continuationSeparator/>
      </w:r>
    </w:p>
  </w:endnote>
  <w:endnote w:type="continuationNotice" w:id="1">
    <w:p w14:paraId="31634CDE" w14:textId="77777777" w:rsidR="003C7049" w:rsidRDefault="003C7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D2A5" w14:textId="77777777" w:rsidR="003C7049" w:rsidRDefault="003C7049" w:rsidP="004A1847">
      <w:pPr>
        <w:spacing w:after="0" w:line="240" w:lineRule="auto"/>
      </w:pPr>
      <w:r>
        <w:separator/>
      </w:r>
    </w:p>
  </w:footnote>
  <w:footnote w:type="continuationSeparator" w:id="0">
    <w:p w14:paraId="520CB62D" w14:textId="77777777" w:rsidR="003C7049" w:rsidRDefault="003C7049" w:rsidP="004A1847">
      <w:pPr>
        <w:spacing w:after="0" w:line="240" w:lineRule="auto"/>
      </w:pPr>
      <w:r>
        <w:continuationSeparator/>
      </w:r>
    </w:p>
  </w:footnote>
  <w:footnote w:type="continuationNotice" w:id="1">
    <w:p w14:paraId="717FE817" w14:textId="77777777" w:rsidR="003C7049" w:rsidRDefault="003C7049">
      <w:pPr>
        <w:spacing w:after="0" w:line="240" w:lineRule="auto"/>
      </w:pPr>
    </w:p>
  </w:footnote>
  <w:footnote w:id="2">
    <w:p w14:paraId="59401925" w14:textId="7CC340CC" w:rsidR="0020130D" w:rsidRPr="008048B4" w:rsidRDefault="0020130D" w:rsidP="008048B4">
      <w:pPr>
        <w:pStyle w:val="Textonotapie"/>
        <w:ind w:firstLine="709"/>
        <w:contextualSpacing/>
        <w:jc w:val="both"/>
        <w:rPr>
          <w:rFonts w:ascii="Arial" w:hAnsi="Arial" w:cs="Arial"/>
          <w:color w:val="000000"/>
          <w:sz w:val="18"/>
          <w:szCs w:val="18"/>
          <w:lang w:val="es-ES"/>
        </w:rPr>
      </w:pPr>
      <w:r w:rsidRPr="008048B4">
        <w:rPr>
          <w:rStyle w:val="Refdenotaalpie"/>
          <w:rFonts w:ascii="Arial" w:hAnsi="Arial" w:cs="Arial"/>
          <w:color w:val="000000"/>
          <w:sz w:val="18"/>
          <w:szCs w:val="18"/>
        </w:rPr>
        <w:footnoteRef/>
      </w:r>
      <w:r w:rsidRPr="008048B4">
        <w:rPr>
          <w:rFonts w:ascii="Arial" w:hAnsi="Arial" w:cs="Arial"/>
          <w:color w:val="000000"/>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048B4">
        <w:rPr>
          <w:rFonts w:ascii="Arial" w:hAnsi="Arial" w:cs="Arial"/>
          <w:i/>
          <w:iCs/>
          <w:color w:val="000000"/>
          <w:sz w:val="18"/>
          <w:szCs w:val="18"/>
        </w:rPr>
        <w:t xml:space="preserve">ibídem </w:t>
      </w:r>
      <w:r w:rsidRPr="008048B4">
        <w:rPr>
          <w:rFonts w:ascii="Arial" w:hAnsi="Arial" w:cs="Arial"/>
          <w:color w:val="000000"/>
          <w:sz w:val="18"/>
          <w:szCs w:val="18"/>
        </w:rPr>
        <w:t xml:space="preserve">señala, de manera precisa, las funciones de Colombia Compra Eficiente. Concretamente, el numeral 5º de este artículo establece que le corresponde a esta entidad: </w:t>
      </w:r>
      <w:r w:rsidR="00C9658A" w:rsidRPr="008048B4">
        <w:rPr>
          <w:rFonts w:ascii="Arial" w:hAnsi="Arial" w:cs="Arial"/>
          <w:color w:val="000000"/>
          <w:sz w:val="18"/>
          <w:szCs w:val="18"/>
        </w:rPr>
        <w:t>“</w:t>
      </w:r>
      <w:r w:rsidRPr="008048B4">
        <w:rPr>
          <w:rFonts w:ascii="Arial" w:hAnsi="Arial" w:cs="Arial"/>
          <w:color w:val="000000"/>
          <w:sz w:val="18"/>
          <w:szCs w:val="18"/>
        </w:rPr>
        <w:t>[a]bsolver consultas sobre la aplicación de normas de carácter general y expedir circulares externas en materia de compras y contratación pública</w:t>
      </w:r>
      <w:r w:rsidR="00C9658A" w:rsidRPr="008048B4">
        <w:rPr>
          <w:rFonts w:ascii="Arial" w:hAnsi="Arial" w:cs="Arial"/>
          <w:color w:val="000000"/>
          <w:sz w:val="18"/>
          <w:szCs w:val="18"/>
        </w:rPr>
        <w:t>”</w:t>
      </w:r>
      <w:r w:rsidRPr="008048B4">
        <w:rPr>
          <w:rFonts w:ascii="Arial" w:hAnsi="Arial" w:cs="Arial"/>
          <w:color w:val="000000"/>
          <w:sz w:val="18"/>
          <w:szCs w:val="18"/>
        </w:rPr>
        <w:t xml:space="preserve">. Seguidamente, el numeral 8º del artículo 11 ibídem señala que es función de la Subdirección de Gestión Contractual: </w:t>
      </w:r>
      <w:r w:rsidR="00C9658A" w:rsidRPr="008048B4">
        <w:rPr>
          <w:rFonts w:ascii="Arial" w:hAnsi="Arial" w:cs="Arial"/>
          <w:color w:val="000000"/>
          <w:sz w:val="18"/>
          <w:szCs w:val="18"/>
        </w:rPr>
        <w:t>“</w:t>
      </w:r>
      <w:r w:rsidRPr="008048B4">
        <w:rPr>
          <w:rFonts w:ascii="Arial" w:hAnsi="Arial" w:cs="Arial"/>
          <w:color w:val="000000"/>
          <w:sz w:val="18"/>
          <w:szCs w:val="18"/>
        </w:rPr>
        <w:t>[a]bsolver consultas sobre la aplicación de normas de carácter general</w:t>
      </w:r>
      <w:r w:rsidR="00C9658A" w:rsidRPr="008048B4">
        <w:rPr>
          <w:rFonts w:ascii="Arial" w:hAnsi="Arial" w:cs="Arial"/>
          <w:color w:val="000000"/>
          <w:sz w:val="18"/>
          <w:szCs w:val="18"/>
        </w:rPr>
        <w:t>”</w:t>
      </w:r>
      <w:r w:rsidRPr="008048B4">
        <w:rPr>
          <w:rFonts w:ascii="Arial" w:hAnsi="Arial" w:cs="Arial"/>
          <w:color w:val="000000"/>
          <w:sz w:val="18"/>
          <w:szCs w:val="18"/>
        </w:rPr>
        <w:t>.</w:t>
      </w:r>
    </w:p>
  </w:footnote>
  <w:footnote w:id="3">
    <w:p w14:paraId="214CC026" w14:textId="610304C7" w:rsidR="00A4775B" w:rsidRPr="008048B4" w:rsidRDefault="00A4775B" w:rsidP="008048B4">
      <w:pPr>
        <w:pStyle w:val="Textonotapie"/>
        <w:ind w:firstLine="708"/>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w:t>
      </w:r>
      <w:bookmarkStart w:id="3" w:name="_Hlk136330491"/>
      <w:r w:rsidRPr="008048B4">
        <w:rPr>
          <w:rFonts w:ascii="Arial" w:hAnsi="Arial" w:cs="Arial"/>
          <w:sz w:val="18"/>
          <w:szCs w:val="18"/>
        </w:rPr>
        <w:t xml:space="preserve">Estos conceptos pueden ser consultados en la relatoría de Colombia Compra Eficiente en el siguiente enlace:  </w:t>
      </w:r>
      <w:hyperlink r:id="rId1" w:history="1">
        <w:r w:rsidRPr="008048B4">
          <w:rPr>
            <w:rStyle w:val="Hipervnculo"/>
            <w:rFonts w:ascii="Arial" w:hAnsi="Arial" w:cs="Arial"/>
            <w:sz w:val="18"/>
            <w:szCs w:val="18"/>
          </w:rPr>
          <w:t>http://relatoria.colombiacompra.gov.co/busqueda/conceptos</w:t>
        </w:r>
      </w:hyperlink>
      <w:bookmarkEnd w:id="3"/>
    </w:p>
  </w:footnote>
  <w:footnote w:id="4">
    <w:p w14:paraId="04B667D5" w14:textId="77777777" w:rsidR="004518B5" w:rsidRPr="008048B4" w:rsidRDefault="004518B5" w:rsidP="008048B4">
      <w:pPr>
        <w:pStyle w:val="Textonotapie"/>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Consejo de Estado. Sección Segunda. Sentencia del 9 de septiembre de 2021. Expediente No. 05001-23-33-000-2013-01143-01(1317-16). M.P. Dra. Sandra Lisset Ibarra Vélez.</w:t>
      </w:r>
    </w:p>
    <w:p w14:paraId="64B9F9E5" w14:textId="77777777" w:rsidR="004518B5" w:rsidRPr="008048B4" w:rsidRDefault="004518B5" w:rsidP="008048B4">
      <w:pPr>
        <w:pStyle w:val="Textonotapie"/>
        <w:ind w:firstLine="708"/>
        <w:contextualSpacing/>
        <w:jc w:val="both"/>
        <w:rPr>
          <w:rFonts w:ascii="Arial" w:hAnsi="Arial" w:cs="Arial"/>
          <w:sz w:val="18"/>
          <w:szCs w:val="18"/>
        </w:rPr>
      </w:pPr>
    </w:p>
  </w:footnote>
  <w:footnote w:id="5">
    <w:p w14:paraId="4DB4A3C7" w14:textId="77777777" w:rsidR="004518B5" w:rsidRPr="008048B4" w:rsidRDefault="004518B5" w:rsidP="008048B4">
      <w:pPr>
        <w:pStyle w:val="Textonotapie"/>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p w14:paraId="25FBDE1D" w14:textId="77777777" w:rsidR="004518B5" w:rsidRPr="008048B4" w:rsidRDefault="004518B5" w:rsidP="008048B4">
      <w:pPr>
        <w:pStyle w:val="Textonotapie"/>
        <w:ind w:firstLine="708"/>
        <w:contextualSpacing/>
        <w:jc w:val="both"/>
        <w:rPr>
          <w:rFonts w:ascii="Arial" w:hAnsi="Arial" w:cs="Arial"/>
          <w:sz w:val="18"/>
          <w:szCs w:val="18"/>
          <w:lang w:val="es-ES_tradnl"/>
        </w:rPr>
      </w:pPr>
    </w:p>
  </w:footnote>
  <w:footnote w:id="6">
    <w:p w14:paraId="4A84C9B0" w14:textId="77777777" w:rsidR="004518B5" w:rsidRPr="008048B4" w:rsidRDefault="004518B5" w:rsidP="008048B4">
      <w:pPr>
        <w:pStyle w:val="Textonotapie"/>
        <w:ind w:firstLine="708"/>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633A45E5"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7">
    <w:p w14:paraId="4D983DAE"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64830DBB"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12B2B0C1"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El Gobierno nacional reglamentará el mecanismo para realizar la mensualización de que trata el presente artículo.</w:t>
      </w:r>
    </w:p>
    <w:p w14:paraId="6C338C37" w14:textId="77777777" w:rsidR="004518B5" w:rsidRPr="008048B4" w:rsidRDefault="004518B5" w:rsidP="008048B4">
      <w:pPr>
        <w:pStyle w:val="Textonotapie"/>
        <w:ind w:firstLine="709"/>
        <w:contextualSpacing/>
        <w:jc w:val="both"/>
        <w:rPr>
          <w:rFonts w:ascii="Arial" w:hAnsi="Arial" w:cs="Arial"/>
          <w:sz w:val="18"/>
          <w:szCs w:val="18"/>
          <w:lang w:val="pt-BR"/>
        </w:rPr>
      </w:pPr>
      <w:r w:rsidRPr="008048B4">
        <w:rPr>
          <w:rFonts w:ascii="Arial" w:hAnsi="Arial" w:cs="Arial"/>
          <w:sz w:val="18"/>
          <w:szCs w:val="18"/>
          <w:lang w:val="pt-BR"/>
        </w:rPr>
        <w:t>[…]”.</w:t>
      </w:r>
    </w:p>
    <w:p w14:paraId="10970B5A" w14:textId="77777777" w:rsidR="004518B5" w:rsidRPr="008048B4" w:rsidRDefault="004518B5" w:rsidP="008048B4">
      <w:pPr>
        <w:pStyle w:val="Textonotapie"/>
        <w:ind w:firstLine="709"/>
        <w:contextualSpacing/>
        <w:jc w:val="both"/>
        <w:rPr>
          <w:rFonts w:ascii="Arial" w:hAnsi="Arial" w:cs="Arial"/>
          <w:sz w:val="18"/>
          <w:szCs w:val="18"/>
          <w:lang w:val="pt-BR"/>
        </w:rPr>
      </w:pPr>
    </w:p>
  </w:footnote>
  <w:footnote w:id="8">
    <w:p w14:paraId="0D9B286E"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lang w:val="pt-BR"/>
        </w:rPr>
        <w:t xml:space="preserve"> Corte Constitucional. Sentencia C-154 de 1997. </w:t>
      </w:r>
      <w:r w:rsidRPr="008048B4">
        <w:rPr>
          <w:rFonts w:ascii="Arial" w:hAnsi="Arial" w:cs="Arial"/>
          <w:sz w:val="18"/>
          <w:szCs w:val="18"/>
          <w:lang w:val="es-ES"/>
        </w:rPr>
        <w:t>MP: Hernando Herrera Vergara.</w:t>
      </w:r>
    </w:p>
    <w:p w14:paraId="146AC84C"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9">
    <w:p w14:paraId="5F92D842"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Ibíd.</w:t>
      </w:r>
    </w:p>
    <w:p w14:paraId="1F7F5536"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0">
    <w:p w14:paraId="72F4CE68" w14:textId="77777777" w:rsidR="004518B5" w:rsidRPr="008048B4" w:rsidRDefault="004518B5" w:rsidP="008048B4">
      <w:pPr>
        <w:pStyle w:val="Textonotapie"/>
        <w:ind w:firstLine="709"/>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CONSEJO DE ESTADO. Sección Tercera. Subsección C. Sentencia de Unificación del 2 de diciembre de 2013. Exp. 41.719. C.P. Jaime Orlando Santofimio Gamboa.</w:t>
      </w:r>
      <w:r w:rsidRPr="008048B4">
        <w:rPr>
          <w:rFonts w:ascii="Arial" w:hAnsi="Arial" w:cs="Arial"/>
          <w:sz w:val="18"/>
          <w:szCs w:val="18"/>
        </w:rPr>
        <w:t xml:space="preserve"> </w:t>
      </w:r>
    </w:p>
    <w:p w14:paraId="349F6B29"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2DED5A4"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Son también contratos de consultoría los que tienen por objeto la interventoría, asesoría, gerencia de obra o de proyectos, dirección, programación y la ejecución de diseños, planos, anteproyectos y proyectos.</w:t>
      </w:r>
    </w:p>
    <w:p w14:paraId="19B6D4F0"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Ninguna orden del interventor de una obra podrá darse verbalmente. Es obligatorio para el interventor entregar por escrito sus órdenes o sugerencias y ellas deben enmarcarse dentro de los términos del respectivo contrato”.</w:t>
      </w:r>
    </w:p>
    <w:p w14:paraId="1613C54B"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1">
    <w:p w14:paraId="0F849A60"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Así lo dispone el artículo 2.2.1.2.1.4.1. del Decreto 1082 de 2015: “La Entidad Estatal debe señalar en un acto administrativo la justificación para contratar bajo la modalidad de contratación directa, el cual debe contener:</w:t>
      </w:r>
    </w:p>
    <w:p w14:paraId="6D231D54"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1. La causal que invoca para contratar directamente.</w:t>
      </w:r>
    </w:p>
    <w:p w14:paraId="77291227"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2. El objeto del contrato.</w:t>
      </w:r>
    </w:p>
    <w:p w14:paraId="7DAA5F12"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3. El presupuesto para la contratación y las condiciones que exigirá al contratista.</w:t>
      </w:r>
    </w:p>
    <w:p w14:paraId="0C0E2DF4"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4. El lugar en el cual los interesados pueden consultar los estudios y documentos previos.</w:t>
      </w:r>
    </w:p>
    <w:p w14:paraId="17059939"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4CD3E04B" w14:textId="77777777" w:rsidR="004518B5" w:rsidRPr="008048B4" w:rsidRDefault="004518B5" w:rsidP="008048B4">
      <w:pPr>
        <w:pStyle w:val="Textonotapie"/>
        <w:contextualSpacing/>
        <w:jc w:val="both"/>
        <w:rPr>
          <w:rFonts w:ascii="Arial" w:hAnsi="Arial" w:cs="Arial"/>
          <w:sz w:val="18"/>
          <w:szCs w:val="18"/>
        </w:rPr>
      </w:pPr>
    </w:p>
    <w:p w14:paraId="77508D1C"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 xml:space="preserve">La norma expresa: “Art. 14. </w:t>
      </w:r>
      <w:r w:rsidRPr="008048B4">
        <w:rPr>
          <w:rFonts w:ascii="Arial" w:hAnsi="Arial" w:cs="Arial"/>
          <w:sz w:val="18"/>
          <w:szCs w:val="18"/>
        </w:rPr>
        <w:t>P</w:t>
      </w:r>
      <w:r w:rsidRPr="008048B4">
        <w:rPr>
          <w:rFonts w:ascii="Arial" w:hAnsi="Arial" w:cs="Arial"/>
          <w:sz w:val="18"/>
          <w:szCs w:val="18"/>
          <w:lang w:val="es-ES"/>
        </w:rPr>
        <w:t>ara el cumplimiento de los fines de la contratación, las entidades estatales al celebrar un contrato:</w:t>
      </w:r>
    </w:p>
    <w:p w14:paraId="684272A4"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w:t>
      </w:r>
    </w:p>
    <w:p w14:paraId="5834E700"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008EDAA6"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Las entidades estatales podrán pactar estas cláusulas en los contratos de suministro y de prestación de servicios.</w:t>
      </w:r>
    </w:p>
    <w:p w14:paraId="0366B826"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w:t>
      </w:r>
    </w:p>
    <w:p w14:paraId="16B332DF"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3">
    <w:p w14:paraId="73B3424C"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La norma dispone: “La liquidación a que se refiere el presente artículo no será obligatoria en los contratos de prestación de servicios profesionales y de apoyo a la gestión”.</w:t>
      </w:r>
    </w:p>
    <w:p w14:paraId="3F0361C4"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4">
    <w:p w14:paraId="7FCA6781" w14:textId="77777777" w:rsidR="004518B5" w:rsidRPr="008048B4" w:rsidRDefault="004518B5" w:rsidP="008048B4">
      <w:pPr>
        <w:pStyle w:val="Textonotapie"/>
        <w:ind w:firstLine="709"/>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2F1AEC3" w14:textId="77777777" w:rsidR="004518B5" w:rsidRPr="008048B4" w:rsidRDefault="004518B5" w:rsidP="008048B4">
      <w:pPr>
        <w:pStyle w:val="Textonotapie"/>
        <w:ind w:firstLine="709"/>
        <w:contextualSpacing/>
        <w:jc w:val="both"/>
        <w:rPr>
          <w:rFonts w:ascii="Arial" w:hAnsi="Arial" w:cs="Arial"/>
          <w:sz w:val="18"/>
          <w:szCs w:val="18"/>
        </w:rPr>
      </w:pPr>
      <w:r w:rsidRPr="008048B4">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CCA1BB8" w14:textId="77777777" w:rsidR="004518B5" w:rsidRPr="008048B4" w:rsidRDefault="004518B5" w:rsidP="008048B4">
      <w:pPr>
        <w:pStyle w:val="Textonotapie"/>
        <w:ind w:firstLine="709"/>
        <w:contextualSpacing/>
        <w:jc w:val="both"/>
        <w:rPr>
          <w:rFonts w:ascii="Arial" w:hAnsi="Arial" w:cs="Arial"/>
          <w:sz w:val="18"/>
          <w:szCs w:val="18"/>
        </w:rPr>
      </w:pPr>
      <w:r w:rsidRPr="008048B4">
        <w:rPr>
          <w:rFonts w:ascii="Arial" w:hAnsi="Arial" w:cs="Arial"/>
          <w:sz w:val="18"/>
          <w:szCs w:val="18"/>
        </w:rPr>
        <w:t>[…]”.</w:t>
      </w:r>
    </w:p>
    <w:p w14:paraId="50965A7A"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5">
    <w:p w14:paraId="3319E518"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03769D58"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6">
    <w:p w14:paraId="787EE15A"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3698363A"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86524B8"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La Entidad Estatal, para la contratación de trabajos artísticos que solamente puedan en</w:t>
      </w:r>
      <w:r w:rsidRPr="008048B4">
        <w:rPr>
          <w:rFonts w:ascii="Arial" w:hAnsi="Arial" w:cs="Arial"/>
          <w:sz w:val="18"/>
          <w:szCs w:val="18"/>
          <w:lang w:val="es-ES"/>
        </w:rPr>
        <w:softHyphen/>
        <w:t>comendarse a determinadas personas naturales, debe justificar esta situación en los estudios y documentos previos”.</w:t>
      </w:r>
    </w:p>
    <w:p w14:paraId="2B3E4B8F"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7">
    <w:p w14:paraId="0FE586F1"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CONSEJO DE ESTADO. Sección Tercera. Subsección C. Sentencia de Unificación del 2 de diciembre de 2013. Exp. 41.719. C.P. Jaime Orlando Santofimio Gamboa.</w:t>
      </w:r>
    </w:p>
    <w:p w14:paraId="737684CB"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8">
    <w:p w14:paraId="24D15742"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i/>
          <w:iCs/>
          <w:sz w:val="18"/>
          <w:szCs w:val="18"/>
          <w:lang w:val="es-ES"/>
        </w:rPr>
        <w:t>Ibíd</w:t>
      </w:r>
      <w:r w:rsidRPr="008048B4">
        <w:rPr>
          <w:rFonts w:ascii="Arial" w:hAnsi="Arial" w:cs="Arial"/>
          <w:sz w:val="18"/>
          <w:szCs w:val="18"/>
          <w:lang w:val="es-ES"/>
        </w:rPr>
        <w:t>.</w:t>
      </w:r>
    </w:p>
    <w:p w14:paraId="0E0D4E07"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9">
    <w:p w14:paraId="2F772E39"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i/>
          <w:iCs/>
          <w:sz w:val="18"/>
          <w:szCs w:val="18"/>
          <w:lang w:val="es-ES"/>
        </w:rPr>
        <w:t>Ibíd</w:t>
      </w:r>
      <w:r w:rsidRPr="008048B4">
        <w:rPr>
          <w:rFonts w:ascii="Arial" w:hAnsi="Arial" w:cs="Arial"/>
          <w:sz w:val="18"/>
          <w:szCs w:val="18"/>
          <w:lang w:val="es-ES"/>
        </w:rPr>
        <w:t>.</w:t>
      </w:r>
    </w:p>
  </w:footnote>
  <w:footnote w:id="20">
    <w:p w14:paraId="54E4D2B6" w14:textId="77777777" w:rsidR="0020130D" w:rsidRPr="008048B4" w:rsidRDefault="0020130D" w:rsidP="008048B4">
      <w:pPr>
        <w:pStyle w:val="Textonotapie"/>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w:t>
      </w:r>
      <w:bookmarkStart w:id="6" w:name="5"/>
      <w:r w:rsidRPr="008048B4">
        <w:rPr>
          <w:rFonts w:ascii="Arial" w:hAnsi="Arial" w:cs="Arial"/>
          <w:i/>
          <w:iCs/>
          <w:sz w:val="18"/>
          <w:szCs w:val="18"/>
        </w:rPr>
        <w:t>“ARTICULO 5º.</w:t>
      </w:r>
      <w:bookmarkEnd w:id="6"/>
      <w:r w:rsidRPr="008048B4">
        <w:rPr>
          <w:rFonts w:ascii="Arial" w:hAnsi="Arial" w:cs="Arial"/>
          <w:i/>
          <w:iCs/>
          <w:sz w:val="18"/>
          <w:szCs w:val="18"/>
        </w:rPr>
        <w:t xml:space="preserve"> El Estado reconoce, sin discriminación alguna, la primacía de los derechos inalienables de la persona y ampara a la familia como institución básica de la sociedad”</w:t>
      </w:r>
      <w:r w:rsidRPr="008048B4">
        <w:rPr>
          <w:rFonts w:ascii="Arial" w:hAnsi="Arial" w:cs="Arial"/>
          <w:sz w:val="18"/>
          <w:szCs w:val="18"/>
        </w:rPr>
        <w:t>.</w:t>
      </w:r>
    </w:p>
    <w:p w14:paraId="697461C9" w14:textId="77777777" w:rsidR="0020130D" w:rsidRPr="008048B4" w:rsidRDefault="0020130D" w:rsidP="008048B4">
      <w:pPr>
        <w:pStyle w:val="Textonotapie"/>
        <w:ind w:firstLine="708"/>
        <w:contextualSpacing/>
        <w:jc w:val="both"/>
        <w:rPr>
          <w:rFonts w:ascii="Arial" w:hAnsi="Arial" w:cs="Arial"/>
          <w:sz w:val="18"/>
          <w:szCs w:val="18"/>
        </w:rPr>
      </w:pPr>
    </w:p>
  </w:footnote>
  <w:footnote w:id="21">
    <w:p w14:paraId="30D85BC6" w14:textId="77777777" w:rsidR="0020130D" w:rsidRPr="008048B4" w:rsidRDefault="0020130D" w:rsidP="008048B4">
      <w:pPr>
        <w:pStyle w:val="NormalWeb"/>
        <w:spacing w:after="0" w:line="240" w:lineRule="auto"/>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w:t>
      </w:r>
      <w:bookmarkStart w:id="7" w:name="13"/>
      <w:r w:rsidRPr="008048B4">
        <w:rPr>
          <w:rFonts w:ascii="Arial" w:hAnsi="Arial" w:cs="Arial"/>
          <w:i/>
          <w:iCs/>
          <w:sz w:val="18"/>
          <w:szCs w:val="18"/>
        </w:rPr>
        <w:t>“ARTICULO 13.</w:t>
      </w:r>
      <w:bookmarkEnd w:id="7"/>
      <w:r w:rsidRPr="008048B4">
        <w:rPr>
          <w:rFonts w:ascii="Arial" w:hAnsi="Arial" w:cs="Arial"/>
          <w:i/>
          <w:iCs/>
          <w:sz w:val="18"/>
          <w:szCs w:val="18"/>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filosófica.//El Estado promoverá las condiciones para que la igualdad sea real y efectiva y adoptará medidas en favor de grupos discriminados o marginados.//El Estado protegerá especialmente a aquellas personas que por su condición económica, física o mental, se encuentren en circunstancia de debilidad manifiesta y sancionará los abusos o maltratos que contra ellas se cometan”</w:t>
      </w:r>
      <w:r w:rsidRPr="008048B4">
        <w:rPr>
          <w:rFonts w:ascii="Arial" w:hAnsi="Arial" w:cs="Arial"/>
          <w:sz w:val="18"/>
          <w:szCs w:val="18"/>
        </w:rPr>
        <w:t>.</w:t>
      </w:r>
    </w:p>
    <w:p w14:paraId="77458927" w14:textId="77777777" w:rsidR="0020130D" w:rsidRPr="008048B4" w:rsidRDefault="0020130D" w:rsidP="008048B4">
      <w:pPr>
        <w:pStyle w:val="NormalWeb"/>
        <w:spacing w:after="0" w:line="240" w:lineRule="auto"/>
        <w:ind w:firstLine="708"/>
        <w:contextualSpacing/>
        <w:jc w:val="both"/>
        <w:rPr>
          <w:rFonts w:ascii="Arial" w:hAnsi="Arial" w:cs="Arial"/>
          <w:sz w:val="18"/>
          <w:szCs w:val="18"/>
        </w:rPr>
      </w:pPr>
    </w:p>
  </w:footnote>
  <w:footnote w:id="22">
    <w:p w14:paraId="41AB8F49" w14:textId="39F5B306" w:rsidR="0020130D" w:rsidRPr="008048B4" w:rsidRDefault="0020130D" w:rsidP="008048B4">
      <w:pPr>
        <w:pStyle w:val="NormalWeb"/>
        <w:spacing w:after="0" w:line="240" w:lineRule="auto"/>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w:t>
      </w:r>
      <w:bookmarkStart w:id="8" w:name="43"/>
      <w:r w:rsidRPr="008048B4">
        <w:rPr>
          <w:rFonts w:ascii="Arial" w:hAnsi="Arial" w:cs="Arial"/>
          <w:i/>
          <w:iCs/>
          <w:sz w:val="18"/>
          <w:szCs w:val="18"/>
        </w:rPr>
        <w:t>“</w:t>
      </w:r>
      <w:bookmarkEnd w:id="8"/>
      <w:r w:rsidR="00677BE1" w:rsidRPr="008048B4">
        <w:rPr>
          <w:rFonts w:ascii="Arial" w:hAnsi="Arial" w:cs="Arial"/>
          <w:i/>
          <w:iCs/>
          <w:sz w:val="18"/>
          <w:szCs w:val="18"/>
        </w:rPr>
        <w:t>Artículo 47. El Estado adelantará una política de previsión, rehabilitación e integración social para los disminuidos físicos, sensoriales y psíquicos, a quienes se prestará la atención especializada que requieran.</w:t>
      </w:r>
    </w:p>
    <w:p w14:paraId="6DA4AF92" w14:textId="77777777" w:rsidR="0020130D" w:rsidRPr="008048B4" w:rsidRDefault="0020130D" w:rsidP="008048B4">
      <w:pPr>
        <w:pStyle w:val="NormalWeb"/>
        <w:spacing w:after="0" w:line="240" w:lineRule="auto"/>
        <w:ind w:firstLine="708"/>
        <w:contextualSpacing/>
        <w:jc w:val="both"/>
        <w:rPr>
          <w:rFonts w:ascii="Arial" w:hAnsi="Arial" w:cs="Arial"/>
          <w:sz w:val="18"/>
          <w:szCs w:val="18"/>
        </w:rPr>
      </w:pPr>
    </w:p>
  </w:footnote>
  <w:footnote w:id="23">
    <w:p w14:paraId="608D760A" w14:textId="77777777" w:rsidR="00C70FB2" w:rsidRPr="008048B4" w:rsidRDefault="00C70FB2" w:rsidP="008048B4">
      <w:pPr>
        <w:pStyle w:val="Textonotapie"/>
        <w:ind w:firstLine="708"/>
        <w:jc w:val="both"/>
        <w:rPr>
          <w:rFonts w:ascii="Arial" w:hAnsi="Arial" w:cs="Arial"/>
          <w:i/>
          <w:iCs/>
          <w:sz w:val="18"/>
          <w:szCs w:val="18"/>
        </w:rPr>
      </w:pPr>
      <w:r w:rsidRPr="008048B4">
        <w:rPr>
          <w:rStyle w:val="Refdenotaalpie"/>
          <w:rFonts w:ascii="Arial" w:hAnsi="Arial" w:cs="Arial"/>
          <w:i/>
          <w:iCs/>
          <w:sz w:val="18"/>
          <w:szCs w:val="18"/>
        </w:rPr>
        <w:footnoteRef/>
      </w:r>
      <w:r w:rsidRPr="008048B4">
        <w:rPr>
          <w:rFonts w:ascii="Arial" w:hAnsi="Arial" w:cs="Arial"/>
          <w:i/>
          <w:iCs/>
          <w:sz w:val="18"/>
          <w:szCs w:val="18"/>
        </w:rPr>
        <w:t xml:space="preserve"> Artículo 53. El Congreso expedirá el estatuto del trabajo. La ley correspondiente tendrá en cuenta por lo menos los siguientes principios mínimos fundamentales: </w:t>
      </w:r>
    </w:p>
    <w:p w14:paraId="53015D25" w14:textId="77777777" w:rsidR="00C70FB2" w:rsidRPr="008048B4" w:rsidRDefault="00C70FB2" w:rsidP="008048B4">
      <w:pPr>
        <w:pStyle w:val="Textonotapie"/>
        <w:jc w:val="both"/>
        <w:rPr>
          <w:rFonts w:ascii="Arial" w:hAnsi="Arial" w:cs="Arial"/>
          <w:i/>
          <w:iCs/>
          <w:sz w:val="18"/>
          <w:szCs w:val="18"/>
        </w:rPr>
      </w:pPr>
    </w:p>
    <w:p w14:paraId="478E09C7" w14:textId="77777777" w:rsidR="004F3BD9" w:rsidRPr="008048B4" w:rsidRDefault="00C70FB2" w:rsidP="008048B4">
      <w:pPr>
        <w:pStyle w:val="Textonotapie"/>
        <w:ind w:firstLine="708"/>
        <w:jc w:val="both"/>
        <w:rPr>
          <w:rFonts w:ascii="Arial" w:hAnsi="Arial" w:cs="Arial"/>
          <w:i/>
          <w:iCs/>
          <w:sz w:val="18"/>
          <w:szCs w:val="18"/>
        </w:rPr>
      </w:pPr>
      <w:r w:rsidRPr="008048B4">
        <w:rPr>
          <w:rFonts w:ascii="Arial" w:hAnsi="Arial" w:cs="Arial"/>
          <w:i/>
          <w:iCs/>
          <w:sz w:val="18"/>
          <w:szCs w:val="18"/>
        </w:rPr>
        <w:t xml:space="preserve">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w:t>
      </w:r>
    </w:p>
    <w:p w14:paraId="35D1811A" w14:textId="77777777" w:rsidR="003F0A50" w:rsidRPr="008048B4" w:rsidRDefault="003F0A50" w:rsidP="008048B4">
      <w:pPr>
        <w:pStyle w:val="Textonotapie"/>
        <w:ind w:firstLine="708"/>
        <w:jc w:val="both"/>
        <w:rPr>
          <w:rFonts w:ascii="Arial" w:hAnsi="Arial" w:cs="Arial"/>
          <w:i/>
          <w:iCs/>
          <w:sz w:val="18"/>
          <w:szCs w:val="18"/>
        </w:rPr>
      </w:pPr>
    </w:p>
    <w:p w14:paraId="3270E78B" w14:textId="088372A3" w:rsidR="00C70FB2" w:rsidRPr="008048B4" w:rsidRDefault="004F3BD9" w:rsidP="008048B4">
      <w:pPr>
        <w:pStyle w:val="Textonotapie"/>
        <w:ind w:firstLine="708"/>
        <w:jc w:val="both"/>
        <w:rPr>
          <w:rFonts w:ascii="Arial" w:hAnsi="Arial" w:cs="Arial"/>
          <w:i/>
          <w:iCs/>
          <w:sz w:val="18"/>
          <w:szCs w:val="18"/>
        </w:rPr>
      </w:pPr>
      <w:r w:rsidRPr="008048B4">
        <w:rPr>
          <w:rFonts w:ascii="Arial" w:hAnsi="Arial" w:cs="Arial"/>
          <w:i/>
          <w:iCs/>
          <w:sz w:val="18"/>
          <w:szCs w:val="18"/>
        </w:rPr>
        <w:t>E</w:t>
      </w:r>
      <w:r w:rsidR="00C70FB2" w:rsidRPr="008048B4">
        <w:rPr>
          <w:rFonts w:ascii="Arial" w:hAnsi="Arial" w:cs="Arial"/>
          <w:i/>
          <w:iCs/>
          <w:sz w:val="18"/>
          <w:szCs w:val="18"/>
        </w:rPr>
        <w:t xml:space="preserve">l Estado garantiza el derecho al pago oportuno y al reajuste periódico de las pensiones legales. </w:t>
      </w:r>
    </w:p>
    <w:p w14:paraId="1B856635" w14:textId="77777777" w:rsidR="00C70FB2" w:rsidRPr="008048B4" w:rsidRDefault="00C70FB2" w:rsidP="008048B4">
      <w:pPr>
        <w:pStyle w:val="Textonotapie"/>
        <w:ind w:firstLine="708"/>
        <w:jc w:val="both"/>
        <w:rPr>
          <w:rFonts w:ascii="Arial" w:hAnsi="Arial" w:cs="Arial"/>
          <w:i/>
          <w:iCs/>
          <w:sz w:val="18"/>
          <w:szCs w:val="18"/>
        </w:rPr>
      </w:pPr>
      <w:r w:rsidRPr="008048B4">
        <w:rPr>
          <w:rFonts w:ascii="Arial" w:hAnsi="Arial" w:cs="Arial"/>
          <w:i/>
          <w:iCs/>
          <w:sz w:val="18"/>
          <w:szCs w:val="18"/>
        </w:rPr>
        <w:t xml:space="preserve">Los convenios internacionales del trabajo debidamente ratificados, hacen parte de la legislación interna. </w:t>
      </w:r>
    </w:p>
    <w:p w14:paraId="2BF6925B" w14:textId="77777777" w:rsidR="00C70FB2" w:rsidRPr="008048B4" w:rsidRDefault="00C70FB2" w:rsidP="008048B4">
      <w:pPr>
        <w:pStyle w:val="Textonotapie"/>
        <w:jc w:val="both"/>
        <w:rPr>
          <w:rFonts w:ascii="Arial" w:hAnsi="Arial" w:cs="Arial"/>
          <w:i/>
          <w:iCs/>
          <w:sz w:val="18"/>
          <w:szCs w:val="18"/>
        </w:rPr>
      </w:pPr>
    </w:p>
    <w:p w14:paraId="1305A67B" w14:textId="2D596C13" w:rsidR="00C70FB2" w:rsidRPr="008048B4" w:rsidRDefault="00C70FB2"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La ley, los contratos, los acuerdos y convenios de trabajo, no pueden menoscabar la libertad, la dignidad humana ni los derechos de los trabajadores.</w:t>
      </w:r>
    </w:p>
    <w:p w14:paraId="4A511703" w14:textId="77777777" w:rsidR="00C4656C" w:rsidRPr="008048B4" w:rsidRDefault="00C4656C" w:rsidP="008048B4">
      <w:pPr>
        <w:pStyle w:val="Textonotapie"/>
        <w:ind w:firstLine="708"/>
        <w:jc w:val="both"/>
        <w:rPr>
          <w:rFonts w:ascii="Arial" w:hAnsi="Arial" w:cs="Arial"/>
          <w:i/>
          <w:iCs/>
          <w:sz w:val="18"/>
          <w:szCs w:val="18"/>
          <w:lang w:val="es-CO"/>
        </w:rPr>
      </w:pPr>
    </w:p>
  </w:footnote>
  <w:footnote w:id="24">
    <w:p w14:paraId="51A6BD85" w14:textId="23879835" w:rsidR="00C4656C" w:rsidRPr="008048B4" w:rsidRDefault="0003171D"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footnoteRef/>
      </w:r>
      <w:r w:rsidRPr="008048B4">
        <w:rPr>
          <w:rFonts w:ascii="Arial" w:hAnsi="Arial" w:cs="Arial"/>
          <w:i/>
          <w:iCs/>
          <w:sz w:val="18"/>
          <w:szCs w:val="18"/>
          <w:lang w:val="es-CO"/>
        </w:rPr>
        <w:t xml:space="preserve"> </w:t>
      </w:r>
      <w:r w:rsidR="00C4656C" w:rsidRPr="008048B4">
        <w:rPr>
          <w:rFonts w:ascii="Arial" w:hAnsi="Arial" w:cs="Arial"/>
          <w:i/>
          <w:iCs/>
          <w:sz w:val="18"/>
          <w:szCs w:val="18"/>
          <w:lang w:val="es-CO"/>
        </w:rPr>
        <w:t>Artículo 95. La calidad de colombiano enaltece a todos los miembros de la comunidad nacional. Todos están en el deber de engrandecerla y dignificarla. El ejercicio de los derechos y libertades reconocidos en esta Constitución implica responsabilidades</w:t>
      </w:r>
      <w:r w:rsidR="005776E0" w:rsidRPr="008048B4">
        <w:rPr>
          <w:rFonts w:ascii="Arial" w:hAnsi="Arial" w:cs="Arial"/>
          <w:i/>
          <w:iCs/>
          <w:sz w:val="18"/>
          <w:szCs w:val="18"/>
          <w:lang w:val="es-CO"/>
        </w:rPr>
        <w:t>.</w:t>
      </w:r>
    </w:p>
    <w:p w14:paraId="04C16A31" w14:textId="77777777" w:rsidR="00C4656C" w:rsidRPr="008048B4" w:rsidRDefault="00C4656C" w:rsidP="008048B4">
      <w:pPr>
        <w:pStyle w:val="Textonotapie"/>
        <w:ind w:firstLine="708"/>
        <w:jc w:val="both"/>
        <w:rPr>
          <w:rFonts w:ascii="Arial" w:hAnsi="Arial" w:cs="Arial"/>
          <w:i/>
          <w:iCs/>
          <w:sz w:val="18"/>
          <w:szCs w:val="18"/>
          <w:lang w:val="es-CO"/>
        </w:rPr>
      </w:pPr>
    </w:p>
    <w:p w14:paraId="0B13893C"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Toda persona está obligada a cumplir la Constitución y las leyes. </w:t>
      </w:r>
    </w:p>
    <w:p w14:paraId="07847574" w14:textId="77777777" w:rsidR="00C4656C" w:rsidRPr="008048B4" w:rsidRDefault="00C4656C" w:rsidP="008048B4">
      <w:pPr>
        <w:pStyle w:val="Textonotapie"/>
        <w:ind w:firstLine="708"/>
        <w:jc w:val="both"/>
        <w:rPr>
          <w:rFonts w:ascii="Arial" w:hAnsi="Arial" w:cs="Arial"/>
          <w:i/>
          <w:iCs/>
          <w:sz w:val="18"/>
          <w:szCs w:val="18"/>
          <w:lang w:val="es-CO"/>
        </w:rPr>
      </w:pPr>
    </w:p>
    <w:p w14:paraId="1794C8E4" w14:textId="3159F2BA" w:rsidR="00C4656C" w:rsidRPr="008048B4" w:rsidRDefault="005776E0"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S</w:t>
      </w:r>
      <w:r w:rsidR="00C4656C" w:rsidRPr="008048B4">
        <w:rPr>
          <w:rFonts w:ascii="Arial" w:hAnsi="Arial" w:cs="Arial"/>
          <w:i/>
          <w:iCs/>
          <w:sz w:val="18"/>
          <w:szCs w:val="18"/>
          <w:lang w:val="es-CO"/>
        </w:rPr>
        <w:t xml:space="preserve">on deberes de la persona y del ciudadano: </w:t>
      </w:r>
    </w:p>
    <w:p w14:paraId="04E2BBBC"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1. Respetar los derechos ajenos y no abusar de los propios; </w:t>
      </w:r>
    </w:p>
    <w:p w14:paraId="7A2F9AC6"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2. Obrar conforme al principio de solidaridad social, respondiendo con acciones humanitarias ante situaciones que pongan en peligro la vida o la salud de las personas; </w:t>
      </w:r>
    </w:p>
    <w:p w14:paraId="0F42F165"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3. Respetar y apoyar a las autoridades democráticas legítimamente constituidas para mantener la independencia y la integridad nacionales; </w:t>
      </w:r>
    </w:p>
    <w:p w14:paraId="156E3A81"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4. Defender y difundir los derechos humanos como fundamento de la convivencia pacífica; </w:t>
      </w:r>
    </w:p>
    <w:p w14:paraId="6FB97F64"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5. Participar en la vida política, cívica y comunitaria del país; </w:t>
      </w:r>
    </w:p>
    <w:p w14:paraId="2493BB07" w14:textId="75421709"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6. Propender al logro y mantenimiento de la paz; </w:t>
      </w:r>
    </w:p>
    <w:p w14:paraId="064D838E"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7. Colaborar para el buen funcionamiento de la administración de la justicia; </w:t>
      </w:r>
    </w:p>
    <w:p w14:paraId="657F374C"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8. Proteger los recursos culturales y naturales del país y velar por la conservación de un ambiente sano, </w:t>
      </w:r>
    </w:p>
    <w:p w14:paraId="35B4DA63" w14:textId="09F131EC" w:rsidR="0003171D"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9. Contribuir al financiamiento de los gastos e inversiones del Estado dentro de conceptos de justicia y equidad.</w:t>
      </w:r>
    </w:p>
  </w:footnote>
  <w:footnote w:id="25">
    <w:p w14:paraId="5D020A60" w14:textId="77777777" w:rsidR="0020130D" w:rsidRPr="008048B4" w:rsidRDefault="0020130D" w:rsidP="008048B4">
      <w:pPr>
        <w:pStyle w:val="Textonotapie"/>
        <w:ind w:firstLine="708"/>
        <w:contextualSpacing/>
        <w:jc w:val="both"/>
        <w:rPr>
          <w:rFonts w:ascii="Arial" w:hAnsi="Arial" w:cs="Arial"/>
          <w:sz w:val="18"/>
          <w:szCs w:val="18"/>
        </w:rPr>
      </w:pPr>
    </w:p>
    <w:p w14:paraId="3254E8D5" w14:textId="77777777" w:rsidR="0020130D" w:rsidRPr="008048B4" w:rsidRDefault="0020130D" w:rsidP="008048B4">
      <w:pPr>
        <w:pStyle w:val="Textonotapie"/>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Alfonso Ruiz Miguel, "</w:t>
      </w:r>
      <w:r w:rsidRPr="008048B4">
        <w:rPr>
          <w:rFonts w:ascii="Arial" w:hAnsi="Arial" w:cs="Arial"/>
          <w:i/>
          <w:iCs/>
          <w:sz w:val="18"/>
          <w:szCs w:val="18"/>
        </w:rPr>
        <w:t>Discriminación Inversa e Igualdad</w:t>
      </w:r>
      <w:r w:rsidRPr="008048B4">
        <w:rPr>
          <w:rFonts w:ascii="Arial" w:hAnsi="Arial" w:cs="Arial"/>
          <w:sz w:val="18"/>
          <w:szCs w:val="18"/>
        </w:rPr>
        <w:t>", en Amelia Varcárcel (compiladora). El Concepto de Igualdad, Editorial Pablo Iglesias, Madrid, 1994, pp. 77-93.</w:t>
      </w:r>
    </w:p>
  </w:footnote>
  <w:footnote w:id="26">
    <w:p w14:paraId="7E74F2B1" w14:textId="77777777" w:rsidR="0020130D" w:rsidRPr="008048B4" w:rsidRDefault="0020130D" w:rsidP="008048B4">
      <w:pPr>
        <w:pStyle w:val="Textonotapie"/>
        <w:ind w:firstLine="708"/>
        <w:contextualSpacing/>
        <w:jc w:val="both"/>
        <w:rPr>
          <w:rFonts w:ascii="Arial" w:hAnsi="Arial" w:cs="Arial"/>
          <w:sz w:val="18"/>
          <w:szCs w:val="18"/>
          <w:lang w:val="es-ES"/>
        </w:rPr>
      </w:pPr>
    </w:p>
    <w:p w14:paraId="678F5CCB" w14:textId="77777777" w:rsidR="0020130D" w:rsidRPr="008048B4" w:rsidRDefault="0020130D" w:rsidP="008048B4">
      <w:pPr>
        <w:pStyle w:val="Textonotapie"/>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lang w:val="es-ES"/>
        </w:rPr>
        <w:t xml:space="preserve"> Greenwalt Kent. </w:t>
      </w:r>
      <w:r w:rsidRPr="008048B4">
        <w:rPr>
          <w:rFonts w:ascii="Arial" w:hAnsi="Arial" w:cs="Arial"/>
          <w:sz w:val="18"/>
          <w:szCs w:val="18"/>
          <w:lang w:val="en-US"/>
        </w:rPr>
        <w:t>"</w:t>
      </w:r>
      <w:r w:rsidRPr="008048B4">
        <w:rPr>
          <w:rFonts w:ascii="Arial" w:hAnsi="Arial" w:cs="Arial"/>
          <w:i/>
          <w:iCs/>
          <w:sz w:val="18"/>
          <w:szCs w:val="18"/>
          <w:lang w:val="en-US"/>
        </w:rPr>
        <w:t>Discrimination and Reverse Discrimination</w:t>
      </w:r>
      <w:r w:rsidRPr="008048B4">
        <w:rPr>
          <w:rFonts w:ascii="Arial" w:hAnsi="Arial" w:cs="Arial"/>
          <w:sz w:val="18"/>
          <w:szCs w:val="18"/>
          <w:lang w:val="en-US"/>
        </w:rPr>
        <w:t xml:space="preserve">." New York: Alfred A. Knopf. </w:t>
      </w:r>
      <w:r w:rsidRPr="008048B4">
        <w:rPr>
          <w:rFonts w:ascii="Arial" w:hAnsi="Arial" w:cs="Arial"/>
          <w:sz w:val="18"/>
          <w:szCs w:val="18"/>
          <w:lang w:val="en-GB"/>
        </w:rPr>
        <w:t xml:space="preserve">1983. Citado en: Michel Rosenfeld. Affirmative Action Justice. </w:t>
      </w:r>
      <w:r w:rsidRPr="008048B4">
        <w:rPr>
          <w:rFonts w:ascii="Arial" w:hAnsi="Arial" w:cs="Arial"/>
          <w:sz w:val="18"/>
          <w:szCs w:val="18"/>
          <w:lang w:val="en-US"/>
        </w:rPr>
        <w:t xml:space="preserve">A Philosophical and Constitutional Inquiry. </w:t>
      </w:r>
      <w:r w:rsidRPr="008048B4">
        <w:rPr>
          <w:rFonts w:ascii="Arial" w:hAnsi="Arial" w:cs="Arial"/>
          <w:sz w:val="18"/>
          <w:szCs w:val="18"/>
        </w:rPr>
        <w:t>Yale University Press. New York. 1991.</w:t>
      </w:r>
    </w:p>
    <w:p w14:paraId="01E7D88D" w14:textId="77777777" w:rsidR="0020130D" w:rsidRPr="008048B4" w:rsidRDefault="0020130D" w:rsidP="008048B4">
      <w:pPr>
        <w:pStyle w:val="Textonotapie"/>
        <w:ind w:firstLine="708"/>
        <w:contextualSpacing/>
        <w:jc w:val="both"/>
        <w:rPr>
          <w:rFonts w:ascii="Arial" w:hAnsi="Arial" w:cs="Arial"/>
          <w:sz w:val="18"/>
          <w:szCs w:val="18"/>
        </w:rPr>
      </w:pPr>
    </w:p>
  </w:footnote>
  <w:footnote w:id="27">
    <w:p w14:paraId="1520CA4C" w14:textId="05F27567" w:rsidR="007C40BA" w:rsidRPr="008048B4" w:rsidRDefault="007C40BA" w:rsidP="008048B4">
      <w:pPr>
        <w:pStyle w:val="Textonotapie"/>
        <w:ind w:firstLine="708"/>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Artículo 13 de la Constitución Política de 1991.</w:t>
      </w:r>
    </w:p>
  </w:footnote>
  <w:footnote w:id="28">
    <w:p w14:paraId="19D0473E" w14:textId="4FAB6804" w:rsidR="007C40BA" w:rsidRPr="008048B4" w:rsidRDefault="007C40BA" w:rsidP="008048B4">
      <w:pPr>
        <w:pStyle w:val="Textonotapie"/>
        <w:ind w:firstLine="708"/>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Artículo 1 y 95 de la Constitución Política de 1991.</w:t>
      </w:r>
    </w:p>
  </w:footnote>
  <w:footnote w:id="29">
    <w:p w14:paraId="77EC1EDB" w14:textId="043557AC" w:rsidR="008121E5" w:rsidRPr="008048B4" w:rsidRDefault="008121E5" w:rsidP="008048B4">
      <w:pPr>
        <w:pStyle w:val="Textonotapie"/>
        <w:ind w:firstLine="708"/>
        <w:jc w:val="both"/>
        <w:rPr>
          <w:rFonts w:ascii="Arial" w:hAnsi="Arial" w:cs="Arial"/>
          <w:sz w:val="18"/>
          <w:szCs w:val="18"/>
          <w:lang w:val="es-CO"/>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CO"/>
        </w:rPr>
        <w:t xml:space="preserve">Corte Constitucional, </w:t>
      </w:r>
      <w:r w:rsidR="00280A4E" w:rsidRPr="008048B4">
        <w:rPr>
          <w:rFonts w:ascii="Arial" w:hAnsi="Arial" w:cs="Arial"/>
          <w:sz w:val="18"/>
          <w:szCs w:val="18"/>
          <w:lang w:val="es-CO"/>
        </w:rPr>
        <w:t xml:space="preserve">sentencia </w:t>
      </w:r>
      <w:r w:rsidR="009F6462" w:rsidRPr="008048B4">
        <w:rPr>
          <w:rFonts w:ascii="Arial" w:hAnsi="Arial" w:cs="Arial"/>
          <w:sz w:val="18"/>
          <w:szCs w:val="18"/>
          <w:lang w:val="es-CO"/>
        </w:rPr>
        <w:t>de unificación 380 de 3 de noviembre de 2021. Magistrado Ponente Diana Fajardo Rivera.</w:t>
      </w:r>
    </w:p>
  </w:footnote>
  <w:footnote w:id="30">
    <w:p w14:paraId="34F6E1D4" w14:textId="3FC08571" w:rsidR="00F34886" w:rsidRPr="008048B4" w:rsidRDefault="00F34886" w:rsidP="008048B4">
      <w:pPr>
        <w:pStyle w:val="Textonotapie"/>
        <w:ind w:firstLine="708"/>
        <w:jc w:val="both"/>
        <w:rPr>
          <w:rFonts w:ascii="Arial" w:hAnsi="Arial" w:cs="Arial"/>
          <w:sz w:val="18"/>
          <w:szCs w:val="18"/>
          <w:lang w:val="es-CO"/>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CO"/>
        </w:rPr>
        <w:t xml:space="preserve">Ibidem. Al respecto ver también sentencia </w:t>
      </w:r>
      <w:r w:rsidRPr="008048B4">
        <w:rPr>
          <w:rFonts w:ascii="Arial" w:hAnsi="Arial" w:cs="Arial"/>
          <w:sz w:val="18"/>
          <w:szCs w:val="18"/>
          <w:lang w:val="es-ES"/>
        </w:rPr>
        <w:t>C-200 de 2019. M.P. Gloria Stella Ortiz Delgado de la Corte Constitucional</w:t>
      </w:r>
      <w:r w:rsidRPr="008048B4">
        <w:rPr>
          <w:rFonts w:ascii="Arial" w:hAnsi="Arial" w:cs="Arial"/>
          <w:sz w:val="18"/>
          <w:szCs w:val="18"/>
        </w:rPr>
        <w:t>, que indicó que “la estabilidad laboral reforzadacorresponde a una noción amplia que ha sido modificada a lo largo de los años, tanto legal como jurisprudencialmente. (…) Alguno de ellos son: (i) mujeres embarazadas, (ii) algunos empleados prepensionados; (iii) madres cabeza de familia con ciertos vínculos laborales; (iv) sujetos que gozan de fuero sindical; (v) servidores públicos; (vi) trabajadores en situación de discapacidad; (vii) algunos cónyuges o compañeros permanentes de mujeres embarazadas no trabajadoras; (viii) padres cabeza de familia con ciertos vínculos laborales y, para el caso que ocupa a esta Sala, (ix) personas en situación de debilidad manifiesta como consecuencia de afecciones de salud</w:t>
      </w:r>
      <w:r w:rsidR="007B2C1F" w:rsidRPr="008048B4">
        <w:rPr>
          <w:rFonts w:ascii="Arial" w:hAnsi="Arial" w:cs="Arial"/>
          <w:sz w:val="18"/>
          <w:szCs w:val="18"/>
        </w:rPr>
        <w:t>.”.</w:t>
      </w:r>
      <w:r w:rsidRPr="008048B4">
        <w:rPr>
          <w:rFonts w:ascii="Arial" w:hAnsi="Arial" w:cs="Arial"/>
          <w:sz w:val="18"/>
          <w:szCs w:val="18"/>
        </w:rPr>
        <w:t xml:space="preserve"> </w:t>
      </w:r>
    </w:p>
  </w:footnote>
  <w:footnote w:id="31">
    <w:p w14:paraId="79AD1C31" w14:textId="77777777" w:rsidR="008F578B" w:rsidRPr="008048B4" w:rsidRDefault="008F578B" w:rsidP="008F578B">
      <w:pPr>
        <w:pStyle w:val="Textonotapie"/>
        <w:ind w:firstLine="720"/>
        <w:jc w:val="both"/>
        <w:rPr>
          <w:rFonts w:ascii="Arial" w:hAnsi="Arial" w:cs="Arial"/>
          <w:sz w:val="18"/>
          <w:szCs w:val="18"/>
          <w:lang w:val="es-CO"/>
        </w:rPr>
      </w:pPr>
      <w:r w:rsidRPr="008048B4">
        <w:rPr>
          <w:rStyle w:val="Refdenotaalpie"/>
          <w:rFonts w:ascii="Arial" w:hAnsi="Arial" w:cs="Arial"/>
          <w:sz w:val="18"/>
          <w:szCs w:val="18"/>
        </w:rPr>
        <w:footnoteRef/>
      </w:r>
      <w:r w:rsidRPr="008048B4">
        <w:rPr>
          <w:rFonts w:ascii="Arial" w:hAnsi="Arial" w:cs="Arial"/>
          <w:sz w:val="18"/>
          <w:szCs w:val="18"/>
        </w:rPr>
        <w:t xml:space="preserve"> Corte Constitucional. Sentencia T-1210 del 2008 “Desde este panorama, puede concluirse que, aún en el seno del contrato de prestación de servicios, puede predicarse ciertas garantías de la que gozan las relaciones laborales, al cobrar importancia los principios de estabilidad laboral a ciertos sujetos y de primacía de la realidad sobre las formalidades establecidas por las partes del contrato laboral, y en los eventos en que se pueda advertir la desnaturalización del contrato de prestación de servicios”.</w:t>
      </w:r>
    </w:p>
  </w:footnote>
  <w:footnote w:id="32">
    <w:p w14:paraId="011F78D8" w14:textId="77777777" w:rsidR="008F578B" w:rsidRPr="008048B4" w:rsidRDefault="008F578B" w:rsidP="008F578B">
      <w:pPr>
        <w:pStyle w:val="Textonotapie"/>
        <w:ind w:firstLine="720"/>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“En efecto, la Corte Constitucional definió que sin importar el tipo de relación laboral y la naturaleza de la discapacidad, todo trabajador en esta situación tiene derecho a que se le garantice la estabilidad laboral reforzada por estar en una condición de debilidad manifiesta. Por tanto, el empleador podrá únicamente mediante autorización del inspector de trabajo y por una justa causa objetiva desvincular al trabajador que presente una disminución física o psíquica en su organismo.</w:t>
      </w:r>
    </w:p>
    <w:p w14:paraId="2F6B9F75" w14:textId="77777777" w:rsidR="008F578B" w:rsidRPr="008048B4" w:rsidRDefault="008F578B" w:rsidP="008F578B">
      <w:pPr>
        <w:pStyle w:val="Textonotapie"/>
        <w:jc w:val="both"/>
        <w:rPr>
          <w:rFonts w:ascii="Arial" w:hAnsi="Arial" w:cs="Arial"/>
          <w:sz w:val="18"/>
          <w:szCs w:val="18"/>
        </w:rPr>
      </w:pPr>
      <w:r w:rsidRPr="008048B4">
        <w:rPr>
          <w:rFonts w:ascii="Arial" w:hAnsi="Arial" w:cs="Arial"/>
          <w:sz w:val="18"/>
          <w:szCs w:val="18"/>
        </w:rPr>
        <w:t>“(…)</w:t>
      </w:r>
    </w:p>
    <w:p w14:paraId="4ED10CB1" w14:textId="77777777" w:rsidR="008F578B" w:rsidRPr="008048B4" w:rsidRDefault="008F578B" w:rsidP="008F578B">
      <w:pPr>
        <w:pStyle w:val="Textonotapie"/>
        <w:jc w:val="both"/>
        <w:rPr>
          <w:rFonts w:ascii="Arial" w:hAnsi="Arial" w:cs="Arial"/>
          <w:sz w:val="18"/>
          <w:szCs w:val="18"/>
        </w:rPr>
      </w:pPr>
    </w:p>
    <w:p w14:paraId="44E0C8B1" w14:textId="77777777" w:rsidR="008F578B" w:rsidRPr="008048B4" w:rsidRDefault="008F578B" w:rsidP="008F578B">
      <w:pPr>
        <w:pStyle w:val="Textonotapie"/>
        <w:jc w:val="both"/>
        <w:rPr>
          <w:rFonts w:ascii="Arial" w:hAnsi="Arial" w:cs="Arial"/>
          <w:sz w:val="18"/>
          <w:szCs w:val="18"/>
          <w:lang w:val="es-CO"/>
        </w:rPr>
      </w:pPr>
      <w:r w:rsidRPr="008048B4">
        <w:rPr>
          <w:rFonts w:ascii="Arial" w:hAnsi="Arial" w:cs="Arial"/>
          <w:sz w:val="18"/>
          <w:szCs w:val="18"/>
        </w:rPr>
        <w:t>“Ahora bien, la relevancia que tiene el determinar o no la existencia de un contrato realidad tiene como consecuencia las órdenes a impartir en el caso concreto, (i) si se declara el contrato realidad y se configura un despido en razón de la discapacidad, se deberá ordenar el reintegro y se condenará al pago de la indemnización de 180 días de salario; y (ii) si no se demuestra la existencia de un contrato laboral, es necesario probar que: (a) la situación de debilidad manifiesta del accionante requiere la actuación urgente del juez de tutela con el fin de evitar la ocurrencia de un perjuicio irremediable y (b) que sea evidente que la no renovación del contrato fue consecuencia del estado de salud del contratista; cumplidos los requisitos, el juez de tutela proferirá las órdenes que considere necesarias para superar la vulneración”.</w:t>
      </w:r>
    </w:p>
  </w:footnote>
  <w:footnote w:id="33">
    <w:p w14:paraId="7E7FFD1F" w14:textId="77777777" w:rsidR="008F578B" w:rsidRPr="008048B4" w:rsidRDefault="008F578B" w:rsidP="008F578B">
      <w:pPr>
        <w:pStyle w:val="Textonotapie"/>
        <w:jc w:val="both"/>
        <w:rPr>
          <w:rFonts w:ascii="Arial" w:hAnsi="Arial" w:cs="Arial"/>
          <w:sz w:val="18"/>
          <w:szCs w:val="18"/>
        </w:rPr>
      </w:pPr>
    </w:p>
    <w:p w14:paraId="0F1E91C4" w14:textId="77777777" w:rsidR="008F578B" w:rsidRPr="008048B4" w:rsidRDefault="008F578B" w:rsidP="008F578B">
      <w:pPr>
        <w:pStyle w:val="Textonotapie"/>
        <w:ind w:firstLine="720"/>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Corte Constitucional. Sentencia T-490 del 16 de junio de 2010, Magistrado Ponente Jorge Ignacio Pretelt Chaljub: “La Corte conoció de dos casos de despido. Uno de ellos, el relevante para el caso que esta Sala debe resolver, trató sobre una enfermera a quien no le fue renovado su contrato de prestación de  servicios por padecer algunas “limitaciones físicas” que requerían terapias constantes En esta oportunidad, se reiteró la estabilidad laboral reforzada de la que gozan las personas en situación de debilidad manifiesta o indefensión al padecer una afección o alguna enfermedad que afecta su estado de salud, resaltando la importancia del principio de solidaridad, así:</w:t>
      </w:r>
    </w:p>
    <w:p w14:paraId="22CAB74A" w14:textId="77777777" w:rsidR="008F578B" w:rsidRPr="008048B4" w:rsidRDefault="008F578B" w:rsidP="008F578B">
      <w:pPr>
        <w:pStyle w:val="Textonotapie"/>
        <w:jc w:val="both"/>
        <w:rPr>
          <w:rFonts w:ascii="Arial" w:hAnsi="Arial" w:cs="Arial"/>
          <w:sz w:val="18"/>
          <w:szCs w:val="18"/>
        </w:rPr>
      </w:pPr>
    </w:p>
    <w:p w14:paraId="55E6565E" w14:textId="77777777" w:rsidR="008F578B" w:rsidRPr="008048B4" w:rsidRDefault="008F578B" w:rsidP="008F578B">
      <w:pPr>
        <w:pStyle w:val="Textonotapie"/>
        <w:jc w:val="both"/>
        <w:rPr>
          <w:rFonts w:ascii="Arial" w:hAnsi="Arial" w:cs="Arial"/>
          <w:sz w:val="18"/>
          <w:szCs w:val="18"/>
          <w:lang w:val="es-CO"/>
        </w:rPr>
      </w:pPr>
      <w:r w:rsidRPr="008048B4">
        <w:rPr>
          <w:rFonts w:ascii="Arial" w:hAnsi="Arial" w:cs="Arial"/>
          <w:sz w:val="18"/>
          <w:szCs w:val="18"/>
        </w:rPr>
        <w:t xml:space="preserve">“En virtud del principio de solidaridad social es obligación del Estado y de los mismos particulares proteger a quienes están en una condición de debilidad manifiesta y en caso de incumplirse con esa carga, la autoridad competente tiene la facultad de intervenir y disuadir el incumplimiento. Lo anterior por cuanto las normas constitucionales no se interpreten únicamente de manera descriptiva, sino que son mandatos prescriptivos de aplicación inmediata (arts. 13, 23, 29, 43, 44, entre otros) de tal forma que intervienen en las relaciones de los asociados y de estos con el Estado”. </w:t>
      </w:r>
    </w:p>
  </w:footnote>
  <w:footnote w:id="34">
    <w:p w14:paraId="008C2EBE" w14:textId="77777777" w:rsidR="008F578B" w:rsidRPr="008048B4" w:rsidRDefault="008F578B" w:rsidP="008F578B">
      <w:pPr>
        <w:pStyle w:val="Textonotapie"/>
        <w:jc w:val="both"/>
        <w:rPr>
          <w:rFonts w:ascii="Arial" w:hAnsi="Arial" w:cs="Arial"/>
          <w:sz w:val="18"/>
          <w:szCs w:val="18"/>
        </w:rPr>
      </w:pPr>
    </w:p>
    <w:p w14:paraId="1CE9D34B" w14:textId="77777777" w:rsidR="008F578B" w:rsidRPr="008048B4" w:rsidRDefault="008F578B" w:rsidP="008F578B">
      <w:pPr>
        <w:pStyle w:val="Textonotapie"/>
        <w:ind w:firstLine="720"/>
        <w:jc w:val="both"/>
        <w:rPr>
          <w:rFonts w:ascii="Arial" w:hAnsi="Arial" w:cs="Arial"/>
          <w:sz w:val="18"/>
          <w:szCs w:val="18"/>
          <w:lang w:val="es-CO"/>
        </w:rPr>
      </w:pPr>
      <w:r w:rsidRPr="008048B4">
        <w:rPr>
          <w:rStyle w:val="Refdenotaalpie"/>
          <w:rFonts w:ascii="Arial" w:hAnsi="Arial" w:cs="Arial"/>
          <w:sz w:val="18"/>
          <w:szCs w:val="18"/>
        </w:rPr>
        <w:footnoteRef/>
      </w:r>
      <w:r w:rsidRPr="008048B4">
        <w:rPr>
          <w:rFonts w:ascii="Arial" w:hAnsi="Arial" w:cs="Arial"/>
          <w:sz w:val="18"/>
          <w:szCs w:val="18"/>
        </w:rPr>
        <w:t xml:space="preserve"> Corte Constitucional. Sentencia T-988 del 23 de noviembre de 2012. Magistrada Ponente: María Victoria Calle Correa “La naturaleza del vínculo, sin embargo, posee importancia al momento de determinar el alcance del amparo, una vez constatada la violación al derecho a la estabilidad laboral reforzada pues, a manera de ilustración, resulta claro que la terminación de un vínculo de carácter laboral indefinido debe dar lugar al reintegro sin solución de continuidad y, en caso de hallarse plenamente comprobada la actitud discriminatoria del empleador, puede dar lugar a la condena al pago de la indemnización de 180 días de salario. A su turno, cuando la opción productiva es un contrato o una orden de prestación de servicios, el amparo se concreta en declarar la ineficacia de la terminación del mismo, y ordenar su renovación por un período igual al inicialmente pactado. Obviamente, si persiste el estado de debilidad manifiesta del actor por razones de salud, la terminación del nuevo contrato estará sometida a la existencia del permiso de la autoridad del trabajo”. </w:t>
      </w:r>
    </w:p>
  </w:footnote>
  <w:footnote w:id="35">
    <w:p w14:paraId="7F7A6CA0" w14:textId="0D16060C" w:rsidR="00632C29" w:rsidRPr="00632C29" w:rsidRDefault="00632C29" w:rsidP="00E46C20">
      <w:pPr>
        <w:pStyle w:val="Textoindependiente"/>
        <w:spacing w:line="276" w:lineRule="auto"/>
        <w:ind w:left="100" w:right="112" w:firstLine="608"/>
        <w:jc w:val="both"/>
      </w:pPr>
      <w:r>
        <w:rPr>
          <w:rStyle w:val="Refdenotaalpie"/>
        </w:rPr>
        <w:footnoteRef/>
      </w:r>
      <w:r>
        <w:t xml:space="preserve"> La primera postura</w:t>
      </w:r>
      <w:r w:rsidR="00E46C20">
        <w:t xml:space="preserve"> de la </w:t>
      </w:r>
      <w:r w:rsidRPr="00A722CE">
        <w:t>Corte Constitucional en las sentencias T-144 de 2014 y T- 310 de 2015 ordenaron el pago de indemnización y, ii) en las sentencias T-490 de 2010, T-988 de 2012 y T-040 de 2016 se abstuvieron de ordenarla</w:t>
      </w:r>
      <w:r w:rsidR="00E46C2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6076912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171D"/>
    <w:rsid w:val="00035A02"/>
    <w:rsid w:val="00042E26"/>
    <w:rsid w:val="0004374E"/>
    <w:rsid w:val="00043F55"/>
    <w:rsid w:val="00060BA9"/>
    <w:rsid w:val="000704A9"/>
    <w:rsid w:val="00083334"/>
    <w:rsid w:val="00084F41"/>
    <w:rsid w:val="000956CF"/>
    <w:rsid w:val="000A0AF9"/>
    <w:rsid w:val="000A683E"/>
    <w:rsid w:val="000B212B"/>
    <w:rsid w:val="000B3BF5"/>
    <w:rsid w:val="000C0CA1"/>
    <w:rsid w:val="000E03D9"/>
    <w:rsid w:val="000F62F7"/>
    <w:rsid w:val="00102B7E"/>
    <w:rsid w:val="0011595A"/>
    <w:rsid w:val="001220C5"/>
    <w:rsid w:val="001267F7"/>
    <w:rsid w:val="00127233"/>
    <w:rsid w:val="00130999"/>
    <w:rsid w:val="00132AAC"/>
    <w:rsid w:val="0013718B"/>
    <w:rsid w:val="00164D81"/>
    <w:rsid w:val="00172A40"/>
    <w:rsid w:val="001807B2"/>
    <w:rsid w:val="001A1011"/>
    <w:rsid w:val="001A48D0"/>
    <w:rsid w:val="001B54E4"/>
    <w:rsid w:val="001E228F"/>
    <w:rsid w:val="001F5056"/>
    <w:rsid w:val="0020130D"/>
    <w:rsid w:val="002059BB"/>
    <w:rsid w:val="00237821"/>
    <w:rsid w:val="002653C1"/>
    <w:rsid w:val="0026611D"/>
    <w:rsid w:val="002745C1"/>
    <w:rsid w:val="00276BB6"/>
    <w:rsid w:val="00276C5B"/>
    <w:rsid w:val="00280A4E"/>
    <w:rsid w:val="002951A0"/>
    <w:rsid w:val="002A1970"/>
    <w:rsid w:val="002A26E6"/>
    <w:rsid w:val="002A64FD"/>
    <w:rsid w:val="002B6DC8"/>
    <w:rsid w:val="002F0839"/>
    <w:rsid w:val="00301469"/>
    <w:rsid w:val="00306EE1"/>
    <w:rsid w:val="00310B9B"/>
    <w:rsid w:val="00313C34"/>
    <w:rsid w:val="00326C57"/>
    <w:rsid w:val="00340ABD"/>
    <w:rsid w:val="00361163"/>
    <w:rsid w:val="0036461C"/>
    <w:rsid w:val="00367884"/>
    <w:rsid w:val="0037261C"/>
    <w:rsid w:val="0039439C"/>
    <w:rsid w:val="00394DC6"/>
    <w:rsid w:val="003B5A0A"/>
    <w:rsid w:val="003B69E7"/>
    <w:rsid w:val="003C013B"/>
    <w:rsid w:val="003C1F08"/>
    <w:rsid w:val="003C7049"/>
    <w:rsid w:val="003D0F4D"/>
    <w:rsid w:val="003E125B"/>
    <w:rsid w:val="003E5551"/>
    <w:rsid w:val="003F0A50"/>
    <w:rsid w:val="003F58A1"/>
    <w:rsid w:val="003F72E4"/>
    <w:rsid w:val="004008A2"/>
    <w:rsid w:val="0041036D"/>
    <w:rsid w:val="00410DD6"/>
    <w:rsid w:val="004134C9"/>
    <w:rsid w:val="004214E3"/>
    <w:rsid w:val="0043138C"/>
    <w:rsid w:val="004518B5"/>
    <w:rsid w:val="004558EF"/>
    <w:rsid w:val="0045621A"/>
    <w:rsid w:val="00462A59"/>
    <w:rsid w:val="00480CB1"/>
    <w:rsid w:val="00492600"/>
    <w:rsid w:val="00493156"/>
    <w:rsid w:val="0049727E"/>
    <w:rsid w:val="004A1847"/>
    <w:rsid w:val="004B312E"/>
    <w:rsid w:val="004B6B0E"/>
    <w:rsid w:val="004C273E"/>
    <w:rsid w:val="004D25B3"/>
    <w:rsid w:val="004F3BD9"/>
    <w:rsid w:val="004F75E2"/>
    <w:rsid w:val="00511405"/>
    <w:rsid w:val="00526E9D"/>
    <w:rsid w:val="0052752B"/>
    <w:rsid w:val="00547856"/>
    <w:rsid w:val="00547A74"/>
    <w:rsid w:val="00550343"/>
    <w:rsid w:val="005566E8"/>
    <w:rsid w:val="005746AB"/>
    <w:rsid w:val="005776E0"/>
    <w:rsid w:val="0059357F"/>
    <w:rsid w:val="005A0AC0"/>
    <w:rsid w:val="005A1130"/>
    <w:rsid w:val="005C2817"/>
    <w:rsid w:val="005D65C8"/>
    <w:rsid w:val="005E0734"/>
    <w:rsid w:val="005E2EE6"/>
    <w:rsid w:val="005F33A7"/>
    <w:rsid w:val="006028CE"/>
    <w:rsid w:val="00617027"/>
    <w:rsid w:val="0061798B"/>
    <w:rsid w:val="006219F8"/>
    <w:rsid w:val="00625AE7"/>
    <w:rsid w:val="00626F47"/>
    <w:rsid w:val="00632C29"/>
    <w:rsid w:val="00633469"/>
    <w:rsid w:val="00677BE1"/>
    <w:rsid w:val="00677C3C"/>
    <w:rsid w:val="006814CA"/>
    <w:rsid w:val="00681FDB"/>
    <w:rsid w:val="006A3464"/>
    <w:rsid w:val="006A7DAD"/>
    <w:rsid w:val="006C4416"/>
    <w:rsid w:val="006D70BA"/>
    <w:rsid w:val="006E562D"/>
    <w:rsid w:val="0070639D"/>
    <w:rsid w:val="00715387"/>
    <w:rsid w:val="00744D94"/>
    <w:rsid w:val="007554B9"/>
    <w:rsid w:val="007566FE"/>
    <w:rsid w:val="0076726F"/>
    <w:rsid w:val="007700EA"/>
    <w:rsid w:val="0077144B"/>
    <w:rsid w:val="00793403"/>
    <w:rsid w:val="00796935"/>
    <w:rsid w:val="007B2C1F"/>
    <w:rsid w:val="007B2DE7"/>
    <w:rsid w:val="007C0CDF"/>
    <w:rsid w:val="007C40BA"/>
    <w:rsid w:val="007C59BF"/>
    <w:rsid w:val="007D084D"/>
    <w:rsid w:val="007D4763"/>
    <w:rsid w:val="007E2A2F"/>
    <w:rsid w:val="007E5092"/>
    <w:rsid w:val="007F2B7C"/>
    <w:rsid w:val="007F77E5"/>
    <w:rsid w:val="008048B4"/>
    <w:rsid w:val="008070E6"/>
    <w:rsid w:val="00811651"/>
    <w:rsid w:val="008121E5"/>
    <w:rsid w:val="00820F5B"/>
    <w:rsid w:val="00823CDF"/>
    <w:rsid w:val="00830B52"/>
    <w:rsid w:val="00833452"/>
    <w:rsid w:val="0085071A"/>
    <w:rsid w:val="008614E5"/>
    <w:rsid w:val="00864AF8"/>
    <w:rsid w:val="008678EB"/>
    <w:rsid w:val="00875894"/>
    <w:rsid w:val="00881C10"/>
    <w:rsid w:val="00887527"/>
    <w:rsid w:val="00890411"/>
    <w:rsid w:val="008A294B"/>
    <w:rsid w:val="008A4C0C"/>
    <w:rsid w:val="008A5831"/>
    <w:rsid w:val="008D5C70"/>
    <w:rsid w:val="008E1DAA"/>
    <w:rsid w:val="008F2770"/>
    <w:rsid w:val="008F387C"/>
    <w:rsid w:val="008F578B"/>
    <w:rsid w:val="009025AF"/>
    <w:rsid w:val="00904F23"/>
    <w:rsid w:val="00906B3C"/>
    <w:rsid w:val="00913D8C"/>
    <w:rsid w:val="00932288"/>
    <w:rsid w:val="0095342C"/>
    <w:rsid w:val="009553D6"/>
    <w:rsid w:val="009958A8"/>
    <w:rsid w:val="009D4113"/>
    <w:rsid w:val="009F33F2"/>
    <w:rsid w:val="009F6462"/>
    <w:rsid w:val="009F6C77"/>
    <w:rsid w:val="00A07532"/>
    <w:rsid w:val="00A1085C"/>
    <w:rsid w:val="00A309E2"/>
    <w:rsid w:val="00A4775B"/>
    <w:rsid w:val="00A478AC"/>
    <w:rsid w:val="00A7250E"/>
    <w:rsid w:val="00A8066E"/>
    <w:rsid w:val="00A845F8"/>
    <w:rsid w:val="00A84E21"/>
    <w:rsid w:val="00AA4B8A"/>
    <w:rsid w:val="00AA6BF7"/>
    <w:rsid w:val="00AC44DB"/>
    <w:rsid w:val="00AE52CD"/>
    <w:rsid w:val="00AE6C95"/>
    <w:rsid w:val="00B01ED6"/>
    <w:rsid w:val="00B06D09"/>
    <w:rsid w:val="00B1395D"/>
    <w:rsid w:val="00B221C5"/>
    <w:rsid w:val="00B634AD"/>
    <w:rsid w:val="00B6529C"/>
    <w:rsid w:val="00B739B3"/>
    <w:rsid w:val="00B771A9"/>
    <w:rsid w:val="00B809BB"/>
    <w:rsid w:val="00B8248A"/>
    <w:rsid w:val="00BA3FB3"/>
    <w:rsid w:val="00BA584D"/>
    <w:rsid w:val="00BB7726"/>
    <w:rsid w:val="00BE4DDF"/>
    <w:rsid w:val="00BE7124"/>
    <w:rsid w:val="00C02424"/>
    <w:rsid w:val="00C2329E"/>
    <w:rsid w:val="00C27055"/>
    <w:rsid w:val="00C30461"/>
    <w:rsid w:val="00C325C0"/>
    <w:rsid w:val="00C4656C"/>
    <w:rsid w:val="00C70FB2"/>
    <w:rsid w:val="00C754BE"/>
    <w:rsid w:val="00C87572"/>
    <w:rsid w:val="00C9405D"/>
    <w:rsid w:val="00C9658A"/>
    <w:rsid w:val="00CA1225"/>
    <w:rsid w:val="00CB058F"/>
    <w:rsid w:val="00CB2EA7"/>
    <w:rsid w:val="00CC1B26"/>
    <w:rsid w:val="00CD284F"/>
    <w:rsid w:val="00CE1E25"/>
    <w:rsid w:val="00CF23AA"/>
    <w:rsid w:val="00D01921"/>
    <w:rsid w:val="00D02E14"/>
    <w:rsid w:val="00D22C20"/>
    <w:rsid w:val="00D35DEA"/>
    <w:rsid w:val="00D54062"/>
    <w:rsid w:val="00D5424D"/>
    <w:rsid w:val="00D74012"/>
    <w:rsid w:val="00D752B7"/>
    <w:rsid w:val="00D80199"/>
    <w:rsid w:val="00D82DD0"/>
    <w:rsid w:val="00DA1854"/>
    <w:rsid w:val="00DA3593"/>
    <w:rsid w:val="00DB0887"/>
    <w:rsid w:val="00DB72D7"/>
    <w:rsid w:val="00DF1E43"/>
    <w:rsid w:val="00DF41C2"/>
    <w:rsid w:val="00E14416"/>
    <w:rsid w:val="00E20894"/>
    <w:rsid w:val="00E21A07"/>
    <w:rsid w:val="00E26B7C"/>
    <w:rsid w:val="00E30DDD"/>
    <w:rsid w:val="00E452F2"/>
    <w:rsid w:val="00E46C20"/>
    <w:rsid w:val="00E56F35"/>
    <w:rsid w:val="00E836ED"/>
    <w:rsid w:val="00EA3003"/>
    <w:rsid w:val="00EB3C91"/>
    <w:rsid w:val="00EB66DA"/>
    <w:rsid w:val="00ED4551"/>
    <w:rsid w:val="00EE4434"/>
    <w:rsid w:val="00EE55C0"/>
    <w:rsid w:val="00EF50C5"/>
    <w:rsid w:val="00F241C9"/>
    <w:rsid w:val="00F34886"/>
    <w:rsid w:val="00F605F2"/>
    <w:rsid w:val="00F73C24"/>
    <w:rsid w:val="00F73DB5"/>
    <w:rsid w:val="00F76AFC"/>
    <w:rsid w:val="00F807B2"/>
    <w:rsid w:val="00F8319B"/>
    <w:rsid w:val="00FA5516"/>
    <w:rsid w:val="00FB080F"/>
    <w:rsid w:val="00FC162C"/>
    <w:rsid w:val="00FD0C72"/>
    <w:rsid w:val="00FD3853"/>
    <w:rsid w:val="00FD4159"/>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20130D"/>
    <w:rPr>
      <w:rFonts w:ascii="Times New Roman" w:hAnsi="Times New Roman" w:cs="Times New Roman"/>
      <w:sz w:val="24"/>
      <w:szCs w:val="24"/>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0130D"/>
    <w:rPr>
      <w:rFonts w:ascii="Geomanist Light" w:hAnsi="Geomanist Light"/>
      <w:lang w:val="es-ES"/>
    </w:rPr>
  </w:style>
  <w:style w:type="paragraph" w:customStyle="1" w:styleId="Appelnotedebasde">
    <w:name w:val="Appel note de bas de..."/>
    <w:basedOn w:val="Normal"/>
    <w:link w:val="Refdenotaalpie"/>
    <w:uiPriority w:val="99"/>
    <w:rsid w:val="0020130D"/>
    <w:pPr>
      <w:spacing w:line="240" w:lineRule="exact"/>
    </w:pPr>
    <w:rPr>
      <w:vertAlign w:val="superscript"/>
    </w:rPr>
  </w:style>
  <w:style w:type="table" w:customStyle="1" w:styleId="Tablaconcuadrcula1">
    <w:name w:val="Tabla con cuadrícula1"/>
    <w:basedOn w:val="Tablanormal"/>
    <w:uiPriority w:val="59"/>
    <w:rsid w:val="002013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0130D"/>
    <w:rPr>
      <w:color w:val="0563C1" w:themeColor="hyperlink"/>
      <w:u w:val="single"/>
    </w:rPr>
  </w:style>
  <w:style w:type="paragraph" w:styleId="Textoindependiente">
    <w:name w:val="Body Text"/>
    <w:basedOn w:val="Normal"/>
    <w:link w:val="TextoindependienteCar"/>
    <w:uiPriority w:val="1"/>
    <w:qFormat/>
    <w:rsid w:val="0052752B"/>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2752B"/>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19953">
      <w:bodyDiv w:val="1"/>
      <w:marLeft w:val="0"/>
      <w:marRight w:val="0"/>
      <w:marTop w:val="0"/>
      <w:marBottom w:val="0"/>
      <w:divBdr>
        <w:top w:val="none" w:sz="0" w:space="0" w:color="auto"/>
        <w:left w:val="none" w:sz="0" w:space="0" w:color="auto"/>
        <w:bottom w:val="none" w:sz="0" w:space="0" w:color="auto"/>
        <w:right w:val="none" w:sz="0" w:space="0" w:color="auto"/>
      </w:divBdr>
    </w:div>
    <w:div w:id="1227372824">
      <w:bodyDiv w:val="1"/>
      <w:marLeft w:val="0"/>
      <w:marRight w:val="0"/>
      <w:marTop w:val="0"/>
      <w:marBottom w:val="0"/>
      <w:divBdr>
        <w:top w:val="none" w:sz="0" w:space="0" w:color="auto"/>
        <w:left w:val="none" w:sz="0" w:space="0" w:color="auto"/>
        <w:bottom w:val="none" w:sz="0" w:space="0" w:color="auto"/>
        <w:right w:val="none" w:sz="0" w:space="0" w:color="auto"/>
      </w:divBdr>
    </w:div>
    <w:div w:id="1337802154">
      <w:bodyDiv w:val="1"/>
      <w:marLeft w:val="0"/>
      <w:marRight w:val="0"/>
      <w:marTop w:val="0"/>
      <w:marBottom w:val="0"/>
      <w:divBdr>
        <w:top w:val="none" w:sz="0" w:space="0" w:color="auto"/>
        <w:left w:val="none" w:sz="0" w:space="0" w:color="auto"/>
        <w:bottom w:val="none" w:sz="0" w:space="0" w:color="auto"/>
        <w:right w:val="none" w:sz="0" w:space="0" w:color="auto"/>
      </w:divBdr>
    </w:div>
    <w:div w:id="1421101015">
      <w:bodyDiv w:val="1"/>
      <w:marLeft w:val="0"/>
      <w:marRight w:val="0"/>
      <w:marTop w:val="0"/>
      <w:marBottom w:val="0"/>
      <w:divBdr>
        <w:top w:val="none" w:sz="0" w:space="0" w:color="auto"/>
        <w:left w:val="none" w:sz="0" w:space="0" w:color="auto"/>
        <w:bottom w:val="none" w:sz="0" w:space="0" w:color="auto"/>
        <w:right w:val="none" w:sz="0" w:space="0" w:color="auto"/>
      </w:divBdr>
    </w:div>
    <w:div w:id="21322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4DEE6246-F5EC-4447-9E15-0AE1B65F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18</Pages>
  <Words>5908</Words>
  <Characters>32500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ANCP-SGC</cp:lastModifiedBy>
  <cp:revision>4</cp:revision>
  <dcterms:created xsi:type="dcterms:W3CDTF">2023-06-02T16:45:00Z</dcterms:created>
  <dcterms:modified xsi:type="dcterms:W3CDTF">2023-06-06T16:09:00Z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