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5F8C" w14:textId="77777777" w:rsidR="004507D3" w:rsidRDefault="004507D3" w:rsidP="00765111">
      <w:pPr>
        <w:spacing w:after="0"/>
        <w:rPr>
          <w:rFonts w:ascii="Arial" w:eastAsia="Geomanist Light" w:hAnsi="Arial" w:cs="Arial"/>
          <w:color w:val="000000" w:themeColor="text1"/>
          <w:lang w:val="es-MX"/>
        </w:rPr>
      </w:pPr>
    </w:p>
    <w:p w14:paraId="3FA7D9F9" w14:textId="54E64AF4" w:rsidR="004507D3" w:rsidRPr="0022471D" w:rsidRDefault="004507D3" w:rsidP="0022471D">
      <w:pPr>
        <w:spacing w:after="0" w:line="240" w:lineRule="auto"/>
        <w:jc w:val="both"/>
        <w:rPr>
          <w:rFonts w:ascii="Arial" w:eastAsia="Times New Roman" w:hAnsi="Arial" w:cs="Arial"/>
          <w:b/>
          <w:bCs/>
          <w:color w:val="000000" w:themeColor="text1"/>
          <w:szCs w:val="24"/>
          <w:lang w:val="es-ES_tradnl" w:eastAsia="es-ES_tradnl"/>
        </w:rPr>
      </w:pPr>
      <w:r w:rsidRPr="0022471D">
        <w:rPr>
          <w:rFonts w:ascii="Arial" w:eastAsia="Times New Roman" w:hAnsi="Arial" w:cs="Arial"/>
          <w:b/>
          <w:bCs/>
          <w:color w:val="000000" w:themeColor="text1"/>
          <w:szCs w:val="24"/>
          <w:lang w:val="es-ES_tradnl" w:eastAsia="es-ES_tradnl"/>
        </w:rPr>
        <w:t>ESQUEMAS ASOCIATIVOS TERRITORIALES – Definición – Entidades territoriales – Personas jurídicas – Capacidad contractual</w:t>
      </w:r>
    </w:p>
    <w:p w14:paraId="7070BF4E" w14:textId="77777777" w:rsidR="004507D3" w:rsidRDefault="004507D3" w:rsidP="00765111">
      <w:pPr>
        <w:spacing w:after="0"/>
        <w:rPr>
          <w:rFonts w:ascii="Arial" w:eastAsia="Geomanist Light" w:hAnsi="Arial" w:cs="Arial"/>
          <w:color w:val="000000" w:themeColor="text1"/>
          <w:lang w:val="es-MX"/>
        </w:rPr>
      </w:pPr>
    </w:p>
    <w:p w14:paraId="7DA550A9" w14:textId="6FC18857" w:rsidR="004507D3" w:rsidRPr="0022471D" w:rsidRDefault="00D868EC" w:rsidP="0022471D">
      <w:pPr>
        <w:spacing w:after="0" w:line="240" w:lineRule="auto"/>
        <w:jc w:val="both"/>
        <w:rPr>
          <w:rFonts w:ascii="Arial" w:hAnsi="Arial" w:cs="Arial"/>
          <w:color w:val="000000" w:themeColor="text1"/>
          <w:sz w:val="20"/>
          <w:szCs w:val="20"/>
          <w:bdr w:val="none" w:sz="0" w:space="0" w:color="auto" w:frame="1"/>
          <w:lang w:val="es-ES_tradnl" w:eastAsia="es-MX"/>
        </w:rPr>
      </w:pPr>
      <w:r w:rsidRPr="0022471D">
        <w:rPr>
          <w:rFonts w:ascii="Arial" w:hAnsi="Arial" w:cs="Arial"/>
          <w:color w:val="000000" w:themeColor="text1"/>
          <w:sz w:val="20"/>
          <w:szCs w:val="20"/>
          <w:bdr w:val="none" w:sz="0" w:space="0" w:color="auto" w:frame="1"/>
          <w:lang w:val="es-ES_tradnl" w:eastAsia="es-MX"/>
        </w:rPr>
        <w:t>El artículo 286 de la Constitución Política establece que “Son entidades territoriales los departamentos, los distritos, los municipios y los territorios indígenas”. Además, dispone que “La ley podrá darles el carácter de entidades territoriales a las regiones y provincias que se constituyan en los términos de la Constitución y de la ley”. En desarrollo de este precepto normativo, la Ley 1454 de 2011, “por la cual se dictan normas orgánicas sobre ordenamiento territorial y se modifican otras disposiciones”, regula los denominados esquemas asociativos territoriales, como mecanismos de cooperación entre aquellas entidades. En tal sentido, el artículo 10 de dicha Ley señala que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p w14:paraId="1E9C6EBE" w14:textId="77777777" w:rsidR="004507D3" w:rsidRDefault="004507D3" w:rsidP="00765111">
      <w:pPr>
        <w:spacing w:after="0"/>
        <w:rPr>
          <w:rFonts w:ascii="Arial" w:eastAsia="Geomanist Light" w:hAnsi="Arial" w:cs="Arial"/>
          <w:color w:val="000000" w:themeColor="text1"/>
          <w:lang w:val="es-MX"/>
        </w:rPr>
      </w:pPr>
    </w:p>
    <w:p w14:paraId="2625A523" w14:textId="2C7575AA" w:rsidR="004507D3" w:rsidRPr="0022471D" w:rsidRDefault="004507D3" w:rsidP="0022471D">
      <w:pPr>
        <w:spacing w:after="0" w:line="240" w:lineRule="auto"/>
        <w:jc w:val="both"/>
        <w:rPr>
          <w:rFonts w:ascii="Arial" w:eastAsia="Times New Roman" w:hAnsi="Arial" w:cs="Arial"/>
          <w:b/>
          <w:bCs/>
          <w:color w:val="000000" w:themeColor="text1"/>
          <w:szCs w:val="24"/>
          <w:lang w:val="es-ES_tradnl" w:eastAsia="es-ES_tradnl"/>
        </w:rPr>
      </w:pPr>
      <w:r w:rsidRPr="0022471D">
        <w:rPr>
          <w:rFonts w:ascii="Arial" w:eastAsia="Times New Roman" w:hAnsi="Arial" w:cs="Arial"/>
          <w:b/>
          <w:bCs/>
          <w:color w:val="000000" w:themeColor="text1"/>
          <w:szCs w:val="24"/>
          <w:lang w:val="es-ES_tradnl" w:eastAsia="es-ES_tradnl"/>
        </w:rPr>
        <w:t>PROCEDIMIENTOS CONTRACTUALES – EGCAP – Esquemas asociativos territoriales – Fundamento</w:t>
      </w:r>
    </w:p>
    <w:p w14:paraId="12CFA496" w14:textId="77777777" w:rsidR="004507D3" w:rsidRDefault="004507D3" w:rsidP="00765111">
      <w:pPr>
        <w:spacing w:after="0"/>
        <w:rPr>
          <w:rFonts w:ascii="Arial" w:eastAsia="Geomanist Light" w:hAnsi="Arial" w:cs="Arial"/>
          <w:color w:val="000000" w:themeColor="text1"/>
          <w:lang w:val="es-MX"/>
        </w:rPr>
      </w:pPr>
    </w:p>
    <w:p w14:paraId="42E6CD00" w14:textId="4B4E610D" w:rsidR="004507D3" w:rsidRPr="0022471D" w:rsidRDefault="0022471D" w:rsidP="0022471D">
      <w:pPr>
        <w:spacing w:after="0" w:line="240" w:lineRule="auto"/>
        <w:jc w:val="both"/>
        <w:rPr>
          <w:rFonts w:ascii="Arial" w:hAnsi="Arial" w:cs="Arial"/>
          <w:color w:val="000000" w:themeColor="text1"/>
          <w:sz w:val="20"/>
          <w:szCs w:val="20"/>
          <w:bdr w:val="none" w:sz="0" w:space="0" w:color="auto" w:frame="1"/>
          <w:lang w:val="es-ES_tradnl" w:eastAsia="es-MX"/>
        </w:rPr>
      </w:pPr>
      <w:r>
        <w:rPr>
          <w:rFonts w:ascii="Arial" w:hAnsi="Arial" w:cs="Arial"/>
          <w:color w:val="000000" w:themeColor="text1"/>
          <w:sz w:val="20"/>
          <w:szCs w:val="20"/>
          <w:bdr w:val="none" w:sz="0" w:space="0" w:color="auto" w:frame="1"/>
          <w:lang w:val="es-ES_tradnl" w:eastAsia="es-MX"/>
        </w:rPr>
        <w:t xml:space="preserve">[…] </w:t>
      </w:r>
      <w:r w:rsidR="00F67B3A" w:rsidRPr="0022471D">
        <w:rPr>
          <w:rFonts w:ascii="Arial" w:hAnsi="Arial" w:cs="Arial"/>
          <w:color w:val="000000" w:themeColor="text1"/>
          <w:sz w:val="20"/>
          <w:szCs w:val="20"/>
          <w:bdr w:val="none" w:sz="0" w:space="0" w:color="auto" w:frame="1"/>
          <w:lang w:val="es-ES_tradnl" w:eastAsia="es-MX"/>
        </w:rPr>
        <w:t xml:space="preserve">el régimen contractual de los esquemas asociativos territoriales es el Estatuto General de Contratación de la Administración Pública –en adelante EGCAP–. Lo anterior se fundamenta en lo previsto en el numeral 1 del artículo 2 de la Ley 80 de 1993, que define como entidades estatales, sujetas a dicho Estatuto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Así las cosas, el EGCAP establece que las personas jurídicas en las que el Estado tenga participación mayoritaria –como sucede, precisamente, en los esquemas asociativos territoriales– son entidades estatales, para efectos contractuales, razón por la cual se someten a dicho Estatuto.  </w:t>
      </w:r>
    </w:p>
    <w:p w14:paraId="086F534D" w14:textId="77777777" w:rsidR="004507D3" w:rsidRDefault="004507D3" w:rsidP="00765111">
      <w:pPr>
        <w:spacing w:after="0"/>
        <w:rPr>
          <w:rFonts w:ascii="Arial" w:eastAsia="Geomanist Light" w:hAnsi="Arial" w:cs="Arial"/>
          <w:color w:val="000000" w:themeColor="text1"/>
          <w:lang w:val="es-MX"/>
        </w:rPr>
      </w:pPr>
    </w:p>
    <w:p w14:paraId="7571FC0C" w14:textId="77777777" w:rsidR="004507D3" w:rsidRDefault="004507D3" w:rsidP="00765111">
      <w:pPr>
        <w:spacing w:after="0"/>
        <w:rPr>
          <w:rFonts w:ascii="Arial" w:eastAsia="Geomanist Light" w:hAnsi="Arial" w:cs="Arial"/>
          <w:color w:val="000000" w:themeColor="text1"/>
          <w:lang w:val="es-MX"/>
        </w:rPr>
      </w:pPr>
    </w:p>
    <w:p w14:paraId="52FFE6FF" w14:textId="23EF56D9" w:rsidR="004507D3" w:rsidRPr="0022471D" w:rsidRDefault="004507D3" w:rsidP="0022471D">
      <w:pPr>
        <w:spacing w:after="0" w:line="240" w:lineRule="auto"/>
        <w:jc w:val="both"/>
        <w:rPr>
          <w:rFonts w:ascii="Arial" w:eastAsia="Times New Roman" w:hAnsi="Arial" w:cs="Arial"/>
          <w:b/>
          <w:bCs/>
          <w:color w:val="000000" w:themeColor="text1"/>
          <w:szCs w:val="24"/>
          <w:lang w:val="es-ES_tradnl" w:eastAsia="es-ES_tradnl"/>
        </w:rPr>
      </w:pPr>
      <w:r w:rsidRPr="0022471D">
        <w:rPr>
          <w:rFonts w:ascii="Arial" w:eastAsia="Times New Roman" w:hAnsi="Arial" w:cs="Arial"/>
          <w:b/>
          <w:bCs/>
          <w:color w:val="000000" w:themeColor="text1"/>
          <w:szCs w:val="24"/>
          <w:lang w:val="es-ES_tradnl" w:eastAsia="es-ES_tradnl"/>
        </w:rPr>
        <w:t>SECOP II – Plataforma transaccional – Esquemas asociativos territoriales – Obligación</w:t>
      </w:r>
    </w:p>
    <w:p w14:paraId="0CCA412C" w14:textId="77777777" w:rsidR="004507D3" w:rsidRDefault="004507D3" w:rsidP="00765111">
      <w:pPr>
        <w:spacing w:after="0"/>
        <w:rPr>
          <w:rFonts w:ascii="Arial" w:eastAsia="Geomanist Light" w:hAnsi="Arial" w:cs="Arial"/>
          <w:color w:val="000000" w:themeColor="text1"/>
          <w:lang w:val="es-MX"/>
        </w:rPr>
      </w:pPr>
    </w:p>
    <w:p w14:paraId="4198E5EB" w14:textId="231FB09D" w:rsidR="004507D3" w:rsidRPr="0022471D" w:rsidRDefault="0022471D" w:rsidP="0022471D">
      <w:pPr>
        <w:spacing w:after="0" w:line="240" w:lineRule="auto"/>
        <w:jc w:val="both"/>
        <w:rPr>
          <w:rFonts w:ascii="Arial" w:hAnsi="Arial" w:cs="Arial"/>
          <w:color w:val="000000" w:themeColor="text1"/>
          <w:sz w:val="20"/>
          <w:szCs w:val="20"/>
          <w:bdr w:val="none" w:sz="0" w:space="0" w:color="auto" w:frame="1"/>
          <w:lang w:val="es-ES_tradnl" w:eastAsia="es-MX"/>
        </w:rPr>
      </w:pPr>
      <w:r w:rsidRPr="0022471D">
        <w:rPr>
          <w:rFonts w:ascii="Arial" w:hAnsi="Arial" w:cs="Arial"/>
          <w:color w:val="000000" w:themeColor="text1"/>
          <w:sz w:val="20"/>
          <w:szCs w:val="20"/>
          <w:bdr w:val="none" w:sz="0" w:space="0" w:color="auto" w:frame="1"/>
          <w:lang w:val="es-ES_tradnl" w:eastAsia="es-MX"/>
        </w:rPr>
        <w:t>El principio de publicidad impone a las autoridades el deber de dar a conocer sus actos, contratos y decisiones, para que se divulguen y eventualmente se controlen dichas actuaciones. Es por eso que,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 . Esto a su vez se encuentra reglamentado por el artículo 2.2.1.1.1.7.1 de Decreto 1082 de 2015, noma que indica la obligación de “[…] publicar en el Secop los Documentos del Proceso y los actos administrativos del Proceso de Contratación, dentro de los tres (3) días siguientes a su expedición</w:t>
      </w:r>
    </w:p>
    <w:p w14:paraId="7C6E5CC8" w14:textId="77777777" w:rsidR="004507D3" w:rsidRDefault="004507D3" w:rsidP="00765111">
      <w:pPr>
        <w:spacing w:after="0"/>
        <w:rPr>
          <w:rFonts w:ascii="Arial" w:eastAsia="Geomanist Light" w:hAnsi="Arial" w:cs="Arial"/>
          <w:color w:val="000000" w:themeColor="text1"/>
          <w:lang w:val="es-MX"/>
        </w:rPr>
      </w:pPr>
    </w:p>
    <w:p w14:paraId="2B829383" w14:textId="77777777" w:rsidR="0022471D" w:rsidRDefault="0022471D" w:rsidP="00765111">
      <w:pPr>
        <w:spacing w:after="0"/>
        <w:rPr>
          <w:rFonts w:ascii="Arial" w:eastAsia="Geomanist Light" w:hAnsi="Arial" w:cs="Arial"/>
          <w:color w:val="000000" w:themeColor="text1"/>
          <w:lang w:val="es-MX"/>
        </w:rPr>
      </w:pPr>
    </w:p>
    <w:p w14:paraId="6F19B259" w14:textId="77777777" w:rsidR="0022471D" w:rsidRDefault="0022471D" w:rsidP="00765111">
      <w:pPr>
        <w:spacing w:after="0"/>
        <w:rPr>
          <w:rFonts w:ascii="Arial" w:eastAsia="Geomanist Light" w:hAnsi="Arial" w:cs="Arial"/>
          <w:color w:val="000000" w:themeColor="text1"/>
          <w:lang w:val="es-MX"/>
        </w:rPr>
      </w:pPr>
    </w:p>
    <w:p w14:paraId="3A84E54B" w14:textId="77777777" w:rsidR="0022471D" w:rsidRDefault="0022471D" w:rsidP="00765111">
      <w:pPr>
        <w:spacing w:after="0"/>
        <w:rPr>
          <w:rFonts w:ascii="Arial" w:eastAsia="Geomanist Light" w:hAnsi="Arial" w:cs="Arial"/>
          <w:color w:val="000000" w:themeColor="text1"/>
          <w:lang w:val="es-MX"/>
        </w:rPr>
      </w:pPr>
    </w:p>
    <w:p w14:paraId="4682A366" w14:textId="77777777" w:rsidR="004507D3" w:rsidRDefault="004507D3" w:rsidP="00765111">
      <w:pPr>
        <w:spacing w:after="0"/>
        <w:rPr>
          <w:rFonts w:ascii="Arial" w:eastAsia="Geomanist Light" w:hAnsi="Arial" w:cs="Arial"/>
          <w:color w:val="000000" w:themeColor="text1"/>
          <w:lang w:val="es-MX"/>
        </w:rPr>
      </w:pPr>
    </w:p>
    <w:p w14:paraId="0B1D17E7" w14:textId="7659D75F" w:rsidR="001A1011" w:rsidRDefault="00814A57" w:rsidP="00E57943">
      <w:pPr>
        <w:spacing w:after="0" w:line="240" w:lineRule="auto"/>
        <w:jc w:val="right"/>
        <w:rPr>
          <w:rFonts w:ascii="Geomanist Light" w:hAnsi="Geomanist Light"/>
          <w:b/>
          <w:color w:val="404040" w:themeColor="text1" w:themeTint="BF"/>
          <w:lang w:val="es-ES"/>
        </w:rPr>
      </w:pPr>
      <w:bookmarkStart w:id="0" w:name="_Hlk34951122"/>
      <w:r w:rsidRPr="00814A57">
        <w:rPr>
          <w:rFonts w:ascii="Geomanist Light" w:hAnsi="Geomanist Light"/>
          <w:b/>
          <w:noProof/>
          <w:color w:val="404040" w:themeColor="text1" w:themeTint="BF"/>
          <w:lang w:val="es-ES"/>
        </w:rPr>
        <w:drawing>
          <wp:inline distT="0" distB="0" distL="0" distR="0" wp14:anchorId="715D5614" wp14:editId="0C26D340">
            <wp:extent cx="3481754" cy="749935"/>
            <wp:effectExtent l="0" t="0" r="4445" b="0"/>
            <wp:docPr id="833175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3020" cy="752362"/>
                    </a:xfrm>
                    <a:prstGeom prst="rect">
                      <a:avLst/>
                    </a:prstGeom>
                    <a:noFill/>
                    <a:ln>
                      <a:noFill/>
                    </a:ln>
                  </pic:spPr>
                </pic:pic>
              </a:graphicData>
            </a:graphic>
          </wp:inline>
        </w:drawing>
      </w:r>
    </w:p>
    <w:p w14:paraId="04A9E1DA" w14:textId="77777777" w:rsidR="00EC7B10" w:rsidRDefault="00EC7B10" w:rsidP="006219F8">
      <w:pPr>
        <w:spacing w:after="0" w:line="240" w:lineRule="auto"/>
        <w:rPr>
          <w:rFonts w:ascii="Geomanist Light" w:hAnsi="Geomanist Light"/>
          <w:b/>
          <w:color w:val="404040" w:themeColor="text1" w:themeTint="BF"/>
          <w:lang w:val="es-ES"/>
        </w:rPr>
      </w:pPr>
    </w:p>
    <w:p w14:paraId="5DF80553" w14:textId="77777777" w:rsidR="002A76FC" w:rsidRPr="004F5C65" w:rsidRDefault="002A76FC" w:rsidP="002A76FC">
      <w:pPr>
        <w:spacing w:after="0" w:line="240" w:lineRule="auto"/>
        <w:jc w:val="both"/>
        <w:rPr>
          <w:rFonts w:ascii="Arial" w:eastAsia="Calibri" w:hAnsi="Arial" w:cs="Arial"/>
          <w:color w:val="000000" w:themeColor="text1"/>
          <w:szCs w:val="24"/>
          <w:lang w:val="es-ES_tradnl" w:eastAsia="es-ES_tradnl"/>
        </w:rPr>
      </w:pPr>
      <w:bookmarkStart w:id="1" w:name="_Hlk100051121"/>
      <w:r w:rsidRPr="004F5C65">
        <w:rPr>
          <w:rFonts w:ascii="Arial" w:eastAsia="Calibri" w:hAnsi="Arial" w:cs="Arial"/>
          <w:color w:val="000000" w:themeColor="text1"/>
          <w:szCs w:val="24"/>
          <w:lang w:val="es-ES_tradnl" w:eastAsia="es-ES_tradnl"/>
        </w:rPr>
        <w:t>Señor</w:t>
      </w:r>
    </w:p>
    <w:p w14:paraId="0EF11FF1" w14:textId="77777777" w:rsidR="002A76FC" w:rsidRDefault="002A76FC" w:rsidP="002A76FC">
      <w:pPr>
        <w:tabs>
          <w:tab w:val="center" w:pos="4394"/>
        </w:tabs>
        <w:spacing w:after="0" w:line="240" w:lineRule="auto"/>
        <w:jc w:val="both"/>
        <w:rPr>
          <w:rFonts w:ascii="Arial" w:eastAsia="Calibri" w:hAnsi="Arial" w:cs="Arial"/>
          <w:b/>
          <w:color w:val="000000" w:themeColor="text1"/>
          <w:szCs w:val="24"/>
          <w:lang w:val="es-ES_tradnl" w:eastAsia="es-ES_tradnl"/>
        </w:rPr>
      </w:pPr>
      <w:r>
        <w:rPr>
          <w:rFonts w:ascii="Arial" w:eastAsia="Calibri" w:hAnsi="Arial" w:cs="Arial"/>
          <w:b/>
          <w:color w:val="000000" w:themeColor="text1"/>
          <w:szCs w:val="24"/>
          <w:lang w:val="es-ES_tradnl" w:eastAsia="es-ES_tradnl"/>
        </w:rPr>
        <w:t xml:space="preserve">Anónimo </w:t>
      </w:r>
    </w:p>
    <w:p w14:paraId="19B99117" w14:textId="7A162A93" w:rsidR="002A76FC" w:rsidRPr="004F5C65" w:rsidRDefault="002A76FC" w:rsidP="002A76FC">
      <w:pPr>
        <w:spacing w:after="0" w:line="240" w:lineRule="auto"/>
        <w:rPr>
          <w:rFonts w:ascii="Arial" w:eastAsia="Calibri" w:hAnsi="Arial" w:cs="Arial"/>
          <w:b/>
          <w:bCs/>
          <w:color w:val="000000" w:themeColor="text1"/>
          <w:szCs w:val="24"/>
          <w:lang w:val="es-ES_tradnl" w:eastAsia="es-ES_tradnl"/>
        </w:rPr>
      </w:pPr>
      <w:r>
        <w:rPr>
          <w:rFonts w:ascii="Arial" w:eastAsia="Calibri" w:hAnsi="Arial" w:cs="Arial"/>
          <w:bCs/>
          <w:color w:val="000000" w:themeColor="text1"/>
          <w:szCs w:val="24"/>
          <w:lang w:val="es-ES_tradnl" w:eastAsia="es-ES_tradnl"/>
        </w:rPr>
        <w:t>Ciudad</w:t>
      </w:r>
    </w:p>
    <w:p w14:paraId="7EFFDFF1" w14:textId="77777777" w:rsidR="002A76FC" w:rsidRPr="004F5C65" w:rsidRDefault="002A76FC" w:rsidP="002A76FC">
      <w:pPr>
        <w:spacing w:after="0" w:line="240" w:lineRule="auto"/>
        <w:rPr>
          <w:rFonts w:ascii="Arial" w:eastAsia="Calibri" w:hAnsi="Arial" w:cs="Arial"/>
          <w:b/>
          <w:bCs/>
          <w:color w:val="000000" w:themeColor="text1"/>
          <w:szCs w:val="24"/>
          <w:lang w:val="es-ES_tradnl" w:eastAsia="es-ES_tradnl"/>
        </w:rPr>
      </w:pPr>
    </w:p>
    <w:p w14:paraId="393F106B" w14:textId="77777777" w:rsidR="002A76FC" w:rsidRPr="004F5C65" w:rsidRDefault="002A76FC" w:rsidP="002A76FC">
      <w:pPr>
        <w:spacing w:after="0" w:line="240" w:lineRule="auto"/>
        <w:rPr>
          <w:rFonts w:ascii="Arial" w:eastAsia="Calibri" w:hAnsi="Arial" w:cs="Arial"/>
          <w:b/>
          <w:bCs/>
          <w:color w:val="000000" w:themeColor="text1"/>
          <w:szCs w:val="24"/>
          <w:lang w:val="es-ES_tradnl" w:eastAsia="es-ES_tradnl"/>
        </w:rPr>
      </w:pPr>
      <w:r w:rsidRPr="004F5C65">
        <w:rPr>
          <w:rFonts w:ascii="Arial" w:eastAsia="Calibri" w:hAnsi="Arial" w:cs="Arial"/>
          <w:b/>
          <w:bCs/>
          <w:color w:val="000000" w:themeColor="text1"/>
          <w:szCs w:val="24"/>
          <w:lang w:val="es-ES_tradnl" w:eastAsia="es-ES_tradnl"/>
        </w:rPr>
        <w:t xml:space="preserve">                                            Concepto C ‒ </w:t>
      </w:r>
      <w:r>
        <w:rPr>
          <w:rFonts w:ascii="Arial" w:eastAsia="Calibri" w:hAnsi="Arial" w:cs="Arial"/>
          <w:b/>
          <w:bCs/>
          <w:color w:val="000000" w:themeColor="text1"/>
          <w:szCs w:val="24"/>
          <w:lang w:val="es-ES_tradnl" w:eastAsia="es-ES_tradnl"/>
        </w:rPr>
        <w:t>138</w:t>
      </w:r>
      <w:r w:rsidRPr="004F5C65">
        <w:rPr>
          <w:rFonts w:ascii="Arial" w:eastAsia="Calibri" w:hAnsi="Arial" w:cs="Arial"/>
          <w:b/>
          <w:bCs/>
          <w:color w:val="000000" w:themeColor="text1"/>
          <w:szCs w:val="24"/>
          <w:lang w:val="es-ES_tradnl" w:eastAsia="es-ES_tradnl"/>
        </w:rPr>
        <w:t xml:space="preserve"> de 202</w:t>
      </w:r>
      <w:r>
        <w:rPr>
          <w:rFonts w:ascii="Arial" w:eastAsia="Calibri" w:hAnsi="Arial" w:cs="Arial"/>
          <w:b/>
          <w:bCs/>
          <w:color w:val="000000" w:themeColor="text1"/>
          <w:szCs w:val="24"/>
          <w:lang w:val="es-ES_tradnl" w:eastAsia="es-ES_tradnl"/>
        </w:rPr>
        <w:t>3</w:t>
      </w:r>
    </w:p>
    <w:p w14:paraId="4365BA0E" w14:textId="77777777" w:rsidR="002A76FC" w:rsidRPr="004F5C65" w:rsidRDefault="002A76FC" w:rsidP="002A76FC">
      <w:pPr>
        <w:spacing w:after="0" w:line="240" w:lineRule="auto"/>
        <w:rPr>
          <w:rFonts w:ascii="Arial" w:eastAsia="Calibri" w:hAnsi="Arial" w:cs="Arial"/>
          <w:b/>
          <w:bCs/>
          <w:color w:val="000000" w:themeColor="text1"/>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A76FC" w:rsidRPr="004F5C65" w14:paraId="32009D07" w14:textId="77777777" w:rsidTr="00CD70DB">
        <w:trPr>
          <w:trHeight w:val="884"/>
        </w:trPr>
        <w:tc>
          <w:tcPr>
            <w:tcW w:w="2689" w:type="dxa"/>
          </w:tcPr>
          <w:p w14:paraId="309F751E" w14:textId="77777777" w:rsidR="002A76FC" w:rsidRPr="004F5C65" w:rsidRDefault="002A76FC" w:rsidP="00CD70DB">
            <w:pPr>
              <w:jc w:val="both"/>
              <w:rPr>
                <w:rFonts w:ascii="Arial" w:eastAsia="Calibri" w:hAnsi="Arial" w:cs="Arial"/>
                <w:color w:val="000000" w:themeColor="text1"/>
                <w:szCs w:val="24"/>
                <w:lang w:val="es-ES_tradnl" w:eastAsia="es-ES_tradnl"/>
              </w:rPr>
            </w:pPr>
            <w:r w:rsidRPr="004F5C65">
              <w:rPr>
                <w:rFonts w:ascii="Arial" w:eastAsia="Calibri" w:hAnsi="Arial" w:cs="Arial"/>
                <w:b/>
                <w:color w:val="000000" w:themeColor="text1"/>
                <w:szCs w:val="24"/>
                <w:lang w:val="es-ES_tradnl" w:eastAsia="es-ES_tradnl"/>
              </w:rPr>
              <w:t>Temas:</w:t>
            </w:r>
            <w:r w:rsidRPr="004F5C65">
              <w:rPr>
                <w:rFonts w:ascii="Arial" w:eastAsia="Calibri" w:hAnsi="Arial" w:cs="Arial"/>
                <w:color w:val="000000" w:themeColor="text1"/>
                <w:szCs w:val="24"/>
                <w:lang w:val="es-ES_tradnl" w:eastAsia="es-ES_tradnl"/>
              </w:rPr>
              <w:t xml:space="preserve">                   </w:t>
            </w:r>
          </w:p>
        </w:tc>
        <w:tc>
          <w:tcPr>
            <w:tcW w:w="6237" w:type="dxa"/>
          </w:tcPr>
          <w:p w14:paraId="705CC50E" w14:textId="4BC648D8" w:rsidR="002A76FC" w:rsidRPr="004F5C65" w:rsidRDefault="002A76FC" w:rsidP="00CE7902">
            <w:pPr>
              <w:spacing w:line="276" w:lineRule="auto"/>
              <w:jc w:val="both"/>
              <w:rPr>
                <w:rFonts w:ascii="Arial" w:eastAsia="Times New Roman" w:hAnsi="Arial" w:cs="Arial"/>
                <w:color w:val="000000" w:themeColor="text1"/>
                <w:szCs w:val="24"/>
                <w:lang w:val="es-ES_tradnl" w:eastAsia="es-ES_tradnl"/>
              </w:rPr>
            </w:pPr>
            <w:r w:rsidRPr="004F5C65">
              <w:rPr>
                <w:rFonts w:ascii="Arial" w:eastAsia="Times New Roman" w:hAnsi="Arial" w:cs="Arial"/>
                <w:color w:val="000000" w:themeColor="text1"/>
                <w:szCs w:val="24"/>
                <w:lang w:val="es-ES_tradnl" w:eastAsia="es-ES_tradnl"/>
              </w:rPr>
              <w:t>ESQUEMAS ASOCIATIVOS TERRITORIALES – Definición – Entidades territoriales – Personas jurídicas – Capacidad contractual / ESQUEMAS ASOCIATIVOS TERRITORIALES – EGCAP – Entidades estatales – Régimen contractual / PROCEDIMIENTOS CONTRACTUALES – EGCAP – Esquemas asociativos territoriales – Fundamento / SECOP II – Plataforma transaccional – Esquemas asociativos territoriales – Obligación</w:t>
            </w:r>
          </w:p>
        </w:tc>
      </w:tr>
      <w:tr w:rsidR="002A76FC" w:rsidRPr="004F5C65" w14:paraId="3D01BEF0" w14:textId="77777777" w:rsidTr="00CD70DB">
        <w:tc>
          <w:tcPr>
            <w:tcW w:w="2689" w:type="dxa"/>
          </w:tcPr>
          <w:p w14:paraId="5C94E198" w14:textId="77777777" w:rsidR="002A76FC" w:rsidRPr="004F5C65" w:rsidRDefault="002A76FC" w:rsidP="00CD70DB">
            <w:pPr>
              <w:spacing w:before="120"/>
              <w:jc w:val="both"/>
              <w:rPr>
                <w:rFonts w:ascii="Arial" w:eastAsia="Calibri" w:hAnsi="Arial" w:cs="Arial"/>
                <w:b/>
                <w:color w:val="000000" w:themeColor="text1"/>
                <w:szCs w:val="24"/>
                <w:lang w:val="es-ES_tradnl" w:eastAsia="es-ES_tradnl"/>
              </w:rPr>
            </w:pPr>
            <w:r w:rsidRPr="004F5C65">
              <w:rPr>
                <w:rFonts w:ascii="Arial" w:eastAsia="Calibri" w:hAnsi="Arial" w:cs="Arial"/>
                <w:b/>
                <w:color w:val="000000" w:themeColor="text1"/>
                <w:szCs w:val="24"/>
                <w:lang w:val="es-ES_tradnl" w:eastAsia="es-ES_tradnl"/>
              </w:rPr>
              <w:t>Radicación:</w:t>
            </w:r>
            <w:r w:rsidRPr="004F5C65">
              <w:rPr>
                <w:rFonts w:ascii="Arial" w:eastAsia="Calibri" w:hAnsi="Arial" w:cs="Arial"/>
                <w:color w:val="000000" w:themeColor="text1"/>
                <w:szCs w:val="24"/>
                <w:lang w:val="es-ES_tradnl" w:eastAsia="es-ES_tradnl"/>
              </w:rPr>
              <w:t xml:space="preserve">               </w:t>
            </w:r>
          </w:p>
        </w:tc>
        <w:tc>
          <w:tcPr>
            <w:tcW w:w="6237" w:type="dxa"/>
          </w:tcPr>
          <w:p w14:paraId="569F6C11" w14:textId="77777777" w:rsidR="002A76FC" w:rsidRPr="004F5C65" w:rsidRDefault="002A76FC" w:rsidP="00CD70DB">
            <w:pPr>
              <w:spacing w:before="120"/>
              <w:jc w:val="both"/>
              <w:rPr>
                <w:rFonts w:ascii="Arial" w:eastAsia="Calibri" w:hAnsi="Arial" w:cs="Arial"/>
                <w:color w:val="000000" w:themeColor="text1"/>
                <w:szCs w:val="24"/>
                <w:lang w:val="es-ES_tradnl" w:eastAsia="es-ES_tradnl"/>
              </w:rPr>
            </w:pPr>
            <w:r w:rsidRPr="004F5C65">
              <w:rPr>
                <w:rFonts w:ascii="Arial" w:eastAsia="Calibri" w:hAnsi="Arial" w:cs="Arial"/>
                <w:color w:val="000000" w:themeColor="text1"/>
                <w:szCs w:val="24"/>
                <w:lang w:val="es-ES_tradnl" w:eastAsia="es-ES_tradnl"/>
              </w:rPr>
              <w:t>Respuesta a consulta P202</w:t>
            </w:r>
            <w:r>
              <w:rPr>
                <w:rFonts w:ascii="Arial" w:eastAsia="Calibri" w:hAnsi="Arial" w:cs="Arial"/>
                <w:color w:val="000000" w:themeColor="text1"/>
                <w:szCs w:val="24"/>
                <w:lang w:val="es-ES_tradnl" w:eastAsia="es-ES_tradnl"/>
              </w:rPr>
              <w:t>30413003251</w:t>
            </w:r>
          </w:p>
        </w:tc>
      </w:tr>
    </w:tbl>
    <w:p w14:paraId="0706D335" w14:textId="77777777" w:rsidR="002A76FC" w:rsidRPr="004F5C65" w:rsidRDefault="002A76FC" w:rsidP="002A76FC">
      <w:pPr>
        <w:spacing w:after="0" w:line="240" w:lineRule="auto"/>
        <w:jc w:val="both"/>
        <w:rPr>
          <w:rFonts w:ascii="Arial" w:eastAsia="Calibri" w:hAnsi="Arial" w:cs="Arial"/>
          <w:color w:val="000000" w:themeColor="text1"/>
          <w:szCs w:val="24"/>
          <w:lang w:val="es-ES_tradnl" w:eastAsia="es-ES_tradnl"/>
        </w:rPr>
      </w:pPr>
    </w:p>
    <w:p w14:paraId="2BE15FD0" w14:textId="77777777" w:rsidR="002A76FC" w:rsidRPr="004F5C65" w:rsidRDefault="002A76FC" w:rsidP="002A76FC">
      <w:pPr>
        <w:spacing w:after="0" w:line="240" w:lineRule="auto"/>
        <w:jc w:val="both"/>
        <w:rPr>
          <w:rFonts w:ascii="Arial" w:eastAsia="Calibri" w:hAnsi="Arial" w:cs="Arial"/>
          <w:color w:val="000000" w:themeColor="text1"/>
          <w:szCs w:val="24"/>
          <w:lang w:val="es-ES_tradnl" w:eastAsia="es-ES_tradnl"/>
        </w:rPr>
      </w:pPr>
    </w:p>
    <w:p w14:paraId="5D1026A9" w14:textId="77777777" w:rsidR="0033479E" w:rsidRDefault="0033479E" w:rsidP="002A76FC">
      <w:pPr>
        <w:spacing w:after="0" w:line="240" w:lineRule="auto"/>
        <w:jc w:val="both"/>
        <w:rPr>
          <w:rFonts w:ascii="Arial" w:eastAsia="Calibri" w:hAnsi="Arial" w:cs="Arial"/>
          <w:color w:val="000000" w:themeColor="text1"/>
          <w:szCs w:val="24"/>
          <w:lang w:val="es-ES_tradnl" w:eastAsia="es-ES_tradnl"/>
        </w:rPr>
      </w:pPr>
    </w:p>
    <w:p w14:paraId="002573F3" w14:textId="5097727E" w:rsidR="002A76FC" w:rsidRPr="004F5C65" w:rsidRDefault="002A76FC" w:rsidP="002A76FC">
      <w:pPr>
        <w:spacing w:after="0" w:line="240" w:lineRule="auto"/>
        <w:jc w:val="both"/>
        <w:rPr>
          <w:rFonts w:ascii="Arial" w:eastAsia="Calibri" w:hAnsi="Arial" w:cs="Arial"/>
          <w:color w:val="000000" w:themeColor="text1"/>
          <w:szCs w:val="24"/>
          <w:lang w:val="es-ES_tradnl" w:eastAsia="es-ES_tradnl"/>
        </w:rPr>
      </w:pPr>
      <w:r w:rsidRPr="004F5C65">
        <w:rPr>
          <w:rFonts w:ascii="Arial" w:eastAsia="Calibri" w:hAnsi="Arial" w:cs="Arial"/>
          <w:color w:val="000000" w:themeColor="text1"/>
          <w:szCs w:val="24"/>
          <w:lang w:val="es-ES_tradnl" w:eastAsia="es-ES_tradnl"/>
        </w:rPr>
        <w:t>Estimado señor A</w:t>
      </w:r>
      <w:r>
        <w:rPr>
          <w:rFonts w:ascii="Arial" w:eastAsia="Calibri" w:hAnsi="Arial" w:cs="Arial"/>
          <w:color w:val="000000" w:themeColor="text1"/>
          <w:szCs w:val="24"/>
          <w:lang w:val="es-ES_tradnl" w:eastAsia="es-ES_tradnl"/>
        </w:rPr>
        <w:t>nónimo</w:t>
      </w:r>
      <w:r w:rsidRPr="004F5C65">
        <w:rPr>
          <w:rFonts w:ascii="Arial" w:eastAsia="Calibri" w:hAnsi="Arial" w:cs="Arial"/>
          <w:color w:val="000000" w:themeColor="text1"/>
          <w:szCs w:val="24"/>
          <w:lang w:val="es-ES_tradnl" w:eastAsia="es-ES_tradnl"/>
        </w:rPr>
        <w:t xml:space="preserve">: </w:t>
      </w:r>
    </w:p>
    <w:p w14:paraId="37DDEC66" w14:textId="77777777" w:rsidR="002A76FC" w:rsidRPr="004F5C65" w:rsidRDefault="002A76FC" w:rsidP="002A76FC">
      <w:pPr>
        <w:spacing w:after="0" w:line="240" w:lineRule="auto"/>
        <w:jc w:val="both"/>
        <w:rPr>
          <w:rFonts w:ascii="Arial" w:eastAsia="Calibri" w:hAnsi="Arial" w:cs="Arial"/>
          <w:color w:val="000000" w:themeColor="text1"/>
          <w:szCs w:val="24"/>
          <w:lang w:val="es-ES_tradnl" w:eastAsia="es-ES_tradnl"/>
        </w:rPr>
      </w:pPr>
    </w:p>
    <w:p w14:paraId="57C2C498" w14:textId="77777777" w:rsidR="002A76FC" w:rsidRPr="004F5C65" w:rsidRDefault="002A76FC" w:rsidP="002A76FC">
      <w:pPr>
        <w:spacing w:after="0" w:line="276" w:lineRule="auto"/>
        <w:jc w:val="both"/>
        <w:rPr>
          <w:rFonts w:ascii="Arial" w:eastAsia="Calibri" w:hAnsi="Arial" w:cs="Arial"/>
          <w:color w:val="000000" w:themeColor="text1"/>
          <w:szCs w:val="24"/>
          <w:lang w:val="es-ES_tradnl" w:eastAsia="es-ES_tradnl"/>
        </w:rPr>
      </w:pPr>
      <w:r w:rsidRPr="004F5C65">
        <w:rPr>
          <w:rFonts w:ascii="Arial" w:eastAsia="Calibri" w:hAnsi="Arial" w:cs="Arial"/>
          <w:color w:val="000000" w:themeColor="text1"/>
          <w:szCs w:val="24"/>
          <w:lang w:val="es-ES_tradnl" w:eastAsia="es-ES_tradnl"/>
        </w:rPr>
        <w:t>En ejercicio de la competencia otorgada por el numeral 8 del artículo 11 y el numeral 5 del artículo 3 del Decreto Ley 4170 de 2011,</w:t>
      </w:r>
      <w:r w:rsidRPr="004F5C65">
        <w:rPr>
          <w:rFonts w:ascii="Arial" w:eastAsia="Arial MT" w:hAnsi="Arial" w:cs="Arial"/>
          <w:color w:val="000000" w:themeColor="text1"/>
          <w:szCs w:val="24"/>
          <w:lang w:val="es-ES_tradnl" w:eastAsia="es-ES_tradnl"/>
        </w:rPr>
        <w:t xml:space="preserve"> </w:t>
      </w:r>
      <w:r w:rsidRPr="004F5C65">
        <w:rPr>
          <w:rFonts w:ascii="Arial" w:eastAsia="Calibri" w:hAnsi="Arial" w:cs="Arial"/>
          <w:color w:val="000000" w:themeColor="text1"/>
          <w:szCs w:val="24"/>
          <w:lang w:val="es-ES_tradnl" w:eastAsia="es-ES_tradnl"/>
        </w:rPr>
        <w:t xml:space="preserve">la Agencia Nacional de Contratación Pública – Colombia Compra Eficiente responde su consulta del </w:t>
      </w:r>
      <w:r>
        <w:rPr>
          <w:rFonts w:ascii="Arial" w:eastAsia="Calibri" w:hAnsi="Arial" w:cs="Arial"/>
          <w:color w:val="000000" w:themeColor="text1"/>
          <w:szCs w:val="24"/>
          <w:lang w:val="es-ES_tradnl" w:eastAsia="es-ES_tradnl"/>
        </w:rPr>
        <w:t>13</w:t>
      </w:r>
      <w:r w:rsidRPr="004F5C65">
        <w:rPr>
          <w:rFonts w:ascii="Arial" w:eastAsia="Calibri" w:hAnsi="Arial" w:cs="Arial"/>
          <w:color w:val="000000" w:themeColor="text1"/>
          <w:szCs w:val="24"/>
          <w:lang w:val="es-ES_tradnl" w:eastAsia="es-ES_tradnl"/>
        </w:rPr>
        <w:t xml:space="preserve"> de </w:t>
      </w:r>
      <w:r>
        <w:rPr>
          <w:rFonts w:ascii="Arial" w:eastAsia="Calibri" w:hAnsi="Arial" w:cs="Arial"/>
          <w:color w:val="000000" w:themeColor="text1"/>
          <w:szCs w:val="24"/>
          <w:lang w:val="es-ES_tradnl" w:eastAsia="es-ES_tradnl"/>
        </w:rPr>
        <w:t>abril</w:t>
      </w:r>
      <w:r w:rsidRPr="004F5C65">
        <w:rPr>
          <w:rFonts w:ascii="Arial" w:eastAsia="Calibri" w:hAnsi="Arial" w:cs="Arial"/>
          <w:color w:val="000000" w:themeColor="text1"/>
          <w:szCs w:val="24"/>
          <w:lang w:val="es-ES_tradnl" w:eastAsia="es-ES_tradnl"/>
        </w:rPr>
        <w:t xml:space="preserve"> de 202</w:t>
      </w:r>
      <w:r>
        <w:rPr>
          <w:rFonts w:ascii="Arial" w:eastAsia="Calibri" w:hAnsi="Arial" w:cs="Arial"/>
          <w:color w:val="000000" w:themeColor="text1"/>
          <w:szCs w:val="24"/>
          <w:lang w:val="es-ES_tradnl" w:eastAsia="es-ES_tradnl"/>
        </w:rPr>
        <w:t>3</w:t>
      </w:r>
      <w:r w:rsidRPr="004F5C65">
        <w:rPr>
          <w:rFonts w:ascii="Arial" w:eastAsia="Calibri" w:hAnsi="Arial" w:cs="Arial"/>
          <w:color w:val="000000" w:themeColor="text1"/>
          <w:szCs w:val="24"/>
          <w:lang w:val="es-ES_tradnl" w:eastAsia="es-ES_tradnl"/>
        </w:rPr>
        <w:t>.</w:t>
      </w:r>
    </w:p>
    <w:p w14:paraId="65FCE4A4" w14:textId="77777777" w:rsidR="002A76FC" w:rsidRPr="004F5C65" w:rsidRDefault="002A76FC" w:rsidP="002A76FC">
      <w:pPr>
        <w:tabs>
          <w:tab w:val="left" w:pos="426"/>
        </w:tabs>
        <w:spacing w:after="0" w:line="276" w:lineRule="auto"/>
        <w:jc w:val="both"/>
        <w:rPr>
          <w:rFonts w:ascii="Arial" w:eastAsia="Calibri" w:hAnsi="Arial" w:cs="Arial"/>
          <w:color w:val="000000" w:themeColor="text1"/>
          <w:lang w:val="es-ES_tradnl"/>
        </w:rPr>
      </w:pPr>
    </w:p>
    <w:p w14:paraId="31DC5739" w14:textId="77777777" w:rsidR="002A76FC" w:rsidRPr="004F5C65" w:rsidRDefault="002A76FC" w:rsidP="002A76FC">
      <w:pPr>
        <w:numPr>
          <w:ilvl w:val="0"/>
          <w:numId w:val="4"/>
        </w:numPr>
        <w:tabs>
          <w:tab w:val="left" w:pos="284"/>
        </w:tabs>
        <w:spacing w:after="0" w:line="276" w:lineRule="auto"/>
        <w:ind w:left="0" w:firstLine="0"/>
        <w:contextualSpacing/>
        <w:jc w:val="both"/>
        <w:rPr>
          <w:rFonts w:ascii="Arial" w:eastAsia="Calibri" w:hAnsi="Arial" w:cs="Arial"/>
          <w:b/>
          <w:color w:val="000000" w:themeColor="text1"/>
          <w:lang w:val="es-ES_tradnl"/>
        </w:rPr>
      </w:pPr>
      <w:r w:rsidRPr="004F5C65">
        <w:rPr>
          <w:rFonts w:ascii="Arial" w:eastAsia="Calibri" w:hAnsi="Arial" w:cs="Arial"/>
          <w:b/>
          <w:color w:val="000000" w:themeColor="text1"/>
          <w:lang w:val="es-ES_tradnl"/>
        </w:rPr>
        <w:t xml:space="preserve">Problemas planteados </w:t>
      </w:r>
    </w:p>
    <w:p w14:paraId="6D0AF1E8" w14:textId="77777777" w:rsidR="002A76FC" w:rsidRPr="004F5C65" w:rsidRDefault="002A76FC" w:rsidP="002A76FC">
      <w:pPr>
        <w:tabs>
          <w:tab w:val="left" w:pos="426"/>
        </w:tabs>
        <w:spacing w:after="0" w:line="276" w:lineRule="auto"/>
        <w:jc w:val="both"/>
        <w:rPr>
          <w:rFonts w:ascii="Arial" w:eastAsia="Calibri" w:hAnsi="Arial" w:cs="Arial"/>
          <w:b/>
          <w:color w:val="000000" w:themeColor="text1"/>
          <w:lang w:val="es-ES_tradnl"/>
        </w:rPr>
      </w:pPr>
    </w:p>
    <w:p w14:paraId="57EF4711" w14:textId="77777777" w:rsidR="002A76FC" w:rsidRPr="004F5C65" w:rsidRDefault="002A76FC" w:rsidP="002A76FC">
      <w:pPr>
        <w:tabs>
          <w:tab w:val="left" w:pos="426"/>
        </w:tabs>
        <w:spacing w:after="0" w:line="276" w:lineRule="auto"/>
        <w:jc w:val="both"/>
        <w:rPr>
          <w:rFonts w:ascii="Arial" w:eastAsia="Calibri" w:hAnsi="Arial" w:cs="Arial"/>
          <w:color w:val="000000" w:themeColor="text1"/>
          <w:lang w:val="es-ES_tradnl"/>
        </w:rPr>
      </w:pPr>
      <w:r w:rsidRPr="004F5C65">
        <w:rPr>
          <w:rFonts w:ascii="Arial" w:eastAsia="Calibri" w:hAnsi="Arial" w:cs="Arial"/>
          <w:color w:val="000000" w:themeColor="text1"/>
          <w:lang w:val="es-ES_tradnl"/>
        </w:rPr>
        <w:t xml:space="preserve">Usted realiza la siguiente consulta: </w:t>
      </w:r>
    </w:p>
    <w:p w14:paraId="118645B3" w14:textId="77777777" w:rsidR="002A76FC" w:rsidRPr="004F5C65" w:rsidRDefault="002A76FC" w:rsidP="002A76FC">
      <w:pPr>
        <w:tabs>
          <w:tab w:val="left" w:pos="426"/>
        </w:tabs>
        <w:spacing w:after="0" w:line="276" w:lineRule="auto"/>
        <w:jc w:val="both"/>
        <w:rPr>
          <w:rFonts w:ascii="Arial" w:eastAsia="Calibri" w:hAnsi="Arial" w:cs="Arial"/>
          <w:color w:val="000000" w:themeColor="text1"/>
          <w:lang w:val="es-ES_tradnl"/>
        </w:rPr>
      </w:pPr>
    </w:p>
    <w:p w14:paraId="672C946E" w14:textId="77777777" w:rsidR="002A76FC" w:rsidRPr="00D8108C"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bookmarkStart w:id="2" w:name="_Hlk135819245"/>
      <w:r>
        <w:rPr>
          <w:rFonts w:ascii="Arial" w:eastAsia="Calibri" w:hAnsi="Arial" w:cs="Arial"/>
          <w:color w:val="000000" w:themeColor="text1"/>
          <w:sz w:val="21"/>
          <w:szCs w:val="21"/>
          <w:lang w:val="es-ES_tradnl"/>
        </w:rPr>
        <w:t>“</w:t>
      </w:r>
      <w:r w:rsidRPr="00D8108C">
        <w:rPr>
          <w:rFonts w:ascii="Arial" w:eastAsia="Calibri" w:hAnsi="Arial" w:cs="Arial"/>
          <w:color w:val="000000" w:themeColor="text1"/>
          <w:sz w:val="21"/>
          <w:szCs w:val="21"/>
          <w:lang w:val="es-ES_tradnl"/>
        </w:rPr>
        <w:t>solicito informar si la Región Administrativa y de Planificación de la Amazonía-RAP</w:t>
      </w:r>
    </w:p>
    <w:p w14:paraId="344726D7" w14:textId="77777777" w:rsidR="002A76FC" w:rsidRPr="00D8108C"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8108C">
        <w:rPr>
          <w:rFonts w:ascii="Arial" w:eastAsia="Calibri" w:hAnsi="Arial" w:cs="Arial"/>
          <w:color w:val="000000" w:themeColor="text1"/>
          <w:sz w:val="21"/>
          <w:szCs w:val="21"/>
          <w:lang w:val="es-ES_tradnl"/>
        </w:rPr>
        <w:t>Amazonía identificada con NIT No.901-351-632-9, se encuentra exenta de publicar la</w:t>
      </w:r>
    </w:p>
    <w:p w14:paraId="28A9C8A5" w14:textId="77777777" w:rsidR="002A76FC"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8108C">
        <w:rPr>
          <w:rFonts w:ascii="Arial" w:eastAsia="Calibri" w:hAnsi="Arial" w:cs="Arial"/>
          <w:color w:val="000000" w:themeColor="text1"/>
          <w:sz w:val="21"/>
          <w:szCs w:val="21"/>
          <w:lang w:val="es-ES_tradnl"/>
        </w:rPr>
        <w:t>actividad contractual en SECOP I o II.</w:t>
      </w:r>
    </w:p>
    <w:p w14:paraId="148320CF" w14:textId="77777777" w:rsidR="002A76FC" w:rsidRPr="004F5C65"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058E67E4" w14:textId="10E5579F" w:rsidR="002A76FC" w:rsidRPr="004F5C65"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4F5C65">
        <w:rPr>
          <w:rFonts w:ascii="Arial" w:eastAsia="Calibri" w:hAnsi="Arial" w:cs="Arial"/>
          <w:color w:val="000000" w:themeColor="text1"/>
          <w:sz w:val="21"/>
          <w:szCs w:val="21"/>
          <w:lang w:val="es-ES_tradnl"/>
        </w:rPr>
        <w:t>[…]</w:t>
      </w:r>
    </w:p>
    <w:p w14:paraId="43343C44" w14:textId="77777777" w:rsidR="002A76FC"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45F8DD83" w14:textId="77777777" w:rsidR="002A76FC" w:rsidRPr="005066B0"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5066B0">
        <w:rPr>
          <w:rFonts w:ascii="Arial" w:eastAsia="Calibri" w:hAnsi="Arial" w:cs="Arial"/>
          <w:color w:val="000000" w:themeColor="text1"/>
          <w:sz w:val="21"/>
          <w:szCs w:val="21"/>
          <w:lang w:val="es-ES_tradnl"/>
        </w:rPr>
        <w:t>“Se sirva informar si la Región Administrativa y de Planificación de la Amazonía-RAP</w:t>
      </w:r>
    </w:p>
    <w:p w14:paraId="7756B823" w14:textId="77777777" w:rsidR="002A76FC" w:rsidRPr="005066B0"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5066B0">
        <w:rPr>
          <w:rFonts w:ascii="Arial" w:eastAsia="Calibri" w:hAnsi="Arial" w:cs="Arial"/>
          <w:color w:val="000000" w:themeColor="text1"/>
          <w:sz w:val="21"/>
          <w:szCs w:val="21"/>
          <w:lang w:val="es-ES_tradnl"/>
        </w:rPr>
        <w:t>Amazonía debe realizar la publicacion de los procesos de contratacion en secop i o en</w:t>
      </w:r>
    </w:p>
    <w:p w14:paraId="54E316D7" w14:textId="77777777" w:rsidR="002A76FC"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5066B0">
        <w:rPr>
          <w:rFonts w:ascii="Arial" w:eastAsia="Calibri" w:hAnsi="Arial" w:cs="Arial"/>
          <w:color w:val="000000" w:themeColor="text1"/>
          <w:sz w:val="21"/>
          <w:szCs w:val="21"/>
          <w:lang w:val="es-ES_tradnl"/>
        </w:rPr>
        <w:t>secop ii.</w:t>
      </w:r>
    </w:p>
    <w:p w14:paraId="26F02753" w14:textId="77777777" w:rsidR="002A76FC"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6621603C" w14:textId="77777777" w:rsidR="002A76FC"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5066B0">
        <w:rPr>
          <w:rFonts w:ascii="Arial" w:eastAsia="Calibri" w:hAnsi="Arial" w:cs="Arial"/>
          <w:color w:val="000000" w:themeColor="text1"/>
          <w:sz w:val="21"/>
          <w:szCs w:val="21"/>
          <w:lang w:val="es-ES_tradnl"/>
        </w:rPr>
        <w:t>“[…]</w:t>
      </w:r>
    </w:p>
    <w:p w14:paraId="2975C9C5" w14:textId="77777777" w:rsidR="002A76FC"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26CA5A97" w14:textId="77777777" w:rsidR="002A76FC" w:rsidRPr="000E061F"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0E061F">
        <w:rPr>
          <w:rFonts w:ascii="Arial" w:eastAsia="Calibri" w:hAnsi="Arial" w:cs="Arial"/>
          <w:color w:val="000000" w:themeColor="text1"/>
          <w:sz w:val="21"/>
          <w:szCs w:val="21"/>
          <w:lang w:val="es-ES_tradnl"/>
        </w:rPr>
        <w:t>A partir de que fecha la Región Administrativa y de Planificación de la Amazonía-RAP</w:t>
      </w:r>
    </w:p>
    <w:p w14:paraId="3C022C65" w14:textId="77777777" w:rsidR="002A76FC" w:rsidRPr="000E061F"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0E061F">
        <w:rPr>
          <w:rFonts w:ascii="Arial" w:eastAsia="Calibri" w:hAnsi="Arial" w:cs="Arial"/>
          <w:color w:val="000000" w:themeColor="text1"/>
          <w:sz w:val="21"/>
          <w:szCs w:val="21"/>
          <w:lang w:val="es-ES_tradnl"/>
        </w:rPr>
        <w:lastRenderedPageBreak/>
        <w:t>Amazonía debe realizar la publicacion de los procesos de contratacion en secop II?</w:t>
      </w:r>
    </w:p>
    <w:p w14:paraId="3A6DFADB" w14:textId="495F175F" w:rsidR="002A76FC" w:rsidRPr="004F5C65" w:rsidRDefault="002A76FC" w:rsidP="00EC7B10">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0E061F">
        <w:rPr>
          <w:rFonts w:ascii="Arial" w:eastAsia="Calibri" w:hAnsi="Arial" w:cs="Arial"/>
          <w:color w:val="000000" w:themeColor="text1"/>
          <w:sz w:val="21"/>
          <w:szCs w:val="21"/>
          <w:lang w:val="es-ES_tradnl"/>
        </w:rPr>
        <w:t>Consecuencias legales que recaen en la Región Administrativa y de Planificación de la</w:t>
      </w:r>
      <w:r>
        <w:rPr>
          <w:rFonts w:ascii="Arial" w:eastAsia="Calibri" w:hAnsi="Arial" w:cs="Arial"/>
          <w:color w:val="000000" w:themeColor="text1"/>
          <w:sz w:val="21"/>
          <w:szCs w:val="21"/>
          <w:lang w:val="es-ES_tradnl"/>
        </w:rPr>
        <w:t xml:space="preserve"> </w:t>
      </w:r>
      <w:r w:rsidRPr="000E061F">
        <w:rPr>
          <w:rFonts w:ascii="Arial" w:eastAsia="Calibri" w:hAnsi="Arial" w:cs="Arial"/>
          <w:color w:val="000000" w:themeColor="text1"/>
          <w:sz w:val="21"/>
          <w:szCs w:val="21"/>
          <w:lang w:val="es-ES_tradnl"/>
        </w:rPr>
        <w:t>Amazonía-RAP Amazonía por no realizar la publicacion de los procesos de</w:t>
      </w:r>
      <w:r>
        <w:rPr>
          <w:rFonts w:ascii="Arial" w:eastAsia="Calibri" w:hAnsi="Arial" w:cs="Arial"/>
          <w:color w:val="000000" w:themeColor="text1"/>
          <w:sz w:val="21"/>
          <w:szCs w:val="21"/>
          <w:lang w:val="es-ES_tradnl"/>
        </w:rPr>
        <w:t xml:space="preserve"> </w:t>
      </w:r>
      <w:r w:rsidRPr="000E061F">
        <w:rPr>
          <w:rFonts w:ascii="Arial" w:eastAsia="Calibri" w:hAnsi="Arial" w:cs="Arial"/>
          <w:color w:val="000000" w:themeColor="text1"/>
          <w:sz w:val="21"/>
          <w:szCs w:val="21"/>
          <w:lang w:val="es-ES_tradnl"/>
        </w:rPr>
        <w:t>contratacion en secop ii</w:t>
      </w:r>
      <w:r w:rsidR="00E825C3">
        <w:rPr>
          <w:rFonts w:ascii="Arial" w:eastAsia="Calibri" w:hAnsi="Arial" w:cs="Arial"/>
          <w:color w:val="000000" w:themeColor="text1"/>
          <w:sz w:val="21"/>
          <w:szCs w:val="21"/>
          <w:lang w:val="es-ES_tradnl"/>
        </w:rPr>
        <w:t>”</w:t>
      </w:r>
      <w:r w:rsidRPr="000E061F">
        <w:rPr>
          <w:rFonts w:ascii="Arial" w:eastAsia="Calibri" w:hAnsi="Arial" w:cs="Arial"/>
          <w:color w:val="000000" w:themeColor="text1"/>
          <w:sz w:val="21"/>
          <w:szCs w:val="21"/>
          <w:lang w:val="es-ES_tradnl"/>
        </w:rPr>
        <w:t>.</w:t>
      </w:r>
      <w:r>
        <w:rPr>
          <w:rFonts w:ascii="Arial" w:eastAsia="Calibri" w:hAnsi="Arial" w:cs="Arial"/>
          <w:color w:val="000000" w:themeColor="text1"/>
          <w:sz w:val="21"/>
          <w:szCs w:val="21"/>
          <w:lang w:val="es-ES_tradnl"/>
        </w:rPr>
        <w:t xml:space="preserve"> (SIC)</w:t>
      </w:r>
    </w:p>
    <w:bookmarkEnd w:id="2"/>
    <w:p w14:paraId="283D6712" w14:textId="77777777" w:rsidR="002A76FC" w:rsidRPr="004F5C65" w:rsidRDefault="002A76FC" w:rsidP="002A76FC">
      <w:pPr>
        <w:tabs>
          <w:tab w:val="left" w:pos="426"/>
        </w:tabs>
        <w:spacing w:after="0" w:line="276" w:lineRule="auto"/>
        <w:jc w:val="both"/>
        <w:rPr>
          <w:rFonts w:ascii="Arial" w:eastAsia="Calibri" w:hAnsi="Arial" w:cs="Arial"/>
          <w:color w:val="000000" w:themeColor="text1"/>
          <w:lang w:val="es-ES_tradnl"/>
        </w:rPr>
      </w:pPr>
    </w:p>
    <w:p w14:paraId="56A7EA44" w14:textId="77777777" w:rsidR="002A76FC" w:rsidRPr="004F5C65" w:rsidRDefault="002A76FC" w:rsidP="002A76FC">
      <w:pPr>
        <w:tabs>
          <w:tab w:val="left" w:pos="426"/>
        </w:tabs>
        <w:spacing w:after="0" w:line="276" w:lineRule="auto"/>
        <w:jc w:val="both"/>
        <w:rPr>
          <w:rFonts w:ascii="Arial" w:eastAsia="Calibri" w:hAnsi="Arial" w:cs="Arial"/>
          <w:b/>
          <w:color w:val="000000" w:themeColor="text1"/>
          <w:lang w:val="es-ES_tradnl"/>
        </w:rPr>
      </w:pPr>
      <w:r w:rsidRPr="004F5C65">
        <w:rPr>
          <w:rFonts w:ascii="Arial" w:eastAsia="Calibri" w:hAnsi="Arial" w:cs="Arial"/>
          <w:b/>
          <w:color w:val="000000" w:themeColor="text1"/>
          <w:lang w:val="es-ES_tradnl"/>
        </w:rPr>
        <w:t>2. Consideraciones</w:t>
      </w:r>
    </w:p>
    <w:p w14:paraId="02D30C8C" w14:textId="77777777" w:rsidR="002A76FC" w:rsidRPr="004F5C65" w:rsidRDefault="002A76FC" w:rsidP="00CE7902">
      <w:pPr>
        <w:spacing w:after="0" w:line="240" w:lineRule="auto"/>
        <w:jc w:val="both"/>
        <w:rPr>
          <w:rFonts w:ascii="Arial" w:eastAsia="Calibri" w:hAnsi="Arial" w:cs="Arial"/>
          <w:color w:val="000000" w:themeColor="text1"/>
          <w:lang w:val="es-ES_tradnl"/>
        </w:rPr>
      </w:pPr>
    </w:p>
    <w:bookmarkEnd w:id="1"/>
    <w:p w14:paraId="7595022A" w14:textId="5BFA7378" w:rsidR="002A76FC" w:rsidRPr="004F5C65" w:rsidRDefault="002A76FC" w:rsidP="00CE7902">
      <w:pPr>
        <w:spacing w:after="120" w:line="276" w:lineRule="auto"/>
        <w:jc w:val="both"/>
        <w:rPr>
          <w:rFonts w:ascii="Arial" w:eastAsia="Calibri" w:hAnsi="Arial" w:cs="Arial"/>
          <w:color w:val="000000" w:themeColor="text1"/>
          <w:lang w:val="es-ES_tradnl"/>
        </w:rPr>
      </w:pPr>
      <w:r w:rsidRPr="004F5C65">
        <w:rPr>
          <w:rFonts w:ascii="Arial" w:eastAsia="Calibri" w:hAnsi="Arial" w:cs="Arial"/>
          <w:color w:val="000000" w:themeColor="text1"/>
          <w:lang w:val="es-ES_tradnl"/>
        </w:rPr>
        <w:t>Para resolver esta consulta se hará un análisis de los siguientes temas: i) naturaleza jurídica de los esquemas asociativos territoriales y su régimen de contratación</w:t>
      </w:r>
      <w:r w:rsidR="00EC7B10">
        <w:rPr>
          <w:rFonts w:ascii="Arial" w:eastAsia="Calibri" w:hAnsi="Arial" w:cs="Arial"/>
          <w:color w:val="000000" w:themeColor="text1"/>
          <w:lang w:val="es-ES_tradnl"/>
        </w:rPr>
        <w:t xml:space="preserve"> y </w:t>
      </w:r>
      <w:r w:rsidRPr="004F5C65">
        <w:rPr>
          <w:rFonts w:ascii="Arial" w:eastAsia="Calibri" w:hAnsi="Arial" w:cs="Arial"/>
          <w:color w:val="000000" w:themeColor="text1"/>
          <w:lang w:val="es-ES_tradnl"/>
        </w:rPr>
        <w:t xml:space="preserve"> ii) </w:t>
      </w:r>
      <w:r w:rsidR="00EC7B10">
        <w:rPr>
          <w:rFonts w:ascii="Arial" w:eastAsia="Calibri" w:hAnsi="Arial" w:cs="Arial"/>
          <w:color w:val="000000" w:themeColor="text1"/>
          <w:lang w:val="es-ES_tradnl"/>
        </w:rPr>
        <w:t>o</w:t>
      </w:r>
      <w:r w:rsidR="00EC7B10" w:rsidRPr="00EC7B10">
        <w:rPr>
          <w:rFonts w:ascii="Arial" w:eastAsia="Calibri" w:hAnsi="Arial" w:cs="Arial"/>
          <w:color w:val="000000" w:themeColor="text1"/>
          <w:lang w:val="es-ES_tradnl"/>
        </w:rPr>
        <w:t>bligatoriedad de uso del SECOP II por parte esquemas asociativos territoriales. La Región Administrativa Territorial para la Amazonia.</w:t>
      </w:r>
    </w:p>
    <w:p w14:paraId="70810503" w14:textId="4E8A5AD4" w:rsidR="002A76FC" w:rsidRPr="004F5C65" w:rsidRDefault="002A76FC" w:rsidP="00CE7902">
      <w:pPr>
        <w:spacing w:after="0" w:line="276" w:lineRule="auto"/>
        <w:ind w:firstLine="709"/>
        <w:jc w:val="both"/>
        <w:rPr>
          <w:rFonts w:ascii="Arial" w:eastAsia="Calibri" w:hAnsi="Arial" w:cs="Arial"/>
          <w:color w:val="000000" w:themeColor="text1"/>
          <w:lang w:val="es-ES_tradnl"/>
        </w:rPr>
      </w:pPr>
      <w:r w:rsidRPr="004F5C65">
        <w:rPr>
          <w:rFonts w:ascii="Arial" w:eastAsia="Calibri" w:hAnsi="Arial" w:cs="Arial"/>
          <w:color w:val="000000" w:themeColor="text1"/>
          <w:lang w:val="es-ES_tradnl"/>
        </w:rPr>
        <w:t xml:space="preserve">La Agencia Nacional de Contratación Pública – Colombia Compra Eficiente ha analizado el régimen jurídico aplicable a los esquemas asociativos territoriales, entre otros pronunciamientos, en los conceptos con radicado No. 2201913000009468 del 20 de diciembre de 2019, C-059 del 25 de febrero de 2020, C-659 del 10 de noviembre de 2020, C-788 del 21 de enero de 2021, C-054 del 10 de marzo de 2021, C-116 del 30 de marzo de 2021, C-149 de 8 de abril de 2021, C-284 del 18 de junio de 2021, C-554 del 6 de octubre de 2021 y C-249 del 16 de junio de 2022. </w:t>
      </w:r>
      <w:r w:rsidRPr="004F5C65">
        <w:rPr>
          <w:rFonts w:ascii="Arial" w:eastAsia="Times New Roman" w:hAnsi="Arial" w:cs="Arial"/>
          <w:color w:val="000000" w:themeColor="text1"/>
          <w:szCs w:val="24"/>
          <w:lang w:val="es-ES_tradnl" w:eastAsia="es-ES_tradnl"/>
        </w:rPr>
        <w:t xml:space="preserve">Asimismo, </w:t>
      </w:r>
      <w:r w:rsidRPr="004F5C65">
        <w:rPr>
          <w:rFonts w:ascii="Arial" w:eastAsia="Times New Roman" w:hAnsi="Arial" w:cs="Arial"/>
          <w:color w:val="000000" w:themeColor="text1"/>
          <w:szCs w:val="24"/>
          <w:lang w:eastAsia="es-ES_tradnl"/>
        </w:rPr>
        <w:t xml:space="preserve">ha analizado en múltiples ocasiones los principios de publicidad y de acceso a la información pública en la contratación estatal, y </w:t>
      </w:r>
      <w:r w:rsidRPr="004F5C65">
        <w:rPr>
          <w:rFonts w:ascii="Arial" w:eastAsia="Calibri" w:hAnsi="Arial" w:cs="Arial"/>
          <w:color w:val="000000" w:themeColor="text1"/>
          <w:szCs w:val="24"/>
          <w:lang w:val="es-ES" w:eastAsia="es-ES_tradnl"/>
        </w:rPr>
        <w:t xml:space="preserve">los fundamentos normativos del deber de publicar la documentación contractual en el SECOP en conceptos como el </w:t>
      </w:r>
      <w:r w:rsidRPr="004F5C65">
        <w:rPr>
          <w:rFonts w:ascii="Arial" w:eastAsia="Times New Roman" w:hAnsi="Arial" w:cs="Arial"/>
          <w:color w:val="000000" w:themeColor="text1"/>
          <w:szCs w:val="24"/>
          <w:lang w:eastAsia="es-ES_tradnl"/>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w:t>
      </w:r>
      <w:r w:rsidRPr="004F5C65">
        <w:rPr>
          <w:rFonts w:ascii="Arial" w:eastAsia="Times New Roman" w:hAnsi="Arial" w:cs="Arial"/>
          <w:color w:val="000000" w:themeColor="text1"/>
          <w:szCs w:val="24"/>
          <w:lang w:val="es-ES_tradnl" w:eastAsia="es-ES_tradnl"/>
        </w:rPr>
        <w:t>. De igual manera, recientemente se pronunció sobre la interpretación del artículo 53 de la Ley 2195 de 2022, entre otros, en los conceptos C-049 del 7 de marzo de 2022, C-120 del 22 de marzo de 2022, C-124 del 22 de marzo de 2022, C-132 del 28 de marzo de 2022</w:t>
      </w:r>
      <w:r>
        <w:rPr>
          <w:rFonts w:ascii="Arial" w:eastAsia="Times New Roman" w:hAnsi="Arial" w:cs="Arial"/>
          <w:color w:val="000000" w:themeColor="text1"/>
          <w:szCs w:val="24"/>
          <w:lang w:val="es-ES_tradnl" w:eastAsia="es-ES_tradnl"/>
        </w:rPr>
        <w:t>,</w:t>
      </w:r>
      <w:r w:rsidR="00EC7B10">
        <w:rPr>
          <w:rFonts w:ascii="Arial" w:eastAsia="Times New Roman" w:hAnsi="Arial" w:cs="Arial"/>
          <w:color w:val="000000" w:themeColor="text1"/>
          <w:szCs w:val="24"/>
          <w:lang w:val="es-ES_tradnl" w:eastAsia="es-ES_tradnl"/>
        </w:rPr>
        <w:t xml:space="preserve"> </w:t>
      </w:r>
      <w:r w:rsidRPr="004F5C65">
        <w:rPr>
          <w:rFonts w:ascii="Arial" w:eastAsia="Times New Roman" w:hAnsi="Arial" w:cs="Arial"/>
          <w:color w:val="000000" w:themeColor="text1"/>
          <w:szCs w:val="24"/>
          <w:lang w:val="es-ES_tradnl" w:eastAsia="es-ES_tradnl"/>
        </w:rPr>
        <w:t>C-348 del 13 de junio de 2022</w:t>
      </w:r>
      <w:r>
        <w:rPr>
          <w:rFonts w:ascii="Arial" w:eastAsia="Times New Roman" w:hAnsi="Arial" w:cs="Arial"/>
          <w:color w:val="000000" w:themeColor="text1"/>
          <w:szCs w:val="24"/>
          <w:lang w:val="es-ES_tradnl" w:eastAsia="es-ES_tradnl"/>
        </w:rPr>
        <w:t xml:space="preserve"> y C-901 del 22 de diciembre de 2022</w:t>
      </w:r>
      <w:r w:rsidRPr="004F5C65">
        <w:rPr>
          <w:rFonts w:ascii="Arial" w:eastAsia="Times New Roman" w:hAnsi="Arial" w:cs="Arial"/>
          <w:color w:val="000000" w:themeColor="text1"/>
          <w:szCs w:val="24"/>
          <w:lang w:val="es-ES_tradnl" w:eastAsia="es-ES_tradnl"/>
        </w:rPr>
        <w:t xml:space="preserve">. </w:t>
      </w:r>
      <w:r w:rsidRPr="004F5C65">
        <w:rPr>
          <w:rFonts w:ascii="Arial" w:eastAsia="Calibri" w:hAnsi="Arial" w:cs="Arial"/>
          <w:color w:val="000000" w:themeColor="text1"/>
          <w:lang w:val="es-ES_tradnl"/>
        </w:rPr>
        <w:t>La tesis planteada en tales conceptos se reitera en esta ocasión y se complementa con algunas consideraciones relativas a la consulta bajo análisis.</w:t>
      </w:r>
    </w:p>
    <w:p w14:paraId="20AA2952" w14:textId="77777777" w:rsidR="002A76FC" w:rsidRPr="004F5C65" w:rsidRDefault="002A76FC" w:rsidP="002A76FC">
      <w:pPr>
        <w:tabs>
          <w:tab w:val="left" w:pos="426"/>
          <w:tab w:val="left" w:pos="851"/>
        </w:tabs>
        <w:spacing w:after="0" w:line="276" w:lineRule="auto"/>
        <w:jc w:val="both"/>
        <w:rPr>
          <w:rFonts w:ascii="Arial" w:hAnsi="Arial" w:cs="Arial"/>
          <w:b/>
          <w:bCs/>
          <w:color w:val="000000" w:themeColor="text1"/>
          <w:bdr w:val="none" w:sz="0" w:space="0" w:color="auto" w:frame="1"/>
          <w:lang w:val="es-ES_tradnl" w:eastAsia="es-MX"/>
        </w:rPr>
      </w:pPr>
    </w:p>
    <w:p w14:paraId="3AFFF18D" w14:textId="322CB66F" w:rsidR="002A76FC" w:rsidRPr="004F5C65" w:rsidRDefault="002A76FC" w:rsidP="002A76FC">
      <w:pPr>
        <w:tabs>
          <w:tab w:val="left" w:pos="426"/>
          <w:tab w:val="left" w:pos="851"/>
        </w:tabs>
        <w:spacing w:after="0" w:line="276" w:lineRule="auto"/>
        <w:jc w:val="both"/>
        <w:rPr>
          <w:rFonts w:ascii="Arial" w:hAnsi="Arial" w:cs="Arial"/>
          <w:b/>
          <w:bCs/>
          <w:color w:val="000000" w:themeColor="text1"/>
          <w:bdr w:val="none" w:sz="0" w:space="0" w:color="auto" w:frame="1"/>
          <w:lang w:val="es-ES_tradnl" w:eastAsia="es-MX"/>
        </w:rPr>
      </w:pPr>
      <w:r w:rsidRPr="004F5C65">
        <w:rPr>
          <w:rFonts w:ascii="Arial" w:hAnsi="Arial" w:cs="Arial"/>
          <w:b/>
          <w:bCs/>
          <w:color w:val="000000" w:themeColor="text1"/>
          <w:bdr w:val="none" w:sz="0" w:space="0" w:color="auto" w:frame="1"/>
          <w:lang w:val="es-ES_tradnl" w:eastAsia="es-MX"/>
        </w:rPr>
        <w:t xml:space="preserve">2.1. Naturaleza jurídica de los </w:t>
      </w:r>
      <w:r w:rsidRPr="00EC7B10">
        <w:rPr>
          <w:rFonts w:ascii="Arial" w:hAnsi="Arial" w:cs="Arial"/>
          <w:b/>
          <w:bCs/>
          <w:color w:val="000000" w:themeColor="text1"/>
          <w:bdr w:val="none" w:sz="0" w:space="0" w:color="auto" w:frame="1"/>
          <w:lang w:val="es-ES_tradnl" w:eastAsia="es-MX"/>
        </w:rPr>
        <w:t>esquemas asociativos territoriales</w:t>
      </w:r>
      <w:r w:rsidRPr="004F5C65">
        <w:rPr>
          <w:rFonts w:ascii="Arial" w:hAnsi="Arial" w:cs="Arial"/>
          <w:b/>
          <w:bCs/>
          <w:color w:val="000000" w:themeColor="text1"/>
          <w:bdr w:val="none" w:sz="0" w:space="0" w:color="auto" w:frame="1"/>
          <w:lang w:val="es-ES_tradnl" w:eastAsia="es-MX"/>
        </w:rPr>
        <w:t xml:space="preserve"> y su régimen de contratación</w:t>
      </w:r>
    </w:p>
    <w:p w14:paraId="07E281FF" w14:textId="77777777" w:rsidR="002A76FC" w:rsidRPr="004F5C65" w:rsidRDefault="002A76FC" w:rsidP="002A76FC">
      <w:pPr>
        <w:shd w:val="clear" w:color="auto" w:fill="FFFFFF"/>
        <w:spacing w:after="0"/>
        <w:jc w:val="both"/>
        <w:textAlignment w:val="baseline"/>
        <w:rPr>
          <w:rFonts w:ascii="Arial" w:hAnsi="Arial" w:cs="Arial"/>
          <w:b/>
          <w:bCs/>
          <w:color w:val="000000" w:themeColor="text1"/>
          <w:bdr w:val="none" w:sz="0" w:space="0" w:color="auto" w:frame="1"/>
          <w:lang w:val="es-ES_tradnl" w:eastAsia="es-MX"/>
        </w:rPr>
      </w:pPr>
    </w:p>
    <w:p w14:paraId="17A1C9F6" w14:textId="77777777" w:rsidR="002A76FC" w:rsidRPr="004F5C65" w:rsidRDefault="002A76FC" w:rsidP="002A76FC">
      <w:pPr>
        <w:spacing w:after="0" w:line="276" w:lineRule="auto"/>
        <w:jc w:val="both"/>
        <w:rPr>
          <w:rFonts w:ascii="Arial" w:hAnsi="Arial" w:cs="Arial"/>
          <w:color w:val="000000" w:themeColor="text1"/>
          <w:bdr w:val="none" w:sz="0" w:space="0" w:color="auto" w:frame="1"/>
          <w:lang w:val="es-ES_tradnl" w:eastAsia="es-MX"/>
        </w:rPr>
      </w:pPr>
      <w:r w:rsidRPr="004F5C65">
        <w:rPr>
          <w:rFonts w:ascii="Arial" w:hAnsi="Arial" w:cs="Arial"/>
          <w:color w:val="000000" w:themeColor="text1"/>
          <w:bdr w:val="none" w:sz="0" w:space="0" w:color="auto" w:frame="1"/>
          <w:lang w:val="es-ES_tradnl" w:eastAsia="es-MX"/>
        </w:rPr>
        <w:t xml:space="preserve">El artículo 286 de la Constitución Política establece que </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Son entidades territoriales los departamentos, los distritos, los municipios y los territorios indígenas</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 xml:space="preserve">. Además, dispone que </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La ley podrá darles el carácter de entidades territoriales a las regiones y provincias que se constituyan en los términos de la Constitución y de la ley</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 xml:space="preserve">. En desarrollo de este precepto normativo, la Ley 1454 de 2011, </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por la cual se dictan normas orgánicas sobre ordenamiento territorial y se modifican otras disposiciones</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 xml:space="preserve">, regula los denominados </w:t>
      </w:r>
      <w:r w:rsidRPr="00CE7902">
        <w:rPr>
          <w:rFonts w:ascii="Arial" w:hAnsi="Arial" w:cs="Arial"/>
          <w:i/>
          <w:iCs/>
          <w:color w:val="000000" w:themeColor="text1"/>
          <w:bdr w:val="none" w:sz="0" w:space="0" w:color="auto" w:frame="1"/>
          <w:lang w:val="es-ES_tradnl" w:eastAsia="es-MX"/>
        </w:rPr>
        <w:t xml:space="preserve">esquemas asociativos </w:t>
      </w:r>
      <w:r w:rsidRPr="00CE7902">
        <w:rPr>
          <w:rFonts w:ascii="Arial" w:hAnsi="Arial" w:cs="Arial"/>
          <w:i/>
          <w:iCs/>
          <w:color w:val="000000" w:themeColor="text1"/>
          <w:bdr w:val="none" w:sz="0" w:space="0" w:color="auto" w:frame="1"/>
          <w:lang w:val="es-ES_tradnl" w:eastAsia="es-MX"/>
        </w:rPr>
        <w:lastRenderedPageBreak/>
        <w:t>territoriales</w:t>
      </w:r>
      <w:r w:rsidRPr="00EC7B10">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 xml:space="preserve"> como mecanismos de cooperación entre aquellas entidades. En tal sentido, el artículo 10 de dicha Ley señala que </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w:t>
      </w:r>
    </w:p>
    <w:p w14:paraId="34CDB04B" w14:textId="77777777" w:rsidR="002A76FC" w:rsidRPr="004F5C65" w:rsidRDefault="002A76FC" w:rsidP="002A76FC">
      <w:pPr>
        <w:spacing w:before="120" w:after="0" w:line="276" w:lineRule="auto"/>
        <w:ind w:firstLine="709"/>
        <w:jc w:val="both"/>
        <w:rPr>
          <w:rFonts w:ascii="Arial" w:hAnsi="Arial" w:cs="Arial"/>
          <w:color w:val="000000" w:themeColor="text1"/>
          <w:bdr w:val="none" w:sz="0" w:space="0" w:color="auto" w:frame="1"/>
          <w:lang w:eastAsia="es-MX"/>
        </w:rPr>
      </w:pPr>
      <w:r w:rsidRPr="004F5C65">
        <w:rPr>
          <w:rFonts w:ascii="Arial" w:hAnsi="Arial" w:cs="Arial"/>
          <w:color w:val="000000" w:themeColor="text1"/>
          <w:bdr w:val="none" w:sz="0" w:space="0" w:color="auto" w:frame="1"/>
          <w:lang w:val="es-ES_tradnl" w:eastAsia="es-MX"/>
        </w:rPr>
        <w:t xml:space="preserve">En cuanto a la constitución de los esquemas asociativos territoriales, el artículo 11 de la Ley en comento establece que </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eastAsia="es-MX"/>
        </w:rPr>
        <w:t>Las asociaciones de entidades territoriales se conformarán libremente por dos o más entes territoriales para prestar conjuntamente servicios públicos, funciones administrativas propias o asignadas al ente territorial por el nivel nacional, ejecutar obras de interés común o cumplir funciones de planificación, así como para procurar el desarrollo integral de sus territorios</w:t>
      </w:r>
      <w:r>
        <w:rPr>
          <w:rFonts w:ascii="Arial" w:hAnsi="Arial" w:cs="Arial"/>
          <w:color w:val="000000" w:themeColor="text1"/>
          <w:bdr w:val="none" w:sz="0" w:space="0" w:color="auto" w:frame="1"/>
          <w:lang w:eastAsia="es-MX"/>
        </w:rPr>
        <w:t>”</w:t>
      </w:r>
      <w:r w:rsidRPr="004F5C65">
        <w:rPr>
          <w:rFonts w:ascii="Arial" w:hAnsi="Arial" w:cs="Arial"/>
          <w:color w:val="000000" w:themeColor="text1"/>
          <w:bdr w:val="none" w:sz="0" w:space="0" w:color="auto" w:frame="1"/>
          <w:lang w:eastAsia="es-MX"/>
        </w:rPr>
        <w:t xml:space="preserve">. En armonía con lo anterior, el artículo 17 del mismo cuerpo normativo señala, frente a la naturaleza de estos esquemas, que </w:t>
      </w:r>
      <w:r>
        <w:rPr>
          <w:rFonts w:ascii="Arial" w:hAnsi="Arial" w:cs="Arial"/>
          <w:color w:val="000000" w:themeColor="text1"/>
          <w:bdr w:val="none" w:sz="0" w:space="0" w:color="auto" w:frame="1"/>
          <w:lang w:eastAsia="es-MX"/>
        </w:rPr>
        <w:t>“</w:t>
      </w:r>
      <w:r w:rsidRPr="004F5C65">
        <w:rPr>
          <w:rFonts w:ascii="Arial" w:hAnsi="Arial" w:cs="Arial"/>
          <w:color w:val="000000" w:themeColor="text1"/>
          <w:bdr w:val="none" w:sz="0" w:space="0" w:color="auto" w:frame="1"/>
          <w:lang w:eastAsia="es-MX"/>
        </w:rPr>
        <w:t>Las asociaciones de departamentos, las provincias y las asociaciones de distritos y de municipios son entidades administrativas de derecho público, con personería jurídica y patrimonio propio e independiente de los entes que la conforman</w:t>
      </w:r>
      <w:r>
        <w:rPr>
          <w:rFonts w:ascii="Arial" w:hAnsi="Arial" w:cs="Arial"/>
          <w:color w:val="000000" w:themeColor="text1"/>
          <w:bdr w:val="none" w:sz="0" w:space="0" w:color="auto" w:frame="1"/>
          <w:lang w:eastAsia="es-MX"/>
        </w:rPr>
        <w:t>”</w:t>
      </w:r>
      <w:r w:rsidRPr="004F5C65">
        <w:rPr>
          <w:rFonts w:ascii="Arial" w:hAnsi="Arial" w:cs="Arial"/>
          <w:color w:val="000000" w:themeColor="text1"/>
          <w:bdr w:val="none" w:sz="0" w:space="0" w:color="auto" w:frame="1"/>
          <w:lang w:eastAsia="es-MX"/>
        </w:rPr>
        <w:t>. Por tal razón, el artículo 18 les reconoce capacidad contractual.</w:t>
      </w:r>
    </w:p>
    <w:p w14:paraId="51F1037D" w14:textId="77777777" w:rsidR="002A76FC" w:rsidRPr="00BF2C1B" w:rsidRDefault="002A76FC" w:rsidP="002A76FC">
      <w:pPr>
        <w:spacing w:before="120" w:after="0" w:line="276" w:lineRule="auto"/>
        <w:ind w:firstLine="709"/>
        <w:jc w:val="both"/>
        <w:rPr>
          <w:rFonts w:ascii="Arial" w:hAnsi="Arial" w:cs="Arial"/>
          <w:color w:val="000000" w:themeColor="text1"/>
          <w:bdr w:val="none" w:sz="0" w:space="0" w:color="auto" w:frame="1"/>
          <w:lang w:eastAsia="es-MX"/>
        </w:rPr>
      </w:pPr>
      <w:r w:rsidRPr="004F5C65">
        <w:rPr>
          <w:rFonts w:ascii="Arial" w:hAnsi="Arial" w:cs="Arial"/>
          <w:color w:val="000000" w:themeColor="text1"/>
          <w:bdr w:val="none" w:sz="0" w:space="0" w:color="auto" w:frame="1"/>
          <w:lang w:val="es-ES_tradnl" w:eastAsia="es-MX"/>
        </w:rPr>
        <w:t xml:space="preserve">Dicho lo anterior, cabe señalar </w:t>
      </w:r>
      <w:r w:rsidRPr="00BF2C1B">
        <w:rPr>
          <w:rFonts w:ascii="Arial" w:hAnsi="Arial" w:cs="Arial"/>
          <w:color w:val="000000" w:themeColor="text1"/>
          <w:bdr w:val="none" w:sz="0" w:space="0" w:color="auto" w:frame="1"/>
          <w:lang w:val="es-ES_tradnl" w:eastAsia="es-MX"/>
        </w:rPr>
        <w:t xml:space="preserve">que </w:t>
      </w:r>
      <w:r w:rsidRPr="00CE7902">
        <w:rPr>
          <w:rFonts w:ascii="Arial" w:hAnsi="Arial" w:cs="Arial"/>
          <w:color w:val="000000" w:themeColor="text1"/>
          <w:bdr w:val="none" w:sz="0" w:space="0" w:color="auto" w:frame="1"/>
          <w:lang w:val="es-ES_tradnl" w:eastAsia="es-MX"/>
        </w:rPr>
        <w:t>el régimen contractual de los esquemas asociativos territoriales es el Estatuto General de Contratación de la Administración Pública –en adelante EGCAP–</w:t>
      </w:r>
      <w:r w:rsidRPr="00BF2C1B">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 xml:space="preserve"> Lo anterior se fundamenta en lo previsto en el numeral 1 del artículo 2 de la Ley 80 de 1993, que define como entidades estatales, sujetas a dicho Estatuto a: </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 xml:space="preserve">. Así las cosas, el EGCAP establece que las personas jurídicas en las que el Estado tenga participación </w:t>
      </w:r>
      <w:r w:rsidRPr="00BF2C1B">
        <w:rPr>
          <w:rFonts w:ascii="Arial" w:hAnsi="Arial" w:cs="Arial"/>
          <w:color w:val="000000" w:themeColor="text1"/>
          <w:bdr w:val="none" w:sz="0" w:space="0" w:color="auto" w:frame="1"/>
          <w:lang w:val="es-ES_tradnl" w:eastAsia="es-MX"/>
        </w:rPr>
        <w:t xml:space="preserve">mayoritaria </w:t>
      </w:r>
      <w:r w:rsidRPr="00CE7902">
        <w:rPr>
          <w:rFonts w:ascii="Arial" w:hAnsi="Arial" w:cs="Arial"/>
          <w:color w:val="000000" w:themeColor="text1"/>
          <w:bdr w:val="none" w:sz="0" w:space="0" w:color="auto" w:frame="1"/>
          <w:lang w:val="es-ES_tradnl" w:eastAsia="es-MX"/>
        </w:rPr>
        <w:t xml:space="preserve">–como sucede, precisamente, en los esquemas asociativos territoriales– </w:t>
      </w:r>
      <w:r w:rsidRPr="00BF2C1B">
        <w:rPr>
          <w:rFonts w:ascii="Arial" w:hAnsi="Arial" w:cs="Arial"/>
          <w:color w:val="000000" w:themeColor="text1"/>
          <w:bdr w:val="none" w:sz="0" w:space="0" w:color="auto" w:frame="1"/>
          <w:lang w:val="es-ES_tradnl" w:eastAsia="es-MX"/>
        </w:rPr>
        <w:t>son entidades estatales, para efectos contractuales, razón por la cual se someten a dicho Estatuto.  </w:t>
      </w:r>
    </w:p>
    <w:p w14:paraId="24AB71DA" w14:textId="59444493" w:rsidR="002A76FC" w:rsidRPr="004F5C65" w:rsidRDefault="002A76FC" w:rsidP="00CE7902">
      <w:pPr>
        <w:spacing w:before="120" w:after="0" w:line="276" w:lineRule="auto"/>
        <w:ind w:firstLine="709"/>
        <w:jc w:val="both"/>
        <w:rPr>
          <w:rFonts w:ascii="Arial" w:hAnsi="Arial" w:cs="Arial"/>
          <w:color w:val="000000" w:themeColor="text1"/>
          <w:bdr w:val="none" w:sz="0" w:space="0" w:color="auto" w:frame="1"/>
          <w:lang w:val="es-ES_tradnl"/>
        </w:rPr>
      </w:pPr>
      <w:r w:rsidRPr="004F5C65">
        <w:rPr>
          <w:rFonts w:ascii="Arial" w:hAnsi="Arial" w:cs="Arial"/>
          <w:color w:val="000000" w:themeColor="text1"/>
          <w:bdr w:val="none" w:sz="0" w:space="0" w:color="auto" w:frame="1"/>
          <w:lang w:val="es-ES_tradnl" w:eastAsia="es-MX"/>
        </w:rPr>
        <w:t xml:space="preserve">De otro lado, incluso de forma más precisa, el fundamento normativo respecto del régimen contractual de los esquemas asociativos territoriales se encuentra en el artículo 10 de la Ley 1150 de 2007, que, de forma clara, señala que se regirán por el EGCAP. En efecto, dicha disposición prescribe: </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Las cooperativas, las asociaciones conformadas por entidades territoriales y en general los entes solidarios de carácter público estarán sometidos a las disposiciones del Estatuto General de Contratación de la Administración Pública</w:t>
      </w:r>
      <w:r>
        <w:rPr>
          <w:rFonts w:ascii="Arial" w:hAnsi="Arial" w:cs="Arial"/>
          <w:color w:val="000000" w:themeColor="text1"/>
          <w:bdr w:val="none" w:sz="0" w:space="0" w:color="auto" w:frame="1"/>
          <w:lang w:val="es-ES_tradnl" w:eastAsia="es-MX"/>
        </w:rPr>
        <w:t>”</w:t>
      </w:r>
      <w:r w:rsidRPr="004F5C65">
        <w:rPr>
          <w:rFonts w:ascii="Arial" w:hAnsi="Arial" w:cs="Arial"/>
          <w:color w:val="000000" w:themeColor="text1"/>
          <w:bdr w:val="none" w:sz="0" w:space="0" w:color="auto" w:frame="1"/>
          <w:lang w:val="es-ES_tradnl" w:eastAsia="es-MX"/>
        </w:rPr>
        <w:t>. Por tanto, se concluye que el régimen contractual de estas entidades no es especial, puesto que, por mandato legal, se someten al EGCAP.  </w:t>
      </w:r>
      <w:r w:rsidRPr="004F5C65">
        <w:rPr>
          <w:rStyle w:val="normaltextrun"/>
          <w:rFonts w:ascii="Arial" w:hAnsi="Arial" w:cs="Arial"/>
          <w:color w:val="000000" w:themeColor="text1"/>
          <w:sz w:val="20"/>
          <w:szCs w:val="20"/>
          <w:lang w:val="es-ES_tradnl"/>
        </w:rPr>
        <w:t xml:space="preserve"> </w:t>
      </w:r>
    </w:p>
    <w:p w14:paraId="603B89CA" w14:textId="77777777" w:rsidR="002A76FC" w:rsidRPr="004F5C65" w:rsidRDefault="002A76FC" w:rsidP="002A76FC">
      <w:pPr>
        <w:pStyle w:val="NormalWeb"/>
        <w:shd w:val="clear" w:color="auto" w:fill="FFFFFF"/>
        <w:spacing w:before="120" w:after="0" w:line="276" w:lineRule="auto"/>
        <w:ind w:firstLine="709"/>
        <w:jc w:val="both"/>
        <w:textAlignment w:val="baseline"/>
        <w:rPr>
          <w:rFonts w:ascii="Arial" w:hAnsi="Arial" w:cs="Arial"/>
          <w:color w:val="000000" w:themeColor="text1"/>
          <w:sz w:val="22"/>
          <w:szCs w:val="22"/>
          <w:bdr w:val="none" w:sz="0" w:space="0" w:color="auto" w:frame="1"/>
          <w:lang w:val="es-ES_tradnl"/>
        </w:rPr>
      </w:pPr>
      <w:r w:rsidRPr="004F5C65">
        <w:rPr>
          <w:rFonts w:ascii="Arial" w:hAnsi="Arial" w:cs="Arial"/>
          <w:color w:val="000000" w:themeColor="text1"/>
          <w:sz w:val="22"/>
          <w:szCs w:val="22"/>
          <w:bdr w:val="none" w:sz="0" w:space="0" w:color="auto" w:frame="1"/>
          <w:lang w:val="es-ES_tradnl"/>
        </w:rPr>
        <w:lastRenderedPageBreak/>
        <w:t>Lo anterior implica que los procedimientos que los esquemas asociativos territoriales deben llevar a cabo para seleccionar a sus contratistas son los establecidos en el Estatuto General de Contratación de la Administración Pública, los cuales se encuentran regulados actualmente en el</w:t>
      </w:r>
      <w:r w:rsidRPr="004F5C65">
        <w:rPr>
          <w:rStyle w:val="apple-converted-space"/>
          <w:rFonts w:ascii="Arial" w:hAnsi="Arial" w:cs="Arial"/>
          <w:color w:val="000000" w:themeColor="text1"/>
          <w:sz w:val="22"/>
          <w:szCs w:val="22"/>
          <w:bdr w:val="none" w:sz="0" w:space="0" w:color="auto" w:frame="1"/>
          <w:lang w:val="es-ES_tradnl"/>
        </w:rPr>
        <w:t> </w:t>
      </w:r>
      <w:r w:rsidRPr="004F5C65">
        <w:rPr>
          <w:rFonts w:ascii="Arial" w:hAnsi="Arial" w:cs="Arial"/>
          <w:color w:val="000000" w:themeColor="text1"/>
          <w:sz w:val="22"/>
          <w:szCs w:val="22"/>
          <w:bdr w:val="none" w:sz="0" w:space="0" w:color="auto" w:frame="1"/>
          <w:lang w:val="es-ES_tradnl"/>
        </w:rPr>
        <w:t>artículo 2 de la Ley 1150 de 2007. Así las cosas, para cumplir la finalidad atribuida a los esquemas asociativos territoriales, estos pueden emplear cualquiera de los procedimientos de selección de contratistas establecidos en dicho artículo, de acuerdo con las causales y criterios de procedencia de cada una de dichas modalidades de selección.</w:t>
      </w:r>
    </w:p>
    <w:p w14:paraId="6722032A" w14:textId="77777777" w:rsidR="002A76FC" w:rsidRPr="004F5C65" w:rsidRDefault="002A76FC" w:rsidP="002A76FC">
      <w:pPr>
        <w:pStyle w:val="NormalWeb"/>
        <w:shd w:val="clear" w:color="auto" w:fill="FFFFFF"/>
        <w:spacing w:before="120" w:after="0" w:line="276" w:lineRule="auto"/>
        <w:ind w:firstLine="709"/>
        <w:jc w:val="both"/>
        <w:textAlignment w:val="baseline"/>
        <w:rPr>
          <w:rFonts w:ascii="Arial" w:hAnsi="Arial" w:cs="Arial"/>
          <w:color w:val="000000" w:themeColor="text1"/>
          <w:sz w:val="22"/>
          <w:szCs w:val="22"/>
          <w:bdr w:val="none" w:sz="0" w:space="0" w:color="auto" w:frame="1"/>
          <w:lang w:val="es-ES_tradnl"/>
        </w:rPr>
      </w:pPr>
      <w:r w:rsidRPr="004F5C65">
        <w:rPr>
          <w:rFonts w:ascii="Arial" w:hAnsi="Arial" w:cs="Arial"/>
          <w:color w:val="000000" w:themeColor="text1"/>
          <w:sz w:val="22"/>
          <w:szCs w:val="22"/>
          <w:bdr w:val="none" w:sz="0" w:space="0" w:color="auto" w:frame="1"/>
          <w:lang w:val="es-ES_tradnl"/>
        </w:rPr>
        <w:t xml:space="preserve">En otras palabras, </w:t>
      </w:r>
      <w:r w:rsidRPr="004F5C65">
        <w:rPr>
          <w:rFonts w:ascii="Arial" w:hAnsi="Arial" w:cs="Arial"/>
          <w:color w:val="000000" w:themeColor="text1"/>
          <w:sz w:val="22"/>
          <w:szCs w:val="22"/>
          <w:lang w:val="es-ES_tradnl"/>
        </w:rPr>
        <w:t xml:space="preserve">teniendo en cuenta cada necesidad, y de acuerdo con el objeto a contratar, los esquemas asociativos territoriales, como contratantes y destinatarios del EGCAP, deberán adelantar los diferentes procesos de selección, ya sea de licitación pública, selección abreviada, concurso de méritos, mínima cuantía o contratación directa, sin perjuicio de atender las mismas restricciones previstas por la Ley para la procedencia de algunas de estas modalidades. Esto simplemente reitera la idea orientadora, en el sentido de que, al tratarse de entidades estatales sometidas al EGCAP, cuando fungen como contratantes, para seleccionar a sus contratistas deberán aplicar los procedimientos de selección establecidos para las entidades sometidas a dicho estatuto contractual. </w:t>
      </w:r>
    </w:p>
    <w:p w14:paraId="1EE05AF8" w14:textId="77777777" w:rsidR="002A76FC" w:rsidRPr="00CE7902" w:rsidRDefault="002A76FC" w:rsidP="002A76FC">
      <w:pPr>
        <w:spacing w:after="0" w:line="276" w:lineRule="auto"/>
        <w:jc w:val="both"/>
        <w:rPr>
          <w:rFonts w:ascii="Arial" w:eastAsia="Calibri" w:hAnsi="Arial" w:cs="Arial"/>
          <w:color w:val="000000" w:themeColor="text1"/>
          <w:sz w:val="18"/>
          <w:szCs w:val="18"/>
          <w:lang w:val="es-ES_tradnl"/>
        </w:rPr>
      </w:pPr>
    </w:p>
    <w:p w14:paraId="200EA779" w14:textId="35CB957F" w:rsidR="002A76FC" w:rsidRPr="004F5C65" w:rsidRDefault="002A76FC" w:rsidP="002A76FC">
      <w:pPr>
        <w:tabs>
          <w:tab w:val="left" w:pos="284"/>
        </w:tabs>
        <w:spacing w:after="0" w:line="276" w:lineRule="auto"/>
        <w:contextualSpacing/>
        <w:jc w:val="both"/>
        <w:rPr>
          <w:rFonts w:ascii="Arial" w:eastAsia="Calibri" w:hAnsi="Arial" w:cs="Arial"/>
          <w:bCs/>
          <w:color w:val="000000" w:themeColor="text1"/>
          <w:lang w:val="es-ES_tradnl"/>
        </w:rPr>
      </w:pPr>
      <w:r w:rsidRPr="004F5C65">
        <w:rPr>
          <w:rFonts w:ascii="Arial" w:eastAsia="Calibri" w:hAnsi="Arial" w:cs="Arial"/>
          <w:b/>
          <w:color w:val="000000" w:themeColor="text1"/>
          <w:lang w:val="es-ES_tradnl"/>
        </w:rPr>
        <w:t>2.</w:t>
      </w:r>
      <w:r w:rsidR="00EC7B10">
        <w:rPr>
          <w:rFonts w:ascii="Arial" w:eastAsia="Calibri" w:hAnsi="Arial" w:cs="Arial"/>
          <w:b/>
          <w:color w:val="000000" w:themeColor="text1"/>
          <w:lang w:val="es-ES_tradnl"/>
        </w:rPr>
        <w:t>2</w:t>
      </w:r>
      <w:r w:rsidRPr="004F5C65">
        <w:rPr>
          <w:rFonts w:ascii="Arial" w:eastAsia="Calibri" w:hAnsi="Arial" w:cs="Arial"/>
          <w:b/>
          <w:color w:val="000000" w:themeColor="text1"/>
          <w:lang w:val="es-ES_tradnl"/>
        </w:rPr>
        <w:t xml:space="preserve">. </w:t>
      </w:r>
      <w:bookmarkStart w:id="3" w:name="_Hlk136603056"/>
      <w:r w:rsidR="00D43A8C">
        <w:rPr>
          <w:rFonts w:ascii="Arial" w:eastAsia="Calibri" w:hAnsi="Arial" w:cs="Arial"/>
          <w:b/>
          <w:color w:val="000000" w:themeColor="text1"/>
          <w:lang w:val="es-ES_tradnl"/>
        </w:rPr>
        <w:t xml:space="preserve">Obligatoriedad de uso </w:t>
      </w:r>
      <w:r w:rsidRPr="004F5C65">
        <w:rPr>
          <w:rFonts w:ascii="Arial" w:eastAsia="Calibri" w:hAnsi="Arial" w:cs="Arial"/>
          <w:b/>
          <w:color w:val="000000" w:themeColor="text1"/>
          <w:lang w:val="es-ES_tradnl"/>
        </w:rPr>
        <w:t>del SECOP</w:t>
      </w:r>
      <w:r w:rsidR="00E0220F">
        <w:rPr>
          <w:rFonts w:ascii="Arial" w:eastAsia="Calibri" w:hAnsi="Arial" w:cs="Arial"/>
          <w:b/>
          <w:color w:val="000000" w:themeColor="text1"/>
          <w:lang w:val="es-ES_tradnl"/>
        </w:rPr>
        <w:t xml:space="preserve"> II</w:t>
      </w:r>
      <w:r w:rsidRPr="004F5C65">
        <w:rPr>
          <w:rFonts w:ascii="Arial" w:eastAsia="Calibri" w:hAnsi="Arial" w:cs="Arial"/>
          <w:b/>
          <w:color w:val="000000" w:themeColor="text1"/>
          <w:lang w:val="es-ES_tradnl"/>
        </w:rPr>
        <w:t xml:space="preserve"> por </w:t>
      </w:r>
      <w:r w:rsidR="00D43A8C">
        <w:rPr>
          <w:rFonts w:ascii="Arial" w:eastAsia="Calibri" w:hAnsi="Arial" w:cs="Arial"/>
          <w:b/>
          <w:color w:val="000000" w:themeColor="text1"/>
          <w:lang w:val="es-ES_tradnl"/>
        </w:rPr>
        <w:t>parte</w:t>
      </w:r>
      <w:r w:rsidR="00D43A8C" w:rsidRPr="004F5C65">
        <w:rPr>
          <w:rFonts w:ascii="Arial" w:eastAsia="Calibri" w:hAnsi="Arial" w:cs="Arial"/>
          <w:b/>
          <w:color w:val="000000" w:themeColor="text1"/>
          <w:lang w:val="es-ES_tradnl"/>
        </w:rPr>
        <w:t xml:space="preserve"> </w:t>
      </w:r>
      <w:r w:rsidRPr="004F5C65">
        <w:rPr>
          <w:rFonts w:ascii="Arial" w:eastAsia="Calibri" w:hAnsi="Arial" w:cs="Arial"/>
          <w:b/>
          <w:color w:val="000000" w:themeColor="text1"/>
          <w:lang w:val="es-ES_tradnl"/>
        </w:rPr>
        <w:t>esquemas asociativos territoriales</w:t>
      </w:r>
      <w:r w:rsidR="00E0220F">
        <w:rPr>
          <w:rFonts w:ascii="Arial" w:eastAsia="Calibri" w:hAnsi="Arial" w:cs="Arial"/>
          <w:b/>
          <w:color w:val="000000" w:themeColor="text1"/>
          <w:lang w:val="es-ES_tradnl"/>
        </w:rPr>
        <w:t xml:space="preserve">. La Región Administrativa Territorial para la Amazonia. </w:t>
      </w:r>
    </w:p>
    <w:bookmarkEnd w:id="3"/>
    <w:p w14:paraId="6D3B9C74" w14:textId="77777777" w:rsidR="002A76FC" w:rsidRPr="00CE7902" w:rsidRDefault="002A76FC" w:rsidP="002A76FC">
      <w:pPr>
        <w:tabs>
          <w:tab w:val="left" w:pos="284"/>
        </w:tabs>
        <w:spacing w:after="0" w:line="276" w:lineRule="auto"/>
        <w:contextualSpacing/>
        <w:jc w:val="both"/>
        <w:rPr>
          <w:rFonts w:ascii="Arial" w:eastAsia="Calibri" w:hAnsi="Arial" w:cs="Arial"/>
          <w:bCs/>
          <w:color w:val="000000" w:themeColor="text1"/>
          <w:sz w:val="18"/>
          <w:szCs w:val="18"/>
          <w:lang w:val="es-ES_tradnl"/>
        </w:rPr>
      </w:pPr>
    </w:p>
    <w:p w14:paraId="22EE03A1" w14:textId="4A6E510D" w:rsidR="002A76FC" w:rsidRPr="004F5C65" w:rsidRDefault="002A76FC" w:rsidP="002A76FC">
      <w:pPr>
        <w:spacing w:after="0" w:line="276" w:lineRule="auto"/>
        <w:jc w:val="both"/>
        <w:rPr>
          <w:rFonts w:ascii="Arial" w:eastAsia="Calibri" w:hAnsi="Arial" w:cs="Arial"/>
          <w:color w:val="000000" w:themeColor="text1"/>
          <w:lang w:val="es-ES_tradnl"/>
        </w:rPr>
      </w:pPr>
      <w:r w:rsidRPr="004F5C65">
        <w:rPr>
          <w:rFonts w:ascii="Arial" w:eastAsia="Calibri" w:hAnsi="Arial" w:cs="Arial"/>
          <w:color w:val="000000" w:themeColor="text1"/>
          <w:lang w:val="es-ES_tradnl"/>
        </w:rPr>
        <w:t xml:space="preserve">El principio de publicidad impone a las autoridades el deber de dar a conocer sus actos, contratos y decisiones, para que se divulguen y eventualmente se controlen dichas actuaciones. Es por eso que, en la contratación estatal, el literal c) del artículo 3 de la Ley 1150 de 2007 establece el Sistema Electrónico para la Contratación Pública –SECOP– como un mecanismo que </w:t>
      </w:r>
      <w:r>
        <w:rPr>
          <w:rFonts w:ascii="Arial" w:eastAsia="Calibri" w:hAnsi="Arial" w:cs="Arial"/>
          <w:color w:val="000000" w:themeColor="text1"/>
          <w:lang w:val="es-ES_tradnl"/>
        </w:rPr>
        <w:t>“</w:t>
      </w:r>
      <w:r w:rsidRPr="004F5C65">
        <w:rPr>
          <w:rFonts w:ascii="Arial" w:eastAsia="Calibri" w:hAnsi="Arial" w:cs="Arial"/>
          <w:color w:val="000000" w:themeColor="text1"/>
          <w:lang w:val="es-ES_tradnl"/>
        </w:rPr>
        <w:t>contará con la información oficial de la contratación realizada con dineros públicos, para lo cual establecerá los patrones a que haya lugar y se encargará de su difusión a través de canales electrónicos</w:t>
      </w:r>
      <w:r>
        <w:rPr>
          <w:rFonts w:ascii="Arial" w:eastAsia="Calibri" w:hAnsi="Arial" w:cs="Arial"/>
          <w:color w:val="000000" w:themeColor="text1"/>
          <w:lang w:val="es-ES_tradnl"/>
        </w:rPr>
        <w:t>”</w:t>
      </w:r>
      <w:r w:rsidRPr="004F5C65">
        <w:rPr>
          <w:rStyle w:val="Refdenotaalpie"/>
          <w:rFonts w:ascii="Arial" w:eastAsia="Calibri" w:hAnsi="Arial" w:cs="Arial"/>
          <w:color w:val="000000" w:themeColor="text1"/>
          <w:lang w:val="es-ES_tradnl"/>
        </w:rPr>
        <w:footnoteReference w:id="2"/>
      </w:r>
      <w:r w:rsidRPr="004F5C65">
        <w:rPr>
          <w:rFonts w:ascii="Arial" w:eastAsia="Calibri" w:hAnsi="Arial" w:cs="Arial"/>
          <w:color w:val="000000" w:themeColor="text1"/>
          <w:lang w:val="es-ES_tradnl"/>
        </w:rPr>
        <w:t xml:space="preserve">. </w:t>
      </w:r>
      <w:r w:rsidR="000C0482">
        <w:rPr>
          <w:rFonts w:ascii="Arial" w:eastAsia="Calibri" w:hAnsi="Arial" w:cs="Arial"/>
          <w:color w:val="000000" w:themeColor="text1"/>
          <w:lang w:val="es-ES_tradnl"/>
        </w:rPr>
        <w:t xml:space="preserve">Esto a su vez se encuentra reglamentado </w:t>
      </w:r>
      <w:r w:rsidR="005C5727">
        <w:rPr>
          <w:rFonts w:ascii="Arial" w:eastAsia="Calibri" w:hAnsi="Arial" w:cs="Arial"/>
          <w:color w:val="000000" w:themeColor="text1"/>
          <w:lang w:val="es-ES_tradnl"/>
        </w:rPr>
        <w:t>por el artículo</w:t>
      </w:r>
      <w:r w:rsidR="00485A1C">
        <w:rPr>
          <w:rFonts w:ascii="Arial" w:eastAsia="Calibri" w:hAnsi="Arial" w:cs="Arial"/>
          <w:color w:val="000000" w:themeColor="text1"/>
          <w:lang w:val="es-ES_tradnl"/>
        </w:rPr>
        <w:t xml:space="preserve"> </w:t>
      </w:r>
      <w:r w:rsidR="00485A1C" w:rsidRPr="00485A1C">
        <w:rPr>
          <w:rFonts w:ascii="Arial" w:eastAsia="Calibri" w:hAnsi="Arial" w:cs="Arial"/>
          <w:color w:val="000000" w:themeColor="text1"/>
          <w:lang w:val="es-ES_tradnl"/>
        </w:rPr>
        <w:t>2.2.1.1.1.7.1</w:t>
      </w:r>
      <w:r w:rsidR="00485A1C">
        <w:rPr>
          <w:rFonts w:ascii="Arial" w:eastAsia="Calibri" w:hAnsi="Arial" w:cs="Arial"/>
          <w:color w:val="000000" w:themeColor="text1"/>
          <w:lang w:val="es-ES_tradnl"/>
        </w:rPr>
        <w:t xml:space="preserve"> de Decreto 1082 de 2015</w:t>
      </w:r>
      <w:r w:rsidR="00F264B3">
        <w:rPr>
          <w:rFonts w:ascii="Arial" w:eastAsia="Calibri" w:hAnsi="Arial" w:cs="Arial"/>
          <w:color w:val="000000" w:themeColor="text1"/>
          <w:lang w:val="es-ES_tradnl"/>
        </w:rPr>
        <w:t xml:space="preserve">, noma que indica la </w:t>
      </w:r>
      <w:r w:rsidR="008B20C1">
        <w:rPr>
          <w:rFonts w:ascii="Arial" w:eastAsia="Calibri" w:hAnsi="Arial" w:cs="Arial"/>
          <w:color w:val="000000" w:themeColor="text1"/>
          <w:lang w:val="es-ES_tradnl"/>
        </w:rPr>
        <w:t>obligación</w:t>
      </w:r>
      <w:r w:rsidR="00B65183">
        <w:rPr>
          <w:rFonts w:ascii="Arial" w:eastAsia="Calibri" w:hAnsi="Arial" w:cs="Arial"/>
          <w:color w:val="000000" w:themeColor="text1"/>
          <w:lang w:val="es-ES_tradnl"/>
        </w:rPr>
        <w:t xml:space="preserve"> de “[…] </w:t>
      </w:r>
      <w:r w:rsidR="00B65183" w:rsidRPr="00B65183">
        <w:rPr>
          <w:rFonts w:ascii="Arial" w:eastAsia="Calibri" w:hAnsi="Arial" w:cs="Arial"/>
          <w:color w:val="000000" w:themeColor="text1"/>
          <w:lang w:val="es-ES_tradnl"/>
        </w:rPr>
        <w:t xml:space="preserve">publicar en el Secop los Documentos del </w:t>
      </w:r>
      <w:r w:rsidR="00B65183" w:rsidRPr="00B65183">
        <w:rPr>
          <w:rFonts w:ascii="Arial" w:eastAsia="Calibri" w:hAnsi="Arial" w:cs="Arial"/>
          <w:color w:val="000000" w:themeColor="text1"/>
          <w:lang w:val="es-ES_tradnl"/>
        </w:rPr>
        <w:lastRenderedPageBreak/>
        <w:t>Proceso y los actos administrativos del Proceso de Contratación, dentro de los tres (3) días siguientes a su expedición</w:t>
      </w:r>
      <w:r w:rsidR="00B65183">
        <w:rPr>
          <w:rFonts w:ascii="Arial" w:eastAsia="Calibri" w:hAnsi="Arial" w:cs="Arial"/>
          <w:color w:val="000000" w:themeColor="text1"/>
          <w:lang w:val="es-ES_tradnl"/>
        </w:rPr>
        <w:t>”</w:t>
      </w:r>
      <w:r w:rsidR="00B65183">
        <w:rPr>
          <w:rStyle w:val="Refdenotaalpie"/>
          <w:rFonts w:ascii="Arial" w:eastAsia="Calibri" w:hAnsi="Arial" w:cs="Arial"/>
          <w:color w:val="000000" w:themeColor="text1"/>
          <w:lang w:val="es-ES_tradnl"/>
        </w:rPr>
        <w:footnoteReference w:id="3"/>
      </w:r>
      <w:r w:rsidR="00B65183">
        <w:rPr>
          <w:rFonts w:ascii="Arial" w:eastAsia="Calibri" w:hAnsi="Arial" w:cs="Arial"/>
          <w:color w:val="000000" w:themeColor="text1"/>
          <w:lang w:val="es-ES_tradnl"/>
        </w:rPr>
        <w:t>.</w:t>
      </w:r>
    </w:p>
    <w:p w14:paraId="200E0A23" w14:textId="77777777" w:rsidR="002A76FC" w:rsidRPr="004F5C65" w:rsidRDefault="002A76FC" w:rsidP="002A76FC">
      <w:pPr>
        <w:spacing w:before="120" w:after="0" w:line="276" w:lineRule="auto"/>
        <w:ind w:firstLine="709"/>
        <w:jc w:val="both"/>
        <w:rPr>
          <w:rFonts w:ascii="Arial" w:eastAsia="Calibri" w:hAnsi="Arial" w:cs="Arial"/>
          <w:color w:val="000000" w:themeColor="text1"/>
          <w:lang w:val="es-ES_tradnl"/>
        </w:rPr>
      </w:pPr>
      <w:r w:rsidRPr="004F5C65">
        <w:rPr>
          <w:rFonts w:ascii="Arial" w:hAnsi="Arial" w:cs="Arial"/>
          <w:color w:val="000000" w:themeColor="text1"/>
          <w:lang w:val="es-ES_tradnl"/>
        </w:rPr>
        <w:t xml:space="preserve">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w:t>
      </w:r>
      <w:r>
        <w:rPr>
          <w:rFonts w:ascii="Arial" w:hAnsi="Arial" w:cs="Arial"/>
          <w:color w:val="000000" w:themeColor="text1"/>
          <w:lang w:val="es-ES_tradnl"/>
        </w:rPr>
        <w:t>“</w:t>
      </w:r>
      <w:r w:rsidRPr="004F5C65">
        <w:rPr>
          <w:rFonts w:ascii="Arial" w:hAnsi="Arial" w:cs="Arial"/>
          <w:color w:val="000000" w:themeColor="text1"/>
          <w:lang w:val="es-ES_tradnl"/>
        </w:rPr>
        <w:t>toda información en posesión, bajo control o custodia de un sujeto obligado es pública y no podrá ser reservada o limitada sino por disposición constitucional o legal</w:t>
      </w:r>
      <w:r>
        <w:rPr>
          <w:rFonts w:ascii="Arial" w:hAnsi="Arial" w:cs="Arial"/>
          <w:color w:val="000000" w:themeColor="text1"/>
          <w:lang w:val="es-ES_tradnl"/>
        </w:rPr>
        <w:t>”</w:t>
      </w:r>
      <w:r w:rsidRPr="004F5C65">
        <w:rPr>
          <w:rStyle w:val="Refdenotaalpie"/>
          <w:rFonts w:ascii="Arial" w:hAnsi="Arial" w:cs="Arial"/>
          <w:color w:val="000000" w:themeColor="text1"/>
          <w:lang w:val="es-ES_tradnl"/>
        </w:rPr>
        <w:footnoteReference w:id="4"/>
      </w:r>
      <w:r w:rsidRPr="004F5C65">
        <w:rPr>
          <w:rFonts w:ascii="Arial" w:hAnsi="Arial" w:cs="Arial"/>
          <w:color w:val="000000" w:themeColor="text1"/>
          <w:lang w:val="es-ES_tradnl"/>
        </w:rPr>
        <w:t xml:space="preserve">. El principio de transparencia en la información alude al deber de los sujetos de proporcionar y facilitar el acceso a la misma en los términos más amplios posibles, y a través de los </w:t>
      </w:r>
      <w:r w:rsidRPr="00D43A8C">
        <w:rPr>
          <w:rFonts w:ascii="Arial" w:hAnsi="Arial" w:cs="Arial"/>
          <w:color w:val="000000" w:themeColor="text1"/>
          <w:lang w:val="es-ES_tradnl"/>
        </w:rPr>
        <w:t xml:space="preserve">medios y procedimientos legales. La ley estatutaria citada establece, en el literal e) del artículo 9, que </w:t>
      </w:r>
      <w:r w:rsidRPr="00CE7902">
        <w:rPr>
          <w:rFonts w:ascii="Arial" w:hAnsi="Arial" w:cs="Arial"/>
          <w:color w:val="000000" w:themeColor="text1"/>
          <w:lang w:val="es-ES_tradnl"/>
        </w:rPr>
        <w:t>los sujetos obligados, que son todas las entidades públicas</w:t>
      </w:r>
      <w:r w:rsidRPr="00CE7902">
        <w:rPr>
          <w:rStyle w:val="Refdenotaalpie"/>
          <w:rFonts w:ascii="Arial" w:hAnsi="Arial" w:cs="Arial"/>
          <w:color w:val="000000" w:themeColor="text1"/>
          <w:lang w:val="es-ES_tradnl"/>
        </w:rPr>
        <w:footnoteReference w:id="5"/>
      </w:r>
      <w:r w:rsidRPr="00CE7902">
        <w:rPr>
          <w:rFonts w:ascii="Arial" w:hAnsi="Arial" w:cs="Arial"/>
          <w:color w:val="000000" w:themeColor="text1"/>
          <w:lang w:val="es-ES_tradnl"/>
        </w:rPr>
        <w:t>, deben publicar la información relativa a su contratación</w:t>
      </w:r>
      <w:r w:rsidRPr="004F5C65">
        <w:rPr>
          <w:rFonts w:ascii="Arial" w:hAnsi="Arial" w:cs="Arial"/>
          <w:color w:val="000000" w:themeColor="text1"/>
          <w:lang w:val="es-ES_tradnl"/>
        </w:rPr>
        <w:t>. Esta obligación fue desarrollada por el Decreto Único Reglamentario 1081 de 2015</w:t>
      </w:r>
      <w:r w:rsidRPr="004F5C65">
        <w:rPr>
          <w:rStyle w:val="Refdenotaalpie"/>
          <w:rFonts w:ascii="Arial" w:hAnsi="Arial" w:cs="Arial"/>
          <w:color w:val="000000" w:themeColor="text1"/>
          <w:lang w:val="es-ES_tradnl"/>
        </w:rPr>
        <w:footnoteReference w:id="6"/>
      </w:r>
      <w:r w:rsidRPr="004F5C65">
        <w:rPr>
          <w:rFonts w:ascii="Arial" w:hAnsi="Arial" w:cs="Arial"/>
          <w:color w:val="000000" w:themeColor="text1"/>
          <w:lang w:val="es-ES_tradnl"/>
        </w:rPr>
        <w:t>, el cual dispuso que la publicación de la información contractual de los sujetos obligados, que contratan con cargo a recursos públicos, debe hacerse en el Sistema Electrónico para la Contratación Pública ─</w:t>
      </w:r>
      <w:r w:rsidRPr="004F5C65">
        <w:rPr>
          <w:rFonts w:ascii="Arial" w:hAnsi="Arial" w:cs="Arial"/>
          <w:color w:val="000000" w:themeColor="text1"/>
          <w:lang w:val="es-ES_tradnl"/>
        </w:rPr>
        <w:softHyphen/>
        <w:t xml:space="preserve"> </w:t>
      </w:r>
      <w:r w:rsidRPr="004F5C65">
        <w:rPr>
          <w:rFonts w:ascii="Arial" w:hAnsi="Arial" w:cs="Arial"/>
          <w:color w:val="000000" w:themeColor="text1"/>
          <w:lang w:val="es-ES_tradnl"/>
        </w:rPr>
        <w:softHyphen/>
        <w:t>SECOP–.</w:t>
      </w:r>
    </w:p>
    <w:p w14:paraId="55A7A19A" w14:textId="77777777" w:rsidR="002A76FC" w:rsidRPr="004F5C65" w:rsidRDefault="002A76FC" w:rsidP="002A76FC">
      <w:pPr>
        <w:spacing w:before="120" w:line="276" w:lineRule="auto"/>
        <w:ind w:firstLine="709"/>
        <w:jc w:val="both"/>
        <w:rPr>
          <w:rFonts w:ascii="Arial" w:hAnsi="Arial" w:cs="Arial"/>
          <w:color w:val="000000" w:themeColor="text1"/>
          <w:lang w:val="es-ES_tradnl"/>
        </w:rPr>
      </w:pPr>
      <w:r w:rsidRPr="004F5C65">
        <w:rPr>
          <w:rFonts w:ascii="Arial" w:hAnsi="Arial" w:cs="Arial"/>
          <w:color w:val="000000" w:themeColor="text1"/>
          <w:lang w:val="es-ES_tradnl"/>
        </w:rPr>
        <w:lastRenderedPageBreak/>
        <w:t xml:space="preserve">Asimismo, de acuerdo con el literal g) del artículo 11 de la misma Ley, todos los destinatarios de la ley de transparencia deben garantizar la publicidad de </w:t>
      </w:r>
      <w:r>
        <w:rPr>
          <w:rFonts w:ascii="Arial" w:hAnsi="Arial" w:cs="Arial"/>
          <w:color w:val="000000" w:themeColor="text1"/>
          <w:lang w:val="es-ES_tradnl"/>
        </w:rPr>
        <w:t>“</w:t>
      </w:r>
      <w:r w:rsidRPr="004F5C65">
        <w:rPr>
          <w:rFonts w:ascii="Arial" w:hAnsi="Arial" w:cs="Arial"/>
          <w:color w:val="000000" w:themeColor="text1"/>
          <w:lang w:val="es-ES_tradnl"/>
        </w:rPr>
        <w:t>sus procedimientos, lineamientos, políticas en materia de adquisiciones y compras, así como todos los datos de adjudicación y ejecución de contratos, incluidos concursos y licitaciones</w:t>
      </w:r>
      <w:r>
        <w:rPr>
          <w:rFonts w:ascii="Arial" w:hAnsi="Arial" w:cs="Arial"/>
          <w:color w:val="000000" w:themeColor="text1"/>
          <w:lang w:val="es-ES_tradnl"/>
        </w:rPr>
        <w:t>”</w:t>
      </w:r>
      <w:r w:rsidRPr="004F5C65">
        <w:rPr>
          <w:rFonts w:ascii="Arial" w:hAnsi="Arial" w:cs="Arial"/>
          <w:color w:val="000000" w:themeColor="text1"/>
          <w:lang w:val="es-ES_tradnl"/>
        </w:rPr>
        <w:t xml:space="preserve">, y esta información también debe estar en el SECOP. </w:t>
      </w:r>
      <w:r w:rsidRPr="004F5C65">
        <w:rPr>
          <w:rFonts w:ascii="Arial" w:eastAsia="Calibri" w:hAnsi="Arial" w:cs="Arial"/>
          <w:color w:val="000000" w:themeColor="text1"/>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4F5C65">
        <w:rPr>
          <w:rStyle w:val="Refdenotaalpie"/>
          <w:rFonts w:ascii="Arial" w:eastAsia="Calibri" w:hAnsi="Arial" w:cs="Arial"/>
          <w:color w:val="000000" w:themeColor="text1"/>
          <w:lang w:val="es-ES_tradnl"/>
        </w:rPr>
        <w:footnoteReference w:id="7"/>
      </w:r>
      <w:r w:rsidRPr="004F5C65">
        <w:rPr>
          <w:rFonts w:ascii="Arial" w:eastAsia="Calibri" w:hAnsi="Arial" w:cs="Arial"/>
          <w:color w:val="000000" w:themeColor="text1"/>
          <w:lang w:val="es-ES_tradnl"/>
        </w:rPr>
        <w:t>.</w:t>
      </w:r>
    </w:p>
    <w:p w14:paraId="1AEF7653" w14:textId="77777777" w:rsidR="002A76FC" w:rsidRPr="004F5C65" w:rsidRDefault="002A76FC" w:rsidP="002A76FC">
      <w:pPr>
        <w:spacing w:before="120" w:after="0" w:line="276" w:lineRule="auto"/>
        <w:ind w:firstLine="709"/>
        <w:jc w:val="both"/>
        <w:rPr>
          <w:rFonts w:ascii="Arial" w:hAnsi="Arial" w:cs="Arial"/>
          <w:color w:val="000000" w:themeColor="text1"/>
          <w:lang w:val="es-ES_tradnl"/>
        </w:rPr>
      </w:pPr>
      <w:r w:rsidRPr="004F5C65">
        <w:rPr>
          <w:rFonts w:ascii="Arial" w:eastAsia="Calibri" w:hAnsi="Arial" w:cs="Arial"/>
          <w:color w:val="000000" w:themeColor="text1"/>
          <w:lang w:val="es-ES_tradnl"/>
        </w:rPr>
        <w:t>La Agencia Nacional de Contratación Pública – Colombia Compra Eficiente tiene como función  administrar el SECOP</w:t>
      </w:r>
      <w:r w:rsidRPr="004F5C65">
        <w:rPr>
          <w:rFonts w:ascii="Arial" w:eastAsia="Calibri" w:hAnsi="Arial" w:cs="Arial"/>
          <w:color w:val="000000" w:themeColor="text1"/>
          <w:vertAlign w:val="superscript"/>
          <w:lang w:val="es-ES_tradnl"/>
        </w:rPr>
        <w:footnoteReference w:id="8"/>
      </w:r>
      <w:r w:rsidRPr="004F5C65">
        <w:rPr>
          <w:rFonts w:ascii="Arial" w:eastAsia="Calibri" w:hAnsi="Arial" w:cs="Arial"/>
          <w:color w:val="000000" w:themeColor="text1"/>
          <w:lang w:val="es-ES_tradnl"/>
        </w:rPr>
        <w:t>, por lo cual se desarrolló la primera versión  de la plataforma  –SECOP I–,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6F9B1EC6" w14:textId="5E330659" w:rsidR="002A76FC" w:rsidRPr="004F5C65" w:rsidRDefault="004E2A77" w:rsidP="002A76FC">
      <w:pPr>
        <w:spacing w:before="120" w:after="0" w:line="276" w:lineRule="auto"/>
        <w:ind w:firstLine="709"/>
        <w:jc w:val="both"/>
        <w:rPr>
          <w:rFonts w:ascii="Arial" w:hAnsi="Arial" w:cs="Arial"/>
          <w:color w:val="000000" w:themeColor="text1"/>
          <w:lang w:val="es-ES_tradnl"/>
        </w:rPr>
      </w:pPr>
      <w:r>
        <w:rPr>
          <w:rFonts w:ascii="Arial" w:eastAsia="Calibri" w:hAnsi="Arial" w:cs="Arial"/>
          <w:color w:val="000000" w:themeColor="text1"/>
          <w:lang w:val="es-ES_tradnl"/>
        </w:rPr>
        <w:t>Por su parte, e</w:t>
      </w:r>
      <w:r w:rsidR="002A76FC" w:rsidRPr="004F5C65">
        <w:rPr>
          <w:rFonts w:ascii="Arial" w:eastAsia="Calibri" w:hAnsi="Arial" w:cs="Arial"/>
          <w:color w:val="000000" w:themeColor="text1"/>
          <w:lang w:val="es-ES_tradnl"/>
        </w:rPr>
        <w:t xml:space="preserve">l SECOP II es una plataforma </w:t>
      </w:r>
      <w:r w:rsidR="002A76FC" w:rsidRPr="004F5C65">
        <w:rPr>
          <w:rFonts w:ascii="Arial" w:eastAsia="Calibri" w:hAnsi="Arial" w:cs="Arial"/>
          <w:i/>
          <w:iCs/>
          <w:color w:val="000000" w:themeColor="text1"/>
          <w:lang w:val="es-ES_tradnl"/>
        </w:rPr>
        <w:t>transaccional</w:t>
      </w:r>
      <w:r w:rsidR="002A76FC" w:rsidRPr="004F5C65">
        <w:rPr>
          <w:rFonts w:ascii="Arial" w:eastAsia="Calibri" w:hAnsi="Arial" w:cs="Arial"/>
          <w:color w:val="000000" w:themeColor="text1"/>
          <w:lang w:val="es-ES_tradnl"/>
        </w:rPr>
        <w:t>,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2CF87CDB" w14:textId="77777777" w:rsidR="002A76FC" w:rsidRPr="004F5C65" w:rsidRDefault="002A76FC" w:rsidP="002A76FC">
      <w:pPr>
        <w:spacing w:before="120" w:after="0" w:line="276" w:lineRule="auto"/>
        <w:ind w:firstLine="709"/>
        <w:jc w:val="both"/>
        <w:rPr>
          <w:rFonts w:ascii="Arial" w:hAnsi="Arial" w:cs="Arial"/>
          <w:color w:val="000000" w:themeColor="text1"/>
          <w:lang w:val="es-ES_tradnl"/>
        </w:rPr>
      </w:pPr>
      <w:r w:rsidRPr="004F5C65">
        <w:rPr>
          <w:rFonts w:ascii="Arial" w:eastAsia="Calibri" w:hAnsi="Arial" w:cs="Arial"/>
          <w:color w:val="000000" w:themeColor="text1"/>
          <w:lang w:val="es-ES_tradnl"/>
        </w:rPr>
        <w:t xml:space="preserve">La Agencia Nacional de Contratación Pública – Colombia Compra Eficiente realizó el despliegue de SECOP II a nivel territorial en el 2018 y 2019, por lo cual se expidió la Circular Externa No. 1 de 2019, sobre la obligatoriedad del uso del SECOP II, que dispuso: </w:t>
      </w:r>
      <w:r>
        <w:rPr>
          <w:rFonts w:ascii="Arial" w:eastAsia="Calibri" w:hAnsi="Arial" w:cs="Arial"/>
          <w:color w:val="000000" w:themeColor="text1"/>
          <w:lang w:val="es-ES_tradnl"/>
        </w:rPr>
        <w:t>“</w:t>
      </w:r>
      <w:r w:rsidRPr="004F5C65">
        <w:rPr>
          <w:rFonts w:ascii="Arial" w:eastAsia="Calibri" w:hAnsi="Arial" w:cs="Arial"/>
          <w:color w:val="000000" w:themeColor="text1"/>
          <w:lang w:val="es-ES_tradnl"/>
        </w:rPr>
        <w:t>A partir del 1 de enero de 2020, todos los procesos de contratación de las entidades relacionadas en el Anexo 1 de esta circular deberán gestionarse, exclusivamente, en el SECOP ll</w:t>
      </w:r>
      <w:r>
        <w:rPr>
          <w:rFonts w:ascii="Arial" w:eastAsia="Calibri" w:hAnsi="Arial" w:cs="Arial"/>
          <w:color w:val="000000" w:themeColor="text1"/>
          <w:lang w:val="es-ES_tradnl"/>
        </w:rPr>
        <w:t>”</w:t>
      </w:r>
      <w:r w:rsidRPr="004F5C65">
        <w:rPr>
          <w:rFonts w:ascii="Arial" w:eastAsia="Calibri" w:hAnsi="Arial" w:cs="Arial"/>
          <w:color w:val="000000" w:themeColor="text1"/>
          <w:lang w:val="es-ES_tradnl"/>
        </w:rPr>
        <w:t xml:space="preserve">. Esta se modificó parcialmente, mediante la Circular Externa No. 3 de 2020. Esta Agencia expidió también la Circular Externa No. 1 de 2021, </w:t>
      </w:r>
      <w:r>
        <w:rPr>
          <w:rFonts w:ascii="Arial" w:eastAsia="Calibri" w:hAnsi="Arial" w:cs="Arial"/>
          <w:color w:val="000000" w:themeColor="text1"/>
          <w:lang w:val="es-ES_tradnl"/>
        </w:rPr>
        <w:t>“</w:t>
      </w:r>
      <w:r w:rsidRPr="004F5C65">
        <w:rPr>
          <w:rFonts w:ascii="Arial" w:eastAsia="Calibri" w:hAnsi="Arial" w:cs="Arial"/>
          <w:color w:val="000000" w:themeColor="text1"/>
          <w:lang w:val="es-ES_tradnl"/>
        </w:rPr>
        <w:t xml:space="preserve">[…] </w:t>
      </w:r>
      <w:r w:rsidRPr="004F5C65">
        <w:rPr>
          <w:rFonts w:ascii="Arial" w:hAnsi="Arial" w:cs="Arial"/>
          <w:color w:val="000000" w:themeColor="text1"/>
          <w:szCs w:val="20"/>
          <w:shd w:val="clear" w:color="auto" w:fill="FFFFFF"/>
          <w:lang w:val="es-ES_tradnl"/>
        </w:rPr>
        <w:t>con el fin de dar directrices sobre la obligatoriedad del uso del SECOP II en 2021</w:t>
      </w:r>
      <w:r>
        <w:rPr>
          <w:rFonts w:ascii="Arial" w:eastAsia="Calibri" w:hAnsi="Arial" w:cs="Arial"/>
          <w:color w:val="000000" w:themeColor="text1"/>
          <w:lang w:val="es-ES_tradnl"/>
        </w:rPr>
        <w:t>”</w:t>
      </w:r>
      <w:r w:rsidRPr="004F5C65">
        <w:rPr>
          <w:rFonts w:ascii="Arial" w:eastAsia="Calibri" w:hAnsi="Arial" w:cs="Arial"/>
          <w:color w:val="000000" w:themeColor="text1"/>
          <w:lang w:val="es-ES_tradnl"/>
        </w:rPr>
        <w:t xml:space="preserve">, modificada posteriormente por la </w:t>
      </w:r>
      <w:r w:rsidRPr="00672D2F">
        <w:rPr>
          <w:rFonts w:ascii="Arial" w:eastAsia="Calibri" w:hAnsi="Arial" w:cs="Arial"/>
          <w:color w:val="000000" w:themeColor="text1"/>
          <w:lang w:val="es-ES_tradnl"/>
        </w:rPr>
        <w:t>Circular No. 2 de 2021, en relación con la publicación de los procesos de contratación bajo la modalidad de concurso de méritos.</w:t>
      </w:r>
      <w:r w:rsidRPr="004F5C65">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 xml:space="preserve">Posteriormente, también se expidió </w:t>
      </w:r>
      <w:r w:rsidRPr="00590171">
        <w:rPr>
          <w:rFonts w:ascii="Arial" w:eastAsia="Calibri" w:hAnsi="Arial" w:cs="Arial"/>
          <w:color w:val="000000" w:themeColor="text1"/>
          <w:lang w:val="es-ES_tradnl"/>
        </w:rPr>
        <w:t xml:space="preserve">la </w:t>
      </w:r>
      <w:r w:rsidRPr="00CE7902">
        <w:rPr>
          <w:rFonts w:ascii="Arial" w:eastAsia="Calibri" w:hAnsi="Arial" w:cs="Arial"/>
          <w:color w:val="000000" w:themeColor="text1"/>
          <w:lang w:val="es-ES_tradnl"/>
        </w:rPr>
        <w:t>Circular Externa No. 002 de 2022</w:t>
      </w:r>
      <w:r w:rsidRPr="00D858BB">
        <w:rPr>
          <w:rFonts w:ascii="Arial" w:eastAsia="Calibri" w:hAnsi="Arial" w:cs="Arial"/>
          <w:color w:val="000000" w:themeColor="text1"/>
          <w:lang w:val="es-ES_tradnl"/>
        </w:rPr>
        <w:t xml:space="preserve"> sobre</w:t>
      </w:r>
      <w:r>
        <w:rPr>
          <w:rFonts w:ascii="Arial" w:eastAsia="Calibri" w:hAnsi="Arial" w:cs="Arial"/>
          <w:color w:val="000000" w:themeColor="text1"/>
          <w:lang w:val="es-ES_tradnl"/>
        </w:rPr>
        <w:t xml:space="preserve"> la obligatoriedad </w:t>
      </w:r>
      <w:r>
        <w:rPr>
          <w:rFonts w:ascii="Arial" w:eastAsia="Calibri" w:hAnsi="Arial" w:cs="Arial"/>
          <w:color w:val="000000" w:themeColor="text1"/>
          <w:lang w:val="es-ES_tradnl"/>
        </w:rPr>
        <w:lastRenderedPageBreak/>
        <w:t xml:space="preserve">en el uso del SECOP II para la vigencia fiscal de 2022, dirigida a “Entidades estatales que por disposición legal cuentan con un régimen contractual excepcional al del Estatuto General de Contratación de la Administración Pública y </w:t>
      </w:r>
      <w:r w:rsidRPr="00E8119D">
        <w:rPr>
          <w:rFonts w:ascii="Arial" w:eastAsia="Calibri" w:hAnsi="Arial" w:cs="Arial"/>
          <w:color w:val="000000" w:themeColor="text1"/>
          <w:lang w:val="es-ES_tradnl"/>
        </w:rPr>
        <w:t>[…]</w:t>
      </w:r>
      <w:r>
        <w:rPr>
          <w:rFonts w:ascii="Arial" w:eastAsia="Calibri" w:hAnsi="Arial" w:cs="Arial"/>
          <w:color w:val="000000" w:themeColor="text1"/>
          <w:lang w:val="es-ES_tradnl"/>
        </w:rPr>
        <w:t xml:space="preserve"> Alcaldes Municipales (Administración central, y descentralizada), Órganos de Control, Órganos Autónomos e Independientes y en general, las entidades incluidas en el Anexo 1”.</w:t>
      </w:r>
    </w:p>
    <w:p w14:paraId="53DA98D3" w14:textId="77777777" w:rsidR="002A76FC" w:rsidRPr="004F5C65" w:rsidRDefault="002A76FC" w:rsidP="002A76FC">
      <w:pPr>
        <w:spacing w:before="120" w:after="0" w:line="276" w:lineRule="auto"/>
        <w:ind w:firstLine="709"/>
        <w:jc w:val="both"/>
        <w:rPr>
          <w:rFonts w:ascii="Arial" w:eastAsia="Calibri" w:hAnsi="Arial" w:cs="Arial"/>
          <w:color w:val="000000" w:themeColor="text1"/>
          <w:lang w:val="es-ES_tradnl"/>
        </w:rPr>
      </w:pPr>
      <w:r w:rsidRPr="004F5C65">
        <w:rPr>
          <w:rFonts w:ascii="Arial" w:eastAsia="Calibri" w:hAnsi="Arial" w:cs="Arial"/>
          <w:color w:val="000000" w:themeColor="text1"/>
          <w:lang w:val="es-ES_tradnl"/>
        </w:rPr>
        <w:t xml:space="preserve">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y físicos que se publican para cumplir las obligaciones de las entidades antes señaladas conforme al artículo 2.2.1.1.1.7.1 del Decreto 1082 de 2015. </w:t>
      </w:r>
    </w:p>
    <w:p w14:paraId="0425CA7F" w14:textId="77777777" w:rsidR="002A76FC" w:rsidRPr="004F5C65" w:rsidRDefault="002A76FC" w:rsidP="002A76FC">
      <w:pPr>
        <w:spacing w:before="120" w:after="0" w:line="276" w:lineRule="auto"/>
        <w:ind w:firstLine="709"/>
        <w:jc w:val="both"/>
        <w:rPr>
          <w:rFonts w:ascii="Arial" w:eastAsia="Calibri" w:hAnsi="Arial" w:cs="Arial"/>
          <w:color w:val="000000" w:themeColor="text1"/>
          <w:lang w:val="es-ES_tradnl"/>
        </w:rPr>
      </w:pPr>
      <w:r w:rsidRPr="004F5C65">
        <w:rPr>
          <w:rFonts w:ascii="Arial" w:eastAsia="Calibri" w:hAnsi="Arial" w:cs="Arial"/>
          <w:color w:val="000000" w:themeColor="text1"/>
          <w:lang w:val="es-ES_tradnl"/>
        </w:rPr>
        <w:t>Si bien los documentos</w:t>
      </w:r>
      <w:r w:rsidRPr="004F5C65">
        <w:rPr>
          <w:rFonts w:ascii="Arial" w:eastAsia="Calibri" w:hAnsi="Arial" w:cs="Arial"/>
          <w:i/>
          <w:iCs/>
          <w:color w:val="000000" w:themeColor="text1"/>
          <w:lang w:val="es-ES_tradnl"/>
        </w:rPr>
        <w:t xml:space="preserve"> </w:t>
      </w:r>
      <w:r w:rsidRPr="004F5C65">
        <w:rPr>
          <w:rFonts w:ascii="Arial" w:eastAsia="Calibri" w:hAnsi="Arial" w:cs="Arial"/>
          <w:color w:val="000000" w:themeColor="text1"/>
          <w:lang w:val="es-ES_tradnl"/>
        </w:rPr>
        <w:t xml:space="preserve">que deben publicarse en el SECOP II corresponden a los mismos que deben publicarse en el SECOP I, esto es, todos los expedidos con ocasión el </w:t>
      </w:r>
      <w:r w:rsidRPr="004F5C65">
        <w:rPr>
          <w:rFonts w:ascii="Arial" w:eastAsia="Calibri" w:hAnsi="Arial" w:cs="Arial"/>
          <w:i/>
          <w:iCs/>
          <w:color w:val="000000" w:themeColor="text1"/>
          <w:lang w:val="es-ES_tradnl"/>
        </w:rPr>
        <w:t xml:space="preserve">Proceso de Contratación </w:t>
      </w:r>
      <w:r w:rsidRPr="004F5C65">
        <w:rPr>
          <w:rFonts w:ascii="Arial" w:eastAsia="Calibri" w:hAnsi="Arial" w:cs="Arial"/>
          <w:color w:val="000000" w:themeColor="text1"/>
          <w:lang w:val="es-ES_tradnl"/>
        </w:rPr>
        <w:t xml:space="preserve">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Esto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bookmarkStart w:id="4" w:name="_Hlk46402307"/>
    </w:p>
    <w:p w14:paraId="38D61692" w14:textId="77777777" w:rsidR="002A76FC" w:rsidRPr="004F5C65" w:rsidRDefault="002A76FC" w:rsidP="002A76FC">
      <w:pPr>
        <w:spacing w:before="120" w:after="0" w:line="276" w:lineRule="auto"/>
        <w:ind w:firstLine="709"/>
        <w:jc w:val="both"/>
        <w:rPr>
          <w:rFonts w:ascii="Arial" w:eastAsia="Calibri" w:hAnsi="Arial" w:cs="Arial"/>
          <w:color w:val="000000" w:themeColor="text1"/>
          <w:lang w:val="es-ES_tradnl"/>
        </w:rPr>
      </w:pPr>
      <w:r w:rsidRPr="004F5C65">
        <w:rPr>
          <w:rFonts w:ascii="Arial" w:eastAsia="Calibri" w:hAnsi="Arial" w:cs="Arial"/>
          <w:color w:val="000000" w:themeColor="text1"/>
          <w:lang w:val="es-ES_tradnl"/>
        </w:rPr>
        <w:t xml:space="preserve">En ese orden, el carácter transaccional de SECOP II, como herramienta que permite no solo publicar sino también gestionar y crear </w:t>
      </w:r>
      <w:r w:rsidRPr="004F5C65">
        <w:rPr>
          <w:rFonts w:ascii="Arial" w:eastAsia="Calibri" w:hAnsi="Arial" w:cs="Arial"/>
          <w:i/>
          <w:iCs/>
          <w:color w:val="000000" w:themeColor="text1"/>
          <w:lang w:val="es-ES_tradnl"/>
        </w:rPr>
        <w:t xml:space="preserve">Documentos del Proceso, </w:t>
      </w:r>
      <w:r w:rsidRPr="004F5C65">
        <w:rPr>
          <w:rFonts w:ascii="Arial" w:eastAsia="Calibri" w:hAnsi="Arial" w:cs="Arial"/>
          <w:color w:val="000000" w:themeColor="text1"/>
          <w:lang w:val="es-ES_tradnl"/>
        </w:rPr>
        <w:t>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bookmarkEnd w:id="4"/>
      <w:r w:rsidRPr="004F5C65">
        <w:rPr>
          <w:rFonts w:ascii="Arial" w:eastAsia="Calibri" w:hAnsi="Arial" w:cs="Arial"/>
          <w:color w:val="000000" w:themeColor="text1"/>
          <w:lang w:val="es-ES_tradnl"/>
        </w:rPr>
        <w:t>.</w:t>
      </w:r>
    </w:p>
    <w:p w14:paraId="082CADDE" w14:textId="77777777" w:rsidR="002A76FC" w:rsidRPr="004F5C65" w:rsidRDefault="002A76FC" w:rsidP="002A76FC">
      <w:pPr>
        <w:spacing w:before="120" w:after="0" w:line="276" w:lineRule="auto"/>
        <w:ind w:firstLine="709"/>
        <w:jc w:val="both"/>
        <w:rPr>
          <w:rFonts w:ascii="Arial" w:eastAsia="Calibri" w:hAnsi="Arial" w:cs="Arial"/>
          <w:color w:val="000000" w:themeColor="text1"/>
          <w:lang w:val="es-ES_tradnl"/>
        </w:rPr>
      </w:pPr>
      <w:r w:rsidRPr="004F5C65">
        <w:rPr>
          <w:rFonts w:ascii="Arial" w:eastAsia="Calibri" w:hAnsi="Arial" w:cs="Arial"/>
          <w:color w:val="000000" w:themeColor="text1"/>
          <w:lang w:val="es-ES_tradnl"/>
        </w:rPr>
        <w:t>Ahora bien, el 18 de enero de</w:t>
      </w:r>
      <w:r>
        <w:rPr>
          <w:rFonts w:ascii="Arial" w:eastAsia="Calibri" w:hAnsi="Arial" w:cs="Arial"/>
          <w:color w:val="000000" w:themeColor="text1"/>
          <w:lang w:val="es-ES_tradnl"/>
        </w:rPr>
        <w:t xml:space="preserve"> 2022</w:t>
      </w:r>
      <w:r w:rsidRPr="004F5C65">
        <w:rPr>
          <w:rFonts w:ascii="Arial" w:eastAsia="Calibri" w:hAnsi="Arial" w:cs="Arial"/>
          <w:color w:val="000000" w:themeColor="text1"/>
          <w:lang w:val="es-ES_tradnl"/>
        </w:rPr>
        <w:t xml:space="preserve"> se promulgó la Ley 2195. Según lo establece su artículo 1, esta Ley </w:t>
      </w:r>
      <w:r>
        <w:rPr>
          <w:rFonts w:ascii="Arial" w:eastAsia="Calibri" w:hAnsi="Arial" w:cs="Arial"/>
          <w:color w:val="000000" w:themeColor="text1"/>
          <w:lang w:val="es-ES_tradnl"/>
        </w:rPr>
        <w:t>“</w:t>
      </w:r>
      <w:r w:rsidRPr="004F5C65">
        <w:rPr>
          <w:rFonts w:ascii="Arial" w:hAnsi="Arial" w:cs="Arial"/>
          <w:color w:val="000000" w:themeColor="text1"/>
          <w:lang w:val="es-ES_tradnl"/>
        </w:rPr>
        <w:t xml:space="preserve">[…] </w:t>
      </w:r>
      <w:r w:rsidRPr="004F5C65">
        <w:rPr>
          <w:rFonts w:ascii="Arial" w:eastAsia="Calibri" w:hAnsi="Arial" w:cs="Arial"/>
          <w:color w:val="000000" w:themeColor="text1"/>
          <w:lang w:val="es-ES_tradnl"/>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Pr>
          <w:rFonts w:ascii="Arial" w:eastAsia="Calibri" w:hAnsi="Arial" w:cs="Arial"/>
          <w:color w:val="000000" w:themeColor="text1"/>
          <w:lang w:val="es-ES_tradnl"/>
        </w:rPr>
        <w:t>”</w:t>
      </w:r>
      <w:r w:rsidRPr="004F5C65">
        <w:rPr>
          <w:rFonts w:ascii="Arial" w:eastAsia="Calibri" w:hAnsi="Arial" w:cs="Arial"/>
          <w:color w:val="000000" w:themeColor="text1"/>
          <w:lang w:val="es-ES_tradnl"/>
        </w:rPr>
        <w:t xml:space="preserve">. Dentro del capítulo VIII de esta Ley, que lleva por título </w:t>
      </w:r>
      <w:r>
        <w:rPr>
          <w:rFonts w:ascii="Arial" w:eastAsia="Calibri" w:hAnsi="Arial" w:cs="Arial"/>
          <w:color w:val="000000" w:themeColor="text1"/>
          <w:lang w:val="es-ES_tradnl"/>
        </w:rPr>
        <w:t>“</w:t>
      </w:r>
      <w:r w:rsidRPr="004F5C65">
        <w:rPr>
          <w:rFonts w:ascii="Arial" w:eastAsia="Calibri" w:hAnsi="Arial" w:cs="Arial"/>
          <w:color w:val="000000" w:themeColor="text1"/>
          <w:lang w:val="es-ES_tradnl"/>
        </w:rPr>
        <w:t>Disposiciones en materia contractual para la moralización y la transparencia</w:t>
      </w:r>
      <w:r>
        <w:rPr>
          <w:rFonts w:ascii="Arial" w:eastAsia="Calibri" w:hAnsi="Arial" w:cs="Arial"/>
          <w:color w:val="000000" w:themeColor="text1"/>
          <w:lang w:val="es-ES_tradnl"/>
        </w:rPr>
        <w:t>”</w:t>
      </w:r>
      <w:r w:rsidRPr="004F5C65">
        <w:rPr>
          <w:rFonts w:ascii="Arial" w:eastAsia="Calibri" w:hAnsi="Arial" w:cs="Arial"/>
          <w:color w:val="000000" w:themeColor="text1"/>
          <w:lang w:val="es-ES_tradnl"/>
        </w:rPr>
        <w:t xml:space="preserve">, se ubican los artículos 50 al 58, que, en su conjunto, regulan los siguientes aspectos: i) el registro de la contabilidad, por parte de los contratistas del Estado obligados a ello, </w:t>
      </w:r>
      <w:r w:rsidRPr="004F5C65">
        <w:rPr>
          <w:rFonts w:ascii="Arial" w:eastAsia="Calibri" w:hAnsi="Arial" w:cs="Arial"/>
          <w:color w:val="000000" w:themeColor="text1"/>
          <w:lang w:val="es-ES_tradnl"/>
        </w:rPr>
        <w:lastRenderedPageBreak/>
        <w:t xml:space="preserve">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4F5C65">
        <w:rPr>
          <w:rFonts w:ascii="Arial" w:eastAsia="Calibri" w:hAnsi="Arial" w:cs="Arial"/>
          <w:i/>
          <w:iCs/>
          <w:color w:val="000000" w:themeColor="text1"/>
          <w:lang w:val="es-ES_tradnl"/>
        </w:rPr>
        <w:t>no</w:t>
      </w:r>
      <w:r w:rsidRPr="004F5C65">
        <w:rPr>
          <w:rFonts w:ascii="Arial" w:eastAsia="Calibri" w:hAnsi="Arial" w:cs="Arial"/>
          <w:color w:val="000000" w:themeColor="text1"/>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por incumplimiento de contratos –artículo 58–.</w:t>
      </w:r>
    </w:p>
    <w:p w14:paraId="3516D46C" w14:textId="77777777" w:rsidR="002A76FC" w:rsidRPr="004F5C65" w:rsidRDefault="002A76FC" w:rsidP="002A76FC">
      <w:pPr>
        <w:spacing w:before="120" w:after="0" w:line="276" w:lineRule="auto"/>
        <w:ind w:firstLine="709"/>
        <w:jc w:val="both"/>
        <w:rPr>
          <w:rFonts w:ascii="Arial" w:eastAsia="Calibri" w:hAnsi="Arial" w:cs="Arial"/>
          <w:color w:val="000000" w:themeColor="text1"/>
          <w:lang w:val="es-ES_tradnl"/>
        </w:rPr>
      </w:pPr>
      <w:r w:rsidRPr="00CE7902">
        <w:rPr>
          <w:rFonts w:ascii="Arial" w:eastAsia="Calibri" w:hAnsi="Arial" w:cs="Arial"/>
          <w:color w:val="000000" w:themeColor="text1"/>
          <w:lang w:val="es-ES_tradnl"/>
        </w:rPr>
        <w:t>Según se indicó, el artículo 53 de la Ley 2195 de 2022 hace obligatorio el SECOP II incluso para las entidades exceptuadas del Estatuto General de Contratación de la Administración Pública</w:t>
      </w:r>
      <w:r w:rsidRPr="00081F51">
        <w:rPr>
          <w:rFonts w:ascii="Arial" w:eastAsia="Calibri" w:hAnsi="Arial" w:cs="Arial"/>
          <w:color w:val="000000" w:themeColor="text1"/>
          <w:lang w:val="es-ES_tradnl"/>
        </w:rPr>
        <w:t>.</w:t>
      </w:r>
      <w:r w:rsidRPr="004F5C65">
        <w:rPr>
          <w:rFonts w:ascii="Arial" w:eastAsia="Calibri" w:hAnsi="Arial" w:cs="Arial"/>
          <w:color w:val="000000" w:themeColor="text1"/>
          <w:lang w:val="es-ES_tradnl"/>
        </w:rPr>
        <w:t xml:space="preserve"> En efecto, esta norma dispone:</w:t>
      </w:r>
    </w:p>
    <w:p w14:paraId="47E0049B" w14:textId="77777777" w:rsidR="002A76FC" w:rsidRPr="004F5C65" w:rsidRDefault="002A76FC" w:rsidP="002A76FC">
      <w:pPr>
        <w:spacing w:after="0" w:line="240" w:lineRule="auto"/>
        <w:ind w:left="709" w:right="709"/>
        <w:jc w:val="both"/>
        <w:rPr>
          <w:rFonts w:ascii="Arial" w:eastAsia="Calibri" w:hAnsi="Arial" w:cs="Arial"/>
          <w:color w:val="000000" w:themeColor="text1"/>
          <w:sz w:val="21"/>
          <w:szCs w:val="21"/>
          <w:lang w:val="es-ES_tradnl"/>
        </w:rPr>
      </w:pPr>
    </w:p>
    <w:p w14:paraId="781D922F" w14:textId="77777777" w:rsidR="002A76FC" w:rsidRPr="004F5C65" w:rsidRDefault="002A76FC" w:rsidP="002A76FC">
      <w:pPr>
        <w:spacing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4F5C65">
        <w:rPr>
          <w:rFonts w:ascii="Arial" w:eastAsia="Calibri" w:hAnsi="Arial" w:cs="Arial"/>
          <w:color w:val="000000" w:themeColor="text1"/>
          <w:sz w:val="21"/>
          <w:szCs w:val="21"/>
          <w:lang w:val="es-ES_tradnl"/>
        </w:rPr>
        <w:t>Adiciónese los siguientes incisos al artículo 13 de la Ley 1150 de 2007, el cual quedará así:</w:t>
      </w:r>
    </w:p>
    <w:p w14:paraId="217E1A26" w14:textId="77777777" w:rsidR="002A76FC" w:rsidRPr="004F5C65" w:rsidRDefault="002A76FC" w:rsidP="002A76FC">
      <w:pPr>
        <w:spacing w:after="0" w:line="240" w:lineRule="auto"/>
        <w:ind w:left="709" w:right="709"/>
        <w:jc w:val="both"/>
        <w:rPr>
          <w:rFonts w:ascii="Arial" w:eastAsia="Calibri" w:hAnsi="Arial" w:cs="Arial"/>
          <w:color w:val="000000" w:themeColor="text1"/>
          <w:sz w:val="21"/>
          <w:szCs w:val="21"/>
          <w:lang w:val="es-ES_tradnl"/>
        </w:rPr>
      </w:pPr>
    </w:p>
    <w:p w14:paraId="7DBDEE0E" w14:textId="77777777" w:rsidR="002A76FC" w:rsidRPr="004F5C65" w:rsidRDefault="002A76FC" w:rsidP="002A76FC">
      <w:pPr>
        <w:spacing w:after="0" w:line="240" w:lineRule="auto"/>
        <w:ind w:left="709" w:right="709"/>
        <w:jc w:val="both"/>
        <w:rPr>
          <w:rFonts w:ascii="Arial" w:eastAsia="Calibri" w:hAnsi="Arial" w:cs="Arial"/>
          <w:color w:val="000000" w:themeColor="text1"/>
          <w:sz w:val="21"/>
          <w:szCs w:val="21"/>
          <w:lang w:val="es-ES_tradnl"/>
        </w:rPr>
      </w:pPr>
      <w:r w:rsidRPr="004F5C65">
        <w:rPr>
          <w:rFonts w:ascii="Arial" w:eastAsia="Calibri" w:hAnsi="Arial" w:cs="Arial"/>
          <w:color w:val="000000" w:themeColor="text1"/>
          <w:sz w:val="21"/>
          <w:szCs w:val="21"/>
          <w:lang w:val="es-ES_tradnl"/>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7A628F83" w14:textId="77777777" w:rsidR="002A76FC" w:rsidRPr="004F5C65" w:rsidRDefault="002A76FC" w:rsidP="002A76FC">
      <w:pPr>
        <w:spacing w:after="0" w:line="240" w:lineRule="auto"/>
        <w:ind w:left="709" w:right="709"/>
        <w:jc w:val="both"/>
        <w:rPr>
          <w:rFonts w:ascii="Arial" w:eastAsia="Calibri" w:hAnsi="Arial" w:cs="Arial"/>
          <w:color w:val="000000" w:themeColor="text1"/>
          <w:sz w:val="21"/>
          <w:szCs w:val="21"/>
          <w:lang w:val="es-ES_tradnl"/>
        </w:rPr>
      </w:pPr>
    </w:p>
    <w:p w14:paraId="32287B51" w14:textId="77777777" w:rsidR="002A76FC" w:rsidRPr="004F5C65" w:rsidRDefault="002A76FC" w:rsidP="002A76FC">
      <w:pPr>
        <w:spacing w:after="0" w:line="240" w:lineRule="auto"/>
        <w:ind w:left="709" w:right="709"/>
        <w:jc w:val="both"/>
        <w:rPr>
          <w:rFonts w:ascii="Arial" w:eastAsia="Calibri" w:hAnsi="Arial" w:cs="Arial"/>
          <w:i/>
          <w:iCs/>
          <w:color w:val="000000" w:themeColor="text1"/>
          <w:sz w:val="21"/>
          <w:szCs w:val="21"/>
          <w:lang w:val="es-ES_tradnl"/>
        </w:rPr>
      </w:pPr>
      <w:r w:rsidRPr="004F5C65">
        <w:rPr>
          <w:rFonts w:ascii="Arial" w:eastAsia="Calibri" w:hAnsi="Arial" w:cs="Arial"/>
          <w:i/>
          <w:iCs/>
          <w:color w:val="000000" w:themeColor="text1"/>
          <w:sz w:val="21"/>
          <w:szCs w:val="21"/>
          <w:lang w:val="es-ES_tradnl"/>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560FAD76" w14:textId="77777777" w:rsidR="002A76FC" w:rsidRPr="004F5C65" w:rsidRDefault="002A76FC" w:rsidP="002A76FC">
      <w:pPr>
        <w:spacing w:after="0" w:line="240" w:lineRule="auto"/>
        <w:ind w:left="709" w:right="709"/>
        <w:jc w:val="both"/>
        <w:rPr>
          <w:rFonts w:ascii="Arial" w:eastAsia="Calibri" w:hAnsi="Arial" w:cs="Arial"/>
          <w:i/>
          <w:iCs/>
          <w:color w:val="000000" w:themeColor="text1"/>
          <w:sz w:val="21"/>
          <w:szCs w:val="21"/>
          <w:lang w:val="es-ES_tradnl"/>
        </w:rPr>
      </w:pPr>
    </w:p>
    <w:p w14:paraId="327E7C4F" w14:textId="77777777" w:rsidR="002A76FC" w:rsidRPr="004F5C65" w:rsidRDefault="002A76FC" w:rsidP="002A76FC">
      <w:pPr>
        <w:spacing w:after="0" w:line="240" w:lineRule="auto"/>
        <w:ind w:left="709" w:right="709"/>
        <w:jc w:val="both"/>
        <w:rPr>
          <w:rFonts w:ascii="Arial" w:eastAsia="Calibri" w:hAnsi="Arial" w:cs="Arial"/>
          <w:color w:val="000000" w:themeColor="text1"/>
          <w:sz w:val="21"/>
          <w:szCs w:val="21"/>
          <w:lang w:val="es-ES_tradnl"/>
        </w:rPr>
      </w:pPr>
      <w:r w:rsidRPr="004F5C65">
        <w:rPr>
          <w:rFonts w:ascii="Arial" w:eastAsia="Calibri" w:hAnsi="Arial" w:cs="Arial"/>
          <w:i/>
          <w:iCs/>
          <w:color w:val="000000" w:themeColor="text1"/>
          <w:sz w:val="21"/>
          <w:szCs w:val="21"/>
          <w:lang w:val="es-ES_tradnl"/>
        </w:rPr>
        <w:t>A partir de la entrada en vigencia de la presente Ley, se establecerá un periodo de transición de seis (6) meses, para que las entidades den cumplimiento efectivo a lo aquí establecido</w:t>
      </w:r>
      <w:r>
        <w:rPr>
          <w:rFonts w:ascii="Arial" w:eastAsia="Calibri" w:hAnsi="Arial" w:cs="Arial"/>
          <w:i/>
          <w:iCs/>
          <w:color w:val="000000" w:themeColor="text1"/>
          <w:sz w:val="21"/>
          <w:szCs w:val="21"/>
          <w:lang w:val="es-ES_tradnl"/>
        </w:rPr>
        <w:t>”</w:t>
      </w:r>
      <w:r w:rsidRPr="004F5C65">
        <w:rPr>
          <w:rFonts w:ascii="Arial" w:eastAsia="Calibri" w:hAnsi="Arial" w:cs="Arial"/>
          <w:color w:val="000000" w:themeColor="text1"/>
          <w:sz w:val="21"/>
          <w:szCs w:val="21"/>
          <w:lang w:val="es-ES_tradnl"/>
        </w:rPr>
        <w:t>. (Cursiva fuera del original).</w:t>
      </w:r>
    </w:p>
    <w:p w14:paraId="3973A084" w14:textId="77777777" w:rsidR="002A76FC" w:rsidRPr="004F5C65" w:rsidRDefault="002A76FC" w:rsidP="002A76FC">
      <w:pPr>
        <w:spacing w:after="0" w:line="276" w:lineRule="auto"/>
        <w:ind w:firstLine="709"/>
        <w:jc w:val="both"/>
        <w:rPr>
          <w:rFonts w:ascii="Arial" w:eastAsia="Calibri" w:hAnsi="Arial" w:cs="Arial"/>
          <w:color w:val="000000" w:themeColor="text1"/>
          <w:lang w:val="es-ES_tradnl"/>
        </w:rPr>
      </w:pPr>
    </w:p>
    <w:p w14:paraId="23E1BC2D" w14:textId="77777777" w:rsidR="002A76FC" w:rsidRPr="004F5C65" w:rsidRDefault="002A76FC" w:rsidP="002A76FC">
      <w:pPr>
        <w:spacing w:after="0" w:line="276" w:lineRule="auto"/>
        <w:ind w:firstLine="709"/>
        <w:jc w:val="both"/>
        <w:rPr>
          <w:rFonts w:ascii="Arial" w:eastAsia="Calibri" w:hAnsi="Arial" w:cs="Arial"/>
          <w:color w:val="000000" w:themeColor="text1"/>
          <w:lang w:val="es-ES_tradnl"/>
        </w:rPr>
      </w:pPr>
      <w:r w:rsidRPr="004F5C65">
        <w:rPr>
          <w:rFonts w:ascii="Arial" w:eastAsia="Calibri" w:hAnsi="Arial" w:cs="Arial"/>
          <w:color w:val="000000" w:themeColor="text1"/>
          <w:lang w:val="es-ES_tradnl"/>
        </w:rPr>
        <w:t xml:space="preserve">Como puede observarse, aunque la publicación en el SECOP I de los documentos relacionados con la actividad contractual ya era obligatoria para las entidades que cuentan con un régimen especial, el artículo 53 de la Ley 2195 de 2022 –que modifica el artículo 13 de la Ley </w:t>
      </w:r>
      <w:r w:rsidRPr="004F5C65">
        <w:rPr>
          <w:rFonts w:ascii="Arial" w:eastAsia="Calibri" w:hAnsi="Arial" w:cs="Arial"/>
          <w:color w:val="000000" w:themeColor="text1"/>
          <w:lang w:val="es-ES_tradnl"/>
        </w:rPr>
        <w:lastRenderedPageBreak/>
        <w:t xml:space="preserve">1150 de 2007– complementa ese deber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25FCC41F" w14:textId="77777777" w:rsidR="002A76FC" w:rsidRPr="004F5C65" w:rsidRDefault="002A76FC" w:rsidP="002A76FC">
      <w:pPr>
        <w:spacing w:before="120" w:after="0" w:line="276" w:lineRule="auto"/>
        <w:ind w:firstLine="709"/>
        <w:jc w:val="both"/>
        <w:rPr>
          <w:rFonts w:ascii="Arial" w:eastAsia="Calibri" w:hAnsi="Arial" w:cs="Arial"/>
          <w:color w:val="000000" w:themeColor="text1"/>
          <w:lang w:val="es-ES_tradnl"/>
        </w:rPr>
      </w:pPr>
      <w:r w:rsidRPr="004F5C65">
        <w:rPr>
          <w:rFonts w:ascii="Arial" w:eastAsia="Calibri" w:hAnsi="Arial" w:cs="Arial"/>
          <w:color w:val="000000" w:themeColor="text1"/>
          <w:lang w:val="es-ES_tradnl"/>
        </w:rPr>
        <w:t xml:space="preserve">La Agencia Nacional de Contratación Pública – Colombia Compra Eficiente considera que al establecer el artículo 53 que este deber se debe cumplir en el SECOP II </w:t>
      </w:r>
      <w:r w:rsidRPr="00CE7902">
        <w:rPr>
          <w:rFonts w:ascii="Arial" w:eastAsia="Calibri" w:hAnsi="Arial" w:cs="Arial"/>
          <w:i/>
          <w:iCs/>
          <w:color w:val="000000" w:themeColor="text1"/>
          <w:lang w:val="es-ES_tradnl"/>
        </w:rPr>
        <w:t>“o la plataforma transaccional que haga sus veces”</w:t>
      </w:r>
      <w:r w:rsidRPr="004F5C65">
        <w:rPr>
          <w:rFonts w:ascii="Arial" w:eastAsia="Calibri" w:hAnsi="Arial" w:cs="Arial"/>
          <w:color w:val="000000" w:themeColor="text1"/>
          <w:lang w:val="es-ES_tradnl"/>
        </w:rPr>
        <w:t xml:space="preserve">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contractual en la nueva plataforma. Por ello, esta Agencia no considera que la disposición analizada al utilizar la expresión indicada, deba entenderse como que las entidades exceptuadas del Estatuto General de Contratación de la Administración Pública pueden emplear sus páginas web o sus propios portales electrónicos, para realizar, a través de ellos, el procedimiento contractual, pues, precisamente, el artículo 53 de la Ley 2195 de 2022 unifica el régimen de publicidad 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14:paraId="6CFC8E75" w14:textId="77777777" w:rsidR="002A76FC" w:rsidRPr="00372142" w:rsidRDefault="002A76FC" w:rsidP="002A76FC">
      <w:pPr>
        <w:spacing w:before="120" w:after="0" w:line="276" w:lineRule="auto"/>
        <w:ind w:firstLine="709"/>
        <w:jc w:val="both"/>
        <w:rPr>
          <w:rFonts w:ascii="Arial" w:eastAsia="Calibri" w:hAnsi="Arial" w:cs="Arial"/>
          <w:color w:val="000000" w:themeColor="text1"/>
          <w:lang w:val="es-ES_tradnl"/>
        </w:rPr>
      </w:pPr>
      <w:r w:rsidRPr="004F5C65">
        <w:rPr>
          <w:rFonts w:ascii="Arial" w:eastAsia="Calibri" w:hAnsi="Arial" w:cs="Arial"/>
          <w:color w:val="000000" w:themeColor="text1"/>
          <w:lang w:val="es-ES_tradnl"/>
        </w:rPr>
        <w:t xml:space="preserve">El referido artículo dispone, en el inciso final, que </w:t>
      </w:r>
      <w:r>
        <w:rPr>
          <w:rFonts w:ascii="Arial" w:eastAsia="Calibri" w:hAnsi="Arial" w:cs="Arial"/>
          <w:color w:val="000000" w:themeColor="text1"/>
          <w:lang w:val="es-ES_tradnl"/>
        </w:rPr>
        <w:t>“</w:t>
      </w:r>
      <w:r w:rsidRPr="00372142">
        <w:rPr>
          <w:rFonts w:ascii="Arial" w:eastAsia="Calibri" w:hAnsi="Arial" w:cs="Arial"/>
          <w:color w:val="000000" w:themeColor="text1"/>
          <w:lang w:val="es-ES_tradnl"/>
        </w:rPr>
        <w:t xml:space="preserve">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53. Este período de transición fue del 18 de enero al 18 de julio de 2022. Por tanto, puede concluirse que en la actualidad </w:t>
      </w:r>
      <w:r w:rsidRPr="00CE7902">
        <w:rPr>
          <w:rFonts w:ascii="Arial" w:eastAsia="Calibri" w:hAnsi="Arial" w:cs="Arial"/>
          <w:color w:val="000000" w:themeColor="text1"/>
          <w:lang w:val="es-ES_tradnl"/>
        </w:rPr>
        <w:t>el uso del SECOP II es obligatorio no solo para las entidades sometidas al Estatuto General de Contratación de la Administración Pública, sino también para las exceptuadas</w:t>
      </w:r>
      <w:r w:rsidRPr="00372142">
        <w:rPr>
          <w:rFonts w:ascii="Arial" w:eastAsia="Calibri" w:hAnsi="Arial" w:cs="Arial"/>
          <w:color w:val="000000" w:themeColor="text1"/>
          <w:lang w:val="es-ES_tradnl"/>
        </w:rPr>
        <w:t>.</w:t>
      </w:r>
    </w:p>
    <w:p w14:paraId="6BBB89CF" w14:textId="5EADBD1D" w:rsidR="00E83E00" w:rsidRDefault="00B7108E" w:rsidP="003457C4">
      <w:pPr>
        <w:spacing w:before="120" w:after="0" w:line="276" w:lineRule="auto"/>
        <w:ind w:firstLine="708"/>
        <w:jc w:val="both"/>
        <w:rPr>
          <w:rFonts w:ascii="Arial" w:eastAsia="Calibri" w:hAnsi="Arial" w:cs="Arial"/>
          <w:color w:val="000000" w:themeColor="text1"/>
          <w:lang w:val="es-ES_tradnl"/>
        </w:rPr>
      </w:pPr>
      <w:r>
        <w:rPr>
          <w:rFonts w:ascii="Arial" w:eastAsia="Calibri" w:hAnsi="Arial" w:cs="Arial"/>
          <w:color w:val="000000" w:themeColor="text1"/>
          <w:lang w:val="es-ES_tradnl"/>
        </w:rPr>
        <w:t>Ahora bien, en cuanto al objeto</w:t>
      </w:r>
      <w:r w:rsidR="00A70118">
        <w:rPr>
          <w:rFonts w:ascii="Arial" w:eastAsia="Calibri" w:hAnsi="Arial" w:cs="Arial"/>
          <w:color w:val="000000" w:themeColor="text1"/>
          <w:lang w:val="es-ES_tradnl"/>
        </w:rPr>
        <w:t xml:space="preserve"> de la consulta</w:t>
      </w:r>
      <w:r>
        <w:rPr>
          <w:rFonts w:ascii="Arial" w:eastAsia="Calibri" w:hAnsi="Arial" w:cs="Arial"/>
          <w:color w:val="000000" w:themeColor="text1"/>
          <w:lang w:val="es-ES_tradnl"/>
        </w:rPr>
        <w:t xml:space="preserve"> resulta pertinente señalar que</w:t>
      </w:r>
      <w:r w:rsidR="00C71891">
        <w:rPr>
          <w:rFonts w:ascii="Arial" w:eastAsia="Calibri" w:hAnsi="Arial" w:cs="Arial"/>
          <w:color w:val="000000" w:themeColor="text1"/>
          <w:lang w:val="es-ES_tradnl"/>
        </w:rPr>
        <w:t>, revisadas la</w:t>
      </w:r>
      <w:r w:rsidR="005C6E17">
        <w:rPr>
          <w:rFonts w:ascii="Arial" w:eastAsia="Calibri" w:hAnsi="Arial" w:cs="Arial"/>
          <w:color w:val="000000" w:themeColor="text1"/>
          <w:lang w:val="es-ES_tradnl"/>
        </w:rPr>
        <w:t xml:space="preserve"> </w:t>
      </w:r>
      <w:r w:rsidR="005C6E17" w:rsidRPr="00AE0955">
        <w:rPr>
          <w:rFonts w:ascii="Arial" w:eastAsia="Calibri" w:hAnsi="Arial" w:cs="Arial"/>
          <w:color w:val="000000" w:themeColor="text1"/>
          <w:lang w:val="es-ES_tradnl"/>
        </w:rPr>
        <w:t xml:space="preserve">Circular Externa No. 002 de 2022 </w:t>
      </w:r>
      <w:r w:rsidR="005C6E17">
        <w:rPr>
          <w:rFonts w:ascii="Arial" w:eastAsia="Calibri" w:hAnsi="Arial" w:cs="Arial"/>
          <w:color w:val="000000" w:themeColor="text1"/>
          <w:lang w:val="es-ES_tradnl"/>
        </w:rPr>
        <w:t>y las demás</w:t>
      </w:r>
      <w:r w:rsidR="00C71891">
        <w:rPr>
          <w:rFonts w:ascii="Arial" w:eastAsia="Calibri" w:hAnsi="Arial" w:cs="Arial"/>
          <w:color w:val="000000" w:themeColor="text1"/>
          <w:lang w:val="es-ES_tradnl"/>
        </w:rPr>
        <w:t xml:space="preserve"> circulares </w:t>
      </w:r>
      <w:r w:rsidR="00F23C35">
        <w:rPr>
          <w:rFonts w:ascii="Arial" w:eastAsia="Calibri" w:hAnsi="Arial" w:cs="Arial"/>
          <w:color w:val="000000" w:themeColor="text1"/>
          <w:lang w:val="es-ES_tradnl"/>
        </w:rPr>
        <w:t xml:space="preserve">que a la fecha han sido </w:t>
      </w:r>
      <w:r w:rsidR="00C71891">
        <w:rPr>
          <w:rFonts w:ascii="Arial" w:eastAsia="Calibri" w:hAnsi="Arial" w:cs="Arial"/>
          <w:color w:val="000000" w:themeColor="text1"/>
          <w:lang w:val="es-ES_tradnl"/>
        </w:rPr>
        <w:t xml:space="preserve">expedidas por esta Agencia </w:t>
      </w:r>
      <w:r w:rsidR="00EA081D">
        <w:rPr>
          <w:rFonts w:ascii="Arial" w:eastAsia="Calibri" w:hAnsi="Arial" w:cs="Arial"/>
          <w:color w:val="000000" w:themeColor="text1"/>
          <w:lang w:val="es-ES_tradnl"/>
        </w:rPr>
        <w:t>con el propósito de regular la obligatoriedad</w:t>
      </w:r>
      <w:r w:rsidR="000365A0">
        <w:rPr>
          <w:rFonts w:ascii="Arial" w:eastAsia="Calibri" w:hAnsi="Arial" w:cs="Arial"/>
          <w:color w:val="000000" w:themeColor="text1"/>
          <w:lang w:val="es-ES_tradnl"/>
        </w:rPr>
        <w:t xml:space="preserve"> </w:t>
      </w:r>
      <w:r w:rsidR="00EA081D">
        <w:rPr>
          <w:rFonts w:ascii="Arial" w:eastAsia="Calibri" w:hAnsi="Arial" w:cs="Arial"/>
          <w:color w:val="000000" w:themeColor="text1"/>
          <w:lang w:val="es-ES_tradnl"/>
        </w:rPr>
        <w:t xml:space="preserve">del uso del SECOP II, se advierte que </w:t>
      </w:r>
      <w:r>
        <w:rPr>
          <w:rFonts w:ascii="Arial" w:eastAsia="Calibri" w:hAnsi="Arial" w:cs="Arial"/>
          <w:color w:val="000000" w:themeColor="text1"/>
          <w:lang w:val="es-ES_tradnl"/>
        </w:rPr>
        <w:t>la</w:t>
      </w:r>
      <w:r w:rsidR="0069217A">
        <w:rPr>
          <w:rFonts w:ascii="Arial" w:eastAsia="Calibri" w:hAnsi="Arial" w:cs="Arial"/>
          <w:color w:val="000000" w:themeColor="text1"/>
          <w:lang w:val="es-ES_tradnl"/>
        </w:rPr>
        <w:t xml:space="preserve"> Re</w:t>
      </w:r>
      <w:r w:rsidR="00D3366E">
        <w:rPr>
          <w:rFonts w:ascii="Arial" w:eastAsia="Calibri" w:hAnsi="Arial" w:cs="Arial"/>
          <w:color w:val="000000" w:themeColor="text1"/>
          <w:lang w:val="es-ES_tradnl"/>
        </w:rPr>
        <w:t>gión Ad</w:t>
      </w:r>
      <w:r>
        <w:rPr>
          <w:rFonts w:ascii="Arial" w:eastAsia="Calibri" w:hAnsi="Arial" w:cs="Arial"/>
          <w:color w:val="000000" w:themeColor="text1"/>
          <w:lang w:val="es-ES_tradnl"/>
        </w:rPr>
        <w:t>ministrativa</w:t>
      </w:r>
      <w:r w:rsidR="002078DE">
        <w:rPr>
          <w:rFonts w:ascii="Arial" w:eastAsia="Calibri" w:hAnsi="Arial" w:cs="Arial"/>
          <w:color w:val="000000" w:themeColor="text1"/>
          <w:lang w:val="es-ES_tradnl"/>
        </w:rPr>
        <w:t xml:space="preserve"> de </w:t>
      </w:r>
      <w:r w:rsidR="00A21C7A">
        <w:rPr>
          <w:rFonts w:ascii="Arial" w:eastAsia="Calibri" w:hAnsi="Arial" w:cs="Arial"/>
          <w:color w:val="000000" w:themeColor="text1"/>
          <w:lang w:val="es-ES_tradnl"/>
        </w:rPr>
        <w:t xml:space="preserve">Planificación </w:t>
      </w:r>
      <w:r w:rsidR="00CE7FEB">
        <w:rPr>
          <w:rFonts w:ascii="Arial" w:eastAsia="Calibri" w:hAnsi="Arial" w:cs="Arial"/>
          <w:color w:val="000000" w:themeColor="text1"/>
          <w:lang w:val="es-ES_tradnl"/>
        </w:rPr>
        <w:t>para</w:t>
      </w:r>
      <w:r w:rsidR="00387121">
        <w:rPr>
          <w:rFonts w:ascii="Arial" w:eastAsia="Calibri" w:hAnsi="Arial" w:cs="Arial"/>
          <w:color w:val="000000" w:themeColor="text1"/>
          <w:lang w:val="es-ES_tradnl"/>
        </w:rPr>
        <w:t xml:space="preserve"> la Amazon</w:t>
      </w:r>
      <w:r w:rsidR="00C71891">
        <w:rPr>
          <w:rFonts w:ascii="Arial" w:eastAsia="Calibri" w:hAnsi="Arial" w:cs="Arial"/>
          <w:color w:val="000000" w:themeColor="text1"/>
          <w:lang w:val="es-ES_tradnl"/>
        </w:rPr>
        <w:t xml:space="preserve">ía </w:t>
      </w:r>
      <w:r w:rsidR="000365A0">
        <w:rPr>
          <w:rFonts w:ascii="Arial" w:eastAsia="Calibri" w:hAnsi="Arial" w:cs="Arial"/>
          <w:color w:val="000000" w:themeColor="text1"/>
          <w:lang w:val="es-ES_tradnl"/>
        </w:rPr>
        <w:t>no ha sido incluida en</w:t>
      </w:r>
      <w:r w:rsidR="00B26353">
        <w:rPr>
          <w:rFonts w:ascii="Arial" w:eastAsia="Calibri" w:hAnsi="Arial" w:cs="Arial"/>
          <w:color w:val="000000" w:themeColor="text1"/>
          <w:lang w:val="es-ES_tradnl"/>
        </w:rPr>
        <w:t xml:space="preserve"> los anexos de</w:t>
      </w:r>
      <w:r w:rsidR="000365A0">
        <w:rPr>
          <w:rFonts w:ascii="Arial" w:eastAsia="Calibri" w:hAnsi="Arial" w:cs="Arial"/>
          <w:color w:val="000000" w:themeColor="text1"/>
          <w:lang w:val="es-ES_tradnl"/>
        </w:rPr>
        <w:t xml:space="preserve"> ninguna de ellas</w:t>
      </w:r>
      <w:r w:rsidR="00DD0754">
        <w:rPr>
          <w:rFonts w:ascii="Arial" w:eastAsia="Calibri" w:hAnsi="Arial" w:cs="Arial"/>
          <w:color w:val="000000" w:themeColor="text1"/>
          <w:lang w:val="es-ES_tradnl"/>
        </w:rPr>
        <w:t xml:space="preserve">. </w:t>
      </w:r>
      <w:r w:rsidR="000B2346">
        <w:rPr>
          <w:rFonts w:ascii="Arial" w:eastAsia="Calibri" w:hAnsi="Arial" w:cs="Arial"/>
          <w:color w:val="000000" w:themeColor="text1"/>
          <w:lang w:val="es-ES_tradnl"/>
        </w:rPr>
        <w:t>Esto significa que</w:t>
      </w:r>
      <w:r w:rsidR="00CB0045">
        <w:rPr>
          <w:rFonts w:ascii="Arial" w:eastAsia="Calibri" w:hAnsi="Arial" w:cs="Arial"/>
          <w:color w:val="000000" w:themeColor="text1"/>
          <w:lang w:val="es-ES_tradnl"/>
        </w:rPr>
        <w:t xml:space="preserve">, por el momento, dicho </w:t>
      </w:r>
      <w:r w:rsidR="00B95E92">
        <w:rPr>
          <w:rFonts w:ascii="Arial" w:eastAsia="Calibri" w:hAnsi="Arial" w:cs="Arial"/>
          <w:color w:val="000000" w:themeColor="text1"/>
          <w:lang w:val="es-ES_tradnl"/>
        </w:rPr>
        <w:t>es</w:t>
      </w:r>
      <w:r w:rsidR="0036735E">
        <w:rPr>
          <w:rFonts w:ascii="Arial" w:eastAsia="Calibri" w:hAnsi="Arial" w:cs="Arial"/>
          <w:color w:val="000000" w:themeColor="text1"/>
          <w:lang w:val="es-ES_tradnl"/>
        </w:rPr>
        <w:t>quema asociativo territorial</w:t>
      </w:r>
      <w:r w:rsidR="00A32865">
        <w:rPr>
          <w:rFonts w:ascii="Arial" w:eastAsia="Calibri" w:hAnsi="Arial" w:cs="Arial"/>
          <w:color w:val="000000" w:themeColor="text1"/>
          <w:lang w:val="es-ES_tradnl"/>
        </w:rPr>
        <w:t xml:space="preserve">, si bien se encuentra </w:t>
      </w:r>
      <w:r w:rsidR="00D5315D">
        <w:rPr>
          <w:rFonts w:ascii="Arial" w:eastAsia="Calibri" w:hAnsi="Arial" w:cs="Arial"/>
          <w:color w:val="000000" w:themeColor="text1"/>
          <w:lang w:val="es-ES_tradnl"/>
        </w:rPr>
        <w:t>sometido a la Ley 80 de 1993</w:t>
      </w:r>
      <w:r w:rsidR="00551670">
        <w:rPr>
          <w:rFonts w:ascii="Arial" w:eastAsia="Calibri" w:hAnsi="Arial" w:cs="Arial"/>
          <w:color w:val="000000" w:themeColor="text1"/>
          <w:lang w:val="es-ES_tradnl"/>
        </w:rPr>
        <w:t xml:space="preserve"> al constituir una </w:t>
      </w:r>
      <w:r w:rsidR="003457C4">
        <w:rPr>
          <w:rFonts w:ascii="Arial" w:eastAsia="Calibri" w:hAnsi="Arial" w:cs="Arial"/>
          <w:color w:val="000000" w:themeColor="text1"/>
          <w:lang w:val="es-ES_tradnl"/>
        </w:rPr>
        <w:t xml:space="preserve">Entidad Estatal </w:t>
      </w:r>
      <w:r w:rsidR="00551670">
        <w:rPr>
          <w:rFonts w:ascii="Arial" w:eastAsia="Calibri" w:hAnsi="Arial" w:cs="Arial"/>
          <w:color w:val="000000" w:themeColor="text1"/>
          <w:lang w:val="es-ES_tradnl"/>
        </w:rPr>
        <w:t>de conformidad con el numeral 1 del artículo 2 de dicho estatuto,</w:t>
      </w:r>
      <w:r w:rsidR="002B1F21">
        <w:rPr>
          <w:rFonts w:ascii="Arial" w:eastAsia="Calibri" w:hAnsi="Arial" w:cs="Arial"/>
          <w:color w:val="000000" w:themeColor="text1"/>
          <w:lang w:val="es-ES_tradnl"/>
        </w:rPr>
        <w:t xml:space="preserve"> no se encuentra </w:t>
      </w:r>
      <w:r w:rsidR="005C6E17">
        <w:rPr>
          <w:rFonts w:ascii="Arial" w:eastAsia="Calibri" w:hAnsi="Arial" w:cs="Arial"/>
          <w:color w:val="000000" w:themeColor="text1"/>
          <w:lang w:val="es-ES_tradnl"/>
        </w:rPr>
        <w:t>llamada</w:t>
      </w:r>
      <w:r w:rsidR="002B1F21">
        <w:rPr>
          <w:rFonts w:ascii="Arial" w:eastAsia="Calibri" w:hAnsi="Arial" w:cs="Arial"/>
          <w:color w:val="000000" w:themeColor="text1"/>
          <w:lang w:val="es-ES_tradnl"/>
        </w:rPr>
        <w:t xml:space="preserve"> a usar </w:t>
      </w:r>
      <w:r w:rsidR="002D044D">
        <w:rPr>
          <w:rFonts w:ascii="Arial" w:eastAsia="Calibri" w:hAnsi="Arial" w:cs="Arial"/>
          <w:color w:val="000000" w:themeColor="text1"/>
          <w:lang w:val="es-ES_tradnl"/>
        </w:rPr>
        <w:t>SECOP II de manera</w:t>
      </w:r>
      <w:r w:rsidR="003457C4">
        <w:rPr>
          <w:rFonts w:ascii="Arial" w:eastAsia="Calibri" w:hAnsi="Arial" w:cs="Arial"/>
          <w:color w:val="000000" w:themeColor="text1"/>
          <w:lang w:val="es-ES_tradnl"/>
        </w:rPr>
        <w:t xml:space="preserve"> obligatoria. Esto comoquiera que l</w:t>
      </w:r>
      <w:r w:rsidR="00E83E00" w:rsidRPr="00E83E00">
        <w:rPr>
          <w:rFonts w:ascii="Arial" w:eastAsia="Calibri" w:hAnsi="Arial" w:cs="Arial"/>
          <w:color w:val="000000" w:themeColor="text1"/>
          <w:lang w:val="es-ES_tradnl"/>
        </w:rPr>
        <w:t xml:space="preserve">as Entidades Estatales del EGCAP que se encuentran </w:t>
      </w:r>
      <w:r w:rsidR="00E83E00" w:rsidRPr="00E83E00">
        <w:rPr>
          <w:rFonts w:ascii="Arial" w:eastAsia="Calibri" w:hAnsi="Arial" w:cs="Arial"/>
          <w:color w:val="000000" w:themeColor="text1"/>
          <w:lang w:val="es-ES_tradnl"/>
        </w:rPr>
        <w:lastRenderedPageBreak/>
        <w:t xml:space="preserve">obligadas a publicar en el SECOP II son las que están incluidas en el listado de los respectivos </w:t>
      </w:r>
      <w:r w:rsidR="003457C4">
        <w:rPr>
          <w:rFonts w:ascii="Arial" w:eastAsia="Calibri" w:hAnsi="Arial" w:cs="Arial"/>
          <w:color w:val="000000" w:themeColor="text1"/>
          <w:lang w:val="es-ES_tradnl"/>
        </w:rPr>
        <w:t xml:space="preserve">anexos de las aludidas circulares. </w:t>
      </w:r>
      <w:r w:rsidR="003457C4" w:rsidRPr="00E83E00">
        <w:rPr>
          <w:rFonts w:ascii="Arial" w:eastAsia="Calibri" w:hAnsi="Arial" w:cs="Arial"/>
          <w:color w:val="000000" w:themeColor="text1"/>
          <w:lang w:val="es-ES_tradnl"/>
        </w:rPr>
        <w:t xml:space="preserve"> </w:t>
      </w:r>
    </w:p>
    <w:p w14:paraId="0CFB0C12" w14:textId="6E74F48C" w:rsidR="00C25A5C" w:rsidRDefault="00C25A5C" w:rsidP="00CE7902">
      <w:pPr>
        <w:spacing w:before="120" w:after="0" w:line="276" w:lineRule="auto"/>
        <w:ind w:firstLine="708"/>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Lo anterior no significa que </w:t>
      </w:r>
      <w:r w:rsidR="00D2320E">
        <w:rPr>
          <w:rFonts w:ascii="Arial" w:eastAsia="Calibri" w:hAnsi="Arial" w:cs="Arial"/>
          <w:color w:val="000000" w:themeColor="text1"/>
          <w:lang w:val="es-ES_tradnl"/>
        </w:rPr>
        <w:t xml:space="preserve">la </w:t>
      </w:r>
      <w:r w:rsidR="00CE7FEB">
        <w:rPr>
          <w:rFonts w:ascii="Arial" w:eastAsia="Calibri" w:hAnsi="Arial" w:cs="Arial"/>
          <w:color w:val="000000" w:themeColor="text1"/>
          <w:lang w:val="es-ES_tradnl"/>
        </w:rPr>
        <w:t>Región Administrativa de Planificación para la Amazonía este relevada de cumplir con el deber de publicar su actividad contractual</w:t>
      </w:r>
      <w:r w:rsidR="00395761">
        <w:rPr>
          <w:rFonts w:ascii="Arial" w:eastAsia="Calibri" w:hAnsi="Arial" w:cs="Arial"/>
          <w:color w:val="000000" w:themeColor="text1"/>
          <w:lang w:val="es-ES_tradnl"/>
        </w:rPr>
        <w:t xml:space="preserve"> </w:t>
      </w:r>
      <w:r w:rsidR="000D6D2F">
        <w:rPr>
          <w:rFonts w:ascii="Arial" w:eastAsia="Calibri" w:hAnsi="Arial" w:cs="Arial"/>
          <w:color w:val="000000" w:themeColor="text1"/>
          <w:lang w:val="es-ES_tradnl"/>
        </w:rPr>
        <w:t>conforme a lo establecido en los artículos 3 de la Ley 1150 de 2007</w:t>
      </w:r>
      <w:r w:rsidR="000B6ED2">
        <w:rPr>
          <w:rFonts w:ascii="Arial" w:eastAsia="Calibri" w:hAnsi="Arial" w:cs="Arial"/>
          <w:color w:val="000000" w:themeColor="text1"/>
          <w:lang w:val="es-ES_tradnl"/>
        </w:rPr>
        <w:t xml:space="preserve"> y </w:t>
      </w:r>
      <w:r w:rsidR="000B6ED2" w:rsidRPr="000B6ED2">
        <w:rPr>
          <w:rFonts w:ascii="Arial" w:eastAsia="Calibri" w:hAnsi="Arial" w:cs="Arial"/>
          <w:color w:val="000000" w:themeColor="text1"/>
          <w:lang w:val="es-ES_tradnl"/>
        </w:rPr>
        <w:t>2.2.1.1.1.7.1</w:t>
      </w:r>
      <w:r w:rsidR="000B6ED2">
        <w:rPr>
          <w:rFonts w:ascii="Arial" w:eastAsia="Calibri" w:hAnsi="Arial" w:cs="Arial"/>
          <w:color w:val="000000" w:themeColor="text1"/>
          <w:lang w:val="es-ES_tradnl"/>
        </w:rPr>
        <w:t xml:space="preserve"> del Decreto 1082 de 2015, </w:t>
      </w:r>
      <w:r w:rsidR="0038386F">
        <w:rPr>
          <w:rFonts w:ascii="Arial" w:eastAsia="Calibri" w:hAnsi="Arial" w:cs="Arial"/>
          <w:color w:val="000000" w:themeColor="text1"/>
          <w:lang w:val="es-ES_tradnl"/>
        </w:rPr>
        <w:t xml:space="preserve">sino que debe </w:t>
      </w:r>
      <w:r w:rsidR="00FD56A8">
        <w:rPr>
          <w:rFonts w:ascii="Arial" w:eastAsia="Calibri" w:hAnsi="Arial" w:cs="Arial"/>
          <w:color w:val="000000" w:themeColor="text1"/>
          <w:lang w:val="es-ES_tradnl"/>
        </w:rPr>
        <w:t xml:space="preserve">hacerlo </w:t>
      </w:r>
      <w:r w:rsidR="0038386F">
        <w:rPr>
          <w:rFonts w:ascii="Arial" w:eastAsia="Calibri" w:hAnsi="Arial" w:cs="Arial"/>
          <w:color w:val="000000" w:themeColor="text1"/>
          <w:lang w:val="es-ES_tradnl"/>
        </w:rPr>
        <w:t xml:space="preserve">a través del SECOP I. No obstante, en el marco de la autonomía que le asiste, </w:t>
      </w:r>
      <w:r w:rsidR="00051A5E">
        <w:rPr>
          <w:rFonts w:ascii="Arial" w:eastAsia="Calibri" w:hAnsi="Arial" w:cs="Arial"/>
          <w:color w:val="000000" w:themeColor="text1"/>
          <w:lang w:val="es-ES_tradnl"/>
        </w:rPr>
        <w:t>dicha Entidad Estatal podría optar</w:t>
      </w:r>
      <w:r w:rsidR="008D72AD">
        <w:rPr>
          <w:rFonts w:ascii="Arial" w:eastAsia="Calibri" w:hAnsi="Arial" w:cs="Arial"/>
          <w:color w:val="000000" w:themeColor="text1"/>
          <w:lang w:val="es-ES_tradnl"/>
        </w:rPr>
        <w:t xml:space="preserve"> de manera voluntaria por</w:t>
      </w:r>
      <w:r w:rsidR="00051A5E">
        <w:rPr>
          <w:rFonts w:ascii="Arial" w:eastAsia="Calibri" w:hAnsi="Arial" w:cs="Arial"/>
          <w:color w:val="000000" w:themeColor="text1"/>
          <w:lang w:val="es-ES_tradnl"/>
        </w:rPr>
        <w:t xml:space="preserve"> comenzar a </w:t>
      </w:r>
      <w:r w:rsidR="00516FBD">
        <w:rPr>
          <w:rFonts w:ascii="Arial" w:eastAsia="Calibri" w:hAnsi="Arial" w:cs="Arial"/>
          <w:color w:val="000000" w:themeColor="text1"/>
          <w:lang w:val="es-ES_tradnl"/>
        </w:rPr>
        <w:t>desarrollar sus Procesos de Contratación de manera transaccional a través del SECOP II, par</w:t>
      </w:r>
      <w:r w:rsidR="008D72AD">
        <w:rPr>
          <w:rFonts w:ascii="Arial" w:eastAsia="Calibri" w:hAnsi="Arial" w:cs="Arial"/>
          <w:color w:val="000000" w:themeColor="text1"/>
          <w:lang w:val="es-ES_tradnl"/>
        </w:rPr>
        <w:t xml:space="preserve">a lo que tendría que </w:t>
      </w:r>
      <w:r w:rsidR="001416DB">
        <w:rPr>
          <w:rFonts w:ascii="Arial" w:eastAsia="Calibri" w:hAnsi="Arial" w:cs="Arial"/>
          <w:color w:val="000000" w:themeColor="text1"/>
          <w:lang w:val="es-ES_tradnl"/>
        </w:rPr>
        <w:t xml:space="preserve">iniciar proceso de </w:t>
      </w:r>
      <w:r w:rsidR="00464BA4">
        <w:rPr>
          <w:rFonts w:ascii="Arial" w:eastAsia="Calibri" w:hAnsi="Arial" w:cs="Arial"/>
          <w:color w:val="000000" w:themeColor="text1"/>
          <w:lang w:val="es-ES_tradnl"/>
        </w:rPr>
        <w:t>registr</w:t>
      </w:r>
      <w:r w:rsidR="001416DB">
        <w:rPr>
          <w:rFonts w:ascii="Arial" w:eastAsia="Calibri" w:hAnsi="Arial" w:cs="Arial"/>
          <w:color w:val="000000" w:themeColor="text1"/>
          <w:lang w:val="es-ES_tradnl"/>
        </w:rPr>
        <w:t>o</w:t>
      </w:r>
      <w:r w:rsidR="00464BA4">
        <w:rPr>
          <w:rFonts w:ascii="Arial" w:eastAsia="Calibri" w:hAnsi="Arial" w:cs="Arial"/>
          <w:color w:val="000000" w:themeColor="text1"/>
          <w:lang w:val="es-ES_tradnl"/>
        </w:rPr>
        <w:t xml:space="preserve"> en la </w:t>
      </w:r>
      <w:r w:rsidR="001416DB">
        <w:rPr>
          <w:rFonts w:ascii="Arial" w:eastAsia="Calibri" w:hAnsi="Arial" w:cs="Arial"/>
          <w:color w:val="000000" w:themeColor="text1"/>
          <w:lang w:val="es-ES_tradnl"/>
        </w:rPr>
        <w:t>plataforma.</w:t>
      </w:r>
    </w:p>
    <w:p w14:paraId="6CB4B7D3" w14:textId="77777777" w:rsidR="002A76FC" w:rsidRPr="004F5C65" w:rsidRDefault="002A76FC" w:rsidP="002A76FC">
      <w:pPr>
        <w:tabs>
          <w:tab w:val="left" w:pos="284"/>
        </w:tabs>
        <w:spacing w:after="0" w:line="276" w:lineRule="auto"/>
        <w:contextualSpacing/>
        <w:jc w:val="both"/>
        <w:rPr>
          <w:rFonts w:ascii="Arial" w:eastAsia="Calibri" w:hAnsi="Arial" w:cs="Arial"/>
          <w:b/>
          <w:color w:val="000000" w:themeColor="text1"/>
          <w:lang w:val="es-ES_tradnl"/>
        </w:rPr>
      </w:pPr>
    </w:p>
    <w:p w14:paraId="6BFD0360" w14:textId="77777777" w:rsidR="002A76FC" w:rsidRPr="004F5C65" w:rsidRDefault="002A76FC" w:rsidP="002A76FC">
      <w:pPr>
        <w:tabs>
          <w:tab w:val="left" w:pos="284"/>
        </w:tabs>
        <w:spacing w:after="0" w:line="276" w:lineRule="auto"/>
        <w:contextualSpacing/>
        <w:jc w:val="both"/>
        <w:rPr>
          <w:rFonts w:ascii="Arial" w:eastAsia="Calibri" w:hAnsi="Arial" w:cs="Arial"/>
          <w:color w:val="000000" w:themeColor="text1"/>
          <w:lang w:val="es-ES_tradnl"/>
        </w:rPr>
      </w:pPr>
      <w:r w:rsidRPr="004F5C65">
        <w:rPr>
          <w:rFonts w:ascii="Arial" w:eastAsia="Calibri" w:hAnsi="Arial" w:cs="Arial"/>
          <w:b/>
          <w:color w:val="000000" w:themeColor="text1"/>
          <w:lang w:val="es-ES_tradnl"/>
        </w:rPr>
        <w:t>3. Respuesta</w:t>
      </w:r>
    </w:p>
    <w:p w14:paraId="64775F1A" w14:textId="77777777" w:rsidR="002A76FC" w:rsidRPr="004F5C65" w:rsidRDefault="002A76FC" w:rsidP="00CE7902">
      <w:pPr>
        <w:spacing w:after="0" w:line="240" w:lineRule="auto"/>
        <w:ind w:right="709"/>
        <w:jc w:val="both"/>
        <w:rPr>
          <w:rFonts w:ascii="Arial" w:eastAsia="Calibri" w:hAnsi="Arial" w:cs="Arial"/>
          <w:i/>
          <w:color w:val="000000" w:themeColor="text1"/>
          <w:lang w:val="es-ES_tradnl"/>
        </w:rPr>
      </w:pPr>
    </w:p>
    <w:p w14:paraId="52885192" w14:textId="77777777" w:rsidR="002A76FC" w:rsidRPr="00D8108C"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D8108C">
        <w:rPr>
          <w:rFonts w:ascii="Arial" w:eastAsia="Calibri" w:hAnsi="Arial" w:cs="Arial"/>
          <w:color w:val="000000" w:themeColor="text1"/>
          <w:sz w:val="21"/>
          <w:szCs w:val="21"/>
          <w:lang w:val="es-ES_tradnl"/>
        </w:rPr>
        <w:t>solicito informar si la Región Administrativa y de Planificación de la Amazonía-RAP</w:t>
      </w:r>
    </w:p>
    <w:p w14:paraId="52AE21CF" w14:textId="77777777" w:rsidR="002A76FC" w:rsidRPr="00D8108C"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8108C">
        <w:rPr>
          <w:rFonts w:ascii="Arial" w:eastAsia="Calibri" w:hAnsi="Arial" w:cs="Arial"/>
          <w:color w:val="000000" w:themeColor="text1"/>
          <w:sz w:val="21"/>
          <w:szCs w:val="21"/>
          <w:lang w:val="es-ES_tradnl"/>
        </w:rPr>
        <w:t>Amazonía identificada con NIT No.901-351-632-9, se encuentra exenta de publicar la</w:t>
      </w:r>
    </w:p>
    <w:p w14:paraId="7D53DEE2" w14:textId="77777777" w:rsidR="002A76FC"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8108C">
        <w:rPr>
          <w:rFonts w:ascii="Arial" w:eastAsia="Calibri" w:hAnsi="Arial" w:cs="Arial"/>
          <w:color w:val="000000" w:themeColor="text1"/>
          <w:sz w:val="21"/>
          <w:szCs w:val="21"/>
          <w:lang w:val="es-ES_tradnl"/>
        </w:rPr>
        <w:t>actividad contractual en SECOP I o II.</w:t>
      </w:r>
    </w:p>
    <w:p w14:paraId="159A7865" w14:textId="77777777" w:rsidR="002A76FC" w:rsidRPr="004F5C65"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62096A92" w14:textId="77777777" w:rsidR="002A76FC" w:rsidRPr="004F5C65"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Pr="004F5C65">
        <w:rPr>
          <w:rFonts w:ascii="Arial" w:eastAsia="Calibri" w:hAnsi="Arial" w:cs="Arial"/>
          <w:color w:val="000000" w:themeColor="text1"/>
          <w:sz w:val="21"/>
          <w:szCs w:val="21"/>
          <w:lang w:val="es-ES_tradnl"/>
        </w:rPr>
        <w:t>[…]</w:t>
      </w:r>
    </w:p>
    <w:p w14:paraId="1E4A3F81" w14:textId="77777777" w:rsidR="002A76FC"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2172F0E3" w14:textId="77777777" w:rsidR="002A76FC" w:rsidRPr="005066B0"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5066B0">
        <w:rPr>
          <w:rFonts w:ascii="Arial" w:eastAsia="Calibri" w:hAnsi="Arial" w:cs="Arial"/>
          <w:color w:val="000000" w:themeColor="text1"/>
          <w:sz w:val="21"/>
          <w:szCs w:val="21"/>
          <w:lang w:val="es-ES_tradnl"/>
        </w:rPr>
        <w:t>“Se sirva informar si la Región Administrativa y de Planificación de la Amazonía-RAP</w:t>
      </w:r>
    </w:p>
    <w:p w14:paraId="518FF0B5" w14:textId="77777777" w:rsidR="002A76FC" w:rsidRPr="005066B0"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5066B0">
        <w:rPr>
          <w:rFonts w:ascii="Arial" w:eastAsia="Calibri" w:hAnsi="Arial" w:cs="Arial"/>
          <w:color w:val="000000" w:themeColor="text1"/>
          <w:sz w:val="21"/>
          <w:szCs w:val="21"/>
          <w:lang w:val="es-ES_tradnl"/>
        </w:rPr>
        <w:t>Amazonía debe realizar la publicacion de los procesos de contratacion en secop i o en</w:t>
      </w:r>
    </w:p>
    <w:p w14:paraId="1A122B18" w14:textId="77777777" w:rsidR="002A76FC"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5066B0">
        <w:rPr>
          <w:rFonts w:ascii="Arial" w:eastAsia="Calibri" w:hAnsi="Arial" w:cs="Arial"/>
          <w:color w:val="000000" w:themeColor="text1"/>
          <w:sz w:val="21"/>
          <w:szCs w:val="21"/>
          <w:lang w:val="es-ES_tradnl"/>
        </w:rPr>
        <w:t>secop ii.</w:t>
      </w:r>
    </w:p>
    <w:p w14:paraId="460BFB4E" w14:textId="77777777" w:rsidR="002A76FC"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54B4B308" w14:textId="77777777" w:rsidR="002A76FC"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5066B0">
        <w:rPr>
          <w:rFonts w:ascii="Arial" w:eastAsia="Calibri" w:hAnsi="Arial" w:cs="Arial"/>
          <w:color w:val="000000" w:themeColor="text1"/>
          <w:sz w:val="21"/>
          <w:szCs w:val="21"/>
          <w:lang w:val="es-ES_tradnl"/>
        </w:rPr>
        <w:t>“[…]</w:t>
      </w:r>
    </w:p>
    <w:p w14:paraId="33450FA0" w14:textId="77777777" w:rsidR="002A76FC"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7B753F2B" w14:textId="77777777" w:rsidR="002A76FC" w:rsidRPr="000E061F"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0E061F">
        <w:rPr>
          <w:rFonts w:ascii="Arial" w:eastAsia="Calibri" w:hAnsi="Arial" w:cs="Arial"/>
          <w:color w:val="000000" w:themeColor="text1"/>
          <w:sz w:val="21"/>
          <w:szCs w:val="21"/>
          <w:lang w:val="es-ES_tradnl"/>
        </w:rPr>
        <w:t>A partir de que fecha la Región Administrativa y de Planificación de la Amazonía-RAP</w:t>
      </w:r>
    </w:p>
    <w:p w14:paraId="5C0550DA" w14:textId="77777777" w:rsidR="002A76FC" w:rsidRPr="000E061F"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0E061F">
        <w:rPr>
          <w:rFonts w:ascii="Arial" w:eastAsia="Calibri" w:hAnsi="Arial" w:cs="Arial"/>
          <w:color w:val="000000" w:themeColor="text1"/>
          <w:sz w:val="21"/>
          <w:szCs w:val="21"/>
          <w:lang w:val="es-ES_tradnl"/>
        </w:rPr>
        <w:t>Amazonía debe realizar la publicacion de los procesos de contratacion en secop II?</w:t>
      </w:r>
    </w:p>
    <w:p w14:paraId="52FB9B54" w14:textId="5F59CB99" w:rsidR="002A76FC" w:rsidRPr="004F5C65" w:rsidRDefault="002A76FC" w:rsidP="00081F51">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0E061F">
        <w:rPr>
          <w:rFonts w:ascii="Arial" w:eastAsia="Calibri" w:hAnsi="Arial" w:cs="Arial"/>
          <w:color w:val="000000" w:themeColor="text1"/>
          <w:sz w:val="21"/>
          <w:szCs w:val="21"/>
          <w:lang w:val="es-ES_tradnl"/>
        </w:rPr>
        <w:t>Consecuencias legales que recaen en la Región Administrativa y de Planificación de la</w:t>
      </w:r>
      <w:r>
        <w:rPr>
          <w:rFonts w:ascii="Arial" w:eastAsia="Calibri" w:hAnsi="Arial" w:cs="Arial"/>
          <w:color w:val="000000" w:themeColor="text1"/>
          <w:sz w:val="21"/>
          <w:szCs w:val="21"/>
          <w:lang w:val="es-ES_tradnl"/>
        </w:rPr>
        <w:t xml:space="preserve"> </w:t>
      </w:r>
      <w:r w:rsidRPr="000E061F">
        <w:rPr>
          <w:rFonts w:ascii="Arial" w:eastAsia="Calibri" w:hAnsi="Arial" w:cs="Arial"/>
          <w:color w:val="000000" w:themeColor="text1"/>
          <w:sz w:val="21"/>
          <w:szCs w:val="21"/>
          <w:lang w:val="es-ES_tradnl"/>
        </w:rPr>
        <w:t>Amazonía-RAP Amazonía por no realizar la publicacion de los procesos de</w:t>
      </w:r>
      <w:r>
        <w:rPr>
          <w:rFonts w:ascii="Arial" w:eastAsia="Calibri" w:hAnsi="Arial" w:cs="Arial"/>
          <w:color w:val="000000" w:themeColor="text1"/>
          <w:sz w:val="21"/>
          <w:szCs w:val="21"/>
          <w:lang w:val="es-ES_tradnl"/>
        </w:rPr>
        <w:t xml:space="preserve"> </w:t>
      </w:r>
      <w:r w:rsidRPr="000E061F">
        <w:rPr>
          <w:rFonts w:ascii="Arial" w:eastAsia="Calibri" w:hAnsi="Arial" w:cs="Arial"/>
          <w:color w:val="000000" w:themeColor="text1"/>
          <w:sz w:val="21"/>
          <w:szCs w:val="21"/>
          <w:lang w:val="es-ES_tradnl"/>
        </w:rPr>
        <w:t>contratacion en secop ii</w:t>
      </w:r>
      <w:r w:rsidR="00081F51">
        <w:rPr>
          <w:rFonts w:ascii="Arial" w:eastAsia="Calibri" w:hAnsi="Arial" w:cs="Arial"/>
          <w:color w:val="000000" w:themeColor="text1"/>
          <w:sz w:val="21"/>
          <w:szCs w:val="21"/>
          <w:lang w:val="es-ES_tradnl"/>
        </w:rPr>
        <w:t>”</w:t>
      </w:r>
      <w:r w:rsidRPr="000E061F">
        <w:rPr>
          <w:rFonts w:ascii="Arial" w:eastAsia="Calibri" w:hAnsi="Arial" w:cs="Arial"/>
          <w:color w:val="000000" w:themeColor="text1"/>
          <w:sz w:val="21"/>
          <w:szCs w:val="21"/>
          <w:lang w:val="es-ES_tradnl"/>
        </w:rPr>
        <w:t>.</w:t>
      </w:r>
      <w:r>
        <w:rPr>
          <w:rFonts w:ascii="Arial" w:eastAsia="Calibri" w:hAnsi="Arial" w:cs="Arial"/>
          <w:color w:val="000000" w:themeColor="text1"/>
          <w:sz w:val="21"/>
          <w:szCs w:val="21"/>
          <w:lang w:val="es-ES_tradnl"/>
        </w:rPr>
        <w:t xml:space="preserve"> (SIC) </w:t>
      </w:r>
    </w:p>
    <w:p w14:paraId="1982C115" w14:textId="77777777" w:rsidR="002A76FC" w:rsidRPr="004F5C65" w:rsidRDefault="002A76FC" w:rsidP="002A76FC">
      <w:pPr>
        <w:tabs>
          <w:tab w:val="left" w:pos="426"/>
        </w:tabs>
        <w:spacing w:after="0" w:line="240" w:lineRule="auto"/>
        <w:ind w:right="709"/>
        <w:jc w:val="both"/>
        <w:rPr>
          <w:rFonts w:ascii="Arial" w:eastAsia="Calibri" w:hAnsi="Arial" w:cs="Arial"/>
          <w:color w:val="000000" w:themeColor="text1"/>
          <w:sz w:val="21"/>
          <w:szCs w:val="21"/>
          <w:lang w:val="es-ES_tradnl"/>
        </w:rPr>
      </w:pPr>
    </w:p>
    <w:p w14:paraId="4835F4C1" w14:textId="662AED31" w:rsidR="002A76FC" w:rsidRPr="004F5C65" w:rsidRDefault="00464BA4" w:rsidP="00CE7902">
      <w:pPr>
        <w:pStyle w:val="NormalWeb"/>
        <w:shd w:val="clear" w:color="auto" w:fill="FFFFFF"/>
        <w:spacing w:after="120" w:line="276" w:lineRule="auto"/>
        <w:jc w:val="both"/>
        <w:textAlignment w:val="baseline"/>
        <w:rPr>
          <w:rFonts w:ascii="Arial" w:hAnsi="Arial" w:cs="Arial"/>
          <w:color w:val="000000" w:themeColor="text1"/>
          <w:sz w:val="22"/>
          <w:szCs w:val="22"/>
          <w:bdr w:val="none" w:sz="0" w:space="0" w:color="auto" w:frame="1"/>
          <w:lang w:val="es-ES_tradnl"/>
        </w:rPr>
      </w:pPr>
      <w:r>
        <w:rPr>
          <w:rFonts w:ascii="Arial" w:hAnsi="Arial" w:cs="Arial"/>
          <w:color w:val="000000" w:themeColor="text1"/>
          <w:sz w:val="22"/>
          <w:szCs w:val="22"/>
          <w:bdr w:val="none" w:sz="0" w:space="0" w:color="auto" w:frame="1"/>
          <w:lang w:val="es-ES_tradnl"/>
        </w:rPr>
        <w:t>Conforme a lo expuesto, l</w:t>
      </w:r>
      <w:r w:rsidR="002A76FC" w:rsidRPr="004F5C65">
        <w:rPr>
          <w:rFonts w:ascii="Arial" w:hAnsi="Arial" w:cs="Arial"/>
          <w:color w:val="000000" w:themeColor="text1"/>
          <w:sz w:val="22"/>
          <w:szCs w:val="22"/>
          <w:bdr w:val="none" w:sz="0" w:space="0" w:color="auto" w:frame="1"/>
          <w:lang w:val="es-ES_tradnl"/>
        </w:rPr>
        <w:t xml:space="preserve">os esquemas asociativos territoriales </w:t>
      </w:r>
      <w:r w:rsidR="00081F51">
        <w:rPr>
          <w:rFonts w:ascii="Arial" w:hAnsi="Arial" w:cs="Arial"/>
          <w:color w:val="000000" w:themeColor="text1"/>
          <w:sz w:val="22"/>
          <w:szCs w:val="22"/>
          <w:bdr w:val="none" w:sz="0" w:space="0" w:color="auto" w:frame="1"/>
          <w:lang w:val="es-ES_tradnl"/>
        </w:rPr>
        <w:t xml:space="preserve">regulados por la Ley 1454 de 2011 </w:t>
      </w:r>
      <w:r>
        <w:rPr>
          <w:rFonts w:ascii="Arial" w:hAnsi="Arial" w:cs="Arial"/>
          <w:color w:val="000000" w:themeColor="text1"/>
          <w:sz w:val="22"/>
          <w:szCs w:val="22"/>
          <w:bdr w:val="none" w:sz="0" w:space="0" w:color="auto" w:frame="1"/>
          <w:lang w:val="es-ES_tradnl"/>
        </w:rPr>
        <w:t>constituyen Entidades Estatales</w:t>
      </w:r>
      <w:r w:rsidR="002A76FC" w:rsidRPr="004F5C65">
        <w:rPr>
          <w:rFonts w:ascii="Arial" w:hAnsi="Arial" w:cs="Arial"/>
          <w:color w:val="000000" w:themeColor="text1"/>
          <w:sz w:val="22"/>
          <w:szCs w:val="22"/>
          <w:bdr w:val="none" w:sz="0" w:space="0" w:color="auto" w:frame="1"/>
          <w:lang w:val="es-ES_tradnl"/>
        </w:rPr>
        <w:t xml:space="preserve"> </w:t>
      </w:r>
      <w:r>
        <w:rPr>
          <w:rFonts w:ascii="Arial" w:hAnsi="Arial" w:cs="Arial"/>
          <w:color w:val="000000" w:themeColor="text1"/>
          <w:sz w:val="22"/>
          <w:szCs w:val="22"/>
          <w:bdr w:val="none" w:sz="0" w:space="0" w:color="auto" w:frame="1"/>
          <w:lang w:val="es-ES_tradnl"/>
        </w:rPr>
        <w:t>en los términos d</w:t>
      </w:r>
      <w:r w:rsidR="002A76FC" w:rsidRPr="004F5C65">
        <w:rPr>
          <w:rFonts w:ascii="Arial" w:hAnsi="Arial" w:cs="Arial"/>
          <w:color w:val="000000" w:themeColor="text1"/>
          <w:sz w:val="22"/>
          <w:szCs w:val="22"/>
          <w:bdr w:val="none" w:sz="0" w:space="0" w:color="auto" w:frame="1"/>
          <w:lang w:val="es-ES_tradnl"/>
        </w:rPr>
        <w:t>el numeral 1 del artículo 2 de la Ley 80 de 1993,</w:t>
      </w:r>
      <w:r w:rsidR="00462A3F">
        <w:rPr>
          <w:rFonts w:ascii="Arial" w:hAnsi="Arial" w:cs="Arial"/>
          <w:color w:val="000000" w:themeColor="text1"/>
          <w:sz w:val="22"/>
          <w:szCs w:val="22"/>
          <w:bdr w:val="none" w:sz="0" w:space="0" w:color="auto" w:frame="1"/>
          <w:lang w:val="es-ES_tradnl"/>
        </w:rPr>
        <w:t xml:space="preserve"> estando por tanto sometidas </w:t>
      </w:r>
      <w:r w:rsidR="002A76FC" w:rsidRPr="004F5C65">
        <w:rPr>
          <w:rFonts w:ascii="Arial" w:hAnsi="Arial" w:cs="Arial"/>
          <w:color w:val="000000" w:themeColor="text1"/>
          <w:sz w:val="22"/>
          <w:szCs w:val="22"/>
          <w:bdr w:val="none" w:sz="0" w:space="0" w:color="auto" w:frame="1"/>
          <w:lang w:val="es-ES_tradnl"/>
        </w:rPr>
        <w:t>del E</w:t>
      </w:r>
      <w:r w:rsidR="00462A3F">
        <w:rPr>
          <w:rFonts w:ascii="Arial" w:hAnsi="Arial" w:cs="Arial"/>
          <w:color w:val="000000" w:themeColor="text1"/>
          <w:sz w:val="22"/>
          <w:szCs w:val="22"/>
          <w:bdr w:val="none" w:sz="0" w:space="0" w:color="auto" w:frame="1"/>
          <w:lang w:val="es-ES_tradnl"/>
        </w:rPr>
        <w:t xml:space="preserve">statuto </w:t>
      </w:r>
      <w:r w:rsidR="002A76FC" w:rsidRPr="004F5C65">
        <w:rPr>
          <w:rFonts w:ascii="Arial" w:hAnsi="Arial" w:cs="Arial"/>
          <w:color w:val="000000" w:themeColor="text1"/>
          <w:sz w:val="22"/>
          <w:szCs w:val="22"/>
          <w:bdr w:val="none" w:sz="0" w:space="0" w:color="auto" w:frame="1"/>
          <w:lang w:val="es-ES_tradnl"/>
        </w:rPr>
        <w:t>G</w:t>
      </w:r>
      <w:r w:rsidR="00462A3F">
        <w:rPr>
          <w:rFonts w:ascii="Arial" w:hAnsi="Arial" w:cs="Arial"/>
          <w:color w:val="000000" w:themeColor="text1"/>
          <w:sz w:val="22"/>
          <w:szCs w:val="22"/>
          <w:bdr w:val="none" w:sz="0" w:space="0" w:color="auto" w:frame="1"/>
          <w:lang w:val="es-ES_tradnl"/>
        </w:rPr>
        <w:t xml:space="preserve">eneral de </w:t>
      </w:r>
      <w:r w:rsidR="002A76FC" w:rsidRPr="004F5C65">
        <w:rPr>
          <w:rFonts w:ascii="Arial" w:hAnsi="Arial" w:cs="Arial"/>
          <w:color w:val="000000" w:themeColor="text1"/>
          <w:sz w:val="22"/>
          <w:szCs w:val="22"/>
          <w:bdr w:val="none" w:sz="0" w:space="0" w:color="auto" w:frame="1"/>
          <w:lang w:val="es-ES_tradnl"/>
        </w:rPr>
        <w:t>C</w:t>
      </w:r>
      <w:r w:rsidR="00462A3F">
        <w:rPr>
          <w:rFonts w:ascii="Arial" w:hAnsi="Arial" w:cs="Arial"/>
          <w:color w:val="000000" w:themeColor="text1"/>
          <w:sz w:val="22"/>
          <w:szCs w:val="22"/>
          <w:bdr w:val="none" w:sz="0" w:space="0" w:color="auto" w:frame="1"/>
          <w:lang w:val="es-ES_tradnl"/>
        </w:rPr>
        <w:t xml:space="preserve">ontratación de la </w:t>
      </w:r>
      <w:r w:rsidR="002A76FC" w:rsidRPr="004F5C65">
        <w:rPr>
          <w:rFonts w:ascii="Arial" w:hAnsi="Arial" w:cs="Arial"/>
          <w:color w:val="000000" w:themeColor="text1"/>
          <w:sz w:val="22"/>
          <w:szCs w:val="22"/>
          <w:bdr w:val="none" w:sz="0" w:space="0" w:color="auto" w:frame="1"/>
          <w:lang w:val="es-ES_tradnl"/>
        </w:rPr>
        <w:t>A</w:t>
      </w:r>
      <w:r w:rsidR="00462A3F">
        <w:rPr>
          <w:rFonts w:ascii="Arial" w:hAnsi="Arial" w:cs="Arial"/>
          <w:color w:val="000000" w:themeColor="text1"/>
          <w:sz w:val="22"/>
          <w:szCs w:val="22"/>
          <w:bdr w:val="none" w:sz="0" w:space="0" w:color="auto" w:frame="1"/>
          <w:lang w:val="es-ES_tradnl"/>
        </w:rPr>
        <w:t xml:space="preserve">dministración </w:t>
      </w:r>
      <w:r w:rsidR="002A76FC" w:rsidRPr="004F5C65">
        <w:rPr>
          <w:rFonts w:ascii="Arial" w:hAnsi="Arial" w:cs="Arial"/>
          <w:color w:val="000000" w:themeColor="text1"/>
          <w:sz w:val="22"/>
          <w:szCs w:val="22"/>
          <w:bdr w:val="none" w:sz="0" w:space="0" w:color="auto" w:frame="1"/>
          <w:lang w:val="es-ES_tradnl"/>
        </w:rPr>
        <w:t>P</w:t>
      </w:r>
      <w:r w:rsidR="00462A3F">
        <w:rPr>
          <w:rFonts w:ascii="Arial" w:hAnsi="Arial" w:cs="Arial"/>
          <w:color w:val="000000" w:themeColor="text1"/>
          <w:sz w:val="22"/>
          <w:szCs w:val="22"/>
          <w:bdr w:val="none" w:sz="0" w:space="0" w:color="auto" w:frame="1"/>
          <w:lang w:val="es-ES_tradnl"/>
        </w:rPr>
        <w:t>ública</w:t>
      </w:r>
      <w:r w:rsidR="002A76FC" w:rsidRPr="004F5C65">
        <w:rPr>
          <w:rFonts w:ascii="Arial" w:hAnsi="Arial" w:cs="Arial"/>
          <w:color w:val="000000" w:themeColor="text1"/>
          <w:sz w:val="22"/>
          <w:szCs w:val="22"/>
          <w:bdr w:val="none" w:sz="0" w:space="0" w:color="auto" w:frame="1"/>
          <w:lang w:val="es-ES_tradnl"/>
        </w:rPr>
        <w:t xml:space="preserve">. Este argumento se refuerza con el artículo 10 de la Ley 1150 de 2007, que establece: </w:t>
      </w:r>
      <w:r w:rsidR="002A76FC" w:rsidRPr="00CE7902">
        <w:rPr>
          <w:rFonts w:ascii="Arial" w:hAnsi="Arial" w:cs="Arial"/>
          <w:i/>
          <w:iCs/>
          <w:color w:val="000000" w:themeColor="text1"/>
          <w:sz w:val="22"/>
          <w:szCs w:val="22"/>
          <w:bdr w:val="none" w:sz="0" w:space="0" w:color="auto" w:frame="1"/>
          <w:lang w:val="es-ES_tradnl"/>
        </w:rPr>
        <w:t xml:space="preserve">“[…] </w:t>
      </w:r>
      <w:r w:rsidR="002A76FC" w:rsidRPr="00CE7902">
        <w:rPr>
          <w:rFonts w:ascii="Arial" w:hAnsi="Arial" w:cs="Arial"/>
          <w:i/>
          <w:iCs/>
          <w:color w:val="000000" w:themeColor="text1"/>
          <w:sz w:val="22"/>
          <w:szCs w:val="22"/>
          <w:lang w:val="es-ES_tradnl"/>
        </w:rPr>
        <w:t>Las cooperativas, las asociaciones conformadas por entidades territoriales y en general los entes solidarios de carácter público estarán sometidos a las disposiciones del Estatuto General de Contratación de la Administración Pública</w:t>
      </w:r>
      <w:r w:rsidR="002A76FC" w:rsidRPr="00CE7902">
        <w:rPr>
          <w:rStyle w:val="normaltextrun"/>
          <w:rFonts w:ascii="Arial" w:hAnsi="Arial" w:cs="Arial"/>
          <w:i/>
          <w:iCs/>
          <w:color w:val="000000" w:themeColor="text1"/>
          <w:sz w:val="22"/>
          <w:szCs w:val="22"/>
          <w:lang w:val="es-ES_tradnl"/>
        </w:rPr>
        <w:t>”</w:t>
      </w:r>
      <w:r w:rsidR="002A76FC" w:rsidRPr="004F5C65">
        <w:rPr>
          <w:rStyle w:val="normaltextrun"/>
          <w:rFonts w:ascii="Arial" w:hAnsi="Arial" w:cs="Arial"/>
          <w:color w:val="000000" w:themeColor="text1"/>
          <w:sz w:val="22"/>
          <w:szCs w:val="22"/>
          <w:lang w:val="es-ES_tradnl"/>
        </w:rPr>
        <w:t>.</w:t>
      </w:r>
      <w:r w:rsidR="002A76FC" w:rsidRPr="004F5C65">
        <w:rPr>
          <w:rStyle w:val="normaltextrun"/>
          <w:rFonts w:ascii="Arial" w:hAnsi="Arial" w:cs="Arial"/>
          <w:color w:val="000000" w:themeColor="text1"/>
          <w:sz w:val="20"/>
          <w:szCs w:val="20"/>
          <w:lang w:val="es-ES_tradnl"/>
        </w:rPr>
        <w:t xml:space="preserve"> </w:t>
      </w:r>
    </w:p>
    <w:p w14:paraId="58FB7DCF" w14:textId="77777777" w:rsidR="002A76FC" w:rsidRPr="004F5C65" w:rsidRDefault="002A76FC" w:rsidP="00CE7902">
      <w:pPr>
        <w:pStyle w:val="NormalWeb"/>
        <w:shd w:val="clear" w:color="auto" w:fill="FFFFFF"/>
        <w:spacing w:after="120" w:line="276" w:lineRule="auto"/>
        <w:ind w:firstLine="709"/>
        <w:jc w:val="both"/>
        <w:textAlignment w:val="baseline"/>
        <w:rPr>
          <w:rFonts w:ascii="Arial" w:hAnsi="Arial" w:cs="Arial"/>
          <w:color w:val="000000" w:themeColor="text1"/>
          <w:sz w:val="22"/>
          <w:szCs w:val="22"/>
          <w:bdr w:val="none" w:sz="0" w:space="0" w:color="auto" w:frame="1"/>
          <w:lang w:val="es-ES_tradnl"/>
        </w:rPr>
      </w:pPr>
      <w:r w:rsidRPr="004F5C65">
        <w:rPr>
          <w:rFonts w:ascii="Arial" w:hAnsi="Arial" w:cs="Arial"/>
          <w:color w:val="000000" w:themeColor="text1"/>
          <w:sz w:val="22"/>
          <w:szCs w:val="22"/>
          <w:bdr w:val="none" w:sz="0" w:space="0" w:color="auto" w:frame="1"/>
          <w:lang w:val="es-ES_tradnl"/>
        </w:rPr>
        <w:t>Lo anterior implica que los procedimientos que los esquemas asociativos territoriales deben llevar a cabo son los establecidos en el Estatuto General de Contratación de la Administración Pública, los cuales se encuentran regulados actualmente en el</w:t>
      </w:r>
      <w:r w:rsidRPr="004F5C65">
        <w:rPr>
          <w:rStyle w:val="apple-converted-space"/>
          <w:rFonts w:ascii="Arial" w:hAnsi="Arial" w:cs="Arial"/>
          <w:color w:val="000000" w:themeColor="text1"/>
          <w:sz w:val="22"/>
          <w:szCs w:val="22"/>
          <w:bdr w:val="none" w:sz="0" w:space="0" w:color="auto" w:frame="1"/>
          <w:lang w:val="es-ES_tradnl"/>
        </w:rPr>
        <w:t> </w:t>
      </w:r>
      <w:r w:rsidRPr="004F5C65">
        <w:rPr>
          <w:rFonts w:ascii="Arial" w:hAnsi="Arial" w:cs="Arial"/>
          <w:color w:val="000000" w:themeColor="text1"/>
          <w:sz w:val="22"/>
          <w:szCs w:val="22"/>
          <w:bdr w:val="none" w:sz="0" w:space="0" w:color="auto" w:frame="1"/>
          <w:lang w:val="es-ES_tradnl"/>
        </w:rPr>
        <w:t xml:space="preserve">artículo 2 de la Ley 1150 de 2007. Así las cosas, para cumplir la finalidad atribuida a los esquemas asociativos territoriales, estos pueden emplear cualquiera de los procedimientos de selección de contratistas </w:t>
      </w:r>
      <w:r w:rsidRPr="004F5C65">
        <w:rPr>
          <w:rFonts w:ascii="Arial" w:hAnsi="Arial" w:cs="Arial"/>
          <w:color w:val="000000" w:themeColor="text1"/>
          <w:sz w:val="22"/>
          <w:szCs w:val="22"/>
          <w:bdr w:val="none" w:sz="0" w:space="0" w:color="auto" w:frame="1"/>
          <w:lang w:val="es-ES_tradnl"/>
        </w:rPr>
        <w:lastRenderedPageBreak/>
        <w:t>establecidos en dicho artículo, de acuerdo con las causales y criterios de procedencia de cada una de dichas modalidades de selección.</w:t>
      </w:r>
    </w:p>
    <w:p w14:paraId="48637E7A" w14:textId="5801BC9D" w:rsidR="002A76FC" w:rsidRDefault="00197828" w:rsidP="00CE7902">
      <w:pPr>
        <w:tabs>
          <w:tab w:val="left" w:pos="426"/>
        </w:tabs>
        <w:spacing w:after="120" w:line="276" w:lineRule="auto"/>
        <w:ind w:right="45"/>
        <w:jc w:val="both"/>
        <w:rPr>
          <w:rFonts w:ascii="Arial" w:eastAsia="Calibri" w:hAnsi="Arial" w:cs="Arial"/>
          <w:color w:val="000000" w:themeColor="text1"/>
          <w:sz w:val="21"/>
          <w:szCs w:val="21"/>
          <w:highlight w:val="yellow"/>
          <w:lang w:val="es-ES_tradnl"/>
        </w:rPr>
      </w:pPr>
      <w:r>
        <w:rPr>
          <w:rFonts w:ascii="Arial" w:hAnsi="Arial" w:cs="Arial"/>
          <w:color w:val="000000" w:themeColor="text1"/>
          <w:bdr w:val="none" w:sz="0" w:space="0" w:color="auto" w:frame="1"/>
          <w:lang w:val="es-ES_tradnl"/>
        </w:rPr>
        <w:tab/>
      </w:r>
      <w:r w:rsidRPr="5E0AC4C4">
        <w:rPr>
          <w:rFonts w:ascii="Arial" w:hAnsi="Arial" w:cs="Arial"/>
          <w:color w:val="000000" w:themeColor="text1"/>
          <w:lang w:val="es-ES"/>
        </w:rPr>
        <w:t xml:space="preserve">Conforme a lo anterior, </w:t>
      </w:r>
      <w:r w:rsidR="001C50BF" w:rsidRPr="5E0AC4C4">
        <w:rPr>
          <w:rFonts w:ascii="Arial" w:hAnsi="Arial" w:cs="Arial"/>
          <w:color w:val="000000" w:themeColor="text1"/>
          <w:lang w:val="es-ES"/>
        </w:rPr>
        <w:t xml:space="preserve">los esquemas asociativos territoriales deben realizar la publicidad de su actividad contractual en el SECOP de conformidad con lo previsto en el artículo 3 de la </w:t>
      </w:r>
      <w:r w:rsidR="00081F51" w:rsidRPr="5E0AC4C4">
        <w:rPr>
          <w:rFonts w:ascii="Arial" w:hAnsi="Arial" w:cs="Arial"/>
          <w:color w:val="000000" w:themeColor="text1"/>
          <w:lang w:val="es-ES"/>
        </w:rPr>
        <w:t xml:space="preserve">Ley 1150 de 2007, reglamentado por el artículo </w:t>
      </w:r>
      <w:r w:rsidR="00081F51" w:rsidRPr="5E0AC4C4">
        <w:rPr>
          <w:rFonts w:ascii="Arial" w:eastAsia="Calibri" w:hAnsi="Arial" w:cs="Arial"/>
          <w:color w:val="000000" w:themeColor="text1"/>
          <w:lang w:val="es-ES"/>
        </w:rPr>
        <w:t xml:space="preserve">2.2.1.1.1.7.1 del Decreto 1082 de 2015.  </w:t>
      </w:r>
      <w:r w:rsidR="00D858BB" w:rsidRPr="5E0AC4C4">
        <w:rPr>
          <w:rFonts w:ascii="Arial" w:eastAsia="Calibri" w:hAnsi="Arial" w:cs="Arial"/>
          <w:color w:val="000000" w:themeColor="text1"/>
          <w:lang w:val="es-ES"/>
        </w:rPr>
        <w:t xml:space="preserve">No obstante, </w:t>
      </w:r>
      <w:r w:rsidR="007F5DB4" w:rsidRPr="5E0AC4C4">
        <w:rPr>
          <w:rFonts w:ascii="Arial" w:eastAsia="Calibri" w:hAnsi="Arial" w:cs="Arial"/>
          <w:color w:val="000000" w:themeColor="text1"/>
          <w:lang w:val="es-ES"/>
        </w:rPr>
        <w:t>el deber realizar dicha publicidad a través</w:t>
      </w:r>
      <w:r w:rsidR="005C0414" w:rsidRPr="5E0AC4C4">
        <w:rPr>
          <w:rFonts w:ascii="Arial" w:eastAsia="Calibri" w:hAnsi="Arial" w:cs="Arial"/>
          <w:color w:val="000000" w:themeColor="text1"/>
          <w:lang w:val="es-ES"/>
        </w:rPr>
        <w:t xml:space="preserve"> del SECOP II debe determinarse </w:t>
      </w:r>
      <w:r w:rsidR="00882B18" w:rsidRPr="5E0AC4C4">
        <w:rPr>
          <w:rFonts w:ascii="Arial" w:eastAsia="Calibri" w:hAnsi="Arial" w:cs="Arial"/>
          <w:color w:val="000000" w:themeColor="text1"/>
          <w:lang w:val="es-ES"/>
        </w:rPr>
        <w:t>a partir de lo</w:t>
      </w:r>
      <w:r w:rsidR="007F5DB4" w:rsidRPr="5E0AC4C4">
        <w:rPr>
          <w:rFonts w:ascii="Arial" w:eastAsia="Calibri" w:hAnsi="Arial" w:cs="Arial"/>
          <w:color w:val="000000" w:themeColor="text1"/>
          <w:lang w:val="es-ES"/>
        </w:rPr>
        <w:t xml:space="preserve"> establecido </w:t>
      </w:r>
      <w:r w:rsidR="00882B18" w:rsidRPr="5E0AC4C4">
        <w:rPr>
          <w:rFonts w:ascii="Arial" w:eastAsia="Calibri" w:hAnsi="Arial" w:cs="Arial"/>
          <w:color w:val="000000" w:themeColor="text1"/>
          <w:lang w:val="es-ES"/>
        </w:rPr>
        <w:t>en l</w:t>
      </w:r>
      <w:r w:rsidR="001747B0" w:rsidRPr="5E0AC4C4">
        <w:rPr>
          <w:rFonts w:ascii="Arial" w:eastAsia="Calibri" w:hAnsi="Arial" w:cs="Arial"/>
          <w:color w:val="000000" w:themeColor="text1"/>
          <w:lang w:val="es-ES"/>
        </w:rPr>
        <w:t>o</w:t>
      </w:r>
      <w:r w:rsidR="00710CE8" w:rsidRPr="5E0AC4C4">
        <w:rPr>
          <w:rFonts w:ascii="Arial" w:eastAsia="Calibri" w:hAnsi="Arial" w:cs="Arial"/>
          <w:color w:val="000000" w:themeColor="text1"/>
          <w:lang w:val="es-ES"/>
        </w:rPr>
        <w:t>s</w:t>
      </w:r>
      <w:r w:rsidR="00882B18" w:rsidRPr="5E0AC4C4">
        <w:rPr>
          <w:rFonts w:ascii="Arial" w:eastAsia="Calibri" w:hAnsi="Arial" w:cs="Arial"/>
          <w:color w:val="000000" w:themeColor="text1"/>
          <w:lang w:val="es-ES"/>
        </w:rPr>
        <w:t xml:space="preserve"> circulares expedidas por la Agencia Nacional de Contratación Pública</w:t>
      </w:r>
      <w:r w:rsidR="007F5DB4" w:rsidRPr="5E0AC4C4">
        <w:rPr>
          <w:rFonts w:ascii="Arial" w:eastAsia="Calibri" w:hAnsi="Arial" w:cs="Arial"/>
          <w:color w:val="000000" w:themeColor="text1"/>
          <w:lang w:val="es-ES"/>
        </w:rPr>
        <w:t xml:space="preserve"> con el propósito de regular el uso obligatorio de dicha plataforma, entre ellas</w:t>
      </w:r>
      <w:r w:rsidR="003822A5" w:rsidRPr="5E0AC4C4">
        <w:rPr>
          <w:rFonts w:ascii="Arial" w:eastAsia="Calibri" w:hAnsi="Arial" w:cs="Arial"/>
          <w:color w:val="000000" w:themeColor="text1"/>
          <w:lang w:val="es-ES"/>
        </w:rPr>
        <w:t xml:space="preserve"> la circular externa Nos. 1 de 2019, 3 de 2020. 1 de 2021, 2 de 2021 y 002 de 2022. </w:t>
      </w:r>
    </w:p>
    <w:p w14:paraId="70299A14" w14:textId="0B7194A0" w:rsidR="0061534B" w:rsidRDefault="00710CE8" w:rsidP="00F66D95">
      <w:pPr>
        <w:spacing w:before="120" w:after="0" w:line="276" w:lineRule="auto"/>
        <w:ind w:firstLine="708"/>
        <w:jc w:val="both"/>
        <w:rPr>
          <w:rFonts w:ascii="Arial" w:eastAsia="Calibri" w:hAnsi="Arial" w:cs="Arial"/>
          <w:color w:val="000000" w:themeColor="text1"/>
          <w:lang w:val="es-ES_tradnl"/>
        </w:rPr>
      </w:pPr>
      <w:r w:rsidRPr="00CE7902">
        <w:rPr>
          <w:rFonts w:ascii="Arial" w:eastAsia="Calibri" w:hAnsi="Arial" w:cs="Arial"/>
          <w:color w:val="000000" w:themeColor="text1"/>
          <w:lang w:val="es-ES_tradnl"/>
        </w:rPr>
        <w:t xml:space="preserve">Revisadas dichas circulares se advierte que la </w:t>
      </w:r>
      <w:r w:rsidRPr="0061534B">
        <w:rPr>
          <w:rFonts w:ascii="Arial" w:eastAsia="Calibri" w:hAnsi="Arial" w:cs="Arial"/>
          <w:color w:val="000000" w:themeColor="text1"/>
          <w:lang w:val="es-ES_tradnl"/>
        </w:rPr>
        <w:t xml:space="preserve">Región Administrativa de Planificación para la Amazonía no ha sido incluida en los anexos de ninguna de ellas, </w:t>
      </w:r>
      <w:r w:rsidR="00F06C15">
        <w:rPr>
          <w:rFonts w:ascii="Arial" w:eastAsia="Calibri" w:hAnsi="Arial" w:cs="Arial"/>
          <w:color w:val="000000" w:themeColor="text1"/>
          <w:lang w:val="es-ES_tradnl"/>
        </w:rPr>
        <w:t>lo que significa que, por el momento,</w:t>
      </w:r>
      <w:r w:rsidR="0061534B" w:rsidRPr="0061534B">
        <w:rPr>
          <w:rFonts w:ascii="Arial" w:eastAsia="Calibri" w:hAnsi="Arial" w:cs="Arial"/>
          <w:color w:val="000000" w:themeColor="text1"/>
          <w:lang w:val="es-ES_tradnl"/>
        </w:rPr>
        <w:t xml:space="preserve"> </w:t>
      </w:r>
      <w:r w:rsidR="00F66D95">
        <w:rPr>
          <w:rFonts w:ascii="Arial" w:eastAsia="Calibri" w:hAnsi="Arial" w:cs="Arial"/>
          <w:color w:val="000000" w:themeColor="text1"/>
          <w:lang w:val="es-ES_tradnl"/>
        </w:rPr>
        <w:t xml:space="preserve">dicha </w:t>
      </w:r>
      <w:r w:rsidRPr="0061534B">
        <w:rPr>
          <w:rFonts w:ascii="Arial" w:eastAsia="Calibri" w:hAnsi="Arial" w:cs="Arial"/>
          <w:color w:val="000000" w:themeColor="text1"/>
          <w:lang w:val="es-ES_tradnl"/>
        </w:rPr>
        <w:t xml:space="preserve">Entidad Estatal </w:t>
      </w:r>
      <w:r w:rsidR="002B4EBC" w:rsidRPr="0061534B">
        <w:rPr>
          <w:rFonts w:ascii="Arial" w:eastAsia="Calibri" w:hAnsi="Arial" w:cs="Arial"/>
          <w:color w:val="000000" w:themeColor="text1"/>
          <w:lang w:val="es-ES_tradnl"/>
        </w:rPr>
        <w:t xml:space="preserve">no está obligada a desarrollar sus Procesos de Contratación a través del </w:t>
      </w:r>
      <w:r w:rsidRPr="0061534B">
        <w:rPr>
          <w:rFonts w:ascii="Arial" w:eastAsia="Calibri" w:hAnsi="Arial" w:cs="Arial"/>
          <w:color w:val="000000" w:themeColor="text1"/>
          <w:lang w:val="es-ES_tradnl"/>
        </w:rPr>
        <w:t xml:space="preserve">SECOP II de manera obligatoria. </w:t>
      </w:r>
      <w:r w:rsidR="0061534B">
        <w:rPr>
          <w:rFonts w:ascii="Arial" w:eastAsia="Calibri" w:hAnsi="Arial" w:cs="Arial"/>
          <w:color w:val="000000" w:themeColor="text1"/>
          <w:lang w:val="es-ES_tradnl"/>
        </w:rPr>
        <w:t>Sin perjuicio de esto, en el marco de la autonomía que le corresponde tal Entidad Estatal</w:t>
      </w:r>
      <w:r w:rsidR="00F66D95">
        <w:rPr>
          <w:rFonts w:ascii="Arial" w:eastAsia="Calibri" w:hAnsi="Arial" w:cs="Arial"/>
          <w:color w:val="000000" w:themeColor="text1"/>
          <w:lang w:val="es-ES_tradnl"/>
        </w:rPr>
        <w:t>, esta</w:t>
      </w:r>
      <w:r w:rsidR="0061534B">
        <w:rPr>
          <w:rFonts w:ascii="Arial" w:eastAsia="Calibri" w:hAnsi="Arial" w:cs="Arial"/>
          <w:color w:val="000000" w:themeColor="text1"/>
          <w:lang w:val="es-ES_tradnl"/>
        </w:rPr>
        <w:t xml:space="preserve"> podría optar</w:t>
      </w:r>
      <w:r w:rsidR="00F66D95">
        <w:rPr>
          <w:rFonts w:ascii="Arial" w:eastAsia="Calibri" w:hAnsi="Arial" w:cs="Arial"/>
          <w:color w:val="000000" w:themeColor="text1"/>
          <w:lang w:val="es-ES_tradnl"/>
        </w:rPr>
        <w:t>,</w:t>
      </w:r>
      <w:r w:rsidR="0061534B">
        <w:rPr>
          <w:rFonts w:ascii="Arial" w:eastAsia="Calibri" w:hAnsi="Arial" w:cs="Arial"/>
          <w:color w:val="000000" w:themeColor="text1"/>
          <w:lang w:val="es-ES_tradnl"/>
        </w:rPr>
        <w:t xml:space="preserve"> de manera voluntaria</w:t>
      </w:r>
      <w:r w:rsidR="00F66D95">
        <w:rPr>
          <w:rFonts w:ascii="Arial" w:eastAsia="Calibri" w:hAnsi="Arial" w:cs="Arial"/>
          <w:color w:val="000000" w:themeColor="text1"/>
          <w:lang w:val="es-ES_tradnl"/>
        </w:rPr>
        <w:t>,</w:t>
      </w:r>
      <w:r w:rsidR="0061534B">
        <w:rPr>
          <w:rFonts w:ascii="Arial" w:eastAsia="Calibri" w:hAnsi="Arial" w:cs="Arial"/>
          <w:color w:val="000000" w:themeColor="text1"/>
          <w:lang w:val="es-ES_tradnl"/>
        </w:rPr>
        <w:t xml:space="preserve"> por desarrollar sus Procesos de Contratación de manera transaccional a través del SECOP II, para lo que </w:t>
      </w:r>
      <w:r w:rsidR="0089496C">
        <w:rPr>
          <w:rFonts w:ascii="Arial" w:eastAsia="Calibri" w:hAnsi="Arial" w:cs="Arial"/>
          <w:color w:val="000000" w:themeColor="text1"/>
          <w:lang w:val="es-ES_tradnl"/>
        </w:rPr>
        <w:t xml:space="preserve">debe registrarse en la plataforma como Entidad Estatal. </w:t>
      </w:r>
    </w:p>
    <w:p w14:paraId="06B58A02" w14:textId="77777777" w:rsidR="002A76FC" w:rsidRPr="004F5C65" w:rsidRDefault="002A76FC" w:rsidP="002A76FC">
      <w:pPr>
        <w:spacing w:after="0" w:line="276" w:lineRule="auto"/>
        <w:jc w:val="both"/>
        <w:rPr>
          <w:rFonts w:ascii="Arial" w:eastAsia="Calibri" w:hAnsi="Arial" w:cs="Arial"/>
          <w:color w:val="000000" w:themeColor="text1"/>
          <w:lang w:val="es-ES_tradnl"/>
        </w:rPr>
      </w:pPr>
    </w:p>
    <w:p w14:paraId="7D7C2B0A" w14:textId="3054C115" w:rsidR="002A76FC" w:rsidRPr="004F5C65" w:rsidRDefault="002A76FC" w:rsidP="00CE7902">
      <w:pPr>
        <w:spacing w:after="0" w:line="276" w:lineRule="auto"/>
        <w:jc w:val="both"/>
        <w:rPr>
          <w:rFonts w:ascii="Arial" w:eastAsia="Times New Roman" w:hAnsi="Arial" w:cs="Arial"/>
          <w:color w:val="000000" w:themeColor="text1"/>
          <w:szCs w:val="24"/>
          <w:lang w:val="es-ES_tradnl" w:eastAsia="es-ES_tradnl"/>
        </w:rPr>
      </w:pPr>
      <w:r w:rsidRPr="00586CBC">
        <w:rPr>
          <w:rFonts w:ascii="Arial" w:eastAsia="Times New Roman" w:hAnsi="Arial" w:cs="Arial"/>
          <w:color w:val="000000" w:themeColor="text1"/>
          <w:szCs w:val="24"/>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r w:rsidR="00E0220F">
        <w:rPr>
          <w:rFonts w:ascii="Arial" w:eastAsia="Times New Roman" w:hAnsi="Arial" w:cs="Arial"/>
          <w:color w:val="000000" w:themeColor="text1"/>
          <w:szCs w:val="24"/>
          <w:lang w:val="es-ES_tradnl" w:eastAsia="es-ES_tradnl"/>
        </w:rPr>
        <w:t>.</w:t>
      </w:r>
    </w:p>
    <w:p w14:paraId="24BFE0AB" w14:textId="77777777" w:rsidR="00F66D95" w:rsidRDefault="00F66D95" w:rsidP="002A76FC">
      <w:pPr>
        <w:spacing w:after="0" w:line="276" w:lineRule="auto"/>
        <w:jc w:val="both"/>
        <w:rPr>
          <w:rFonts w:ascii="Arial" w:eastAsia="Times New Roman" w:hAnsi="Arial" w:cs="Arial"/>
          <w:color w:val="000000" w:themeColor="text1"/>
          <w:lang w:val="es-ES_tradnl" w:eastAsia="es-CO"/>
        </w:rPr>
      </w:pPr>
    </w:p>
    <w:p w14:paraId="5ECC9ACC" w14:textId="1F91E965" w:rsidR="002A76FC" w:rsidRPr="004F5C65" w:rsidRDefault="002A76FC" w:rsidP="00CE7902">
      <w:pPr>
        <w:spacing w:after="0" w:line="276" w:lineRule="auto"/>
        <w:jc w:val="both"/>
        <w:rPr>
          <w:rFonts w:ascii="Arial" w:hAnsi="Arial" w:cs="Arial"/>
          <w:color w:val="000000" w:themeColor="text1"/>
          <w:sz w:val="18"/>
          <w:szCs w:val="18"/>
          <w:lang w:val="es-ES_tradnl"/>
        </w:rPr>
      </w:pPr>
      <w:r w:rsidRPr="004F5C65">
        <w:rPr>
          <w:rFonts w:ascii="Arial" w:eastAsia="Times New Roman" w:hAnsi="Arial" w:cs="Arial"/>
          <w:color w:val="000000" w:themeColor="text1"/>
          <w:lang w:val="es-ES_tradnl" w:eastAsia="es-CO"/>
        </w:rPr>
        <w:t>Atentamente,</w:t>
      </w:r>
    </w:p>
    <w:p w14:paraId="6A5B7E8A" w14:textId="473ADAC5" w:rsidR="002A76FC" w:rsidRPr="004F5C65" w:rsidRDefault="00E57943" w:rsidP="002A76FC">
      <w:pPr>
        <w:pStyle w:val="Sinespaciado"/>
        <w:jc w:val="center"/>
        <w:rPr>
          <w:rFonts w:ascii="Arial" w:hAnsi="Arial" w:cs="Arial"/>
          <w:color w:val="000000" w:themeColor="text1"/>
          <w:sz w:val="18"/>
          <w:szCs w:val="18"/>
          <w:lang w:val="es-ES_tradnl"/>
        </w:rPr>
      </w:pPr>
      <w:r w:rsidRPr="00E57943">
        <w:rPr>
          <w:rFonts w:ascii="Calibri" w:eastAsia="Calibri" w:hAnsi="Calibri" w:cs="Times New Roman"/>
          <w:noProof/>
        </w:rPr>
        <w:drawing>
          <wp:inline distT="0" distB="0" distL="0" distR="0" wp14:anchorId="43406457" wp14:editId="18562DB5">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04E0A61C" w14:textId="77777777" w:rsidR="002A76FC" w:rsidRPr="004F5C65" w:rsidRDefault="002A76FC" w:rsidP="002A76FC">
      <w:pPr>
        <w:spacing w:after="0" w:line="276" w:lineRule="auto"/>
        <w:jc w:val="center"/>
        <w:rPr>
          <w:rFonts w:ascii="Arial" w:eastAsia="Times New Roman" w:hAnsi="Arial" w:cs="Arial"/>
          <w:color w:val="000000" w:themeColor="text1"/>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567"/>
      </w:tblGrid>
      <w:tr w:rsidR="002A76FC" w:rsidRPr="00A23D8A" w14:paraId="6296283D" w14:textId="77777777" w:rsidTr="00CE7902">
        <w:trPr>
          <w:trHeight w:val="315"/>
        </w:trPr>
        <w:tc>
          <w:tcPr>
            <w:tcW w:w="812" w:type="dxa"/>
            <w:vAlign w:val="center"/>
            <w:hideMark/>
          </w:tcPr>
          <w:p w14:paraId="3951318D" w14:textId="77777777" w:rsidR="002A76FC" w:rsidRPr="00A23D8A" w:rsidRDefault="002A76FC" w:rsidP="00CD70DB">
            <w:pPr>
              <w:spacing w:line="276" w:lineRule="auto"/>
              <w:rPr>
                <w:rFonts w:ascii="Arial" w:eastAsia="Times New Roman" w:hAnsi="Arial" w:cs="Arial"/>
                <w:sz w:val="16"/>
                <w:szCs w:val="16"/>
                <w:lang w:eastAsia="es-ES"/>
              </w:rPr>
            </w:pPr>
            <w:r w:rsidRPr="00A23D8A">
              <w:rPr>
                <w:rFonts w:ascii="Arial" w:eastAsia="Times New Roman" w:hAnsi="Arial" w:cs="Arial"/>
                <w:sz w:val="16"/>
                <w:szCs w:val="16"/>
                <w:lang w:eastAsia="es-ES"/>
              </w:rPr>
              <w:t>Elaboró:</w:t>
            </w:r>
          </w:p>
        </w:tc>
        <w:tc>
          <w:tcPr>
            <w:tcW w:w="5567" w:type="dxa"/>
            <w:tcBorders>
              <w:top w:val="nil"/>
              <w:left w:val="nil"/>
              <w:bottom w:val="dotted" w:sz="4" w:space="0" w:color="7F7F7F"/>
              <w:right w:val="nil"/>
            </w:tcBorders>
            <w:vAlign w:val="center"/>
            <w:hideMark/>
          </w:tcPr>
          <w:p w14:paraId="7AE6BC98" w14:textId="77777777" w:rsidR="002A76FC" w:rsidRPr="00A23D8A" w:rsidRDefault="002A76FC" w:rsidP="00CD70DB">
            <w:pPr>
              <w:rPr>
                <w:rFonts w:ascii="Arial" w:eastAsia="Calibri" w:hAnsi="Arial" w:cs="Arial"/>
                <w:sz w:val="16"/>
                <w:szCs w:val="16"/>
                <w:lang w:val="es-ES_tradnl" w:eastAsia="es-ES"/>
              </w:rPr>
            </w:pPr>
            <w:r w:rsidRPr="00A23D8A">
              <w:rPr>
                <w:rFonts w:ascii="Arial" w:eastAsia="Calibri" w:hAnsi="Arial" w:cs="Arial"/>
                <w:sz w:val="16"/>
                <w:szCs w:val="16"/>
                <w:lang w:val="es-ES_tradnl" w:eastAsia="es-ES"/>
              </w:rPr>
              <w:t>Gabriel Alejandro Murcia Taboada</w:t>
            </w:r>
          </w:p>
          <w:p w14:paraId="00DE1346" w14:textId="77777777" w:rsidR="002A76FC" w:rsidRPr="00A23D8A" w:rsidRDefault="002A76FC" w:rsidP="00CD70DB">
            <w:pPr>
              <w:spacing w:line="276" w:lineRule="auto"/>
              <w:rPr>
                <w:rFonts w:ascii="Arial" w:eastAsia="Times New Roman" w:hAnsi="Arial" w:cs="Arial"/>
                <w:sz w:val="16"/>
                <w:szCs w:val="16"/>
                <w:lang w:eastAsia="es-ES"/>
              </w:rPr>
            </w:pPr>
            <w:r w:rsidRPr="00A23D8A">
              <w:rPr>
                <w:rFonts w:ascii="Arial" w:eastAsia="Calibri" w:hAnsi="Arial" w:cs="Arial"/>
                <w:sz w:val="16"/>
                <w:szCs w:val="16"/>
                <w:lang w:val="es-ES_tradnl" w:eastAsia="es-ES"/>
              </w:rPr>
              <w:t>Contratista de la Subdirección de Gestión Contractual</w:t>
            </w:r>
          </w:p>
        </w:tc>
      </w:tr>
      <w:tr w:rsidR="002A76FC" w:rsidRPr="00A23D8A" w14:paraId="721C39D4" w14:textId="77777777" w:rsidTr="00CE7902">
        <w:trPr>
          <w:trHeight w:val="330"/>
        </w:trPr>
        <w:tc>
          <w:tcPr>
            <w:tcW w:w="812" w:type="dxa"/>
            <w:vAlign w:val="center"/>
            <w:hideMark/>
          </w:tcPr>
          <w:p w14:paraId="359294C3" w14:textId="77777777" w:rsidR="002A76FC" w:rsidRPr="00A23D8A" w:rsidRDefault="002A76FC" w:rsidP="00CD70DB">
            <w:pPr>
              <w:spacing w:line="276" w:lineRule="auto"/>
              <w:rPr>
                <w:rFonts w:ascii="Arial" w:eastAsia="Times New Roman" w:hAnsi="Arial" w:cs="Arial"/>
                <w:sz w:val="16"/>
                <w:szCs w:val="16"/>
                <w:lang w:eastAsia="es-ES"/>
              </w:rPr>
            </w:pPr>
            <w:r w:rsidRPr="00A23D8A">
              <w:rPr>
                <w:rFonts w:ascii="Arial" w:eastAsia="Times New Roman" w:hAnsi="Arial" w:cs="Arial"/>
                <w:sz w:val="16"/>
                <w:szCs w:val="16"/>
                <w:lang w:eastAsia="es-ES"/>
              </w:rPr>
              <w:t>Revisó:</w:t>
            </w:r>
          </w:p>
        </w:tc>
        <w:tc>
          <w:tcPr>
            <w:tcW w:w="5567" w:type="dxa"/>
            <w:tcBorders>
              <w:top w:val="dotted" w:sz="4" w:space="0" w:color="7F7F7F"/>
              <w:left w:val="nil"/>
              <w:bottom w:val="dotted" w:sz="4" w:space="0" w:color="7F7F7F"/>
              <w:right w:val="nil"/>
            </w:tcBorders>
            <w:vAlign w:val="center"/>
            <w:hideMark/>
          </w:tcPr>
          <w:p w14:paraId="6E1959AA" w14:textId="5E1A66BA" w:rsidR="00E0220F" w:rsidRDefault="00E0220F" w:rsidP="00E0220F">
            <w:pPr>
              <w:rPr>
                <w:rFonts w:ascii="Arial" w:eastAsia="Times New Roman" w:hAnsi="Arial" w:cs="Arial"/>
                <w:color w:val="000000"/>
                <w:sz w:val="16"/>
                <w:szCs w:val="16"/>
                <w:lang w:val="es-ES" w:eastAsia="es-ES"/>
              </w:rPr>
            </w:pPr>
            <w:r w:rsidRPr="00653CE3">
              <w:rPr>
                <w:rFonts w:ascii="Arial" w:eastAsia="Times New Roman" w:hAnsi="Arial" w:cs="Arial"/>
                <w:color w:val="000000"/>
                <w:sz w:val="16"/>
                <w:szCs w:val="16"/>
                <w:lang w:val="es-ES" w:eastAsia="es-ES"/>
              </w:rPr>
              <w:t>Sergio Mateo Ávila Nausa</w:t>
            </w:r>
          </w:p>
          <w:p w14:paraId="1A57460F" w14:textId="12193109" w:rsidR="00E0220F" w:rsidRDefault="00E0220F" w:rsidP="00E0220F">
            <w:pPr>
              <w:rPr>
                <w:rFonts w:ascii="Arial" w:eastAsia="Times New Roman" w:hAnsi="Arial" w:cs="Arial"/>
                <w:color w:val="000000"/>
                <w:sz w:val="16"/>
                <w:szCs w:val="16"/>
                <w:lang w:val="es-ES" w:eastAsia="es-ES"/>
              </w:rPr>
            </w:pPr>
            <w:r w:rsidRPr="00653CE3">
              <w:rPr>
                <w:rFonts w:ascii="Arial" w:eastAsia="Times New Roman" w:hAnsi="Arial" w:cs="Arial"/>
                <w:color w:val="000000"/>
                <w:sz w:val="16"/>
                <w:szCs w:val="16"/>
                <w:lang w:val="es-ES" w:eastAsia="es-ES"/>
              </w:rPr>
              <w:t xml:space="preserve">Contratista de la </w:t>
            </w:r>
            <w:r>
              <w:rPr>
                <w:rFonts w:ascii="Arial" w:eastAsia="Times New Roman" w:hAnsi="Arial" w:cs="Arial"/>
                <w:color w:val="000000"/>
                <w:sz w:val="16"/>
                <w:szCs w:val="16"/>
                <w:lang w:val="es-ES" w:eastAsia="es-ES"/>
              </w:rPr>
              <w:t>Subdirección de Información y Desarrollo Tecnológico</w:t>
            </w:r>
          </w:p>
          <w:p w14:paraId="3E88DAD1" w14:textId="1A09C203" w:rsidR="002A76FC" w:rsidRDefault="002A76FC" w:rsidP="00CD70DB">
            <w:pP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 xml:space="preserve">Felipe Ruíz Fernández </w:t>
            </w:r>
          </w:p>
          <w:p w14:paraId="0FCCD45A" w14:textId="14ACB131" w:rsidR="002A76FC" w:rsidRDefault="002A76FC" w:rsidP="00CD70DB">
            <w:pPr>
              <w:rPr>
                <w:rFonts w:ascii="Arial" w:eastAsia="Times New Roman" w:hAnsi="Arial" w:cs="Arial"/>
                <w:color w:val="000000"/>
                <w:sz w:val="16"/>
                <w:szCs w:val="16"/>
                <w:lang w:val="es-ES" w:eastAsia="es-ES"/>
              </w:rPr>
            </w:pPr>
            <w:r w:rsidRPr="00FF3517">
              <w:rPr>
                <w:rFonts w:ascii="Arial" w:eastAsia="Times New Roman" w:hAnsi="Arial" w:cs="Arial"/>
                <w:color w:val="000000"/>
                <w:sz w:val="16"/>
                <w:szCs w:val="16"/>
                <w:lang w:val="es-ES" w:eastAsia="es-ES"/>
              </w:rPr>
              <w:t>Gestor</w:t>
            </w:r>
            <w:r w:rsidR="00E0220F">
              <w:rPr>
                <w:rFonts w:ascii="Arial" w:eastAsia="Times New Roman" w:hAnsi="Arial" w:cs="Arial"/>
                <w:color w:val="000000"/>
                <w:sz w:val="16"/>
                <w:szCs w:val="16"/>
                <w:lang w:val="es-ES" w:eastAsia="es-ES"/>
              </w:rPr>
              <w:t xml:space="preserve"> </w:t>
            </w:r>
            <w:r w:rsidRPr="00FF3517">
              <w:rPr>
                <w:rFonts w:ascii="Arial" w:eastAsia="Times New Roman" w:hAnsi="Arial" w:cs="Arial"/>
                <w:color w:val="000000"/>
                <w:sz w:val="16"/>
                <w:szCs w:val="16"/>
                <w:lang w:val="es-ES" w:eastAsia="es-ES"/>
              </w:rPr>
              <w:t>T1</w:t>
            </w:r>
            <w:r w:rsidR="00E0220F">
              <w:rPr>
                <w:rFonts w:ascii="Arial" w:eastAsia="Times New Roman" w:hAnsi="Arial" w:cs="Arial"/>
                <w:color w:val="000000"/>
                <w:sz w:val="16"/>
                <w:szCs w:val="16"/>
                <w:lang w:val="es-ES" w:eastAsia="es-ES"/>
              </w:rPr>
              <w:t>-</w:t>
            </w:r>
            <w:r w:rsidRPr="00FF3517">
              <w:rPr>
                <w:rFonts w:ascii="Arial" w:eastAsia="Times New Roman" w:hAnsi="Arial" w:cs="Arial"/>
                <w:color w:val="000000"/>
                <w:sz w:val="16"/>
                <w:szCs w:val="16"/>
                <w:lang w:val="es-ES" w:eastAsia="es-ES"/>
              </w:rPr>
              <w:t>15</w:t>
            </w:r>
            <w:r w:rsidR="00E0220F">
              <w:rPr>
                <w:rFonts w:ascii="Arial" w:eastAsia="Times New Roman" w:hAnsi="Arial" w:cs="Arial"/>
                <w:color w:val="000000"/>
                <w:sz w:val="16"/>
                <w:szCs w:val="16"/>
                <w:lang w:val="es-ES" w:eastAsia="es-ES"/>
              </w:rPr>
              <w:t xml:space="preserve"> de la Subdirección de Información y Desarrollo Tecnológico</w:t>
            </w:r>
            <w:r>
              <w:rPr>
                <w:rFonts w:ascii="Arial" w:eastAsia="Times New Roman" w:hAnsi="Arial" w:cs="Arial"/>
                <w:color w:val="000000"/>
                <w:sz w:val="16"/>
                <w:szCs w:val="16"/>
                <w:lang w:val="es-ES" w:eastAsia="es-ES"/>
              </w:rPr>
              <w:t xml:space="preserve"> </w:t>
            </w:r>
          </w:p>
          <w:p w14:paraId="1665E63F" w14:textId="77777777" w:rsidR="00E0220F" w:rsidRPr="00480FBF" w:rsidRDefault="00E0220F" w:rsidP="00E0220F">
            <w:pPr>
              <w:rPr>
                <w:rFonts w:ascii="Arial" w:eastAsia="Times New Roman" w:hAnsi="Arial" w:cs="Arial"/>
                <w:color w:val="000000"/>
                <w:sz w:val="16"/>
                <w:szCs w:val="16"/>
                <w:lang w:val="es-ES" w:eastAsia="es-ES"/>
              </w:rPr>
            </w:pPr>
            <w:r w:rsidRPr="00480FBF">
              <w:rPr>
                <w:rFonts w:ascii="Arial" w:eastAsia="Times New Roman" w:hAnsi="Arial" w:cs="Arial"/>
                <w:color w:val="000000"/>
                <w:sz w:val="16"/>
                <w:szCs w:val="16"/>
                <w:lang w:val="es-ES" w:eastAsia="es-ES"/>
              </w:rPr>
              <w:t>Alejandro Sarmiento Cantillo</w:t>
            </w:r>
          </w:p>
          <w:p w14:paraId="48C614E4" w14:textId="2D9EB943" w:rsidR="00E0220F" w:rsidRPr="00A23D8A" w:rsidRDefault="00E0220F" w:rsidP="00E0220F">
            <w:pPr>
              <w:rPr>
                <w:rFonts w:ascii="Arial" w:eastAsia="Times New Roman" w:hAnsi="Arial" w:cs="Arial"/>
                <w:color w:val="000000"/>
                <w:sz w:val="16"/>
                <w:szCs w:val="16"/>
                <w:lang w:val="es-ES" w:eastAsia="es-ES"/>
              </w:rPr>
            </w:pPr>
            <w:r w:rsidRPr="00480FBF">
              <w:rPr>
                <w:rFonts w:ascii="Arial" w:eastAsia="Times New Roman" w:hAnsi="Arial" w:cs="Arial"/>
                <w:color w:val="000000"/>
                <w:sz w:val="16"/>
                <w:szCs w:val="16"/>
                <w:lang w:val="es-ES" w:eastAsia="es-ES"/>
              </w:rPr>
              <w:t>Gestor T1-15 de la Subdirección de Gestión Contractual</w:t>
            </w:r>
          </w:p>
        </w:tc>
      </w:tr>
      <w:tr w:rsidR="002A76FC" w:rsidRPr="00A23D8A" w14:paraId="7D21DC3D" w14:textId="77777777" w:rsidTr="00CE7902">
        <w:trPr>
          <w:trHeight w:val="300"/>
        </w:trPr>
        <w:tc>
          <w:tcPr>
            <w:tcW w:w="812" w:type="dxa"/>
            <w:vAlign w:val="center"/>
            <w:hideMark/>
          </w:tcPr>
          <w:p w14:paraId="3FE37366" w14:textId="77777777" w:rsidR="002A76FC" w:rsidRPr="00A23D8A" w:rsidRDefault="002A76FC" w:rsidP="00CD70DB">
            <w:pPr>
              <w:spacing w:line="276" w:lineRule="auto"/>
              <w:rPr>
                <w:rFonts w:ascii="Arial" w:eastAsia="Times New Roman" w:hAnsi="Arial" w:cs="Arial"/>
                <w:sz w:val="16"/>
                <w:szCs w:val="16"/>
                <w:lang w:eastAsia="es-ES"/>
              </w:rPr>
            </w:pPr>
            <w:r w:rsidRPr="00A23D8A">
              <w:rPr>
                <w:rFonts w:ascii="Arial" w:eastAsia="Times New Roman" w:hAnsi="Arial" w:cs="Arial"/>
                <w:sz w:val="16"/>
                <w:szCs w:val="16"/>
                <w:lang w:eastAsia="es-ES"/>
              </w:rPr>
              <w:t>Aprobó:</w:t>
            </w:r>
          </w:p>
        </w:tc>
        <w:tc>
          <w:tcPr>
            <w:tcW w:w="5567" w:type="dxa"/>
            <w:tcBorders>
              <w:top w:val="dotted" w:sz="4" w:space="0" w:color="7F7F7F"/>
              <w:left w:val="nil"/>
              <w:bottom w:val="dotted" w:sz="4" w:space="0" w:color="7F7F7F"/>
              <w:right w:val="nil"/>
            </w:tcBorders>
            <w:vAlign w:val="center"/>
            <w:hideMark/>
          </w:tcPr>
          <w:p w14:paraId="13CEF3CA" w14:textId="77777777" w:rsidR="002A76FC" w:rsidRPr="00A23D8A" w:rsidRDefault="002A76FC" w:rsidP="00CD70DB">
            <w:pPr>
              <w:spacing w:line="276" w:lineRule="auto"/>
              <w:rPr>
                <w:rFonts w:ascii="Arial" w:eastAsia="Calibri" w:hAnsi="Arial" w:cs="Arial"/>
                <w:sz w:val="16"/>
                <w:szCs w:val="16"/>
                <w:lang w:val="es-ES_tradnl" w:eastAsia="es-ES"/>
              </w:rPr>
            </w:pPr>
            <w:r w:rsidRPr="00A23D8A">
              <w:rPr>
                <w:rFonts w:ascii="Arial" w:eastAsia="Calibri" w:hAnsi="Arial" w:cs="Arial"/>
                <w:sz w:val="16"/>
                <w:szCs w:val="16"/>
                <w:lang w:val="es-ES_tradnl" w:eastAsia="es-ES"/>
              </w:rPr>
              <w:t>Nohelia del Carmen Zawady Palacio</w:t>
            </w:r>
          </w:p>
          <w:p w14:paraId="056B36CC" w14:textId="77777777" w:rsidR="002A76FC" w:rsidRPr="00A23D8A" w:rsidRDefault="002A76FC" w:rsidP="00CD70DB">
            <w:pPr>
              <w:spacing w:line="276" w:lineRule="auto"/>
              <w:rPr>
                <w:rFonts w:ascii="Arial" w:eastAsia="Times New Roman" w:hAnsi="Arial" w:cs="Arial"/>
                <w:sz w:val="16"/>
                <w:szCs w:val="16"/>
                <w:lang w:eastAsia="es-ES"/>
              </w:rPr>
            </w:pPr>
            <w:r w:rsidRPr="00A23D8A">
              <w:rPr>
                <w:rFonts w:ascii="Arial" w:eastAsia="Calibri" w:hAnsi="Arial" w:cs="Arial"/>
                <w:sz w:val="16"/>
                <w:szCs w:val="16"/>
                <w:lang w:val="es-ES_tradnl" w:eastAsia="es-ES"/>
              </w:rPr>
              <w:t>Subdirectora de Gestión Contractual</w:t>
            </w:r>
          </w:p>
        </w:tc>
      </w:tr>
      <w:bookmarkEnd w:id="0"/>
    </w:tbl>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8B50" w14:textId="77777777" w:rsidR="003C013B" w:rsidRDefault="003C013B" w:rsidP="004A1847">
      <w:pPr>
        <w:spacing w:after="0" w:line="240" w:lineRule="auto"/>
      </w:pPr>
      <w:r>
        <w:separator/>
      </w:r>
    </w:p>
  </w:endnote>
  <w:endnote w:type="continuationSeparator" w:id="0">
    <w:p w14:paraId="42478460" w14:textId="77777777" w:rsidR="003C013B" w:rsidRDefault="003C013B" w:rsidP="004A1847">
      <w:pPr>
        <w:spacing w:after="0" w:line="240" w:lineRule="auto"/>
      </w:pPr>
      <w:r>
        <w:continuationSeparator/>
      </w:r>
    </w:p>
  </w:endnote>
  <w:endnote w:type="continuationNotice" w:id="1">
    <w:p w14:paraId="53FF7216"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2F46" w14:textId="77777777" w:rsidR="003C013B" w:rsidRDefault="003C013B" w:rsidP="004A1847">
      <w:pPr>
        <w:spacing w:after="0" w:line="240" w:lineRule="auto"/>
      </w:pPr>
      <w:r>
        <w:separator/>
      </w:r>
    </w:p>
  </w:footnote>
  <w:footnote w:type="continuationSeparator" w:id="0">
    <w:p w14:paraId="36167C20" w14:textId="77777777" w:rsidR="003C013B" w:rsidRDefault="003C013B" w:rsidP="004A1847">
      <w:pPr>
        <w:spacing w:after="0" w:line="240" w:lineRule="auto"/>
      </w:pPr>
      <w:r>
        <w:continuationSeparator/>
      </w:r>
    </w:p>
  </w:footnote>
  <w:footnote w:type="continuationNotice" w:id="1">
    <w:p w14:paraId="235B9DDD" w14:textId="77777777" w:rsidR="00DF1E43" w:rsidRDefault="00DF1E43">
      <w:pPr>
        <w:spacing w:after="0" w:line="240" w:lineRule="auto"/>
      </w:pPr>
    </w:p>
  </w:footnote>
  <w:footnote w:id="2">
    <w:p w14:paraId="7C6E8A25" w14:textId="77777777" w:rsidR="002A76FC" w:rsidRPr="00CE7902" w:rsidRDefault="002A76FC" w:rsidP="00CE7902">
      <w:pPr>
        <w:pStyle w:val="Textonotapie"/>
        <w:spacing w:after="120"/>
        <w:ind w:firstLine="709"/>
        <w:jc w:val="both"/>
        <w:rPr>
          <w:rFonts w:ascii="Arial" w:hAnsi="Arial" w:cs="Arial"/>
          <w:color w:val="000000" w:themeColor="text1"/>
          <w:sz w:val="18"/>
          <w:szCs w:val="18"/>
        </w:rPr>
      </w:pPr>
      <w:r w:rsidRPr="00CE7902">
        <w:rPr>
          <w:rStyle w:val="Refdenotaalpie"/>
          <w:rFonts w:ascii="Arial" w:hAnsi="Arial" w:cs="Arial"/>
          <w:color w:val="000000" w:themeColor="text1"/>
          <w:sz w:val="18"/>
          <w:szCs w:val="18"/>
        </w:rPr>
        <w:footnoteRef/>
      </w:r>
      <w:r w:rsidRPr="00CE7902">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7B6B9A2" w14:textId="77777777" w:rsidR="002A76FC" w:rsidRPr="00CE7902" w:rsidRDefault="002A76FC" w:rsidP="002A76FC">
      <w:pPr>
        <w:pStyle w:val="Textonotapie"/>
        <w:ind w:firstLine="709"/>
        <w:jc w:val="both"/>
        <w:rPr>
          <w:rFonts w:ascii="Arial" w:hAnsi="Arial" w:cs="Arial"/>
          <w:color w:val="000000" w:themeColor="text1"/>
          <w:sz w:val="18"/>
          <w:szCs w:val="18"/>
        </w:rPr>
      </w:pPr>
      <w:r w:rsidRPr="00CE7902">
        <w:rPr>
          <w:rFonts w:ascii="Arial" w:hAnsi="Arial" w:cs="Arial"/>
          <w:color w:val="000000" w:themeColor="text1"/>
          <w:sz w:val="18"/>
          <w:szCs w:val="18"/>
        </w:rPr>
        <w:t>“Lo anterior, sin perjuicio de las publicaciones previstas en el numeral 3 del artículo 30 de la Ley 80 de 1993.</w:t>
      </w:r>
    </w:p>
    <w:p w14:paraId="77FC4FFE" w14:textId="77777777" w:rsidR="002A76FC" w:rsidRPr="00CE7902" w:rsidRDefault="002A76FC" w:rsidP="002A76FC">
      <w:pPr>
        <w:pStyle w:val="Textonotapie"/>
        <w:ind w:firstLine="709"/>
        <w:jc w:val="both"/>
        <w:rPr>
          <w:rFonts w:ascii="Arial" w:hAnsi="Arial" w:cs="Arial"/>
          <w:color w:val="000000" w:themeColor="text1"/>
          <w:sz w:val="18"/>
          <w:szCs w:val="18"/>
        </w:rPr>
      </w:pPr>
      <w:r w:rsidRPr="00CE7902">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2595C2CE" w14:textId="77777777" w:rsidR="002A76FC" w:rsidRPr="00CE7902" w:rsidRDefault="002A76FC" w:rsidP="002A76FC">
      <w:pPr>
        <w:pStyle w:val="Textonotapie"/>
        <w:ind w:firstLine="709"/>
        <w:jc w:val="both"/>
        <w:rPr>
          <w:rFonts w:ascii="Arial" w:hAnsi="Arial" w:cs="Arial"/>
          <w:color w:val="000000" w:themeColor="text1"/>
          <w:sz w:val="18"/>
          <w:szCs w:val="18"/>
        </w:rPr>
      </w:pPr>
      <w:r w:rsidRPr="00CE7902">
        <w:rPr>
          <w:rFonts w:ascii="Arial" w:hAnsi="Arial" w:cs="Arial"/>
          <w:color w:val="000000" w:themeColor="text1"/>
          <w:sz w:val="18"/>
          <w:szCs w:val="18"/>
        </w:rPr>
        <w:t>[…]</w:t>
      </w:r>
    </w:p>
    <w:p w14:paraId="7D5F124D" w14:textId="77777777" w:rsidR="002A76FC" w:rsidRPr="00CE7902" w:rsidRDefault="002A76FC" w:rsidP="002A76FC">
      <w:pPr>
        <w:pStyle w:val="Textonotapie"/>
        <w:ind w:firstLine="709"/>
        <w:jc w:val="both"/>
        <w:rPr>
          <w:rFonts w:ascii="Arial" w:hAnsi="Arial" w:cs="Arial"/>
          <w:color w:val="000000" w:themeColor="text1"/>
          <w:sz w:val="18"/>
          <w:szCs w:val="18"/>
        </w:rPr>
      </w:pPr>
      <w:r w:rsidRPr="00CE7902">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434E2063" w14:textId="77777777" w:rsidR="002A76FC" w:rsidRPr="00CE7902" w:rsidRDefault="002A76FC" w:rsidP="002A76FC">
      <w:pPr>
        <w:pStyle w:val="Textonotapie"/>
        <w:ind w:firstLine="709"/>
        <w:jc w:val="both"/>
        <w:rPr>
          <w:rFonts w:ascii="Arial" w:hAnsi="Arial" w:cs="Arial"/>
          <w:color w:val="000000" w:themeColor="text1"/>
          <w:sz w:val="18"/>
          <w:szCs w:val="18"/>
          <w:lang w:val="es-CO"/>
        </w:rPr>
      </w:pPr>
    </w:p>
  </w:footnote>
  <w:footnote w:id="3">
    <w:p w14:paraId="55378F40" w14:textId="77777777" w:rsidR="004E2A77" w:rsidRPr="00CE7902" w:rsidRDefault="00B65183" w:rsidP="00CE7902">
      <w:pPr>
        <w:pStyle w:val="Textonotapie"/>
        <w:spacing w:after="120"/>
        <w:ind w:firstLine="709"/>
        <w:jc w:val="both"/>
        <w:rPr>
          <w:rFonts w:ascii="Arial" w:hAnsi="Arial" w:cs="Arial"/>
          <w:sz w:val="18"/>
          <w:szCs w:val="18"/>
        </w:rPr>
      </w:pPr>
      <w:r w:rsidRPr="00CE7902">
        <w:rPr>
          <w:rStyle w:val="Refdenotaalpie"/>
          <w:rFonts w:ascii="Arial" w:hAnsi="Arial" w:cs="Arial"/>
          <w:sz w:val="18"/>
          <w:szCs w:val="18"/>
        </w:rPr>
        <w:footnoteRef/>
      </w:r>
      <w:r w:rsidRPr="00CE7902">
        <w:rPr>
          <w:rFonts w:ascii="Arial" w:hAnsi="Arial" w:cs="Arial"/>
          <w:sz w:val="18"/>
          <w:szCs w:val="18"/>
        </w:rPr>
        <w:t xml:space="preserve"> Decreto 1082 de 2015: “</w:t>
      </w:r>
      <w:r w:rsidR="004E2A77" w:rsidRPr="00CE7902">
        <w:rPr>
          <w:rFonts w:ascii="Arial" w:hAnsi="Arial" w:cs="Arial"/>
          <w:sz w:val="18"/>
          <w:szCs w:val="18"/>
        </w:rPr>
        <w:t xml:space="preserve">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48CDFF34" w14:textId="1CA97A83" w:rsidR="00B65183" w:rsidRPr="00CE7902" w:rsidRDefault="004E2A77" w:rsidP="00CE7902">
      <w:pPr>
        <w:pStyle w:val="Textonotapie"/>
        <w:ind w:firstLine="708"/>
        <w:jc w:val="both"/>
        <w:rPr>
          <w:rFonts w:ascii="Arial" w:hAnsi="Arial" w:cs="Arial"/>
          <w:sz w:val="18"/>
          <w:szCs w:val="18"/>
        </w:rPr>
      </w:pPr>
      <w:r w:rsidRPr="00CE7902">
        <w:rPr>
          <w:rFonts w:ascii="Arial" w:hAnsi="Arial" w:cs="Arial"/>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05283F43" w14:textId="1F6A3708" w:rsidR="00B65183" w:rsidRPr="00CE7902" w:rsidRDefault="00B65183" w:rsidP="00CE7902">
      <w:pPr>
        <w:pStyle w:val="Textonotapie"/>
        <w:ind w:firstLine="708"/>
        <w:rPr>
          <w:sz w:val="18"/>
          <w:szCs w:val="18"/>
        </w:rPr>
      </w:pPr>
      <w:r w:rsidRPr="00CE7902">
        <w:rPr>
          <w:sz w:val="18"/>
          <w:szCs w:val="18"/>
        </w:rPr>
        <w:t xml:space="preserve"> </w:t>
      </w:r>
    </w:p>
  </w:footnote>
  <w:footnote w:id="4">
    <w:p w14:paraId="273D5F17" w14:textId="77777777" w:rsidR="002A76FC" w:rsidRPr="00CE7902" w:rsidRDefault="002A76FC" w:rsidP="002A76FC">
      <w:pPr>
        <w:pStyle w:val="Textonotapie"/>
        <w:ind w:firstLine="709"/>
        <w:jc w:val="both"/>
        <w:rPr>
          <w:rFonts w:ascii="Arial" w:hAnsi="Arial" w:cs="Arial"/>
          <w:color w:val="000000" w:themeColor="text1"/>
          <w:sz w:val="18"/>
          <w:szCs w:val="18"/>
        </w:rPr>
      </w:pPr>
      <w:r w:rsidRPr="00CE7902">
        <w:rPr>
          <w:rStyle w:val="Refdenotaalpie"/>
          <w:rFonts w:ascii="Arial" w:hAnsi="Arial" w:cs="Arial"/>
          <w:color w:val="000000" w:themeColor="text1"/>
          <w:sz w:val="18"/>
          <w:szCs w:val="18"/>
        </w:rPr>
        <w:footnoteRef/>
      </w:r>
      <w:r w:rsidRPr="00CE7902">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7875C91F" w14:textId="77777777" w:rsidR="002A76FC" w:rsidRPr="00CE7902" w:rsidRDefault="002A76FC" w:rsidP="002A76FC">
      <w:pPr>
        <w:pStyle w:val="Textonotapie"/>
        <w:ind w:firstLine="709"/>
        <w:jc w:val="both"/>
        <w:rPr>
          <w:rFonts w:ascii="Arial" w:hAnsi="Arial" w:cs="Arial"/>
          <w:color w:val="000000" w:themeColor="text1"/>
          <w:sz w:val="18"/>
          <w:szCs w:val="18"/>
          <w:lang w:val="es-CO"/>
        </w:rPr>
      </w:pPr>
    </w:p>
  </w:footnote>
  <w:footnote w:id="5">
    <w:p w14:paraId="59B1AD4F" w14:textId="77777777" w:rsidR="002A76FC" w:rsidRPr="00CE7902" w:rsidRDefault="002A76FC" w:rsidP="002A76FC">
      <w:pPr>
        <w:pStyle w:val="Textonotapie"/>
        <w:ind w:firstLine="709"/>
        <w:jc w:val="both"/>
        <w:rPr>
          <w:rFonts w:ascii="Arial" w:hAnsi="Arial" w:cs="Arial"/>
          <w:color w:val="000000" w:themeColor="text1"/>
          <w:sz w:val="18"/>
          <w:szCs w:val="18"/>
        </w:rPr>
      </w:pPr>
      <w:r w:rsidRPr="00CE7902">
        <w:rPr>
          <w:rStyle w:val="Refdenotaalpie"/>
          <w:rFonts w:ascii="Arial" w:hAnsi="Arial" w:cs="Arial"/>
          <w:color w:val="000000" w:themeColor="text1"/>
          <w:sz w:val="18"/>
          <w:szCs w:val="18"/>
        </w:rPr>
        <w:footnoteRef/>
      </w:r>
      <w:r w:rsidRPr="00CE7902">
        <w:rPr>
          <w:rFonts w:ascii="Arial" w:hAnsi="Arial" w:cs="Arial"/>
          <w:color w:val="000000" w:themeColor="text1"/>
          <w:sz w:val="18"/>
          <w:szCs w:val="18"/>
        </w:rPr>
        <w:t xml:space="preserve"> Ley 1712 de 2014: “Artículo 5. Ámbito de aplicación. Las disposiciones de esta ley serán aplicables a las siguientes personas en calidad de sujetos obligados: </w:t>
      </w:r>
    </w:p>
    <w:p w14:paraId="1052A411" w14:textId="77777777" w:rsidR="002A76FC" w:rsidRPr="00CE7902" w:rsidRDefault="002A76FC" w:rsidP="002A76FC">
      <w:pPr>
        <w:pStyle w:val="Textonotapie"/>
        <w:ind w:firstLine="709"/>
        <w:jc w:val="both"/>
        <w:rPr>
          <w:rFonts w:ascii="Arial" w:hAnsi="Arial" w:cs="Arial"/>
          <w:color w:val="000000" w:themeColor="text1"/>
          <w:sz w:val="18"/>
          <w:szCs w:val="18"/>
        </w:rPr>
      </w:pPr>
      <w:r w:rsidRPr="00CE7902">
        <w:rPr>
          <w:rFonts w:ascii="Arial" w:hAnsi="Arial"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4D6CD706" w14:textId="77777777" w:rsidR="002A76FC" w:rsidRPr="00CE7902" w:rsidRDefault="002A76FC" w:rsidP="002A76FC">
      <w:pPr>
        <w:pStyle w:val="Textonotapie"/>
        <w:ind w:firstLine="709"/>
        <w:jc w:val="both"/>
        <w:rPr>
          <w:rFonts w:ascii="Arial" w:hAnsi="Arial" w:cs="Arial"/>
          <w:color w:val="000000" w:themeColor="text1"/>
          <w:sz w:val="18"/>
          <w:szCs w:val="18"/>
          <w:lang w:val="es-CO"/>
        </w:rPr>
      </w:pPr>
    </w:p>
  </w:footnote>
  <w:footnote w:id="6">
    <w:p w14:paraId="6381D985" w14:textId="77777777" w:rsidR="002A76FC" w:rsidRPr="00CE7902" w:rsidRDefault="002A76FC" w:rsidP="002A76FC">
      <w:pPr>
        <w:pStyle w:val="Textonotapie"/>
        <w:ind w:firstLine="709"/>
        <w:jc w:val="both"/>
        <w:rPr>
          <w:rFonts w:ascii="Arial" w:hAnsi="Arial" w:cs="Arial"/>
          <w:color w:val="000000" w:themeColor="text1"/>
          <w:sz w:val="18"/>
          <w:szCs w:val="18"/>
        </w:rPr>
      </w:pPr>
      <w:r w:rsidRPr="00CE7902">
        <w:rPr>
          <w:rFonts w:ascii="Arial" w:eastAsia="Times New Roman" w:hAnsi="Arial" w:cs="Arial"/>
          <w:color w:val="000000" w:themeColor="text1"/>
          <w:sz w:val="18"/>
          <w:szCs w:val="18"/>
          <w:vertAlign w:val="superscript"/>
          <w:lang w:val="es-ES" w:eastAsia="es-ES"/>
        </w:rPr>
        <w:footnoteRef/>
      </w:r>
      <w:r w:rsidRPr="00CE7902">
        <w:rPr>
          <w:rFonts w:ascii="Arial" w:eastAsia="Times New Roman" w:hAnsi="Arial" w:cs="Arial"/>
          <w:color w:val="000000" w:themeColor="text1"/>
          <w:sz w:val="18"/>
          <w:szCs w:val="18"/>
          <w:vertAlign w:val="superscript"/>
          <w:lang w:val="es-ES" w:eastAsia="es-ES"/>
        </w:rPr>
        <w:t xml:space="preserve"> </w:t>
      </w:r>
      <w:r w:rsidRPr="00CE7902">
        <w:rPr>
          <w:rFonts w:ascii="Arial" w:eastAsia="Times New Roman" w:hAnsi="Arial" w:cs="Arial"/>
          <w:color w:val="000000" w:themeColor="text1"/>
          <w:sz w:val="18"/>
          <w:szCs w:val="18"/>
          <w:lang w:val="es-ES" w:eastAsia="es-ES"/>
        </w:rPr>
        <w:t>“</w:t>
      </w:r>
      <w:r w:rsidRPr="00CE7902">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782A314" w14:textId="77777777" w:rsidR="002A76FC" w:rsidRPr="00CE7902" w:rsidRDefault="002A76FC" w:rsidP="002A76FC">
      <w:pPr>
        <w:pStyle w:val="Textonotapie"/>
        <w:ind w:firstLine="709"/>
        <w:jc w:val="both"/>
        <w:rPr>
          <w:rFonts w:ascii="Arial" w:eastAsia="Times New Roman" w:hAnsi="Arial" w:cs="Arial"/>
          <w:color w:val="000000" w:themeColor="text1"/>
          <w:sz w:val="18"/>
          <w:szCs w:val="18"/>
          <w:lang w:val="es-ES" w:eastAsia="es-ES"/>
        </w:rPr>
      </w:pPr>
      <w:r w:rsidRPr="00CE7902">
        <w:rPr>
          <w:rFonts w:ascii="Arial" w:hAnsi="Arial" w:cs="Arial"/>
          <w:color w:val="000000" w:themeColor="text1"/>
          <w:sz w:val="18"/>
          <w:szCs w:val="18"/>
        </w:rPr>
        <w:t>[…].</w:t>
      </w:r>
    </w:p>
    <w:p w14:paraId="39B6EEFD" w14:textId="77777777" w:rsidR="002A76FC" w:rsidRPr="00CE7902" w:rsidRDefault="002A76FC" w:rsidP="002A76FC">
      <w:pPr>
        <w:pStyle w:val="Textonotapie"/>
        <w:ind w:firstLine="709"/>
        <w:jc w:val="both"/>
        <w:rPr>
          <w:rFonts w:ascii="Arial" w:eastAsia="Times New Roman" w:hAnsi="Arial" w:cs="Arial"/>
          <w:color w:val="000000" w:themeColor="text1"/>
          <w:sz w:val="18"/>
          <w:szCs w:val="18"/>
          <w:lang w:val="es-ES" w:eastAsia="es-ES"/>
        </w:rPr>
      </w:pPr>
      <w:r w:rsidRPr="00CE7902">
        <w:rPr>
          <w:rFonts w:ascii="Arial" w:eastAsia="Times New Roman"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9FB26A5" w14:textId="77777777" w:rsidR="002A76FC" w:rsidRPr="00CE7902" w:rsidRDefault="002A76FC" w:rsidP="002A76FC">
      <w:pPr>
        <w:pStyle w:val="Textonotapie"/>
        <w:ind w:firstLine="709"/>
        <w:jc w:val="both"/>
        <w:rPr>
          <w:rFonts w:ascii="Arial" w:eastAsia="Times New Roman" w:hAnsi="Arial" w:cs="Arial"/>
          <w:color w:val="000000" w:themeColor="text1"/>
          <w:sz w:val="18"/>
          <w:szCs w:val="18"/>
          <w:lang w:val="es-ES" w:eastAsia="es-ES"/>
        </w:rPr>
      </w:pPr>
    </w:p>
  </w:footnote>
  <w:footnote w:id="7">
    <w:p w14:paraId="73064D66" w14:textId="77777777" w:rsidR="002A76FC" w:rsidRPr="00CE7902" w:rsidRDefault="002A76FC" w:rsidP="002A76FC">
      <w:pPr>
        <w:pStyle w:val="Textonotapie"/>
        <w:ind w:firstLine="709"/>
        <w:jc w:val="both"/>
        <w:rPr>
          <w:rFonts w:ascii="Arial" w:hAnsi="Arial" w:cs="Arial"/>
          <w:color w:val="000000" w:themeColor="text1"/>
          <w:sz w:val="18"/>
          <w:szCs w:val="18"/>
        </w:rPr>
      </w:pPr>
      <w:r w:rsidRPr="00CE7902">
        <w:rPr>
          <w:rStyle w:val="Refdenotaalpie"/>
          <w:rFonts w:ascii="Arial" w:hAnsi="Arial" w:cs="Arial"/>
          <w:color w:val="000000" w:themeColor="text1"/>
          <w:sz w:val="18"/>
          <w:szCs w:val="18"/>
        </w:rPr>
        <w:footnoteRef/>
      </w:r>
      <w:r w:rsidRPr="00CE7902">
        <w:rPr>
          <w:rFonts w:ascii="Arial" w:hAnsi="Arial" w:cs="Arial"/>
          <w:color w:val="000000" w:themeColor="text1"/>
          <w:sz w:val="18"/>
          <w:szCs w:val="18"/>
        </w:rPr>
        <w:t xml:space="preserve"> C</w:t>
      </w:r>
      <w:r w:rsidRPr="00CE7902">
        <w:rPr>
          <w:rFonts w:ascii="Arial" w:eastAsia="Times New Roman" w:hAnsi="Arial" w:cs="Arial"/>
          <w:color w:val="000000" w:themeColor="text1"/>
          <w:sz w:val="18"/>
          <w:szCs w:val="18"/>
          <w:lang w:val="es-ES" w:eastAsia="es-ES"/>
        </w:rPr>
        <w:t xml:space="preserve">orte Constitucional. Sentencia C‒274 de 9 de mayo de 2013. M.P. María Victoria Calle Correa. </w:t>
      </w:r>
    </w:p>
    <w:p w14:paraId="53D42A81" w14:textId="77777777" w:rsidR="002A76FC" w:rsidRPr="00CE7902" w:rsidRDefault="002A76FC" w:rsidP="002A76FC">
      <w:pPr>
        <w:pStyle w:val="Textonotapie"/>
        <w:ind w:firstLine="709"/>
        <w:jc w:val="both"/>
        <w:rPr>
          <w:rFonts w:ascii="Arial" w:hAnsi="Arial" w:cs="Arial"/>
          <w:color w:val="000000" w:themeColor="text1"/>
          <w:sz w:val="18"/>
          <w:szCs w:val="18"/>
          <w:lang w:val="es-CO"/>
        </w:rPr>
      </w:pPr>
    </w:p>
  </w:footnote>
  <w:footnote w:id="8">
    <w:p w14:paraId="0D6F78CC" w14:textId="77777777" w:rsidR="002A76FC" w:rsidRPr="00CE7902" w:rsidRDefault="002A76FC" w:rsidP="002A76FC">
      <w:pPr>
        <w:pStyle w:val="Textonotapie"/>
        <w:ind w:firstLine="709"/>
        <w:jc w:val="both"/>
        <w:rPr>
          <w:rFonts w:ascii="Arial" w:hAnsi="Arial" w:cs="Arial"/>
          <w:color w:val="000000"/>
          <w:sz w:val="18"/>
          <w:szCs w:val="18"/>
        </w:rPr>
      </w:pPr>
      <w:r w:rsidRPr="00CE7902">
        <w:rPr>
          <w:rStyle w:val="Refdenotaalpie"/>
          <w:rFonts w:ascii="Arial" w:hAnsi="Arial" w:cs="Arial"/>
          <w:color w:val="000000"/>
          <w:sz w:val="18"/>
          <w:szCs w:val="18"/>
        </w:rPr>
        <w:footnoteRef/>
      </w:r>
      <w:r w:rsidRPr="00CE7902">
        <w:rPr>
          <w:rFonts w:ascii="Arial" w:hAnsi="Arial" w:cs="Arial"/>
          <w:color w:val="000000"/>
          <w:sz w:val="18"/>
          <w:szCs w:val="18"/>
        </w:rPr>
        <w:t xml:space="preserve"> Decreto 4170 de 2011: “Artículo 3. Funciones: La Agencia Nacional de Contratación Pública –Colombia Compra Eficiente– ejercerá las siguientes funciones: [...]</w:t>
      </w:r>
    </w:p>
    <w:p w14:paraId="0879ED19" w14:textId="77777777" w:rsidR="002A76FC" w:rsidRPr="00CE7902" w:rsidRDefault="002A76FC" w:rsidP="002A76FC">
      <w:pPr>
        <w:pStyle w:val="Textonotapie"/>
        <w:ind w:firstLine="709"/>
        <w:jc w:val="both"/>
        <w:rPr>
          <w:rFonts w:ascii="Arial" w:hAnsi="Arial" w:cs="Arial"/>
          <w:color w:val="000000"/>
          <w:sz w:val="18"/>
          <w:szCs w:val="18"/>
        </w:rPr>
      </w:pPr>
      <w:r w:rsidRPr="00CE7902">
        <w:rPr>
          <w:rFonts w:ascii="Arial" w:hAnsi="Arial" w:cs="Arial"/>
          <w:color w:val="000000"/>
          <w:sz w:val="18"/>
          <w:szCs w:val="18"/>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65A0"/>
    <w:rsid w:val="00051A5E"/>
    <w:rsid w:val="00070775"/>
    <w:rsid w:val="00081F51"/>
    <w:rsid w:val="00083334"/>
    <w:rsid w:val="000956CF"/>
    <w:rsid w:val="000A683E"/>
    <w:rsid w:val="000B2346"/>
    <w:rsid w:val="000B6ED2"/>
    <w:rsid w:val="000C0482"/>
    <w:rsid w:val="000D6D2F"/>
    <w:rsid w:val="000E17EF"/>
    <w:rsid w:val="0011595A"/>
    <w:rsid w:val="001220C5"/>
    <w:rsid w:val="001267F7"/>
    <w:rsid w:val="00127233"/>
    <w:rsid w:val="00130999"/>
    <w:rsid w:val="001416DB"/>
    <w:rsid w:val="00152F71"/>
    <w:rsid w:val="00164D81"/>
    <w:rsid w:val="001655CE"/>
    <w:rsid w:val="001747B0"/>
    <w:rsid w:val="00197828"/>
    <w:rsid w:val="001A1011"/>
    <w:rsid w:val="001A48D0"/>
    <w:rsid w:val="001C03C0"/>
    <w:rsid w:val="001C50BF"/>
    <w:rsid w:val="002078DE"/>
    <w:rsid w:val="0022471D"/>
    <w:rsid w:val="002653C1"/>
    <w:rsid w:val="0026611D"/>
    <w:rsid w:val="00292091"/>
    <w:rsid w:val="002951A0"/>
    <w:rsid w:val="002A64FD"/>
    <w:rsid w:val="002A76FC"/>
    <w:rsid w:val="002B1F21"/>
    <w:rsid w:val="002B4EBC"/>
    <w:rsid w:val="002D044D"/>
    <w:rsid w:val="002F0839"/>
    <w:rsid w:val="00301469"/>
    <w:rsid w:val="00306EE1"/>
    <w:rsid w:val="00310B9B"/>
    <w:rsid w:val="0033479E"/>
    <w:rsid w:val="003457C4"/>
    <w:rsid w:val="0036461C"/>
    <w:rsid w:val="0036735E"/>
    <w:rsid w:val="00367884"/>
    <w:rsid w:val="00372142"/>
    <w:rsid w:val="003822A5"/>
    <w:rsid w:val="0038386F"/>
    <w:rsid w:val="00387121"/>
    <w:rsid w:val="0039439C"/>
    <w:rsid w:val="00395761"/>
    <w:rsid w:val="003B69E7"/>
    <w:rsid w:val="003C013B"/>
    <w:rsid w:val="003D0F4D"/>
    <w:rsid w:val="003E76BB"/>
    <w:rsid w:val="003F58A1"/>
    <w:rsid w:val="00410DD6"/>
    <w:rsid w:val="004134C9"/>
    <w:rsid w:val="0043138C"/>
    <w:rsid w:val="004507D3"/>
    <w:rsid w:val="00462A3F"/>
    <w:rsid w:val="00462A59"/>
    <w:rsid w:val="00464BA4"/>
    <w:rsid w:val="00466B8A"/>
    <w:rsid w:val="00485A1C"/>
    <w:rsid w:val="004A1847"/>
    <w:rsid w:val="004B6B0E"/>
    <w:rsid w:val="004D25B3"/>
    <w:rsid w:val="004E2A77"/>
    <w:rsid w:val="00511405"/>
    <w:rsid w:val="00516FBD"/>
    <w:rsid w:val="00526E9D"/>
    <w:rsid w:val="00547856"/>
    <w:rsid w:val="00547A74"/>
    <w:rsid w:val="00551670"/>
    <w:rsid w:val="005566E8"/>
    <w:rsid w:val="005746AB"/>
    <w:rsid w:val="0059357F"/>
    <w:rsid w:val="005A1130"/>
    <w:rsid w:val="005C0414"/>
    <w:rsid w:val="005C5727"/>
    <w:rsid w:val="005C6E17"/>
    <w:rsid w:val="005D65C8"/>
    <w:rsid w:val="0061534B"/>
    <w:rsid w:val="006219F8"/>
    <w:rsid w:val="00681FDB"/>
    <w:rsid w:val="0069217A"/>
    <w:rsid w:val="006A7DAD"/>
    <w:rsid w:val="006D70BA"/>
    <w:rsid w:val="00710CE8"/>
    <w:rsid w:val="007566FE"/>
    <w:rsid w:val="00765111"/>
    <w:rsid w:val="0076726F"/>
    <w:rsid w:val="0077144B"/>
    <w:rsid w:val="00793403"/>
    <w:rsid w:val="007C0CDF"/>
    <w:rsid w:val="007C0FE5"/>
    <w:rsid w:val="007E2A2F"/>
    <w:rsid w:val="007F2B7C"/>
    <w:rsid w:val="007F5DB4"/>
    <w:rsid w:val="00811651"/>
    <w:rsid w:val="00814A57"/>
    <w:rsid w:val="00820F5B"/>
    <w:rsid w:val="00833452"/>
    <w:rsid w:val="008614E5"/>
    <w:rsid w:val="008678EB"/>
    <w:rsid w:val="00875894"/>
    <w:rsid w:val="00881C10"/>
    <w:rsid w:val="00882B18"/>
    <w:rsid w:val="00890411"/>
    <w:rsid w:val="0089496C"/>
    <w:rsid w:val="008B20C1"/>
    <w:rsid w:val="008B5E8E"/>
    <w:rsid w:val="008D5C70"/>
    <w:rsid w:val="008D72AD"/>
    <w:rsid w:val="009025AF"/>
    <w:rsid w:val="00904F23"/>
    <w:rsid w:val="00906B3C"/>
    <w:rsid w:val="0093386C"/>
    <w:rsid w:val="0095342C"/>
    <w:rsid w:val="009C64A1"/>
    <w:rsid w:val="009D028A"/>
    <w:rsid w:val="009F33F2"/>
    <w:rsid w:val="009F6C77"/>
    <w:rsid w:val="00A07532"/>
    <w:rsid w:val="00A1085C"/>
    <w:rsid w:val="00A10F56"/>
    <w:rsid w:val="00A17F52"/>
    <w:rsid w:val="00A21C7A"/>
    <w:rsid w:val="00A309E2"/>
    <w:rsid w:val="00A32865"/>
    <w:rsid w:val="00A371BB"/>
    <w:rsid w:val="00A70118"/>
    <w:rsid w:val="00A8066E"/>
    <w:rsid w:val="00AA4B8A"/>
    <w:rsid w:val="00AA6BF7"/>
    <w:rsid w:val="00B01ED6"/>
    <w:rsid w:val="00B06D09"/>
    <w:rsid w:val="00B26353"/>
    <w:rsid w:val="00B36217"/>
    <w:rsid w:val="00B57D79"/>
    <w:rsid w:val="00B65183"/>
    <w:rsid w:val="00B6678D"/>
    <w:rsid w:val="00B7108E"/>
    <w:rsid w:val="00B771A9"/>
    <w:rsid w:val="00B809BB"/>
    <w:rsid w:val="00B8248A"/>
    <w:rsid w:val="00B93C0F"/>
    <w:rsid w:val="00B95E92"/>
    <w:rsid w:val="00BB568D"/>
    <w:rsid w:val="00BB7726"/>
    <w:rsid w:val="00BE52C9"/>
    <w:rsid w:val="00BF2C1B"/>
    <w:rsid w:val="00C2329E"/>
    <w:rsid w:val="00C25A5C"/>
    <w:rsid w:val="00C30461"/>
    <w:rsid w:val="00C717C9"/>
    <w:rsid w:val="00C71891"/>
    <w:rsid w:val="00C754BE"/>
    <w:rsid w:val="00C87572"/>
    <w:rsid w:val="00C91520"/>
    <w:rsid w:val="00C9405D"/>
    <w:rsid w:val="00CB0045"/>
    <w:rsid w:val="00CC1B26"/>
    <w:rsid w:val="00CD284F"/>
    <w:rsid w:val="00CE7902"/>
    <w:rsid w:val="00CE7FEB"/>
    <w:rsid w:val="00CF23AA"/>
    <w:rsid w:val="00D01921"/>
    <w:rsid w:val="00D2320E"/>
    <w:rsid w:val="00D3366E"/>
    <w:rsid w:val="00D43A8C"/>
    <w:rsid w:val="00D5315D"/>
    <w:rsid w:val="00D752B7"/>
    <w:rsid w:val="00D858BB"/>
    <w:rsid w:val="00D868EC"/>
    <w:rsid w:val="00DA1854"/>
    <w:rsid w:val="00DA2BB2"/>
    <w:rsid w:val="00DB0887"/>
    <w:rsid w:val="00DD0754"/>
    <w:rsid w:val="00DE793D"/>
    <w:rsid w:val="00DF1E43"/>
    <w:rsid w:val="00E01AE7"/>
    <w:rsid w:val="00E0220F"/>
    <w:rsid w:val="00E20894"/>
    <w:rsid w:val="00E26B7C"/>
    <w:rsid w:val="00E41366"/>
    <w:rsid w:val="00E57943"/>
    <w:rsid w:val="00E825C3"/>
    <w:rsid w:val="00E83E00"/>
    <w:rsid w:val="00EA081D"/>
    <w:rsid w:val="00EA3003"/>
    <w:rsid w:val="00EB3C91"/>
    <w:rsid w:val="00EB66DA"/>
    <w:rsid w:val="00EC7B10"/>
    <w:rsid w:val="00EF4584"/>
    <w:rsid w:val="00F06C15"/>
    <w:rsid w:val="00F23C35"/>
    <w:rsid w:val="00F264B3"/>
    <w:rsid w:val="00F605F2"/>
    <w:rsid w:val="00F66D95"/>
    <w:rsid w:val="00F67B3A"/>
    <w:rsid w:val="00F76AFC"/>
    <w:rsid w:val="00F8319B"/>
    <w:rsid w:val="00F97431"/>
    <w:rsid w:val="00FA5516"/>
    <w:rsid w:val="00FD56A8"/>
    <w:rsid w:val="00FD6F73"/>
    <w:rsid w:val="1CC63BF5"/>
    <w:rsid w:val="2F9951DC"/>
    <w:rsid w:val="3EA2D60F"/>
    <w:rsid w:val="5E0AC4C4"/>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2A76FC"/>
    <w:pPr>
      <w:spacing w:line="240" w:lineRule="exact"/>
    </w:pPr>
    <w:rPr>
      <w:vertAlign w:val="superscript"/>
    </w:rPr>
  </w:style>
  <w:style w:type="paragraph" w:styleId="NormalWeb">
    <w:name w:val="Normal (Web)"/>
    <w:basedOn w:val="Normal"/>
    <w:link w:val="NormalWebCar"/>
    <w:uiPriority w:val="99"/>
    <w:unhideWhenUsed/>
    <w:rsid w:val="002A76FC"/>
    <w:rPr>
      <w:rFonts w:ascii="Times New Roman" w:hAnsi="Times New Roman" w:cs="Times New Roman"/>
      <w:sz w:val="24"/>
      <w:szCs w:val="24"/>
    </w:rPr>
  </w:style>
  <w:style w:type="paragraph" w:styleId="Sinespaciado">
    <w:name w:val="No Spacing"/>
    <w:uiPriority w:val="1"/>
    <w:qFormat/>
    <w:rsid w:val="002A76FC"/>
    <w:pPr>
      <w:spacing w:after="0" w:line="240" w:lineRule="auto"/>
    </w:pPr>
    <w:rPr>
      <w:lang w:val="es-ES"/>
    </w:rPr>
  </w:style>
  <w:style w:type="character" w:customStyle="1" w:styleId="NormalWebCar">
    <w:name w:val="Normal (Web) Car"/>
    <w:link w:val="NormalWeb"/>
    <w:uiPriority w:val="99"/>
    <w:rsid w:val="002A76FC"/>
    <w:rPr>
      <w:rFonts w:ascii="Times New Roman" w:hAnsi="Times New Roman" w:cs="Times New Roman"/>
      <w:sz w:val="24"/>
      <w:szCs w:val="24"/>
    </w:rPr>
  </w:style>
  <w:style w:type="character" w:customStyle="1" w:styleId="apple-converted-space">
    <w:name w:val="apple-converted-space"/>
    <w:basedOn w:val="Fuentedeprrafopredeter"/>
    <w:rsid w:val="002A76FC"/>
  </w:style>
  <w:style w:type="character" w:styleId="Hipervnculo">
    <w:name w:val="Hyperlink"/>
    <w:basedOn w:val="Fuentedeprrafopredeter"/>
    <w:uiPriority w:val="99"/>
    <w:unhideWhenUsed/>
    <w:rsid w:val="002A76FC"/>
    <w:rPr>
      <w:color w:val="0563C1" w:themeColor="hyperlink"/>
      <w:u w:val="single"/>
    </w:rPr>
  </w:style>
  <w:style w:type="table" w:customStyle="1" w:styleId="Tablaconcuadrcula1">
    <w:name w:val="Tabla con cuadrícula1"/>
    <w:basedOn w:val="Tablanormal"/>
    <w:next w:val="Tablaconcuadrcula"/>
    <w:uiPriority w:val="39"/>
    <w:rsid w:val="002A76F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14400">
      <w:bodyDiv w:val="1"/>
      <w:marLeft w:val="0"/>
      <w:marRight w:val="0"/>
      <w:marTop w:val="0"/>
      <w:marBottom w:val="0"/>
      <w:divBdr>
        <w:top w:val="none" w:sz="0" w:space="0" w:color="auto"/>
        <w:left w:val="none" w:sz="0" w:space="0" w:color="auto"/>
        <w:bottom w:val="none" w:sz="0" w:space="0" w:color="auto"/>
        <w:right w:val="none" w:sz="0" w:space="0" w:color="auto"/>
      </w:divBdr>
    </w:div>
    <w:div w:id="196418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374CB978-5D42-43A8-A666-86BB590D10E5}"/>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cabc2350-70b2-4dba-bb42-96a3175f4d5a"/>
    <ds:schemaRef ds:uri="http://schemas.openxmlformats.org/package/2006/metadata/core-properties"/>
    <ds:schemaRef ds:uri="8ae15d26-076e-464e-81a7-6f76a0fb391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4929</Words>
  <Characters>27113</Characters>
  <Application>Microsoft Office Word</Application>
  <DocSecurity>0</DocSecurity>
  <Lines>225</Lines>
  <Paragraphs>63</Paragraphs>
  <ScaleCrop>false</ScaleCrop>
  <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Gabriel Alejandro Murcia Taboada</cp:lastModifiedBy>
  <cp:revision>9</cp:revision>
  <dcterms:created xsi:type="dcterms:W3CDTF">2023-06-05T17:09:00Z</dcterms:created>
  <dcterms:modified xsi:type="dcterms:W3CDTF">2023-06-09T19:23:00Z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