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F56532" w14:textId="77777777" w:rsidR="002F3C9E" w:rsidRPr="007A07CB" w:rsidRDefault="002F3C9E" w:rsidP="002F3C9E">
      <w:pPr>
        <w:spacing w:after="0" w:line="240" w:lineRule="auto"/>
        <w:contextualSpacing/>
        <w:jc w:val="both"/>
        <w:rPr>
          <w:rFonts w:ascii="Arial" w:hAnsi="Arial" w:cs="Arial"/>
          <w:b/>
          <w:lang w:val="es-ES_tradnl"/>
        </w:rPr>
      </w:pPr>
      <w:r w:rsidRPr="007A07CB">
        <w:rPr>
          <w:rFonts w:ascii="Arial" w:hAnsi="Arial" w:cs="Arial"/>
          <w:b/>
          <w:lang w:val="es-ES_tradnl"/>
        </w:rPr>
        <w:t xml:space="preserve">PRINCIPIO DE SELECCIÓN OBJETIVA – Noción – Normativa – Requisitos habilitantes – Requisitos ponderables </w:t>
      </w:r>
    </w:p>
    <w:p w14:paraId="7537F418" w14:textId="77777777" w:rsidR="002F3C9E" w:rsidRPr="007A07CB" w:rsidRDefault="002F3C9E" w:rsidP="002F3C9E">
      <w:pPr>
        <w:spacing w:after="0" w:line="240" w:lineRule="auto"/>
        <w:contextualSpacing/>
        <w:jc w:val="both"/>
        <w:rPr>
          <w:rFonts w:ascii="Arial" w:hAnsi="Arial" w:cs="Arial"/>
          <w:bCs/>
          <w:sz w:val="20"/>
          <w:szCs w:val="20"/>
          <w:lang w:val="es-ES_tradnl"/>
        </w:rPr>
      </w:pPr>
    </w:p>
    <w:p w14:paraId="7E9C411D" w14:textId="77777777" w:rsidR="002F3C9E" w:rsidRPr="007A07CB" w:rsidRDefault="002F3C9E" w:rsidP="002F3C9E">
      <w:pPr>
        <w:spacing w:after="0" w:line="240" w:lineRule="auto"/>
        <w:ind w:right="49"/>
        <w:contextualSpacing/>
        <w:jc w:val="both"/>
        <w:rPr>
          <w:rFonts w:ascii="Arial" w:eastAsia="Calibri" w:hAnsi="Arial" w:cs="Arial"/>
          <w:bCs/>
          <w:sz w:val="20"/>
          <w:szCs w:val="20"/>
          <w:lang w:val="es-ES_tradnl"/>
        </w:rPr>
      </w:pPr>
      <w:r w:rsidRPr="007A07CB">
        <w:rPr>
          <w:rFonts w:ascii="Arial" w:eastAsia="Calibri" w:hAnsi="Arial" w:cs="Arial"/>
          <w:bCs/>
          <w:sz w:val="20"/>
          <w:szCs w:val="20"/>
          <w:lang w:val="es-ES_tradnl"/>
        </w:rPr>
        <w:t xml:space="preserve">Uno de los principios transversales de los procedimientos de selección es el de </w:t>
      </w:r>
      <w:r w:rsidRPr="007A07CB">
        <w:rPr>
          <w:rFonts w:ascii="Arial" w:eastAsia="Calibri" w:hAnsi="Arial" w:cs="Arial"/>
          <w:bCs/>
          <w:i/>
          <w:iCs/>
          <w:sz w:val="20"/>
          <w:szCs w:val="20"/>
          <w:lang w:val="es-ES_tradnl"/>
        </w:rPr>
        <w:t>selección objetiva</w:t>
      </w:r>
      <w:r w:rsidRPr="007A07CB">
        <w:rPr>
          <w:rFonts w:ascii="Arial" w:eastAsia="Calibri" w:hAnsi="Arial" w:cs="Arial"/>
          <w:bCs/>
          <w:sz w:val="20"/>
          <w:szCs w:val="20"/>
          <w:lang w:val="es-ES_tradnl"/>
        </w:rPr>
        <w:t xml:space="preserve">. Se trata del postulado que exige que la escogencia de la oferta ganadora se debe fundamentar en factores objetivos, de carácter técnico, jurídico y financiero, y no en criterios subjetivos, como el afecto, la amistad, el ánimo de ayuda, el interés personal, etc. </w:t>
      </w:r>
    </w:p>
    <w:p w14:paraId="4B7AF43D" w14:textId="77777777" w:rsidR="002F3C9E" w:rsidRPr="007A07CB" w:rsidRDefault="002F3C9E" w:rsidP="002F3C9E">
      <w:pPr>
        <w:spacing w:after="0" w:line="240" w:lineRule="auto"/>
        <w:contextualSpacing/>
        <w:jc w:val="both"/>
        <w:rPr>
          <w:rFonts w:ascii="Arial" w:hAnsi="Arial" w:cs="Arial"/>
          <w:bCs/>
          <w:sz w:val="20"/>
          <w:szCs w:val="20"/>
          <w:lang w:val="es-ES_tradnl"/>
        </w:rPr>
      </w:pPr>
      <w:r w:rsidRPr="007A07CB">
        <w:rPr>
          <w:rFonts w:ascii="Arial" w:hAnsi="Arial" w:cs="Arial"/>
          <w:bCs/>
          <w:sz w:val="20"/>
          <w:szCs w:val="20"/>
          <w:lang w:val="es-ES_tradnl"/>
        </w:rPr>
        <w:t>[…]</w:t>
      </w:r>
    </w:p>
    <w:p w14:paraId="46F8A7FE" w14:textId="77777777" w:rsidR="002F3C9E" w:rsidRPr="007A07CB" w:rsidRDefault="002F3C9E" w:rsidP="002F3C9E">
      <w:pPr>
        <w:spacing w:after="0" w:line="240" w:lineRule="auto"/>
        <w:contextualSpacing/>
        <w:jc w:val="both"/>
        <w:rPr>
          <w:rFonts w:ascii="Arial" w:hAnsi="Arial" w:cs="Arial"/>
          <w:bCs/>
          <w:sz w:val="20"/>
          <w:szCs w:val="20"/>
          <w:lang w:val="es-ES_tradnl"/>
        </w:rPr>
      </w:pPr>
    </w:p>
    <w:p w14:paraId="4C51A153" w14:textId="77777777" w:rsidR="002F3C9E" w:rsidRDefault="002F3C9E" w:rsidP="002F3C9E">
      <w:pPr>
        <w:spacing w:after="0" w:line="240" w:lineRule="auto"/>
        <w:ind w:right="51"/>
        <w:contextualSpacing/>
        <w:jc w:val="both"/>
        <w:rPr>
          <w:rFonts w:ascii="Arial" w:eastAsia="Calibri" w:hAnsi="Arial" w:cs="Arial"/>
          <w:bCs/>
          <w:sz w:val="20"/>
          <w:szCs w:val="20"/>
          <w:lang w:val="es-MX"/>
        </w:rPr>
      </w:pPr>
      <w:r w:rsidRPr="007A07CB">
        <w:rPr>
          <w:rFonts w:ascii="Arial" w:eastAsia="Calibri" w:hAnsi="Arial" w:cs="Arial"/>
          <w:bCs/>
          <w:sz w:val="20"/>
          <w:szCs w:val="20"/>
          <w:lang w:val="es-MX"/>
        </w:rPr>
        <w:t xml:space="preserve">Al respecto, el numeral 1 del artículo 5 de la Ley 1150 de 2007 se refiere a algunos requisitos exigibles en la generalidad de los procesos de selección adelantados conforme al EGCAP, tales como la capacidad jurídica, las condiciones de experiencia, la capacidad financiera y de organización, denominados requisitos habilitantes, los cuales –en principio, salvo expresa disposición legal– no otorgan puntaje. Lo anterior comoquiera que estos no se refieren a la oferta misma sino a la idoneidad del oferente para asumir adecuadamente la ejecución del contrato. Los oferentes que cumplan estos requisitos habilitantes son considerados idóneos para ejecutar el objeto contractual, de manera que sus ofertas pueden ser consideradas en la evaluación dirigida a determinar cuál es la más favorable para la entidad y a los fines de la contratación. En este sentido, los requisitos </w:t>
      </w:r>
      <w:r w:rsidRPr="007A07CB">
        <w:rPr>
          <w:rFonts w:ascii="Arial" w:eastAsia="Calibri" w:hAnsi="Arial" w:cs="Arial"/>
          <w:bCs/>
          <w:i/>
          <w:sz w:val="20"/>
          <w:szCs w:val="20"/>
          <w:lang w:val="es-MX"/>
        </w:rPr>
        <w:t xml:space="preserve">habilitantes </w:t>
      </w:r>
      <w:r w:rsidRPr="007A07CB">
        <w:rPr>
          <w:rFonts w:ascii="Arial" w:eastAsia="Calibri" w:hAnsi="Arial" w:cs="Arial"/>
          <w:bCs/>
          <w:sz w:val="20"/>
          <w:szCs w:val="20"/>
          <w:lang w:val="es-MX"/>
        </w:rPr>
        <w:t>son aquellos que deben cumplir en igualdad de condiciones los proponentes, haciendo que estos se habiliten en el procedimiento de selección y sean susceptibles de ser seleccionados como futuros contratistas.</w:t>
      </w:r>
    </w:p>
    <w:p w14:paraId="72A6D620" w14:textId="77777777" w:rsidR="002F3C9E" w:rsidRPr="007A07CB" w:rsidRDefault="002F3C9E" w:rsidP="002F3C9E">
      <w:pPr>
        <w:spacing w:after="0" w:line="240" w:lineRule="auto"/>
        <w:ind w:right="51"/>
        <w:contextualSpacing/>
        <w:jc w:val="both"/>
        <w:rPr>
          <w:rFonts w:ascii="Arial" w:eastAsia="Calibri" w:hAnsi="Arial" w:cs="Arial"/>
          <w:bCs/>
          <w:sz w:val="20"/>
          <w:szCs w:val="20"/>
          <w:lang w:val="es-MX"/>
        </w:rPr>
      </w:pPr>
    </w:p>
    <w:p w14:paraId="057175D3" w14:textId="77777777" w:rsidR="002F3C9E" w:rsidRPr="007A07CB" w:rsidRDefault="002F3C9E" w:rsidP="002F3C9E">
      <w:pPr>
        <w:spacing w:after="0" w:line="240" w:lineRule="auto"/>
        <w:ind w:right="51"/>
        <w:contextualSpacing/>
        <w:jc w:val="both"/>
        <w:rPr>
          <w:rFonts w:ascii="Arial" w:eastAsia="Calibri" w:hAnsi="Arial" w:cs="Arial"/>
          <w:bCs/>
          <w:sz w:val="20"/>
          <w:szCs w:val="20"/>
          <w:lang w:val="es-MX"/>
        </w:rPr>
      </w:pPr>
      <w:r w:rsidRPr="007A07CB">
        <w:rPr>
          <w:rFonts w:ascii="Arial" w:eastAsia="Calibri" w:hAnsi="Arial" w:cs="Arial"/>
          <w:bCs/>
          <w:sz w:val="20"/>
          <w:szCs w:val="20"/>
          <w:lang w:val="es-MX"/>
        </w:rPr>
        <w:t xml:space="preserve">En contraposición a los requisitos habilitantes, el artículo 5 de la Ley 1150 de 2007 regula los factores dirigidos a determinar cuál es la propuesta, comparativamente, más favorable. En ese sentido, el inciso primero dispone los factores de escogencia y calificación que deben indicarse en los pliegos de condiciones o documentos equivalentes. El numeral segundo de esta norma establece que la oferta más favorable es aquella que resulte ser la más ventajosa para la entidad, una vez se realice la ponderación precisa y detallada de los factores técnicos y económicos de escogencia, de acuerdo con los parámetros establecidos en los pliegos de condiciones o equivalentes, que permiten la comparación de ofertas. Este numeral segundo se divide en dos literales, cada uno de los cuales hace referencia a los mecanismos por los que pueden optar las entidades para ponderar los elementos de calidad y precio de las ofertas. El literal a) alude a la ponderación de los referidos elementos mediante </w:t>
      </w:r>
      <w:r w:rsidRPr="007A07CB">
        <w:rPr>
          <w:rFonts w:ascii="Arial" w:eastAsia="Calibri" w:hAnsi="Arial" w:cs="Arial"/>
          <w:bCs/>
          <w:i/>
          <w:iCs/>
          <w:sz w:val="20"/>
          <w:szCs w:val="20"/>
          <w:lang w:val="es-MX"/>
        </w:rPr>
        <w:t>puntajes o fórmulas</w:t>
      </w:r>
      <w:r w:rsidRPr="007A07CB">
        <w:rPr>
          <w:rFonts w:ascii="Arial" w:eastAsia="Calibri" w:hAnsi="Arial" w:cs="Arial"/>
          <w:bCs/>
          <w:sz w:val="20"/>
          <w:szCs w:val="20"/>
          <w:lang w:val="es-MX"/>
        </w:rPr>
        <w:t xml:space="preserve">, mientras que el literal b) se refiere la elección de la oferta que represente la mejor relación </w:t>
      </w:r>
      <w:r w:rsidRPr="007A07CB">
        <w:rPr>
          <w:rFonts w:ascii="Arial" w:eastAsia="Calibri" w:hAnsi="Arial" w:cs="Arial"/>
          <w:bCs/>
          <w:i/>
          <w:iCs/>
          <w:sz w:val="20"/>
          <w:szCs w:val="20"/>
          <w:lang w:val="es-MX"/>
        </w:rPr>
        <w:t>costo-beneficio</w:t>
      </w:r>
      <w:r w:rsidRPr="007A07CB">
        <w:rPr>
          <w:rFonts w:ascii="Arial" w:eastAsia="Calibri" w:hAnsi="Arial" w:cs="Arial"/>
          <w:bCs/>
          <w:sz w:val="20"/>
          <w:szCs w:val="20"/>
          <w:lang w:val="es-MX"/>
        </w:rPr>
        <w:t xml:space="preserve"> para la entidad. </w:t>
      </w:r>
    </w:p>
    <w:p w14:paraId="6CC1DE37" w14:textId="77777777" w:rsidR="002F3C9E" w:rsidRPr="007A07CB" w:rsidRDefault="002F3C9E" w:rsidP="002F3C9E">
      <w:pPr>
        <w:spacing w:after="0" w:line="240" w:lineRule="auto"/>
        <w:contextualSpacing/>
        <w:jc w:val="both"/>
        <w:rPr>
          <w:rFonts w:ascii="Arial" w:hAnsi="Arial" w:cs="Arial"/>
          <w:bCs/>
          <w:sz w:val="20"/>
          <w:szCs w:val="20"/>
          <w:lang w:val="es-ES_tradnl"/>
        </w:rPr>
      </w:pPr>
    </w:p>
    <w:p w14:paraId="6476D785" w14:textId="77777777" w:rsidR="002F3C9E" w:rsidRPr="007A07CB" w:rsidRDefault="002F3C9E" w:rsidP="002F3C9E">
      <w:pPr>
        <w:spacing w:after="0" w:line="240" w:lineRule="auto"/>
        <w:contextualSpacing/>
        <w:jc w:val="both"/>
        <w:rPr>
          <w:rFonts w:ascii="Arial" w:hAnsi="Arial" w:cs="Arial"/>
          <w:b/>
        </w:rPr>
      </w:pPr>
      <w:r w:rsidRPr="007A07CB">
        <w:rPr>
          <w:rFonts w:ascii="Arial" w:hAnsi="Arial" w:cs="Arial"/>
          <w:b/>
        </w:rPr>
        <w:t xml:space="preserve">REQUISITOS PONDERABLES – Asignación de puntaje </w:t>
      </w:r>
    </w:p>
    <w:p w14:paraId="3E36E6C1" w14:textId="77777777" w:rsidR="002F3C9E" w:rsidRDefault="002F3C9E" w:rsidP="002F3C9E">
      <w:pPr>
        <w:spacing w:after="0" w:line="240" w:lineRule="auto"/>
        <w:contextualSpacing/>
        <w:jc w:val="both"/>
        <w:rPr>
          <w:sz w:val="20"/>
          <w:szCs w:val="20"/>
        </w:rPr>
      </w:pPr>
    </w:p>
    <w:p w14:paraId="5B3F40FE" w14:textId="77777777" w:rsidR="002F3C9E" w:rsidRPr="007A07CB" w:rsidRDefault="002F3C9E" w:rsidP="002F3C9E">
      <w:pPr>
        <w:spacing w:after="0" w:line="240" w:lineRule="auto"/>
        <w:contextualSpacing/>
        <w:jc w:val="both"/>
        <w:rPr>
          <w:rFonts w:ascii="Arial" w:eastAsia="Calibri" w:hAnsi="Arial" w:cs="Arial"/>
          <w:bCs/>
          <w:sz w:val="20"/>
          <w:szCs w:val="20"/>
          <w:lang w:val="es-MX"/>
        </w:rPr>
      </w:pPr>
      <w:r w:rsidRPr="007A07CB">
        <w:rPr>
          <w:rFonts w:ascii="Arial" w:eastAsia="Calibri" w:hAnsi="Arial" w:cs="Arial"/>
          <w:bCs/>
          <w:sz w:val="20"/>
          <w:szCs w:val="20"/>
          <w:lang w:val="es-MX"/>
        </w:rPr>
        <w:t xml:space="preserve">De acuerdo con lo anterior, es posible asimilar las diferentes categorías a las que hace referencia el artículo 5 de la Ley 1150 de 2007, cuando alude a los factores que, a diferencia de los requisitos habilitantes, determinan la oferta más favorable para la entidad, y que, por lo tanto, hacen que una oferta sea mejor que otra, pese a tener que cumplir todas ellas los requisitos habilitantes. Es frente a aquellos factores, que determinan comparativamente que una oferta sea mejor que otra, que la entidad concibe el otorgamiento de puntajes, como mecanismos para ponderar y comparar los ofrecimientos, con el fin de determinar objetivamente la oferta más favorable, aplicando para ello las reglas establecidas en el pliego o documento equivalente para la ponderación de las ofertas. </w:t>
      </w:r>
    </w:p>
    <w:p w14:paraId="24AD4A09" w14:textId="77777777" w:rsidR="002F3C9E" w:rsidRDefault="002F3C9E" w:rsidP="002F3C9E">
      <w:pPr>
        <w:tabs>
          <w:tab w:val="left" w:pos="0"/>
        </w:tabs>
        <w:spacing w:after="0" w:line="240" w:lineRule="auto"/>
        <w:contextualSpacing/>
        <w:jc w:val="both"/>
        <w:rPr>
          <w:rFonts w:ascii="Arial" w:eastAsia="Calibri" w:hAnsi="Arial" w:cs="Arial"/>
          <w:bCs/>
          <w:sz w:val="20"/>
          <w:szCs w:val="20"/>
          <w:lang w:val="es-MX"/>
        </w:rPr>
      </w:pPr>
    </w:p>
    <w:p w14:paraId="26FDF51E" w14:textId="77777777" w:rsidR="002F3C9E" w:rsidRPr="007A07CB" w:rsidRDefault="002F3C9E" w:rsidP="002F3C9E">
      <w:pPr>
        <w:tabs>
          <w:tab w:val="left" w:pos="0"/>
        </w:tabs>
        <w:spacing w:after="0" w:line="240" w:lineRule="auto"/>
        <w:contextualSpacing/>
        <w:jc w:val="both"/>
        <w:rPr>
          <w:rFonts w:ascii="Arial" w:eastAsia="Calibri" w:hAnsi="Arial" w:cs="Arial"/>
          <w:bCs/>
          <w:kern w:val="2"/>
          <w:sz w:val="20"/>
          <w:szCs w:val="20"/>
          <w14:ligatures w14:val="standardContextual"/>
        </w:rPr>
      </w:pPr>
      <w:r w:rsidRPr="007A07CB">
        <w:rPr>
          <w:rFonts w:ascii="Arial" w:eastAsia="Calibri" w:hAnsi="Arial" w:cs="Arial"/>
          <w:bCs/>
          <w:sz w:val="20"/>
          <w:szCs w:val="20"/>
          <w:lang w:val="es-MX"/>
        </w:rPr>
        <w:t>En ese sentido, la asignación de puntaje es un mecanismo mediante el cual las entidades ponderan los factores de calificación ꟷ</w:t>
      </w:r>
      <w:r w:rsidRPr="007A07CB">
        <w:rPr>
          <w:rFonts w:ascii="Arial" w:eastAsia="Calibri" w:hAnsi="Arial" w:cs="Arial"/>
          <w:bCs/>
          <w:i/>
          <w:sz w:val="20"/>
          <w:szCs w:val="20"/>
          <w:lang w:val="es-MX"/>
        </w:rPr>
        <w:t>v.g.</w:t>
      </w:r>
      <w:r w:rsidRPr="007A07CB">
        <w:rPr>
          <w:rFonts w:ascii="Arial" w:eastAsia="Calibri" w:hAnsi="Arial" w:cs="Arial"/>
          <w:bCs/>
          <w:sz w:val="20"/>
          <w:szCs w:val="20"/>
          <w:lang w:val="es-MX"/>
        </w:rPr>
        <w:t xml:space="preserve"> técnicos, de calidad y precio, etc.ꟷ en un determinado proceso de selección, como se desprende del literal a) del numeral segundo del artículo 5 de la Ley 1150 de </w:t>
      </w:r>
      <w:r w:rsidRPr="007A07CB">
        <w:rPr>
          <w:rFonts w:ascii="Arial" w:eastAsia="Calibri" w:hAnsi="Arial" w:cs="Arial"/>
          <w:bCs/>
          <w:sz w:val="20"/>
          <w:szCs w:val="20"/>
          <w:lang w:val="es-MX"/>
        </w:rPr>
        <w:lastRenderedPageBreak/>
        <w:t xml:space="preserve">2007, en el que, expresamente, se alude al puntaje. </w:t>
      </w:r>
      <w:r w:rsidRPr="007A07CB">
        <w:rPr>
          <w:rFonts w:ascii="Arial" w:eastAsia="Calibri" w:hAnsi="Arial" w:cs="Arial"/>
          <w:bCs/>
          <w:kern w:val="2"/>
          <w:sz w:val="20"/>
          <w:szCs w:val="20"/>
          <w14:ligatures w14:val="standardContextual"/>
        </w:rPr>
        <w:t>Sin embargo, no es este el único mecanismo de ponderación que tienen a su alcance las entidades estatales para determinar el ofrecimiento más favorable, ya que el propio literal b) del artículo 5.2 posibilita que el ofrecimiento más favorable se determine con un análisis de la relación costo-beneficio, evento en el no habría necesidad de acudir obligatoriamente a sistemas de asignación de puntaje. A estos se suman, los procesos de selección de bienes y servicios de características técnicas uniformes y de común utilización, así como los de mínima cuantía, en los que –según los artículos 5.3 y 2.5 de la Ley 1150 de 2007– el único factor de selección es el menor precio ofertado, por lo que no hay lugar a ponderación mediante puntajes.</w:t>
      </w:r>
    </w:p>
    <w:p w14:paraId="0A949B55" w14:textId="77777777" w:rsidR="00B80F6C" w:rsidRDefault="00B80F6C" w:rsidP="00B80F6C">
      <w:pPr>
        <w:tabs>
          <w:tab w:val="left" w:pos="0"/>
        </w:tabs>
        <w:spacing w:after="0" w:line="240" w:lineRule="auto"/>
        <w:jc w:val="both"/>
        <w:rPr>
          <w:rFonts w:ascii="Arial" w:eastAsia="Calibri" w:hAnsi="Arial" w:cs="Arial"/>
          <w:bCs/>
          <w:color w:val="000000" w:themeColor="text1"/>
          <w:kern w:val="2"/>
          <w:sz w:val="20"/>
          <w:szCs w:val="20"/>
          <w14:ligatures w14:val="standardContextual"/>
        </w:rPr>
      </w:pPr>
    </w:p>
    <w:p w14:paraId="5F620541" w14:textId="5A857406" w:rsidR="00B80F6C" w:rsidRDefault="00B80F6C" w:rsidP="00B80F6C">
      <w:pPr>
        <w:tabs>
          <w:tab w:val="left" w:pos="0"/>
        </w:tabs>
        <w:spacing w:after="0" w:line="240" w:lineRule="auto"/>
        <w:jc w:val="both"/>
        <w:rPr>
          <w:rFonts w:ascii="Arial" w:eastAsia="Calibri" w:hAnsi="Arial" w:cs="Arial"/>
          <w:bCs/>
          <w:color w:val="000000" w:themeColor="text1"/>
          <w:kern w:val="2"/>
          <w:sz w:val="20"/>
          <w:szCs w:val="20"/>
          <w14:ligatures w14:val="standardContextual"/>
        </w:rPr>
      </w:pPr>
      <w:r>
        <w:rPr>
          <w:rFonts w:ascii="Arial" w:eastAsia="Calibri" w:hAnsi="Arial" w:cs="Arial"/>
          <w:bCs/>
          <w:color w:val="000000" w:themeColor="text1"/>
          <w:kern w:val="2"/>
          <w:sz w:val="20"/>
          <w:szCs w:val="20"/>
          <w14:ligatures w14:val="standardContextual"/>
        </w:rPr>
        <w:t>[…]</w:t>
      </w:r>
    </w:p>
    <w:p w14:paraId="19E8AA04" w14:textId="77777777" w:rsidR="00B80F6C" w:rsidRPr="00B80F6C" w:rsidRDefault="00B80F6C" w:rsidP="00B80F6C">
      <w:pPr>
        <w:tabs>
          <w:tab w:val="left" w:pos="0"/>
        </w:tabs>
        <w:spacing w:after="0" w:line="240" w:lineRule="auto"/>
        <w:jc w:val="both"/>
        <w:rPr>
          <w:rFonts w:ascii="Arial" w:eastAsia="Calibri" w:hAnsi="Arial" w:cs="Arial"/>
          <w:bCs/>
          <w:color w:val="000000" w:themeColor="text1"/>
          <w:kern w:val="2"/>
          <w:sz w:val="20"/>
          <w:szCs w:val="20"/>
          <w14:ligatures w14:val="standardContextual"/>
        </w:rPr>
      </w:pPr>
    </w:p>
    <w:p w14:paraId="1D555E03" w14:textId="562CAA78" w:rsidR="00B80F6C" w:rsidRPr="00B80F6C" w:rsidRDefault="00B80F6C" w:rsidP="00B80F6C">
      <w:pPr>
        <w:tabs>
          <w:tab w:val="left" w:pos="0"/>
        </w:tabs>
        <w:spacing w:after="0" w:line="240" w:lineRule="auto"/>
        <w:jc w:val="both"/>
        <w:rPr>
          <w:rFonts w:ascii="Arial" w:eastAsia="Calibri" w:hAnsi="Arial" w:cs="Arial"/>
          <w:bCs/>
          <w:kern w:val="2"/>
          <w:sz w:val="20"/>
          <w:szCs w:val="20"/>
          <w14:ligatures w14:val="standardContextual"/>
        </w:rPr>
      </w:pPr>
      <w:r w:rsidRPr="00B80F6C">
        <w:rPr>
          <w:rFonts w:ascii="Arial" w:eastAsia="Calibri" w:hAnsi="Arial" w:cs="Arial"/>
          <w:bCs/>
          <w:color w:val="000000" w:themeColor="text1"/>
          <w:kern w:val="2"/>
          <w:sz w:val="20"/>
          <w:szCs w:val="20"/>
          <w14:ligatures w14:val="standardContextual"/>
        </w:rPr>
        <w:t>A partir de lo expuesto, “</w:t>
      </w:r>
      <w:r w:rsidRPr="00B80F6C">
        <w:rPr>
          <w:rFonts w:ascii="Arial" w:eastAsia="Calibri" w:hAnsi="Arial" w:cs="Arial"/>
          <w:bCs/>
          <w:i/>
          <w:iCs/>
          <w:kern w:val="2"/>
          <w:sz w:val="20"/>
          <w:szCs w:val="20"/>
          <w14:ligatures w14:val="standardContextual"/>
        </w:rPr>
        <w:t>PONDERAR o ASIGNAR PUNTAJE en un proceso de selección”</w:t>
      </w:r>
      <w:r w:rsidRPr="00B80F6C">
        <w:rPr>
          <w:rFonts w:ascii="Arial" w:eastAsia="Calibri" w:hAnsi="Arial" w:cs="Arial"/>
          <w:bCs/>
          <w:kern w:val="2"/>
          <w:sz w:val="20"/>
          <w:szCs w:val="20"/>
          <w14:ligatures w14:val="standardContextual"/>
        </w:rPr>
        <w:t xml:space="preserve"> es el procedimiento que realiza la Entidad Estatal al evaluar las ofertas presentadas por los proponentes, frente a los factores ponderables o de asignación de puntaje que determinaron en el pliego de condiciones para que una oferta sea considerada mejor que otra, en virtud del principio de selección objetiva que rige en la contratación estatal.</w:t>
      </w:r>
    </w:p>
    <w:p w14:paraId="77B13C10" w14:textId="77777777" w:rsidR="002F3C9E" w:rsidRPr="00B80F6C" w:rsidRDefault="002F3C9E" w:rsidP="00B80F6C">
      <w:pPr>
        <w:spacing w:after="0" w:line="240" w:lineRule="auto"/>
        <w:contextualSpacing/>
        <w:rPr>
          <w:sz w:val="20"/>
          <w:szCs w:val="20"/>
        </w:rPr>
      </w:pPr>
    </w:p>
    <w:p w14:paraId="5DFBEE64" w14:textId="77777777" w:rsidR="002F3C9E" w:rsidRPr="00B80F6C" w:rsidRDefault="002F3C9E" w:rsidP="00B80F6C">
      <w:pPr>
        <w:spacing w:line="240" w:lineRule="auto"/>
        <w:rPr>
          <w:rFonts w:ascii="Arial" w:eastAsia="Arial" w:hAnsi="Arial" w:cs="Arial"/>
          <w:color w:val="000000"/>
          <w:sz w:val="20"/>
          <w:szCs w:val="20"/>
          <w:lang w:val="es-MX" w:eastAsia="es-ES_tradnl"/>
        </w:rPr>
      </w:pPr>
      <w:r w:rsidRPr="00B80F6C">
        <w:rPr>
          <w:rFonts w:ascii="Arial" w:eastAsia="Arial" w:hAnsi="Arial" w:cs="Arial"/>
          <w:color w:val="000000"/>
          <w:sz w:val="20"/>
          <w:szCs w:val="20"/>
          <w:lang w:val="es-MX" w:eastAsia="es-ES_tradnl"/>
        </w:rPr>
        <w:br w:type="page"/>
      </w:r>
    </w:p>
    <w:p w14:paraId="7FEED758" w14:textId="68C162E6" w:rsidR="00252793" w:rsidRPr="00A97DA1" w:rsidRDefault="00252793" w:rsidP="00252793">
      <w:pPr>
        <w:spacing w:after="0" w:line="240" w:lineRule="auto"/>
        <w:contextualSpacing/>
        <w:jc w:val="both"/>
        <w:rPr>
          <w:rFonts w:ascii="Arial" w:eastAsia="Arial" w:hAnsi="Arial" w:cs="Arial"/>
          <w:color w:val="000000"/>
          <w:lang w:val="es-MX" w:eastAsia="es-ES_tradnl"/>
        </w:rPr>
      </w:pPr>
      <w:r w:rsidRPr="00A97DA1">
        <w:rPr>
          <w:rFonts w:ascii="Arial" w:eastAsia="Arial" w:hAnsi="Arial" w:cs="Arial"/>
          <w:color w:val="000000"/>
          <w:lang w:val="es-MX" w:eastAsia="es-ES_tradnl"/>
        </w:rPr>
        <w:lastRenderedPageBreak/>
        <w:t xml:space="preserve">Bogotá D.C., </w:t>
      </w:r>
      <w:r w:rsidR="00121325" w:rsidRPr="00A97DA1">
        <w:rPr>
          <w:rFonts w:ascii="Arial" w:eastAsia="Arial" w:hAnsi="Arial" w:cs="Arial"/>
          <w:color w:val="000000"/>
          <w:lang w:val="es-MX" w:eastAsia="es-ES_tradnl"/>
        </w:rPr>
        <w:t>20 de junio de 2023.</w:t>
      </w:r>
    </w:p>
    <w:p w14:paraId="08C847CE" w14:textId="77777777" w:rsidR="00252793" w:rsidRPr="00A97DA1" w:rsidRDefault="00252793" w:rsidP="00252793">
      <w:pPr>
        <w:spacing w:after="0" w:line="240" w:lineRule="auto"/>
        <w:contextualSpacing/>
        <w:jc w:val="both"/>
        <w:rPr>
          <w:rFonts w:ascii="Arial" w:eastAsia="Arial" w:hAnsi="Arial" w:cs="Arial"/>
          <w:color w:val="000000"/>
          <w:lang w:val="es-MX" w:eastAsia="es-ES_tradnl"/>
        </w:rPr>
      </w:pPr>
    </w:p>
    <w:p w14:paraId="2A103115" w14:textId="6F8D556A" w:rsidR="00252793" w:rsidRPr="00A97DA1" w:rsidRDefault="005F399F" w:rsidP="005F399F">
      <w:pPr>
        <w:spacing w:after="0" w:line="240" w:lineRule="auto"/>
        <w:contextualSpacing/>
        <w:jc w:val="right"/>
        <w:rPr>
          <w:rFonts w:ascii="Arial" w:eastAsia="Arial" w:hAnsi="Arial" w:cs="Arial"/>
          <w:color w:val="000000"/>
          <w:lang w:val="es-MX" w:eastAsia="es-ES_tradnl"/>
        </w:rPr>
      </w:pPr>
      <w:r>
        <w:rPr>
          <w:noProof/>
        </w:rPr>
        <w:drawing>
          <wp:inline distT="0" distB="0" distL="0" distR="0" wp14:anchorId="1C12A943" wp14:editId="57568A2E">
            <wp:extent cx="3788229" cy="1057547"/>
            <wp:effectExtent l="0" t="0" r="3175" b="9525"/>
            <wp:docPr id="2081441651" name="Imagen 1" descr="Interfaz de usuario gráfica,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1441651" name="Imagen 1" descr="Interfaz de usuario gráfica, Texto&#10;&#10;Descripción generada automáticamente"/>
                    <pic:cNvPicPr/>
                  </pic:nvPicPr>
                  <pic:blipFill>
                    <a:blip r:embed="rId10"/>
                    <a:stretch>
                      <a:fillRect/>
                    </a:stretch>
                  </pic:blipFill>
                  <pic:spPr>
                    <a:xfrm>
                      <a:off x="0" y="0"/>
                      <a:ext cx="3797892" cy="1060245"/>
                    </a:xfrm>
                    <a:prstGeom prst="rect">
                      <a:avLst/>
                    </a:prstGeom>
                  </pic:spPr>
                </pic:pic>
              </a:graphicData>
            </a:graphic>
          </wp:inline>
        </w:drawing>
      </w:r>
    </w:p>
    <w:p w14:paraId="59EB266B" w14:textId="77777777" w:rsidR="00252793" w:rsidRPr="00A97DA1" w:rsidRDefault="00252793" w:rsidP="00252793">
      <w:pPr>
        <w:spacing w:after="0" w:line="240" w:lineRule="auto"/>
        <w:contextualSpacing/>
        <w:jc w:val="both"/>
        <w:rPr>
          <w:rFonts w:ascii="Arial" w:eastAsia="Arial" w:hAnsi="Arial" w:cs="Arial"/>
          <w:color w:val="000000"/>
          <w:lang w:val="es-MX" w:eastAsia="es-ES_tradnl"/>
        </w:rPr>
      </w:pPr>
      <w:r w:rsidRPr="00A97DA1">
        <w:rPr>
          <w:rFonts w:ascii="Arial" w:eastAsia="Arial" w:hAnsi="Arial" w:cs="Arial"/>
          <w:color w:val="000000"/>
          <w:lang w:val="es-MX" w:eastAsia="es-ES_tradnl"/>
        </w:rPr>
        <w:t>Señora</w:t>
      </w:r>
    </w:p>
    <w:p w14:paraId="2D2DC8B0" w14:textId="77777777" w:rsidR="00252793" w:rsidRPr="00A97DA1" w:rsidRDefault="00252793" w:rsidP="00252793">
      <w:pPr>
        <w:spacing w:after="0" w:line="240" w:lineRule="auto"/>
        <w:contextualSpacing/>
        <w:jc w:val="both"/>
        <w:rPr>
          <w:rFonts w:ascii="Arial" w:eastAsia="Arial" w:hAnsi="Arial" w:cs="Arial"/>
          <w:b/>
          <w:color w:val="000000"/>
          <w:lang w:val="es-MX" w:eastAsia="es-ES_tradnl"/>
        </w:rPr>
      </w:pPr>
      <w:r w:rsidRPr="00A97DA1">
        <w:rPr>
          <w:rFonts w:ascii="Arial" w:eastAsia="Arial" w:hAnsi="Arial" w:cs="Arial"/>
          <w:b/>
          <w:color w:val="000000"/>
          <w:lang w:val="es-MX" w:eastAsia="es-ES_tradnl"/>
        </w:rPr>
        <w:t>María Victoria Castaño Lemus</w:t>
      </w:r>
    </w:p>
    <w:p w14:paraId="5078DE67" w14:textId="77777777" w:rsidR="00252793" w:rsidRPr="00A97DA1" w:rsidRDefault="00252793" w:rsidP="00252793">
      <w:pPr>
        <w:spacing w:after="0" w:line="240" w:lineRule="auto"/>
        <w:contextualSpacing/>
        <w:jc w:val="both"/>
        <w:rPr>
          <w:rFonts w:ascii="Arial" w:eastAsia="Arial" w:hAnsi="Arial" w:cs="Arial"/>
          <w:color w:val="000000"/>
          <w:lang w:val="es-MX" w:eastAsia="es-ES_tradnl"/>
        </w:rPr>
      </w:pPr>
      <w:r w:rsidRPr="00A97DA1">
        <w:rPr>
          <w:rFonts w:ascii="Arial" w:eastAsia="Arial" w:hAnsi="Arial" w:cs="Arial"/>
          <w:color w:val="000000"/>
          <w:lang w:val="es-MX" w:eastAsia="es-ES_tradnl"/>
        </w:rPr>
        <w:t>Bogotá D.C.</w:t>
      </w:r>
    </w:p>
    <w:p w14:paraId="47F906C9" w14:textId="77777777" w:rsidR="00252793" w:rsidRPr="00A97DA1" w:rsidRDefault="00252793" w:rsidP="00252793">
      <w:pPr>
        <w:spacing w:after="0" w:line="240" w:lineRule="auto"/>
        <w:contextualSpacing/>
        <w:jc w:val="both"/>
        <w:rPr>
          <w:rFonts w:ascii="Arial" w:eastAsia="Arial" w:hAnsi="Arial" w:cs="Arial"/>
          <w:color w:val="000000"/>
          <w:lang w:val="es-MX" w:eastAsia="es-ES_tradnl"/>
        </w:rPr>
      </w:pPr>
    </w:p>
    <w:p w14:paraId="3786200A" w14:textId="77777777" w:rsidR="00252793" w:rsidRPr="00A97DA1" w:rsidRDefault="00252793" w:rsidP="00252793">
      <w:pPr>
        <w:spacing w:after="0" w:line="240" w:lineRule="auto"/>
        <w:contextualSpacing/>
        <w:jc w:val="both"/>
        <w:rPr>
          <w:rFonts w:ascii="Arial" w:eastAsia="Arial" w:hAnsi="Arial" w:cs="Arial"/>
          <w:color w:val="000000"/>
          <w:lang w:val="es-MX" w:eastAsia="es-ES_tradnl"/>
        </w:rPr>
      </w:pPr>
    </w:p>
    <w:p w14:paraId="2F88035D" w14:textId="77777777" w:rsidR="00252793" w:rsidRPr="00A97DA1" w:rsidRDefault="00252793" w:rsidP="00252793">
      <w:pPr>
        <w:spacing w:after="0" w:line="240" w:lineRule="auto"/>
        <w:ind w:left="2124" w:firstLine="708"/>
        <w:contextualSpacing/>
        <w:rPr>
          <w:rFonts w:ascii="Arial" w:eastAsia="Arial" w:hAnsi="Arial" w:cs="Arial"/>
          <w:color w:val="000000"/>
          <w:lang w:val="es-MX" w:eastAsia="es-ES_tradnl"/>
        </w:rPr>
      </w:pPr>
      <w:r w:rsidRPr="00A97DA1">
        <w:rPr>
          <w:rFonts w:ascii="Arial" w:eastAsia="Calibri" w:hAnsi="Arial" w:cs="Arial"/>
          <w:b/>
          <w:lang w:val="es-MX" w:eastAsia="es-ES_tradnl"/>
        </w:rPr>
        <w:t>Concepto C – 170 de 2023</w:t>
      </w:r>
    </w:p>
    <w:p w14:paraId="0FF5D790" w14:textId="77777777" w:rsidR="00252793" w:rsidRPr="00A97DA1" w:rsidRDefault="00252793" w:rsidP="00252793">
      <w:pPr>
        <w:spacing w:after="0" w:line="240" w:lineRule="auto"/>
        <w:contextualSpacing/>
        <w:jc w:val="both"/>
        <w:rPr>
          <w:rFonts w:ascii="Arial" w:eastAsia="Arial" w:hAnsi="Arial" w:cs="Arial"/>
          <w:color w:val="000000"/>
          <w:lang w:val="es-MX" w:eastAsia="es-ES_tradnl"/>
        </w:rPr>
      </w:pPr>
      <w:r w:rsidRPr="00A97DA1">
        <w:rPr>
          <w:rFonts w:ascii="Arial" w:eastAsia="Arial" w:hAnsi="Arial" w:cs="Arial"/>
          <w:color w:val="000000"/>
          <w:lang w:val="es-MX" w:eastAsia="es-ES_tradnl"/>
        </w:rPr>
        <w:t xml:space="preserve">                                            </w:t>
      </w:r>
    </w:p>
    <w:tbl>
      <w:tblPr>
        <w:tblStyle w:val="2"/>
        <w:tblW w:w="8926" w:type="dxa"/>
        <w:tblInd w:w="0" w:type="dxa"/>
        <w:tblLayout w:type="fixed"/>
        <w:tblLook w:val="0400" w:firstRow="0" w:lastRow="0" w:firstColumn="0" w:lastColumn="0" w:noHBand="0" w:noVBand="1"/>
      </w:tblPr>
      <w:tblGrid>
        <w:gridCol w:w="2689"/>
        <w:gridCol w:w="6237"/>
      </w:tblGrid>
      <w:tr w:rsidR="00252793" w:rsidRPr="00A97DA1" w14:paraId="576B45C0" w14:textId="77777777" w:rsidTr="003F252A">
        <w:trPr>
          <w:trHeight w:val="1038"/>
        </w:trPr>
        <w:tc>
          <w:tcPr>
            <w:tcW w:w="2689" w:type="dxa"/>
          </w:tcPr>
          <w:p w14:paraId="655B5B71" w14:textId="77777777" w:rsidR="00252793" w:rsidRPr="00A97DA1" w:rsidRDefault="00252793" w:rsidP="00252793">
            <w:pPr>
              <w:contextualSpacing/>
              <w:jc w:val="both"/>
              <w:rPr>
                <w:rFonts w:ascii="Arial" w:eastAsia="Arial" w:hAnsi="Arial" w:cs="Arial"/>
                <w:b/>
                <w:bCs/>
                <w:color w:val="000000"/>
                <w:sz w:val="22"/>
                <w:szCs w:val="22"/>
              </w:rPr>
            </w:pPr>
            <w:r w:rsidRPr="00A97DA1">
              <w:rPr>
                <w:rFonts w:ascii="Arial" w:eastAsia="Arial" w:hAnsi="Arial" w:cs="Arial"/>
                <w:b/>
                <w:bCs/>
                <w:color w:val="000000"/>
                <w:sz w:val="22"/>
                <w:szCs w:val="22"/>
              </w:rPr>
              <w:t>Temas:</w:t>
            </w:r>
          </w:p>
        </w:tc>
        <w:tc>
          <w:tcPr>
            <w:tcW w:w="6237" w:type="dxa"/>
          </w:tcPr>
          <w:p w14:paraId="7CCFFDBA" w14:textId="77777777" w:rsidR="00252793" w:rsidRPr="00A97DA1" w:rsidRDefault="00252793" w:rsidP="00252793">
            <w:pPr>
              <w:contextualSpacing/>
              <w:jc w:val="both"/>
              <w:rPr>
                <w:rFonts w:ascii="Arial" w:hAnsi="Arial" w:cs="Arial"/>
                <w:bCs/>
                <w:sz w:val="22"/>
                <w:szCs w:val="22"/>
              </w:rPr>
            </w:pPr>
            <w:r w:rsidRPr="00A97DA1">
              <w:rPr>
                <w:rFonts w:ascii="Arial" w:hAnsi="Arial" w:cs="Arial"/>
                <w:bCs/>
                <w:sz w:val="22"/>
                <w:szCs w:val="22"/>
                <w:lang w:val="es-ES_tradnl"/>
              </w:rPr>
              <w:t xml:space="preserve">PRINCIPIO DE SELECCIÓN OBJETIVA – Noción – Normativa – Requisitos habilitantes – Requisitos ponderables / </w:t>
            </w:r>
            <w:r w:rsidRPr="00A97DA1">
              <w:rPr>
                <w:rFonts w:ascii="Arial" w:hAnsi="Arial" w:cs="Arial"/>
                <w:bCs/>
                <w:sz w:val="22"/>
                <w:szCs w:val="22"/>
              </w:rPr>
              <w:t xml:space="preserve">REQUISITOS PONDERABLES – Asignación de puntaje </w:t>
            </w:r>
          </w:p>
          <w:p w14:paraId="5245B631" w14:textId="77777777" w:rsidR="00252793" w:rsidRPr="00A97DA1" w:rsidRDefault="00252793" w:rsidP="00252793">
            <w:pPr>
              <w:contextualSpacing/>
              <w:jc w:val="both"/>
              <w:rPr>
                <w:rFonts w:ascii="Arial" w:eastAsia="Arial" w:hAnsi="Arial" w:cs="Arial"/>
                <w:bCs/>
                <w:color w:val="000000"/>
                <w:sz w:val="22"/>
                <w:szCs w:val="22"/>
                <w:lang w:val="es-ES_tradnl"/>
              </w:rPr>
            </w:pPr>
          </w:p>
        </w:tc>
      </w:tr>
      <w:tr w:rsidR="00252793" w:rsidRPr="00A97DA1" w14:paraId="02508F0B" w14:textId="77777777" w:rsidTr="003F252A">
        <w:tc>
          <w:tcPr>
            <w:tcW w:w="2689" w:type="dxa"/>
          </w:tcPr>
          <w:p w14:paraId="495FA952" w14:textId="77777777" w:rsidR="00252793" w:rsidRPr="00A97DA1" w:rsidRDefault="00252793" w:rsidP="00252793">
            <w:pPr>
              <w:contextualSpacing/>
              <w:rPr>
                <w:rFonts w:ascii="Arial" w:eastAsia="Arial" w:hAnsi="Arial" w:cs="Arial"/>
                <w:b/>
                <w:color w:val="000000"/>
                <w:sz w:val="22"/>
                <w:szCs w:val="22"/>
              </w:rPr>
            </w:pPr>
            <w:r w:rsidRPr="00A97DA1">
              <w:rPr>
                <w:rFonts w:ascii="Arial" w:eastAsia="Arial" w:hAnsi="Arial" w:cs="Arial"/>
                <w:b/>
                <w:color w:val="000000"/>
                <w:sz w:val="22"/>
                <w:szCs w:val="22"/>
              </w:rPr>
              <w:t>Radicado:</w:t>
            </w:r>
          </w:p>
        </w:tc>
        <w:tc>
          <w:tcPr>
            <w:tcW w:w="6237" w:type="dxa"/>
          </w:tcPr>
          <w:p w14:paraId="75EF8F12" w14:textId="77777777" w:rsidR="00252793" w:rsidRPr="00A97DA1" w:rsidRDefault="00252793" w:rsidP="00252793">
            <w:pPr>
              <w:contextualSpacing/>
              <w:jc w:val="both"/>
              <w:rPr>
                <w:rFonts w:ascii="Arial" w:eastAsia="Arial" w:hAnsi="Arial" w:cs="Arial"/>
                <w:color w:val="000000"/>
                <w:sz w:val="22"/>
                <w:szCs w:val="22"/>
              </w:rPr>
            </w:pPr>
            <w:r w:rsidRPr="00A97DA1">
              <w:rPr>
                <w:rFonts w:ascii="Arial" w:eastAsia="Arial" w:hAnsi="Arial" w:cs="Arial"/>
                <w:color w:val="000000"/>
                <w:sz w:val="22"/>
                <w:szCs w:val="22"/>
              </w:rPr>
              <w:t xml:space="preserve">Respuesta a consulta </w:t>
            </w:r>
            <w:r w:rsidRPr="00A97DA1">
              <w:rPr>
                <w:rFonts w:ascii="Arial" w:hAnsi="Arial" w:cs="Arial"/>
                <w:color w:val="000000"/>
                <w:sz w:val="22"/>
                <w:szCs w:val="22"/>
              </w:rPr>
              <w:t>P20230420003538</w:t>
            </w:r>
          </w:p>
        </w:tc>
      </w:tr>
      <w:tr w:rsidR="00252793" w:rsidRPr="00A97DA1" w14:paraId="7F8411DF" w14:textId="77777777" w:rsidTr="003F252A">
        <w:tc>
          <w:tcPr>
            <w:tcW w:w="2689" w:type="dxa"/>
          </w:tcPr>
          <w:p w14:paraId="678C42E1" w14:textId="77777777" w:rsidR="00252793" w:rsidRPr="00A97DA1" w:rsidRDefault="00252793" w:rsidP="00252793">
            <w:pPr>
              <w:contextualSpacing/>
              <w:rPr>
                <w:rFonts w:ascii="Arial" w:eastAsia="Arial" w:hAnsi="Arial" w:cs="Arial"/>
                <w:b/>
                <w:color w:val="000000"/>
                <w:sz w:val="22"/>
                <w:szCs w:val="22"/>
              </w:rPr>
            </w:pPr>
          </w:p>
        </w:tc>
        <w:tc>
          <w:tcPr>
            <w:tcW w:w="6237" w:type="dxa"/>
          </w:tcPr>
          <w:p w14:paraId="6A58997D" w14:textId="77777777" w:rsidR="00252793" w:rsidRPr="00A97DA1" w:rsidRDefault="00252793" w:rsidP="00252793">
            <w:pPr>
              <w:contextualSpacing/>
              <w:rPr>
                <w:rFonts w:ascii="Arial" w:eastAsia="Arial" w:hAnsi="Arial" w:cs="Arial"/>
                <w:color w:val="000000"/>
                <w:sz w:val="22"/>
                <w:szCs w:val="22"/>
              </w:rPr>
            </w:pPr>
          </w:p>
          <w:p w14:paraId="0AEEA030" w14:textId="77777777" w:rsidR="005C0F36" w:rsidRPr="00A97DA1" w:rsidRDefault="005C0F36" w:rsidP="00252793">
            <w:pPr>
              <w:contextualSpacing/>
              <w:rPr>
                <w:rFonts w:ascii="Arial" w:eastAsia="Arial" w:hAnsi="Arial" w:cs="Arial"/>
                <w:color w:val="000000"/>
                <w:sz w:val="22"/>
                <w:szCs w:val="22"/>
              </w:rPr>
            </w:pPr>
          </w:p>
        </w:tc>
      </w:tr>
    </w:tbl>
    <w:p w14:paraId="2E48B9C3" w14:textId="77777777" w:rsidR="00252793" w:rsidRPr="00A97DA1" w:rsidRDefault="00252793" w:rsidP="00252793">
      <w:pPr>
        <w:spacing w:after="0" w:line="276" w:lineRule="auto"/>
        <w:contextualSpacing/>
        <w:jc w:val="both"/>
        <w:rPr>
          <w:rFonts w:ascii="Arial" w:eastAsia="Arial" w:hAnsi="Arial" w:cs="Arial"/>
          <w:color w:val="000000"/>
          <w:lang w:val="es-MX" w:eastAsia="es-ES_tradnl"/>
        </w:rPr>
      </w:pPr>
      <w:r w:rsidRPr="00A97DA1">
        <w:rPr>
          <w:rFonts w:ascii="Arial" w:eastAsia="Arial" w:hAnsi="Arial" w:cs="Arial"/>
          <w:color w:val="000000"/>
          <w:lang w:val="es-MX" w:eastAsia="es-ES_tradnl"/>
        </w:rPr>
        <w:t>Estimada señora Castaño Lemus:</w:t>
      </w:r>
    </w:p>
    <w:p w14:paraId="370B371F" w14:textId="77777777" w:rsidR="00252793" w:rsidRPr="00A97DA1" w:rsidRDefault="00252793" w:rsidP="00252793">
      <w:pPr>
        <w:spacing w:after="0" w:line="276" w:lineRule="auto"/>
        <w:ind w:firstLine="709"/>
        <w:contextualSpacing/>
        <w:jc w:val="both"/>
        <w:rPr>
          <w:rFonts w:ascii="Arial" w:eastAsia="Arial" w:hAnsi="Arial" w:cs="Arial"/>
          <w:color w:val="000000"/>
          <w:lang w:val="es-MX" w:eastAsia="es-ES_tradnl"/>
        </w:rPr>
      </w:pPr>
    </w:p>
    <w:p w14:paraId="444E6C77" w14:textId="77777777" w:rsidR="00252793" w:rsidRPr="00252793" w:rsidRDefault="00252793" w:rsidP="00252793">
      <w:pPr>
        <w:spacing w:after="0" w:line="276" w:lineRule="auto"/>
        <w:ind w:right="51"/>
        <w:contextualSpacing/>
        <w:jc w:val="both"/>
        <w:rPr>
          <w:rFonts w:ascii="Arial" w:eastAsia="Arial" w:hAnsi="Arial" w:cs="Arial"/>
          <w:color w:val="000000"/>
          <w:lang w:val="es-MX" w:eastAsia="es-ES_tradnl"/>
        </w:rPr>
      </w:pPr>
      <w:r w:rsidRPr="00252793">
        <w:rPr>
          <w:rFonts w:ascii="Arial" w:eastAsia="Arial" w:hAnsi="Arial" w:cs="Arial"/>
          <w:color w:val="000000"/>
          <w:lang w:val="es-MX" w:eastAsia="es-ES_tradnl"/>
        </w:rPr>
        <w:t xml:space="preserve">En ejercicio de la competencia otorgada por el numeral 8 del artículo 11 y el numeral 5 del artículo 3 del Decreto Ley 4170 de 2011, la Agencia Nacional de Contratación Pública – Colombia Compra Eficiente responde la consulta realizada el 20 de abril de 2023. </w:t>
      </w:r>
    </w:p>
    <w:p w14:paraId="0FA3E0A8" w14:textId="77777777" w:rsidR="00252793" w:rsidRPr="00252793" w:rsidRDefault="00252793" w:rsidP="00252793">
      <w:pPr>
        <w:spacing w:after="0" w:line="276" w:lineRule="auto"/>
        <w:contextualSpacing/>
        <w:jc w:val="both"/>
        <w:rPr>
          <w:rFonts w:ascii="Arial" w:eastAsia="Arial" w:hAnsi="Arial" w:cs="Arial"/>
          <w:color w:val="000000"/>
          <w:lang w:val="es-MX" w:eastAsia="es-ES_tradnl"/>
        </w:rPr>
      </w:pPr>
    </w:p>
    <w:p w14:paraId="1CEE5531" w14:textId="77777777" w:rsidR="00252793" w:rsidRPr="00252793" w:rsidRDefault="00252793" w:rsidP="00252793">
      <w:pPr>
        <w:tabs>
          <w:tab w:val="left" w:pos="284"/>
        </w:tabs>
        <w:spacing w:after="0" w:line="276" w:lineRule="auto"/>
        <w:contextualSpacing/>
        <w:jc w:val="both"/>
        <w:rPr>
          <w:rFonts w:ascii="Arial" w:eastAsia="Arial" w:hAnsi="Arial" w:cs="Arial"/>
          <w:b/>
          <w:color w:val="000000"/>
          <w:lang w:val="es-MX" w:eastAsia="es-ES_tradnl"/>
        </w:rPr>
      </w:pPr>
      <w:r w:rsidRPr="00252793">
        <w:rPr>
          <w:rFonts w:ascii="Arial" w:eastAsia="Arial" w:hAnsi="Arial" w:cs="Arial"/>
          <w:b/>
          <w:color w:val="000000"/>
          <w:lang w:val="es-MX" w:eastAsia="es-ES_tradnl"/>
        </w:rPr>
        <w:t xml:space="preserve">1. Problema planteado </w:t>
      </w:r>
    </w:p>
    <w:p w14:paraId="7E46E933" w14:textId="77777777" w:rsidR="00252793" w:rsidRPr="00252793" w:rsidRDefault="00252793" w:rsidP="00252793">
      <w:pPr>
        <w:pBdr>
          <w:top w:val="nil"/>
          <w:left w:val="nil"/>
          <w:bottom w:val="nil"/>
          <w:right w:val="nil"/>
          <w:between w:val="nil"/>
        </w:pBdr>
        <w:spacing w:after="0" w:line="276" w:lineRule="auto"/>
        <w:contextualSpacing/>
        <w:jc w:val="both"/>
        <w:rPr>
          <w:rFonts w:ascii="Arial" w:eastAsia="Arial" w:hAnsi="Arial" w:cs="Arial"/>
          <w:color w:val="000000"/>
          <w:lang w:val="es-MX" w:eastAsia="es-ES_tradnl"/>
        </w:rPr>
      </w:pPr>
      <w:bookmarkStart w:id="0" w:name="_17dp8vu" w:colFirst="0" w:colLast="0"/>
      <w:bookmarkEnd w:id="0"/>
    </w:p>
    <w:p w14:paraId="016D56C5" w14:textId="77777777" w:rsidR="00252793" w:rsidRPr="00252793" w:rsidRDefault="00252793" w:rsidP="00252793">
      <w:pPr>
        <w:pBdr>
          <w:top w:val="nil"/>
          <w:left w:val="nil"/>
          <w:bottom w:val="nil"/>
          <w:right w:val="nil"/>
          <w:between w:val="nil"/>
        </w:pBdr>
        <w:spacing w:after="0" w:line="276" w:lineRule="auto"/>
        <w:contextualSpacing/>
        <w:jc w:val="both"/>
        <w:rPr>
          <w:rFonts w:ascii="Arial" w:eastAsia="Arial" w:hAnsi="Arial" w:cs="Arial"/>
          <w:color w:val="000000"/>
          <w:lang w:val="es-MX" w:eastAsia="es-ES_tradnl"/>
        </w:rPr>
      </w:pPr>
      <w:r w:rsidRPr="00252793">
        <w:rPr>
          <w:rFonts w:ascii="Arial" w:eastAsia="Arial" w:hAnsi="Arial" w:cs="Arial"/>
          <w:color w:val="000000"/>
          <w:lang w:val="es-MX" w:eastAsia="es-ES_tradnl"/>
        </w:rPr>
        <w:t xml:space="preserve">En la consulta identificada de forma previa usted realiza la siguiente consulta: </w:t>
      </w:r>
    </w:p>
    <w:p w14:paraId="5AA6862D" w14:textId="77777777" w:rsidR="00252793" w:rsidRPr="00252793" w:rsidRDefault="00252793" w:rsidP="00252793">
      <w:pPr>
        <w:pBdr>
          <w:top w:val="nil"/>
          <w:left w:val="nil"/>
          <w:bottom w:val="nil"/>
          <w:right w:val="nil"/>
          <w:between w:val="nil"/>
        </w:pBdr>
        <w:spacing w:after="0" w:line="276" w:lineRule="auto"/>
        <w:contextualSpacing/>
        <w:jc w:val="both"/>
        <w:rPr>
          <w:rFonts w:ascii="Arial" w:eastAsia="Arial" w:hAnsi="Arial" w:cs="Arial"/>
          <w:color w:val="000000"/>
          <w:lang w:val="es-MX" w:eastAsia="es-ES_tradnl"/>
        </w:rPr>
      </w:pPr>
    </w:p>
    <w:p w14:paraId="4176588C" w14:textId="77777777" w:rsidR="00252793" w:rsidRPr="00252793" w:rsidRDefault="00252793" w:rsidP="00252793">
      <w:pPr>
        <w:pBdr>
          <w:top w:val="nil"/>
          <w:left w:val="nil"/>
          <w:bottom w:val="nil"/>
          <w:right w:val="nil"/>
          <w:between w:val="nil"/>
        </w:pBdr>
        <w:spacing w:after="0" w:line="240" w:lineRule="auto"/>
        <w:ind w:left="709" w:right="709"/>
        <w:contextualSpacing/>
        <w:jc w:val="both"/>
        <w:rPr>
          <w:rFonts w:ascii="Arial" w:eastAsia="Arial" w:hAnsi="Arial" w:cs="Arial"/>
          <w:color w:val="000000"/>
          <w:sz w:val="20"/>
          <w:szCs w:val="20"/>
          <w:lang w:val="es-MX" w:eastAsia="es-ES_tradnl"/>
        </w:rPr>
      </w:pPr>
      <w:r w:rsidRPr="00252793">
        <w:rPr>
          <w:rFonts w:ascii="Arial" w:eastAsia="Arial" w:hAnsi="Arial" w:cs="Arial"/>
          <w:color w:val="000000"/>
          <w:sz w:val="20"/>
          <w:szCs w:val="20"/>
          <w:lang w:val="es-MX" w:eastAsia="es-ES_tradnl"/>
        </w:rPr>
        <w:t>“Por medio de la presente solicito se me informe, cuáles son los factores ponderables dentro de los procesos de contratación estatal actuales de conformidad con la Ley 80 de 1993 y sus Decretos reglamentarios”</w:t>
      </w:r>
    </w:p>
    <w:p w14:paraId="742FBCE3" w14:textId="77777777" w:rsidR="00252793" w:rsidRPr="00252793" w:rsidRDefault="00252793" w:rsidP="00252793">
      <w:pPr>
        <w:spacing w:after="0" w:line="276" w:lineRule="auto"/>
        <w:jc w:val="both"/>
        <w:rPr>
          <w:rFonts w:ascii="Arial" w:eastAsia="Calibri" w:hAnsi="Arial" w:cs="Arial"/>
          <w:b/>
          <w:bCs/>
          <w:lang w:val="es-MX"/>
        </w:rPr>
      </w:pPr>
    </w:p>
    <w:p w14:paraId="666E3BFC" w14:textId="77777777" w:rsidR="00252793" w:rsidRPr="00252793" w:rsidRDefault="00252793" w:rsidP="00252793">
      <w:pPr>
        <w:spacing w:after="0" w:line="276" w:lineRule="auto"/>
        <w:jc w:val="both"/>
        <w:rPr>
          <w:rFonts w:ascii="Arial" w:eastAsia="Calibri" w:hAnsi="Arial" w:cs="Arial"/>
          <w:b/>
          <w:bCs/>
          <w:lang w:val="es-MX"/>
        </w:rPr>
      </w:pPr>
      <w:r w:rsidRPr="00252793">
        <w:rPr>
          <w:rFonts w:ascii="Arial" w:eastAsia="Calibri" w:hAnsi="Arial" w:cs="Arial"/>
          <w:b/>
          <w:bCs/>
          <w:lang w:val="es-MX"/>
        </w:rPr>
        <w:t>2. Consideraciones</w:t>
      </w:r>
    </w:p>
    <w:p w14:paraId="2E002590" w14:textId="77777777" w:rsidR="00252793" w:rsidRPr="00252793" w:rsidRDefault="00252793" w:rsidP="00252793">
      <w:pPr>
        <w:spacing w:after="0" w:line="276" w:lineRule="auto"/>
        <w:jc w:val="both"/>
        <w:rPr>
          <w:rFonts w:ascii="Arial" w:eastAsia="Calibri" w:hAnsi="Arial" w:cs="Arial"/>
          <w:b/>
          <w:bCs/>
          <w:lang w:val="es-MX"/>
        </w:rPr>
      </w:pPr>
    </w:p>
    <w:p w14:paraId="56ADD82F" w14:textId="77777777" w:rsidR="00252793" w:rsidRPr="00252793" w:rsidRDefault="00252793" w:rsidP="00252793">
      <w:pPr>
        <w:tabs>
          <w:tab w:val="left" w:pos="426"/>
        </w:tabs>
        <w:spacing w:after="120" w:line="276" w:lineRule="auto"/>
        <w:jc w:val="both"/>
        <w:rPr>
          <w:rFonts w:ascii="Arial" w:eastAsia="Calibri" w:hAnsi="Arial" w:cs="Arial"/>
          <w:bCs/>
          <w:lang w:val="es-ES_tradnl"/>
        </w:rPr>
      </w:pPr>
      <w:r w:rsidRPr="00252793">
        <w:rPr>
          <w:rFonts w:ascii="Arial" w:eastAsia="Calibri" w:hAnsi="Arial" w:cs="Arial"/>
          <w:bCs/>
          <w:lang w:val="es-ES_tradnl"/>
        </w:rPr>
        <w:t xml:space="preserve">Para resolver la inquietud planteada, se analizará </w:t>
      </w:r>
      <w:r w:rsidRPr="00252793">
        <w:rPr>
          <w:rFonts w:ascii="Arial" w:eastAsia="Calibri" w:hAnsi="Arial" w:cs="Arial"/>
          <w:lang w:val="es-ES_tradnl"/>
        </w:rPr>
        <w:t xml:space="preserve">el principio de selección objetiva en la contratación estatal. </w:t>
      </w:r>
    </w:p>
    <w:p w14:paraId="664B58DD" w14:textId="77777777" w:rsidR="00252793" w:rsidRPr="00252793" w:rsidRDefault="00252793" w:rsidP="00252793">
      <w:pPr>
        <w:widowControl w:val="0"/>
        <w:autoSpaceDE w:val="0"/>
        <w:autoSpaceDN w:val="0"/>
        <w:spacing w:after="0" w:line="276" w:lineRule="auto"/>
        <w:ind w:firstLine="709"/>
        <w:jc w:val="both"/>
        <w:rPr>
          <w:rFonts w:ascii="Arial" w:eastAsia="Calibri" w:hAnsi="Arial" w:cs="Arial"/>
          <w:color w:val="000000" w:themeColor="text1"/>
          <w:kern w:val="2"/>
          <w:lang w:val="es-ES"/>
          <w14:ligatures w14:val="standardContextual"/>
        </w:rPr>
      </w:pPr>
      <w:r w:rsidRPr="00252793">
        <w:rPr>
          <w:rFonts w:ascii="Arial" w:eastAsia="Calibri" w:hAnsi="Arial" w:cs="Arial"/>
          <w:color w:val="000000" w:themeColor="text1"/>
          <w:kern w:val="2"/>
          <w:lang w:val="es-ES"/>
          <w14:ligatures w14:val="standardContextual"/>
        </w:rPr>
        <w:t xml:space="preserve">La Agencia Nacional de Contratación Pública − Colombia Compra Eficiente se pronunció sobre el principio de selección objetiva en los conceptos </w:t>
      </w:r>
      <w:r w:rsidRPr="00252793">
        <w:rPr>
          <w:rFonts w:ascii="Arial" w:eastAsia="Arial" w:hAnsi="Arial" w:cs="Arial"/>
          <w:color w:val="000000" w:themeColor="text1"/>
          <w:kern w:val="2"/>
          <w:lang w:val="es-MX"/>
          <w14:ligatures w14:val="standardContextual"/>
        </w:rPr>
        <w:t xml:space="preserve">con radicado </w:t>
      </w:r>
      <w:r w:rsidRPr="00252793">
        <w:rPr>
          <w:rFonts w:ascii="Arial" w:eastAsia="Arial" w:hAnsi="Arial" w:cs="Arial"/>
          <w:color w:val="000000" w:themeColor="text1"/>
          <w:kern w:val="2"/>
          <w:lang w:val="es-MX"/>
          <w14:ligatures w14:val="standardContextual"/>
        </w:rPr>
        <w:lastRenderedPageBreak/>
        <w:t xml:space="preserve">No: 4201913000006471 del 28 de octubre de 2019, 4201912000006711 del 12 de noviembre de 2019 y 4201912000006496 del 15 de noviembre de 2019, las cuales se unificaron en el Concepto CU–060 del 24 de febrero de 2020, que se reitera, entre otros, en los conceptos: C-121 del 3 de marzo de 2020, C-160 del 3 de abril de 2020,  C-013 del 17 de abril de 2020,  C-465 del 27 de julio de 2020,  C-557 del 21 de agosto de 2020, C-573 del 27 de agosto de 2020, C-595 del 21 de septiembre de 2020, C-634 de 21 de noviembre de 2020, C–779 del 18 de enero de 2021, C–802 del 1 de febrero de 2021, C–010 del 16 de febrero de 2021, C–217 del 14 de mayo de 2021, C–250 del 2 de junio de 2021, C-728 de 26 de enero de 2022 y C-285 del 20 de mayo de 2022. </w:t>
      </w:r>
      <w:r w:rsidRPr="00252793">
        <w:rPr>
          <w:rFonts w:ascii="Arial" w:eastAsia="Calibri" w:hAnsi="Arial" w:cs="Arial"/>
          <w:color w:val="000000" w:themeColor="text1"/>
          <w:kern w:val="2"/>
          <w:lang w:val="es-ES"/>
          <w14:ligatures w14:val="standardContextual"/>
        </w:rPr>
        <w:t xml:space="preserve">Igualmente, se pronunció sobre el principio de planeación en los conceptos No. 4201912000006310 del 9 de octubre de 2019, C-223 del 29 de abril de 2020, C-443 del 7 de julio de 2020, C-503 del 17 de septiembre de 2021, C-687 del 14 de enero de 2022, C-250 del 4 de mayo de 2022, C-470 del 27 de julio de 2022 y C-785 del 21 de noviembre de 2022. Las tesis propuestas en dichos conceptos se reiteran y, en lo necesario, se complementan conforme a las siguientes consideraciones. </w:t>
      </w:r>
    </w:p>
    <w:p w14:paraId="739D15A9" w14:textId="77777777" w:rsidR="00252793" w:rsidRPr="00252793" w:rsidRDefault="00252793" w:rsidP="00252793">
      <w:pPr>
        <w:widowControl w:val="0"/>
        <w:autoSpaceDE w:val="0"/>
        <w:autoSpaceDN w:val="0"/>
        <w:spacing w:after="0" w:line="276" w:lineRule="auto"/>
        <w:ind w:firstLine="709"/>
        <w:jc w:val="both"/>
        <w:rPr>
          <w:rFonts w:ascii="Arial" w:eastAsia="Calibri" w:hAnsi="Arial" w:cs="Arial"/>
          <w:color w:val="000000" w:themeColor="text1"/>
          <w:kern w:val="2"/>
          <w:lang w:val="es-ES"/>
          <w14:ligatures w14:val="standardContextual"/>
        </w:rPr>
      </w:pPr>
    </w:p>
    <w:p w14:paraId="6C54EC81" w14:textId="77777777" w:rsidR="00252793" w:rsidRPr="00252793" w:rsidRDefault="00252793" w:rsidP="00252793">
      <w:pPr>
        <w:spacing w:after="0" w:line="276" w:lineRule="auto"/>
        <w:ind w:right="709"/>
        <w:jc w:val="both"/>
        <w:rPr>
          <w:rFonts w:ascii="Arial" w:eastAsia="Calibri" w:hAnsi="Arial" w:cs="Arial"/>
          <w:b/>
          <w:bCs/>
          <w:lang w:val="es-MX"/>
        </w:rPr>
      </w:pPr>
      <w:r w:rsidRPr="00252793">
        <w:rPr>
          <w:rFonts w:ascii="Arial" w:eastAsia="Calibri" w:hAnsi="Arial" w:cs="Arial"/>
          <w:b/>
          <w:bCs/>
          <w:lang w:val="es-MX"/>
        </w:rPr>
        <w:t xml:space="preserve">2.1. Principio de selección objetiva en la contratación estatal </w:t>
      </w:r>
    </w:p>
    <w:p w14:paraId="1101F14D" w14:textId="77777777" w:rsidR="00252793" w:rsidRPr="00252793" w:rsidRDefault="00252793" w:rsidP="00252793">
      <w:pPr>
        <w:spacing w:after="0" w:line="276" w:lineRule="auto"/>
        <w:ind w:right="709"/>
        <w:jc w:val="both"/>
        <w:rPr>
          <w:rFonts w:ascii="Arial" w:eastAsia="Calibri" w:hAnsi="Arial" w:cs="Arial"/>
          <w:b/>
          <w:bCs/>
          <w:lang w:val="es-MX"/>
        </w:rPr>
      </w:pPr>
    </w:p>
    <w:p w14:paraId="1292C1C3" w14:textId="77777777" w:rsidR="00252793" w:rsidRPr="00252793" w:rsidRDefault="00252793" w:rsidP="00252793">
      <w:pPr>
        <w:spacing w:after="0" w:line="276" w:lineRule="auto"/>
        <w:ind w:right="49"/>
        <w:jc w:val="both"/>
        <w:rPr>
          <w:rFonts w:ascii="Arial" w:eastAsia="Calibri" w:hAnsi="Arial" w:cs="Arial"/>
          <w:bCs/>
          <w:lang w:val="es-ES_tradnl"/>
        </w:rPr>
      </w:pPr>
      <w:r w:rsidRPr="00252793">
        <w:rPr>
          <w:rFonts w:ascii="Arial" w:eastAsia="Calibri" w:hAnsi="Arial" w:cs="Arial"/>
          <w:bCs/>
          <w:lang w:val="es-ES_tradnl"/>
        </w:rPr>
        <w:t xml:space="preserve">Uno de los principios transversales de los procedimientos de selección es el de </w:t>
      </w:r>
      <w:r w:rsidRPr="00252793">
        <w:rPr>
          <w:rFonts w:ascii="Arial" w:eastAsia="Calibri" w:hAnsi="Arial" w:cs="Arial"/>
          <w:bCs/>
          <w:i/>
          <w:iCs/>
          <w:lang w:val="es-ES_tradnl"/>
        </w:rPr>
        <w:t>selección objetiva</w:t>
      </w:r>
      <w:r w:rsidRPr="00252793">
        <w:rPr>
          <w:rFonts w:ascii="Arial" w:eastAsia="Calibri" w:hAnsi="Arial" w:cs="Arial"/>
          <w:bCs/>
          <w:lang w:val="es-ES_tradnl"/>
        </w:rPr>
        <w:t xml:space="preserve">. Se trata del postulado que exige que la escogencia de la oferta ganadora se debe fundamentar en factores objetivos, de carácter técnico, jurídico y financiero, y no en criterios subjetivos, como el afecto, la amistad, el ánimo de ayuda, el interés personal, etc. </w:t>
      </w:r>
    </w:p>
    <w:p w14:paraId="231FFE74" w14:textId="77777777" w:rsidR="00252793" w:rsidRPr="00252793" w:rsidRDefault="00252793" w:rsidP="00252793">
      <w:pPr>
        <w:spacing w:before="120" w:after="0" w:line="276" w:lineRule="auto"/>
        <w:ind w:right="51" w:firstLine="709"/>
        <w:jc w:val="both"/>
        <w:rPr>
          <w:rFonts w:ascii="Arial" w:eastAsia="Calibri" w:hAnsi="Arial" w:cs="Arial"/>
          <w:bCs/>
          <w:lang w:val="es-MX"/>
        </w:rPr>
      </w:pPr>
      <w:r w:rsidRPr="00252793">
        <w:rPr>
          <w:rFonts w:ascii="Arial" w:eastAsia="Calibri" w:hAnsi="Arial" w:cs="Arial"/>
          <w:bCs/>
          <w:lang w:val="es-MX"/>
        </w:rPr>
        <w:t>Si bien dentro de la historia de la contratación pública en Colombia, se vislumbran antecedentes normativos que consagraban dicho principio</w:t>
      </w:r>
      <w:r w:rsidRPr="00252793">
        <w:rPr>
          <w:rFonts w:ascii="Arial" w:eastAsia="Calibri" w:hAnsi="Arial" w:cs="Arial"/>
          <w:bCs/>
          <w:vertAlign w:val="superscript"/>
          <w:lang w:val="es-MX"/>
        </w:rPr>
        <w:footnoteReference w:id="2"/>
      </w:r>
      <w:r w:rsidRPr="00252793">
        <w:rPr>
          <w:rFonts w:ascii="Arial" w:eastAsia="Calibri" w:hAnsi="Arial" w:cs="Arial"/>
          <w:bCs/>
          <w:lang w:val="es-MX"/>
        </w:rPr>
        <w:t xml:space="preserve">, en la actualidad la disposición legal que lo prevé de manera más clara y contundente es el artículo 5 de la Ley 1150 de </w:t>
      </w:r>
      <w:r w:rsidRPr="00252793">
        <w:rPr>
          <w:rFonts w:ascii="Arial" w:eastAsia="Calibri" w:hAnsi="Arial" w:cs="Arial"/>
          <w:bCs/>
          <w:lang w:val="es-MX"/>
        </w:rPr>
        <w:lastRenderedPageBreak/>
        <w:t xml:space="preserve">2007, modificado por el artículo 88 de la Ley 1474 de 2011 y por el artículo 5 de la Ley 1882 de 2018, enunciado normativo en el que se lee: </w:t>
      </w:r>
    </w:p>
    <w:p w14:paraId="1D716CDA" w14:textId="77777777" w:rsidR="00252793" w:rsidRPr="00252793" w:rsidRDefault="00252793" w:rsidP="00252793">
      <w:pPr>
        <w:spacing w:after="0" w:line="276" w:lineRule="auto"/>
        <w:ind w:right="51" w:firstLine="709"/>
        <w:jc w:val="both"/>
        <w:rPr>
          <w:rFonts w:ascii="Arial" w:eastAsia="Calibri" w:hAnsi="Arial" w:cs="Arial"/>
          <w:bCs/>
          <w:lang w:val="es-MX"/>
        </w:rPr>
      </w:pPr>
    </w:p>
    <w:p w14:paraId="2369B054" w14:textId="77777777" w:rsidR="00252793" w:rsidRPr="00252793" w:rsidRDefault="00252793" w:rsidP="00252793">
      <w:pPr>
        <w:spacing w:after="0" w:line="240" w:lineRule="auto"/>
        <w:ind w:left="709" w:right="709"/>
        <w:jc w:val="both"/>
        <w:rPr>
          <w:rFonts w:ascii="Arial" w:eastAsia="Calibri" w:hAnsi="Arial" w:cs="Arial"/>
          <w:color w:val="000000" w:themeColor="text1"/>
          <w:kern w:val="2"/>
          <w:sz w:val="20"/>
          <w:szCs w:val="20"/>
          <w:lang w:val="es-ES_tradnl"/>
          <w14:ligatures w14:val="standardContextual"/>
        </w:rPr>
      </w:pPr>
      <w:r w:rsidRPr="00252793">
        <w:rPr>
          <w:rFonts w:ascii="Arial" w:eastAsia="Calibri" w:hAnsi="Arial" w:cs="Arial"/>
          <w:color w:val="000000" w:themeColor="text1"/>
          <w:kern w:val="2"/>
          <w:sz w:val="20"/>
          <w:szCs w:val="20"/>
          <w:lang w:val="es-ES_tradnl"/>
          <w14:ligatures w14:val="standardContextual"/>
        </w:rPr>
        <w:t>“Artículo 5o. De la selección objetiva. Es objetiva la selección en la cual la escogencia se haga al ofrecimiento más favorable a la entidad y a los fines que ella busca, sin tener en consideración factores de afecto o de interés y, en general, cualquier clase de motivación subjetiva. En consecuencia, los factores de escogencia y calificación que establezcan las entidades en los pliegos de condiciones o sus equivalentes, tendrán en cuenta los siguientes criterios:</w:t>
      </w:r>
    </w:p>
    <w:p w14:paraId="289E44C8" w14:textId="77777777" w:rsidR="00252793" w:rsidRPr="00252793" w:rsidRDefault="00252793" w:rsidP="00252793">
      <w:pPr>
        <w:spacing w:after="0" w:line="240" w:lineRule="auto"/>
        <w:ind w:left="709" w:right="709"/>
        <w:jc w:val="both"/>
        <w:rPr>
          <w:rFonts w:ascii="Arial" w:eastAsia="Calibri" w:hAnsi="Arial" w:cs="Arial"/>
          <w:color w:val="000000" w:themeColor="text1"/>
          <w:kern w:val="2"/>
          <w:sz w:val="20"/>
          <w:szCs w:val="20"/>
          <w:lang w:val="es-ES_tradnl"/>
          <w14:ligatures w14:val="standardContextual"/>
        </w:rPr>
      </w:pPr>
    </w:p>
    <w:p w14:paraId="5AC18452" w14:textId="77777777" w:rsidR="00252793" w:rsidRPr="00252793" w:rsidRDefault="00252793" w:rsidP="00252793">
      <w:pPr>
        <w:spacing w:after="0" w:line="240" w:lineRule="auto"/>
        <w:ind w:left="709" w:right="709"/>
        <w:jc w:val="both"/>
        <w:rPr>
          <w:rFonts w:ascii="Arial" w:eastAsia="Calibri" w:hAnsi="Arial" w:cs="Arial"/>
          <w:color w:val="000000" w:themeColor="text1"/>
          <w:kern w:val="2"/>
          <w:sz w:val="20"/>
          <w:szCs w:val="20"/>
          <w:lang w:val="es-ES_tradnl"/>
          <w14:ligatures w14:val="standardContextual"/>
        </w:rPr>
      </w:pPr>
      <w:r w:rsidRPr="00252793">
        <w:rPr>
          <w:rFonts w:ascii="Arial" w:eastAsia="Calibri" w:hAnsi="Arial" w:cs="Arial"/>
          <w:color w:val="000000" w:themeColor="text1"/>
          <w:kern w:val="2"/>
          <w:sz w:val="20"/>
          <w:szCs w:val="20"/>
          <w:lang w:val="es-ES_tradnl"/>
          <w14:ligatures w14:val="standardContextual"/>
        </w:rPr>
        <w:t>1. La capacidad jurídica y las condiciones de experiencia, capacidad financiera y de organización de los proponentes serán objeto de verificación de cumplimiento como requisitos habilitantes para la participación en el proceso de selección y no otorgarán puntaje, con excepción de lo previsto en el numeral 4 del presente artículo. La exigencia de tales condiciones debe ser adecuada y proporcional a la naturaleza del contrato a suscribir y a su valor. La verificación documental de las condiciones antes señaladas será efectuada por las Cámaras de Comercio de conformidad con lo establecido en el artículo 6o de la presente ley, de acuerdo con lo cual se expedirá la respectiva certificación.</w:t>
      </w:r>
    </w:p>
    <w:p w14:paraId="4CFE2B8F" w14:textId="77777777" w:rsidR="00252793" w:rsidRPr="00252793" w:rsidRDefault="00252793" w:rsidP="00252793">
      <w:pPr>
        <w:spacing w:after="0" w:line="240" w:lineRule="auto"/>
        <w:ind w:left="709" w:right="709"/>
        <w:jc w:val="both"/>
        <w:rPr>
          <w:rFonts w:ascii="Arial" w:eastAsia="Calibri" w:hAnsi="Arial" w:cs="Arial"/>
          <w:color w:val="000000" w:themeColor="text1"/>
          <w:kern w:val="2"/>
          <w:sz w:val="20"/>
          <w:szCs w:val="20"/>
          <w:lang w:val="es-ES_tradnl"/>
          <w14:ligatures w14:val="standardContextual"/>
        </w:rPr>
      </w:pPr>
    </w:p>
    <w:p w14:paraId="4DD9EAC2" w14:textId="77777777" w:rsidR="00252793" w:rsidRPr="00252793" w:rsidRDefault="00252793" w:rsidP="00252793">
      <w:pPr>
        <w:spacing w:after="0" w:line="240" w:lineRule="auto"/>
        <w:ind w:left="709" w:right="709"/>
        <w:jc w:val="both"/>
        <w:rPr>
          <w:rFonts w:ascii="Arial" w:eastAsia="Calibri" w:hAnsi="Arial" w:cs="Arial"/>
          <w:color w:val="000000" w:themeColor="text1"/>
          <w:kern w:val="2"/>
          <w:sz w:val="20"/>
          <w:szCs w:val="20"/>
          <w:lang w:val="es-ES_tradnl"/>
          <w14:ligatures w14:val="standardContextual"/>
        </w:rPr>
      </w:pPr>
      <w:r w:rsidRPr="00252793">
        <w:rPr>
          <w:rFonts w:ascii="Arial" w:eastAsia="Calibri" w:hAnsi="Arial" w:cs="Arial"/>
          <w:color w:val="000000" w:themeColor="text1"/>
          <w:kern w:val="2"/>
          <w:sz w:val="20"/>
          <w:szCs w:val="20"/>
          <w:lang w:val="es-ES_tradnl"/>
          <w14:ligatures w14:val="standardContextual"/>
        </w:rPr>
        <w:t>2. &lt;Numeral modificado por el artículo 88 de la Ley 1474 de 2011. El nuevo texto es el siguiente:&gt; La oferta más favorable será aquella que, teniendo en cuenta los factores técnicos y económicos de escogencia y la ponderación precisa y detallada de los mismos contenida en los pliegos de condiciones o sus equivalentes, resulte ser la más ventajosa para la entidad, sin que la favorabilidad la constituyan factores diferentes a los contenidos en dichos documentos. En los contratos de obra pública, el menor plazo ofrecido no será objeto de evaluación. La entidad efectuará las comparaciones del caso mediante el cotejo de los ofrecimientos recibidos y la consulta de precios o condiciones del mercado y los estudios y deducciones de la entidad o de los organismos consultores o asesores designados para ello.</w:t>
      </w:r>
    </w:p>
    <w:p w14:paraId="3C0FFE33" w14:textId="77777777" w:rsidR="00252793" w:rsidRPr="00252793" w:rsidRDefault="00252793" w:rsidP="00252793">
      <w:pPr>
        <w:spacing w:after="0" w:line="240" w:lineRule="auto"/>
        <w:ind w:left="709" w:right="709"/>
        <w:jc w:val="both"/>
        <w:rPr>
          <w:rFonts w:ascii="Arial" w:eastAsia="Calibri" w:hAnsi="Arial" w:cs="Arial"/>
          <w:color w:val="000000" w:themeColor="text1"/>
          <w:kern w:val="2"/>
          <w:sz w:val="20"/>
          <w:szCs w:val="20"/>
          <w:lang w:val="es-ES_tradnl"/>
          <w14:ligatures w14:val="standardContextual"/>
        </w:rPr>
      </w:pPr>
    </w:p>
    <w:p w14:paraId="4C97CFAE" w14:textId="77777777" w:rsidR="00252793" w:rsidRPr="00252793" w:rsidRDefault="00252793" w:rsidP="00252793">
      <w:pPr>
        <w:spacing w:after="0" w:line="240" w:lineRule="auto"/>
        <w:ind w:left="709" w:right="709"/>
        <w:jc w:val="both"/>
        <w:rPr>
          <w:rFonts w:ascii="Arial" w:eastAsia="Calibri" w:hAnsi="Arial" w:cs="Arial"/>
          <w:color w:val="000000" w:themeColor="text1"/>
          <w:kern w:val="2"/>
          <w:sz w:val="20"/>
          <w:szCs w:val="20"/>
          <w:lang w:val="es-ES_tradnl"/>
          <w14:ligatures w14:val="standardContextual"/>
        </w:rPr>
      </w:pPr>
      <w:r w:rsidRPr="00252793">
        <w:rPr>
          <w:rFonts w:ascii="Arial" w:eastAsia="Calibri" w:hAnsi="Arial" w:cs="Arial"/>
          <w:color w:val="000000" w:themeColor="text1"/>
          <w:kern w:val="2"/>
          <w:sz w:val="20"/>
          <w:szCs w:val="20"/>
          <w:lang w:val="es-ES_tradnl"/>
          <w14:ligatures w14:val="standardContextual"/>
        </w:rPr>
        <w:t>En los procesos de selección en los que se tenga en cuenta los factores técnicos y económicos, la oferta más ventajosa será la que resulte de aplicar alguna de las siguientes alternativas:</w:t>
      </w:r>
    </w:p>
    <w:p w14:paraId="7707284A" w14:textId="77777777" w:rsidR="00252793" w:rsidRPr="00252793" w:rsidRDefault="00252793" w:rsidP="00252793">
      <w:pPr>
        <w:spacing w:after="0" w:line="240" w:lineRule="auto"/>
        <w:ind w:left="709" w:right="709"/>
        <w:jc w:val="both"/>
        <w:rPr>
          <w:rFonts w:ascii="Arial" w:eastAsia="Calibri" w:hAnsi="Arial" w:cs="Arial"/>
          <w:color w:val="000000" w:themeColor="text1"/>
          <w:kern w:val="2"/>
          <w:sz w:val="20"/>
          <w:szCs w:val="20"/>
          <w:lang w:val="es-ES_tradnl"/>
          <w14:ligatures w14:val="standardContextual"/>
        </w:rPr>
      </w:pPr>
    </w:p>
    <w:p w14:paraId="68A1962B" w14:textId="77777777" w:rsidR="00252793" w:rsidRPr="00252793" w:rsidRDefault="00252793" w:rsidP="00252793">
      <w:pPr>
        <w:spacing w:after="0" w:line="240" w:lineRule="auto"/>
        <w:ind w:left="709" w:right="709"/>
        <w:jc w:val="both"/>
        <w:rPr>
          <w:rFonts w:ascii="Arial" w:eastAsia="Calibri" w:hAnsi="Arial" w:cs="Arial"/>
          <w:color w:val="000000" w:themeColor="text1"/>
          <w:kern w:val="2"/>
          <w:sz w:val="20"/>
          <w:szCs w:val="20"/>
          <w:lang w:val="es-ES_tradnl"/>
          <w14:ligatures w14:val="standardContextual"/>
        </w:rPr>
      </w:pPr>
      <w:r w:rsidRPr="00252793">
        <w:rPr>
          <w:rFonts w:ascii="Arial" w:eastAsia="Calibri" w:hAnsi="Arial" w:cs="Arial"/>
          <w:color w:val="000000" w:themeColor="text1"/>
          <w:kern w:val="2"/>
          <w:sz w:val="20"/>
          <w:szCs w:val="20"/>
          <w:lang w:val="es-ES_tradnl"/>
          <w14:ligatures w14:val="standardContextual"/>
        </w:rPr>
        <w:t>a) La ponderación de los elementos de calidad y precio soportados en puntajes o fórmulas señaladas en el pliego de condiciones; o</w:t>
      </w:r>
    </w:p>
    <w:p w14:paraId="1A0AD00E" w14:textId="77777777" w:rsidR="00252793" w:rsidRPr="00252793" w:rsidRDefault="00252793" w:rsidP="00252793">
      <w:pPr>
        <w:spacing w:after="0" w:line="240" w:lineRule="auto"/>
        <w:ind w:left="709" w:right="709"/>
        <w:jc w:val="both"/>
        <w:rPr>
          <w:rFonts w:ascii="Arial" w:eastAsia="Calibri" w:hAnsi="Arial" w:cs="Arial"/>
          <w:color w:val="000000" w:themeColor="text1"/>
          <w:kern w:val="2"/>
          <w:sz w:val="20"/>
          <w:szCs w:val="20"/>
          <w:lang w:val="es-ES_tradnl"/>
          <w14:ligatures w14:val="standardContextual"/>
        </w:rPr>
      </w:pPr>
    </w:p>
    <w:p w14:paraId="2BDC7A29" w14:textId="77777777" w:rsidR="00252793" w:rsidRPr="00252793" w:rsidRDefault="00252793" w:rsidP="00252793">
      <w:pPr>
        <w:spacing w:after="0" w:line="240" w:lineRule="auto"/>
        <w:ind w:left="709" w:right="709"/>
        <w:jc w:val="both"/>
        <w:rPr>
          <w:rFonts w:ascii="Arial" w:eastAsia="Calibri" w:hAnsi="Arial" w:cs="Arial"/>
          <w:color w:val="000000" w:themeColor="text1"/>
          <w:kern w:val="2"/>
          <w:sz w:val="20"/>
          <w:szCs w:val="20"/>
          <w:lang w:val="es-ES_tradnl"/>
          <w14:ligatures w14:val="standardContextual"/>
        </w:rPr>
      </w:pPr>
      <w:r w:rsidRPr="00252793">
        <w:rPr>
          <w:rFonts w:ascii="Arial" w:eastAsia="Calibri" w:hAnsi="Arial" w:cs="Arial"/>
          <w:color w:val="000000" w:themeColor="text1"/>
          <w:kern w:val="2"/>
          <w:sz w:val="20"/>
          <w:szCs w:val="20"/>
          <w:lang w:val="es-ES_tradnl"/>
          <w14:ligatures w14:val="standardContextual"/>
        </w:rPr>
        <w:t>b) La ponderación de los elementos de calidad y precio que representen la mejor relación de costo-beneficio para la entidad.</w:t>
      </w:r>
    </w:p>
    <w:p w14:paraId="44473EE7" w14:textId="77777777" w:rsidR="00252793" w:rsidRPr="00252793" w:rsidRDefault="00252793" w:rsidP="00252793">
      <w:pPr>
        <w:spacing w:after="0" w:line="240" w:lineRule="auto"/>
        <w:ind w:left="709" w:right="709"/>
        <w:jc w:val="both"/>
        <w:rPr>
          <w:rFonts w:ascii="Arial" w:eastAsia="Calibri" w:hAnsi="Arial" w:cs="Arial"/>
          <w:color w:val="000000" w:themeColor="text1"/>
          <w:kern w:val="2"/>
          <w:sz w:val="20"/>
          <w:szCs w:val="20"/>
          <w:lang w:val="es-ES_tradnl"/>
          <w14:ligatures w14:val="standardContextual"/>
        </w:rPr>
      </w:pPr>
    </w:p>
    <w:p w14:paraId="7C44ECBF" w14:textId="77777777" w:rsidR="00252793" w:rsidRPr="00252793" w:rsidRDefault="00252793" w:rsidP="00252793">
      <w:pPr>
        <w:spacing w:after="0" w:line="240" w:lineRule="auto"/>
        <w:ind w:left="709" w:right="709"/>
        <w:jc w:val="both"/>
        <w:rPr>
          <w:rFonts w:ascii="Arial" w:eastAsia="Calibri" w:hAnsi="Arial" w:cs="Arial"/>
          <w:color w:val="000000" w:themeColor="text1"/>
          <w:kern w:val="2"/>
          <w:sz w:val="20"/>
          <w:szCs w:val="20"/>
          <w:lang w:val="es-ES_tradnl"/>
          <w14:ligatures w14:val="standardContextual"/>
        </w:rPr>
      </w:pPr>
      <w:r w:rsidRPr="00252793">
        <w:rPr>
          <w:rFonts w:ascii="Arial" w:eastAsia="Calibri" w:hAnsi="Arial" w:cs="Arial"/>
          <w:color w:val="000000" w:themeColor="text1"/>
          <w:kern w:val="2"/>
          <w:sz w:val="20"/>
          <w:szCs w:val="20"/>
          <w:lang w:val="es-ES_tradnl"/>
          <w14:ligatures w14:val="standardContextual"/>
        </w:rPr>
        <w:t>3. Sin perjuicio de lo previsto en el numeral 1 del presente artículo, en los pliegos de condiciones para las contrataciones cuyo objeto sea la adquisición o suministro de bienes y servicios de características técnicas uniformes y común utilización, las entidades estatales incluirán como único factor de evaluación el menor precio ofrecido.</w:t>
      </w:r>
    </w:p>
    <w:p w14:paraId="7B3B4A81" w14:textId="77777777" w:rsidR="00252793" w:rsidRPr="00252793" w:rsidRDefault="00252793" w:rsidP="00252793">
      <w:pPr>
        <w:spacing w:after="0" w:line="240" w:lineRule="auto"/>
        <w:ind w:left="709" w:right="709"/>
        <w:jc w:val="both"/>
        <w:rPr>
          <w:rFonts w:ascii="Arial" w:eastAsia="Calibri" w:hAnsi="Arial" w:cs="Arial"/>
          <w:color w:val="000000" w:themeColor="text1"/>
          <w:kern w:val="2"/>
          <w:sz w:val="20"/>
          <w:szCs w:val="20"/>
          <w:lang w:val="es-ES_tradnl"/>
          <w14:ligatures w14:val="standardContextual"/>
        </w:rPr>
      </w:pPr>
    </w:p>
    <w:p w14:paraId="2CA61F17" w14:textId="77777777" w:rsidR="00252793" w:rsidRPr="00252793" w:rsidRDefault="00252793" w:rsidP="00252793">
      <w:pPr>
        <w:spacing w:after="0" w:line="240" w:lineRule="auto"/>
        <w:ind w:left="709" w:right="709"/>
        <w:jc w:val="both"/>
        <w:rPr>
          <w:rFonts w:ascii="Arial" w:eastAsia="Calibri" w:hAnsi="Arial" w:cs="Arial"/>
          <w:color w:val="000000" w:themeColor="text1"/>
          <w:kern w:val="2"/>
          <w:sz w:val="20"/>
          <w:szCs w:val="20"/>
          <w:lang w:val="es-ES_tradnl"/>
          <w14:ligatures w14:val="standardContextual"/>
        </w:rPr>
      </w:pPr>
      <w:r w:rsidRPr="00252793">
        <w:rPr>
          <w:rFonts w:ascii="Arial" w:eastAsia="Calibri" w:hAnsi="Arial" w:cs="Arial"/>
          <w:color w:val="000000" w:themeColor="text1"/>
          <w:kern w:val="2"/>
          <w:sz w:val="20"/>
          <w:szCs w:val="20"/>
          <w:lang w:val="es-ES_tradnl"/>
          <w14:ligatures w14:val="standardContextual"/>
        </w:rPr>
        <w:t xml:space="preserve">4. En los procesos para la selección de consultores se hará uso de factores de calificación destinados a valorar los aspectos técnicos de la oferta o proyecto. De </w:t>
      </w:r>
      <w:r w:rsidRPr="00252793">
        <w:rPr>
          <w:rFonts w:ascii="Arial" w:eastAsia="Calibri" w:hAnsi="Arial" w:cs="Arial"/>
          <w:color w:val="000000" w:themeColor="text1"/>
          <w:kern w:val="2"/>
          <w:sz w:val="20"/>
          <w:szCs w:val="20"/>
          <w:lang w:val="es-ES_tradnl"/>
          <w14:ligatures w14:val="standardContextual"/>
        </w:rPr>
        <w:lastRenderedPageBreak/>
        <w:t>conformidad con las condiciones que señale el reglamento, se podrán utilizar criterios de experiencia específica del oferente y del equipo de trabajo, en el campo de que se trate.</w:t>
      </w:r>
    </w:p>
    <w:p w14:paraId="7C03824E" w14:textId="77777777" w:rsidR="00252793" w:rsidRPr="00252793" w:rsidRDefault="00252793" w:rsidP="00252793">
      <w:pPr>
        <w:spacing w:after="0" w:line="240" w:lineRule="auto"/>
        <w:ind w:left="709" w:right="709"/>
        <w:jc w:val="both"/>
        <w:rPr>
          <w:rFonts w:ascii="Arial" w:eastAsia="Calibri" w:hAnsi="Arial" w:cs="Arial"/>
          <w:color w:val="000000" w:themeColor="text1"/>
          <w:kern w:val="2"/>
          <w:sz w:val="20"/>
          <w:szCs w:val="20"/>
          <w:lang w:val="es-ES_tradnl"/>
          <w14:ligatures w14:val="standardContextual"/>
        </w:rPr>
      </w:pPr>
      <w:r w:rsidRPr="00252793">
        <w:rPr>
          <w:rFonts w:ascii="Arial" w:eastAsia="Calibri" w:hAnsi="Arial" w:cs="Arial"/>
          <w:color w:val="000000" w:themeColor="text1"/>
          <w:kern w:val="2"/>
          <w:sz w:val="20"/>
          <w:szCs w:val="20"/>
          <w:lang w:val="es-ES_tradnl"/>
          <w14:ligatures w14:val="standardContextual"/>
        </w:rPr>
        <w:t>En ningún caso se podrá incluir el precio, como factor de escogencia para la selección de consultores.</w:t>
      </w:r>
    </w:p>
    <w:p w14:paraId="2DAAD915" w14:textId="77777777" w:rsidR="00252793" w:rsidRPr="00252793" w:rsidRDefault="00252793" w:rsidP="00252793">
      <w:pPr>
        <w:spacing w:after="0" w:line="240" w:lineRule="auto"/>
        <w:ind w:left="709" w:right="709"/>
        <w:jc w:val="both"/>
        <w:rPr>
          <w:rFonts w:ascii="Arial" w:eastAsia="Calibri" w:hAnsi="Arial" w:cs="Arial"/>
          <w:color w:val="000000" w:themeColor="text1"/>
          <w:kern w:val="2"/>
          <w:sz w:val="20"/>
          <w:szCs w:val="20"/>
          <w:lang w:val="es-ES_tradnl"/>
          <w14:ligatures w14:val="standardContextual"/>
        </w:rPr>
      </w:pPr>
    </w:p>
    <w:p w14:paraId="0E56C017" w14:textId="77777777" w:rsidR="00252793" w:rsidRPr="00252793" w:rsidRDefault="00252793" w:rsidP="00252793">
      <w:pPr>
        <w:spacing w:after="0" w:line="240" w:lineRule="auto"/>
        <w:ind w:left="709" w:right="709"/>
        <w:jc w:val="both"/>
        <w:rPr>
          <w:rFonts w:ascii="Arial" w:eastAsia="Calibri" w:hAnsi="Arial" w:cs="Arial"/>
          <w:color w:val="000000" w:themeColor="text1"/>
          <w:kern w:val="2"/>
          <w:sz w:val="20"/>
          <w:szCs w:val="20"/>
          <w:lang w:val="es-ES_tradnl"/>
          <w14:ligatures w14:val="standardContextual"/>
        </w:rPr>
      </w:pPr>
      <w:r w:rsidRPr="00252793">
        <w:rPr>
          <w:rFonts w:ascii="Arial" w:eastAsia="Calibri" w:hAnsi="Arial" w:cs="Arial"/>
          <w:color w:val="000000" w:themeColor="text1"/>
          <w:kern w:val="2"/>
          <w:sz w:val="20"/>
          <w:szCs w:val="20"/>
          <w:lang w:val="es-ES_tradnl"/>
          <w14:ligatures w14:val="standardContextual"/>
        </w:rPr>
        <w:t>PARÁGRAFO 1o. &lt;Parágrafo modificado por el artículo 5 de la Ley 1882 de 2018. El nuevo texto es el siguiente:&gt; La ausencia de requisitos o la falta de documentos referentes a la futura contratación o al proponente, no necesarios para la comparación de las propuestas no servirán de título suficiente para el rechazo de los ofrecimientos hechos. En consecuencia, todos aquellos requisitos de la propuesta que no afecten la asignación de puntaje, deberán ser solicitados por las entidades estatales y deberán ser entregados por los proponentes hasta el término de traslado del informe de evaluación que corresponda a cada modalidad de selección, salvo lo dispuesto para el proceso de Mínima cuantía y para el proceso de selección a través del sistema de subasta. Serán rechazadas las ofertas de aquellos proponentes que no suministren la información y la documentación solicitada por la entidad estatal hasta el plazo anteriormente señalado.</w:t>
      </w:r>
    </w:p>
    <w:p w14:paraId="3113F472" w14:textId="77777777" w:rsidR="00252793" w:rsidRPr="00252793" w:rsidRDefault="00252793" w:rsidP="00252793">
      <w:pPr>
        <w:spacing w:after="0" w:line="240" w:lineRule="auto"/>
        <w:ind w:left="709" w:right="709"/>
        <w:jc w:val="both"/>
        <w:rPr>
          <w:rFonts w:ascii="Arial" w:eastAsia="Calibri" w:hAnsi="Arial" w:cs="Arial"/>
          <w:color w:val="000000" w:themeColor="text1"/>
          <w:kern w:val="2"/>
          <w:sz w:val="20"/>
          <w:szCs w:val="20"/>
          <w:lang w:val="es-ES_tradnl"/>
          <w14:ligatures w14:val="standardContextual"/>
        </w:rPr>
      </w:pPr>
    </w:p>
    <w:p w14:paraId="659574D5" w14:textId="77777777" w:rsidR="00252793" w:rsidRPr="00252793" w:rsidRDefault="00252793" w:rsidP="00252793">
      <w:pPr>
        <w:spacing w:after="0" w:line="240" w:lineRule="auto"/>
        <w:ind w:left="709" w:right="709"/>
        <w:jc w:val="both"/>
        <w:rPr>
          <w:rFonts w:ascii="Arial" w:eastAsia="Calibri" w:hAnsi="Arial" w:cs="Arial"/>
          <w:color w:val="000000" w:themeColor="text1"/>
          <w:kern w:val="2"/>
          <w:sz w:val="20"/>
          <w:szCs w:val="20"/>
          <w:lang w:val="es-ES_tradnl"/>
          <w14:ligatures w14:val="standardContextual"/>
        </w:rPr>
      </w:pPr>
      <w:r w:rsidRPr="00252793">
        <w:rPr>
          <w:rFonts w:ascii="Arial" w:eastAsia="Calibri" w:hAnsi="Arial" w:cs="Arial"/>
          <w:color w:val="000000" w:themeColor="text1"/>
          <w:kern w:val="2"/>
          <w:sz w:val="20"/>
          <w:szCs w:val="20"/>
          <w:lang w:val="es-ES_tradnl"/>
          <w14:ligatures w14:val="standardContextual"/>
        </w:rPr>
        <w:t>Durante el término otorgado para subsanar las ofertas, los proponentes no podrán acreditar circunstancias ocurridas con posterioridad al cierre del proceso.</w:t>
      </w:r>
    </w:p>
    <w:p w14:paraId="31AFEACB" w14:textId="77777777" w:rsidR="00252793" w:rsidRPr="00252793" w:rsidRDefault="00252793" w:rsidP="00252793">
      <w:pPr>
        <w:spacing w:after="0" w:line="240" w:lineRule="auto"/>
        <w:ind w:left="709" w:right="709"/>
        <w:jc w:val="both"/>
        <w:rPr>
          <w:rFonts w:ascii="Arial" w:eastAsia="Calibri" w:hAnsi="Arial" w:cs="Arial"/>
          <w:color w:val="000000" w:themeColor="text1"/>
          <w:kern w:val="2"/>
          <w:sz w:val="20"/>
          <w:szCs w:val="20"/>
          <w:lang w:val="es-ES_tradnl"/>
          <w14:ligatures w14:val="standardContextual"/>
        </w:rPr>
      </w:pPr>
    </w:p>
    <w:p w14:paraId="44CF384D" w14:textId="77777777" w:rsidR="00252793" w:rsidRPr="00252793" w:rsidRDefault="00252793" w:rsidP="00252793">
      <w:pPr>
        <w:spacing w:after="0" w:line="240" w:lineRule="auto"/>
        <w:ind w:left="709" w:right="709"/>
        <w:jc w:val="both"/>
        <w:rPr>
          <w:rFonts w:ascii="Arial" w:eastAsia="Calibri" w:hAnsi="Arial" w:cs="Arial"/>
          <w:color w:val="000000" w:themeColor="text1"/>
          <w:kern w:val="2"/>
          <w:sz w:val="20"/>
          <w:szCs w:val="20"/>
          <w:lang w:val="es-ES_tradnl"/>
          <w14:ligatures w14:val="standardContextual"/>
        </w:rPr>
      </w:pPr>
      <w:r w:rsidRPr="00252793">
        <w:rPr>
          <w:rFonts w:ascii="Arial" w:eastAsia="Calibri" w:hAnsi="Arial" w:cs="Arial"/>
          <w:color w:val="000000" w:themeColor="text1"/>
          <w:kern w:val="2"/>
          <w:sz w:val="20"/>
          <w:szCs w:val="20"/>
          <w:lang w:val="es-ES_tradnl"/>
          <w14:ligatures w14:val="standardContextual"/>
        </w:rPr>
        <w:t>PARÁGRAFO 2o. Las certificaciones de sistemas de gestión de calidad no serán objeto de calificación, ni podrán establecerse como documento habilitante para participar en licitaciones o concursos.</w:t>
      </w:r>
    </w:p>
    <w:p w14:paraId="5CAFB18C" w14:textId="77777777" w:rsidR="00252793" w:rsidRPr="00252793" w:rsidRDefault="00252793" w:rsidP="00252793">
      <w:pPr>
        <w:spacing w:after="0" w:line="240" w:lineRule="auto"/>
        <w:ind w:left="709" w:right="709"/>
        <w:jc w:val="both"/>
        <w:rPr>
          <w:rFonts w:ascii="Arial" w:eastAsia="Calibri" w:hAnsi="Arial" w:cs="Arial"/>
          <w:color w:val="000000" w:themeColor="text1"/>
          <w:kern w:val="2"/>
          <w:sz w:val="20"/>
          <w:szCs w:val="20"/>
          <w:lang w:val="es-ES_tradnl"/>
          <w14:ligatures w14:val="standardContextual"/>
        </w:rPr>
      </w:pPr>
    </w:p>
    <w:p w14:paraId="5B3B1DF3" w14:textId="77777777" w:rsidR="00252793" w:rsidRPr="00252793" w:rsidRDefault="00252793" w:rsidP="00252793">
      <w:pPr>
        <w:spacing w:after="0" w:line="240" w:lineRule="auto"/>
        <w:ind w:left="709" w:right="709"/>
        <w:jc w:val="both"/>
        <w:rPr>
          <w:rFonts w:ascii="Arial" w:eastAsia="Calibri" w:hAnsi="Arial" w:cs="Arial"/>
          <w:color w:val="000000" w:themeColor="text1"/>
          <w:kern w:val="2"/>
          <w:sz w:val="20"/>
          <w:szCs w:val="20"/>
          <w:lang w:val="es-ES_tradnl"/>
          <w14:ligatures w14:val="standardContextual"/>
        </w:rPr>
      </w:pPr>
      <w:r w:rsidRPr="00252793">
        <w:rPr>
          <w:rFonts w:ascii="Arial" w:eastAsia="Calibri" w:hAnsi="Arial" w:cs="Arial"/>
          <w:color w:val="000000" w:themeColor="text1"/>
          <w:kern w:val="2"/>
          <w:sz w:val="20"/>
          <w:szCs w:val="20"/>
          <w:lang w:val="es-ES_tradnl"/>
          <w14:ligatures w14:val="standardContextual"/>
        </w:rPr>
        <w:t>PARÁGRAFO 3o. &lt;Parágrafo adicionado por el artículo 5 de la Ley 1882 de 2018. El nuevo texto es el siguiente:&gt; La no entrega de la garantía de seriedad junto con la propuesta no será subsanable y será causal de rechazo de la misma.</w:t>
      </w:r>
    </w:p>
    <w:p w14:paraId="05F8E82B" w14:textId="77777777" w:rsidR="00252793" w:rsidRPr="00252793" w:rsidRDefault="00252793" w:rsidP="00252793">
      <w:pPr>
        <w:spacing w:after="0" w:line="240" w:lineRule="auto"/>
        <w:ind w:left="709" w:right="709"/>
        <w:jc w:val="both"/>
        <w:rPr>
          <w:rFonts w:ascii="Arial" w:eastAsia="Calibri" w:hAnsi="Arial" w:cs="Arial"/>
          <w:color w:val="000000" w:themeColor="text1"/>
          <w:kern w:val="2"/>
          <w:sz w:val="20"/>
          <w:szCs w:val="20"/>
          <w:lang w:val="es-ES_tradnl"/>
          <w14:ligatures w14:val="standardContextual"/>
        </w:rPr>
      </w:pPr>
    </w:p>
    <w:p w14:paraId="38EF7AE2" w14:textId="77777777" w:rsidR="00252793" w:rsidRPr="00252793" w:rsidRDefault="00252793" w:rsidP="00252793">
      <w:pPr>
        <w:spacing w:after="0" w:line="240" w:lineRule="auto"/>
        <w:ind w:left="709" w:right="709"/>
        <w:jc w:val="both"/>
        <w:rPr>
          <w:rFonts w:ascii="Arial" w:eastAsia="Calibri" w:hAnsi="Arial" w:cs="Arial"/>
          <w:color w:val="000000" w:themeColor="text1"/>
          <w:kern w:val="2"/>
          <w:sz w:val="20"/>
          <w:szCs w:val="20"/>
          <w:lang w:val="es-ES_tradnl"/>
          <w14:ligatures w14:val="standardContextual"/>
        </w:rPr>
      </w:pPr>
      <w:r w:rsidRPr="00252793">
        <w:rPr>
          <w:rFonts w:ascii="Arial" w:eastAsia="Calibri" w:hAnsi="Arial" w:cs="Arial"/>
          <w:color w:val="000000" w:themeColor="text1"/>
          <w:kern w:val="2"/>
          <w:sz w:val="20"/>
          <w:szCs w:val="20"/>
          <w:lang w:val="es-ES_tradnl"/>
          <w14:ligatures w14:val="standardContextual"/>
        </w:rPr>
        <w:t>PARÁGRAFO 4o. &lt;Parágrafo adicionado por el artículo 5 de la Ley 1882 de 2018. El nuevo texto es el siguiente:&gt; En aquellos procesos de selección en los que se utilice el mecanismo de subasta, los documentos referentes a la futura contratación o al proponente, no necesarios para la comparación de las propuestas, deberán ser solicitados hasta el momento previo a su realización.</w:t>
      </w:r>
    </w:p>
    <w:p w14:paraId="564A11F5" w14:textId="77777777" w:rsidR="00252793" w:rsidRPr="00252793" w:rsidRDefault="00252793" w:rsidP="00252793">
      <w:pPr>
        <w:spacing w:after="0" w:line="240" w:lineRule="auto"/>
        <w:ind w:left="709" w:right="709"/>
        <w:jc w:val="both"/>
        <w:rPr>
          <w:rFonts w:ascii="Arial" w:eastAsia="Calibri" w:hAnsi="Arial" w:cs="Arial"/>
          <w:color w:val="000000" w:themeColor="text1"/>
          <w:kern w:val="2"/>
          <w:sz w:val="20"/>
          <w:szCs w:val="20"/>
          <w:lang w:val="es-ES_tradnl"/>
          <w14:ligatures w14:val="standardContextual"/>
        </w:rPr>
      </w:pPr>
    </w:p>
    <w:p w14:paraId="729FC662" w14:textId="77777777" w:rsidR="00252793" w:rsidRPr="00252793" w:rsidRDefault="00252793" w:rsidP="00252793">
      <w:pPr>
        <w:spacing w:after="0" w:line="240" w:lineRule="auto"/>
        <w:ind w:left="709" w:right="709"/>
        <w:jc w:val="both"/>
        <w:rPr>
          <w:rFonts w:ascii="Arial" w:eastAsia="Calibri" w:hAnsi="Arial" w:cs="Arial"/>
          <w:color w:val="000000" w:themeColor="text1"/>
          <w:kern w:val="2"/>
          <w:sz w:val="20"/>
          <w:szCs w:val="20"/>
          <w:lang w:val="es-ES_tradnl"/>
          <w14:ligatures w14:val="standardContextual"/>
        </w:rPr>
      </w:pPr>
      <w:r w:rsidRPr="00252793">
        <w:rPr>
          <w:rFonts w:ascii="Arial" w:eastAsia="Calibri" w:hAnsi="Arial" w:cs="Arial"/>
          <w:color w:val="000000" w:themeColor="text1"/>
          <w:kern w:val="2"/>
          <w:sz w:val="20"/>
          <w:szCs w:val="20"/>
          <w:lang w:val="es-ES_tradnl"/>
          <w14:ligatures w14:val="standardContextual"/>
        </w:rPr>
        <w:t>PARÁGRAFO 5o. &lt;Parágrafo adicionado por el artículo 5 de la Ley 1882 de 2018. El nuevo texto es el siguiente:&gt; En los procesos de contratación, las entidades estatales deberán aceptar la experiencia adquirida por los proponentes a través de la ejecución de contratos con particulares”.</w:t>
      </w:r>
    </w:p>
    <w:p w14:paraId="768A8A65" w14:textId="77777777" w:rsidR="00252793" w:rsidRPr="00252793" w:rsidRDefault="00252793" w:rsidP="00252793">
      <w:pPr>
        <w:spacing w:after="0" w:line="276" w:lineRule="auto"/>
        <w:ind w:left="709" w:right="709"/>
        <w:jc w:val="both"/>
        <w:rPr>
          <w:rFonts w:ascii="Arial" w:eastAsia="Calibri" w:hAnsi="Arial" w:cs="Arial"/>
          <w:color w:val="000000" w:themeColor="text1"/>
          <w:kern w:val="2"/>
          <w:lang w:val="es-ES_tradnl"/>
          <w14:ligatures w14:val="standardContextual"/>
        </w:rPr>
      </w:pPr>
    </w:p>
    <w:p w14:paraId="3BEC3B01" w14:textId="77777777" w:rsidR="00252793" w:rsidRPr="00252793" w:rsidRDefault="00252793" w:rsidP="00252793">
      <w:pPr>
        <w:spacing w:after="120" w:line="276" w:lineRule="auto"/>
        <w:ind w:right="51" w:firstLine="709"/>
        <w:jc w:val="both"/>
        <w:rPr>
          <w:rFonts w:ascii="Arial" w:eastAsia="Calibri" w:hAnsi="Arial" w:cs="Arial"/>
          <w:bCs/>
          <w:lang w:val="es-MX"/>
        </w:rPr>
      </w:pPr>
      <w:r w:rsidRPr="00252793">
        <w:rPr>
          <w:rFonts w:ascii="Arial" w:eastAsia="Calibri" w:hAnsi="Arial" w:cs="Arial"/>
          <w:bCs/>
          <w:lang w:val="es-MX"/>
        </w:rPr>
        <w:t xml:space="preserve">De acuerdo con esta norma y conforme con lo expresado en el concepto C–166 del 23 de abril de 2021, puede decirse que el deber de selección objetiva supone que las entidades escojan en los procesos de selección el “[…] ofrecimiento más favorable a la entidad y a los fines que ella busca […]”. Tal favorabilidad debe determinarse a partir de criterios que pueden variar, de acuerdo con el objeto contractual o la modalidad de selección aplicable, los cuales, en todo caso, para que la selección sea objetiva, deben estar señalados en el pliego de condiciones o documento equivalente. </w:t>
      </w:r>
    </w:p>
    <w:p w14:paraId="70A06802" w14:textId="77777777" w:rsidR="00252793" w:rsidRPr="00252793" w:rsidRDefault="00252793" w:rsidP="00252793">
      <w:pPr>
        <w:spacing w:after="120" w:line="276" w:lineRule="auto"/>
        <w:ind w:right="51" w:firstLine="709"/>
        <w:jc w:val="both"/>
        <w:rPr>
          <w:rFonts w:ascii="Arial" w:eastAsia="Calibri" w:hAnsi="Arial" w:cs="Arial"/>
          <w:bCs/>
          <w:lang w:val="es-MX"/>
        </w:rPr>
      </w:pPr>
      <w:bookmarkStart w:id="1" w:name="_1fob9te" w:colFirst="0" w:colLast="0"/>
      <w:bookmarkEnd w:id="1"/>
      <w:r w:rsidRPr="00252793">
        <w:rPr>
          <w:rFonts w:ascii="Arial" w:eastAsia="Calibri" w:hAnsi="Arial" w:cs="Arial"/>
          <w:bCs/>
          <w:lang w:val="es-MX"/>
        </w:rPr>
        <w:lastRenderedPageBreak/>
        <w:t>Al respecto, el numeral 1 del artículo 5 de la Ley 1150 de 2007 se refiere a algunos requisitos exigibles en la generalidad de los procesos de selección adelantados conforme al EGCAP, tales como la capacidad jurídica, las condiciones de experiencia, la capacidad financiera y de organización, denominados requisitos habilitantes, los cuales –en principio, salvo expresa disposición legal– no otorgan puntaje. Lo anterior comoquiera que estos no se refieren a la oferta misma sino a la idoneidad del oferente para asumir adecuadamente la ejecución del contrato</w:t>
      </w:r>
      <w:r w:rsidRPr="00252793">
        <w:rPr>
          <w:rFonts w:ascii="Arial" w:eastAsia="Calibri" w:hAnsi="Arial" w:cs="Arial"/>
          <w:bCs/>
          <w:vertAlign w:val="superscript"/>
          <w:lang w:val="es-MX"/>
        </w:rPr>
        <w:footnoteReference w:id="3"/>
      </w:r>
      <w:r w:rsidRPr="00252793">
        <w:rPr>
          <w:rFonts w:ascii="Arial" w:eastAsia="Calibri" w:hAnsi="Arial" w:cs="Arial"/>
          <w:bCs/>
          <w:lang w:val="es-MX"/>
        </w:rPr>
        <w:t xml:space="preserve">. Los oferentes que cumplan estos requisitos habilitantes son considerados idóneos para ejecutar el objeto contractual, de manera que sus ofertas pueden ser consideradas en la evaluación dirigida a determinar cuál es la más favorable para la entidad y a los fines de la contratación. En este sentido, los requisitos </w:t>
      </w:r>
      <w:r w:rsidRPr="00252793">
        <w:rPr>
          <w:rFonts w:ascii="Arial" w:eastAsia="Calibri" w:hAnsi="Arial" w:cs="Arial"/>
          <w:bCs/>
          <w:i/>
          <w:lang w:val="es-MX"/>
        </w:rPr>
        <w:t xml:space="preserve">habilitantes </w:t>
      </w:r>
      <w:r w:rsidRPr="00252793">
        <w:rPr>
          <w:rFonts w:ascii="Arial" w:eastAsia="Calibri" w:hAnsi="Arial" w:cs="Arial"/>
          <w:bCs/>
          <w:lang w:val="es-MX"/>
        </w:rPr>
        <w:t>son aquellos que deben cumplir en igualdad de condiciones los proponentes, haciendo que estos se habiliten en el procedimiento de selección y sean susceptibles de ser seleccionados como futuros contratistas.</w:t>
      </w:r>
    </w:p>
    <w:p w14:paraId="54C2FBFA" w14:textId="77777777" w:rsidR="00252793" w:rsidRPr="00252793" w:rsidRDefault="00252793" w:rsidP="00252793">
      <w:pPr>
        <w:spacing w:after="120" w:line="276" w:lineRule="auto"/>
        <w:ind w:right="51" w:firstLine="709"/>
        <w:jc w:val="both"/>
        <w:rPr>
          <w:rFonts w:ascii="Arial" w:eastAsia="Calibri" w:hAnsi="Arial" w:cs="Arial"/>
          <w:bCs/>
          <w:lang w:val="es-MX"/>
        </w:rPr>
      </w:pPr>
      <w:r w:rsidRPr="00252793">
        <w:rPr>
          <w:rFonts w:ascii="Arial" w:eastAsia="Calibri" w:hAnsi="Arial" w:cs="Arial"/>
          <w:bCs/>
          <w:lang w:val="es-MX"/>
        </w:rPr>
        <w:t xml:space="preserve">En contraposición a los requisitos habilitantes, el artículo 5 de la Ley 1150 de 2007 regula los factores dirigidos a determinar cuál es la propuesta, comparativamente, más favorable. En ese sentido, el inciso primero dispone los factores de escogencia y calificación que deben indicarse en los pliegos de condiciones o documentos equivalentes. El numeral segundo de esta norma establece que la oferta más favorable es aquella que resulte ser la más ventajosa para la entidad, una vez se realice la ponderación precisa y detallada de los factores técnicos y económicos de escogencia, de acuerdo con los parámetros establecidos en los pliegos de condiciones o equivalentes, que permiten la comparación de ofertas. Este numeral segundo se divide en dos literales, cada uno de los cuales hace referencia a los mecanismos por los que pueden optar las entidades para ponderar los elementos de calidad y precio de las ofertas. El literal a) alude a la ponderación de los referidos elementos mediante </w:t>
      </w:r>
      <w:r w:rsidRPr="00252793">
        <w:rPr>
          <w:rFonts w:ascii="Arial" w:eastAsia="Calibri" w:hAnsi="Arial" w:cs="Arial"/>
          <w:bCs/>
          <w:i/>
          <w:iCs/>
          <w:lang w:val="es-MX"/>
        </w:rPr>
        <w:t>puntajes o fórmulas</w:t>
      </w:r>
      <w:r w:rsidRPr="00252793">
        <w:rPr>
          <w:rFonts w:ascii="Arial" w:eastAsia="Calibri" w:hAnsi="Arial" w:cs="Arial"/>
          <w:bCs/>
          <w:lang w:val="es-MX"/>
        </w:rPr>
        <w:t xml:space="preserve">, mientras que el literal b) se refiere la elección de la oferta que represente la mejor relación </w:t>
      </w:r>
      <w:r w:rsidRPr="00252793">
        <w:rPr>
          <w:rFonts w:ascii="Arial" w:eastAsia="Calibri" w:hAnsi="Arial" w:cs="Arial"/>
          <w:bCs/>
          <w:i/>
          <w:iCs/>
          <w:lang w:val="es-MX"/>
        </w:rPr>
        <w:t>costo-beneficio</w:t>
      </w:r>
      <w:r w:rsidRPr="00252793">
        <w:rPr>
          <w:rFonts w:ascii="Arial" w:eastAsia="Calibri" w:hAnsi="Arial" w:cs="Arial"/>
          <w:bCs/>
          <w:lang w:val="es-MX"/>
        </w:rPr>
        <w:t xml:space="preserve"> para la entidad. </w:t>
      </w:r>
    </w:p>
    <w:p w14:paraId="57498B59" w14:textId="77777777" w:rsidR="00252793" w:rsidRPr="00252793" w:rsidRDefault="00252793" w:rsidP="00252793">
      <w:pPr>
        <w:spacing w:after="120" w:line="276" w:lineRule="auto"/>
        <w:ind w:right="51" w:firstLine="709"/>
        <w:jc w:val="both"/>
        <w:rPr>
          <w:rFonts w:ascii="Arial" w:eastAsia="Calibri" w:hAnsi="Arial" w:cs="Arial"/>
          <w:bCs/>
          <w:lang w:val="es-MX"/>
        </w:rPr>
      </w:pPr>
      <w:r w:rsidRPr="00252793">
        <w:rPr>
          <w:rFonts w:ascii="Arial" w:eastAsia="Calibri" w:hAnsi="Arial" w:cs="Arial"/>
          <w:bCs/>
          <w:lang w:val="es-MX"/>
        </w:rPr>
        <w:t>Por su parte, el numeral tercero establece que en los procesos de selección de bienes y servicios de características técnicas uniformes y de común utilización el único factor de evaluación consiste en el menor precio. Por último, el numeral 4, referente a los procedimientos para la selección de consultores, señala que deben usarse factores de calificación, para valorar los aspectos técnicos de la oferta, permitiendo que entre ellos se pondere la experiencia.</w:t>
      </w:r>
    </w:p>
    <w:p w14:paraId="3B73B3E4" w14:textId="77777777" w:rsidR="00252793" w:rsidRPr="00252793" w:rsidRDefault="00252793" w:rsidP="00252793">
      <w:pPr>
        <w:spacing w:after="120" w:line="276" w:lineRule="auto"/>
        <w:ind w:right="51" w:firstLine="709"/>
        <w:jc w:val="both"/>
        <w:rPr>
          <w:rFonts w:ascii="Arial" w:eastAsia="Calibri" w:hAnsi="Arial" w:cs="Arial"/>
          <w:bCs/>
          <w:lang w:val="es-MX"/>
        </w:rPr>
      </w:pPr>
      <w:r w:rsidRPr="00252793">
        <w:rPr>
          <w:rFonts w:ascii="Arial" w:eastAsia="Calibri" w:hAnsi="Arial" w:cs="Arial"/>
          <w:bCs/>
          <w:lang w:val="es-MX"/>
        </w:rPr>
        <w:t xml:space="preserve">De acuerdo con lo expresado, se concluye que el artículo 5 de la Ley 1150 de 2007 define los parámetros conforme a los cuales deben exigirse y evaluarse los factores que no otorgan puntaje o requisitos habilitantes, como también aquellos que deben tenerse en </w:t>
      </w:r>
      <w:r w:rsidRPr="00252793">
        <w:rPr>
          <w:rFonts w:ascii="Arial" w:eastAsia="Calibri" w:hAnsi="Arial" w:cs="Arial"/>
          <w:bCs/>
          <w:lang w:val="es-MX"/>
        </w:rPr>
        <w:lastRenderedPageBreak/>
        <w:t>cuenta para la exigencia y evaluación de los factores de escogencia o calificación, técnicos y económicos, los cuales inciden en la comparación de las ofertas. Por ello, la doctrina define los requisitos o factores ponderables como “[…] aquellas condiciones de la oferta y no de quien la presenta, que sí entrarán a ser evaluadas por la Administración y que en consecuencia, darán lugar a la escogencia objetiva de la mejor propuesta para la entidad”</w:t>
      </w:r>
      <w:r w:rsidRPr="00252793">
        <w:rPr>
          <w:rFonts w:ascii="Arial" w:eastAsia="Calibri" w:hAnsi="Arial" w:cs="Arial"/>
          <w:bCs/>
          <w:vertAlign w:val="superscript"/>
          <w:lang w:val="es-MX"/>
        </w:rPr>
        <w:footnoteReference w:id="4"/>
      </w:r>
      <w:r w:rsidRPr="00252793">
        <w:rPr>
          <w:rFonts w:ascii="Arial" w:eastAsia="Calibri" w:hAnsi="Arial" w:cs="Arial"/>
          <w:bCs/>
          <w:lang w:val="es-MX"/>
        </w:rPr>
        <w:t>. Todas estas categorías designan los “[…] factores a los cuales cabe otorgarles puntajes o que pueden ser ponderados, precisamente, pues estos son los factores que en últimas permiten una comparación de ofertas y una diferenciación entre ellas”</w:t>
      </w:r>
      <w:r w:rsidRPr="00252793">
        <w:rPr>
          <w:rFonts w:ascii="Arial" w:eastAsia="Calibri" w:hAnsi="Arial" w:cs="Arial"/>
          <w:bCs/>
          <w:vertAlign w:val="superscript"/>
          <w:lang w:val="es-MX"/>
        </w:rPr>
        <w:footnoteReference w:id="5"/>
      </w:r>
      <w:r w:rsidRPr="00252793">
        <w:rPr>
          <w:rFonts w:ascii="Arial" w:eastAsia="Calibri" w:hAnsi="Arial" w:cs="Arial"/>
          <w:bCs/>
          <w:lang w:val="es-MX"/>
        </w:rPr>
        <w:t xml:space="preserve">. </w:t>
      </w:r>
    </w:p>
    <w:p w14:paraId="60C91482" w14:textId="77777777" w:rsidR="00252793" w:rsidRPr="00252793" w:rsidRDefault="00252793" w:rsidP="00252793">
      <w:pPr>
        <w:spacing w:before="120" w:after="0" w:line="276" w:lineRule="auto"/>
        <w:ind w:right="51" w:firstLine="709"/>
        <w:jc w:val="both"/>
        <w:rPr>
          <w:rFonts w:ascii="Arial" w:eastAsia="Calibri" w:hAnsi="Arial" w:cs="Arial"/>
          <w:bCs/>
          <w:lang w:val="es-MX"/>
        </w:rPr>
      </w:pPr>
      <w:r w:rsidRPr="00252793">
        <w:rPr>
          <w:rFonts w:ascii="Arial" w:eastAsia="Calibri" w:hAnsi="Arial" w:cs="Arial"/>
          <w:bCs/>
          <w:lang w:val="es-MX"/>
        </w:rPr>
        <w:t>Sobre la escogencia de la oferta más favorable a los intereses de la entidad y la evaluación de los factores exigidos en un caso concreto para el efecto, la doctrina explica que:</w:t>
      </w:r>
    </w:p>
    <w:p w14:paraId="1D24A189" w14:textId="77777777" w:rsidR="00252793" w:rsidRPr="00252793" w:rsidRDefault="00252793" w:rsidP="00252793">
      <w:pPr>
        <w:spacing w:after="0" w:line="276" w:lineRule="auto"/>
        <w:ind w:right="51"/>
        <w:jc w:val="both"/>
        <w:rPr>
          <w:rFonts w:ascii="Arial" w:eastAsia="Calibri" w:hAnsi="Arial" w:cs="Arial"/>
          <w:bCs/>
          <w:lang w:val="es-MX"/>
        </w:rPr>
      </w:pPr>
    </w:p>
    <w:p w14:paraId="2155C43C" w14:textId="77777777" w:rsidR="00252793" w:rsidRPr="00252793" w:rsidRDefault="00252793" w:rsidP="00252793">
      <w:pPr>
        <w:spacing w:after="0" w:line="240" w:lineRule="auto"/>
        <w:ind w:left="709" w:right="709"/>
        <w:jc w:val="both"/>
        <w:rPr>
          <w:rFonts w:ascii="Arial" w:eastAsia="Calibri" w:hAnsi="Arial" w:cs="Arial"/>
          <w:bCs/>
          <w:sz w:val="20"/>
          <w:szCs w:val="20"/>
          <w:lang w:val="es-MX"/>
        </w:rPr>
      </w:pPr>
      <w:r w:rsidRPr="00252793">
        <w:rPr>
          <w:rFonts w:ascii="Arial" w:eastAsia="Calibri" w:hAnsi="Arial" w:cs="Arial"/>
          <w:bCs/>
          <w:sz w:val="20"/>
          <w:szCs w:val="20"/>
          <w:lang w:val="es-MX"/>
        </w:rPr>
        <w:t xml:space="preserve">“De acuerdo con ese entendimiento, el numeral 2 del artículo 5.° de la Ley  1150 de 2007, modificado por el artículo 88 de la Ley 1474 de 2011, comienza por señalar que "la oferta más favorable será aquella que, teniendo en cuenta los factores técnicos y económicos de escogencia y la ponderación precisa y detallada de los mismos, contenida en los pliegos de condiciones o sus equivalentes, resulte ser la más ventajosa para la entidad, sin que la favorabilidad la constituyan factores diferentes a los contenidos en dichos documentos". Es decir que los factores de ponderación o de evaluación son los que en realidad determinan la propuesta que mejor satisface las necesidades de la Administración y no simplemente cuál de los proponentes es el más idóneo en la ejecución del contrato, pues, se insiste, todo oferente que supere los requisitos mínimos habilitantes se entiende que es suficientemente idóneo para la ejecución del objeto contractual. </w:t>
      </w:r>
    </w:p>
    <w:p w14:paraId="725605DD" w14:textId="77777777" w:rsidR="00252793" w:rsidRPr="00252793" w:rsidRDefault="00252793" w:rsidP="00252793">
      <w:pPr>
        <w:spacing w:after="0" w:line="240" w:lineRule="auto"/>
        <w:ind w:left="709" w:right="709"/>
        <w:jc w:val="both"/>
        <w:rPr>
          <w:rFonts w:ascii="Arial" w:eastAsia="Calibri" w:hAnsi="Arial" w:cs="Arial"/>
          <w:bCs/>
          <w:sz w:val="20"/>
          <w:szCs w:val="20"/>
          <w:lang w:val="es-MX"/>
        </w:rPr>
      </w:pPr>
    </w:p>
    <w:p w14:paraId="692BE7D8" w14:textId="77777777" w:rsidR="00252793" w:rsidRPr="00252793" w:rsidRDefault="00252793" w:rsidP="00252793">
      <w:pPr>
        <w:spacing w:after="0" w:line="240" w:lineRule="auto"/>
        <w:ind w:left="709" w:right="709"/>
        <w:jc w:val="both"/>
        <w:rPr>
          <w:rFonts w:ascii="Arial" w:eastAsia="Calibri" w:hAnsi="Arial" w:cs="Arial"/>
          <w:bCs/>
          <w:sz w:val="20"/>
          <w:szCs w:val="20"/>
          <w:lang w:val="es-MX"/>
        </w:rPr>
      </w:pPr>
      <w:r w:rsidRPr="00252793">
        <w:rPr>
          <w:rFonts w:ascii="Arial" w:eastAsia="Calibri" w:hAnsi="Arial" w:cs="Arial"/>
          <w:bCs/>
          <w:sz w:val="20"/>
          <w:szCs w:val="20"/>
          <w:lang w:val="es-MX"/>
        </w:rPr>
        <w:t xml:space="preserve">De nuevo, aquí es preciso señalar que es el pliego de condiciones el que debe determinar cuáles son esos factores que en cada caso concreto permiten hacer una comparación entre las ofertas presentadas y, con base en ello, determinar cuál es la más favorable para la Administración Pública. </w:t>
      </w:r>
    </w:p>
    <w:p w14:paraId="546A2D59" w14:textId="77777777" w:rsidR="00252793" w:rsidRPr="00252793" w:rsidRDefault="00252793" w:rsidP="00252793">
      <w:pPr>
        <w:spacing w:after="0" w:line="240" w:lineRule="auto"/>
        <w:ind w:left="709" w:right="709"/>
        <w:jc w:val="both"/>
        <w:rPr>
          <w:rFonts w:ascii="Arial" w:eastAsia="Calibri" w:hAnsi="Arial" w:cs="Arial"/>
          <w:bCs/>
          <w:sz w:val="20"/>
          <w:szCs w:val="20"/>
          <w:lang w:val="es-MX"/>
        </w:rPr>
      </w:pPr>
    </w:p>
    <w:p w14:paraId="085A8E0C" w14:textId="77777777" w:rsidR="00252793" w:rsidRPr="00252793" w:rsidRDefault="00252793" w:rsidP="00252793">
      <w:pPr>
        <w:spacing w:after="0" w:line="240" w:lineRule="auto"/>
        <w:ind w:left="709" w:right="709"/>
        <w:jc w:val="both"/>
        <w:rPr>
          <w:rFonts w:ascii="Arial" w:eastAsia="Calibri" w:hAnsi="Arial" w:cs="Arial"/>
          <w:bCs/>
          <w:sz w:val="20"/>
          <w:szCs w:val="20"/>
          <w:lang w:val="es-MX"/>
        </w:rPr>
      </w:pPr>
      <w:r w:rsidRPr="00252793">
        <w:rPr>
          <w:rFonts w:ascii="Arial" w:eastAsia="Calibri" w:hAnsi="Arial" w:cs="Arial"/>
          <w:bCs/>
          <w:sz w:val="20"/>
          <w:szCs w:val="20"/>
          <w:lang w:val="es-MX"/>
        </w:rPr>
        <w:t>[…]Una siguiente conclusión que se deriva de la norma parcialmente transcrita consiste en que los pliegos de condiciones deben determinar dos situaciones por separado: 1. cuáles serán los factores o requisitos que serán evaluados por la Administración y 2. cuáles son los criterios para asignar puntaje a cada uno de los factores de evaluación y, con base en ello, poder hacer la comparación entre las ofertas y concluir cuál de ellas es la más ventajosa para la entidad estatal”</w:t>
      </w:r>
      <w:r w:rsidRPr="00252793">
        <w:rPr>
          <w:rFonts w:ascii="Arial" w:eastAsia="Calibri" w:hAnsi="Arial" w:cs="Arial"/>
          <w:bCs/>
          <w:sz w:val="20"/>
          <w:szCs w:val="20"/>
          <w:vertAlign w:val="superscript"/>
          <w:lang w:val="es-MX"/>
        </w:rPr>
        <w:footnoteReference w:id="6"/>
      </w:r>
      <w:r w:rsidRPr="00252793">
        <w:rPr>
          <w:rFonts w:ascii="Arial" w:eastAsia="Calibri" w:hAnsi="Arial" w:cs="Arial"/>
          <w:bCs/>
          <w:sz w:val="20"/>
          <w:szCs w:val="20"/>
          <w:lang w:val="es-MX"/>
        </w:rPr>
        <w:t>.</w:t>
      </w:r>
    </w:p>
    <w:p w14:paraId="15080641" w14:textId="77777777" w:rsidR="00252793" w:rsidRPr="00252793" w:rsidRDefault="00252793" w:rsidP="00252793">
      <w:pPr>
        <w:spacing w:after="0" w:line="276" w:lineRule="auto"/>
        <w:ind w:left="709" w:right="709"/>
        <w:jc w:val="both"/>
        <w:rPr>
          <w:rFonts w:ascii="Arial" w:eastAsia="Calibri" w:hAnsi="Arial" w:cs="Arial"/>
          <w:bCs/>
          <w:lang w:val="es-MX"/>
        </w:rPr>
      </w:pPr>
    </w:p>
    <w:p w14:paraId="6FE49F50" w14:textId="77777777" w:rsidR="00252793" w:rsidRPr="00252793" w:rsidRDefault="00252793" w:rsidP="00252793">
      <w:pPr>
        <w:spacing w:after="120" w:line="276" w:lineRule="auto"/>
        <w:ind w:firstLine="709"/>
        <w:jc w:val="both"/>
        <w:rPr>
          <w:rFonts w:ascii="Arial" w:eastAsia="Calibri" w:hAnsi="Arial" w:cs="Arial"/>
          <w:bCs/>
          <w:lang w:val="es-MX"/>
        </w:rPr>
      </w:pPr>
      <w:r w:rsidRPr="00252793">
        <w:rPr>
          <w:rFonts w:ascii="Arial" w:eastAsia="Calibri" w:hAnsi="Arial" w:cs="Arial"/>
          <w:bCs/>
          <w:lang w:val="es-MX"/>
        </w:rPr>
        <w:lastRenderedPageBreak/>
        <w:t xml:space="preserve">De acuerdo con lo anterior, es posible asimilar las diferentes categorías a las que hace referencia el artículo 5 de la Ley 1150 de 2007, cuando alude a los factores que, a diferencia de los requisitos habilitantes, determinan la oferta más favorable para la entidad, y que, por lo tanto, hacen que una oferta sea mejor que otra, pese a tener que cumplir todas ellas los requisitos habilitantes. Es frente a aquellos factores, que determinan comparativamente que una oferta sea mejor que otra, que la entidad concibe el otorgamiento de puntajes, como mecanismos para ponderar y comparar los ofrecimientos, con el fin de determinar objetivamente la oferta más favorable, aplicando para ello las reglas establecidas en el pliego o documento equivalente para la ponderación de las ofertas. </w:t>
      </w:r>
    </w:p>
    <w:p w14:paraId="30C0A6A4" w14:textId="77777777" w:rsidR="00252793" w:rsidRPr="00252793" w:rsidRDefault="00252793" w:rsidP="00252793">
      <w:pPr>
        <w:tabs>
          <w:tab w:val="left" w:pos="0"/>
        </w:tabs>
        <w:spacing w:after="120" w:line="276" w:lineRule="auto"/>
        <w:jc w:val="both"/>
        <w:rPr>
          <w:rFonts w:ascii="Arial" w:eastAsia="Calibri" w:hAnsi="Arial" w:cs="Arial"/>
          <w:bCs/>
          <w:kern w:val="2"/>
          <w14:ligatures w14:val="standardContextual"/>
        </w:rPr>
      </w:pPr>
      <w:r w:rsidRPr="00252793">
        <w:rPr>
          <w:rFonts w:ascii="Arial" w:eastAsia="Calibri" w:hAnsi="Arial" w:cs="Arial"/>
          <w:bCs/>
          <w:lang w:val="es-MX"/>
        </w:rPr>
        <w:tab/>
        <w:t>En ese sentido, la asignación de puntaje es un mecanismo mediante el cual las entidades ponderan los factores de calificación ꟷ</w:t>
      </w:r>
      <w:r w:rsidRPr="00252793">
        <w:rPr>
          <w:rFonts w:ascii="Arial" w:eastAsia="Calibri" w:hAnsi="Arial" w:cs="Arial"/>
          <w:bCs/>
          <w:i/>
          <w:lang w:val="es-MX"/>
        </w:rPr>
        <w:t>v.g.</w:t>
      </w:r>
      <w:r w:rsidRPr="00252793">
        <w:rPr>
          <w:rFonts w:ascii="Arial" w:eastAsia="Calibri" w:hAnsi="Arial" w:cs="Arial"/>
          <w:bCs/>
          <w:lang w:val="es-MX"/>
        </w:rPr>
        <w:t xml:space="preserve"> técnicos, de calidad y precio, etc.ꟷ en un determinado proceso de selección, como se desprende del literal a) del numeral segundo del artículo 5 de la Ley 1150 de 2007, en el que, expresamente, se alude al puntaje. </w:t>
      </w:r>
      <w:r w:rsidRPr="00252793">
        <w:rPr>
          <w:rFonts w:ascii="Arial" w:eastAsia="Calibri" w:hAnsi="Arial" w:cs="Arial"/>
          <w:bCs/>
          <w:kern w:val="2"/>
          <w14:ligatures w14:val="standardContextual"/>
        </w:rPr>
        <w:t>Sin embargo, no es este el único mecanismo de ponderación que tienen a su alcance las entidades estatales para determinar el ofrecimiento más favorable, ya que el propio literal b) del artículo 5.2 posibilita que el ofrecimiento más favorable se determine con un análisis de la relación costo-beneficio, evento en el no habría necesidad de acudir obligatoriamente a sistemas de asignación de puntaje. A estos se suman, los procesos de selección de bienes y servicios de características técnicas uniformes y de común utilización, así como los de mínima cuantía, en los que –según los artículos 5.3 y 2.5 de la Ley 1150 de 2007– el único factor de selección es el menor precio ofertado, por lo que no hay lugar a ponderación mediante puntajes.</w:t>
      </w:r>
    </w:p>
    <w:p w14:paraId="69C5AEAD" w14:textId="77777777" w:rsidR="00252793" w:rsidRPr="00252793" w:rsidRDefault="00252793" w:rsidP="00252793">
      <w:pPr>
        <w:spacing w:after="120" w:line="276" w:lineRule="auto"/>
        <w:ind w:firstLine="709"/>
        <w:jc w:val="both"/>
        <w:rPr>
          <w:rFonts w:ascii="Arial" w:eastAsia="Calibri" w:hAnsi="Arial" w:cs="Arial"/>
          <w:bCs/>
          <w:lang w:val="es-MX"/>
        </w:rPr>
      </w:pPr>
      <w:r w:rsidRPr="00252793">
        <w:rPr>
          <w:rFonts w:ascii="Arial" w:eastAsia="Calibri" w:hAnsi="Arial" w:cs="Arial"/>
          <w:bCs/>
          <w:lang w:val="es-MX"/>
        </w:rPr>
        <w:t xml:space="preserve">Es necesario destacar que las reglas para establecer la oferta más favorable conforme al artículo 5 de la Ley 1150 de 2007, se encuentran reglamentadas en el artículo 2.2.1.1.2.2.2 del Decreto 1082 de 2015. Este artículo desarrolla los mecanismos de ponderación previstos en los literales a) y b) del artículo 5.2 de la Ley 1150 de 2007, disponiendo unas pautas para la ponderación de los elementos de calidad y precio que representen la mejor relación de costo-beneficio. Conforme a este artículo, la oferta más favorable en estos casos debe determinarse ponderando en las ofertas: i) las condiciones técnicas y económicas mínimas; ii) las condiciones técnicas adicionales que representan ventajas de calidad o de funcionamiento; iii) las condiciones económicas adicionales que representen ventajas en términos de economía, eficiencia y eficacia; y iv) el valor en dinero que la entidad estatal asigna a cada ofrecimiento técnico o económico adicional. Teniendo en cuenta estos elementos, la entidad estatal debe calcular la relación costo-beneficio de cada oferta “[…] restando del precio total ofrecido los valores monetarios asignados a cada una de las condiciones técnicas y económicas adicionales ofrecidas. La mejor relación </w:t>
      </w:r>
      <w:r w:rsidRPr="00252793">
        <w:rPr>
          <w:rFonts w:ascii="Arial" w:eastAsia="Calibri" w:hAnsi="Arial" w:cs="Arial"/>
          <w:bCs/>
          <w:lang w:val="es-MX"/>
        </w:rPr>
        <w:lastRenderedPageBreak/>
        <w:t>costo-beneficio para la Entidad Estatal es la de la oferta que una vez aplicada la metodología anterior tenga el resultado más bajo […]”</w:t>
      </w:r>
      <w:r w:rsidRPr="00252793">
        <w:rPr>
          <w:rFonts w:ascii="Arial" w:eastAsia="Calibri" w:hAnsi="Arial" w:cs="Arial"/>
          <w:bCs/>
          <w:vertAlign w:val="superscript"/>
          <w:lang w:val="es-MX"/>
        </w:rPr>
        <w:footnoteReference w:id="7"/>
      </w:r>
      <w:r w:rsidRPr="00252793">
        <w:rPr>
          <w:rFonts w:ascii="Arial" w:eastAsia="Calibri" w:hAnsi="Arial" w:cs="Arial"/>
          <w:bCs/>
          <w:lang w:val="es-MX"/>
        </w:rPr>
        <w:t>.</w:t>
      </w:r>
    </w:p>
    <w:p w14:paraId="5FCB1F87" w14:textId="77777777" w:rsidR="00252793" w:rsidRPr="00252793" w:rsidRDefault="00252793" w:rsidP="00252793">
      <w:pPr>
        <w:spacing w:after="120" w:line="276" w:lineRule="auto"/>
        <w:ind w:firstLine="709"/>
        <w:jc w:val="both"/>
        <w:rPr>
          <w:rFonts w:ascii="Arial" w:eastAsia="Calibri" w:hAnsi="Arial" w:cs="Arial"/>
          <w:bCs/>
          <w:lang w:val="es-MX"/>
        </w:rPr>
      </w:pPr>
      <w:r w:rsidRPr="00252793">
        <w:rPr>
          <w:rFonts w:ascii="Arial" w:eastAsia="Calibri" w:hAnsi="Arial" w:cs="Arial"/>
          <w:bCs/>
          <w:lang w:val="es-MX"/>
        </w:rPr>
        <w:t>En este orden de ideas, el deber de selección objetiva está ligado a la determinación del ofrecimiento más favorable, cuyo contenido debe ser precisado a partir de las diferentes alternativas del artículo 5 de la Ley 1150 de 2007, reglamentado por el artículo 2.2.1.1.2.2.2 del Decreto 1082 de 2015, que, en todo caso, deben reflejarse en el pliego de condiciones o documento equivalente para el respectivo proceso de selección. Estas disposiciones establecen que en los procesos de selección deben evaluarse, fuera de los requisitos habilitantes, los factores de calificación, valoración o evaluación. Estos pueden ponderarse mediante la asignación de puntaje, por lo que la norma se refiere a factores que no otorgan puntaje para diferenciar los requisitos habilitantes de los mencionados factores de calificación. Lo anterior, bajo el entendido que son estos últimos los que determinan la oferta más favorable para la entidad y la que, en consecuencia, debe elegirse.</w:t>
      </w:r>
    </w:p>
    <w:p w14:paraId="0E85617A" w14:textId="77777777" w:rsidR="00252793" w:rsidRPr="00252793" w:rsidRDefault="00252793" w:rsidP="00252793">
      <w:pPr>
        <w:spacing w:after="120" w:line="276" w:lineRule="auto"/>
        <w:ind w:firstLine="709"/>
        <w:jc w:val="both"/>
        <w:rPr>
          <w:rFonts w:ascii="Arial" w:eastAsia="Calibri" w:hAnsi="Arial" w:cs="Arial"/>
          <w:bCs/>
          <w:lang w:val="es-MX"/>
        </w:rPr>
      </w:pPr>
      <w:r w:rsidRPr="00252793">
        <w:rPr>
          <w:rFonts w:ascii="Arial" w:eastAsia="Calibri" w:hAnsi="Arial" w:cs="Arial"/>
          <w:bCs/>
          <w:lang w:val="es-MX"/>
        </w:rPr>
        <w:t xml:space="preserve">Además del artículo 5 de la Ley 1150 de 2007, el deber de selección objetiva y su carácter vinculante encuentre fundamento en varios apartados de la Ley 80 de 1993, como: i) el primer inciso del artículo 21, que obliga a las entidades estatales a tener en cuenta la selección objetiva, al garantizar la participación de los oferentes de bienes y servicios de origen nacional, ii) el artículo 24, numeral 5º, literal a), que manda que en los pliegos de condiciones se indiquen “[…] los requisitos objetivos necesarios para participar en el </w:t>
      </w:r>
      <w:r w:rsidRPr="00252793">
        <w:rPr>
          <w:rFonts w:ascii="Arial" w:eastAsia="Calibri" w:hAnsi="Arial" w:cs="Arial"/>
          <w:bCs/>
          <w:lang w:val="es-MX"/>
        </w:rPr>
        <w:lastRenderedPageBreak/>
        <w:t xml:space="preserve">correspondiente proceso de selección”, iii) el artículo 24, numeral 5º, literal b), que establece que en los pliegos de condiciones se deben definir “[…] reglas objetivas, justas, claras y completas que permitan la confección de ofrecimientos de la misma índole, aseguren una escogencia objetiva y eviten la declaratoria de desierta de la licitación”, iv) el artículo 24, numeral 8º, según el cual “Las autoridades no actuarán con desviación o abuso de poder y ejercerán sus competencias exclusivamente para los fines previstos en la ley. Igualmente, les será prohibido eludir los procedimientos de selección objetiva y los demás requisitos previstos en el presente estatuto”, v) el segundo inciso del parágrafo 3º del artículo 24, que exige tener en cuenta la selección objetiva de la entidad veedora para el procedimiento de venta de bienes de las entidades estatales por el sistema de martillo; vi) el numeral 18 del artículo 25, el cual señala que “La declaratoria de desierta de la licitación únicamente procederá por motivos o causas que impidan la escogencia objetiva”, vii) el numeral 2 del artículo 30, que dispone que “La entidad interesada elaborará los correspondientes pliegos de condiciones, […], en los cuales se detallarán especialmente los aspectos relativos al objeto del contrato, su regulación jurídica, los derechos y obligaciones de las partes, la determinación y ponderación de los factores objetivos de selección y todas las demás circunstancias de tiempo, modo y lugar que se consideren necesarias para garantizar reglas objetivas, claras y completas”, viii) el inciso final del artículo 38, que obliga a las entidades estatales que tengan como objeto la prestación de servicios y actividades de telecomunicaciones a respetar el principio de selección objetiva, y ix) el segundo inciso del artículo 76, que ordena cumplir también con dicho principio a las entidades que tengan por objeto la exploración, explotación y comercialización de recursos naturales renovables y no renovables. </w:t>
      </w:r>
    </w:p>
    <w:p w14:paraId="2DF93A39" w14:textId="77777777" w:rsidR="00252793" w:rsidRPr="00252793" w:rsidRDefault="00252793" w:rsidP="00252793">
      <w:pPr>
        <w:spacing w:after="120" w:line="276" w:lineRule="auto"/>
        <w:ind w:firstLine="709"/>
        <w:jc w:val="both"/>
        <w:rPr>
          <w:rFonts w:ascii="Arial" w:eastAsia="Calibri" w:hAnsi="Arial" w:cs="Arial"/>
          <w:bCs/>
          <w:lang w:val="es-MX"/>
        </w:rPr>
      </w:pPr>
      <w:r w:rsidRPr="00252793">
        <w:rPr>
          <w:rFonts w:ascii="Arial" w:eastAsia="Calibri" w:hAnsi="Arial" w:cs="Arial"/>
          <w:bCs/>
          <w:lang w:val="es-MX"/>
        </w:rPr>
        <w:t>Por su parte, a nivel reglamentario, el Decreto 1082 de 2015 también hace referencia a la selección objetiva como postulado esencial al interior de los procedimientos de selección. Así se infiere de enunciados como: i) el numeral 4º del artículo 2.2.1.1.2.1.3., que indica que dentro de la información del pliego de condiciones se deben definir “Las condiciones de costo y/o calidad que la Entidad Estatal debe tener en cuenta para la selección objetiva, de acuerdo con la modalidad de selección del contratista”; o ii) el numeral 8º del artículo 2.2.1.2.1.3.13., que establece como obligación del jurado calificador en los concursos de méritos para la selección de consultores de diseño, planos, anteproyectos y proyectos arquitectónicos, “Manifestar a la Entidad Estatal promotora la declaratoria de desierto el concurso de arquitectura, en caso que se presente el impedimento de la escogencia objetiva de que trata el numeral 18 del artículo 25 de la Ley 80 de 1993”.</w:t>
      </w:r>
    </w:p>
    <w:p w14:paraId="4D3B5953" w14:textId="77777777" w:rsidR="00252793" w:rsidRPr="00252793" w:rsidRDefault="00252793" w:rsidP="00252793">
      <w:pPr>
        <w:spacing w:after="0" w:line="276" w:lineRule="auto"/>
        <w:ind w:firstLine="709"/>
        <w:jc w:val="both"/>
        <w:rPr>
          <w:rFonts w:ascii="Arial" w:eastAsia="Calibri" w:hAnsi="Arial" w:cs="Arial"/>
          <w:bCs/>
          <w:lang w:val="es-MX"/>
        </w:rPr>
      </w:pPr>
      <w:r w:rsidRPr="00252793">
        <w:rPr>
          <w:rFonts w:ascii="Arial" w:eastAsia="Calibri" w:hAnsi="Arial" w:cs="Arial"/>
          <w:bCs/>
          <w:lang w:val="es-MX"/>
        </w:rPr>
        <w:t>A su turno, la jurisprudencia también ha reconocido la preponderancia de este deber en la etapa precontractual, indicando que su garantía es imprescindible para satisfacer adecuadamente las necesidades de la sociedad a través del contrato. A este respecto, la Sección Tercera del Consejo de Estado ha dicho:</w:t>
      </w:r>
    </w:p>
    <w:p w14:paraId="78DE9CF7" w14:textId="77777777" w:rsidR="00252793" w:rsidRPr="00252793" w:rsidRDefault="00252793" w:rsidP="00252793">
      <w:pPr>
        <w:spacing w:after="0" w:line="276" w:lineRule="auto"/>
        <w:ind w:right="709" w:firstLine="709"/>
        <w:jc w:val="both"/>
        <w:rPr>
          <w:rFonts w:ascii="Arial" w:eastAsia="Calibri" w:hAnsi="Arial" w:cs="Arial"/>
          <w:bCs/>
          <w:lang w:val="es-MX"/>
        </w:rPr>
      </w:pPr>
    </w:p>
    <w:p w14:paraId="0F38AB71" w14:textId="77777777" w:rsidR="00252793" w:rsidRPr="00252793" w:rsidRDefault="00252793" w:rsidP="00252793">
      <w:pPr>
        <w:spacing w:after="0" w:line="240" w:lineRule="auto"/>
        <w:ind w:left="709" w:right="709"/>
        <w:jc w:val="both"/>
        <w:rPr>
          <w:rFonts w:ascii="Arial" w:eastAsia="Calibri" w:hAnsi="Arial" w:cs="Arial"/>
          <w:bCs/>
          <w:sz w:val="20"/>
          <w:szCs w:val="20"/>
          <w:lang w:val="es-MX"/>
        </w:rPr>
      </w:pPr>
      <w:r w:rsidRPr="00252793">
        <w:rPr>
          <w:rFonts w:ascii="Arial" w:eastAsia="Calibri" w:hAnsi="Arial" w:cs="Arial"/>
          <w:bCs/>
          <w:sz w:val="20"/>
          <w:szCs w:val="20"/>
          <w:lang w:val="es-MX"/>
        </w:rPr>
        <w:t>“[…]la selección de contratistas, para cumplir con el requisito de objetividad, debe caracterizarse por: 1. Ausencia total de subjetividad; 2. Estar determinada por la comparación de distintos factores, establecidos con anterioridad por la Administración en el pliego de condiciones; 3. Estar determinada la forma como los factores de selección serán evaluados y el valor que corresponde a cada uno de ellos en el pliego de condiciones y 4. Estar determinada la adjudicación y celebración del negocio jurídico por un análisis, comparación y evaluación objetiva de las propuestas presentadas</w:t>
      </w:r>
      <w:r w:rsidRPr="00252793">
        <w:rPr>
          <w:rFonts w:ascii="Arial" w:eastAsia="Calibri" w:hAnsi="Arial" w:cs="Arial"/>
          <w:bCs/>
          <w:sz w:val="20"/>
          <w:szCs w:val="20"/>
          <w:vertAlign w:val="superscript"/>
          <w:lang w:val="es-MX"/>
        </w:rPr>
        <w:footnoteReference w:id="8"/>
      </w:r>
      <w:r w:rsidRPr="00252793">
        <w:rPr>
          <w:rFonts w:ascii="Arial" w:eastAsia="Calibri" w:hAnsi="Arial" w:cs="Arial"/>
          <w:bCs/>
          <w:sz w:val="20"/>
          <w:szCs w:val="20"/>
          <w:lang w:val="es-MX"/>
        </w:rPr>
        <w:t xml:space="preserve">. </w:t>
      </w:r>
    </w:p>
    <w:p w14:paraId="0C15BD56" w14:textId="77777777" w:rsidR="00252793" w:rsidRPr="00252793" w:rsidRDefault="00252793" w:rsidP="00252793">
      <w:pPr>
        <w:spacing w:after="0" w:line="276" w:lineRule="auto"/>
        <w:ind w:right="709"/>
        <w:jc w:val="both"/>
        <w:rPr>
          <w:rFonts w:ascii="Arial" w:eastAsia="Calibri" w:hAnsi="Arial" w:cs="Arial"/>
          <w:bCs/>
          <w:lang w:val="es-MX"/>
        </w:rPr>
      </w:pPr>
    </w:p>
    <w:p w14:paraId="390D30F5" w14:textId="77777777" w:rsidR="00252793" w:rsidRPr="00252793" w:rsidRDefault="00252793" w:rsidP="00252793">
      <w:pPr>
        <w:tabs>
          <w:tab w:val="left" w:pos="7938"/>
        </w:tabs>
        <w:spacing w:after="0" w:line="276" w:lineRule="auto"/>
        <w:ind w:firstLine="709"/>
        <w:jc w:val="both"/>
        <w:rPr>
          <w:rFonts w:ascii="Arial" w:eastAsia="Calibri" w:hAnsi="Arial" w:cs="Arial"/>
          <w:bCs/>
          <w:lang w:val="es-MX"/>
        </w:rPr>
      </w:pPr>
      <w:r w:rsidRPr="00252793">
        <w:rPr>
          <w:rFonts w:ascii="Arial" w:eastAsia="Calibri" w:hAnsi="Arial" w:cs="Arial"/>
          <w:bCs/>
          <w:lang w:val="es-MX"/>
        </w:rPr>
        <w:t>Igualmente, ha señalado que “el principio de escogencia o selección objetiva de los contratistas fundamenta uno de los principales deberes de todos los responsables de la contratación estatal en el derecho colombiano, cual es el de mantener intacta la institucionalidad por encima de los intereses personales, individuales o subjetivos cuando se trate de escoger al contratista, al margen del procedimiento utilizado, con miras a evitar el actuar arbitrario, abusivo o violatorio de norma superior (numeral 8, art. 24, ley 80) por parte de los servidores públicos”</w:t>
      </w:r>
      <w:r w:rsidRPr="00252793">
        <w:rPr>
          <w:rFonts w:ascii="Arial" w:eastAsia="Calibri" w:hAnsi="Arial" w:cs="Arial"/>
          <w:bCs/>
          <w:vertAlign w:val="superscript"/>
          <w:lang w:val="es-MX"/>
        </w:rPr>
        <w:footnoteReference w:id="9"/>
      </w:r>
      <w:r w:rsidRPr="00252793">
        <w:rPr>
          <w:rFonts w:ascii="Arial" w:eastAsia="Calibri" w:hAnsi="Arial" w:cs="Arial"/>
          <w:bCs/>
          <w:lang w:val="es-MX"/>
        </w:rPr>
        <w:t>.</w:t>
      </w:r>
    </w:p>
    <w:p w14:paraId="4A1C00FE" w14:textId="77777777" w:rsidR="00252793" w:rsidRPr="00252793" w:rsidRDefault="00252793" w:rsidP="00252793">
      <w:pPr>
        <w:tabs>
          <w:tab w:val="left" w:pos="0"/>
          <w:tab w:val="left" w:pos="8577"/>
        </w:tabs>
        <w:spacing w:after="0" w:line="276" w:lineRule="auto"/>
        <w:ind w:firstLine="709"/>
        <w:contextualSpacing/>
        <w:jc w:val="both"/>
        <w:rPr>
          <w:rFonts w:ascii="Arial" w:eastAsia="Arial" w:hAnsi="Arial" w:cs="Arial"/>
          <w:color w:val="FFFFFF"/>
          <w:lang w:val="es-MX" w:eastAsia="es-ES_tradnl"/>
        </w:rPr>
      </w:pPr>
    </w:p>
    <w:p w14:paraId="2F5EEFE2" w14:textId="77777777" w:rsidR="00252793" w:rsidRPr="00252793" w:rsidRDefault="00252793" w:rsidP="00252793">
      <w:pPr>
        <w:tabs>
          <w:tab w:val="left" w:pos="0"/>
          <w:tab w:val="left" w:pos="8577"/>
        </w:tabs>
        <w:spacing w:after="0" w:line="276" w:lineRule="auto"/>
        <w:jc w:val="both"/>
        <w:rPr>
          <w:rFonts w:ascii="Arial" w:eastAsia="Arial" w:hAnsi="Arial" w:cs="Arial"/>
          <w:b/>
          <w:color w:val="000000"/>
          <w:lang w:val="es-MX" w:eastAsia="es-ES_tradnl"/>
        </w:rPr>
      </w:pPr>
      <w:r w:rsidRPr="00252793">
        <w:rPr>
          <w:rFonts w:ascii="Arial" w:eastAsia="Arial" w:hAnsi="Arial" w:cs="Arial"/>
          <w:b/>
          <w:color w:val="000000"/>
          <w:lang w:val="es-MX" w:eastAsia="es-ES_tradnl"/>
        </w:rPr>
        <w:t>3. Respuesta</w:t>
      </w:r>
    </w:p>
    <w:p w14:paraId="6825823F" w14:textId="77777777" w:rsidR="00252793" w:rsidRPr="00252793" w:rsidRDefault="00252793" w:rsidP="00252793">
      <w:pPr>
        <w:spacing w:after="0" w:line="276" w:lineRule="auto"/>
        <w:ind w:left="709" w:right="709"/>
        <w:jc w:val="both"/>
        <w:rPr>
          <w:rFonts w:ascii="Arial" w:eastAsia="Arial" w:hAnsi="Arial" w:cs="Arial"/>
          <w:color w:val="000000"/>
          <w:sz w:val="21"/>
          <w:szCs w:val="21"/>
          <w:lang w:val="es-MX" w:eastAsia="es-ES_tradnl"/>
        </w:rPr>
      </w:pPr>
    </w:p>
    <w:p w14:paraId="0202A03B" w14:textId="77777777" w:rsidR="00252793" w:rsidRPr="00252793" w:rsidRDefault="00252793" w:rsidP="00252793">
      <w:pPr>
        <w:pBdr>
          <w:top w:val="nil"/>
          <w:left w:val="nil"/>
          <w:bottom w:val="nil"/>
          <w:right w:val="nil"/>
          <w:between w:val="nil"/>
        </w:pBdr>
        <w:spacing w:after="0" w:line="240" w:lineRule="auto"/>
        <w:ind w:left="709" w:right="709"/>
        <w:contextualSpacing/>
        <w:jc w:val="both"/>
        <w:rPr>
          <w:rFonts w:ascii="Arial" w:eastAsia="Arial" w:hAnsi="Arial" w:cs="Arial"/>
          <w:color w:val="000000"/>
          <w:sz w:val="20"/>
          <w:szCs w:val="20"/>
          <w:lang w:val="es-MX" w:eastAsia="es-ES_tradnl"/>
        </w:rPr>
      </w:pPr>
      <w:bookmarkStart w:id="2" w:name="_2grqrue" w:colFirst="0" w:colLast="0"/>
      <w:bookmarkEnd w:id="2"/>
      <w:r w:rsidRPr="00252793">
        <w:rPr>
          <w:rFonts w:ascii="Arial" w:eastAsia="Arial" w:hAnsi="Arial" w:cs="Arial"/>
          <w:color w:val="000000"/>
          <w:sz w:val="20"/>
          <w:szCs w:val="20"/>
          <w:lang w:val="es-MX" w:eastAsia="es-ES_tradnl"/>
        </w:rPr>
        <w:t>“Por medio de la presente solicito se me informe, cuáles son los factores ponderables dentro de los procesos de contratación estatal actuales de conformidad con la Ley 80 de 1993 y sus Decretos reglamentarios”</w:t>
      </w:r>
    </w:p>
    <w:p w14:paraId="39C995C8" w14:textId="77777777" w:rsidR="00252793" w:rsidRPr="00252793" w:rsidRDefault="00252793" w:rsidP="00252793">
      <w:pPr>
        <w:spacing w:after="0" w:line="276" w:lineRule="auto"/>
        <w:jc w:val="both"/>
        <w:rPr>
          <w:rFonts w:ascii="Arial" w:eastAsia="Arial" w:hAnsi="Arial" w:cs="Arial"/>
          <w:color w:val="000000"/>
          <w:lang w:val="es-MX" w:eastAsia="es-ES_tradnl"/>
        </w:rPr>
      </w:pPr>
    </w:p>
    <w:p w14:paraId="0583E2CB" w14:textId="77777777" w:rsidR="00252793" w:rsidRPr="00252793" w:rsidRDefault="00252793" w:rsidP="00252793">
      <w:pPr>
        <w:spacing w:after="120" w:line="276" w:lineRule="auto"/>
        <w:jc w:val="both"/>
        <w:rPr>
          <w:rFonts w:ascii="Arial" w:eastAsia="Calibri" w:hAnsi="Arial" w:cs="Arial"/>
          <w:bCs/>
          <w:color w:val="000000" w:themeColor="text1"/>
          <w:kern w:val="2"/>
          <w14:ligatures w14:val="standardContextual"/>
        </w:rPr>
      </w:pPr>
      <w:r w:rsidRPr="00252793">
        <w:rPr>
          <w:rFonts w:ascii="Arial" w:eastAsia="Calibri" w:hAnsi="Arial" w:cs="Arial"/>
          <w:bCs/>
          <w:color w:val="000000" w:themeColor="text1"/>
          <w:kern w:val="2"/>
          <w14:ligatures w14:val="standardContextual"/>
        </w:rPr>
        <w:t xml:space="preserve">Para llevar a cabo los procesos de contratación de contratistas en el marco del EGCAP, nuestro ordenamiento jurídico contempló diferentes requisitos y etapas de verificación para seleccionar la mejor oferta para la entidad estatal. Para ello es importante diferenciar los requisitos habilitantes de los factores ponderables, aclarando que, en ambos casos, su configuración dependerá de cada proceso contractual, toda vez que no existe una regla única para ello, por el contrario, la entidad estatal, en ejercicio de su autonomía de la voluntad, debe decidir el contenido de estos, quedando facultadas para optar, por ejemplo, el aplicar los requisitos habilitantes señalados en el artículo 5 de la Ley 1150 de 2007 o solicitar requisitos adicionales a estos en virtud de lo dispuesto en el artículo 6 de la mencionada Ley. </w:t>
      </w:r>
    </w:p>
    <w:p w14:paraId="2FA034A7" w14:textId="77777777" w:rsidR="00252793" w:rsidRPr="00252793" w:rsidRDefault="00252793" w:rsidP="00252793">
      <w:pPr>
        <w:spacing w:after="120" w:line="276" w:lineRule="auto"/>
        <w:ind w:firstLine="567"/>
        <w:jc w:val="both"/>
        <w:rPr>
          <w:rFonts w:ascii="Arial" w:eastAsia="Calibri" w:hAnsi="Arial" w:cs="Arial"/>
          <w:bCs/>
          <w:color w:val="000000" w:themeColor="text1"/>
          <w:kern w:val="2"/>
          <w14:ligatures w14:val="standardContextual"/>
        </w:rPr>
      </w:pPr>
      <w:r w:rsidRPr="00252793">
        <w:rPr>
          <w:rFonts w:ascii="Arial" w:eastAsia="Calibri" w:hAnsi="Arial" w:cs="Arial"/>
          <w:bCs/>
          <w:color w:val="000000" w:themeColor="text1"/>
          <w:kern w:val="2"/>
          <w14:ligatures w14:val="standardContextual"/>
        </w:rPr>
        <w:t xml:space="preserve">Con todo, considerando la discrecionalidad para establecer requisitos habilitantes y factores ponderables, es necesario tener en cuenta que el artículo 44 de la Ley 1437 de </w:t>
      </w:r>
      <w:r w:rsidRPr="00252793">
        <w:rPr>
          <w:rFonts w:ascii="Arial" w:eastAsia="Calibri" w:hAnsi="Arial" w:cs="Arial"/>
          <w:bCs/>
          <w:color w:val="000000" w:themeColor="text1"/>
          <w:kern w:val="2"/>
          <w14:ligatures w14:val="standardContextual"/>
        </w:rPr>
        <w:lastRenderedPageBreak/>
        <w:t xml:space="preserve">2011 –aplicable en los procedimientos contractuales en virtud del artículo 77 de la Ley 80 de 1993– dispone que </w:t>
      </w:r>
      <w:r w:rsidRPr="00252793">
        <w:rPr>
          <w:rFonts w:ascii="Arial" w:eastAsia="Calibri" w:hAnsi="Arial" w:cs="Arial"/>
          <w:bCs/>
          <w:i/>
          <w:iCs/>
          <w:color w:val="000000" w:themeColor="text1"/>
          <w:kern w:val="2"/>
          <w14:ligatures w14:val="standardContextual"/>
        </w:rPr>
        <w:t>“En la medida en que el contenido de una decisión de carácter general o particular sea discrecional, debe ser adecuada a los fines de la norma que la autoriza, y proporcional a los hechos que le sirven de causa”.</w:t>
      </w:r>
      <w:r w:rsidRPr="00252793">
        <w:rPr>
          <w:rFonts w:ascii="Arial" w:eastAsia="Calibri" w:hAnsi="Arial" w:cs="Arial"/>
          <w:bCs/>
          <w:color w:val="000000" w:themeColor="text1"/>
          <w:kern w:val="2"/>
          <w14:ligatures w14:val="standardContextual"/>
        </w:rPr>
        <w:t xml:space="preserve"> Lo anterior implica que la fijación de los requisitos habilitantes y factores ponderables deberá contener una carga justificativa por parte de la Entidad Estatal en los estudios y documentos previos del proceso de selección.</w:t>
      </w:r>
    </w:p>
    <w:p w14:paraId="3010B945" w14:textId="77777777" w:rsidR="00252793" w:rsidRPr="00252793" w:rsidRDefault="00252793" w:rsidP="00252793">
      <w:pPr>
        <w:tabs>
          <w:tab w:val="left" w:pos="0"/>
        </w:tabs>
        <w:spacing w:after="120" w:line="276" w:lineRule="auto"/>
        <w:jc w:val="both"/>
        <w:rPr>
          <w:rFonts w:ascii="Arial" w:eastAsia="Calibri" w:hAnsi="Arial" w:cs="Arial"/>
          <w:bCs/>
          <w:kern w:val="2"/>
          <w14:ligatures w14:val="standardContextual"/>
        </w:rPr>
      </w:pPr>
      <w:r w:rsidRPr="00252793">
        <w:rPr>
          <w:rFonts w:ascii="Arial" w:eastAsia="Calibri" w:hAnsi="Arial" w:cs="Arial"/>
          <w:bCs/>
          <w:kern w:val="2"/>
          <w14:ligatures w14:val="standardContextual"/>
        </w:rPr>
        <w:tab/>
        <w:t>En este sentido, el artículo 5 de la Ley 1150 de 2007, y conforme con lo expresado en el concepto C–166 del 23 de abril de 2021, esta entidad ha señalado que el deber de selección objetiva supone que la Entidad Estatal escoja en los procesos de selección el “</w:t>
      </w:r>
      <w:r w:rsidRPr="00252793">
        <w:rPr>
          <w:rFonts w:ascii="Arial" w:eastAsia="Calibri" w:hAnsi="Arial" w:cs="Arial"/>
          <w:bCs/>
          <w:i/>
          <w:iCs/>
          <w:kern w:val="2"/>
          <w14:ligatures w14:val="standardContextual"/>
        </w:rPr>
        <w:t xml:space="preserve">[…] ofrecimiento más favorable a la entidad y a los fines que ella busca </w:t>
      </w:r>
      <w:r w:rsidRPr="00252793">
        <w:rPr>
          <w:rFonts w:ascii="Arial" w:hAnsi="Arial" w:cs="Arial"/>
          <w:i/>
          <w:iCs/>
          <w:kern w:val="2"/>
          <w14:ligatures w14:val="standardContextual"/>
        </w:rPr>
        <w:t>[…]</w:t>
      </w:r>
      <w:r w:rsidRPr="00252793">
        <w:rPr>
          <w:rFonts w:ascii="Arial" w:eastAsia="Calibri" w:hAnsi="Arial" w:cs="Arial"/>
          <w:bCs/>
          <w:i/>
          <w:iCs/>
          <w:kern w:val="2"/>
          <w14:ligatures w14:val="standardContextual"/>
        </w:rPr>
        <w:t>”.</w:t>
      </w:r>
      <w:r w:rsidRPr="00252793">
        <w:rPr>
          <w:rFonts w:ascii="Arial" w:eastAsia="Calibri" w:hAnsi="Arial" w:cs="Arial"/>
          <w:bCs/>
          <w:kern w:val="2"/>
          <w14:ligatures w14:val="standardContextual"/>
        </w:rPr>
        <w:t xml:space="preserve"> Tal favorabilidad debe determinarse a partir de criterios que pueden variar de acuerdo con el objeto contractual o la modalidad de selección aplicable.</w:t>
      </w:r>
    </w:p>
    <w:p w14:paraId="0CA0544D" w14:textId="77777777" w:rsidR="00252793" w:rsidRPr="00252793" w:rsidRDefault="00252793" w:rsidP="00252793">
      <w:pPr>
        <w:tabs>
          <w:tab w:val="left" w:pos="0"/>
        </w:tabs>
        <w:spacing w:after="120" w:line="276" w:lineRule="auto"/>
        <w:jc w:val="both"/>
        <w:rPr>
          <w:rFonts w:ascii="Arial" w:eastAsia="Calibri" w:hAnsi="Arial" w:cs="Arial"/>
          <w:bCs/>
          <w:kern w:val="2"/>
          <w14:ligatures w14:val="standardContextual"/>
        </w:rPr>
      </w:pPr>
      <w:r w:rsidRPr="00252793">
        <w:rPr>
          <w:rFonts w:ascii="Arial" w:eastAsia="Calibri" w:hAnsi="Arial" w:cs="Arial"/>
          <w:bCs/>
          <w:kern w:val="2"/>
          <w14:ligatures w14:val="standardContextual"/>
        </w:rPr>
        <w:tab/>
        <w:t>Al respecto, el numeral primero del artículo 5 de la Ley 1150 de 2007 se refiere a algunos requisitos exigibles en la generalidad de procesos de selección adelantados conforme al EGCAP, tales como la capacidad jurídica, las condiciones de experiencia, la capacidad financiera y de organización, denominados requisitos habilitantes</w:t>
      </w:r>
      <w:r w:rsidRPr="00252793">
        <w:rPr>
          <w:rFonts w:ascii="Arial" w:eastAsia="Calibri" w:hAnsi="Arial" w:cs="Arial"/>
          <w:b/>
          <w:kern w:val="2"/>
          <w14:ligatures w14:val="standardContextual"/>
        </w:rPr>
        <w:t xml:space="preserve">, </w:t>
      </w:r>
      <w:r w:rsidRPr="00252793">
        <w:rPr>
          <w:rFonts w:ascii="Arial" w:eastAsia="Calibri" w:hAnsi="Arial" w:cs="Arial"/>
          <w:bCs/>
          <w:kern w:val="2"/>
          <w14:ligatures w14:val="standardContextual"/>
        </w:rPr>
        <w:t>los cuales –por expresa disposición legal– no otorgan puntaje, salvo que excepcionalmente se permita lo contrario. Esto como quiera no se refieren a la oferta misma sino a la idoneidad del oferente para asumir adecuadamente la ejecución del contrato</w:t>
      </w:r>
      <w:r w:rsidRPr="00252793">
        <w:rPr>
          <w:rFonts w:ascii="Arial" w:eastAsia="Calibri" w:hAnsi="Arial" w:cs="Arial"/>
          <w:bCs/>
          <w:kern w:val="2"/>
          <w:vertAlign w:val="superscript"/>
          <w14:ligatures w14:val="standardContextual"/>
        </w:rPr>
        <w:footnoteReference w:id="10"/>
      </w:r>
      <w:r w:rsidRPr="00252793">
        <w:rPr>
          <w:rFonts w:ascii="Arial" w:eastAsia="Calibri" w:hAnsi="Arial" w:cs="Arial"/>
          <w:bCs/>
          <w:kern w:val="2"/>
          <w14:ligatures w14:val="standardContextual"/>
        </w:rPr>
        <w:t xml:space="preserve">. Los oferentes que cumplan estos requisitos habilitantes son considerados idóneos para ejecutar el objeto contractual, de manera que sus ofertas pueden ser consideradas en la evaluación dirigida a determinar cuál es la más favorable para la entidad y los fines de la contratación. En este sentido, los requisitos </w:t>
      </w:r>
      <w:r w:rsidRPr="00252793">
        <w:rPr>
          <w:rFonts w:ascii="Arial" w:eastAsia="Calibri" w:hAnsi="Arial" w:cs="Arial"/>
          <w:bCs/>
          <w:i/>
          <w:iCs/>
          <w:kern w:val="2"/>
          <w14:ligatures w14:val="standardContextual"/>
        </w:rPr>
        <w:t xml:space="preserve">habilitantes </w:t>
      </w:r>
      <w:r w:rsidRPr="00252793">
        <w:rPr>
          <w:rFonts w:ascii="Arial" w:eastAsia="Calibri" w:hAnsi="Arial" w:cs="Arial"/>
          <w:bCs/>
          <w:kern w:val="2"/>
          <w14:ligatures w14:val="standardContextual"/>
        </w:rPr>
        <w:t>son aquellos que deben cumplir en igualdad de condiciones los proponentes y cumplido el mínimo establecido en el pliego de condiciones o documento equivalente hacen que los proponentes se habiliten en el procedimiento de selección y sean susceptibles de ser seleccionados como futuros contratistas.</w:t>
      </w:r>
    </w:p>
    <w:p w14:paraId="17FC7DA0" w14:textId="77777777" w:rsidR="0073095F" w:rsidRPr="00252793" w:rsidRDefault="00252793" w:rsidP="0073095F">
      <w:pPr>
        <w:spacing w:after="120" w:line="276" w:lineRule="auto"/>
        <w:ind w:right="51" w:firstLine="709"/>
        <w:jc w:val="both"/>
        <w:rPr>
          <w:rFonts w:ascii="Arial" w:eastAsia="Calibri" w:hAnsi="Arial" w:cs="Arial"/>
          <w:bCs/>
          <w:lang w:val="es-MX"/>
        </w:rPr>
      </w:pPr>
      <w:r w:rsidRPr="00252793">
        <w:rPr>
          <w:rFonts w:ascii="Arial" w:eastAsia="Calibri" w:hAnsi="Arial" w:cs="Arial"/>
          <w:bCs/>
          <w:kern w:val="2"/>
          <w14:ligatures w14:val="standardContextual"/>
        </w:rPr>
        <w:tab/>
      </w:r>
      <w:r w:rsidR="0073095F" w:rsidRPr="00252793">
        <w:rPr>
          <w:rFonts w:ascii="Arial" w:eastAsia="Calibri" w:hAnsi="Arial" w:cs="Arial"/>
          <w:bCs/>
          <w:lang w:val="es-MX"/>
        </w:rPr>
        <w:t xml:space="preserve">En contraposición a los requisitos habilitantes, el artículo 5 de la Ley 1150 de 2007 regula los factores dirigidos a determinar cuál es la propuesta, comparativamente, más favorable. En ese sentido, el inciso primero dispone los factores de escogencia y calificación que deben indicarse en los pliegos de condiciones o documentos equivalentes. El numeral segundo de esta norma establece que la oferta más favorable es aquella que resulte ser la más ventajosa para la entidad, una vez se realice la ponderación precisa y detallada de los factores técnicos y económicos de escogencia, de acuerdo con los parámetros establecidos en los pliegos de condiciones o equivalentes, que permiten la </w:t>
      </w:r>
      <w:r w:rsidR="0073095F" w:rsidRPr="00252793">
        <w:rPr>
          <w:rFonts w:ascii="Arial" w:eastAsia="Calibri" w:hAnsi="Arial" w:cs="Arial"/>
          <w:bCs/>
          <w:lang w:val="es-MX"/>
        </w:rPr>
        <w:lastRenderedPageBreak/>
        <w:t xml:space="preserve">comparación de ofertas. Este numeral segundo se divide en dos literales, cada uno de los cuales hace referencia a los mecanismos por los que pueden optar las entidades para ponderar los elementos de calidad y precio de las ofertas. El literal a) alude a la ponderación de los referidos elementos mediante </w:t>
      </w:r>
      <w:r w:rsidR="0073095F" w:rsidRPr="00252793">
        <w:rPr>
          <w:rFonts w:ascii="Arial" w:eastAsia="Calibri" w:hAnsi="Arial" w:cs="Arial"/>
          <w:bCs/>
          <w:i/>
          <w:iCs/>
          <w:lang w:val="es-MX"/>
        </w:rPr>
        <w:t>puntajes o fórmulas</w:t>
      </w:r>
      <w:r w:rsidR="0073095F" w:rsidRPr="00252793">
        <w:rPr>
          <w:rFonts w:ascii="Arial" w:eastAsia="Calibri" w:hAnsi="Arial" w:cs="Arial"/>
          <w:bCs/>
          <w:lang w:val="es-MX"/>
        </w:rPr>
        <w:t xml:space="preserve">, mientras que el literal b) se refiere la elección de la oferta que represente la mejor relación </w:t>
      </w:r>
      <w:r w:rsidR="0073095F" w:rsidRPr="00252793">
        <w:rPr>
          <w:rFonts w:ascii="Arial" w:eastAsia="Calibri" w:hAnsi="Arial" w:cs="Arial"/>
          <w:bCs/>
          <w:i/>
          <w:iCs/>
          <w:lang w:val="es-MX"/>
        </w:rPr>
        <w:t>costo-beneficio</w:t>
      </w:r>
      <w:r w:rsidR="0073095F" w:rsidRPr="00252793">
        <w:rPr>
          <w:rFonts w:ascii="Arial" w:eastAsia="Calibri" w:hAnsi="Arial" w:cs="Arial"/>
          <w:bCs/>
          <w:lang w:val="es-MX"/>
        </w:rPr>
        <w:t xml:space="preserve"> para la entidad. </w:t>
      </w:r>
    </w:p>
    <w:p w14:paraId="4C6C2AFB" w14:textId="77777777" w:rsidR="0073095F" w:rsidRPr="00252793" w:rsidRDefault="0073095F" w:rsidP="0073095F">
      <w:pPr>
        <w:spacing w:after="120" w:line="276" w:lineRule="auto"/>
        <w:ind w:right="51" w:firstLine="709"/>
        <w:jc w:val="both"/>
        <w:rPr>
          <w:rFonts w:ascii="Arial" w:eastAsia="Calibri" w:hAnsi="Arial" w:cs="Arial"/>
          <w:bCs/>
          <w:lang w:val="es-MX"/>
        </w:rPr>
      </w:pPr>
      <w:r w:rsidRPr="00252793">
        <w:rPr>
          <w:rFonts w:ascii="Arial" w:eastAsia="Calibri" w:hAnsi="Arial" w:cs="Arial"/>
          <w:bCs/>
          <w:lang w:val="es-MX"/>
        </w:rPr>
        <w:t>Por su parte, el numeral tercero establece que en los procesos de selección de bienes y servicios de características técnicas uniformes y de común utilización el único factor de evaluación consiste en el menor precio. Por último, el numeral 4, referente a los procedimientos para la selección de consultores, señala que deben usarse factores de calificación, para valorar los aspectos técnicos de la oferta, permitiendo que entre ellos se pondere la experiencia.</w:t>
      </w:r>
    </w:p>
    <w:p w14:paraId="6CB9C070" w14:textId="77777777" w:rsidR="0073095F" w:rsidRPr="00252793" w:rsidRDefault="0073095F" w:rsidP="0073095F">
      <w:pPr>
        <w:spacing w:after="120" w:line="276" w:lineRule="auto"/>
        <w:ind w:right="51" w:firstLine="709"/>
        <w:jc w:val="both"/>
        <w:rPr>
          <w:rFonts w:ascii="Arial" w:eastAsia="Calibri" w:hAnsi="Arial" w:cs="Arial"/>
          <w:bCs/>
          <w:lang w:val="es-MX"/>
        </w:rPr>
      </w:pPr>
      <w:r w:rsidRPr="00252793">
        <w:rPr>
          <w:rFonts w:ascii="Arial" w:eastAsia="Calibri" w:hAnsi="Arial" w:cs="Arial"/>
          <w:bCs/>
          <w:lang w:val="es-MX"/>
        </w:rPr>
        <w:t>De acuerdo con lo expresado, se concluye que el artículo 5 de la Ley 1150 de 2007 define los parámetros conforme a los cuales deben exigirse y evaluarse los factores que no otorgan puntaje o requisitos habilitantes, como también aquellos que deben tenerse en cuenta para la exigencia y evaluación de los factores de escogencia o calificación, técnicos y económicos, los cuales inciden en la comparación de las ofertas. Por ello, la doctrina define los requisitos o factores ponderables como “[…] aquellas condiciones de la oferta y no de quien la presenta, que sí entrarán a ser evaluadas por la Administración y que en consecuencia, darán lugar a la escogencia objetiva de la mejor propuesta para la entidad”</w:t>
      </w:r>
      <w:r w:rsidRPr="00252793">
        <w:rPr>
          <w:rFonts w:ascii="Arial" w:eastAsia="Calibri" w:hAnsi="Arial" w:cs="Arial"/>
          <w:bCs/>
          <w:vertAlign w:val="superscript"/>
          <w:lang w:val="es-MX"/>
        </w:rPr>
        <w:footnoteReference w:id="11"/>
      </w:r>
      <w:r w:rsidRPr="00252793">
        <w:rPr>
          <w:rFonts w:ascii="Arial" w:eastAsia="Calibri" w:hAnsi="Arial" w:cs="Arial"/>
          <w:bCs/>
          <w:lang w:val="es-MX"/>
        </w:rPr>
        <w:t>. Todas estas categorías designan los “[…] factores a los cuales cabe otorgarles puntajes o que pueden ser ponderados, precisamente, pues estos son los factores que en últimas permiten una comparación de ofertas y una diferenciación entre ellas”</w:t>
      </w:r>
      <w:r w:rsidRPr="00252793">
        <w:rPr>
          <w:rFonts w:ascii="Arial" w:eastAsia="Calibri" w:hAnsi="Arial" w:cs="Arial"/>
          <w:bCs/>
          <w:vertAlign w:val="superscript"/>
          <w:lang w:val="es-MX"/>
        </w:rPr>
        <w:footnoteReference w:id="12"/>
      </w:r>
      <w:r w:rsidRPr="00252793">
        <w:rPr>
          <w:rFonts w:ascii="Arial" w:eastAsia="Calibri" w:hAnsi="Arial" w:cs="Arial"/>
          <w:bCs/>
          <w:lang w:val="es-MX"/>
        </w:rPr>
        <w:t xml:space="preserve">. </w:t>
      </w:r>
    </w:p>
    <w:p w14:paraId="2D18800D" w14:textId="77777777" w:rsidR="0073095F" w:rsidRPr="00252793" w:rsidRDefault="0073095F" w:rsidP="0073095F">
      <w:pPr>
        <w:spacing w:before="120" w:after="0" w:line="276" w:lineRule="auto"/>
        <w:ind w:right="51" w:firstLine="709"/>
        <w:jc w:val="both"/>
        <w:rPr>
          <w:rFonts w:ascii="Arial" w:eastAsia="Calibri" w:hAnsi="Arial" w:cs="Arial"/>
          <w:bCs/>
          <w:lang w:val="es-MX"/>
        </w:rPr>
      </w:pPr>
      <w:r w:rsidRPr="00252793">
        <w:rPr>
          <w:rFonts w:ascii="Arial" w:eastAsia="Calibri" w:hAnsi="Arial" w:cs="Arial"/>
          <w:bCs/>
          <w:lang w:val="es-MX"/>
        </w:rPr>
        <w:t>Sobre la escogencia de la oferta más favorable a los intereses de la entidad y la evaluación de los factores exigidos en un caso concreto para el efecto, la doctrina explica que:</w:t>
      </w:r>
    </w:p>
    <w:p w14:paraId="1FF533D6" w14:textId="77777777" w:rsidR="0073095F" w:rsidRPr="00252793" w:rsidRDefault="0073095F" w:rsidP="0073095F">
      <w:pPr>
        <w:spacing w:after="0" w:line="276" w:lineRule="auto"/>
        <w:ind w:right="51"/>
        <w:jc w:val="both"/>
        <w:rPr>
          <w:rFonts w:ascii="Arial" w:eastAsia="Calibri" w:hAnsi="Arial" w:cs="Arial"/>
          <w:bCs/>
          <w:lang w:val="es-MX"/>
        </w:rPr>
      </w:pPr>
    </w:p>
    <w:p w14:paraId="1CD26CAA" w14:textId="77777777" w:rsidR="0073095F" w:rsidRPr="00252793" w:rsidRDefault="0073095F" w:rsidP="0073095F">
      <w:pPr>
        <w:spacing w:after="0" w:line="240" w:lineRule="auto"/>
        <w:ind w:left="709" w:right="709"/>
        <w:jc w:val="both"/>
        <w:rPr>
          <w:rFonts w:ascii="Arial" w:eastAsia="Calibri" w:hAnsi="Arial" w:cs="Arial"/>
          <w:bCs/>
          <w:sz w:val="20"/>
          <w:szCs w:val="20"/>
          <w:lang w:val="es-MX"/>
        </w:rPr>
      </w:pPr>
      <w:r w:rsidRPr="00252793">
        <w:rPr>
          <w:rFonts w:ascii="Arial" w:eastAsia="Calibri" w:hAnsi="Arial" w:cs="Arial"/>
          <w:bCs/>
          <w:sz w:val="20"/>
          <w:szCs w:val="20"/>
          <w:lang w:val="es-MX"/>
        </w:rPr>
        <w:t xml:space="preserve">“De acuerdo con ese entendimiento, el numeral 2 del artículo 5.° de la Ley  1150 de 2007, modificado por el artículo 88 de la Ley 1474 de 2011, comienza por señalar que "la oferta más favorable será aquella que, teniendo en cuenta los factores técnicos y económicos de escogencia y la ponderación precisa y detallada de los mismos, contenida en los pliegos de condiciones o sus equivalentes, resulte ser la más ventajosa para la entidad, sin que la favorabilidad la constituyan factores diferentes a los contenidos en dichos documentos". Es decir que los factores de ponderación o de evaluación son los que en realidad determinan la propuesta que </w:t>
      </w:r>
      <w:r w:rsidRPr="00252793">
        <w:rPr>
          <w:rFonts w:ascii="Arial" w:eastAsia="Calibri" w:hAnsi="Arial" w:cs="Arial"/>
          <w:bCs/>
          <w:sz w:val="20"/>
          <w:szCs w:val="20"/>
          <w:lang w:val="es-MX"/>
        </w:rPr>
        <w:lastRenderedPageBreak/>
        <w:t xml:space="preserve">mejor satisface las necesidades de la Administración y no simplemente cuál de los proponentes es el más idóneo en la ejecución del contrato, pues, se insiste, todo oferente que supere los requisitos mínimos habilitantes se entiende que es suficientemente idóneo para la ejecución del objeto contractual. </w:t>
      </w:r>
    </w:p>
    <w:p w14:paraId="4F9F7A04" w14:textId="77777777" w:rsidR="0073095F" w:rsidRPr="00252793" w:rsidRDefault="0073095F" w:rsidP="0073095F">
      <w:pPr>
        <w:spacing w:after="0" w:line="240" w:lineRule="auto"/>
        <w:ind w:left="709" w:right="709"/>
        <w:jc w:val="both"/>
        <w:rPr>
          <w:rFonts w:ascii="Arial" w:eastAsia="Calibri" w:hAnsi="Arial" w:cs="Arial"/>
          <w:bCs/>
          <w:sz w:val="20"/>
          <w:szCs w:val="20"/>
          <w:lang w:val="es-MX"/>
        </w:rPr>
      </w:pPr>
    </w:p>
    <w:p w14:paraId="3418D780" w14:textId="77777777" w:rsidR="0073095F" w:rsidRPr="00252793" w:rsidRDefault="0073095F" w:rsidP="0073095F">
      <w:pPr>
        <w:spacing w:after="0" w:line="240" w:lineRule="auto"/>
        <w:ind w:left="709" w:right="709"/>
        <w:jc w:val="both"/>
        <w:rPr>
          <w:rFonts w:ascii="Arial" w:eastAsia="Calibri" w:hAnsi="Arial" w:cs="Arial"/>
          <w:bCs/>
          <w:sz w:val="20"/>
          <w:szCs w:val="20"/>
          <w:lang w:val="es-MX"/>
        </w:rPr>
      </w:pPr>
      <w:r w:rsidRPr="00252793">
        <w:rPr>
          <w:rFonts w:ascii="Arial" w:eastAsia="Calibri" w:hAnsi="Arial" w:cs="Arial"/>
          <w:bCs/>
          <w:sz w:val="20"/>
          <w:szCs w:val="20"/>
          <w:lang w:val="es-MX"/>
        </w:rPr>
        <w:t xml:space="preserve">De nuevo, aquí es preciso señalar que es el pliego de condiciones el que debe determinar cuáles son esos factores que en cada caso concreto permiten hacer una comparación entre las ofertas presentadas y, con base en ello, determinar cuál es la más favorable para la Administración Pública. </w:t>
      </w:r>
    </w:p>
    <w:p w14:paraId="3810207E" w14:textId="77777777" w:rsidR="0073095F" w:rsidRPr="00252793" w:rsidRDefault="0073095F" w:rsidP="0073095F">
      <w:pPr>
        <w:spacing w:after="0" w:line="240" w:lineRule="auto"/>
        <w:ind w:left="709" w:right="709"/>
        <w:jc w:val="both"/>
        <w:rPr>
          <w:rFonts w:ascii="Arial" w:eastAsia="Calibri" w:hAnsi="Arial" w:cs="Arial"/>
          <w:bCs/>
          <w:sz w:val="20"/>
          <w:szCs w:val="20"/>
          <w:lang w:val="es-MX"/>
        </w:rPr>
      </w:pPr>
    </w:p>
    <w:p w14:paraId="5DBB5731" w14:textId="77777777" w:rsidR="0073095F" w:rsidRPr="00252793" w:rsidRDefault="0073095F" w:rsidP="0073095F">
      <w:pPr>
        <w:spacing w:after="0" w:line="240" w:lineRule="auto"/>
        <w:ind w:left="709" w:right="709"/>
        <w:jc w:val="both"/>
        <w:rPr>
          <w:rFonts w:ascii="Arial" w:eastAsia="Calibri" w:hAnsi="Arial" w:cs="Arial"/>
          <w:bCs/>
          <w:sz w:val="20"/>
          <w:szCs w:val="20"/>
          <w:lang w:val="es-MX"/>
        </w:rPr>
      </w:pPr>
      <w:r w:rsidRPr="00252793">
        <w:rPr>
          <w:rFonts w:ascii="Arial" w:eastAsia="Calibri" w:hAnsi="Arial" w:cs="Arial"/>
          <w:bCs/>
          <w:sz w:val="20"/>
          <w:szCs w:val="20"/>
          <w:lang w:val="es-MX"/>
        </w:rPr>
        <w:t>[…]Una siguiente conclusión que se deriva de la norma parcialmente transcrita consiste en que los pliegos de condiciones deben determinar dos situaciones por separado: 1. cuáles serán los factores o requisitos que serán evaluados por la Administración y 2. cuáles son los criterios para asignar puntaje a cada uno de los factores de evaluación y, con base en ello, poder hacer la comparación entre las ofertas y concluir cuál de ellas es la más ventajosa para la entidad estatal”</w:t>
      </w:r>
      <w:r w:rsidRPr="00252793">
        <w:rPr>
          <w:rFonts w:ascii="Arial" w:eastAsia="Calibri" w:hAnsi="Arial" w:cs="Arial"/>
          <w:bCs/>
          <w:sz w:val="20"/>
          <w:szCs w:val="20"/>
          <w:vertAlign w:val="superscript"/>
          <w:lang w:val="es-MX"/>
        </w:rPr>
        <w:footnoteReference w:id="13"/>
      </w:r>
      <w:r w:rsidRPr="00252793">
        <w:rPr>
          <w:rFonts w:ascii="Arial" w:eastAsia="Calibri" w:hAnsi="Arial" w:cs="Arial"/>
          <w:bCs/>
          <w:sz w:val="20"/>
          <w:szCs w:val="20"/>
          <w:lang w:val="es-MX"/>
        </w:rPr>
        <w:t>.</w:t>
      </w:r>
    </w:p>
    <w:p w14:paraId="770CCF56" w14:textId="77777777" w:rsidR="0073095F" w:rsidRPr="00252793" w:rsidRDefault="0073095F" w:rsidP="0073095F">
      <w:pPr>
        <w:spacing w:after="0" w:line="276" w:lineRule="auto"/>
        <w:ind w:left="709" w:right="709"/>
        <w:jc w:val="both"/>
        <w:rPr>
          <w:rFonts w:ascii="Arial" w:eastAsia="Calibri" w:hAnsi="Arial" w:cs="Arial"/>
          <w:bCs/>
          <w:lang w:val="es-MX"/>
        </w:rPr>
      </w:pPr>
    </w:p>
    <w:p w14:paraId="417AFC98" w14:textId="77777777" w:rsidR="0073095F" w:rsidRPr="00252793" w:rsidRDefault="0073095F" w:rsidP="0073095F">
      <w:pPr>
        <w:spacing w:after="120" w:line="276" w:lineRule="auto"/>
        <w:ind w:firstLine="709"/>
        <w:jc w:val="both"/>
        <w:rPr>
          <w:rFonts w:ascii="Arial" w:eastAsia="Calibri" w:hAnsi="Arial" w:cs="Arial"/>
          <w:bCs/>
          <w:lang w:val="es-MX"/>
        </w:rPr>
      </w:pPr>
      <w:r w:rsidRPr="00252793">
        <w:rPr>
          <w:rFonts w:ascii="Arial" w:eastAsia="Calibri" w:hAnsi="Arial" w:cs="Arial"/>
          <w:bCs/>
          <w:lang w:val="es-MX"/>
        </w:rPr>
        <w:t xml:space="preserve">De acuerdo con lo anterior, es posible asimilar las diferentes categorías a las que hace referencia el artículo 5 de la Ley 1150 de 2007, cuando alude a los factores que, a diferencia de los requisitos habilitantes, determinan la oferta más favorable para la entidad, y que, por lo tanto, hacen que una oferta sea mejor que otra, pese a tener que cumplir todas ellas los requisitos habilitantes. Es frente a aquellos factores, que determinan comparativamente que una oferta sea mejor que otra, que la entidad concibe el otorgamiento de puntajes, como mecanismos para ponderar y comparar los ofrecimientos, con el fin de determinar objetivamente la oferta más favorable, aplicando para ello las reglas establecidas en el pliego o documento equivalente para la ponderación de las ofertas. </w:t>
      </w:r>
    </w:p>
    <w:p w14:paraId="263931DB" w14:textId="77777777" w:rsidR="0073095F" w:rsidRPr="00252793" w:rsidRDefault="0073095F" w:rsidP="0073095F">
      <w:pPr>
        <w:tabs>
          <w:tab w:val="left" w:pos="0"/>
        </w:tabs>
        <w:spacing w:after="120" w:line="276" w:lineRule="auto"/>
        <w:jc w:val="both"/>
        <w:rPr>
          <w:rFonts w:ascii="Arial" w:eastAsia="Calibri" w:hAnsi="Arial" w:cs="Arial"/>
          <w:bCs/>
          <w:kern w:val="2"/>
          <w14:ligatures w14:val="standardContextual"/>
        </w:rPr>
      </w:pPr>
      <w:r w:rsidRPr="00252793">
        <w:rPr>
          <w:rFonts w:ascii="Arial" w:eastAsia="Calibri" w:hAnsi="Arial" w:cs="Arial"/>
          <w:bCs/>
          <w:lang w:val="es-MX"/>
        </w:rPr>
        <w:tab/>
        <w:t>En ese sentido, la asignación de puntaje es un mecanismo mediante el cual las entidades ponderan los factores de calificación ꟷ</w:t>
      </w:r>
      <w:r w:rsidRPr="00252793">
        <w:rPr>
          <w:rFonts w:ascii="Arial" w:eastAsia="Calibri" w:hAnsi="Arial" w:cs="Arial"/>
          <w:bCs/>
          <w:i/>
          <w:lang w:val="es-MX"/>
        </w:rPr>
        <w:t>v.g.</w:t>
      </w:r>
      <w:r w:rsidRPr="00252793">
        <w:rPr>
          <w:rFonts w:ascii="Arial" w:eastAsia="Calibri" w:hAnsi="Arial" w:cs="Arial"/>
          <w:bCs/>
          <w:lang w:val="es-MX"/>
        </w:rPr>
        <w:t xml:space="preserve"> técnicos, de calidad y precio, etc.ꟷ en un determinado proceso de selección, como se desprende del literal a) del numeral segundo del artículo 5 de la Ley 1150 de 2007, en el que, expresamente, se alude al puntaje. </w:t>
      </w:r>
      <w:r w:rsidRPr="00252793">
        <w:rPr>
          <w:rFonts w:ascii="Arial" w:eastAsia="Calibri" w:hAnsi="Arial" w:cs="Arial"/>
          <w:bCs/>
          <w:kern w:val="2"/>
          <w14:ligatures w14:val="standardContextual"/>
        </w:rPr>
        <w:t>Sin embargo, no es este el único mecanismo de ponderación que tienen a su alcance las entidades estatales para determinar el ofrecimiento más favorable, ya que el propio literal b) del artículo 5.2 posibilita que el ofrecimiento más favorable se determine con un análisis de la relación costo-beneficio, evento en el no habría necesidad de acudir obligatoriamente a sistemas de asignación de puntaje. A estos se suman, los procesos de selección de bienes y servicios de características técnicas uniformes y de común utilización, así como los de mínima cuantía, en los que –según los artículos 5.3 y 2.5 de la Ley 1150 de 2007– el único factor de selección es el menor precio ofertado, por lo que no hay lugar a ponderación mediante puntajes.</w:t>
      </w:r>
    </w:p>
    <w:p w14:paraId="0075A3BA" w14:textId="77777777" w:rsidR="00252793" w:rsidRPr="00252793" w:rsidRDefault="00252793" w:rsidP="00252793">
      <w:pPr>
        <w:tabs>
          <w:tab w:val="left" w:pos="0"/>
        </w:tabs>
        <w:spacing w:after="0" w:line="276" w:lineRule="auto"/>
        <w:jc w:val="both"/>
        <w:rPr>
          <w:rFonts w:ascii="Arial" w:eastAsia="Calibri" w:hAnsi="Arial" w:cs="Arial"/>
          <w:bCs/>
          <w:kern w:val="2"/>
          <w14:ligatures w14:val="standardContextual"/>
        </w:rPr>
      </w:pPr>
      <w:r w:rsidRPr="00252793">
        <w:rPr>
          <w:rFonts w:ascii="Arial" w:eastAsia="Calibri" w:hAnsi="Arial" w:cs="Arial"/>
          <w:bCs/>
          <w:color w:val="000000" w:themeColor="text1"/>
          <w:kern w:val="2"/>
          <w14:ligatures w14:val="standardContextual"/>
        </w:rPr>
        <w:lastRenderedPageBreak/>
        <w:tab/>
        <w:t>A partir de lo expuesto, “</w:t>
      </w:r>
      <w:r w:rsidRPr="00252793">
        <w:rPr>
          <w:rFonts w:ascii="Arial" w:eastAsia="Calibri" w:hAnsi="Arial" w:cs="Arial"/>
          <w:bCs/>
          <w:i/>
          <w:iCs/>
          <w:kern w:val="2"/>
          <w14:ligatures w14:val="standardContextual"/>
        </w:rPr>
        <w:t>PONDERAR o ASIGNAR PUNTAJE en un proceso de selección”</w:t>
      </w:r>
      <w:r w:rsidRPr="00252793">
        <w:rPr>
          <w:rFonts w:ascii="Arial" w:eastAsia="Calibri" w:hAnsi="Arial" w:cs="Arial"/>
          <w:bCs/>
          <w:kern w:val="2"/>
          <w14:ligatures w14:val="standardContextual"/>
        </w:rPr>
        <w:t xml:space="preserve"> es el procedimiento que realiza la Entidad Estatal al evaluar las ofertas presentadas por los proponentes, frente a los factores ponderables o de asignación de puntaje que determinaron en el pliego de condiciones para que una oferta sea considerada mejor que otra, en virtud del principio de selección objetiva que rige en la contratación estatal.</w:t>
      </w:r>
    </w:p>
    <w:p w14:paraId="3C16D9A2" w14:textId="77777777" w:rsidR="00252793" w:rsidRPr="00252793" w:rsidRDefault="00252793" w:rsidP="00252793">
      <w:pPr>
        <w:tabs>
          <w:tab w:val="left" w:pos="0"/>
        </w:tabs>
        <w:spacing w:after="0" w:line="276" w:lineRule="auto"/>
        <w:contextualSpacing/>
        <w:jc w:val="both"/>
        <w:rPr>
          <w:rFonts w:ascii="Arial" w:eastAsia="Calibri" w:hAnsi="Arial" w:cs="Arial"/>
          <w:bCs/>
          <w:kern w:val="2"/>
          <w14:ligatures w14:val="standardContextual"/>
        </w:rPr>
      </w:pPr>
    </w:p>
    <w:p w14:paraId="53A7E522" w14:textId="77777777" w:rsidR="00252793" w:rsidRPr="00252793" w:rsidRDefault="00252793" w:rsidP="00252793">
      <w:pPr>
        <w:tabs>
          <w:tab w:val="left" w:pos="0"/>
        </w:tabs>
        <w:spacing w:after="0" w:line="276" w:lineRule="auto"/>
        <w:contextualSpacing/>
        <w:jc w:val="both"/>
        <w:rPr>
          <w:rFonts w:ascii="Arial" w:eastAsia="Calibri" w:hAnsi="Arial" w:cs="Arial"/>
          <w:bCs/>
          <w:color w:val="000000" w:themeColor="text1"/>
          <w:kern w:val="2"/>
          <w14:ligatures w14:val="standardContextual"/>
        </w:rPr>
      </w:pPr>
      <w:r w:rsidRPr="00252793">
        <w:rPr>
          <w:rFonts w:ascii="Arial" w:eastAsia="Calibri" w:hAnsi="Arial" w:cs="Arial"/>
          <w:bCs/>
          <w:color w:val="000000" w:themeColor="text1"/>
          <w:kern w:val="2"/>
          <w14:ligatures w14:val="standardContextual"/>
        </w:rPr>
        <w:t xml:space="preserve">Este concepto tiene el alcance previsto en el artículo 28 del Código de Procedimiento Administrativo y de lo Contencioso Administrativo y </w:t>
      </w:r>
      <w:r w:rsidRPr="00252793">
        <w:rPr>
          <w:rFonts w:ascii="Arial" w:eastAsia="Calibri" w:hAnsi="Arial" w:cs="Arial"/>
          <w:kern w:val="2"/>
          <w:lang w:val="es-MX"/>
          <w14:ligatures w14:val="standardContextual"/>
        </w:rPr>
        <w:t>las expresiones aquí utilizadas con mayúscula inicial deben ser entendidas con el significado que les otorga el artículo 2.2.1.1.1.3.1. del Decreto 1082 de 2015</w:t>
      </w:r>
    </w:p>
    <w:p w14:paraId="6B0E2104" w14:textId="77777777" w:rsidR="00252793" w:rsidRPr="00252793" w:rsidRDefault="00252793" w:rsidP="00252793">
      <w:pPr>
        <w:spacing w:after="0" w:line="276" w:lineRule="auto"/>
        <w:contextualSpacing/>
        <w:jc w:val="both"/>
        <w:rPr>
          <w:rFonts w:ascii="Arial" w:eastAsia="Arial" w:hAnsi="Arial" w:cs="Arial"/>
          <w:color w:val="000000"/>
          <w:lang w:val="es-MX" w:eastAsia="es-ES_tradnl"/>
        </w:rPr>
      </w:pPr>
    </w:p>
    <w:p w14:paraId="1815843A" w14:textId="77777777" w:rsidR="00252793" w:rsidRPr="00252793" w:rsidRDefault="00252793" w:rsidP="00252793">
      <w:pPr>
        <w:spacing w:after="0" w:line="276" w:lineRule="auto"/>
        <w:contextualSpacing/>
        <w:jc w:val="both"/>
        <w:rPr>
          <w:rFonts w:ascii="Arial" w:eastAsia="Arial" w:hAnsi="Arial" w:cs="Arial"/>
          <w:color w:val="000000"/>
          <w:lang w:val="es-MX" w:eastAsia="es-ES_tradnl"/>
        </w:rPr>
      </w:pPr>
      <w:r w:rsidRPr="00252793">
        <w:rPr>
          <w:rFonts w:ascii="Arial" w:eastAsia="Arial" w:hAnsi="Arial" w:cs="Arial"/>
          <w:color w:val="000000"/>
          <w:lang w:val="es-MX" w:eastAsia="es-ES_tradnl"/>
        </w:rPr>
        <w:t>Atentamente,</w:t>
      </w:r>
    </w:p>
    <w:p w14:paraId="0C7E5C98" w14:textId="7255928D" w:rsidR="00252793" w:rsidRPr="00252793" w:rsidRDefault="00A8408E" w:rsidP="00252793">
      <w:pPr>
        <w:spacing w:after="0" w:line="276" w:lineRule="auto"/>
        <w:jc w:val="center"/>
        <w:rPr>
          <w:rFonts w:ascii="Arial" w:eastAsia="Times New Roman" w:hAnsi="Arial" w:cs="Arial"/>
          <w:color w:val="000000" w:themeColor="text1"/>
          <w:kern w:val="2"/>
          <w:lang w:val="es-ES_tradnl" w:eastAsia="es-CO"/>
          <w14:ligatures w14:val="standardContextual"/>
        </w:rPr>
      </w:pPr>
      <w:r>
        <w:rPr>
          <w:rFonts w:ascii="Arial" w:hAnsi="Arial" w:cs="Arial"/>
          <w:noProof/>
          <w:sz w:val="16"/>
          <w:szCs w:val="16"/>
          <w:lang w:val="es-ES"/>
        </w:rPr>
        <w:drawing>
          <wp:inline distT="0" distB="0" distL="0" distR="0" wp14:anchorId="57E4261B" wp14:editId="6696AF73">
            <wp:extent cx="3276600" cy="1258405"/>
            <wp:effectExtent l="0" t="0" r="0" b="0"/>
            <wp:docPr id="6" name="Imagen 6"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exto&#10;&#10;Descripción generada automáticament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02103" cy="1268200"/>
                    </a:xfrm>
                    <a:prstGeom prst="rect">
                      <a:avLst/>
                    </a:prstGeom>
                    <a:noFill/>
                    <a:ln>
                      <a:noFill/>
                    </a:ln>
                  </pic:spPr>
                </pic:pic>
              </a:graphicData>
            </a:graphic>
          </wp:inline>
        </w:drawing>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10"/>
        <w:gridCol w:w="4410"/>
      </w:tblGrid>
      <w:tr w:rsidR="00252793" w:rsidRPr="00252793" w14:paraId="06885B13" w14:textId="77777777" w:rsidTr="003F252A">
        <w:trPr>
          <w:trHeight w:val="150"/>
        </w:trPr>
        <w:tc>
          <w:tcPr>
            <w:tcW w:w="810" w:type="dxa"/>
            <w:tcBorders>
              <w:top w:val="nil"/>
              <w:left w:val="nil"/>
              <w:bottom w:val="nil"/>
              <w:right w:val="nil"/>
            </w:tcBorders>
            <w:vAlign w:val="center"/>
            <w:hideMark/>
          </w:tcPr>
          <w:p w14:paraId="66B2FD8C" w14:textId="77777777" w:rsidR="00252793" w:rsidRPr="00252793" w:rsidRDefault="00252793" w:rsidP="00252793">
            <w:pPr>
              <w:spacing w:after="0" w:line="240" w:lineRule="auto"/>
              <w:jc w:val="both"/>
              <w:textAlignment w:val="baseline"/>
              <w:rPr>
                <w:rFonts w:ascii="Times New Roman" w:eastAsia="Times New Roman" w:hAnsi="Times New Roman" w:cs="Times New Roman"/>
                <w:kern w:val="2"/>
                <w:sz w:val="24"/>
                <w:szCs w:val="24"/>
                <w:lang w:eastAsia="es-CO"/>
                <w14:ligatures w14:val="standardContextual"/>
              </w:rPr>
            </w:pPr>
            <w:r w:rsidRPr="00252793">
              <w:rPr>
                <w:rFonts w:ascii="Arial" w:eastAsia="Times New Roman" w:hAnsi="Arial" w:cs="Arial"/>
                <w:kern w:val="2"/>
                <w:sz w:val="16"/>
                <w:szCs w:val="16"/>
                <w:lang w:val="es-ES" w:eastAsia="es-CO"/>
                <w14:ligatures w14:val="standardContextual"/>
              </w:rPr>
              <w:t>Elaboró:</w:t>
            </w:r>
            <w:r w:rsidRPr="00252793">
              <w:rPr>
                <w:rFonts w:ascii="Arial" w:eastAsia="Times New Roman" w:hAnsi="Arial" w:cs="Arial"/>
                <w:kern w:val="2"/>
                <w:sz w:val="16"/>
                <w:szCs w:val="16"/>
                <w:lang w:eastAsia="es-CO"/>
                <w14:ligatures w14:val="standardContextual"/>
              </w:rPr>
              <w:t> </w:t>
            </w:r>
          </w:p>
        </w:tc>
        <w:tc>
          <w:tcPr>
            <w:tcW w:w="4410" w:type="dxa"/>
            <w:tcBorders>
              <w:top w:val="nil"/>
              <w:left w:val="nil"/>
              <w:bottom w:val="dotted" w:sz="6" w:space="0" w:color="7F7F7F"/>
              <w:right w:val="nil"/>
            </w:tcBorders>
            <w:vAlign w:val="center"/>
            <w:hideMark/>
          </w:tcPr>
          <w:p w14:paraId="7BB5C4E3" w14:textId="77777777" w:rsidR="00252793" w:rsidRPr="00252793" w:rsidRDefault="00252793" w:rsidP="00252793">
            <w:pPr>
              <w:spacing w:after="0" w:line="240" w:lineRule="auto"/>
              <w:jc w:val="both"/>
              <w:textAlignment w:val="baseline"/>
              <w:rPr>
                <w:rFonts w:ascii="Times New Roman" w:eastAsia="Times New Roman" w:hAnsi="Times New Roman" w:cs="Times New Roman"/>
                <w:kern w:val="2"/>
                <w:sz w:val="24"/>
                <w:szCs w:val="24"/>
                <w:lang w:eastAsia="es-CO"/>
                <w14:ligatures w14:val="standardContextual"/>
              </w:rPr>
            </w:pPr>
            <w:r w:rsidRPr="00252793">
              <w:rPr>
                <w:rFonts w:ascii="Arial" w:eastAsia="Times New Roman" w:hAnsi="Arial" w:cs="Arial"/>
                <w:kern w:val="2"/>
                <w:sz w:val="16"/>
                <w:szCs w:val="16"/>
                <w:lang w:val="es-ES" w:eastAsia="es-CO"/>
                <w14:ligatures w14:val="standardContextual"/>
              </w:rPr>
              <w:t>Diana Lucia Saavedra Castañeda</w:t>
            </w:r>
            <w:r w:rsidRPr="00252793">
              <w:rPr>
                <w:rFonts w:ascii="Arial" w:eastAsia="Times New Roman" w:hAnsi="Arial" w:cs="Arial"/>
                <w:kern w:val="2"/>
                <w:sz w:val="16"/>
                <w:szCs w:val="16"/>
                <w:lang w:eastAsia="es-CO"/>
                <w14:ligatures w14:val="standardContextual"/>
              </w:rPr>
              <w:t> </w:t>
            </w:r>
          </w:p>
          <w:p w14:paraId="074F414A" w14:textId="77777777" w:rsidR="00252793" w:rsidRPr="00252793" w:rsidRDefault="00252793" w:rsidP="00252793">
            <w:pPr>
              <w:spacing w:after="0" w:line="240" w:lineRule="auto"/>
              <w:jc w:val="both"/>
              <w:textAlignment w:val="baseline"/>
              <w:rPr>
                <w:rFonts w:ascii="Times New Roman" w:eastAsia="Times New Roman" w:hAnsi="Times New Roman" w:cs="Times New Roman"/>
                <w:kern w:val="2"/>
                <w:sz w:val="24"/>
                <w:szCs w:val="24"/>
                <w:lang w:eastAsia="es-CO"/>
                <w14:ligatures w14:val="standardContextual"/>
              </w:rPr>
            </w:pPr>
            <w:r w:rsidRPr="00252793">
              <w:rPr>
                <w:rFonts w:ascii="Arial" w:eastAsia="Times New Roman" w:hAnsi="Arial" w:cs="Arial"/>
                <w:kern w:val="2"/>
                <w:sz w:val="16"/>
                <w:szCs w:val="16"/>
                <w:lang w:val="es-ES" w:eastAsia="es-CO"/>
                <w14:ligatures w14:val="standardContextual"/>
              </w:rPr>
              <w:t>Contratista de la Subdirección de Gestión Contractual</w:t>
            </w:r>
            <w:r w:rsidRPr="00252793">
              <w:rPr>
                <w:rFonts w:ascii="Arial" w:eastAsia="Times New Roman" w:hAnsi="Arial" w:cs="Arial"/>
                <w:kern w:val="2"/>
                <w:sz w:val="16"/>
                <w:szCs w:val="16"/>
                <w:lang w:eastAsia="es-CO"/>
                <w14:ligatures w14:val="standardContextual"/>
              </w:rPr>
              <w:t> </w:t>
            </w:r>
          </w:p>
        </w:tc>
      </w:tr>
      <w:tr w:rsidR="00252793" w:rsidRPr="00252793" w14:paraId="51BCBC4B" w14:textId="77777777" w:rsidTr="003F252A">
        <w:trPr>
          <w:trHeight w:val="315"/>
        </w:trPr>
        <w:tc>
          <w:tcPr>
            <w:tcW w:w="810" w:type="dxa"/>
            <w:tcBorders>
              <w:top w:val="nil"/>
              <w:left w:val="nil"/>
              <w:bottom w:val="nil"/>
              <w:right w:val="nil"/>
            </w:tcBorders>
            <w:vAlign w:val="center"/>
            <w:hideMark/>
          </w:tcPr>
          <w:p w14:paraId="381A9B4E" w14:textId="77777777" w:rsidR="00252793" w:rsidRPr="00252793" w:rsidRDefault="00252793" w:rsidP="00252793">
            <w:pPr>
              <w:spacing w:after="0" w:line="240" w:lineRule="auto"/>
              <w:jc w:val="both"/>
              <w:textAlignment w:val="baseline"/>
              <w:rPr>
                <w:rFonts w:ascii="Times New Roman" w:eastAsia="Times New Roman" w:hAnsi="Times New Roman" w:cs="Times New Roman"/>
                <w:kern w:val="2"/>
                <w:sz w:val="24"/>
                <w:szCs w:val="24"/>
                <w:lang w:eastAsia="es-CO"/>
                <w14:ligatures w14:val="standardContextual"/>
              </w:rPr>
            </w:pPr>
            <w:r w:rsidRPr="00252793">
              <w:rPr>
                <w:rFonts w:ascii="Arial" w:eastAsia="Times New Roman" w:hAnsi="Arial" w:cs="Arial"/>
                <w:kern w:val="2"/>
                <w:sz w:val="16"/>
                <w:szCs w:val="16"/>
                <w:lang w:val="es-ES" w:eastAsia="es-CO"/>
                <w14:ligatures w14:val="standardContextual"/>
              </w:rPr>
              <w:t>Revisó:</w:t>
            </w:r>
            <w:r w:rsidRPr="00252793">
              <w:rPr>
                <w:rFonts w:ascii="Arial" w:eastAsia="Times New Roman" w:hAnsi="Arial" w:cs="Arial"/>
                <w:kern w:val="2"/>
                <w:sz w:val="16"/>
                <w:szCs w:val="16"/>
                <w:lang w:eastAsia="es-CO"/>
                <w14:ligatures w14:val="standardContextual"/>
              </w:rPr>
              <w:t> </w:t>
            </w:r>
          </w:p>
        </w:tc>
        <w:tc>
          <w:tcPr>
            <w:tcW w:w="4410" w:type="dxa"/>
            <w:tcBorders>
              <w:top w:val="dotted" w:sz="6" w:space="0" w:color="7F7F7F"/>
              <w:left w:val="nil"/>
              <w:bottom w:val="dotted" w:sz="6" w:space="0" w:color="7F7F7F"/>
              <w:right w:val="nil"/>
            </w:tcBorders>
            <w:vAlign w:val="center"/>
            <w:hideMark/>
          </w:tcPr>
          <w:p w14:paraId="6FC4CA09" w14:textId="77777777" w:rsidR="00252793" w:rsidRPr="00252793" w:rsidRDefault="00252793" w:rsidP="00252793">
            <w:pPr>
              <w:spacing w:after="0" w:line="240" w:lineRule="auto"/>
              <w:jc w:val="both"/>
              <w:rPr>
                <w:rFonts w:ascii="Arial" w:eastAsia="Arial" w:hAnsi="Arial" w:cs="Arial"/>
                <w:kern w:val="2"/>
                <w:sz w:val="16"/>
                <w:szCs w:val="16"/>
                <w:lang w:val="es-ES"/>
                <w14:ligatures w14:val="standardContextual"/>
              </w:rPr>
            </w:pPr>
            <w:r w:rsidRPr="00252793">
              <w:rPr>
                <w:rFonts w:ascii="Arial" w:eastAsia="Arial" w:hAnsi="Arial" w:cs="Arial"/>
                <w:kern w:val="2"/>
                <w:sz w:val="16"/>
                <w:szCs w:val="16"/>
                <w14:ligatures w14:val="standardContextual"/>
              </w:rPr>
              <w:t>Diana Carolina Armenta Celis</w:t>
            </w:r>
          </w:p>
          <w:p w14:paraId="6B87BF24" w14:textId="77777777" w:rsidR="00252793" w:rsidRPr="00252793" w:rsidRDefault="00252793" w:rsidP="00252793">
            <w:pPr>
              <w:spacing w:after="0" w:line="240" w:lineRule="auto"/>
              <w:textAlignment w:val="baseline"/>
              <w:rPr>
                <w:rFonts w:ascii="Times New Roman" w:eastAsia="Times New Roman" w:hAnsi="Times New Roman" w:cs="Times New Roman"/>
                <w:kern w:val="2"/>
                <w:sz w:val="24"/>
                <w:szCs w:val="24"/>
                <w:lang w:eastAsia="es-CO"/>
                <w14:ligatures w14:val="standardContextual"/>
              </w:rPr>
            </w:pPr>
            <w:r w:rsidRPr="00252793">
              <w:rPr>
                <w:rFonts w:ascii="Arial" w:eastAsia="Arial" w:hAnsi="Arial" w:cs="Arial"/>
                <w:kern w:val="2"/>
                <w:sz w:val="16"/>
                <w:szCs w:val="16"/>
                <w14:ligatures w14:val="standardContextual"/>
              </w:rPr>
              <w:t>Contratista de la Subdirección de Gestión Contractual</w:t>
            </w:r>
          </w:p>
        </w:tc>
      </w:tr>
      <w:tr w:rsidR="00252793" w:rsidRPr="00252793" w14:paraId="1BCE7EA5" w14:textId="77777777" w:rsidTr="003F252A">
        <w:trPr>
          <w:trHeight w:val="300"/>
        </w:trPr>
        <w:tc>
          <w:tcPr>
            <w:tcW w:w="810" w:type="dxa"/>
            <w:tcBorders>
              <w:top w:val="nil"/>
              <w:left w:val="nil"/>
              <w:bottom w:val="nil"/>
              <w:right w:val="nil"/>
            </w:tcBorders>
            <w:vAlign w:val="center"/>
            <w:hideMark/>
          </w:tcPr>
          <w:p w14:paraId="50905898" w14:textId="77777777" w:rsidR="00252793" w:rsidRPr="00252793" w:rsidRDefault="00252793" w:rsidP="00252793">
            <w:pPr>
              <w:spacing w:after="0" w:line="240" w:lineRule="auto"/>
              <w:jc w:val="both"/>
              <w:textAlignment w:val="baseline"/>
              <w:rPr>
                <w:rFonts w:ascii="Times New Roman" w:eastAsia="Times New Roman" w:hAnsi="Times New Roman" w:cs="Times New Roman"/>
                <w:kern w:val="2"/>
                <w:sz w:val="24"/>
                <w:szCs w:val="24"/>
                <w:lang w:eastAsia="es-CO"/>
                <w14:ligatures w14:val="standardContextual"/>
              </w:rPr>
            </w:pPr>
            <w:r w:rsidRPr="00252793">
              <w:rPr>
                <w:rFonts w:ascii="Arial" w:eastAsia="Times New Roman" w:hAnsi="Arial" w:cs="Arial"/>
                <w:kern w:val="2"/>
                <w:sz w:val="16"/>
                <w:szCs w:val="16"/>
                <w:lang w:val="es-ES" w:eastAsia="es-CO"/>
                <w14:ligatures w14:val="standardContextual"/>
              </w:rPr>
              <w:t>Aprobó:</w:t>
            </w:r>
            <w:r w:rsidRPr="00252793">
              <w:rPr>
                <w:rFonts w:ascii="Arial" w:eastAsia="Times New Roman" w:hAnsi="Arial" w:cs="Arial"/>
                <w:kern w:val="2"/>
                <w:sz w:val="16"/>
                <w:szCs w:val="16"/>
                <w:lang w:eastAsia="es-CO"/>
                <w14:ligatures w14:val="standardContextual"/>
              </w:rPr>
              <w:t> </w:t>
            </w:r>
          </w:p>
        </w:tc>
        <w:tc>
          <w:tcPr>
            <w:tcW w:w="4410" w:type="dxa"/>
            <w:tcBorders>
              <w:top w:val="dotted" w:sz="6" w:space="0" w:color="7F7F7F"/>
              <w:left w:val="nil"/>
              <w:bottom w:val="dotted" w:sz="6" w:space="0" w:color="7F7F7F"/>
              <w:right w:val="nil"/>
            </w:tcBorders>
            <w:vAlign w:val="center"/>
            <w:hideMark/>
          </w:tcPr>
          <w:p w14:paraId="4CA3A6C5" w14:textId="77777777" w:rsidR="00252793" w:rsidRPr="00252793" w:rsidRDefault="00252793" w:rsidP="00252793">
            <w:pPr>
              <w:spacing w:after="0" w:line="240" w:lineRule="auto"/>
              <w:textAlignment w:val="baseline"/>
              <w:rPr>
                <w:rFonts w:ascii="Times New Roman" w:eastAsia="Times New Roman" w:hAnsi="Times New Roman" w:cs="Times New Roman"/>
                <w:kern w:val="2"/>
                <w:sz w:val="24"/>
                <w:szCs w:val="24"/>
                <w:lang w:eastAsia="es-CO"/>
                <w14:ligatures w14:val="standardContextual"/>
              </w:rPr>
            </w:pPr>
            <w:r w:rsidRPr="00252793">
              <w:rPr>
                <w:rFonts w:ascii="Arial" w:eastAsia="Times New Roman" w:hAnsi="Arial" w:cs="Arial"/>
                <w:kern w:val="2"/>
                <w:sz w:val="16"/>
                <w:szCs w:val="16"/>
                <w:lang w:val="es-ES" w:eastAsia="es-CO"/>
                <w14:ligatures w14:val="standardContextual"/>
              </w:rPr>
              <w:t>Nohelia del Carmen Zawady Palacio</w:t>
            </w:r>
            <w:r w:rsidRPr="00252793">
              <w:rPr>
                <w:rFonts w:ascii="Arial" w:eastAsia="Times New Roman" w:hAnsi="Arial" w:cs="Arial"/>
                <w:kern w:val="2"/>
                <w:sz w:val="16"/>
                <w:szCs w:val="16"/>
                <w:lang w:eastAsia="es-CO"/>
                <w14:ligatures w14:val="standardContextual"/>
              </w:rPr>
              <w:t> </w:t>
            </w:r>
          </w:p>
          <w:p w14:paraId="3D41AE74" w14:textId="77777777" w:rsidR="00252793" w:rsidRPr="00252793" w:rsidRDefault="00252793" w:rsidP="00252793">
            <w:pPr>
              <w:spacing w:after="0" w:line="240" w:lineRule="auto"/>
              <w:jc w:val="both"/>
              <w:textAlignment w:val="baseline"/>
              <w:rPr>
                <w:rFonts w:ascii="Times New Roman" w:eastAsia="Times New Roman" w:hAnsi="Times New Roman" w:cs="Times New Roman"/>
                <w:kern w:val="2"/>
                <w:sz w:val="24"/>
                <w:szCs w:val="24"/>
                <w:lang w:eastAsia="es-CO"/>
                <w14:ligatures w14:val="standardContextual"/>
              </w:rPr>
            </w:pPr>
            <w:r w:rsidRPr="00252793">
              <w:rPr>
                <w:rFonts w:ascii="Arial" w:eastAsia="Times New Roman" w:hAnsi="Arial" w:cs="Arial"/>
                <w:kern w:val="2"/>
                <w:sz w:val="16"/>
                <w:szCs w:val="16"/>
                <w:lang w:val="es-ES" w:eastAsia="es-CO"/>
                <w14:ligatures w14:val="standardContextual"/>
              </w:rPr>
              <w:t>Subdirectora de Gestión Contractual</w:t>
            </w:r>
            <w:r w:rsidRPr="00252793">
              <w:rPr>
                <w:rFonts w:ascii="Arial" w:eastAsia="Times New Roman" w:hAnsi="Arial" w:cs="Arial"/>
                <w:kern w:val="2"/>
                <w:sz w:val="16"/>
                <w:szCs w:val="16"/>
                <w:lang w:eastAsia="es-CO"/>
                <w14:ligatures w14:val="standardContextual"/>
              </w:rPr>
              <w:t> </w:t>
            </w:r>
          </w:p>
        </w:tc>
      </w:tr>
    </w:tbl>
    <w:p w14:paraId="0FD4057A" w14:textId="77777777" w:rsidR="00C330EB" w:rsidRPr="003E5D82" w:rsidRDefault="00C330EB" w:rsidP="00DF3F2E"/>
    <w:sectPr w:rsidR="00C330EB" w:rsidRPr="003E5D82" w:rsidSect="00923EEF">
      <w:headerReference w:type="default" r:id="rId12"/>
      <w:footerReference w:type="default" r:id="rId13"/>
      <w:pgSz w:w="12240" w:h="15840" w:code="1"/>
      <w:pgMar w:top="1418" w:right="1701" w:bottom="1418" w:left="1701"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D75824" w14:textId="77777777" w:rsidR="00AF6B70" w:rsidRDefault="00AF6B70" w:rsidP="004A1847">
      <w:pPr>
        <w:spacing w:after="0" w:line="240" w:lineRule="auto"/>
      </w:pPr>
      <w:r>
        <w:separator/>
      </w:r>
    </w:p>
  </w:endnote>
  <w:endnote w:type="continuationSeparator" w:id="0">
    <w:p w14:paraId="11F413D9" w14:textId="77777777" w:rsidR="00AF6B70" w:rsidRDefault="00AF6B70" w:rsidP="004A1847">
      <w:pPr>
        <w:spacing w:after="0" w:line="240" w:lineRule="auto"/>
      </w:pPr>
      <w:r>
        <w:continuationSeparator/>
      </w:r>
    </w:p>
  </w:endnote>
  <w:endnote w:type="continuationNotice" w:id="1">
    <w:p w14:paraId="21CB5E67" w14:textId="77777777" w:rsidR="00523A7C" w:rsidRDefault="00523A7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manist Light">
    <w:altName w:val="Calibri"/>
    <w:panose1 w:val="02000503000000020004"/>
    <w:charset w:val="00"/>
    <w:family w:val="modern"/>
    <w:notTrueType/>
    <w:pitch w:val="variable"/>
    <w:sig w:usb0="A000002F" w:usb1="1000004A" w:usb2="00000000" w:usb3="00000000" w:csb0="00000193" w:csb1="00000000"/>
  </w:font>
  <w:font w:name="Geomanist">
    <w:altName w:val="Calibri"/>
    <w:panose1 w:val="02000503000000020004"/>
    <w:charset w:val="00"/>
    <w:family w:val="modern"/>
    <w:notTrueType/>
    <w:pitch w:val="variable"/>
    <w:sig w:usb0="A000002F" w:usb1="1000004A" w:usb2="00000000" w:usb3="00000000" w:csb0="00000193" w:csb1="00000000"/>
  </w:font>
  <w:font w:name="Geomanist Bold">
    <w:altName w:val="Calibri"/>
    <w:panose1 w:val="02000503000000020004"/>
    <w:charset w:val="00"/>
    <w:family w:val="modern"/>
    <w:notTrueType/>
    <w:pitch w:val="variable"/>
    <w:sig w:usb0="A000002F" w:usb1="1000004A" w:usb2="00000000" w:usb3="00000000" w:csb0="00000193" w:csb1="00000000"/>
  </w:font>
  <w:font w:name="Century Gothic">
    <w:panose1 w:val="020B0502020202020204"/>
    <w:charset w:val="00"/>
    <w:family w:val="swiss"/>
    <w:pitch w:val="variable"/>
    <w:sig w:usb0="00000287" w:usb1="00000000" w:usb2="00000000" w:usb3="00000000" w:csb0="0000009F"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11A32" w14:textId="3BA5BB2D" w:rsidR="004A1847" w:rsidRDefault="009419F9">
    <w:pPr>
      <w:pStyle w:val="Piedepgina"/>
    </w:pPr>
    <w:r>
      <w:rPr>
        <w:noProof/>
      </w:rPr>
      <w:drawing>
        <wp:inline distT="0" distB="0" distL="0" distR="0" wp14:anchorId="600A8696" wp14:editId="357635FE">
          <wp:extent cx="5612130" cy="650240"/>
          <wp:effectExtent l="0" t="0" r="7620" b="0"/>
          <wp:docPr id="1013471023" name="Imagen 1013471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471023" name="Imagen 11"/>
                  <pic:cNvPicPr/>
                </pic:nvPicPr>
                <pic:blipFill>
                  <a:blip r:embed="rId1">
                    <a:extLst>
                      <a:ext uri="{28A0092B-C50C-407E-A947-70E740481C1C}">
                        <a14:useLocalDpi xmlns:a14="http://schemas.microsoft.com/office/drawing/2010/main" val="0"/>
                      </a:ext>
                    </a:extLst>
                  </a:blip>
                  <a:stretch>
                    <a:fillRect/>
                  </a:stretch>
                </pic:blipFill>
                <pic:spPr>
                  <a:xfrm>
                    <a:off x="0" y="0"/>
                    <a:ext cx="5612130" cy="650240"/>
                  </a:xfrm>
                  <a:prstGeom prst="rect">
                    <a:avLst/>
                  </a:prstGeom>
                </pic:spPr>
              </pic:pic>
            </a:graphicData>
          </a:graphic>
        </wp:inline>
      </w:drawing>
    </w:r>
    <w:r>
      <w:rPr>
        <w:rFonts w:ascii="Geomanist Bold" w:hAnsi="Geomanist Bold"/>
        <w:b/>
        <w:bCs/>
        <w:noProof/>
        <w:color w:val="002060"/>
        <w:sz w:val="24"/>
        <w:szCs w:val="24"/>
      </w:rPr>
      <w:drawing>
        <wp:anchor distT="0" distB="0" distL="114300" distR="114300" simplePos="0" relativeHeight="251658243" behindDoc="0" locked="0" layoutInCell="1" allowOverlap="1" wp14:anchorId="197AA269" wp14:editId="277B7D17">
          <wp:simplePos x="0" y="0"/>
          <wp:positionH relativeFrom="leftMargin">
            <wp:posOffset>-186690</wp:posOffset>
          </wp:positionH>
          <wp:positionV relativeFrom="margin">
            <wp:posOffset>6526530</wp:posOffset>
          </wp:positionV>
          <wp:extent cx="665480" cy="3098800"/>
          <wp:effectExtent l="0" t="0" r="1270" b="6350"/>
          <wp:wrapThrough wrapText="bothSides">
            <wp:wrapPolygon edited="0">
              <wp:start x="4947" y="0"/>
              <wp:lineTo x="0" y="1328"/>
              <wp:lineTo x="0" y="4913"/>
              <wp:lineTo x="5565" y="6374"/>
              <wp:lineTo x="0" y="7967"/>
              <wp:lineTo x="0" y="11818"/>
              <wp:lineTo x="3092" y="12748"/>
              <wp:lineTo x="0" y="14739"/>
              <wp:lineTo x="0" y="15138"/>
              <wp:lineTo x="3710" y="16997"/>
              <wp:lineTo x="0" y="17926"/>
              <wp:lineTo x="0" y="18590"/>
              <wp:lineTo x="1237" y="19121"/>
              <wp:lineTo x="9275" y="21246"/>
              <wp:lineTo x="11130" y="21511"/>
              <wp:lineTo x="15458" y="21511"/>
              <wp:lineTo x="21023" y="20184"/>
              <wp:lineTo x="21023" y="19918"/>
              <wp:lineTo x="17931" y="19121"/>
              <wp:lineTo x="21023" y="16864"/>
              <wp:lineTo x="21023" y="16466"/>
              <wp:lineTo x="14221" y="14872"/>
              <wp:lineTo x="21023" y="13544"/>
              <wp:lineTo x="21023" y="9693"/>
              <wp:lineTo x="16076" y="8498"/>
              <wp:lineTo x="21023" y="6772"/>
              <wp:lineTo x="21023" y="6241"/>
              <wp:lineTo x="17931" y="4249"/>
              <wp:lineTo x="21023" y="3452"/>
              <wp:lineTo x="21023" y="2789"/>
              <wp:lineTo x="9275" y="0"/>
              <wp:lineTo x="4947" y="0"/>
            </wp:wrapPolygon>
          </wp:wrapThrough>
          <wp:docPr id="1567040523" name="Imagen 1567040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aconcuadrcula"/>
      <w:tblW w:w="893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1"/>
      <w:gridCol w:w="2693"/>
      <w:gridCol w:w="2699"/>
      <w:gridCol w:w="2268"/>
    </w:tblGrid>
    <w:tr w:rsidR="00FC2B5D" w:rsidRPr="00080DA3" w14:paraId="0534DA7F" w14:textId="77777777" w:rsidTr="00B72CD3">
      <w:trPr>
        <w:trHeight w:val="229"/>
        <w:jc w:val="center"/>
      </w:trPr>
      <w:tc>
        <w:tcPr>
          <w:tcW w:w="1271"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171D456F" w14:textId="62368336" w:rsidR="00FC2B5D" w:rsidRPr="003F3941" w:rsidRDefault="003F3941" w:rsidP="006219F8">
          <w:pPr>
            <w:pStyle w:val="Piedepgina"/>
            <w:jc w:val="center"/>
            <w:rPr>
              <w:rFonts w:ascii="Century Gothic" w:hAnsi="Century Gothic"/>
              <w:sz w:val="16"/>
              <w:szCs w:val="16"/>
            </w:rPr>
          </w:pPr>
          <w:r w:rsidRPr="003F3941">
            <w:rPr>
              <w:rFonts w:ascii="Century Gothic" w:hAnsi="Century Gothic"/>
              <w:sz w:val="16"/>
              <w:szCs w:val="16"/>
            </w:rPr>
            <w:t>VERSIÓN: 0</w:t>
          </w:r>
          <w:r w:rsidR="00B72CD3">
            <w:rPr>
              <w:rFonts w:ascii="Century Gothic" w:hAnsi="Century Gothic"/>
              <w:sz w:val="16"/>
              <w:szCs w:val="16"/>
            </w:rPr>
            <w:t>1</w:t>
          </w:r>
        </w:p>
      </w:tc>
      <w:tc>
        <w:tcPr>
          <w:tcW w:w="2693"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10C74553" w14:textId="3F78C758" w:rsidR="00FC2B5D" w:rsidRPr="003F3941" w:rsidRDefault="003F3941" w:rsidP="006219F8">
          <w:pPr>
            <w:pStyle w:val="Piedepgina"/>
            <w:jc w:val="center"/>
            <w:rPr>
              <w:rFonts w:ascii="Century Gothic" w:hAnsi="Century Gothic"/>
              <w:sz w:val="16"/>
              <w:szCs w:val="16"/>
            </w:rPr>
          </w:pPr>
          <w:r w:rsidRPr="003F3941">
            <w:rPr>
              <w:rFonts w:ascii="Century Gothic" w:hAnsi="Century Gothic"/>
              <w:sz w:val="16"/>
              <w:szCs w:val="16"/>
            </w:rPr>
            <w:t xml:space="preserve">CÓDIGO: </w:t>
          </w:r>
          <w:r w:rsidRPr="003F3941">
            <w:rPr>
              <w:rFonts w:ascii="Century Gothic" w:eastAsia="Geo" w:hAnsi="Century Gothic" w:cs="Geo"/>
              <w:b/>
              <w:color w:val="000000"/>
              <w:sz w:val="16"/>
              <w:szCs w:val="16"/>
              <w:lang w:eastAsia="es-CO"/>
            </w:rPr>
            <w:t>CCE-</w:t>
          </w:r>
          <w:r w:rsidR="00B72CD3">
            <w:rPr>
              <w:rFonts w:ascii="Century Gothic" w:eastAsia="Geo" w:hAnsi="Century Gothic" w:cs="Geo"/>
              <w:b/>
              <w:color w:val="000000"/>
              <w:sz w:val="16"/>
              <w:szCs w:val="16"/>
              <w:lang w:eastAsia="es-CO"/>
            </w:rPr>
            <w:t>REC</w:t>
          </w:r>
          <w:r w:rsidRPr="003F3941">
            <w:rPr>
              <w:rFonts w:ascii="Century Gothic" w:eastAsia="Geo" w:hAnsi="Century Gothic" w:cs="Geo"/>
              <w:b/>
              <w:color w:val="000000"/>
              <w:sz w:val="16"/>
              <w:szCs w:val="16"/>
              <w:lang w:eastAsia="es-CO"/>
            </w:rPr>
            <w:t>-FM-</w:t>
          </w:r>
          <w:r w:rsidR="00CB6357">
            <w:rPr>
              <w:rFonts w:ascii="Century Gothic" w:eastAsia="Geo" w:hAnsi="Century Gothic" w:cs="Geo"/>
              <w:b/>
              <w:color w:val="000000"/>
              <w:sz w:val="16"/>
              <w:szCs w:val="16"/>
              <w:lang w:eastAsia="es-CO"/>
            </w:rPr>
            <w:t>13</w:t>
          </w:r>
        </w:p>
      </w:tc>
      <w:tc>
        <w:tcPr>
          <w:tcW w:w="2699"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5B51611F" w14:textId="5E0DB946" w:rsidR="00FC2B5D" w:rsidRPr="003F3941" w:rsidRDefault="003F3941" w:rsidP="00FC2B5D">
          <w:pPr>
            <w:pStyle w:val="Piedepgina"/>
            <w:rPr>
              <w:rFonts w:ascii="Century Gothic" w:hAnsi="Century Gothic"/>
              <w:sz w:val="16"/>
              <w:szCs w:val="16"/>
            </w:rPr>
          </w:pPr>
          <w:r w:rsidRPr="003F3941">
            <w:rPr>
              <w:rFonts w:ascii="Century Gothic" w:hAnsi="Century Gothic"/>
              <w:sz w:val="16"/>
              <w:szCs w:val="16"/>
            </w:rPr>
            <w:t xml:space="preserve">FECHA: </w:t>
          </w:r>
          <w:r w:rsidR="00961B09">
            <w:rPr>
              <w:rFonts w:ascii="Century Gothic" w:hAnsi="Century Gothic"/>
              <w:sz w:val="16"/>
              <w:szCs w:val="16"/>
            </w:rPr>
            <w:t>15</w:t>
          </w:r>
          <w:r w:rsidRPr="003F3941">
            <w:rPr>
              <w:rFonts w:ascii="Century Gothic" w:hAnsi="Century Gothic"/>
              <w:sz w:val="16"/>
              <w:szCs w:val="16"/>
            </w:rPr>
            <w:t xml:space="preserve"> DE </w:t>
          </w:r>
          <w:r w:rsidR="00961B09">
            <w:rPr>
              <w:rFonts w:ascii="Century Gothic" w:hAnsi="Century Gothic"/>
              <w:sz w:val="16"/>
              <w:szCs w:val="16"/>
            </w:rPr>
            <w:t>JUNIO</w:t>
          </w:r>
          <w:r w:rsidRPr="003F3941">
            <w:rPr>
              <w:rFonts w:ascii="Century Gothic" w:hAnsi="Century Gothic"/>
              <w:sz w:val="16"/>
              <w:szCs w:val="16"/>
            </w:rPr>
            <w:t xml:space="preserve">  2023 </w:t>
          </w:r>
        </w:p>
      </w:tc>
      <w:tc>
        <w:tcPr>
          <w:tcW w:w="2268"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6C25E7A7" w14:textId="6039C9C7" w:rsidR="00FC2B5D" w:rsidRPr="003F3941" w:rsidRDefault="003F3941" w:rsidP="00820278">
          <w:pPr>
            <w:pStyle w:val="Piedepgina"/>
            <w:rPr>
              <w:rFonts w:ascii="Century Gothic" w:hAnsi="Century Gothic"/>
              <w:sz w:val="16"/>
              <w:szCs w:val="16"/>
            </w:rPr>
          </w:pPr>
          <w:r w:rsidRPr="003F3941">
            <w:rPr>
              <w:rFonts w:ascii="Century Gothic" w:hAnsi="Century Gothic"/>
              <w:sz w:val="16"/>
              <w:szCs w:val="16"/>
            </w:rPr>
            <w:t xml:space="preserve">  PÁGINA </w:t>
          </w:r>
          <w:r w:rsidR="00FC2B5D" w:rsidRPr="003F3941">
            <w:rPr>
              <w:rFonts w:ascii="Century Gothic" w:hAnsi="Century Gothic"/>
              <w:b/>
              <w:bCs/>
              <w:sz w:val="16"/>
              <w:szCs w:val="16"/>
            </w:rPr>
            <w:fldChar w:fldCharType="begin"/>
          </w:r>
          <w:r w:rsidR="00FC2B5D" w:rsidRPr="003F3941">
            <w:rPr>
              <w:rFonts w:ascii="Century Gothic" w:hAnsi="Century Gothic"/>
              <w:b/>
              <w:bCs/>
              <w:sz w:val="16"/>
              <w:szCs w:val="16"/>
            </w:rPr>
            <w:instrText>PAGE  \* Arabic  \* MERGEFORMAT</w:instrText>
          </w:r>
          <w:r w:rsidR="00FC2B5D" w:rsidRPr="003F3941">
            <w:rPr>
              <w:rFonts w:ascii="Century Gothic" w:hAnsi="Century Gothic"/>
              <w:b/>
              <w:bCs/>
              <w:sz w:val="16"/>
              <w:szCs w:val="16"/>
            </w:rPr>
            <w:fldChar w:fldCharType="separate"/>
          </w:r>
          <w:r w:rsidRPr="003F3941">
            <w:rPr>
              <w:rFonts w:ascii="Century Gothic" w:hAnsi="Century Gothic"/>
              <w:b/>
              <w:bCs/>
              <w:sz w:val="16"/>
              <w:szCs w:val="16"/>
            </w:rPr>
            <w:t>1</w:t>
          </w:r>
          <w:r w:rsidR="00FC2B5D" w:rsidRPr="003F3941">
            <w:rPr>
              <w:rFonts w:ascii="Century Gothic" w:hAnsi="Century Gothic"/>
              <w:b/>
              <w:bCs/>
              <w:sz w:val="16"/>
              <w:szCs w:val="16"/>
            </w:rPr>
            <w:fldChar w:fldCharType="end"/>
          </w:r>
          <w:r w:rsidRPr="003F3941">
            <w:rPr>
              <w:rFonts w:ascii="Century Gothic" w:hAnsi="Century Gothic"/>
              <w:sz w:val="16"/>
              <w:szCs w:val="16"/>
            </w:rPr>
            <w:t xml:space="preserve"> DE </w:t>
          </w:r>
          <w:r w:rsidR="00FC2B5D" w:rsidRPr="003F3941">
            <w:rPr>
              <w:rFonts w:ascii="Century Gothic" w:hAnsi="Century Gothic"/>
              <w:b/>
              <w:bCs/>
              <w:sz w:val="16"/>
              <w:szCs w:val="16"/>
            </w:rPr>
            <w:fldChar w:fldCharType="begin"/>
          </w:r>
          <w:r w:rsidR="00FC2B5D" w:rsidRPr="003F3941">
            <w:rPr>
              <w:rFonts w:ascii="Century Gothic" w:hAnsi="Century Gothic"/>
              <w:b/>
              <w:bCs/>
              <w:sz w:val="16"/>
              <w:szCs w:val="16"/>
            </w:rPr>
            <w:instrText>NUMPAGES  \* Arabic  \* MERGEFORMAT</w:instrText>
          </w:r>
          <w:r w:rsidR="00FC2B5D" w:rsidRPr="003F3941">
            <w:rPr>
              <w:rFonts w:ascii="Century Gothic" w:hAnsi="Century Gothic"/>
              <w:b/>
              <w:bCs/>
              <w:sz w:val="16"/>
              <w:szCs w:val="16"/>
            </w:rPr>
            <w:fldChar w:fldCharType="separate"/>
          </w:r>
          <w:r w:rsidRPr="003F3941">
            <w:rPr>
              <w:rFonts w:ascii="Century Gothic" w:hAnsi="Century Gothic"/>
              <w:b/>
              <w:bCs/>
              <w:sz w:val="16"/>
              <w:szCs w:val="16"/>
            </w:rPr>
            <w:t>2</w:t>
          </w:r>
          <w:r w:rsidR="00FC2B5D" w:rsidRPr="003F3941">
            <w:rPr>
              <w:rFonts w:ascii="Century Gothic" w:hAnsi="Century Gothic"/>
              <w:b/>
              <w:bCs/>
              <w:sz w:val="16"/>
              <w:szCs w:val="16"/>
            </w:rPr>
            <w:fldChar w:fldCharType="end"/>
          </w:r>
        </w:p>
      </w:tc>
    </w:tr>
  </w:tbl>
  <w:p w14:paraId="744661F5" w14:textId="3FCEADD6" w:rsidR="006219F8" w:rsidRDefault="006219F8" w:rsidP="003E049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662D54" w14:textId="77777777" w:rsidR="00AF6B70" w:rsidRDefault="00AF6B70" w:rsidP="004A1847">
      <w:pPr>
        <w:spacing w:after="0" w:line="240" w:lineRule="auto"/>
      </w:pPr>
      <w:r>
        <w:separator/>
      </w:r>
    </w:p>
  </w:footnote>
  <w:footnote w:type="continuationSeparator" w:id="0">
    <w:p w14:paraId="5E63B501" w14:textId="77777777" w:rsidR="00AF6B70" w:rsidRDefault="00AF6B70" w:rsidP="004A1847">
      <w:pPr>
        <w:spacing w:after="0" w:line="240" w:lineRule="auto"/>
      </w:pPr>
      <w:r>
        <w:continuationSeparator/>
      </w:r>
    </w:p>
  </w:footnote>
  <w:footnote w:type="continuationNotice" w:id="1">
    <w:p w14:paraId="26B336ED" w14:textId="77777777" w:rsidR="00523A7C" w:rsidRDefault="00523A7C">
      <w:pPr>
        <w:spacing w:after="0" w:line="240" w:lineRule="auto"/>
      </w:pPr>
    </w:p>
  </w:footnote>
  <w:footnote w:id="2">
    <w:p w14:paraId="08C986FB" w14:textId="5767F9E5" w:rsidR="00252793" w:rsidRPr="00B4087D" w:rsidRDefault="00252793" w:rsidP="00252793">
      <w:pPr>
        <w:pBdr>
          <w:top w:val="nil"/>
          <w:left w:val="nil"/>
          <w:bottom w:val="nil"/>
          <w:right w:val="nil"/>
          <w:between w:val="nil"/>
        </w:pBdr>
        <w:spacing w:after="0" w:line="240" w:lineRule="auto"/>
        <w:ind w:firstLine="709"/>
        <w:contextualSpacing/>
        <w:jc w:val="both"/>
        <w:rPr>
          <w:rFonts w:ascii="Arial" w:eastAsia="Arial" w:hAnsi="Arial" w:cs="Arial"/>
          <w:color w:val="000000"/>
          <w:sz w:val="18"/>
          <w:szCs w:val="18"/>
        </w:rPr>
      </w:pPr>
      <w:r w:rsidRPr="00B4087D">
        <w:rPr>
          <w:rFonts w:ascii="Arial" w:hAnsi="Arial" w:cs="Arial"/>
          <w:sz w:val="18"/>
          <w:szCs w:val="18"/>
          <w:vertAlign w:val="superscript"/>
        </w:rPr>
        <w:footnoteRef/>
      </w:r>
      <w:r w:rsidRPr="00B4087D">
        <w:rPr>
          <w:rFonts w:ascii="Arial" w:eastAsia="Arial" w:hAnsi="Arial" w:cs="Arial"/>
          <w:color w:val="000000"/>
          <w:sz w:val="18"/>
          <w:szCs w:val="18"/>
        </w:rPr>
        <w:t xml:space="preserve"> Al respecto, conviene recordar el artículo 29 de la Ley 80 de 1993, derogado por el artículo 32 de la Ley 1150 de 2007, que establecía: </w:t>
      </w:r>
      <w:r w:rsidR="00FA7EC0">
        <w:rPr>
          <w:rFonts w:ascii="Arial" w:eastAsia="Arial" w:hAnsi="Arial" w:cs="Arial"/>
          <w:color w:val="000000"/>
          <w:sz w:val="18"/>
          <w:szCs w:val="18"/>
        </w:rPr>
        <w:t>“</w:t>
      </w:r>
      <w:r w:rsidRPr="00B4087D">
        <w:rPr>
          <w:rFonts w:ascii="Arial" w:eastAsia="Arial" w:hAnsi="Arial" w:cs="Arial"/>
          <w:color w:val="000000"/>
          <w:sz w:val="18"/>
          <w:szCs w:val="18"/>
        </w:rPr>
        <w:t>La selección de contratistas será objetiva.</w:t>
      </w:r>
    </w:p>
    <w:p w14:paraId="364BF991" w14:textId="2934C01C" w:rsidR="00252793" w:rsidRPr="00B4087D" w:rsidRDefault="00252793" w:rsidP="00252793">
      <w:pPr>
        <w:pBdr>
          <w:top w:val="nil"/>
          <w:left w:val="nil"/>
          <w:bottom w:val="nil"/>
          <w:right w:val="nil"/>
          <w:between w:val="nil"/>
        </w:pBdr>
        <w:spacing w:after="0" w:line="240" w:lineRule="auto"/>
        <w:ind w:firstLine="709"/>
        <w:contextualSpacing/>
        <w:jc w:val="both"/>
        <w:rPr>
          <w:rFonts w:ascii="Arial" w:eastAsia="Arial" w:hAnsi="Arial" w:cs="Arial"/>
          <w:color w:val="000000"/>
          <w:sz w:val="18"/>
          <w:szCs w:val="18"/>
        </w:rPr>
      </w:pPr>
      <w:r w:rsidRPr="00B4087D">
        <w:rPr>
          <w:rFonts w:ascii="Arial" w:eastAsia="Arial" w:hAnsi="Arial" w:cs="Arial"/>
          <w:color w:val="000000"/>
          <w:sz w:val="18"/>
          <w:szCs w:val="18"/>
        </w:rPr>
        <w:t>Es objetiva la selección en la cual la escogencia se hace al ofrecimiento más favorable a la entidad y a los fines que ella busca, sin tener en consideración factores de afecto o de interés y, en general, cualquier clase de motivación subjetiva.</w:t>
      </w:r>
    </w:p>
    <w:p w14:paraId="1BB1F3DD" w14:textId="37C6EB96" w:rsidR="00252793" w:rsidRPr="00B4087D" w:rsidRDefault="00252793" w:rsidP="00252793">
      <w:pPr>
        <w:pBdr>
          <w:top w:val="nil"/>
          <w:left w:val="nil"/>
          <w:bottom w:val="nil"/>
          <w:right w:val="nil"/>
          <w:between w:val="nil"/>
        </w:pBdr>
        <w:spacing w:after="0" w:line="240" w:lineRule="auto"/>
        <w:ind w:firstLine="709"/>
        <w:contextualSpacing/>
        <w:jc w:val="both"/>
        <w:rPr>
          <w:rFonts w:ascii="Arial" w:eastAsia="Arial" w:hAnsi="Arial" w:cs="Arial"/>
          <w:color w:val="000000"/>
          <w:sz w:val="18"/>
          <w:szCs w:val="18"/>
        </w:rPr>
      </w:pPr>
      <w:r w:rsidRPr="00B4087D">
        <w:rPr>
          <w:rFonts w:ascii="Arial" w:eastAsia="Arial" w:hAnsi="Arial" w:cs="Arial"/>
          <w:color w:val="000000"/>
          <w:sz w:val="18"/>
          <w:szCs w:val="18"/>
        </w:rPr>
        <w:t>Ofrecimiento más favorable es aquel que, teniendo en cuenta los factores de escogencia, tales como cumplimiento, experiencia, organización, equipos, plazo, precio y la ponderación precisa, detallada y concreta de los mismos, contenida en los pliegos de condiciones o términos de referencia o en el análisis previo a la suscripción del contrato, si se trata de contratación directa, resulta ser el más ventajoso para la entidad, sin que la favorabilidad la constituyan factores diferentes a los contenidos en dichos documentos, sólo alguno de ellos, el más bajo precio o el plazo ofrecido. El menor plazo que se ofrezca inferior al solicitado en los pliegos, no será objeto de evaluación</w:t>
      </w:r>
      <w:r w:rsidR="00FA7EC0">
        <w:rPr>
          <w:rFonts w:ascii="Arial" w:eastAsia="Arial" w:hAnsi="Arial" w:cs="Arial"/>
          <w:color w:val="000000"/>
          <w:sz w:val="18"/>
          <w:szCs w:val="18"/>
        </w:rPr>
        <w:t>”</w:t>
      </w:r>
      <w:r w:rsidRPr="00B4087D">
        <w:rPr>
          <w:rFonts w:ascii="Arial" w:eastAsia="Arial" w:hAnsi="Arial" w:cs="Arial"/>
          <w:color w:val="000000"/>
          <w:sz w:val="18"/>
          <w:szCs w:val="18"/>
        </w:rPr>
        <w:t>.</w:t>
      </w:r>
    </w:p>
    <w:p w14:paraId="14E52401" w14:textId="322E48E1" w:rsidR="00252793" w:rsidRPr="00B4087D" w:rsidRDefault="00252793" w:rsidP="00252793">
      <w:pPr>
        <w:pBdr>
          <w:top w:val="nil"/>
          <w:left w:val="nil"/>
          <w:bottom w:val="nil"/>
          <w:right w:val="nil"/>
          <w:between w:val="nil"/>
        </w:pBdr>
        <w:spacing w:after="0" w:line="240" w:lineRule="auto"/>
        <w:ind w:firstLine="709"/>
        <w:contextualSpacing/>
        <w:jc w:val="both"/>
        <w:rPr>
          <w:rFonts w:ascii="Arial" w:eastAsia="Arial" w:hAnsi="Arial" w:cs="Arial"/>
          <w:color w:val="000000"/>
          <w:sz w:val="18"/>
          <w:szCs w:val="18"/>
        </w:rPr>
      </w:pPr>
      <w:r w:rsidRPr="00B4087D">
        <w:rPr>
          <w:rFonts w:ascii="Arial" w:eastAsia="Arial" w:hAnsi="Arial" w:cs="Arial"/>
          <w:color w:val="000000"/>
          <w:sz w:val="18"/>
          <w:szCs w:val="18"/>
        </w:rPr>
        <w:t>El administrador efectuará las comparaciones del caso mediante el cotejo de los diferentes ofrecimientos recibidos, la consulta de precios o condiciones del mercado y los estudios y deducciones de la entidad o de los organismos consultores o asesores designados para ello.</w:t>
      </w:r>
    </w:p>
    <w:p w14:paraId="35A2EF1D" w14:textId="28D3413F" w:rsidR="00252793" w:rsidRPr="00B4087D" w:rsidRDefault="00252793" w:rsidP="00252793">
      <w:pPr>
        <w:pBdr>
          <w:top w:val="nil"/>
          <w:left w:val="nil"/>
          <w:bottom w:val="nil"/>
          <w:right w:val="nil"/>
          <w:between w:val="nil"/>
        </w:pBdr>
        <w:spacing w:after="0" w:line="240" w:lineRule="auto"/>
        <w:ind w:firstLine="709"/>
        <w:contextualSpacing/>
        <w:jc w:val="both"/>
        <w:rPr>
          <w:rFonts w:ascii="Arial" w:eastAsia="Arial" w:hAnsi="Arial" w:cs="Arial"/>
          <w:color w:val="000000"/>
          <w:sz w:val="18"/>
          <w:szCs w:val="18"/>
        </w:rPr>
      </w:pPr>
      <w:r w:rsidRPr="00B4087D">
        <w:rPr>
          <w:rFonts w:ascii="Arial" w:eastAsia="Arial" w:hAnsi="Arial" w:cs="Arial"/>
          <w:color w:val="000000"/>
          <w:sz w:val="18"/>
          <w:szCs w:val="18"/>
        </w:rPr>
        <w:t>En caso de comparación de propuestas nacionales y extranjeras, se incluirán los costos necesarios para la entrega del producto terminado en el lugar de su utilización</w:t>
      </w:r>
      <w:r w:rsidR="00E64CBB">
        <w:rPr>
          <w:rFonts w:ascii="Arial" w:eastAsia="Arial" w:hAnsi="Arial" w:cs="Arial"/>
          <w:color w:val="000000"/>
          <w:sz w:val="18"/>
          <w:szCs w:val="18"/>
        </w:rPr>
        <w:t>”</w:t>
      </w:r>
      <w:r w:rsidRPr="00B4087D">
        <w:rPr>
          <w:rFonts w:ascii="Arial" w:eastAsia="Arial" w:hAnsi="Arial" w:cs="Arial"/>
          <w:color w:val="000000"/>
          <w:sz w:val="18"/>
          <w:szCs w:val="18"/>
        </w:rPr>
        <w:t>.</w:t>
      </w:r>
    </w:p>
  </w:footnote>
  <w:footnote w:id="3">
    <w:p w14:paraId="46BC0094" w14:textId="77777777" w:rsidR="00252793" w:rsidRPr="00B4087D" w:rsidRDefault="00252793" w:rsidP="00252793">
      <w:pPr>
        <w:pBdr>
          <w:top w:val="nil"/>
          <w:left w:val="nil"/>
          <w:bottom w:val="nil"/>
          <w:right w:val="nil"/>
          <w:between w:val="nil"/>
        </w:pBdr>
        <w:spacing w:after="0" w:line="240" w:lineRule="auto"/>
        <w:ind w:firstLine="709"/>
        <w:contextualSpacing/>
        <w:jc w:val="both"/>
        <w:rPr>
          <w:rFonts w:ascii="Arial" w:eastAsia="Arial" w:hAnsi="Arial" w:cs="Arial"/>
          <w:color w:val="000000"/>
          <w:sz w:val="18"/>
          <w:szCs w:val="18"/>
        </w:rPr>
      </w:pPr>
      <w:r w:rsidRPr="00B4087D">
        <w:rPr>
          <w:rFonts w:ascii="Arial" w:hAnsi="Arial" w:cs="Arial"/>
          <w:sz w:val="18"/>
          <w:szCs w:val="18"/>
          <w:vertAlign w:val="superscript"/>
        </w:rPr>
        <w:footnoteRef/>
      </w:r>
      <w:r w:rsidRPr="00B4087D">
        <w:rPr>
          <w:rFonts w:ascii="Arial" w:eastAsia="Arial" w:hAnsi="Arial" w:cs="Arial"/>
          <w:color w:val="000000"/>
          <w:sz w:val="18"/>
          <w:szCs w:val="18"/>
        </w:rPr>
        <w:t xml:space="preserve"> DÁVILA VINUEZA, Luis Guillermo. Régimen jurídico de la contratación estatal. Tercera edición, Bogotá: Legis, 2016. p. 355.</w:t>
      </w:r>
    </w:p>
    <w:p w14:paraId="356F0DD3" w14:textId="77777777" w:rsidR="00252793" w:rsidRPr="00B4087D" w:rsidRDefault="00252793" w:rsidP="00252793">
      <w:pPr>
        <w:pBdr>
          <w:top w:val="nil"/>
          <w:left w:val="nil"/>
          <w:bottom w:val="nil"/>
          <w:right w:val="nil"/>
          <w:between w:val="nil"/>
        </w:pBdr>
        <w:spacing w:after="0" w:line="240" w:lineRule="auto"/>
        <w:ind w:firstLine="709"/>
        <w:contextualSpacing/>
        <w:jc w:val="both"/>
        <w:rPr>
          <w:rFonts w:ascii="Arial" w:eastAsia="Arial" w:hAnsi="Arial" w:cs="Arial"/>
          <w:color w:val="000000"/>
          <w:sz w:val="18"/>
          <w:szCs w:val="18"/>
        </w:rPr>
      </w:pPr>
    </w:p>
  </w:footnote>
  <w:footnote w:id="4">
    <w:p w14:paraId="00722C40" w14:textId="77777777" w:rsidR="00252793" w:rsidRPr="00B4087D" w:rsidRDefault="00252793" w:rsidP="00252793">
      <w:pPr>
        <w:pBdr>
          <w:top w:val="nil"/>
          <w:left w:val="nil"/>
          <w:bottom w:val="nil"/>
          <w:right w:val="nil"/>
          <w:between w:val="nil"/>
        </w:pBdr>
        <w:spacing w:after="0" w:line="240" w:lineRule="auto"/>
        <w:ind w:firstLine="709"/>
        <w:contextualSpacing/>
        <w:jc w:val="both"/>
        <w:rPr>
          <w:rFonts w:ascii="Arial" w:eastAsia="Arial" w:hAnsi="Arial" w:cs="Arial"/>
          <w:color w:val="000000"/>
          <w:sz w:val="18"/>
          <w:szCs w:val="18"/>
        </w:rPr>
      </w:pPr>
      <w:r w:rsidRPr="00B4087D">
        <w:rPr>
          <w:rFonts w:ascii="Arial" w:hAnsi="Arial" w:cs="Arial"/>
          <w:sz w:val="18"/>
          <w:szCs w:val="18"/>
          <w:vertAlign w:val="superscript"/>
        </w:rPr>
        <w:footnoteRef/>
      </w:r>
      <w:r w:rsidRPr="00B4087D">
        <w:rPr>
          <w:rFonts w:ascii="Arial" w:eastAsia="Arial" w:hAnsi="Arial" w:cs="Arial"/>
          <w:color w:val="000000"/>
          <w:sz w:val="18"/>
          <w:szCs w:val="18"/>
        </w:rPr>
        <w:t xml:space="preserve"> RODRÍGUEZ TAMAYO, Mauricio F. Evaluación y rechazo de ofertas en la Ley 80 de 1993. Primera edición. Medellín: Librería Jurídica Sánchez, 2016. pp. 110-111.</w:t>
      </w:r>
    </w:p>
    <w:p w14:paraId="37184980" w14:textId="77777777" w:rsidR="00252793" w:rsidRPr="00B4087D" w:rsidRDefault="00252793" w:rsidP="00252793">
      <w:pPr>
        <w:pBdr>
          <w:top w:val="nil"/>
          <w:left w:val="nil"/>
          <w:bottom w:val="nil"/>
          <w:right w:val="nil"/>
          <w:between w:val="nil"/>
        </w:pBdr>
        <w:spacing w:after="0" w:line="240" w:lineRule="auto"/>
        <w:ind w:firstLine="709"/>
        <w:contextualSpacing/>
        <w:jc w:val="both"/>
        <w:rPr>
          <w:rFonts w:ascii="Arial" w:eastAsia="Arial" w:hAnsi="Arial" w:cs="Arial"/>
          <w:color w:val="000000"/>
          <w:sz w:val="18"/>
          <w:szCs w:val="18"/>
        </w:rPr>
      </w:pPr>
    </w:p>
  </w:footnote>
  <w:footnote w:id="5">
    <w:p w14:paraId="39C87A75" w14:textId="77777777" w:rsidR="00252793" w:rsidRPr="00B4087D" w:rsidRDefault="00252793" w:rsidP="00252793">
      <w:pPr>
        <w:pBdr>
          <w:top w:val="nil"/>
          <w:left w:val="nil"/>
          <w:bottom w:val="nil"/>
          <w:right w:val="nil"/>
          <w:between w:val="nil"/>
        </w:pBdr>
        <w:spacing w:after="0" w:line="240" w:lineRule="auto"/>
        <w:ind w:firstLine="709"/>
        <w:contextualSpacing/>
        <w:jc w:val="both"/>
        <w:rPr>
          <w:rFonts w:ascii="Arial" w:eastAsia="Arial" w:hAnsi="Arial" w:cs="Arial"/>
          <w:color w:val="000000"/>
          <w:sz w:val="18"/>
          <w:szCs w:val="18"/>
        </w:rPr>
      </w:pPr>
      <w:r w:rsidRPr="00B4087D">
        <w:rPr>
          <w:rFonts w:ascii="Arial" w:hAnsi="Arial" w:cs="Arial"/>
          <w:sz w:val="18"/>
          <w:szCs w:val="18"/>
          <w:vertAlign w:val="superscript"/>
        </w:rPr>
        <w:footnoteRef/>
      </w:r>
      <w:r w:rsidRPr="00B4087D">
        <w:rPr>
          <w:rFonts w:ascii="Arial" w:eastAsia="Arial" w:hAnsi="Arial" w:cs="Arial"/>
          <w:color w:val="000000"/>
          <w:sz w:val="18"/>
          <w:szCs w:val="18"/>
        </w:rPr>
        <w:t xml:space="preserve"> EXPÓSITO VELEZ, Juan C., El deber de selección objetiva, en: Del contrato estatal a los sistemas de compras públicas, por COVILLA MARTINEZ Juan C. y LOZANO VILLEGAS Germán (Eds.). Universidad Externado de Colombia, Bogotá, 2019. págs. 118-184.</w:t>
      </w:r>
    </w:p>
    <w:p w14:paraId="5B0EC055" w14:textId="77777777" w:rsidR="00252793" w:rsidRPr="00B4087D" w:rsidRDefault="00252793" w:rsidP="00252793">
      <w:pPr>
        <w:pBdr>
          <w:top w:val="nil"/>
          <w:left w:val="nil"/>
          <w:bottom w:val="nil"/>
          <w:right w:val="nil"/>
          <w:between w:val="nil"/>
        </w:pBdr>
        <w:spacing w:after="0" w:line="240" w:lineRule="auto"/>
        <w:ind w:firstLine="709"/>
        <w:contextualSpacing/>
        <w:jc w:val="both"/>
        <w:rPr>
          <w:rFonts w:ascii="Arial" w:eastAsia="Arial" w:hAnsi="Arial" w:cs="Arial"/>
          <w:color w:val="000000"/>
          <w:sz w:val="18"/>
          <w:szCs w:val="18"/>
        </w:rPr>
      </w:pPr>
    </w:p>
  </w:footnote>
  <w:footnote w:id="6">
    <w:p w14:paraId="5FF550F2" w14:textId="77777777" w:rsidR="00252793" w:rsidRPr="00B4087D" w:rsidRDefault="00252793" w:rsidP="00252793">
      <w:pPr>
        <w:pBdr>
          <w:top w:val="nil"/>
          <w:left w:val="nil"/>
          <w:bottom w:val="nil"/>
          <w:right w:val="nil"/>
          <w:between w:val="nil"/>
        </w:pBdr>
        <w:spacing w:after="0" w:line="240" w:lineRule="auto"/>
        <w:ind w:firstLine="709"/>
        <w:contextualSpacing/>
        <w:jc w:val="both"/>
        <w:rPr>
          <w:rFonts w:ascii="Arial" w:eastAsia="Arial" w:hAnsi="Arial" w:cs="Arial"/>
          <w:color w:val="000000"/>
          <w:sz w:val="18"/>
          <w:szCs w:val="18"/>
        </w:rPr>
      </w:pPr>
      <w:r w:rsidRPr="00B4087D">
        <w:rPr>
          <w:rFonts w:ascii="Arial" w:hAnsi="Arial" w:cs="Arial"/>
          <w:sz w:val="18"/>
          <w:szCs w:val="18"/>
          <w:vertAlign w:val="superscript"/>
        </w:rPr>
        <w:footnoteRef/>
      </w:r>
      <w:r w:rsidRPr="00B4087D">
        <w:rPr>
          <w:rFonts w:ascii="Arial" w:eastAsia="Arial" w:hAnsi="Arial" w:cs="Arial"/>
          <w:i/>
          <w:color w:val="000000"/>
          <w:sz w:val="18"/>
          <w:szCs w:val="18"/>
        </w:rPr>
        <w:t xml:space="preserve"> Ibídem.</w:t>
      </w:r>
    </w:p>
  </w:footnote>
  <w:footnote w:id="7">
    <w:p w14:paraId="612F4C79" w14:textId="1739FD80" w:rsidR="00252793" w:rsidRPr="00B4087D" w:rsidRDefault="00252793" w:rsidP="00252793">
      <w:pPr>
        <w:spacing w:after="0" w:line="240" w:lineRule="auto"/>
        <w:ind w:firstLine="709"/>
        <w:contextualSpacing/>
        <w:jc w:val="both"/>
        <w:rPr>
          <w:rFonts w:ascii="Arial" w:eastAsia="Arial" w:hAnsi="Arial" w:cs="Arial"/>
          <w:sz w:val="18"/>
          <w:szCs w:val="18"/>
        </w:rPr>
      </w:pPr>
      <w:r w:rsidRPr="00B4087D">
        <w:rPr>
          <w:rFonts w:ascii="Arial" w:hAnsi="Arial" w:cs="Arial"/>
          <w:sz w:val="18"/>
          <w:szCs w:val="18"/>
          <w:vertAlign w:val="superscript"/>
        </w:rPr>
        <w:footnoteRef/>
      </w:r>
      <w:r w:rsidRPr="00B4087D">
        <w:rPr>
          <w:rFonts w:ascii="Arial" w:eastAsia="Arial" w:hAnsi="Arial" w:cs="Arial"/>
          <w:sz w:val="18"/>
          <w:szCs w:val="18"/>
        </w:rPr>
        <w:t xml:space="preserve"> Decreto 1082 de 2015 </w:t>
      </w:r>
      <w:r w:rsidR="00180E62">
        <w:rPr>
          <w:rFonts w:ascii="Arial" w:eastAsia="Arial" w:hAnsi="Arial" w:cs="Arial"/>
          <w:sz w:val="18"/>
          <w:szCs w:val="18"/>
        </w:rPr>
        <w:t>“</w:t>
      </w:r>
      <w:r w:rsidRPr="00B4087D">
        <w:rPr>
          <w:rFonts w:ascii="Arial" w:eastAsia="Arial" w:hAnsi="Arial" w:cs="Arial"/>
          <w:sz w:val="18"/>
          <w:szCs w:val="18"/>
        </w:rPr>
        <w:t>Artículo 2.2.1.1.2.2.2. Ofrecimiento más favorable. La Entidad Estatal debe determinar la oferta más favorable teniendo en cuenta las normas aplicables a cada modalidad de selección del contratista. </w:t>
      </w:r>
    </w:p>
    <w:p w14:paraId="6E95A1C2" w14:textId="7FA61430" w:rsidR="00252793" w:rsidRPr="00B4087D" w:rsidRDefault="00252793" w:rsidP="00252793">
      <w:pPr>
        <w:spacing w:after="0" w:line="240" w:lineRule="auto"/>
        <w:ind w:firstLine="709"/>
        <w:contextualSpacing/>
        <w:jc w:val="both"/>
        <w:rPr>
          <w:rFonts w:ascii="Arial" w:eastAsia="Arial" w:hAnsi="Arial" w:cs="Arial"/>
          <w:sz w:val="18"/>
          <w:szCs w:val="18"/>
        </w:rPr>
      </w:pPr>
      <w:r w:rsidRPr="00B4087D">
        <w:rPr>
          <w:rFonts w:ascii="Arial" w:eastAsia="Arial" w:hAnsi="Arial" w:cs="Arial"/>
          <w:sz w:val="18"/>
          <w:szCs w:val="18"/>
        </w:rPr>
        <w:t>  En la licitación y la selección abreviada de menor cuantía, la Entidad Estatal debe determinar la oferta más favorable teniendo en cuenta: (a) la ponderación de los elementos de calidad y precio soportados en puntajes o fórmulas; o (b) la ponderación de los elementos de calidad y precio que representen la mejor relación de costo-beneficio. Si la Entidad Estatal decide determinar la oferta de acuerdo con el literal (b) anterior debe señalar en los pliegos de condiciones: </w:t>
      </w:r>
    </w:p>
    <w:p w14:paraId="7D6B8D94" w14:textId="2161775E" w:rsidR="00252793" w:rsidRPr="00B4087D" w:rsidRDefault="00252793" w:rsidP="00252793">
      <w:pPr>
        <w:spacing w:after="0" w:line="240" w:lineRule="auto"/>
        <w:ind w:firstLine="709"/>
        <w:contextualSpacing/>
        <w:jc w:val="both"/>
        <w:rPr>
          <w:rFonts w:ascii="Arial" w:eastAsia="Arial" w:hAnsi="Arial" w:cs="Arial"/>
          <w:sz w:val="18"/>
          <w:szCs w:val="18"/>
        </w:rPr>
      </w:pPr>
      <w:r w:rsidRPr="00B4087D">
        <w:rPr>
          <w:rFonts w:ascii="Arial" w:eastAsia="Arial" w:hAnsi="Arial" w:cs="Arial"/>
          <w:sz w:val="18"/>
          <w:szCs w:val="18"/>
        </w:rPr>
        <w:t>  1. Las condiciones técnicas y económicas mínimas de la oferta. </w:t>
      </w:r>
    </w:p>
    <w:p w14:paraId="22235B95" w14:textId="332D036D" w:rsidR="00252793" w:rsidRPr="00B4087D" w:rsidRDefault="00252793" w:rsidP="00252793">
      <w:pPr>
        <w:spacing w:after="0" w:line="240" w:lineRule="auto"/>
        <w:ind w:firstLine="709"/>
        <w:contextualSpacing/>
        <w:jc w:val="both"/>
        <w:rPr>
          <w:rFonts w:ascii="Arial" w:eastAsia="Arial" w:hAnsi="Arial" w:cs="Arial"/>
          <w:sz w:val="18"/>
          <w:szCs w:val="18"/>
        </w:rPr>
      </w:pPr>
      <w:r w:rsidRPr="00B4087D">
        <w:rPr>
          <w:rFonts w:ascii="Arial" w:eastAsia="Arial" w:hAnsi="Arial" w:cs="Arial"/>
          <w:sz w:val="18"/>
          <w:szCs w:val="18"/>
        </w:rPr>
        <w:t>  2. Las condiciones técnicas adicionales que representan ventajas de calidad o de funcionamiento, tales como el uso de tecnología o materiales que generen mayor eficiencia, rendimiento o duración del bien, obra o servicio. </w:t>
      </w:r>
    </w:p>
    <w:p w14:paraId="417D1D80" w14:textId="60E941DD" w:rsidR="00252793" w:rsidRPr="00B4087D" w:rsidRDefault="00252793" w:rsidP="00252793">
      <w:pPr>
        <w:spacing w:after="0" w:line="240" w:lineRule="auto"/>
        <w:ind w:firstLine="709"/>
        <w:contextualSpacing/>
        <w:jc w:val="both"/>
        <w:rPr>
          <w:rFonts w:ascii="Arial" w:eastAsia="Arial" w:hAnsi="Arial" w:cs="Arial"/>
          <w:sz w:val="18"/>
          <w:szCs w:val="18"/>
        </w:rPr>
      </w:pPr>
      <w:r w:rsidRPr="00B4087D">
        <w:rPr>
          <w:rFonts w:ascii="Arial" w:eastAsia="Arial" w:hAnsi="Arial" w:cs="Arial"/>
          <w:sz w:val="18"/>
          <w:szCs w:val="18"/>
        </w:rPr>
        <w:t>  3. Las condiciones económicas adicionales que representen ventajas en términos de economía, eficiencia y eficacia, que puedan ser valoradas en dinero, como por ejemplo la forma de pago, descuentos por adjudicación de varios lotes, descuentos por variaciones en programas de entregas, mayor garantía del bien o servicio respecto de la mínima requerida, impacto económico sobre las condiciones existentes de la Entidad Estatal relacionadas con el objeto a contratar, mayor asunción de los Riesgos, servicios o bienes adicionales y que representen un mayor grado de satisfacción para la entidad, entre otras. </w:t>
      </w:r>
    </w:p>
    <w:p w14:paraId="77E17E14" w14:textId="6F90B03F" w:rsidR="00252793" w:rsidRPr="00B4087D" w:rsidRDefault="00252793" w:rsidP="00252793">
      <w:pPr>
        <w:spacing w:after="0" w:line="240" w:lineRule="auto"/>
        <w:ind w:firstLine="709"/>
        <w:contextualSpacing/>
        <w:jc w:val="both"/>
        <w:rPr>
          <w:rFonts w:ascii="Arial" w:eastAsia="Arial" w:hAnsi="Arial" w:cs="Arial"/>
          <w:sz w:val="18"/>
          <w:szCs w:val="18"/>
        </w:rPr>
      </w:pPr>
      <w:r w:rsidRPr="00B4087D">
        <w:rPr>
          <w:rFonts w:ascii="Arial" w:eastAsia="Arial" w:hAnsi="Arial" w:cs="Arial"/>
          <w:sz w:val="18"/>
          <w:szCs w:val="18"/>
        </w:rPr>
        <w:t>  4. El valor en dinero que la Entidad Estatal asigna a cada ofrecimiento técnico o económico adicional, para permitir la ponderación de las ofertas presentadas. </w:t>
      </w:r>
    </w:p>
    <w:p w14:paraId="20AEC984" w14:textId="7EE3FF6A" w:rsidR="00252793" w:rsidRPr="00B4087D" w:rsidRDefault="00252793" w:rsidP="00252793">
      <w:pPr>
        <w:spacing w:after="0" w:line="240" w:lineRule="auto"/>
        <w:ind w:firstLine="709"/>
        <w:contextualSpacing/>
        <w:jc w:val="both"/>
        <w:rPr>
          <w:rFonts w:ascii="Arial" w:eastAsia="Arial" w:hAnsi="Arial" w:cs="Arial"/>
          <w:sz w:val="18"/>
          <w:szCs w:val="18"/>
        </w:rPr>
      </w:pPr>
      <w:r w:rsidRPr="00B4087D">
        <w:rPr>
          <w:rFonts w:ascii="Arial" w:eastAsia="Arial" w:hAnsi="Arial" w:cs="Arial"/>
          <w:sz w:val="18"/>
          <w:szCs w:val="18"/>
        </w:rPr>
        <w:t>  La Entidad Estatal debe calcular la relación costo-beneficio de cada oferta restando del precio total ofrecido los valores monetarios asignados a cada una de las condiciones técnicas y económicas adicionales ofrecidas. La mejor relación costo-beneficio para la Entidad Estatal es la de la oferta que una vez aplicada la metodología anterior tenga el resultado más bajo. </w:t>
      </w:r>
    </w:p>
    <w:p w14:paraId="6C75975B" w14:textId="06A0973F" w:rsidR="00252793" w:rsidRPr="00B4087D" w:rsidRDefault="00252793" w:rsidP="00252793">
      <w:pPr>
        <w:spacing w:after="0" w:line="240" w:lineRule="auto"/>
        <w:ind w:firstLine="709"/>
        <w:contextualSpacing/>
        <w:jc w:val="both"/>
        <w:rPr>
          <w:rFonts w:ascii="Arial" w:eastAsia="Arial" w:hAnsi="Arial" w:cs="Arial"/>
          <w:sz w:val="18"/>
          <w:szCs w:val="18"/>
        </w:rPr>
      </w:pPr>
      <w:r w:rsidRPr="00B4087D">
        <w:rPr>
          <w:rFonts w:ascii="Arial" w:eastAsia="Arial" w:hAnsi="Arial" w:cs="Arial"/>
          <w:sz w:val="18"/>
          <w:szCs w:val="18"/>
        </w:rPr>
        <w:t>  La Entidad Estatal debe adjudicar al oferente que presentó la oferta con la mejor relación costo-beneficio y suscribir el contrato por el precio total ofrecido</w:t>
      </w:r>
      <w:r w:rsidR="00DF3F2E">
        <w:rPr>
          <w:rFonts w:ascii="Arial" w:eastAsia="Arial" w:hAnsi="Arial" w:cs="Arial"/>
          <w:sz w:val="18"/>
          <w:szCs w:val="18"/>
        </w:rPr>
        <w:t>”</w:t>
      </w:r>
      <w:r w:rsidRPr="00B4087D">
        <w:rPr>
          <w:rFonts w:ascii="Arial" w:eastAsia="Arial" w:hAnsi="Arial" w:cs="Arial"/>
          <w:sz w:val="18"/>
          <w:szCs w:val="18"/>
        </w:rPr>
        <w:t>. </w:t>
      </w:r>
    </w:p>
  </w:footnote>
  <w:footnote w:id="8">
    <w:p w14:paraId="763C660E" w14:textId="77777777" w:rsidR="00252793" w:rsidRDefault="00252793" w:rsidP="00252793">
      <w:pPr>
        <w:pBdr>
          <w:top w:val="nil"/>
          <w:left w:val="nil"/>
          <w:bottom w:val="nil"/>
          <w:right w:val="nil"/>
          <w:between w:val="nil"/>
        </w:pBdr>
        <w:spacing w:after="0" w:line="240" w:lineRule="auto"/>
        <w:ind w:firstLine="709"/>
        <w:contextualSpacing/>
        <w:jc w:val="both"/>
        <w:rPr>
          <w:rFonts w:ascii="Arial" w:eastAsia="Arial" w:hAnsi="Arial" w:cs="Arial"/>
          <w:color w:val="000000"/>
          <w:sz w:val="18"/>
          <w:szCs w:val="18"/>
        </w:rPr>
      </w:pPr>
      <w:r w:rsidRPr="00B4087D">
        <w:rPr>
          <w:rFonts w:ascii="Arial" w:hAnsi="Arial" w:cs="Arial"/>
          <w:sz w:val="18"/>
          <w:szCs w:val="18"/>
          <w:vertAlign w:val="superscript"/>
        </w:rPr>
        <w:footnoteRef/>
      </w:r>
      <w:r w:rsidRPr="00B4087D">
        <w:rPr>
          <w:rFonts w:ascii="Arial" w:eastAsia="Arial" w:hAnsi="Arial" w:cs="Arial"/>
          <w:color w:val="000000"/>
          <w:sz w:val="18"/>
          <w:szCs w:val="18"/>
        </w:rPr>
        <w:t xml:space="preserve"> Consejo de Estado. Sección Tercera. Subsección A. Sentencia del 25 de octubre de 2019. Exp. 39.945. Consejera Ponente: María Adriana Marín.</w:t>
      </w:r>
    </w:p>
    <w:p w14:paraId="27B64878" w14:textId="77777777" w:rsidR="00DF3F2E" w:rsidRPr="00B4087D" w:rsidRDefault="00DF3F2E" w:rsidP="00252793">
      <w:pPr>
        <w:pBdr>
          <w:top w:val="nil"/>
          <w:left w:val="nil"/>
          <w:bottom w:val="nil"/>
          <w:right w:val="nil"/>
          <w:between w:val="nil"/>
        </w:pBdr>
        <w:spacing w:after="0" w:line="240" w:lineRule="auto"/>
        <w:ind w:firstLine="709"/>
        <w:contextualSpacing/>
        <w:jc w:val="both"/>
        <w:rPr>
          <w:rFonts w:ascii="Arial" w:eastAsia="Arial" w:hAnsi="Arial" w:cs="Arial"/>
          <w:color w:val="000000"/>
          <w:sz w:val="18"/>
          <w:szCs w:val="18"/>
        </w:rPr>
      </w:pPr>
    </w:p>
  </w:footnote>
  <w:footnote w:id="9">
    <w:p w14:paraId="06242BCA" w14:textId="77777777" w:rsidR="00252793" w:rsidRDefault="00252793" w:rsidP="00252793">
      <w:pPr>
        <w:pBdr>
          <w:top w:val="nil"/>
          <w:left w:val="nil"/>
          <w:bottom w:val="nil"/>
          <w:right w:val="nil"/>
          <w:between w:val="nil"/>
        </w:pBdr>
        <w:spacing w:after="0" w:line="240" w:lineRule="auto"/>
        <w:ind w:firstLine="709"/>
        <w:contextualSpacing/>
        <w:jc w:val="both"/>
        <w:rPr>
          <w:rFonts w:ascii="Arial" w:eastAsia="Arial" w:hAnsi="Arial" w:cs="Arial"/>
          <w:color w:val="000000"/>
          <w:sz w:val="18"/>
          <w:szCs w:val="18"/>
        </w:rPr>
      </w:pPr>
      <w:r w:rsidRPr="00B4087D">
        <w:rPr>
          <w:rFonts w:ascii="Arial" w:hAnsi="Arial" w:cs="Arial"/>
          <w:sz w:val="18"/>
          <w:szCs w:val="18"/>
          <w:vertAlign w:val="superscript"/>
        </w:rPr>
        <w:footnoteRef/>
      </w:r>
      <w:r w:rsidRPr="00B4087D">
        <w:rPr>
          <w:rFonts w:ascii="Arial" w:eastAsia="Arial" w:hAnsi="Arial" w:cs="Arial"/>
          <w:color w:val="000000"/>
          <w:sz w:val="18"/>
          <w:szCs w:val="18"/>
          <w:vertAlign w:val="superscript"/>
        </w:rPr>
        <w:t xml:space="preserve"> </w:t>
      </w:r>
      <w:r w:rsidRPr="00B4087D">
        <w:rPr>
          <w:rFonts w:ascii="Arial" w:eastAsia="Arial" w:hAnsi="Arial" w:cs="Arial"/>
          <w:color w:val="000000"/>
          <w:sz w:val="18"/>
          <w:szCs w:val="18"/>
        </w:rPr>
        <w:t>Consejo de Estado. Sección Tercera. Subsección A. Sentencia del 5 de julio de 2018. Exp. 37.834. Consejero Ponente: Carlos Alberto Zambrano Barrera.</w:t>
      </w:r>
    </w:p>
    <w:p w14:paraId="7E4A2A21" w14:textId="77777777" w:rsidR="00DF3F2E" w:rsidRPr="00B4087D" w:rsidRDefault="00DF3F2E" w:rsidP="00252793">
      <w:pPr>
        <w:pBdr>
          <w:top w:val="nil"/>
          <w:left w:val="nil"/>
          <w:bottom w:val="nil"/>
          <w:right w:val="nil"/>
          <w:between w:val="nil"/>
        </w:pBdr>
        <w:spacing w:after="0" w:line="240" w:lineRule="auto"/>
        <w:ind w:firstLine="709"/>
        <w:contextualSpacing/>
        <w:jc w:val="both"/>
        <w:rPr>
          <w:rFonts w:ascii="Arial" w:eastAsia="Arial" w:hAnsi="Arial" w:cs="Arial"/>
          <w:color w:val="000000"/>
          <w:sz w:val="18"/>
          <w:szCs w:val="18"/>
        </w:rPr>
      </w:pPr>
    </w:p>
  </w:footnote>
  <w:footnote w:id="10">
    <w:p w14:paraId="34B08BDF" w14:textId="77777777" w:rsidR="00252793" w:rsidRPr="00B4087D" w:rsidRDefault="00252793" w:rsidP="00252793">
      <w:pPr>
        <w:pStyle w:val="Textonotapie"/>
        <w:ind w:firstLine="708"/>
        <w:contextualSpacing/>
        <w:jc w:val="both"/>
        <w:rPr>
          <w:rFonts w:ascii="Arial" w:hAnsi="Arial" w:cs="Arial"/>
          <w:sz w:val="18"/>
          <w:szCs w:val="18"/>
          <w:lang w:val="es-CO"/>
        </w:rPr>
      </w:pPr>
      <w:r w:rsidRPr="00B4087D">
        <w:rPr>
          <w:rStyle w:val="Refdenotaalpie"/>
          <w:rFonts w:ascii="Arial" w:hAnsi="Arial" w:cs="Arial"/>
          <w:sz w:val="18"/>
          <w:szCs w:val="18"/>
        </w:rPr>
        <w:footnoteRef/>
      </w:r>
      <w:r w:rsidRPr="00B4087D">
        <w:rPr>
          <w:rFonts w:ascii="Arial" w:hAnsi="Arial" w:cs="Arial"/>
          <w:sz w:val="18"/>
          <w:szCs w:val="18"/>
        </w:rPr>
        <w:t xml:space="preserve"> </w:t>
      </w:r>
      <w:r w:rsidRPr="00B4087D">
        <w:rPr>
          <w:rFonts w:ascii="Arial" w:hAnsi="Arial" w:cs="Arial"/>
          <w:sz w:val="18"/>
          <w:szCs w:val="18"/>
          <w:lang w:val="es-CO"/>
        </w:rPr>
        <w:t>DÁVILA VINUEZA, Luis Guillermo. Régimen jurídico de la contratación estatal. Tercera edición, Bogotá: Legis, 2016. p. 355.</w:t>
      </w:r>
    </w:p>
    <w:p w14:paraId="73F2B948" w14:textId="77777777" w:rsidR="00252793" w:rsidRPr="00B4087D" w:rsidRDefault="00252793" w:rsidP="00252793">
      <w:pPr>
        <w:pStyle w:val="Textonotapie"/>
        <w:ind w:firstLine="708"/>
        <w:contextualSpacing/>
        <w:jc w:val="both"/>
        <w:rPr>
          <w:rFonts w:ascii="Arial" w:hAnsi="Arial" w:cs="Arial"/>
          <w:sz w:val="18"/>
          <w:szCs w:val="18"/>
          <w:lang w:val="es-CO"/>
        </w:rPr>
      </w:pPr>
    </w:p>
  </w:footnote>
  <w:footnote w:id="11">
    <w:p w14:paraId="09C879A8" w14:textId="77777777" w:rsidR="0073095F" w:rsidRPr="00B4087D" w:rsidRDefault="0073095F" w:rsidP="0073095F">
      <w:pPr>
        <w:pBdr>
          <w:top w:val="nil"/>
          <w:left w:val="nil"/>
          <w:bottom w:val="nil"/>
          <w:right w:val="nil"/>
          <w:between w:val="nil"/>
        </w:pBdr>
        <w:spacing w:after="0" w:line="240" w:lineRule="auto"/>
        <w:ind w:firstLine="709"/>
        <w:contextualSpacing/>
        <w:jc w:val="both"/>
        <w:rPr>
          <w:rFonts w:ascii="Arial" w:eastAsia="Arial" w:hAnsi="Arial" w:cs="Arial"/>
          <w:color w:val="000000"/>
          <w:sz w:val="18"/>
          <w:szCs w:val="18"/>
        </w:rPr>
      </w:pPr>
      <w:r w:rsidRPr="00B4087D">
        <w:rPr>
          <w:rFonts w:ascii="Arial" w:hAnsi="Arial" w:cs="Arial"/>
          <w:sz w:val="18"/>
          <w:szCs w:val="18"/>
          <w:vertAlign w:val="superscript"/>
        </w:rPr>
        <w:footnoteRef/>
      </w:r>
      <w:r w:rsidRPr="00B4087D">
        <w:rPr>
          <w:rFonts w:ascii="Arial" w:eastAsia="Arial" w:hAnsi="Arial" w:cs="Arial"/>
          <w:color w:val="000000"/>
          <w:sz w:val="18"/>
          <w:szCs w:val="18"/>
        </w:rPr>
        <w:t xml:space="preserve"> RODRÍGUEZ TAMAYO, Mauricio F. Evaluación y rechazo de ofertas en la Ley 80 de 1993. Primera edición. Medellín: Librería Jurídica Sánchez, 2016. pp. 110-111.</w:t>
      </w:r>
    </w:p>
    <w:p w14:paraId="6AEFE1F1" w14:textId="77777777" w:rsidR="0073095F" w:rsidRPr="00B4087D" w:rsidRDefault="0073095F" w:rsidP="0073095F">
      <w:pPr>
        <w:pBdr>
          <w:top w:val="nil"/>
          <w:left w:val="nil"/>
          <w:bottom w:val="nil"/>
          <w:right w:val="nil"/>
          <w:between w:val="nil"/>
        </w:pBdr>
        <w:spacing w:after="0" w:line="240" w:lineRule="auto"/>
        <w:ind w:firstLine="709"/>
        <w:contextualSpacing/>
        <w:jc w:val="both"/>
        <w:rPr>
          <w:rFonts w:ascii="Arial" w:eastAsia="Arial" w:hAnsi="Arial" w:cs="Arial"/>
          <w:color w:val="000000"/>
          <w:sz w:val="18"/>
          <w:szCs w:val="18"/>
        </w:rPr>
      </w:pPr>
    </w:p>
  </w:footnote>
  <w:footnote w:id="12">
    <w:p w14:paraId="0FBBD86F" w14:textId="77777777" w:rsidR="0073095F" w:rsidRPr="00B4087D" w:rsidRDefault="0073095F" w:rsidP="0073095F">
      <w:pPr>
        <w:pBdr>
          <w:top w:val="nil"/>
          <w:left w:val="nil"/>
          <w:bottom w:val="nil"/>
          <w:right w:val="nil"/>
          <w:between w:val="nil"/>
        </w:pBdr>
        <w:spacing w:after="0" w:line="240" w:lineRule="auto"/>
        <w:ind w:firstLine="709"/>
        <w:contextualSpacing/>
        <w:jc w:val="both"/>
        <w:rPr>
          <w:rFonts w:ascii="Arial" w:eastAsia="Arial" w:hAnsi="Arial" w:cs="Arial"/>
          <w:color w:val="000000"/>
          <w:sz w:val="18"/>
          <w:szCs w:val="18"/>
        </w:rPr>
      </w:pPr>
      <w:r w:rsidRPr="00B4087D">
        <w:rPr>
          <w:rFonts w:ascii="Arial" w:hAnsi="Arial" w:cs="Arial"/>
          <w:sz w:val="18"/>
          <w:szCs w:val="18"/>
          <w:vertAlign w:val="superscript"/>
        </w:rPr>
        <w:footnoteRef/>
      </w:r>
      <w:r w:rsidRPr="00B4087D">
        <w:rPr>
          <w:rFonts w:ascii="Arial" w:eastAsia="Arial" w:hAnsi="Arial" w:cs="Arial"/>
          <w:color w:val="000000"/>
          <w:sz w:val="18"/>
          <w:szCs w:val="18"/>
        </w:rPr>
        <w:t xml:space="preserve"> EXPÓSITO VELEZ, Juan C., El deber de selección objetiva, en: Del contrato estatal a los sistemas de compras públicas, por COVILLA MARTINEZ Juan C. y LOZANO VILLEGAS Germán (Eds.). Universidad Externado de Colombia, Bogotá, 2019. págs. 118-184.</w:t>
      </w:r>
    </w:p>
    <w:p w14:paraId="346AD3CC" w14:textId="77777777" w:rsidR="0073095F" w:rsidRPr="00B4087D" w:rsidRDefault="0073095F" w:rsidP="0073095F">
      <w:pPr>
        <w:pBdr>
          <w:top w:val="nil"/>
          <w:left w:val="nil"/>
          <w:bottom w:val="nil"/>
          <w:right w:val="nil"/>
          <w:between w:val="nil"/>
        </w:pBdr>
        <w:spacing w:after="0" w:line="240" w:lineRule="auto"/>
        <w:ind w:firstLine="709"/>
        <w:contextualSpacing/>
        <w:jc w:val="both"/>
        <w:rPr>
          <w:rFonts w:ascii="Arial" w:eastAsia="Arial" w:hAnsi="Arial" w:cs="Arial"/>
          <w:color w:val="000000"/>
          <w:sz w:val="18"/>
          <w:szCs w:val="18"/>
        </w:rPr>
      </w:pPr>
    </w:p>
  </w:footnote>
  <w:footnote w:id="13">
    <w:p w14:paraId="014BF8CD" w14:textId="77777777" w:rsidR="0073095F" w:rsidRPr="00B4087D" w:rsidRDefault="0073095F" w:rsidP="0073095F">
      <w:pPr>
        <w:pBdr>
          <w:top w:val="nil"/>
          <w:left w:val="nil"/>
          <w:bottom w:val="nil"/>
          <w:right w:val="nil"/>
          <w:between w:val="nil"/>
        </w:pBdr>
        <w:spacing w:after="0" w:line="240" w:lineRule="auto"/>
        <w:ind w:firstLine="709"/>
        <w:contextualSpacing/>
        <w:jc w:val="both"/>
        <w:rPr>
          <w:rFonts w:ascii="Arial" w:eastAsia="Arial" w:hAnsi="Arial" w:cs="Arial"/>
          <w:color w:val="000000"/>
          <w:sz w:val="18"/>
          <w:szCs w:val="18"/>
        </w:rPr>
      </w:pPr>
      <w:r w:rsidRPr="00B4087D">
        <w:rPr>
          <w:rFonts w:ascii="Arial" w:hAnsi="Arial" w:cs="Arial"/>
          <w:sz w:val="18"/>
          <w:szCs w:val="18"/>
          <w:vertAlign w:val="superscript"/>
        </w:rPr>
        <w:footnoteRef/>
      </w:r>
      <w:r w:rsidRPr="00B4087D">
        <w:rPr>
          <w:rFonts w:ascii="Arial" w:eastAsia="Arial" w:hAnsi="Arial" w:cs="Arial"/>
          <w:i/>
          <w:color w:val="000000"/>
          <w:sz w:val="18"/>
          <w:szCs w:val="18"/>
        </w:rPr>
        <w:t xml:space="preserve"> Ibídem.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12154" w14:textId="43B6B0B6" w:rsidR="00756841" w:rsidRDefault="00961B09">
    <w:pPr>
      <w:pStyle w:val="Encabezado"/>
    </w:pPr>
    <w:r>
      <w:rPr>
        <w:noProof/>
      </w:rPr>
      <w:drawing>
        <wp:anchor distT="0" distB="0" distL="114300" distR="114300" simplePos="0" relativeHeight="251658240" behindDoc="1" locked="0" layoutInCell="1" allowOverlap="1" wp14:anchorId="748FC4A6" wp14:editId="75ADBD22">
          <wp:simplePos x="0" y="0"/>
          <wp:positionH relativeFrom="margin">
            <wp:align>right</wp:align>
          </wp:positionH>
          <wp:positionV relativeFrom="margin">
            <wp:posOffset>-1135380</wp:posOffset>
          </wp:positionV>
          <wp:extent cx="1757045" cy="628650"/>
          <wp:effectExtent l="0" t="0" r="0" b="0"/>
          <wp:wrapNone/>
          <wp:docPr id="864305913" name="Imagen 864305913"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4305913" name="Imagen 7" descr="Imagen que contiene 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757045" cy="628650"/>
                  </a:xfrm>
                  <a:prstGeom prst="rect">
                    <a:avLst/>
                  </a:prstGeom>
                </pic:spPr>
              </pic:pic>
            </a:graphicData>
          </a:graphic>
          <wp14:sizeRelH relativeFrom="margin">
            <wp14:pctWidth>0</wp14:pctWidth>
          </wp14:sizeRelH>
          <wp14:sizeRelV relativeFrom="margin">
            <wp14:pctHeight>0</wp14:pctHeight>
          </wp14:sizeRelV>
        </wp:anchor>
      </w:drawing>
    </w:r>
    <w:r w:rsidR="002962BC" w:rsidRPr="00852E0B">
      <w:rPr>
        <w:rFonts w:ascii="Geomanist Bold" w:hAnsi="Geomanist Bold"/>
        <w:b/>
        <w:bCs/>
        <w:noProof/>
        <w:color w:val="46589C"/>
        <w:sz w:val="24"/>
        <w:szCs w:val="24"/>
      </w:rPr>
      <w:drawing>
        <wp:anchor distT="0" distB="0" distL="114300" distR="114300" simplePos="0" relativeHeight="251658244" behindDoc="0" locked="0" layoutInCell="1" allowOverlap="1" wp14:anchorId="7E9042C1" wp14:editId="4CC480E9">
          <wp:simplePos x="0" y="0"/>
          <wp:positionH relativeFrom="page">
            <wp:posOffset>7338060</wp:posOffset>
          </wp:positionH>
          <wp:positionV relativeFrom="margin">
            <wp:posOffset>-1644650</wp:posOffset>
          </wp:positionV>
          <wp:extent cx="665480" cy="3098800"/>
          <wp:effectExtent l="0" t="0" r="1270" b="6350"/>
          <wp:wrapThrough wrapText="bothSides">
            <wp:wrapPolygon edited="0">
              <wp:start x="4947" y="0"/>
              <wp:lineTo x="0" y="1328"/>
              <wp:lineTo x="0" y="1593"/>
              <wp:lineTo x="2473" y="2125"/>
              <wp:lineTo x="0" y="4648"/>
              <wp:lineTo x="0" y="4913"/>
              <wp:lineTo x="5565" y="6374"/>
              <wp:lineTo x="0" y="7967"/>
              <wp:lineTo x="0" y="11818"/>
              <wp:lineTo x="3092" y="12748"/>
              <wp:lineTo x="0" y="14739"/>
              <wp:lineTo x="0" y="15138"/>
              <wp:lineTo x="3710" y="16997"/>
              <wp:lineTo x="0" y="17926"/>
              <wp:lineTo x="0" y="18590"/>
              <wp:lineTo x="1237" y="19121"/>
              <wp:lineTo x="9275" y="21246"/>
              <wp:lineTo x="11130" y="21511"/>
              <wp:lineTo x="15458" y="21511"/>
              <wp:lineTo x="21023" y="20184"/>
              <wp:lineTo x="21023" y="19918"/>
              <wp:lineTo x="17931" y="19121"/>
              <wp:lineTo x="21023" y="16864"/>
              <wp:lineTo x="21023" y="16466"/>
              <wp:lineTo x="14221" y="14872"/>
              <wp:lineTo x="21023" y="13544"/>
              <wp:lineTo x="21023" y="9693"/>
              <wp:lineTo x="16076" y="8498"/>
              <wp:lineTo x="21023" y="6772"/>
              <wp:lineTo x="21023" y="6241"/>
              <wp:lineTo x="17931" y="4249"/>
              <wp:lineTo x="21023" y="3452"/>
              <wp:lineTo x="21023" y="2789"/>
              <wp:lineTo x="9275" y="0"/>
              <wp:lineTo x="4947" y="0"/>
            </wp:wrapPolygon>
          </wp:wrapThrough>
          <wp:docPr id="1644356580" name="Imagen 1644356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rPr>
      <w:drawing>
        <wp:anchor distT="0" distB="0" distL="114300" distR="114300" simplePos="0" relativeHeight="251658242" behindDoc="0" locked="0" layoutInCell="1" allowOverlap="1" wp14:anchorId="4F745D08" wp14:editId="59122E37">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r w:rsidR="00FB5DD1">
      <w:rPr>
        <w:noProof/>
      </w:rPr>
      <w:drawing>
        <wp:anchor distT="0" distB="0" distL="114300" distR="114300" simplePos="0" relativeHeight="251658241" behindDoc="0" locked="0" layoutInCell="1" allowOverlap="1" wp14:anchorId="38EA71DA" wp14:editId="78EBA255">
          <wp:simplePos x="0" y="0"/>
          <wp:positionH relativeFrom="margin">
            <wp:align>left</wp:align>
          </wp:positionH>
          <wp:positionV relativeFrom="paragraph">
            <wp:posOffset>-77470</wp:posOffset>
          </wp:positionV>
          <wp:extent cx="1399540" cy="485775"/>
          <wp:effectExtent l="0" t="0" r="0" b="0"/>
          <wp:wrapThrough wrapText="bothSides">
            <wp:wrapPolygon edited="0">
              <wp:start x="0" y="0"/>
              <wp:lineTo x="0" y="20329"/>
              <wp:lineTo x="21169" y="20329"/>
              <wp:lineTo x="21169" y="0"/>
              <wp:lineTo x="0" y="0"/>
            </wp:wrapPolygon>
          </wp:wrapThrough>
          <wp:docPr id="910553655" name="Imagen 910553655" descr="Un dibujo con letras&#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0553655" name="Imagen 6" descr="Un dibujo con letras&#10;&#10;Descripción generada automáticamente con confianza media"/>
                  <pic:cNvPicPr/>
                </pic:nvPicPr>
                <pic:blipFill>
                  <a:blip r:embed="rId3">
                    <a:extLst>
                      <a:ext uri="{28A0092B-C50C-407E-A947-70E740481C1C}">
                        <a14:useLocalDpi xmlns:a14="http://schemas.microsoft.com/office/drawing/2010/main" val="0"/>
                      </a:ext>
                    </a:extLst>
                  </a:blip>
                  <a:stretch>
                    <a:fillRect/>
                  </a:stretch>
                </pic:blipFill>
                <pic:spPr>
                  <a:xfrm>
                    <a:off x="0" y="0"/>
                    <a:ext cx="1405747" cy="487770"/>
                  </a:xfrm>
                  <a:prstGeom prst="rect">
                    <a:avLst/>
                  </a:prstGeom>
                </pic:spPr>
              </pic:pic>
            </a:graphicData>
          </a:graphic>
          <wp14:sizeRelH relativeFrom="page">
            <wp14:pctWidth>0</wp14:pctWidth>
          </wp14:sizeRelH>
          <wp14:sizeRelV relativeFrom="page">
            <wp14:pctHeight>0</wp14:pctHeight>
          </wp14:sizeRelV>
        </wp:anchor>
      </w:drawing>
    </w:r>
  </w:p>
  <w:p w14:paraId="435F4D03" w14:textId="67DABC48" w:rsidR="00756841" w:rsidRDefault="00756841">
    <w:pPr>
      <w:pStyle w:val="Encabezado"/>
    </w:pPr>
  </w:p>
  <w:p w14:paraId="1BE2B9AE" w14:textId="4B94DB3B" w:rsidR="00756841" w:rsidRDefault="00756841">
    <w:pPr>
      <w:pStyle w:val="Encabezado"/>
    </w:pPr>
  </w:p>
  <w:p w14:paraId="7FE1230C" w14:textId="77777777" w:rsidR="004A305D" w:rsidRPr="004A305D" w:rsidRDefault="004A305D" w:rsidP="004A305D">
    <w:pPr>
      <w:spacing w:after="0"/>
      <w:rPr>
        <w:rFonts w:ascii="Century Gothic" w:hAnsi="Century Gothic"/>
        <w:color w:val="002060"/>
        <w:sz w:val="16"/>
        <w:szCs w:val="16"/>
      </w:rPr>
    </w:pPr>
    <w:r w:rsidRPr="004A305D">
      <w:rPr>
        <w:rFonts w:ascii="Century Gothic" w:hAnsi="Century Gothic"/>
        <w:color w:val="002060"/>
        <w:sz w:val="16"/>
        <w:szCs w:val="16"/>
      </w:rPr>
      <w:t>FORMATO PQRSD</w:t>
    </w:r>
  </w:p>
  <w:p w14:paraId="7B0A8834" w14:textId="37E5E717" w:rsidR="004A305D" w:rsidRPr="004A305D" w:rsidRDefault="004A305D" w:rsidP="004A305D">
    <w:pPr>
      <w:pBdr>
        <w:top w:val="nil"/>
        <w:left w:val="nil"/>
        <w:bottom w:val="nil"/>
        <w:right w:val="nil"/>
        <w:between w:val="nil"/>
      </w:pBdr>
      <w:tabs>
        <w:tab w:val="center" w:pos="4419"/>
        <w:tab w:val="right" w:pos="8838"/>
        <w:tab w:val="center" w:pos="5400"/>
      </w:tabs>
      <w:spacing w:after="0"/>
      <w:rPr>
        <w:rFonts w:ascii="Century Gothic" w:eastAsia="Geo" w:hAnsi="Century Gothic" w:cs="Geo"/>
        <w:b/>
        <w:color w:val="002060"/>
        <w:sz w:val="16"/>
        <w:szCs w:val="16"/>
        <w:lang w:eastAsia="es-CO"/>
      </w:rPr>
    </w:pPr>
    <w:r w:rsidRPr="004A305D">
      <w:rPr>
        <w:rFonts w:ascii="Century Gothic" w:eastAsia="Geo" w:hAnsi="Century Gothic" w:cs="Geo"/>
        <w:b/>
        <w:color w:val="000000"/>
        <w:sz w:val="16"/>
        <w:szCs w:val="16"/>
        <w:lang w:eastAsia="es-CO"/>
      </w:rPr>
      <w:t xml:space="preserve">Código: </w:t>
    </w:r>
    <w:r w:rsidRPr="004A305D">
      <w:rPr>
        <w:rFonts w:ascii="Century Gothic" w:eastAsia="Geo" w:hAnsi="Century Gothic" w:cs="Geo"/>
        <w:bCs/>
        <w:color w:val="000000"/>
        <w:sz w:val="16"/>
        <w:szCs w:val="16"/>
        <w:lang w:eastAsia="es-CO"/>
      </w:rPr>
      <w:t>CCE-</w:t>
    </w:r>
    <w:r w:rsidR="00CB6357">
      <w:rPr>
        <w:rFonts w:ascii="Century Gothic" w:eastAsia="Geo" w:hAnsi="Century Gothic" w:cs="Geo"/>
        <w:bCs/>
        <w:color w:val="000000"/>
        <w:sz w:val="16"/>
        <w:szCs w:val="16"/>
        <w:lang w:eastAsia="es-CO"/>
      </w:rPr>
      <w:t>REC</w:t>
    </w:r>
    <w:r w:rsidRPr="004A305D">
      <w:rPr>
        <w:rFonts w:ascii="Century Gothic" w:eastAsia="Geo" w:hAnsi="Century Gothic" w:cs="Geo"/>
        <w:bCs/>
        <w:color w:val="000000"/>
        <w:sz w:val="16"/>
        <w:szCs w:val="16"/>
        <w:lang w:eastAsia="es-CO"/>
      </w:rPr>
      <w:t>-FM-</w:t>
    </w:r>
    <w:r w:rsidR="00CB6357">
      <w:rPr>
        <w:rFonts w:ascii="Century Gothic" w:eastAsia="Geo" w:hAnsi="Century Gothic" w:cs="Geo"/>
        <w:bCs/>
        <w:color w:val="000000"/>
        <w:sz w:val="16"/>
        <w:szCs w:val="16"/>
        <w:lang w:eastAsia="es-CO"/>
      </w:rPr>
      <w:t>13</w:t>
    </w:r>
  </w:p>
  <w:p w14:paraId="5E18350A" w14:textId="3833E343" w:rsidR="004A305D" w:rsidRPr="004A305D" w:rsidRDefault="004A305D" w:rsidP="004A305D">
    <w:pPr>
      <w:spacing w:after="0"/>
      <w:rPr>
        <w:rFonts w:ascii="Century Gothic" w:eastAsia="Geo" w:hAnsi="Century Gothic" w:cs="Geo"/>
        <w:sz w:val="16"/>
        <w:szCs w:val="16"/>
        <w:lang w:eastAsia="es-CO"/>
      </w:rPr>
    </w:pPr>
    <w:r w:rsidRPr="004A305D">
      <w:rPr>
        <w:rFonts w:ascii="Century Gothic" w:eastAsia="Geo" w:hAnsi="Century Gothic" w:cs="Geo"/>
        <w:b/>
        <w:color w:val="000000"/>
        <w:sz w:val="16"/>
        <w:szCs w:val="16"/>
        <w:lang w:eastAsia="es-CO"/>
      </w:rPr>
      <w:t>Versión</w:t>
    </w:r>
    <w:r w:rsidRPr="004A305D">
      <w:rPr>
        <w:rFonts w:ascii="Century Gothic" w:eastAsia="Arial Nova" w:hAnsi="Century Gothic" w:cs="Arial Nova"/>
        <w:b/>
        <w:color w:val="000000"/>
        <w:sz w:val="16"/>
        <w:szCs w:val="16"/>
        <w:lang w:eastAsia="es-CO"/>
      </w:rPr>
      <w:t xml:space="preserve">: </w:t>
    </w:r>
    <w:r w:rsidRPr="004A305D">
      <w:rPr>
        <w:rFonts w:ascii="Century Gothic" w:eastAsia="Geo" w:hAnsi="Century Gothic" w:cs="Geo"/>
        <w:sz w:val="16"/>
        <w:szCs w:val="16"/>
        <w:lang w:eastAsia="es-CO"/>
      </w:rPr>
      <w:t>0</w:t>
    </w:r>
    <w:r w:rsidR="00CB6357">
      <w:rPr>
        <w:rFonts w:ascii="Century Gothic" w:eastAsia="Geo" w:hAnsi="Century Gothic" w:cs="Geo"/>
        <w:sz w:val="16"/>
        <w:szCs w:val="16"/>
        <w:lang w:eastAsia="es-CO"/>
      </w:rPr>
      <w:t>1</w:t>
    </w:r>
    <w:r w:rsidRPr="004A305D">
      <w:rPr>
        <w:rFonts w:ascii="Century Gothic" w:eastAsia="Geo" w:hAnsi="Century Gothic" w:cs="Geo"/>
        <w:sz w:val="16"/>
        <w:szCs w:val="16"/>
        <w:lang w:eastAsia="es-CO"/>
      </w:rPr>
      <w:t xml:space="preserve"> DEL </w:t>
    </w:r>
    <w:r w:rsidR="00CB6357">
      <w:rPr>
        <w:rFonts w:ascii="Century Gothic" w:eastAsia="Geo" w:hAnsi="Century Gothic" w:cs="Geo"/>
        <w:sz w:val="16"/>
        <w:szCs w:val="16"/>
        <w:lang w:eastAsia="es-CO"/>
      </w:rPr>
      <w:t xml:space="preserve">15 </w:t>
    </w:r>
    <w:r w:rsidRPr="004A305D">
      <w:rPr>
        <w:rFonts w:ascii="Century Gothic" w:eastAsia="Geo" w:hAnsi="Century Gothic" w:cs="Geo"/>
        <w:sz w:val="16"/>
        <w:szCs w:val="16"/>
        <w:lang w:eastAsia="es-CO"/>
      </w:rPr>
      <w:t xml:space="preserve">DE </w:t>
    </w:r>
    <w:r w:rsidR="00961B09">
      <w:rPr>
        <w:rFonts w:ascii="Century Gothic" w:eastAsia="Geo" w:hAnsi="Century Gothic" w:cs="Geo"/>
        <w:sz w:val="16"/>
        <w:szCs w:val="16"/>
        <w:lang w:eastAsia="es-CO"/>
      </w:rPr>
      <w:t>JUNIO</w:t>
    </w:r>
    <w:r w:rsidRPr="004A305D">
      <w:rPr>
        <w:rFonts w:ascii="Century Gothic" w:eastAsia="Geo" w:hAnsi="Century Gothic" w:cs="Geo"/>
        <w:sz w:val="16"/>
        <w:szCs w:val="16"/>
        <w:lang w:eastAsia="es-CO"/>
      </w:rPr>
      <w:t xml:space="preserve"> DE 202</w:t>
    </w:r>
    <w:r w:rsidR="00961B09">
      <w:rPr>
        <w:rFonts w:ascii="Century Gothic" w:eastAsia="Geo" w:hAnsi="Century Gothic" w:cs="Geo"/>
        <w:sz w:val="16"/>
        <w:szCs w:val="16"/>
        <w:lang w:eastAsia="es-CO"/>
      </w:rPr>
      <w:t>3</w:t>
    </w:r>
  </w:p>
  <w:p w14:paraId="1FD1C243" w14:textId="6D74A3CF" w:rsidR="008A446D" w:rsidRDefault="008A446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948779781">
    <w:abstractNumId w:val="2"/>
  </w:num>
  <w:num w:numId="2" w16cid:durableId="19822139">
    <w:abstractNumId w:val="0"/>
  </w:num>
  <w:num w:numId="3" w16cid:durableId="876742304">
    <w:abstractNumId w:val="1"/>
  </w:num>
  <w:num w:numId="4" w16cid:durableId="24518640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497211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A683E"/>
    <w:rsid w:val="000B19B9"/>
    <w:rsid w:val="000D0334"/>
    <w:rsid w:val="000F6486"/>
    <w:rsid w:val="00121325"/>
    <w:rsid w:val="00127233"/>
    <w:rsid w:val="00180E62"/>
    <w:rsid w:val="001B1C89"/>
    <w:rsid w:val="001E4177"/>
    <w:rsid w:val="00252793"/>
    <w:rsid w:val="002951A0"/>
    <w:rsid w:val="002962BC"/>
    <w:rsid w:val="002A49AC"/>
    <w:rsid w:val="002A64FD"/>
    <w:rsid w:val="002C7A84"/>
    <w:rsid w:val="002F3C9E"/>
    <w:rsid w:val="003A779E"/>
    <w:rsid w:val="003D0F4D"/>
    <w:rsid w:val="003E0499"/>
    <w:rsid w:val="003E5D82"/>
    <w:rsid w:val="003F3941"/>
    <w:rsid w:val="004A1847"/>
    <w:rsid w:val="004A305D"/>
    <w:rsid w:val="004F21C4"/>
    <w:rsid w:val="004F685F"/>
    <w:rsid w:val="00523A7C"/>
    <w:rsid w:val="005566E8"/>
    <w:rsid w:val="00574867"/>
    <w:rsid w:val="005C0F36"/>
    <w:rsid w:val="005C5CDC"/>
    <w:rsid w:val="005D476C"/>
    <w:rsid w:val="005F399F"/>
    <w:rsid w:val="006219F8"/>
    <w:rsid w:val="00665D70"/>
    <w:rsid w:val="00706C16"/>
    <w:rsid w:val="0073095F"/>
    <w:rsid w:val="00756841"/>
    <w:rsid w:val="007649AB"/>
    <w:rsid w:val="007833AC"/>
    <w:rsid w:val="007C3DC2"/>
    <w:rsid w:val="007E5497"/>
    <w:rsid w:val="00806F5F"/>
    <w:rsid w:val="00820278"/>
    <w:rsid w:val="008843B6"/>
    <w:rsid w:val="00891928"/>
    <w:rsid w:val="008A446D"/>
    <w:rsid w:val="008F0EA7"/>
    <w:rsid w:val="00923EEF"/>
    <w:rsid w:val="009419F9"/>
    <w:rsid w:val="00961B09"/>
    <w:rsid w:val="00965334"/>
    <w:rsid w:val="0097093E"/>
    <w:rsid w:val="009C71FA"/>
    <w:rsid w:val="009C72E7"/>
    <w:rsid w:val="00A17F13"/>
    <w:rsid w:val="00A20739"/>
    <w:rsid w:val="00A33C78"/>
    <w:rsid w:val="00A8408E"/>
    <w:rsid w:val="00A97DA1"/>
    <w:rsid w:val="00AB0ADB"/>
    <w:rsid w:val="00AE5061"/>
    <w:rsid w:val="00AF6B70"/>
    <w:rsid w:val="00B72CD3"/>
    <w:rsid w:val="00B72FFF"/>
    <w:rsid w:val="00B740F1"/>
    <w:rsid w:val="00B80F6C"/>
    <w:rsid w:val="00BB50C8"/>
    <w:rsid w:val="00BD7F72"/>
    <w:rsid w:val="00C330EB"/>
    <w:rsid w:val="00C754BE"/>
    <w:rsid w:val="00CB6357"/>
    <w:rsid w:val="00CC1B26"/>
    <w:rsid w:val="00D423A2"/>
    <w:rsid w:val="00D63AC2"/>
    <w:rsid w:val="00D7383B"/>
    <w:rsid w:val="00DE3239"/>
    <w:rsid w:val="00DF3F2E"/>
    <w:rsid w:val="00E06820"/>
    <w:rsid w:val="00E16408"/>
    <w:rsid w:val="00E20894"/>
    <w:rsid w:val="00E224FE"/>
    <w:rsid w:val="00E245AB"/>
    <w:rsid w:val="00E50AFE"/>
    <w:rsid w:val="00E64CBB"/>
    <w:rsid w:val="00E6555B"/>
    <w:rsid w:val="00E771DC"/>
    <w:rsid w:val="00E8772A"/>
    <w:rsid w:val="00E90F6B"/>
    <w:rsid w:val="00E92C27"/>
    <w:rsid w:val="00EA0E3D"/>
    <w:rsid w:val="00EE1AA8"/>
    <w:rsid w:val="00F31EDC"/>
    <w:rsid w:val="00F5664F"/>
    <w:rsid w:val="00F76AFC"/>
    <w:rsid w:val="00FA7EC0"/>
    <w:rsid w:val="00FB5DD1"/>
    <w:rsid w:val="00FC2B5D"/>
    <w:rsid w:val="00FF144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AA18BD11-F4B5-4A67-BA3F-63EFCCB41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5A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Re"/>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39"/>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table" w:customStyle="1" w:styleId="2">
    <w:name w:val="2"/>
    <w:basedOn w:val="Tablanormal"/>
    <w:rsid w:val="00252793"/>
    <w:pPr>
      <w:spacing w:before="120" w:after="0" w:line="240" w:lineRule="auto"/>
    </w:pPr>
    <w:rPr>
      <w:rFonts w:ascii="Calibri" w:eastAsia="Calibri" w:hAnsi="Calibri" w:cs="Calibri"/>
      <w:sz w:val="24"/>
      <w:szCs w:val="24"/>
      <w:lang w:val="es-MX" w:eastAsia="es-ES_tradnl"/>
      <w14:ligatures w14:val="standardContextual"/>
    </w:rPr>
    <w:tblPr>
      <w:tblStyleRowBandSize w:val="1"/>
      <w:tblStyleColBandSize w:val="1"/>
      <w:tblInd w:w="0" w:type="nil"/>
    </w:tblPr>
  </w:style>
  <w:style w:type="paragraph" w:customStyle="1" w:styleId="Appelnotedebasde">
    <w:name w:val="Appel note de bas de..."/>
    <w:basedOn w:val="Normal"/>
    <w:link w:val="Refdenotaalpie"/>
    <w:uiPriority w:val="99"/>
    <w:rsid w:val="00252793"/>
    <w:pPr>
      <w:spacing w:line="240" w:lineRule="exact"/>
      <w:jc w:val="both"/>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6fefc81145b88c108162955c226470b5">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23856a95c4658442fdcd06593afacd42"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a6cb9e4b-f1d1-4245-83ec-6cad768d538a" xsi:nil="true"/>
    <lcf76f155ced4ddcb4097134ff3c332f xmlns="9d85dbaf-23eb-4e57-a637-93dcacc8b1a1">
      <Terms xmlns="http://schemas.microsoft.com/office/infopath/2007/PartnerControls"/>
    </lcf76f155ced4ddcb4097134ff3c332f>
    <No xmlns="9d85dbaf-23eb-4e57-a637-93dcacc8b1a1" xsi:nil="true"/>
  </documentManagement>
</p:properties>
</file>

<file path=customXml/itemProps1.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2.xml><?xml version="1.0" encoding="utf-8"?>
<ds:datastoreItem xmlns:ds="http://schemas.openxmlformats.org/officeDocument/2006/customXml" ds:itemID="{862B2481-E8E9-4F52-A556-FD2F497CDA5E}"/>
</file>

<file path=customXml/itemProps3.xml><?xml version="1.0" encoding="utf-8"?>
<ds:datastoreItem xmlns:ds="http://schemas.openxmlformats.org/officeDocument/2006/customXml" ds:itemID="{163618BE-28CB-4D69-955E-CDA788483BED}">
  <ds:schemaRefs>
    <ds:schemaRef ds:uri="cabc2350-70b2-4dba-bb42-96a3175f4d5a"/>
    <ds:schemaRef ds:uri="http://schemas.microsoft.com/office/infopath/2007/PartnerControls"/>
    <ds:schemaRef ds:uri="http://schemas.openxmlformats.org/package/2006/metadata/core-properties"/>
    <ds:schemaRef ds:uri="http://purl.org/dc/dcmitype/"/>
    <ds:schemaRef ds:uri="http://www.w3.org/XML/1998/namespace"/>
    <ds:schemaRef ds:uri="http://schemas.microsoft.com/office/2006/metadata/properties"/>
    <ds:schemaRef ds:uri="http://schemas.microsoft.com/office/2006/documentManagement/types"/>
    <ds:schemaRef ds:uri="8ae15d26-076e-464e-81a7-6f76a0fb3917"/>
    <ds:schemaRef ds:uri="http://purl.org/dc/term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16</Pages>
  <Words>6159</Words>
  <Characters>33878</Characters>
  <Application>Microsoft Office Word</Application>
  <DocSecurity>0</DocSecurity>
  <Lines>282</Lines>
  <Paragraphs>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Diana Lucia Saavedra</cp:lastModifiedBy>
  <cp:revision>6</cp:revision>
  <cp:lastPrinted>2023-01-10T21:18:00Z</cp:lastPrinted>
  <dcterms:created xsi:type="dcterms:W3CDTF">2023-06-21T04:11:00Z</dcterms:created>
  <dcterms:modified xsi:type="dcterms:W3CDTF">2023-06-23T21:42:00Z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