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0906" w14:textId="77777777" w:rsidR="0008581E" w:rsidRPr="0008581E" w:rsidRDefault="0008581E" w:rsidP="0008581E">
      <w:pPr>
        <w:spacing w:after="0" w:line="240" w:lineRule="auto"/>
        <w:jc w:val="right"/>
        <w:rPr>
          <w:rFonts w:ascii="Arial" w:eastAsia="Calibri" w:hAnsi="Arial" w:cs="Arial"/>
          <w:b/>
          <w:color w:val="000000"/>
          <w:sz w:val="20"/>
          <w:szCs w:val="20"/>
          <w:lang w:val="es-ES_tradnl" w:eastAsia="es-MX"/>
        </w:rPr>
      </w:pPr>
      <w:bookmarkStart w:id="0" w:name="_Hlk28946138"/>
      <w:bookmarkStart w:id="1" w:name="_Hlk29548183"/>
      <w:r w:rsidRPr="0008581E">
        <w:rPr>
          <w:rFonts w:ascii="Arial" w:eastAsia="Times New Roman" w:hAnsi="Arial" w:cs="Arial"/>
          <w:bCs/>
          <w:color w:val="000000"/>
          <w:sz w:val="16"/>
          <w:szCs w:val="16"/>
          <w:lang w:val="es-ES_tradnl" w:eastAsia="es-ES"/>
        </w:rPr>
        <w:t>CCE-DES-FM-17</w:t>
      </w:r>
      <w:bookmarkEnd w:id="0"/>
      <w:bookmarkEnd w:id="1"/>
    </w:p>
    <w:p w14:paraId="21600DB6" w14:textId="77777777" w:rsidR="0008581E" w:rsidRPr="0008581E" w:rsidRDefault="0008581E" w:rsidP="0008581E">
      <w:pPr>
        <w:tabs>
          <w:tab w:val="left" w:pos="426"/>
        </w:tabs>
        <w:spacing w:after="0" w:line="276" w:lineRule="auto"/>
        <w:jc w:val="both"/>
        <w:rPr>
          <w:rFonts w:ascii="Arial" w:eastAsia="Calibri" w:hAnsi="Arial" w:cs="Arial"/>
          <w:b/>
          <w:color w:val="000000"/>
          <w:sz w:val="20"/>
          <w:szCs w:val="20"/>
          <w:lang w:eastAsia="es-MX"/>
        </w:rPr>
      </w:pPr>
      <w:bookmarkStart w:id="2" w:name="_Hlk70346847"/>
    </w:p>
    <w:p w14:paraId="7CFAD37C" w14:textId="77777777" w:rsidR="0008581E" w:rsidRPr="0008581E" w:rsidRDefault="0008581E" w:rsidP="0008581E">
      <w:pPr>
        <w:tabs>
          <w:tab w:val="left" w:pos="426"/>
        </w:tabs>
        <w:spacing w:after="0" w:line="276" w:lineRule="auto"/>
        <w:jc w:val="both"/>
        <w:rPr>
          <w:rFonts w:ascii="Arial" w:eastAsia="Calibri" w:hAnsi="Arial" w:cs="Arial"/>
          <w:b/>
          <w:color w:val="000000"/>
          <w:sz w:val="20"/>
          <w:szCs w:val="20"/>
          <w:lang w:eastAsia="es-MX"/>
        </w:rPr>
      </w:pPr>
      <w:r w:rsidRPr="0008581E">
        <w:rPr>
          <w:rFonts w:ascii="Arial" w:eastAsia="Calibri" w:hAnsi="Arial" w:cs="Arial"/>
          <w:b/>
          <w:color w:val="000000"/>
          <w:sz w:val="20"/>
          <w:szCs w:val="20"/>
          <w:lang w:eastAsia="es-MX"/>
        </w:rPr>
        <w:t>LEY DE EMPRENDIMIENTO – Impacto − Contratación estatal − Incentivos</w:t>
      </w:r>
    </w:p>
    <w:bookmarkEnd w:id="2"/>
    <w:p w14:paraId="3D902A1E" w14:textId="77777777" w:rsidR="0008581E" w:rsidRPr="0008581E" w:rsidRDefault="0008581E" w:rsidP="0008581E">
      <w:pPr>
        <w:tabs>
          <w:tab w:val="left" w:pos="426"/>
        </w:tabs>
        <w:spacing w:after="0" w:line="276" w:lineRule="auto"/>
        <w:jc w:val="both"/>
        <w:rPr>
          <w:rFonts w:ascii="Arial" w:eastAsia="Calibri" w:hAnsi="Arial" w:cs="Arial"/>
          <w:b/>
          <w:color w:val="000000"/>
          <w:szCs w:val="24"/>
          <w:lang w:eastAsia="es-MX"/>
        </w:rPr>
      </w:pPr>
    </w:p>
    <w:p w14:paraId="5EAC944B" w14:textId="77777777" w:rsidR="0008581E" w:rsidRPr="0008581E" w:rsidRDefault="0008581E" w:rsidP="0008581E">
      <w:pPr>
        <w:tabs>
          <w:tab w:val="left" w:pos="709"/>
        </w:tabs>
        <w:spacing w:after="120" w:line="240" w:lineRule="auto"/>
        <w:jc w:val="both"/>
        <w:rPr>
          <w:rFonts w:ascii="Arial" w:eastAsia="Calibri" w:hAnsi="Arial" w:cs="Arial"/>
          <w:bCs/>
          <w:color w:val="000000"/>
          <w:sz w:val="20"/>
          <w:szCs w:val="20"/>
          <w:lang w:eastAsia="es-MX"/>
        </w:rPr>
      </w:pPr>
      <w:r w:rsidRPr="0008581E">
        <w:rPr>
          <w:rFonts w:ascii="Arial" w:eastAsia="Calibri" w:hAnsi="Arial" w:cs="Arial"/>
          <w:bCs/>
          <w:color w:val="000000"/>
          <w:sz w:val="20"/>
          <w:szCs w:val="20"/>
          <w:lang w:eastAsia="es-MX"/>
        </w:rPr>
        <w:t xml:space="preserve">Por ello, la ley impulsa medidas para i) reducir cargas y trámites para los emprendedores del país; ii) facilitar su acceso al sistema de compras y contratación pública; </w:t>
      </w:r>
      <w:proofErr w:type="spellStart"/>
      <w:r w:rsidRPr="0008581E">
        <w:rPr>
          <w:rFonts w:ascii="Arial" w:eastAsia="Calibri" w:hAnsi="Arial" w:cs="Arial"/>
          <w:bCs/>
          <w:color w:val="000000"/>
          <w:sz w:val="20"/>
          <w:szCs w:val="20"/>
          <w:lang w:eastAsia="es-MX"/>
        </w:rPr>
        <w:t>iii</w:t>
      </w:r>
      <w:proofErr w:type="spellEnd"/>
      <w:r w:rsidRPr="0008581E">
        <w:rPr>
          <w:rFonts w:ascii="Arial" w:eastAsia="Calibri" w:hAnsi="Arial" w:cs="Arial"/>
          <w:bCs/>
          <w:color w:val="000000"/>
          <w:sz w:val="20"/>
          <w:szCs w:val="20"/>
          <w:lang w:eastAsia="es-MX"/>
        </w:rPr>
        <w:t>)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1DC1E175" w14:textId="5B9B07B1" w:rsidR="0008581E" w:rsidRPr="0008581E" w:rsidRDefault="0008581E" w:rsidP="0008581E">
      <w:pPr>
        <w:tabs>
          <w:tab w:val="left" w:pos="709"/>
        </w:tabs>
        <w:spacing w:after="0" w:line="240" w:lineRule="auto"/>
        <w:jc w:val="both"/>
        <w:rPr>
          <w:rFonts w:ascii="Arial" w:eastAsia="Calibri" w:hAnsi="Arial" w:cs="Arial"/>
          <w:bCs/>
          <w:color w:val="000000"/>
          <w:sz w:val="20"/>
          <w:szCs w:val="20"/>
          <w:lang w:eastAsia="es-MX"/>
        </w:rPr>
      </w:pPr>
      <w:r w:rsidRPr="0008581E">
        <w:rPr>
          <w:rFonts w:ascii="Arial" w:eastAsia="Calibri" w:hAnsi="Arial" w:cs="Arial"/>
          <w:bCs/>
          <w:color w:val="000000"/>
          <w:sz w:val="20"/>
          <w:szCs w:val="20"/>
          <w:lang w:eastAsia="es-MX"/>
        </w:rPr>
        <w:t xml:space="preserve">Así las cosas, los artículos 30, 31, 32, 33, 34, 35 y 36 de la Ley 2069 de 2020 crean una serie de incentivos para las personas interesadas en celebrar contratos con el Estado. Particularmente, conforme a la exposición de motivos, </w:t>
      </w:r>
      <w:r>
        <w:rPr>
          <w:rFonts w:ascii="Arial" w:eastAsia="Calibri" w:hAnsi="Arial" w:cs="Arial"/>
          <w:bCs/>
          <w:color w:val="000000"/>
          <w:sz w:val="20"/>
          <w:szCs w:val="20"/>
          <w:lang w:eastAsia="es-MX"/>
        </w:rPr>
        <w:t>“</w:t>
      </w:r>
      <w:r w:rsidRPr="0008581E">
        <w:rPr>
          <w:rFonts w:ascii="Arial" w:eastAsia="Times New Roman" w:hAnsi="Arial" w:cs="Arial"/>
          <w:sz w:val="20"/>
          <w:szCs w:val="20"/>
          <w:lang w:eastAsia="es-MX"/>
        </w:rPr>
        <w:t xml:space="preserve">[…] </w:t>
      </w:r>
      <w:r w:rsidRPr="0008581E">
        <w:rPr>
          <w:rFonts w:ascii="Arial" w:eastAsia="Calibri" w:hAnsi="Arial" w:cs="Arial"/>
          <w:bCs/>
          <w:color w:val="000000"/>
          <w:sz w:val="20"/>
          <w:szCs w:val="20"/>
          <w:lang w:eastAsia="es-MX"/>
        </w:rPr>
        <w:t xml:space="preserve">propone facilitar el acceso de las </w:t>
      </w:r>
      <w:proofErr w:type="spellStart"/>
      <w:r w:rsidRPr="0008581E">
        <w:rPr>
          <w:rFonts w:ascii="Arial" w:eastAsia="Calibri" w:hAnsi="Arial" w:cs="Arial"/>
          <w:bCs/>
          <w:color w:val="000000"/>
          <w:sz w:val="20"/>
          <w:szCs w:val="20"/>
          <w:lang w:eastAsia="es-MX"/>
        </w:rPr>
        <w:t>Mipymes</w:t>
      </w:r>
      <w:proofErr w:type="spellEnd"/>
      <w:r w:rsidRPr="0008581E">
        <w:rPr>
          <w:rFonts w:ascii="Arial" w:eastAsia="Calibri" w:hAnsi="Arial" w:cs="Arial"/>
          <w:bCs/>
          <w:color w:val="000000"/>
          <w:sz w:val="20"/>
          <w:szCs w:val="20"/>
          <w:lang w:eastAsia="es-MX"/>
        </w:rPr>
        <w:t xml:space="preserve"> a la modalidad de contratación de mínima cuantía, la limitación de estos procesos a </w:t>
      </w:r>
      <w:proofErr w:type="spellStart"/>
      <w:r w:rsidRPr="0008581E">
        <w:rPr>
          <w:rFonts w:ascii="Arial" w:eastAsia="Calibri" w:hAnsi="Arial" w:cs="Arial"/>
          <w:bCs/>
          <w:color w:val="000000"/>
          <w:sz w:val="20"/>
          <w:szCs w:val="20"/>
          <w:lang w:eastAsia="es-MX"/>
        </w:rPr>
        <w:t>Mipymes</w:t>
      </w:r>
      <w:proofErr w:type="spellEnd"/>
      <w:r w:rsidRPr="0008581E">
        <w:rPr>
          <w:rFonts w:ascii="Arial" w:eastAsia="Calibri" w:hAnsi="Arial" w:cs="Arial"/>
          <w:bCs/>
          <w:color w:val="000000"/>
          <w:sz w:val="20"/>
          <w:szCs w:val="20"/>
          <w:lang w:eastAsia="es-MX"/>
        </w:rPr>
        <w:t xml:space="preserve">, define la posibilidad de establecer criterios diferenciales a favor de las </w:t>
      </w:r>
      <w:proofErr w:type="spellStart"/>
      <w:r w:rsidRPr="0008581E">
        <w:rPr>
          <w:rFonts w:ascii="Arial" w:eastAsia="Calibri" w:hAnsi="Arial" w:cs="Arial"/>
          <w:bCs/>
          <w:color w:val="000000"/>
          <w:sz w:val="20"/>
          <w:szCs w:val="20"/>
          <w:lang w:eastAsia="es-MX"/>
        </w:rPr>
        <w:t>Mipymes</w:t>
      </w:r>
      <w:proofErr w:type="spellEnd"/>
      <w:r w:rsidRPr="0008581E">
        <w:rPr>
          <w:rFonts w:ascii="Arial" w:eastAsia="Calibri" w:hAnsi="Arial" w:cs="Arial"/>
          <w:bCs/>
          <w:color w:val="000000"/>
          <w:sz w:val="20"/>
          <w:szCs w:val="20"/>
          <w:lang w:eastAsia="es-MX"/>
        </w:rPr>
        <w:t xml:space="preserve">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Pr>
          <w:rFonts w:ascii="Arial" w:eastAsia="Calibri" w:hAnsi="Arial" w:cs="Arial"/>
          <w:bCs/>
          <w:color w:val="000000"/>
          <w:sz w:val="20"/>
          <w:szCs w:val="20"/>
          <w:lang w:eastAsia="es-MX"/>
        </w:rPr>
        <w:t>”</w:t>
      </w:r>
      <w:r w:rsidRPr="0008581E">
        <w:rPr>
          <w:rFonts w:ascii="Arial" w:eastAsia="Calibri" w:hAnsi="Arial" w:cs="Arial"/>
          <w:bCs/>
          <w:color w:val="000000"/>
          <w:sz w:val="20"/>
          <w:szCs w:val="20"/>
          <w:lang w:eastAsia="es-MX"/>
        </w:rPr>
        <w:t xml:space="preserve">. </w:t>
      </w:r>
    </w:p>
    <w:p w14:paraId="31F301AC"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5293F7DA" w14:textId="77777777" w:rsidR="0008581E" w:rsidRPr="0008581E" w:rsidRDefault="0008581E" w:rsidP="0008581E">
      <w:pPr>
        <w:spacing w:after="0" w:line="240" w:lineRule="auto"/>
        <w:jc w:val="both"/>
        <w:rPr>
          <w:rFonts w:ascii="Arial" w:eastAsia="Calibri" w:hAnsi="Arial" w:cs="Arial"/>
          <w:b/>
          <w:sz w:val="20"/>
          <w:szCs w:val="20"/>
          <w:lang w:val="es-ES_tradnl" w:eastAsia="es-MX"/>
        </w:rPr>
      </w:pPr>
      <w:bookmarkStart w:id="3" w:name="_Hlk70346859"/>
      <w:r w:rsidRPr="0008581E">
        <w:rPr>
          <w:rFonts w:ascii="Arial" w:eastAsia="Calibri" w:hAnsi="Arial" w:cs="Arial"/>
          <w:b/>
          <w:sz w:val="20"/>
          <w:szCs w:val="20"/>
          <w:lang w:val="es-ES_tradnl" w:eastAsia="es-MX"/>
        </w:rPr>
        <w:t xml:space="preserve">PROMOCIÓN DEL DESARROLLO </w:t>
      </w:r>
      <w:r w:rsidRPr="0008581E">
        <w:rPr>
          <w:rFonts w:ascii="Arial" w:eastAsia="Calibri" w:hAnsi="Arial" w:cs="Arial"/>
          <w:b/>
          <w:color w:val="000000"/>
          <w:sz w:val="20"/>
          <w:szCs w:val="20"/>
          <w:lang w:val="es-ES_tradnl" w:eastAsia="es-MX"/>
        </w:rPr>
        <w:t>– Contratación estatal –</w:t>
      </w:r>
      <w:r w:rsidRPr="0008581E">
        <w:rPr>
          <w:rFonts w:ascii="Arial" w:eastAsia="Calibri" w:hAnsi="Arial" w:cs="Arial"/>
          <w:b/>
          <w:sz w:val="20"/>
          <w:szCs w:val="20"/>
          <w:lang w:val="es-ES_tradnl" w:eastAsia="es-MX"/>
        </w:rPr>
        <w:t xml:space="preserve"> Ley 2069 </w:t>
      </w:r>
      <w:r w:rsidRPr="0008581E">
        <w:rPr>
          <w:rFonts w:ascii="Arial" w:eastAsia="Calibri" w:hAnsi="Arial" w:cs="Arial"/>
          <w:b/>
          <w:color w:val="000000"/>
          <w:sz w:val="20"/>
          <w:szCs w:val="20"/>
          <w:lang w:val="es-ES_tradnl" w:eastAsia="es-MX"/>
        </w:rPr>
        <w:t xml:space="preserve">– Artículo 34 – Convocatoria limitada a </w:t>
      </w:r>
      <w:proofErr w:type="spellStart"/>
      <w:r w:rsidRPr="0008581E">
        <w:rPr>
          <w:rFonts w:ascii="Arial" w:eastAsia="Calibri" w:hAnsi="Arial" w:cs="Arial"/>
          <w:b/>
          <w:color w:val="000000"/>
          <w:sz w:val="20"/>
          <w:szCs w:val="20"/>
          <w:lang w:val="es-ES_tradnl" w:eastAsia="es-MX"/>
        </w:rPr>
        <w:t>Mipymes</w:t>
      </w:r>
      <w:proofErr w:type="spellEnd"/>
      <w:r w:rsidRPr="0008581E">
        <w:rPr>
          <w:rFonts w:ascii="Arial" w:eastAsia="Calibri" w:hAnsi="Arial" w:cs="Arial"/>
          <w:b/>
          <w:color w:val="000000"/>
          <w:sz w:val="20"/>
          <w:szCs w:val="20"/>
          <w:lang w:val="es-ES_tradnl" w:eastAsia="es-MX"/>
        </w:rPr>
        <w:t xml:space="preserve"> </w:t>
      </w:r>
    </w:p>
    <w:bookmarkEnd w:id="3"/>
    <w:p w14:paraId="11985445" w14:textId="77777777" w:rsidR="0008581E" w:rsidRPr="0008581E" w:rsidRDefault="0008581E" w:rsidP="0008581E">
      <w:pPr>
        <w:spacing w:after="0" w:line="276" w:lineRule="auto"/>
        <w:jc w:val="both"/>
        <w:rPr>
          <w:rFonts w:ascii="Arial" w:eastAsia="Calibri" w:hAnsi="Arial" w:cs="Arial"/>
          <w:bCs/>
          <w:color w:val="000000"/>
          <w:szCs w:val="24"/>
          <w:lang w:eastAsia="es-MX"/>
        </w:rPr>
      </w:pPr>
    </w:p>
    <w:p w14:paraId="1BE58807" w14:textId="77777777" w:rsidR="0008581E" w:rsidRPr="0008581E" w:rsidRDefault="0008581E" w:rsidP="0008581E">
      <w:pPr>
        <w:spacing w:after="120" w:line="240" w:lineRule="auto"/>
        <w:jc w:val="both"/>
        <w:rPr>
          <w:rFonts w:ascii="Arial" w:eastAsia="Calibri" w:hAnsi="Arial" w:cs="Arial"/>
          <w:color w:val="000000"/>
          <w:sz w:val="20"/>
          <w:szCs w:val="20"/>
          <w:bdr w:val="none" w:sz="0" w:space="0" w:color="auto" w:frame="1"/>
        </w:rPr>
      </w:pPr>
      <w:r w:rsidRPr="0008581E">
        <w:rPr>
          <w:rFonts w:ascii="Arial" w:eastAsia="Calibri" w:hAnsi="Arial" w:cs="Arial"/>
          <w:color w:val="000000"/>
          <w:sz w:val="20"/>
          <w:szCs w:val="20"/>
          <w:lang w:val="es-ES_tradnl"/>
        </w:rPr>
        <w:t>Así</w:t>
      </w:r>
      <w:r w:rsidRPr="0008581E">
        <w:rPr>
          <w:rFonts w:ascii="Arial" w:eastAsia="Calibri" w:hAnsi="Arial" w:cs="Arial"/>
          <w:color w:val="000000"/>
          <w:sz w:val="20"/>
          <w:szCs w:val="20"/>
          <w:bdr w:val="none" w:sz="0" w:space="0" w:color="auto" w:frame="1"/>
        </w:rPr>
        <w:t xml:space="preserve">, el artículo 34 de la Ley 2069 de 2020 cambia requisitos esenciales para que pueda haber convocatorias limitadas a </w:t>
      </w:r>
      <w:proofErr w:type="spellStart"/>
      <w:r w:rsidRPr="0008581E">
        <w:rPr>
          <w:rFonts w:ascii="Arial" w:eastAsia="Calibri" w:hAnsi="Arial" w:cs="Arial"/>
          <w:color w:val="000000"/>
          <w:sz w:val="20"/>
          <w:szCs w:val="20"/>
          <w:bdr w:val="none" w:sz="0" w:space="0" w:color="auto" w:frame="1"/>
        </w:rPr>
        <w:t>mipymes</w:t>
      </w:r>
      <w:proofErr w:type="spellEnd"/>
      <w:r w:rsidRPr="0008581E">
        <w:rPr>
          <w:rFonts w:ascii="Arial" w:eastAsia="Calibri" w:hAnsi="Arial" w:cs="Arial"/>
          <w:color w:val="000000"/>
          <w:sz w:val="20"/>
          <w:szCs w:val="20"/>
          <w:bdr w:val="none" w:sz="0" w:space="0" w:color="auto" w:frame="1"/>
        </w:rPr>
        <w:t xml:space="preserve">: i) dispone que estas deben desarrollarse independientemente del régimen de contratación de la entidad estatal –es decir, también deben efectuarlas las entidades estatales exceptuadas del Estatuto General de Contratación de la Administración Pública o que se rigen por derecho privado–; ii) señala que los patrimonios autónomos constituidos por entidades estatales y los particulares que ejecuten recursos públicos también son destinatarios de esta exigencia; </w:t>
      </w:r>
      <w:proofErr w:type="spellStart"/>
      <w:r w:rsidRPr="0008581E">
        <w:rPr>
          <w:rFonts w:ascii="Arial" w:eastAsia="Calibri" w:hAnsi="Arial" w:cs="Arial"/>
          <w:color w:val="000000"/>
          <w:sz w:val="20"/>
          <w:szCs w:val="20"/>
          <w:bdr w:val="none" w:sz="0" w:space="0" w:color="auto" w:frame="1"/>
        </w:rPr>
        <w:t>iii</w:t>
      </w:r>
      <w:proofErr w:type="spellEnd"/>
      <w:r w:rsidRPr="0008581E">
        <w:rPr>
          <w:rFonts w:ascii="Arial" w:eastAsia="Calibri" w:hAnsi="Arial" w:cs="Arial"/>
          <w:color w:val="000000"/>
          <w:sz w:val="20"/>
          <w:szCs w:val="20"/>
          <w:bdr w:val="none" w:sz="0" w:space="0" w:color="auto" w:frame="1"/>
        </w:rPr>
        <w:t xml:space="preserve">) indica que para que pueda haber convocatorias limitadas a </w:t>
      </w:r>
      <w:proofErr w:type="spellStart"/>
      <w:r w:rsidRPr="0008581E">
        <w:rPr>
          <w:rFonts w:ascii="Arial" w:eastAsia="Calibri" w:hAnsi="Arial" w:cs="Arial"/>
          <w:color w:val="000000"/>
          <w:sz w:val="20"/>
          <w:szCs w:val="20"/>
          <w:bdr w:val="none" w:sz="0" w:space="0" w:color="auto" w:frame="1"/>
        </w:rPr>
        <w:t>mipymes</w:t>
      </w:r>
      <w:proofErr w:type="spellEnd"/>
      <w:r w:rsidRPr="0008581E">
        <w:rPr>
          <w:rFonts w:ascii="Arial" w:eastAsia="Calibri" w:hAnsi="Arial" w:cs="Arial"/>
          <w:color w:val="000000"/>
          <w:sz w:val="20"/>
          <w:szCs w:val="20"/>
          <w:bdr w:val="none" w:sz="0" w:space="0" w:color="auto" w:frame="1"/>
        </w:rPr>
        <w:t>, dos (2) de ellas deben manifestar su interés –mientras que el artículo 12 de la Ley 1150 de 2007 no establecía un número mínimo y el Decreto 1082 de 2015 exigía tres (3)–.</w:t>
      </w:r>
    </w:p>
    <w:p w14:paraId="4FA0276B" w14:textId="6CC83BA0" w:rsidR="0008581E" w:rsidRPr="0008581E" w:rsidRDefault="0008581E" w:rsidP="0008581E">
      <w:pPr>
        <w:tabs>
          <w:tab w:val="left" w:pos="709"/>
        </w:tabs>
        <w:spacing w:after="120" w:line="240" w:lineRule="auto"/>
        <w:jc w:val="both"/>
        <w:rPr>
          <w:rFonts w:ascii="Arial" w:eastAsia="Calibri" w:hAnsi="Arial" w:cs="Arial"/>
          <w:color w:val="000000"/>
          <w:sz w:val="20"/>
          <w:szCs w:val="20"/>
          <w:lang w:val="es-ES_tradnl"/>
        </w:rPr>
      </w:pPr>
      <w:r w:rsidRPr="0008581E">
        <w:rPr>
          <w:rFonts w:ascii="Arial" w:eastAsia="Calibri" w:hAnsi="Arial" w:cs="Arial"/>
          <w:bCs/>
          <w:color w:val="000000"/>
          <w:sz w:val="20"/>
          <w:szCs w:val="20"/>
        </w:rPr>
        <w:t xml:space="preserve">De igual forma, </w:t>
      </w:r>
      <w:r w:rsidRPr="0008581E">
        <w:rPr>
          <w:rFonts w:ascii="Arial" w:eastAsia="Calibri" w:hAnsi="Arial" w:cs="Arial"/>
          <w:color w:val="000000"/>
          <w:sz w:val="20"/>
          <w:szCs w:val="20"/>
          <w:bdr w:val="none" w:sz="0" w:space="0" w:color="auto" w:frame="1"/>
        </w:rPr>
        <w:t>el artículo 34 de la Ley 2069 de 2020</w:t>
      </w:r>
      <w:r w:rsidRPr="0008581E">
        <w:rPr>
          <w:rFonts w:ascii="Arial" w:eastAsia="Calibri" w:hAnsi="Arial" w:cs="Arial"/>
          <w:bCs/>
          <w:color w:val="000000"/>
          <w:sz w:val="20"/>
          <w:szCs w:val="20"/>
        </w:rPr>
        <w:t xml:space="preserve">, alude a la necesidad del desarrollo reglamentario posterior, por lo que en cumplimiento de ello se creó el Decreto 1860 de 2021 </w:t>
      </w:r>
      <w:r>
        <w:rPr>
          <w:rFonts w:ascii="Arial" w:eastAsia="Calibri" w:hAnsi="Arial" w:cs="Arial"/>
          <w:bCs/>
          <w:color w:val="000000"/>
          <w:sz w:val="20"/>
          <w:szCs w:val="20"/>
        </w:rPr>
        <w:t>“</w:t>
      </w:r>
      <w:r w:rsidRPr="0008581E">
        <w:rPr>
          <w:rFonts w:ascii="Arial" w:eastAsia="Calibri" w:hAnsi="Arial" w:cs="Arial"/>
          <w:bCs/>
          <w:color w:val="000000"/>
          <w:sz w:val="20"/>
          <w:szCs w:val="20"/>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Arial" w:eastAsia="Calibri" w:hAnsi="Arial" w:cs="Arial"/>
          <w:color w:val="000000"/>
          <w:sz w:val="20"/>
          <w:szCs w:val="20"/>
          <w:lang w:val="es-ES_tradnl"/>
        </w:rPr>
        <w:t>”</w:t>
      </w:r>
      <w:r w:rsidRPr="0008581E">
        <w:rPr>
          <w:rFonts w:ascii="Arial" w:eastAsia="Calibri" w:hAnsi="Arial" w:cs="Arial"/>
          <w:color w:val="000000"/>
          <w:sz w:val="20"/>
          <w:szCs w:val="20"/>
          <w:lang w:val="es-ES_tradnl"/>
        </w:rPr>
        <w:t xml:space="preserve">. </w:t>
      </w:r>
    </w:p>
    <w:p w14:paraId="4E151A86"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1AA75AAD"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r w:rsidRPr="0008581E">
        <w:rPr>
          <w:rFonts w:ascii="Arial" w:eastAsia="Calibri" w:hAnsi="Arial" w:cs="Arial"/>
          <w:b/>
          <w:bCs/>
          <w:color w:val="000000"/>
          <w:sz w:val="20"/>
          <w:szCs w:val="20"/>
          <w:lang w:val="es-ES_tradnl"/>
        </w:rPr>
        <w:t>CONVOCATORIA LIMITADA A MIPYMES – Extensión a las cooperativas y demás entidades de economía solidaria</w:t>
      </w:r>
    </w:p>
    <w:p w14:paraId="214E6A14" w14:textId="32533C57" w:rsidR="0008581E" w:rsidRPr="0008581E" w:rsidRDefault="0008581E" w:rsidP="0008581E">
      <w:pPr>
        <w:spacing w:before="120" w:after="120" w:line="240" w:lineRule="auto"/>
        <w:jc w:val="both"/>
        <w:rPr>
          <w:rFonts w:ascii="Arial" w:eastAsia="Times New Roman" w:hAnsi="Arial" w:cs="Arial"/>
          <w:color w:val="000000"/>
          <w:sz w:val="20"/>
          <w:szCs w:val="20"/>
          <w:lang w:eastAsia="es-MX"/>
        </w:rPr>
      </w:pPr>
      <w:r w:rsidRPr="0008581E">
        <w:rPr>
          <w:rFonts w:ascii="Arial" w:eastAsia="Times New Roman" w:hAnsi="Arial" w:cs="Arial"/>
          <w:color w:val="000000"/>
          <w:sz w:val="20"/>
          <w:szCs w:val="20"/>
          <w:lang w:eastAsia="es-MX"/>
        </w:rPr>
        <w:t xml:space="preserve">Además, se considera importante resaltar que el artículo 8 del Decreto 1860 de 2021, en relación con la vigencia y las derogatorias, indica que </w:t>
      </w:r>
      <w:r>
        <w:rPr>
          <w:rFonts w:ascii="Arial" w:eastAsia="Times New Roman" w:hAnsi="Arial" w:cs="Arial"/>
          <w:color w:val="000000"/>
          <w:sz w:val="20"/>
          <w:szCs w:val="20"/>
          <w:lang w:eastAsia="es-MX"/>
        </w:rPr>
        <w:t>“</w:t>
      </w:r>
      <w:r w:rsidRPr="0008581E">
        <w:rPr>
          <w:rFonts w:ascii="Arial" w:eastAsia="Times New Roman" w:hAnsi="Arial" w:cs="Arial"/>
          <w:color w:val="000000"/>
          <w:sz w:val="20"/>
          <w:szCs w:val="20"/>
          <w:lang w:eastAsia="es-MX"/>
        </w:rPr>
        <w:t>Las disposiciones contenidas en el presente Decreto se aplicarán a los procedimientos de selección cuya invitación, aviso de convocatoria o documento equivalente se publique a los tres (3) meses contados a partir de su expedición. […]</w:t>
      </w:r>
      <w:r>
        <w:rPr>
          <w:rFonts w:ascii="Arial" w:eastAsia="Times New Roman" w:hAnsi="Arial" w:cs="Arial"/>
          <w:color w:val="000000"/>
          <w:sz w:val="20"/>
          <w:szCs w:val="20"/>
          <w:lang w:eastAsia="es-MX"/>
        </w:rPr>
        <w:t>”</w:t>
      </w:r>
      <w:r w:rsidRPr="0008581E">
        <w:rPr>
          <w:rFonts w:ascii="Arial" w:eastAsia="Times New Roman" w:hAnsi="Arial" w:cs="Arial"/>
          <w:color w:val="000000"/>
          <w:sz w:val="20"/>
          <w:szCs w:val="20"/>
          <w:lang w:eastAsia="es-MX"/>
        </w:rPr>
        <w:t>. Por lo tanto, las reglas allí contenidas empezaron a regir en los procesos contractuales cuya invitación o aviso de convocatoria se publique desde el 24 de marzo de 2022.</w:t>
      </w:r>
    </w:p>
    <w:p w14:paraId="584842D4" w14:textId="77777777" w:rsidR="0008581E" w:rsidRPr="0008581E" w:rsidRDefault="0008581E" w:rsidP="0008581E">
      <w:pPr>
        <w:spacing w:before="120" w:after="0" w:line="240" w:lineRule="auto"/>
        <w:jc w:val="both"/>
        <w:rPr>
          <w:rFonts w:ascii="Arial" w:eastAsia="Calibri" w:hAnsi="Arial" w:cs="Arial"/>
          <w:color w:val="000000"/>
          <w:sz w:val="20"/>
          <w:szCs w:val="20"/>
          <w:lang w:val="es-ES_tradnl" w:eastAsia="es-MX"/>
        </w:rPr>
      </w:pPr>
      <w:r w:rsidRPr="0008581E">
        <w:rPr>
          <w:rFonts w:ascii="Arial" w:eastAsia="Times New Roman" w:hAnsi="Arial" w:cs="Arial"/>
          <w:color w:val="000000"/>
          <w:sz w:val="20"/>
          <w:szCs w:val="20"/>
          <w:lang w:eastAsia="es-MX"/>
        </w:rPr>
        <w:lastRenderedPageBreak/>
        <w:t xml:space="preserve">Con la finalidad de profundizar en la respuesta al planteamiento realizado, también es importante mencionar el artículo </w:t>
      </w:r>
      <w:r w:rsidRPr="0008581E">
        <w:rPr>
          <w:rFonts w:ascii="Arial" w:eastAsia="Calibri" w:hAnsi="Arial" w:cs="Arial"/>
          <w:color w:val="000000"/>
          <w:sz w:val="20"/>
          <w:szCs w:val="20"/>
          <w:lang w:val="es-ES_tradnl" w:eastAsia="es-MX"/>
        </w:rPr>
        <w:t xml:space="preserve">23 de la Ley 2069 de 2020, que para efectos de la aplicación de dicha ley, asimila a las cooperativas y a las demás entidades de economía solidaria a empresas, disponiendo además que estas deberán ser clasificadas como </w:t>
      </w:r>
      <w:proofErr w:type="spellStart"/>
      <w:r w:rsidRPr="0008581E">
        <w:rPr>
          <w:rFonts w:ascii="Arial" w:eastAsia="Calibri" w:hAnsi="Arial" w:cs="Arial"/>
          <w:color w:val="000000"/>
          <w:sz w:val="20"/>
          <w:szCs w:val="20"/>
          <w:lang w:val="es-ES_tradnl" w:eastAsia="es-MX"/>
        </w:rPr>
        <w:t>Mipymes</w:t>
      </w:r>
      <w:proofErr w:type="spellEnd"/>
      <w:r w:rsidRPr="0008581E">
        <w:rPr>
          <w:rFonts w:ascii="Arial" w:eastAsia="Calibri" w:hAnsi="Arial" w:cs="Arial"/>
          <w:color w:val="000000"/>
          <w:sz w:val="20"/>
          <w:szCs w:val="20"/>
          <w:lang w:val="es-ES_tradnl" w:eastAsia="es-MX"/>
        </w:rPr>
        <w:t xml:space="preserve"> de conformidad con el artículo 2 de la Ley 590 de 2000 y el Decreto 957 de 2019, los cuales desarrollan la clasificación de las categorías micro, pequeña y mediana empresa en función del tamaño empresarial. El principal efecto de esta norma consiste en </w:t>
      </w:r>
      <w:proofErr w:type="gramStart"/>
      <w:r w:rsidRPr="0008581E">
        <w:rPr>
          <w:rFonts w:ascii="Arial" w:eastAsia="Calibri" w:hAnsi="Arial" w:cs="Arial"/>
          <w:color w:val="000000"/>
          <w:sz w:val="20"/>
          <w:szCs w:val="20"/>
          <w:lang w:val="es-ES_tradnl" w:eastAsia="es-MX"/>
        </w:rPr>
        <w:t>que</w:t>
      </w:r>
      <w:proofErr w:type="gramEnd"/>
      <w:r w:rsidRPr="0008581E">
        <w:rPr>
          <w:rFonts w:ascii="Arial" w:eastAsia="Calibri" w:hAnsi="Arial" w:cs="Arial"/>
          <w:color w:val="000000"/>
          <w:sz w:val="20"/>
          <w:szCs w:val="20"/>
          <w:lang w:val="es-ES_tradnl" w:eastAsia="es-MX"/>
        </w:rPr>
        <w:t xml:space="preserve"> a las cooperativas y a las demás entidades de economía solidaria, al poder ser consideradas como </w:t>
      </w:r>
      <w:proofErr w:type="spellStart"/>
      <w:r w:rsidRPr="0008581E">
        <w:rPr>
          <w:rFonts w:ascii="Arial" w:eastAsia="Calibri" w:hAnsi="Arial" w:cs="Arial"/>
          <w:color w:val="000000"/>
          <w:sz w:val="20"/>
          <w:szCs w:val="20"/>
          <w:lang w:val="es-ES_tradnl" w:eastAsia="es-MX"/>
        </w:rPr>
        <w:t>Mipymes</w:t>
      </w:r>
      <w:proofErr w:type="spellEnd"/>
      <w:r w:rsidRPr="0008581E">
        <w:rPr>
          <w:rFonts w:ascii="Arial" w:eastAsia="Calibri" w:hAnsi="Arial" w:cs="Arial"/>
          <w:color w:val="000000"/>
          <w:sz w:val="20"/>
          <w:szCs w:val="20"/>
          <w:lang w:val="es-ES_tradnl" w:eastAsia="es-MX"/>
        </w:rPr>
        <w:t xml:space="preserve">, les son aplicables las disposiciones alusivas a estas contenidas en la Ley 2069 de 2020. </w:t>
      </w:r>
      <w:r w:rsidRPr="0008581E">
        <w:rPr>
          <w:rFonts w:ascii="Arial" w:eastAsia="Calibri" w:hAnsi="Arial" w:cs="Arial"/>
          <w:color w:val="000000"/>
          <w:sz w:val="20"/>
          <w:szCs w:val="20"/>
          <w:lang w:val="es-ES_tradnl" w:eastAsia="es-MX"/>
        </w:rPr>
        <w:tab/>
      </w:r>
    </w:p>
    <w:p w14:paraId="67389661"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00EDFF81"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456F996E"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655DF92F"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612D7EC7"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2965780E"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34BB69CF"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14D6F0EF"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14E5C649"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4DF4A09B"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3CC23C17"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028819C6"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3A51651F"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5FA125D6"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44356FD6"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51105090"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79EF8CC2"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75F7F69E"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44BD0D40"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23B221D9"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03C95442"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5DB213F5"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13B48FC0"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10FB61E4"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16E71098" w14:textId="77777777" w:rsidR="0008581E" w:rsidRPr="0008581E" w:rsidRDefault="0008581E" w:rsidP="0008581E">
      <w:pPr>
        <w:spacing w:after="120" w:line="240" w:lineRule="auto"/>
        <w:jc w:val="both"/>
        <w:rPr>
          <w:rFonts w:ascii="Arial" w:eastAsia="Calibri" w:hAnsi="Arial" w:cs="Arial"/>
          <w:b/>
          <w:bCs/>
          <w:color w:val="000000"/>
          <w:sz w:val="20"/>
          <w:szCs w:val="20"/>
          <w:lang w:val="es-ES_tradnl"/>
        </w:rPr>
      </w:pPr>
    </w:p>
    <w:p w14:paraId="39744381" w14:textId="77777777" w:rsidR="0008581E" w:rsidRPr="0008581E" w:rsidRDefault="0008581E" w:rsidP="0008581E">
      <w:pPr>
        <w:spacing w:after="120" w:line="240" w:lineRule="auto"/>
        <w:jc w:val="both"/>
        <w:rPr>
          <w:rFonts w:ascii="Arial" w:eastAsia="Calibri" w:hAnsi="Arial" w:cs="Arial"/>
          <w:color w:val="000000"/>
          <w:sz w:val="20"/>
          <w:szCs w:val="20"/>
          <w:lang w:eastAsia="es-MX"/>
        </w:rPr>
      </w:pPr>
    </w:p>
    <w:p w14:paraId="3C4E6CC0" w14:textId="77777777" w:rsidR="0008581E" w:rsidRPr="0008581E" w:rsidRDefault="0008581E" w:rsidP="0008581E">
      <w:pPr>
        <w:spacing w:after="0" w:line="240" w:lineRule="auto"/>
        <w:jc w:val="right"/>
        <w:rPr>
          <w:rFonts w:ascii="Times New Roman" w:eastAsia="Times New Roman" w:hAnsi="Times New Roman" w:cs="Times New Roman"/>
          <w:sz w:val="24"/>
          <w:szCs w:val="24"/>
          <w:lang w:eastAsia="es-MX"/>
        </w:rPr>
      </w:pPr>
    </w:p>
    <w:p w14:paraId="27AEE721" w14:textId="77777777" w:rsidR="0008581E" w:rsidRPr="0008581E" w:rsidRDefault="0008581E" w:rsidP="0008581E">
      <w:pPr>
        <w:spacing w:after="0" w:line="240" w:lineRule="auto"/>
        <w:jc w:val="both"/>
        <w:rPr>
          <w:rFonts w:ascii="Arial" w:eastAsia="Calibri" w:hAnsi="Arial" w:cs="Arial"/>
          <w:color w:val="000000"/>
          <w:lang w:eastAsia="es-MX"/>
        </w:rPr>
      </w:pPr>
    </w:p>
    <w:p w14:paraId="7B47B270" w14:textId="77777777" w:rsidR="0008581E" w:rsidRDefault="0008581E" w:rsidP="0008581E">
      <w:pPr>
        <w:spacing w:after="0" w:line="240" w:lineRule="auto"/>
        <w:jc w:val="both"/>
        <w:rPr>
          <w:rFonts w:ascii="Arial" w:eastAsia="Calibri" w:hAnsi="Arial" w:cs="Arial"/>
          <w:color w:val="000000"/>
          <w:lang w:eastAsia="es-MX"/>
        </w:rPr>
      </w:pPr>
    </w:p>
    <w:p w14:paraId="7BE5AD9C" w14:textId="06E7878C" w:rsidR="0008581E" w:rsidRPr="0008581E" w:rsidRDefault="0008581E" w:rsidP="0008581E">
      <w:pPr>
        <w:spacing w:after="0" w:line="240" w:lineRule="auto"/>
        <w:jc w:val="both"/>
        <w:rPr>
          <w:rFonts w:ascii="Arial" w:eastAsia="Calibri" w:hAnsi="Arial" w:cs="Arial"/>
          <w:color w:val="000000"/>
          <w:lang w:eastAsia="es-MX"/>
        </w:rPr>
      </w:pPr>
      <w:r w:rsidRPr="0008581E">
        <w:rPr>
          <w:rFonts w:ascii="Arial" w:eastAsia="Calibri" w:hAnsi="Arial" w:cs="Arial"/>
          <w:color w:val="000000"/>
          <w:lang w:eastAsia="es-MX"/>
        </w:rPr>
        <w:t>Señora</w:t>
      </w:r>
    </w:p>
    <w:p w14:paraId="35422498" w14:textId="530D9B45" w:rsidR="0008581E" w:rsidRDefault="0008581E" w:rsidP="0008581E">
      <w:pPr>
        <w:spacing w:after="0" w:line="240" w:lineRule="auto"/>
        <w:jc w:val="both"/>
        <w:rPr>
          <w:rFonts w:ascii="Arial" w:eastAsia="Calibri" w:hAnsi="Arial" w:cs="Arial"/>
          <w:b/>
          <w:color w:val="000000"/>
          <w:lang w:eastAsia="es-MX"/>
        </w:rPr>
      </w:pPr>
      <w:r>
        <w:rPr>
          <w:rFonts w:ascii="Arial" w:eastAsia="Calibri" w:hAnsi="Arial" w:cs="Arial"/>
          <w:b/>
          <w:color w:val="000000"/>
          <w:lang w:eastAsia="es-MX"/>
        </w:rPr>
        <w:t xml:space="preserve">Gladys Mahecha Arias </w:t>
      </w:r>
    </w:p>
    <w:p w14:paraId="4C15BF38" w14:textId="3D8B1B85" w:rsidR="0008581E" w:rsidRPr="0008581E" w:rsidRDefault="00000000" w:rsidP="0008581E">
      <w:pPr>
        <w:spacing w:after="0" w:line="240" w:lineRule="auto"/>
        <w:jc w:val="both"/>
        <w:rPr>
          <w:rFonts w:ascii="Arial" w:eastAsia="Calibri" w:hAnsi="Arial" w:cs="Arial"/>
          <w:bCs/>
          <w:color w:val="000000"/>
          <w:lang w:eastAsia="es-MX"/>
        </w:rPr>
      </w:pPr>
      <w:hyperlink r:id="rId10" w:history="1">
        <w:r w:rsidR="0008581E" w:rsidRPr="0008581E">
          <w:rPr>
            <w:rStyle w:val="Hipervnculo"/>
            <w:rFonts w:ascii="Arial" w:eastAsia="Calibri" w:hAnsi="Arial" w:cs="Arial"/>
            <w:bCs/>
            <w:lang w:eastAsia="es-MX"/>
          </w:rPr>
          <w:t>cps259@hotmail.com</w:t>
        </w:r>
      </w:hyperlink>
      <w:r w:rsidR="0008581E" w:rsidRPr="0008581E">
        <w:rPr>
          <w:rFonts w:ascii="Arial" w:eastAsia="Calibri" w:hAnsi="Arial" w:cs="Arial"/>
          <w:bCs/>
          <w:color w:val="000000"/>
          <w:lang w:eastAsia="es-MX"/>
        </w:rPr>
        <w:t xml:space="preserve"> </w:t>
      </w:r>
    </w:p>
    <w:p w14:paraId="4582BCDA" w14:textId="3C25C9CF" w:rsidR="0008581E" w:rsidRPr="0008581E" w:rsidRDefault="0008581E" w:rsidP="0008581E">
      <w:pPr>
        <w:spacing w:after="0" w:line="240" w:lineRule="auto"/>
        <w:jc w:val="both"/>
        <w:rPr>
          <w:rFonts w:ascii="Arial" w:eastAsia="Calibri" w:hAnsi="Arial" w:cs="Arial"/>
          <w:bCs/>
          <w:color w:val="000000"/>
          <w:lang w:eastAsia="es-MX"/>
        </w:rPr>
      </w:pPr>
      <w:r>
        <w:rPr>
          <w:rFonts w:ascii="Arial" w:eastAsia="Calibri" w:hAnsi="Arial" w:cs="Arial"/>
          <w:bCs/>
          <w:color w:val="000000"/>
          <w:lang w:eastAsia="es-MX"/>
        </w:rPr>
        <w:t>Ciudad</w:t>
      </w:r>
    </w:p>
    <w:p w14:paraId="4393C4AC" w14:textId="77777777" w:rsidR="0008581E" w:rsidRPr="0008581E" w:rsidRDefault="0008581E" w:rsidP="0008581E">
      <w:pPr>
        <w:spacing w:after="0" w:line="240" w:lineRule="auto"/>
        <w:jc w:val="both"/>
        <w:rPr>
          <w:rFonts w:ascii="Arial" w:eastAsia="Calibri" w:hAnsi="Arial" w:cs="Arial"/>
          <w:color w:val="000000"/>
          <w:lang w:eastAsia="es-MX"/>
        </w:rPr>
      </w:pPr>
    </w:p>
    <w:p w14:paraId="16ECCD48" w14:textId="77777777" w:rsidR="0008581E" w:rsidRPr="0008581E" w:rsidRDefault="0008581E" w:rsidP="0008581E">
      <w:pPr>
        <w:spacing w:after="0" w:line="240" w:lineRule="auto"/>
        <w:jc w:val="both"/>
        <w:rPr>
          <w:rFonts w:ascii="Arial" w:eastAsia="Calibri" w:hAnsi="Arial" w:cs="Arial"/>
          <w:color w:val="000000"/>
          <w:lang w:eastAsia="es-MX"/>
        </w:rPr>
      </w:pPr>
    </w:p>
    <w:p w14:paraId="158C11FC" w14:textId="5EFE0FFA" w:rsidR="0008581E" w:rsidRPr="0008581E" w:rsidRDefault="0008581E" w:rsidP="0008581E">
      <w:pPr>
        <w:spacing w:after="0" w:line="240" w:lineRule="auto"/>
        <w:rPr>
          <w:rFonts w:ascii="Arial" w:eastAsia="Calibri" w:hAnsi="Arial" w:cs="Arial"/>
          <w:b/>
          <w:bCs/>
          <w:color w:val="000000"/>
          <w:lang w:val="es-ES_tradnl" w:eastAsia="es-MX"/>
        </w:rPr>
      </w:pPr>
      <w:r w:rsidRPr="0008581E">
        <w:rPr>
          <w:rFonts w:ascii="Arial" w:eastAsia="Calibri" w:hAnsi="Arial" w:cs="Arial"/>
          <w:b/>
          <w:bCs/>
          <w:color w:val="000000"/>
          <w:lang w:eastAsia="es-MX"/>
        </w:rPr>
        <w:t xml:space="preserve">                                            </w:t>
      </w:r>
      <w:r w:rsidRPr="0008581E">
        <w:rPr>
          <w:rFonts w:ascii="Arial" w:eastAsia="Calibri" w:hAnsi="Arial" w:cs="Arial"/>
          <w:b/>
          <w:bCs/>
          <w:color w:val="000000"/>
          <w:lang w:val="es-ES_tradnl" w:eastAsia="es-MX"/>
        </w:rPr>
        <w:t>Concepto C–2</w:t>
      </w:r>
      <w:r>
        <w:rPr>
          <w:rFonts w:ascii="Arial" w:eastAsia="Calibri" w:hAnsi="Arial" w:cs="Arial"/>
          <w:b/>
          <w:bCs/>
          <w:color w:val="000000"/>
          <w:lang w:val="es-ES_tradnl" w:eastAsia="es-MX"/>
        </w:rPr>
        <w:t>0</w:t>
      </w:r>
      <w:r w:rsidRPr="0008581E">
        <w:rPr>
          <w:rFonts w:ascii="Arial" w:eastAsia="Calibri" w:hAnsi="Arial" w:cs="Arial"/>
          <w:b/>
          <w:bCs/>
          <w:color w:val="000000"/>
          <w:lang w:val="es-ES_tradnl" w:eastAsia="es-MX"/>
        </w:rPr>
        <w:t>6 de 202</w:t>
      </w:r>
      <w:r>
        <w:rPr>
          <w:rFonts w:ascii="Arial" w:eastAsia="Calibri" w:hAnsi="Arial" w:cs="Arial"/>
          <w:b/>
          <w:bCs/>
          <w:color w:val="000000"/>
          <w:lang w:val="es-ES_tradnl" w:eastAsia="es-MX"/>
        </w:rPr>
        <w:t>3</w:t>
      </w:r>
    </w:p>
    <w:p w14:paraId="399AA752" w14:textId="77777777" w:rsidR="0008581E" w:rsidRPr="0008581E" w:rsidRDefault="0008581E" w:rsidP="0008581E">
      <w:pPr>
        <w:spacing w:after="0" w:line="240" w:lineRule="auto"/>
        <w:jc w:val="both"/>
        <w:rPr>
          <w:rFonts w:ascii="Arial" w:eastAsia="Calibri" w:hAnsi="Arial" w:cs="Arial"/>
          <w:color w:val="000000"/>
          <w:szCs w:val="24"/>
          <w:lang w:val="es-ES_tradnl" w:eastAsia="es-MX"/>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8581E" w:rsidRPr="0008581E" w14:paraId="23E82056" w14:textId="77777777" w:rsidTr="00B36FEB">
        <w:tc>
          <w:tcPr>
            <w:tcW w:w="2689" w:type="dxa"/>
          </w:tcPr>
          <w:p w14:paraId="7D11C628" w14:textId="77777777" w:rsidR="0008581E" w:rsidRPr="0008581E" w:rsidRDefault="0008581E" w:rsidP="0008581E">
            <w:pPr>
              <w:jc w:val="both"/>
              <w:rPr>
                <w:rFonts w:ascii="Arial" w:eastAsia="Calibri" w:hAnsi="Arial" w:cs="Arial"/>
                <w:color w:val="000000"/>
                <w:lang w:val="es-ES_tradnl" w:eastAsia="es-MX"/>
              </w:rPr>
            </w:pPr>
            <w:r w:rsidRPr="0008581E">
              <w:rPr>
                <w:rFonts w:ascii="Arial" w:eastAsia="Calibri" w:hAnsi="Arial" w:cs="Arial"/>
                <w:b/>
                <w:color w:val="000000"/>
                <w:lang w:val="es-ES_tradnl" w:eastAsia="es-MX"/>
              </w:rPr>
              <w:t>Temas:</w:t>
            </w:r>
            <w:r w:rsidRPr="0008581E">
              <w:rPr>
                <w:rFonts w:ascii="Arial" w:eastAsia="Calibri" w:hAnsi="Arial" w:cs="Arial"/>
                <w:color w:val="000000"/>
                <w:lang w:val="es-ES_tradnl" w:eastAsia="es-MX"/>
              </w:rPr>
              <w:t xml:space="preserve">                                      </w:t>
            </w:r>
          </w:p>
        </w:tc>
        <w:tc>
          <w:tcPr>
            <w:tcW w:w="6237" w:type="dxa"/>
          </w:tcPr>
          <w:p w14:paraId="2DEBF6C6" w14:textId="77777777" w:rsidR="0008581E" w:rsidRPr="00835140" w:rsidRDefault="0008581E" w:rsidP="0008581E">
            <w:pPr>
              <w:spacing w:after="120"/>
              <w:jc w:val="both"/>
              <w:rPr>
                <w:rFonts w:ascii="Arial" w:eastAsia="Calibri" w:hAnsi="Arial" w:cs="Arial"/>
                <w:b/>
                <w:bCs/>
                <w:color w:val="000000"/>
                <w:lang w:val="es-ES_tradnl"/>
              </w:rPr>
            </w:pPr>
            <w:r w:rsidRPr="00835140">
              <w:rPr>
                <w:rFonts w:ascii="Arial" w:eastAsia="Calibri" w:hAnsi="Arial" w:cs="Arial"/>
                <w:bCs/>
                <w:color w:val="000000"/>
                <w:lang w:eastAsia="es-MX"/>
              </w:rPr>
              <w:t xml:space="preserve">LEY DE EMPRENDIMIENTO – Impacto − Contratación estatal – Incentivos / </w:t>
            </w:r>
            <w:r w:rsidRPr="00835140">
              <w:rPr>
                <w:rFonts w:ascii="Arial" w:eastAsia="Calibri" w:hAnsi="Arial" w:cs="Arial"/>
                <w:bCs/>
                <w:lang w:val="es-ES_tradnl" w:eastAsia="es-MX"/>
              </w:rPr>
              <w:t xml:space="preserve">PROMOCIÓN DEL DESARROLLO </w:t>
            </w:r>
            <w:r w:rsidRPr="00835140">
              <w:rPr>
                <w:rFonts w:ascii="Arial" w:eastAsia="Calibri" w:hAnsi="Arial" w:cs="Arial"/>
                <w:bCs/>
                <w:color w:val="000000"/>
                <w:lang w:val="es-ES_tradnl" w:eastAsia="es-MX"/>
              </w:rPr>
              <w:t>– Contratación estatal –</w:t>
            </w:r>
            <w:r w:rsidRPr="00835140">
              <w:rPr>
                <w:rFonts w:ascii="Arial" w:eastAsia="Calibri" w:hAnsi="Arial" w:cs="Arial"/>
                <w:bCs/>
                <w:lang w:val="es-ES_tradnl" w:eastAsia="es-MX"/>
              </w:rPr>
              <w:t xml:space="preserve"> Ley 2069 </w:t>
            </w:r>
            <w:r w:rsidRPr="00835140">
              <w:rPr>
                <w:rFonts w:ascii="Arial" w:eastAsia="Calibri" w:hAnsi="Arial" w:cs="Arial"/>
                <w:bCs/>
                <w:color w:val="000000"/>
                <w:lang w:val="es-ES_tradnl" w:eastAsia="es-MX"/>
              </w:rPr>
              <w:t xml:space="preserve">– Artículo 34 – Convocatoria limitada a </w:t>
            </w:r>
            <w:proofErr w:type="spellStart"/>
            <w:r w:rsidRPr="00835140">
              <w:rPr>
                <w:rFonts w:ascii="Arial" w:eastAsia="Calibri" w:hAnsi="Arial" w:cs="Arial"/>
                <w:bCs/>
                <w:color w:val="000000"/>
                <w:lang w:val="es-ES_tradnl" w:eastAsia="es-MX"/>
              </w:rPr>
              <w:t>mipymes</w:t>
            </w:r>
            <w:proofErr w:type="spellEnd"/>
            <w:r w:rsidRPr="00835140">
              <w:rPr>
                <w:rFonts w:ascii="Arial" w:eastAsia="Calibri" w:hAnsi="Arial" w:cs="Arial"/>
                <w:bCs/>
                <w:color w:val="000000"/>
                <w:lang w:val="es-ES_tradnl" w:eastAsia="es-MX"/>
              </w:rPr>
              <w:t xml:space="preserve"> / </w:t>
            </w:r>
            <w:r w:rsidRPr="00835140">
              <w:rPr>
                <w:rFonts w:ascii="Arial" w:eastAsia="Calibri" w:hAnsi="Arial" w:cs="Arial"/>
                <w:color w:val="000000"/>
                <w:lang w:val="es-ES_tradnl"/>
              </w:rPr>
              <w:t>CONVOCATORIA LIMITADA A MIPYMES – Extensión a las cooperativas y demás entidades de economía solidaria</w:t>
            </w:r>
          </w:p>
          <w:p w14:paraId="5066E8B7" w14:textId="77777777" w:rsidR="0008581E" w:rsidRPr="0008581E" w:rsidRDefault="0008581E" w:rsidP="0008581E">
            <w:pPr>
              <w:jc w:val="both"/>
              <w:rPr>
                <w:rFonts w:ascii="Arial" w:eastAsia="Calibri" w:hAnsi="Arial" w:cs="Arial"/>
                <w:b/>
                <w:lang w:val="es-ES_tradnl" w:eastAsia="es-MX"/>
              </w:rPr>
            </w:pPr>
          </w:p>
        </w:tc>
        <w:tc>
          <w:tcPr>
            <w:tcW w:w="6237" w:type="dxa"/>
          </w:tcPr>
          <w:p w14:paraId="16FA85B5" w14:textId="77777777" w:rsidR="0008581E" w:rsidRPr="0008581E" w:rsidRDefault="0008581E" w:rsidP="0008581E">
            <w:pPr>
              <w:jc w:val="both"/>
              <w:rPr>
                <w:rFonts w:ascii="Arial" w:eastAsia="Calibri" w:hAnsi="Arial" w:cs="Arial"/>
                <w:bCs/>
                <w:color w:val="000000"/>
                <w:szCs w:val="24"/>
                <w:lang w:val="es-ES_tradnl" w:eastAsia="es-MX"/>
              </w:rPr>
            </w:pPr>
          </w:p>
        </w:tc>
      </w:tr>
      <w:tr w:rsidR="0008581E" w:rsidRPr="0008581E" w14:paraId="2BA1E0AE" w14:textId="77777777" w:rsidTr="00B36FEB">
        <w:trPr>
          <w:gridAfter w:val="1"/>
          <w:wAfter w:w="6237" w:type="dxa"/>
          <w:trHeight w:val="391"/>
        </w:trPr>
        <w:tc>
          <w:tcPr>
            <w:tcW w:w="2689" w:type="dxa"/>
          </w:tcPr>
          <w:p w14:paraId="1B2D43D5" w14:textId="77777777" w:rsidR="0008581E" w:rsidRPr="0008581E" w:rsidRDefault="0008581E" w:rsidP="0008581E">
            <w:pPr>
              <w:jc w:val="both"/>
              <w:rPr>
                <w:rFonts w:ascii="Arial" w:eastAsia="Calibri" w:hAnsi="Arial" w:cs="Arial"/>
                <w:color w:val="000000"/>
                <w:lang w:val="es-ES_tradnl" w:eastAsia="es-MX"/>
              </w:rPr>
            </w:pPr>
            <w:r w:rsidRPr="0008581E">
              <w:rPr>
                <w:rFonts w:ascii="Arial" w:eastAsia="Calibri" w:hAnsi="Arial" w:cs="Arial"/>
                <w:b/>
                <w:color w:val="000000"/>
                <w:lang w:val="es-ES_tradnl" w:eastAsia="es-MX"/>
              </w:rPr>
              <w:t>Radicación</w:t>
            </w:r>
            <w:r w:rsidRPr="0008581E">
              <w:rPr>
                <w:rFonts w:ascii="Arial" w:eastAsia="Calibri" w:hAnsi="Arial" w:cs="Arial"/>
                <w:color w:val="000000"/>
                <w:lang w:val="es-ES_tradnl" w:eastAsia="es-MX"/>
              </w:rPr>
              <w:t xml:space="preserve">:                              </w:t>
            </w:r>
          </w:p>
        </w:tc>
        <w:tc>
          <w:tcPr>
            <w:tcW w:w="6237" w:type="dxa"/>
          </w:tcPr>
          <w:p w14:paraId="32900BE2" w14:textId="28CBFFB6" w:rsidR="0008581E" w:rsidRPr="0008581E" w:rsidRDefault="0008581E" w:rsidP="0008581E">
            <w:pPr>
              <w:jc w:val="both"/>
              <w:rPr>
                <w:rFonts w:ascii="Arial" w:eastAsia="Calibri" w:hAnsi="Arial" w:cs="Arial"/>
                <w:lang w:val="es-ES"/>
              </w:rPr>
            </w:pPr>
            <w:r w:rsidRPr="0008581E">
              <w:rPr>
                <w:rFonts w:ascii="Arial" w:eastAsia="Calibri" w:hAnsi="Arial" w:cs="Arial"/>
                <w:color w:val="000000"/>
                <w:lang w:val="es-ES_tradnl"/>
              </w:rPr>
              <w:t>Respuesta a consulta</w:t>
            </w:r>
            <w:r>
              <w:rPr>
                <w:rFonts w:ascii="Arial" w:eastAsia="Calibri" w:hAnsi="Arial" w:cs="Arial"/>
                <w:color w:val="000000"/>
                <w:lang w:val="es-ES_tradnl"/>
              </w:rPr>
              <w:t xml:space="preserve"> (Pendiente 15) </w:t>
            </w:r>
          </w:p>
          <w:p w14:paraId="5B24BE35" w14:textId="77777777" w:rsidR="0008581E" w:rsidRPr="0008581E" w:rsidRDefault="0008581E" w:rsidP="0008581E">
            <w:pPr>
              <w:jc w:val="both"/>
              <w:rPr>
                <w:rFonts w:ascii="Arial" w:eastAsia="Calibri" w:hAnsi="Arial" w:cs="Arial"/>
                <w:color w:val="000000"/>
                <w:lang w:val="es-ES_tradnl" w:eastAsia="es-MX"/>
              </w:rPr>
            </w:pPr>
          </w:p>
        </w:tc>
      </w:tr>
    </w:tbl>
    <w:p w14:paraId="7C353C7D" w14:textId="77777777" w:rsidR="0008581E" w:rsidRPr="0008581E" w:rsidRDefault="0008581E" w:rsidP="0008581E">
      <w:pPr>
        <w:spacing w:after="0" w:line="240" w:lineRule="auto"/>
        <w:jc w:val="both"/>
        <w:rPr>
          <w:rFonts w:ascii="Arial" w:eastAsia="Calibri" w:hAnsi="Arial" w:cs="Arial"/>
          <w:color w:val="000000"/>
          <w:szCs w:val="24"/>
          <w:lang w:val="es-ES_tradnl" w:eastAsia="es-MX"/>
        </w:rPr>
      </w:pPr>
    </w:p>
    <w:p w14:paraId="215E79FA" w14:textId="1489B2DA" w:rsidR="0008581E" w:rsidRPr="0008581E" w:rsidRDefault="0008581E" w:rsidP="0008581E">
      <w:pPr>
        <w:spacing w:after="0" w:line="240" w:lineRule="auto"/>
        <w:jc w:val="both"/>
        <w:rPr>
          <w:rFonts w:ascii="Arial" w:eastAsia="Calibri" w:hAnsi="Arial" w:cs="Arial"/>
          <w:color w:val="000000"/>
          <w:szCs w:val="24"/>
          <w:lang w:val="es-ES_tradnl" w:eastAsia="es-MX"/>
        </w:rPr>
      </w:pPr>
      <w:r w:rsidRPr="0008581E">
        <w:rPr>
          <w:rFonts w:ascii="Arial" w:eastAsia="Calibri" w:hAnsi="Arial" w:cs="Arial"/>
          <w:color w:val="000000"/>
          <w:szCs w:val="24"/>
          <w:lang w:val="es-ES_tradnl" w:eastAsia="es-MX"/>
        </w:rPr>
        <w:t>Estimada señora Ma</w:t>
      </w:r>
      <w:r>
        <w:rPr>
          <w:rFonts w:ascii="Arial" w:eastAsia="Calibri" w:hAnsi="Arial" w:cs="Arial"/>
          <w:color w:val="000000"/>
          <w:szCs w:val="24"/>
          <w:lang w:val="es-ES_tradnl" w:eastAsia="es-MX"/>
        </w:rPr>
        <w:t>hecha</w:t>
      </w:r>
      <w:r w:rsidRPr="0008581E">
        <w:rPr>
          <w:rFonts w:ascii="Arial" w:eastAsia="Calibri" w:hAnsi="Arial" w:cs="Arial"/>
          <w:color w:val="000000"/>
          <w:szCs w:val="24"/>
          <w:lang w:val="es-ES_tradnl" w:eastAsia="es-MX"/>
        </w:rPr>
        <w:t xml:space="preserve">: </w:t>
      </w:r>
    </w:p>
    <w:p w14:paraId="407A3B52" w14:textId="77777777" w:rsidR="0008581E" w:rsidRPr="0008581E" w:rsidRDefault="0008581E" w:rsidP="0008581E">
      <w:pPr>
        <w:spacing w:after="0" w:line="240" w:lineRule="auto"/>
        <w:jc w:val="both"/>
        <w:rPr>
          <w:rFonts w:ascii="Arial" w:eastAsia="Calibri" w:hAnsi="Arial" w:cs="Arial"/>
          <w:color w:val="000000"/>
          <w:szCs w:val="24"/>
          <w:lang w:val="es-ES_tradnl" w:eastAsia="es-MX"/>
        </w:rPr>
      </w:pPr>
    </w:p>
    <w:p w14:paraId="2C4287EA" w14:textId="3B3FC99B" w:rsidR="0008581E" w:rsidRPr="0008581E" w:rsidRDefault="0008581E" w:rsidP="0008581E">
      <w:pPr>
        <w:spacing w:after="0" w:line="276" w:lineRule="auto"/>
        <w:jc w:val="both"/>
        <w:rPr>
          <w:rFonts w:ascii="Arial" w:eastAsia="Calibri" w:hAnsi="Arial" w:cs="Arial"/>
          <w:color w:val="000000"/>
          <w:szCs w:val="24"/>
          <w:lang w:val="es-ES_tradnl" w:eastAsia="es-MX"/>
        </w:rPr>
      </w:pPr>
      <w:r w:rsidRPr="0008581E">
        <w:rPr>
          <w:rFonts w:ascii="Arial" w:eastAsia="Calibri" w:hAnsi="Arial" w:cs="Arial"/>
          <w:color w:val="000000"/>
          <w:szCs w:val="24"/>
          <w:lang w:val="es-ES_tradnl" w:eastAsia="es-MX"/>
        </w:rPr>
        <w:t xml:space="preserve">En ejercicio de la competencia otorgada por el numeral 8 del artículo 11 y el numeral 5 del artículo 3 del Decreto Ley 4170 de 2011, la Agencia Nacional de Contratación Pública – Colombia Compra Eficiente responde a su consulta del </w:t>
      </w:r>
      <w:r>
        <w:rPr>
          <w:rFonts w:ascii="Arial" w:eastAsia="Calibri" w:hAnsi="Arial" w:cs="Arial"/>
          <w:color w:val="000000"/>
          <w:szCs w:val="24"/>
          <w:lang w:val="es-ES_tradnl" w:eastAsia="es-MX"/>
        </w:rPr>
        <w:t>4</w:t>
      </w:r>
      <w:r w:rsidRPr="0008581E">
        <w:rPr>
          <w:rFonts w:ascii="Arial" w:eastAsia="Calibri" w:hAnsi="Arial" w:cs="Arial"/>
          <w:color w:val="000000"/>
          <w:szCs w:val="24"/>
          <w:lang w:val="es-ES_tradnl" w:eastAsia="es-MX"/>
        </w:rPr>
        <w:t xml:space="preserve"> de ma</w:t>
      </w:r>
      <w:r>
        <w:rPr>
          <w:rFonts w:ascii="Arial" w:eastAsia="Calibri" w:hAnsi="Arial" w:cs="Arial"/>
          <w:color w:val="000000"/>
          <w:szCs w:val="24"/>
          <w:lang w:val="es-ES_tradnl" w:eastAsia="es-MX"/>
        </w:rPr>
        <w:t>yo</w:t>
      </w:r>
      <w:r w:rsidRPr="0008581E">
        <w:rPr>
          <w:rFonts w:ascii="Arial" w:eastAsia="Calibri" w:hAnsi="Arial" w:cs="Arial"/>
          <w:color w:val="000000"/>
          <w:szCs w:val="24"/>
          <w:lang w:val="es-ES_tradnl" w:eastAsia="es-MX"/>
        </w:rPr>
        <w:t xml:space="preserve"> de 202</w:t>
      </w:r>
      <w:r>
        <w:rPr>
          <w:rFonts w:ascii="Arial" w:eastAsia="Calibri" w:hAnsi="Arial" w:cs="Arial"/>
          <w:color w:val="000000"/>
          <w:szCs w:val="24"/>
          <w:lang w:val="es-ES_tradnl" w:eastAsia="es-MX"/>
        </w:rPr>
        <w:t>3</w:t>
      </w:r>
      <w:r w:rsidRPr="0008581E">
        <w:rPr>
          <w:rFonts w:ascii="Arial" w:eastAsia="Calibri" w:hAnsi="Arial" w:cs="Arial"/>
          <w:color w:val="000000"/>
          <w:szCs w:val="24"/>
          <w:lang w:val="es-ES_tradnl" w:eastAsia="es-MX"/>
        </w:rPr>
        <w:t xml:space="preserve">. </w:t>
      </w:r>
    </w:p>
    <w:p w14:paraId="0F64EEA8" w14:textId="77777777" w:rsidR="0008581E" w:rsidRPr="0008581E" w:rsidRDefault="0008581E" w:rsidP="0008581E">
      <w:pPr>
        <w:spacing w:after="0" w:line="276" w:lineRule="auto"/>
        <w:jc w:val="both"/>
        <w:rPr>
          <w:rFonts w:ascii="Arial" w:eastAsia="Calibri" w:hAnsi="Arial" w:cs="Arial"/>
          <w:b/>
          <w:color w:val="000000"/>
          <w:szCs w:val="24"/>
          <w:lang w:val="es-ES_tradnl" w:eastAsia="es-MX"/>
        </w:rPr>
      </w:pPr>
    </w:p>
    <w:p w14:paraId="2E2463EC" w14:textId="6B0B7D1B" w:rsidR="0008581E" w:rsidRPr="0008581E" w:rsidRDefault="0008581E" w:rsidP="0008581E">
      <w:pPr>
        <w:pStyle w:val="Prrafodelista"/>
        <w:numPr>
          <w:ilvl w:val="0"/>
          <w:numId w:val="2"/>
        </w:numPr>
        <w:tabs>
          <w:tab w:val="left" w:pos="0"/>
          <w:tab w:val="left" w:pos="142"/>
          <w:tab w:val="left" w:pos="284"/>
        </w:tabs>
        <w:spacing w:after="0" w:line="276" w:lineRule="auto"/>
        <w:ind w:hanging="720"/>
        <w:jc w:val="both"/>
        <w:rPr>
          <w:rFonts w:ascii="Arial" w:eastAsia="Calibri" w:hAnsi="Arial" w:cs="Arial"/>
          <w:b/>
          <w:color w:val="000000"/>
          <w:lang w:val="es-ES_tradnl"/>
        </w:rPr>
      </w:pPr>
      <w:r w:rsidRPr="0008581E">
        <w:rPr>
          <w:rFonts w:ascii="Arial" w:eastAsia="Calibri" w:hAnsi="Arial" w:cs="Arial"/>
          <w:b/>
          <w:color w:val="000000"/>
          <w:lang w:val="es-ES_tradnl"/>
        </w:rPr>
        <w:t xml:space="preserve">Problema planteado </w:t>
      </w:r>
    </w:p>
    <w:p w14:paraId="451A13C0" w14:textId="77777777" w:rsidR="0008581E" w:rsidRPr="0008581E" w:rsidRDefault="0008581E" w:rsidP="0008581E">
      <w:pPr>
        <w:tabs>
          <w:tab w:val="left" w:pos="426"/>
        </w:tabs>
        <w:spacing w:after="0" w:line="276" w:lineRule="auto"/>
        <w:jc w:val="both"/>
        <w:rPr>
          <w:rFonts w:ascii="Arial" w:eastAsia="Calibri" w:hAnsi="Arial" w:cs="Arial"/>
          <w:b/>
          <w:color w:val="000000"/>
          <w:szCs w:val="24"/>
          <w:lang w:val="es-ES_tradnl" w:eastAsia="es-MX"/>
        </w:rPr>
      </w:pPr>
    </w:p>
    <w:p w14:paraId="14747D60" w14:textId="77777777" w:rsidR="0008581E" w:rsidRPr="0008581E" w:rsidRDefault="0008581E" w:rsidP="0008581E">
      <w:pPr>
        <w:spacing w:after="0" w:line="276" w:lineRule="auto"/>
        <w:jc w:val="both"/>
        <w:rPr>
          <w:rFonts w:ascii="Arial" w:eastAsia="Times New Roman" w:hAnsi="Arial" w:cs="Arial"/>
          <w:color w:val="000000"/>
          <w:szCs w:val="24"/>
          <w:lang w:val="es-ES_tradnl" w:eastAsia="es-MX"/>
        </w:rPr>
      </w:pPr>
      <w:r w:rsidRPr="0008581E">
        <w:rPr>
          <w:rFonts w:ascii="Arial" w:eastAsia="Times New Roman" w:hAnsi="Arial" w:cs="Arial"/>
          <w:color w:val="000000"/>
          <w:szCs w:val="24"/>
          <w:lang w:val="es-ES_tradnl" w:eastAsia="es-MX"/>
        </w:rPr>
        <w:t xml:space="preserve">En la comunicación remitida a esta Agencia se manifiesta la siguiente inquietud: </w:t>
      </w:r>
    </w:p>
    <w:p w14:paraId="53FA906F" w14:textId="77777777" w:rsidR="0008581E" w:rsidRPr="0008581E" w:rsidRDefault="0008581E" w:rsidP="0008581E">
      <w:pPr>
        <w:autoSpaceDE w:val="0"/>
        <w:autoSpaceDN w:val="0"/>
        <w:adjustRightInd w:val="0"/>
        <w:spacing w:after="0" w:line="276" w:lineRule="auto"/>
        <w:ind w:left="709" w:right="709"/>
        <w:jc w:val="both"/>
        <w:rPr>
          <w:rFonts w:ascii="Arial" w:eastAsia="Times New Roman" w:hAnsi="Arial" w:cs="Arial"/>
          <w:color w:val="000000"/>
          <w:sz w:val="21"/>
          <w:szCs w:val="21"/>
          <w:lang w:val="es-ES_tradnl" w:eastAsia="es-MX"/>
        </w:rPr>
      </w:pPr>
    </w:p>
    <w:p w14:paraId="4E83D3E1" w14:textId="533C544A" w:rsidR="0008581E" w:rsidRPr="0008581E" w:rsidRDefault="0008581E" w:rsidP="0008581E">
      <w:pPr>
        <w:spacing w:after="0" w:line="240" w:lineRule="auto"/>
        <w:ind w:left="709" w:right="709"/>
        <w:jc w:val="both"/>
        <w:rPr>
          <w:rFonts w:ascii="Arial" w:eastAsia="Calibri" w:hAnsi="Arial" w:cs="Arial"/>
          <w:sz w:val="21"/>
          <w:szCs w:val="21"/>
          <w:lang w:val="es-MX"/>
        </w:rPr>
      </w:pPr>
      <w:r>
        <w:rPr>
          <w:rFonts w:ascii="Arial" w:eastAsia="Calibri" w:hAnsi="Arial" w:cs="Arial"/>
          <w:sz w:val="21"/>
          <w:szCs w:val="21"/>
          <w:lang w:val="es-MX"/>
        </w:rPr>
        <w:t>“</w:t>
      </w:r>
      <w:r w:rsidRPr="0008581E">
        <w:rPr>
          <w:rFonts w:ascii="Arial" w:eastAsia="Calibri" w:hAnsi="Arial" w:cs="Arial"/>
          <w:sz w:val="21"/>
          <w:szCs w:val="21"/>
          <w:lang w:val="es-MX"/>
        </w:rPr>
        <w:t xml:space="preserve">Respetuosamente me permito solicitar </w:t>
      </w:r>
      <w:proofErr w:type="spellStart"/>
      <w:r w:rsidRPr="0008581E">
        <w:rPr>
          <w:rFonts w:ascii="Arial" w:eastAsia="Calibri" w:hAnsi="Arial" w:cs="Arial"/>
          <w:sz w:val="21"/>
          <w:szCs w:val="21"/>
          <w:lang w:val="es-MX"/>
        </w:rPr>
        <w:t>informacion</w:t>
      </w:r>
      <w:proofErr w:type="spellEnd"/>
      <w:r w:rsidRPr="0008581E">
        <w:rPr>
          <w:rFonts w:ascii="Arial" w:eastAsia="Calibri" w:hAnsi="Arial" w:cs="Arial"/>
          <w:sz w:val="21"/>
          <w:szCs w:val="21"/>
          <w:lang w:val="es-MX"/>
        </w:rPr>
        <w:t xml:space="preserve">, me estoy presentando un proceso, y me </w:t>
      </w:r>
      <w:proofErr w:type="spellStart"/>
      <w:r w:rsidRPr="0008581E">
        <w:rPr>
          <w:rFonts w:ascii="Arial" w:eastAsia="Calibri" w:hAnsi="Arial" w:cs="Arial"/>
          <w:sz w:val="21"/>
          <w:szCs w:val="21"/>
          <w:lang w:val="es-MX"/>
        </w:rPr>
        <w:t>esta</w:t>
      </w:r>
      <w:proofErr w:type="spellEnd"/>
      <w:r w:rsidRPr="0008581E">
        <w:rPr>
          <w:rFonts w:ascii="Arial" w:eastAsia="Calibri" w:hAnsi="Arial" w:cs="Arial"/>
          <w:sz w:val="21"/>
          <w:szCs w:val="21"/>
          <w:lang w:val="es-MX"/>
        </w:rPr>
        <w:t xml:space="preserve"> negando la </w:t>
      </w:r>
      <w:proofErr w:type="spellStart"/>
      <w:r w:rsidRPr="0008581E">
        <w:rPr>
          <w:rFonts w:ascii="Arial" w:eastAsia="Calibri" w:hAnsi="Arial" w:cs="Arial"/>
          <w:sz w:val="21"/>
          <w:szCs w:val="21"/>
          <w:lang w:val="es-MX"/>
        </w:rPr>
        <w:t>participacion</w:t>
      </w:r>
      <w:proofErr w:type="spellEnd"/>
      <w:r w:rsidRPr="0008581E">
        <w:rPr>
          <w:rFonts w:ascii="Arial" w:eastAsia="Calibri" w:hAnsi="Arial" w:cs="Arial"/>
          <w:sz w:val="21"/>
          <w:szCs w:val="21"/>
          <w:lang w:val="es-MX"/>
        </w:rPr>
        <w:t xml:space="preserve"> en el proceso por </w:t>
      </w:r>
      <w:proofErr w:type="spellStart"/>
      <w:r w:rsidRPr="0008581E">
        <w:rPr>
          <w:rFonts w:ascii="Arial" w:eastAsia="Calibri" w:hAnsi="Arial" w:cs="Arial"/>
          <w:sz w:val="21"/>
          <w:szCs w:val="21"/>
          <w:lang w:val="es-MX"/>
        </w:rPr>
        <w:t>por</w:t>
      </w:r>
      <w:proofErr w:type="spellEnd"/>
      <w:r w:rsidRPr="0008581E">
        <w:rPr>
          <w:rFonts w:ascii="Arial" w:eastAsia="Calibri" w:hAnsi="Arial" w:cs="Arial"/>
          <w:sz w:val="21"/>
          <w:szCs w:val="21"/>
          <w:lang w:val="es-MX"/>
        </w:rPr>
        <w:t xml:space="preserve"> </w:t>
      </w:r>
      <w:proofErr w:type="spellStart"/>
      <w:r w:rsidRPr="0008581E">
        <w:rPr>
          <w:rFonts w:ascii="Arial" w:eastAsia="Calibri" w:hAnsi="Arial" w:cs="Arial"/>
          <w:sz w:val="21"/>
          <w:szCs w:val="21"/>
          <w:lang w:val="es-MX"/>
        </w:rPr>
        <w:t>se</w:t>
      </w:r>
      <w:proofErr w:type="spellEnd"/>
      <w:r w:rsidRPr="0008581E">
        <w:rPr>
          <w:rFonts w:ascii="Arial" w:eastAsia="Calibri" w:hAnsi="Arial" w:cs="Arial"/>
          <w:sz w:val="21"/>
          <w:szCs w:val="21"/>
          <w:lang w:val="es-MX"/>
        </w:rPr>
        <w:t xml:space="preserve"> una </w:t>
      </w:r>
      <w:proofErr w:type="spellStart"/>
      <w:r w:rsidRPr="0008581E">
        <w:rPr>
          <w:rFonts w:ascii="Arial" w:eastAsia="Calibri" w:hAnsi="Arial" w:cs="Arial"/>
          <w:sz w:val="21"/>
          <w:szCs w:val="21"/>
          <w:lang w:val="es-MX"/>
        </w:rPr>
        <w:t>corporacion</w:t>
      </w:r>
      <w:proofErr w:type="spellEnd"/>
      <w:r w:rsidRPr="0008581E">
        <w:rPr>
          <w:rFonts w:ascii="Arial" w:eastAsia="Calibri" w:hAnsi="Arial" w:cs="Arial"/>
          <w:sz w:val="21"/>
          <w:szCs w:val="21"/>
          <w:lang w:val="es-MX"/>
        </w:rPr>
        <w:t xml:space="preserve"> </w:t>
      </w:r>
      <w:proofErr w:type="gramStart"/>
      <w:r w:rsidRPr="0008581E">
        <w:rPr>
          <w:rFonts w:ascii="Arial" w:eastAsia="Calibri" w:hAnsi="Arial" w:cs="Arial"/>
          <w:sz w:val="21"/>
          <w:szCs w:val="21"/>
          <w:lang w:val="es-MX"/>
        </w:rPr>
        <w:t xml:space="preserve">sin  </w:t>
      </w:r>
      <w:proofErr w:type="spellStart"/>
      <w:r w:rsidRPr="0008581E">
        <w:rPr>
          <w:rFonts w:ascii="Arial" w:eastAsia="Calibri" w:hAnsi="Arial" w:cs="Arial"/>
          <w:sz w:val="21"/>
          <w:szCs w:val="21"/>
          <w:lang w:val="es-MX"/>
        </w:rPr>
        <w:t>animo</w:t>
      </w:r>
      <w:proofErr w:type="spellEnd"/>
      <w:proofErr w:type="gramEnd"/>
      <w:r w:rsidRPr="0008581E">
        <w:rPr>
          <w:rFonts w:ascii="Arial" w:eastAsia="Calibri" w:hAnsi="Arial" w:cs="Arial"/>
          <w:sz w:val="21"/>
          <w:szCs w:val="21"/>
          <w:lang w:val="es-MX"/>
        </w:rPr>
        <w:t xml:space="preserve"> de lucro, ya que manifiestan  </w:t>
      </w:r>
      <w:proofErr w:type="spellStart"/>
      <w:r w:rsidRPr="0008581E">
        <w:rPr>
          <w:rFonts w:ascii="Arial" w:eastAsia="Calibri" w:hAnsi="Arial" w:cs="Arial"/>
          <w:sz w:val="21"/>
          <w:szCs w:val="21"/>
          <w:lang w:val="es-MX"/>
        </w:rPr>
        <w:t>qiue</w:t>
      </w:r>
      <w:proofErr w:type="spellEnd"/>
      <w:r w:rsidRPr="0008581E">
        <w:rPr>
          <w:rFonts w:ascii="Arial" w:eastAsia="Calibri" w:hAnsi="Arial" w:cs="Arial"/>
          <w:sz w:val="21"/>
          <w:szCs w:val="21"/>
          <w:lang w:val="es-MX"/>
        </w:rPr>
        <w:t xml:space="preserve"> las corporaciones  o entidades sin </w:t>
      </w:r>
      <w:proofErr w:type="spellStart"/>
      <w:r w:rsidRPr="0008581E">
        <w:rPr>
          <w:rFonts w:ascii="Arial" w:eastAsia="Calibri" w:hAnsi="Arial" w:cs="Arial"/>
          <w:sz w:val="21"/>
          <w:szCs w:val="21"/>
          <w:lang w:val="es-MX"/>
        </w:rPr>
        <w:t>animo</w:t>
      </w:r>
      <w:proofErr w:type="spellEnd"/>
      <w:r w:rsidRPr="0008581E">
        <w:rPr>
          <w:rFonts w:ascii="Arial" w:eastAsia="Calibri" w:hAnsi="Arial" w:cs="Arial"/>
          <w:sz w:val="21"/>
          <w:szCs w:val="21"/>
          <w:lang w:val="es-MX"/>
        </w:rPr>
        <w:t xml:space="preserve"> de lucro no pueden participar en un proceso de </w:t>
      </w:r>
      <w:proofErr w:type="spellStart"/>
      <w:r w:rsidRPr="0008581E">
        <w:rPr>
          <w:rFonts w:ascii="Arial" w:eastAsia="Calibri" w:hAnsi="Arial" w:cs="Arial"/>
          <w:sz w:val="21"/>
          <w:szCs w:val="21"/>
          <w:lang w:val="es-MX"/>
        </w:rPr>
        <w:t>contratacion</w:t>
      </w:r>
      <w:proofErr w:type="spellEnd"/>
      <w:r w:rsidRPr="0008581E">
        <w:rPr>
          <w:rFonts w:ascii="Arial" w:eastAsia="Calibri" w:hAnsi="Arial" w:cs="Arial"/>
          <w:sz w:val="21"/>
          <w:szCs w:val="21"/>
          <w:lang w:val="es-MX"/>
        </w:rPr>
        <w:t xml:space="preserve">  cuando se encuentra limitada a </w:t>
      </w:r>
      <w:proofErr w:type="spellStart"/>
      <w:r w:rsidRPr="0008581E">
        <w:rPr>
          <w:rFonts w:ascii="Arial" w:eastAsia="Calibri" w:hAnsi="Arial" w:cs="Arial"/>
          <w:sz w:val="21"/>
          <w:szCs w:val="21"/>
          <w:lang w:val="es-MX"/>
        </w:rPr>
        <w:t>mipymes</w:t>
      </w:r>
      <w:proofErr w:type="spellEnd"/>
      <w:r>
        <w:rPr>
          <w:rFonts w:ascii="Arial" w:eastAsia="Calibri" w:hAnsi="Arial" w:cs="Arial"/>
          <w:sz w:val="21"/>
          <w:szCs w:val="21"/>
          <w:lang w:val="es-MX"/>
        </w:rPr>
        <w:t xml:space="preserve"> ”</w:t>
      </w:r>
      <w:r w:rsidRPr="0008581E">
        <w:rPr>
          <w:rFonts w:ascii="Arial" w:eastAsia="Calibri" w:hAnsi="Arial" w:cs="Arial"/>
          <w:sz w:val="21"/>
          <w:szCs w:val="21"/>
          <w:lang w:val="es-MX"/>
        </w:rPr>
        <w:t xml:space="preserve"> </w:t>
      </w:r>
      <w:r>
        <w:rPr>
          <w:rFonts w:ascii="Arial" w:eastAsia="Calibri" w:hAnsi="Arial" w:cs="Arial"/>
          <w:sz w:val="21"/>
          <w:szCs w:val="21"/>
          <w:lang w:val="es-MX"/>
        </w:rPr>
        <w:t>(SIC)</w:t>
      </w:r>
    </w:p>
    <w:p w14:paraId="32644B9C" w14:textId="77777777" w:rsidR="0008581E" w:rsidRPr="0008581E" w:rsidRDefault="0008581E" w:rsidP="0008581E">
      <w:pPr>
        <w:spacing w:after="0" w:line="240" w:lineRule="auto"/>
        <w:jc w:val="both"/>
        <w:rPr>
          <w:rFonts w:ascii="Arial" w:eastAsia="Times New Roman" w:hAnsi="Arial" w:cs="Arial"/>
          <w:color w:val="000000"/>
          <w:szCs w:val="24"/>
          <w:lang w:val="es-ES_tradnl" w:eastAsia="es-MX"/>
        </w:rPr>
      </w:pPr>
    </w:p>
    <w:p w14:paraId="4CB57697" w14:textId="77777777" w:rsidR="0008581E" w:rsidRPr="0008581E" w:rsidRDefault="0008581E" w:rsidP="0008581E">
      <w:pPr>
        <w:pStyle w:val="Prrafodelista"/>
        <w:numPr>
          <w:ilvl w:val="0"/>
          <w:numId w:val="2"/>
        </w:numPr>
        <w:tabs>
          <w:tab w:val="left" w:pos="0"/>
          <w:tab w:val="left" w:pos="142"/>
          <w:tab w:val="left" w:pos="284"/>
        </w:tabs>
        <w:spacing w:after="0" w:line="276" w:lineRule="auto"/>
        <w:ind w:hanging="720"/>
        <w:jc w:val="both"/>
        <w:rPr>
          <w:rFonts w:ascii="Arial" w:eastAsia="Calibri" w:hAnsi="Arial" w:cs="Arial"/>
          <w:b/>
          <w:color w:val="000000"/>
          <w:lang w:val="es-ES_tradnl"/>
        </w:rPr>
      </w:pPr>
      <w:r w:rsidRPr="0008581E">
        <w:rPr>
          <w:rFonts w:ascii="Arial" w:eastAsia="Calibri" w:hAnsi="Arial" w:cs="Arial"/>
          <w:b/>
          <w:color w:val="000000"/>
          <w:lang w:val="es-ES_tradnl"/>
        </w:rPr>
        <w:t>Consideraciones</w:t>
      </w:r>
    </w:p>
    <w:p w14:paraId="68934D4E" w14:textId="77777777" w:rsidR="0008581E" w:rsidRPr="0008581E" w:rsidRDefault="0008581E" w:rsidP="0008581E">
      <w:pPr>
        <w:tabs>
          <w:tab w:val="left" w:pos="0"/>
          <w:tab w:val="left" w:pos="284"/>
        </w:tabs>
        <w:spacing w:after="0" w:line="240" w:lineRule="auto"/>
        <w:contextualSpacing/>
        <w:jc w:val="both"/>
        <w:rPr>
          <w:rFonts w:ascii="Arial" w:eastAsia="Calibri" w:hAnsi="Arial" w:cs="Arial"/>
          <w:b/>
          <w:color w:val="000000"/>
          <w:lang w:val="es-ES_tradnl"/>
        </w:rPr>
      </w:pPr>
    </w:p>
    <w:p w14:paraId="760989FE" w14:textId="77777777" w:rsidR="0008581E" w:rsidRPr="0008581E" w:rsidRDefault="0008581E" w:rsidP="0008581E">
      <w:pPr>
        <w:spacing w:after="120" w:line="276" w:lineRule="auto"/>
        <w:jc w:val="both"/>
        <w:rPr>
          <w:rFonts w:ascii="Arial" w:eastAsia="Times New Roman" w:hAnsi="Arial" w:cs="Arial"/>
          <w:bCs/>
          <w:szCs w:val="24"/>
          <w:lang w:val="es-ES_tradnl" w:eastAsia="es-MX"/>
        </w:rPr>
      </w:pPr>
      <w:r w:rsidRPr="0008581E">
        <w:rPr>
          <w:rFonts w:ascii="Arial" w:eastAsia="Calibri" w:hAnsi="Arial" w:cs="Arial"/>
          <w:color w:val="000000"/>
          <w:szCs w:val="24"/>
          <w:lang w:val="es-ES_tradnl" w:eastAsia="es-MX"/>
        </w:rPr>
        <w:t xml:space="preserve">Como cuestión preliminar, </w:t>
      </w:r>
      <w:r w:rsidRPr="0008581E">
        <w:rPr>
          <w:rFonts w:ascii="Arial" w:eastAsia="Times New Roman" w:hAnsi="Arial" w:cs="Arial"/>
          <w:bCs/>
          <w:szCs w:val="24"/>
          <w:lang w:val="es-ES_tradnl" w:eastAsia="es-MX"/>
        </w:rPr>
        <w:t>es relevante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6FFBB40" w14:textId="77777777" w:rsidR="0008581E" w:rsidRPr="0008581E" w:rsidRDefault="0008581E" w:rsidP="0008581E">
      <w:pPr>
        <w:spacing w:after="120" w:line="276" w:lineRule="auto"/>
        <w:ind w:firstLine="708"/>
        <w:jc w:val="both"/>
        <w:rPr>
          <w:rFonts w:ascii="Arial" w:eastAsia="Times New Roman" w:hAnsi="Arial" w:cs="Arial"/>
          <w:szCs w:val="24"/>
          <w:lang w:val="es-ES_tradnl" w:eastAsia="es-MX"/>
        </w:rPr>
      </w:pPr>
      <w:bookmarkStart w:id="4" w:name="_Hlk61701014"/>
      <w:bookmarkStart w:id="5" w:name="_Hlk62136649"/>
      <w:r w:rsidRPr="0008581E">
        <w:rPr>
          <w:rFonts w:ascii="Arial" w:eastAsia="Times New Roman" w:hAnsi="Arial" w:cs="Arial"/>
          <w:szCs w:val="24"/>
          <w:lang w:val="es-ES_tradnl" w:eastAsia="es-MX"/>
        </w:rPr>
        <w:lastRenderedPageBreak/>
        <w:t xml:space="preserve">Es necesario tener en cuenta que </w:t>
      </w:r>
      <w:bookmarkStart w:id="6" w:name="_Hlk61026958"/>
      <w:r w:rsidRPr="0008581E">
        <w:rPr>
          <w:rFonts w:ascii="Arial" w:eastAsia="Times New Roman" w:hAnsi="Arial" w:cs="Arial"/>
          <w:szCs w:val="24"/>
          <w:lang w:val="es-ES_tradnl" w:eastAsia="es-MX"/>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8581E">
        <w:rPr>
          <w:rFonts w:ascii="Arial" w:eastAsia="Times New Roman" w:hAnsi="Arial" w:cs="Arial"/>
          <w:bCs/>
          <w:szCs w:val="24"/>
          <w:lang w:val="es-ES_tradnl" w:eastAsia="es-MX"/>
        </w:rPr>
        <w:t xml:space="preserve"> de todos los partícipes de la contratación estatal.</w:t>
      </w:r>
    </w:p>
    <w:p w14:paraId="7BBF6854" w14:textId="77777777" w:rsidR="0008581E" w:rsidRPr="0008581E" w:rsidRDefault="0008581E" w:rsidP="0008581E">
      <w:pPr>
        <w:spacing w:after="120" w:line="276" w:lineRule="auto"/>
        <w:ind w:firstLine="708"/>
        <w:jc w:val="both"/>
        <w:rPr>
          <w:rFonts w:ascii="Arial" w:eastAsia="Times New Roman" w:hAnsi="Arial" w:cs="Arial"/>
          <w:szCs w:val="24"/>
          <w:lang w:val="es-ES_tradnl" w:eastAsia="es-MX"/>
        </w:rPr>
      </w:pPr>
      <w:r w:rsidRPr="0008581E">
        <w:rPr>
          <w:rFonts w:ascii="Arial" w:eastAsia="Times New Roman" w:hAnsi="Arial" w:cs="Arial"/>
          <w:szCs w:val="24"/>
          <w:lang w:val="es-ES_tradnl"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8581E">
        <w:rPr>
          <w:rFonts w:ascii="Arial" w:eastAsia="Times New Roman" w:hAnsi="Arial" w:cs="Arial"/>
          <w:szCs w:val="24"/>
          <w:vertAlign w:val="superscript"/>
          <w:lang w:val="es-ES_tradnl" w:eastAsia="es-MX"/>
        </w:rPr>
        <w:footnoteReference w:id="1"/>
      </w:r>
      <w:r w:rsidRPr="0008581E">
        <w:rPr>
          <w:rFonts w:ascii="Arial" w:eastAsia="Times New Roman" w:hAnsi="Arial" w:cs="Arial"/>
          <w:szCs w:val="24"/>
          <w:lang w:val="es-ES_tradnl" w:eastAsia="es-MX"/>
        </w:rPr>
        <w:t xml:space="preserve">. Esta competencia de interpretación de normas generales, por definición, no puede extenderse a la resolución de controversias, </w:t>
      </w:r>
      <w:r w:rsidRPr="0008581E">
        <w:rPr>
          <w:rFonts w:ascii="Arial" w:eastAsia="Times New Roman" w:hAnsi="Arial" w:cs="Arial"/>
          <w:szCs w:val="24"/>
          <w:u w:val="single"/>
          <w:lang w:val="es-ES_tradnl" w:eastAsia="es-MX"/>
        </w:rPr>
        <w:t>ni a brindar asesorías sobre casos puntuales</w:t>
      </w:r>
      <w:r w:rsidRPr="0008581E">
        <w:rPr>
          <w:rFonts w:ascii="Arial" w:eastAsia="Times New Roman" w:hAnsi="Arial" w:cs="Arial"/>
          <w:szCs w:val="24"/>
          <w:lang w:val="es-ES_tradnl" w:eastAsia="es-MX"/>
        </w:rPr>
        <w:t>.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08581E">
        <w:rPr>
          <w:rFonts w:ascii="Arial" w:eastAsia="Times New Roman" w:hAnsi="Arial" w:cs="Arial"/>
          <w:szCs w:val="24"/>
          <w:lang w:val="es-ES_tradnl" w:eastAsia="es-MX"/>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4"/>
    </w:p>
    <w:bookmarkEnd w:id="5"/>
    <w:p w14:paraId="791255CC" w14:textId="77777777" w:rsidR="0008581E" w:rsidRPr="0008581E" w:rsidRDefault="0008581E" w:rsidP="0008581E">
      <w:pPr>
        <w:spacing w:after="0" w:line="276" w:lineRule="auto"/>
        <w:ind w:firstLine="708"/>
        <w:jc w:val="both"/>
        <w:rPr>
          <w:rFonts w:ascii="Arial" w:eastAsia="Calibri" w:hAnsi="Arial" w:cs="Arial"/>
          <w:color w:val="000000"/>
          <w:szCs w:val="24"/>
          <w:lang w:val="es-ES_tradnl" w:eastAsia="es-MX"/>
        </w:rPr>
      </w:pPr>
      <w:r w:rsidRPr="0008581E">
        <w:rPr>
          <w:rFonts w:ascii="Arial" w:eastAsia="Calibri" w:hAnsi="Arial" w:cs="Arial"/>
          <w:color w:val="000000"/>
          <w:szCs w:val="24"/>
          <w:lang w:val="es-ES_tradnl" w:eastAsia="es-MX"/>
        </w:rPr>
        <w:t xml:space="preserve">Sin perjuicio de lo anterior, la Agencia –dentro de los límites de sus atribuciones– resolverá la consulta conforme a las normas generales en materia de contratación estatal. </w:t>
      </w:r>
      <w:r w:rsidRPr="0008581E">
        <w:rPr>
          <w:rFonts w:ascii="Arial" w:eastAsia="Calibri" w:hAnsi="Arial" w:cs="Arial"/>
          <w:lang w:val="es-ES_tradnl"/>
        </w:rPr>
        <w:t xml:space="preserve">En este sentido, se analizarán los siguientes temas: </w:t>
      </w:r>
      <w:r w:rsidRPr="0008581E">
        <w:rPr>
          <w:rFonts w:ascii="Arial" w:eastAsia="Calibri" w:hAnsi="Arial" w:cs="Arial"/>
          <w:color w:val="000000"/>
          <w:lang w:val="es-ES_tradnl" w:eastAsia="es-MX"/>
        </w:rPr>
        <w:t xml:space="preserve">i) impacto de la Ley 2069 de 2020 en la contratación estatal y ii) </w:t>
      </w:r>
      <w:r w:rsidRPr="0008581E">
        <w:rPr>
          <w:rFonts w:ascii="Arial" w:eastAsia="Calibri" w:hAnsi="Arial" w:cs="Arial"/>
          <w:color w:val="000000"/>
          <w:lang w:val="es-ES_tradnl"/>
        </w:rPr>
        <w:t>nueva regulación de la promoción del desarrollo en la contratación estatal – Decreto 1860 de 2021.</w:t>
      </w:r>
    </w:p>
    <w:p w14:paraId="4F7279E8" w14:textId="3DDF651F" w:rsidR="0008581E" w:rsidRPr="0008581E" w:rsidRDefault="0008581E" w:rsidP="0008581E">
      <w:pPr>
        <w:tabs>
          <w:tab w:val="left" w:pos="426"/>
        </w:tabs>
        <w:spacing w:before="120" w:after="0" w:line="276" w:lineRule="auto"/>
        <w:jc w:val="both"/>
        <w:rPr>
          <w:rFonts w:ascii="Arial" w:eastAsia="Calibri" w:hAnsi="Arial" w:cs="Arial"/>
          <w:bCs/>
          <w:color w:val="000000"/>
          <w:szCs w:val="24"/>
          <w:lang w:eastAsia="es-MX"/>
        </w:rPr>
      </w:pPr>
      <w:r w:rsidRPr="0008581E">
        <w:rPr>
          <w:rFonts w:ascii="Arial" w:eastAsia="Calibri" w:hAnsi="Arial" w:cs="Arial"/>
          <w:bCs/>
          <w:color w:val="000000"/>
          <w:szCs w:val="24"/>
          <w:lang w:eastAsia="es-MX"/>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C-009, 012, 013, 015, 016, 026 del 4 de febrero de 2021, así como en los Conceptos </w:t>
      </w:r>
      <w:r w:rsidRPr="0008581E">
        <w:rPr>
          <w:rFonts w:ascii="Arial" w:eastAsia="Calibri" w:hAnsi="Arial" w:cs="Arial"/>
          <w:bCs/>
          <w:color w:val="000000"/>
          <w:szCs w:val="24"/>
          <w:lang w:eastAsia="es-MX"/>
        </w:rPr>
        <w:lastRenderedPageBreak/>
        <w:t xml:space="preserve">C-006 del 5 de febrero de 2021, C-043 del 9 de febrero </w:t>
      </w:r>
      <w:r w:rsidRPr="0008581E">
        <w:rPr>
          <w:rFonts w:ascii="Arial" w:eastAsia="Calibri" w:hAnsi="Arial" w:cs="Arial"/>
          <w:bCs/>
          <w:color w:val="000000"/>
          <w:lang w:eastAsia="es-MX"/>
        </w:rPr>
        <w:t xml:space="preserve">de 2021, </w:t>
      </w:r>
      <w:r w:rsidRPr="0008581E">
        <w:rPr>
          <w:rFonts w:ascii="Arial" w:eastAsia="Calibri" w:hAnsi="Arial" w:cs="Arial"/>
          <w:color w:val="000000"/>
          <w:lang w:val="es-ES_tradnl" w:eastAsia="es-MX"/>
        </w:rPr>
        <w:t xml:space="preserve">C-028, C-029 del 23 de febrero de 2021, C-040 del 2 de marzo de 2021, </w:t>
      </w:r>
      <w:r w:rsidRPr="0008581E">
        <w:rPr>
          <w:rFonts w:ascii="Arial" w:eastAsia="Times New Roman" w:hAnsi="Arial" w:cs="Arial"/>
          <w:lang w:eastAsia="es-MX"/>
        </w:rPr>
        <w:t>C-056 del 8 de marzo de 2021, C-058, C-061 del 11 de marzo de 2021, C-069 del 12 de marzo de 2021, C-081, C-087, C-098 del 23 de marzo de 2021, C-101 del 24 de marzo de 2021, C-117 del 26 de marzo de 2021, C-137, C-138, C-139, C-158 del 15 de abril de 2021, C-160 de 2021 del 20 de abril de 2021, C-162 del 13 de abril de 2021, C-163, C-164,  C-165 del 13 de abril de 2021 y C-176 del 19 de abril de 2021,</w:t>
      </w:r>
      <w:r w:rsidRPr="0008581E">
        <w:rPr>
          <w:rFonts w:ascii="Arial" w:eastAsia="Calibri" w:hAnsi="Arial" w:cs="Arial"/>
          <w:bCs/>
          <w:color w:val="000000"/>
          <w:lang w:eastAsia="es-MX"/>
        </w:rPr>
        <w:t xml:space="preserve">se analizaron algunos aspectos sobre la aplicación de la Ley de Emprendimiento. </w:t>
      </w:r>
      <w:r w:rsidRPr="0008581E">
        <w:rPr>
          <w:rFonts w:ascii="Arial" w:eastAsia="Calibri" w:hAnsi="Arial" w:cs="Arial"/>
          <w:color w:val="000000"/>
          <w:lang w:val="es-ES_tradnl" w:eastAsia="es-MX"/>
        </w:rPr>
        <w:t xml:space="preserve">Igualmente, se expidieron los Concepto C-043 del 9 de febrero de 2021, C-005 del 16 de febrero y C-081, C-087 del 23 de febrero, </w:t>
      </w:r>
      <w:r w:rsidRPr="0008581E">
        <w:rPr>
          <w:rFonts w:ascii="Arial" w:eastAsia="Times New Roman" w:hAnsi="Arial" w:cs="Arial"/>
          <w:lang w:eastAsia="es-MX"/>
        </w:rPr>
        <w:t>C-102 del 25 de marzo de 2021, C-126, C-127 del 6 de abril de 2021, C-130</w:t>
      </w:r>
      <w:r w:rsidR="001A4D2E">
        <w:rPr>
          <w:rFonts w:ascii="Arial" w:eastAsia="Times New Roman" w:hAnsi="Arial" w:cs="Arial"/>
          <w:lang w:eastAsia="es-MX"/>
        </w:rPr>
        <w:t>,</w:t>
      </w:r>
      <w:r w:rsidRPr="0008581E">
        <w:rPr>
          <w:rFonts w:ascii="Arial" w:eastAsia="Times New Roman" w:hAnsi="Arial" w:cs="Arial"/>
          <w:lang w:eastAsia="es-MX"/>
        </w:rPr>
        <w:t xml:space="preserve"> C-144 del 7 de abril de 2021</w:t>
      </w:r>
      <w:r w:rsidR="001A4D2E">
        <w:rPr>
          <w:rFonts w:ascii="Arial" w:eastAsia="Times New Roman" w:hAnsi="Arial" w:cs="Arial"/>
          <w:lang w:eastAsia="es-MX"/>
        </w:rPr>
        <w:t xml:space="preserve"> y C-296 del 12 de mayo de 2022</w:t>
      </w:r>
      <w:r w:rsidRPr="0008581E">
        <w:rPr>
          <w:rFonts w:ascii="Arial" w:eastAsia="Times New Roman" w:hAnsi="Arial" w:cs="Arial"/>
          <w:lang w:eastAsia="es-MX"/>
        </w:rPr>
        <w:t xml:space="preserve">. </w:t>
      </w:r>
      <w:r w:rsidRPr="0008581E">
        <w:rPr>
          <w:rFonts w:ascii="Arial" w:eastAsia="Calibri" w:hAnsi="Arial" w:cs="Arial"/>
          <w:bCs/>
          <w:color w:val="000000"/>
          <w:szCs w:val="24"/>
          <w:lang w:eastAsia="es-MX"/>
        </w:rPr>
        <w:t>En lo pertinente, la tesis desarrollada en estos conceptos se reitera a continuación:</w:t>
      </w:r>
    </w:p>
    <w:p w14:paraId="75BB8A6D" w14:textId="77777777" w:rsidR="0008581E" w:rsidRPr="0008581E" w:rsidRDefault="0008581E" w:rsidP="0008581E">
      <w:pPr>
        <w:spacing w:after="0" w:line="276" w:lineRule="auto"/>
        <w:ind w:firstLine="709"/>
        <w:jc w:val="both"/>
        <w:rPr>
          <w:rFonts w:ascii="Arial" w:eastAsia="Calibri" w:hAnsi="Arial" w:cs="Arial"/>
          <w:color w:val="000000"/>
          <w:szCs w:val="24"/>
          <w:lang w:val="es-ES_tradnl" w:eastAsia="es-MX"/>
        </w:rPr>
      </w:pPr>
    </w:p>
    <w:p w14:paraId="36BA6CF0" w14:textId="77777777" w:rsidR="0008581E" w:rsidRPr="0008581E" w:rsidRDefault="0008581E" w:rsidP="0008581E">
      <w:pPr>
        <w:tabs>
          <w:tab w:val="left" w:pos="426"/>
        </w:tabs>
        <w:spacing w:after="0" w:line="276" w:lineRule="auto"/>
        <w:jc w:val="both"/>
        <w:rPr>
          <w:rFonts w:ascii="Arial" w:eastAsia="Calibri" w:hAnsi="Arial" w:cs="Arial"/>
          <w:b/>
          <w:color w:val="000000"/>
          <w:szCs w:val="24"/>
        </w:rPr>
      </w:pPr>
      <w:r w:rsidRPr="0008581E">
        <w:rPr>
          <w:rFonts w:ascii="Arial" w:eastAsia="Calibri" w:hAnsi="Arial" w:cs="Arial"/>
          <w:b/>
          <w:color w:val="000000"/>
          <w:szCs w:val="24"/>
        </w:rPr>
        <w:t>2.1. Impacto de la Ley 2069 de 2020 en la contratación estatal</w:t>
      </w:r>
    </w:p>
    <w:p w14:paraId="28F1F80C" w14:textId="77777777" w:rsidR="0008581E" w:rsidRPr="0008581E" w:rsidRDefault="0008581E" w:rsidP="0008581E">
      <w:pPr>
        <w:tabs>
          <w:tab w:val="left" w:pos="426"/>
        </w:tabs>
        <w:spacing w:after="0" w:line="276" w:lineRule="auto"/>
        <w:jc w:val="both"/>
        <w:rPr>
          <w:rFonts w:ascii="Arial" w:eastAsia="Calibri" w:hAnsi="Arial" w:cs="Arial"/>
          <w:b/>
          <w:color w:val="000000"/>
          <w:szCs w:val="24"/>
        </w:rPr>
      </w:pPr>
    </w:p>
    <w:p w14:paraId="65C5BB6D" w14:textId="57DA8925" w:rsidR="0008581E" w:rsidRPr="0008581E" w:rsidRDefault="001A4D2E" w:rsidP="0008581E">
      <w:pPr>
        <w:tabs>
          <w:tab w:val="left" w:pos="709"/>
        </w:tabs>
        <w:spacing w:after="120" w:line="276" w:lineRule="auto"/>
        <w:jc w:val="both"/>
        <w:rPr>
          <w:rFonts w:ascii="Arial" w:eastAsia="Calibri" w:hAnsi="Arial" w:cs="Arial"/>
          <w:bCs/>
          <w:color w:val="000000"/>
          <w:sz w:val="21"/>
          <w:szCs w:val="21"/>
        </w:rPr>
      </w:pPr>
      <w:bookmarkStart w:id="7" w:name="_Hlk63883948"/>
      <w:bookmarkStart w:id="8" w:name="_Hlk69144089"/>
      <w:r>
        <w:rPr>
          <w:rFonts w:ascii="Arial" w:eastAsia="Calibri" w:hAnsi="Arial" w:cs="Arial"/>
          <w:bCs/>
          <w:color w:val="000000"/>
          <w:szCs w:val="24"/>
        </w:rPr>
        <w:t>La</w:t>
      </w:r>
      <w:r w:rsidR="0008581E" w:rsidRPr="0008581E">
        <w:rPr>
          <w:rFonts w:ascii="Arial" w:eastAsia="Calibri" w:hAnsi="Arial" w:cs="Arial"/>
          <w:bCs/>
          <w:color w:val="000000"/>
          <w:szCs w:val="24"/>
        </w:rPr>
        <w:t xml:space="preserve"> Ley 2069 de 2020</w:t>
      </w:r>
      <w:r>
        <w:rPr>
          <w:rFonts w:ascii="Arial" w:eastAsia="Calibri" w:hAnsi="Arial" w:cs="Arial"/>
          <w:bCs/>
          <w:color w:val="000000"/>
          <w:szCs w:val="24"/>
        </w:rPr>
        <w:t xml:space="preserve"> fue promulgada en el marco del</w:t>
      </w:r>
      <w:r w:rsidRPr="001A4D2E">
        <w:rPr>
          <w:rFonts w:ascii="Arial" w:eastAsia="Calibri" w:hAnsi="Arial" w:cs="Arial"/>
          <w:bCs/>
          <w:color w:val="000000"/>
          <w:szCs w:val="24"/>
        </w:rPr>
        <w:t xml:space="preserve"> “Pacto por el emprendimiento, la formalización y la productividad” del Plan Nacional de Desarrollo 2018-2022</w:t>
      </w:r>
      <w:r w:rsidR="0008581E" w:rsidRPr="0008581E">
        <w:rPr>
          <w:rFonts w:ascii="Arial" w:eastAsia="Calibri" w:hAnsi="Arial" w:cs="Arial"/>
          <w:bCs/>
          <w:color w:val="000000"/>
          <w:szCs w:val="24"/>
        </w:rPr>
        <w:t xml:space="preserve"> para impulsar el nacimiento de nuevas empresas que incentiven la generación de empleo en</w:t>
      </w:r>
      <w:r>
        <w:rPr>
          <w:rFonts w:ascii="Arial" w:eastAsia="Calibri" w:hAnsi="Arial" w:cs="Arial"/>
          <w:bCs/>
          <w:color w:val="000000"/>
          <w:szCs w:val="24"/>
        </w:rPr>
        <w:t xml:space="preserve"> el</w:t>
      </w:r>
      <w:r w:rsidR="0008581E" w:rsidRPr="0008581E">
        <w:rPr>
          <w:rFonts w:ascii="Arial" w:eastAsia="Calibri" w:hAnsi="Arial" w:cs="Arial"/>
          <w:bCs/>
          <w:color w:val="000000"/>
          <w:szCs w:val="24"/>
        </w:rPr>
        <w:t xml:space="preserve"> país. Esta ley busca generar la reactivación de la economía y fomentar la actividad emprendedora, y tiene como uno de sus propósitos propiciar un entorno para ayudar al crecimiento, consolidación y sostenibilidad de esas iniciativas, generando mayor desarrollo social, creación de las empresas y mejoras tanto en la productividad como en la competitividad</w:t>
      </w:r>
      <w:r w:rsidR="0008581E" w:rsidRPr="0008581E">
        <w:rPr>
          <w:rFonts w:ascii="Arial" w:eastAsia="Calibri" w:hAnsi="Arial" w:cs="Arial"/>
          <w:bCs/>
          <w:color w:val="000000"/>
          <w:szCs w:val="24"/>
          <w:vertAlign w:val="superscript"/>
        </w:rPr>
        <w:footnoteReference w:id="2"/>
      </w:r>
      <w:r w:rsidR="0008581E" w:rsidRPr="0008581E">
        <w:rPr>
          <w:rFonts w:ascii="Arial" w:eastAsia="Calibri" w:hAnsi="Arial" w:cs="Arial"/>
          <w:bCs/>
          <w:color w:val="000000"/>
          <w:szCs w:val="24"/>
        </w:rPr>
        <w:t xml:space="preserve">. De esta manera, la ley en comento también concreta la </w:t>
      </w:r>
      <w:bookmarkStart w:id="9" w:name="_Hlk63692496"/>
      <w:r w:rsidR="0008581E">
        <w:rPr>
          <w:rFonts w:ascii="Arial" w:eastAsia="Calibri" w:hAnsi="Arial" w:cs="Arial"/>
          <w:bCs/>
          <w:color w:val="000000"/>
          <w:szCs w:val="24"/>
        </w:rPr>
        <w:t>“</w:t>
      </w:r>
      <w:r w:rsidR="0008581E" w:rsidRPr="0008581E">
        <w:rPr>
          <w:rFonts w:ascii="Arial" w:eastAsia="Calibri" w:hAnsi="Arial" w:cs="Arial"/>
          <w:bCs/>
          <w:color w:val="000000"/>
          <w:szCs w:val="24"/>
        </w:rPr>
        <w:t>Política de formalización empresarial</w:t>
      </w:r>
      <w:r w:rsidR="0008581E">
        <w:rPr>
          <w:rFonts w:ascii="Arial" w:eastAsia="Calibri" w:hAnsi="Arial" w:cs="Arial"/>
          <w:bCs/>
          <w:color w:val="000000"/>
          <w:szCs w:val="24"/>
        </w:rPr>
        <w:t>”</w:t>
      </w:r>
      <w:bookmarkEnd w:id="9"/>
      <w:r w:rsidR="0008581E" w:rsidRPr="0008581E">
        <w:rPr>
          <w:rFonts w:ascii="Arial" w:eastAsia="Calibri" w:hAnsi="Arial" w:cs="Arial"/>
          <w:bCs/>
          <w:color w:val="000000"/>
          <w:szCs w:val="24"/>
        </w:rPr>
        <w:t xml:space="preserve"> del Documento CONPES 3956 del 8 de enero de 2019</w:t>
      </w:r>
      <w:r w:rsidR="0008581E" w:rsidRPr="0008581E">
        <w:rPr>
          <w:rFonts w:ascii="Arial" w:eastAsia="Calibri" w:hAnsi="Arial" w:cs="Arial"/>
          <w:bCs/>
          <w:color w:val="000000"/>
          <w:szCs w:val="24"/>
          <w:vertAlign w:val="superscript"/>
        </w:rPr>
        <w:footnoteReference w:id="3"/>
      </w:r>
      <w:r w:rsidR="0008581E" w:rsidRPr="0008581E">
        <w:rPr>
          <w:rFonts w:ascii="Arial" w:eastAsia="Calibri" w:hAnsi="Arial" w:cs="Arial"/>
          <w:bCs/>
          <w:color w:val="000000"/>
          <w:szCs w:val="24"/>
        </w:rPr>
        <w:t>.</w:t>
      </w:r>
      <w:bookmarkEnd w:id="7"/>
    </w:p>
    <w:bookmarkEnd w:id="8"/>
    <w:p w14:paraId="6DB420FB" w14:textId="77777777" w:rsidR="0008581E" w:rsidRPr="0008581E" w:rsidRDefault="0008581E" w:rsidP="0008581E">
      <w:pPr>
        <w:tabs>
          <w:tab w:val="left" w:pos="709"/>
        </w:tabs>
        <w:spacing w:after="120" w:line="276" w:lineRule="auto"/>
        <w:jc w:val="both"/>
        <w:rPr>
          <w:rFonts w:ascii="Arial" w:eastAsia="Calibri" w:hAnsi="Arial" w:cs="Arial"/>
          <w:bCs/>
          <w:color w:val="000000"/>
          <w:szCs w:val="24"/>
        </w:rPr>
      </w:pPr>
      <w:r w:rsidRPr="0008581E">
        <w:rPr>
          <w:rFonts w:ascii="Arial" w:eastAsia="Calibri" w:hAnsi="Arial" w:cs="Arial"/>
          <w:bCs/>
          <w:color w:val="000000"/>
          <w:szCs w:val="24"/>
        </w:rPr>
        <w:lastRenderedPageBreak/>
        <w:tab/>
        <w:t xml:space="preserve">Por ello, la ley impulsa medidas para i) reducir cargas y trámites para los emprendedores del país; ii) facilitar su acceso al sistema de compras y contratación pública; </w:t>
      </w:r>
      <w:proofErr w:type="spellStart"/>
      <w:r w:rsidRPr="0008581E">
        <w:rPr>
          <w:rFonts w:ascii="Arial" w:eastAsia="Calibri" w:hAnsi="Arial" w:cs="Arial"/>
          <w:bCs/>
          <w:color w:val="000000"/>
          <w:szCs w:val="24"/>
        </w:rPr>
        <w:t>iii</w:t>
      </w:r>
      <w:proofErr w:type="spellEnd"/>
      <w:r w:rsidRPr="0008581E">
        <w:rPr>
          <w:rFonts w:ascii="Arial" w:eastAsia="Calibri" w:hAnsi="Arial" w:cs="Arial"/>
          <w:bCs/>
          <w:color w:val="000000"/>
          <w:szCs w:val="24"/>
        </w:rPr>
        <w:t>)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08581E">
        <w:rPr>
          <w:rFonts w:ascii="Arial" w:eastAsia="Calibri" w:hAnsi="Arial" w:cs="Arial"/>
          <w:bCs/>
          <w:color w:val="000000"/>
          <w:szCs w:val="24"/>
          <w:vertAlign w:val="superscript"/>
        </w:rPr>
        <w:footnoteReference w:id="4"/>
      </w:r>
      <w:r w:rsidRPr="0008581E">
        <w:rPr>
          <w:rFonts w:ascii="Arial" w:eastAsia="Calibri" w:hAnsi="Arial" w:cs="Arial"/>
          <w:bCs/>
          <w:color w:val="000000"/>
          <w:szCs w:val="24"/>
        </w:rPr>
        <w:t>.</w:t>
      </w:r>
    </w:p>
    <w:p w14:paraId="32623BF7" w14:textId="0B67D78E" w:rsidR="0008581E" w:rsidRPr="0008581E" w:rsidRDefault="0008581E" w:rsidP="0008581E">
      <w:pPr>
        <w:tabs>
          <w:tab w:val="left" w:pos="709"/>
        </w:tabs>
        <w:spacing w:after="0" w:line="276" w:lineRule="auto"/>
        <w:jc w:val="both"/>
        <w:rPr>
          <w:rFonts w:ascii="Arial" w:eastAsia="Calibri" w:hAnsi="Arial" w:cs="Arial"/>
          <w:bCs/>
          <w:color w:val="000000"/>
          <w:szCs w:val="24"/>
        </w:rPr>
      </w:pPr>
      <w:r w:rsidRPr="0008581E">
        <w:rPr>
          <w:rFonts w:ascii="Arial" w:eastAsia="Calibri" w:hAnsi="Arial" w:cs="Arial"/>
          <w:bCs/>
          <w:color w:val="000000"/>
          <w:szCs w:val="24"/>
        </w:rPr>
        <w:tab/>
        <w:t xml:space="preserve">Así las cosas, </w:t>
      </w:r>
      <w:bookmarkStart w:id="11" w:name="_Hlk63848566"/>
      <w:r w:rsidRPr="0008581E">
        <w:rPr>
          <w:rFonts w:ascii="Arial" w:eastAsia="Calibri" w:hAnsi="Arial" w:cs="Arial"/>
          <w:bCs/>
          <w:color w:val="000000"/>
          <w:szCs w:val="24"/>
        </w:rPr>
        <w:t>los artículos 30, 31, 32, 33, 34, 35 y 36 de la Ley 2069 de 2020</w:t>
      </w:r>
      <w:bookmarkEnd w:id="11"/>
      <w:r w:rsidRPr="0008581E">
        <w:rPr>
          <w:rFonts w:ascii="Arial" w:eastAsia="Calibri" w:hAnsi="Arial" w:cs="Arial"/>
          <w:bCs/>
          <w:color w:val="000000"/>
          <w:szCs w:val="24"/>
        </w:rPr>
        <w:t xml:space="preserve"> crean una serie de incentivos para las personas interesadas en celebrar contratos con el Estado. Particularmente, conforme a la exposición de motivos, </w:t>
      </w:r>
      <w:r>
        <w:rPr>
          <w:rFonts w:ascii="Arial" w:eastAsia="Calibri" w:hAnsi="Arial" w:cs="Arial"/>
          <w:bCs/>
          <w:color w:val="000000"/>
          <w:szCs w:val="24"/>
        </w:rPr>
        <w:t>“</w:t>
      </w:r>
      <w:r w:rsidRPr="0008581E">
        <w:rPr>
          <w:rFonts w:ascii="Arial" w:eastAsia="Calibri" w:hAnsi="Arial" w:cs="Arial"/>
          <w:szCs w:val="24"/>
        </w:rPr>
        <w:t xml:space="preserve">[…] </w:t>
      </w:r>
      <w:r w:rsidRPr="0008581E">
        <w:rPr>
          <w:rFonts w:ascii="Arial" w:eastAsia="Calibri" w:hAnsi="Arial" w:cs="Arial"/>
          <w:bCs/>
          <w:color w:val="000000"/>
          <w:szCs w:val="24"/>
        </w:rPr>
        <w:t xml:space="preserve">propone facilitar el acceso de las </w:t>
      </w:r>
      <w:proofErr w:type="spellStart"/>
      <w:r w:rsidRPr="0008581E">
        <w:rPr>
          <w:rFonts w:ascii="Arial" w:eastAsia="Calibri" w:hAnsi="Arial" w:cs="Arial"/>
          <w:bCs/>
          <w:color w:val="000000"/>
          <w:szCs w:val="24"/>
        </w:rPr>
        <w:t>Mipymes</w:t>
      </w:r>
      <w:proofErr w:type="spellEnd"/>
      <w:r w:rsidRPr="0008581E">
        <w:rPr>
          <w:rFonts w:ascii="Arial" w:eastAsia="Calibri" w:hAnsi="Arial" w:cs="Arial"/>
          <w:bCs/>
          <w:color w:val="000000"/>
          <w:szCs w:val="24"/>
        </w:rPr>
        <w:t xml:space="preserve"> a la modalidad de contratación de mínima cuantía, la limitación de estos procesos a </w:t>
      </w:r>
      <w:proofErr w:type="spellStart"/>
      <w:r w:rsidRPr="0008581E">
        <w:rPr>
          <w:rFonts w:ascii="Arial" w:eastAsia="Calibri" w:hAnsi="Arial" w:cs="Arial"/>
          <w:bCs/>
          <w:color w:val="000000"/>
          <w:szCs w:val="24"/>
        </w:rPr>
        <w:t>Mipymes</w:t>
      </w:r>
      <w:proofErr w:type="spellEnd"/>
      <w:r w:rsidRPr="0008581E">
        <w:rPr>
          <w:rFonts w:ascii="Arial" w:eastAsia="Calibri" w:hAnsi="Arial" w:cs="Arial"/>
          <w:bCs/>
          <w:color w:val="000000"/>
          <w:szCs w:val="24"/>
        </w:rPr>
        <w:t xml:space="preserve">, define la posibilidad de establecer criterios diferenciales a favor de las </w:t>
      </w:r>
      <w:proofErr w:type="spellStart"/>
      <w:r w:rsidRPr="0008581E">
        <w:rPr>
          <w:rFonts w:ascii="Arial" w:eastAsia="Calibri" w:hAnsi="Arial" w:cs="Arial"/>
          <w:bCs/>
          <w:color w:val="000000"/>
          <w:szCs w:val="24"/>
        </w:rPr>
        <w:t>Mipymes</w:t>
      </w:r>
      <w:proofErr w:type="spellEnd"/>
      <w:r w:rsidRPr="0008581E">
        <w:rPr>
          <w:rFonts w:ascii="Arial" w:eastAsia="Calibri" w:hAnsi="Arial" w:cs="Arial"/>
          <w:bCs/>
          <w:color w:val="000000"/>
          <w:szCs w:val="24"/>
        </w:rPr>
        <w:t xml:space="preserve">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Pr>
          <w:rFonts w:ascii="Arial" w:eastAsia="Calibri" w:hAnsi="Arial" w:cs="Arial"/>
          <w:bCs/>
          <w:color w:val="000000"/>
          <w:szCs w:val="24"/>
        </w:rPr>
        <w:t>”</w:t>
      </w:r>
      <w:r w:rsidRPr="0008581E">
        <w:rPr>
          <w:rFonts w:ascii="Arial" w:eastAsia="Calibri" w:hAnsi="Arial" w:cs="Arial"/>
          <w:bCs/>
          <w:color w:val="000000"/>
          <w:szCs w:val="24"/>
          <w:vertAlign w:val="superscript"/>
        </w:rPr>
        <w:footnoteReference w:id="5"/>
      </w:r>
      <w:r w:rsidRPr="0008581E">
        <w:rPr>
          <w:rFonts w:ascii="Arial" w:eastAsia="Calibri" w:hAnsi="Arial" w:cs="Arial"/>
          <w:bCs/>
          <w:color w:val="000000"/>
          <w:szCs w:val="24"/>
        </w:rPr>
        <w:t xml:space="preserve">. </w:t>
      </w:r>
    </w:p>
    <w:p w14:paraId="7DA33317" w14:textId="77777777" w:rsidR="0008581E" w:rsidRPr="0008581E" w:rsidRDefault="0008581E" w:rsidP="0008581E">
      <w:pPr>
        <w:spacing w:after="0" w:line="276" w:lineRule="auto"/>
        <w:jc w:val="both"/>
        <w:rPr>
          <w:rFonts w:ascii="Arial" w:eastAsia="Calibri" w:hAnsi="Arial" w:cs="Arial"/>
          <w:bCs/>
          <w:color w:val="000000"/>
          <w:szCs w:val="24"/>
        </w:rPr>
      </w:pPr>
    </w:p>
    <w:p w14:paraId="78EBFAAE" w14:textId="77777777" w:rsidR="0008581E" w:rsidRPr="0008581E" w:rsidRDefault="0008581E" w:rsidP="0008581E">
      <w:pPr>
        <w:spacing w:after="0" w:line="276" w:lineRule="auto"/>
        <w:jc w:val="both"/>
        <w:rPr>
          <w:rFonts w:ascii="Arial" w:eastAsia="Calibri" w:hAnsi="Arial" w:cs="Arial"/>
          <w:b/>
          <w:bCs/>
          <w:color w:val="000000"/>
          <w:lang w:val="es-ES_tradnl"/>
        </w:rPr>
      </w:pPr>
      <w:r w:rsidRPr="0008581E">
        <w:rPr>
          <w:rFonts w:ascii="Arial" w:eastAsia="Calibri" w:hAnsi="Arial" w:cs="Arial"/>
          <w:b/>
          <w:bCs/>
          <w:color w:val="000000"/>
          <w:lang w:val="es-ES_tradnl"/>
        </w:rPr>
        <w:t xml:space="preserve">2.2. Nueva regulación de las convocatorias limitadas a </w:t>
      </w:r>
      <w:proofErr w:type="spellStart"/>
      <w:r w:rsidRPr="0008581E">
        <w:rPr>
          <w:rFonts w:ascii="Arial" w:eastAsia="Calibri" w:hAnsi="Arial" w:cs="Arial"/>
          <w:b/>
          <w:bCs/>
          <w:color w:val="000000"/>
          <w:lang w:val="es-ES_tradnl"/>
        </w:rPr>
        <w:t>Mipymes</w:t>
      </w:r>
      <w:proofErr w:type="spellEnd"/>
      <w:r w:rsidRPr="0008581E">
        <w:rPr>
          <w:rFonts w:ascii="Arial" w:eastAsia="Calibri" w:hAnsi="Arial" w:cs="Arial"/>
          <w:b/>
          <w:bCs/>
          <w:color w:val="000000"/>
          <w:lang w:val="es-ES_tradnl"/>
        </w:rPr>
        <w:t xml:space="preserve"> de acuerdo con la Ley 2069 de 2020 y el Decreto 1860 de 2021</w:t>
      </w:r>
    </w:p>
    <w:p w14:paraId="0FFCD2D6" w14:textId="77777777" w:rsidR="0008581E" w:rsidRPr="0008581E" w:rsidRDefault="0008581E" w:rsidP="0008581E">
      <w:pPr>
        <w:spacing w:after="0" w:line="276" w:lineRule="auto"/>
        <w:jc w:val="both"/>
        <w:rPr>
          <w:rFonts w:ascii="Arial" w:eastAsia="Calibri" w:hAnsi="Arial" w:cs="Arial"/>
          <w:bCs/>
          <w:color w:val="000000"/>
          <w:szCs w:val="24"/>
        </w:rPr>
      </w:pPr>
    </w:p>
    <w:p w14:paraId="71310553" w14:textId="77777777" w:rsidR="0008581E" w:rsidRPr="0008581E" w:rsidRDefault="0008581E" w:rsidP="0008581E">
      <w:pPr>
        <w:spacing w:after="0" w:line="276" w:lineRule="auto"/>
        <w:jc w:val="both"/>
        <w:rPr>
          <w:rFonts w:ascii="Arial" w:eastAsia="Calibri" w:hAnsi="Arial" w:cs="Arial"/>
          <w:color w:val="000000"/>
          <w:lang w:val="es-ES_tradnl"/>
        </w:rPr>
      </w:pPr>
      <w:bookmarkStart w:id="12" w:name="_Hlk69144376"/>
      <w:r w:rsidRPr="0008581E">
        <w:rPr>
          <w:rFonts w:ascii="Arial" w:eastAsia="Calibri" w:hAnsi="Arial" w:cs="Arial"/>
          <w:bCs/>
          <w:color w:val="000000"/>
          <w:szCs w:val="24"/>
        </w:rPr>
        <w:t>El artículo 34 de la ley 2069 de 2020</w:t>
      </w:r>
      <w:r w:rsidRPr="0008581E">
        <w:rPr>
          <w:rFonts w:ascii="Arial" w:eastAsia="Calibri" w:hAnsi="Arial" w:cs="Arial"/>
          <w:bCs/>
          <w:i/>
          <w:iCs/>
          <w:color w:val="000000"/>
          <w:szCs w:val="24"/>
        </w:rPr>
        <w:t xml:space="preserve"> </w:t>
      </w:r>
      <w:r w:rsidRPr="0008581E">
        <w:rPr>
          <w:rFonts w:ascii="Arial" w:eastAsia="Calibri" w:hAnsi="Arial" w:cs="Arial"/>
          <w:bCs/>
          <w:color w:val="000000"/>
          <w:szCs w:val="24"/>
        </w:rPr>
        <w:t>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w:t>
      </w:r>
      <w:r w:rsidRPr="0008581E">
        <w:rPr>
          <w:rFonts w:ascii="Arial" w:eastAsia="Calibri" w:hAnsi="Arial" w:cs="Arial"/>
          <w:color w:val="000000"/>
          <w:lang w:val="es-ES_tradnl"/>
        </w:rPr>
        <w:t xml:space="preserve"> En este sentido, frente al artículo 12 de la ley 1150 de 2007, se produjo el fenómeno de la subrogación</w:t>
      </w:r>
      <w:bookmarkEnd w:id="12"/>
      <w:r w:rsidRPr="0008581E">
        <w:rPr>
          <w:rFonts w:ascii="Arial" w:eastAsia="Calibri" w:hAnsi="Arial" w:cs="Arial"/>
          <w:color w:val="000000"/>
          <w:lang w:val="es-ES_tradnl"/>
        </w:rPr>
        <w:t xml:space="preserve">, el cual ha sido explicado por la Corte Constitucional en los siguientes términos: </w:t>
      </w:r>
    </w:p>
    <w:p w14:paraId="00A63A17" w14:textId="77777777" w:rsidR="0008581E" w:rsidRPr="0008581E" w:rsidRDefault="0008581E" w:rsidP="0008581E">
      <w:pPr>
        <w:spacing w:after="0" w:line="276" w:lineRule="auto"/>
        <w:ind w:left="709" w:right="709"/>
        <w:jc w:val="both"/>
        <w:rPr>
          <w:rFonts w:ascii="Arial" w:eastAsia="Calibri" w:hAnsi="Arial" w:cs="Arial"/>
          <w:color w:val="000000"/>
          <w:sz w:val="21"/>
          <w:szCs w:val="21"/>
          <w:lang w:val="es-ES_tradnl"/>
        </w:rPr>
      </w:pPr>
    </w:p>
    <w:p w14:paraId="040F3E6E" w14:textId="09313262" w:rsidR="0008581E" w:rsidRPr="0008581E" w:rsidRDefault="0008581E" w:rsidP="0008581E">
      <w:pPr>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sz w:val="21"/>
          <w:szCs w:val="21"/>
        </w:rPr>
        <w:t>“</w:t>
      </w:r>
      <w:r w:rsidRPr="0008581E">
        <w:rPr>
          <w:rFonts w:ascii="Arial" w:eastAsia="Calibri" w:hAnsi="Arial" w:cs="Arial"/>
          <w:color w:val="000000"/>
          <w:sz w:val="21"/>
          <w:szCs w:val="21"/>
          <w:lang w:val="es-ES_tradnl"/>
        </w:rPr>
        <w:t xml:space="preserve">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w:t>
      </w:r>
      <w:r w:rsidRPr="0008581E">
        <w:rPr>
          <w:rFonts w:ascii="Arial" w:eastAsia="Calibri" w:hAnsi="Arial" w:cs="Arial"/>
          <w:color w:val="000000"/>
          <w:sz w:val="21"/>
          <w:szCs w:val="21"/>
          <w:lang w:val="es-ES_tradnl"/>
        </w:rPr>
        <w:lastRenderedPageBreak/>
        <w:t>sustituidas por otras nuevas; pero también la subrogación puede incluir la reproducción de apartes normativos provenientes del texto legal que se subroga.</w:t>
      </w:r>
      <w:r>
        <w:rPr>
          <w:rFonts w:ascii="Arial" w:eastAsia="Calibri" w:hAnsi="Arial" w:cs="Arial"/>
          <w:sz w:val="21"/>
          <w:szCs w:val="21"/>
        </w:rPr>
        <w:t>”</w:t>
      </w:r>
      <w:r w:rsidRPr="0008581E">
        <w:rPr>
          <w:rFonts w:ascii="Arial" w:eastAsia="Calibri" w:hAnsi="Arial" w:cs="Arial"/>
          <w:color w:val="000000"/>
          <w:sz w:val="21"/>
          <w:szCs w:val="21"/>
          <w:vertAlign w:val="superscript"/>
          <w:lang w:val="es-ES_tradnl"/>
        </w:rPr>
        <w:footnoteReference w:id="6"/>
      </w:r>
    </w:p>
    <w:p w14:paraId="57DAACAC" w14:textId="77777777" w:rsidR="0008581E" w:rsidRPr="0008581E" w:rsidRDefault="0008581E" w:rsidP="0008581E">
      <w:pPr>
        <w:spacing w:after="0" w:line="276" w:lineRule="auto"/>
        <w:ind w:firstLine="709"/>
        <w:jc w:val="both"/>
        <w:rPr>
          <w:rFonts w:ascii="Arial" w:eastAsia="Calibri" w:hAnsi="Arial" w:cs="Arial"/>
          <w:color w:val="000000"/>
          <w:lang w:val="es-ES_tradnl"/>
        </w:rPr>
      </w:pPr>
    </w:p>
    <w:p w14:paraId="7B1F15FC" w14:textId="77777777" w:rsidR="0008581E" w:rsidRPr="0008581E" w:rsidRDefault="0008581E" w:rsidP="0008581E">
      <w:pPr>
        <w:spacing w:after="120" w:line="276" w:lineRule="auto"/>
        <w:ind w:firstLine="709"/>
        <w:jc w:val="both"/>
        <w:rPr>
          <w:rFonts w:ascii="Arial" w:eastAsia="Calibri" w:hAnsi="Arial" w:cs="Arial"/>
          <w:color w:val="000000"/>
          <w:lang w:val="es-ES_tradnl"/>
        </w:rPr>
      </w:pPr>
      <w:bookmarkStart w:id="13" w:name="_Hlk69144130"/>
      <w:r w:rsidRPr="0008581E">
        <w:rPr>
          <w:rFonts w:ascii="Arial" w:eastAsia="Calibri" w:hAnsi="Arial" w:cs="Arial"/>
          <w:color w:val="000000"/>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729B5AC8" w14:textId="5E9AAEC7" w:rsidR="0008581E" w:rsidRPr="0008581E" w:rsidRDefault="0008581E" w:rsidP="0008581E">
      <w:pPr>
        <w:tabs>
          <w:tab w:val="left" w:pos="709"/>
        </w:tabs>
        <w:spacing w:after="0" w:line="276" w:lineRule="auto"/>
        <w:jc w:val="both"/>
        <w:rPr>
          <w:rFonts w:ascii="Arial" w:eastAsia="Calibri" w:hAnsi="Arial" w:cs="Arial"/>
          <w:bCs/>
          <w:color w:val="000000"/>
          <w:szCs w:val="24"/>
        </w:rPr>
      </w:pPr>
      <w:r w:rsidRPr="0008581E">
        <w:rPr>
          <w:rFonts w:ascii="Arial" w:eastAsia="Calibri" w:hAnsi="Arial" w:cs="Arial"/>
          <w:color w:val="000000"/>
          <w:lang w:val="es-ES_tradnl"/>
        </w:rPr>
        <w:tab/>
        <w:t xml:space="preserve">En ese sentido, el artículo 12 de la Ley 1150 de 2007 fue subrogado por el artículo 34 de la Ley 2069 de 2020, porque este contiene una regulación diferente de la promoción del desarrollo en la contratación estatal. Además, en el primer inciso del artículo 34 de la Ley 2069 de 2020 se dispone claramente: </w:t>
      </w:r>
      <w:r>
        <w:rPr>
          <w:rFonts w:ascii="Arial" w:eastAsia="Calibri" w:hAnsi="Arial" w:cs="Arial"/>
          <w:color w:val="000000"/>
          <w:lang w:val="es-ES_tradnl"/>
        </w:rPr>
        <w:t>“</w:t>
      </w:r>
      <w:r w:rsidRPr="0008581E">
        <w:rPr>
          <w:rFonts w:ascii="Arial" w:eastAsia="Calibri" w:hAnsi="Arial" w:cs="Arial"/>
          <w:color w:val="000000"/>
          <w:lang w:val="es-ES_tradnl"/>
        </w:rPr>
        <w:t>Modifíquese el artículo 12 de la Ley 1150 de 2007, el cual quedará así</w:t>
      </w:r>
      <w:r>
        <w:rPr>
          <w:rFonts w:ascii="Arial" w:eastAsia="Calibri" w:hAnsi="Arial" w:cs="Arial"/>
          <w:color w:val="000000"/>
          <w:lang w:val="es-ES_tradnl"/>
        </w:rPr>
        <w:t>”</w:t>
      </w:r>
      <w:r w:rsidRPr="0008581E">
        <w:rPr>
          <w:rFonts w:ascii="Arial" w:eastAsia="Calibri" w:hAnsi="Arial" w:cs="Arial"/>
          <w:color w:val="000000"/>
          <w:lang w:val="es-ES_tradnl"/>
        </w:rPr>
        <w:t>. Esto significa que la voluntad del legislador no estuvo dirigida a reformar el artículo 12 de la Ley 1150 de 2007, sino a modificarlo completamente, sustituyéndolo por uno nuevo</w:t>
      </w:r>
      <w:bookmarkEnd w:id="13"/>
      <w:r w:rsidRPr="0008581E">
        <w:rPr>
          <w:rFonts w:ascii="Arial" w:eastAsia="Calibri" w:hAnsi="Arial" w:cs="Arial"/>
          <w:color w:val="000000"/>
          <w:lang w:val="es-ES_tradnl"/>
        </w:rPr>
        <w:t>. Al respecto</w:t>
      </w:r>
      <w:r w:rsidRPr="0008581E">
        <w:rPr>
          <w:rFonts w:ascii="Arial" w:eastAsia="Calibri" w:hAnsi="Arial" w:cs="Arial"/>
          <w:bCs/>
          <w:color w:val="000000"/>
          <w:szCs w:val="24"/>
        </w:rPr>
        <w:t xml:space="preserve">, la norma dispone lo siguiente:   </w:t>
      </w:r>
    </w:p>
    <w:p w14:paraId="4CF69CC6" w14:textId="77777777" w:rsidR="0008581E" w:rsidRPr="0008581E" w:rsidRDefault="0008581E" w:rsidP="0008581E">
      <w:pPr>
        <w:tabs>
          <w:tab w:val="left" w:pos="709"/>
        </w:tabs>
        <w:spacing w:after="0" w:line="276" w:lineRule="auto"/>
        <w:jc w:val="both"/>
        <w:rPr>
          <w:rFonts w:ascii="Arial" w:eastAsia="Calibri" w:hAnsi="Arial" w:cs="Arial"/>
          <w:bCs/>
          <w:color w:val="000000"/>
          <w:szCs w:val="24"/>
        </w:rPr>
      </w:pPr>
    </w:p>
    <w:p w14:paraId="2BE923FC" w14:textId="52253419" w:rsidR="0008581E" w:rsidRPr="0008581E" w:rsidRDefault="0008581E" w:rsidP="0008581E">
      <w:pPr>
        <w:tabs>
          <w:tab w:val="left" w:pos="1276"/>
        </w:tabs>
        <w:spacing w:after="120" w:line="240" w:lineRule="auto"/>
        <w:ind w:left="709" w:right="709"/>
        <w:jc w:val="both"/>
        <w:rPr>
          <w:rFonts w:ascii="Arial" w:eastAsia="Calibri" w:hAnsi="Arial" w:cs="Arial"/>
          <w:bCs/>
          <w:i/>
          <w:iCs/>
          <w:color w:val="000000"/>
          <w:sz w:val="21"/>
          <w:szCs w:val="21"/>
        </w:rPr>
      </w:pPr>
      <w:r>
        <w:rPr>
          <w:rFonts w:ascii="Arial" w:eastAsia="Calibri" w:hAnsi="Arial" w:cs="Arial"/>
          <w:bCs/>
          <w:color w:val="000000"/>
          <w:sz w:val="21"/>
          <w:szCs w:val="21"/>
        </w:rPr>
        <w:t>“</w:t>
      </w:r>
      <w:r w:rsidRPr="0008581E">
        <w:rPr>
          <w:rFonts w:ascii="Arial" w:eastAsia="Calibri" w:hAnsi="Arial" w:cs="Arial"/>
          <w:bCs/>
          <w:color w:val="000000"/>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08581E">
        <w:rPr>
          <w:rFonts w:ascii="Arial" w:eastAsia="Calibri" w:hAnsi="Arial" w:cs="Arial"/>
          <w:bCs/>
          <w:i/>
          <w:iCs/>
          <w:color w:val="000000"/>
          <w:sz w:val="21"/>
          <w:szCs w:val="21"/>
        </w:rPr>
        <w:t>indistintamente de su régimen de contratación, los patrimonios autónomos constituidos por Entidades Estatales y los particulares que ejecuten recursos públicos,</w:t>
      </w:r>
      <w:r w:rsidRPr="0008581E">
        <w:rPr>
          <w:rFonts w:ascii="Arial" w:eastAsia="Calibri" w:hAnsi="Arial" w:cs="Arial"/>
          <w:bCs/>
          <w:color w:val="000000"/>
          <w:sz w:val="21"/>
          <w:szCs w:val="21"/>
        </w:rPr>
        <w:t xml:space="preserve"> adopten en beneficio de las </w:t>
      </w:r>
      <w:proofErr w:type="spellStart"/>
      <w:r w:rsidRPr="0008581E">
        <w:rPr>
          <w:rFonts w:ascii="Arial" w:eastAsia="Calibri" w:hAnsi="Arial" w:cs="Arial"/>
          <w:bCs/>
          <w:color w:val="000000"/>
          <w:sz w:val="21"/>
          <w:szCs w:val="21"/>
        </w:rPr>
        <w:t>Mipyme</w:t>
      </w:r>
      <w:proofErr w:type="spellEnd"/>
      <w:r w:rsidRPr="0008581E">
        <w:rPr>
          <w:rFonts w:ascii="Arial" w:eastAsia="Calibri" w:hAnsi="Arial" w:cs="Arial"/>
          <w:bCs/>
          <w:color w:val="000000"/>
          <w:sz w:val="21"/>
          <w:szCs w:val="21"/>
        </w:rPr>
        <w:t xml:space="preserve">, convocatorias limitadas a estas en las que, previo a la Resolución de apertura del proceso respectivo, se haya manifestado el interés </w:t>
      </w:r>
      <w:r w:rsidRPr="0008581E">
        <w:rPr>
          <w:rFonts w:ascii="Arial" w:eastAsia="Calibri" w:hAnsi="Arial" w:cs="Arial"/>
          <w:bCs/>
          <w:i/>
          <w:iCs/>
          <w:color w:val="000000"/>
          <w:sz w:val="21"/>
          <w:szCs w:val="21"/>
        </w:rPr>
        <w:t xml:space="preserve">de por lo menos dos (2) </w:t>
      </w:r>
      <w:proofErr w:type="spellStart"/>
      <w:r w:rsidRPr="0008581E">
        <w:rPr>
          <w:rFonts w:ascii="Arial" w:eastAsia="Calibri" w:hAnsi="Arial" w:cs="Arial"/>
          <w:bCs/>
          <w:i/>
          <w:iCs/>
          <w:color w:val="000000"/>
          <w:sz w:val="21"/>
          <w:szCs w:val="21"/>
        </w:rPr>
        <w:t>Mipyme</w:t>
      </w:r>
      <w:proofErr w:type="spellEnd"/>
      <w:r w:rsidRPr="0008581E">
        <w:rPr>
          <w:rFonts w:ascii="Arial" w:eastAsia="Calibri" w:hAnsi="Arial" w:cs="Arial"/>
          <w:bCs/>
          <w:i/>
          <w:iCs/>
          <w:color w:val="000000"/>
          <w:sz w:val="21"/>
          <w:szCs w:val="21"/>
        </w:rPr>
        <w:t>.</w:t>
      </w:r>
    </w:p>
    <w:p w14:paraId="2A163C09" w14:textId="77777777" w:rsidR="0008581E" w:rsidRPr="0008581E" w:rsidRDefault="0008581E" w:rsidP="0008581E">
      <w:pPr>
        <w:tabs>
          <w:tab w:val="left" w:pos="1276"/>
        </w:tabs>
        <w:spacing w:after="120" w:line="240" w:lineRule="auto"/>
        <w:ind w:left="709" w:right="709"/>
        <w:jc w:val="both"/>
        <w:rPr>
          <w:rFonts w:ascii="Arial" w:eastAsia="Calibri" w:hAnsi="Arial" w:cs="Arial"/>
          <w:bCs/>
          <w:color w:val="000000"/>
          <w:sz w:val="21"/>
          <w:szCs w:val="21"/>
        </w:rPr>
      </w:pPr>
      <w:r w:rsidRPr="0008581E">
        <w:rPr>
          <w:rFonts w:ascii="Arial" w:eastAsia="Calibri" w:hAnsi="Arial" w:cs="Arial"/>
          <w:bCs/>
          <w:i/>
          <w:iCs/>
          <w:color w:val="000000"/>
          <w:sz w:val="21"/>
          <w:szCs w:val="21"/>
        </w:rPr>
        <w:t>Asimismo, el</w:t>
      </w:r>
      <w:r w:rsidRPr="0008581E">
        <w:rPr>
          <w:rFonts w:ascii="Arial" w:eastAsia="Calibri" w:hAnsi="Arial" w:cs="Arial"/>
          <w:bCs/>
          <w:color w:val="000000"/>
          <w:sz w:val="21"/>
          <w:szCs w:val="21"/>
        </w:rPr>
        <w:t xml:space="preserve"> reglamento podrá establecer condiciones preferenciales en favor de la oferta de bienes y servicios producidos por las </w:t>
      </w:r>
      <w:proofErr w:type="spellStart"/>
      <w:r w:rsidRPr="0008581E">
        <w:rPr>
          <w:rFonts w:ascii="Arial" w:eastAsia="Calibri" w:hAnsi="Arial" w:cs="Arial"/>
          <w:bCs/>
          <w:color w:val="000000"/>
          <w:sz w:val="21"/>
          <w:szCs w:val="21"/>
        </w:rPr>
        <w:t>Mipyme</w:t>
      </w:r>
      <w:proofErr w:type="spellEnd"/>
      <w:r w:rsidRPr="0008581E">
        <w:rPr>
          <w:rFonts w:ascii="Arial" w:eastAsia="Calibri" w:hAnsi="Arial" w:cs="Arial"/>
          <w:bCs/>
          <w:color w:val="000000"/>
          <w:sz w:val="21"/>
          <w:szCs w:val="21"/>
        </w:rPr>
        <w:t>, respetando los montos y las condiciones contenidas en los compromisos internacionales vigentes</w:t>
      </w:r>
      <w:r w:rsidRPr="0008581E">
        <w:rPr>
          <w:rFonts w:ascii="Arial" w:eastAsia="Calibri" w:hAnsi="Arial" w:cs="Arial"/>
          <w:bCs/>
          <w:i/>
          <w:iCs/>
          <w:color w:val="000000"/>
          <w:sz w:val="21"/>
          <w:szCs w:val="21"/>
        </w:rPr>
        <w:t>, cuando sean aplicables</w:t>
      </w:r>
      <w:r w:rsidRPr="0008581E">
        <w:rPr>
          <w:rFonts w:ascii="Arial" w:eastAsia="Calibri" w:hAnsi="Arial" w:cs="Arial"/>
          <w:bCs/>
          <w:color w:val="000000"/>
          <w:sz w:val="21"/>
          <w:szCs w:val="21"/>
        </w:rPr>
        <w:t>.</w:t>
      </w:r>
    </w:p>
    <w:p w14:paraId="3209F5AB" w14:textId="77777777" w:rsidR="0008581E" w:rsidRPr="0008581E" w:rsidRDefault="0008581E" w:rsidP="0008581E">
      <w:pPr>
        <w:tabs>
          <w:tab w:val="left" w:pos="1276"/>
        </w:tabs>
        <w:spacing w:after="120" w:line="240" w:lineRule="auto"/>
        <w:ind w:left="709" w:right="709"/>
        <w:jc w:val="both"/>
        <w:rPr>
          <w:rFonts w:ascii="Arial" w:eastAsia="Calibri" w:hAnsi="Arial" w:cs="Arial"/>
          <w:bCs/>
          <w:i/>
          <w:iCs/>
          <w:color w:val="000000"/>
          <w:sz w:val="21"/>
          <w:szCs w:val="21"/>
        </w:rPr>
      </w:pPr>
      <w:r w:rsidRPr="0008581E">
        <w:rPr>
          <w:rFonts w:ascii="Arial" w:eastAsia="Calibri" w:hAnsi="Arial" w:cs="Arial"/>
          <w:bCs/>
          <w:color w:val="000000"/>
          <w:sz w:val="21"/>
          <w:szCs w:val="21"/>
        </w:rPr>
        <w:t xml:space="preserve">En todo caso, se deberá garantizar la satisfacción de las condiciones técnicas y económicas </w:t>
      </w:r>
      <w:r w:rsidRPr="0008581E">
        <w:rPr>
          <w:rFonts w:ascii="Arial" w:eastAsia="Calibri" w:hAnsi="Arial" w:cs="Arial"/>
          <w:bCs/>
          <w:i/>
          <w:iCs/>
          <w:color w:val="000000"/>
          <w:sz w:val="21"/>
          <w:szCs w:val="21"/>
        </w:rPr>
        <w:t>requeridas en el Proceso de Contratación</w:t>
      </w:r>
      <w:r w:rsidRPr="0008581E">
        <w:rPr>
          <w:rFonts w:ascii="Calibri" w:eastAsia="Calibri" w:hAnsi="Calibri" w:cs="Times New Roman"/>
          <w:i/>
          <w:iCs/>
          <w:sz w:val="24"/>
          <w:szCs w:val="24"/>
        </w:rPr>
        <w:footnoteReference w:id="7"/>
      </w:r>
      <w:r w:rsidRPr="0008581E">
        <w:rPr>
          <w:rFonts w:ascii="Arial" w:eastAsia="Calibri" w:hAnsi="Arial" w:cs="Arial"/>
          <w:bCs/>
          <w:i/>
          <w:iCs/>
          <w:color w:val="000000"/>
          <w:sz w:val="21"/>
          <w:szCs w:val="21"/>
        </w:rPr>
        <w:t>. (Énfasis fuera de texto)</w:t>
      </w:r>
    </w:p>
    <w:p w14:paraId="43227724" w14:textId="028E7080" w:rsidR="0008581E" w:rsidRPr="0008581E" w:rsidRDefault="0008581E" w:rsidP="0008581E">
      <w:pPr>
        <w:tabs>
          <w:tab w:val="left" w:pos="1276"/>
        </w:tabs>
        <w:spacing w:after="0" w:line="240" w:lineRule="auto"/>
        <w:ind w:left="709" w:right="709"/>
        <w:jc w:val="both"/>
        <w:rPr>
          <w:rFonts w:ascii="Arial" w:eastAsia="Calibri" w:hAnsi="Arial" w:cs="Arial"/>
          <w:bCs/>
          <w:color w:val="000000"/>
          <w:sz w:val="21"/>
          <w:szCs w:val="21"/>
        </w:rPr>
      </w:pPr>
      <w:r w:rsidRPr="0008581E">
        <w:rPr>
          <w:rFonts w:ascii="Arial" w:eastAsia="Calibri" w:hAnsi="Arial" w:cs="Arial"/>
          <w:bCs/>
          <w:i/>
          <w:iCs/>
          <w:color w:val="000000"/>
          <w:sz w:val="21"/>
          <w:szCs w:val="21"/>
        </w:rPr>
        <w:lastRenderedPageBreak/>
        <w:t>De igual forma</w:t>
      </w:r>
      <w:r w:rsidRPr="0008581E">
        <w:rPr>
          <w:rFonts w:ascii="Arial" w:eastAsia="Calibri" w:hAnsi="Arial" w:cs="Arial"/>
          <w:sz w:val="21"/>
          <w:szCs w:val="21"/>
        </w:rPr>
        <w:t>,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r>
        <w:rPr>
          <w:rFonts w:ascii="Arial" w:eastAsia="Calibri" w:hAnsi="Arial" w:cs="Arial"/>
          <w:sz w:val="21"/>
          <w:szCs w:val="21"/>
        </w:rPr>
        <w:t>”</w:t>
      </w:r>
    </w:p>
    <w:p w14:paraId="1C4167A3" w14:textId="77777777" w:rsidR="0008581E" w:rsidRPr="0008581E" w:rsidRDefault="0008581E" w:rsidP="0008581E">
      <w:pPr>
        <w:spacing w:after="0" w:line="276" w:lineRule="auto"/>
        <w:ind w:firstLine="709"/>
        <w:jc w:val="both"/>
        <w:rPr>
          <w:rFonts w:ascii="Arial" w:eastAsia="Calibri" w:hAnsi="Arial" w:cs="Arial"/>
          <w:color w:val="000000"/>
          <w:lang w:val="es-ES_tradnl"/>
        </w:rPr>
      </w:pPr>
    </w:p>
    <w:p w14:paraId="14319D9A" w14:textId="77777777" w:rsidR="0008581E" w:rsidRPr="0008581E" w:rsidRDefault="0008581E" w:rsidP="0008581E">
      <w:pPr>
        <w:spacing w:after="120" w:line="276" w:lineRule="auto"/>
        <w:ind w:firstLine="709"/>
        <w:jc w:val="both"/>
        <w:rPr>
          <w:rFonts w:ascii="Arial" w:eastAsia="Calibri" w:hAnsi="Arial" w:cs="Arial"/>
          <w:color w:val="000000"/>
          <w:bdr w:val="none" w:sz="0" w:space="0" w:color="auto" w:frame="1"/>
        </w:rPr>
      </w:pPr>
      <w:bookmarkStart w:id="15" w:name="_Hlk69144591"/>
      <w:r w:rsidRPr="0008581E">
        <w:rPr>
          <w:rFonts w:ascii="Arial" w:eastAsia="Calibri" w:hAnsi="Arial" w:cs="Arial"/>
          <w:color w:val="000000"/>
          <w:lang w:val="es-ES_tradnl"/>
        </w:rPr>
        <w:t>Así</w:t>
      </w:r>
      <w:r w:rsidRPr="0008581E">
        <w:rPr>
          <w:rFonts w:ascii="Arial" w:eastAsia="Calibri" w:hAnsi="Arial" w:cs="Arial"/>
          <w:color w:val="000000"/>
          <w:bdr w:val="none" w:sz="0" w:space="0" w:color="auto" w:frame="1"/>
        </w:rPr>
        <w:t xml:space="preserve">, el artículo 34 de la Ley 2069 de 2020 cambia requisitos esenciales para que pueda haber convocatorias limitadas a </w:t>
      </w:r>
      <w:proofErr w:type="spellStart"/>
      <w:r w:rsidRPr="0008581E">
        <w:rPr>
          <w:rFonts w:ascii="Arial" w:eastAsia="Calibri" w:hAnsi="Arial" w:cs="Arial"/>
          <w:color w:val="000000"/>
          <w:bdr w:val="none" w:sz="0" w:space="0" w:color="auto" w:frame="1"/>
        </w:rPr>
        <w:t>mipymes</w:t>
      </w:r>
      <w:proofErr w:type="spellEnd"/>
      <w:r w:rsidRPr="0008581E">
        <w:rPr>
          <w:rFonts w:ascii="Arial" w:eastAsia="Calibri" w:hAnsi="Arial" w:cs="Arial"/>
          <w:color w:val="000000"/>
          <w:bdr w:val="none" w:sz="0" w:space="0" w:color="auto" w:frame="1"/>
        </w:rPr>
        <w:t xml:space="preserve">: i) dispone que estas deben desarrollarse independientemente del régimen de contratación de la entidad estatal –es decir, también deben efectuarlas las entidades estatales exceptuadas del Estatuto General de Contratación de la Administración Pública o que se rigen por derecho privado–; ii) señala que los patrimonios autónomos constituidos por entidades estatales y los particulares que ejecuten recursos públicos también son destinatarios de esta exigencia; </w:t>
      </w:r>
      <w:proofErr w:type="spellStart"/>
      <w:r w:rsidRPr="0008581E">
        <w:rPr>
          <w:rFonts w:ascii="Arial" w:eastAsia="Calibri" w:hAnsi="Arial" w:cs="Arial"/>
          <w:color w:val="000000"/>
          <w:bdr w:val="none" w:sz="0" w:space="0" w:color="auto" w:frame="1"/>
        </w:rPr>
        <w:t>iii</w:t>
      </w:r>
      <w:proofErr w:type="spellEnd"/>
      <w:r w:rsidRPr="0008581E">
        <w:rPr>
          <w:rFonts w:ascii="Arial" w:eastAsia="Calibri" w:hAnsi="Arial" w:cs="Arial"/>
          <w:color w:val="000000"/>
          <w:bdr w:val="none" w:sz="0" w:space="0" w:color="auto" w:frame="1"/>
        </w:rPr>
        <w:t xml:space="preserve">) indica que para que pueda haber convocatorias limitadas a </w:t>
      </w:r>
      <w:proofErr w:type="spellStart"/>
      <w:r w:rsidRPr="0008581E">
        <w:rPr>
          <w:rFonts w:ascii="Arial" w:eastAsia="Calibri" w:hAnsi="Arial" w:cs="Arial"/>
          <w:color w:val="000000"/>
          <w:bdr w:val="none" w:sz="0" w:space="0" w:color="auto" w:frame="1"/>
        </w:rPr>
        <w:t>mipymes</w:t>
      </w:r>
      <w:proofErr w:type="spellEnd"/>
      <w:r w:rsidRPr="0008581E">
        <w:rPr>
          <w:rFonts w:ascii="Arial" w:eastAsia="Calibri" w:hAnsi="Arial" w:cs="Arial"/>
          <w:color w:val="000000"/>
          <w:bdr w:val="none" w:sz="0" w:space="0" w:color="auto" w:frame="1"/>
        </w:rPr>
        <w:t>, dos (2) de ellas deben manifestar su interés –mientras que el artículo 12 de la Ley 1150 de 2007 no establecía un número mínimo y el Decreto 1082 de 2015 exigía tres (3)–.</w:t>
      </w:r>
    </w:p>
    <w:p w14:paraId="4E77D810" w14:textId="6C3FCF28" w:rsidR="0008581E" w:rsidRPr="0008581E" w:rsidRDefault="0008581E" w:rsidP="0008581E">
      <w:pPr>
        <w:tabs>
          <w:tab w:val="left" w:pos="709"/>
        </w:tabs>
        <w:spacing w:after="120" w:line="276" w:lineRule="auto"/>
        <w:jc w:val="both"/>
        <w:rPr>
          <w:rFonts w:ascii="Arial" w:eastAsia="Calibri" w:hAnsi="Arial" w:cs="Arial"/>
          <w:color w:val="000000"/>
          <w:szCs w:val="24"/>
          <w:lang w:val="es-ES_tradnl"/>
        </w:rPr>
      </w:pPr>
      <w:r w:rsidRPr="0008581E">
        <w:rPr>
          <w:rFonts w:ascii="Arial" w:eastAsia="Calibri" w:hAnsi="Arial" w:cs="Arial"/>
          <w:bCs/>
          <w:color w:val="000000"/>
          <w:szCs w:val="24"/>
        </w:rPr>
        <w:tab/>
        <w:t xml:space="preserve">De igual forma, </w:t>
      </w:r>
      <w:r w:rsidRPr="0008581E">
        <w:rPr>
          <w:rFonts w:ascii="Arial" w:eastAsia="Calibri" w:hAnsi="Arial" w:cs="Arial"/>
          <w:color w:val="000000"/>
          <w:bdr w:val="none" w:sz="0" w:space="0" w:color="auto" w:frame="1"/>
        </w:rPr>
        <w:t>el artículo 34 de la Ley 2069 de 2020</w:t>
      </w:r>
      <w:r w:rsidRPr="0008581E">
        <w:rPr>
          <w:rFonts w:ascii="Arial" w:eastAsia="Calibri" w:hAnsi="Arial" w:cs="Arial"/>
          <w:bCs/>
          <w:color w:val="000000"/>
          <w:szCs w:val="24"/>
        </w:rPr>
        <w:t xml:space="preserve">, alude a la necesidad del desarrollo reglamentario posterior, por lo que </w:t>
      </w:r>
      <w:bookmarkEnd w:id="15"/>
      <w:r w:rsidRPr="0008581E">
        <w:rPr>
          <w:rFonts w:ascii="Arial" w:eastAsia="Calibri" w:hAnsi="Arial" w:cs="Arial"/>
          <w:bCs/>
          <w:color w:val="000000"/>
          <w:szCs w:val="24"/>
        </w:rPr>
        <w:t xml:space="preserve">en cumplimiento de ello se expidió el Decreto 1860 de 2021 </w:t>
      </w:r>
      <w:r>
        <w:rPr>
          <w:rFonts w:ascii="Arial" w:eastAsia="Calibri" w:hAnsi="Arial" w:cs="Arial"/>
          <w:bCs/>
          <w:color w:val="000000"/>
          <w:szCs w:val="24"/>
        </w:rPr>
        <w:t>“</w:t>
      </w:r>
      <w:r w:rsidRPr="0008581E">
        <w:rPr>
          <w:rFonts w:ascii="Arial" w:eastAsia="Calibri" w:hAnsi="Arial" w:cs="Arial"/>
          <w:bCs/>
          <w:color w:val="000000"/>
          <w:szCs w:val="24"/>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Arial" w:eastAsia="Calibri" w:hAnsi="Arial" w:cs="Arial"/>
          <w:color w:val="000000"/>
          <w:szCs w:val="24"/>
          <w:lang w:val="es-ES_tradnl"/>
        </w:rPr>
        <w:t>”</w:t>
      </w:r>
      <w:r w:rsidRPr="0008581E">
        <w:rPr>
          <w:rFonts w:ascii="Arial" w:eastAsia="Calibri" w:hAnsi="Arial" w:cs="Arial"/>
          <w:color w:val="000000"/>
          <w:szCs w:val="24"/>
          <w:lang w:val="es-ES_tradnl"/>
        </w:rPr>
        <w:t xml:space="preserve">. </w:t>
      </w:r>
    </w:p>
    <w:p w14:paraId="66A8C3B7" w14:textId="77777777" w:rsidR="0008581E" w:rsidRPr="0008581E" w:rsidRDefault="0008581E" w:rsidP="0008581E">
      <w:pPr>
        <w:tabs>
          <w:tab w:val="left" w:pos="709"/>
        </w:tabs>
        <w:spacing w:after="120" w:line="276" w:lineRule="auto"/>
        <w:jc w:val="both"/>
        <w:rPr>
          <w:rFonts w:ascii="Arial" w:eastAsia="Calibri" w:hAnsi="Arial" w:cs="Arial"/>
          <w:color w:val="000000"/>
          <w:szCs w:val="24"/>
          <w:lang w:val="es-ES_tradnl"/>
        </w:rPr>
      </w:pPr>
      <w:r w:rsidRPr="0008581E">
        <w:rPr>
          <w:rFonts w:ascii="Arial" w:eastAsia="Calibri" w:hAnsi="Arial" w:cs="Arial"/>
          <w:color w:val="000000"/>
          <w:szCs w:val="24"/>
          <w:lang w:val="es-ES_tradnl"/>
        </w:rPr>
        <w:tab/>
        <w:t xml:space="preserve">El artículo 5 del Decreto 1860 de 2021, modifica el artículo 2.2.1.2.4.2.2 del decreto 1082 de 2015, cuyo contenido quedo de la siguiente manera: </w:t>
      </w:r>
    </w:p>
    <w:p w14:paraId="73691E84" w14:textId="1D7E06CB" w:rsidR="0008581E" w:rsidRPr="0008581E" w:rsidRDefault="0008581E" w:rsidP="0008581E">
      <w:pPr>
        <w:spacing w:after="0" w:line="240" w:lineRule="auto"/>
        <w:ind w:left="709" w:right="709"/>
        <w:jc w:val="both"/>
        <w:rPr>
          <w:rFonts w:ascii="Arial" w:eastAsia="Times New Roman" w:hAnsi="Arial" w:cs="Arial"/>
          <w:color w:val="000000"/>
          <w:sz w:val="21"/>
          <w:szCs w:val="21"/>
          <w:lang w:eastAsia="es-MX"/>
        </w:rPr>
      </w:pPr>
      <w:r>
        <w:rPr>
          <w:rFonts w:ascii="Arial" w:eastAsia="Calibri" w:hAnsi="Arial" w:cs="Arial"/>
          <w:color w:val="000000"/>
          <w:sz w:val="21"/>
          <w:szCs w:val="21"/>
          <w:lang w:val="es-ES_tradnl" w:eastAsia="es-MX"/>
        </w:rPr>
        <w:t>“</w:t>
      </w:r>
      <w:r w:rsidRPr="0008581E">
        <w:rPr>
          <w:rFonts w:ascii="Arial" w:eastAsia="Times New Roman" w:hAnsi="Arial" w:cs="Arial"/>
          <w:i/>
          <w:iCs/>
          <w:color w:val="000000"/>
          <w:sz w:val="21"/>
          <w:szCs w:val="21"/>
          <w:lang w:eastAsia="es-MX"/>
        </w:rPr>
        <w:t xml:space="preserve">Artículo 2.2.1.2.4.2.2. Convocatorias limitadas a </w:t>
      </w:r>
      <w:proofErr w:type="spellStart"/>
      <w:r w:rsidRPr="0008581E">
        <w:rPr>
          <w:rFonts w:ascii="Arial" w:eastAsia="Times New Roman" w:hAnsi="Arial" w:cs="Arial"/>
          <w:i/>
          <w:iCs/>
          <w:color w:val="000000"/>
          <w:sz w:val="21"/>
          <w:szCs w:val="21"/>
          <w:lang w:eastAsia="es-MX"/>
        </w:rPr>
        <w:t>Mipyme</w:t>
      </w:r>
      <w:proofErr w:type="spellEnd"/>
      <w:r w:rsidRPr="0008581E">
        <w:rPr>
          <w:rFonts w:ascii="Arial" w:eastAsia="Times New Roman" w:hAnsi="Arial" w:cs="Arial"/>
          <w:i/>
          <w:iCs/>
          <w:color w:val="000000"/>
          <w:sz w:val="21"/>
          <w:szCs w:val="21"/>
          <w:lang w:eastAsia="es-MX"/>
        </w:rPr>
        <w:t>.</w:t>
      </w:r>
      <w:r w:rsidRPr="0008581E">
        <w:rPr>
          <w:rFonts w:ascii="Arial" w:eastAsia="Times New Roman" w:hAnsi="Arial" w:cs="Arial"/>
          <w:color w:val="000000"/>
          <w:sz w:val="21"/>
          <w:szCs w:val="21"/>
          <w:lang w:eastAsia="es-MX"/>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08581E">
        <w:rPr>
          <w:rFonts w:ascii="Arial" w:eastAsia="Times New Roman" w:hAnsi="Arial" w:cs="Arial"/>
          <w:color w:val="000000"/>
          <w:sz w:val="21"/>
          <w:szCs w:val="21"/>
          <w:lang w:eastAsia="es-MX"/>
        </w:rPr>
        <w:t>Mipyme</w:t>
      </w:r>
      <w:proofErr w:type="spellEnd"/>
      <w:r w:rsidRPr="0008581E">
        <w:rPr>
          <w:rFonts w:ascii="Arial" w:eastAsia="Times New Roman" w:hAnsi="Arial" w:cs="Arial"/>
          <w:color w:val="000000"/>
          <w:sz w:val="21"/>
          <w:szCs w:val="21"/>
          <w:lang w:eastAsia="es-MX"/>
        </w:rPr>
        <w:t xml:space="preserve"> colombianas con mínimo un (1) año de existencia, cuando concurran los siguientes requisitos:</w:t>
      </w:r>
    </w:p>
    <w:p w14:paraId="22C4A265" w14:textId="77777777" w:rsidR="0008581E" w:rsidRPr="0008581E" w:rsidRDefault="0008581E" w:rsidP="0008581E">
      <w:pPr>
        <w:spacing w:after="150" w:line="240" w:lineRule="auto"/>
        <w:ind w:left="709" w:right="709"/>
        <w:jc w:val="both"/>
        <w:rPr>
          <w:rFonts w:ascii="Arial" w:eastAsia="Times New Roman" w:hAnsi="Arial" w:cs="Arial"/>
          <w:color w:val="000000"/>
          <w:sz w:val="21"/>
          <w:szCs w:val="21"/>
          <w:lang w:eastAsia="es-MX"/>
        </w:rPr>
      </w:pPr>
      <w:r w:rsidRPr="0008581E">
        <w:rPr>
          <w:rFonts w:ascii="Arial" w:eastAsia="Times New Roman" w:hAnsi="Arial" w:cs="Arial"/>
          <w:color w:val="000000"/>
          <w:sz w:val="21"/>
          <w:szCs w:val="21"/>
          <w:lang w:eastAsia="es-MX"/>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6C96BAA8" w14:textId="77777777" w:rsidR="0008581E" w:rsidRPr="0008581E" w:rsidRDefault="0008581E" w:rsidP="0008581E">
      <w:pPr>
        <w:spacing w:after="150" w:line="240" w:lineRule="auto"/>
        <w:ind w:left="709" w:right="709"/>
        <w:jc w:val="both"/>
        <w:rPr>
          <w:rFonts w:ascii="Arial" w:eastAsia="Times New Roman" w:hAnsi="Arial" w:cs="Arial"/>
          <w:color w:val="000000"/>
          <w:sz w:val="21"/>
          <w:szCs w:val="21"/>
          <w:lang w:eastAsia="es-MX"/>
        </w:rPr>
      </w:pPr>
      <w:r w:rsidRPr="0008581E">
        <w:rPr>
          <w:rFonts w:ascii="Arial" w:eastAsia="Times New Roman" w:hAnsi="Arial" w:cs="Arial"/>
          <w:color w:val="000000"/>
          <w:sz w:val="21"/>
          <w:szCs w:val="21"/>
          <w:lang w:eastAsia="es-MX"/>
        </w:rPr>
        <w:t xml:space="preserve">2. Se hayan recibido solicitudes de por lo menos dos (2) </w:t>
      </w:r>
      <w:proofErr w:type="spellStart"/>
      <w:r w:rsidRPr="0008581E">
        <w:rPr>
          <w:rFonts w:ascii="Arial" w:eastAsia="Times New Roman" w:hAnsi="Arial" w:cs="Arial"/>
          <w:color w:val="000000"/>
          <w:sz w:val="21"/>
          <w:szCs w:val="21"/>
          <w:lang w:eastAsia="es-MX"/>
        </w:rPr>
        <w:t>Mipyme</w:t>
      </w:r>
      <w:proofErr w:type="spellEnd"/>
      <w:r w:rsidRPr="0008581E">
        <w:rPr>
          <w:rFonts w:ascii="Arial" w:eastAsia="Times New Roman" w:hAnsi="Arial" w:cs="Arial"/>
          <w:color w:val="000000"/>
          <w:sz w:val="21"/>
          <w:szCs w:val="21"/>
          <w:lang w:eastAsia="es-MX"/>
        </w:rPr>
        <w:t xml:space="preserve"> colombianas para limitar la convocatoria a </w:t>
      </w:r>
      <w:proofErr w:type="spellStart"/>
      <w:r w:rsidRPr="0008581E">
        <w:rPr>
          <w:rFonts w:ascii="Arial" w:eastAsia="Times New Roman" w:hAnsi="Arial" w:cs="Arial"/>
          <w:color w:val="000000"/>
          <w:sz w:val="21"/>
          <w:szCs w:val="21"/>
          <w:lang w:eastAsia="es-MX"/>
        </w:rPr>
        <w:t>Mipyme</w:t>
      </w:r>
      <w:proofErr w:type="spellEnd"/>
      <w:r w:rsidRPr="0008581E">
        <w:rPr>
          <w:rFonts w:ascii="Arial" w:eastAsia="Times New Roman" w:hAnsi="Arial" w:cs="Arial"/>
          <w:color w:val="000000"/>
          <w:sz w:val="21"/>
          <w:szCs w:val="21"/>
          <w:lang w:eastAsia="es-MX"/>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6D83A12F" w14:textId="77777777" w:rsidR="0008581E" w:rsidRPr="0008581E" w:rsidRDefault="0008581E" w:rsidP="0008581E">
      <w:pPr>
        <w:spacing w:after="150" w:line="240" w:lineRule="auto"/>
        <w:ind w:left="709" w:right="709"/>
        <w:jc w:val="both"/>
        <w:rPr>
          <w:rFonts w:ascii="Arial" w:eastAsia="Times New Roman" w:hAnsi="Arial" w:cs="Arial"/>
          <w:color w:val="000000"/>
          <w:sz w:val="21"/>
          <w:szCs w:val="21"/>
          <w:lang w:eastAsia="es-MX"/>
        </w:rPr>
      </w:pPr>
      <w:r w:rsidRPr="0008581E">
        <w:rPr>
          <w:rFonts w:ascii="Arial" w:eastAsia="Times New Roman" w:hAnsi="Arial" w:cs="Arial"/>
          <w:color w:val="000000"/>
          <w:sz w:val="21"/>
          <w:szCs w:val="21"/>
          <w:lang w:eastAsia="es-MX"/>
        </w:rPr>
        <w:t xml:space="preserve">Tratándose de personas jurídicas, las solicitudes solo las podrán realizar </w:t>
      </w:r>
      <w:proofErr w:type="spellStart"/>
      <w:r w:rsidRPr="0008581E">
        <w:rPr>
          <w:rFonts w:ascii="Arial" w:eastAsia="Times New Roman" w:hAnsi="Arial" w:cs="Arial"/>
          <w:color w:val="000000"/>
          <w:sz w:val="21"/>
          <w:szCs w:val="21"/>
          <w:lang w:eastAsia="es-MX"/>
        </w:rPr>
        <w:t>Mipyme</w:t>
      </w:r>
      <w:proofErr w:type="spellEnd"/>
      <w:r w:rsidRPr="0008581E">
        <w:rPr>
          <w:rFonts w:ascii="Arial" w:eastAsia="Times New Roman" w:hAnsi="Arial" w:cs="Arial"/>
          <w:color w:val="000000"/>
          <w:sz w:val="21"/>
          <w:szCs w:val="21"/>
          <w:lang w:eastAsia="es-MX"/>
        </w:rPr>
        <w:t>, cuyo objeto social les permita ejecutar el contrato relacionado con el proceso contractual.​</w:t>
      </w:r>
    </w:p>
    <w:p w14:paraId="6DCB867A" w14:textId="49CD37CA" w:rsidR="0008581E" w:rsidRPr="0008581E" w:rsidRDefault="0008581E" w:rsidP="0008581E">
      <w:pPr>
        <w:spacing w:after="0" w:line="240" w:lineRule="auto"/>
        <w:ind w:left="709" w:right="709"/>
        <w:jc w:val="both"/>
        <w:rPr>
          <w:rFonts w:ascii="Arial" w:eastAsia="Calibri" w:hAnsi="Arial" w:cs="Arial"/>
          <w:color w:val="000000"/>
          <w:szCs w:val="24"/>
          <w:lang w:val="es-ES_tradnl" w:eastAsia="es-MX"/>
        </w:rPr>
      </w:pPr>
      <w:r w:rsidRPr="0008581E">
        <w:rPr>
          <w:rFonts w:ascii="Arial" w:eastAsia="Times New Roman" w:hAnsi="Arial" w:cs="Arial"/>
          <w:color w:val="000000"/>
          <w:sz w:val="21"/>
          <w:szCs w:val="21"/>
          <w:u w:val="single"/>
          <w:lang w:eastAsia="es-MX"/>
        </w:rPr>
        <w:t>Parágrafo</w:t>
      </w:r>
      <w:r w:rsidRPr="0008581E">
        <w:rPr>
          <w:rFonts w:ascii="Arial" w:eastAsia="Times New Roman" w:hAnsi="Arial" w:cs="Arial"/>
          <w:b/>
          <w:bCs/>
          <w:color w:val="000000"/>
          <w:sz w:val="21"/>
          <w:szCs w:val="21"/>
          <w:u w:val="single"/>
          <w:lang w:eastAsia="es-MX"/>
        </w:rPr>
        <w:t>.</w:t>
      </w:r>
      <w:r w:rsidRPr="0008581E">
        <w:rPr>
          <w:rFonts w:ascii="Arial" w:eastAsia="Times New Roman" w:hAnsi="Arial" w:cs="Arial"/>
          <w:color w:val="000000"/>
          <w:sz w:val="21"/>
          <w:szCs w:val="21"/>
          <w:u w:val="single"/>
          <w:lang w:eastAsia="es-MX"/>
        </w:rPr>
        <w:t xml:space="preserve"> Las cooperativas y demás entidades de economía solidaria, siempre que tengan la calidad de </w:t>
      </w:r>
      <w:proofErr w:type="spellStart"/>
      <w:r w:rsidRPr="0008581E">
        <w:rPr>
          <w:rFonts w:ascii="Arial" w:eastAsia="Times New Roman" w:hAnsi="Arial" w:cs="Arial"/>
          <w:color w:val="000000"/>
          <w:sz w:val="21"/>
          <w:szCs w:val="21"/>
          <w:u w:val="single"/>
          <w:lang w:eastAsia="es-MX"/>
        </w:rPr>
        <w:t>Mipyme</w:t>
      </w:r>
      <w:proofErr w:type="spellEnd"/>
      <w:r w:rsidRPr="0008581E">
        <w:rPr>
          <w:rFonts w:ascii="Arial" w:eastAsia="Times New Roman" w:hAnsi="Arial" w:cs="Arial"/>
          <w:color w:val="000000"/>
          <w:sz w:val="21"/>
          <w:szCs w:val="21"/>
          <w:u w:val="single"/>
          <w:lang w:eastAsia="es-MX"/>
        </w:rPr>
        <w:t>, podrán solicitar y participar en las convocatorias limitadas en las mismas condiciones dispuestas en el presente artículo</w:t>
      </w:r>
      <w:r>
        <w:rPr>
          <w:rFonts w:ascii="Arial" w:eastAsia="Calibri" w:hAnsi="Arial" w:cs="Arial"/>
          <w:color w:val="000000"/>
          <w:szCs w:val="24"/>
          <w:lang w:val="es-ES_tradnl" w:eastAsia="es-MX"/>
        </w:rPr>
        <w:t>”</w:t>
      </w:r>
      <w:r w:rsidRPr="0008581E">
        <w:rPr>
          <w:rFonts w:ascii="Arial" w:eastAsia="Calibri" w:hAnsi="Arial" w:cs="Arial"/>
          <w:color w:val="000000"/>
          <w:szCs w:val="24"/>
          <w:lang w:val="es-ES_tradnl" w:eastAsia="es-MX"/>
        </w:rPr>
        <w:t>.</w:t>
      </w:r>
    </w:p>
    <w:p w14:paraId="33F2E0A5" w14:textId="77777777" w:rsidR="0008581E" w:rsidRPr="0008581E" w:rsidRDefault="0008581E" w:rsidP="0008581E">
      <w:pPr>
        <w:spacing w:after="0" w:line="240" w:lineRule="auto"/>
        <w:ind w:left="709" w:right="709"/>
        <w:jc w:val="both"/>
        <w:rPr>
          <w:rFonts w:ascii="Arial" w:eastAsia="Calibri" w:hAnsi="Arial" w:cs="Arial"/>
          <w:color w:val="000000"/>
          <w:szCs w:val="24"/>
          <w:lang w:val="es-ES_tradnl" w:eastAsia="es-MX"/>
        </w:rPr>
      </w:pPr>
    </w:p>
    <w:p w14:paraId="07A0EA32" w14:textId="4294F742" w:rsidR="0008581E" w:rsidRPr="0008581E" w:rsidRDefault="0008581E" w:rsidP="0008581E">
      <w:pPr>
        <w:spacing w:before="120" w:after="120" w:line="276" w:lineRule="auto"/>
        <w:ind w:firstLine="708"/>
        <w:jc w:val="both"/>
        <w:rPr>
          <w:rFonts w:ascii="Arial" w:eastAsia="Times New Roman" w:hAnsi="Arial" w:cs="Arial"/>
          <w:color w:val="000000"/>
          <w:lang w:eastAsia="es-MX"/>
        </w:rPr>
      </w:pPr>
      <w:r w:rsidRPr="0008581E">
        <w:rPr>
          <w:rFonts w:ascii="Arial" w:eastAsia="Times New Roman" w:hAnsi="Arial" w:cs="Arial"/>
          <w:color w:val="000000"/>
          <w:lang w:eastAsia="es-MX"/>
        </w:rPr>
        <w:t xml:space="preserve">De la normativa citada es posible concluir que, en el marco de la finalidad de la Ley de emprendimiento, el gobierno nacional decidió extender a las cooperativas y demás entidades de economía solidaria, el régimen jurídico de las convocatorias limitadas a las </w:t>
      </w:r>
      <w:proofErr w:type="spellStart"/>
      <w:r w:rsidRPr="0008581E">
        <w:rPr>
          <w:rFonts w:ascii="Arial" w:eastAsia="Times New Roman" w:hAnsi="Arial" w:cs="Arial"/>
          <w:color w:val="000000"/>
          <w:lang w:eastAsia="es-MX"/>
        </w:rPr>
        <w:t>Mipymes</w:t>
      </w:r>
      <w:proofErr w:type="spellEnd"/>
      <w:r w:rsidRPr="0008581E">
        <w:rPr>
          <w:rFonts w:ascii="Arial" w:eastAsia="Times New Roman" w:hAnsi="Arial" w:cs="Arial"/>
          <w:color w:val="000000"/>
          <w:lang w:eastAsia="es-MX"/>
        </w:rPr>
        <w:t xml:space="preserve">, siempre y cuando cumplan con las calidades de ser </w:t>
      </w:r>
      <w:proofErr w:type="spellStart"/>
      <w:r w:rsidRPr="0008581E">
        <w:rPr>
          <w:rFonts w:ascii="Arial" w:eastAsia="Times New Roman" w:hAnsi="Arial" w:cs="Arial"/>
          <w:color w:val="000000"/>
          <w:lang w:eastAsia="es-MX"/>
        </w:rPr>
        <w:t>Mipyme</w:t>
      </w:r>
      <w:proofErr w:type="spellEnd"/>
      <w:r w:rsidRPr="0008581E">
        <w:rPr>
          <w:rFonts w:ascii="Arial" w:eastAsia="Times New Roman" w:hAnsi="Arial" w:cs="Arial"/>
          <w:color w:val="000000"/>
          <w:lang w:eastAsia="es-MX"/>
        </w:rPr>
        <w:t xml:space="preserve">. En otras palabras, y con ocasión de su consulta, antes de la entrada en vigor de la Ley 2069 del 31 de diciembre de 2020 y del Decreto 1860 de 2021, que en su artículo 5 subrogó el artículo </w:t>
      </w:r>
      <w:r w:rsidRPr="0008581E">
        <w:rPr>
          <w:rFonts w:ascii="Arial" w:eastAsia="Calibri" w:hAnsi="Arial" w:cs="Arial"/>
          <w:color w:val="000000"/>
          <w:szCs w:val="24"/>
          <w:lang w:val="es-ES_tradnl" w:eastAsia="es-MX"/>
        </w:rPr>
        <w:t xml:space="preserve">2.2.1.2.4.2.2 del decreto 1082 de 2015, las entidades sin ánimo de lucro no podían </w:t>
      </w:r>
      <w:r w:rsidRPr="0008581E">
        <w:rPr>
          <w:rFonts w:ascii="Arial" w:eastAsia="Times New Roman" w:hAnsi="Arial" w:cs="Arial"/>
          <w:color w:val="000000"/>
          <w:lang w:eastAsia="es-MX"/>
        </w:rPr>
        <w:t xml:space="preserve">participar en las convocatorias limitadas a </w:t>
      </w:r>
      <w:proofErr w:type="spellStart"/>
      <w:r w:rsidRPr="0008581E">
        <w:rPr>
          <w:rFonts w:ascii="Arial" w:eastAsia="Times New Roman" w:hAnsi="Arial" w:cs="Arial"/>
          <w:color w:val="000000"/>
          <w:lang w:eastAsia="es-MX"/>
        </w:rPr>
        <w:t>Mipymes</w:t>
      </w:r>
      <w:proofErr w:type="spellEnd"/>
      <w:r w:rsidR="00C33F9E">
        <w:rPr>
          <w:rFonts w:ascii="Arial" w:eastAsia="Times New Roman" w:hAnsi="Arial" w:cs="Arial"/>
          <w:color w:val="000000"/>
          <w:lang w:eastAsia="es-MX"/>
        </w:rPr>
        <w:t>. Así pues,</w:t>
      </w:r>
      <w:r w:rsidRPr="0008581E">
        <w:rPr>
          <w:rFonts w:ascii="Arial" w:eastAsia="Times New Roman" w:hAnsi="Arial" w:cs="Arial"/>
          <w:color w:val="000000"/>
          <w:lang w:eastAsia="es-MX"/>
        </w:rPr>
        <w:t xml:space="preserve"> con ocasión del nuevo régimen normativo, como se explicó, </w:t>
      </w:r>
      <w:r w:rsidRPr="0008581E">
        <w:rPr>
          <w:rFonts w:ascii="Arial" w:eastAsia="Times New Roman" w:hAnsi="Arial" w:cs="Arial"/>
          <w:color w:val="000000"/>
          <w:u w:val="single"/>
          <w:lang w:eastAsia="es-MX"/>
        </w:rPr>
        <w:t xml:space="preserve">desde la entrada en vigor del Decreto 1860 de 2021 las </w:t>
      </w:r>
      <w:r w:rsidRPr="00C81235">
        <w:rPr>
          <w:rFonts w:ascii="Arial" w:eastAsia="Times New Roman" w:hAnsi="Arial" w:cs="Arial"/>
          <w:color w:val="000000"/>
          <w:u w:val="single"/>
          <w:lang w:eastAsia="es-MX"/>
        </w:rPr>
        <w:t>“</w:t>
      </w:r>
      <w:r w:rsidRPr="0008581E">
        <w:rPr>
          <w:rFonts w:ascii="Arial" w:eastAsia="Times New Roman" w:hAnsi="Arial" w:cs="Arial"/>
          <w:color w:val="000000"/>
          <w:u w:val="single"/>
          <w:lang w:eastAsia="es-MX"/>
        </w:rPr>
        <w:t>cooperativas y demás entidades de economía solidaria</w:t>
      </w:r>
      <w:r w:rsidRPr="00C81235">
        <w:rPr>
          <w:rFonts w:ascii="Arial" w:eastAsia="Times New Roman" w:hAnsi="Arial" w:cs="Arial"/>
          <w:color w:val="000000"/>
          <w:u w:val="single"/>
          <w:lang w:eastAsia="es-MX"/>
        </w:rPr>
        <w:t>”</w:t>
      </w:r>
      <w:r w:rsidRPr="0008581E">
        <w:rPr>
          <w:rFonts w:ascii="Arial" w:eastAsia="Times New Roman" w:hAnsi="Arial" w:cs="Arial"/>
          <w:color w:val="000000"/>
          <w:u w:val="single"/>
          <w:lang w:eastAsia="es-MX"/>
        </w:rPr>
        <w:t xml:space="preserve"> pueden participar de las convocatorias limitadas dirigidas a las </w:t>
      </w:r>
      <w:proofErr w:type="spellStart"/>
      <w:r w:rsidRPr="0008581E">
        <w:rPr>
          <w:rFonts w:ascii="Arial" w:eastAsia="Times New Roman" w:hAnsi="Arial" w:cs="Arial"/>
          <w:color w:val="000000"/>
          <w:u w:val="single"/>
          <w:lang w:eastAsia="es-MX"/>
        </w:rPr>
        <w:t>Mipymes</w:t>
      </w:r>
      <w:proofErr w:type="spellEnd"/>
      <w:r w:rsidRPr="0008581E">
        <w:rPr>
          <w:rFonts w:ascii="Arial" w:eastAsia="Times New Roman" w:hAnsi="Arial" w:cs="Arial"/>
          <w:color w:val="000000"/>
          <w:u w:val="single"/>
          <w:lang w:eastAsia="es-MX"/>
        </w:rPr>
        <w:t xml:space="preserve">, siempre y cuando tengan la calidad de </w:t>
      </w:r>
      <w:proofErr w:type="spellStart"/>
      <w:r w:rsidRPr="0008581E">
        <w:rPr>
          <w:rFonts w:ascii="Arial" w:eastAsia="Times New Roman" w:hAnsi="Arial" w:cs="Arial"/>
          <w:color w:val="000000"/>
          <w:u w:val="single"/>
          <w:lang w:eastAsia="es-MX"/>
        </w:rPr>
        <w:t>Mipyme</w:t>
      </w:r>
      <w:proofErr w:type="spellEnd"/>
      <w:r w:rsidRPr="0008581E">
        <w:rPr>
          <w:rFonts w:ascii="Arial" w:eastAsia="Times New Roman" w:hAnsi="Arial" w:cs="Arial"/>
          <w:color w:val="000000"/>
          <w:lang w:eastAsia="es-MX"/>
        </w:rPr>
        <w:t>. Lo anterior, sin perjuicio de que deban cumplir con los demás requisitos del procedimiento de selección respectivo.</w:t>
      </w:r>
    </w:p>
    <w:p w14:paraId="434521E2" w14:textId="62A179CA" w:rsidR="0008581E" w:rsidRPr="0008581E" w:rsidRDefault="0008581E" w:rsidP="0008581E">
      <w:pPr>
        <w:spacing w:before="120" w:after="120" w:line="276" w:lineRule="auto"/>
        <w:jc w:val="both"/>
        <w:rPr>
          <w:rFonts w:ascii="Arial" w:eastAsia="Times New Roman" w:hAnsi="Arial" w:cs="Arial"/>
          <w:color w:val="000000"/>
          <w:lang w:eastAsia="es-MX"/>
        </w:rPr>
      </w:pPr>
      <w:r w:rsidRPr="0008581E">
        <w:rPr>
          <w:rFonts w:ascii="Arial" w:eastAsia="Times New Roman" w:hAnsi="Arial" w:cs="Arial"/>
          <w:color w:val="000000"/>
          <w:lang w:eastAsia="es-MX"/>
        </w:rPr>
        <w:tab/>
        <w:t xml:space="preserve">Además, se considera importante resaltar que el artículo 8 del Decreto 1860 de 2021, en relación con la vigencia y las derogatorias, indica que </w:t>
      </w:r>
      <w:r>
        <w:rPr>
          <w:rFonts w:ascii="Arial" w:eastAsia="Times New Roman" w:hAnsi="Arial" w:cs="Arial"/>
          <w:color w:val="000000"/>
          <w:lang w:eastAsia="es-MX"/>
        </w:rPr>
        <w:t>“</w:t>
      </w:r>
      <w:r w:rsidRPr="0008581E">
        <w:rPr>
          <w:rFonts w:ascii="Arial" w:eastAsia="Times New Roman" w:hAnsi="Arial" w:cs="Arial"/>
          <w:color w:val="000000"/>
          <w:lang w:eastAsia="es-MX"/>
        </w:rPr>
        <w:t>Las disposiciones contenidas en el presente Decreto se aplicarán a los procedimientos de selección cuya invitación, aviso de convocatoria o documento equivalente se publique a los tres (3) meses contados a partir de su expedición. […]</w:t>
      </w:r>
      <w:r>
        <w:rPr>
          <w:rFonts w:ascii="Arial" w:eastAsia="Times New Roman" w:hAnsi="Arial" w:cs="Arial"/>
          <w:color w:val="000000"/>
          <w:lang w:eastAsia="es-MX"/>
        </w:rPr>
        <w:t>”</w:t>
      </w:r>
      <w:r w:rsidRPr="0008581E">
        <w:rPr>
          <w:rFonts w:ascii="Arial" w:eastAsia="Times New Roman" w:hAnsi="Arial" w:cs="Arial"/>
          <w:color w:val="000000"/>
          <w:lang w:eastAsia="es-MX"/>
        </w:rPr>
        <w:t>. Por lo tanto, las reglas allí contenidas empezaron a regir en los procesos contractuales cuya invitación o aviso de convocatoria se publique desde el 24 de marzo de 2022.</w:t>
      </w:r>
    </w:p>
    <w:p w14:paraId="4E31AAE6" w14:textId="77777777" w:rsidR="0008581E" w:rsidRPr="0008581E" w:rsidRDefault="0008581E" w:rsidP="0008581E">
      <w:pPr>
        <w:spacing w:before="120" w:after="0" w:line="276" w:lineRule="auto"/>
        <w:jc w:val="both"/>
        <w:rPr>
          <w:rFonts w:ascii="Arial" w:eastAsia="Calibri" w:hAnsi="Arial" w:cs="Arial"/>
          <w:color w:val="000000"/>
          <w:lang w:val="es-ES_tradnl" w:eastAsia="es-MX"/>
        </w:rPr>
      </w:pPr>
      <w:r w:rsidRPr="0008581E">
        <w:rPr>
          <w:rFonts w:ascii="Arial" w:eastAsia="Times New Roman" w:hAnsi="Arial" w:cs="Arial"/>
          <w:color w:val="000000"/>
          <w:lang w:eastAsia="es-MX"/>
        </w:rPr>
        <w:tab/>
        <w:t xml:space="preserve">Con la finalidad de profundizar en la respuesta al planteamiento realizado, también es importante mencionar el artículo </w:t>
      </w:r>
      <w:r w:rsidRPr="0008581E">
        <w:rPr>
          <w:rFonts w:ascii="Arial" w:eastAsia="Calibri" w:hAnsi="Arial" w:cs="Arial"/>
          <w:color w:val="000000"/>
          <w:lang w:val="es-ES_tradnl" w:eastAsia="es-MX"/>
        </w:rPr>
        <w:t xml:space="preserve">23 de la Ley 2069 de 2020, que para efectos de la aplicación de dicha ley, asimila a las cooperativas y a las demás entidades de economía solidaria a empresas, disponiendo además que estas deberán ser clasificadas como </w:t>
      </w:r>
      <w:proofErr w:type="spellStart"/>
      <w:r w:rsidRPr="0008581E">
        <w:rPr>
          <w:rFonts w:ascii="Arial" w:eastAsia="Calibri" w:hAnsi="Arial" w:cs="Arial"/>
          <w:color w:val="000000"/>
          <w:lang w:val="es-ES_tradnl" w:eastAsia="es-MX"/>
        </w:rPr>
        <w:t>Mipymes</w:t>
      </w:r>
      <w:proofErr w:type="spellEnd"/>
      <w:r w:rsidRPr="0008581E">
        <w:rPr>
          <w:rFonts w:ascii="Arial" w:eastAsia="Calibri" w:hAnsi="Arial" w:cs="Arial"/>
          <w:color w:val="000000"/>
          <w:lang w:val="es-ES_tradnl" w:eastAsia="es-MX"/>
        </w:rPr>
        <w:t xml:space="preserve"> de conformidad con el artículo 2 de la Ley 590 de 2000 y el Decreto 957 de 2019, los cuales desarrollan la clasificación </w:t>
      </w:r>
      <w:r w:rsidRPr="0008581E">
        <w:rPr>
          <w:rFonts w:ascii="Arial" w:eastAsia="Calibri" w:hAnsi="Arial" w:cs="Arial"/>
          <w:color w:val="000000"/>
          <w:lang w:val="es-ES_tradnl" w:eastAsia="es-MX"/>
        </w:rPr>
        <w:lastRenderedPageBreak/>
        <w:t>de las categorías micro, pequeña y mediana empresa en función del tamaño empresarial</w:t>
      </w:r>
      <w:r w:rsidRPr="0008581E">
        <w:rPr>
          <w:rFonts w:ascii="Arial" w:eastAsia="Calibri" w:hAnsi="Arial" w:cs="Arial"/>
          <w:color w:val="000000"/>
          <w:vertAlign w:val="superscript"/>
          <w:lang w:val="es-ES_tradnl" w:eastAsia="es-MX"/>
        </w:rPr>
        <w:footnoteReference w:id="8"/>
      </w:r>
      <w:r w:rsidRPr="0008581E">
        <w:rPr>
          <w:rFonts w:ascii="Arial" w:eastAsia="Calibri" w:hAnsi="Arial" w:cs="Arial"/>
          <w:color w:val="000000"/>
          <w:lang w:val="es-ES_tradnl" w:eastAsia="es-MX"/>
        </w:rPr>
        <w:t xml:space="preserve">. El principal efecto de esta norma consiste en </w:t>
      </w:r>
      <w:proofErr w:type="gramStart"/>
      <w:r w:rsidRPr="0008581E">
        <w:rPr>
          <w:rFonts w:ascii="Arial" w:eastAsia="Calibri" w:hAnsi="Arial" w:cs="Arial"/>
          <w:color w:val="000000"/>
          <w:lang w:val="es-ES_tradnl" w:eastAsia="es-MX"/>
        </w:rPr>
        <w:t>que</w:t>
      </w:r>
      <w:proofErr w:type="gramEnd"/>
      <w:r w:rsidRPr="0008581E">
        <w:rPr>
          <w:rFonts w:ascii="Arial" w:eastAsia="Calibri" w:hAnsi="Arial" w:cs="Arial"/>
          <w:color w:val="000000"/>
          <w:lang w:val="es-ES_tradnl" w:eastAsia="es-MX"/>
        </w:rPr>
        <w:t xml:space="preserve"> a las cooperativas y a las demás entidades de economía solidaria, al poder ser consideradas como </w:t>
      </w:r>
      <w:proofErr w:type="spellStart"/>
      <w:r w:rsidRPr="0008581E">
        <w:rPr>
          <w:rFonts w:ascii="Arial" w:eastAsia="Calibri" w:hAnsi="Arial" w:cs="Arial"/>
          <w:color w:val="000000"/>
          <w:lang w:val="es-ES_tradnl" w:eastAsia="es-MX"/>
        </w:rPr>
        <w:t>Mipymes</w:t>
      </w:r>
      <w:proofErr w:type="spellEnd"/>
      <w:r w:rsidRPr="0008581E">
        <w:rPr>
          <w:rFonts w:ascii="Arial" w:eastAsia="Calibri" w:hAnsi="Arial" w:cs="Arial"/>
          <w:color w:val="000000"/>
          <w:lang w:val="es-ES_tradnl" w:eastAsia="es-MX"/>
        </w:rPr>
        <w:t xml:space="preserve">, les son aplicables las disposiciones alusivas a estas contenidas en la Ley 2069 de 2020. </w:t>
      </w:r>
      <w:r w:rsidRPr="0008581E">
        <w:rPr>
          <w:rFonts w:ascii="Arial" w:eastAsia="Calibri" w:hAnsi="Arial" w:cs="Arial"/>
          <w:color w:val="000000"/>
          <w:lang w:val="es-ES_tradnl" w:eastAsia="es-MX"/>
        </w:rPr>
        <w:tab/>
      </w:r>
    </w:p>
    <w:p w14:paraId="6276248D" w14:textId="084F7D41" w:rsidR="0008581E" w:rsidRPr="0008581E" w:rsidRDefault="0008581E" w:rsidP="0008581E">
      <w:pPr>
        <w:spacing w:before="120" w:after="0" w:line="276" w:lineRule="auto"/>
        <w:jc w:val="both"/>
        <w:rPr>
          <w:rFonts w:ascii="Arial" w:eastAsia="Calibri" w:hAnsi="Arial" w:cs="Arial"/>
          <w:color w:val="000000"/>
          <w:lang w:val="es-ES_tradnl" w:eastAsia="es-MX"/>
        </w:rPr>
      </w:pPr>
      <w:r w:rsidRPr="0008581E">
        <w:rPr>
          <w:rFonts w:ascii="Arial" w:eastAsia="Calibri" w:hAnsi="Arial" w:cs="Arial"/>
          <w:color w:val="000000"/>
          <w:lang w:val="es-ES_tradnl" w:eastAsia="es-MX"/>
        </w:rPr>
        <w:tab/>
        <w:t xml:space="preserve">En ese sentido, el mandato de considerar este tipo de entidades como empresas y clasificarlas como </w:t>
      </w:r>
      <w:proofErr w:type="spellStart"/>
      <w:r w:rsidR="000E73F3">
        <w:rPr>
          <w:rFonts w:ascii="Arial" w:eastAsia="Calibri" w:hAnsi="Arial" w:cs="Arial"/>
          <w:color w:val="000000"/>
          <w:lang w:val="es-ES_tradnl" w:eastAsia="es-MX"/>
        </w:rPr>
        <w:t>M</w:t>
      </w:r>
      <w:r w:rsidRPr="0008581E">
        <w:rPr>
          <w:rFonts w:ascii="Arial" w:eastAsia="Calibri" w:hAnsi="Arial" w:cs="Arial"/>
          <w:color w:val="000000"/>
          <w:lang w:val="es-ES_tradnl" w:eastAsia="es-MX"/>
        </w:rPr>
        <w:t>ipymes</w:t>
      </w:r>
      <w:proofErr w:type="spellEnd"/>
      <w:r w:rsidRPr="0008581E">
        <w:rPr>
          <w:rFonts w:ascii="Arial" w:eastAsia="Calibri" w:hAnsi="Arial" w:cs="Arial"/>
          <w:color w:val="000000"/>
          <w:lang w:val="es-ES_tradnl" w:eastAsia="es-MX"/>
        </w:rPr>
        <w:t xml:space="preserve">, es una acción tendiente para vincularlas como proveedoras del mercado de compra públicas dentro del ámbito de explotación económica que la ley les ha concedido a estas entidades del sector solidario, el cual ha sido ampliado por la Ley 2069 de 2020. </w:t>
      </w:r>
    </w:p>
    <w:p w14:paraId="69651DBF" w14:textId="77777777" w:rsidR="0008581E" w:rsidRPr="0008581E" w:rsidRDefault="0008581E" w:rsidP="0008581E">
      <w:pPr>
        <w:tabs>
          <w:tab w:val="left" w:pos="0"/>
        </w:tabs>
        <w:spacing w:after="0" w:line="240" w:lineRule="auto"/>
        <w:jc w:val="both"/>
        <w:rPr>
          <w:rFonts w:ascii="Arial" w:eastAsia="Calibri" w:hAnsi="Arial" w:cs="Arial"/>
          <w:b/>
          <w:color w:val="000000"/>
          <w:szCs w:val="24"/>
          <w:lang w:val="es-ES_tradnl" w:eastAsia="es-MX"/>
        </w:rPr>
      </w:pPr>
    </w:p>
    <w:p w14:paraId="67331122" w14:textId="77777777" w:rsidR="0008581E" w:rsidRPr="0008581E" w:rsidRDefault="0008581E" w:rsidP="0008581E">
      <w:pPr>
        <w:tabs>
          <w:tab w:val="left" w:pos="0"/>
        </w:tabs>
        <w:spacing w:after="0" w:line="240" w:lineRule="auto"/>
        <w:jc w:val="both"/>
        <w:rPr>
          <w:rFonts w:ascii="Arial" w:eastAsia="Calibri" w:hAnsi="Arial" w:cs="Arial"/>
          <w:b/>
          <w:color w:val="000000"/>
          <w:szCs w:val="24"/>
          <w:lang w:val="es-ES_tradnl" w:eastAsia="es-MX"/>
        </w:rPr>
      </w:pPr>
      <w:r w:rsidRPr="0008581E">
        <w:rPr>
          <w:rFonts w:ascii="Arial" w:eastAsia="Calibri" w:hAnsi="Arial" w:cs="Arial"/>
          <w:b/>
          <w:color w:val="000000"/>
          <w:szCs w:val="24"/>
          <w:lang w:val="es-ES_tradnl" w:eastAsia="es-MX"/>
        </w:rPr>
        <w:t>3. Respuesta</w:t>
      </w:r>
    </w:p>
    <w:p w14:paraId="2D254302" w14:textId="77777777" w:rsidR="0008581E" w:rsidRPr="0008581E" w:rsidRDefault="0008581E" w:rsidP="0008581E">
      <w:pPr>
        <w:tabs>
          <w:tab w:val="left" w:pos="0"/>
        </w:tabs>
        <w:spacing w:after="0" w:line="240" w:lineRule="auto"/>
        <w:jc w:val="both"/>
        <w:rPr>
          <w:rFonts w:ascii="Arial" w:eastAsia="Calibri" w:hAnsi="Arial" w:cs="Arial"/>
          <w:color w:val="000000"/>
          <w:sz w:val="21"/>
          <w:szCs w:val="21"/>
          <w:lang w:val="es-ES_tradnl" w:eastAsia="es-MX"/>
        </w:rPr>
      </w:pPr>
    </w:p>
    <w:p w14:paraId="2A0A0EB5" w14:textId="77777777" w:rsidR="001A4D2E" w:rsidRPr="0008581E" w:rsidRDefault="0008581E" w:rsidP="001A4D2E">
      <w:pPr>
        <w:spacing w:after="0" w:line="240" w:lineRule="auto"/>
        <w:ind w:left="709" w:right="709"/>
        <w:jc w:val="both"/>
        <w:rPr>
          <w:rFonts w:ascii="Arial" w:eastAsia="Calibri" w:hAnsi="Arial" w:cs="Arial"/>
          <w:sz w:val="21"/>
          <w:szCs w:val="21"/>
          <w:lang w:val="es-MX"/>
        </w:rPr>
      </w:pPr>
      <w:r w:rsidRPr="0008581E">
        <w:rPr>
          <w:rFonts w:ascii="Arial" w:eastAsia="Calibri" w:hAnsi="Arial" w:cs="Arial"/>
          <w:sz w:val="21"/>
          <w:szCs w:val="21"/>
          <w:lang w:val="es-MX"/>
        </w:rPr>
        <w:t xml:space="preserve"> </w:t>
      </w:r>
      <w:r w:rsidR="001A4D2E">
        <w:rPr>
          <w:rFonts w:ascii="Arial" w:eastAsia="Calibri" w:hAnsi="Arial" w:cs="Arial"/>
          <w:sz w:val="21"/>
          <w:szCs w:val="21"/>
          <w:lang w:val="es-MX"/>
        </w:rPr>
        <w:t>“</w:t>
      </w:r>
      <w:r w:rsidR="001A4D2E" w:rsidRPr="0008581E">
        <w:rPr>
          <w:rFonts w:ascii="Arial" w:eastAsia="Calibri" w:hAnsi="Arial" w:cs="Arial"/>
          <w:sz w:val="21"/>
          <w:szCs w:val="21"/>
          <w:lang w:val="es-MX"/>
        </w:rPr>
        <w:t xml:space="preserve">Respetuosamente me permito solicitar </w:t>
      </w:r>
      <w:proofErr w:type="spellStart"/>
      <w:r w:rsidR="001A4D2E" w:rsidRPr="0008581E">
        <w:rPr>
          <w:rFonts w:ascii="Arial" w:eastAsia="Calibri" w:hAnsi="Arial" w:cs="Arial"/>
          <w:sz w:val="21"/>
          <w:szCs w:val="21"/>
          <w:lang w:val="es-MX"/>
        </w:rPr>
        <w:t>informacion</w:t>
      </w:r>
      <w:proofErr w:type="spellEnd"/>
      <w:r w:rsidR="001A4D2E" w:rsidRPr="0008581E">
        <w:rPr>
          <w:rFonts w:ascii="Arial" w:eastAsia="Calibri" w:hAnsi="Arial" w:cs="Arial"/>
          <w:sz w:val="21"/>
          <w:szCs w:val="21"/>
          <w:lang w:val="es-MX"/>
        </w:rPr>
        <w:t xml:space="preserve">, me estoy presentando un proceso, y me </w:t>
      </w:r>
      <w:proofErr w:type="spellStart"/>
      <w:r w:rsidR="001A4D2E" w:rsidRPr="0008581E">
        <w:rPr>
          <w:rFonts w:ascii="Arial" w:eastAsia="Calibri" w:hAnsi="Arial" w:cs="Arial"/>
          <w:sz w:val="21"/>
          <w:szCs w:val="21"/>
          <w:lang w:val="es-MX"/>
        </w:rPr>
        <w:t>esta</w:t>
      </w:r>
      <w:proofErr w:type="spellEnd"/>
      <w:r w:rsidR="001A4D2E" w:rsidRPr="0008581E">
        <w:rPr>
          <w:rFonts w:ascii="Arial" w:eastAsia="Calibri" w:hAnsi="Arial" w:cs="Arial"/>
          <w:sz w:val="21"/>
          <w:szCs w:val="21"/>
          <w:lang w:val="es-MX"/>
        </w:rPr>
        <w:t xml:space="preserve"> negando la </w:t>
      </w:r>
      <w:proofErr w:type="spellStart"/>
      <w:r w:rsidR="001A4D2E" w:rsidRPr="0008581E">
        <w:rPr>
          <w:rFonts w:ascii="Arial" w:eastAsia="Calibri" w:hAnsi="Arial" w:cs="Arial"/>
          <w:sz w:val="21"/>
          <w:szCs w:val="21"/>
          <w:lang w:val="es-MX"/>
        </w:rPr>
        <w:t>participacion</w:t>
      </w:r>
      <w:proofErr w:type="spellEnd"/>
      <w:r w:rsidR="001A4D2E" w:rsidRPr="0008581E">
        <w:rPr>
          <w:rFonts w:ascii="Arial" w:eastAsia="Calibri" w:hAnsi="Arial" w:cs="Arial"/>
          <w:sz w:val="21"/>
          <w:szCs w:val="21"/>
          <w:lang w:val="es-MX"/>
        </w:rPr>
        <w:t xml:space="preserve"> en el proceso por </w:t>
      </w:r>
      <w:proofErr w:type="spellStart"/>
      <w:r w:rsidR="001A4D2E" w:rsidRPr="0008581E">
        <w:rPr>
          <w:rFonts w:ascii="Arial" w:eastAsia="Calibri" w:hAnsi="Arial" w:cs="Arial"/>
          <w:sz w:val="21"/>
          <w:szCs w:val="21"/>
          <w:lang w:val="es-MX"/>
        </w:rPr>
        <w:t>por</w:t>
      </w:r>
      <w:proofErr w:type="spellEnd"/>
      <w:r w:rsidR="001A4D2E" w:rsidRPr="0008581E">
        <w:rPr>
          <w:rFonts w:ascii="Arial" w:eastAsia="Calibri" w:hAnsi="Arial" w:cs="Arial"/>
          <w:sz w:val="21"/>
          <w:szCs w:val="21"/>
          <w:lang w:val="es-MX"/>
        </w:rPr>
        <w:t xml:space="preserve"> </w:t>
      </w:r>
      <w:proofErr w:type="spellStart"/>
      <w:r w:rsidR="001A4D2E" w:rsidRPr="0008581E">
        <w:rPr>
          <w:rFonts w:ascii="Arial" w:eastAsia="Calibri" w:hAnsi="Arial" w:cs="Arial"/>
          <w:sz w:val="21"/>
          <w:szCs w:val="21"/>
          <w:lang w:val="es-MX"/>
        </w:rPr>
        <w:t>se</w:t>
      </w:r>
      <w:proofErr w:type="spellEnd"/>
      <w:r w:rsidR="001A4D2E" w:rsidRPr="0008581E">
        <w:rPr>
          <w:rFonts w:ascii="Arial" w:eastAsia="Calibri" w:hAnsi="Arial" w:cs="Arial"/>
          <w:sz w:val="21"/>
          <w:szCs w:val="21"/>
          <w:lang w:val="es-MX"/>
        </w:rPr>
        <w:t xml:space="preserve"> una </w:t>
      </w:r>
      <w:proofErr w:type="spellStart"/>
      <w:r w:rsidR="001A4D2E" w:rsidRPr="0008581E">
        <w:rPr>
          <w:rFonts w:ascii="Arial" w:eastAsia="Calibri" w:hAnsi="Arial" w:cs="Arial"/>
          <w:sz w:val="21"/>
          <w:szCs w:val="21"/>
          <w:lang w:val="es-MX"/>
        </w:rPr>
        <w:t>corporacion</w:t>
      </w:r>
      <w:proofErr w:type="spellEnd"/>
      <w:r w:rsidR="001A4D2E" w:rsidRPr="0008581E">
        <w:rPr>
          <w:rFonts w:ascii="Arial" w:eastAsia="Calibri" w:hAnsi="Arial" w:cs="Arial"/>
          <w:sz w:val="21"/>
          <w:szCs w:val="21"/>
          <w:lang w:val="es-MX"/>
        </w:rPr>
        <w:t xml:space="preserve"> </w:t>
      </w:r>
      <w:proofErr w:type="gramStart"/>
      <w:r w:rsidR="001A4D2E" w:rsidRPr="0008581E">
        <w:rPr>
          <w:rFonts w:ascii="Arial" w:eastAsia="Calibri" w:hAnsi="Arial" w:cs="Arial"/>
          <w:sz w:val="21"/>
          <w:szCs w:val="21"/>
          <w:lang w:val="es-MX"/>
        </w:rPr>
        <w:t xml:space="preserve">sin  </w:t>
      </w:r>
      <w:proofErr w:type="spellStart"/>
      <w:r w:rsidR="001A4D2E" w:rsidRPr="0008581E">
        <w:rPr>
          <w:rFonts w:ascii="Arial" w:eastAsia="Calibri" w:hAnsi="Arial" w:cs="Arial"/>
          <w:sz w:val="21"/>
          <w:szCs w:val="21"/>
          <w:lang w:val="es-MX"/>
        </w:rPr>
        <w:t>animo</w:t>
      </w:r>
      <w:proofErr w:type="spellEnd"/>
      <w:proofErr w:type="gramEnd"/>
      <w:r w:rsidR="001A4D2E" w:rsidRPr="0008581E">
        <w:rPr>
          <w:rFonts w:ascii="Arial" w:eastAsia="Calibri" w:hAnsi="Arial" w:cs="Arial"/>
          <w:sz w:val="21"/>
          <w:szCs w:val="21"/>
          <w:lang w:val="es-MX"/>
        </w:rPr>
        <w:t xml:space="preserve"> de lucro, ya que manifiestan  </w:t>
      </w:r>
      <w:proofErr w:type="spellStart"/>
      <w:r w:rsidR="001A4D2E" w:rsidRPr="0008581E">
        <w:rPr>
          <w:rFonts w:ascii="Arial" w:eastAsia="Calibri" w:hAnsi="Arial" w:cs="Arial"/>
          <w:sz w:val="21"/>
          <w:szCs w:val="21"/>
          <w:lang w:val="es-MX"/>
        </w:rPr>
        <w:t>qiue</w:t>
      </w:r>
      <w:proofErr w:type="spellEnd"/>
      <w:r w:rsidR="001A4D2E" w:rsidRPr="0008581E">
        <w:rPr>
          <w:rFonts w:ascii="Arial" w:eastAsia="Calibri" w:hAnsi="Arial" w:cs="Arial"/>
          <w:sz w:val="21"/>
          <w:szCs w:val="21"/>
          <w:lang w:val="es-MX"/>
        </w:rPr>
        <w:t xml:space="preserve"> las corporaciones  o entidades sin </w:t>
      </w:r>
      <w:proofErr w:type="spellStart"/>
      <w:r w:rsidR="001A4D2E" w:rsidRPr="0008581E">
        <w:rPr>
          <w:rFonts w:ascii="Arial" w:eastAsia="Calibri" w:hAnsi="Arial" w:cs="Arial"/>
          <w:sz w:val="21"/>
          <w:szCs w:val="21"/>
          <w:lang w:val="es-MX"/>
        </w:rPr>
        <w:t>animo</w:t>
      </w:r>
      <w:proofErr w:type="spellEnd"/>
      <w:r w:rsidR="001A4D2E" w:rsidRPr="0008581E">
        <w:rPr>
          <w:rFonts w:ascii="Arial" w:eastAsia="Calibri" w:hAnsi="Arial" w:cs="Arial"/>
          <w:sz w:val="21"/>
          <w:szCs w:val="21"/>
          <w:lang w:val="es-MX"/>
        </w:rPr>
        <w:t xml:space="preserve"> de lucro no pueden participar en un proceso de </w:t>
      </w:r>
      <w:proofErr w:type="spellStart"/>
      <w:r w:rsidR="001A4D2E" w:rsidRPr="0008581E">
        <w:rPr>
          <w:rFonts w:ascii="Arial" w:eastAsia="Calibri" w:hAnsi="Arial" w:cs="Arial"/>
          <w:sz w:val="21"/>
          <w:szCs w:val="21"/>
          <w:lang w:val="es-MX"/>
        </w:rPr>
        <w:t>contratacion</w:t>
      </w:r>
      <w:proofErr w:type="spellEnd"/>
      <w:r w:rsidR="001A4D2E" w:rsidRPr="0008581E">
        <w:rPr>
          <w:rFonts w:ascii="Arial" w:eastAsia="Calibri" w:hAnsi="Arial" w:cs="Arial"/>
          <w:sz w:val="21"/>
          <w:szCs w:val="21"/>
          <w:lang w:val="es-MX"/>
        </w:rPr>
        <w:t xml:space="preserve">  cuando se encuentra limitada a </w:t>
      </w:r>
      <w:proofErr w:type="spellStart"/>
      <w:r w:rsidR="001A4D2E" w:rsidRPr="0008581E">
        <w:rPr>
          <w:rFonts w:ascii="Arial" w:eastAsia="Calibri" w:hAnsi="Arial" w:cs="Arial"/>
          <w:sz w:val="21"/>
          <w:szCs w:val="21"/>
          <w:lang w:val="es-MX"/>
        </w:rPr>
        <w:t>mipymes</w:t>
      </w:r>
      <w:proofErr w:type="spellEnd"/>
      <w:r w:rsidR="001A4D2E">
        <w:rPr>
          <w:rFonts w:ascii="Arial" w:eastAsia="Calibri" w:hAnsi="Arial" w:cs="Arial"/>
          <w:sz w:val="21"/>
          <w:szCs w:val="21"/>
          <w:lang w:val="es-MX"/>
        </w:rPr>
        <w:t xml:space="preserve"> ”</w:t>
      </w:r>
      <w:r w:rsidR="001A4D2E" w:rsidRPr="0008581E">
        <w:rPr>
          <w:rFonts w:ascii="Arial" w:eastAsia="Calibri" w:hAnsi="Arial" w:cs="Arial"/>
          <w:sz w:val="21"/>
          <w:szCs w:val="21"/>
          <w:lang w:val="es-MX"/>
        </w:rPr>
        <w:t xml:space="preserve"> </w:t>
      </w:r>
      <w:r w:rsidR="001A4D2E">
        <w:rPr>
          <w:rFonts w:ascii="Arial" w:eastAsia="Calibri" w:hAnsi="Arial" w:cs="Arial"/>
          <w:sz w:val="21"/>
          <w:szCs w:val="21"/>
          <w:lang w:val="es-MX"/>
        </w:rPr>
        <w:t>(SIC)</w:t>
      </w:r>
    </w:p>
    <w:p w14:paraId="09886EA9" w14:textId="5EE30D6B" w:rsidR="0008581E" w:rsidRPr="0008581E" w:rsidRDefault="0008581E" w:rsidP="0008581E">
      <w:pPr>
        <w:spacing w:after="0" w:line="240" w:lineRule="auto"/>
        <w:ind w:left="709" w:right="709"/>
        <w:jc w:val="both"/>
        <w:rPr>
          <w:rFonts w:ascii="Arial" w:eastAsia="Calibri" w:hAnsi="Arial" w:cs="Arial"/>
          <w:sz w:val="21"/>
          <w:szCs w:val="21"/>
          <w:lang w:val="es-MX"/>
        </w:rPr>
      </w:pPr>
    </w:p>
    <w:p w14:paraId="5209EF15" w14:textId="77777777" w:rsidR="0008581E" w:rsidRPr="0008581E" w:rsidRDefault="0008581E" w:rsidP="0008581E">
      <w:pPr>
        <w:spacing w:after="0" w:line="276" w:lineRule="auto"/>
        <w:jc w:val="both"/>
        <w:rPr>
          <w:rFonts w:ascii="Arial" w:eastAsia="Times New Roman" w:hAnsi="Arial" w:cs="Arial"/>
          <w:color w:val="000000"/>
          <w:lang w:val="es-ES" w:eastAsia="es-MX"/>
        </w:rPr>
      </w:pPr>
    </w:p>
    <w:p w14:paraId="6225E07A" w14:textId="1F4E634D" w:rsidR="0008581E" w:rsidRPr="0008581E" w:rsidRDefault="0008581E" w:rsidP="0008581E">
      <w:pPr>
        <w:spacing w:before="120" w:after="120" w:line="276" w:lineRule="auto"/>
        <w:jc w:val="both"/>
        <w:rPr>
          <w:rFonts w:ascii="Arial" w:eastAsia="Times New Roman" w:hAnsi="Arial" w:cs="Arial"/>
          <w:color w:val="000000"/>
          <w:lang w:eastAsia="es-MX"/>
        </w:rPr>
      </w:pPr>
      <w:r w:rsidRPr="0008581E">
        <w:rPr>
          <w:rFonts w:ascii="Arial" w:eastAsia="Times New Roman" w:hAnsi="Arial" w:cs="Arial"/>
          <w:color w:val="000000"/>
          <w:lang w:eastAsia="es-MX"/>
        </w:rPr>
        <w:t xml:space="preserve">De acuerdo con las consideraciones, en el marco de la finalidad de la Ley de emprendimiento, </w:t>
      </w:r>
      <w:r w:rsidR="00ED77DB">
        <w:rPr>
          <w:rFonts w:ascii="Arial" w:eastAsia="Times New Roman" w:hAnsi="Arial" w:cs="Arial"/>
          <w:color w:val="000000"/>
          <w:lang w:eastAsia="es-MX"/>
        </w:rPr>
        <w:t>se</w:t>
      </w:r>
      <w:r w:rsidRPr="0008581E">
        <w:rPr>
          <w:rFonts w:ascii="Arial" w:eastAsia="Times New Roman" w:hAnsi="Arial" w:cs="Arial"/>
          <w:color w:val="000000"/>
          <w:lang w:eastAsia="es-MX"/>
        </w:rPr>
        <w:t xml:space="preserve"> decidió extender a las cooperativas y demás entidades de economía solidaria, el régimen jurídico de las convocatorias limitadas a las </w:t>
      </w:r>
      <w:proofErr w:type="spellStart"/>
      <w:r w:rsidRPr="0008581E">
        <w:rPr>
          <w:rFonts w:ascii="Arial" w:eastAsia="Times New Roman" w:hAnsi="Arial" w:cs="Arial"/>
          <w:color w:val="000000"/>
          <w:lang w:eastAsia="es-MX"/>
        </w:rPr>
        <w:t>Mipymes</w:t>
      </w:r>
      <w:proofErr w:type="spellEnd"/>
      <w:r w:rsidRPr="0008581E">
        <w:rPr>
          <w:rFonts w:ascii="Arial" w:eastAsia="Times New Roman" w:hAnsi="Arial" w:cs="Arial"/>
          <w:color w:val="000000"/>
          <w:lang w:eastAsia="es-MX"/>
        </w:rPr>
        <w:t xml:space="preserve">, siempre y cuando cumplan con las calidades de ser </w:t>
      </w:r>
      <w:proofErr w:type="spellStart"/>
      <w:r w:rsidRPr="0008581E">
        <w:rPr>
          <w:rFonts w:ascii="Arial" w:eastAsia="Times New Roman" w:hAnsi="Arial" w:cs="Arial"/>
          <w:color w:val="000000"/>
          <w:lang w:eastAsia="es-MX"/>
        </w:rPr>
        <w:t>Mipyme</w:t>
      </w:r>
      <w:proofErr w:type="spellEnd"/>
      <w:r w:rsidRPr="0008581E">
        <w:rPr>
          <w:rFonts w:ascii="Arial" w:eastAsia="Times New Roman" w:hAnsi="Arial" w:cs="Arial"/>
          <w:color w:val="000000"/>
          <w:lang w:eastAsia="es-MX"/>
        </w:rPr>
        <w:t xml:space="preserve">. En otras palabras, y con ocasión de su consulta, antes de la entrada en vigor de la Ley 2069 del 31 de diciembre de 2020 y del Decreto 1860 de 2021, que en su artículo 5 subrogó el artículo </w:t>
      </w:r>
      <w:r w:rsidRPr="0008581E">
        <w:rPr>
          <w:rFonts w:ascii="Arial" w:eastAsia="Calibri" w:hAnsi="Arial" w:cs="Arial"/>
          <w:color w:val="000000"/>
          <w:szCs w:val="24"/>
          <w:lang w:val="es-ES_tradnl" w:eastAsia="es-MX"/>
        </w:rPr>
        <w:t xml:space="preserve">2.2.1.2.4.2.2 del decreto 1082 de 2015, las entidades sin ánimo de lucro no podían </w:t>
      </w:r>
      <w:r w:rsidRPr="0008581E">
        <w:rPr>
          <w:rFonts w:ascii="Arial" w:eastAsia="Times New Roman" w:hAnsi="Arial" w:cs="Arial"/>
          <w:color w:val="000000"/>
          <w:lang w:eastAsia="es-MX"/>
        </w:rPr>
        <w:t xml:space="preserve">participar en las convocatorias limitadas a </w:t>
      </w:r>
      <w:proofErr w:type="spellStart"/>
      <w:r w:rsidRPr="0008581E">
        <w:rPr>
          <w:rFonts w:ascii="Arial" w:eastAsia="Times New Roman" w:hAnsi="Arial" w:cs="Arial"/>
          <w:color w:val="000000"/>
          <w:lang w:eastAsia="es-MX"/>
        </w:rPr>
        <w:t>Mipymes</w:t>
      </w:r>
      <w:proofErr w:type="spellEnd"/>
      <w:r w:rsidRPr="0008581E">
        <w:rPr>
          <w:rFonts w:ascii="Arial" w:eastAsia="Times New Roman" w:hAnsi="Arial" w:cs="Arial"/>
          <w:color w:val="000000"/>
          <w:lang w:eastAsia="es-MX"/>
        </w:rPr>
        <w:t xml:space="preserve">. Sin embargo, con ocasión del nuevo régimen normativo, como se explicó, desde la entrada en vigor del Decreto 1860 de 2021 las </w:t>
      </w:r>
      <w:r>
        <w:rPr>
          <w:rFonts w:ascii="Arial" w:eastAsia="Times New Roman" w:hAnsi="Arial" w:cs="Arial"/>
          <w:color w:val="000000"/>
          <w:lang w:eastAsia="es-MX"/>
        </w:rPr>
        <w:t>“</w:t>
      </w:r>
      <w:r w:rsidRPr="0008581E">
        <w:rPr>
          <w:rFonts w:ascii="Arial" w:eastAsia="Times New Roman" w:hAnsi="Arial" w:cs="Arial"/>
          <w:color w:val="000000"/>
          <w:lang w:eastAsia="es-MX"/>
        </w:rPr>
        <w:t>cooperativas y demás entidades de economía solidaria</w:t>
      </w:r>
      <w:r>
        <w:rPr>
          <w:rFonts w:ascii="Arial" w:eastAsia="Times New Roman" w:hAnsi="Arial" w:cs="Arial"/>
          <w:color w:val="000000"/>
          <w:lang w:eastAsia="es-MX"/>
        </w:rPr>
        <w:t>”</w:t>
      </w:r>
      <w:r w:rsidRPr="0008581E">
        <w:rPr>
          <w:rFonts w:ascii="Arial" w:eastAsia="Times New Roman" w:hAnsi="Arial" w:cs="Arial"/>
          <w:color w:val="000000"/>
          <w:lang w:eastAsia="es-MX"/>
        </w:rPr>
        <w:t xml:space="preserve"> pueden participar de las convocatorias limitadas dirigidas a las </w:t>
      </w:r>
      <w:proofErr w:type="spellStart"/>
      <w:r w:rsidRPr="0008581E">
        <w:rPr>
          <w:rFonts w:ascii="Arial" w:eastAsia="Times New Roman" w:hAnsi="Arial" w:cs="Arial"/>
          <w:color w:val="000000"/>
          <w:lang w:eastAsia="es-MX"/>
        </w:rPr>
        <w:t>Mipymes</w:t>
      </w:r>
      <w:proofErr w:type="spellEnd"/>
      <w:r w:rsidRPr="0008581E">
        <w:rPr>
          <w:rFonts w:ascii="Arial" w:eastAsia="Times New Roman" w:hAnsi="Arial" w:cs="Arial"/>
          <w:color w:val="000000"/>
          <w:lang w:eastAsia="es-MX"/>
        </w:rPr>
        <w:t xml:space="preserve">, siempre y cuando tengan la calidad de </w:t>
      </w:r>
      <w:proofErr w:type="spellStart"/>
      <w:r w:rsidRPr="0008581E">
        <w:rPr>
          <w:rFonts w:ascii="Arial" w:eastAsia="Times New Roman" w:hAnsi="Arial" w:cs="Arial"/>
          <w:color w:val="000000"/>
          <w:lang w:eastAsia="es-MX"/>
        </w:rPr>
        <w:t>Mipyme</w:t>
      </w:r>
      <w:proofErr w:type="spellEnd"/>
      <w:r w:rsidRPr="0008581E">
        <w:rPr>
          <w:rFonts w:ascii="Arial" w:eastAsia="Times New Roman" w:hAnsi="Arial" w:cs="Arial"/>
          <w:color w:val="000000"/>
          <w:lang w:eastAsia="es-MX"/>
        </w:rPr>
        <w:t>. Lo anterior, sin perjuicio de que deban cumplir con los demás requisitos del procedimiento de selección respectivo.</w:t>
      </w:r>
    </w:p>
    <w:p w14:paraId="62219F14" w14:textId="73D328C0" w:rsidR="0008581E" w:rsidRPr="0008581E" w:rsidRDefault="0008581E" w:rsidP="0008581E">
      <w:pPr>
        <w:spacing w:before="120" w:after="120" w:line="276" w:lineRule="auto"/>
        <w:jc w:val="both"/>
        <w:rPr>
          <w:rFonts w:ascii="Arial" w:eastAsia="Times New Roman" w:hAnsi="Arial" w:cs="Arial"/>
          <w:color w:val="000000"/>
          <w:lang w:eastAsia="es-MX"/>
        </w:rPr>
      </w:pPr>
      <w:r w:rsidRPr="0008581E">
        <w:rPr>
          <w:rFonts w:ascii="Arial" w:eastAsia="Times New Roman" w:hAnsi="Arial" w:cs="Arial"/>
          <w:color w:val="000000"/>
          <w:lang w:eastAsia="es-MX"/>
        </w:rPr>
        <w:tab/>
        <w:t xml:space="preserve">Además, se considera importante resaltar que el artículo 8 del Decreto 1860 de 2021, en relación con la vigencia y las derogatorias, indica que </w:t>
      </w:r>
      <w:r>
        <w:rPr>
          <w:rFonts w:ascii="Arial" w:eastAsia="Times New Roman" w:hAnsi="Arial" w:cs="Arial"/>
          <w:color w:val="000000"/>
          <w:lang w:eastAsia="es-MX"/>
        </w:rPr>
        <w:t>“</w:t>
      </w:r>
      <w:r w:rsidRPr="0008581E">
        <w:rPr>
          <w:rFonts w:ascii="Arial" w:eastAsia="Times New Roman" w:hAnsi="Arial" w:cs="Arial"/>
          <w:color w:val="000000"/>
          <w:lang w:eastAsia="es-MX"/>
        </w:rPr>
        <w:t xml:space="preserve">Las disposiciones contenidas en el presente Decreto se aplicarán a los procedimientos de selección cuya invitación, aviso de </w:t>
      </w:r>
      <w:r w:rsidRPr="0008581E">
        <w:rPr>
          <w:rFonts w:ascii="Arial" w:eastAsia="Times New Roman" w:hAnsi="Arial" w:cs="Arial"/>
          <w:color w:val="000000"/>
          <w:lang w:eastAsia="es-MX"/>
        </w:rPr>
        <w:lastRenderedPageBreak/>
        <w:t>convocatoria o documento equivalente se publique a los tres (3) meses contados a partir de su expedición. […]</w:t>
      </w:r>
      <w:r>
        <w:rPr>
          <w:rFonts w:ascii="Arial" w:eastAsia="Times New Roman" w:hAnsi="Arial" w:cs="Arial"/>
          <w:color w:val="000000"/>
          <w:lang w:eastAsia="es-MX"/>
        </w:rPr>
        <w:t>”</w:t>
      </w:r>
      <w:r w:rsidRPr="0008581E">
        <w:rPr>
          <w:rFonts w:ascii="Arial" w:eastAsia="Times New Roman" w:hAnsi="Arial" w:cs="Arial"/>
          <w:color w:val="000000"/>
          <w:lang w:eastAsia="es-MX"/>
        </w:rPr>
        <w:t>. Por lo tanto, las reglas allí contenidas empezaron a regir en los procesos contractuales cuya invitación o aviso de convocatoria se publique desde el 24 de marzo de 2022.</w:t>
      </w:r>
    </w:p>
    <w:p w14:paraId="3EE0BEA6" w14:textId="77777777" w:rsidR="0008581E" w:rsidRDefault="0008581E" w:rsidP="0008581E">
      <w:pPr>
        <w:spacing w:before="120" w:after="120" w:line="276" w:lineRule="auto"/>
        <w:ind w:firstLine="708"/>
        <w:jc w:val="both"/>
        <w:rPr>
          <w:rFonts w:ascii="Arial" w:eastAsia="Calibri" w:hAnsi="Arial" w:cs="Arial"/>
          <w:color w:val="000000"/>
          <w:lang w:val="es-ES_tradnl" w:eastAsia="es-MX"/>
        </w:rPr>
      </w:pPr>
      <w:r w:rsidRPr="0008581E">
        <w:rPr>
          <w:rFonts w:ascii="Arial" w:eastAsia="Times New Roman" w:hAnsi="Arial" w:cs="Arial"/>
          <w:color w:val="000000"/>
          <w:lang w:eastAsia="es-MX"/>
        </w:rPr>
        <w:t xml:space="preserve">En armonía con lo anterior, con la finalidad de profundizar en la respuesta al planteamiento realizado, también es importante mencionar el artículo </w:t>
      </w:r>
      <w:r w:rsidRPr="0008581E">
        <w:rPr>
          <w:rFonts w:ascii="Arial" w:eastAsia="Calibri" w:hAnsi="Arial" w:cs="Arial"/>
          <w:color w:val="000000"/>
          <w:lang w:val="es-ES_tradnl" w:eastAsia="es-MX"/>
        </w:rPr>
        <w:t xml:space="preserve">23 de la Ley 2069 de 2020, que para efectos de la aplicación de dicha ley, asimila a las cooperativas y a las demás entidades de economía solidaria a empresas, disponiendo además que estas deberán ser clasificadas como </w:t>
      </w:r>
      <w:proofErr w:type="spellStart"/>
      <w:r w:rsidRPr="0008581E">
        <w:rPr>
          <w:rFonts w:ascii="Arial" w:eastAsia="Calibri" w:hAnsi="Arial" w:cs="Arial"/>
          <w:color w:val="000000"/>
          <w:lang w:val="es-ES_tradnl" w:eastAsia="es-MX"/>
        </w:rPr>
        <w:t>Mipymes</w:t>
      </w:r>
      <w:proofErr w:type="spellEnd"/>
      <w:r w:rsidRPr="0008581E">
        <w:rPr>
          <w:rFonts w:ascii="Arial" w:eastAsia="Calibri" w:hAnsi="Arial" w:cs="Arial"/>
          <w:color w:val="000000"/>
          <w:lang w:val="es-ES_tradnl" w:eastAsia="es-MX"/>
        </w:rPr>
        <w:t xml:space="preserve"> de conformidad con el artículo 2 de la Ley 590 de 2000 y el Decreto 957 de 2019, los cuales desarrollan la clasificación en las categorías de micro, pequeña y mediana empresa en función del tamaño empresarial</w:t>
      </w:r>
      <w:r w:rsidRPr="0008581E">
        <w:rPr>
          <w:rFonts w:ascii="Arial" w:eastAsia="Calibri" w:hAnsi="Arial" w:cs="Arial"/>
          <w:color w:val="000000"/>
          <w:vertAlign w:val="superscript"/>
          <w:lang w:val="es-ES_tradnl" w:eastAsia="es-MX"/>
        </w:rPr>
        <w:footnoteReference w:id="9"/>
      </w:r>
      <w:r w:rsidRPr="0008581E">
        <w:rPr>
          <w:rFonts w:ascii="Arial" w:eastAsia="Calibri" w:hAnsi="Arial" w:cs="Arial"/>
          <w:color w:val="000000"/>
          <w:lang w:val="es-ES_tradnl" w:eastAsia="es-MX"/>
        </w:rPr>
        <w:t xml:space="preserve">. El principal efecto de esta norma consiste en </w:t>
      </w:r>
      <w:proofErr w:type="gramStart"/>
      <w:r w:rsidRPr="0008581E">
        <w:rPr>
          <w:rFonts w:ascii="Arial" w:eastAsia="Calibri" w:hAnsi="Arial" w:cs="Arial"/>
          <w:color w:val="000000"/>
          <w:lang w:val="es-ES_tradnl" w:eastAsia="es-MX"/>
        </w:rPr>
        <w:t>que</w:t>
      </w:r>
      <w:proofErr w:type="gramEnd"/>
      <w:r w:rsidRPr="0008581E">
        <w:rPr>
          <w:rFonts w:ascii="Arial" w:eastAsia="Calibri" w:hAnsi="Arial" w:cs="Arial"/>
          <w:color w:val="000000"/>
          <w:lang w:val="es-ES_tradnl" w:eastAsia="es-MX"/>
        </w:rPr>
        <w:t xml:space="preserve"> a las cooperativas y a las demás entidades de economía solidaria, al poder ser consideradas como </w:t>
      </w:r>
      <w:proofErr w:type="spellStart"/>
      <w:r w:rsidRPr="0008581E">
        <w:rPr>
          <w:rFonts w:ascii="Arial" w:eastAsia="Calibri" w:hAnsi="Arial" w:cs="Arial"/>
          <w:color w:val="000000"/>
          <w:lang w:val="es-ES_tradnl" w:eastAsia="es-MX"/>
        </w:rPr>
        <w:t>Mipymes</w:t>
      </w:r>
      <w:proofErr w:type="spellEnd"/>
      <w:r w:rsidRPr="0008581E">
        <w:rPr>
          <w:rFonts w:ascii="Arial" w:eastAsia="Calibri" w:hAnsi="Arial" w:cs="Arial"/>
          <w:color w:val="000000"/>
          <w:lang w:val="es-ES_tradnl" w:eastAsia="es-MX"/>
        </w:rPr>
        <w:t>, les son aplicables las disposiciones alusivas a estas contenidas en la Ley 2069 de 2020.</w:t>
      </w:r>
    </w:p>
    <w:p w14:paraId="45575B80" w14:textId="77777777" w:rsidR="007C1C1E" w:rsidRPr="0008581E" w:rsidRDefault="007C1C1E" w:rsidP="0008581E">
      <w:pPr>
        <w:spacing w:before="120" w:after="120" w:line="276" w:lineRule="auto"/>
        <w:ind w:firstLine="708"/>
        <w:jc w:val="both"/>
        <w:rPr>
          <w:rFonts w:ascii="Arial" w:eastAsia="Calibri" w:hAnsi="Arial" w:cs="Arial"/>
          <w:color w:val="000000"/>
          <w:lang w:val="es-ES_tradnl" w:eastAsia="es-MX"/>
        </w:rPr>
      </w:pPr>
    </w:p>
    <w:p w14:paraId="1B60BCAC" w14:textId="3BBEA202" w:rsidR="0008581E" w:rsidRDefault="007C1C1E" w:rsidP="0008581E">
      <w:pPr>
        <w:spacing w:after="0" w:line="276" w:lineRule="auto"/>
        <w:jc w:val="both"/>
        <w:rPr>
          <w:rFonts w:ascii="Arial" w:eastAsia="Times New Roman" w:hAnsi="Arial" w:cs="Arial"/>
          <w:color w:val="000000"/>
          <w:lang w:val="es-ES_tradnl" w:eastAsia="es-CO"/>
        </w:rPr>
      </w:pPr>
      <w:r w:rsidRPr="007C1C1E">
        <w:rPr>
          <w:rFonts w:ascii="Arial" w:eastAsia="Times New Roman" w:hAnsi="Arial" w:cs="Arial"/>
          <w:color w:val="000000"/>
          <w:lang w:val="es-ES_tradnl" w:eastAsia="es-CO"/>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71C691D" w14:textId="77777777" w:rsidR="007C1C1E" w:rsidRPr="0008581E" w:rsidRDefault="007C1C1E" w:rsidP="0008581E">
      <w:pPr>
        <w:spacing w:after="0" w:line="276" w:lineRule="auto"/>
        <w:jc w:val="both"/>
        <w:rPr>
          <w:rFonts w:ascii="Arial" w:eastAsia="Times New Roman" w:hAnsi="Arial" w:cs="Arial"/>
          <w:color w:val="000000"/>
          <w:lang w:val="es-ES_tradnl" w:eastAsia="es-CO"/>
        </w:rPr>
      </w:pPr>
    </w:p>
    <w:p w14:paraId="6932CD9A" w14:textId="77777777" w:rsidR="0008581E" w:rsidRPr="0008581E" w:rsidRDefault="0008581E" w:rsidP="0008581E">
      <w:pPr>
        <w:spacing w:after="0" w:line="276" w:lineRule="auto"/>
        <w:jc w:val="both"/>
        <w:rPr>
          <w:rFonts w:ascii="Arial" w:eastAsia="Times New Roman" w:hAnsi="Arial" w:cs="Arial"/>
          <w:color w:val="000000"/>
          <w:lang w:val="es-ES_tradnl" w:eastAsia="es-CO"/>
        </w:rPr>
      </w:pPr>
      <w:r w:rsidRPr="0008581E">
        <w:rPr>
          <w:rFonts w:ascii="Arial" w:eastAsia="Times New Roman" w:hAnsi="Arial" w:cs="Arial"/>
          <w:color w:val="000000"/>
          <w:lang w:val="es-ES_tradnl" w:eastAsia="es-CO"/>
        </w:rPr>
        <w:t>Atentamente,</w:t>
      </w:r>
    </w:p>
    <w:p w14:paraId="5D0672D9" w14:textId="50EE8D1F" w:rsidR="0008581E" w:rsidRPr="0008581E" w:rsidRDefault="00F80ADD" w:rsidP="0008581E">
      <w:pPr>
        <w:spacing w:after="0" w:line="240" w:lineRule="auto"/>
        <w:jc w:val="center"/>
        <w:rPr>
          <w:rFonts w:ascii="Arial" w:eastAsia="Times New Roman" w:hAnsi="Arial" w:cs="Arial"/>
          <w:sz w:val="18"/>
          <w:szCs w:val="20"/>
          <w:lang w:val="es-ES" w:eastAsia="es-CO"/>
        </w:rPr>
      </w:pPr>
      <w:r w:rsidRPr="00F80ADD">
        <w:rPr>
          <w:rFonts w:ascii="Calibri" w:eastAsia="Calibri" w:hAnsi="Calibri" w:cs="Times New Roman"/>
          <w:noProof/>
          <w:lang w:val="es-ES"/>
        </w:rPr>
        <w:drawing>
          <wp:inline distT="0" distB="0" distL="0" distR="0" wp14:anchorId="6AA8BB8C" wp14:editId="662FC92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5B70C9DE" w14:textId="77777777" w:rsidR="0008581E" w:rsidRPr="0008581E" w:rsidRDefault="0008581E" w:rsidP="0008581E">
      <w:pPr>
        <w:spacing w:after="0" w:line="240" w:lineRule="auto"/>
        <w:jc w:val="center"/>
        <w:rPr>
          <w:rFonts w:ascii="Arial" w:eastAsia="Times New Roman" w:hAnsi="Arial" w:cs="Arial"/>
          <w:sz w:val="18"/>
          <w:szCs w:val="20"/>
          <w:lang w:val="es-ES" w:eastAsia="es-CO"/>
        </w:rPr>
      </w:pPr>
    </w:p>
    <w:tbl>
      <w:tblPr>
        <w:tblStyle w:val="Tablaconcuadrcula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8581E" w:rsidRPr="0008581E" w14:paraId="1DB2CD07" w14:textId="77777777" w:rsidTr="00B36FEB">
        <w:trPr>
          <w:trHeight w:val="315"/>
        </w:trPr>
        <w:tc>
          <w:tcPr>
            <w:tcW w:w="812" w:type="dxa"/>
            <w:vAlign w:val="center"/>
            <w:hideMark/>
          </w:tcPr>
          <w:p w14:paraId="10FD3E17" w14:textId="77777777" w:rsidR="0008581E" w:rsidRPr="0008581E" w:rsidRDefault="0008581E" w:rsidP="0008581E">
            <w:pPr>
              <w:spacing w:line="276" w:lineRule="auto"/>
              <w:rPr>
                <w:rFonts w:ascii="Arial" w:eastAsia="Times New Roman" w:hAnsi="Arial" w:cs="Arial"/>
                <w:sz w:val="16"/>
                <w:szCs w:val="16"/>
                <w:lang w:eastAsia="es-ES"/>
              </w:rPr>
            </w:pPr>
            <w:r w:rsidRPr="0008581E">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5E43B62B" w14:textId="77777777" w:rsidR="0008581E" w:rsidRPr="0008581E" w:rsidRDefault="0008581E" w:rsidP="0008581E">
            <w:pPr>
              <w:rPr>
                <w:rFonts w:ascii="Arial" w:eastAsia="Calibri" w:hAnsi="Arial" w:cs="Arial"/>
                <w:sz w:val="16"/>
                <w:szCs w:val="16"/>
                <w:lang w:val="es-ES_tradnl" w:eastAsia="es-ES"/>
              </w:rPr>
            </w:pPr>
            <w:r w:rsidRPr="0008581E">
              <w:rPr>
                <w:rFonts w:ascii="Arial" w:eastAsia="Calibri" w:hAnsi="Arial" w:cs="Arial"/>
                <w:sz w:val="16"/>
                <w:szCs w:val="16"/>
                <w:lang w:val="es-ES_tradnl" w:eastAsia="es-ES"/>
              </w:rPr>
              <w:t>Gabriel Alejandro Murcia Taboada</w:t>
            </w:r>
          </w:p>
          <w:p w14:paraId="66B08A34" w14:textId="77777777" w:rsidR="0008581E" w:rsidRPr="0008581E" w:rsidRDefault="0008581E" w:rsidP="0008581E">
            <w:pPr>
              <w:spacing w:line="276" w:lineRule="auto"/>
              <w:rPr>
                <w:rFonts w:ascii="Arial" w:eastAsia="Times New Roman" w:hAnsi="Arial" w:cs="Arial"/>
                <w:sz w:val="16"/>
                <w:szCs w:val="16"/>
                <w:lang w:eastAsia="es-ES"/>
              </w:rPr>
            </w:pPr>
            <w:r w:rsidRPr="0008581E">
              <w:rPr>
                <w:rFonts w:ascii="Arial" w:eastAsia="Calibri" w:hAnsi="Arial" w:cs="Arial"/>
                <w:sz w:val="16"/>
                <w:szCs w:val="16"/>
                <w:lang w:val="es-ES_tradnl" w:eastAsia="es-ES"/>
              </w:rPr>
              <w:t>Contratista de la Subdirección de Gestión Contractual</w:t>
            </w:r>
          </w:p>
        </w:tc>
      </w:tr>
      <w:tr w:rsidR="0008581E" w:rsidRPr="0008581E" w14:paraId="36E7553C" w14:textId="77777777" w:rsidTr="00B36FEB">
        <w:trPr>
          <w:trHeight w:val="330"/>
        </w:trPr>
        <w:tc>
          <w:tcPr>
            <w:tcW w:w="812" w:type="dxa"/>
            <w:vAlign w:val="center"/>
            <w:hideMark/>
          </w:tcPr>
          <w:p w14:paraId="6F703ABD" w14:textId="77777777" w:rsidR="0008581E" w:rsidRPr="0008581E" w:rsidRDefault="0008581E" w:rsidP="0008581E">
            <w:pPr>
              <w:spacing w:line="276" w:lineRule="auto"/>
              <w:rPr>
                <w:rFonts w:ascii="Arial" w:eastAsia="Times New Roman" w:hAnsi="Arial" w:cs="Arial"/>
                <w:sz w:val="16"/>
                <w:szCs w:val="16"/>
                <w:lang w:eastAsia="es-ES"/>
              </w:rPr>
            </w:pPr>
            <w:r w:rsidRPr="0008581E">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3F8A6384" w14:textId="77777777" w:rsidR="0008581E" w:rsidRPr="0008581E" w:rsidRDefault="0008581E" w:rsidP="0008581E">
            <w:pPr>
              <w:rPr>
                <w:rFonts w:ascii="Arial" w:eastAsia="Times New Roman" w:hAnsi="Arial" w:cs="Arial"/>
                <w:color w:val="000000"/>
                <w:sz w:val="16"/>
                <w:szCs w:val="16"/>
                <w:lang w:val="es-ES" w:eastAsia="es-ES"/>
              </w:rPr>
            </w:pPr>
            <w:r w:rsidRPr="0008581E">
              <w:rPr>
                <w:rFonts w:ascii="Arial" w:eastAsia="Times New Roman" w:hAnsi="Arial" w:cs="Arial"/>
                <w:color w:val="000000"/>
                <w:sz w:val="16"/>
                <w:szCs w:val="16"/>
                <w:lang w:val="es-ES" w:eastAsia="es-ES"/>
              </w:rPr>
              <w:t>Juan David Cárdenas Cabeza</w:t>
            </w:r>
          </w:p>
          <w:p w14:paraId="3B18865C" w14:textId="77777777" w:rsidR="0008581E" w:rsidRPr="0008581E" w:rsidRDefault="0008581E" w:rsidP="0008581E">
            <w:pPr>
              <w:rPr>
                <w:rFonts w:ascii="Arial" w:eastAsia="Times New Roman" w:hAnsi="Arial" w:cs="Arial"/>
                <w:color w:val="000000"/>
                <w:sz w:val="16"/>
                <w:szCs w:val="16"/>
                <w:lang w:val="es-ES" w:eastAsia="es-ES"/>
              </w:rPr>
            </w:pPr>
            <w:r w:rsidRPr="0008581E">
              <w:rPr>
                <w:rFonts w:ascii="Arial" w:eastAsia="Times New Roman" w:hAnsi="Arial" w:cs="Arial"/>
                <w:color w:val="000000"/>
                <w:sz w:val="16"/>
                <w:szCs w:val="16"/>
                <w:lang w:val="es-ES" w:eastAsia="es-ES"/>
              </w:rPr>
              <w:t xml:space="preserve">Contratista de la Subdirección de Gestión Contractual  </w:t>
            </w:r>
          </w:p>
        </w:tc>
      </w:tr>
      <w:tr w:rsidR="0008581E" w:rsidRPr="0008581E" w14:paraId="760C3207" w14:textId="77777777" w:rsidTr="00B36FEB">
        <w:trPr>
          <w:trHeight w:val="300"/>
        </w:trPr>
        <w:tc>
          <w:tcPr>
            <w:tcW w:w="812" w:type="dxa"/>
            <w:vAlign w:val="center"/>
            <w:hideMark/>
          </w:tcPr>
          <w:p w14:paraId="63BDA228" w14:textId="77777777" w:rsidR="0008581E" w:rsidRPr="0008581E" w:rsidRDefault="0008581E" w:rsidP="0008581E">
            <w:pPr>
              <w:spacing w:line="276" w:lineRule="auto"/>
              <w:rPr>
                <w:rFonts w:ascii="Arial" w:eastAsia="Times New Roman" w:hAnsi="Arial" w:cs="Arial"/>
                <w:sz w:val="16"/>
                <w:szCs w:val="16"/>
                <w:lang w:eastAsia="es-ES"/>
              </w:rPr>
            </w:pPr>
            <w:r w:rsidRPr="0008581E">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7D02BDAE" w14:textId="77777777" w:rsidR="0008581E" w:rsidRPr="0008581E" w:rsidRDefault="0008581E" w:rsidP="0008581E">
            <w:pPr>
              <w:spacing w:line="276" w:lineRule="auto"/>
              <w:rPr>
                <w:rFonts w:ascii="Arial" w:eastAsia="Calibri" w:hAnsi="Arial" w:cs="Arial"/>
                <w:sz w:val="16"/>
                <w:szCs w:val="16"/>
                <w:lang w:val="es-ES_tradnl" w:eastAsia="es-ES"/>
              </w:rPr>
            </w:pPr>
            <w:r w:rsidRPr="0008581E">
              <w:rPr>
                <w:rFonts w:ascii="Arial" w:eastAsia="Calibri" w:hAnsi="Arial" w:cs="Arial"/>
                <w:sz w:val="16"/>
                <w:szCs w:val="16"/>
                <w:lang w:val="es-ES_tradnl" w:eastAsia="es-ES"/>
              </w:rPr>
              <w:t>Nohelia del Carmen Zawady Palacio</w:t>
            </w:r>
          </w:p>
          <w:p w14:paraId="6D33C4A7" w14:textId="77777777" w:rsidR="0008581E" w:rsidRPr="0008581E" w:rsidRDefault="0008581E" w:rsidP="0008581E">
            <w:pPr>
              <w:spacing w:line="276" w:lineRule="auto"/>
              <w:rPr>
                <w:rFonts w:ascii="Arial" w:eastAsia="Times New Roman" w:hAnsi="Arial" w:cs="Arial"/>
                <w:sz w:val="16"/>
                <w:szCs w:val="16"/>
                <w:lang w:eastAsia="es-ES"/>
              </w:rPr>
            </w:pPr>
            <w:r w:rsidRPr="0008581E">
              <w:rPr>
                <w:rFonts w:ascii="Arial" w:eastAsia="Calibri" w:hAnsi="Arial" w:cs="Arial"/>
                <w:sz w:val="16"/>
                <w:szCs w:val="16"/>
                <w:lang w:val="es-ES_tradnl" w:eastAsia="es-ES"/>
              </w:rPr>
              <w:t>Subdirectora de Gestión Contractual</w:t>
            </w:r>
          </w:p>
        </w:tc>
      </w:tr>
    </w:tbl>
    <w:p w14:paraId="4CE81E05" w14:textId="77777777" w:rsidR="0008581E" w:rsidRPr="0008581E" w:rsidRDefault="0008581E" w:rsidP="0008581E">
      <w:pPr>
        <w:spacing w:after="0" w:line="240" w:lineRule="auto"/>
        <w:rPr>
          <w:rFonts w:ascii="Times New Roman" w:eastAsia="Times New Roman" w:hAnsi="Times New Roman" w:cs="Times New Roman"/>
          <w:sz w:val="24"/>
          <w:szCs w:val="24"/>
          <w:lang w:eastAsia="es-MX"/>
        </w:rPr>
      </w:pPr>
    </w:p>
    <w:p w14:paraId="53B7FE2E" w14:textId="77777777" w:rsidR="009E750A" w:rsidRPr="0008581E" w:rsidRDefault="009E750A" w:rsidP="0008581E"/>
    <w:sectPr w:rsidR="009E750A" w:rsidRPr="0008581E" w:rsidSect="0039439C">
      <w:headerReference w:type="default" r:id="rId12"/>
      <w:footerReference w:type="default" r:id="rId13"/>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BD38" w14:textId="77777777" w:rsidR="001402BD" w:rsidRDefault="001402BD" w:rsidP="00325C2F">
      <w:pPr>
        <w:spacing w:after="0" w:line="240" w:lineRule="auto"/>
      </w:pPr>
      <w:r>
        <w:separator/>
      </w:r>
    </w:p>
  </w:endnote>
  <w:endnote w:type="continuationSeparator" w:id="0">
    <w:p w14:paraId="685CCCF9" w14:textId="77777777" w:rsidR="001402BD" w:rsidRDefault="001402BD" w:rsidP="0032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FD4" w14:textId="77777777" w:rsidR="004A1847" w:rsidRDefault="00325C2F" w:rsidP="008614E5">
    <w:pPr>
      <w:pStyle w:val="Piedepgina"/>
    </w:pPr>
    <w:r>
      <w:rPr>
        <w:noProof/>
      </w:rPr>
      <w:drawing>
        <wp:inline distT="0" distB="0" distL="0" distR="0" wp14:anchorId="597E83DD" wp14:editId="65959CFC">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08581E" w:rsidRPr="00080DA3" w14:paraId="65A3E0BB" w14:textId="77777777" w:rsidTr="0008581E">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24C9FC6D"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3E5B537"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6D6D6D"/>
            <w:left w:val="dotted" w:sz="4" w:space="0" w:color="6D6D6D"/>
            <w:bottom w:val="dotted" w:sz="4" w:space="0" w:color="6D6D6D"/>
          </w:tcBorders>
          <w:shd w:val="clear" w:color="auto" w:fill="auto"/>
        </w:tcPr>
        <w:p w14:paraId="4E65F418"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385212F6" w14:textId="77777777" w:rsidR="006219F8" w:rsidRPr="004B6B0E" w:rsidRDefault="00325C2F"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left w:val="dotted" w:sz="4" w:space="0" w:color="6D6D6D"/>
            <w:bottom w:val="dotted" w:sz="4" w:space="0" w:color="6D6D6D"/>
          </w:tcBorders>
          <w:shd w:val="clear" w:color="auto" w:fill="auto"/>
        </w:tcPr>
        <w:p w14:paraId="3FAE43D4"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1B6CFB67" w14:textId="77777777" w:rsidR="00A07532" w:rsidRPr="00080DA3" w:rsidRDefault="00325C2F"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3EF55AA9" w14:textId="77777777" w:rsidR="006219F8" w:rsidRPr="00080DA3" w:rsidRDefault="00325C2F"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5AF14FE2" w14:textId="77777777" w:rsidR="006219F8" w:rsidRDefault="00000000"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D808" w14:textId="77777777" w:rsidR="001402BD" w:rsidRDefault="001402BD" w:rsidP="00325C2F">
      <w:pPr>
        <w:spacing w:after="0" w:line="240" w:lineRule="auto"/>
      </w:pPr>
      <w:r>
        <w:separator/>
      </w:r>
    </w:p>
  </w:footnote>
  <w:footnote w:type="continuationSeparator" w:id="0">
    <w:p w14:paraId="508702C9" w14:textId="77777777" w:rsidR="001402BD" w:rsidRDefault="001402BD" w:rsidP="00325C2F">
      <w:pPr>
        <w:spacing w:after="0" w:line="240" w:lineRule="auto"/>
      </w:pPr>
      <w:r>
        <w:continuationSeparator/>
      </w:r>
    </w:p>
  </w:footnote>
  <w:footnote w:id="1">
    <w:p w14:paraId="02CF8C50" w14:textId="439D9134" w:rsidR="0008581E" w:rsidRPr="0008581E" w:rsidRDefault="0008581E" w:rsidP="0008581E">
      <w:pPr>
        <w:pStyle w:val="Textonotapie"/>
        <w:ind w:firstLine="708"/>
        <w:jc w:val="both"/>
        <w:rPr>
          <w:rFonts w:ascii="Arial" w:hAnsi="Arial" w:cs="Arial"/>
          <w:color w:val="000000"/>
          <w:sz w:val="19"/>
          <w:szCs w:val="19"/>
          <w:lang w:val="es-ES"/>
        </w:rPr>
      </w:pPr>
      <w:r w:rsidRPr="0008581E">
        <w:rPr>
          <w:rStyle w:val="Refdenotaalpie"/>
          <w:rFonts w:ascii="Arial" w:hAnsi="Arial" w:cs="Arial"/>
          <w:color w:val="000000"/>
          <w:sz w:val="19"/>
          <w:szCs w:val="19"/>
        </w:rPr>
        <w:footnoteRef/>
      </w:r>
      <w:r w:rsidRPr="0008581E">
        <w:rPr>
          <w:rFonts w:ascii="Arial" w:hAnsi="Arial" w:cs="Arial"/>
          <w:color w:val="000000"/>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8581E">
        <w:rPr>
          <w:rFonts w:ascii="Arial" w:hAnsi="Arial" w:cs="Arial"/>
          <w:i/>
          <w:iCs/>
          <w:color w:val="000000"/>
          <w:sz w:val="19"/>
          <w:szCs w:val="19"/>
        </w:rPr>
        <w:t xml:space="preserve">ibidem </w:t>
      </w:r>
      <w:r w:rsidRPr="0008581E">
        <w:rPr>
          <w:rFonts w:ascii="Arial" w:hAnsi="Arial" w:cs="Arial"/>
          <w:color w:val="000000"/>
          <w:sz w:val="19"/>
          <w:szCs w:val="19"/>
        </w:rPr>
        <w:t xml:space="preserve">señala, de manera precisa, las funciones de Colombia Compra Eficiente. Concretamente, el numeral 5º de este artículo establece que le corresponde a esta entidad: </w:t>
      </w:r>
      <w:r>
        <w:rPr>
          <w:rFonts w:ascii="Arial" w:hAnsi="Arial" w:cs="Arial"/>
          <w:color w:val="000000"/>
          <w:sz w:val="19"/>
          <w:szCs w:val="19"/>
        </w:rPr>
        <w:t>“</w:t>
      </w:r>
      <w:r w:rsidRPr="0008581E">
        <w:rPr>
          <w:rFonts w:ascii="Arial" w:hAnsi="Arial" w:cs="Arial"/>
          <w:color w:val="000000"/>
          <w:sz w:val="19"/>
          <w:szCs w:val="19"/>
        </w:rPr>
        <w:t>[a]</w:t>
      </w:r>
      <w:proofErr w:type="spellStart"/>
      <w:r w:rsidRPr="0008581E">
        <w:rPr>
          <w:rFonts w:ascii="Arial" w:hAnsi="Arial" w:cs="Arial"/>
          <w:color w:val="000000"/>
          <w:sz w:val="19"/>
          <w:szCs w:val="19"/>
        </w:rPr>
        <w:t>bsolver</w:t>
      </w:r>
      <w:proofErr w:type="spellEnd"/>
      <w:r w:rsidRPr="0008581E">
        <w:rPr>
          <w:rFonts w:ascii="Arial" w:hAnsi="Arial" w:cs="Arial"/>
          <w:color w:val="000000"/>
          <w:sz w:val="19"/>
          <w:szCs w:val="19"/>
        </w:rPr>
        <w:t xml:space="preserve"> consultas sobre la aplicación de normas de carácter general y expedir circulares externas en materia de compras y contratación pública</w:t>
      </w:r>
      <w:r>
        <w:rPr>
          <w:rFonts w:ascii="Arial" w:hAnsi="Arial" w:cs="Arial"/>
          <w:color w:val="000000"/>
          <w:sz w:val="19"/>
          <w:szCs w:val="19"/>
        </w:rPr>
        <w:t>”</w:t>
      </w:r>
      <w:r w:rsidRPr="0008581E">
        <w:rPr>
          <w:rFonts w:ascii="Arial" w:hAnsi="Arial" w:cs="Arial"/>
          <w:color w:val="000000"/>
          <w:sz w:val="19"/>
          <w:szCs w:val="19"/>
        </w:rPr>
        <w:t xml:space="preserve">. Seguidamente, el numeral 8º del artículo 11 ibidem señala que es función de la Subdirección de Gestión Contractual: </w:t>
      </w:r>
      <w:r>
        <w:rPr>
          <w:rFonts w:ascii="Arial" w:hAnsi="Arial" w:cs="Arial"/>
          <w:color w:val="000000"/>
          <w:sz w:val="19"/>
          <w:szCs w:val="19"/>
        </w:rPr>
        <w:t>“</w:t>
      </w:r>
      <w:r w:rsidRPr="0008581E">
        <w:rPr>
          <w:rFonts w:ascii="Arial" w:hAnsi="Arial" w:cs="Arial"/>
          <w:color w:val="000000"/>
          <w:sz w:val="19"/>
          <w:szCs w:val="19"/>
        </w:rPr>
        <w:t>[a]</w:t>
      </w:r>
      <w:proofErr w:type="spellStart"/>
      <w:r w:rsidRPr="0008581E">
        <w:rPr>
          <w:rFonts w:ascii="Arial" w:hAnsi="Arial" w:cs="Arial"/>
          <w:color w:val="000000"/>
          <w:sz w:val="19"/>
          <w:szCs w:val="19"/>
        </w:rPr>
        <w:t>bsolver</w:t>
      </w:r>
      <w:proofErr w:type="spellEnd"/>
      <w:r w:rsidRPr="0008581E">
        <w:rPr>
          <w:rFonts w:ascii="Arial" w:hAnsi="Arial" w:cs="Arial"/>
          <w:color w:val="000000"/>
          <w:sz w:val="19"/>
          <w:szCs w:val="19"/>
        </w:rPr>
        <w:t xml:space="preserve"> consultas sobre la aplicación de normas de carácter general</w:t>
      </w:r>
      <w:r>
        <w:rPr>
          <w:rFonts w:ascii="Arial" w:hAnsi="Arial" w:cs="Arial"/>
          <w:color w:val="000000"/>
          <w:sz w:val="19"/>
          <w:szCs w:val="19"/>
        </w:rPr>
        <w:t>”</w:t>
      </w:r>
      <w:r w:rsidRPr="0008581E">
        <w:rPr>
          <w:rFonts w:ascii="Arial" w:hAnsi="Arial" w:cs="Arial"/>
          <w:color w:val="000000"/>
          <w:sz w:val="19"/>
          <w:szCs w:val="19"/>
        </w:rPr>
        <w:t>.</w:t>
      </w:r>
    </w:p>
  </w:footnote>
  <w:footnote w:id="2">
    <w:p w14:paraId="6F468A10" w14:textId="410F16B4" w:rsidR="0008581E" w:rsidRPr="00BD4E32" w:rsidRDefault="0008581E" w:rsidP="0008581E">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002B8014" w14:textId="755B7EEC" w:rsidR="0008581E" w:rsidRDefault="0008581E" w:rsidP="0008581E">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 xml:space="preserve">Dicho marco delineará un enfoque regionalizado </w:t>
      </w:r>
      <w:proofErr w:type="gramStart"/>
      <w:r w:rsidRPr="00BD4E32">
        <w:rPr>
          <w:rFonts w:ascii="Arial" w:hAnsi="Arial" w:cs="Arial"/>
          <w:sz w:val="19"/>
          <w:szCs w:val="19"/>
        </w:rPr>
        <w:t>de acuerdo a</w:t>
      </w:r>
      <w:proofErr w:type="gramEnd"/>
      <w:r w:rsidRPr="00BD4E32">
        <w:rPr>
          <w:rFonts w:ascii="Arial" w:hAnsi="Arial" w:cs="Arial"/>
          <w:sz w:val="19"/>
          <w:szCs w:val="19"/>
        </w:rPr>
        <w:t xml:space="preserve"> las realidades socioeconómicos de cada región</w:t>
      </w:r>
      <w:r>
        <w:rPr>
          <w:rFonts w:ascii="Arial" w:hAnsi="Arial" w:cs="Arial"/>
          <w:sz w:val="19"/>
          <w:szCs w:val="19"/>
        </w:rPr>
        <w:t>”</w:t>
      </w:r>
      <w:r w:rsidRPr="00BD4E32">
        <w:rPr>
          <w:rFonts w:ascii="Arial" w:hAnsi="Arial" w:cs="Arial"/>
          <w:sz w:val="19"/>
          <w:szCs w:val="19"/>
        </w:rPr>
        <w:t>.</w:t>
      </w:r>
    </w:p>
    <w:p w14:paraId="1FDD37D7" w14:textId="77777777" w:rsidR="0008581E" w:rsidRPr="00BD4E32" w:rsidRDefault="0008581E" w:rsidP="0008581E">
      <w:pPr>
        <w:pStyle w:val="Textonotapie"/>
        <w:ind w:firstLine="708"/>
        <w:jc w:val="both"/>
        <w:rPr>
          <w:rFonts w:ascii="Arial" w:hAnsi="Arial" w:cs="Arial"/>
          <w:sz w:val="19"/>
          <w:szCs w:val="19"/>
          <w:lang w:val="es-ES"/>
        </w:rPr>
      </w:pPr>
    </w:p>
  </w:footnote>
  <w:footnote w:id="3">
    <w:p w14:paraId="04B3EBE8" w14:textId="3872D2B1" w:rsidR="0008581E" w:rsidRPr="00F52D84" w:rsidRDefault="0008581E" w:rsidP="0008581E">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1"/>
            <w:rFonts w:ascii="Arial" w:hAnsi="Arial" w:cs="Arial"/>
            <w:sz w:val="19"/>
            <w:szCs w:val="19"/>
          </w:rPr>
          <w:t>https://colaboracion.dnp.gov.co/CDT/Conpes/Econ%C3%B3micos/3956.pdf</w:t>
        </w:r>
      </w:hyperlink>
      <w:r>
        <w:rPr>
          <w:rFonts w:ascii="Arial" w:hAnsi="Arial" w:cs="Arial"/>
          <w:sz w:val="19"/>
          <w:szCs w:val="19"/>
        </w:rPr>
        <w:t xml:space="preserve">).  </w:t>
      </w:r>
    </w:p>
    <w:p w14:paraId="056DD902" w14:textId="77777777" w:rsidR="0008581E" w:rsidRPr="00AA2812" w:rsidRDefault="0008581E" w:rsidP="0008581E">
      <w:pPr>
        <w:pStyle w:val="Textonotapie"/>
        <w:ind w:firstLine="708"/>
        <w:jc w:val="both"/>
        <w:rPr>
          <w:rFonts w:ascii="Arial" w:hAnsi="Arial" w:cs="Arial"/>
          <w:sz w:val="19"/>
          <w:szCs w:val="19"/>
          <w:lang w:val="es-ES"/>
        </w:rPr>
      </w:pPr>
    </w:p>
  </w:footnote>
  <w:footnote w:id="4">
    <w:p w14:paraId="622ADE44" w14:textId="77777777" w:rsidR="0008581E" w:rsidRPr="00A1541C" w:rsidRDefault="0008581E" w:rsidP="0008581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10" w:name="_Hlk63862868"/>
      <w:r>
        <w:rPr>
          <w:rFonts w:ascii="Arial" w:hAnsi="Arial" w:cs="Arial"/>
          <w:sz w:val="19"/>
          <w:szCs w:val="19"/>
        </w:rPr>
        <w:t xml:space="preserve">CONGRESO DE LA REPÚBLICA. Gaceta No. 670 del 11 de agosto de 2020. Exposición de motivos del Proyecto de Ley No. 122 de 2020 Cámara. p. 13. </w:t>
      </w:r>
    </w:p>
    <w:bookmarkEnd w:id="10"/>
  </w:footnote>
  <w:footnote w:id="5">
    <w:p w14:paraId="219DCDEB" w14:textId="77777777" w:rsidR="0008581E" w:rsidRDefault="0008581E" w:rsidP="0008581E">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3DF16379" w14:textId="77777777" w:rsidR="0008581E" w:rsidRPr="00F32C99" w:rsidRDefault="0008581E" w:rsidP="0008581E">
      <w:pPr>
        <w:pStyle w:val="Textonotapie"/>
        <w:ind w:firstLine="708"/>
        <w:jc w:val="both"/>
        <w:rPr>
          <w:rFonts w:ascii="Arial" w:hAnsi="Arial" w:cs="Arial"/>
          <w:sz w:val="19"/>
          <w:szCs w:val="19"/>
          <w:lang w:val="es-ES"/>
        </w:rPr>
      </w:pPr>
    </w:p>
  </w:footnote>
  <w:footnote w:id="6">
    <w:p w14:paraId="7081EE26" w14:textId="77777777" w:rsidR="0008581E" w:rsidRPr="001F29DD" w:rsidRDefault="0008581E" w:rsidP="0008581E">
      <w:pPr>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 C-502 de 2012. Magistrada Ponente: Adriana Mar</w:t>
      </w:r>
      <w:r>
        <w:rPr>
          <w:rFonts w:ascii="Arial" w:hAnsi="Arial" w:cs="Arial"/>
          <w:sz w:val="19"/>
          <w:szCs w:val="19"/>
          <w:lang w:val="es-ES"/>
        </w:rPr>
        <w:t>í</w:t>
      </w:r>
      <w:r w:rsidRPr="001F29DD">
        <w:rPr>
          <w:rFonts w:ascii="Arial" w:hAnsi="Arial" w:cs="Arial"/>
          <w:sz w:val="19"/>
          <w:szCs w:val="19"/>
          <w:lang w:val="es-ES"/>
        </w:rPr>
        <w:t>a Guillén Arango</w:t>
      </w:r>
      <w:r>
        <w:rPr>
          <w:rFonts w:ascii="Arial" w:hAnsi="Arial" w:cs="Arial"/>
          <w:sz w:val="19"/>
          <w:szCs w:val="19"/>
          <w:lang w:val="es-ES"/>
        </w:rPr>
        <w:t>.</w:t>
      </w:r>
    </w:p>
    <w:p w14:paraId="439A15CD" w14:textId="77777777" w:rsidR="0008581E" w:rsidRPr="001F29DD" w:rsidRDefault="0008581E" w:rsidP="0008581E">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 w:id="7">
    <w:p w14:paraId="094325D4" w14:textId="77D4BCD0" w:rsidR="0008581E" w:rsidRPr="004C0463" w:rsidRDefault="0008581E" w:rsidP="0008581E">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4"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4"/>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700EED03" w14:textId="13670006" w:rsidR="0008581E" w:rsidRPr="004C0463" w:rsidRDefault="0008581E" w:rsidP="0008581E">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 xml:space="preserve">Parágrafo 1°. En los procesos de selección que se desarrollen con base en el primer inciso, las entidades podrán realizar las convocatorias limitadas que beneficien a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del ámbito municipal o departamental correspondiente al de la ejecución del contrato.</w:t>
      </w:r>
    </w:p>
    <w:p w14:paraId="07A7725F" w14:textId="39F39BFB" w:rsidR="0008581E" w:rsidRPr="004C0463" w:rsidRDefault="0008581E" w:rsidP="0008581E">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 xml:space="preserve">Parágrafo 2°. Sin perjuicio de lo dispuesto en los artículos 5 y 6 de la Ley 1150 de 2007, para que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DDB57BD" w14:textId="77FD2EA5" w:rsidR="0008581E" w:rsidRPr="004C0463" w:rsidRDefault="0008581E" w:rsidP="0008581E">
      <w:pPr>
        <w:pStyle w:val="Textonotapie"/>
        <w:ind w:firstLine="708"/>
        <w:jc w:val="both"/>
        <w:rPr>
          <w:rFonts w:ascii="Arial" w:hAnsi="Arial" w:cs="Arial"/>
          <w:sz w:val="19"/>
          <w:szCs w:val="19"/>
          <w:lang w:val="es-ES"/>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8">
    <w:p w14:paraId="22C1D477" w14:textId="00117C02" w:rsidR="0008581E" w:rsidRDefault="0008581E" w:rsidP="0008581E">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w:t>
      </w:r>
      <w:proofErr w:type="spellStart"/>
      <w:r>
        <w:rPr>
          <w:rFonts w:ascii="Arial" w:hAnsi="Arial" w:cs="Arial"/>
          <w:sz w:val="19"/>
          <w:szCs w:val="19"/>
        </w:rPr>
        <w:t>Mipymes</w:t>
      </w:r>
      <w:proofErr w:type="spellEnd"/>
      <w:r>
        <w:rPr>
          <w:rFonts w:ascii="Arial" w:hAnsi="Arial" w:cs="Arial"/>
          <w:sz w:val="19"/>
          <w:szCs w:val="19"/>
        </w:rPr>
        <w:t xml:space="preserve">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9">
    <w:p w14:paraId="010094CD" w14:textId="771DE935" w:rsidR="0008581E" w:rsidRDefault="0008581E" w:rsidP="0008581E">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w:t>
      </w:r>
      <w:proofErr w:type="spellStart"/>
      <w:r>
        <w:rPr>
          <w:rFonts w:ascii="Arial" w:hAnsi="Arial" w:cs="Arial"/>
          <w:sz w:val="19"/>
          <w:szCs w:val="19"/>
        </w:rPr>
        <w:t>Mipymes</w:t>
      </w:r>
      <w:proofErr w:type="spellEnd"/>
      <w:r>
        <w:rPr>
          <w:rFonts w:ascii="Arial" w:hAnsi="Arial" w:cs="Arial"/>
          <w:sz w:val="19"/>
          <w:szCs w:val="19"/>
        </w:rPr>
        <w:t xml:space="preserve">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33D" w14:textId="77777777" w:rsidR="00906B3C" w:rsidRPr="007566FE" w:rsidRDefault="00325C2F"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6704" behindDoc="1" locked="0" layoutInCell="1" hidden="0" allowOverlap="1" wp14:anchorId="6931BBD3" wp14:editId="33FF8610">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31046A52" w14:textId="77777777" w:rsidR="007566FE" w:rsidRPr="007566FE" w:rsidRDefault="00325C2F"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116F997E" w14:textId="77777777" w:rsidR="00793403" w:rsidRDefault="00325C2F"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752" behindDoc="1" locked="0" layoutInCell="1" allowOverlap="1" wp14:anchorId="6CC6E9AE" wp14:editId="25FF983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0160381D" w14:textId="77777777" w:rsidR="00793403" w:rsidRPr="007566FE" w:rsidRDefault="00000000" w:rsidP="008614E5">
    <w:pPr>
      <w:spacing w:after="0"/>
      <w:rPr>
        <w:rFonts w:ascii="Geomanist Light" w:hAnsi="Geomanist Light"/>
        <w:color w:val="002060"/>
        <w:sz w:val="16"/>
        <w:szCs w:val="16"/>
      </w:rPr>
    </w:pPr>
  </w:p>
  <w:p w14:paraId="635572FF" w14:textId="77777777" w:rsidR="004A1847" w:rsidRPr="0008581E" w:rsidRDefault="00000000" w:rsidP="00906B3C">
    <w:pPr>
      <w:pStyle w:val="Encabezado"/>
      <w:tabs>
        <w:tab w:val="clear" w:pos="4419"/>
        <w:tab w:val="clear" w:pos="8838"/>
      </w:tabs>
      <w:ind w:left="3545" w:firstLine="709"/>
      <w:rPr>
        <w:b/>
        <w:bCs/>
        <w:color w:val="DBDBD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3122B90"/>
    <w:multiLevelType w:val="hybridMultilevel"/>
    <w:tmpl w:val="2D324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0718052">
    <w:abstractNumId w:val="0"/>
  </w:num>
  <w:num w:numId="2" w16cid:durableId="176333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0A"/>
    <w:rsid w:val="00006900"/>
    <w:rsid w:val="00014171"/>
    <w:rsid w:val="000253D7"/>
    <w:rsid w:val="00025D18"/>
    <w:rsid w:val="00025DC2"/>
    <w:rsid w:val="00047190"/>
    <w:rsid w:val="000479FD"/>
    <w:rsid w:val="000643D4"/>
    <w:rsid w:val="0008581E"/>
    <w:rsid w:val="000A6EA0"/>
    <w:rsid w:val="000D7E1A"/>
    <w:rsid w:val="000E2587"/>
    <w:rsid w:val="000E73F3"/>
    <w:rsid w:val="001402BD"/>
    <w:rsid w:val="00151522"/>
    <w:rsid w:val="00183F2A"/>
    <w:rsid w:val="001A4D2E"/>
    <w:rsid w:val="001B71DE"/>
    <w:rsid w:val="001C7827"/>
    <w:rsid w:val="001D5E84"/>
    <w:rsid w:val="001E069D"/>
    <w:rsid w:val="00202EF7"/>
    <w:rsid w:val="00235D9C"/>
    <w:rsid w:val="002734EE"/>
    <w:rsid w:val="002D32A7"/>
    <w:rsid w:val="002D3691"/>
    <w:rsid w:val="002E0DD7"/>
    <w:rsid w:val="002E6ECA"/>
    <w:rsid w:val="003121C2"/>
    <w:rsid w:val="00323C6D"/>
    <w:rsid w:val="00325C2F"/>
    <w:rsid w:val="003445B4"/>
    <w:rsid w:val="00392BA5"/>
    <w:rsid w:val="00394818"/>
    <w:rsid w:val="003A214E"/>
    <w:rsid w:val="003B5C03"/>
    <w:rsid w:val="003D761C"/>
    <w:rsid w:val="003E3059"/>
    <w:rsid w:val="003F6611"/>
    <w:rsid w:val="00444760"/>
    <w:rsid w:val="004A158A"/>
    <w:rsid w:val="004F7A56"/>
    <w:rsid w:val="00535024"/>
    <w:rsid w:val="00537A39"/>
    <w:rsid w:val="00562EA6"/>
    <w:rsid w:val="00565D27"/>
    <w:rsid w:val="00567512"/>
    <w:rsid w:val="005A404A"/>
    <w:rsid w:val="005C6F89"/>
    <w:rsid w:val="006740B9"/>
    <w:rsid w:val="006A0019"/>
    <w:rsid w:val="006C67F3"/>
    <w:rsid w:val="006D2F84"/>
    <w:rsid w:val="00702065"/>
    <w:rsid w:val="00795038"/>
    <w:rsid w:val="007B7AC6"/>
    <w:rsid w:val="007C1C1E"/>
    <w:rsid w:val="00806495"/>
    <w:rsid w:val="00835140"/>
    <w:rsid w:val="008567A9"/>
    <w:rsid w:val="00862A17"/>
    <w:rsid w:val="00875E68"/>
    <w:rsid w:val="00876C5C"/>
    <w:rsid w:val="00886066"/>
    <w:rsid w:val="008879DE"/>
    <w:rsid w:val="00894BC1"/>
    <w:rsid w:val="008A46E3"/>
    <w:rsid w:val="008C4B99"/>
    <w:rsid w:val="008D175D"/>
    <w:rsid w:val="008D3A53"/>
    <w:rsid w:val="008D6ED7"/>
    <w:rsid w:val="00961065"/>
    <w:rsid w:val="009D1D9E"/>
    <w:rsid w:val="009D66DF"/>
    <w:rsid w:val="009E750A"/>
    <w:rsid w:val="00A5469D"/>
    <w:rsid w:val="00B03AA1"/>
    <w:rsid w:val="00B10F3C"/>
    <w:rsid w:val="00B17237"/>
    <w:rsid w:val="00B305F8"/>
    <w:rsid w:val="00B81B9D"/>
    <w:rsid w:val="00B92CA3"/>
    <w:rsid w:val="00BB3F68"/>
    <w:rsid w:val="00BC0CBD"/>
    <w:rsid w:val="00BC46EF"/>
    <w:rsid w:val="00C14FCE"/>
    <w:rsid w:val="00C158EC"/>
    <w:rsid w:val="00C32F49"/>
    <w:rsid w:val="00C33F9E"/>
    <w:rsid w:val="00C66935"/>
    <w:rsid w:val="00C734F2"/>
    <w:rsid w:val="00C81235"/>
    <w:rsid w:val="00CA2F49"/>
    <w:rsid w:val="00CD393C"/>
    <w:rsid w:val="00D73714"/>
    <w:rsid w:val="00D75155"/>
    <w:rsid w:val="00D91042"/>
    <w:rsid w:val="00DE1D65"/>
    <w:rsid w:val="00E07DC2"/>
    <w:rsid w:val="00E45F7A"/>
    <w:rsid w:val="00E501AD"/>
    <w:rsid w:val="00E72251"/>
    <w:rsid w:val="00E7442E"/>
    <w:rsid w:val="00EB7A8A"/>
    <w:rsid w:val="00EC6B39"/>
    <w:rsid w:val="00EC6CA3"/>
    <w:rsid w:val="00ED77DB"/>
    <w:rsid w:val="00F06B17"/>
    <w:rsid w:val="00F075DA"/>
    <w:rsid w:val="00F07ADB"/>
    <w:rsid w:val="00F80ADD"/>
    <w:rsid w:val="00FB08D3"/>
    <w:rsid w:val="00FD130C"/>
    <w:rsid w:val="00FE2694"/>
    <w:rsid w:val="00FE3F77"/>
    <w:rsid w:val="00FF27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99A"/>
  <w15:chartTrackingRefBased/>
  <w15:docId w15:val="{E5A15939-2F9D-421F-8AE4-F9F186AF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2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5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C2F"/>
    <w:rPr>
      <w:kern w:val="0"/>
      <w14:ligatures w14:val="none"/>
    </w:rPr>
  </w:style>
  <w:style w:type="paragraph" w:styleId="Piedepgina">
    <w:name w:val="footer"/>
    <w:basedOn w:val="Normal"/>
    <w:link w:val="PiedepginaCar"/>
    <w:uiPriority w:val="99"/>
    <w:unhideWhenUsed/>
    <w:rsid w:val="00325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C2F"/>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25C2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325C2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325C2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325C2F"/>
    <w:rPr>
      <w:vertAlign w:val="superscript"/>
    </w:rPr>
  </w:style>
  <w:style w:type="table" w:styleId="Tablaconcuadrcula">
    <w:name w:val="Table Grid"/>
    <w:basedOn w:val="Tablanormal"/>
    <w:uiPriority w:val="39"/>
    <w:qFormat/>
    <w:rsid w:val="00325C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5C2F"/>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325C2F"/>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325C2F"/>
    <w:pPr>
      <w:spacing w:line="240" w:lineRule="exact"/>
      <w:jc w:val="both"/>
    </w:pPr>
    <w:rPr>
      <w:kern w:val="2"/>
      <w:vertAlign w:val="superscript"/>
      <w14:ligatures w14:val="standardContextual"/>
    </w:rPr>
  </w:style>
  <w:style w:type="table" w:customStyle="1" w:styleId="Tablaconcuadrcula11">
    <w:name w:val="Tabla con cuadrícula11"/>
    <w:basedOn w:val="Tablanormal"/>
    <w:next w:val="Tablaconcuadrcula"/>
    <w:uiPriority w:val="39"/>
    <w:rsid w:val="00325C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25C2F"/>
  </w:style>
  <w:style w:type="paragraph" w:customStyle="1" w:styleId="paragraph">
    <w:name w:val="paragraph"/>
    <w:basedOn w:val="Normal"/>
    <w:rsid w:val="003948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94818"/>
  </w:style>
  <w:style w:type="character" w:customStyle="1" w:styleId="eop">
    <w:name w:val="eop"/>
    <w:basedOn w:val="Fuentedeprrafopredeter"/>
    <w:rsid w:val="00394818"/>
  </w:style>
  <w:style w:type="character" w:customStyle="1" w:styleId="Hipervnculo1">
    <w:name w:val="Hipervínculo1"/>
    <w:basedOn w:val="Fuentedeprrafopredeter"/>
    <w:uiPriority w:val="99"/>
    <w:unhideWhenUsed/>
    <w:rsid w:val="0008581E"/>
    <w:rPr>
      <w:color w:val="F2F2F2"/>
      <w:u w:val="single"/>
    </w:rPr>
  </w:style>
  <w:style w:type="table" w:customStyle="1" w:styleId="Tablaconcuadrcula121">
    <w:name w:val="Tabla con cuadrícula121"/>
    <w:basedOn w:val="Tablanormal"/>
    <w:next w:val="Tablaconcuadrcula"/>
    <w:uiPriority w:val="39"/>
    <w:rsid w:val="0008581E"/>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581E"/>
    <w:rPr>
      <w:color w:val="0563C1" w:themeColor="hyperlink"/>
      <w:u w:val="single"/>
    </w:rPr>
  </w:style>
  <w:style w:type="paragraph" w:styleId="Prrafodelista">
    <w:name w:val="List Paragraph"/>
    <w:basedOn w:val="Normal"/>
    <w:uiPriority w:val="34"/>
    <w:qFormat/>
    <w:rsid w:val="0008581E"/>
    <w:pPr>
      <w:ind w:left="720"/>
      <w:contextualSpacing/>
    </w:pPr>
  </w:style>
  <w:style w:type="character" w:styleId="Mencinsinresolver">
    <w:name w:val="Unresolved Mention"/>
    <w:basedOn w:val="Fuentedeprrafopredeter"/>
    <w:uiPriority w:val="99"/>
    <w:semiHidden/>
    <w:unhideWhenUsed/>
    <w:rsid w:val="00085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38419">
      <w:bodyDiv w:val="1"/>
      <w:marLeft w:val="0"/>
      <w:marRight w:val="0"/>
      <w:marTop w:val="0"/>
      <w:marBottom w:val="0"/>
      <w:divBdr>
        <w:top w:val="none" w:sz="0" w:space="0" w:color="auto"/>
        <w:left w:val="none" w:sz="0" w:space="0" w:color="auto"/>
        <w:bottom w:val="none" w:sz="0" w:space="0" w:color="auto"/>
        <w:right w:val="none" w:sz="0" w:space="0" w:color="auto"/>
      </w:divBdr>
      <w:divsChild>
        <w:div w:id="2054429175">
          <w:marLeft w:val="0"/>
          <w:marRight w:val="0"/>
          <w:marTop w:val="0"/>
          <w:marBottom w:val="0"/>
          <w:divBdr>
            <w:top w:val="none" w:sz="0" w:space="0" w:color="auto"/>
            <w:left w:val="none" w:sz="0" w:space="0" w:color="auto"/>
            <w:bottom w:val="none" w:sz="0" w:space="0" w:color="auto"/>
            <w:right w:val="none" w:sz="0" w:space="0" w:color="auto"/>
          </w:divBdr>
        </w:div>
        <w:div w:id="386226323">
          <w:marLeft w:val="0"/>
          <w:marRight w:val="0"/>
          <w:marTop w:val="0"/>
          <w:marBottom w:val="0"/>
          <w:divBdr>
            <w:top w:val="none" w:sz="0" w:space="0" w:color="auto"/>
            <w:left w:val="none" w:sz="0" w:space="0" w:color="auto"/>
            <w:bottom w:val="none" w:sz="0" w:space="0" w:color="auto"/>
            <w:right w:val="none" w:sz="0" w:space="0" w:color="auto"/>
          </w:divBdr>
        </w:div>
        <w:div w:id="479083444">
          <w:marLeft w:val="0"/>
          <w:marRight w:val="0"/>
          <w:marTop w:val="0"/>
          <w:marBottom w:val="0"/>
          <w:divBdr>
            <w:top w:val="none" w:sz="0" w:space="0" w:color="auto"/>
            <w:left w:val="none" w:sz="0" w:space="0" w:color="auto"/>
            <w:bottom w:val="none" w:sz="0" w:space="0" w:color="auto"/>
            <w:right w:val="none" w:sz="0" w:space="0" w:color="auto"/>
          </w:divBdr>
        </w:div>
        <w:div w:id="218514374">
          <w:marLeft w:val="0"/>
          <w:marRight w:val="0"/>
          <w:marTop w:val="0"/>
          <w:marBottom w:val="0"/>
          <w:divBdr>
            <w:top w:val="none" w:sz="0" w:space="0" w:color="auto"/>
            <w:left w:val="none" w:sz="0" w:space="0" w:color="auto"/>
            <w:bottom w:val="none" w:sz="0" w:space="0" w:color="auto"/>
            <w:right w:val="none" w:sz="0" w:space="0" w:color="auto"/>
          </w:divBdr>
        </w:div>
        <w:div w:id="706954588">
          <w:marLeft w:val="0"/>
          <w:marRight w:val="0"/>
          <w:marTop w:val="0"/>
          <w:marBottom w:val="0"/>
          <w:divBdr>
            <w:top w:val="none" w:sz="0" w:space="0" w:color="auto"/>
            <w:left w:val="none" w:sz="0" w:space="0" w:color="auto"/>
            <w:bottom w:val="none" w:sz="0" w:space="0" w:color="auto"/>
            <w:right w:val="none" w:sz="0" w:space="0" w:color="auto"/>
          </w:divBdr>
        </w:div>
        <w:div w:id="2095736882">
          <w:marLeft w:val="0"/>
          <w:marRight w:val="0"/>
          <w:marTop w:val="0"/>
          <w:marBottom w:val="0"/>
          <w:divBdr>
            <w:top w:val="none" w:sz="0" w:space="0" w:color="auto"/>
            <w:left w:val="none" w:sz="0" w:space="0" w:color="auto"/>
            <w:bottom w:val="none" w:sz="0" w:space="0" w:color="auto"/>
            <w:right w:val="none" w:sz="0" w:space="0" w:color="auto"/>
          </w:divBdr>
        </w:div>
        <w:div w:id="1583372959">
          <w:marLeft w:val="0"/>
          <w:marRight w:val="0"/>
          <w:marTop w:val="0"/>
          <w:marBottom w:val="0"/>
          <w:divBdr>
            <w:top w:val="none" w:sz="0" w:space="0" w:color="auto"/>
            <w:left w:val="none" w:sz="0" w:space="0" w:color="auto"/>
            <w:bottom w:val="none" w:sz="0" w:space="0" w:color="auto"/>
            <w:right w:val="none" w:sz="0" w:space="0" w:color="auto"/>
          </w:divBdr>
        </w:div>
        <w:div w:id="518741082">
          <w:marLeft w:val="0"/>
          <w:marRight w:val="0"/>
          <w:marTop w:val="0"/>
          <w:marBottom w:val="0"/>
          <w:divBdr>
            <w:top w:val="none" w:sz="0" w:space="0" w:color="auto"/>
            <w:left w:val="none" w:sz="0" w:space="0" w:color="auto"/>
            <w:bottom w:val="none" w:sz="0" w:space="0" w:color="auto"/>
            <w:right w:val="none" w:sz="0" w:space="0" w:color="auto"/>
          </w:divBdr>
        </w:div>
        <w:div w:id="2116364127">
          <w:marLeft w:val="0"/>
          <w:marRight w:val="0"/>
          <w:marTop w:val="0"/>
          <w:marBottom w:val="0"/>
          <w:divBdr>
            <w:top w:val="none" w:sz="0" w:space="0" w:color="auto"/>
            <w:left w:val="none" w:sz="0" w:space="0" w:color="auto"/>
            <w:bottom w:val="none" w:sz="0" w:space="0" w:color="auto"/>
            <w:right w:val="none" w:sz="0" w:space="0" w:color="auto"/>
          </w:divBdr>
        </w:div>
        <w:div w:id="1895120780">
          <w:marLeft w:val="0"/>
          <w:marRight w:val="0"/>
          <w:marTop w:val="0"/>
          <w:marBottom w:val="0"/>
          <w:divBdr>
            <w:top w:val="none" w:sz="0" w:space="0" w:color="auto"/>
            <w:left w:val="none" w:sz="0" w:space="0" w:color="auto"/>
            <w:bottom w:val="none" w:sz="0" w:space="0" w:color="auto"/>
            <w:right w:val="none" w:sz="0" w:space="0" w:color="auto"/>
          </w:divBdr>
        </w:div>
        <w:div w:id="1968705618">
          <w:marLeft w:val="0"/>
          <w:marRight w:val="0"/>
          <w:marTop w:val="0"/>
          <w:marBottom w:val="0"/>
          <w:divBdr>
            <w:top w:val="none" w:sz="0" w:space="0" w:color="auto"/>
            <w:left w:val="none" w:sz="0" w:space="0" w:color="auto"/>
            <w:bottom w:val="none" w:sz="0" w:space="0" w:color="auto"/>
            <w:right w:val="none" w:sz="0" w:space="0" w:color="auto"/>
          </w:divBdr>
        </w:div>
        <w:div w:id="805200368">
          <w:marLeft w:val="0"/>
          <w:marRight w:val="0"/>
          <w:marTop w:val="0"/>
          <w:marBottom w:val="0"/>
          <w:divBdr>
            <w:top w:val="none" w:sz="0" w:space="0" w:color="auto"/>
            <w:left w:val="none" w:sz="0" w:space="0" w:color="auto"/>
            <w:bottom w:val="none" w:sz="0" w:space="0" w:color="auto"/>
            <w:right w:val="none" w:sz="0" w:space="0" w:color="auto"/>
          </w:divBdr>
        </w:div>
        <w:div w:id="1310555871">
          <w:marLeft w:val="0"/>
          <w:marRight w:val="0"/>
          <w:marTop w:val="0"/>
          <w:marBottom w:val="0"/>
          <w:divBdr>
            <w:top w:val="none" w:sz="0" w:space="0" w:color="auto"/>
            <w:left w:val="none" w:sz="0" w:space="0" w:color="auto"/>
            <w:bottom w:val="none" w:sz="0" w:space="0" w:color="auto"/>
            <w:right w:val="none" w:sz="0" w:space="0" w:color="auto"/>
          </w:divBdr>
        </w:div>
        <w:div w:id="1309633975">
          <w:marLeft w:val="0"/>
          <w:marRight w:val="0"/>
          <w:marTop w:val="0"/>
          <w:marBottom w:val="0"/>
          <w:divBdr>
            <w:top w:val="none" w:sz="0" w:space="0" w:color="auto"/>
            <w:left w:val="none" w:sz="0" w:space="0" w:color="auto"/>
            <w:bottom w:val="none" w:sz="0" w:space="0" w:color="auto"/>
            <w:right w:val="none" w:sz="0" w:space="0" w:color="auto"/>
          </w:divBdr>
        </w:div>
        <w:div w:id="787357119">
          <w:marLeft w:val="0"/>
          <w:marRight w:val="0"/>
          <w:marTop w:val="0"/>
          <w:marBottom w:val="0"/>
          <w:divBdr>
            <w:top w:val="none" w:sz="0" w:space="0" w:color="auto"/>
            <w:left w:val="none" w:sz="0" w:space="0" w:color="auto"/>
            <w:bottom w:val="none" w:sz="0" w:space="0" w:color="auto"/>
            <w:right w:val="none" w:sz="0" w:space="0" w:color="auto"/>
          </w:divBdr>
        </w:div>
        <w:div w:id="925115173">
          <w:marLeft w:val="0"/>
          <w:marRight w:val="0"/>
          <w:marTop w:val="0"/>
          <w:marBottom w:val="0"/>
          <w:divBdr>
            <w:top w:val="none" w:sz="0" w:space="0" w:color="auto"/>
            <w:left w:val="none" w:sz="0" w:space="0" w:color="auto"/>
            <w:bottom w:val="none" w:sz="0" w:space="0" w:color="auto"/>
            <w:right w:val="none" w:sz="0" w:space="0" w:color="auto"/>
          </w:divBdr>
        </w:div>
        <w:div w:id="1163620306">
          <w:marLeft w:val="0"/>
          <w:marRight w:val="0"/>
          <w:marTop w:val="0"/>
          <w:marBottom w:val="0"/>
          <w:divBdr>
            <w:top w:val="none" w:sz="0" w:space="0" w:color="auto"/>
            <w:left w:val="none" w:sz="0" w:space="0" w:color="auto"/>
            <w:bottom w:val="none" w:sz="0" w:space="0" w:color="auto"/>
            <w:right w:val="none" w:sz="0" w:space="0" w:color="auto"/>
          </w:divBdr>
        </w:div>
        <w:div w:id="1679115225">
          <w:marLeft w:val="0"/>
          <w:marRight w:val="0"/>
          <w:marTop w:val="0"/>
          <w:marBottom w:val="0"/>
          <w:divBdr>
            <w:top w:val="none" w:sz="0" w:space="0" w:color="auto"/>
            <w:left w:val="none" w:sz="0" w:space="0" w:color="auto"/>
            <w:bottom w:val="none" w:sz="0" w:space="0" w:color="auto"/>
            <w:right w:val="none" w:sz="0" w:space="0" w:color="auto"/>
          </w:divBdr>
        </w:div>
        <w:div w:id="1828203993">
          <w:marLeft w:val="0"/>
          <w:marRight w:val="0"/>
          <w:marTop w:val="0"/>
          <w:marBottom w:val="0"/>
          <w:divBdr>
            <w:top w:val="none" w:sz="0" w:space="0" w:color="auto"/>
            <w:left w:val="none" w:sz="0" w:space="0" w:color="auto"/>
            <w:bottom w:val="none" w:sz="0" w:space="0" w:color="auto"/>
            <w:right w:val="none" w:sz="0" w:space="0" w:color="auto"/>
          </w:divBdr>
        </w:div>
        <w:div w:id="75438366">
          <w:marLeft w:val="0"/>
          <w:marRight w:val="0"/>
          <w:marTop w:val="0"/>
          <w:marBottom w:val="0"/>
          <w:divBdr>
            <w:top w:val="none" w:sz="0" w:space="0" w:color="auto"/>
            <w:left w:val="none" w:sz="0" w:space="0" w:color="auto"/>
            <w:bottom w:val="none" w:sz="0" w:space="0" w:color="auto"/>
            <w:right w:val="none" w:sz="0" w:space="0" w:color="auto"/>
          </w:divBdr>
        </w:div>
        <w:div w:id="718164049">
          <w:marLeft w:val="0"/>
          <w:marRight w:val="0"/>
          <w:marTop w:val="0"/>
          <w:marBottom w:val="0"/>
          <w:divBdr>
            <w:top w:val="none" w:sz="0" w:space="0" w:color="auto"/>
            <w:left w:val="none" w:sz="0" w:space="0" w:color="auto"/>
            <w:bottom w:val="none" w:sz="0" w:space="0" w:color="auto"/>
            <w:right w:val="none" w:sz="0" w:space="0" w:color="auto"/>
          </w:divBdr>
        </w:div>
        <w:div w:id="162210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ps259@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31ADD-7691-4583-959C-75DFD00FEE0A}">
  <ds:schemaRefs>
    <ds:schemaRef ds:uri="http://schemas.microsoft.com/sharepoint/v3/contenttype/forms"/>
  </ds:schemaRefs>
</ds:datastoreItem>
</file>

<file path=customXml/itemProps2.xml><?xml version="1.0" encoding="utf-8"?>
<ds:datastoreItem xmlns:ds="http://schemas.openxmlformats.org/officeDocument/2006/customXml" ds:itemID="{EC4D45AF-24F1-48DF-AF54-A0732931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1C1D9-8AC9-4012-807B-37CCD66AC48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3934</Words>
  <Characters>21643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Olga Isabel Pertuz De La Hoz</cp:lastModifiedBy>
  <cp:revision>3</cp:revision>
  <dcterms:created xsi:type="dcterms:W3CDTF">2023-06-30T16:46:00Z</dcterms:created>
  <dcterms:modified xsi:type="dcterms:W3CDTF">2023-07-10T14:21:00Z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