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hAnsi="Geomanist Light" w:cs="Arial"/>
          <w:b/>
          <w:bCs/>
          <w:lang w:val="es-MX" w:eastAsia="es-CO"/>
        </w:rPr>
      </w:pPr>
    </w:p>
    <w:p w14:paraId="27AFF8C7" w14:textId="77777777" w:rsidR="006219F8" w:rsidRPr="00080DA3" w:rsidRDefault="006219F8" w:rsidP="006219F8">
      <w:pPr>
        <w:jc w:val="right"/>
        <w:textAlignment w:val="baseline"/>
        <w:rPr>
          <w:rFonts w:ascii="Geomanist Light" w:hAnsi="Geomanist Light" w:cs="Arial"/>
          <w:lang w:eastAsia="es-CO"/>
        </w:rPr>
      </w:pPr>
    </w:p>
    <w:p w14:paraId="0729EC83" w14:textId="77777777" w:rsidR="009A0EA5" w:rsidRPr="009A0EA5" w:rsidRDefault="009A0EA5" w:rsidP="009A0EA5">
      <w:pPr>
        <w:jc w:val="both"/>
        <w:rPr>
          <w:rFonts w:ascii="Arial" w:eastAsia="Calibri" w:hAnsi="Arial" w:cs="Arial"/>
          <w:b/>
          <w:bCs/>
          <w:color w:val="000000" w:themeColor="text1"/>
          <w:lang w:val="es-ES"/>
        </w:rPr>
      </w:pPr>
      <w:r w:rsidRPr="009A0EA5">
        <w:rPr>
          <w:rFonts w:ascii="Arial" w:eastAsia="Calibri" w:hAnsi="Arial" w:cs="Arial"/>
          <w:b/>
          <w:bCs/>
          <w:color w:val="000000" w:themeColor="text1"/>
          <w:lang w:val="es-ES"/>
        </w:rPr>
        <w:t xml:space="preserve">COSORCIOS Y UNIONES TEMPORALES – Capacidad jurídica – Concepto </w:t>
      </w:r>
    </w:p>
    <w:p w14:paraId="6E6301DB" w14:textId="77777777" w:rsidR="009A0EA5" w:rsidRPr="009A0EA5" w:rsidRDefault="009A0EA5" w:rsidP="009A0EA5">
      <w:pPr>
        <w:jc w:val="both"/>
        <w:rPr>
          <w:rFonts w:ascii="Arial" w:eastAsia="Calibri" w:hAnsi="Arial" w:cs="Arial"/>
          <w:lang w:val="es-MX"/>
        </w:rPr>
      </w:pPr>
    </w:p>
    <w:p w14:paraId="674B109A" w14:textId="7A5A972E" w:rsidR="009A0EA5" w:rsidRPr="009A0EA5" w:rsidRDefault="00F006FF" w:rsidP="009A0EA5">
      <w:pPr>
        <w:jc w:val="both"/>
        <w:rPr>
          <w:rFonts w:ascii="Arial" w:eastAsia="Calibri" w:hAnsi="Arial" w:cs="Arial"/>
          <w:bCs/>
          <w:color w:val="000000"/>
          <w:sz w:val="20"/>
          <w:szCs w:val="21"/>
          <w:lang w:val="es-ES_tradnl" w:eastAsia="es-ES_tradnl"/>
        </w:rPr>
      </w:pPr>
      <w:r w:rsidRPr="00F006FF">
        <w:rPr>
          <w:rFonts w:ascii="Arial" w:eastAsia="Calibri" w:hAnsi="Arial" w:cs="Arial"/>
          <w:bCs/>
          <w:color w:val="000000"/>
          <w:sz w:val="20"/>
          <w:szCs w:val="21"/>
          <w:lang w:val="es-ES_tradnl" w:eastAsia="es-ES_tradnl"/>
        </w:rPr>
        <w:t>En consecuencia, en 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 estat</w:t>
      </w:r>
      <w:r>
        <w:rPr>
          <w:rFonts w:ascii="Arial" w:eastAsia="Calibri" w:hAnsi="Arial" w:cs="Arial"/>
          <w:bCs/>
          <w:color w:val="000000"/>
          <w:sz w:val="20"/>
          <w:szCs w:val="21"/>
          <w:lang w:val="es-ES_tradnl" w:eastAsia="es-ES_tradnl"/>
        </w:rPr>
        <w:t>al:</w:t>
      </w:r>
    </w:p>
    <w:p w14:paraId="45C8C4AD" w14:textId="77777777" w:rsidR="009A0EA5" w:rsidRPr="009A0EA5" w:rsidRDefault="009A0EA5" w:rsidP="009A0EA5">
      <w:pPr>
        <w:jc w:val="both"/>
        <w:rPr>
          <w:rFonts w:ascii="Arial" w:eastAsia="Calibri" w:hAnsi="Arial" w:cs="Arial"/>
          <w:bCs/>
          <w:color w:val="000000"/>
          <w:sz w:val="20"/>
          <w:szCs w:val="21"/>
          <w:lang w:val="es-ES_tradnl" w:eastAsia="es-ES_tradnl"/>
        </w:rPr>
      </w:pPr>
      <w:r w:rsidRPr="009A0EA5">
        <w:rPr>
          <w:rFonts w:ascii="Arial" w:eastAsia="Calibri" w:hAnsi="Arial" w:cs="Arial"/>
          <w:bCs/>
          <w:color w:val="000000"/>
          <w:sz w:val="20"/>
          <w:szCs w:val="21"/>
          <w:lang w:val="es-ES_tradnl" w:eastAsia="es-ES_tradnl"/>
        </w:rPr>
        <w:t>[…]</w:t>
      </w:r>
    </w:p>
    <w:p w14:paraId="422E0DCB" w14:textId="5F3CABBF" w:rsidR="009A0EA5" w:rsidRPr="009A0EA5" w:rsidRDefault="00F006FF" w:rsidP="009A0EA5">
      <w:pPr>
        <w:jc w:val="both"/>
        <w:rPr>
          <w:rFonts w:ascii="Arial" w:eastAsia="Calibri" w:hAnsi="Arial" w:cs="Arial"/>
          <w:bCs/>
          <w:color w:val="000000"/>
          <w:sz w:val="20"/>
          <w:szCs w:val="21"/>
          <w:lang w:val="es-ES_tradnl" w:eastAsia="es-ES_tradnl"/>
        </w:rPr>
      </w:pPr>
      <w:r w:rsidRPr="00F006FF">
        <w:rPr>
          <w:rFonts w:ascii="Arial" w:eastAsia="Calibri" w:hAnsi="Arial" w:cs="Arial"/>
          <w:bCs/>
          <w:color w:val="000000"/>
          <w:sz w:val="20"/>
          <w:szCs w:val="21"/>
          <w:lang w:val="es-ES_tradnl" w:eastAsia="es-ES_tradnl"/>
        </w:rPr>
        <w:t>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w:t>
      </w:r>
    </w:p>
    <w:p w14:paraId="7BD402A1" w14:textId="77777777" w:rsidR="009A0EA5" w:rsidRPr="009A0EA5" w:rsidRDefault="009A0EA5" w:rsidP="009A0EA5">
      <w:pPr>
        <w:jc w:val="both"/>
        <w:rPr>
          <w:rFonts w:ascii="Arial" w:eastAsia="Calibri" w:hAnsi="Arial" w:cs="Arial"/>
          <w:bCs/>
          <w:color w:val="000000"/>
          <w:lang w:val="es-ES_tradnl" w:eastAsia="es-ES_tradnl"/>
        </w:rPr>
      </w:pPr>
    </w:p>
    <w:p w14:paraId="0F75CB2F" w14:textId="77777777" w:rsidR="009A0EA5" w:rsidRPr="009A0EA5" w:rsidRDefault="009A0EA5" w:rsidP="009A0EA5">
      <w:pPr>
        <w:jc w:val="both"/>
        <w:rPr>
          <w:rFonts w:ascii="Arial" w:eastAsia="Calibri" w:hAnsi="Arial" w:cs="Arial"/>
          <w:b/>
          <w:color w:val="000000"/>
          <w:lang w:val="es-ES_tradnl" w:eastAsia="es-ES_tradnl"/>
        </w:rPr>
      </w:pPr>
      <w:r w:rsidRPr="009A0EA5">
        <w:rPr>
          <w:rFonts w:ascii="Arial" w:eastAsia="Calibri" w:hAnsi="Arial" w:cs="Arial"/>
          <w:b/>
          <w:color w:val="000000"/>
          <w:lang w:val="es-ES_tradnl" w:eastAsia="es-ES_tradnl"/>
        </w:rPr>
        <w:t>CONSORCIOS Y UNIONES TEMPORALES – Creación – Participación – Acuerdo de voluntades</w:t>
      </w:r>
    </w:p>
    <w:p w14:paraId="350084BE" w14:textId="77777777" w:rsidR="009A0EA5" w:rsidRPr="009A0EA5" w:rsidRDefault="009A0EA5" w:rsidP="009A0EA5">
      <w:pPr>
        <w:jc w:val="both"/>
        <w:rPr>
          <w:rFonts w:ascii="Arial" w:eastAsia="Calibri" w:hAnsi="Arial" w:cs="Arial"/>
          <w:b/>
          <w:bCs/>
          <w:color w:val="000000" w:themeColor="text1"/>
          <w:lang w:val="es-ES_tradnl"/>
        </w:rPr>
      </w:pPr>
    </w:p>
    <w:p w14:paraId="463FE3DB" w14:textId="60755137" w:rsidR="00BC3345" w:rsidRDefault="00BC3345" w:rsidP="00BC3345">
      <w:pPr>
        <w:jc w:val="both"/>
        <w:rPr>
          <w:rFonts w:ascii="Arial" w:eastAsia="Calibri" w:hAnsi="Arial" w:cs="Arial"/>
          <w:color w:val="000000" w:themeColor="text1"/>
          <w:sz w:val="20"/>
          <w:szCs w:val="20"/>
          <w:lang w:val="es-MX"/>
        </w:rPr>
      </w:pPr>
      <w:r w:rsidRPr="00BC3345">
        <w:rPr>
          <w:rFonts w:ascii="Arial" w:eastAsia="Calibri" w:hAnsi="Arial" w:cs="Arial"/>
          <w:color w:val="000000" w:themeColor="text1"/>
          <w:sz w:val="20"/>
          <w:szCs w:val="20"/>
          <w:lang w:val="es-MX"/>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2DC6D2B4" w14:textId="77777777" w:rsidR="00BC3345" w:rsidRPr="00BC3345" w:rsidRDefault="00BC3345" w:rsidP="00BC3345">
      <w:pPr>
        <w:jc w:val="both"/>
        <w:rPr>
          <w:rFonts w:ascii="Arial" w:eastAsia="Calibri" w:hAnsi="Arial" w:cs="Arial"/>
          <w:color w:val="000000" w:themeColor="text1"/>
          <w:sz w:val="20"/>
          <w:szCs w:val="20"/>
          <w:lang w:val="es-MX"/>
        </w:rPr>
      </w:pPr>
    </w:p>
    <w:p w14:paraId="151AEAE6" w14:textId="3F8DFD76" w:rsidR="009A0EA5" w:rsidRPr="009A0EA5" w:rsidRDefault="00BC3345" w:rsidP="00BC3345">
      <w:pPr>
        <w:jc w:val="both"/>
        <w:rPr>
          <w:rFonts w:ascii="Arial" w:eastAsia="Calibri" w:hAnsi="Arial" w:cs="Arial"/>
          <w:color w:val="000000" w:themeColor="text1"/>
          <w:sz w:val="20"/>
          <w:szCs w:val="20"/>
          <w:lang w:val="es-MX"/>
        </w:rPr>
      </w:pPr>
      <w:r w:rsidRPr="00BC3345">
        <w:rPr>
          <w:rFonts w:ascii="Arial" w:eastAsia="Calibri" w:hAnsi="Arial" w:cs="Arial"/>
          <w:color w:val="000000" w:themeColor="text1"/>
          <w:sz w:val="20"/>
          <w:szCs w:val="20"/>
          <w:lang w:val="es-MX"/>
        </w:rPr>
        <w:t>Por lo anterior, cabe mencionar que el contrato de constitución del consorcio o unión temporal debe designar las facultades del “representante” del ente asociado, designación que tendrá los efectos de la representación previstos en el artículo 1505 del Código Civil: “Lo que una persona ejecuta a nombre de otra, estando facultada por ella o por la ley para representarla, produce respecto del representado iguales efectos que si hubiese contratado él mismo”.</w:t>
      </w:r>
    </w:p>
    <w:p w14:paraId="44B22D1B" w14:textId="77777777" w:rsidR="009A0EA5" w:rsidRPr="009A0EA5" w:rsidRDefault="009A0EA5" w:rsidP="009A0EA5">
      <w:pPr>
        <w:spacing w:line="276" w:lineRule="auto"/>
        <w:jc w:val="both"/>
        <w:rPr>
          <w:rFonts w:ascii="Arial" w:eastAsia="Calibri" w:hAnsi="Arial" w:cs="Arial"/>
          <w:b/>
          <w:bCs/>
          <w:color w:val="000000" w:themeColor="text1"/>
          <w:lang w:val="es-MX"/>
        </w:rPr>
      </w:pPr>
    </w:p>
    <w:p w14:paraId="02793D74" w14:textId="77777777" w:rsidR="009A0EA5" w:rsidRPr="009A0EA5" w:rsidRDefault="009A0EA5" w:rsidP="009A0EA5">
      <w:pPr>
        <w:jc w:val="both"/>
        <w:rPr>
          <w:rFonts w:ascii="Arial" w:eastAsia="Calibri" w:hAnsi="Arial" w:cs="Arial"/>
          <w:b/>
          <w:color w:val="000000"/>
          <w:lang w:val="es-MX"/>
        </w:rPr>
      </w:pPr>
      <w:r w:rsidRPr="009A0EA5">
        <w:rPr>
          <w:rFonts w:ascii="Arial" w:eastAsia="Calibri" w:hAnsi="Arial" w:cs="Arial"/>
          <w:b/>
          <w:color w:val="000000"/>
          <w:lang w:val="es-MX"/>
        </w:rPr>
        <w:t>SELECCIÓN ABREVIADA DE MENOR CUANTÍA – Modalidad de selección – Naturaleza – Procedencia</w:t>
      </w:r>
    </w:p>
    <w:p w14:paraId="00373A0D" w14:textId="77777777" w:rsidR="009A0EA5" w:rsidRPr="009A0EA5" w:rsidRDefault="009A0EA5" w:rsidP="009A0EA5">
      <w:pPr>
        <w:spacing w:line="276" w:lineRule="auto"/>
        <w:jc w:val="both"/>
        <w:rPr>
          <w:rFonts w:ascii="Arial" w:eastAsia="Calibri" w:hAnsi="Arial" w:cs="Arial"/>
          <w:b/>
          <w:bCs/>
          <w:color w:val="000000" w:themeColor="text1"/>
          <w:lang w:val="es-MX"/>
        </w:rPr>
      </w:pPr>
    </w:p>
    <w:p w14:paraId="3C2A7960" w14:textId="31F5B1BB" w:rsidR="007526CB" w:rsidRDefault="007526CB" w:rsidP="007526CB">
      <w:pPr>
        <w:jc w:val="both"/>
        <w:rPr>
          <w:rFonts w:ascii="Arial" w:eastAsia="Calibri" w:hAnsi="Arial" w:cs="Arial"/>
          <w:color w:val="000000"/>
          <w:sz w:val="20"/>
          <w:szCs w:val="20"/>
          <w:lang w:val="es-MX"/>
        </w:rPr>
      </w:pPr>
      <w:r w:rsidRPr="007526CB">
        <w:rPr>
          <w:rFonts w:ascii="Arial" w:eastAsia="Calibri" w:hAnsi="Arial" w:cs="Arial"/>
          <w:color w:val="000000"/>
          <w:sz w:val="20"/>
          <w:szCs w:val="20"/>
          <w:lang w:val="es-MX"/>
        </w:rPr>
        <w:t xml:space="preserve">El artículo 2 de la Ley 1150 de 2007 regula las modalidades de selección, y en el numeral 2 se refiere a la selección abreviada, en los siguientes términos: </w:t>
      </w:r>
      <w:r w:rsidRPr="007526CB">
        <w:rPr>
          <w:rFonts w:ascii="Arial" w:eastAsia="Calibri" w:hAnsi="Arial" w:cs="Arial"/>
          <w:i/>
          <w:iCs/>
          <w:color w:val="000000"/>
          <w:sz w:val="20"/>
          <w:szCs w:val="20"/>
          <w:lang w:val="es-MX"/>
        </w:rPr>
        <w:t>”</w:t>
      </w:r>
      <w:r w:rsidRPr="007526CB">
        <w:rPr>
          <w:rFonts w:ascii="Arial" w:eastAsia="Calibri" w:hAnsi="Arial" w:cs="Arial"/>
          <w:i/>
          <w:color w:val="000000"/>
          <w:sz w:val="20"/>
          <w:szCs w:val="20"/>
          <w:lang w:val="es-MX"/>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r w:rsidRPr="007526CB">
        <w:rPr>
          <w:rFonts w:ascii="Arial" w:eastAsia="Calibri" w:hAnsi="Arial" w:cs="Arial"/>
          <w:i/>
          <w:iCs/>
          <w:color w:val="000000"/>
          <w:sz w:val="20"/>
          <w:szCs w:val="20"/>
          <w:lang w:val="es-MX"/>
        </w:rPr>
        <w:t xml:space="preserve">”. </w:t>
      </w:r>
      <w:r w:rsidRPr="007526CB">
        <w:rPr>
          <w:rFonts w:ascii="Arial" w:eastAsia="Calibri" w:hAnsi="Arial" w:cs="Arial"/>
          <w:color w:val="000000"/>
          <w:sz w:val="20"/>
          <w:szCs w:val="20"/>
          <w:lang w:val="es-MX"/>
        </w:rPr>
        <w:t xml:space="preserve">Esta norma contempla una modalidad de selección que se caracteriza por tener etapas sencillas y términos más cortos que la licitación pública, lo cual se justifica por la complejidad de los asuntos que se contratan a través de esta modalidad, que requieren de procedimientos ágiles, sencillos y eficientes. Según el Consejo de Estado, el propósito del legislador al crearla era el de “proveer de mayor agilidad y eficiencia la contratación de algunos bienes o servicios, en los que es deseable la concurrencia de </w:t>
      </w:r>
      <w:r w:rsidRPr="007526CB">
        <w:rPr>
          <w:rFonts w:ascii="Arial" w:eastAsia="Calibri" w:hAnsi="Arial" w:cs="Arial"/>
          <w:color w:val="000000"/>
          <w:sz w:val="20"/>
          <w:szCs w:val="20"/>
          <w:lang w:val="es-MX"/>
        </w:rPr>
        <w:lastRenderedPageBreak/>
        <w:t>oferentes, pero no en términos y condiciones de una licitación pública, sino de manera abreviada o en términos de la ley, simplificada”.</w:t>
      </w:r>
    </w:p>
    <w:p w14:paraId="2AB3DC47" w14:textId="77777777" w:rsidR="007526CB" w:rsidRPr="007526CB" w:rsidRDefault="007526CB" w:rsidP="007526CB">
      <w:pPr>
        <w:jc w:val="both"/>
        <w:rPr>
          <w:rFonts w:ascii="Arial" w:eastAsia="Calibri" w:hAnsi="Arial" w:cs="Arial"/>
          <w:color w:val="000000"/>
          <w:sz w:val="20"/>
          <w:szCs w:val="20"/>
          <w:lang w:val="es-MX"/>
        </w:rPr>
      </w:pPr>
    </w:p>
    <w:p w14:paraId="71802C64" w14:textId="7FF97014" w:rsidR="007526CB" w:rsidRPr="007526CB" w:rsidRDefault="007526CB" w:rsidP="007526CB">
      <w:pPr>
        <w:jc w:val="both"/>
        <w:rPr>
          <w:rFonts w:ascii="Arial" w:eastAsia="Calibri" w:hAnsi="Arial" w:cs="Arial"/>
          <w:color w:val="000000"/>
          <w:sz w:val="20"/>
          <w:szCs w:val="20"/>
          <w:lang w:val="es-MX"/>
        </w:rPr>
      </w:pPr>
      <w:r w:rsidRPr="007526CB">
        <w:rPr>
          <w:rFonts w:ascii="Arial" w:eastAsia="Calibri" w:hAnsi="Arial" w:cs="Arial"/>
          <w:color w:val="000000"/>
          <w:sz w:val="20"/>
          <w:szCs w:val="20"/>
          <w:lang w:val="es-MX"/>
        </w:rPr>
        <w:t xml:space="preserve">El numeral 2 del artículo 2 de la Ley 1150 de 2007 desarrolla una serie de literales en los que se desarrollan distintos supuestos de hecho en atención en los que es procedente la modalidad de selección abreviada, que su vez se encuentran reglamentados en el Decreto 1082 de 2015, en donde se regula el procedimiento, los requisitos aplicables, entre otros aspectos. Una de las causales en las que aplica esta modalidad de selección es la referida a los negocios que no superan la menor cuantía de la entidad, prevista en el literal b) del artículo 2, numeral 2 de la Ley 1150 de 2007. Según indica el literal b) del artículo 2, numeral 2 </w:t>
      </w:r>
      <w:r w:rsidRPr="007526CB">
        <w:rPr>
          <w:rFonts w:ascii="Arial" w:eastAsia="Calibri" w:hAnsi="Arial" w:cs="Arial"/>
          <w:i/>
          <w:iCs/>
          <w:color w:val="000000"/>
          <w:sz w:val="20"/>
          <w:szCs w:val="20"/>
          <w:lang w:val="es-MX"/>
        </w:rPr>
        <w:t xml:space="preserve">ibídem, </w:t>
      </w:r>
      <w:r w:rsidRPr="007526CB">
        <w:rPr>
          <w:rFonts w:ascii="Arial" w:eastAsia="Calibri" w:hAnsi="Arial" w:cs="Arial"/>
          <w:color w:val="000000"/>
          <w:sz w:val="20"/>
          <w:szCs w:val="20"/>
          <w:lang w:val="es-MX"/>
        </w:rPr>
        <w:t xml:space="preserve">la menor cuantía se determina “[…] en función de los presupuestos anuales de las entidades públicas expresados en salarios mínimos legales mensuales”, el cual, a continuación, establece unos rangos a partir de los cuales se determina el monto de la menor cuantía para las diferentes entidades sometidas al Estatuto General de Contratación de la Administración Pública. </w:t>
      </w:r>
    </w:p>
    <w:p w14:paraId="3ECE9EB8" w14:textId="77777777" w:rsidR="009A0EA5" w:rsidRPr="009A0EA5" w:rsidRDefault="009A0EA5" w:rsidP="009A0EA5">
      <w:pPr>
        <w:spacing w:line="276" w:lineRule="auto"/>
        <w:jc w:val="both"/>
        <w:rPr>
          <w:rFonts w:ascii="Arial" w:eastAsia="Calibri" w:hAnsi="Arial" w:cs="Arial"/>
          <w:b/>
          <w:bCs/>
          <w:color w:val="000000" w:themeColor="text1"/>
          <w:sz w:val="20"/>
          <w:szCs w:val="20"/>
        </w:rPr>
      </w:pPr>
    </w:p>
    <w:p w14:paraId="17ABCE7D" w14:textId="61EB33C5" w:rsidR="009A0EA5" w:rsidRPr="009A0EA5" w:rsidRDefault="0041172E" w:rsidP="009A0EA5">
      <w:pPr>
        <w:jc w:val="both"/>
        <w:rPr>
          <w:rFonts w:ascii="Arial" w:eastAsia="Calibri" w:hAnsi="Arial" w:cs="Arial"/>
          <w:b/>
          <w:color w:val="000000"/>
          <w:lang w:val="es-MX"/>
        </w:rPr>
      </w:pPr>
      <w:r w:rsidRPr="0041172E">
        <w:rPr>
          <w:rFonts w:ascii="Arial" w:eastAsia="Calibri" w:hAnsi="Arial" w:cs="Arial"/>
          <w:b/>
          <w:color w:val="000000"/>
          <w:lang w:val="es-MX"/>
        </w:rPr>
        <w:t>SELECCIÓN ABREVIADA DE MENOR CUANTÍA – Manifestación de interés – Proponentes plurales – Porcentajes de participación – Variación</w:t>
      </w:r>
    </w:p>
    <w:p w14:paraId="351D5C7D" w14:textId="77777777" w:rsidR="009A0EA5" w:rsidRPr="00333008" w:rsidRDefault="009A0EA5" w:rsidP="009A0EA5">
      <w:pPr>
        <w:spacing w:line="276" w:lineRule="auto"/>
        <w:jc w:val="both"/>
        <w:rPr>
          <w:rFonts w:ascii="Arial" w:eastAsia="Calibri" w:hAnsi="Arial" w:cs="Arial"/>
          <w:b/>
          <w:bCs/>
          <w:color w:val="000000" w:themeColor="text1"/>
          <w:sz w:val="20"/>
          <w:szCs w:val="20"/>
          <w:lang w:val="es-MX"/>
        </w:rPr>
      </w:pPr>
    </w:p>
    <w:p w14:paraId="32D4E443" w14:textId="369DA3C8" w:rsidR="00333008" w:rsidRDefault="00333008" w:rsidP="00333008">
      <w:pPr>
        <w:jc w:val="both"/>
        <w:rPr>
          <w:rFonts w:ascii="Arial" w:eastAsia="Calibri" w:hAnsi="Arial" w:cs="Arial"/>
          <w:sz w:val="20"/>
          <w:szCs w:val="20"/>
        </w:rPr>
      </w:pPr>
      <w:r w:rsidRPr="00333008">
        <w:rPr>
          <w:rFonts w:ascii="Arial" w:eastAsia="Calibri" w:hAnsi="Arial" w:cs="Arial"/>
          <w:sz w:val="20"/>
          <w:szCs w:val="20"/>
          <w:lang w:val="es-MX"/>
        </w:rPr>
        <w:t xml:space="preserve">Tratándose de proponentes plurales es posible que dicha manifestación provenga de cada uno de los integrantes que conformarán el proponente plural o del representante del consorcio u unión temporal. La </w:t>
      </w:r>
      <w:r w:rsidRPr="00333008">
        <w:rPr>
          <w:rFonts w:ascii="Arial" w:eastAsia="Calibri" w:hAnsi="Arial" w:cs="Arial"/>
          <w:i/>
          <w:iCs/>
          <w:sz w:val="20"/>
          <w:szCs w:val="20"/>
          <w:lang w:val="es-MX"/>
        </w:rPr>
        <w:t>primera variante</w:t>
      </w:r>
      <w:r w:rsidRPr="00333008">
        <w:rPr>
          <w:rFonts w:ascii="Arial" w:eastAsia="Calibri" w:hAnsi="Arial" w:cs="Arial"/>
          <w:sz w:val="20"/>
          <w:szCs w:val="20"/>
          <w:lang w:val="es-MX"/>
        </w:rPr>
        <w:t xml:space="preserve"> se recoge el numeral 2.3 del pliego de condiciones de los documentos tipo de menor cuantía para obras públicas de infraestructura de transporte, el cual en lo pertinente dispone que “</w:t>
      </w:r>
      <w:r w:rsidRPr="00333008">
        <w:rPr>
          <w:rFonts w:ascii="Arial" w:eastAsia="Calibri" w:hAnsi="Arial" w:cs="Arial"/>
          <w:sz w:val="20"/>
          <w:szCs w:val="20"/>
        </w:rPr>
        <w:t xml:space="preserve">Los interesados en participar en el presente proceso de selección contarán con un término de tres (3) días hábiles contados a partir de la fecha de apertura del proceso de contratación para manifestar su intención de participar. </w:t>
      </w:r>
      <w:r w:rsidRPr="00333008">
        <w:rPr>
          <w:rFonts w:ascii="Arial" w:eastAsia="Calibri" w:hAnsi="Arial" w:cs="Arial"/>
          <w:i/>
          <w:iCs/>
          <w:sz w:val="20"/>
          <w:szCs w:val="20"/>
        </w:rPr>
        <w:t>Los interesados deben enviar una comunicación suscrita</w:t>
      </w:r>
      <w:r w:rsidRPr="00333008">
        <w:rPr>
          <w:rFonts w:ascii="Arial" w:eastAsia="Calibri" w:hAnsi="Arial" w:cs="Arial"/>
          <w:sz w:val="20"/>
          <w:szCs w:val="20"/>
        </w:rPr>
        <w:t xml:space="preserve"> por la persona natural, el representante legal de la persona jurídica, </w:t>
      </w:r>
      <w:r w:rsidRPr="00333008">
        <w:rPr>
          <w:rFonts w:ascii="Arial" w:eastAsia="Calibri" w:hAnsi="Arial" w:cs="Arial"/>
          <w:i/>
          <w:iCs/>
          <w:sz w:val="20"/>
          <w:szCs w:val="20"/>
        </w:rPr>
        <w:t>por todos los integrantes del proponente plural</w:t>
      </w:r>
      <w:r w:rsidRPr="00333008">
        <w:rPr>
          <w:rFonts w:ascii="Arial" w:eastAsia="Calibri" w:hAnsi="Arial" w:cs="Arial"/>
          <w:sz w:val="20"/>
          <w:szCs w:val="20"/>
        </w:rPr>
        <w:t xml:space="preserve"> (</w:t>
      </w:r>
      <w:r w:rsidRPr="00333008">
        <w:rPr>
          <w:rFonts w:ascii="Arial" w:eastAsia="Calibri" w:hAnsi="Arial" w:cs="Arial"/>
          <w:sz w:val="20"/>
          <w:szCs w:val="20"/>
        </w:rPr>
        <w:fldChar w:fldCharType="begin"/>
      </w:r>
      <w:r w:rsidRPr="00333008">
        <w:rPr>
          <w:rFonts w:ascii="Arial" w:eastAsia="Calibri" w:hAnsi="Arial" w:cs="Arial"/>
          <w:sz w:val="20"/>
          <w:szCs w:val="20"/>
        </w:rPr>
        <w:instrText xml:space="preserve"> REF _Ref25305885 \h  \* MERGEFORMAT </w:instrText>
      </w:r>
      <w:r w:rsidRPr="00333008">
        <w:rPr>
          <w:rFonts w:ascii="Arial" w:eastAsia="Calibri" w:hAnsi="Arial" w:cs="Arial"/>
          <w:sz w:val="20"/>
          <w:szCs w:val="20"/>
        </w:rPr>
      </w:r>
      <w:r w:rsidRPr="00333008">
        <w:rPr>
          <w:rFonts w:ascii="Arial" w:eastAsia="Calibri" w:hAnsi="Arial" w:cs="Arial"/>
          <w:sz w:val="20"/>
          <w:szCs w:val="20"/>
        </w:rPr>
        <w:fldChar w:fldCharType="separate"/>
      </w:r>
      <w:r w:rsidRPr="00333008">
        <w:rPr>
          <w:rFonts w:ascii="Arial" w:eastAsia="Calibri" w:hAnsi="Arial" w:cs="Arial"/>
          <w:sz w:val="20"/>
          <w:szCs w:val="20"/>
        </w:rPr>
        <w:t>Formato 10 – Carta Manifestación de Interés</w:t>
      </w:r>
      <w:r w:rsidRPr="00333008">
        <w:rPr>
          <w:rFonts w:ascii="Arial" w:eastAsia="Calibri" w:hAnsi="Arial" w:cs="Arial"/>
          <w:sz w:val="20"/>
          <w:szCs w:val="20"/>
          <w:lang w:val="es-MX"/>
        </w:rPr>
        <w:fldChar w:fldCharType="end"/>
      </w:r>
      <w:r w:rsidRPr="00333008">
        <w:rPr>
          <w:rFonts w:ascii="Arial" w:eastAsia="Calibri" w:hAnsi="Arial" w:cs="Arial"/>
          <w:sz w:val="20"/>
          <w:szCs w:val="20"/>
        </w:rPr>
        <w:t xml:space="preserve">), según corresponda, </w:t>
      </w:r>
      <w:r w:rsidRPr="00333008">
        <w:rPr>
          <w:rFonts w:ascii="Arial" w:eastAsia="Calibri" w:hAnsi="Arial" w:cs="Arial"/>
          <w:i/>
          <w:iCs/>
          <w:sz w:val="20"/>
          <w:szCs w:val="20"/>
        </w:rPr>
        <w:t xml:space="preserve">al correo electrónico, o a falta de este a la dirección física indicada en el numeral </w:t>
      </w:r>
      <w:r w:rsidRPr="00333008">
        <w:rPr>
          <w:rFonts w:ascii="Arial" w:eastAsia="Calibri" w:hAnsi="Arial" w:cs="Arial"/>
          <w:i/>
          <w:iCs/>
          <w:sz w:val="20"/>
          <w:szCs w:val="20"/>
        </w:rPr>
        <w:fldChar w:fldCharType="begin"/>
      </w:r>
      <w:r w:rsidRPr="00333008">
        <w:rPr>
          <w:rFonts w:ascii="Arial" w:eastAsia="Calibri" w:hAnsi="Arial" w:cs="Arial"/>
          <w:i/>
          <w:iCs/>
          <w:sz w:val="20"/>
          <w:szCs w:val="20"/>
        </w:rPr>
        <w:instrText xml:space="preserve"> REF _Ref25305833 \r \h  \* MERGEFORMAT </w:instrText>
      </w:r>
      <w:r w:rsidRPr="00333008">
        <w:rPr>
          <w:rFonts w:ascii="Arial" w:eastAsia="Calibri" w:hAnsi="Arial" w:cs="Arial"/>
          <w:i/>
          <w:iCs/>
          <w:sz w:val="20"/>
          <w:szCs w:val="20"/>
        </w:rPr>
      </w:r>
      <w:r w:rsidRPr="00333008">
        <w:rPr>
          <w:rFonts w:ascii="Arial" w:eastAsia="Calibri" w:hAnsi="Arial" w:cs="Arial"/>
          <w:i/>
          <w:iCs/>
          <w:sz w:val="20"/>
          <w:szCs w:val="20"/>
        </w:rPr>
        <w:fldChar w:fldCharType="separate"/>
      </w:r>
      <w:r w:rsidRPr="00333008">
        <w:rPr>
          <w:rFonts w:ascii="Arial" w:eastAsia="Calibri" w:hAnsi="Arial" w:cs="Arial"/>
          <w:i/>
          <w:iCs/>
          <w:sz w:val="20"/>
          <w:szCs w:val="20"/>
        </w:rPr>
        <w:t>1.3</w:t>
      </w:r>
      <w:r w:rsidRPr="00333008">
        <w:rPr>
          <w:rFonts w:ascii="Arial" w:eastAsia="Calibri" w:hAnsi="Arial" w:cs="Arial"/>
          <w:i/>
          <w:iCs/>
          <w:sz w:val="20"/>
          <w:szCs w:val="20"/>
          <w:lang w:val="es-MX"/>
        </w:rPr>
        <w:fldChar w:fldCharType="end"/>
      </w:r>
      <w:r w:rsidRPr="00333008">
        <w:rPr>
          <w:rFonts w:ascii="Arial" w:eastAsia="Calibri" w:hAnsi="Arial" w:cs="Arial"/>
          <w:i/>
          <w:iCs/>
          <w:sz w:val="20"/>
          <w:szCs w:val="20"/>
        </w:rPr>
        <w:t xml:space="preserve"> del presente pliego</w:t>
      </w:r>
      <w:r w:rsidRPr="00333008">
        <w:rPr>
          <w:rFonts w:ascii="Arial" w:eastAsia="Calibri" w:hAnsi="Arial" w:cs="Arial"/>
          <w:sz w:val="20"/>
          <w:szCs w:val="20"/>
        </w:rPr>
        <w:t>” (Énfasis fuera de texto).</w:t>
      </w:r>
    </w:p>
    <w:p w14:paraId="14E747F9" w14:textId="77777777" w:rsidR="00333008" w:rsidRPr="00333008" w:rsidRDefault="00333008" w:rsidP="00333008">
      <w:pPr>
        <w:jc w:val="both"/>
        <w:rPr>
          <w:rFonts w:ascii="Arial" w:eastAsia="Calibri" w:hAnsi="Arial" w:cs="Arial"/>
          <w:sz w:val="20"/>
          <w:szCs w:val="20"/>
          <w:lang w:val="es-MX"/>
        </w:rPr>
      </w:pPr>
    </w:p>
    <w:p w14:paraId="2C45ABBE" w14:textId="1CD3B6FC" w:rsidR="00333008" w:rsidRPr="00333008" w:rsidRDefault="00333008" w:rsidP="00333008">
      <w:pPr>
        <w:jc w:val="both"/>
        <w:rPr>
          <w:rFonts w:ascii="Arial" w:eastAsia="Calibri" w:hAnsi="Arial" w:cs="Arial"/>
          <w:sz w:val="20"/>
          <w:szCs w:val="20"/>
        </w:rPr>
      </w:pPr>
      <w:r w:rsidRPr="00333008">
        <w:rPr>
          <w:rFonts w:ascii="Arial" w:eastAsia="Calibri" w:hAnsi="Arial" w:cs="Arial"/>
          <w:sz w:val="20"/>
          <w:szCs w:val="20"/>
          <w:lang w:val="es-MX"/>
        </w:rPr>
        <w:t xml:space="preserve">La </w:t>
      </w:r>
      <w:r w:rsidRPr="00333008">
        <w:rPr>
          <w:rFonts w:ascii="Arial" w:eastAsia="Calibri" w:hAnsi="Arial" w:cs="Arial"/>
          <w:i/>
          <w:iCs/>
          <w:sz w:val="20"/>
          <w:szCs w:val="20"/>
          <w:lang w:val="es-MX"/>
        </w:rPr>
        <w:t>segunda variable</w:t>
      </w:r>
      <w:r w:rsidRPr="00333008">
        <w:rPr>
          <w:rFonts w:ascii="Arial" w:eastAsia="Calibri" w:hAnsi="Arial" w:cs="Arial"/>
          <w:sz w:val="20"/>
          <w:szCs w:val="20"/>
          <w:lang w:val="es-MX"/>
        </w:rPr>
        <w:t xml:space="preserve">, por su parte, se recoge para los procesos adelantados en SECOP II. Esto en el entendido que los interesados deben manifestar interés utilizando el módulo correspondiente de acuerdo con la Guía para manifestar interés y la Guía para presentar Ofertas en la respectiva plataforma. Al respecto, la guía señala lo siguiente: “[…] </w:t>
      </w:r>
      <w:r w:rsidRPr="00333008">
        <w:rPr>
          <w:rFonts w:ascii="Arial" w:eastAsia="Calibri" w:hAnsi="Arial" w:cs="Arial"/>
          <w:bCs/>
          <w:sz w:val="20"/>
          <w:szCs w:val="20"/>
          <w:lang w:val="es-ES"/>
        </w:rPr>
        <w:t>p</w:t>
      </w:r>
      <w:r w:rsidRPr="00333008">
        <w:rPr>
          <w:rFonts w:ascii="Arial" w:eastAsia="Calibri" w:hAnsi="Arial" w:cs="Arial"/>
          <w:sz w:val="20"/>
          <w:szCs w:val="20"/>
        </w:rPr>
        <w:t>ara participar en Procesos de Contratación en el SECOP II como Proponente Plural (ya sea para manifestar interés, enviar observaciones, ofertas o firmar contratos), debe actuar exclusivamente desde su cuenta de Proponente Plural. Cualquier acción realizada desde la cuenta de cualquiera de los integrantes no es válida para el Proponente Plural y quedará a nombre del proponente singular”. Por lo demás, agrega que “</w:t>
      </w:r>
      <w:r w:rsidRPr="00333008">
        <w:rPr>
          <w:rFonts w:ascii="Arial" w:eastAsia="Calibri" w:hAnsi="Arial" w:cs="Arial"/>
          <w:i/>
          <w:iCs/>
          <w:sz w:val="20"/>
          <w:szCs w:val="20"/>
        </w:rPr>
        <w:t>En los Procesos de Contratación en la modalidad de Selección Abreviada de Menor Cuantía, si quiere enviar oferta como Proponente Plural, debe enviar su manifestación de interés desde la cuenta del Proponente Plural. En el SECOP II no es posible manifestar interés como proponente singular y luego enviar la oferta como proponente plural</w:t>
      </w:r>
      <w:r w:rsidRPr="00333008">
        <w:rPr>
          <w:rFonts w:ascii="Arial" w:eastAsia="Calibri" w:hAnsi="Arial" w:cs="Arial"/>
          <w:sz w:val="20"/>
          <w:szCs w:val="20"/>
        </w:rPr>
        <w:t xml:space="preserve">” (Énfasis fuera de texto). </w:t>
      </w:r>
    </w:p>
    <w:p w14:paraId="41B9E242" w14:textId="77777777" w:rsidR="009A0EA5" w:rsidRPr="009A0EA5" w:rsidRDefault="009A0EA5" w:rsidP="009A0EA5">
      <w:pPr>
        <w:spacing w:line="276" w:lineRule="auto"/>
        <w:jc w:val="both"/>
        <w:rPr>
          <w:rFonts w:ascii="Arial" w:eastAsia="Calibri" w:hAnsi="Arial" w:cs="Arial"/>
          <w:b/>
          <w:bCs/>
          <w:color w:val="000000" w:themeColor="text1"/>
          <w:sz w:val="20"/>
          <w:szCs w:val="20"/>
        </w:rPr>
      </w:pPr>
    </w:p>
    <w:p w14:paraId="1329C2B0" w14:textId="77777777" w:rsidR="009A0EA5" w:rsidRPr="009A0EA5" w:rsidRDefault="009A0EA5" w:rsidP="009A0EA5">
      <w:pPr>
        <w:spacing w:line="276" w:lineRule="auto"/>
        <w:jc w:val="both"/>
        <w:rPr>
          <w:rFonts w:ascii="Arial" w:eastAsia="Calibri" w:hAnsi="Arial" w:cs="Arial"/>
          <w:b/>
          <w:bCs/>
          <w:color w:val="000000" w:themeColor="text1"/>
          <w:sz w:val="20"/>
          <w:szCs w:val="20"/>
        </w:rPr>
      </w:pPr>
    </w:p>
    <w:p w14:paraId="441EA311" w14:textId="77777777" w:rsidR="009A0EA5" w:rsidRPr="009A0EA5" w:rsidRDefault="009A0EA5" w:rsidP="009A0EA5">
      <w:pPr>
        <w:spacing w:line="276" w:lineRule="auto"/>
        <w:jc w:val="both"/>
        <w:rPr>
          <w:rFonts w:ascii="Arial" w:eastAsia="Calibri" w:hAnsi="Arial" w:cs="Arial"/>
          <w:b/>
          <w:bCs/>
          <w:color w:val="000000" w:themeColor="text1"/>
          <w:sz w:val="20"/>
          <w:szCs w:val="20"/>
        </w:rPr>
      </w:pPr>
    </w:p>
    <w:p w14:paraId="6662A7CD" w14:textId="77777777" w:rsidR="009A0EA5" w:rsidRPr="009A0EA5" w:rsidRDefault="009A0EA5" w:rsidP="009A0EA5">
      <w:pPr>
        <w:spacing w:line="276" w:lineRule="auto"/>
        <w:jc w:val="both"/>
        <w:rPr>
          <w:rFonts w:ascii="Arial" w:eastAsia="Calibri" w:hAnsi="Arial" w:cs="Arial"/>
          <w:b/>
          <w:bCs/>
          <w:color w:val="000000" w:themeColor="text1"/>
          <w:sz w:val="20"/>
          <w:szCs w:val="20"/>
        </w:rPr>
      </w:pPr>
    </w:p>
    <w:p w14:paraId="71CC6180" w14:textId="77777777" w:rsidR="009A0EA5" w:rsidRPr="009A0EA5" w:rsidRDefault="009A0EA5" w:rsidP="009A0EA5">
      <w:pPr>
        <w:spacing w:line="276" w:lineRule="auto"/>
        <w:jc w:val="both"/>
        <w:rPr>
          <w:rFonts w:ascii="Arial" w:eastAsia="Calibri" w:hAnsi="Arial" w:cs="Arial"/>
          <w:b/>
          <w:bCs/>
          <w:color w:val="000000" w:themeColor="text1"/>
          <w:sz w:val="20"/>
          <w:szCs w:val="20"/>
        </w:rPr>
      </w:pPr>
    </w:p>
    <w:p w14:paraId="48C55945" w14:textId="77777777" w:rsidR="009A0EA5" w:rsidRPr="009A0EA5" w:rsidRDefault="009A0EA5" w:rsidP="009A0EA5">
      <w:pPr>
        <w:spacing w:line="276" w:lineRule="auto"/>
        <w:jc w:val="both"/>
        <w:rPr>
          <w:rFonts w:ascii="Arial" w:eastAsia="Calibri" w:hAnsi="Arial" w:cs="Arial"/>
          <w:b/>
          <w:bCs/>
          <w:color w:val="000000" w:themeColor="text1"/>
          <w:sz w:val="20"/>
          <w:szCs w:val="20"/>
        </w:rPr>
      </w:pPr>
    </w:p>
    <w:p w14:paraId="55FE89F3" w14:textId="77777777" w:rsidR="009A0EA5" w:rsidRPr="009A0EA5" w:rsidRDefault="009A0EA5" w:rsidP="009A0EA5">
      <w:pPr>
        <w:spacing w:line="276" w:lineRule="auto"/>
        <w:jc w:val="both"/>
        <w:rPr>
          <w:rFonts w:ascii="Arial" w:eastAsia="Calibri" w:hAnsi="Arial" w:cs="Arial"/>
          <w:b/>
          <w:bCs/>
          <w:color w:val="000000" w:themeColor="text1"/>
          <w:sz w:val="20"/>
          <w:szCs w:val="20"/>
        </w:rPr>
      </w:pPr>
    </w:p>
    <w:p w14:paraId="20FF1FF9" w14:textId="77777777" w:rsidR="009A0EA5" w:rsidRPr="009A0EA5" w:rsidRDefault="009A0EA5" w:rsidP="009A0EA5">
      <w:pPr>
        <w:spacing w:line="276" w:lineRule="auto"/>
        <w:jc w:val="both"/>
        <w:rPr>
          <w:rFonts w:ascii="Arial" w:eastAsia="Calibri" w:hAnsi="Arial" w:cs="Arial"/>
          <w:b/>
          <w:bCs/>
          <w:color w:val="000000" w:themeColor="text1"/>
          <w:sz w:val="20"/>
          <w:szCs w:val="20"/>
        </w:rPr>
      </w:pPr>
    </w:p>
    <w:p w14:paraId="229921FD" w14:textId="77777777" w:rsidR="009A0EA5" w:rsidRPr="009A0EA5" w:rsidRDefault="009A0EA5" w:rsidP="009A0EA5">
      <w:pPr>
        <w:spacing w:line="276" w:lineRule="auto"/>
        <w:jc w:val="both"/>
        <w:rPr>
          <w:rFonts w:ascii="Arial" w:eastAsia="Calibri" w:hAnsi="Arial" w:cs="Arial"/>
          <w:b/>
          <w:bCs/>
          <w:color w:val="000000" w:themeColor="text1"/>
          <w:sz w:val="20"/>
          <w:szCs w:val="20"/>
          <w:lang w:val="es-ES"/>
        </w:rPr>
      </w:pPr>
    </w:p>
    <w:p w14:paraId="1F4F628D" w14:textId="77777777" w:rsidR="009A0EA5" w:rsidRPr="009A0EA5" w:rsidRDefault="009A0EA5" w:rsidP="009A0EA5">
      <w:pPr>
        <w:spacing w:line="276" w:lineRule="auto"/>
        <w:jc w:val="both"/>
        <w:rPr>
          <w:rFonts w:ascii="Arial" w:eastAsia="Calibri" w:hAnsi="Arial" w:cs="Arial"/>
          <w:b/>
          <w:bCs/>
          <w:color w:val="000000" w:themeColor="text1"/>
          <w:sz w:val="20"/>
          <w:szCs w:val="20"/>
          <w:lang w:val="es-ES"/>
        </w:rPr>
      </w:pPr>
    </w:p>
    <w:p w14:paraId="4384772A" w14:textId="77777777" w:rsidR="009A0EA5" w:rsidRPr="009A0EA5" w:rsidRDefault="009A0EA5" w:rsidP="009A0EA5">
      <w:pPr>
        <w:spacing w:line="276" w:lineRule="auto"/>
        <w:jc w:val="both"/>
        <w:rPr>
          <w:rFonts w:ascii="Arial" w:eastAsia="Calibri" w:hAnsi="Arial" w:cs="Arial"/>
          <w:b/>
          <w:bCs/>
          <w:color w:val="000000" w:themeColor="text1"/>
          <w:sz w:val="20"/>
          <w:szCs w:val="20"/>
          <w:lang w:val="es-ES"/>
        </w:rPr>
      </w:pPr>
    </w:p>
    <w:p w14:paraId="460F6D26" w14:textId="747EC7AA" w:rsidR="009A0EA5" w:rsidRPr="009A0EA5" w:rsidRDefault="00B25D45" w:rsidP="00B25D45">
      <w:pPr>
        <w:jc w:val="right"/>
        <w:rPr>
          <w:rFonts w:ascii="Arial" w:eastAsia="Calibri" w:hAnsi="Arial" w:cs="Arial"/>
        </w:rPr>
      </w:pPr>
      <w:r>
        <w:rPr>
          <w:rFonts w:ascii="Arial" w:eastAsia="Calibri" w:hAnsi="Arial" w:cs="Arial"/>
          <w:noProof/>
        </w:rPr>
        <w:drawing>
          <wp:inline distT="0" distB="0" distL="0" distR="0" wp14:anchorId="3EBECC3B" wp14:editId="4B7425B8">
            <wp:extent cx="3208283" cy="880221"/>
            <wp:effectExtent l="0" t="0" r="5080" b="0"/>
            <wp:docPr id="1948439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39858" name="Imagen 19484398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5186" cy="884859"/>
                    </a:xfrm>
                    <a:prstGeom prst="rect">
                      <a:avLst/>
                    </a:prstGeom>
                  </pic:spPr>
                </pic:pic>
              </a:graphicData>
            </a:graphic>
          </wp:inline>
        </w:drawing>
      </w:r>
    </w:p>
    <w:p w14:paraId="58DB1941" w14:textId="77777777" w:rsidR="009A0EA5" w:rsidRPr="009A0EA5" w:rsidRDefault="009A0EA5" w:rsidP="009A0EA5">
      <w:pPr>
        <w:jc w:val="both"/>
        <w:rPr>
          <w:rFonts w:ascii="Arial" w:eastAsia="Calibri" w:hAnsi="Arial" w:cs="Arial"/>
        </w:rPr>
      </w:pPr>
      <w:bookmarkStart w:id="0" w:name="_Hlk96417464"/>
    </w:p>
    <w:p w14:paraId="6864B345" w14:textId="77777777" w:rsidR="009A0EA5" w:rsidRPr="009A0EA5" w:rsidRDefault="009A0EA5" w:rsidP="009A0EA5">
      <w:pPr>
        <w:jc w:val="both"/>
        <w:rPr>
          <w:rFonts w:ascii="Arial" w:eastAsia="Calibri" w:hAnsi="Arial" w:cs="Arial"/>
        </w:rPr>
      </w:pPr>
      <w:r w:rsidRPr="009A0EA5">
        <w:rPr>
          <w:rFonts w:ascii="Arial" w:eastAsia="Calibri" w:hAnsi="Arial" w:cs="Arial"/>
        </w:rPr>
        <w:t>Señor</w:t>
      </w:r>
    </w:p>
    <w:p w14:paraId="7A3E440A" w14:textId="75567D2E" w:rsidR="009A0EA5" w:rsidRPr="009A0EA5" w:rsidRDefault="00D9193C" w:rsidP="009A0EA5">
      <w:pPr>
        <w:jc w:val="both"/>
        <w:rPr>
          <w:rFonts w:ascii="Arial" w:eastAsia="Calibri" w:hAnsi="Arial" w:cs="Arial"/>
          <w:b/>
          <w:bCs/>
        </w:rPr>
      </w:pPr>
      <w:r w:rsidRPr="009A0EA5">
        <w:rPr>
          <w:rFonts w:ascii="Arial" w:eastAsia="Calibri" w:hAnsi="Arial" w:cs="Arial"/>
          <w:b/>
          <w:bCs/>
        </w:rPr>
        <w:t>Ángel</w:t>
      </w:r>
      <w:r w:rsidR="009A0EA5" w:rsidRPr="009A0EA5">
        <w:rPr>
          <w:rFonts w:ascii="Arial" w:eastAsia="Calibri" w:hAnsi="Arial" w:cs="Arial"/>
          <w:b/>
          <w:bCs/>
        </w:rPr>
        <w:t xml:space="preserve"> Manuel Reyes Díaz</w:t>
      </w:r>
    </w:p>
    <w:p w14:paraId="41C53C01" w14:textId="77777777" w:rsidR="009A0EA5" w:rsidRPr="009A0EA5" w:rsidRDefault="009A0EA5" w:rsidP="009A0EA5">
      <w:pPr>
        <w:jc w:val="both"/>
        <w:rPr>
          <w:rFonts w:ascii="Arial" w:eastAsia="Calibri" w:hAnsi="Arial" w:cs="Arial"/>
        </w:rPr>
      </w:pPr>
      <w:r w:rsidRPr="009A0EA5">
        <w:rPr>
          <w:rFonts w:ascii="Arial" w:eastAsia="Calibri" w:hAnsi="Arial" w:cs="Arial"/>
        </w:rPr>
        <w:t>Plato, Magdalena</w:t>
      </w:r>
    </w:p>
    <w:p w14:paraId="469BBC51" w14:textId="77777777" w:rsidR="009A0EA5" w:rsidRPr="009A0EA5" w:rsidRDefault="009A0EA5" w:rsidP="009A0EA5">
      <w:pPr>
        <w:jc w:val="both"/>
        <w:rPr>
          <w:rFonts w:ascii="Arial" w:eastAsia="Calibri" w:hAnsi="Arial" w:cs="Arial"/>
        </w:rPr>
      </w:pPr>
    </w:p>
    <w:p w14:paraId="5F9453FA" w14:textId="77777777" w:rsidR="009A0EA5" w:rsidRPr="009A0EA5" w:rsidRDefault="009A0EA5" w:rsidP="009A0EA5">
      <w:pPr>
        <w:jc w:val="both"/>
        <w:rPr>
          <w:rFonts w:ascii="Arial" w:eastAsia="Calibri" w:hAnsi="Arial" w:cs="Arial"/>
        </w:rPr>
      </w:pPr>
    </w:p>
    <w:p w14:paraId="586694E1" w14:textId="4755C9F4" w:rsidR="009A0EA5" w:rsidRPr="009A0EA5" w:rsidRDefault="009A0EA5" w:rsidP="009A0EA5">
      <w:pPr>
        <w:ind w:left="1416"/>
        <w:jc w:val="both"/>
        <w:rPr>
          <w:rFonts w:ascii="Arial" w:hAnsi="Arial" w:cs="Arial"/>
        </w:rPr>
      </w:pPr>
      <w:r w:rsidRPr="009A0EA5">
        <w:rPr>
          <w:rFonts w:ascii="Arial" w:eastAsia="Calibri" w:hAnsi="Arial" w:cs="Arial"/>
        </w:rPr>
        <w:t xml:space="preserve">                      </w:t>
      </w:r>
      <w:r w:rsidRPr="009A0EA5">
        <w:rPr>
          <w:rFonts w:ascii="Arial" w:eastAsia="Calibri" w:hAnsi="Arial" w:cs="Arial"/>
          <w:b/>
        </w:rPr>
        <w:t>Concepto C</w:t>
      </w:r>
      <w:r w:rsidR="00F12DDE">
        <w:rPr>
          <w:rFonts w:ascii="Arial" w:eastAsia="Calibri" w:hAnsi="Arial" w:cs="Arial"/>
          <w:b/>
        </w:rPr>
        <w:t>-</w:t>
      </w:r>
      <w:r w:rsidRPr="009A0EA5">
        <w:rPr>
          <w:rFonts w:ascii="Arial" w:eastAsia="Calibri" w:hAnsi="Arial" w:cs="Arial"/>
          <w:b/>
        </w:rPr>
        <w:t>172 de 2023</w:t>
      </w:r>
      <w:r w:rsidRPr="009A0EA5">
        <w:rPr>
          <w:rFonts w:ascii="Arial" w:hAnsi="Arial" w:cs="Arial"/>
        </w:rPr>
        <w:t xml:space="preserve"> </w:t>
      </w:r>
    </w:p>
    <w:p w14:paraId="726A6DA0" w14:textId="77777777" w:rsidR="009A0EA5" w:rsidRPr="009A0EA5" w:rsidRDefault="009A0EA5" w:rsidP="009A0EA5">
      <w:pPr>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9A0EA5" w:rsidRPr="009A0EA5" w14:paraId="40CBF886" w14:textId="77777777" w:rsidTr="00F12DDE">
        <w:trPr>
          <w:trHeight w:val="485"/>
        </w:trPr>
        <w:tc>
          <w:tcPr>
            <w:tcW w:w="2552" w:type="dxa"/>
            <w:hideMark/>
          </w:tcPr>
          <w:p w14:paraId="77FC96EC" w14:textId="77777777" w:rsidR="009A0EA5" w:rsidRPr="009A0EA5" w:rsidRDefault="009A0EA5" w:rsidP="009A0EA5">
            <w:pPr>
              <w:spacing w:after="200" w:line="276" w:lineRule="auto"/>
              <w:contextualSpacing/>
              <w:jc w:val="both"/>
              <w:rPr>
                <w:rFonts w:ascii="Arial" w:eastAsia="Calibri" w:hAnsi="Arial" w:cs="Arial"/>
                <w:noProof/>
                <w:lang w:val="es-ES_tradnl"/>
              </w:rPr>
            </w:pPr>
            <w:r w:rsidRPr="009A0EA5">
              <w:rPr>
                <w:rFonts w:ascii="Arial" w:eastAsia="Calibri" w:hAnsi="Arial" w:cs="Arial"/>
                <w:b/>
                <w:noProof/>
                <w:lang w:val="es-ES_tradnl"/>
              </w:rPr>
              <w:t>Temas:</w:t>
            </w:r>
            <w:r w:rsidRPr="009A0EA5">
              <w:rPr>
                <w:rFonts w:ascii="Arial" w:eastAsia="Calibri" w:hAnsi="Arial" w:cs="Arial"/>
                <w:noProof/>
                <w:lang w:val="es-ES_tradnl"/>
              </w:rPr>
              <w:t xml:space="preserve">    </w:t>
            </w:r>
          </w:p>
        </w:tc>
        <w:tc>
          <w:tcPr>
            <w:tcW w:w="6374" w:type="dxa"/>
            <w:hideMark/>
          </w:tcPr>
          <w:p w14:paraId="3036C90E" w14:textId="7BA6B097" w:rsidR="009A0EA5" w:rsidRPr="0041172E" w:rsidRDefault="009A0EA5" w:rsidP="009A0EA5">
            <w:pPr>
              <w:spacing w:after="120" w:line="276" w:lineRule="auto"/>
              <w:ind w:right="703"/>
              <w:jc w:val="both"/>
              <w:rPr>
                <w:rFonts w:ascii="Arial" w:eastAsia="Calibri" w:hAnsi="Arial" w:cs="Arial"/>
                <w:bCs/>
                <w:lang w:val="es-MX"/>
              </w:rPr>
            </w:pPr>
            <w:bookmarkStart w:id="1" w:name="_Hlk139881532"/>
            <w:r w:rsidRPr="009A0EA5">
              <w:rPr>
                <w:rFonts w:ascii="Arial" w:eastAsia="Calibri" w:hAnsi="Arial" w:cs="Arial"/>
                <w:bCs/>
                <w:lang w:val="es-MX"/>
              </w:rPr>
              <w:t xml:space="preserve">COSORCIOS Y UNIONES TEMPORALES – Capacidad jurídica – Concepto / CONSORCIOS Y UNIONES TEMPORALES – Creación – Participación – Acuerdo de voluntades / SELECCIÓN ABREVIADA DE MENOR CUANTÍA – Modalidad de selección – Naturaleza – Procedencia </w:t>
            </w:r>
            <w:r w:rsidR="00E5181F">
              <w:rPr>
                <w:rFonts w:ascii="Arial" w:eastAsia="Calibri" w:hAnsi="Arial" w:cs="Arial"/>
                <w:bCs/>
                <w:lang w:val="es-MX"/>
              </w:rPr>
              <w:t xml:space="preserve">/ </w:t>
            </w:r>
            <w:r w:rsidR="00E5181F" w:rsidRPr="009A0EA5">
              <w:rPr>
                <w:rFonts w:ascii="Arial" w:eastAsia="Calibri" w:hAnsi="Arial" w:cs="Arial"/>
                <w:bCs/>
                <w:lang w:val="es-MX"/>
              </w:rPr>
              <w:t xml:space="preserve">SELECCIÓN ABREVIADA DE MENOR CUANTÍA </w:t>
            </w:r>
            <w:r w:rsidR="00B435C4">
              <w:rPr>
                <w:rFonts w:ascii="Arial" w:eastAsia="Calibri" w:hAnsi="Arial" w:cs="Arial"/>
                <w:bCs/>
                <w:lang w:val="es-MX"/>
              </w:rPr>
              <w:t>–</w:t>
            </w:r>
            <w:r w:rsidR="00E5181F" w:rsidRPr="009A0EA5">
              <w:rPr>
                <w:rFonts w:ascii="Arial" w:eastAsia="Calibri" w:hAnsi="Arial" w:cs="Arial"/>
                <w:bCs/>
                <w:lang w:val="es-MX"/>
              </w:rPr>
              <w:t xml:space="preserve"> Manifestación de interés</w:t>
            </w:r>
            <w:r w:rsidR="00B435C4">
              <w:rPr>
                <w:rFonts w:ascii="Arial" w:eastAsia="Calibri" w:hAnsi="Arial" w:cs="Arial"/>
                <w:bCs/>
                <w:lang w:val="es-MX"/>
              </w:rPr>
              <w:t xml:space="preserve"> – Proponentes plurales – Porcentajes de participación – Variación</w:t>
            </w:r>
            <w:bookmarkEnd w:id="1"/>
          </w:p>
        </w:tc>
      </w:tr>
      <w:tr w:rsidR="009A0EA5" w:rsidRPr="009A0EA5" w14:paraId="78C3AD01" w14:textId="77777777" w:rsidTr="00F12DDE">
        <w:tc>
          <w:tcPr>
            <w:tcW w:w="2552" w:type="dxa"/>
          </w:tcPr>
          <w:p w14:paraId="6C0A0FBC" w14:textId="77777777" w:rsidR="009A0EA5" w:rsidRPr="009A0EA5" w:rsidRDefault="009A0EA5" w:rsidP="009A0EA5">
            <w:pPr>
              <w:spacing w:after="200" w:line="276" w:lineRule="auto"/>
              <w:contextualSpacing/>
              <w:jc w:val="both"/>
              <w:rPr>
                <w:rFonts w:ascii="Arial" w:eastAsia="Calibri" w:hAnsi="Arial" w:cs="Arial"/>
                <w:b/>
                <w:noProof/>
                <w:lang w:val="es-ES_tradnl"/>
              </w:rPr>
            </w:pPr>
            <w:r w:rsidRPr="009A0EA5">
              <w:rPr>
                <w:rFonts w:ascii="Arial" w:eastAsia="Calibri" w:hAnsi="Arial" w:cs="Arial"/>
                <w:b/>
                <w:noProof/>
                <w:lang w:val="es-ES_tradnl"/>
              </w:rPr>
              <w:t xml:space="preserve"> Radicación:</w:t>
            </w:r>
            <w:r w:rsidRPr="009A0EA5">
              <w:rPr>
                <w:rFonts w:ascii="Arial" w:eastAsia="Calibri" w:hAnsi="Arial" w:cs="Arial"/>
                <w:noProof/>
                <w:lang w:val="es-ES_tradnl"/>
              </w:rPr>
              <w:t xml:space="preserve">               </w:t>
            </w:r>
          </w:p>
        </w:tc>
        <w:tc>
          <w:tcPr>
            <w:tcW w:w="6374" w:type="dxa"/>
          </w:tcPr>
          <w:p w14:paraId="590A7E14" w14:textId="703BCF15" w:rsidR="009A0EA5" w:rsidRPr="009A0EA5" w:rsidRDefault="009A0EA5" w:rsidP="009A0EA5">
            <w:pPr>
              <w:spacing w:after="200" w:line="276" w:lineRule="auto"/>
              <w:contextualSpacing/>
              <w:jc w:val="both"/>
              <w:rPr>
                <w:rFonts w:ascii="Arial" w:eastAsia="Calibri" w:hAnsi="Arial" w:cs="Arial"/>
                <w:noProof/>
                <w:lang w:val="es-ES_tradnl"/>
              </w:rPr>
            </w:pPr>
            <w:r w:rsidRPr="009A0EA5">
              <w:rPr>
                <w:rFonts w:ascii="Arial" w:eastAsia="Calibri" w:hAnsi="Arial" w:cs="Arial"/>
                <w:noProof/>
                <w:lang w:val="es-ES_tradnl"/>
              </w:rPr>
              <w:t>Respuesta a consulta P20230421003570</w:t>
            </w:r>
            <w:r w:rsidR="000D2FBC">
              <w:rPr>
                <w:rFonts w:ascii="Arial" w:eastAsia="Calibri" w:hAnsi="Arial" w:cs="Arial"/>
                <w:noProof/>
                <w:lang w:val="es-ES_tradnl"/>
              </w:rPr>
              <w:t xml:space="preserve"> </w:t>
            </w:r>
          </w:p>
          <w:p w14:paraId="0293BCEE" w14:textId="77777777" w:rsidR="009A0EA5" w:rsidRPr="009A0EA5" w:rsidRDefault="009A0EA5" w:rsidP="009A0EA5">
            <w:pPr>
              <w:spacing w:after="200" w:line="276" w:lineRule="auto"/>
              <w:contextualSpacing/>
              <w:jc w:val="both"/>
              <w:rPr>
                <w:rFonts w:ascii="Arial" w:eastAsia="Calibri" w:hAnsi="Arial" w:cs="Arial"/>
                <w:noProof/>
                <w:lang w:val="es-ES_tradnl"/>
              </w:rPr>
            </w:pPr>
            <w:r w:rsidRPr="009A0EA5">
              <w:rPr>
                <w:rFonts w:ascii="Arial" w:eastAsia="Calibri" w:hAnsi="Arial" w:cs="Arial"/>
                <w:noProof/>
                <w:lang w:val="es-ES_tradnl"/>
              </w:rPr>
              <w:t xml:space="preserve">                  </w:t>
            </w:r>
          </w:p>
        </w:tc>
      </w:tr>
    </w:tbl>
    <w:p w14:paraId="05D10890" w14:textId="77777777" w:rsidR="009A0EA5" w:rsidRPr="009A0EA5" w:rsidRDefault="009A0EA5" w:rsidP="009A0EA5">
      <w:pPr>
        <w:jc w:val="both"/>
        <w:rPr>
          <w:rFonts w:ascii="Arial" w:eastAsia="Calibri" w:hAnsi="Arial" w:cs="Arial"/>
        </w:rPr>
      </w:pPr>
    </w:p>
    <w:p w14:paraId="3F4236D5" w14:textId="77777777" w:rsidR="009A0EA5" w:rsidRPr="009A0EA5" w:rsidRDefault="009A0EA5" w:rsidP="009A0EA5">
      <w:pPr>
        <w:spacing w:line="276" w:lineRule="auto"/>
        <w:jc w:val="both"/>
        <w:rPr>
          <w:rFonts w:ascii="Arial" w:eastAsia="Calibri" w:hAnsi="Arial" w:cs="Arial"/>
        </w:rPr>
      </w:pPr>
      <w:r w:rsidRPr="009A0EA5">
        <w:rPr>
          <w:rFonts w:ascii="Arial" w:eastAsia="Calibri" w:hAnsi="Arial" w:cs="Arial"/>
        </w:rPr>
        <w:t xml:space="preserve">Estimado señor Reyes Díaz: </w:t>
      </w:r>
    </w:p>
    <w:p w14:paraId="6A3E5DE5" w14:textId="77777777" w:rsidR="009A0EA5" w:rsidRPr="009A0EA5" w:rsidRDefault="009A0EA5" w:rsidP="009A0EA5">
      <w:pPr>
        <w:spacing w:line="276" w:lineRule="auto"/>
        <w:ind w:firstLine="709"/>
        <w:jc w:val="both"/>
        <w:rPr>
          <w:rFonts w:ascii="Arial" w:eastAsia="Calibri" w:hAnsi="Arial" w:cs="Arial"/>
        </w:rPr>
      </w:pPr>
    </w:p>
    <w:p w14:paraId="75A51632" w14:textId="77777777" w:rsidR="009A0EA5" w:rsidRPr="009A0EA5" w:rsidRDefault="009A0EA5" w:rsidP="009A0EA5">
      <w:pPr>
        <w:spacing w:line="276" w:lineRule="auto"/>
        <w:ind w:right="51"/>
        <w:jc w:val="both"/>
        <w:rPr>
          <w:rFonts w:ascii="Arial" w:eastAsia="Calibri" w:hAnsi="Arial" w:cs="Arial"/>
        </w:rPr>
      </w:pPr>
      <w:r w:rsidRPr="009A0EA5">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21 de abril de 2023. </w:t>
      </w:r>
    </w:p>
    <w:p w14:paraId="59516D9B" w14:textId="77777777" w:rsidR="009A0EA5" w:rsidRPr="009A0EA5" w:rsidRDefault="009A0EA5" w:rsidP="009A0EA5">
      <w:pPr>
        <w:spacing w:line="276" w:lineRule="auto"/>
        <w:ind w:right="51"/>
        <w:jc w:val="both"/>
        <w:rPr>
          <w:rFonts w:ascii="Arial" w:eastAsia="Calibri" w:hAnsi="Arial" w:cs="Arial"/>
        </w:rPr>
      </w:pPr>
    </w:p>
    <w:p w14:paraId="23E6AD73" w14:textId="77777777" w:rsidR="009A0EA5" w:rsidRPr="009A0EA5" w:rsidRDefault="009A0EA5" w:rsidP="009A0EA5">
      <w:pPr>
        <w:numPr>
          <w:ilvl w:val="0"/>
          <w:numId w:val="4"/>
        </w:numPr>
        <w:tabs>
          <w:tab w:val="left" w:pos="284"/>
        </w:tabs>
        <w:ind w:left="426"/>
        <w:contextualSpacing/>
        <w:jc w:val="both"/>
        <w:rPr>
          <w:rFonts w:ascii="Arial" w:eastAsia="Calibri" w:hAnsi="Arial" w:cs="Arial"/>
          <w:b/>
        </w:rPr>
      </w:pPr>
      <w:r w:rsidRPr="009A0EA5">
        <w:rPr>
          <w:rFonts w:ascii="Arial" w:eastAsia="Calibri" w:hAnsi="Arial" w:cs="Arial"/>
          <w:b/>
        </w:rPr>
        <w:t xml:space="preserve">Problema planteado </w:t>
      </w:r>
    </w:p>
    <w:p w14:paraId="6398DBF5" w14:textId="77777777" w:rsidR="009A0EA5" w:rsidRPr="009A0EA5" w:rsidRDefault="009A0EA5" w:rsidP="009A0EA5">
      <w:pPr>
        <w:tabs>
          <w:tab w:val="left" w:pos="284"/>
        </w:tabs>
        <w:ind w:left="720"/>
        <w:contextualSpacing/>
        <w:rPr>
          <w:rFonts w:ascii="Arial" w:eastAsia="Calibri" w:hAnsi="Arial" w:cs="Arial"/>
          <w:b/>
        </w:rPr>
      </w:pPr>
    </w:p>
    <w:p w14:paraId="21955233" w14:textId="2AA61740" w:rsidR="009A0EA5" w:rsidRPr="002216E6" w:rsidRDefault="009A0EA5" w:rsidP="00AB3D80">
      <w:pPr>
        <w:spacing w:line="276" w:lineRule="auto"/>
        <w:jc w:val="both"/>
        <w:rPr>
          <w:rFonts w:ascii="Arial" w:hAnsi="Arial" w:cs="Arial"/>
          <w:lang w:eastAsia="es-CO"/>
        </w:rPr>
      </w:pPr>
      <w:bookmarkStart w:id="2" w:name="_Hlk103091300"/>
      <w:r w:rsidRPr="009A0EA5">
        <w:rPr>
          <w:rFonts w:ascii="Arial" w:hAnsi="Arial" w:cs="Arial"/>
          <w:lang w:eastAsia="es-CO"/>
        </w:rPr>
        <w:t xml:space="preserve">Usted </w:t>
      </w:r>
      <w:r w:rsidR="00F90C49">
        <w:rPr>
          <w:rFonts w:ascii="Arial" w:hAnsi="Arial" w:cs="Arial"/>
          <w:lang w:eastAsia="es-CO"/>
        </w:rPr>
        <w:t xml:space="preserve">realiza la siguiente </w:t>
      </w:r>
      <w:r w:rsidRPr="009A0EA5">
        <w:rPr>
          <w:rFonts w:ascii="Arial" w:hAnsi="Arial" w:cs="Arial"/>
          <w:lang w:eastAsia="es-CO"/>
        </w:rPr>
        <w:t>consulta:</w:t>
      </w:r>
      <w:bookmarkEnd w:id="2"/>
      <w:r w:rsidR="008B0FF5" w:rsidRPr="00072032">
        <w:rPr>
          <w:rFonts w:ascii="Arial" w:hAnsi="Arial" w:cs="Arial"/>
          <w:lang w:eastAsia="es-CO"/>
        </w:rPr>
        <w:t xml:space="preserve"> </w:t>
      </w:r>
      <w:r w:rsidRPr="00072032">
        <w:rPr>
          <w:rFonts w:ascii="Arial" w:hAnsi="Arial" w:cs="Arial"/>
          <w:lang w:eastAsia="es-CO"/>
        </w:rPr>
        <w:t xml:space="preserve">“Que [sic] pasa si en un proceso de selección abreviada en donde se haya realizado sorteo para escoger a 10 que podrán presentar </w:t>
      </w:r>
      <w:r w:rsidRPr="00072032">
        <w:rPr>
          <w:rFonts w:ascii="Arial" w:hAnsi="Arial" w:cs="Arial"/>
          <w:lang w:eastAsia="es-CO"/>
        </w:rPr>
        <w:lastRenderedPageBreak/>
        <w:t>oferta, yo decido modificar los % de participación del Consorcio sorteado antes de presentar la oferta, podría la entidad rechazar la oferta?”</w:t>
      </w:r>
      <w:r w:rsidR="00F90C49">
        <w:rPr>
          <w:rFonts w:ascii="Arial" w:hAnsi="Arial" w:cs="Arial"/>
          <w:lang w:eastAsia="es-CO"/>
        </w:rPr>
        <w:t>.</w:t>
      </w:r>
    </w:p>
    <w:p w14:paraId="787F34CF" w14:textId="77777777" w:rsidR="009A0EA5" w:rsidRPr="009A0EA5" w:rsidRDefault="009A0EA5" w:rsidP="009A0EA5">
      <w:pPr>
        <w:ind w:right="709"/>
        <w:jc w:val="both"/>
        <w:rPr>
          <w:rFonts w:ascii="Arial" w:eastAsia="Calibri" w:hAnsi="Arial" w:cs="Arial"/>
          <w:b/>
          <w:lang w:eastAsia="es-CO"/>
        </w:rPr>
      </w:pPr>
    </w:p>
    <w:p w14:paraId="4319D193" w14:textId="77777777" w:rsidR="009A0EA5" w:rsidRPr="009A0EA5" w:rsidRDefault="009A0EA5" w:rsidP="009A0EA5">
      <w:pPr>
        <w:ind w:right="709"/>
        <w:jc w:val="both"/>
        <w:rPr>
          <w:rFonts w:ascii="Arial" w:eastAsia="Calibri" w:hAnsi="Arial" w:cs="Arial"/>
          <w:b/>
          <w:lang w:eastAsia="es-CO"/>
        </w:rPr>
      </w:pPr>
      <w:r w:rsidRPr="009A0EA5">
        <w:rPr>
          <w:rFonts w:ascii="Arial" w:eastAsia="Calibri" w:hAnsi="Arial" w:cs="Arial"/>
          <w:b/>
          <w:lang w:eastAsia="es-CO"/>
        </w:rPr>
        <w:t>2. Consideraciones</w:t>
      </w:r>
    </w:p>
    <w:p w14:paraId="36569C53" w14:textId="77777777" w:rsidR="008A798A" w:rsidRDefault="008A798A" w:rsidP="009A0EA5">
      <w:pPr>
        <w:ind w:right="709"/>
        <w:jc w:val="both"/>
        <w:rPr>
          <w:rFonts w:ascii="Arial" w:eastAsia="Calibri" w:hAnsi="Arial" w:cs="Arial"/>
          <w:b/>
          <w:lang w:eastAsia="es-CO"/>
        </w:rPr>
      </w:pPr>
    </w:p>
    <w:p w14:paraId="5089CF4A" w14:textId="5B3B31AF" w:rsidR="009A0EA5" w:rsidRPr="00B347F5" w:rsidRDefault="008A798A" w:rsidP="00B347F5">
      <w:pPr>
        <w:spacing w:after="120" w:line="276" w:lineRule="auto"/>
        <w:ind w:right="45"/>
        <w:jc w:val="both"/>
        <w:rPr>
          <w:rFonts w:ascii="Arial" w:eastAsia="Calibri" w:hAnsi="Arial" w:cs="Arial"/>
          <w:bCs/>
          <w:lang w:eastAsia="es-CO"/>
        </w:rPr>
      </w:pPr>
      <w:r w:rsidRPr="002216E6">
        <w:rPr>
          <w:rFonts w:ascii="Arial" w:eastAsia="Calibri" w:hAnsi="Arial" w:cs="Arial"/>
          <w:bCs/>
          <w:lang w:eastAsia="es-CO"/>
        </w:rPr>
        <w:t xml:space="preserve">Para </w:t>
      </w:r>
      <w:r w:rsidR="00E5181F" w:rsidRPr="002216E6">
        <w:rPr>
          <w:rFonts w:ascii="Arial" w:eastAsia="Calibri" w:hAnsi="Arial" w:cs="Arial"/>
          <w:bCs/>
          <w:lang w:eastAsia="es-CO"/>
        </w:rPr>
        <w:t xml:space="preserve">resolver su consulta se </w:t>
      </w:r>
      <w:r w:rsidR="00E5181F" w:rsidRPr="00E5181F">
        <w:rPr>
          <w:rFonts w:ascii="Arial" w:eastAsia="Calibri" w:hAnsi="Arial" w:cs="Arial"/>
          <w:bCs/>
          <w:lang w:eastAsia="es-CO"/>
        </w:rPr>
        <w:t>estudiarán</w:t>
      </w:r>
      <w:r w:rsidR="00E5181F" w:rsidRPr="002216E6">
        <w:rPr>
          <w:rFonts w:ascii="Arial" w:eastAsia="Calibri" w:hAnsi="Arial" w:cs="Arial"/>
          <w:bCs/>
          <w:lang w:eastAsia="es-CO"/>
        </w:rPr>
        <w:t xml:space="preserve"> los siguientes temas: </w:t>
      </w:r>
      <w:r w:rsidR="00E5181F">
        <w:rPr>
          <w:rFonts w:ascii="Arial" w:eastAsia="Calibri" w:hAnsi="Arial" w:cs="Arial"/>
          <w:bCs/>
          <w:lang w:eastAsia="es-CO"/>
        </w:rPr>
        <w:t>i) c</w:t>
      </w:r>
      <w:r w:rsidR="00E5181F" w:rsidRPr="00E5181F">
        <w:rPr>
          <w:rFonts w:ascii="Arial" w:eastAsia="Calibri" w:hAnsi="Arial" w:cs="Arial"/>
          <w:bCs/>
          <w:lang w:eastAsia="es-CO"/>
        </w:rPr>
        <w:t>apacidad jurídica de los consorcios y uniones temporales</w:t>
      </w:r>
      <w:r w:rsidR="00E5181F">
        <w:rPr>
          <w:rFonts w:ascii="Arial" w:eastAsia="Calibri" w:hAnsi="Arial" w:cs="Arial"/>
          <w:bCs/>
          <w:lang w:eastAsia="es-CO"/>
        </w:rPr>
        <w:t xml:space="preserve">; </w:t>
      </w:r>
      <w:proofErr w:type="spellStart"/>
      <w:r w:rsidR="00E5181F">
        <w:rPr>
          <w:rFonts w:ascii="Arial" w:eastAsia="Calibri" w:hAnsi="Arial" w:cs="Arial"/>
          <w:bCs/>
          <w:lang w:eastAsia="es-CO"/>
        </w:rPr>
        <w:t>ii</w:t>
      </w:r>
      <w:proofErr w:type="spellEnd"/>
      <w:r w:rsidR="00E5181F">
        <w:rPr>
          <w:rFonts w:ascii="Arial" w:eastAsia="Calibri" w:hAnsi="Arial" w:cs="Arial"/>
          <w:bCs/>
          <w:lang w:eastAsia="es-CO"/>
        </w:rPr>
        <w:t>) p</w:t>
      </w:r>
      <w:r w:rsidR="00E5181F" w:rsidRPr="00E5181F">
        <w:rPr>
          <w:rFonts w:ascii="Arial" w:eastAsia="Calibri" w:hAnsi="Arial" w:cs="Arial"/>
          <w:bCs/>
          <w:lang w:eastAsia="es-CO"/>
        </w:rPr>
        <w:t>rocedimiento de selección abreviada para la contratación de menor cuantía</w:t>
      </w:r>
      <w:r w:rsidR="00E5181F">
        <w:rPr>
          <w:rFonts w:ascii="Arial" w:eastAsia="Calibri" w:hAnsi="Arial" w:cs="Arial"/>
          <w:bCs/>
          <w:lang w:eastAsia="es-CO"/>
        </w:rPr>
        <w:t xml:space="preserve">; y </w:t>
      </w:r>
      <w:proofErr w:type="spellStart"/>
      <w:r w:rsidR="00E5181F" w:rsidRPr="002216E6">
        <w:rPr>
          <w:rFonts w:ascii="Arial" w:eastAsia="Calibri" w:hAnsi="Arial" w:cs="Arial"/>
          <w:bCs/>
          <w:lang w:eastAsia="es-CO"/>
        </w:rPr>
        <w:t>i</w:t>
      </w:r>
      <w:r w:rsidR="00E5181F">
        <w:rPr>
          <w:rFonts w:ascii="Arial" w:eastAsia="Calibri" w:hAnsi="Arial" w:cs="Arial"/>
          <w:bCs/>
          <w:lang w:eastAsia="es-CO"/>
        </w:rPr>
        <w:t>ii</w:t>
      </w:r>
      <w:proofErr w:type="spellEnd"/>
      <w:r w:rsidR="00E5181F" w:rsidRPr="002216E6">
        <w:rPr>
          <w:rFonts w:ascii="Arial" w:eastAsia="Calibri" w:hAnsi="Arial" w:cs="Arial"/>
          <w:bCs/>
          <w:lang w:eastAsia="es-CO"/>
        </w:rPr>
        <w:t xml:space="preserve">) </w:t>
      </w:r>
      <w:r w:rsidR="00E5181F">
        <w:rPr>
          <w:rFonts w:ascii="Arial" w:eastAsia="Calibri" w:hAnsi="Arial" w:cs="Arial"/>
          <w:bCs/>
          <w:lang w:eastAsia="es-CO"/>
        </w:rPr>
        <w:t>l</w:t>
      </w:r>
      <w:r w:rsidR="00E5181F" w:rsidRPr="002216E6">
        <w:rPr>
          <w:rFonts w:ascii="Arial" w:eastAsia="Calibri" w:hAnsi="Arial" w:cs="Arial"/>
          <w:bCs/>
          <w:lang w:eastAsia="es-CO"/>
        </w:rPr>
        <w:t>a manifestación de interés y la conformación de proponentes plurales para participar en un procedimiento de menor cuantía</w:t>
      </w:r>
      <w:r w:rsidR="00E5181F">
        <w:rPr>
          <w:rFonts w:ascii="Arial" w:eastAsia="Calibri" w:hAnsi="Arial" w:cs="Arial"/>
          <w:bCs/>
          <w:lang w:eastAsia="es-CO"/>
        </w:rPr>
        <w:t>.</w:t>
      </w:r>
      <w:bookmarkStart w:id="3" w:name="_Hlk96420298"/>
    </w:p>
    <w:p w14:paraId="51E23062" w14:textId="77777777" w:rsidR="009A0EA5" w:rsidRPr="009A0EA5" w:rsidRDefault="009A0EA5" w:rsidP="002216E6">
      <w:pPr>
        <w:spacing w:line="276" w:lineRule="auto"/>
        <w:ind w:firstLine="708"/>
        <w:jc w:val="both"/>
        <w:rPr>
          <w:rFonts w:ascii="Arial" w:eastAsia="Calibri" w:hAnsi="Arial" w:cs="Arial"/>
        </w:rPr>
      </w:pPr>
      <w:r w:rsidRPr="009A0EA5">
        <w:rPr>
          <w:rFonts w:ascii="Arial" w:eastAsia="Calibri" w:hAnsi="Arial" w:cs="Arial"/>
        </w:rPr>
        <w:t>La Agencia Nacional de Contratación Pública – Colombia Compra Eficiente se ha pronunciado sobre la naturaleza y las obligaciones de los proponentes plurales, en los Conceptos 4201913000007643 del 26 de diciembre de 2019, C-343 del 17 de junio de 2020, C-099 del 6 de abril de 2020, C-518 del 9 de septiembre de 2020, C-701 del 7 de enero de 2022, C-614 del 5 de octubre de 2022, entre otros. A su turno, esta Agencia se refirió a la modalidad de selección abreviada de menor cuantía, en los Conceptos C-139 del 31 de febrero de 2020, C-080 del 5 de marzo de 2020, C-002 del 5 de mayo de 2020, C-093 del 22 de marzo de 2022, C-433 del 5 de julio de 2022, entre otros. La tesis expuesta en esos conceptos se reitera en lo pertinente y se complementa a continuación.</w:t>
      </w:r>
    </w:p>
    <w:bookmarkEnd w:id="3"/>
    <w:p w14:paraId="6D670C05" w14:textId="77777777" w:rsidR="009A0EA5" w:rsidRPr="009A0EA5" w:rsidRDefault="009A0EA5" w:rsidP="009A0EA5">
      <w:pPr>
        <w:spacing w:line="276" w:lineRule="auto"/>
        <w:jc w:val="both"/>
        <w:rPr>
          <w:rFonts w:ascii="Arial" w:eastAsia="Calibri" w:hAnsi="Arial" w:cs="Arial"/>
          <w:b/>
          <w:bCs/>
          <w:color w:val="000000"/>
          <w:lang w:val="es-ES_tradnl" w:eastAsia="es-ES_tradnl"/>
        </w:rPr>
      </w:pPr>
    </w:p>
    <w:p w14:paraId="254515A7" w14:textId="19BEFE99" w:rsidR="009A0EA5" w:rsidRPr="009A0EA5" w:rsidRDefault="009A0EA5" w:rsidP="009A0EA5">
      <w:pPr>
        <w:spacing w:line="276" w:lineRule="auto"/>
        <w:jc w:val="both"/>
        <w:rPr>
          <w:rFonts w:ascii="Arial" w:eastAsia="Calibri" w:hAnsi="Arial" w:cs="Arial"/>
          <w:color w:val="000000"/>
          <w:lang w:val="es-ES_tradnl" w:eastAsia="es-ES_tradnl"/>
        </w:rPr>
      </w:pPr>
      <w:r w:rsidRPr="009A0EA5">
        <w:rPr>
          <w:rFonts w:ascii="Arial" w:eastAsia="Calibri" w:hAnsi="Arial" w:cs="Arial"/>
          <w:b/>
          <w:bCs/>
          <w:color w:val="000000"/>
          <w:lang w:val="es-ES_tradnl" w:eastAsia="es-ES_tradnl"/>
        </w:rPr>
        <w:t>2.1.</w:t>
      </w:r>
      <w:r w:rsidRPr="009A0EA5">
        <w:rPr>
          <w:rFonts w:ascii="Arial" w:eastAsia="Calibri" w:hAnsi="Arial" w:cs="Arial"/>
          <w:b/>
          <w:bCs/>
          <w:color w:val="000000"/>
          <w:lang w:val="pt-BR" w:eastAsia="en-GB"/>
        </w:rPr>
        <w:t xml:space="preserve"> </w:t>
      </w:r>
      <w:r w:rsidR="00F90C49">
        <w:rPr>
          <w:rFonts w:ascii="Arial" w:eastAsia="Calibri" w:hAnsi="Arial" w:cs="Arial"/>
          <w:b/>
          <w:bCs/>
          <w:color w:val="000000"/>
          <w:lang w:eastAsia="en-GB"/>
        </w:rPr>
        <w:t>Capacidad</w:t>
      </w:r>
      <w:r w:rsidR="00F90C49" w:rsidRPr="002216E6">
        <w:rPr>
          <w:rFonts w:ascii="Arial" w:eastAsia="Calibri" w:hAnsi="Arial" w:cs="Arial"/>
          <w:b/>
          <w:bCs/>
          <w:color w:val="000000"/>
          <w:lang w:eastAsia="en-GB"/>
        </w:rPr>
        <w:t xml:space="preserve"> </w:t>
      </w:r>
      <w:r w:rsidRPr="002216E6">
        <w:rPr>
          <w:rFonts w:ascii="Arial" w:eastAsia="Calibri" w:hAnsi="Arial" w:cs="Arial"/>
          <w:b/>
          <w:color w:val="000000"/>
          <w:lang w:eastAsia="en-GB"/>
        </w:rPr>
        <w:t>jurídica de los consorcios y uniones temporales</w:t>
      </w:r>
    </w:p>
    <w:p w14:paraId="665C68A1" w14:textId="77777777" w:rsidR="009A0EA5" w:rsidRPr="009A0EA5" w:rsidRDefault="009A0EA5" w:rsidP="009A0EA5">
      <w:pPr>
        <w:tabs>
          <w:tab w:val="left" w:pos="0"/>
        </w:tabs>
        <w:spacing w:line="276" w:lineRule="auto"/>
        <w:jc w:val="both"/>
        <w:rPr>
          <w:rFonts w:ascii="Arial" w:eastAsia="Calibri" w:hAnsi="Arial" w:cs="Arial"/>
          <w:bCs/>
          <w:color w:val="000000"/>
          <w:lang w:val="es-ES_tradnl" w:eastAsia="es-ES_tradnl" w:bidi="es-ES"/>
        </w:rPr>
      </w:pPr>
    </w:p>
    <w:p w14:paraId="0226D4D7" w14:textId="77777777" w:rsidR="009A0EA5" w:rsidRPr="009A0EA5" w:rsidRDefault="009A0EA5" w:rsidP="009A0EA5">
      <w:pPr>
        <w:tabs>
          <w:tab w:val="left" w:pos="0"/>
        </w:tabs>
        <w:spacing w:line="276" w:lineRule="auto"/>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Uno de los presupuestos para celebrar un contrato estatal, al igual que para celebrar cualquier otro negocio jurídico de forma válida, es el de gozar de capacidad jurídica, entendida como la aptitud de un sujeto para ser titular de derechos y obligaciones, de ejercer o exigir los primeros y contraer las segundas en forma personal y de comparecer en juicio</w:t>
      </w:r>
      <w:r w:rsidRPr="009A0EA5">
        <w:rPr>
          <w:rFonts w:ascii="Arial" w:eastAsia="Calibri" w:hAnsi="Arial" w:cs="Arial"/>
          <w:bCs/>
          <w:color w:val="000000"/>
          <w:vertAlign w:val="superscript"/>
          <w:lang w:val="es-ES_tradnl" w:eastAsia="es-ES_tradnl" w:bidi="es-ES"/>
        </w:rPr>
        <w:footnoteReference w:id="2"/>
      </w:r>
      <w:r w:rsidRPr="009A0EA5">
        <w:rPr>
          <w:rFonts w:ascii="Arial" w:eastAsia="Calibri" w:hAnsi="Arial" w:cs="Arial"/>
          <w:bCs/>
          <w:color w:val="000000"/>
          <w:lang w:val="es-ES_tradnl" w:eastAsia="es-ES_tradnl" w:bidi="es-ES"/>
        </w:rPr>
        <w:t xml:space="preserve">. </w:t>
      </w:r>
    </w:p>
    <w:p w14:paraId="26BFE23F" w14:textId="77777777" w:rsidR="009A0EA5" w:rsidRPr="009A0EA5" w:rsidRDefault="009A0EA5" w:rsidP="009A0EA5">
      <w:pPr>
        <w:tabs>
          <w:tab w:val="left" w:pos="0"/>
        </w:tabs>
        <w:spacing w:before="120"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 xml:space="preserve">La capacidad jurídica permite crear, modificar o extinguir relaciones jurídicas de forma voluntaria y autónoma. De manera que, de acuerdo con lo establecido en el Código Civil, se refiere a la facultad que la ley le confiere a un sujeto para ejercer derechos y contraer obligaciones, partiendo del supuesto de que todas las personas naturales mayores de edad son capaces, con excepción de aquellas que la ley expresamente </w:t>
      </w:r>
      <w:r w:rsidRPr="009A0EA5">
        <w:rPr>
          <w:rFonts w:ascii="Arial" w:eastAsia="Calibri" w:hAnsi="Arial" w:cs="Arial"/>
          <w:bCs/>
          <w:color w:val="000000"/>
          <w:lang w:val="es-ES_tradnl" w:eastAsia="es-ES_tradnl" w:bidi="es-ES"/>
        </w:rPr>
        <w:lastRenderedPageBreak/>
        <w:t xml:space="preserve">excluye de tal presunción </w:t>
      </w:r>
      <w:r w:rsidRPr="009A0EA5">
        <w:rPr>
          <w:rFonts w:ascii="Arial" w:eastAsia="Calibri" w:hAnsi="Arial" w:cs="Arial"/>
          <w:color w:val="000000" w:themeColor="text1"/>
          <w:lang w:val="es-ES"/>
        </w:rPr>
        <w:t>–</w:t>
      </w:r>
      <w:r w:rsidRPr="009A0EA5">
        <w:rPr>
          <w:rFonts w:ascii="Arial" w:eastAsia="Calibri" w:hAnsi="Arial" w:cs="Arial"/>
          <w:bCs/>
          <w:color w:val="000000"/>
          <w:lang w:val="es-ES_tradnl" w:eastAsia="es-ES_tradnl" w:bidi="es-ES"/>
        </w:rPr>
        <w:t>artículos 1502, 1503 y 1504</w:t>
      </w:r>
      <w:r w:rsidRPr="009A0EA5">
        <w:rPr>
          <w:rFonts w:ascii="Arial" w:eastAsia="Calibri" w:hAnsi="Arial" w:cs="Arial"/>
          <w:color w:val="000000" w:themeColor="text1"/>
          <w:lang w:val="es-ES"/>
        </w:rPr>
        <w:t>–</w:t>
      </w:r>
      <w:r w:rsidRPr="009A0EA5">
        <w:rPr>
          <w:rFonts w:ascii="Arial" w:eastAsia="Calibri" w:hAnsi="Arial" w:cs="Arial"/>
          <w:bCs/>
          <w:color w:val="000000"/>
          <w:lang w:val="es-ES_tradnl" w:eastAsia="es-ES_tradnl" w:bidi="es-ES"/>
        </w:rPr>
        <w:t>, y de que la capacidad de las personas jurídicas se circunscribe a lo expresado en su objeto social y su forma de creación</w:t>
      </w:r>
      <w:r w:rsidRPr="009A0EA5">
        <w:rPr>
          <w:rFonts w:ascii="Arial" w:eastAsia="Calibri" w:hAnsi="Arial" w:cs="Arial"/>
          <w:bCs/>
          <w:color w:val="000000"/>
          <w:vertAlign w:val="superscript"/>
          <w:lang w:val="es-ES_tradnl" w:eastAsia="es-ES_tradnl" w:bidi="es-ES"/>
        </w:rPr>
        <w:footnoteReference w:id="3"/>
      </w:r>
      <w:r w:rsidRPr="009A0EA5">
        <w:rPr>
          <w:rFonts w:ascii="Arial" w:eastAsia="Calibri" w:hAnsi="Arial" w:cs="Arial"/>
          <w:bCs/>
          <w:color w:val="000000"/>
          <w:lang w:val="es-ES_tradnl" w:eastAsia="es-ES_tradnl" w:bidi="es-ES"/>
        </w:rPr>
        <w:t>.</w:t>
      </w:r>
    </w:p>
    <w:p w14:paraId="2A574FD3" w14:textId="77777777" w:rsidR="009A0EA5" w:rsidRPr="009A0EA5" w:rsidRDefault="009A0EA5" w:rsidP="009A0EA5">
      <w:pPr>
        <w:tabs>
          <w:tab w:val="left" w:pos="0"/>
        </w:tabs>
        <w:spacing w:before="120"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 xml:space="preserve">El Estatuto General de Contratación de la Administración Pública </w:t>
      </w:r>
      <w:r w:rsidRPr="009A0EA5">
        <w:rPr>
          <w:rFonts w:ascii="Arial" w:eastAsia="Calibri" w:hAnsi="Arial" w:cs="Arial"/>
          <w:color w:val="000000" w:themeColor="text1"/>
          <w:lang w:val="es-ES"/>
        </w:rPr>
        <w:t>–</w:t>
      </w:r>
      <w:r w:rsidRPr="009A0EA5">
        <w:rPr>
          <w:rFonts w:ascii="Arial" w:eastAsia="Calibri" w:hAnsi="Arial" w:cs="Arial"/>
          <w:bCs/>
          <w:color w:val="000000"/>
          <w:lang w:val="es-ES_tradnl" w:eastAsia="es-ES_tradnl" w:bidi="es-ES"/>
        </w:rPr>
        <w:t>artículo 6 Ley 80 de 1993</w:t>
      </w:r>
      <w:r w:rsidRPr="009A0EA5">
        <w:rPr>
          <w:rFonts w:ascii="Arial" w:eastAsia="Calibri" w:hAnsi="Arial" w:cs="Arial"/>
          <w:color w:val="000000" w:themeColor="text1"/>
          <w:lang w:val="es-ES"/>
        </w:rPr>
        <w:t>–</w:t>
      </w:r>
      <w:r w:rsidRPr="009A0EA5">
        <w:rPr>
          <w:rFonts w:ascii="Arial" w:eastAsia="Calibri" w:hAnsi="Arial" w:cs="Arial"/>
          <w:bCs/>
          <w:color w:val="000000"/>
          <w:lang w:val="es-ES_tradnl" w:eastAsia="es-ES_tradnl" w:bidi="es-ES"/>
        </w:rPr>
        <w:t xml:space="preserve">, define lo siguiente respecto de quienes pueden celebrar contratos con las entidades estatales: </w:t>
      </w:r>
    </w:p>
    <w:p w14:paraId="729E2053" w14:textId="77777777" w:rsidR="009A0EA5" w:rsidRPr="009A0EA5" w:rsidRDefault="009A0EA5" w:rsidP="009A0EA5">
      <w:pPr>
        <w:tabs>
          <w:tab w:val="left" w:pos="0"/>
        </w:tabs>
        <w:ind w:left="709" w:right="709"/>
        <w:jc w:val="both"/>
        <w:rPr>
          <w:rFonts w:ascii="Arial" w:eastAsia="Calibri" w:hAnsi="Arial" w:cs="Arial"/>
          <w:bCs/>
          <w:color w:val="000000"/>
          <w:sz w:val="21"/>
          <w:szCs w:val="21"/>
          <w:lang w:val="es-ES_tradnl" w:eastAsia="es-ES_tradnl" w:bidi="es-ES"/>
        </w:rPr>
      </w:pPr>
    </w:p>
    <w:p w14:paraId="374B05B7" w14:textId="2DC40A93" w:rsidR="009A0EA5" w:rsidRPr="009A0EA5" w:rsidRDefault="001A0987" w:rsidP="009A0EA5">
      <w:pPr>
        <w:tabs>
          <w:tab w:val="left" w:pos="0"/>
        </w:tabs>
        <w:ind w:left="709" w:right="709"/>
        <w:jc w:val="both"/>
        <w:rPr>
          <w:rFonts w:ascii="Arial" w:eastAsia="Calibri" w:hAnsi="Arial" w:cs="Arial"/>
          <w:bCs/>
          <w:color w:val="000000"/>
          <w:sz w:val="21"/>
          <w:szCs w:val="21"/>
          <w:lang w:val="es-ES_tradnl" w:eastAsia="es-ES_tradnl" w:bidi="es-ES"/>
        </w:rPr>
      </w:pPr>
      <w:r>
        <w:rPr>
          <w:rFonts w:ascii="Arial" w:eastAsia="Calibri" w:hAnsi="Arial" w:cs="Arial"/>
          <w:bCs/>
          <w:color w:val="000000"/>
          <w:sz w:val="21"/>
          <w:szCs w:val="21"/>
          <w:lang w:val="es-ES_tradnl" w:eastAsia="es-ES_tradnl" w:bidi="es-ES"/>
        </w:rPr>
        <w:t>“</w:t>
      </w:r>
      <w:r w:rsidR="009A0EA5" w:rsidRPr="009A0EA5">
        <w:rPr>
          <w:rFonts w:ascii="Arial" w:eastAsia="Calibri" w:hAnsi="Arial" w:cs="Arial"/>
          <w:bCs/>
          <w:color w:val="000000"/>
          <w:sz w:val="21"/>
          <w:szCs w:val="21"/>
          <w:lang w:val="es-ES_tradnl" w:eastAsia="es-ES_tradnl" w:bidi="es-ES"/>
        </w:rPr>
        <w:t xml:space="preserve">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 </w:t>
      </w:r>
    </w:p>
    <w:p w14:paraId="5427172B" w14:textId="77777777" w:rsidR="009A0EA5" w:rsidRPr="009A0EA5" w:rsidRDefault="009A0EA5" w:rsidP="009A0EA5">
      <w:pPr>
        <w:tabs>
          <w:tab w:val="left" w:pos="0"/>
        </w:tabs>
        <w:ind w:left="709" w:right="709"/>
        <w:jc w:val="both"/>
        <w:rPr>
          <w:rFonts w:ascii="Arial" w:eastAsia="Calibri" w:hAnsi="Arial" w:cs="Arial"/>
          <w:bCs/>
          <w:color w:val="000000"/>
          <w:sz w:val="21"/>
          <w:szCs w:val="21"/>
          <w:lang w:val="es-ES_tradnl" w:eastAsia="es-ES_tradnl" w:bidi="es-ES"/>
        </w:rPr>
      </w:pPr>
    </w:p>
    <w:p w14:paraId="7AB0B6B7" w14:textId="49509605" w:rsidR="009A0EA5" w:rsidRPr="009A0EA5" w:rsidRDefault="009A0EA5" w:rsidP="009A0EA5">
      <w:pPr>
        <w:tabs>
          <w:tab w:val="left" w:pos="0"/>
        </w:tabs>
        <w:ind w:left="709" w:right="709"/>
        <w:jc w:val="both"/>
        <w:rPr>
          <w:rFonts w:ascii="Arial" w:eastAsia="Calibri" w:hAnsi="Arial" w:cs="Arial"/>
          <w:bCs/>
          <w:color w:val="000000"/>
          <w:sz w:val="21"/>
          <w:szCs w:val="21"/>
          <w:lang w:val="es-ES_tradnl" w:eastAsia="es-ES_tradnl" w:bidi="es-ES"/>
        </w:rPr>
      </w:pPr>
      <w:r w:rsidRPr="009A0EA5">
        <w:rPr>
          <w:rFonts w:ascii="Arial" w:eastAsia="Calibri" w:hAnsi="Arial" w:cs="Arial"/>
          <w:bCs/>
          <w:color w:val="000000"/>
          <w:sz w:val="21"/>
          <w:szCs w:val="21"/>
          <w:lang w:val="es-ES_tradnl" w:eastAsia="es-ES_tradnl" w:bidi="es-ES"/>
        </w:rPr>
        <w:t xml:space="preserve">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w:t>
      </w:r>
      <w:r w:rsidRPr="009A0EA5">
        <w:rPr>
          <w:rFonts w:ascii="Arial" w:eastAsia="Calibri" w:hAnsi="Arial" w:cs="Arial"/>
          <w:bCs/>
          <w:i/>
          <w:iCs/>
          <w:color w:val="000000"/>
          <w:sz w:val="21"/>
          <w:szCs w:val="21"/>
          <w:lang w:val="es-ES_tradnl" w:eastAsia="es-ES_tradnl" w:bidi="es-ES"/>
        </w:rPr>
        <w:t>los consorcios y uniones temporales</w:t>
      </w:r>
      <w:r w:rsidR="001A0987">
        <w:rPr>
          <w:rFonts w:ascii="Arial" w:eastAsia="Calibri" w:hAnsi="Arial" w:cs="Arial"/>
          <w:bCs/>
          <w:i/>
          <w:iCs/>
          <w:color w:val="000000"/>
          <w:sz w:val="21"/>
          <w:szCs w:val="21"/>
          <w:lang w:val="es-ES_tradnl" w:eastAsia="es-ES_tradnl" w:bidi="es-ES"/>
        </w:rPr>
        <w:t>”</w:t>
      </w:r>
      <w:r w:rsidRPr="009A0EA5">
        <w:rPr>
          <w:rFonts w:ascii="Arial" w:eastAsia="Calibri" w:hAnsi="Arial" w:cs="Arial"/>
          <w:bCs/>
          <w:color w:val="000000"/>
          <w:sz w:val="21"/>
          <w:szCs w:val="21"/>
          <w:lang w:val="es-ES_tradnl" w:eastAsia="es-ES_tradnl" w:bidi="es-ES"/>
        </w:rPr>
        <w:t>.</w:t>
      </w:r>
    </w:p>
    <w:p w14:paraId="685E9279" w14:textId="77777777" w:rsidR="009A0EA5" w:rsidRPr="009A0EA5" w:rsidRDefault="009A0EA5" w:rsidP="009A0EA5">
      <w:pPr>
        <w:tabs>
          <w:tab w:val="left" w:pos="0"/>
        </w:tabs>
        <w:ind w:left="709" w:right="709"/>
        <w:jc w:val="both"/>
        <w:rPr>
          <w:rFonts w:ascii="Arial" w:eastAsia="Calibri" w:hAnsi="Arial" w:cs="Arial"/>
          <w:bCs/>
          <w:color w:val="000000"/>
          <w:sz w:val="21"/>
          <w:szCs w:val="21"/>
          <w:lang w:val="es-ES_tradnl" w:eastAsia="es-ES_tradnl" w:bidi="es-ES"/>
        </w:rPr>
      </w:pPr>
    </w:p>
    <w:p w14:paraId="0F261FE0" w14:textId="77777777" w:rsidR="009A0EA5" w:rsidRPr="009A0EA5" w:rsidRDefault="009A0EA5" w:rsidP="009A0EA5">
      <w:pPr>
        <w:tabs>
          <w:tab w:val="left" w:pos="0"/>
        </w:tabs>
        <w:ind w:left="709" w:right="709"/>
        <w:jc w:val="both"/>
        <w:rPr>
          <w:rFonts w:ascii="Arial" w:eastAsia="Calibri" w:hAnsi="Arial" w:cs="Arial"/>
          <w:bCs/>
          <w:color w:val="000000"/>
          <w:lang w:val="es-ES_tradnl" w:eastAsia="es-ES_tradnl" w:bidi="es-ES"/>
        </w:rPr>
      </w:pPr>
      <w:r w:rsidRPr="009A0EA5">
        <w:rPr>
          <w:rFonts w:ascii="Arial" w:eastAsia="Calibri" w:hAnsi="Arial" w:cs="Arial"/>
          <w:bCs/>
          <w:color w:val="000000"/>
          <w:sz w:val="21"/>
          <w:szCs w:val="21"/>
          <w:lang w:val="es-ES_tradnl" w:eastAsia="es-ES_tradnl" w:bidi="es-ES"/>
        </w:rPr>
        <w:t xml:space="preserve">Las personas jurídicas nacionales y extranjeras deberán acreditar que su duración no será inferior a la del plazo del contrato y un año más. [Cursiva fuera del original] </w:t>
      </w:r>
    </w:p>
    <w:p w14:paraId="44A187C7" w14:textId="77777777" w:rsidR="009A0EA5" w:rsidRPr="009A0EA5" w:rsidRDefault="009A0EA5" w:rsidP="009A0EA5">
      <w:pPr>
        <w:tabs>
          <w:tab w:val="left" w:pos="0"/>
        </w:tabs>
        <w:spacing w:line="276" w:lineRule="auto"/>
        <w:ind w:firstLine="709"/>
        <w:jc w:val="both"/>
        <w:rPr>
          <w:rFonts w:ascii="Arial" w:eastAsia="Calibri" w:hAnsi="Arial" w:cs="Arial"/>
          <w:bCs/>
          <w:color w:val="000000"/>
          <w:lang w:val="es-ES_tradnl" w:eastAsia="es-ES_tradnl" w:bidi="es-ES"/>
        </w:rPr>
      </w:pPr>
    </w:p>
    <w:p w14:paraId="03E2A800" w14:textId="77777777" w:rsidR="009A0EA5" w:rsidRPr="009A0EA5" w:rsidRDefault="009A0EA5" w:rsidP="009A0EA5">
      <w:pPr>
        <w:tabs>
          <w:tab w:val="left" w:pos="0"/>
        </w:tabs>
        <w:spacing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En consecuencia, en 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w:t>
      </w:r>
      <w:r w:rsidRPr="009A0EA5" w:rsidDel="00C8511F">
        <w:rPr>
          <w:rFonts w:ascii="Arial" w:eastAsia="Calibri" w:hAnsi="Arial" w:cs="Arial"/>
          <w:bCs/>
          <w:color w:val="000000"/>
          <w:lang w:val="es-ES_tradnl" w:eastAsia="es-ES_tradnl" w:bidi="es-ES"/>
        </w:rPr>
        <w:t xml:space="preserve"> </w:t>
      </w:r>
      <w:r w:rsidRPr="009A0EA5">
        <w:rPr>
          <w:rFonts w:ascii="Arial" w:eastAsia="Calibri" w:hAnsi="Arial" w:cs="Arial"/>
          <w:bCs/>
          <w:color w:val="000000"/>
          <w:lang w:val="es-ES_tradnl" w:eastAsia="es-ES_tradnl" w:bidi="es-ES"/>
        </w:rPr>
        <w:t>estatal:</w:t>
      </w:r>
    </w:p>
    <w:p w14:paraId="2953BF26" w14:textId="77777777" w:rsidR="009A0EA5" w:rsidRPr="009A0EA5" w:rsidRDefault="009A0EA5" w:rsidP="009A0EA5">
      <w:pPr>
        <w:tabs>
          <w:tab w:val="left" w:pos="0"/>
        </w:tabs>
        <w:spacing w:line="276" w:lineRule="auto"/>
        <w:ind w:firstLine="709"/>
        <w:jc w:val="both"/>
        <w:rPr>
          <w:rFonts w:ascii="Arial" w:eastAsia="Calibri" w:hAnsi="Arial" w:cs="Arial"/>
          <w:bCs/>
          <w:color w:val="000000"/>
          <w:lang w:val="es-ES_tradnl" w:eastAsia="es-ES_tradnl" w:bidi="es-ES"/>
        </w:rPr>
      </w:pPr>
    </w:p>
    <w:p w14:paraId="0CD8E2A9" w14:textId="77777777" w:rsidR="009A0EA5" w:rsidRPr="009A0EA5" w:rsidRDefault="009A0EA5" w:rsidP="009A0EA5">
      <w:pPr>
        <w:tabs>
          <w:tab w:val="left" w:pos="0"/>
        </w:tabs>
        <w:ind w:left="709" w:right="709"/>
        <w:jc w:val="both"/>
        <w:rPr>
          <w:rFonts w:ascii="Arial" w:eastAsia="Calibri" w:hAnsi="Arial" w:cs="Arial"/>
          <w:bCs/>
          <w:i/>
          <w:iCs/>
          <w:color w:val="000000"/>
          <w:sz w:val="21"/>
          <w:lang w:val="es-ES_tradnl" w:eastAsia="es-ES_tradnl" w:bidi="es-ES"/>
        </w:rPr>
      </w:pPr>
      <w:r w:rsidRPr="009A0EA5">
        <w:rPr>
          <w:rFonts w:ascii="Arial" w:eastAsia="Calibri" w:hAnsi="Arial" w:cs="Arial"/>
          <w:bCs/>
          <w:color w:val="000000"/>
          <w:sz w:val="21"/>
          <w:lang w:val="es-ES_tradnl" w:eastAsia="es-ES_tradnl" w:bidi="es-ES"/>
        </w:rPr>
        <w:t>“</w:t>
      </w:r>
      <w:r w:rsidRPr="009A0EA5">
        <w:rPr>
          <w:rFonts w:ascii="Arial" w:eastAsia="Calibri" w:hAnsi="Arial" w:cs="Arial"/>
          <w:bCs/>
          <w:i/>
          <w:iCs/>
          <w:color w:val="000000"/>
          <w:sz w:val="21"/>
          <w:lang w:val="es-ES_tradnl" w:eastAsia="es-ES_tradnl" w:bidi="es-ES"/>
        </w:rPr>
        <w:t>Artículo 7o. Entidades a contratar:</w:t>
      </w:r>
    </w:p>
    <w:p w14:paraId="777C164D" w14:textId="77777777" w:rsidR="009A0EA5" w:rsidRPr="009A0EA5" w:rsidRDefault="009A0EA5" w:rsidP="009A0EA5">
      <w:pPr>
        <w:tabs>
          <w:tab w:val="left" w:pos="0"/>
        </w:tabs>
        <w:ind w:left="709" w:right="709"/>
        <w:jc w:val="both"/>
        <w:rPr>
          <w:rFonts w:ascii="Arial" w:eastAsia="Calibri" w:hAnsi="Arial" w:cs="Arial"/>
          <w:bCs/>
          <w:i/>
          <w:iCs/>
          <w:color w:val="000000"/>
          <w:sz w:val="21"/>
          <w:lang w:val="es-ES_tradnl" w:eastAsia="es-ES_tradnl" w:bidi="es-ES"/>
        </w:rPr>
      </w:pPr>
      <w:r w:rsidRPr="009A0EA5">
        <w:rPr>
          <w:rFonts w:ascii="Arial" w:eastAsia="Calibri" w:hAnsi="Arial" w:cs="Arial"/>
          <w:bCs/>
          <w:i/>
          <w:iCs/>
          <w:color w:val="000000"/>
          <w:sz w:val="21"/>
          <w:lang w:val="es-ES_tradnl" w:eastAsia="es-ES_tradnl" w:bidi="es-ES"/>
        </w:rPr>
        <w:t>[…]</w:t>
      </w:r>
    </w:p>
    <w:p w14:paraId="6E708EEA"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r w:rsidRPr="009A0EA5">
        <w:rPr>
          <w:rFonts w:ascii="Arial" w:eastAsia="Calibri" w:hAnsi="Arial" w:cs="Arial"/>
          <w:bCs/>
          <w:i/>
          <w:iCs/>
          <w:color w:val="000000"/>
          <w:sz w:val="21"/>
          <w:lang w:val="es-ES_tradnl" w:eastAsia="es-ES_tradnl" w:bidi="es-ES"/>
        </w:rPr>
        <w:t>6.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6F27AC74"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p>
    <w:p w14:paraId="600FCB4F"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r w:rsidRPr="009A0EA5">
        <w:rPr>
          <w:rFonts w:ascii="Arial" w:eastAsia="Calibri" w:hAnsi="Arial" w:cs="Arial"/>
          <w:bCs/>
          <w:i/>
          <w:iCs/>
          <w:color w:val="000000"/>
          <w:sz w:val="21"/>
          <w:lang w:val="es-ES_tradnl" w:eastAsia="es-ES_tradnl" w:bidi="es-ES"/>
        </w:rPr>
        <w:lastRenderedPageBreak/>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58F78890"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r w:rsidRPr="009A0EA5">
        <w:rPr>
          <w:rFonts w:ascii="Arial" w:eastAsia="Calibri" w:hAnsi="Arial" w:cs="Arial"/>
          <w:bCs/>
          <w:i/>
          <w:iCs/>
          <w:color w:val="000000"/>
          <w:sz w:val="21"/>
          <w:lang w:val="es-ES_tradnl" w:eastAsia="es-ES_tradnl" w:bidi="es-ES"/>
        </w:rPr>
        <w:t>[…]</w:t>
      </w:r>
    </w:p>
    <w:p w14:paraId="2B3EE79D"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p>
    <w:p w14:paraId="274829B5"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r w:rsidRPr="009A0EA5">
        <w:rPr>
          <w:rFonts w:ascii="Arial" w:eastAsia="Calibri" w:hAnsi="Arial" w:cs="Arial"/>
          <w:bCs/>
          <w:i/>
          <w:iCs/>
          <w:color w:val="000000"/>
          <w:sz w:val="21"/>
          <w:lang w:val="es-ES_tradnl" w:eastAsia="es-ES_tradnl" w:bidi="es-ES"/>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1674DD06"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p>
    <w:p w14:paraId="1C4FE19C"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r w:rsidRPr="009A0EA5">
        <w:rPr>
          <w:rFonts w:ascii="Arial" w:eastAsia="Calibri" w:hAnsi="Arial" w:cs="Arial"/>
          <w:bCs/>
          <w:i/>
          <w:iCs/>
          <w:color w:val="000000"/>
          <w:sz w:val="21"/>
          <w:lang w:val="es-ES_tradnl" w:eastAsia="es-ES_tradnl" w:bidi="es-ES"/>
        </w:rPr>
        <w:t>Los miembros del consorcio y de la unión temporal deberán designar la persona que, para todos los efectos, representará al consorcio o unión temporal y señalarán las reglas básicas que regulen las relaciones entre ellos y su responsabilidad.</w:t>
      </w:r>
    </w:p>
    <w:p w14:paraId="3F8EDA84"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p>
    <w:p w14:paraId="6661C04F"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r w:rsidRPr="009A0EA5">
        <w:rPr>
          <w:rFonts w:ascii="Arial" w:eastAsia="Calibri" w:hAnsi="Arial" w:cs="Arial"/>
          <w:bCs/>
          <w:i/>
          <w:iCs/>
          <w:color w:val="000000"/>
          <w:sz w:val="21"/>
          <w:lang w:val="es-ES_tradnl" w:eastAsia="es-ES_tradnl" w:bidi="es-ES"/>
        </w:rPr>
        <w:t>PARÁGRAFO 2o. En los casos en que se conformen sociedades bajo cualquiera de las modalidades previstas en la ley con el único objeto de presentar una propuesta, celebrar y ejecutar un contrato estatal, la responsabilidad y sus efectos se regirá por las disposiciones previstas en esta ley para los consorcios.</w:t>
      </w:r>
    </w:p>
    <w:p w14:paraId="4F1B860B" w14:textId="77777777" w:rsidR="009A0EA5" w:rsidRPr="009A0EA5" w:rsidRDefault="009A0EA5" w:rsidP="009A0EA5">
      <w:pPr>
        <w:tabs>
          <w:tab w:val="left" w:pos="0"/>
        </w:tabs>
        <w:ind w:left="708" w:right="709"/>
        <w:jc w:val="both"/>
        <w:rPr>
          <w:rFonts w:ascii="Arial" w:eastAsia="Calibri" w:hAnsi="Arial" w:cs="Arial"/>
          <w:bCs/>
          <w:i/>
          <w:iCs/>
          <w:color w:val="000000"/>
          <w:sz w:val="21"/>
          <w:lang w:val="es-ES_tradnl" w:eastAsia="es-ES_tradnl" w:bidi="es-ES"/>
        </w:rPr>
      </w:pPr>
    </w:p>
    <w:p w14:paraId="6DF22AB0" w14:textId="198BD148" w:rsidR="009A0EA5" w:rsidRPr="009A0EA5" w:rsidRDefault="009A0EA5" w:rsidP="009A0EA5">
      <w:pPr>
        <w:tabs>
          <w:tab w:val="left" w:pos="0"/>
        </w:tabs>
        <w:ind w:left="708" w:right="709"/>
        <w:jc w:val="both"/>
        <w:rPr>
          <w:rFonts w:ascii="Arial" w:eastAsia="Calibri" w:hAnsi="Arial" w:cs="Arial"/>
          <w:color w:val="000000"/>
          <w:lang w:val="es-ES_tradnl" w:eastAsia="es-ES_tradnl" w:bidi="es-ES"/>
        </w:rPr>
      </w:pPr>
      <w:r w:rsidRPr="009A0EA5">
        <w:rPr>
          <w:rFonts w:ascii="Arial" w:eastAsia="Calibri" w:hAnsi="Arial" w:cs="Arial"/>
          <w:bCs/>
          <w:i/>
          <w:iCs/>
          <w:color w:val="000000"/>
          <w:sz w:val="21"/>
          <w:lang w:val="es-ES_tradnl" w:eastAsia="es-ES_tradnl" w:bidi="es-ES"/>
        </w:rPr>
        <w:t>PARÁGRAFO 3o. Los miembros que hagan parte de los consorcios o uniones temporales no podrán contratar acorde con lo previsto en la presente ley cuando hayan sido sancionados disciplinaria, fiscal o penalmente</w:t>
      </w:r>
      <w:r w:rsidR="00B34FBF">
        <w:rPr>
          <w:rFonts w:ascii="Arial" w:eastAsia="Calibri" w:hAnsi="Arial" w:cs="Arial"/>
          <w:bCs/>
          <w:i/>
          <w:iCs/>
          <w:color w:val="000000"/>
          <w:sz w:val="21"/>
          <w:lang w:val="es-ES_tradnl" w:eastAsia="es-ES_tradnl" w:bidi="es-ES"/>
        </w:rPr>
        <w:t>”</w:t>
      </w:r>
      <w:r w:rsidRPr="009A0EA5">
        <w:rPr>
          <w:rFonts w:ascii="Arial" w:eastAsia="Calibri" w:hAnsi="Arial" w:cs="Arial"/>
          <w:bCs/>
          <w:i/>
          <w:iCs/>
          <w:color w:val="000000"/>
          <w:sz w:val="21"/>
          <w:lang w:val="es-ES_tradnl" w:eastAsia="es-ES_tradnl" w:bidi="es-ES"/>
        </w:rPr>
        <w:t>.</w:t>
      </w:r>
    </w:p>
    <w:p w14:paraId="7E5C81D8" w14:textId="77777777" w:rsidR="009A0EA5" w:rsidRPr="009A0EA5" w:rsidRDefault="009A0EA5" w:rsidP="009A0EA5">
      <w:pPr>
        <w:tabs>
          <w:tab w:val="left" w:pos="0"/>
        </w:tabs>
        <w:spacing w:line="276" w:lineRule="auto"/>
        <w:ind w:firstLine="709"/>
        <w:jc w:val="both"/>
        <w:rPr>
          <w:rFonts w:ascii="Arial" w:eastAsia="Calibri" w:hAnsi="Arial" w:cs="Arial"/>
          <w:bCs/>
          <w:color w:val="000000"/>
          <w:lang w:val="es-ES_tradnl" w:eastAsia="es-ES_tradnl" w:bidi="es-ES"/>
        </w:rPr>
      </w:pPr>
    </w:p>
    <w:p w14:paraId="3DEE287D" w14:textId="77777777" w:rsidR="009A0EA5" w:rsidRPr="009A0EA5" w:rsidRDefault="009A0EA5" w:rsidP="009A0EA5">
      <w:pPr>
        <w:tabs>
          <w:tab w:val="left" w:pos="0"/>
        </w:tabs>
        <w:spacing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Los consorcios</w:t>
      </w:r>
      <w:r w:rsidRPr="009A0EA5">
        <w:rPr>
          <w:rFonts w:ascii="Arial" w:eastAsia="Calibri" w:hAnsi="Arial" w:cs="Arial"/>
          <w:bCs/>
          <w:color w:val="000000"/>
          <w:vertAlign w:val="superscript"/>
          <w:lang w:val="es-ES_tradnl" w:eastAsia="es-ES_tradnl" w:bidi="es-ES"/>
        </w:rPr>
        <w:footnoteReference w:id="4"/>
      </w:r>
      <w:r w:rsidRPr="009A0EA5">
        <w:rPr>
          <w:rFonts w:ascii="Arial" w:eastAsia="Calibri" w:hAnsi="Arial" w:cs="Arial"/>
          <w:bCs/>
          <w:color w:val="000000"/>
          <w:lang w:val="es-ES_tradnl" w:eastAsia="es-ES_tradnl" w:bidi="es-ES"/>
        </w:rPr>
        <w:t xml:space="preserve">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14:paraId="74942856" w14:textId="77777777" w:rsidR="009A0EA5" w:rsidRPr="009A0EA5" w:rsidRDefault="009A0EA5" w:rsidP="009A0EA5">
      <w:pPr>
        <w:tabs>
          <w:tab w:val="left" w:pos="0"/>
        </w:tabs>
        <w:spacing w:before="120"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 xml:space="preserve">La diferencia entre los consorcios y las uniones temporales radica en la responsabilidad frente a las eventuales sanciones que lleguen a generarse por el incumplimiento de las obligaciones del contrato, toda vez que, tratándose de una unión temporal, estas se individualizan según el grado de participación de sus miembros, </w:t>
      </w:r>
      <w:r w:rsidRPr="009A0EA5">
        <w:rPr>
          <w:rFonts w:ascii="Arial" w:eastAsia="Calibri" w:hAnsi="Arial" w:cs="Arial"/>
          <w:bCs/>
          <w:color w:val="000000"/>
          <w:lang w:val="es-ES_tradnl" w:eastAsia="es-ES_tradnl" w:bidi="es-ES"/>
        </w:rPr>
        <w:lastRenderedPageBreak/>
        <w:t>mientras que en el consorcio dicha individualización no opera, ya que sus miembros responderán solidariamente frente a las sanciones que correspondan. Sobre el particular la Corte Constitucional en sentencia C – 949 de 2001</w:t>
      </w:r>
      <w:r w:rsidRPr="009A0EA5">
        <w:rPr>
          <w:rFonts w:ascii="Arial" w:eastAsia="Calibri" w:hAnsi="Arial" w:cs="Arial"/>
          <w:bCs/>
          <w:color w:val="000000"/>
          <w:vertAlign w:val="superscript"/>
          <w:lang w:val="es-ES_tradnl" w:eastAsia="es-ES_tradnl" w:bidi="es-ES"/>
        </w:rPr>
        <w:footnoteReference w:id="5"/>
      </w:r>
      <w:r w:rsidRPr="009A0EA5">
        <w:rPr>
          <w:rFonts w:ascii="Arial" w:eastAsia="Calibri" w:hAnsi="Arial" w:cs="Arial"/>
          <w:bCs/>
          <w:color w:val="000000"/>
          <w:lang w:val="es-ES_tradnl" w:eastAsia="es-ES_tradnl" w:bidi="es-ES"/>
        </w:rPr>
        <w:t xml:space="preserve"> consideró lo siguiente:</w:t>
      </w:r>
    </w:p>
    <w:p w14:paraId="72DC5EC7" w14:textId="77777777" w:rsidR="009A0EA5" w:rsidRPr="009A0EA5" w:rsidRDefault="009A0EA5" w:rsidP="009A0EA5">
      <w:pPr>
        <w:tabs>
          <w:tab w:val="left" w:pos="0"/>
        </w:tabs>
        <w:ind w:left="709" w:right="709"/>
        <w:jc w:val="both"/>
        <w:rPr>
          <w:rFonts w:ascii="Arial" w:eastAsia="Calibri" w:hAnsi="Arial" w:cs="Arial"/>
          <w:bCs/>
          <w:color w:val="000000"/>
          <w:sz w:val="21"/>
          <w:lang w:val="es-ES_tradnl" w:eastAsia="es-ES_tradnl" w:bidi="es-ES"/>
        </w:rPr>
      </w:pPr>
    </w:p>
    <w:p w14:paraId="0B2CFC18" w14:textId="2AF0169A" w:rsidR="009A0EA5" w:rsidRPr="009A0EA5" w:rsidRDefault="00914DE4" w:rsidP="009A0EA5">
      <w:pPr>
        <w:tabs>
          <w:tab w:val="left" w:pos="0"/>
        </w:tabs>
        <w:ind w:left="709" w:right="709"/>
        <w:jc w:val="both"/>
        <w:rPr>
          <w:rFonts w:ascii="Arial" w:eastAsia="Calibri" w:hAnsi="Arial" w:cs="Arial"/>
          <w:b/>
          <w:bCs/>
          <w:color w:val="000000"/>
          <w:sz w:val="21"/>
          <w:lang w:val="es-ES_tradnl" w:eastAsia="es-ES_tradnl" w:bidi="es-ES"/>
        </w:rPr>
      </w:pPr>
      <w:r>
        <w:rPr>
          <w:rFonts w:ascii="Arial" w:eastAsia="Calibri" w:hAnsi="Arial" w:cs="Arial"/>
          <w:bCs/>
          <w:color w:val="000000"/>
          <w:sz w:val="21"/>
          <w:lang w:val="es-ES_tradnl" w:eastAsia="es-ES_tradnl" w:bidi="es-ES"/>
        </w:rPr>
        <w:t>“</w:t>
      </w:r>
      <w:r w:rsidR="009A0EA5" w:rsidRPr="009A0EA5">
        <w:rPr>
          <w:rFonts w:ascii="Arial" w:eastAsia="Calibri" w:hAnsi="Arial" w:cs="Arial"/>
          <w:bCs/>
          <w:color w:val="000000"/>
          <w:sz w:val="21"/>
          <w:lang w:val="es-ES_tradnl" w:eastAsia="es-ES_tradnl" w:bidi="es-ES"/>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009A0EA5" w:rsidRPr="009A0EA5">
        <w:rPr>
          <w:rFonts w:ascii="Arial" w:eastAsia="Calibri" w:hAnsi="Arial" w:cs="Arial"/>
          <w:color w:val="000000"/>
          <w:sz w:val="21"/>
          <w:lang w:val="es-ES_tradnl" w:eastAsia="es-ES_tradnl" w:bidi="es-ES"/>
        </w:rPr>
        <w:t xml:space="preserve"> […]</w:t>
      </w:r>
    </w:p>
    <w:p w14:paraId="57CFEBAD" w14:textId="77777777" w:rsidR="009A0EA5" w:rsidRPr="009A0EA5" w:rsidRDefault="009A0EA5" w:rsidP="009A0EA5">
      <w:pPr>
        <w:tabs>
          <w:tab w:val="left" w:pos="0"/>
        </w:tabs>
        <w:ind w:left="709" w:right="709"/>
        <w:jc w:val="both"/>
        <w:rPr>
          <w:rFonts w:ascii="Arial" w:eastAsia="Calibri" w:hAnsi="Arial" w:cs="Arial"/>
          <w:bCs/>
          <w:color w:val="000000"/>
          <w:sz w:val="21"/>
          <w:lang w:val="es-ES_tradnl" w:eastAsia="es-ES_tradnl" w:bidi="es-ES"/>
        </w:rPr>
      </w:pPr>
    </w:p>
    <w:p w14:paraId="5E912636" w14:textId="77777777" w:rsidR="009A0EA5" w:rsidRPr="009A0EA5" w:rsidRDefault="009A0EA5" w:rsidP="009A0EA5">
      <w:pPr>
        <w:tabs>
          <w:tab w:val="left" w:pos="0"/>
        </w:tabs>
        <w:ind w:left="709" w:right="709"/>
        <w:jc w:val="both"/>
        <w:rPr>
          <w:rFonts w:ascii="Arial" w:eastAsia="Calibri" w:hAnsi="Arial" w:cs="Arial"/>
          <w:bCs/>
          <w:color w:val="000000"/>
          <w:sz w:val="21"/>
          <w:lang w:val="es-ES_tradnl" w:eastAsia="es-ES_tradnl" w:bidi="es-ES"/>
        </w:rPr>
      </w:pPr>
      <w:r w:rsidRPr="009A0EA5">
        <w:rPr>
          <w:rFonts w:ascii="Arial" w:eastAsia="Calibri" w:hAnsi="Arial" w:cs="Arial"/>
          <w:bCs/>
          <w:color w:val="000000"/>
          <w:sz w:val="21"/>
          <w:lang w:val="es-ES_tradnl" w:eastAsia="es-ES_tradnl" w:bidi="es-ES"/>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 […]</w:t>
      </w:r>
    </w:p>
    <w:p w14:paraId="0173C1B5" w14:textId="77777777" w:rsidR="009A0EA5" w:rsidRPr="009A0EA5" w:rsidRDefault="009A0EA5" w:rsidP="009A0EA5">
      <w:pPr>
        <w:tabs>
          <w:tab w:val="left" w:pos="0"/>
        </w:tabs>
        <w:ind w:left="709" w:right="709"/>
        <w:jc w:val="both"/>
        <w:rPr>
          <w:rFonts w:ascii="Arial" w:eastAsia="Calibri" w:hAnsi="Arial" w:cs="Arial"/>
          <w:bCs/>
          <w:color w:val="000000"/>
          <w:sz w:val="21"/>
          <w:lang w:val="es-ES_tradnl" w:eastAsia="es-ES_tradnl" w:bidi="es-ES"/>
        </w:rPr>
      </w:pPr>
    </w:p>
    <w:p w14:paraId="50DAF94C" w14:textId="51C15B3E" w:rsidR="009A0EA5" w:rsidRPr="009A0EA5" w:rsidRDefault="009A0EA5" w:rsidP="009A0EA5">
      <w:pPr>
        <w:tabs>
          <w:tab w:val="left" w:pos="0"/>
        </w:tabs>
        <w:ind w:left="709" w:right="709"/>
        <w:jc w:val="both"/>
        <w:rPr>
          <w:rFonts w:ascii="Arial" w:eastAsia="Calibri" w:hAnsi="Arial" w:cs="Arial"/>
          <w:bCs/>
          <w:color w:val="000000"/>
          <w:lang w:val="es-ES_tradnl" w:eastAsia="es-ES_tradnl" w:bidi="es-ES"/>
        </w:rPr>
      </w:pPr>
      <w:r w:rsidRPr="009A0EA5">
        <w:rPr>
          <w:rFonts w:ascii="Arial" w:eastAsia="Calibri" w:hAnsi="Arial" w:cs="Arial"/>
          <w:bCs/>
          <w:color w:val="000000"/>
          <w:sz w:val="21"/>
          <w:lang w:val="es-ES_tradnl" w:eastAsia="es-ES_tradnl" w:bidi="es-ES"/>
        </w:rPr>
        <w:t>La Ley 80 de 1993, al crear las figuras de los consorcios y uniones temporales y constituirlas como sujetos de la contratación administrativa, reconoce una 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 Superiores)</w:t>
      </w:r>
      <w:r w:rsidR="00914DE4">
        <w:rPr>
          <w:rFonts w:ascii="Arial" w:eastAsia="Calibri" w:hAnsi="Arial" w:cs="Arial"/>
          <w:bCs/>
          <w:color w:val="000000"/>
          <w:sz w:val="21"/>
          <w:lang w:val="es-ES_tradnl" w:eastAsia="es-ES_tradnl" w:bidi="es-ES"/>
        </w:rPr>
        <w:t>”</w:t>
      </w:r>
      <w:r w:rsidRPr="009A0EA5">
        <w:rPr>
          <w:rFonts w:ascii="Arial" w:eastAsia="Calibri" w:hAnsi="Arial" w:cs="Arial"/>
          <w:bCs/>
          <w:color w:val="000000"/>
          <w:sz w:val="21"/>
          <w:lang w:val="es-ES_tradnl" w:eastAsia="es-ES_tradnl" w:bidi="es-ES"/>
        </w:rPr>
        <w:t>.</w:t>
      </w:r>
    </w:p>
    <w:p w14:paraId="7B9AA974" w14:textId="77777777" w:rsidR="009A0EA5" w:rsidRPr="009A0EA5" w:rsidRDefault="009A0EA5" w:rsidP="009A0EA5">
      <w:pPr>
        <w:tabs>
          <w:tab w:val="left" w:pos="0"/>
        </w:tabs>
        <w:spacing w:line="276" w:lineRule="auto"/>
        <w:ind w:firstLine="709"/>
        <w:jc w:val="both"/>
        <w:rPr>
          <w:rFonts w:ascii="Arial" w:eastAsia="Calibri" w:hAnsi="Arial" w:cs="Arial"/>
          <w:bCs/>
          <w:color w:val="000000"/>
          <w:lang w:val="es-ES_tradnl" w:eastAsia="es-ES_tradnl" w:bidi="es-ES"/>
        </w:rPr>
      </w:pPr>
    </w:p>
    <w:p w14:paraId="7763D26E" w14:textId="77777777" w:rsidR="009A0EA5" w:rsidRPr="009A0EA5" w:rsidRDefault="009A0EA5" w:rsidP="009A0EA5">
      <w:pPr>
        <w:tabs>
          <w:tab w:val="left" w:pos="0"/>
        </w:tabs>
        <w:spacing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4B8CB993" w14:textId="77777777" w:rsidR="009A0EA5" w:rsidRPr="009A0EA5" w:rsidRDefault="009A0EA5" w:rsidP="009A0EA5">
      <w:pPr>
        <w:tabs>
          <w:tab w:val="left" w:pos="0"/>
        </w:tabs>
        <w:spacing w:before="120"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Por lo anterior, cabe mencionar que el contrato de constitución del consorcio o unión temporal debe designar las facultades del “representante</w:t>
      </w:r>
      <w:r w:rsidRPr="009A0EA5">
        <w:rPr>
          <w:rFonts w:ascii="Arial" w:eastAsia="Calibri" w:hAnsi="Arial" w:cs="Arial"/>
          <w:color w:val="000000"/>
          <w:lang w:val="es-ES_tradnl" w:eastAsia="es-ES_tradnl" w:bidi="es-ES"/>
        </w:rPr>
        <w:t>”</w:t>
      </w:r>
      <w:r w:rsidRPr="009A0EA5">
        <w:rPr>
          <w:rFonts w:ascii="Arial" w:eastAsia="Calibri" w:hAnsi="Arial" w:cs="Arial"/>
          <w:bCs/>
          <w:color w:val="000000"/>
          <w:lang w:val="es-ES_tradnl" w:eastAsia="es-ES_tradnl" w:bidi="es-ES"/>
        </w:rPr>
        <w:t xml:space="preserve"> del ente asociado, designación que tendrá los efectos de la representación previstos en el artículo 1505 del </w:t>
      </w:r>
      <w:r w:rsidRPr="009A0EA5">
        <w:rPr>
          <w:rFonts w:ascii="Arial" w:eastAsia="Calibri" w:hAnsi="Arial" w:cs="Arial"/>
          <w:bCs/>
          <w:color w:val="000000"/>
          <w:lang w:val="es-ES_tradnl" w:eastAsia="es-ES_tradnl" w:bidi="es-ES"/>
        </w:rPr>
        <w:lastRenderedPageBreak/>
        <w:t>Código Civil</w:t>
      </w:r>
      <w:r w:rsidRPr="009A0EA5">
        <w:rPr>
          <w:rFonts w:ascii="Arial" w:eastAsia="Calibri" w:hAnsi="Arial" w:cs="Arial"/>
          <w:bCs/>
          <w:color w:val="000000"/>
          <w:vertAlign w:val="superscript"/>
          <w:lang w:val="es-ES_tradnl" w:eastAsia="es-ES_tradnl" w:bidi="es-ES"/>
        </w:rPr>
        <w:footnoteReference w:id="6"/>
      </w:r>
      <w:r w:rsidRPr="009A0EA5">
        <w:rPr>
          <w:rFonts w:ascii="Arial" w:eastAsia="Calibri" w:hAnsi="Arial" w:cs="Arial"/>
          <w:bCs/>
          <w:color w:val="000000"/>
          <w:lang w:val="es-ES_tradnl" w:eastAsia="es-ES_tradnl" w:bidi="es-ES"/>
        </w:rPr>
        <w:t>: “Lo que una persona ejecuta a nombre de otra, estando facultada por ella o por la ley para representarla, produce respecto del representado iguales efectos que si hubiese contratado él mismo”.</w:t>
      </w:r>
    </w:p>
    <w:p w14:paraId="70B820BB" w14:textId="77777777" w:rsidR="009A0EA5" w:rsidRPr="009A0EA5" w:rsidRDefault="009A0EA5" w:rsidP="009A0EA5">
      <w:pPr>
        <w:tabs>
          <w:tab w:val="left" w:pos="0"/>
        </w:tabs>
        <w:spacing w:before="120"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El acuerdo de voluntades que constituye el consorcio o unión temporal se reconoce doctrinalmente como contrato consorcial o de “</w:t>
      </w:r>
      <w:proofErr w:type="spellStart"/>
      <w:r w:rsidRPr="009A0EA5">
        <w:rPr>
          <w:rFonts w:ascii="Arial" w:eastAsia="Calibri" w:hAnsi="Arial" w:cs="Arial"/>
          <w:bCs/>
          <w:i/>
          <w:iCs/>
          <w:color w:val="000000"/>
          <w:lang w:val="es-ES_tradnl" w:eastAsia="es-ES_tradnl" w:bidi="es-ES"/>
        </w:rPr>
        <w:t>joint</w:t>
      </w:r>
      <w:proofErr w:type="spellEnd"/>
      <w:r w:rsidRPr="009A0EA5">
        <w:rPr>
          <w:rFonts w:ascii="Arial" w:eastAsia="Calibri" w:hAnsi="Arial" w:cs="Arial"/>
          <w:bCs/>
          <w:i/>
          <w:iCs/>
          <w:color w:val="000000"/>
          <w:lang w:val="es-ES_tradnl" w:eastAsia="es-ES_tradnl" w:bidi="es-ES"/>
        </w:rPr>
        <w:t xml:space="preserve"> venture</w:t>
      </w:r>
      <w:r w:rsidRPr="009A0EA5">
        <w:rPr>
          <w:rFonts w:ascii="Arial" w:eastAsia="Calibri" w:hAnsi="Arial" w:cs="Arial"/>
          <w:color w:val="000000"/>
          <w:lang w:val="es-ES_tradnl" w:eastAsia="es-ES_tradnl" w:bidi="es-ES"/>
        </w:rPr>
        <w:t>”</w:t>
      </w:r>
      <w:r w:rsidRPr="009A0EA5">
        <w:rPr>
          <w:rFonts w:ascii="Arial" w:eastAsia="Calibri" w:hAnsi="Arial" w:cs="Arial"/>
          <w:bCs/>
          <w:color w:val="000000"/>
          <w:lang w:val="es-ES_tradnl" w:eastAsia="es-ES_tradnl" w:bidi="es-ES"/>
        </w:rPr>
        <w:t>, que se reconoce como un contrato principal, oneroso, conmutativo, bilateral o plurilateral</w:t>
      </w:r>
      <w:r w:rsidRPr="009A0EA5">
        <w:rPr>
          <w:rFonts w:ascii="Arial" w:eastAsia="Calibri" w:hAnsi="Arial" w:cs="Arial"/>
          <w:bCs/>
          <w:color w:val="000000"/>
          <w:vertAlign w:val="superscript"/>
          <w:lang w:val="es-ES_tradnl" w:eastAsia="es-ES_tradnl" w:bidi="es-ES"/>
        </w:rPr>
        <w:footnoteReference w:id="7"/>
      </w:r>
      <w:r w:rsidRPr="009A0EA5">
        <w:rPr>
          <w:rFonts w:ascii="Arial" w:eastAsia="Calibri" w:hAnsi="Arial" w:cs="Arial"/>
          <w:bCs/>
          <w:color w:val="000000"/>
          <w:lang w:val="es-ES_tradnl" w:eastAsia="es-ES_tradnl" w:bidi="es-ES"/>
        </w:rPr>
        <w:t>.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de su representante, tienen capacidad y están legitimados para comparecer al proceso, con el fin de hacer valer sus derechos o responder por el incumplimiento de sus obligaciones, en lo relacionado con el procedimiento de selección y el contrato estatal</w:t>
      </w:r>
      <w:r w:rsidRPr="009A0EA5">
        <w:rPr>
          <w:rFonts w:ascii="Arial" w:eastAsia="Calibri" w:hAnsi="Arial" w:cs="Arial"/>
          <w:bCs/>
          <w:color w:val="000000"/>
          <w:vertAlign w:val="superscript"/>
          <w:lang w:val="es-ES_tradnl" w:eastAsia="es-ES_tradnl" w:bidi="es-ES"/>
        </w:rPr>
        <w:footnoteReference w:id="8"/>
      </w:r>
      <w:r w:rsidRPr="009A0EA5">
        <w:rPr>
          <w:rFonts w:ascii="Arial" w:eastAsia="Calibri" w:hAnsi="Arial" w:cs="Arial"/>
          <w:bCs/>
          <w:color w:val="000000"/>
          <w:lang w:val="es-ES_tradnl" w:eastAsia="es-ES_tradnl" w:bidi="es-ES"/>
        </w:rPr>
        <w:t>. Así lo ha reconocido la jurisprudencia del Consejo de Estado</w:t>
      </w:r>
      <w:r w:rsidRPr="009A0EA5">
        <w:rPr>
          <w:rFonts w:ascii="Arial" w:eastAsia="Calibri" w:hAnsi="Arial" w:cs="Arial"/>
          <w:bCs/>
          <w:color w:val="000000"/>
          <w:vertAlign w:val="superscript"/>
          <w:lang w:val="es-ES_tradnl" w:eastAsia="es-ES_tradnl" w:bidi="es-ES"/>
        </w:rPr>
        <w:footnoteReference w:id="9"/>
      </w:r>
      <w:r w:rsidRPr="009A0EA5">
        <w:rPr>
          <w:rFonts w:ascii="Arial" w:eastAsia="Calibri" w:hAnsi="Arial" w:cs="Arial"/>
          <w:bCs/>
          <w:color w:val="000000"/>
          <w:lang w:val="es-ES_tradnl" w:eastAsia="es-ES_tradnl" w:bidi="es-ES"/>
        </w:rPr>
        <w:t>:</w:t>
      </w:r>
    </w:p>
    <w:p w14:paraId="62CC8816" w14:textId="77777777" w:rsidR="009A0EA5" w:rsidRPr="009A0EA5" w:rsidRDefault="009A0EA5" w:rsidP="009A0EA5">
      <w:pPr>
        <w:tabs>
          <w:tab w:val="left" w:pos="0"/>
        </w:tabs>
        <w:ind w:left="709" w:right="709"/>
        <w:jc w:val="both"/>
        <w:rPr>
          <w:rFonts w:ascii="Arial" w:eastAsia="Calibri" w:hAnsi="Arial" w:cs="Arial"/>
          <w:bCs/>
          <w:i/>
          <w:iCs/>
          <w:color w:val="000000"/>
          <w:sz w:val="21"/>
          <w:szCs w:val="21"/>
          <w:lang w:val="es-ES_tradnl" w:eastAsia="es-ES_tradnl" w:bidi="es-ES"/>
        </w:rPr>
      </w:pPr>
    </w:p>
    <w:p w14:paraId="5B8DB265" w14:textId="59793486" w:rsidR="009A0EA5" w:rsidRPr="009A0EA5" w:rsidRDefault="00914DE4" w:rsidP="009A0EA5">
      <w:pPr>
        <w:tabs>
          <w:tab w:val="left" w:pos="0"/>
        </w:tabs>
        <w:ind w:left="709" w:right="709"/>
        <w:jc w:val="both"/>
        <w:rPr>
          <w:rFonts w:ascii="Arial" w:eastAsia="Calibri" w:hAnsi="Arial" w:cs="Arial"/>
          <w:bCs/>
          <w:i/>
          <w:iCs/>
          <w:color w:val="000000"/>
          <w:sz w:val="21"/>
          <w:szCs w:val="21"/>
          <w:lang w:val="es-ES_tradnl" w:eastAsia="es-ES_tradnl" w:bidi="es-ES"/>
        </w:rPr>
      </w:pPr>
      <w:r>
        <w:rPr>
          <w:rFonts w:ascii="Arial" w:eastAsia="Calibri" w:hAnsi="Arial" w:cs="Arial"/>
          <w:bCs/>
          <w:i/>
          <w:iCs/>
          <w:color w:val="000000"/>
          <w:sz w:val="21"/>
          <w:szCs w:val="21"/>
          <w:lang w:val="es-ES_tradnl" w:eastAsia="es-ES_tradnl" w:bidi="es-ES"/>
        </w:rPr>
        <w:t>“</w:t>
      </w:r>
      <w:r w:rsidR="009A0EA5" w:rsidRPr="009A0EA5">
        <w:rPr>
          <w:rFonts w:ascii="Arial" w:eastAsia="Calibri" w:hAnsi="Arial" w:cs="Arial"/>
          <w:bCs/>
          <w:i/>
          <w:iCs/>
          <w:color w:val="000000"/>
          <w:sz w:val="21"/>
          <w:szCs w:val="21"/>
          <w:lang w:val="es-ES_tradnl" w:eastAsia="es-ES_tradnl" w:bidi="es-ES"/>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009A0EA5" w:rsidRPr="009A0EA5">
        <w:rPr>
          <w:rFonts w:ascii="Arial" w:eastAsia="Calibri" w:hAnsi="Arial" w:cs="Arial"/>
          <w:bCs/>
          <w:i/>
          <w:iCs/>
          <w:color w:val="000000"/>
          <w:sz w:val="21"/>
          <w:szCs w:val="21"/>
          <w:lang w:val="es-ES_tradnl" w:eastAsia="es-ES_tradnl" w:bidi="es-ES"/>
        </w:rPr>
        <w:t>legitimatio</w:t>
      </w:r>
      <w:proofErr w:type="spellEnd"/>
      <w:r w:rsidR="009A0EA5" w:rsidRPr="009A0EA5">
        <w:rPr>
          <w:rFonts w:ascii="Arial" w:eastAsia="Calibri" w:hAnsi="Arial" w:cs="Arial"/>
          <w:bCs/>
          <w:i/>
          <w:iCs/>
          <w:color w:val="000000"/>
          <w:sz w:val="21"/>
          <w:szCs w:val="21"/>
          <w:lang w:val="es-ES_tradnl" w:eastAsia="es-ES_tradnl" w:bidi="es-ES"/>
        </w:rPr>
        <w:t xml:space="preserve"> ad </w:t>
      </w:r>
      <w:proofErr w:type="spellStart"/>
      <w:r w:rsidR="009A0EA5" w:rsidRPr="009A0EA5">
        <w:rPr>
          <w:rFonts w:ascii="Arial" w:eastAsia="Calibri" w:hAnsi="Arial" w:cs="Arial"/>
          <w:bCs/>
          <w:i/>
          <w:iCs/>
          <w:color w:val="000000"/>
          <w:sz w:val="21"/>
          <w:szCs w:val="21"/>
          <w:lang w:val="es-ES_tradnl" w:eastAsia="es-ES_tradnl" w:bidi="es-ES"/>
        </w:rPr>
        <w:t>processum</w:t>
      </w:r>
      <w:proofErr w:type="spellEnd"/>
      <w:r w:rsidR="009A0EA5" w:rsidRPr="009A0EA5">
        <w:rPr>
          <w:rFonts w:ascii="Arial" w:eastAsia="Calibri" w:hAnsi="Arial" w:cs="Arial"/>
          <w:bCs/>
          <w:i/>
          <w:iCs/>
          <w:color w:val="000000"/>
          <w:sz w:val="21"/>
          <w:szCs w:val="21"/>
          <w:lang w:val="es-ES_tradnl" w:eastAsia="es-ES_tradnl" w:bidi="es-ES"/>
        </w:rPr>
        <w:t>-, por intermedio de su representante</w:t>
      </w:r>
      <w:r>
        <w:rPr>
          <w:rFonts w:ascii="Arial" w:eastAsia="Calibri" w:hAnsi="Arial" w:cs="Arial"/>
          <w:bCs/>
          <w:i/>
          <w:iCs/>
          <w:color w:val="000000"/>
          <w:sz w:val="21"/>
          <w:szCs w:val="21"/>
          <w:lang w:val="es-ES_tradnl" w:eastAsia="es-ES_tradnl" w:bidi="es-ES"/>
        </w:rPr>
        <w:t>”</w:t>
      </w:r>
      <w:r w:rsidR="009A0EA5" w:rsidRPr="009A0EA5">
        <w:rPr>
          <w:rFonts w:ascii="Arial" w:eastAsia="Calibri" w:hAnsi="Arial" w:cs="Arial"/>
          <w:bCs/>
          <w:i/>
          <w:iCs/>
          <w:color w:val="000000"/>
          <w:sz w:val="21"/>
          <w:szCs w:val="21"/>
          <w:lang w:val="es-ES_tradnl" w:eastAsia="es-ES_tradnl" w:bidi="es-ES"/>
        </w:rPr>
        <w:t>.</w:t>
      </w:r>
    </w:p>
    <w:p w14:paraId="6601B6F0" w14:textId="77777777" w:rsidR="009A0EA5" w:rsidRPr="009A0EA5" w:rsidRDefault="009A0EA5" w:rsidP="009A0EA5">
      <w:pPr>
        <w:tabs>
          <w:tab w:val="left" w:pos="0"/>
        </w:tabs>
        <w:spacing w:line="276" w:lineRule="auto"/>
        <w:ind w:firstLine="709"/>
        <w:jc w:val="both"/>
        <w:rPr>
          <w:rFonts w:ascii="Arial" w:eastAsia="Calibri" w:hAnsi="Arial" w:cs="Arial"/>
          <w:bCs/>
          <w:color w:val="000000"/>
          <w:lang w:val="es-ES_tradnl" w:eastAsia="es-ES_tradnl" w:bidi="es-ES"/>
        </w:rPr>
      </w:pPr>
    </w:p>
    <w:p w14:paraId="6AD404C1" w14:textId="77777777" w:rsidR="009A0EA5" w:rsidRPr="009A0EA5" w:rsidRDefault="009A0EA5" w:rsidP="009A0EA5">
      <w:pPr>
        <w:tabs>
          <w:tab w:val="left" w:pos="0"/>
        </w:tabs>
        <w:spacing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lastRenderedPageBreak/>
        <w:t>En esa misma línea, la Sala de Casación Laboral de la Corte Suprema de Justicia, en la Sentencia SL 676 del 10 de enero de 2021, radicado 57.957, reconoció la capacidad procesal de los consorcios y uniones temporales en el marco de procesos laborales, como se precisará en el numeral siguiente. A juicio de la Corte, el solo hecho de no contar con personalidad jurídica no es una razón suficiente para concluir que no se pueda configurar una relación jurídico procesal en una contienda litigiosa y, en esa medida, ser sujeto procesal. En atención al principio de primacía de la realidad sobre las formas, parte esencial del ordenamiento jurídico laboral, el alto tribunal concluyó que los consorcios y uniones temporales son sujetos de obligaciones laborales y, en consecuencia, pueden ser parte en procesos judiciales que cursen ante los jueces del trabajo por medio de su representante legal</w:t>
      </w:r>
      <w:r w:rsidRPr="009A0EA5">
        <w:rPr>
          <w:rFonts w:ascii="Arial" w:eastAsia="Calibri" w:hAnsi="Arial" w:cs="Arial"/>
          <w:bCs/>
          <w:color w:val="000000"/>
          <w:vertAlign w:val="superscript"/>
          <w:lang w:val="es-ES_tradnl" w:eastAsia="es-ES_tradnl" w:bidi="es-ES"/>
        </w:rPr>
        <w:footnoteReference w:id="10"/>
      </w:r>
      <w:r w:rsidRPr="009A0EA5">
        <w:rPr>
          <w:rFonts w:ascii="Arial" w:eastAsia="Calibri" w:hAnsi="Arial" w:cs="Arial"/>
          <w:bCs/>
          <w:color w:val="000000"/>
          <w:lang w:val="es-ES_tradnl" w:eastAsia="es-ES_tradnl" w:bidi="es-ES"/>
        </w:rPr>
        <w:t>.</w:t>
      </w:r>
    </w:p>
    <w:p w14:paraId="62C74BB5" w14:textId="77777777" w:rsidR="009A0EA5" w:rsidRPr="009A0EA5" w:rsidRDefault="009A0EA5" w:rsidP="009A0EA5">
      <w:pPr>
        <w:tabs>
          <w:tab w:val="left" w:pos="0"/>
        </w:tabs>
        <w:spacing w:before="120" w:line="276" w:lineRule="auto"/>
        <w:ind w:firstLine="709"/>
        <w:jc w:val="both"/>
        <w:rPr>
          <w:rFonts w:ascii="Arial" w:eastAsia="Calibri" w:hAnsi="Arial" w:cs="Arial"/>
          <w:bCs/>
          <w:color w:val="000000"/>
          <w:lang w:val="es-ES_tradnl" w:eastAsia="es-ES_tradnl" w:bidi="es-ES"/>
        </w:rPr>
      </w:pPr>
      <w:r w:rsidRPr="009A0EA5">
        <w:rPr>
          <w:rFonts w:ascii="Arial" w:eastAsia="Calibri" w:hAnsi="Arial" w:cs="Arial"/>
          <w:bCs/>
          <w:color w:val="000000"/>
          <w:lang w:val="es-ES_tradnl" w:eastAsia="es-ES_tradnl" w:bidi="es-ES"/>
        </w:rPr>
        <w:t>En conclusión, los consorcios y uniones temporales no son personas jurídicas, pero son entes creados por el acuerdo de voluntades de sus miembros, los cuales están facultados, en virtud de la ley y del contrato consorcial, para celebrar y ejecutar contratos con entidades estatales y para ser parte en procesos administrativos y judiciales derivados de la celebración y la ejecución de aquellos, e incluso para ser parte en procesos laborales.</w:t>
      </w:r>
    </w:p>
    <w:p w14:paraId="12B058AA" w14:textId="77777777" w:rsidR="009A0EA5" w:rsidRPr="009A0EA5" w:rsidRDefault="009A0EA5" w:rsidP="009A0EA5">
      <w:pPr>
        <w:tabs>
          <w:tab w:val="left" w:pos="426"/>
        </w:tabs>
        <w:spacing w:line="276" w:lineRule="auto"/>
        <w:jc w:val="both"/>
        <w:rPr>
          <w:rFonts w:ascii="Arial" w:eastAsia="Calibri" w:hAnsi="Arial" w:cs="Arial"/>
          <w:b/>
          <w:color w:val="000000"/>
          <w:lang w:val="es-MX"/>
        </w:rPr>
      </w:pPr>
    </w:p>
    <w:p w14:paraId="1246398B" w14:textId="1597767A" w:rsidR="009A0EA5" w:rsidRPr="009A0EA5" w:rsidRDefault="009A0EA5" w:rsidP="009A0EA5">
      <w:pPr>
        <w:tabs>
          <w:tab w:val="left" w:pos="426"/>
        </w:tabs>
        <w:spacing w:line="276" w:lineRule="auto"/>
        <w:jc w:val="both"/>
        <w:rPr>
          <w:rFonts w:ascii="Arial" w:eastAsia="Calibri" w:hAnsi="Arial" w:cs="Arial"/>
          <w:b/>
          <w:color w:val="000000"/>
          <w:lang w:val="es-MX"/>
        </w:rPr>
      </w:pPr>
      <w:r w:rsidRPr="009A0EA5">
        <w:rPr>
          <w:rFonts w:ascii="Arial" w:eastAsia="Calibri" w:hAnsi="Arial" w:cs="Arial"/>
          <w:b/>
          <w:color w:val="000000"/>
          <w:lang w:val="es-MX"/>
        </w:rPr>
        <w:t xml:space="preserve">2.2. </w:t>
      </w:r>
      <w:r w:rsidR="00C937DF">
        <w:rPr>
          <w:rFonts w:ascii="Arial" w:eastAsia="Calibri" w:hAnsi="Arial" w:cs="Arial"/>
          <w:b/>
          <w:color w:val="000000"/>
          <w:lang w:val="es-MX"/>
        </w:rPr>
        <w:t>Procedimiento de</w:t>
      </w:r>
      <w:r w:rsidR="00914DE4" w:rsidRPr="009A0EA5">
        <w:rPr>
          <w:rFonts w:ascii="Arial" w:eastAsia="Calibri" w:hAnsi="Arial" w:cs="Arial"/>
          <w:b/>
          <w:color w:val="000000"/>
          <w:lang w:val="es-MX"/>
        </w:rPr>
        <w:t xml:space="preserve"> </w:t>
      </w:r>
      <w:r w:rsidRPr="009A0EA5">
        <w:rPr>
          <w:rFonts w:ascii="Arial" w:eastAsia="Calibri" w:hAnsi="Arial" w:cs="Arial"/>
          <w:b/>
          <w:color w:val="000000"/>
          <w:lang w:val="es-MX"/>
        </w:rPr>
        <w:t xml:space="preserve">selección abreviada </w:t>
      </w:r>
      <w:r w:rsidR="000B1023">
        <w:rPr>
          <w:rFonts w:ascii="Arial" w:eastAsia="Calibri" w:hAnsi="Arial" w:cs="Arial"/>
          <w:b/>
          <w:color w:val="000000"/>
          <w:lang w:val="es-MX"/>
        </w:rPr>
        <w:t>para la contratación de</w:t>
      </w:r>
      <w:r w:rsidRPr="009A0EA5">
        <w:rPr>
          <w:rFonts w:ascii="Arial" w:eastAsia="Calibri" w:hAnsi="Arial" w:cs="Arial"/>
          <w:b/>
          <w:color w:val="000000"/>
          <w:lang w:val="es-MX"/>
        </w:rPr>
        <w:t xml:space="preserve"> menor cuantía </w:t>
      </w:r>
    </w:p>
    <w:p w14:paraId="2B1A3D6C" w14:textId="77777777" w:rsidR="009A0EA5" w:rsidRPr="009A0EA5" w:rsidRDefault="009A0EA5" w:rsidP="009A0EA5">
      <w:pPr>
        <w:tabs>
          <w:tab w:val="left" w:pos="426"/>
        </w:tabs>
        <w:spacing w:line="276" w:lineRule="auto"/>
        <w:jc w:val="both"/>
        <w:rPr>
          <w:rFonts w:ascii="Arial" w:eastAsia="Calibri" w:hAnsi="Arial" w:cs="Arial"/>
          <w:b/>
          <w:color w:val="000000"/>
          <w:lang w:val="es-MX"/>
        </w:rPr>
      </w:pPr>
    </w:p>
    <w:p w14:paraId="28B32D5B" w14:textId="77777777" w:rsidR="009A0EA5" w:rsidRPr="009A0EA5" w:rsidRDefault="009A0EA5" w:rsidP="009A0EA5">
      <w:pPr>
        <w:spacing w:after="120" w:line="276" w:lineRule="auto"/>
        <w:jc w:val="both"/>
        <w:rPr>
          <w:rFonts w:ascii="Arial" w:eastAsia="Calibri" w:hAnsi="Arial" w:cs="Arial"/>
          <w:color w:val="000000"/>
          <w:lang w:val="es-MX"/>
        </w:rPr>
      </w:pPr>
      <w:r w:rsidRPr="009A0EA5">
        <w:rPr>
          <w:rFonts w:ascii="Arial" w:eastAsia="Calibri" w:hAnsi="Arial" w:cs="Arial"/>
          <w:color w:val="000000"/>
          <w:lang w:val="es-MX"/>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deben estructurar un procedimiento de contratación que es reglado, es decir, el procedimiento no es discrecional, y se deben consultar las normas que lo rigen para determinar la forma que la Ley prevé para adelantarlo. Las principales normas son: la Ley 80 de 1993, Estatuto General de Contratación de la Administración Pública; la Ley 1150 de 2007 que, entre otras disposiciones, regula las modalidades de selección para la escogencia del contratista; y el Decreto 1082 de 2015, que es reglamentario y concreta cada modalidad de selección, señalando reglas o pasos a seguir para celebrar el contrato estatal.</w:t>
      </w:r>
    </w:p>
    <w:p w14:paraId="7CDFBCB8" w14:textId="77777777" w:rsidR="009A0EA5" w:rsidRPr="009A0EA5" w:rsidRDefault="009A0EA5" w:rsidP="009A0EA5">
      <w:pPr>
        <w:spacing w:before="120" w:after="120" w:line="276" w:lineRule="auto"/>
        <w:ind w:firstLine="708"/>
        <w:jc w:val="both"/>
        <w:rPr>
          <w:rFonts w:ascii="Arial" w:eastAsia="Calibri" w:hAnsi="Arial" w:cs="Arial"/>
          <w:color w:val="000000"/>
          <w:lang w:val="es-MX"/>
        </w:rPr>
      </w:pPr>
      <w:r w:rsidRPr="009A0EA5">
        <w:rPr>
          <w:rFonts w:ascii="Arial" w:eastAsia="Calibri" w:hAnsi="Arial" w:cs="Arial"/>
          <w:color w:val="000000"/>
          <w:lang w:val="es-MX"/>
        </w:rPr>
        <w:lastRenderedPageBreak/>
        <w:t>El proceso de contratación también está definido en el Decreto 1082 de 2015, y comprende todas las etapas que realiza la entidad para adquirir los bienes que satisfacen su necesidad, cuyo inicio parte de lo que se denomina “planeación”, y finaliza dependiendo de lo dispuesto por la entidad en el contrato</w:t>
      </w:r>
      <w:r w:rsidRPr="009A0EA5">
        <w:rPr>
          <w:rFonts w:ascii="Arial" w:eastAsia="Calibri" w:hAnsi="Arial" w:cs="Arial"/>
          <w:color w:val="000000"/>
          <w:vertAlign w:val="superscript"/>
          <w:lang w:val="es-MX"/>
        </w:rPr>
        <w:footnoteReference w:id="11"/>
      </w:r>
      <w:r w:rsidRPr="009A0EA5">
        <w:rPr>
          <w:rFonts w:ascii="Arial" w:eastAsia="Calibri" w:hAnsi="Arial" w:cs="Arial"/>
          <w:color w:val="000000"/>
          <w:lang w:val="es-MX"/>
        </w:rPr>
        <w:t xml:space="preserve">. Cada entidad es responsable de sus procedimientos de contratación, y por ende tiene autonomía para estructurarlos y adelantarlos, siempre que respete el principio de legalidad. </w:t>
      </w:r>
    </w:p>
    <w:p w14:paraId="2E57D5AE" w14:textId="77777777" w:rsidR="009A0EA5" w:rsidRPr="009A0EA5" w:rsidRDefault="009A0EA5" w:rsidP="009A0EA5">
      <w:pPr>
        <w:spacing w:before="120" w:after="120" w:line="276" w:lineRule="auto"/>
        <w:ind w:firstLine="708"/>
        <w:jc w:val="both"/>
        <w:rPr>
          <w:rFonts w:ascii="Arial" w:eastAsia="Calibri" w:hAnsi="Arial" w:cs="Arial"/>
          <w:color w:val="000000"/>
          <w:lang w:val="es-MX"/>
        </w:rPr>
      </w:pPr>
      <w:r w:rsidRPr="009A0EA5">
        <w:rPr>
          <w:rFonts w:ascii="Arial" w:eastAsia="Calibri" w:hAnsi="Arial" w:cs="Arial"/>
          <w:color w:val="000000"/>
          <w:lang w:val="es-MX"/>
        </w:rPr>
        <w:t xml:space="preserve">En todo caso, los procedimientos de contratación se estructuran a partir de las modalidades de selección, y al hacer una revisión de las normas citadas </w:t>
      </w:r>
      <w:r w:rsidRPr="009A0EA5">
        <w:rPr>
          <w:rFonts w:ascii="Arial" w:eastAsia="Calibri" w:hAnsi="Arial" w:cs="Arial"/>
          <w:b/>
          <w:color w:val="000000"/>
          <w:lang w:val="es-MX"/>
        </w:rPr>
        <w:t>─</w:t>
      </w:r>
      <w:r w:rsidRPr="009A0EA5">
        <w:rPr>
          <w:rFonts w:ascii="Arial" w:eastAsia="Calibri" w:hAnsi="Arial" w:cs="Arial"/>
          <w:color w:val="000000"/>
          <w:lang w:val="es-MX"/>
        </w:rPr>
        <w:t>Ley 80 de 1993, Ley 1150 de 2007 y Decreto 1082 de 2015</w:t>
      </w:r>
      <w:r w:rsidRPr="009A0EA5">
        <w:rPr>
          <w:rFonts w:ascii="Arial" w:eastAsia="Calibri" w:hAnsi="Arial" w:cs="Arial"/>
          <w:b/>
          <w:color w:val="000000"/>
          <w:lang w:val="es-MX"/>
        </w:rPr>
        <w:t>─</w:t>
      </w:r>
      <w:r w:rsidRPr="009A0EA5">
        <w:rPr>
          <w:rFonts w:ascii="Arial" w:eastAsia="Calibri" w:hAnsi="Arial" w:cs="Arial"/>
          <w:bCs/>
          <w:color w:val="000000"/>
          <w:lang w:val="es-MX"/>
        </w:rPr>
        <w:t>,</w:t>
      </w:r>
      <w:r w:rsidRPr="009A0EA5">
        <w:rPr>
          <w:rFonts w:ascii="Arial" w:eastAsia="Calibri" w:hAnsi="Arial" w:cs="Arial"/>
          <w:color w:val="000000"/>
          <w:lang w:val="es-MX"/>
        </w:rPr>
        <w:t xml:space="preserve"> se observa que contienen los principios y procedimientos para adelantar las modalidades de selección previstas en la Ley 1150 de 2007, que en su artículo 2 incluye las 5 modalidades de selección para la escogencia del contratista, y fija las reglas de cada modalidad: licitación pública, selección abreviada, concurso de méritos, contratación directa y mínima cuantía</w:t>
      </w:r>
      <w:r w:rsidRPr="009A0EA5">
        <w:rPr>
          <w:rFonts w:ascii="Arial" w:eastAsia="Calibri" w:hAnsi="Arial" w:cs="Arial"/>
          <w:color w:val="000000"/>
          <w:vertAlign w:val="superscript"/>
          <w:lang w:val="es-MX"/>
        </w:rPr>
        <w:footnoteReference w:id="12"/>
      </w:r>
      <w:r w:rsidRPr="009A0EA5">
        <w:rPr>
          <w:rFonts w:ascii="Arial" w:eastAsia="Calibri" w:hAnsi="Arial" w:cs="Arial"/>
          <w:color w:val="000000"/>
          <w:lang w:val="es-MX"/>
        </w:rPr>
        <w:t xml:space="preserve">. </w:t>
      </w:r>
    </w:p>
    <w:p w14:paraId="7AAD5158" w14:textId="1DB3EA8D" w:rsidR="009A0EA5" w:rsidRPr="009A0EA5" w:rsidRDefault="009A0EA5" w:rsidP="002216E6">
      <w:pPr>
        <w:spacing w:before="120" w:after="120" w:line="276" w:lineRule="auto"/>
        <w:ind w:firstLine="709"/>
        <w:jc w:val="both"/>
        <w:rPr>
          <w:rFonts w:ascii="Arial" w:eastAsia="Calibri" w:hAnsi="Arial" w:cs="Arial"/>
          <w:color w:val="000000"/>
          <w:lang w:val="es-MX"/>
        </w:rPr>
      </w:pPr>
      <w:r w:rsidRPr="009A0EA5">
        <w:rPr>
          <w:rFonts w:ascii="Arial" w:eastAsia="Calibri" w:hAnsi="Arial" w:cs="Arial"/>
          <w:color w:val="000000"/>
          <w:lang w:val="es-MX"/>
        </w:rPr>
        <w:t xml:space="preserve">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r w:rsidR="000B1023" w:rsidRPr="009A0EA5">
        <w:rPr>
          <w:rFonts w:ascii="Arial" w:eastAsia="Calibri" w:hAnsi="Arial" w:cs="Arial"/>
          <w:color w:val="000000"/>
          <w:lang w:val="es-MX"/>
        </w:rPr>
        <w:t>eficiente</w:t>
      </w:r>
      <w:r w:rsidRPr="009A0EA5">
        <w:rPr>
          <w:rFonts w:ascii="Arial" w:eastAsia="Calibri" w:hAnsi="Arial" w:cs="Arial"/>
          <w:color w:val="000000"/>
          <w:lang w:val="es-MX"/>
        </w:rPr>
        <w:t xml:space="preserve"> es el de modular las modalidades de selección en razón a las características del objeto”. Por consiguiente, la normativa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w:t>
      </w:r>
      <w:r w:rsidRPr="009A0EA5">
        <w:rPr>
          <w:rFonts w:ascii="Arial" w:eastAsia="Calibri" w:hAnsi="Arial" w:cs="Arial"/>
          <w:color w:val="000000"/>
          <w:lang w:val="es-MX"/>
        </w:rPr>
        <w:lastRenderedPageBreak/>
        <w:t>proceso, de acuerdo con las normas relacionadas con la adquisición de que se trate, y que quedan definidos en el pliego de condiciones como documento del proceso</w:t>
      </w:r>
      <w:r w:rsidRPr="009A0EA5">
        <w:rPr>
          <w:rFonts w:ascii="Arial" w:eastAsia="Calibri" w:hAnsi="Arial" w:cs="Arial"/>
          <w:color w:val="000000"/>
          <w:vertAlign w:val="superscript"/>
          <w:lang w:val="es-MX"/>
        </w:rPr>
        <w:footnoteReference w:id="13"/>
      </w:r>
      <w:r w:rsidRPr="009A0EA5">
        <w:rPr>
          <w:rFonts w:ascii="Arial" w:eastAsia="Calibri" w:hAnsi="Arial" w:cs="Arial"/>
          <w:color w:val="000000"/>
          <w:lang w:val="es-MX"/>
        </w:rPr>
        <w:t>.</w:t>
      </w:r>
    </w:p>
    <w:p w14:paraId="7B29295C" w14:textId="24DB696A" w:rsidR="009A0EA5" w:rsidRPr="009A0EA5" w:rsidRDefault="0042509A" w:rsidP="009A0EA5">
      <w:pPr>
        <w:spacing w:after="120" w:line="276" w:lineRule="auto"/>
        <w:ind w:firstLine="709"/>
        <w:jc w:val="both"/>
        <w:rPr>
          <w:rFonts w:ascii="Arial" w:eastAsia="Calibri" w:hAnsi="Arial" w:cs="Arial"/>
          <w:color w:val="000000"/>
          <w:lang w:val="es-MX"/>
        </w:rPr>
      </w:pPr>
      <w:r w:rsidRPr="0042509A">
        <w:rPr>
          <w:rFonts w:ascii="Arial" w:eastAsia="Calibri" w:hAnsi="Arial" w:cs="Arial"/>
          <w:color w:val="000000"/>
          <w:lang w:val="es-MX"/>
        </w:rPr>
        <w:t>El artículo 2 de la</w:t>
      </w:r>
      <w:r w:rsidR="003A6703" w:rsidRPr="0042509A">
        <w:rPr>
          <w:rFonts w:ascii="Arial" w:eastAsia="Calibri" w:hAnsi="Arial" w:cs="Arial"/>
          <w:color w:val="000000"/>
          <w:lang w:val="es-MX"/>
        </w:rPr>
        <w:t xml:space="preserve"> </w:t>
      </w:r>
      <w:r w:rsidR="009A0EA5" w:rsidRPr="009A0EA5">
        <w:rPr>
          <w:rFonts w:ascii="Arial" w:eastAsia="Calibri" w:hAnsi="Arial" w:cs="Arial"/>
          <w:color w:val="000000"/>
          <w:lang w:val="es-MX"/>
        </w:rPr>
        <w:t>Ley 1150 de 2007</w:t>
      </w:r>
      <w:r w:rsidRPr="0042509A">
        <w:rPr>
          <w:rFonts w:ascii="Arial" w:eastAsia="Calibri" w:hAnsi="Arial" w:cs="Arial"/>
          <w:color w:val="000000"/>
          <w:lang w:val="es-MX"/>
        </w:rPr>
        <w:t xml:space="preserve"> </w:t>
      </w:r>
      <w:r w:rsidR="009A0EA5" w:rsidRPr="009A0EA5">
        <w:rPr>
          <w:rFonts w:ascii="Arial" w:eastAsia="Calibri" w:hAnsi="Arial" w:cs="Arial"/>
          <w:color w:val="000000"/>
          <w:lang w:val="es-MX"/>
        </w:rPr>
        <w:t>regula las modalidades de selección, y en el numeral 2 se refiere a la selección abreviada, en los siguientes términos:</w:t>
      </w:r>
      <w:r w:rsidRPr="0042509A">
        <w:rPr>
          <w:rFonts w:ascii="Arial" w:eastAsia="Calibri" w:hAnsi="Arial" w:cs="Arial"/>
          <w:color w:val="000000"/>
          <w:lang w:val="es-MX"/>
        </w:rPr>
        <w:t xml:space="preserve"> </w:t>
      </w:r>
      <w:r w:rsidRPr="004A5752">
        <w:rPr>
          <w:rFonts w:ascii="Arial" w:eastAsia="Calibri" w:hAnsi="Arial" w:cs="Arial"/>
          <w:i/>
          <w:iCs/>
          <w:color w:val="000000"/>
          <w:lang w:val="es-MX"/>
        </w:rPr>
        <w:t>”</w:t>
      </w:r>
      <w:r w:rsidR="009A0EA5" w:rsidRPr="004A5752">
        <w:rPr>
          <w:rFonts w:ascii="Arial" w:eastAsia="Calibri" w:hAnsi="Arial" w:cs="Arial"/>
          <w:i/>
          <w:color w:val="000000"/>
          <w:lang w:val="es-MX"/>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r w:rsidRPr="004A5752">
        <w:rPr>
          <w:rFonts w:ascii="Arial" w:eastAsia="Calibri" w:hAnsi="Arial" w:cs="Arial"/>
          <w:i/>
          <w:iCs/>
          <w:color w:val="000000"/>
          <w:lang w:val="es-MX"/>
        </w:rPr>
        <w:t>”</w:t>
      </w:r>
      <w:r w:rsidR="009A0EA5" w:rsidRPr="004A5752">
        <w:rPr>
          <w:rFonts w:ascii="Arial" w:eastAsia="Calibri" w:hAnsi="Arial" w:cs="Arial"/>
          <w:i/>
          <w:iCs/>
          <w:color w:val="000000"/>
          <w:lang w:val="es-MX"/>
        </w:rPr>
        <w:t>.</w:t>
      </w:r>
      <w:r>
        <w:rPr>
          <w:rFonts w:ascii="Arial" w:eastAsia="Calibri" w:hAnsi="Arial" w:cs="Arial"/>
          <w:i/>
          <w:iCs/>
          <w:color w:val="000000"/>
          <w:lang w:val="es-MX"/>
        </w:rPr>
        <w:t xml:space="preserve"> </w:t>
      </w:r>
      <w:r>
        <w:rPr>
          <w:rFonts w:ascii="Arial" w:eastAsia="Calibri" w:hAnsi="Arial" w:cs="Arial"/>
          <w:color w:val="000000"/>
          <w:sz w:val="21"/>
          <w:szCs w:val="21"/>
          <w:lang w:val="es-MX"/>
        </w:rPr>
        <w:t>Esta</w:t>
      </w:r>
      <w:r w:rsidR="009A0EA5" w:rsidRPr="009A0EA5">
        <w:rPr>
          <w:rFonts w:ascii="Arial" w:eastAsia="Calibri" w:hAnsi="Arial" w:cs="Arial"/>
          <w:color w:val="000000"/>
          <w:lang w:val="es-MX"/>
        </w:rPr>
        <w:t xml:space="preserve"> norma contempla una modalidad de selección que se caracteriza por tener etapas sencillas y términos más cortos que la licitación pública, lo cual se justifica por la complejidad de los asuntos que se contratan a través de esta modalidad, que requieren de procedimientos ágiles, sencillos y eficientes. </w:t>
      </w:r>
      <w:r w:rsidR="00E96087" w:rsidRPr="009A0EA5">
        <w:rPr>
          <w:rFonts w:ascii="Arial" w:eastAsia="Calibri" w:hAnsi="Arial" w:cs="Arial"/>
          <w:color w:val="000000"/>
          <w:lang w:val="es-MX"/>
        </w:rPr>
        <w:t>Según el Consejo de Estado, el propósito del legislador al crearla era el de “proveer de mayor agilidad y eficiencia la contratación de algunos bienes o servicios, en los que es deseable la concurrencia de oferentes, pero no en términos y condiciones de una licitación pública, sino de manera abreviada o en términos de la ley, simplificada”</w:t>
      </w:r>
      <w:r w:rsidR="00E96087" w:rsidRPr="009A0EA5">
        <w:rPr>
          <w:rFonts w:ascii="Arial" w:eastAsia="Calibri" w:hAnsi="Arial" w:cs="Arial"/>
          <w:color w:val="000000"/>
          <w:vertAlign w:val="superscript"/>
          <w:lang w:val="es-MX"/>
        </w:rPr>
        <w:footnoteReference w:id="14"/>
      </w:r>
      <w:r w:rsidR="00E96087" w:rsidRPr="009A0EA5">
        <w:rPr>
          <w:rFonts w:ascii="Arial" w:eastAsia="Calibri" w:hAnsi="Arial" w:cs="Arial"/>
          <w:color w:val="000000"/>
          <w:lang w:val="es-MX"/>
        </w:rPr>
        <w:t>.</w:t>
      </w:r>
    </w:p>
    <w:p w14:paraId="613C41EA" w14:textId="35489FF8" w:rsidR="00D36506" w:rsidRDefault="00394935" w:rsidP="00AB3D80">
      <w:pPr>
        <w:spacing w:after="120" w:line="276" w:lineRule="auto"/>
        <w:ind w:firstLine="708"/>
        <w:jc w:val="both"/>
        <w:rPr>
          <w:rFonts w:ascii="Arial" w:eastAsia="Calibri" w:hAnsi="Arial" w:cs="Arial"/>
          <w:color w:val="000000"/>
          <w:lang w:val="es-MX"/>
        </w:rPr>
      </w:pPr>
      <w:r>
        <w:rPr>
          <w:rFonts w:ascii="Arial" w:eastAsia="Calibri" w:hAnsi="Arial" w:cs="Arial"/>
          <w:color w:val="000000"/>
          <w:lang w:val="es-MX"/>
        </w:rPr>
        <w:t xml:space="preserve">El numeral 2 </w:t>
      </w:r>
      <w:r w:rsidR="00580322">
        <w:rPr>
          <w:rFonts w:ascii="Arial" w:eastAsia="Calibri" w:hAnsi="Arial" w:cs="Arial"/>
          <w:color w:val="000000"/>
          <w:lang w:val="es-MX"/>
        </w:rPr>
        <w:t xml:space="preserve">del artículo 2 de la Ley 1150 de 2007 desarrolla una serie de </w:t>
      </w:r>
      <w:r w:rsidR="00B51ED3">
        <w:rPr>
          <w:rFonts w:ascii="Arial" w:eastAsia="Calibri" w:hAnsi="Arial" w:cs="Arial"/>
          <w:color w:val="000000"/>
          <w:lang w:val="es-MX"/>
        </w:rPr>
        <w:t>literales</w:t>
      </w:r>
      <w:r w:rsidR="00580322">
        <w:rPr>
          <w:rFonts w:ascii="Arial" w:eastAsia="Calibri" w:hAnsi="Arial" w:cs="Arial"/>
          <w:color w:val="000000"/>
          <w:lang w:val="es-MX"/>
        </w:rPr>
        <w:t xml:space="preserve"> en</w:t>
      </w:r>
      <w:r w:rsidR="00B51ED3">
        <w:rPr>
          <w:rFonts w:ascii="Arial" w:eastAsia="Calibri" w:hAnsi="Arial" w:cs="Arial"/>
          <w:color w:val="000000"/>
          <w:lang w:val="es-MX"/>
        </w:rPr>
        <w:t xml:space="preserve"> los que se desarrollan distintos supuestos de hecho en</w:t>
      </w:r>
      <w:r w:rsidR="00580322">
        <w:rPr>
          <w:rFonts w:ascii="Arial" w:eastAsia="Calibri" w:hAnsi="Arial" w:cs="Arial"/>
          <w:color w:val="000000"/>
          <w:lang w:val="es-MX"/>
        </w:rPr>
        <w:t xml:space="preserve"> atención </w:t>
      </w:r>
      <w:r w:rsidR="0054774B">
        <w:rPr>
          <w:rFonts w:ascii="Arial" w:eastAsia="Calibri" w:hAnsi="Arial" w:cs="Arial"/>
          <w:color w:val="000000"/>
          <w:lang w:val="es-MX"/>
        </w:rPr>
        <w:t>en los que</w:t>
      </w:r>
      <w:r w:rsidR="00580322">
        <w:rPr>
          <w:rFonts w:ascii="Arial" w:eastAsia="Calibri" w:hAnsi="Arial" w:cs="Arial"/>
          <w:color w:val="000000"/>
          <w:lang w:val="es-MX"/>
        </w:rPr>
        <w:t xml:space="preserve"> </w:t>
      </w:r>
      <w:r w:rsidR="0054774B">
        <w:rPr>
          <w:rFonts w:ascii="Arial" w:eastAsia="Calibri" w:hAnsi="Arial" w:cs="Arial"/>
          <w:color w:val="000000"/>
          <w:lang w:val="es-MX"/>
        </w:rPr>
        <w:t xml:space="preserve">es procedente </w:t>
      </w:r>
      <w:r w:rsidR="00580322">
        <w:rPr>
          <w:rFonts w:ascii="Arial" w:eastAsia="Calibri" w:hAnsi="Arial" w:cs="Arial"/>
          <w:color w:val="000000"/>
          <w:lang w:val="es-MX"/>
        </w:rPr>
        <w:t>la modalidad de selección abreviada</w:t>
      </w:r>
      <w:r w:rsidR="00C966A1">
        <w:rPr>
          <w:rFonts w:ascii="Arial" w:eastAsia="Calibri" w:hAnsi="Arial" w:cs="Arial"/>
          <w:color w:val="000000"/>
          <w:lang w:val="es-MX"/>
        </w:rPr>
        <w:t>,</w:t>
      </w:r>
      <w:r w:rsidR="00B51ED3">
        <w:rPr>
          <w:rFonts w:ascii="Arial" w:eastAsia="Calibri" w:hAnsi="Arial" w:cs="Arial"/>
          <w:color w:val="000000"/>
          <w:lang w:val="es-MX"/>
        </w:rPr>
        <w:t xml:space="preserve"> </w:t>
      </w:r>
      <w:r w:rsidR="00B74503">
        <w:rPr>
          <w:rFonts w:ascii="Arial" w:eastAsia="Calibri" w:hAnsi="Arial" w:cs="Arial"/>
          <w:color w:val="000000"/>
          <w:lang w:val="es-MX"/>
        </w:rPr>
        <w:t>que</w:t>
      </w:r>
      <w:r w:rsidR="009A0EA5" w:rsidRPr="009A0EA5">
        <w:rPr>
          <w:rFonts w:ascii="Arial" w:eastAsia="Calibri" w:hAnsi="Arial" w:cs="Arial"/>
          <w:color w:val="000000"/>
          <w:lang w:val="es-MX"/>
        </w:rPr>
        <w:t xml:space="preserve"> </w:t>
      </w:r>
      <w:r w:rsidR="00B74503">
        <w:rPr>
          <w:rFonts w:ascii="Arial" w:eastAsia="Calibri" w:hAnsi="Arial" w:cs="Arial"/>
          <w:color w:val="000000"/>
          <w:lang w:val="es-MX"/>
        </w:rPr>
        <w:t>su vez se encuentran</w:t>
      </w:r>
      <w:r w:rsidR="009A0EA5" w:rsidRPr="009A0EA5">
        <w:rPr>
          <w:rFonts w:ascii="Arial" w:eastAsia="Calibri" w:hAnsi="Arial" w:cs="Arial"/>
          <w:color w:val="000000"/>
          <w:lang w:val="es-MX"/>
        </w:rPr>
        <w:t xml:space="preserve"> </w:t>
      </w:r>
      <w:r w:rsidR="00B74503">
        <w:rPr>
          <w:rFonts w:ascii="Arial" w:eastAsia="Calibri" w:hAnsi="Arial" w:cs="Arial"/>
          <w:color w:val="000000"/>
          <w:lang w:val="es-MX"/>
        </w:rPr>
        <w:t xml:space="preserve">reglamentados en </w:t>
      </w:r>
      <w:r w:rsidR="009A0EA5" w:rsidRPr="009A0EA5">
        <w:rPr>
          <w:rFonts w:ascii="Arial" w:eastAsia="Calibri" w:hAnsi="Arial" w:cs="Arial"/>
          <w:color w:val="000000"/>
          <w:lang w:val="es-MX"/>
        </w:rPr>
        <w:t>el Decreto 1082 de 2015</w:t>
      </w:r>
      <w:r w:rsidR="00D36506">
        <w:rPr>
          <w:rFonts w:ascii="Arial" w:eastAsia="Calibri" w:hAnsi="Arial" w:cs="Arial"/>
          <w:color w:val="000000"/>
          <w:lang w:val="es-MX"/>
        </w:rPr>
        <w:t>, en donde se regula</w:t>
      </w:r>
      <w:r w:rsidR="009A0EA5" w:rsidRPr="009A0EA5">
        <w:rPr>
          <w:rFonts w:ascii="Arial" w:eastAsia="Calibri" w:hAnsi="Arial" w:cs="Arial"/>
          <w:color w:val="000000"/>
          <w:lang w:val="es-MX"/>
        </w:rPr>
        <w:t xml:space="preserve"> el procedimiento, </w:t>
      </w:r>
      <w:r w:rsidR="003234F9">
        <w:rPr>
          <w:rFonts w:ascii="Arial" w:eastAsia="Calibri" w:hAnsi="Arial" w:cs="Arial"/>
          <w:color w:val="000000"/>
          <w:lang w:val="es-MX"/>
        </w:rPr>
        <w:t>los requisitos aplicables</w:t>
      </w:r>
      <w:r w:rsidR="00D36506">
        <w:rPr>
          <w:rFonts w:ascii="Arial" w:eastAsia="Calibri" w:hAnsi="Arial" w:cs="Arial"/>
          <w:color w:val="000000"/>
          <w:lang w:val="es-MX"/>
        </w:rPr>
        <w:t>,</w:t>
      </w:r>
      <w:r w:rsidR="009A0EA5" w:rsidRPr="009A0EA5">
        <w:rPr>
          <w:rFonts w:ascii="Arial" w:eastAsia="Calibri" w:hAnsi="Arial" w:cs="Arial"/>
          <w:color w:val="000000"/>
          <w:lang w:val="es-MX"/>
        </w:rPr>
        <w:t xml:space="preserve"> entre otros</w:t>
      </w:r>
      <w:r w:rsidR="003234F9">
        <w:rPr>
          <w:rFonts w:ascii="Arial" w:eastAsia="Calibri" w:hAnsi="Arial" w:cs="Arial"/>
          <w:color w:val="000000"/>
          <w:lang w:val="es-MX"/>
        </w:rPr>
        <w:t xml:space="preserve"> aspectos</w:t>
      </w:r>
      <w:r w:rsidR="009A0EA5" w:rsidRPr="009A0EA5">
        <w:rPr>
          <w:rFonts w:ascii="Arial" w:eastAsia="Calibri" w:hAnsi="Arial" w:cs="Arial"/>
          <w:color w:val="000000"/>
          <w:lang w:val="es-MX"/>
        </w:rPr>
        <w:t xml:space="preserve">. </w:t>
      </w:r>
      <w:r w:rsidR="0098737A">
        <w:rPr>
          <w:rFonts w:ascii="Arial" w:eastAsia="Calibri" w:hAnsi="Arial" w:cs="Arial"/>
          <w:color w:val="000000"/>
          <w:lang w:val="es-MX"/>
        </w:rPr>
        <w:t xml:space="preserve">Una de las causales en </w:t>
      </w:r>
      <w:r w:rsidR="0035196C">
        <w:rPr>
          <w:rFonts w:ascii="Arial" w:eastAsia="Calibri" w:hAnsi="Arial" w:cs="Arial"/>
          <w:color w:val="000000"/>
          <w:lang w:val="es-MX"/>
        </w:rPr>
        <w:t xml:space="preserve">las </w:t>
      </w:r>
      <w:r w:rsidR="00D36506">
        <w:rPr>
          <w:rFonts w:ascii="Arial" w:eastAsia="Calibri" w:hAnsi="Arial" w:cs="Arial"/>
          <w:color w:val="000000"/>
          <w:lang w:val="es-MX"/>
        </w:rPr>
        <w:t>que</w:t>
      </w:r>
      <w:r w:rsidR="0035196C">
        <w:rPr>
          <w:rFonts w:ascii="Arial" w:eastAsia="Calibri" w:hAnsi="Arial" w:cs="Arial"/>
          <w:color w:val="000000"/>
          <w:lang w:val="es-MX"/>
        </w:rPr>
        <w:t xml:space="preserve"> aplica </w:t>
      </w:r>
      <w:r w:rsidR="00D36506">
        <w:rPr>
          <w:rFonts w:ascii="Arial" w:eastAsia="Calibri" w:hAnsi="Arial" w:cs="Arial"/>
          <w:color w:val="000000"/>
          <w:lang w:val="es-MX"/>
        </w:rPr>
        <w:t xml:space="preserve">esta modalidad de selección </w:t>
      </w:r>
      <w:r w:rsidR="0035196C">
        <w:rPr>
          <w:rFonts w:ascii="Arial" w:eastAsia="Calibri" w:hAnsi="Arial" w:cs="Arial"/>
          <w:color w:val="000000"/>
          <w:lang w:val="es-MX"/>
        </w:rPr>
        <w:t xml:space="preserve">es la </w:t>
      </w:r>
      <w:r w:rsidR="009A0EA5" w:rsidRPr="009A0EA5">
        <w:rPr>
          <w:rFonts w:ascii="Arial" w:eastAsia="Calibri" w:hAnsi="Arial" w:cs="Arial"/>
          <w:color w:val="000000"/>
          <w:lang w:val="es-MX"/>
        </w:rPr>
        <w:t xml:space="preserve">referida a los negocios que no superan la menor cuantía de la entidad, </w:t>
      </w:r>
      <w:r w:rsidR="0035196C">
        <w:rPr>
          <w:rFonts w:ascii="Arial" w:eastAsia="Calibri" w:hAnsi="Arial" w:cs="Arial"/>
          <w:color w:val="000000"/>
          <w:lang w:val="es-MX"/>
        </w:rPr>
        <w:t xml:space="preserve">prevista en el </w:t>
      </w:r>
      <w:r w:rsidR="00746C66">
        <w:rPr>
          <w:rFonts w:ascii="Arial" w:eastAsia="Calibri" w:hAnsi="Arial" w:cs="Arial"/>
          <w:color w:val="000000"/>
          <w:lang w:val="es-MX"/>
        </w:rPr>
        <w:t>literal b) del artículo 2, numeral 2 de la Ley 1150 de 2007</w:t>
      </w:r>
      <w:r w:rsidR="00DB67C0" w:rsidRPr="009A0EA5">
        <w:rPr>
          <w:rFonts w:ascii="Arial" w:eastAsia="Calibri" w:hAnsi="Arial" w:cs="Arial"/>
          <w:bCs/>
          <w:color w:val="000000"/>
          <w:vertAlign w:val="superscript"/>
          <w:lang w:val="es-MX"/>
        </w:rPr>
        <w:footnoteReference w:id="15"/>
      </w:r>
      <w:r w:rsidR="00746C66">
        <w:rPr>
          <w:rFonts w:ascii="Arial" w:eastAsia="Calibri" w:hAnsi="Arial" w:cs="Arial"/>
          <w:color w:val="000000"/>
          <w:lang w:val="es-MX"/>
        </w:rPr>
        <w:t>.</w:t>
      </w:r>
      <w:r w:rsidR="009A0EA5" w:rsidRPr="009A0EA5">
        <w:rPr>
          <w:rFonts w:ascii="Arial" w:eastAsia="Calibri" w:hAnsi="Arial" w:cs="Arial"/>
          <w:color w:val="000000"/>
          <w:lang w:val="es-MX"/>
        </w:rPr>
        <w:t xml:space="preserve"> </w:t>
      </w:r>
      <w:r w:rsidR="00F71056">
        <w:rPr>
          <w:rFonts w:ascii="Arial" w:eastAsia="Calibri" w:hAnsi="Arial" w:cs="Arial"/>
          <w:color w:val="000000"/>
          <w:lang w:val="es-MX"/>
        </w:rPr>
        <w:lastRenderedPageBreak/>
        <w:t xml:space="preserve">Según indica el literal b) del artículo 2, numeral 2 </w:t>
      </w:r>
      <w:r w:rsidR="00F71056" w:rsidRPr="000546AD">
        <w:rPr>
          <w:rFonts w:ascii="Arial" w:eastAsia="Calibri" w:hAnsi="Arial" w:cs="Arial"/>
          <w:i/>
          <w:iCs/>
          <w:color w:val="000000"/>
          <w:lang w:val="es-MX"/>
        </w:rPr>
        <w:t>ibídem</w:t>
      </w:r>
      <w:r w:rsidR="009778E1">
        <w:rPr>
          <w:rFonts w:ascii="Arial" w:eastAsia="Calibri" w:hAnsi="Arial" w:cs="Arial"/>
          <w:i/>
          <w:iCs/>
          <w:color w:val="000000"/>
          <w:lang w:val="es-MX"/>
        </w:rPr>
        <w:t xml:space="preserve">, </w:t>
      </w:r>
      <w:r w:rsidR="009778E1">
        <w:rPr>
          <w:rFonts w:ascii="Arial" w:eastAsia="Calibri" w:hAnsi="Arial" w:cs="Arial"/>
          <w:color w:val="000000"/>
          <w:lang w:val="es-MX"/>
        </w:rPr>
        <w:t>la menor cuantía</w:t>
      </w:r>
      <w:r w:rsidR="00246FA6">
        <w:rPr>
          <w:rFonts w:ascii="Arial" w:eastAsia="Calibri" w:hAnsi="Arial" w:cs="Arial"/>
          <w:color w:val="000000"/>
          <w:lang w:val="es-MX"/>
        </w:rPr>
        <w:t xml:space="preserve"> </w:t>
      </w:r>
      <w:r w:rsidR="00BC3F83">
        <w:rPr>
          <w:rFonts w:ascii="Arial" w:eastAsia="Calibri" w:hAnsi="Arial" w:cs="Arial"/>
          <w:color w:val="000000"/>
          <w:lang w:val="es-MX"/>
        </w:rPr>
        <w:t xml:space="preserve">se determina “[…] </w:t>
      </w:r>
      <w:r w:rsidR="00BC3F83" w:rsidRPr="00BC3F83">
        <w:rPr>
          <w:rFonts w:ascii="Arial" w:eastAsia="Calibri" w:hAnsi="Arial" w:cs="Arial"/>
          <w:color w:val="000000"/>
          <w:lang w:val="es-MX"/>
        </w:rPr>
        <w:t>en función de los presupuestos anuales de las entidades públicas expresados en salarios mínimos legales mensuales</w:t>
      </w:r>
      <w:r w:rsidR="00BC3F83">
        <w:rPr>
          <w:rFonts w:ascii="Arial" w:eastAsia="Calibri" w:hAnsi="Arial" w:cs="Arial"/>
          <w:color w:val="000000"/>
          <w:lang w:val="es-MX"/>
        </w:rPr>
        <w:t>”</w:t>
      </w:r>
      <w:r w:rsidR="00D31078">
        <w:rPr>
          <w:rFonts w:ascii="Arial" w:eastAsia="Calibri" w:hAnsi="Arial" w:cs="Arial"/>
          <w:color w:val="000000"/>
          <w:lang w:val="es-MX"/>
        </w:rPr>
        <w:t xml:space="preserve">, el cual, a continuación, establece </w:t>
      </w:r>
      <w:r w:rsidR="00DB3D72">
        <w:rPr>
          <w:rFonts w:ascii="Arial" w:eastAsia="Calibri" w:hAnsi="Arial" w:cs="Arial"/>
          <w:color w:val="000000"/>
          <w:lang w:val="es-MX"/>
        </w:rPr>
        <w:t xml:space="preserve">unos rangos </w:t>
      </w:r>
      <w:r w:rsidR="001F120E">
        <w:rPr>
          <w:rFonts w:ascii="Arial" w:eastAsia="Calibri" w:hAnsi="Arial" w:cs="Arial"/>
          <w:color w:val="000000"/>
          <w:lang w:val="es-MX"/>
        </w:rPr>
        <w:t>a partir de los cuales se determina el monto de la menor cuantía para las diferentes entidades sometidas al Estat</w:t>
      </w:r>
      <w:r w:rsidR="00DB67C0">
        <w:rPr>
          <w:rFonts w:ascii="Arial" w:eastAsia="Calibri" w:hAnsi="Arial" w:cs="Arial"/>
          <w:color w:val="000000"/>
          <w:lang w:val="es-MX"/>
        </w:rPr>
        <w:t xml:space="preserve">uto General de Contratación de la Administración Pública. </w:t>
      </w:r>
    </w:p>
    <w:p w14:paraId="12CA2A50" w14:textId="6D48D887" w:rsidR="009A0EA5" w:rsidRPr="009A0EA5" w:rsidRDefault="003E3A16" w:rsidP="00AB3D80">
      <w:pPr>
        <w:spacing w:after="120" w:line="276" w:lineRule="auto"/>
        <w:jc w:val="both"/>
        <w:rPr>
          <w:rFonts w:ascii="Arial" w:eastAsia="Calibri" w:hAnsi="Arial" w:cs="Arial"/>
          <w:color w:val="000000"/>
          <w:lang w:val="es-MX"/>
        </w:rPr>
      </w:pPr>
      <w:r>
        <w:rPr>
          <w:rFonts w:ascii="Arial" w:eastAsia="Calibri" w:hAnsi="Arial" w:cs="Arial"/>
          <w:color w:val="000000"/>
          <w:lang w:val="es-MX"/>
        </w:rPr>
        <w:tab/>
        <w:t>La jurisprudencia de</w:t>
      </w:r>
      <w:r w:rsidR="009A0EA5" w:rsidRPr="009A0EA5">
        <w:rPr>
          <w:rFonts w:ascii="Arial" w:eastAsia="Calibri" w:hAnsi="Arial" w:cs="Arial"/>
          <w:color w:val="000000"/>
          <w:lang w:val="es-MX"/>
        </w:rPr>
        <w:t xml:space="preserve">l Consejo de Estado </w:t>
      </w:r>
      <w:r>
        <w:rPr>
          <w:rFonts w:ascii="Arial" w:eastAsia="Calibri" w:hAnsi="Arial" w:cs="Arial"/>
          <w:color w:val="000000"/>
          <w:lang w:val="es-MX"/>
        </w:rPr>
        <w:t>ha señalado</w:t>
      </w:r>
      <w:r w:rsidR="009A0EA5" w:rsidRPr="009A0EA5">
        <w:rPr>
          <w:rFonts w:ascii="Arial" w:eastAsia="Calibri" w:hAnsi="Arial" w:cs="Arial"/>
          <w:color w:val="000000"/>
          <w:lang w:val="es-MX"/>
        </w:rPr>
        <w:t xml:space="preserve"> algunas condiciones que, conforme a las normas aplicables, </w:t>
      </w:r>
      <w:r w:rsidR="009A0EA5" w:rsidRPr="008D2955">
        <w:rPr>
          <w:rFonts w:ascii="Arial" w:eastAsia="Calibri" w:hAnsi="Arial" w:cs="Arial"/>
          <w:color w:val="000000"/>
          <w:lang w:val="es-MX"/>
        </w:rPr>
        <w:t>deb</w:t>
      </w:r>
      <w:r w:rsidR="005665CC">
        <w:rPr>
          <w:rFonts w:ascii="Arial" w:eastAsia="Calibri" w:hAnsi="Arial" w:cs="Arial"/>
          <w:color w:val="000000"/>
          <w:lang w:val="es-MX"/>
        </w:rPr>
        <w:t>en</w:t>
      </w:r>
      <w:r w:rsidR="009A0EA5" w:rsidRPr="009A0EA5">
        <w:rPr>
          <w:rFonts w:ascii="Arial" w:eastAsia="Calibri" w:hAnsi="Arial" w:cs="Arial"/>
          <w:color w:val="000000"/>
          <w:lang w:val="es-MX"/>
        </w:rPr>
        <w:t xml:space="preserve"> </w:t>
      </w:r>
      <w:r w:rsidR="005665CC">
        <w:rPr>
          <w:rFonts w:ascii="Arial" w:eastAsia="Calibri" w:hAnsi="Arial" w:cs="Arial"/>
          <w:color w:val="000000"/>
          <w:lang w:val="es-MX"/>
        </w:rPr>
        <w:t>cumplirse</w:t>
      </w:r>
      <w:r w:rsidR="005665CC" w:rsidRPr="008D2955">
        <w:rPr>
          <w:rFonts w:ascii="Arial" w:eastAsia="Calibri" w:hAnsi="Arial" w:cs="Arial"/>
          <w:color w:val="000000"/>
          <w:lang w:val="es-MX"/>
        </w:rPr>
        <w:t xml:space="preserve"> </w:t>
      </w:r>
      <w:r w:rsidR="005665CC">
        <w:rPr>
          <w:rFonts w:ascii="Arial" w:eastAsia="Calibri" w:hAnsi="Arial" w:cs="Arial"/>
          <w:color w:val="000000"/>
          <w:lang w:val="es-MX"/>
        </w:rPr>
        <w:t>en</w:t>
      </w:r>
      <w:r w:rsidR="005665CC" w:rsidRPr="008D2955">
        <w:rPr>
          <w:rFonts w:ascii="Arial" w:eastAsia="Calibri" w:hAnsi="Arial" w:cs="Arial"/>
          <w:color w:val="000000"/>
          <w:lang w:val="es-MX"/>
        </w:rPr>
        <w:t xml:space="preserve"> </w:t>
      </w:r>
      <w:r w:rsidR="005665CC">
        <w:rPr>
          <w:rFonts w:ascii="Arial" w:eastAsia="Calibri" w:hAnsi="Arial" w:cs="Arial"/>
          <w:color w:val="000000"/>
          <w:lang w:val="es-MX"/>
        </w:rPr>
        <w:t>el desarrollo de</w:t>
      </w:r>
      <w:r w:rsidR="009A0EA5" w:rsidRPr="008D2955">
        <w:rPr>
          <w:rFonts w:ascii="Arial" w:eastAsia="Calibri" w:hAnsi="Arial" w:cs="Arial"/>
          <w:color w:val="000000"/>
          <w:lang w:val="es-MX"/>
        </w:rPr>
        <w:t xml:space="preserve"> </w:t>
      </w:r>
      <w:r w:rsidR="005665CC">
        <w:rPr>
          <w:rFonts w:ascii="Arial" w:eastAsia="Calibri" w:hAnsi="Arial" w:cs="Arial"/>
          <w:color w:val="000000"/>
          <w:lang w:val="es-MX"/>
        </w:rPr>
        <w:t>Procesos de Contratación</w:t>
      </w:r>
      <w:r w:rsidR="009A0EA5" w:rsidRPr="009A0EA5">
        <w:rPr>
          <w:rFonts w:ascii="Arial" w:eastAsia="Calibri" w:hAnsi="Arial" w:cs="Arial"/>
          <w:color w:val="000000"/>
          <w:lang w:val="es-MX"/>
        </w:rPr>
        <w:t xml:space="preserve"> de menor cuantía </w:t>
      </w:r>
      <w:r w:rsidR="005665CC">
        <w:rPr>
          <w:rFonts w:ascii="Arial" w:eastAsia="Calibri" w:hAnsi="Arial" w:cs="Arial"/>
          <w:color w:val="000000"/>
          <w:lang w:val="es-MX"/>
        </w:rPr>
        <w:t>en relación el deber</w:t>
      </w:r>
      <w:r w:rsidR="009A0EA5" w:rsidRPr="009A0EA5">
        <w:rPr>
          <w:rFonts w:ascii="Arial" w:eastAsia="Calibri" w:hAnsi="Arial" w:cs="Arial"/>
          <w:color w:val="000000"/>
          <w:lang w:val="es-MX"/>
        </w:rPr>
        <w:t xml:space="preserve"> </w:t>
      </w:r>
      <w:r w:rsidR="005665CC">
        <w:rPr>
          <w:rFonts w:ascii="Arial" w:eastAsia="Calibri" w:hAnsi="Arial" w:cs="Arial"/>
          <w:color w:val="000000"/>
          <w:lang w:val="es-MX"/>
        </w:rPr>
        <w:t xml:space="preserve">de </w:t>
      </w:r>
      <w:r w:rsidR="009A0EA5" w:rsidRPr="009A0EA5">
        <w:rPr>
          <w:rFonts w:ascii="Arial" w:eastAsia="Calibri" w:hAnsi="Arial" w:cs="Arial"/>
          <w:color w:val="000000"/>
          <w:lang w:val="es-MX"/>
        </w:rPr>
        <w:t xml:space="preserve">selección objetiva, </w:t>
      </w:r>
      <w:r w:rsidR="0074204A">
        <w:rPr>
          <w:rFonts w:ascii="Arial" w:eastAsia="Calibri" w:hAnsi="Arial" w:cs="Arial"/>
          <w:color w:val="000000"/>
          <w:lang w:val="es-MX"/>
        </w:rPr>
        <w:t>entre ellas</w:t>
      </w:r>
      <w:r w:rsidR="009A0EA5" w:rsidRPr="009A0EA5">
        <w:rPr>
          <w:rFonts w:ascii="Arial" w:eastAsia="Calibri" w:hAnsi="Arial" w:cs="Arial"/>
          <w:color w:val="000000"/>
          <w:lang w:val="es-MX"/>
        </w:rPr>
        <w:t xml:space="preserve">: </w:t>
      </w:r>
      <w:r w:rsidR="008D2955" w:rsidRPr="000546AD">
        <w:rPr>
          <w:rFonts w:ascii="Arial" w:eastAsia="Calibri" w:hAnsi="Arial" w:cs="Arial"/>
          <w:color w:val="000000"/>
          <w:lang w:val="es-MX"/>
        </w:rPr>
        <w:t>“</w:t>
      </w:r>
      <w:r w:rsidR="009A0EA5" w:rsidRPr="000546AD">
        <w:rPr>
          <w:rFonts w:ascii="Arial" w:eastAsia="Calibri" w:hAnsi="Arial" w:cs="Arial"/>
          <w:color w:val="000000"/>
          <w:lang w:val="es-MX"/>
        </w:rPr>
        <w:t>i) la obtención previa de por lo menos dos ofertas, ii) una solicitud de oferta verbal o escrita que debería contener la información básica sobre las características generales y particulares de los bienes, obras o servicios requeridos, condiciones de pago, término para su presentación y demás aspectos que den claridad al proponente sobre el contrato que se pretende, iii) cuando la complejidad del objeto a contratar lo amerite la solicitud de oferta debe ser escrita, iv) en cualquier caso la oferta debe ser escrita</w:t>
      </w:r>
      <w:r w:rsidR="008D2955" w:rsidRPr="000546AD">
        <w:rPr>
          <w:rFonts w:ascii="Arial" w:eastAsia="Calibri" w:hAnsi="Arial" w:cs="Arial"/>
          <w:color w:val="000000"/>
          <w:lang w:val="es-MX"/>
        </w:rPr>
        <w:t>”</w:t>
      </w:r>
      <w:r w:rsidR="008D2955" w:rsidRPr="008D2955">
        <w:rPr>
          <w:rFonts w:ascii="Arial" w:eastAsia="Calibri" w:hAnsi="Arial" w:cs="Arial"/>
          <w:color w:val="000000"/>
          <w:vertAlign w:val="superscript"/>
          <w:lang w:val="es-MX"/>
        </w:rPr>
        <w:footnoteReference w:id="16"/>
      </w:r>
      <w:r w:rsidR="009A0EA5" w:rsidRPr="000546AD">
        <w:rPr>
          <w:rFonts w:ascii="Arial" w:eastAsia="Calibri" w:hAnsi="Arial" w:cs="Arial"/>
          <w:color w:val="000000"/>
          <w:lang w:val="es-MX"/>
        </w:rPr>
        <w:t>.</w:t>
      </w:r>
      <w:r w:rsidR="0074204A">
        <w:rPr>
          <w:rFonts w:ascii="Arial" w:eastAsia="Calibri" w:hAnsi="Arial" w:cs="Arial"/>
          <w:color w:val="000000"/>
          <w:lang w:val="es-MX"/>
        </w:rPr>
        <w:t xml:space="preserve"> L</w:t>
      </w:r>
      <w:r w:rsidR="009A0EA5" w:rsidRPr="009A0EA5">
        <w:rPr>
          <w:rFonts w:ascii="Arial" w:eastAsia="Calibri" w:hAnsi="Arial" w:cs="Arial"/>
          <w:color w:val="000000"/>
          <w:lang w:val="es-MX"/>
        </w:rPr>
        <w:t xml:space="preserve">as condiciones señaladas permiten dar mayor transparencia y objetividad al proceso de selección, pues, al igual que las otras modalidades de selección, esta, si bien es ágil y mucho menos compleja en su procedimiento que la licitación pública, no debe desconocer el principio de selección objetiva que orienta los procedimientos de la contratación. </w:t>
      </w:r>
    </w:p>
    <w:p w14:paraId="70C5F1C9" w14:textId="1BE19B1B" w:rsidR="009A0EA5" w:rsidRPr="009A0EA5" w:rsidRDefault="00607DEC" w:rsidP="009A0EA5">
      <w:pPr>
        <w:spacing w:before="120" w:after="120" w:line="276" w:lineRule="auto"/>
        <w:ind w:firstLine="709"/>
        <w:jc w:val="both"/>
        <w:rPr>
          <w:rFonts w:ascii="Arial" w:eastAsia="Calibri" w:hAnsi="Arial" w:cs="Arial"/>
          <w:color w:val="000000"/>
          <w:lang w:val="es-MX"/>
        </w:rPr>
      </w:pPr>
      <w:r>
        <w:rPr>
          <w:rFonts w:ascii="Arial" w:eastAsia="Calibri" w:hAnsi="Arial" w:cs="Arial"/>
          <w:color w:val="000000"/>
          <w:lang w:val="es-MX"/>
        </w:rPr>
        <w:t>L</w:t>
      </w:r>
      <w:r w:rsidR="009A0EA5" w:rsidRPr="009A0EA5">
        <w:rPr>
          <w:rFonts w:ascii="Arial" w:eastAsia="Calibri" w:hAnsi="Arial" w:cs="Arial"/>
          <w:color w:val="000000"/>
          <w:lang w:val="es-MX"/>
        </w:rPr>
        <w:t>as etapas</w:t>
      </w:r>
      <w:r>
        <w:rPr>
          <w:rFonts w:ascii="Arial" w:eastAsia="Calibri" w:hAnsi="Arial" w:cs="Arial"/>
          <w:color w:val="000000"/>
          <w:lang w:val="es-MX"/>
        </w:rPr>
        <w:t xml:space="preserve"> del procedimiento aplicable para </w:t>
      </w:r>
      <w:r w:rsidR="00F40DD9">
        <w:rPr>
          <w:rFonts w:ascii="Arial" w:eastAsia="Calibri" w:hAnsi="Arial" w:cs="Arial"/>
          <w:color w:val="000000"/>
          <w:lang w:val="es-MX"/>
        </w:rPr>
        <w:t>la modalidad de selección abreviada por la causal de menor cuantía</w:t>
      </w:r>
      <w:r w:rsidR="009A0EA5" w:rsidRPr="009A0EA5">
        <w:rPr>
          <w:rFonts w:ascii="Arial" w:eastAsia="Calibri" w:hAnsi="Arial" w:cs="Arial"/>
          <w:color w:val="000000"/>
          <w:lang w:val="es-MX"/>
        </w:rPr>
        <w:t xml:space="preserve"> </w:t>
      </w:r>
      <w:r w:rsidR="005112D3">
        <w:rPr>
          <w:rFonts w:ascii="Arial" w:eastAsia="Calibri" w:hAnsi="Arial" w:cs="Arial"/>
          <w:color w:val="000000"/>
          <w:lang w:val="es-MX"/>
        </w:rPr>
        <w:t>están reguladas en</w:t>
      </w:r>
      <w:r w:rsidR="009A0EA5" w:rsidRPr="009A0EA5">
        <w:rPr>
          <w:rFonts w:ascii="Arial" w:eastAsia="Calibri" w:hAnsi="Arial" w:cs="Arial"/>
          <w:color w:val="000000"/>
          <w:lang w:val="es-MX"/>
        </w:rPr>
        <w:t xml:space="preserve"> el artículo 2.2.1.2.1.2.20 del Decreto </w:t>
      </w:r>
      <w:r w:rsidR="009A0EA5" w:rsidRPr="009A0EA5">
        <w:rPr>
          <w:rFonts w:ascii="Arial" w:eastAsia="Calibri" w:hAnsi="Arial" w:cs="Arial"/>
          <w:color w:val="000000"/>
          <w:lang w:val="es-MX"/>
        </w:rPr>
        <w:lastRenderedPageBreak/>
        <w:t>1082 de 2015</w:t>
      </w:r>
      <w:r w:rsidR="009A0EA5" w:rsidRPr="009A0EA5">
        <w:rPr>
          <w:rFonts w:ascii="Arial" w:eastAsia="Calibri" w:hAnsi="Arial" w:cs="Arial"/>
          <w:color w:val="000000"/>
          <w:vertAlign w:val="superscript"/>
          <w:lang w:val="es-MX"/>
        </w:rPr>
        <w:footnoteReference w:id="17"/>
      </w:r>
      <w:r w:rsidR="00491C84">
        <w:rPr>
          <w:rFonts w:ascii="Arial" w:eastAsia="Calibri" w:hAnsi="Arial" w:cs="Arial"/>
          <w:color w:val="000000"/>
          <w:lang w:val="es-MX"/>
        </w:rPr>
        <w:t>, el cual</w:t>
      </w:r>
      <w:r w:rsidR="009A0EA5" w:rsidRPr="009A0EA5">
        <w:rPr>
          <w:rFonts w:ascii="Arial" w:eastAsia="Calibri" w:hAnsi="Arial" w:cs="Arial"/>
          <w:color w:val="000000"/>
          <w:lang w:val="es-MX"/>
        </w:rPr>
        <w:t xml:space="preserve"> señala que </w:t>
      </w:r>
      <w:r w:rsidR="00491C84">
        <w:rPr>
          <w:rFonts w:ascii="Arial" w:eastAsia="Calibri" w:hAnsi="Arial" w:cs="Arial"/>
          <w:color w:val="000000"/>
          <w:lang w:val="es-MX"/>
        </w:rPr>
        <w:t>el procedimiento se rige</w:t>
      </w:r>
      <w:r w:rsidR="009A0EA5" w:rsidRPr="009A0EA5">
        <w:rPr>
          <w:rFonts w:ascii="Arial" w:eastAsia="Calibri" w:hAnsi="Arial" w:cs="Arial"/>
          <w:color w:val="000000"/>
          <w:lang w:val="es-MX"/>
        </w:rPr>
        <w:t xml:space="preserve"> por las normas generales de selección abreviada y las especiales contenidas en ese artículo. El procedimiento inicia con la apertura del proceso que haga la entidad, y los interesados en el procedimiento contractual deben presentar una “manifestación de interés” para participar en el mismo, para lo cual la entidad puede otorgar un plazo no mayor a 3 días, y debe señalarse en el cronograma que hace parte del pliego de condiciones. </w:t>
      </w:r>
    </w:p>
    <w:p w14:paraId="5D85BA51" w14:textId="7E9FB489" w:rsidR="009A0EA5" w:rsidRDefault="00844BDA" w:rsidP="00AB3D80">
      <w:pPr>
        <w:spacing w:line="276" w:lineRule="auto"/>
        <w:ind w:firstLine="708"/>
        <w:jc w:val="both"/>
        <w:rPr>
          <w:rFonts w:ascii="Arial" w:eastAsia="Calibri" w:hAnsi="Arial" w:cs="Arial"/>
          <w:color w:val="000000"/>
          <w:lang w:val="es-MX"/>
        </w:rPr>
      </w:pPr>
      <w:r>
        <w:rPr>
          <w:rFonts w:ascii="Arial" w:eastAsia="Calibri" w:hAnsi="Arial" w:cs="Arial"/>
          <w:color w:val="000000"/>
          <w:lang w:val="es-MX"/>
        </w:rPr>
        <w:t xml:space="preserve">Según indica el numeral </w:t>
      </w:r>
      <w:r w:rsidR="0013408E">
        <w:rPr>
          <w:rFonts w:ascii="Arial" w:eastAsia="Calibri" w:hAnsi="Arial" w:cs="Arial"/>
          <w:color w:val="000000"/>
          <w:lang w:val="es-MX"/>
        </w:rPr>
        <w:t xml:space="preserve">2, si la Entidad Estatal recibe más de diez </w:t>
      </w:r>
      <w:r w:rsidR="009A0EA5" w:rsidRPr="009A0EA5">
        <w:rPr>
          <w:rFonts w:ascii="Arial" w:eastAsia="Calibri" w:hAnsi="Arial" w:cs="Arial"/>
          <w:color w:val="000000"/>
          <w:lang w:val="es-MX"/>
        </w:rPr>
        <w:t xml:space="preserve">manifestaciones de interés puede </w:t>
      </w:r>
      <w:r w:rsidR="000605E1">
        <w:rPr>
          <w:rFonts w:ascii="Arial" w:eastAsia="Calibri" w:hAnsi="Arial" w:cs="Arial"/>
          <w:color w:val="000000"/>
          <w:lang w:val="es-MX"/>
        </w:rPr>
        <w:t xml:space="preserve">decidir </w:t>
      </w:r>
      <w:r w:rsidR="002C65DB">
        <w:rPr>
          <w:rFonts w:ascii="Arial" w:eastAsia="Calibri" w:hAnsi="Arial" w:cs="Arial"/>
          <w:color w:val="000000"/>
          <w:lang w:val="es-MX"/>
        </w:rPr>
        <w:t xml:space="preserve">continuar el proceso o hacer un sorteo para </w:t>
      </w:r>
      <w:r w:rsidR="00394597">
        <w:rPr>
          <w:rFonts w:ascii="Arial" w:eastAsia="Calibri" w:hAnsi="Arial" w:cs="Arial"/>
          <w:color w:val="000000"/>
          <w:lang w:val="es-MX"/>
        </w:rPr>
        <w:t xml:space="preserve">escoger diez interesados con </w:t>
      </w:r>
      <w:r w:rsidR="000C1B8B">
        <w:rPr>
          <w:rFonts w:ascii="Arial" w:eastAsia="Calibri" w:hAnsi="Arial" w:cs="Arial"/>
          <w:color w:val="000000"/>
          <w:lang w:val="es-MX"/>
        </w:rPr>
        <w:t xml:space="preserve">los que continuará el proceso. </w:t>
      </w:r>
      <w:r w:rsidR="009506FC">
        <w:rPr>
          <w:rFonts w:ascii="Arial" w:eastAsia="Calibri" w:hAnsi="Arial" w:cs="Arial"/>
          <w:color w:val="000000"/>
          <w:lang w:val="es-MX"/>
        </w:rPr>
        <w:t>Para estos efectos a la Entidad le corresponde indicar en pliego de condicion</w:t>
      </w:r>
      <w:r w:rsidR="0014495B">
        <w:rPr>
          <w:rFonts w:ascii="Arial" w:eastAsia="Calibri" w:hAnsi="Arial" w:cs="Arial"/>
          <w:color w:val="000000"/>
          <w:lang w:val="es-MX"/>
        </w:rPr>
        <w:t xml:space="preserve">es si se realizará o no sortero y el mecanismo para el mismo. </w:t>
      </w:r>
      <w:r w:rsidR="009A0EA5" w:rsidRPr="009A0EA5">
        <w:rPr>
          <w:rFonts w:ascii="Arial" w:eastAsia="Calibri" w:hAnsi="Arial" w:cs="Arial"/>
          <w:color w:val="000000"/>
          <w:lang w:val="es-MX"/>
        </w:rPr>
        <w:t xml:space="preserve"> Cuando haya sorteo, el numeral 3 del artículo referido señala que el plazo para presentar las ofertas empezará a correr el día hábil siguiente de informar a los interesados el resultado. La norma no establece un plazo mínimo para presentar ofertas, por lo cual la entidad debe establecerlo en el pliego de condiciones. Presentadas las ofertas, la entidad estatal debe evaluarlas y publicar el informe de evaluación, durante 3 días hábiles</w:t>
      </w:r>
      <w:r w:rsidR="009A0EA5" w:rsidRPr="009A0EA5">
        <w:rPr>
          <w:rFonts w:ascii="Arial" w:eastAsia="Calibri" w:hAnsi="Arial" w:cs="Arial"/>
          <w:color w:val="000000"/>
          <w:vertAlign w:val="superscript"/>
          <w:lang w:val="es-MX"/>
        </w:rPr>
        <w:footnoteReference w:id="18"/>
      </w:r>
      <w:r w:rsidR="009A0EA5" w:rsidRPr="009A0EA5">
        <w:rPr>
          <w:rFonts w:ascii="Arial" w:eastAsia="Calibri" w:hAnsi="Arial" w:cs="Arial"/>
          <w:color w:val="000000"/>
          <w:lang w:val="es-MX"/>
        </w:rPr>
        <w:t>.</w:t>
      </w:r>
    </w:p>
    <w:p w14:paraId="5999A7F3" w14:textId="77777777" w:rsidR="000A0230" w:rsidRPr="009A0EA5" w:rsidRDefault="000A0230" w:rsidP="000A7351">
      <w:pPr>
        <w:ind w:firstLine="708"/>
        <w:jc w:val="both"/>
        <w:rPr>
          <w:rFonts w:ascii="Arial" w:eastAsia="Calibri" w:hAnsi="Arial" w:cs="Arial"/>
          <w:color w:val="000000"/>
          <w:sz w:val="20"/>
          <w:szCs w:val="20"/>
          <w:lang w:val="es-MX"/>
        </w:rPr>
      </w:pPr>
    </w:p>
    <w:p w14:paraId="1A7F4D8C" w14:textId="32B860B7" w:rsidR="009A0EA5" w:rsidRPr="009A0EA5" w:rsidRDefault="000A0230" w:rsidP="009A0EA5">
      <w:pPr>
        <w:spacing w:line="276" w:lineRule="auto"/>
        <w:jc w:val="both"/>
        <w:rPr>
          <w:rFonts w:ascii="Arial" w:eastAsia="Calibri" w:hAnsi="Arial" w:cs="Arial"/>
          <w:b/>
          <w:color w:val="000000"/>
          <w:lang w:val="es-MX"/>
        </w:rPr>
      </w:pPr>
      <w:r>
        <w:rPr>
          <w:rFonts w:ascii="Arial" w:eastAsia="Calibri" w:hAnsi="Arial" w:cs="Arial"/>
          <w:b/>
          <w:color w:val="000000"/>
          <w:lang w:val="es-MX"/>
        </w:rPr>
        <w:t xml:space="preserve">2.3. </w:t>
      </w:r>
      <w:r w:rsidR="009A0EA5" w:rsidRPr="009A0EA5">
        <w:rPr>
          <w:rFonts w:ascii="Arial" w:eastAsia="Calibri" w:hAnsi="Arial" w:cs="Arial"/>
          <w:b/>
          <w:color w:val="000000"/>
          <w:lang w:val="es-MX"/>
        </w:rPr>
        <w:t xml:space="preserve">La manifestación de interés </w:t>
      </w:r>
      <w:r>
        <w:rPr>
          <w:rFonts w:ascii="Arial" w:eastAsia="Calibri" w:hAnsi="Arial" w:cs="Arial"/>
          <w:b/>
          <w:color w:val="000000"/>
          <w:lang w:val="es-MX"/>
        </w:rPr>
        <w:t xml:space="preserve">y la conformación de proponentes plurales </w:t>
      </w:r>
      <w:r w:rsidR="009A0EA5" w:rsidRPr="009A0EA5">
        <w:rPr>
          <w:rFonts w:ascii="Arial" w:eastAsia="Calibri" w:hAnsi="Arial" w:cs="Arial"/>
          <w:b/>
          <w:color w:val="000000"/>
          <w:lang w:val="es-MX"/>
        </w:rPr>
        <w:t xml:space="preserve">para participar en un procedimiento de menor cuantía </w:t>
      </w:r>
    </w:p>
    <w:p w14:paraId="20CEA3BE" w14:textId="77777777" w:rsidR="009A0EA5" w:rsidRPr="009A0EA5" w:rsidRDefault="009A0EA5" w:rsidP="009A0EA5">
      <w:pPr>
        <w:spacing w:line="276" w:lineRule="auto"/>
        <w:jc w:val="both"/>
        <w:rPr>
          <w:rFonts w:ascii="Arial" w:eastAsia="Calibri" w:hAnsi="Arial" w:cs="Arial"/>
          <w:color w:val="000000"/>
          <w:lang w:val="es-MX"/>
        </w:rPr>
      </w:pPr>
      <w:r w:rsidRPr="009A0EA5">
        <w:rPr>
          <w:rFonts w:ascii="Arial" w:eastAsia="Calibri" w:hAnsi="Arial" w:cs="Arial"/>
          <w:color w:val="000000"/>
          <w:lang w:val="es-MX"/>
        </w:rPr>
        <w:t xml:space="preserve"> </w:t>
      </w:r>
    </w:p>
    <w:p w14:paraId="326C661F" w14:textId="77777777" w:rsidR="009A0EA5" w:rsidRPr="009A0EA5" w:rsidRDefault="009A0EA5" w:rsidP="009A0EA5">
      <w:pPr>
        <w:spacing w:after="120" w:line="276" w:lineRule="auto"/>
        <w:jc w:val="both"/>
        <w:rPr>
          <w:rFonts w:ascii="Arial" w:eastAsia="Calibri" w:hAnsi="Arial" w:cs="Arial"/>
          <w:color w:val="000000"/>
          <w:lang w:val="es-MX"/>
        </w:rPr>
      </w:pPr>
      <w:r w:rsidRPr="009A0EA5">
        <w:rPr>
          <w:rFonts w:ascii="Arial" w:eastAsia="Calibri" w:hAnsi="Arial" w:cs="Arial"/>
          <w:color w:val="000000"/>
          <w:lang w:val="es-MX"/>
        </w:rPr>
        <w:t xml:space="preserve">La manifestación de interés para participar es un acto mediante el cual el interesado expresa a la entidad su interés de participar en el procedimiento de menor cuantía. La norma no señala la forma como debe realizarse la manifestación, por lo cual es facultativo </w:t>
      </w:r>
      <w:r w:rsidRPr="009A0EA5">
        <w:rPr>
          <w:rFonts w:ascii="Arial" w:eastAsia="Calibri" w:hAnsi="Arial" w:cs="Arial"/>
          <w:color w:val="000000"/>
          <w:lang w:val="es-MX"/>
        </w:rPr>
        <w:lastRenderedPageBreak/>
        <w:t>de la entidad definirlo, pudiendo señalar que sea por correo electrónico, o una comunicación escrita o verbal ante la misma entidad pública, etc. En todo caso, esta comunicación, mínimo, debe contener la identificación básica del interesado, junto con la manifestación de estar interesado en participar dentro del proceso de contratación respectivo.</w:t>
      </w:r>
    </w:p>
    <w:p w14:paraId="039692A6" w14:textId="77777777" w:rsidR="009A0EA5" w:rsidRPr="009A0EA5" w:rsidRDefault="009A0EA5" w:rsidP="009A0EA5">
      <w:pPr>
        <w:spacing w:before="120" w:after="120" w:line="276" w:lineRule="auto"/>
        <w:jc w:val="both"/>
        <w:rPr>
          <w:rFonts w:ascii="Arial" w:eastAsia="Calibri" w:hAnsi="Arial" w:cs="Arial"/>
          <w:color w:val="000000"/>
          <w:lang w:val="es-MX"/>
        </w:rPr>
      </w:pPr>
      <w:r w:rsidRPr="009A0EA5">
        <w:rPr>
          <w:rFonts w:ascii="Arial" w:eastAsia="Calibri" w:hAnsi="Arial" w:cs="Arial"/>
          <w:color w:val="000000"/>
          <w:lang w:val="es-MX"/>
        </w:rPr>
        <w:tab/>
        <w:t xml:space="preserve"> El numeral primero del artículo 2.2.1.2.1.2.20 del Decreto 1082 de 2015</w:t>
      </w:r>
      <w:r w:rsidRPr="009A0EA5">
        <w:rPr>
          <w:rFonts w:ascii="Arial" w:eastAsia="Calibri" w:hAnsi="Arial" w:cs="Arial"/>
          <w:color w:val="000000"/>
          <w:vertAlign w:val="superscript"/>
          <w:lang w:val="es-MX"/>
        </w:rPr>
        <w:footnoteReference w:id="19"/>
      </w:r>
      <w:r w:rsidRPr="009A0EA5">
        <w:rPr>
          <w:rFonts w:ascii="Arial" w:eastAsia="Calibri" w:hAnsi="Arial" w:cs="Arial"/>
          <w:color w:val="000000"/>
          <w:lang w:val="es-MX"/>
        </w:rPr>
        <w:t xml:space="preserve"> señala que el interesado debe manifestar su “intención” de participar. Conviene precisar que el fin de la norma es que quienes estén interesados expresen a la entidad la intención de hacer parte del procedimiento. En este orden, la finalidad de la norma es que los interesados puedan participar, en igualdad de condiciones en el procedimiento de contratación, de manera que permite que expresen a la entidad pública su interés de presentarse al proceso de selección.</w:t>
      </w:r>
    </w:p>
    <w:p w14:paraId="416878B6" w14:textId="09A6F7A3" w:rsidR="001B63D6" w:rsidRDefault="00705AB5" w:rsidP="001B63D6">
      <w:pPr>
        <w:spacing w:before="120" w:line="276" w:lineRule="auto"/>
        <w:jc w:val="both"/>
        <w:rPr>
          <w:rFonts w:ascii="Arial" w:eastAsia="Calibri" w:hAnsi="Arial" w:cs="Arial"/>
          <w:lang w:val="es-MX"/>
        </w:rPr>
      </w:pPr>
      <w:r>
        <w:rPr>
          <w:rFonts w:ascii="Arial" w:eastAsia="Calibri" w:hAnsi="Arial" w:cs="Arial"/>
          <w:color w:val="000000"/>
          <w:lang w:val="es-MX"/>
        </w:rPr>
        <w:tab/>
      </w:r>
      <w:r w:rsidR="001B63D6">
        <w:rPr>
          <w:rFonts w:ascii="Arial" w:eastAsia="Calibri" w:hAnsi="Arial" w:cs="Arial"/>
          <w:lang w:val="es-MX"/>
        </w:rPr>
        <w:t>L</w:t>
      </w:r>
      <w:r w:rsidR="001B63D6" w:rsidRPr="00A2124E">
        <w:rPr>
          <w:rFonts w:ascii="Arial" w:eastAsia="Calibri" w:hAnsi="Arial" w:cs="Arial"/>
          <w:lang w:val="es-MX"/>
        </w:rPr>
        <w:t xml:space="preserve">a manifestación de interés durante los tres días hábiles contados a partir de la fecha de apertura del proceso de contratación de selección abreviada de menor </w:t>
      </w:r>
      <w:r w:rsidRPr="00A2124E">
        <w:rPr>
          <w:rFonts w:ascii="Arial" w:eastAsia="Calibri" w:hAnsi="Arial" w:cs="Arial"/>
          <w:lang w:val="es-MX"/>
        </w:rPr>
        <w:t>cuantía</w:t>
      </w:r>
      <w:r w:rsidR="001B63D6" w:rsidRPr="00A2124E">
        <w:rPr>
          <w:rFonts w:ascii="Arial" w:eastAsia="Calibri" w:hAnsi="Arial" w:cs="Arial"/>
          <w:lang w:val="es-MX"/>
        </w:rPr>
        <w:t xml:space="preserve"> es una regla especial de esta modalidad, </w:t>
      </w:r>
      <w:r w:rsidR="00F32F8E">
        <w:rPr>
          <w:rFonts w:ascii="Arial" w:eastAsia="Calibri" w:hAnsi="Arial" w:cs="Arial"/>
          <w:lang w:val="es-MX"/>
        </w:rPr>
        <w:t xml:space="preserve">que deviene en </w:t>
      </w:r>
      <w:r w:rsidR="001B63D6">
        <w:rPr>
          <w:rFonts w:ascii="Arial" w:eastAsia="Calibri" w:hAnsi="Arial" w:cs="Arial"/>
          <w:lang w:val="es-MX"/>
        </w:rPr>
        <w:t>un</w:t>
      </w:r>
      <w:r w:rsidR="001B63D6" w:rsidRPr="00A2124E">
        <w:rPr>
          <w:rFonts w:ascii="Arial" w:eastAsia="Calibri" w:hAnsi="Arial" w:cs="Arial"/>
          <w:lang w:val="es-MX"/>
        </w:rPr>
        <w:t xml:space="preserve"> requisito para participar</w:t>
      </w:r>
      <w:r>
        <w:rPr>
          <w:rFonts w:ascii="Arial" w:eastAsia="Calibri" w:hAnsi="Arial" w:cs="Arial"/>
          <w:lang w:val="es-MX"/>
        </w:rPr>
        <w:t xml:space="preserve"> </w:t>
      </w:r>
      <w:r w:rsidR="001B63D6">
        <w:rPr>
          <w:rFonts w:ascii="Arial" w:eastAsia="Calibri" w:hAnsi="Arial" w:cs="Arial"/>
          <w:lang w:val="es-MX"/>
        </w:rPr>
        <w:t>en este</w:t>
      </w:r>
      <w:r>
        <w:rPr>
          <w:rFonts w:ascii="Arial" w:eastAsia="Calibri" w:hAnsi="Arial" w:cs="Arial"/>
          <w:lang w:val="es-MX"/>
        </w:rPr>
        <w:t xml:space="preserve"> tipo de procedimientos</w:t>
      </w:r>
      <w:r w:rsidR="001B63D6" w:rsidRPr="00A2124E">
        <w:rPr>
          <w:rFonts w:ascii="Arial" w:eastAsia="Calibri" w:hAnsi="Arial" w:cs="Arial"/>
          <w:lang w:val="es-MX"/>
        </w:rPr>
        <w:t xml:space="preserve">. </w:t>
      </w:r>
      <w:r w:rsidR="001B63D6">
        <w:rPr>
          <w:rFonts w:ascii="Arial" w:eastAsia="Calibri" w:hAnsi="Arial" w:cs="Arial"/>
          <w:lang w:val="es-MX"/>
        </w:rPr>
        <w:t>De esta manera</w:t>
      </w:r>
      <w:r w:rsidR="001B63D6" w:rsidRPr="00A2124E">
        <w:rPr>
          <w:rFonts w:ascii="Arial" w:eastAsia="Calibri" w:hAnsi="Arial" w:cs="Arial"/>
          <w:lang w:val="es-MX"/>
        </w:rPr>
        <w:t>, la manifestación de interés se constituye en un requisito habilitante</w:t>
      </w:r>
      <w:r w:rsidR="00F32F8E">
        <w:rPr>
          <w:rFonts w:ascii="Arial" w:eastAsia="Calibri" w:hAnsi="Arial" w:cs="Arial"/>
          <w:lang w:val="es-MX"/>
        </w:rPr>
        <w:t xml:space="preserve"> en la medida en que determina la posibilidad de ser</w:t>
      </w:r>
      <w:r w:rsidR="001B63D6" w:rsidRPr="00A2124E">
        <w:rPr>
          <w:rFonts w:ascii="Arial" w:eastAsia="Calibri" w:hAnsi="Arial" w:cs="Arial"/>
          <w:lang w:val="es-MX"/>
        </w:rPr>
        <w:t xml:space="preserve"> </w:t>
      </w:r>
      <w:r w:rsidR="001B63D6" w:rsidRPr="00A2124E">
        <w:rPr>
          <w:rFonts w:ascii="Arial" w:hAnsi="Arial" w:cs="Arial"/>
          <w:shd w:val="clear" w:color="auto" w:fill="FFFFFF"/>
        </w:rPr>
        <w:t>oferente</w:t>
      </w:r>
      <w:r w:rsidR="001B63D6">
        <w:rPr>
          <w:rStyle w:val="Refdenotaalpie"/>
          <w:rFonts w:ascii="Arial" w:eastAsia="Calibri" w:hAnsi="Arial" w:cs="Arial"/>
          <w:lang w:val="es-MX"/>
        </w:rPr>
        <w:footnoteReference w:id="20"/>
      </w:r>
      <w:r w:rsidR="001B63D6">
        <w:rPr>
          <w:rFonts w:ascii="Arial" w:eastAsia="Calibri" w:hAnsi="Arial" w:cs="Arial"/>
          <w:lang w:val="es-MX"/>
        </w:rPr>
        <w:t>.</w:t>
      </w:r>
      <w:r w:rsidR="001B63D6" w:rsidRPr="00A2124E">
        <w:rPr>
          <w:rFonts w:ascii="Arial" w:eastAsia="Calibri" w:hAnsi="Arial" w:cs="Arial"/>
          <w:lang w:val="es-MX"/>
        </w:rPr>
        <w:t xml:space="preserve"> </w:t>
      </w:r>
    </w:p>
    <w:p w14:paraId="1FDB966A" w14:textId="04116A83" w:rsidR="00B7063C" w:rsidRDefault="001B63D6" w:rsidP="00B7063C">
      <w:pPr>
        <w:spacing w:before="120" w:line="276" w:lineRule="auto"/>
        <w:jc w:val="both"/>
        <w:rPr>
          <w:rFonts w:ascii="Arial" w:eastAsia="Calibri" w:hAnsi="Arial" w:cs="Arial"/>
          <w:lang w:val="es-MX"/>
        </w:rPr>
      </w:pPr>
      <w:r>
        <w:rPr>
          <w:rFonts w:ascii="Arial" w:eastAsia="Calibri" w:hAnsi="Arial" w:cs="Arial"/>
          <w:lang w:val="es-MX"/>
        </w:rPr>
        <w:tab/>
        <w:t>Tratándose de proponentes plurales</w:t>
      </w:r>
      <w:r w:rsidR="00180AA6">
        <w:rPr>
          <w:rFonts w:ascii="Arial" w:eastAsia="Calibri" w:hAnsi="Arial" w:cs="Arial"/>
          <w:lang w:val="es-MX"/>
        </w:rPr>
        <w:t xml:space="preserve"> </w:t>
      </w:r>
      <w:r w:rsidR="00B7063C">
        <w:rPr>
          <w:rFonts w:ascii="Arial" w:eastAsia="Calibri" w:hAnsi="Arial" w:cs="Arial"/>
          <w:lang w:val="es-MX"/>
        </w:rPr>
        <w:t>es</w:t>
      </w:r>
      <w:r>
        <w:rPr>
          <w:rFonts w:ascii="Arial" w:eastAsia="Calibri" w:hAnsi="Arial" w:cs="Arial"/>
          <w:lang w:val="es-MX"/>
        </w:rPr>
        <w:t xml:space="preserve"> posible que dicha manifestación provenga de cada uno de los integrantes que conformarán el proponente plural o del representante del consorcio u unión temporal.</w:t>
      </w:r>
      <w:r w:rsidR="00B7063C">
        <w:rPr>
          <w:rFonts w:ascii="Arial" w:eastAsia="Calibri" w:hAnsi="Arial" w:cs="Arial"/>
          <w:lang w:val="es-MX"/>
        </w:rPr>
        <w:t xml:space="preserve"> La </w:t>
      </w:r>
      <w:r w:rsidR="00B7063C" w:rsidRPr="00170D3F">
        <w:rPr>
          <w:rFonts w:ascii="Arial" w:eastAsia="Calibri" w:hAnsi="Arial" w:cs="Arial"/>
          <w:i/>
          <w:iCs/>
          <w:lang w:val="es-MX"/>
        </w:rPr>
        <w:t>primera variante</w:t>
      </w:r>
      <w:r w:rsidR="00B7063C">
        <w:rPr>
          <w:rFonts w:ascii="Arial" w:eastAsia="Calibri" w:hAnsi="Arial" w:cs="Arial"/>
          <w:lang w:val="es-MX"/>
        </w:rPr>
        <w:t xml:space="preserve"> se recoge el numeral 2.3 del pliego de condiciones de los </w:t>
      </w:r>
      <w:r w:rsidR="00965516">
        <w:rPr>
          <w:rFonts w:ascii="Arial" w:eastAsia="Calibri" w:hAnsi="Arial" w:cs="Arial"/>
          <w:lang w:val="es-MX"/>
        </w:rPr>
        <w:t>documentos t</w:t>
      </w:r>
      <w:r w:rsidR="00B7063C">
        <w:rPr>
          <w:rFonts w:ascii="Arial" w:eastAsia="Calibri" w:hAnsi="Arial" w:cs="Arial"/>
          <w:lang w:val="es-MX"/>
        </w:rPr>
        <w:t>ipo</w:t>
      </w:r>
      <w:r w:rsidR="00965516">
        <w:rPr>
          <w:rFonts w:ascii="Arial" w:eastAsia="Calibri" w:hAnsi="Arial" w:cs="Arial"/>
          <w:lang w:val="es-MX"/>
        </w:rPr>
        <w:t xml:space="preserve"> </w:t>
      </w:r>
      <w:r w:rsidR="00B7063C">
        <w:rPr>
          <w:rFonts w:ascii="Arial" w:eastAsia="Calibri" w:hAnsi="Arial" w:cs="Arial"/>
          <w:lang w:val="es-MX"/>
        </w:rPr>
        <w:t xml:space="preserve">de menor cuantía para obras públicas de infraestructura de transporte, el cual en lo pertinente dispone que </w:t>
      </w:r>
      <w:r w:rsidR="00965516">
        <w:rPr>
          <w:rFonts w:ascii="Arial" w:eastAsia="Calibri" w:hAnsi="Arial" w:cs="Arial"/>
          <w:lang w:val="es-MX"/>
        </w:rPr>
        <w:t>“</w:t>
      </w:r>
      <w:r w:rsidR="00B7063C" w:rsidRPr="00DB1E53">
        <w:rPr>
          <w:rFonts w:ascii="Arial" w:eastAsia="Calibri" w:hAnsi="Arial" w:cs="Arial"/>
        </w:rPr>
        <w:t xml:space="preserve">Los interesados en participar en el presente proceso de selección contarán con un término de tres (3) días hábiles contados a partir de la fecha de apertura del proceso de contratación para manifestar su intención de participar. </w:t>
      </w:r>
      <w:r w:rsidR="00B7063C" w:rsidRPr="00170D3F">
        <w:rPr>
          <w:rFonts w:ascii="Arial" w:eastAsia="Calibri" w:hAnsi="Arial" w:cs="Arial"/>
          <w:i/>
          <w:iCs/>
        </w:rPr>
        <w:t>Los interesados deben enviar una comunicación suscrita</w:t>
      </w:r>
      <w:r w:rsidR="00B7063C" w:rsidRPr="00DB1E53">
        <w:rPr>
          <w:rFonts w:ascii="Arial" w:eastAsia="Calibri" w:hAnsi="Arial" w:cs="Arial"/>
        </w:rPr>
        <w:t xml:space="preserve"> por la persona natural, el representante legal de la persona jurídica, </w:t>
      </w:r>
      <w:r w:rsidR="00B7063C" w:rsidRPr="00170D3F">
        <w:rPr>
          <w:rFonts w:ascii="Arial" w:eastAsia="Calibri" w:hAnsi="Arial" w:cs="Arial"/>
          <w:i/>
          <w:iCs/>
        </w:rPr>
        <w:t>por todos los integrantes del proponente plural</w:t>
      </w:r>
      <w:r w:rsidR="00B7063C" w:rsidRPr="00DB1E53">
        <w:rPr>
          <w:rFonts w:ascii="Arial" w:eastAsia="Calibri" w:hAnsi="Arial" w:cs="Arial"/>
        </w:rPr>
        <w:t xml:space="preserve"> (</w:t>
      </w:r>
      <w:r w:rsidR="00B7063C" w:rsidRPr="00DB1E53">
        <w:rPr>
          <w:rFonts w:ascii="Arial" w:eastAsia="Calibri" w:hAnsi="Arial" w:cs="Arial"/>
        </w:rPr>
        <w:fldChar w:fldCharType="begin"/>
      </w:r>
      <w:r w:rsidR="00B7063C" w:rsidRPr="00DB1E53">
        <w:rPr>
          <w:rFonts w:ascii="Arial" w:eastAsia="Calibri" w:hAnsi="Arial" w:cs="Arial"/>
        </w:rPr>
        <w:instrText xml:space="preserve"> REF _Ref25305885 \h  \* MERGEFORMAT </w:instrText>
      </w:r>
      <w:r w:rsidR="00B7063C" w:rsidRPr="00DB1E53">
        <w:rPr>
          <w:rFonts w:ascii="Arial" w:eastAsia="Calibri" w:hAnsi="Arial" w:cs="Arial"/>
        </w:rPr>
      </w:r>
      <w:r w:rsidR="00B7063C" w:rsidRPr="00DB1E53">
        <w:rPr>
          <w:rFonts w:ascii="Arial" w:eastAsia="Calibri" w:hAnsi="Arial" w:cs="Arial"/>
        </w:rPr>
        <w:fldChar w:fldCharType="separate"/>
      </w:r>
      <w:r w:rsidR="00B7063C" w:rsidRPr="00DB1E53">
        <w:rPr>
          <w:rFonts w:ascii="Arial" w:eastAsia="Calibri" w:hAnsi="Arial" w:cs="Arial"/>
        </w:rPr>
        <w:t>Formato 10 – Carta Manifestación de Interés</w:t>
      </w:r>
      <w:r w:rsidR="00B7063C" w:rsidRPr="00DB1E53">
        <w:rPr>
          <w:rFonts w:ascii="Arial" w:eastAsia="Calibri" w:hAnsi="Arial" w:cs="Arial"/>
          <w:lang w:val="es-MX"/>
        </w:rPr>
        <w:fldChar w:fldCharType="end"/>
      </w:r>
      <w:r w:rsidR="00B7063C" w:rsidRPr="00DB1E53">
        <w:rPr>
          <w:rFonts w:ascii="Arial" w:eastAsia="Calibri" w:hAnsi="Arial" w:cs="Arial"/>
        </w:rPr>
        <w:t xml:space="preserve">), </w:t>
      </w:r>
      <w:r w:rsidR="00B7063C" w:rsidRPr="00DB1E53">
        <w:rPr>
          <w:rFonts w:ascii="Arial" w:eastAsia="Calibri" w:hAnsi="Arial" w:cs="Arial"/>
        </w:rPr>
        <w:lastRenderedPageBreak/>
        <w:t xml:space="preserve">según corresponda, </w:t>
      </w:r>
      <w:r w:rsidR="00B7063C" w:rsidRPr="00170D3F">
        <w:rPr>
          <w:rFonts w:ascii="Arial" w:eastAsia="Calibri" w:hAnsi="Arial" w:cs="Arial"/>
          <w:i/>
          <w:iCs/>
        </w:rPr>
        <w:t xml:space="preserve">al correo electrónico, o a falta de este a la dirección física indicada en el numeral </w:t>
      </w:r>
      <w:r w:rsidR="00B7063C" w:rsidRPr="00170D3F">
        <w:rPr>
          <w:rFonts w:ascii="Arial" w:eastAsia="Calibri" w:hAnsi="Arial" w:cs="Arial"/>
          <w:i/>
          <w:iCs/>
        </w:rPr>
        <w:fldChar w:fldCharType="begin"/>
      </w:r>
      <w:r w:rsidR="00B7063C" w:rsidRPr="00170D3F">
        <w:rPr>
          <w:rFonts w:ascii="Arial" w:eastAsia="Calibri" w:hAnsi="Arial" w:cs="Arial"/>
          <w:i/>
          <w:iCs/>
        </w:rPr>
        <w:instrText xml:space="preserve"> REF _Ref25305833 \r \h  \* MERGEFORMAT </w:instrText>
      </w:r>
      <w:r w:rsidR="00B7063C" w:rsidRPr="00170D3F">
        <w:rPr>
          <w:rFonts w:ascii="Arial" w:eastAsia="Calibri" w:hAnsi="Arial" w:cs="Arial"/>
          <w:i/>
          <w:iCs/>
        </w:rPr>
      </w:r>
      <w:r w:rsidR="00B7063C" w:rsidRPr="00170D3F">
        <w:rPr>
          <w:rFonts w:ascii="Arial" w:eastAsia="Calibri" w:hAnsi="Arial" w:cs="Arial"/>
          <w:i/>
          <w:iCs/>
        </w:rPr>
        <w:fldChar w:fldCharType="separate"/>
      </w:r>
      <w:r w:rsidR="00B7063C" w:rsidRPr="00170D3F">
        <w:rPr>
          <w:rFonts w:ascii="Arial" w:eastAsia="Calibri" w:hAnsi="Arial" w:cs="Arial"/>
          <w:i/>
          <w:iCs/>
        </w:rPr>
        <w:t>1.3</w:t>
      </w:r>
      <w:r w:rsidR="00B7063C" w:rsidRPr="00170D3F">
        <w:rPr>
          <w:rFonts w:ascii="Arial" w:eastAsia="Calibri" w:hAnsi="Arial" w:cs="Arial"/>
          <w:i/>
          <w:iCs/>
          <w:lang w:val="es-MX"/>
        </w:rPr>
        <w:fldChar w:fldCharType="end"/>
      </w:r>
      <w:r w:rsidR="00B7063C" w:rsidRPr="00170D3F">
        <w:rPr>
          <w:rFonts w:ascii="Arial" w:eastAsia="Calibri" w:hAnsi="Arial" w:cs="Arial"/>
          <w:i/>
          <w:iCs/>
        </w:rPr>
        <w:t xml:space="preserve"> del presente pliego</w:t>
      </w:r>
      <w:r w:rsidR="00965516">
        <w:rPr>
          <w:rFonts w:ascii="Arial" w:eastAsia="Calibri" w:hAnsi="Arial" w:cs="Arial"/>
        </w:rPr>
        <w:t>”</w:t>
      </w:r>
      <w:r w:rsidR="00B7063C">
        <w:rPr>
          <w:rFonts w:ascii="Arial" w:eastAsia="Calibri" w:hAnsi="Arial" w:cs="Arial"/>
        </w:rPr>
        <w:t xml:space="preserve"> (Énfasis fuera de texto)</w:t>
      </w:r>
      <w:r w:rsidR="00B7063C">
        <w:rPr>
          <w:rStyle w:val="Refdenotaalpie"/>
          <w:rFonts w:ascii="Arial" w:eastAsia="Calibri" w:hAnsi="Arial" w:cs="Arial"/>
        </w:rPr>
        <w:footnoteReference w:id="21"/>
      </w:r>
      <w:r w:rsidR="00B7063C">
        <w:rPr>
          <w:rFonts w:ascii="Arial" w:eastAsia="Calibri" w:hAnsi="Arial" w:cs="Arial"/>
        </w:rPr>
        <w:t>.</w:t>
      </w:r>
    </w:p>
    <w:p w14:paraId="462616D5" w14:textId="05440182" w:rsidR="00B7063C" w:rsidRDefault="00B7063C" w:rsidP="00B7063C">
      <w:pPr>
        <w:spacing w:before="120" w:line="276" w:lineRule="auto"/>
        <w:jc w:val="both"/>
        <w:rPr>
          <w:rFonts w:ascii="Arial" w:eastAsia="Calibri" w:hAnsi="Arial" w:cs="Arial"/>
        </w:rPr>
      </w:pPr>
      <w:r>
        <w:rPr>
          <w:rFonts w:ascii="Arial" w:eastAsia="Calibri" w:hAnsi="Arial" w:cs="Arial"/>
          <w:lang w:val="es-MX"/>
        </w:rPr>
        <w:tab/>
        <w:t xml:space="preserve">La </w:t>
      </w:r>
      <w:r w:rsidRPr="00170D3F">
        <w:rPr>
          <w:rFonts w:ascii="Arial" w:eastAsia="Calibri" w:hAnsi="Arial" w:cs="Arial"/>
          <w:i/>
          <w:iCs/>
          <w:lang w:val="es-MX"/>
        </w:rPr>
        <w:t>segunda variable</w:t>
      </w:r>
      <w:r>
        <w:rPr>
          <w:rFonts w:ascii="Arial" w:eastAsia="Calibri" w:hAnsi="Arial" w:cs="Arial"/>
          <w:lang w:val="es-MX"/>
        </w:rPr>
        <w:t xml:space="preserve">, por su parte, se recoge para los procesos adelantados en SECOP II. Esto en el entendido que </w:t>
      </w:r>
      <w:r w:rsidRPr="00385FCF">
        <w:rPr>
          <w:rFonts w:ascii="Arial" w:eastAsia="Calibri" w:hAnsi="Arial" w:cs="Arial"/>
          <w:lang w:val="es-MX"/>
        </w:rPr>
        <w:t>los interesados deben manifestar interés utilizando el módulo correspondiente de acuerdo con la Guía para manifestar interés y la Guía para presentar Ofertas</w:t>
      </w:r>
      <w:r>
        <w:rPr>
          <w:rFonts w:ascii="Arial" w:eastAsia="Calibri" w:hAnsi="Arial" w:cs="Arial"/>
          <w:lang w:val="es-MX"/>
        </w:rPr>
        <w:t xml:space="preserve"> en la respectiva plataforma. Al respecto, la guía señala lo siguiente: </w:t>
      </w:r>
      <w:r w:rsidR="000D2FBC">
        <w:rPr>
          <w:rFonts w:ascii="Arial" w:eastAsia="Calibri" w:hAnsi="Arial" w:cs="Arial"/>
          <w:lang w:val="es-MX"/>
        </w:rPr>
        <w:t>“</w:t>
      </w:r>
      <w:r>
        <w:rPr>
          <w:rFonts w:ascii="Arial" w:eastAsia="Calibri" w:hAnsi="Arial" w:cs="Arial"/>
          <w:lang w:val="es-MX"/>
        </w:rPr>
        <w:t xml:space="preserve">[…] </w:t>
      </w:r>
      <w:r w:rsidRPr="008715B6">
        <w:rPr>
          <w:rFonts w:ascii="Arial" w:eastAsia="Calibri" w:hAnsi="Arial" w:cs="Arial"/>
          <w:bCs/>
          <w:lang w:val="es-ES"/>
        </w:rPr>
        <w:t>p</w:t>
      </w:r>
      <w:r w:rsidRPr="008715B6">
        <w:rPr>
          <w:rFonts w:ascii="Arial" w:eastAsia="Calibri" w:hAnsi="Arial" w:cs="Arial"/>
        </w:rPr>
        <w:t>ara participar en Procesos de Contratación en el SECOP II como Proponente Plural (ya sea para manifestar interés, enviar observaciones, ofertas o firmar contratos), debe actuar exclusivamente desde su cuenta de Proponente Plural. Cualquier acción realizada desde la cuenta de cualquiera de los integrantes no es válida para el Proponente Plural y quedará a nombre del proponente singular</w:t>
      </w:r>
      <w:r w:rsidR="000D2FBC">
        <w:rPr>
          <w:rFonts w:ascii="Arial" w:eastAsia="Calibri" w:hAnsi="Arial" w:cs="Arial"/>
        </w:rPr>
        <w:t>”</w:t>
      </w:r>
      <w:r>
        <w:rPr>
          <w:rFonts w:ascii="Arial" w:eastAsia="Calibri" w:hAnsi="Arial" w:cs="Arial"/>
        </w:rPr>
        <w:t xml:space="preserve">. Por lo demás, agrega que </w:t>
      </w:r>
      <w:r w:rsidR="000D2FBC">
        <w:rPr>
          <w:rFonts w:ascii="Arial" w:eastAsia="Calibri" w:hAnsi="Arial" w:cs="Arial"/>
        </w:rPr>
        <w:t>“</w:t>
      </w:r>
      <w:r w:rsidRPr="00170D3F">
        <w:rPr>
          <w:rFonts w:ascii="Arial" w:eastAsia="Calibri" w:hAnsi="Arial" w:cs="Arial"/>
          <w:i/>
          <w:iCs/>
        </w:rPr>
        <w:t>En los Procesos de Contratación en la modalidad de Selección Abreviada de Menor Cuantía, si quiere enviar oferta como Proponente Plural, debe enviar su manifestación de interés desde la cuenta del Proponente Plural. En el SECOP II no es posible manifestar interés como proponente singular y luego enviar la oferta como proponente plural</w:t>
      </w:r>
      <w:r w:rsidR="000D2FBC">
        <w:rPr>
          <w:rFonts w:ascii="Arial" w:eastAsia="Calibri" w:hAnsi="Arial" w:cs="Arial"/>
        </w:rPr>
        <w:t>”</w:t>
      </w:r>
      <w:r>
        <w:rPr>
          <w:rStyle w:val="Refdenotaalpie"/>
          <w:rFonts w:ascii="Arial" w:eastAsia="Calibri" w:hAnsi="Arial" w:cs="Arial"/>
          <w:lang w:val="es-MX"/>
        </w:rPr>
        <w:footnoteReference w:id="22"/>
      </w:r>
      <w:r>
        <w:rPr>
          <w:rFonts w:ascii="Arial" w:eastAsia="Calibri" w:hAnsi="Arial" w:cs="Arial"/>
        </w:rPr>
        <w:t xml:space="preserve"> (Énfasis fuera de texto). </w:t>
      </w:r>
    </w:p>
    <w:p w14:paraId="3E46B74E" w14:textId="0856E444" w:rsidR="00B7063C" w:rsidRDefault="00B7063C" w:rsidP="00DF028A">
      <w:pPr>
        <w:spacing w:before="120" w:after="120" w:line="276" w:lineRule="auto"/>
        <w:jc w:val="both"/>
        <w:rPr>
          <w:rFonts w:ascii="Arial" w:eastAsia="Calibri" w:hAnsi="Arial" w:cs="Arial"/>
          <w:lang w:val="es-MX"/>
        </w:rPr>
      </w:pPr>
      <w:r>
        <w:rPr>
          <w:rFonts w:ascii="Arial" w:eastAsia="Calibri" w:hAnsi="Arial" w:cs="Arial"/>
        </w:rPr>
        <w:tab/>
        <w:t xml:space="preserve">Sin perjuicio de la regla de inalterabilidad de los documentos tipo y las condiciones de uso del SECOP II, la entidad puede configurar las condiciones de la manifestación de interés en el pliego de condiciones acogiendo alguna de las dos (2) opciones anteriormente mencionadas. En este caso, el interesado informará su intención de participar de acuerdo con las exigencias planteadas en los documentos del proceso. En caso de que el pliego de condiciones guarde silencio sobre este tema, los interesados </w:t>
      </w:r>
      <w:r>
        <w:rPr>
          <w:rFonts w:ascii="Arial" w:eastAsia="Calibri" w:hAnsi="Arial" w:cs="Arial"/>
        </w:rPr>
        <w:lastRenderedPageBreak/>
        <w:t xml:space="preserve">serán libres para escoger si </w:t>
      </w:r>
      <w:r>
        <w:rPr>
          <w:rFonts w:ascii="Arial" w:eastAsia="Calibri" w:hAnsi="Arial" w:cs="Arial"/>
          <w:lang w:val="es-MX"/>
        </w:rPr>
        <w:t>dicha manifestación proviene de cada uno de los integrantes que conformarán el proponente plural o del representante del consorcio u unión temporal.</w:t>
      </w:r>
    </w:p>
    <w:p w14:paraId="3D48648D" w14:textId="77777777" w:rsidR="003C3D08" w:rsidRDefault="00DF39E9" w:rsidP="0000210B">
      <w:pPr>
        <w:spacing w:before="120" w:after="120" w:line="276" w:lineRule="auto"/>
        <w:jc w:val="both"/>
        <w:rPr>
          <w:rFonts w:ascii="Arial" w:eastAsia="Calibri" w:hAnsi="Arial" w:cs="Arial"/>
          <w:lang w:val="es-MX"/>
        </w:rPr>
      </w:pPr>
      <w:r>
        <w:rPr>
          <w:rFonts w:ascii="Arial" w:eastAsia="Calibri" w:hAnsi="Arial" w:cs="Arial"/>
          <w:lang w:val="es-MX"/>
        </w:rPr>
        <w:tab/>
      </w:r>
      <w:r w:rsidR="0000210B">
        <w:rPr>
          <w:rFonts w:ascii="Arial" w:eastAsia="Calibri" w:hAnsi="Arial" w:cs="Arial"/>
          <w:lang w:val="es-MX"/>
        </w:rPr>
        <w:t>E</w:t>
      </w:r>
      <w:r>
        <w:rPr>
          <w:rFonts w:ascii="Arial" w:eastAsia="Calibri" w:hAnsi="Arial" w:cs="Arial"/>
          <w:lang w:val="es-MX"/>
        </w:rPr>
        <w:t>n cuanto a la posibilidad de</w:t>
      </w:r>
      <w:r w:rsidR="00437BBB">
        <w:rPr>
          <w:rFonts w:ascii="Arial" w:eastAsia="Calibri" w:hAnsi="Arial" w:cs="Arial"/>
          <w:lang w:val="es-MX"/>
        </w:rPr>
        <w:t xml:space="preserve"> que en la presentación de la oferta se varíen</w:t>
      </w:r>
      <w:r>
        <w:rPr>
          <w:rFonts w:ascii="Arial" w:eastAsia="Calibri" w:hAnsi="Arial" w:cs="Arial"/>
          <w:lang w:val="es-MX"/>
        </w:rPr>
        <w:t xml:space="preserve"> </w:t>
      </w:r>
      <w:r w:rsidR="00BE758A">
        <w:rPr>
          <w:rFonts w:ascii="Arial" w:eastAsia="Calibri" w:hAnsi="Arial" w:cs="Arial"/>
          <w:lang w:val="es-MX"/>
        </w:rPr>
        <w:t>las</w:t>
      </w:r>
      <w:r w:rsidR="00291A38">
        <w:rPr>
          <w:rFonts w:ascii="Arial" w:eastAsia="Calibri" w:hAnsi="Arial" w:cs="Arial"/>
          <w:lang w:val="es-MX"/>
        </w:rPr>
        <w:t xml:space="preserve"> condiciones </w:t>
      </w:r>
      <w:r w:rsidR="0049673E">
        <w:rPr>
          <w:rFonts w:ascii="Arial" w:eastAsia="Calibri" w:hAnsi="Arial" w:cs="Arial"/>
          <w:lang w:val="es-MX"/>
        </w:rPr>
        <w:t>de</w:t>
      </w:r>
      <w:r w:rsidR="00291A38">
        <w:rPr>
          <w:rFonts w:ascii="Arial" w:eastAsia="Calibri" w:hAnsi="Arial" w:cs="Arial"/>
          <w:lang w:val="es-MX"/>
        </w:rPr>
        <w:t xml:space="preserve"> conformación del</w:t>
      </w:r>
      <w:r w:rsidR="00437BBB">
        <w:rPr>
          <w:rFonts w:ascii="Arial" w:eastAsia="Calibri" w:hAnsi="Arial" w:cs="Arial"/>
          <w:lang w:val="es-MX"/>
        </w:rPr>
        <w:t xml:space="preserve"> proponente plural</w:t>
      </w:r>
      <w:r w:rsidR="0049673E">
        <w:rPr>
          <w:rFonts w:ascii="Arial" w:eastAsia="Calibri" w:hAnsi="Arial" w:cs="Arial"/>
          <w:lang w:val="es-MX"/>
        </w:rPr>
        <w:t xml:space="preserve"> debe advertirse que, en principio, no existe una norma de alcance general que</w:t>
      </w:r>
      <w:r w:rsidR="00BA3371">
        <w:rPr>
          <w:rFonts w:ascii="Arial" w:eastAsia="Calibri" w:hAnsi="Arial" w:cs="Arial"/>
          <w:lang w:val="es-MX"/>
        </w:rPr>
        <w:t xml:space="preserve"> lo regule</w:t>
      </w:r>
      <w:r w:rsidR="003E6B02">
        <w:rPr>
          <w:rFonts w:ascii="Arial" w:eastAsia="Calibri" w:hAnsi="Arial" w:cs="Arial"/>
          <w:lang w:val="es-MX"/>
        </w:rPr>
        <w:t>. No obstante,</w:t>
      </w:r>
      <w:r w:rsidR="001B4A45">
        <w:rPr>
          <w:rFonts w:ascii="Arial" w:eastAsia="Calibri" w:hAnsi="Arial" w:cs="Arial"/>
          <w:lang w:val="es-MX"/>
        </w:rPr>
        <w:t xml:space="preserve"> el hecho de que la manifestación de interés sea un requisito habilitante </w:t>
      </w:r>
      <w:r w:rsidR="00BA3371">
        <w:rPr>
          <w:rFonts w:ascii="Arial" w:eastAsia="Calibri" w:hAnsi="Arial" w:cs="Arial"/>
          <w:lang w:val="es-MX"/>
        </w:rPr>
        <w:t>en</w:t>
      </w:r>
      <w:r w:rsidR="001B4A45">
        <w:rPr>
          <w:rFonts w:ascii="Arial" w:eastAsia="Calibri" w:hAnsi="Arial" w:cs="Arial"/>
          <w:lang w:val="es-MX"/>
        </w:rPr>
        <w:t xml:space="preserve"> </w:t>
      </w:r>
      <w:r w:rsidR="00BA3371">
        <w:rPr>
          <w:rFonts w:ascii="Arial" w:eastAsia="Calibri" w:hAnsi="Arial" w:cs="Arial"/>
          <w:lang w:val="es-MX"/>
        </w:rPr>
        <w:t xml:space="preserve">los </w:t>
      </w:r>
      <w:r w:rsidR="001B4A45">
        <w:rPr>
          <w:rFonts w:ascii="Arial" w:eastAsia="Calibri" w:hAnsi="Arial" w:cs="Arial"/>
          <w:lang w:val="es-MX"/>
        </w:rPr>
        <w:t>proceso</w:t>
      </w:r>
      <w:r w:rsidR="00BE6156">
        <w:rPr>
          <w:rFonts w:ascii="Arial" w:eastAsia="Calibri" w:hAnsi="Arial" w:cs="Arial"/>
          <w:lang w:val="es-MX"/>
        </w:rPr>
        <w:t>s</w:t>
      </w:r>
      <w:r w:rsidR="001B4A45">
        <w:rPr>
          <w:rFonts w:ascii="Arial" w:eastAsia="Calibri" w:hAnsi="Arial" w:cs="Arial"/>
          <w:lang w:val="es-MX"/>
        </w:rPr>
        <w:t xml:space="preserve"> de selección abreviada de menor cuantía</w:t>
      </w:r>
      <w:r w:rsidR="00BE6156">
        <w:rPr>
          <w:rFonts w:ascii="Arial" w:eastAsia="Calibri" w:hAnsi="Arial" w:cs="Arial"/>
          <w:lang w:val="es-MX"/>
        </w:rPr>
        <w:t xml:space="preserve"> </w:t>
      </w:r>
      <w:r w:rsidR="00AE5C97">
        <w:rPr>
          <w:rFonts w:ascii="Arial" w:eastAsia="Calibri" w:hAnsi="Arial" w:cs="Arial"/>
          <w:lang w:val="es-MX"/>
        </w:rPr>
        <w:t>implica que solo quienes hayan manifestado interés en los términos antes explicados</w:t>
      </w:r>
      <w:r w:rsidR="00291A38">
        <w:rPr>
          <w:rFonts w:ascii="Arial" w:eastAsia="Calibri" w:hAnsi="Arial" w:cs="Arial"/>
          <w:lang w:val="es-MX"/>
        </w:rPr>
        <w:t xml:space="preserve"> podrán presentar oferta, razón por la</w:t>
      </w:r>
      <w:r w:rsidR="00BF01E2">
        <w:rPr>
          <w:rFonts w:ascii="Arial" w:eastAsia="Calibri" w:hAnsi="Arial" w:cs="Arial"/>
          <w:lang w:val="es-MX"/>
        </w:rPr>
        <w:t xml:space="preserve"> que no resultaría valido que se</w:t>
      </w:r>
      <w:r w:rsidR="00BE758A">
        <w:rPr>
          <w:rFonts w:ascii="Arial" w:eastAsia="Calibri" w:hAnsi="Arial" w:cs="Arial"/>
          <w:lang w:val="es-MX"/>
        </w:rPr>
        <w:t xml:space="preserve"> habilitara una oferta presentada por un proponente plural en el que </w:t>
      </w:r>
      <w:r w:rsidR="0000210B">
        <w:rPr>
          <w:rFonts w:ascii="Arial" w:eastAsia="Calibri" w:hAnsi="Arial" w:cs="Arial"/>
          <w:lang w:val="es-MX"/>
        </w:rPr>
        <w:t xml:space="preserve">se han variados los integrantes, respecto de los indicados en la manifestación de interés. </w:t>
      </w:r>
    </w:p>
    <w:p w14:paraId="31410D38" w14:textId="77777777" w:rsidR="00952DA2" w:rsidRDefault="003C3D08" w:rsidP="003C3D08">
      <w:pPr>
        <w:spacing w:before="120" w:after="120" w:line="276" w:lineRule="auto"/>
        <w:ind w:firstLine="708"/>
        <w:jc w:val="both"/>
        <w:rPr>
          <w:rFonts w:ascii="Arial" w:eastAsia="Calibri" w:hAnsi="Arial" w:cs="Arial"/>
          <w:lang w:val="es-MX"/>
        </w:rPr>
      </w:pPr>
      <w:r>
        <w:rPr>
          <w:rFonts w:ascii="Arial" w:eastAsia="Calibri" w:hAnsi="Arial" w:cs="Arial"/>
          <w:lang w:val="es-MX"/>
        </w:rPr>
        <w:t>Sin embargo, es cierto que no existe una regulación que</w:t>
      </w:r>
      <w:r w:rsidR="00291A38">
        <w:rPr>
          <w:rFonts w:ascii="Arial" w:eastAsia="Calibri" w:hAnsi="Arial" w:cs="Arial"/>
          <w:lang w:val="es-MX"/>
        </w:rPr>
        <w:t xml:space="preserve"> exija que los porcentajes de participación que se señalen en la oferta deban ser idénticos a los indicados en la manifestación de interés</w:t>
      </w:r>
      <w:r w:rsidR="00CC7C84">
        <w:rPr>
          <w:rFonts w:ascii="Arial" w:eastAsia="Calibri" w:hAnsi="Arial" w:cs="Arial"/>
          <w:lang w:val="es-MX"/>
        </w:rPr>
        <w:t xml:space="preserve">. </w:t>
      </w:r>
      <w:r w:rsidR="00C87208">
        <w:rPr>
          <w:rFonts w:ascii="Arial" w:eastAsia="Calibri" w:hAnsi="Arial" w:cs="Arial"/>
          <w:lang w:val="es-MX"/>
        </w:rPr>
        <w:t xml:space="preserve">En ese sentido, si se toma en consideración que la verificación de los porcentajes de participación y conformación del proponente plural </w:t>
      </w:r>
      <w:r w:rsidR="002A2F0E">
        <w:rPr>
          <w:rFonts w:ascii="Arial" w:eastAsia="Calibri" w:hAnsi="Arial" w:cs="Arial"/>
          <w:lang w:val="es-MX"/>
        </w:rPr>
        <w:t>suele tornarse relevante al momento de evaluar las ofertas,</w:t>
      </w:r>
      <w:r w:rsidR="00CD323F">
        <w:rPr>
          <w:rFonts w:ascii="Arial" w:eastAsia="Calibri" w:hAnsi="Arial" w:cs="Arial"/>
          <w:lang w:val="es-MX"/>
        </w:rPr>
        <w:t xml:space="preserve"> bien podría concluirse que</w:t>
      </w:r>
      <w:r w:rsidR="00BA7B3E">
        <w:rPr>
          <w:rFonts w:ascii="Arial" w:eastAsia="Calibri" w:hAnsi="Arial" w:cs="Arial"/>
          <w:lang w:val="es-MX"/>
        </w:rPr>
        <w:t xml:space="preserve"> sería valido que al presentar la oferta se varíen</w:t>
      </w:r>
      <w:r w:rsidR="009F6C7D">
        <w:rPr>
          <w:rFonts w:ascii="Arial" w:eastAsia="Calibri" w:hAnsi="Arial" w:cs="Arial"/>
          <w:lang w:val="es-MX"/>
        </w:rPr>
        <w:t xml:space="preserve"> los porcentajes de participación </w:t>
      </w:r>
      <w:r w:rsidR="00BA7B3E">
        <w:rPr>
          <w:rFonts w:ascii="Arial" w:eastAsia="Calibri" w:hAnsi="Arial" w:cs="Arial"/>
          <w:lang w:val="es-MX"/>
        </w:rPr>
        <w:t>en principio indicados en la manifestación de int</w:t>
      </w:r>
      <w:r w:rsidR="00952DA2">
        <w:rPr>
          <w:rFonts w:ascii="Arial" w:eastAsia="Calibri" w:hAnsi="Arial" w:cs="Arial"/>
          <w:lang w:val="es-MX"/>
        </w:rPr>
        <w:t>e</w:t>
      </w:r>
      <w:r w:rsidR="00BA7B3E">
        <w:rPr>
          <w:rFonts w:ascii="Arial" w:eastAsia="Calibri" w:hAnsi="Arial" w:cs="Arial"/>
          <w:lang w:val="es-MX"/>
        </w:rPr>
        <w:t>rés</w:t>
      </w:r>
      <w:r w:rsidR="00952DA2">
        <w:rPr>
          <w:rFonts w:ascii="Arial" w:eastAsia="Calibri" w:hAnsi="Arial" w:cs="Arial"/>
          <w:lang w:val="es-MX"/>
        </w:rPr>
        <w:t xml:space="preserve">, </w:t>
      </w:r>
      <w:r w:rsidR="00CD323F">
        <w:rPr>
          <w:rFonts w:ascii="Arial" w:eastAsia="Calibri" w:hAnsi="Arial" w:cs="Arial"/>
          <w:lang w:val="es-MX"/>
        </w:rPr>
        <w:t xml:space="preserve"> siempre que se cuente con </w:t>
      </w:r>
      <w:r w:rsidR="002B110D">
        <w:rPr>
          <w:rFonts w:ascii="Arial" w:eastAsia="Calibri" w:hAnsi="Arial" w:cs="Arial"/>
          <w:lang w:val="es-MX"/>
        </w:rPr>
        <w:t>el consentimiento de todos los integrantes involucrados en la manifestación de interés, expresado en el documento de conformación del proponente plural</w:t>
      </w:r>
      <w:r w:rsidR="00DF378C">
        <w:rPr>
          <w:rFonts w:ascii="Arial" w:eastAsia="Calibri" w:hAnsi="Arial" w:cs="Arial"/>
          <w:lang w:val="es-MX"/>
        </w:rPr>
        <w:t xml:space="preserve"> –y en el usuario de proponente plural en SECOP II–</w:t>
      </w:r>
      <w:r w:rsidR="00952DA2">
        <w:rPr>
          <w:rFonts w:ascii="Arial" w:eastAsia="Calibri" w:hAnsi="Arial" w:cs="Arial"/>
          <w:lang w:val="es-MX"/>
        </w:rPr>
        <w:t>.</w:t>
      </w:r>
    </w:p>
    <w:p w14:paraId="2E9CC4F8" w14:textId="660FAFC8" w:rsidR="009A0EA5" w:rsidRPr="009A0EA5" w:rsidRDefault="00952DA2" w:rsidP="00D43189">
      <w:pPr>
        <w:spacing w:before="120" w:line="276" w:lineRule="auto"/>
        <w:ind w:firstLine="709"/>
        <w:jc w:val="both"/>
        <w:rPr>
          <w:rFonts w:ascii="Arial" w:eastAsia="Calibri" w:hAnsi="Arial" w:cs="Arial"/>
          <w:color w:val="000000"/>
          <w:lang w:val="es-MX"/>
        </w:rPr>
      </w:pPr>
      <w:r>
        <w:rPr>
          <w:rFonts w:ascii="Arial" w:eastAsia="Calibri" w:hAnsi="Arial" w:cs="Arial"/>
          <w:lang w:val="es-MX"/>
        </w:rPr>
        <w:t xml:space="preserve">Con todo, </w:t>
      </w:r>
      <w:r w:rsidR="00A22DA5">
        <w:rPr>
          <w:rFonts w:ascii="Arial" w:eastAsia="Calibri" w:hAnsi="Arial" w:cs="Arial"/>
          <w:lang w:val="es-MX"/>
        </w:rPr>
        <w:t>es menester advertir que</w:t>
      </w:r>
      <w:r w:rsidR="00A22DA5">
        <w:rPr>
          <w:rFonts w:ascii="Arial" w:eastAsia="Calibri" w:hAnsi="Arial" w:cs="Arial"/>
          <w:color w:val="000000"/>
          <w:lang w:val="es-MX"/>
        </w:rPr>
        <w:t xml:space="preserve">, además de las reglas previstas en la ley y el reglamento, los Procesos de Contratación también se rigen por las reglas incluidas de manera </w:t>
      </w:r>
      <w:r w:rsidR="004C7D78">
        <w:rPr>
          <w:rFonts w:ascii="Arial" w:eastAsia="Calibri" w:hAnsi="Arial" w:cs="Arial"/>
          <w:color w:val="000000"/>
          <w:lang w:val="es-MX"/>
        </w:rPr>
        <w:t>discrecional por las Entidades Estatales</w:t>
      </w:r>
      <w:r w:rsidR="000559DE">
        <w:rPr>
          <w:rFonts w:ascii="Arial" w:eastAsia="Calibri" w:hAnsi="Arial" w:cs="Arial"/>
          <w:color w:val="000000"/>
          <w:lang w:val="es-MX"/>
        </w:rPr>
        <w:t xml:space="preserve"> en los pliegos de condiciones</w:t>
      </w:r>
      <w:r w:rsidR="004C7D78">
        <w:rPr>
          <w:rFonts w:ascii="Arial" w:eastAsia="Calibri" w:hAnsi="Arial" w:cs="Arial"/>
          <w:color w:val="000000"/>
          <w:lang w:val="es-MX"/>
        </w:rPr>
        <w:t>. Esto supone que</w:t>
      </w:r>
      <w:r w:rsidR="00120CE3">
        <w:rPr>
          <w:rFonts w:ascii="Arial" w:eastAsia="Calibri" w:hAnsi="Arial" w:cs="Arial"/>
          <w:color w:val="000000"/>
          <w:lang w:val="es-MX"/>
        </w:rPr>
        <w:t>,</w:t>
      </w:r>
      <w:r w:rsidR="004C7D78">
        <w:rPr>
          <w:rFonts w:ascii="Arial" w:eastAsia="Calibri" w:hAnsi="Arial" w:cs="Arial"/>
          <w:color w:val="000000"/>
          <w:lang w:val="es-MX"/>
        </w:rPr>
        <w:t xml:space="preserve"> </w:t>
      </w:r>
      <w:r w:rsidR="000559DE">
        <w:rPr>
          <w:rFonts w:ascii="Arial" w:eastAsia="Calibri" w:hAnsi="Arial" w:cs="Arial"/>
          <w:color w:val="000000"/>
          <w:lang w:val="es-MX"/>
        </w:rPr>
        <w:t xml:space="preserve">para establecer si al presentar oferta en un proceso determinado resulta valida </w:t>
      </w:r>
      <w:r w:rsidR="004C7D78">
        <w:rPr>
          <w:rFonts w:ascii="Arial" w:eastAsia="Calibri" w:hAnsi="Arial" w:cs="Arial"/>
          <w:color w:val="000000"/>
          <w:lang w:val="es-MX"/>
        </w:rPr>
        <w:t>que se varíen los porcentajes de participación de los proponentes plurales</w:t>
      </w:r>
      <w:r w:rsidR="00E419B5">
        <w:rPr>
          <w:rFonts w:ascii="Arial" w:eastAsia="Calibri" w:hAnsi="Arial" w:cs="Arial"/>
          <w:color w:val="000000"/>
          <w:lang w:val="es-MX"/>
        </w:rPr>
        <w:t xml:space="preserve"> indicados al manifestar interés</w:t>
      </w:r>
      <w:r w:rsidR="00120CE3">
        <w:rPr>
          <w:rFonts w:ascii="Arial" w:eastAsia="Calibri" w:hAnsi="Arial" w:cs="Arial"/>
          <w:color w:val="000000"/>
          <w:lang w:val="es-MX"/>
        </w:rPr>
        <w:t xml:space="preserve">, </w:t>
      </w:r>
      <w:r w:rsidR="00813565">
        <w:rPr>
          <w:rFonts w:ascii="Arial" w:eastAsia="Calibri" w:hAnsi="Arial" w:cs="Arial"/>
          <w:color w:val="000000"/>
          <w:lang w:val="es-MX"/>
        </w:rPr>
        <w:t>debe</w:t>
      </w:r>
      <w:r w:rsidR="00270709">
        <w:rPr>
          <w:rFonts w:ascii="Arial" w:eastAsia="Calibri" w:hAnsi="Arial" w:cs="Arial"/>
          <w:color w:val="000000"/>
          <w:lang w:val="es-MX"/>
        </w:rPr>
        <w:t>n</w:t>
      </w:r>
      <w:r w:rsidR="00813565">
        <w:rPr>
          <w:rFonts w:ascii="Arial" w:eastAsia="Calibri" w:hAnsi="Arial" w:cs="Arial"/>
          <w:color w:val="000000"/>
          <w:lang w:val="es-MX"/>
        </w:rPr>
        <w:t xml:space="preserve"> </w:t>
      </w:r>
      <w:r w:rsidR="00270709">
        <w:rPr>
          <w:rFonts w:ascii="Arial" w:eastAsia="Calibri" w:hAnsi="Arial" w:cs="Arial"/>
          <w:color w:val="000000"/>
          <w:lang w:val="es-MX"/>
        </w:rPr>
        <w:t xml:space="preserve">estudiarse </w:t>
      </w:r>
      <w:r w:rsidR="00813565">
        <w:rPr>
          <w:rFonts w:ascii="Arial" w:eastAsia="Calibri" w:hAnsi="Arial" w:cs="Arial"/>
          <w:color w:val="000000"/>
          <w:lang w:val="es-MX"/>
        </w:rPr>
        <w:t xml:space="preserve">las reglas establecidas en </w:t>
      </w:r>
      <w:r w:rsidR="00270709">
        <w:rPr>
          <w:rFonts w:ascii="Arial" w:eastAsia="Calibri" w:hAnsi="Arial" w:cs="Arial"/>
          <w:color w:val="000000"/>
          <w:lang w:val="es-MX"/>
        </w:rPr>
        <w:t>el respectivo pliego de condiciones</w:t>
      </w:r>
      <w:r w:rsidR="00C464B7">
        <w:rPr>
          <w:rFonts w:ascii="Arial" w:eastAsia="Calibri" w:hAnsi="Arial" w:cs="Arial"/>
          <w:color w:val="000000"/>
          <w:lang w:val="es-MX"/>
        </w:rPr>
        <w:t>, comoquiera que si las Entidades Estatales lo consideran adecuado podrían limitar t</w:t>
      </w:r>
      <w:r w:rsidR="00BC4EA2">
        <w:rPr>
          <w:rFonts w:ascii="Arial" w:eastAsia="Calibri" w:hAnsi="Arial" w:cs="Arial"/>
          <w:color w:val="000000"/>
          <w:lang w:val="es-MX"/>
        </w:rPr>
        <w:t>al posibilidad</w:t>
      </w:r>
      <w:r w:rsidR="005051E5">
        <w:rPr>
          <w:rFonts w:ascii="Arial" w:eastAsia="Calibri" w:hAnsi="Arial" w:cs="Arial"/>
          <w:color w:val="000000"/>
          <w:lang w:val="es-MX"/>
        </w:rPr>
        <w:t xml:space="preserve">, incluyendo, de considerarlo justificado, restricciones o causales de rechazo.  </w:t>
      </w:r>
    </w:p>
    <w:p w14:paraId="4F3D2EDE" w14:textId="77777777" w:rsidR="009A0EA5" w:rsidRPr="009A0EA5" w:rsidRDefault="009A0EA5" w:rsidP="009A0EA5">
      <w:pPr>
        <w:spacing w:after="200" w:line="276" w:lineRule="auto"/>
        <w:contextualSpacing/>
        <w:jc w:val="both"/>
        <w:rPr>
          <w:rFonts w:ascii="Arial" w:hAnsi="Arial" w:cs="Arial"/>
          <w:b/>
          <w:bCs/>
        </w:rPr>
      </w:pPr>
    </w:p>
    <w:p w14:paraId="793BCD24" w14:textId="77777777" w:rsidR="009A0EA5" w:rsidRPr="009A0EA5" w:rsidRDefault="009A0EA5" w:rsidP="009A0EA5">
      <w:pPr>
        <w:tabs>
          <w:tab w:val="left" w:pos="426"/>
        </w:tabs>
        <w:jc w:val="both"/>
        <w:rPr>
          <w:rFonts w:ascii="Arial" w:eastAsia="Calibri" w:hAnsi="Arial" w:cs="Arial"/>
          <w:b/>
        </w:rPr>
      </w:pPr>
      <w:r w:rsidRPr="009A0EA5">
        <w:rPr>
          <w:rFonts w:ascii="Arial" w:eastAsia="Calibri" w:hAnsi="Arial" w:cs="Arial"/>
          <w:b/>
        </w:rPr>
        <w:t>3. Respuesta</w:t>
      </w:r>
      <w:bookmarkStart w:id="6" w:name="_Hlk57650395"/>
    </w:p>
    <w:p w14:paraId="0639DDC3" w14:textId="77777777" w:rsidR="009A0EA5" w:rsidRPr="009A0EA5" w:rsidRDefault="009A0EA5" w:rsidP="009A0EA5">
      <w:pPr>
        <w:tabs>
          <w:tab w:val="left" w:pos="426"/>
        </w:tabs>
        <w:jc w:val="both"/>
        <w:rPr>
          <w:rFonts w:ascii="Arial" w:eastAsia="Calibri" w:hAnsi="Arial" w:cs="Arial"/>
          <w:b/>
        </w:rPr>
      </w:pPr>
    </w:p>
    <w:p w14:paraId="74FD22BB" w14:textId="77777777" w:rsidR="009A0EA5" w:rsidRPr="009A0EA5" w:rsidRDefault="009A0EA5" w:rsidP="009A0EA5">
      <w:pPr>
        <w:ind w:left="709" w:right="709"/>
        <w:jc w:val="both"/>
        <w:rPr>
          <w:rFonts w:ascii="Arial" w:hAnsi="Arial" w:cs="Arial"/>
          <w:sz w:val="21"/>
          <w:szCs w:val="21"/>
          <w:lang w:eastAsia="es-CO"/>
        </w:rPr>
      </w:pPr>
      <w:r w:rsidRPr="009A0EA5">
        <w:rPr>
          <w:rFonts w:ascii="Arial" w:hAnsi="Arial" w:cs="Arial"/>
          <w:sz w:val="21"/>
          <w:szCs w:val="21"/>
          <w:lang w:eastAsia="es-CO"/>
        </w:rPr>
        <w:t>“Que [sic] pasa si en un proceso de selección abreviada en donde se haya realizado sorteo para escoger a 10 que podrán presentar oferta, yo decido modificar los % de participación del Consorcio sorteado antes de presentar la oferta, podría la entidad rechazar la oferta?”</w:t>
      </w:r>
    </w:p>
    <w:p w14:paraId="2E2A562C" w14:textId="77777777" w:rsidR="009A0EA5" w:rsidRPr="009A0EA5" w:rsidRDefault="009A0EA5" w:rsidP="009A0EA5">
      <w:pPr>
        <w:ind w:left="709" w:right="709"/>
        <w:jc w:val="both"/>
        <w:rPr>
          <w:rFonts w:ascii="Arial" w:hAnsi="Arial" w:cs="Arial"/>
          <w:sz w:val="21"/>
          <w:szCs w:val="21"/>
          <w:lang w:eastAsia="es-CO"/>
        </w:rPr>
      </w:pPr>
    </w:p>
    <w:p w14:paraId="500A7982" w14:textId="5D55FE74" w:rsidR="00BC4EA2" w:rsidRDefault="00BC4EA2" w:rsidP="00AB3D80">
      <w:pPr>
        <w:spacing w:after="120" w:line="276" w:lineRule="auto"/>
        <w:jc w:val="both"/>
        <w:rPr>
          <w:rFonts w:ascii="Arial" w:eastAsia="Calibri" w:hAnsi="Arial" w:cs="Arial"/>
          <w:color w:val="000000"/>
          <w:lang w:val="es-MX"/>
        </w:rPr>
      </w:pPr>
      <w:r>
        <w:rPr>
          <w:rFonts w:ascii="Arial" w:eastAsia="Calibri" w:hAnsi="Arial" w:cs="Arial"/>
          <w:bCs/>
          <w:color w:val="000000"/>
          <w:lang w:val="es-ES_tradnl" w:eastAsia="es-ES_tradnl" w:bidi="es-ES"/>
        </w:rPr>
        <w:lastRenderedPageBreak/>
        <w:t xml:space="preserve">Conforme a lo expuesto, en el marco del procedimiento </w:t>
      </w:r>
      <w:r w:rsidR="00811541">
        <w:rPr>
          <w:rFonts w:ascii="Arial" w:eastAsia="Calibri" w:hAnsi="Arial" w:cs="Arial"/>
          <w:bCs/>
          <w:color w:val="000000"/>
          <w:lang w:val="es-ES_tradnl" w:eastAsia="es-ES_tradnl" w:bidi="es-ES"/>
        </w:rPr>
        <w:t>de selección abreviada de menor cuantía</w:t>
      </w:r>
      <w:r w:rsidR="005051E5">
        <w:rPr>
          <w:rFonts w:ascii="Arial" w:eastAsia="Calibri" w:hAnsi="Arial" w:cs="Arial"/>
          <w:bCs/>
          <w:color w:val="000000"/>
          <w:lang w:val="es-ES_tradnl" w:eastAsia="es-ES_tradnl" w:bidi="es-ES"/>
        </w:rPr>
        <w:t xml:space="preserve"> regulado por el artículo 2, numeral 2 de la Ley 1150 de 2007</w:t>
      </w:r>
      <w:r w:rsidR="00810272">
        <w:rPr>
          <w:rFonts w:ascii="Arial" w:eastAsia="Calibri" w:hAnsi="Arial" w:cs="Arial"/>
          <w:bCs/>
          <w:color w:val="000000"/>
          <w:lang w:val="es-ES_tradnl" w:eastAsia="es-ES_tradnl" w:bidi="es-ES"/>
        </w:rPr>
        <w:t xml:space="preserve">, reglamentado en el artículo </w:t>
      </w:r>
      <w:r w:rsidR="00810272" w:rsidRPr="009A0EA5">
        <w:rPr>
          <w:rFonts w:ascii="Arial" w:eastAsia="Calibri" w:hAnsi="Arial" w:cs="Arial"/>
          <w:color w:val="000000"/>
          <w:lang w:val="es-MX"/>
        </w:rPr>
        <w:t xml:space="preserve">2.2.1.2.1.2.20 </w:t>
      </w:r>
      <w:r w:rsidR="00810272">
        <w:rPr>
          <w:rFonts w:ascii="Arial" w:eastAsia="Calibri" w:hAnsi="Arial" w:cs="Arial"/>
          <w:color w:val="000000"/>
          <w:lang w:val="es-MX"/>
        </w:rPr>
        <w:t>del Decreto 1082 de 2015, la manifestaci</w:t>
      </w:r>
      <w:r w:rsidR="00BA373F">
        <w:rPr>
          <w:rFonts w:ascii="Arial" w:eastAsia="Calibri" w:hAnsi="Arial" w:cs="Arial"/>
          <w:color w:val="000000"/>
          <w:lang w:val="es-MX"/>
        </w:rPr>
        <w:t xml:space="preserve">ón de interés es un requisito habilitante, </w:t>
      </w:r>
      <w:r w:rsidR="003A20BD">
        <w:rPr>
          <w:rFonts w:ascii="Arial" w:eastAsia="Calibri" w:hAnsi="Arial" w:cs="Arial"/>
          <w:color w:val="000000"/>
          <w:lang w:val="es-MX"/>
        </w:rPr>
        <w:t>comoquiera que determina la posibilidad de presentar oferta. En ese sentido, los interesados bien pueden manifestar interés como proponentes singulares o plurales, conforme a lo previsto en los artículos 6 y 7 de la Ley 80 de 1993.</w:t>
      </w:r>
      <w:r w:rsidR="005051E5">
        <w:rPr>
          <w:rFonts w:ascii="Arial" w:eastAsia="Calibri" w:hAnsi="Arial" w:cs="Arial"/>
          <w:bCs/>
          <w:color w:val="000000"/>
          <w:lang w:val="es-ES_tradnl" w:eastAsia="es-ES_tradnl" w:bidi="es-ES"/>
        </w:rPr>
        <w:t xml:space="preserve"> </w:t>
      </w:r>
    </w:p>
    <w:p w14:paraId="215F78D6" w14:textId="0C69C177" w:rsidR="00BC4EA2" w:rsidRDefault="00B57122" w:rsidP="00BC4EA2">
      <w:pPr>
        <w:spacing w:before="120" w:line="276" w:lineRule="auto"/>
        <w:jc w:val="both"/>
        <w:rPr>
          <w:rFonts w:ascii="Arial" w:eastAsia="Calibri" w:hAnsi="Arial" w:cs="Arial"/>
          <w:color w:val="000000"/>
          <w:lang w:val="es-MX"/>
        </w:rPr>
      </w:pPr>
      <w:r>
        <w:rPr>
          <w:rFonts w:ascii="Arial" w:eastAsia="Calibri" w:hAnsi="Arial" w:cs="Arial"/>
          <w:color w:val="000000"/>
          <w:lang w:val="es-MX"/>
        </w:rPr>
        <w:tab/>
        <w:t xml:space="preserve">En ese sentido, solo podrán presentar ofertas en procesos de selección abreviada de menor cuantía quienes hubieren manifestado interés dentro del término señalado en el numeral 1 del artículo </w:t>
      </w:r>
      <w:r w:rsidRPr="009A0EA5">
        <w:rPr>
          <w:rFonts w:ascii="Arial" w:eastAsia="Calibri" w:hAnsi="Arial" w:cs="Arial"/>
          <w:color w:val="000000"/>
          <w:lang w:val="es-MX"/>
        </w:rPr>
        <w:t xml:space="preserve">2.2.1.2.1.2.20 </w:t>
      </w:r>
      <w:r>
        <w:rPr>
          <w:rFonts w:ascii="Arial" w:eastAsia="Calibri" w:hAnsi="Arial" w:cs="Arial"/>
          <w:color w:val="000000"/>
          <w:lang w:val="es-MX"/>
        </w:rPr>
        <w:t xml:space="preserve">del Decreto 1082 de 2015. </w:t>
      </w:r>
      <w:r w:rsidR="00020C89">
        <w:rPr>
          <w:rFonts w:ascii="Arial" w:eastAsia="Calibri" w:hAnsi="Arial" w:cs="Arial"/>
          <w:color w:val="000000"/>
          <w:lang w:val="es-MX"/>
        </w:rPr>
        <w:t xml:space="preserve">Tratándose de proponentes plurales, lo anterior indica que solo podrán presentar </w:t>
      </w:r>
      <w:r w:rsidR="00490D45">
        <w:rPr>
          <w:rFonts w:ascii="Arial" w:eastAsia="Calibri" w:hAnsi="Arial" w:cs="Arial"/>
          <w:color w:val="000000"/>
          <w:lang w:val="es-MX"/>
        </w:rPr>
        <w:t xml:space="preserve">oferta como consorcios o uniones temporales quienes hayan manifestado interés conforme a dichas modalidades asociativas. </w:t>
      </w:r>
      <w:r w:rsidR="00B138D7">
        <w:rPr>
          <w:rFonts w:ascii="Arial" w:eastAsia="Calibri" w:hAnsi="Arial" w:cs="Arial"/>
          <w:color w:val="000000"/>
          <w:lang w:val="es-MX"/>
        </w:rPr>
        <w:t xml:space="preserve">Esto además supone que solo podrán presentar oferta </w:t>
      </w:r>
      <w:r w:rsidR="00052590">
        <w:rPr>
          <w:rFonts w:ascii="Arial" w:eastAsia="Calibri" w:hAnsi="Arial" w:cs="Arial"/>
          <w:color w:val="000000"/>
          <w:lang w:val="es-MX"/>
        </w:rPr>
        <w:t xml:space="preserve">como proponente plural </w:t>
      </w:r>
      <w:r w:rsidR="00B138D7">
        <w:rPr>
          <w:rFonts w:ascii="Arial" w:eastAsia="Calibri" w:hAnsi="Arial" w:cs="Arial"/>
          <w:color w:val="000000"/>
          <w:lang w:val="es-MX"/>
        </w:rPr>
        <w:t>si en la misma convergen todos los</w:t>
      </w:r>
      <w:r w:rsidR="00052590">
        <w:rPr>
          <w:rFonts w:ascii="Arial" w:eastAsia="Calibri" w:hAnsi="Arial" w:cs="Arial"/>
          <w:color w:val="000000"/>
          <w:lang w:val="es-MX"/>
        </w:rPr>
        <w:t xml:space="preserve"> integrantes</w:t>
      </w:r>
      <w:r w:rsidR="00B138D7">
        <w:rPr>
          <w:rFonts w:ascii="Arial" w:eastAsia="Calibri" w:hAnsi="Arial" w:cs="Arial"/>
          <w:color w:val="000000"/>
          <w:lang w:val="es-MX"/>
        </w:rPr>
        <w:t xml:space="preserve"> </w:t>
      </w:r>
      <w:r w:rsidR="00DE4776">
        <w:rPr>
          <w:rFonts w:ascii="Arial" w:eastAsia="Calibri" w:hAnsi="Arial" w:cs="Arial"/>
          <w:color w:val="000000"/>
          <w:lang w:val="es-MX"/>
        </w:rPr>
        <w:t xml:space="preserve">involucrados en la manifestación de interés. </w:t>
      </w:r>
    </w:p>
    <w:p w14:paraId="5B68DDC5" w14:textId="3637C9CD" w:rsidR="00DE4776" w:rsidRDefault="00DE4776" w:rsidP="00BC4EA2">
      <w:pPr>
        <w:spacing w:before="120" w:line="276" w:lineRule="auto"/>
        <w:jc w:val="both"/>
        <w:rPr>
          <w:rFonts w:ascii="Arial" w:eastAsia="Calibri" w:hAnsi="Arial" w:cs="Arial"/>
          <w:color w:val="000000"/>
          <w:lang w:val="es-MX"/>
        </w:rPr>
      </w:pPr>
      <w:r>
        <w:rPr>
          <w:rFonts w:ascii="Arial" w:eastAsia="Calibri" w:hAnsi="Arial" w:cs="Arial"/>
          <w:color w:val="000000"/>
          <w:lang w:val="es-MX"/>
        </w:rPr>
        <w:tab/>
      </w:r>
      <w:r w:rsidR="00052590">
        <w:rPr>
          <w:rFonts w:ascii="Arial" w:eastAsia="Calibri" w:hAnsi="Arial" w:cs="Arial"/>
          <w:color w:val="000000"/>
          <w:lang w:val="es-MX"/>
        </w:rPr>
        <w:t xml:space="preserve">No obstante, </w:t>
      </w:r>
      <w:r w:rsidR="00ED077C">
        <w:rPr>
          <w:rFonts w:ascii="Arial" w:eastAsia="Calibri" w:hAnsi="Arial" w:cs="Arial"/>
          <w:color w:val="000000"/>
          <w:lang w:val="es-MX"/>
        </w:rPr>
        <w:t xml:space="preserve">en la medida en que no existe una restricción general al respecto, en principio, podría considerarse válido que </w:t>
      </w:r>
      <w:r w:rsidR="00D27515">
        <w:rPr>
          <w:rFonts w:ascii="Arial" w:eastAsia="Calibri" w:hAnsi="Arial" w:cs="Arial"/>
          <w:color w:val="000000"/>
          <w:lang w:val="es-MX"/>
        </w:rPr>
        <w:t xml:space="preserve">al momento de presentar oferta </w:t>
      </w:r>
      <w:r w:rsidR="00ED077C">
        <w:rPr>
          <w:rFonts w:ascii="Arial" w:eastAsia="Calibri" w:hAnsi="Arial" w:cs="Arial"/>
          <w:color w:val="000000"/>
          <w:lang w:val="es-MX"/>
        </w:rPr>
        <w:t>se varíen los porcentajes de participación en la respectiva modalidad</w:t>
      </w:r>
      <w:r w:rsidR="00400769">
        <w:rPr>
          <w:rFonts w:ascii="Arial" w:eastAsia="Calibri" w:hAnsi="Arial" w:cs="Arial"/>
          <w:color w:val="000000"/>
          <w:lang w:val="es-MX"/>
        </w:rPr>
        <w:t xml:space="preserve"> asociativa</w:t>
      </w:r>
      <w:r w:rsidR="00D27515">
        <w:rPr>
          <w:rFonts w:ascii="Arial" w:eastAsia="Calibri" w:hAnsi="Arial" w:cs="Arial"/>
          <w:color w:val="000000"/>
          <w:lang w:val="es-MX"/>
        </w:rPr>
        <w:t xml:space="preserve">, siempre que se </w:t>
      </w:r>
      <w:r w:rsidR="006B2083">
        <w:rPr>
          <w:rFonts w:ascii="Arial" w:eastAsia="Calibri" w:hAnsi="Arial" w:cs="Arial"/>
          <w:color w:val="000000"/>
          <w:lang w:val="es-MX"/>
        </w:rPr>
        <w:t>cuente con el consentimiento de todos los integrantes del proponente</w:t>
      </w:r>
      <w:r w:rsidR="00AB3D80">
        <w:rPr>
          <w:rFonts w:ascii="Arial" w:eastAsia="Calibri" w:hAnsi="Arial" w:cs="Arial"/>
          <w:color w:val="000000"/>
          <w:lang w:val="es-MX"/>
        </w:rPr>
        <w:t xml:space="preserve"> </w:t>
      </w:r>
      <w:r w:rsidR="006B2083">
        <w:rPr>
          <w:rFonts w:ascii="Arial" w:eastAsia="Calibri" w:hAnsi="Arial" w:cs="Arial"/>
          <w:color w:val="000000"/>
          <w:lang w:val="es-MX"/>
        </w:rPr>
        <w:t>plural. Con todo, para determinar si ello resulta</w:t>
      </w:r>
      <w:r w:rsidR="00193FF9">
        <w:rPr>
          <w:rFonts w:ascii="Arial" w:eastAsia="Calibri" w:hAnsi="Arial" w:cs="Arial"/>
          <w:color w:val="000000"/>
          <w:lang w:val="es-MX"/>
        </w:rPr>
        <w:t xml:space="preserve"> procedente deben estudiarse las reglas que haya incluido la Entidad Estatal en el respectivo pliego de condiciones</w:t>
      </w:r>
      <w:r w:rsidR="008A798A">
        <w:rPr>
          <w:rFonts w:ascii="Arial" w:eastAsia="Calibri" w:hAnsi="Arial" w:cs="Arial"/>
          <w:color w:val="000000"/>
          <w:lang w:val="es-MX"/>
        </w:rPr>
        <w:t xml:space="preserve">, las cuales bien podrían restringir dicha posibilidad de encontrarlo justificado.  </w:t>
      </w:r>
      <w:r w:rsidR="00ED077C">
        <w:rPr>
          <w:rFonts w:ascii="Arial" w:eastAsia="Calibri" w:hAnsi="Arial" w:cs="Arial"/>
          <w:color w:val="000000"/>
          <w:lang w:val="es-MX"/>
        </w:rPr>
        <w:t xml:space="preserve"> </w:t>
      </w:r>
    </w:p>
    <w:p w14:paraId="60B9E143" w14:textId="77777777" w:rsidR="009A0EA5" w:rsidRPr="009A0EA5" w:rsidRDefault="009A0EA5" w:rsidP="009A0EA5">
      <w:pPr>
        <w:spacing w:line="276" w:lineRule="auto"/>
        <w:jc w:val="both"/>
        <w:rPr>
          <w:rFonts w:ascii="Arial" w:eastAsia="Calibri" w:hAnsi="Arial" w:cs="Arial"/>
          <w:lang w:val="es-ES"/>
        </w:rPr>
      </w:pPr>
    </w:p>
    <w:p w14:paraId="5603A18D" w14:textId="77777777" w:rsidR="009A0EA5" w:rsidRPr="009A0EA5" w:rsidRDefault="009A0EA5" w:rsidP="009A0EA5">
      <w:pPr>
        <w:spacing w:line="276" w:lineRule="auto"/>
        <w:jc w:val="both"/>
        <w:rPr>
          <w:lang w:eastAsia="es-ES_tradnl"/>
        </w:rPr>
      </w:pPr>
      <w:r w:rsidRPr="009A0EA5">
        <w:rPr>
          <w:rFonts w:ascii="Arial" w:eastAsia="Calibri" w:hAnsi="Arial" w:cs="Arial"/>
        </w:rPr>
        <w:t>Este concepto tiene el alcance previsto en el artículo 28 del Código de Procedimiento Administrativo y de lo Contencioso Administrativo.</w:t>
      </w:r>
    </w:p>
    <w:p w14:paraId="645992BC" w14:textId="77777777" w:rsidR="009A0EA5" w:rsidRPr="009A0EA5" w:rsidRDefault="009A0EA5" w:rsidP="009A0EA5">
      <w:pPr>
        <w:spacing w:line="276" w:lineRule="auto"/>
        <w:jc w:val="both"/>
        <w:rPr>
          <w:lang w:eastAsia="es-ES_tradnl"/>
        </w:rPr>
      </w:pPr>
    </w:p>
    <w:bookmarkEnd w:id="0"/>
    <w:bookmarkEnd w:id="6"/>
    <w:p w14:paraId="5B5F2171" w14:textId="77777777" w:rsidR="009A0EA5" w:rsidRPr="009A0EA5" w:rsidRDefault="009A0EA5" w:rsidP="009A0EA5">
      <w:pPr>
        <w:jc w:val="both"/>
        <w:textAlignment w:val="baseline"/>
        <w:rPr>
          <w:rFonts w:ascii="Segoe UI" w:hAnsi="Segoe UI" w:cs="Segoe UI"/>
          <w:sz w:val="16"/>
          <w:szCs w:val="16"/>
          <w:lang w:val="es-MX" w:eastAsia="es-CO"/>
        </w:rPr>
      </w:pPr>
      <w:r w:rsidRPr="009A0EA5">
        <w:rPr>
          <w:rFonts w:ascii="Arial" w:hAnsi="Arial" w:cs="Arial"/>
          <w:szCs w:val="20"/>
          <w:lang w:val="es-MX" w:eastAsia="es-CO"/>
        </w:rPr>
        <w:t>Atentamente, </w:t>
      </w:r>
    </w:p>
    <w:p w14:paraId="6B92E283" w14:textId="6BF48217" w:rsidR="009A0EA5" w:rsidRPr="00AF1467" w:rsidRDefault="00AF1467" w:rsidP="00AF1467">
      <w:pPr>
        <w:jc w:val="center"/>
      </w:pPr>
      <w:r>
        <w:rPr>
          <w:rFonts w:ascii="Arial" w:hAnsi="Arial" w:cs="Arial"/>
          <w:noProof/>
          <w:sz w:val="18"/>
          <w:szCs w:val="18"/>
          <w:lang w:val="es-MX" w:eastAsia="es-CO"/>
        </w:rPr>
        <w:drawing>
          <wp:inline distT="0" distB="0" distL="0" distR="0" wp14:anchorId="0CADC4EC" wp14:editId="25BD02E7">
            <wp:extent cx="2856245" cy="1099352"/>
            <wp:effectExtent l="0" t="0" r="1270" b="5715"/>
            <wp:docPr id="14905839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386" cy="1120960"/>
                    </a:xfrm>
                    <a:prstGeom prst="rect">
                      <a:avLst/>
                    </a:prstGeom>
                    <a:noFill/>
                    <a:ln>
                      <a:noFill/>
                    </a:ln>
                  </pic:spPr>
                </pic:pic>
              </a:graphicData>
            </a:graphic>
          </wp:inline>
        </w:drawing>
      </w:r>
      <w:r w:rsidR="009A0EA5" w:rsidRPr="009A0EA5">
        <w:rPr>
          <w:rFonts w:ascii="Arial" w:hAnsi="Arial" w:cs="Arial"/>
          <w:sz w:val="18"/>
          <w:szCs w:val="18"/>
          <w:lang w:val="es-MX" w:eastAsia="es-CO"/>
        </w:rPr>
        <w:t>  </w:t>
      </w: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9A0EA5" w:rsidRPr="009A0EA5" w14:paraId="734AD8AA" w14:textId="77777777" w:rsidTr="00085BE8">
        <w:trPr>
          <w:trHeight w:val="315"/>
        </w:trPr>
        <w:tc>
          <w:tcPr>
            <w:tcW w:w="810" w:type="dxa"/>
            <w:tcBorders>
              <w:top w:val="nil"/>
              <w:left w:val="nil"/>
              <w:bottom w:val="nil"/>
              <w:right w:val="nil"/>
            </w:tcBorders>
            <w:shd w:val="clear" w:color="auto" w:fill="auto"/>
            <w:vAlign w:val="center"/>
            <w:hideMark/>
          </w:tcPr>
          <w:p w14:paraId="7D089C18" w14:textId="77777777" w:rsidR="009A0EA5" w:rsidRPr="009A0EA5" w:rsidRDefault="009A0EA5" w:rsidP="009A0EA5">
            <w:pPr>
              <w:jc w:val="both"/>
              <w:textAlignment w:val="baseline"/>
              <w:rPr>
                <w:lang w:val="es-MX" w:eastAsia="es-CO"/>
              </w:rPr>
            </w:pPr>
            <w:r w:rsidRPr="009A0EA5">
              <w:rPr>
                <w:rFonts w:ascii="Arial" w:hAnsi="Arial" w:cs="Arial"/>
                <w:sz w:val="16"/>
                <w:szCs w:val="16"/>
                <w:lang w:val="es-MX" w:eastAsia="es-CO"/>
              </w:rPr>
              <w:t>Elaboró: </w:t>
            </w:r>
          </w:p>
        </w:tc>
        <w:tc>
          <w:tcPr>
            <w:tcW w:w="4410" w:type="dxa"/>
            <w:tcBorders>
              <w:top w:val="nil"/>
              <w:left w:val="nil"/>
              <w:bottom w:val="dotted" w:sz="6" w:space="0" w:color="7F7F7F"/>
              <w:right w:val="nil"/>
            </w:tcBorders>
            <w:shd w:val="clear" w:color="auto" w:fill="auto"/>
            <w:vAlign w:val="center"/>
            <w:hideMark/>
          </w:tcPr>
          <w:p w14:paraId="4E59431F" w14:textId="77777777" w:rsidR="009A0EA5" w:rsidRPr="009A0EA5" w:rsidRDefault="009A0EA5" w:rsidP="009A0EA5">
            <w:pPr>
              <w:jc w:val="both"/>
              <w:textAlignment w:val="baseline"/>
              <w:rPr>
                <w:lang w:val="es-MX" w:eastAsia="es-CO"/>
              </w:rPr>
            </w:pPr>
            <w:r w:rsidRPr="009A0EA5">
              <w:rPr>
                <w:rFonts w:ascii="Arial" w:hAnsi="Arial" w:cs="Arial"/>
                <w:sz w:val="16"/>
                <w:szCs w:val="16"/>
                <w:lang w:val="es-MX" w:eastAsia="es-CO"/>
              </w:rPr>
              <w:t>Kevin Arlid Herrera Santa</w:t>
            </w:r>
          </w:p>
          <w:p w14:paraId="5170E696" w14:textId="77777777" w:rsidR="009A0EA5" w:rsidRPr="009A0EA5" w:rsidRDefault="009A0EA5" w:rsidP="009A0EA5">
            <w:pPr>
              <w:jc w:val="both"/>
              <w:textAlignment w:val="baseline"/>
              <w:rPr>
                <w:lang w:val="es-MX" w:eastAsia="es-CO"/>
              </w:rPr>
            </w:pPr>
            <w:r w:rsidRPr="009A0EA5">
              <w:rPr>
                <w:rFonts w:ascii="Arial" w:hAnsi="Arial" w:cs="Arial"/>
                <w:sz w:val="16"/>
                <w:szCs w:val="16"/>
                <w:lang w:val="es-MX" w:eastAsia="es-CO"/>
              </w:rPr>
              <w:t>Contratista de la Subdirección de Gestión Contractual</w:t>
            </w:r>
          </w:p>
        </w:tc>
      </w:tr>
      <w:tr w:rsidR="009A0EA5" w:rsidRPr="009A0EA5" w14:paraId="65E12C61" w14:textId="77777777" w:rsidTr="00085BE8">
        <w:trPr>
          <w:trHeight w:val="315"/>
        </w:trPr>
        <w:tc>
          <w:tcPr>
            <w:tcW w:w="810" w:type="dxa"/>
            <w:tcBorders>
              <w:top w:val="nil"/>
              <w:left w:val="nil"/>
              <w:bottom w:val="nil"/>
              <w:right w:val="nil"/>
            </w:tcBorders>
            <w:shd w:val="clear" w:color="auto" w:fill="auto"/>
            <w:vAlign w:val="center"/>
            <w:hideMark/>
          </w:tcPr>
          <w:p w14:paraId="1966D93D" w14:textId="77777777" w:rsidR="009A0EA5" w:rsidRPr="009A0EA5" w:rsidRDefault="009A0EA5" w:rsidP="009A0EA5">
            <w:pPr>
              <w:jc w:val="both"/>
              <w:textAlignment w:val="baseline"/>
              <w:rPr>
                <w:lang w:val="es-MX" w:eastAsia="es-CO"/>
              </w:rPr>
            </w:pPr>
            <w:r w:rsidRPr="009A0EA5">
              <w:rPr>
                <w:rFonts w:ascii="Arial" w:hAnsi="Arial" w:cs="Arial"/>
                <w:sz w:val="16"/>
                <w:szCs w:val="16"/>
                <w:lang w:val="es-MX" w:eastAsia="es-CO"/>
              </w:rPr>
              <w:t>Revisó: </w:t>
            </w:r>
          </w:p>
        </w:tc>
        <w:tc>
          <w:tcPr>
            <w:tcW w:w="4410" w:type="dxa"/>
            <w:tcBorders>
              <w:top w:val="dotted" w:sz="6" w:space="0" w:color="7F7F7F"/>
              <w:left w:val="nil"/>
              <w:bottom w:val="dotted" w:sz="6" w:space="0" w:color="7F7F7F"/>
              <w:right w:val="nil"/>
            </w:tcBorders>
            <w:shd w:val="clear" w:color="auto" w:fill="auto"/>
            <w:vAlign w:val="center"/>
            <w:hideMark/>
          </w:tcPr>
          <w:p w14:paraId="19A8A6CB" w14:textId="77777777" w:rsidR="009A0EA5" w:rsidRPr="009A0EA5" w:rsidRDefault="009A0EA5" w:rsidP="009A0EA5">
            <w:pPr>
              <w:jc w:val="both"/>
              <w:textAlignment w:val="baseline"/>
              <w:rPr>
                <w:rFonts w:ascii="Arial" w:hAnsi="Arial" w:cs="Arial"/>
                <w:sz w:val="16"/>
                <w:szCs w:val="16"/>
                <w:lang w:val="es-MX" w:eastAsia="es-CO"/>
              </w:rPr>
            </w:pPr>
            <w:r w:rsidRPr="009A0EA5">
              <w:rPr>
                <w:rFonts w:ascii="Arial" w:hAnsi="Arial" w:cs="Arial"/>
                <w:sz w:val="16"/>
                <w:szCs w:val="16"/>
                <w:lang w:val="es-MX" w:eastAsia="es-CO"/>
              </w:rPr>
              <w:t>Alejandro Sarmiento Cantillo</w:t>
            </w:r>
          </w:p>
          <w:p w14:paraId="761384F9" w14:textId="77777777" w:rsidR="009A0EA5" w:rsidRPr="009A0EA5" w:rsidRDefault="009A0EA5" w:rsidP="009A0EA5">
            <w:pPr>
              <w:jc w:val="both"/>
              <w:textAlignment w:val="baseline"/>
              <w:rPr>
                <w:lang w:val="es-MX" w:eastAsia="es-CO"/>
              </w:rPr>
            </w:pPr>
            <w:r w:rsidRPr="009A0EA5">
              <w:rPr>
                <w:rFonts w:ascii="Arial" w:hAnsi="Arial" w:cs="Arial"/>
                <w:sz w:val="16"/>
                <w:szCs w:val="16"/>
                <w:lang w:val="es-MX" w:eastAsia="es-CO"/>
              </w:rPr>
              <w:t>Gestor T1-15 de la Subdirección de Gestión Contractual</w:t>
            </w:r>
          </w:p>
        </w:tc>
      </w:tr>
      <w:tr w:rsidR="009A0EA5" w:rsidRPr="009A0EA5" w14:paraId="51391851" w14:textId="77777777" w:rsidTr="00085BE8">
        <w:trPr>
          <w:trHeight w:val="300"/>
        </w:trPr>
        <w:tc>
          <w:tcPr>
            <w:tcW w:w="810" w:type="dxa"/>
            <w:tcBorders>
              <w:top w:val="nil"/>
              <w:left w:val="nil"/>
              <w:bottom w:val="nil"/>
              <w:right w:val="nil"/>
            </w:tcBorders>
            <w:shd w:val="clear" w:color="auto" w:fill="auto"/>
            <w:vAlign w:val="center"/>
            <w:hideMark/>
          </w:tcPr>
          <w:p w14:paraId="0A70830C" w14:textId="77777777" w:rsidR="009A0EA5" w:rsidRPr="009A0EA5" w:rsidRDefault="009A0EA5" w:rsidP="009A0EA5">
            <w:pPr>
              <w:jc w:val="both"/>
              <w:textAlignment w:val="baseline"/>
              <w:rPr>
                <w:rFonts w:ascii="Arial" w:hAnsi="Arial" w:cs="Arial"/>
                <w:lang w:val="es-MX" w:eastAsia="es-CO"/>
              </w:rPr>
            </w:pPr>
            <w:r w:rsidRPr="009A0EA5">
              <w:rPr>
                <w:rFonts w:ascii="Arial" w:hAnsi="Arial" w:cs="Arial"/>
                <w:sz w:val="16"/>
                <w:szCs w:val="16"/>
                <w:lang w:val="es-MX" w:eastAsia="es-CO"/>
              </w:rPr>
              <w:t>Aprobó: </w:t>
            </w:r>
          </w:p>
        </w:tc>
        <w:tc>
          <w:tcPr>
            <w:tcW w:w="4410" w:type="dxa"/>
            <w:tcBorders>
              <w:top w:val="dotted" w:sz="6" w:space="0" w:color="7F7F7F"/>
              <w:left w:val="nil"/>
              <w:bottom w:val="dotted" w:sz="6" w:space="0" w:color="7F7F7F"/>
              <w:right w:val="nil"/>
            </w:tcBorders>
            <w:shd w:val="clear" w:color="auto" w:fill="auto"/>
            <w:vAlign w:val="center"/>
            <w:hideMark/>
          </w:tcPr>
          <w:p w14:paraId="196015DD" w14:textId="77777777" w:rsidR="009A0EA5" w:rsidRPr="009A0EA5" w:rsidRDefault="009A0EA5" w:rsidP="009A0EA5">
            <w:pPr>
              <w:jc w:val="both"/>
              <w:rPr>
                <w:rFonts w:ascii="Arial" w:hAnsi="Arial" w:cs="Arial"/>
                <w:sz w:val="16"/>
                <w:szCs w:val="16"/>
                <w:lang w:val="es-MX"/>
              </w:rPr>
            </w:pPr>
            <w:r w:rsidRPr="009A0EA5">
              <w:rPr>
                <w:rFonts w:ascii="Arial" w:hAnsi="Arial" w:cs="Arial"/>
                <w:sz w:val="16"/>
                <w:szCs w:val="16"/>
                <w:lang w:val="es-MX"/>
              </w:rPr>
              <w:t>Nohelia del Carmen Zawady Palacio</w:t>
            </w:r>
          </w:p>
          <w:p w14:paraId="16338319" w14:textId="77777777" w:rsidR="009A0EA5" w:rsidRPr="009A0EA5" w:rsidRDefault="009A0EA5" w:rsidP="009A0EA5">
            <w:pPr>
              <w:jc w:val="both"/>
              <w:textAlignment w:val="baseline"/>
              <w:rPr>
                <w:rFonts w:ascii="Arial" w:hAnsi="Arial" w:cs="Arial"/>
                <w:lang w:val="es-MX" w:eastAsia="es-CO"/>
              </w:rPr>
            </w:pPr>
            <w:r w:rsidRPr="009A0EA5">
              <w:rPr>
                <w:rFonts w:ascii="Arial" w:hAnsi="Arial" w:cs="Arial"/>
                <w:sz w:val="16"/>
                <w:szCs w:val="16"/>
                <w:lang w:val="es-MX"/>
              </w:rPr>
              <w:t>Subdirectora de Gestión Contractual ANCP – CCE</w:t>
            </w:r>
          </w:p>
        </w:tc>
      </w:tr>
    </w:tbl>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3693" w14:textId="77777777" w:rsidR="00751ABA" w:rsidRDefault="00751ABA" w:rsidP="004A1847">
      <w:r>
        <w:separator/>
      </w:r>
    </w:p>
  </w:endnote>
  <w:endnote w:type="continuationSeparator" w:id="0">
    <w:p w14:paraId="06D64356" w14:textId="77777777" w:rsidR="00751ABA" w:rsidRDefault="00751ABA" w:rsidP="004A1847">
      <w:r>
        <w:continuationSeparator/>
      </w:r>
    </w:p>
  </w:endnote>
  <w:endnote w:type="continuationNotice" w:id="1">
    <w:p w14:paraId="4CDC2152" w14:textId="77777777" w:rsidR="00751ABA" w:rsidRDefault="0075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9DED" w14:textId="77777777" w:rsidR="00751ABA" w:rsidRDefault="00751ABA" w:rsidP="004A1847">
      <w:r>
        <w:separator/>
      </w:r>
    </w:p>
  </w:footnote>
  <w:footnote w:type="continuationSeparator" w:id="0">
    <w:p w14:paraId="64A02EDB" w14:textId="77777777" w:rsidR="00751ABA" w:rsidRDefault="00751ABA" w:rsidP="004A1847">
      <w:r>
        <w:continuationSeparator/>
      </w:r>
    </w:p>
  </w:footnote>
  <w:footnote w:type="continuationNotice" w:id="1">
    <w:p w14:paraId="5AB2167D" w14:textId="77777777" w:rsidR="00751ABA" w:rsidRDefault="00751ABA"/>
  </w:footnote>
  <w:footnote w:id="2">
    <w:p w14:paraId="77125A75" w14:textId="77777777" w:rsidR="009A0EA5" w:rsidRDefault="009A0EA5" w:rsidP="009A0EA5">
      <w:pPr>
        <w:ind w:firstLine="708"/>
        <w:jc w:val="both"/>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Pr>
          <w:rFonts w:ascii="Arial" w:hAnsi="Arial" w:cs="Arial"/>
          <w:sz w:val="19"/>
          <w:szCs w:val="19"/>
        </w:rPr>
        <w:t>“</w:t>
      </w:r>
      <w:r w:rsidRPr="008303FC">
        <w:rPr>
          <w:rFonts w:ascii="Arial" w:hAnsi="Arial" w:cs="Arial"/>
          <w:sz w:val="19"/>
          <w:szCs w:val="19"/>
        </w:rPr>
        <w:t>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w:t>
      </w:r>
      <w:r>
        <w:rPr>
          <w:rFonts w:ascii="Arial" w:hAnsi="Arial" w:cs="Arial"/>
          <w:sz w:val="19"/>
          <w:szCs w:val="19"/>
        </w:rPr>
        <w:t>”</w:t>
      </w:r>
      <w:r w:rsidRPr="008303FC">
        <w:rPr>
          <w:rFonts w:ascii="Arial" w:hAnsi="Arial" w:cs="Arial"/>
          <w:sz w:val="19"/>
          <w:szCs w:val="19"/>
        </w:rPr>
        <w:t xml:space="preserve"> (Corte Constitucional, sentencia C-414 de 1994, M.P. Antonio Barrera</w:t>
      </w:r>
      <w:r w:rsidRPr="008303FC">
        <w:rPr>
          <w:rFonts w:ascii="Arial" w:hAnsi="Arial" w:cs="Arial"/>
          <w:spacing w:val="-20"/>
          <w:sz w:val="19"/>
          <w:szCs w:val="19"/>
        </w:rPr>
        <w:t xml:space="preserve"> </w:t>
      </w:r>
      <w:r w:rsidRPr="008303FC">
        <w:rPr>
          <w:rFonts w:ascii="Arial" w:hAnsi="Arial" w:cs="Arial"/>
          <w:sz w:val="19"/>
          <w:szCs w:val="19"/>
        </w:rPr>
        <w:t>Carbonell).</w:t>
      </w:r>
    </w:p>
    <w:p w14:paraId="162541D4" w14:textId="77777777" w:rsidR="009A0EA5" w:rsidRPr="00077F09" w:rsidRDefault="009A0EA5" w:rsidP="009A0EA5">
      <w:pPr>
        <w:ind w:firstLine="708"/>
        <w:jc w:val="both"/>
        <w:rPr>
          <w:rFonts w:ascii="Arial" w:hAnsi="Arial" w:cs="Arial"/>
          <w:sz w:val="19"/>
          <w:szCs w:val="19"/>
          <w:lang w:val="es-MX"/>
        </w:rPr>
      </w:pPr>
    </w:p>
  </w:footnote>
  <w:footnote w:id="3">
    <w:p w14:paraId="2E5B174B" w14:textId="77777777" w:rsidR="009A0EA5" w:rsidRPr="008303FC" w:rsidRDefault="009A0EA5" w:rsidP="009A0EA5">
      <w:pPr>
        <w:ind w:firstLine="708"/>
        <w:jc w:val="both"/>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EXPOSITO VÉLEZ, Juan Carlos. Forma y contenido del contrato estatal. Universidad Externado de Colombia, Bogotá, 2013, 1ra Ed., p.112.</w:t>
      </w:r>
    </w:p>
  </w:footnote>
  <w:footnote w:id="4">
    <w:p w14:paraId="77995157" w14:textId="77777777" w:rsidR="009A0EA5" w:rsidRDefault="009A0EA5" w:rsidP="009A0EA5">
      <w:pPr>
        <w:pStyle w:val="Textonotapie"/>
        <w:ind w:firstLine="708"/>
        <w:jc w:val="both"/>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w:t>
      </w:r>
      <w:r>
        <w:rPr>
          <w:rFonts w:ascii="Arial" w:hAnsi="Arial" w:cs="Arial"/>
          <w:sz w:val="19"/>
          <w:szCs w:val="19"/>
        </w:rPr>
        <w:t>“</w:t>
      </w:r>
      <w:r w:rsidRPr="008303FC">
        <w:rPr>
          <w:rFonts w:ascii="Arial" w:hAnsi="Arial" w:cs="Arial"/>
          <w:sz w:val="19"/>
          <w:szCs w:val="19"/>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Pr>
          <w:rFonts w:ascii="Arial" w:hAnsi="Arial" w:cs="Arial"/>
          <w:sz w:val="19"/>
          <w:szCs w:val="19"/>
        </w:rPr>
        <w:t>”.</w:t>
      </w:r>
      <w:r w:rsidRPr="008303FC">
        <w:rPr>
          <w:rFonts w:ascii="Arial" w:hAnsi="Arial" w:cs="Arial"/>
          <w:sz w:val="19"/>
          <w:szCs w:val="19"/>
        </w:rPr>
        <w:t xml:space="preserve"> (Corte Constitucional, sentencia C-414 de 1994, M.P. Antonio Barrera</w:t>
      </w:r>
      <w:r w:rsidRPr="008303FC">
        <w:rPr>
          <w:rFonts w:ascii="Arial" w:hAnsi="Arial" w:cs="Arial"/>
          <w:spacing w:val="-2"/>
          <w:sz w:val="19"/>
          <w:szCs w:val="19"/>
        </w:rPr>
        <w:t xml:space="preserve"> </w:t>
      </w:r>
      <w:r w:rsidRPr="008303FC">
        <w:rPr>
          <w:rFonts w:ascii="Arial" w:hAnsi="Arial" w:cs="Arial"/>
          <w:sz w:val="19"/>
          <w:szCs w:val="19"/>
        </w:rPr>
        <w:t>Carbonell).</w:t>
      </w:r>
    </w:p>
    <w:p w14:paraId="4FD2602E" w14:textId="77777777" w:rsidR="009A0EA5" w:rsidRPr="00077F09" w:rsidRDefault="009A0EA5" w:rsidP="009A0EA5">
      <w:pPr>
        <w:pStyle w:val="Textonotapie"/>
        <w:ind w:firstLine="708"/>
        <w:jc w:val="both"/>
        <w:rPr>
          <w:rFonts w:ascii="Arial" w:hAnsi="Arial" w:cs="Arial"/>
          <w:sz w:val="19"/>
          <w:szCs w:val="19"/>
        </w:rPr>
      </w:pPr>
    </w:p>
  </w:footnote>
  <w:footnote w:id="5">
    <w:p w14:paraId="54C09C00" w14:textId="77777777" w:rsidR="009A0EA5" w:rsidRPr="008303FC" w:rsidRDefault="009A0EA5" w:rsidP="009A0EA5">
      <w:pPr>
        <w:ind w:firstLine="708"/>
        <w:jc w:val="both"/>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Sentencia del 5 de septiembre de 2001. M.P. Clara Inés Vargas Hernández. </w:t>
      </w:r>
    </w:p>
  </w:footnote>
  <w:footnote w:id="6">
    <w:p w14:paraId="7C2D9D4A" w14:textId="77777777" w:rsidR="009A0EA5" w:rsidRDefault="009A0EA5" w:rsidP="009A0EA5">
      <w:pPr>
        <w:pStyle w:val="Textonotapie"/>
        <w:ind w:firstLine="708"/>
        <w:jc w:val="both"/>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Sin perjuicio de lo también dispuesto en el artículo 832 y siguientes del Código de Comercio.</w:t>
      </w:r>
    </w:p>
    <w:p w14:paraId="7CF8124C" w14:textId="77777777" w:rsidR="009A0EA5" w:rsidRPr="008303FC" w:rsidRDefault="009A0EA5" w:rsidP="009A0EA5">
      <w:pPr>
        <w:pStyle w:val="Textonotapie"/>
        <w:ind w:firstLine="708"/>
        <w:jc w:val="both"/>
        <w:rPr>
          <w:rFonts w:ascii="Arial" w:hAnsi="Arial" w:cs="Arial"/>
          <w:sz w:val="19"/>
          <w:szCs w:val="19"/>
        </w:rPr>
      </w:pPr>
    </w:p>
  </w:footnote>
  <w:footnote w:id="7">
    <w:p w14:paraId="53E2D589" w14:textId="77777777" w:rsidR="009A0EA5" w:rsidRPr="008303FC" w:rsidRDefault="009A0EA5" w:rsidP="009A0EA5">
      <w:pPr>
        <w:ind w:firstLine="708"/>
        <w:jc w:val="both"/>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LAFONT PIANETTA, Pedro. Manual de contratos, Tomo I, Ediciones Librería del Profesional, 1 Ed, 2001, p.508.</w:t>
      </w:r>
    </w:p>
  </w:footnote>
  <w:footnote w:id="8">
    <w:p w14:paraId="4026C036" w14:textId="77777777" w:rsidR="009A0EA5" w:rsidRDefault="009A0EA5" w:rsidP="009A0EA5">
      <w:pPr>
        <w:pStyle w:val="Textonotapie"/>
        <w:ind w:firstLine="708"/>
        <w:jc w:val="both"/>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La Corte Constitucional ha reconocido a los consorcios y uniones temporales como titulares de derechos fundamentales, tales como el debido proceso, de forma que están legitimados para ejercer la acción de tutela. En otras palabras, gozan de capacidad jurídica para comparecer en procesos judiciales ya sea como demandantes o como demandados. Sentencia T-150/16 del 31 de marzo de 2016. M.P. Gabriel Eduardo Mendoza Martelo.</w:t>
      </w:r>
    </w:p>
    <w:p w14:paraId="29A8B07C" w14:textId="77777777" w:rsidR="009A0EA5" w:rsidRPr="008303FC" w:rsidRDefault="009A0EA5" w:rsidP="009A0EA5">
      <w:pPr>
        <w:pStyle w:val="Textonotapie"/>
        <w:ind w:firstLine="708"/>
        <w:jc w:val="both"/>
        <w:rPr>
          <w:rFonts w:ascii="Arial" w:hAnsi="Arial" w:cs="Arial"/>
          <w:sz w:val="19"/>
          <w:szCs w:val="19"/>
        </w:rPr>
      </w:pPr>
    </w:p>
  </w:footnote>
  <w:footnote w:id="9">
    <w:p w14:paraId="478748DB" w14:textId="77777777" w:rsidR="009A0EA5" w:rsidRDefault="009A0EA5" w:rsidP="009A0EA5">
      <w:pPr>
        <w:ind w:firstLine="708"/>
        <w:jc w:val="both"/>
        <w:rPr>
          <w:rFonts w:ascii="Arial" w:hAnsi="Arial" w:cs="Arial"/>
          <w:sz w:val="19"/>
          <w:szCs w:val="19"/>
        </w:rPr>
      </w:pPr>
      <w:r w:rsidRPr="008303FC">
        <w:rPr>
          <w:rStyle w:val="Refdenotaalpie"/>
          <w:rFonts w:ascii="Arial" w:hAnsi="Arial" w:cs="Arial"/>
          <w:sz w:val="19"/>
          <w:szCs w:val="19"/>
        </w:rPr>
        <w:footnoteRef/>
      </w:r>
      <w:r w:rsidRPr="008303FC">
        <w:rPr>
          <w:rFonts w:ascii="Arial" w:hAnsi="Arial" w:cs="Arial"/>
          <w:sz w:val="19"/>
          <w:szCs w:val="19"/>
        </w:rPr>
        <w:t xml:space="preserve"> Consejo de Estado, Sala Plena Sección 3ª, sentencia de unificación de 25 de septiembre de 2013, M.P. Mauricio Fajardo Gómez, rad. 19.933.</w:t>
      </w:r>
    </w:p>
    <w:p w14:paraId="2C02E229" w14:textId="77777777" w:rsidR="009A0EA5" w:rsidRPr="008303FC" w:rsidRDefault="009A0EA5" w:rsidP="009A0EA5">
      <w:pPr>
        <w:ind w:firstLine="708"/>
        <w:jc w:val="both"/>
        <w:rPr>
          <w:rFonts w:ascii="Arial" w:hAnsi="Arial" w:cs="Arial"/>
          <w:sz w:val="19"/>
          <w:szCs w:val="19"/>
        </w:rPr>
      </w:pPr>
    </w:p>
  </w:footnote>
  <w:footnote w:id="10">
    <w:p w14:paraId="05AB0841" w14:textId="4221A19A" w:rsidR="009A0EA5" w:rsidRPr="008303FC" w:rsidRDefault="009A0EA5" w:rsidP="009A0EA5">
      <w:pPr>
        <w:pStyle w:val="Textonotapie"/>
        <w:ind w:firstLine="708"/>
        <w:jc w:val="both"/>
        <w:rPr>
          <w:rFonts w:ascii="Arial" w:hAnsi="Arial" w:cs="Arial"/>
          <w:sz w:val="19"/>
          <w:szCs w:val="19"/>
          <w:lang w:val="es-ES"/>
        </w:rPr>
      </w:pPr>
      <w:r w:rsidRPr="008303FC">
        <w:rPr>
          <w:rStyle w:val="Refdenotaalpie"/>
          <w:rFonts w:ascii="Arial" w:hAnsi="Arial" w:cs="Arial"/>
          <w:sz w:val="19"/>
          <w:szCs w:val="19"/>
        </w:rPr>
        <w:footnoteRef/>
      </w:r>
      <w:r w:rsidRPr="008303FC">
        <w:rPr>
          <w:rFonts w:ascii="Arial" w:hAnsi="Arial" w:cs="Arial"/>
          <w:sz w:val="19"/>
          <w:szCs w:val="19"/>
        </w:rPr>
        <w:t xml:space="preserve"> </w:t>
      </w:r>
      <w:r w:rsidR="00237285" w:rsidRPr="008303FC">
        <w:rPr>
          <w:rFonts w:ascii="Arial" w:hAnsi="Arial" w:cs="Arial"/>
          <w:sz w:val="19"/>
          <w:szCs w:val="19"/>
          <w:lang w:val="es-ES"/>
        </w:rPr>
        <w:t>CORTE SUPREMA DE JUSTICIA.</w:t>
      </w:r>
      <w:r w:rsidRPr="008303FC">
        <w:rPr>
          <w:rFonts w:ascii="Arial" w:hAnsi="Arial" w:cs="Arial"/>
          <w:sz w:val="19"/>
          <w:szCs w:val="19"/>
          <w:lang w:val="es-ES"/>
        </w:rPr>
        <w:t xml:space="preserve"> Sala de Casación Laboral. </w:t>
      </w:r>
      <w:r>
        <w:rPr>
          <w:rFonts w:ascii="Arial" w:hAnsi="Arial" w:cs="Arial"/>
          <w:sz w:val="19"/>
          <w:szCs w:val="19"/>
          <w:lang w:val="es-ES"/>
        </w:rPr>
        <w:t xml:space="preserve">Sentencia del 10 de febrero de 2021. SL 676-2021, radicado: 57.957. </w:t>
      </w:r>
      <w:r w:rsidRPr="008303FC">
        <w:rPr>
          <w:rFonts w:ascii="Arial" w:hAnsi="Arial" w:cs="Arial"/>
          <w:sz w:val="19"/>
          <w:szCs w:val="19"/>
          <w:lang w:val="es-ES"/>
        </w:rPr>
        <w:t xml:space="preserve">MP: </w:t>
      </w:r>
      <w:proofErr w:type="spellStart"/>
      <w:r w:rsidRPr="008303FC">
        <w:rPr>
          <w:rFonts w:ascii="Arial" w:hAnsi="Arial" w:cs="Arial"/>
          <w:sz w:val="19"/>
          <w:szCs w:val="19"/>
          <w:lang w:val="es-ES"/>
        </w:rPr>
        <w:t>Ivan</w:t>
      </w:r>
      <w:proofErr w:type="spellEnd"/>
      <w:r w:rsidRPr="008303FC">
        <w:rPr>
          <w:rFonts w:ascii="Arial" w:hAnsi="Arial" w:cs="Arial"/>
          <w:sz w:val="19"/>
          <w:szCs w:val="19"/>
          <w:lang w:val="es-ES"/>
        </w:rPr>
        <w:t xml:space="preserve"> Mauricio Lenis Gómez. </w:t>
      </w:r>
    </w:p>
  </w:footnote>
  <w:footnote w:id="11">
    <w:p w14:paraId="0D68526C" w14:textId="77777777" w:rsidR="009A0EA5" w:rsidRPr="00400E7A" w:rsidRDefault="009A0EA5" w:rsidP="009A0EA5">
      <w:pPr>
        <w:pStyle w:val="Textonotapie"/>
        <w:ind w:firstLine="708"/>
        <w:jc w:val="both"/>
        <w:rPr>
          <w:rFonts w:ascii="Arial" w:hAnsi="Arial" w:cs="Arial"/>
          <w:color w:val="000000"/>
          <w:sz w:val="19"/>
          <w:szCs w:val="19"/>
        </w:rPr>
      </w:pPr>
      <w:r w:rsidRPr="00400E7A">
        <w:rPr>
          <w:rStyle w:val="Refdenotaalpie"/>
          <w:rFonts w:ascii="Arial" w:hAnsi="Arial" w:cs="Arial"/>
          <w:color w:val="000000"/>
          <w:sz w:val="19"/>
          <w:szCs w:val="19"/>
        </w:rPr>
        <w:footnoteRef/>
      </w:r>
      <w:r w:rsidRPr="00400E7A">
        <w:rPr>
          <w:rFonts w:ascii="Arial" w:hAnsi="Arial" w:cs="Arial"/>
          <w:color w:val="000000"/>
          <w:sz w:val="19"/>
          <w:szCs w:val="19"/>
        </w:rPr>
        <w:t xml:space="preserve"> Decreto 1082 de 2015: </w:t>
      </w:r>
      <w:r>
        <w:rPr>
          <w:rFonts w:ascii="Castellar" w:hAnsi="Castellar" w:cs="Arial"/>
          <w:color w:val="000000"/>
          <w:sz w:val="19"/>
          <w:szCs w:val="19"/>
        </w:rPr>
        <w:t>“</w:t>
      </w:r>
      <w:r w:rsidRPr="00400E7A">
        <w:rPr>
          <w:rFonts w:ascii="Arial" w:hAnsi="Arial" w:cs="Arial"/>
          <w:color w:val="000000"/>
          <w:sz w:val="19"/>
          <w:szCs w:val="19"/>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762EC489" w14:textId="77777777" w:rsidR="009A0EA5" w:rsidRPr="00400E7A" w:rsidRDefault="009A0EA5" w:rsidP="009A0EA5">
      <w:pPr>
        <w:pStyle w:val="Textonotapie"/>
        <w:ind w:firstLine="708"/>
        <w:jc w:val="both"/>
        <w:rPr>
          <w:rFonts w:ascii="Arial" w:hAnsi="Arial" w:cs="Arial"/>
          <w:color w:val="000000"/>
          <w:sz w:val="19"/>
          <w:szCs w:val="19"/>
        </w:rPr>
      </w:pPr>
      <w:r w:rsidRPr="00400E7A">
        <w:rPr>
          <w:rFonts w:ascii="Arial" w:hAnsi="Arial" w:cs="Arial"/>
          <w:color w:val="000000"/>
          <w:sz w:val="19"/>
          <w:szCs w:val="19"/>
        </w:rPr>
        <w:t>[…]</w:t>
      </w:r>
    </w:p>
    <w:p w14:paraId="7B36AAA9" w14:textId="77777777" w:rsidR="009A0EA5" w:rsidRPr="00400E7A" w:rsidRDefault="009A0EA5" w:rsidP="009A0EA5">
      <w:pPr>
        <w:pStyle w:val="Textonotapie"/>
        <w:ind w:firstLine="708"/>
        <w:jc w:val="both"/>
        <w:rPr>
          <w:rFonts w:ascii="Arial" w:hAnsi="Arial" w:cs="Arial"/>
          <w:color w:val="000000"/>
          <w:sz w:val="19"/>
          <w:szCs w:val="19"/>
        </w:rPr>
      </w:pPr>
      <w:r w:rsidRPr="00400E7A">
        <w:rPr>
          <w:rFonts w:ascii="Arial" w:hAnsi="Arial" w:cs="Arial"/>
          <w:color w:val="000000"/>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r>
        <w:rPr>
          <w:rFonts w:ascii="Arial" w:hAnsi="Arial" w:cs="Arial"/>
          <w:color w:val="000000"/>
          <w:sz w:val="19"/>
          <w:szCs w:val="19"/>
        </w:rPr>
        <w:t>”</w:t>
      </w:r>
      <w:r w:rsidRPr="00400E7A">
        <w:rPr>
          <w:rFonts w:ascii="Castellar" w:hAnsi="Castellar" w:cs="Arial"/>
          <w:color w:val="000000"/>
          <w:sz w:val="19"/>
          <w:szCs w:val="19"/>
        </w:rPr>
        <w:t xml:space="preserve">. </w:t>
      </w:r>
    </w:p>
    <w:p w14:paraId="7B3E0F00" w14:textId="77777777" w:rsidR="009A0EA5" w:rsidRPr="00400E7A" w:rsidRDefault="009A0EA5" w:rsidP="009A0EA5">
      <w:pPr>
        <w:pStyle w:val="Textonotapie"/>
        <w:jc w:val="both"/>
        <w:rPr>
          <w:rFonts w:ascii="Arial" w:hAnsi="Arial" w:cs="Arial"/>
          <w:color w:val="000000"/>
          <w:sz w:val="19"/>
          <w:szCs w:val="19"/>
          <w:lang w:val="es-ES"/>
        </w:rPr>
      </w:pPr>
    </w:p>
  </w:footnote>
  <w:footnote w:id="12">
    <w:p w14:paraId="16D26BB6" w14:textId="77777777" w:rsidR="009A0EA5" w:rsidRDefault="009A0EA5" w:rsidP="009A0EA5">
      <w:pPr>
        <w:pStyle w:val="Textonotapie"/>
        <w:ind w:firstLine="708"/>
        <w:jc w:val="both"/>
        <w:rPr>
          <w:rFonts w:ascii="Arial" w:hAnsi="Arial" w:cs="Arial"/>
          <w:color w:val="000000"/>
          <w:sz w:val="19"/>
          <w:szCs w:val="19"/>
        </w:rPr>
      </w:pPr>
      <w:r w:rsidRPr="00400E7A">
        <w:rPr>
          <w:rStyle w:val="Refdenotaalpie"/>
          <w:rFonts w:ascii="Arial" w:hAnsi="Arial" w:cs="Arial"/>
          <w:color w:val="000000"/>
          <w:sz w:val="19"/>
          <w:szCs w:val="19"/>
        </w:rPr>
        <w:footnoteRef/>
      </w:r>
      <w:r w:rsidRPr="00400E7A">
        <w:rPr>
          <w:rFonts w:ascii="Arial" w:hAnsi="Arial" w:cs="Arial"/>
          <w:color w:val="000000"/>
          <w:sz w:val="19"/>
          <w:szCs w:val="19"/>
        </w:rPr>
        <w:t xml:space="preserve"> Ley 1150 de 2007: </w:t>
      </w:r>
      <w:r>
        <w:rPr>
          <w:rFonts w:ascii="Castellar" w:hAnsi="Castellar" w:cs="Arial"/>
          <w:color w:val="000000"/>
          <w:sz w:val="19"/>
          <w:szCs w:val="19"/>
        </w:rPr>
        <w:t>“</w:t>
      </w:r>
      <w:r w:rsidRPr="00400E7A">
        <w:rPr>
          <w:rFonts w:ascii="Arial" w:hAnsi="Arial" w:cs="Arial"/>
          <w:color w:val="000000"/>
          <w:sz w:val="19"/>
          <w:szCs w:val="19"/>
        </w:rPr>
        <w:t>Artículo 2. De las modalidades de selección. La escogencia del contratista se efectuará con arreglo a las modalidades de selección de licitación pública, selección abreviada, concurso de méritos y contratación directa […]</w:t>
      </w:r>
      <w:r>
        <w:rPr>
          <w:rFonts w:ascii="Arial" w:hAnsi="Arial" w:cs="Arial"/>
          <w:color w:val="000000"/>
          <w:sz w:val="19"/>
          <w:szCs w:val="19"/>
        </w:rPr>
        <w:t>”</w:t>
      </w:r>
      <w:r w:rsidRPr="00400E7A">
        <w:rPr>
          <w:rFonts w:ascii="Arial" w:hAnsi="Arial" w:cs="Arial"/>
          <w:color w:val="000000"/>
          <w:sz w:val="19"/>
          <w:szCs w:val="19"/>
        </w:rPr>
        <w:t>.</w:t>
      </w:r>
    </w:p>
    <w:p w14:paraId="217AF092" w14:textId="77777777" w:rsidR="009A0EA5" w:rsidRPr="00B05EB2" w:rsidRDefault="009A0EA5" w:rsidP="009A0EA5">
      <w:pPr>
        <w:pStyle w:val="Textonotapie"/>
        <w:ind w:firstLine="708"/>
        <w:jc w:val="both"/>
        <w:rPr>
          <w:rFonts w:ascii="Arial" w:hAnsi="Arial" w:cs="Arial"/>
          <w:color w:val="000000"/>
          <w:sz w:val="19"/>
          <w:szCs w:val="19"/>
        </w:rPr>
      </w:pPr>
    </w:p>
  </w:footnote>
  <w:footnote w:id="13">
    <w:p w14:paraId="046BE783" w14:textId="77777777" w:rsidR="009A0EA5" w:rsidRPr="00400E7A" w:rsidRDefault="009A0EA5" w:rsidP="009A0EA5">
      <w:pPr>
        <w:pStyle w:val="Textonotapie"/>
        <w:ind w:firstLine="708"/>
        <w:jc w:val="both"/>
        <w:rPr>
          <w:rFonts w:ascii="Arial" w:hAnsi="Arial" w:cs="Arial"/>
          <w:color w:val="000000"/>
          <w:sz w:val="19"/>
          <w:szCs w:val="19"/>
        </w:rPr>
      </w:pPr>
      <w:r w:rsidRPr="00400E7A">
        <w:rPr>
          <w:rStyle w:val="Refdenotaalpie"/>
          <w:rFonts w:ascii="Arial" w:hAnsi="Arial" w:cs="Arial"/>
          <w:color w:val="000000"/>
          <w:sz w:val="19"/>
          <w:szCs w:val="19"/>
        </w:rPr>
        <w:footnoteRef/>
      </w:r>
      <w:r w:rsidRPr="00400E7A">
        <w:rPr>
          <w:rFonts w:ascii="Arial" w:hAnsi="Arial" w:cs="Arial"/>
          <w:color w:val="000000"/>
          <w:sz w:val="19"/>
          <w:szCs w:val="19"/>
        </w:rPr>
        <w:t xml:space="preserve"> Decreto 1082 de 2015: </w:t>
      </w:r>
      <w:r>
        <w:rPr>
          <w:rFonts w:ascii="Castellar" w:hAnsi="Castellar" w:cs="Arial"/>
          <w:color w:val="000000"/>
          <w:sz w:val="19"/>
          <w:szCs w:val="19"/>
        </w:rPr>
        <w:t>“</w:t>
      </w:r>
      <w:r w:rsidRPr="00400E7A">
        <w:rPr>
          <w:rFonts w:ascii="Arial" w:hAnsi="Arial" w:cs="Arial"/>
          <w:color w:val="000000"/>
          <w:sz w:val="19"/>
          <w:szCs w:val="19"/>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3A9D313B" w14:textId="77777777" w:rsidR="009A0EA5" w:rsidRPr="00400E7A" w:rsidRDefault="009A0EA5" w:rsidP="009A0EA5">
      <w:pPr>
        <w:pStyle w:val="Textonotapie"/>
        <w:ind w:firstLine="708"/>
        <w:jc w:val="both"/>
        <w:rPr>
          <w:rFonts w:ascii="Arial" w:hAnsi="Arial" w:cs="Arial"/>
          <w:color w:val="000000"/>
          <w:sz w:val="19"/>
          <w:szCs w:val="19"/>
        </w:rPr>
      </w:pPr>
      <w:r w:rsidRPr="00400E7A">
        <w:rPr>
          <w:rFonts w:ascii="Arial" w:hAnsi="Arial" w:cs="Arial"/>
          <w:color w:val="000000"/>
          <w:sz w:val="19"/>
          <w:szCs w:val="19"/>
        </w:rPr>
        <w:t>[...]</w:t>
      </w:r>
    </w:p>
    <w:p w14:paraId="3B767774" w14:textId="77777777" w:rsidR="009A0EA5" w:rsidRPr="00400E7A" w:rsidRDefault="009A0EA5" w:rsidP="009A0EA5">
      <w:pPr>
        <w:pStyle w:val="Textonotapie"/>
        <w:ind w:firstLine="708"/>
        <w:jc w:val="both"/>
        <w:rPr>
          <w:rFonts w:ascii="Arial" w:hAnsi="Arial" w:cs="Arial"/>
          <w:color w:val="000000"/>
          <w:sz w:val="19"/>
          <w:szCs w:val="19"/>
        </w:rPr>
      </w:pPr>
      <w:r w:rsidRPr="00400E7A">
        <w:rPr>
          <w:rFonts w:ascii="Arial" w:hAnsi="Arial" w:cs="Arial"/>
          <w:color w:val="000000"/>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r>
        <w:rPr>
          <w:rFonts w:ascii="Arial" w:hAnsi="Arial" w:cs="Arial"/>
          <w:color w:val="000000"/>
          <w:sz w:val="19"/>
          <w:szCs w:val="19"/>
        </w:rPr>
        <w:t>”</w:t>
      </w:r>
      <w:r w:rsidRPr="00400E7A">
        <w:rPr>
          <w:rFonts w:ascii="Arial" w:hAnsi="Arial" w:cs="Arial"/>
          <w:color w:val="000000"/>
          <w:sz w:val="19"/>
          <w:szCs w:val="19"/>
        </w:rPr>
        <w:t>.</w:t>
      </w:r>
    </w:p>
    <w:p w14:paraId="4AD180DF" w14:textId="77777777" w:rsidR="009A0EA5" w:rsidRPr="00400E7A" w:rsidRDefault="009A0EA5" w:rsidP="009A0EA5">
      <w:pPr>
        <w:pStyle w:val="Textonotapie"/>
        <w:jc w:val="both"/>
        <w:rPr>
          <w:rFonts w:ascii="Arial" w:hAnsi="Arial" w:cs="Arial"/>
          <w:color w:val="000000"/>
          <w:sz w:val="19"/>
          <w:szCs w:val="19"/>
          <w:lang w:val="es-ES"/>
        </w:rPr>
      </w:pPr>
    </w:p>
  </w:footnote>
  <w:footnote w:id="14">
    <w:p w14:paraId="08C29712" w14:textId="02AD57B3" w:rsidR="00E96087" w:rsidRDefault="00E96087" w:rsidP="00E96087">
      <w:pPr>
        <w:pStyle w:val="Textonotapie"/>
        <w:ind w:firstLine="708"/>
        <w:jc w:val="both"/>
        <w:rPr>
          <w:rFonts w:ascii="Arial" w:eastAsia="Calibri" w:hAnsi="Arial" w:cs="Arial"/>
          <w:color w:val="000000"/>
          <w:sz w:val="19"/>
          <w:szCs w:val="19"/>
        </w:rPr>
      </w:pPr>
      <w:r w:rsidRPr="00400E7A">
        <w:rPr>
          <w:rStyle w:val="Refdenotaalpie"/>
          <w:rFonts w:ascii="Arial" w:hAnsi="Arial" w:cs="Arial"/>
          <w:color w:val="000000"/>
          <w:sz w:val="19"/>
          <w:szCs w:val="19"/>
        </w:rPr>
        <w:footnoteRef/>
      </w:r>
      <w:r w:rsidRPr="00400E7A">
        <w:rPr>
          <w:rFonts w:ascii="Arial" w:eastAsia="Calibri" w:hAnsi="Arial" w:cs="Arial"/>
          <w:color w:val="000000"/>
          <w:sz w:val="19"/>
          <w:szCs w:val="19"/>
        </w:rPr>
        <w:t xml:space="preserve"> </w:t>
      </w:r>
      <w:r w:rsidR="00782758" w:rsidRPr="00400E7A">
        <w:rPr>
          <w:rFonts w:ascii="Arial" w:eastAsia="Calibri" w:hAnsi="Arial" w:cs="Arial"/>
          <w:color w:val="000000"/>
          <w:sz w:val="19"/>
          <w:szCs w:val="19"/>
        </w:rPr>
        <w:t>CONSEJO DE ESTADO</w:t>
      </w:r>
      <w:r w:rsidRPr="00400E7A">
        <w:rPr>
          <w:rFonts w:ascii="Arial" w:eastAsia="Calibri" w:hAnsi="Arial" w:cs="Arial"/>
          <w:color w:val="000000"/>
          <w:sz w:val="19"/>
          <w:szCs w:val="19"/>
        </w:rPr>
        <w:t xml:space="preserve">. Sección Tercera. Subsección A. Sentencia del 23 de julio de 2015. Exp. 36.805. C. P. Hernán Andrade Rincón. </w:t>
      </w:r>
    </w:p>
    <w:p w14:paraId="2C2A4A3C" w14:textId="77777777" w:rsidR="00E96087" w:rsidRPr="00593CC1" w:rsidRDefault="00E96087" w:rsidP="00E96087">
      <w:pPr>
        <w:pStyle w:val="Textonotapie"/>
        <w:ind w:firstLine="708"/>
        <w:jc w:val="both"/>
        <w:rPr>
          <w:rFonts w:ascii="Arial" w:hAnsi="Arial" w:cs="Arial"/>
          <w:color w:val="000000"/>
          <w:sz w:val="19"/>
          <w:szCs w:val="19"/>
        </w:rPr>
      </w:pPr>
    </w:p>
  </w:footnote>
  <w:footnote w:id="15">
    <w:p w14:paraId="316F2CCC" w14:textId="77777777" w:rsidR="00DB67C0" w:rsidRPr="00400E7A" w:rsidRDefault="00DB67C0" w:rsidP="00DB67C0">
      <w:pPr>
        <w:pStyle w:val="Textonotapie"/>
        <w:ind w:firstLine="708"/>
        <w:jc w:val="both"/>
        <w:rPr>
          <w:rFonts w:ascii="Arial" w:hAnsi="Arial" w:cs="Arial"/>
          <w:color w:val="000000"/>
          <w:sz w:val="19"/>
          <w:szCs w:val="19"/>
        </w:rPr>
      </w:pPr>
      <w:r w:rsidRPr="00400E7A">
        <w:rPr>
          <w:rStyle w:val="Refdenotaalpie"/>
          <w:rFonts w:ascii="Arial" w:hAnsi="Arial" w:cs="Arial"/>
          <w:color w:val="000000"/>
          <w:sz w:val="19"/>
          <w:szCs w:val="19"/>
        </w:rPr>
        <w:footnoteRef/>
      </w:r>
      <w:r w:rsidRPr="00400E7A">
        <w:rPr>
          <w:rFonts w:ascii="Arial" w:hAnsi="Arial" w:cs="Arial"/>
          <w:color w:val="000000"/>
          <w:sz w:val="19"/>
          <w:szCs w:val="19"/>
        </w:rPr>
        <w:t xml:space="preserve"> Ley 1150 de 2007: </w:t>
      </w:r>
      <w:r>
        <w:rPr>
          <w:rFonts w:ascii="Castellar" w:hAnsi="Castellar" w:cs="Arial"/>
          <w:color w:val="000000"/>
          <w:sz w:val="19"/>
          <w:szCs w:val="19"/>
        </w:rPr>
        <w:t>“</w:t>
      </w:r>
      <w:r w:rsidRPr="00400E7A">
        <w:rPr>
          <w:rFonts w:ascii="Arial" w:hAnsi="Arial" w:cs="Arial"/>
          <w:color w:val="000000"/>
          <w:sz w:val="19"/>
          <w:szCs w:val="19"/>
        </w:rPr>
        <w:t>Artículo 2. […] Serán causales de selección abreviada las siguientes:</w:t>
      </w:r>
    </w:p>
    <w:p w14:paraId="11165405" w14:textId="77777777" w:rsidR="00DB67C0" w:rsidRPr="00400E7A" w:rsidRDefault="00DB67C0" w:rsidP="00DB67C0">
      <w:pPr>
        <w:pStyle w:val="Textonotapie"/>
        <w:ind w:firstLine="708"/>
        <w:jc w:val="both"/>
        <w:rPr>
          <w:rFonts w:ascii="Arial" w:hAnsi="Arial" w:cs="Arial"/>
          <w:color w:val="000000"/>
          <w:sz w:val="19"/>
          <w:szCs w:val="19"/>
        </w:rPr>
      </w:pPr>
      <w:r w:rsidRPr="00400E7A">
        <w:rPr>
          <w:rFonts w:ascii="Arial" w:hAnsi="Arial" w:cs="Arial"/>
          <w:color w:val="000000"/>
          <w:sz w:val="19"/>
          <w:szCs w:val="19"/>
        </w:rPr>
        <w:t>[...]</w:t>
      </w:r>
    </w:p>
    <w:p w14:paraId="20A2095A" w14:textId="77777777" w:rsidR="00DB67C0" w:rsidRDefault="00DB67C0" w:rsidP="00DB67C0">
      <w:pPr>
        <w:pStyle w:val="Textonotapie"/>
        <w:ind w:firstLine="708"/>
        <w:jc w:val="both"/>
        <w:rPr>
          <w:rFonts w:ascii="Arial" w:hAnsi="Arial" w:cs="Arial"/>
          <w:color w:val="000000"/>
          <w:sz w:val="19"/>
          <w:szCs w:val="19"/>
        </w:rPr>
      </w:pPr>
      <w:r w:rsidRPr="00400E7A">
        <w:rPr>
          <w:rFonts w:ascii="Arial" w:hAnsi="Arial" w:cs="Arial"/>
          <w:color w:val="000000"/>
          <w:sz w:val="19"/>
          <w:szCs w:val="19"/>
        </w:rPr>
        <w:t xml:space="preserve">b) La contratación de menor cuantía. Se entenderá por menor cuantía los valores que a continuación se relacionan, determinados en función de los presupuestos anuales de las entidades públicas expresados en salarios mínimos legales mensuales </w:t>
      </w:r>
    </w:p>
    <w:p w14:paraId="034D8AC1" w14:textId="77777777" w:rsidR="00DB67C0" w:rsidRPr="00DB3D72" w:rsidRDefault="00DB67C0" w:rsidP="00DB67C0">
      <w:pPr>
        <w:pStyle w:val="Textonotapie"/>
        <w:ind w:firstLine="708"/>
        <w:jc w:val="both"/>
        <w:rPr>
          <w:rFonts w:ascii="Arial" w:hAnsi="Arial" w:cs="Arial"/>
          <w:color w:val="000000"/>
          <w:sz w:val="19"/>
          <w:szCs w:val="19"/>
        </w:rPr>
      </w:pPr>
      <w:r w:rsidRPr="00DB3D72">
        <w:rPr>
          <w:rFonts w:ascii="Arial" w:hAnsi="Arial" w:cs="Arial"/>
          <w:color w:val="000000"/>
          <w:sz w:val="19"/>
          <w:szCs w:val="19"/>
        </w:rPr>
        <w:t xml:space="preserve">Para las entidades que tengan un presupuesto anual superior o igual a 1.200.000 salarios mínimos legales mensuales, la menor cuantía será hasta 1.000 salarios mínimos legales mensuales. </w:t>
      </w:r>
    </w:p>
    <w:p w14:paraId="50D0C569" w14:textId="77777777" w:rsidR="00DB67C0" w:rsidRPr="00DB3D72" w:rsidRDefault="00DB67C0" w:rsidP="00DB67C0">
      <w:pPr>
        <w:pStyle w:val="Textonotapie"/>
        <w:ind w:firstLine="708"/>
        <w:jc w:val="both"/>
        <w:rPr>
          <w:rFonts w:ascii="Arial" w:hAnsi="Arial" w:cs="Arial"/>
          <w:color w:val="000000"/>
          <w:sz w:val="19"/>
          <w:szCs w:val="19"/>
        </w:rPr>
      </w:pPr>
      <w:r w:rsidRPr="00DB3D72">
        <w:rPr>
          <w:rFonts w:ascii="Arial" w:hAnsi="Arial" w:cs="Arial"/>
          <w:color w:val="000000"/>
          <w:sz w:val="19"/>
          <w:szCs w:val="19"/>
        </w:rPr>
        <w:t xml:space="preserve">Las que tengan un presupuesto anual superior o igual a 850.000 salarios mínimos legales mensuales e inferiores a 1.200.000 salarios mínimos legales mensuales, la menor cuantía será hasta 850 salarios mínimos legales mensuales. </w:t>
      </w:r>
    </w:p>
    <w:p w14:paraId="743228EE" w14:textId="77777777" w:rsidR="00DB67C0" w:rsidRPr="00DB3D72" w:rsidRDefault="00DB67C0" w:rsidP="00DB67C0">
      <w:pPr>
        <w:pStyle w:val="Textonotapie"/>
        <w:ind w:firstLine="708"/>
        <w:jc w:val="both"/>
        <w:rPr>
          <w:rFonts w:ascii="Arial" w:hAnsi="Arial" w:cs="Arial"/>
          <w:color w:val="000000"/>
          <w:sz w:val="19"/>
          <w:szCs w:val="19"/>
        </w:rPr>
      </w:pPr>
      <w:r w:rsidRPr="00DB3D72">
        <w:rPr>
          <w:rFonts w:ascii="Arial" w:hAnsi="Arial" w:cs="Arial"/>
          <w:color w:val="000000"/>
          <w:sz w:val="19"/>
          <w:szCs w:val="19"/>
        </w:rPr>
        <w:t xml:space="preserve">Las que tengan un presupuesto anual superior o igual a 400.000 salarios mínimos legales mensuales e inferior a 850.000 salarios mínimos legales mensuales, la menor cuantía será hasta 650 salarios mínimos legales mensuales. </w:t>
      </w:r>
    </w:p>
    <w:p w14:paraId="435936DC" w14:textId="77777777" w:rsidR="00DB67C0" w:rsidRPr="00DB3D72" w:rsidRDefault="00DB67C0" w:rsidP="00DB67C0">
      <w:pPr>
        <w:pStyle w:val="Textonotapie"/>
        <w:ind w:firstLine="708"/>
        <w:jc w:val="both"/>
        <w:rPr>
          <w:rFonts w:ascii="Arial" w:hAnsi="Arial" w:cs="Arial"/>
          <w:color w:val="000000"/>
          <w:sz w:val="19"/>
          <w:szCs w:val="19"/>
        </w:rPr>
      </w:pPr>
      <w:r w:rsidRPr="00DB3D72">
        <w:rPr>
          <w:rFonts w:ascii="Arial" w:hAnsi="Arial" w:cs="Arial"/>
          <w:color w:val="000000"/>
          <w:sz w:val="19"/>
          <w:szCs w:val="19"/>
        </w:rPr>
        <w:t xml:space="preserve">Las que tengan un presupuesto anual superior o igual a 120.000 salarios mínimos legales mensuales e inferior a 400.000 salarios mínimos legales mensuales, la menor cuantía será hasta 450 salarios mínimos legales mensuales. </w:t>
      </w:r>
    </w:p>
    <w:p w14:paraId="509A6E43" w14:textId="77777777" w:rsidR="00DB67C0" w:rsidRDefault="00DB67C0" w:rsidP="00DB67C0">
      <w:pPr>
        <w:pStyle w:val="Textonotapie"/>
        <w:ind w:firstLine="708"/>
        <w:jc w:val="both"/>
        <w:rPr>
          <w:rFonts w:ascii="Arial" w:hAnsi="Arial" w:cs="Arial"/>
          <w:color w:val="000000"/>
          <w:sz w:val="19"/>
          <w:szCs w:val="19"/>
        </w:rPr>
      </w:pPr>
      <w:r w:rsidRPr="00DB3D72">
        <w:rPr>
          <w:rFonts w:ascii="Arial" w:hAnsi="Arial" w:cs="Arial"/>
          <w:color w:val="000000"/>
          <w:sz w:val="19"/>
          <w:szCs w:val="19"/>
        </w:rPr>
        <w:t>Las que tengan un presupuesto anual inferior a 120.000 salarios mínimos legales mensuales, la menor cuantía será hasta 280 salarios mínimos legales mensuales;</w:t>
      </w:r>
      <w:r>
        <w:rPr>
          <w:rFonts w:ascii="Arial" w:hAnsi="Arial" w:cs="Arial"/>
          <w:color w:val="000000"/>
          <w:sz w:val="19"/>
          <w:szCs w:val="19"/>
        </w:rPr>
        <w:t xml:space="preserve"> </w:t>
      </w:r>
      <w:r w:rsidRPr="00400E7A">
        <w:rPr>
          <w:rFonts w:ascii="Arial" w:hAnsi="Arial" w:cs="Arial"/>
          <w:color w:val="000000"/>
          <w:sz w:val="19"/>
          <w:szCs w:val="19"/>
        </w:rPr>
        <w:t>[...]</w:t>
      </w:r>
      <w:r>
        <w:rPr>
          <w:rFonts w:ascii="Arial" w:hAnsi="Arial" w:cs="Arial"/>
          <w:color w:val="000000"/>
          <w:sz w:val="19"/>
          <w:szCs w:val="19"/>
        </w:rPr>
        <w:t>”</w:t>
      </w:r>
      <w:r w:rsidRPr="00400E7A">
        <w:rPr>
          <w:rFonts w:ascii="Arial" w:hAnsi="Arial" w:cs="Arial"/>
          <w:color w:val="000000"/>
          <w:sz w:val="19"/>
          <w:szCs w:val="19"/>
        </w:rPr>
        <w:t>.</w:t>
      </w:r>
    </w:p>
    <w:p w14:paraId="4F84E019" w14:textId="77777777" w:rsidR="00DB67C0" w:rsidRPr="00400E7A" w:rsidRDefault="00DB67C0" w:rsidP="00DB67C0">
      <w:pPr>
        <w:pStyle w:val="Textonotapie"/>
        <w:ind w:firstLine="708"/>
        <w:jc w:val="both"/>
        <w:rPr>
          <w:rFonts w:ascii="Arial" w:hAnsi="Arial" w:cs="Arial"/>
          <w:color w:val="000000"/>
          <w:sz w:val="19"/>
          <w:szCs w:val="19"/>
        </w:rPr>
      </w:pPr>
    </w:p>
  </w:footnote>
  <w:footnote w:id="16">
    <w:p w14:paraId="2FA0AC5D" w14:textId="40B6218C" w:rsidR="008D2955" w:rsidRDefault="008D2955" w:rsidP="008D2955">
      <w:pPr>
        <w:pStyle w:val="Textonotapie"/>
        <w:ind w:firstLine="708"/>
        <w:jc w:val="both"/>
        <w:rPr>
          <w:rFonts w:ascii="Arial" w:hAnsi="Arial" w:cs="Arial"/>
          <w:color w:val="000000"/>
          <w:sz w:val="19"/>
          <w:szCs w:val="19"/>
        </w:rPr>
      </w:pPr>
      <w:r w:rsidRPr="00400E7A">
        <w:rPr>
          <w:rStyle w:val="Refdenotaalpie"/>
          <w:rFonts w:ascii="Arial" w:hAnsi="Arial" w:cs="Arial"/>
          <w:color w:val="000000"/>
          <w:sz w:val="19"/>
          <w:szCs w:val="19"/>
        </w:rPr>
        <w:footnoteRef/>
      </w:r>
      <w:r w:rsidRPr="00400E7A">
        <w:rPr>
          <w:rFonts w:ascii="Arial" w:eastAsia="Calibri" w:hAnsi="Arial" w:cs="Arial"/>
          <w:color w:val="000000"/>
          <w:sz w:val="19"/>
          <w:szCs w:val="19"/>
        </w:rPr>
        <w:t xml:space="preserve"> </w:t>
      </w:r>
      <w:r w:rsidR="00873D08" w:rsidRPr="00400E7A">
        <w:rPr>
          <w:rFonts w:ascii="Arial" w:eastAsia="Calibri" w:hAnsi="Arial" w:cs="Arial"/>
          <w:color w:val="000000"/>
          <w:sz w:val="19"/>
          <w:szCs w:val="19"/>
        </w:rPr>
        <w:t>CONSEJO DE ESTADO</w:t>
      </w:r>
      <w:r w:rsidRPr="00400E7A">
        <w:rPr>
          <w:rFonts w:ascii="Arial" w:eastAsia="Calibri" w:hAnsi="Arial" w:cs="Arial"/>
          <w:color w:val="000000"/>
          <w:sz w:val="19"/>
          <w:szCs w:val="19"/>
        </w:rPr>
        <w:t>. Sección Tercera. Subsección B. Sentencia del 29 de junio de 2017. Exp. 35.676. C.P. Ramiro Pazos Guerrero</w:t>
      </w:r>
      <w:r w:rsidRPr="00400E7A">
        <w:rPr>
          <w:rFonts w:ascii="Arial" w:hAnsi="Arial" w:cs="Arial"/>
          <w:color w:val="000000"/>
          <w:sz w:val="19"/>
          <w:szCs w:val="19"/>
        </w:rPr>
        <w:t>.</w:t>
      </w:r>
    </w:p>
    <w:p w14:paraId="70FD8701" w14:textId="77777777" w:rsidR="00D209A2" w:rsidRPr="00400E7A" w:rsidRDefault="00D209A2" w:rsidP="008D2955">
      <w:pPr>
        <w:pStyle w:val="Textonotapie"/>
        <w:ind w:firstLine="708"/>
        <w:jc w:val="both"/>
        <w:rPr>
          <w:rFonts w:ascii="Arial" w:hAnsi="Arial" w:cs="Arial"/>
          <w:color w:val="000000"/>
          <w:sz w:val="19"/>
          <w:szCs w:val="19"/>
        </w:rPr>
      </w:pPr>
    </w:p>
  </w:footnote>
  <w:footnote w:id="17">
    <w:p w14:paraId="0DA02DE0" w14:textId="77777777" w:rsidR="009A0EA5" w:rsidRPr="00400E7A" w:rsidRDefault="009A0EA5" w:rsidP="00AB3D80">
      <w:pPr>
        <w:pStyle w:val="Textonotapie"/>
        <w:spacing w:after="120"/>
        <w:ind w:firstLine="709"/>
        <w:jc w:val="both"/>
        <w:rPr>
          <w:rFonts w:ascii="Arial" w:hAnsi="Arial" w:cs="Arial"/>
          <w:color w:val="000000"/>
          <w:sz w:val="19"/>
          <w:szCs w:val="19"/>
        </w:rPr>
      </w:pPr>
      <w:r w:rsidRPr="00400E7A">
        <w:rPr>
          <w:rStyle w:val="Refdenotaalpie"/>
          <w:rFonts w:ascii="Arial" w:hAnsi="Arial" w:cs="Arial"/>
          <w:color w:val="000000"/>
          <w:sz w:val="19"/>
          <w:szCs w:val="19"/>
        </w:rPr>
        <w:footnoteRef/>
      </w:r>
      <w:r w:rsidRPr="00400E7A">
        <w:rPr>
          <w:rFonts w:ascii="Arial" w:hAnsi="Arial" w:cs="Arial"/>
          <w:color w:val="000000"/>
          <w:sz w:val="19"/>
          <w:szCs w:val="19"/>
        </w:rPr>
        <w:t xml:space="preserve"> Decreto 1082 de 2015</w:t>
      </w:r>
      <w:r>
        <w:rPr>
          <w:rFonts w:ascii="Arial" w:hAnsi="Arial" w:cs="Arial"/>
          <w:color w:val="000000"/>
          <w:sz w:val="19"/>
          <w:szCs w:val="19"/>
        </w:rPr>
        <w:t>:</w:t>
      </w:r>
      <w:r w:rsidRPr="00400E7A">
        <w:rPr>
          <w:rFonts w:ascii="Arial" w:hAnsi="Arial" w:cs="Arial"/>
          <w:color w:val="000000"/>
          <w:sz w:val="19"/>
          <w:szCs w:val="19"/>
        </w:rPr>
        <w:t xml:space="preserve"> </w:t>
      </w:r>
      <w:r>
        <w:rPr>
          <w:rFonts w:ascii="Arial" w:hAnsi="Arial" w:cs="Arial"/>
          <w:color w:val="000000"/>
          <w:sz w:val="19"/>
          <w:szCs w:val="19"/>
        </w:rPr>
        <w:t>“</w:t>
      </w:r>
      <w:r w:rsidRPr="00400E7A">
        <w:rPr>
          <w:rFonts w:ascii="Arial" w:hAnsi="Arial" w:cs="Arial"/>
          <w:color w:val="000000"/>
          <w:sz w:val="19"/>
          <w:szCs w:val="19"/>
        </w:rPr>
        <w:t>Artículo 2.2.1.2.1.2.20. Procedimiento para la selección abreviada de menor cuantía. Además de las normas generales establecidas en el presente título, las siguientes reglas son aplicables a la selección abreviada de menor cuantía:</w:t>
      </w:r>
    </w:p>
    <w:p w14:paraId="550C9B4D" w14:textId="77777777" w:rsidR="009A0EA5" w:rsidRPr="00400E7A" w:rsidRDefault="009A0EA5" w:rsidP="00AB3D80">
      <w:pPr>
        <w:pStyle w:val="Textonotapie"/>
        <w:spacing w:after="120"/>
        <w:ind w:firstLine="708"/>
        <w:jc w:val="both"/>
        <w:rPr>
          <w:rFonts w:ascii="Arial" w:hAnsi="Arial" w:cs="Arial"/>
          <w:color w:val="000000"/>
          <w:sz w:val="19"/>
          <w:szCs w:val="19"/>
        </w:rPr>
      </w:pPr>
      <w:r w:rsidRPr="00400E7A">
        <w:rPr>
          <w:rFonts w:ascii="Arial" w:hAnsi="Arial" w:cs="Arial"/>
          <w:color w:val="000000"/>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5FAECA43" w14:textId="77777777" w:rsidR="009A0EA5" w:rsidRPr="00400E7A" w:rsidRDefault="009A0EA5" w:rsidP="00AB3D80">
      <w:pPr>
        <w:pStyle w:val="Textonotapie"/>
        <w:spacing w:after="120"/>
        <w:ind w:firstLine="709"/>
        <w:jc w:val="both"/>
        <w:rPr>
          <w:rFonts w:ascii="Arial" w:hAnsi="Arial" w:cs="Arial"/>
          <w:color w:val="000000"/>
          <w:sz w:val="19"/>
          <w:szCs w:val="19"/>
        </w:rPr>
      </w:pPr>
      <w:r w:rsidRPr="00400E7A">
        <w:rPr>
          <w:rFonts w:ascii="Arial" w:hAnsi="Arial" w:cs="Arial"/>
          <w:color w:val="000000"/>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4F925EC1" w14:textId="77777777" w:rsidR="009A0EA5" w:rsidRPr="00400E7A" w:rsidRDefault="009A0EA5" w:rsidP="00AB3D80">
      <w:pPr>
        <w:pStyle w:val="Textonotapie"/>
        <w:spacing w:after="120"/>
        <w:ind w:firstLine="709"/>
        <w:jc w:val="both"/>
        <w:rPr>
          <w:rFonts w:ascii="Arial" w:hAnsi="Arial" w:cs="Arial"/>
          <w:color w:val="000000"/>
          <w:sz w:val="19"/>
          <w:szCs w:val="19"/>
        </w:rPr>
      </w:pPr>
      <w:r w:rsidRPr="00400E7A">
        <w:rPr>
          <w:rFonts w:ascii="Arial" w:hAnsi="Arial" w:cs="Arial"/>
          <w:color w:val="000000"/>
          <w:sz w:val="19"/>
          <w:szCs w:val="19"/>
        </w:rPr>
        <w:t>3. Si hay lugar a sorteo, el plazo para la presentación de las ofertas empezará a correr el día hábil siguiente a la fecha en la cual la Entidad Estatal informe a los interesados el resultado del sorteo.</w:t>
      </w:r>
    </w:p>
    <w:p w14:paraId="3D49F9F7" w14:textId="77777777" w:rsidR="009A0EA5" w:rsidRDefault="009A0EA5" w:rsidP="009A0EA5">
      <w:pPr>
        <w:pStyle w:val="Textonotapie"/>
        <w:ind w:firstLine="709"/>
        <w:jc w:val="both"/>
        <w:rPr>
          <w:rFonts w:ascii="Arial" w:hAnsi="Arial" w:cs="Arial"/>
          <w:color w:val="000000"/>
          <w:sz w:val="19"/>
          <w:szCs w:val="19"/>
        </w:rPr>
      </w:pPr>
      <w:r w:rsidRPr="00400E7A">
        <w:rPr>
          <w:rFonts w:ascii="Arial" w:hAnsi="Arial" w:cs="Arial"/>
          <w:color w:val="000000"/>
          <w:sz w:val="19"/>
          <w:szCs w:val="19"/>
        </w:rPr>
        <w:t>4. La Entidad Estatal debe publicar el informe de evaluación de ofertas durante tres (3) días hábiles</w:t>
      </w:r>
      <w:r>
        <w:rPr>
          <w:rFonts w:ascii="Arial" w:hAnsi="Arial" w:cs="Arial"/>
          <w:color w:val="000000"/>
          <w:sz w:val="19"/>
          <w:szCs w:val="19"/>
        </w:rPr>
        <w:t>”.</w:t>
      </w:r>
    </w:p>
    <w:p w14:paraId="5A074921" w14:textId="77777777" w:rsidR="009A0EA5" w:rsidRPr="00C25891" w:rsidRDefault="009A0EA5" w:rsidP="009A0EA5">
      <w:pPr>
        <w:pStyle w:val="Textonotapie"/>
        <w:ind w:firstLine="709"/>
        <w:jc w:val="both"/>
        <w:rPr>
          <w:rFonts w:ascii="Arial" w:hAnsi="Arial" w:cs="Arial"/>
          <w:color w:val="000000"/>
          <w:sz w:val="19"/>
          <w:szCs w:val="19"/>
        </w:rPr>
      </w:pPr>
    </w:p>
  </w:footnote>
  <w:footnote w:id="18">
    <w:p w14:paraId="648D4D01" w14:textId="77777777" w:rsidR="009A0EA5" w:rsidRDefault="009A0EA5" w:rsidP="009A0EA5">
      <w:pPr>
        <w:pStyle w:val="Textonotapie"/>
        <w:ind w:firstLine="708"/>
        <w:jc w:val="both"/>
        <w:rPr>
          <w:rFonts w:ascii="Arial" w:hAnsi="Arial" w:cs="Arial"/>
          <w:i/>
          <w:iCs/>
          <w:color w:val="000000"/>
          <w:sz w:val="19"/>
          <w:szCs w:val="19"/>
        </w:rPr>
      </w:pPr>
      <w:r w:rsidRPr="00400E7A">
        <w:rPr>
          <w:rStyle w:val="Refdenotaalpie"/>
          <w:rFonts w:ascii="Arial" w:hAnsi="Arial" w:cs="Arial"/>
          <w:color w:val="000000"/>
          <w:sz w:val="19"/>
          <w:szCs w:val="19"/>
        </w:rPr>
        <w:footnoteRef/>
      </w:r>
      <w:r w:rsidRPr="00400E7A">
        <w:rPr>
          <w:rFonts w:ascii="Arial" w:hAnsi="Arial" w:cs="Arial"/>
          <w:color w:val="000000"/>
          <w:sz w:val="19"/>
          <w:szCs w:val="19"/>
        </w:rPr>
        <w:t xml:space="preserve"> </w:t>
      </w:r>
      <w:r w:rsidRPr="004617D7">
        <w:rPr>
          <w:rFonts w:ascii="Arial" w:hAnsi="Arial" w:cs="Arial"/>
          <w:i/>
          <w:iCs/>
          <w:color w:val="000000"/>
          <w:sz w:val="19"/>
          <w:szCs w:val="19"/>
        </w:rPr>
        <w:t>Ibídem.</w:t>
      </w:r>
    </w:p>
    <w:p w14:paraId="76C1B7C7" w14:textId="77777777" w:rsidR="009A0EA5" w:rsidRPr="00C25891" w:rsidRDefault="009A0EA5" w:rsidP="009A0EA5">
      <w:pPr>
        <w:pStyle w:val="Textonotapie"/>
        <w:ind w:firstLine="708"/>
        <w:jc w:val="both"/>
        <w:rPr>
          <w:rFonts w:ascii="Arial" w:hAnsi="Arial" w:cs="Arial"/>
          <w:i/>
          <w:iCs/>
          <w:color w:val="000000"/>
          <w:sz w:val="19"/>
          <w:szCs w:val="19"/>
        </w:rPr>
      </w:pPr>
    </w:p>
  </w:footnote>
  <w:footnote w:id="19">
    <w:p w14:paraId="1BD00D49" w14:textId="77777777" w:rsidR="009A0EA5" w:rsidRPr="00400E7A" w:rsidRDefault="009A0EA5" w:rsidP="009A0EA5">
      <w:pPr>
        <w:pStyle w:val="Textonotapie"/>
        <w:ind w:firstLine="708"/>
        <w:jc w:val="both"/>
        <w:rPr>
          <w:rFonts w:ascii="Arial" w:hAnsi="Arial" w:cs="Arial"/>
          <w:i/>
          <w:color w:val="000000"/>
          <w:sz w:val="19"/>
          <w:szCs w:val="19"/>
          <w:lang w:val="es-CO"/>
        </w:rPr>
      </w:pPr>
      <w:r w:rsidRPr="00400E7A">
        <w:rPr>
          <w:rStyle w:val="Refdenotaalpie"/>
          <w:rFonts w:ascii="Arial" w:hAnsi="Arial" w:cs="Arial"/>
          <w:i/>
          <w:color w:val="000000"/>
          <w:sz w:val="19"/>
          <w:szCs w:val="19"/>
        </w:rPr>
        <w:footnoteRef/>
      </w:r>
      <w:r w:rsidRPr="00400E7A">
        <w:rPr>
          <w:rFonts w:ascii="Arial" w:hAnsi="Arial" w:cs="Arial"/>
          <w:i/>
          <w:color w:val="000000"/>
          <w:sz w:val="19"/>
          <w:szCs w:val="19"/>
        </w:rPr>
        <w:t xml:space="preserve"> Ibídem</w:t>
      </w:r>
      <w:r>
        <w:rPr>
          <w:rFonts w:ascii="Arial" w:hAnsi="Arial" w:cs="Arial"/>
          <w:i/>
          <w:color w:val="000000"/>
          <w:sz w:val="19"/>
          <w:szCs w:val="19"/>
        </w:rPr>
        <w:t>.</w:t>
      </w:r>
    </w:p>
  </w:footnote>
  <w:footnote w:id="20">
    <w:p w14:paraId="734D347F" w14:textId="3B1FB510" w:rsidR="001B63D6" w:rsidRDefault="001B63D6" w:rsidP="00AB3D80">
      <w:pPr>
        <w:pStyle w:val="Textonotapie"/>
        <w:ind w:firstLine="708"/>
        <w:jc w:val="both"/>
        <w:rPr>
          <w:rFonts w:ascii="Arial" w:eastAsiaTheme="minorEastAsia" w:hAnsi="Arial" w:cs="Arial"/>
          <w:color w:val="000000" w:themeColor="text1"/>
          <w:sz w:val="19"/>
          <w:szCs w:val="19"/>
          <w:lang w:eastAsia="es-CO"/>
        </w:rPr>
      </w:pPr>
      <w:r w:rsidRPr="00C62A26">
        <w:rPr>
          <w:rStyle w:val="Refdenotaalpie"/>
          <w:rFonts w:ascii="Arial" w:hAnsi="Arial" w:cs="Arial"/>
          <w:sz w:val="19"/>
          <w:szCs w:val="19"/>
        </w:rPr>
        <w:footnoteRef/>
      </w:r>
      <w:r w:rsidRPr="00C62A26">
        <w:rPr>
          <w:rFonts w:ascii="Arial" w:hAnsi="Arial" w:cs="Arial"/>
          <w:sz w:val="19"/>
          <w:szCs w:val="19"/>
        </w:rPr>
        <w:t xml:space="preserve"> En armonía con lo anterior, a modo simplemente ejemplificativo, los Documentos Tipo para los procesos de selección abreviada de menor cuantía de obra pública de infraestructura de transporte, </w:t>
      </w:r>
      <w:r w:rsidRPr="00024DE2">
        <w:rPr>
          <w:rFonts w:ascii="Arial" w:hAnsi="Arial" w:cs="Arial"/>
          <w:sz w:val="19"/>
          <w:szCs w:val="19"/>
        </w:rPr>
        <w:t xml:space="preserve">adoptados mediante la Resolución 241 de 2020, por parte de la Agencia Nacional de Contratación Pública Colombia Compra Eficiente, incluyen la siguiente causal de rechazo en dicho pliego tipo: </w:t>
      </w:r>
      <w:r w:rsidR="00880EA4">
        <w:rPr>
          <w:rFonts w:ascii="Arial" w:hAnsi="Arial" w:cs="Arial"/>
          <w:sz w:val="19"/>
          <w:szCs w:val="19"/>
        </w:rPr>
        <w:t>“</w:t>
      </w:r>
      <w:r w:rsidRPr="00024DE2">
        <w:rPr>
          <w:rFonts w:ascii="Arial" w:hAnsi="Arial" w:cs="Arial"/>
          <w:sz w:val="19"/>
          <w:szCs w:val="19"/>
        </w:rPr>
        <w:t xml:space="preserve">X. </w:t>
      </w:r>
      <w:r w:rsidRPr="00024DE2">
        <w:rPr>
          <w:rFonts w:ascii="Arial" w:eastAsiaTheme="minorEastAsia" w:hAnsi="Arial" w:cs="Arial"/>
          <w:color w:val="000000" w:themeColor="text1"/>
          <w:sz w:val="19"/>
          <w:szCs w:val="19"/>
          <w:lang w:eastAsia="es-CO"/>
        </w:rPr>
        <w:t>Que el proponente no haya presentado la manifestación de interés para participar en el proceso de selección, y aun así haya presentado propuesta</w:t>
      </w:r>
      <w:r w:rsidR="00880EA4">
        <w:rPr>
          <w:rFonts w:ascii="Arial" w:eastAsiaTheme="minorEastAsia" w:hAnsi="Arial" w:cs="Arial"/>
          <w:color w:val="000000" w:themeColor="text1"/>
          <w:sz w:val="19"/>
          <w:szCs w:val="19"/>
          <w:lang w:eastAsia="es-CO"/>
        </w:rPr>
        <w:t>”</w:t>
      </w:r>
      <w:r w:rsidRPr="00024DE2">
        <w:rPr>
          <w:rFonts w:ascii="Arial" w:eastAsiaTheme="minorEastAsia" w:hAnsi="Arial" w:cs="Arial"/>
          <w:color w:val="000000" w:themeColor="text1"/>
          <w:sz w:val="19"/>
          <w:szCs w:val="19"/>
          <w:lang w:eastAsia="es-CO"/>
        </w:rPr>
        <w:t>.</w:t>
      </w:r>
    </w:p>
    <w:p w14:paraId="233AF7EC" w14:textId="77777777" w:rsidR="00880EA4" w:rsidRPr="00024DE2" w:rsidRDefault="00880EA4" w:rsidP="001B63D6">
      <w:pPr>
        <w:pStyle w:val="Textonotapie"/>
        <w:ind w:firstLine="708"/>
        <w:rPr>
          <w:rFonts w:ascii="Arial" w:hAnsi="Arial" w:cs="Arial"/>
          <w:sz w:val="19"/>
          <w:szCs w:val="19"/>
        </w:rPr>
      </w:pPr>
    </w:p>
  </w:footnote>
  <w:footnote w:id="21">
    <w:p w14:paraId="3A90673A" w14:textId="75ADF612" w:rsidR="00B7063C" w:rsidRPr="00170D3F" w:rsidRDefault="00B7063C" w:rsidP="00AB3D80">
      <w:pPr>
        <w:pStyle w:val="Textonotapie"/>
        <w:ind w:firstLine="708"/>
        <w:jc w:val="both"/>
        <w:rPr>
          <w:rFonts w:ascii="Arial" w:hAnsi="Arial" w:cs="Arial"/>
          <w:sz w:val="19"/>
          <w:szCs w:val="19"/>
          <w:lang w:val="es-CO"/>
        </w:rPr>
      </w:pPr>
      <w:r w:rsidRPr="00170D3F">
        <w:rPr>
          <w:rStyle w:val="Refdenotaalpie"/>
          <w:rFonts w:ascii="Arial" w:hAnsi="Arial" w:cs="Arial"/>
          <w:sz w:val="19"/>
          <w:szCs w:val="19"/>
        </w:rPr>
        <w:footnoteRef/>
      </w:r>
      <w:r w:rsidRPr="00170D3F">
        <w:rPr>
          <w:rFonts w:ascii="Arial" w:hAnsi="Arial" w:cs="Arial"/>
          <w:sz w:val="19"/>
          <w:szCs w:val="19"/>
        </w:rPr>
        <w:t xml:space="preserve"> </w:t>
      </w:r>
      <w:r>
        <w:rPr>
          <w:rFonts w:ascii="Arial" w:hAnsi="Arial" w:cs="Arial"/>
          <w:sz w:val="19"/>
          <w:szCs w:val="19"/>
        </w:rPr>
        <w:t xml:space="preserve">En lo pertinente, el Formato 10 dispone que </w:t>
      </w:r>
      <w:r w:rsidR="00880EA4">
        <w:rPr>
          <w:rFonts w:ascii="Arial" w:hAnsi="Arial" w:cs="Arial"/>
          <w:sz w:val="19"/>
          <w:szCs w:val="19"/>
        </w:rPr>
        <w:t>“</w:t>
      </w:r>
      <w:r w:rsidRPr="000945B9">
        <w:rPr>
          <w:rFonts w:ascii="Arial" w:hAnsi="Arial" w:cs="Arial"/>
          <w:sz w:val="19"/>
          <w:szCs w:val="19"/>
          <w:lang w:val="es-CO"/>
        </w:rPr>
        <w:t xml:space="preserve">Los suscritos, </w:t>
      </w:r>
      <w:r w:rsidRPr="00170D3F">
        <w:rPr>
          <w:rFonts w:ascii="Arial" w:hAnsi="Arial" w:cs="Arial"/>
          <w:sz w:val="19"/>
          <w:szCs w:val="19"/>
          <w:highlight w:val="lightGray"/>
          <w:lang w:val="es-CO"/>
        </w:rPr>
        <w:t>[nombre del Representante Legal del integrante 1]</w:t>
      </w:r>
      <w:r w:rsidRPr="000945B9">
        <w:rPr>
          <w:rFonts w:ascii="Arial" w:hAnsi="Arial" w:cs="Arial"/>
          <w:sz w:val="19"/>
          <w:szCs w:val="19"/>
          <w:lang w:val="es-CO"/>
        </w:rPr>
        <w:t xml:space="preserve"> y </w:t>
      </w:r>
      <w:r w:rsidRPr="00170D3F">
        <w:rPr>
          <w:rFonts w:ascii="Arial" w:hAnsi="Arial" w:cs="Arial"/>
          <w:sz w:val="19"/>
          <w:szCs w:val="19"/>
          <w:highlight w:val="lightGray"/>
          <w:lang w:val="es-CO"/>
        </w:rPr>
        <w:t>[nombre del Representante Legal del integrante 2]</w:t>
      </w:r>
      <w:r w:rsidRPr="000945B9">
        <w:rPr>
          <w:rFonts w:ascii="Arial" w:hAnsi="Arial" w:cs="Arial"/>
          <w:sz w:val="19"/>
          <w:szCs w:val="19"/>
          <w:lang w:val="es-CO"/>
        </w:rPr>
        <w:t xml:space="preserve"> debidamente autorizados para actuar en nombre y representación de </w:t>
      </w:r>
      <w:r w:rsidRPr="00170D3F">
        <w:rPr>
          <w:rFonts w:ascii="Arial" w:hAnsi="Arial" w:cs="Arial"/>
          <w:sz w:val="19"/>
          <w:szCs w:val="19"/>
          <w:highlight w:val="lightGray"/>
          <w:lang w:val="es-CO"/>
        </w:rPr>
        <w:t>[nombre o razón social del integrante 1]</w:t>
      </w:r>
      <w:r w:rsidRPr="000945B9">
        <w:rPr>
          <w:rFonts w:ascii="Arial" w:hAnsi="Arial" w:cs="Arial"/>
          <w:sz w:val="19"/>
          <w:szCs w:val="19"/>
          <w:lang w:val="es-CO"/>
        </w:rPr>
        <w:t xml:space="preserve"> y </w:t>
      </w:r>
      <w:r w:rsidRPr="00170D3F">
        <w:rPr>
          <w:rFonts w:ascii="Arial" w:hAnsi="Arial" w:cs="Arial"/>
          <w:sz w:val="19"/>
          <w:szCs w:val="19"/>
          <w:highlight w:val="lightGray"/>
          <w:lang w:val="es-CO"/>
        </w:rPr>
        <w:t>[nombre o razón social del integrante 2]</w:t>
      </w:r>
      <w:r w:rsidRPr="000945B9">
        <w:rPr>
          <w:rFonts w:ascii="Arial" w:hAnsi="Arial" w:cs="Arial"/>
          <w:sz w:val="19"/>
          <w:szCs w:val="19"/>
          <w:lang w:val="es-CO"/>
        </w:rPr>
        <w:t xml:space="preserve"> </w:t>
      </w:r>
      <w:r w:rsidRPr="00170D3F">
        <w:rPr>
          <w:rFonts w:ascii="Arial" w:hAnsi="Arial" w:cs="Arial"/>
          <w:sz w:val="19"/>
          <w:szCs w:val="19"/>
          <w:highlight w:val="lightGray"/>
          <w:lang w:val="es-CO"/>
        </w:rPr>
        <w:t>[Se incluirán tantas personas naturales o jurídicas, como integrantes tenga el oferente plural]</w:t>
      </w:r>
      <w:r w:rsidRPr="000945B9">
        <w:rPr>
          <w:rFonts w:ascii="Arial" w:hAnsi="Arial" w:cs="Arial"/>
          <w:sz w:val="19"/>
          <w:szCs w:val="19"/>
          <w:lang w:val="es-CO"/>
        </w:rPr>
        <w:t>, respectivamente, manifestamos nuestra intención de participar en el presente proceso de contratación, manifestación con la cual adjuntamos los documentos requeridos para acreditar la existencia de la persona jurídica o de persona natural [Según corresponda para cada uno de los integrantes], conforme a la ley y al numeral 3.3 del Documento Base</w:t>
      </w:r>
      <w:r w:rsidR="00880EA4">
        <w:rPr>
          <w:rFonts w:ascii="Arial" w:hAnsi="Arial" w:cs="Arial"/>
          <w:sz w:val="19"/>
          <w:szCs w:val="19"/>
          <w:lang w:val="es-CO"/>
        </w:rPr>
        <w:t>”</w:t>
      </w:r>
      <w:r w:rsidRPr="000945B9">
        <w:rPr>
          <w:rFonts w:ascii="Arial" w:hAnsi="Arial" w:cs="Arial"/>
          <w:sz w:val="19"/>
          <w:szCs w:val="19"/>
          <w:lang w:val="es-CO"/>
        </w:rPr>
        <w:t>.</w:t>
      </w:r>
    </w:p>
  </w:footnote>
  <w:footnote w:id="22">
    <w:p w14:paraId="50D4FB74" w14:textId="5E7A4041" w:rsidR="00B7063C" w:rsidRPr="007C15A2" w:rsidRDefault="00B7063C" w:rsidP="00AB3D80">
      <w:pPr>
        <w:pStyle w:val="Textonotapie"/>
        <w:ind w:firstLine="708"/>
        <w:jc w:val="both"/>
        <w:rPr>
          <w:rFonts w:ascii="Arial" w:hAnsi="Arial" w:cs="Arial"/>
          <w:bCs/>
          <w:sz w:val="19"/>
          <w:szCs w:val="19"/>
          <w:lang w:val="es-ES"/>
        </w:rPr>
      </w:pPr>
      <w:r w:rsidRPr="007C15A2">
        <w:rPr>
          <w:rStyle w:val="Refdenotaalpie"/>
          <w:rFonts w:ascii="Arial" w:hAnsi="Arial" w:cs="Arial"/>
          <w:sz w:val="19"/>
          <w:szCs w:val="19"/>
        </w:rPr>
        <w:footnoteRef/>
      </w:r>
      <w:r w:rsidRPr="007C15A2">
        <w:rPr>
          <w:rFonts w:ascii="Arial" w:hAnsi="Arial" w:cs="Arial"/>
          <w:sz w:val="19"/>
          <w:szCs w:val="19"/>
        </w:rPr>
        <w:t xml:space="preserve"> </w:t>
      </w:r>
      <w:r>
        <w:rPr>
          <w:rFonts w:ascii="Arial" w:hAnsi="Arial" w:cs="Arial"/>
          <w:sz w:val="19"/>
          <w:szCs w:val="19"/>
        </w:rPr>
        <w:t xml:space="preserve">Bajo esta orientación, </w:t>
      </w:r>
      <w:r>
        <w:rPr>
          <w:rFonts w:ascii="Arial" w:hAnsi="Arial" w:cs="Arial"/>
          <w:sz w:val="19"/>
          <w:szCs w:val="19"/>
          <w:lang w:val="es-CO"/>
        </w:rPr>
        <w:t>l</w:t>
      </w:r>
      <w:r w:rsidRPr="008715B6">
        <w:rPr>
          <w:rFonts w:ascii="Arial" w:hAnsi="Arial" w:cs="Arial"/>
          <w:sz w:val="19"/>
          <w:szCs w:val="19"/>
          <w:lang w:val="es-CO"/>
        </w:rPr>
        <w:t xml:space="preserve">a Agencia </w:t>
      </w:r>
      <w:r w:rsidRPr="008715B6">
        <w:rPr>
          <w:rFonts w:ascii="Arial" w:hAnsi="Arial" w:cs="Arial"/>
          <w:bCs/>
          <w:sz w:val="19"/>
          <w:szCs w:val="19"/>
          <w:lang w:val="es-ES"/>
        </w:rPr>
        <w:t xml:space="preserve">ha indicado en la Guía de Creación de proponentes plurales en el SECOP II, así como en la Guía para manifestar interés en el </w:t>
      </w:r>
      <w:proofErr w:type="spellStart"/>
      <w:r w:rsidRPr="008715B6">
        <w:rPr>
          <w:rFonts w:ascii="Arial" w:hAnsi="Arial" w:cs="Arial"/>
          <w:bCs/>
          <w:sz w:val="19"/>
          <w:szCs w:val="19"/>
          <w:lang w:val="es-ES"/>
        </w:rPr>
        <w:t>Secop</w:t>
      </w:r>
      <w:proofErr w:type="spellEnd"/>
      <w:r w:rsidRPr="008715B6">
        <w:rPr>
          <w:rFonts w:ascii="Arial" w:hAnsi="Arial" w:cs="Arial"/>
          <w:bCs/>
          <w:sz w:val="19"/>
          <w:szCs w:val="19"/>
          <w:lang w:val="es-ES"/>
        </w:rPr>
        <w:t xml:space="preserve"> II, que</w:t>
      </w:r>
      <w:r>
        <w:rPr>
          <w:rFonts w:ascii="Arial" w:hAnsi="Arial" w:cs="Arial"/>
          <w:bCs/>
          <w:sz w:val="19"/>
          <w:szCs w:val="19"/>
          <w:lang w:val="es-ES"/>
        </w:rPr>
        <w:t xml:space="preserve"> </w:t>
      </w:r>
      <w:bookmarkStart w:id="4" w:name="_Hlk105162039"/>
      <w:r w:rsidR="000D2FBC">
        <w:rPr>
          <w:rFonts w:ascii="Arial" w:hAnsi="Arial" w:cs="Arial"/>
          <w:bCs/>
          <w:sz w:val="19"/>
          <w:szCs w:val="19"/>
          <w:lang w:val="es-ES"/>
        </w:rPr>
        <w:t>“</w:t>
      </w:r>
      <w:r w:rsidRPr="008715B6">
        <w:rPr>
          <w:rFonts w:ascii="Arial" w:hAnsi="Arial" w:cs="Arial"/>
          <w:bCs/>
          <w:sz w:val="19"/>
          <w:szCs w:val="19"/>
          <w:lang w:val="es-ES"/>
        </w:rPr>
        <w:t>p</w:t>
      </w:r>
      <w:r w:rsidRPr="008715B6">
        <w:rPr>
          <w:rFonts w:ascii="Arial" w:hAnsi="Arial" w:cs="Arial"/>
          <w:sz w:val="19"/>
          <w:szCs w:val="19"/>
          <w:lang w:val="es-CO"/>
        </w:rPr>
        <w:t>ara participar en Procesos de Contratación en el SECOP II como Proponente Plural (ya sea para manifestar interés, enviar observaciones, ofertas o firmar contratos), debe actuar exclusivamente desde su cuenta de Proponente Plural. Cualquier acción realizada desde la cuenta de cualquiera de los integrantes no es válida para el Proponente Plural y quedará a nombre del proponente singular</w:t>
      </w:r>
      <w:bookmarkEnd w:id="4"/>
      <w:r w:rsidRPr="008715B6">
        <w:rPr>
          <w:rFonts w:ascii="Arial" w:hAnsi="Arial" w:cs="Arial"/>
          <w:sz w:val="19"/>
          <w:szCs w:val="19"/>
          <w:lang w:val="es-CO"/>
        </w:rPr>
        <w:t xml:space="preserve">. </w:t>
      </w:r>
    </w:p>
    <w:p w14:paraId="15BF73C0" w14:textId="2D384264" w:rsidR="00B7063C" w:rsidRPr="007C15A2" w:rsidRDefault="00B7063C" w:rsidP="00AB3D80">
      <w:pPr>
        <w:pStyle w:val="Textonotapie"/>
        <w:ind w:firstLine="708"/>
        <w:jc w:val="both"/>
        <w:rPr>
          <w:rFonts w:ascii="Arial" w:hAnsi="Arial" w:cs="Arial"/>
          <w:sz w:val="19"/>
          <w:szCs w:val="19"/>
          <w:lang w:val="es-CO"/>
        </w:rPr>
      </w:pPr>
      <w:bookmarkStart w:id="5" w:name="_Hlk105162089"/>
      <w:r w:rsidRPr="007C15A2">
        <w:rPr>
          <w:rFonts w:ascii="Arial" w:hAnsi="Arial" w:cs="Arial"/>
          <w:i/>
          <w:iCs/>
          <w:sz w:val="19"/>
          <w:szCs w:val="19"/>
          <w:lang w:val="es-CO"/>
        </w:rPr>
        <w:t>En los Procesos de Contratación en la modalidad de Selección Abreviada de Menor Cuantía, si quiere enviar oferta como Proponente Plural, debe enviar su manifestación de interés desde la cuenta del Proponente Plural. En el SECOP II no es posible manifestar interés como proponente singular y luego enviar la oferta como proponente plural</w:t>
      </w:r>
      <w:bookmarkEnd w:id="5"/>
      <w:r w:rsidR="000D2FBC">
        <w:rPr>
          <w:rFonts w:ascii="Arial" w:hAnsi="Arial" w:cs="Arial"/>
          <w:sz w:val="19"/>
          <w:szCs w:val="19"/>
          <w:lang w:val="es-CO"/>
        </w:rPr>
        <w:t>”</w:t>
      </w:r>
      <w:r>
        <w:rPr>
          <w:rFonts w:ascii="Arial" w:hAnsi="Arial" w:cs="Arial"/>
          <w:sz w:val="19"/>
          <w:szCs w:val="19"/>
          <w:lang w:val="es-CO"/>
        </w:rPr>
        <w:t xml:space="preserve"> (Cfr. </w:t>
      </w:r>
      <w:hyperlink r:id="rId1" w:history="1">
        <w:r w:rsidRPr="007C15A2">
          <w:rPr>
            <w:rStyle w:val="Hipervnculo"/>
            <w:rFonts w:ascii="Arial" w:hAnsi="Arial" w:cs="Arial"/>
            <w:color w:val="44546A" w:themeColor="text2"/>
            <w:sz w:val="19"/>
            <w:szCs w:val="19"/>
            <w:lang w:val="es-CO"/>
          </w:rPr>
          <w:t>https://www.colombiacompra.gov.co/sites/cce_public/files/cce_step/cce-sec-gi-06provppproponenteplural07-09-2020.pdf</w:t>
        </w:r>
      </w:hyperlink>
      <w:r>
        <w:rPr>
          <w:rFonts w:ascii="Arial" w:hAnsi="Arial" w:cs="Arial"/>
          <w:sz w:val="19"/>
          <w:szCs w:val="19"/>
          <w:lang w:val="es-CO"/>
        </w:rPr>
        <w:t>, énfasis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0"/>
  </w:num>
  <w:num w:numId="3" w16cid:durableId="1897622572">
    <w:abstractNumId w:val="2"/>
  </w:num>
  <w:num w:numId="4" w16cid:durableId="232593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10B"/>
    <w:rsid w:val="00020C89"/>
    <w:rsid w:val="00052590"/>
    <w:rsid w:val="000546AD"/>
    <w:rsid w:val="000559DE"/>
    <w:rsid w:val="000605E1"/>
    <w:rsid w:val="00072032"/>
    <w:rsid w:val="00083334"/>
    <w:rsid w:val="000956CF"/>
    <w:rsid w:val="000A0230"/>
    <w:rsid w:val="000A683E"/>
    <w:rsid w:val="000A7351"/>
    <w:rsid w:val="000B1023"/>
    <w:rsid w:val="000C1B8B"/>
    <w:rsid w:val="000D2FBC"/>
    <w:rsid w:val="0011595A"/>
    <w:rsid w:val="00120CE3"/>
    <w:rsid w:val="001220C5"/>
    <w:rsid w:val="001267F7"/>
    <w:rsid w:val="00127233"/>
    <w:rsid w:val="00130999"/>
    <w:rsid w:val="0013408E"/>
    <w:rsid w:val="0014495B"/>
    <w:rsid w:val="00164D81"/>
    <w:rsid w:val="00180AA6"/>
    <w:rsid w:val="00193FF9"/>
    <w:rsid w:val="001A0987"/>
    <w:rsid w:val="001A1011"/>
    <w:rsid w:val="001A48D0"/>
    <w:rsid w:val="001B4A45"/>
    <w:rsid w:val="001B63D6"/>
    <w:rsid w:val="001F120E"/>
    <w:rsid w:val="002216E6"/>
    <w:rsid w:val="00237285"/>
    <w:rsid w:val="00246FA6"/>
    <w:rsid w:val="002653C1"/>
    <w:rsid w:val="0026611D"/>
    <w:rsid w:val="00270709"/>
    <w:rsid w:val="0027397F"/>
    <w:rsid w:val="00291A38"/>
    <w:rsid w:val="00295143"/>
    <w:rsid w:val="002951A0"/>
    <w:rsid w:val="002A2F0E"/>
    <w:rsid w:val="002A64FD"/>
    <w:rsid w:val="002B110D"/>
    <w:rsid w:val="002C65DB"/>
    <w:rsid w:val="002F0839"/>
    <w:rsid w:val="00301469"/>
    <w:rsid w:val="00306EE1"/>
    <w:rsid w:val="00310B9B"/>
    <w:rsid w:val="003234F9"/>
    <w:rsid w:val="00333008"/>
    <w:rsid w:val="0035196C"/>
    <w:rsid w:val="0036461C"/>
    <w:rsid w:val="00367884"/>
    <w:rsid w:val="0039439C"/>
    <w:rsid w:val="00394597"/>
    <w:rsid w:val="00394935"/>
    <w:rsid w:val="003A20BD"/>
    <w:rsid w:val="003A6703"/>
    <w:rsid w:val="003B69E7"/>
    <w:rsid w:val="003C013B"/>
    <w:rsid w:val="003C213E"/>
    <w:rsid w:val="003C3D08"/>
    <w:rsid w:val="003D0F4D"/>
    <w:rsid w:val="003E3A16"/>
    <w:rsid w:val="003E6B02"/>
    <w:rsid w:val="003F58A1"/>
    <w:rsid w:val="00400732"/>
    <w:rsid w:val="00400769"/>
    <w:rsid w:val="004013FC"/>
    <w:rsid w:val="00410DD6"/>
    <w:rsid w:val="0041172E"/>
    <w:rsid w:val="004134C9"/>
    <w:rsid w:val="0042509A"/>
    <w:rsid w:val="0043138C"/>
    <w:rsid w:val="00437BBB"/>
    <w:rsid w:val="00462A59"/>
    <w:rsid w:val="00490D45"/>
    <w:rsid w:val="00491C84"/>
    <w:rsid w:val="0049673E"/>
    <w:rsid w:val="004A1847"/>
    <w:rsid w:val="004A5752"/>
    <w:rsid w:val="004B6B0E"/>
    <w:rsid w:val="004C7D78"/>
    <w:rsid w:val="004D25B3"/>
    <w:rsid w:val="005051E5"/>
    <w:rsid w:val="005112D3"/>
    <w:rsid w:val="00511405"/>
    <w:rsid w:val="00526E9D"/>
    <w:rsid w:val="00527E0E"/>
    <w:rsid w:val="0054774B"/>
    <w:rsid w:val="00547856"/>
    <w:rsid w:val="00547A74"/>
    <w:rsid w:val="005566E8"/>
    <w:rsid w:val="005665CC"/>
    <w:rsid w:val="005746AB"/>
    <w:rsid w:val="00580322"/>
    <w:rsid w:val="0059357F"/>
    <w:rsid w:val="005A1130"/>
    <w:rsid w:val="005D5327"/>
    <w:rsid w:val="005D65C8"/>
    <w:rsid w:val="005F6D03"/>
    <w:rsid w:val="00606701"/>
    <w:rsid w:val="00607DEC"/>
    <w:rsid w:val="006219F8"/>
    <w:rsid w:val="00677458"/>
    <w:rsid w:val="00681FDB"/>
    <w:rsid w:val="006A7DAD"/>
    <w:rsid w:val="006B2083"/>
    <w:rsid w:val="006D70BA"/>
    <w:rsid w:val="00700A83"/>
    <w:rsid w:val="00705AB5"/>
    <w:rsid w:val="0074204A"/>
    <w:rsid w:val="00746C66"/>
    <w:rsid w:val="00751ABA"/>
    <w:rsid w:val="007526CB"/>
    <w:rsid w:val="007566FE"/>
    <w:rsid w:val="0076726F"/>
    <w:rsid w:val="0077144B"/>
    <w:rsid w:val="00782758"/>
    <w:rsid w:val="00793403"/>
    <w:rsid w:val="007C0CDF"/>
    <w:rsid w:val="007E2A2F"/>
    <w:rsid w:val="007F2B7C"/>
    <w:rsid w:val="00810272"/>
    <w:rsid w:val="00811541"/>
    <w:rsid w:val="00811651"/>
    <w:rsid w:val="00813565"/>
    <w:rsid w:val="00820F5B"/>
    <w:rsid w:val="00833452"/>
    <w:rsid w:val="00844BDA"/>
    <w:rsid w:val="008614E5"/>
    <w:rsid w:val="008678EB"/>
    <w:rsid w:val="00873D08"/>
    <w:rsid w:val="00875894"/>
    <w:rsid w:val="00880EA4"/>
    <w:rsid w:val="00881C10"/>
    <w:rsid w:val="00890411"/>
    <w:rsid w:val="008A798A"/>
    <w:rsid w:val="008B0FF5"/>
    <w:rsid w:val="008B3C68"/>
    <w:rsid w:val="008D2955"/>
    <w:rsid w:val="008D5C70"/>
    <w:rsid w:val="008F6873"/>
    <w:rsid w:val="008F68F0"/>
    <w:rsid w:val="009025AF"/>
    <w:rsid w:val="00904F23"/>
    <w:rsid w:val="00906B3C"/>
    <w:rsid w:val="00914DE4"/>
    <w:rsid w:val="009506FC"/>
    <w:rsid w:val="00952DA2"/>
    <w:rsid w:val="0095342C"/>
    <w:rsid w:val="00965516"/>
    <w:rsid w:val="009778E1"/>
    <w:rsid w:val="009866B0"/>
    <w:rsid w:val="0098737A"/>
    <w:rsid w:val="009876B0"/>
    <w:rsid w:val="009973A3"/>
    <w:rsid w:val="009A0EA5"/>
    <w:rsid w:val="009F33F2"/>
    <w:rsid w:val="009F6C77"/>
    <w:rsid w:val="009F6C7D"/>
    <w:rsid w:val="00A07532"/>
    <w:rsid w:val="00A1085C"/>
    <w:rsid w:val="00A22DA5"/>
    <w:rsid w:val="00A309E2"/>
    <w:rsid w:val="00A8066E"/>
    <w:rsid w:val="00AA4B8A"/>
    <w:rsid w:val="00AA6BF7"/>
    <w:rsid w:val="00AB3D80"/>
    <w:rsid w:val="00AE5C97"/>
    <w:rsid w:val="00AF1467"/>
    <w:rsid w:val="00B01ED6"/>
    <w:rsid w:val="00B06D09"/>
    <w:rsid w:val="00B138D7"/>
    <w:rsid w:val="00B25D45"/>
    <w:rsid w:val="00B347F5"/>
    <w:rsid w:val="00B34FBF"/>
    <w:rsid w:val="00B37C74"/>
    <w:rsid w:val="00B435C4"/>
    <w:rsid w:val="00B51ED3"/>
    <w:rsid w:val="00B57122"/>
    <w:rsid w:val="00B7063C"/>
    <w:rsid w:val="00B74503"/>
    <w:rsid w:val="00B771A9"/>
    <w:rsid w:val="00B809BB"/>
    <w:rsid w:val="00B8248A"/>
    <w:rsid w:val="00BA3371"/>
    <w:rsid w:val="00BA373F"/>
    <w:rsid w:val="00BA7B3E"/>
    <w:rsid w:val="00BB7726"/>
    <w:rsid w:val="00BB7FF1"/>
    <w:rsid w:val="00BC3345"/>
    <w:rsid w:val="00BC3F83"/>
    <w:rsid w:val="00BC4EA2"/>
    <w:rsid w:val="00BD57BB"/>
    <w:rsid w:val="00BE6156"/>
    <w:rsid w:val="00BE758A"/>
    <w:rsid w:val="00BF01E2"/>
    <w:rsid w:val="00C2329E"/>
    <w:rsid w:val="00C30461"/>
    <w:rsid w:val="00C464B7"/>
    <w:rsid w:val="00C754BE"/>
    <w:rsid w:val="00C83A4D"/>
    <w:rsid w:val="00C87208"/>
    <w:rsid w:val="00C87572"/>
    <w:rsid w:val="00C937DF"/>
    <w:rsid w:val="00C9405D"/>
    <w:rsid w:val="00C966A1"/>
    <w:rsid w:val="00CC1B26"/>
    <w:rsid w:val="00CC7C84"/>
    <w:rsid w:val="00CD0E12"/>
    <w:rsid w:val="00CD284F"/>
    <w:rsid w:val="00CD323F"/>
    <w:rsid w:val="00CF23AA"/>
    <w:rsid w:val="00D00B4E"/>
    <w:rsid w:val="00D01921"/>
    <w:rsid w:val="00D0464A"/>
    <w:rsid w:val="00D209A2"/>
    <w:rsid w:val="00D27515"/>
    <w:rsid w:val="00D31078"/>
    <w:rsid w:val="00D36506"/>
    <w:rsid w:val="00D43189"/>
    <w:rsid w:val="00D752B7"/>
    <w:rsid w:val="00D9193C"/>
    <w:rsid w:val="00DA1854"/>
    <w:rsid w:val="00DB0887"/>
    <w:rsid w:val="00DB3D72"/>
    <w:rsid w:val="00DB67C0"/>
    <w:rsid w:val="00DE4776"/>
    <w:rsid w:val="00DF028A"/>
    <w:rsid w:val="00DF1E43"/>
    <w:rsid w:val="00DF378C"/>
    <w:rsid w:val="00DF39E9"/>
    <w:rsid w:val="00E20894"/>
    <w:rsid w:val="00E26B7C"/>
    <w:rsid w:val="00E3660A"/>
    <w:rsid w:val="00E419B5"/>
    <w:rsid w:val="00E5181F"/>
    <w:rsid w:val="00E7484A"/>
    <w:rsid w:val="00E96087"/>
    <w:rsid w:val="00EA3003"/>
    <w:rsid w:val="00EB3C91"/>
    <w:rsid w:val="00EB66DA"/>
    <w:rsid w:val="00ED077C"/>
    <w:rsid w:val="00F006FF"/>
    <w:rsid w:val="00F12DDE"/>
    <w:rsid w:val="00F32F8E"/>
    <w:rsid w:val="00F40DD9"/>
    <w:rsid w:val="00F605F2"/>
    <w:rsid w:val="00F71056"/>
    <w:rsid w:val="00F76AFC"/>
    <w:rsid w:val="00F8319B"/>
    <w:rsid w:val="00F90C49"/>
    <w:rsid w:val="00FA5516"/>
    <w:rsid w:val="00FD1FF6"/>
    <w:rsid w:val="00FD6F73"/>
    <w:rsid w:val="00FE3BB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6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904F23"/>
    <w:pPr>
      <w:widowControl w:val="0"/>
      <w:autoSpaceDE w:val="0"/>
      <w:autoSpaceDN w:val="0"/>
      <w:spacing w:before="1"/>
      <w:ind w:left="1181" w:hanging="360"/>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spacing w:after="160" w:line="259" w:lineRule="auto"/>
      <w:ind w:left="720"/>
      <w:contextualSpacing/>
    </w:pPr>
    <w:rPr>
      <w:rFonts w:ascii="Geomanist Light" w:eastAsiaTheme="minorHAnsi" w:hAnsi="Geomanist Light" w:cstheme="minorBidi"/>
      <w:sz w:val="22"/>
      <w:szCs w:val="22"/>
      <w:lang w:val="es-ES" w:eastAsia="en-U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 w:val="22"/>
      <w:szCs w:val="56"/>
      <w:lang w:val="es-ES" w:eastAsia="en-U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rsid w:val="009A0EA5"/>
    <w:pPr>
      <w:spacing w:after="160" w:line="240" w:lineRule="exact"/>
      <w:jc w:val="both"/>
    </w:pPr>
    <w:rPr>
      <w:rFonts w:asciiTheme="minorHAnsi" w:eastAsiaTheme="minorHAnsi" w:hAnsiTheme="minorHAnsi" w:cstheme="minorBidi"/>
      <w:sz w:val="22"/>
      <w:szCs w:val="22"/>
      <w:vertAlign w:val="superscript"/>
      <w:lang w:eastAsia="en-US"/>
    </w:rPr>
  </w:style>
  <w:style w:type="table" w:customStyle="1" w:styleId="Tablaconcuadrcula1">
    <w:name w:val="Tabla con cuadrícula1"/>
    <w:basedOn w:val="Tablanormal"/>
    <w:next w:val="Tablaconcuadrcula"/>
    <w:uiPriority w:val="39"/>
    <w:rsid w:val="009A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F6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05366">
      <w:bodyDiv w:val="1"/>
      <w:marLeft w:val="0"/>
      <w:marRight w:val="0"/>
      <w:marTop w:val="0"/>
      <w:marBottom w:val="0"/>
      <w:divBdr>
        <w:top w:val="none" w:sz="0" w:space="0" w:color="auto"/>
        <w:left w:val="none" w:sz="0" w:space="0" w:color="auto"/>
        <w:bottom w:val="none" w:sz="0" w:space="0" w:color="auto"/>
        <w:right w:val="none" w:sz="0" w:space="0" w:color="auto"/>
      </w:divBdr>
    </w:div>
    <w:div w:id="7865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step/cce-sec-gi-06provppproponenteplural07-09-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B6CCDD83-7D75-48FA-B0B2-2F15CD014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5886</Words>
  <Characters>32375</Characters>
  <Application>Microsoft Office Word</Application>
  <DocSecurity>0</DocSecurity>
  <Lines>269</Lines>
  <Paragraphs>76</Paragraphs>
  <ScaleCrop>false</ScaleCrop>
  <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7</cp:revision>
  <dcterms:created xsi:type="dcterms:W3CDTF">2023-07-04T23:27:00Z</dcterms:created>
  <dcterms:modified xsi:type="dcterms:W3CDTF">2023-07-10T16:41:00Z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