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1465F" w14:textId="77777777" w:rsidR="00756877" w:rsidRPr="00756877" w:rsidRDefault="00756877" w:rsidP="00756877">
      <w:pPr>
        <w:jc w:val="both"/>
        <w:rPr>
          <w:rFonts w:ascii="Arial" w:eastAsia="Calibri" w:hAnsi="Arial" w:cs="Arial"/>
          <w:b/>
          <w:bCs/>
          <w:sz w:val="20"/>
          <w:szCs w:val="20"/>
        </w:rPr>
      </w:pPr>
      <w:bookmarkStart w:id="0" w:name="_Hlk103000443"/>
      <w:bookmarkStart w:id="1" w:name="_Hlk135757476"/>
      <w:r w:rsidRPr="00756877">
        <w:rPr>
          <w:rFonts w:ascii="Arial" w:eastAsia="Calibri" w:hAnsi="Arial" w:cs="Arial"/>
          <w:b/>
          <w:bCs/>
          <w:sz w:val="20"/>
          <w:szCs w:val="20"/>
          <w:lang w:eastAsia="es-ES_tradnl"/>
        </w:rPr>
        <w:t xml:space="preserve">COLOMBIA COMPRA EFICIENTE </w:t>
      </w:r>
      <w:r w:rsidRPr="00756877">
        <w:rPr>
          <w:rFonts w:ascii="Arial" w:eastAsia="Calibri" w:hAnsi="Arial" w:cs="Arial"/>
          <w:b/>
          <w:sz w:val="20"/>
          <w:szCs w:val="20"/>
          <w:lang w:eastAsia="es-ES_tradnl"/>
        </w:rPr>
        <w:t>–</w:t>
      </w:r>
      <w:r w:rsidRPr="00756877">
        <w:rPr>
          <w:rFonts w:ascii="Arial" w:eastAsia="Calibri" w:hAnsi="Arial" w:cs="Arial"/>
          <w:b/>
          <w:bCs/>
          <w:sz w:val="20"/>
          <w:szCs w:val="20"/>
          <w:lang w:eastAsia="es-ES_tradnl"/>
        </w:rPr>
        <w:t xml:space="preserve"> Competencia Consultiva – Contratación Estatal – Normas Generales</w:t>
      </w:r>
    </w:p>
    <w:p w14:paraId="6605931C" w14:textId="77777777" w:rsidR="00756877" w:rsidRPr="00756877" w:rsidRDefault="00756877" w:rsidP="00756877">
      <w:pPr>
        <w:jc w:val="both"/>
        <w:rPr>
          <w:rFonts w:ascii="Arial" w:hAnsi="Arial" w:cs="Arial"/>
          <w:bCs/>
          <w:sz w:val="20"/>
          <w:szCs w:val="20"/>
          <w:lang w:eastAsia="es-ES_tradnl"/>
        </w:rPr>
      </w:pPr>
    </w:p>
    <w:p w14:paraId="7EE988E3" w14:textId="6F635BFE" w:rsidR="00756877" w:rsidRPr="00756877" w:rsidRDefault="00756877" w:rsidP="00756877">
      <w:pPr>
        <w:spacing w:after="120"/>
        <w:jc w:val="both"/>
        <w:rPr>
          <w:rFonts w:ascii="Arial" w:hAnsi="Arial" w:cs="Arial"/>
          <w:bCs/>
          <w:sz w:val="20"/>
          <w:szCs w:val="20"/>
          <w:lang w:eastAsia="es-ES_tradnl"/>
        </w:rPr>
      </w:pPr>
      <w:r>
        <w:rPr>
          <w:rFonts w:ascii="Arial" w:hAnsi="Arial" w:cs="Arial"/>
          <w:bCs/>
          <w:sz w:val="20"/>
          <w:szCs w:val="20"/>
          <w:lang w:eastAsia="es-ES_tradnl"/>
        </w:rPr>
        <w:t xml:space="preserve">Debe tenerse </w:t>
      </w:r>
      <w:r w:rsidRPr="00756877">
        <w:rPr>
          <w:rFonts w:ascii="Arial" w:hAnsi="Arial" w:cs="Arial"/>
          <w:bCs/>
          <w:sz w:val="20"/>
          <w:szCs w:val="20"/>
          <w:lang w:eastAsia="es-ES_tradnl"/>
        </w:rPr>
        <w:t>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ni para asesorar procesos de contratación.</w:t>
      </w:r>
    </w:p>
    <w:p w14:paraId="603565FF" w14:textId="4CE9E6F7" w:rsidR="00756877" w:rsidRDefault="00756877" w:rsidP="00756877">
      <w:pPr>
        <w:jc w:val="both"/>
        <w:rPr>
          <w:rFonts w:ascii="Arial" w:hAnsi="Arial" w:cs="Arial"/>
          <w:bCs/>
          <w:sz w:val="20"/>
          <w:szCs w:val="20"/>
          <w:lang w:eastAsia="es-ES_tradnl"/>
        </w:rPr>
      </w:pPr>
      <w:r w:rsidRPr="00756877">
        <w:rPr>
          <w:rFonts w:ascii="Arial" w:hAnsi="Arial" w:cs="Arial"/>
          <w:bCs/>
          <w:sz w:val="20"/>
          <w:szCs w:val="20"/>
          <w:lang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w:t>
      </w:r>
      <w:r>
        <w:rPr>
          <w:rFonts w:ascii="Arial" w:hAnsi="Arial" w:cs="Arial"/>
          <w:bCs/>
          <w:sz w:val="20"/>
          <w:szCs w:val="20"/>
          <w:lang w:eastAsia="es-ES_tradnl"/>
        </w:rPr>
        <w:t>, según corresponda.</w:t>
      </w:r>
    </w:p>
    <w:p w14:paraId="44A184F6" w14:textId="77777777" w:rsidR="00CE3C9B" w:rsidRPr="00756877" w:rsidRDefault="00CE3C9B" w:rsidP="00CE3C9B">
      <w:pPr>
        <w:jc w:val="both"/>
        <w:rPr>
          <w:rFonts w:ascii="Arial" w:eastAsia="Calibri" w:hAnsi="Arial" w:cs="Arial"/>
          <w:b/>
          <w:bCs/>
          <w:sz w:val="20"/>
          <w:szCs w:val="20"/>
          <w:lang w:val="es-ES_tradnl" w:eastAsia="es-ES_tradnl"/>
        </w:rPr>
      </w:pPr>
    </w:p>
    <w:p w14:paraId="0376BBEB" w14:textId="3E21F64C" w:rsidR="00CE3C9B" w:rsidRPr="00B719D1" w:rsidRDefault="00B719D1" w:rsidP="00CE3C9B">
      <w:pPr>
        <w:jc w:val="both"/>
        <w:rPr>
          <w:rFonts w:ascii="Arial" w:eastAsia="Calibri" w:hAnsi="Arial" w:cs="Arial"/>
          <w:b/>
          <w:bCs/>
          <w:sz w:val="20"/>
          <w:szCs w:val="20"/>
          <w:lang w:val="es-ES_tradnl" w:eastAsia="es-ES_tradnl"/>
        </w:rPr>
      </w:pPr>
      <w:bookmarkStart w:id="2" w:name="_Hlk133229831"/>
      <w:bookmarkStart w:id="3" w:name="_Hlk133404182"/>
      <w:r w:rsidRPr="00B719D1">
        <w:rPr>
          <w:rFonts w:ascii="Arial" w:eastAsia="Calibri" w:hAnsi="Arial" w:cs="Arial"/>
          <w:b/>
          <w:bCs/>
          <w:sz w:val="20"/>
          <w:szCs w:val="20"/>
          <w:lang w:val="es-ES_tradnl" w:eastAsia="es-ES_tradnl"/>
        </w:rPr>
        <w:t>NOCIÓN Y CARACTERÍSTICAS DE LOS CONVENIOS Y CONTRATOS INTERADMINISTRATIVOS</w:t>
      </w:r>
      <w:r w:rsidR="00CE3C9B" w:rsidRPr="00B719D1">
        <w:rPr>
          <w:rFonts w:ascii="Arial" w:eastAsia="Calibri" w:hAnsi="Arial" w:cs="Arial"/>
          <w:b/>
          <w:bCs/>
          <w:sz w:val="20"/>
          <w:szCs w:val="20"/>
          <w:lang w:val="es-ES_tradnl" w:eastAsia="es-ES_tradnl"/>
        </w:rPr>
        <w:t xml:space="preserve"> </w:t>
      </w:r>
      <w:bookmarkStart w:id="4" w:name="_Hlk133229594"/>
      <w:r w:rsidR="00CE3C9B" w:rsidRPr="00B719D1">
        <w:rPr>
          <w:rFonts w:ascii="Arial" w:eastAsia="Calibri" w:hAnsi="Arial" w:cs="Arial"/>
          <w:b/>
          <w:bCs/>
          <w:sz w:val="20"/>
          <w:szCs w:val="20"/>
          <w:lang w:val="es-ES_tradnl" w:eastAsia="es-ES_tradnl"/>
        </w:rPr>
        <w:t>–</w:t>
      </w:r>
      <w:bookmarkEnd w:id="4"/>
      <w:r w:rsidR="00CE3C9B" w:rsidRPr="00B719D1">
        <w:rPr>
          <w:rFonts w:ascii="Arial" w:eastAsia="Calibri" w:hAnsi="Arial" w:cs="Arial"/>
          <w:b/>
          <w:bCs/>
          <w:sz w:val="20"/>
          <w:szCs w:val="20"/>
          <w:lang w:val="es-ES_tradnl" w:eastAsia="es-ES_tradnl"/>
        </w:rPr>
        <w:t xml:space="preserve"> </w:t>
      </w:r>
      <w:r w:rsidRPr="00B719D1">
        <w:rPr>
          <w:rFonts w:ascii="Arial" w:eastAsia="Calibri" w:hAnsi="Arial" w:cs="Arial"/>
          <w:b/>
          <w:bCs/>
          <w:sz w:val="20"/>
          <w:szCs w:val="20"/>
          <w:lang w:val="es-ES_tradnl" w:eastAsia="es-ES_tradnl"/>
        </w:rPr>
        <w:t>Elementos esenciales y diferenciadores</w:t>
      </w:r>
    </w:p>
    <w:bookmarkEnd w:id="2"/>
    <w:p w14:paraId="77995928" w14:textId="77777777" w:rsidR="00B719D1" w:rsidRPr="00B719D1" w:rsidRDefault="00B719D1" w:rsidP="00756877">
      <w:pPr>
        <w:jc w:val="both"/>
        <w:rPr>
          <w:rFonts w:ascii="Arial" w:hAnsi="Arial" w:cs="Arial"/>
          <w:bCs/>
          <w:sz w:val="20"/>
          <w:szCs w:val="20"/>
          <w:lang w:val="es-ES_tradnl" w:eastAsia="es-ES_tradnl"/>
        </w:rPr>
      </w:pPr>
    </w:p>
    <w:p w14:paraId="4FBDB165" w14:textId="77777777" w:rsidR="00B719D1" w:rsidRPr="00B719D1" w:rsidRDefault="007B5997" w:rsidP="00B719D1">
      <w:pPr>
        <w:jc w:val="both"/>
        <w:rPr>
          <w:rFonts w:ascii="Arial" w:eastAsia="Calibri" w:hAnsi="Arial" w:cs="Arial"/>
          <w:bCs/>
          <w:sz w:val="20"/>
          <w:szCs w:val="20"/>
          <w:lang w:eastAsia="es-ES_tradnl"/>
        </w:rPr>
      </w:pPr>
      <w:r w:rsidRPr="00B719D1">
        <w:rPr>
          <w:rFonts w:ascii="Arial" w:eastAsia="Calibri" w:hAnsi="Arial" w:cs="Arial"/>
          <w:bCs/>
          <w:sz w:val="20"/>
          <w:szCs w:val="20"/>
          <w:lang w:eastAsia="es-ES_tradnl"/>
        </w:rPr>
        <w:t>“(…)</w:t>
      </w:r>
      <w:r w:rsidR="00B719D1" w:rsidRPr="00B719D1">
        <w:rPr>
          <w:rFonts w:ascii="Arial" w:eastAsia="Calibri" w:hAnsi="Arial" w:cs="Arial"/>
          <w:bCs/>
          <w:sz w:val="20"/>
          <w:szCs w:val="20"/>
          <w:lang w:eastAsia="es-ES_tradnl"/>
        </w:rPr>
        <w:t xml:space="preserve"> </w:t>
      </w:r>
      <w:r w:rsidR="00B719D1" w:rsidRPr="00B719D1">
        <w:rPr>
          <w:rFonts w:ascii="Arial" w:hAnsi="Arial" w:cs="Arial"/>
          <w:sz w:val="20"/>
          <w:szCs w:val="20"/>
          <w:lang w:val="es-ES" w:eastAsia="es-ES_tradnl"/>
        </w:rPr>
        <w:t xml:space="preserve">de conformidad con lo previsto en el artículo 95 de la Ley 489 de 1998 y el alcance que la jurisprudencia y conceptos del Consejo de Estado -en su calidad de máximo tribunal de la jurisdicción de lo contencioso administrativo- y la doctrina le han conferido al tema de la regulación de los contratos y convenios interadministrativos, esta última tipología presenta las siguientes características: </w:t>
      </w:r>
      <w:r w:rsidR="00B719D1" w:rsidRPr="00B719D1">
        <w:rPr>
          <w:rFonts w:ascii="Arial" w:hAnsi="Arial" w:cs="Arial"/>
          <w:i/>
          <w:iCs/>
          <w:sz w:val="20"/>
          <w:szCs w:val="20"/>
          <w:lang w:val="es-ES" w:eastAsia="es-ES_tradnl"/>
        </w:rPr>
        <w:t>(i)</w:t>
      </w:r>
      <w:r w:rsidR="00B719D1" w:rsidRPr="00B719D1">
        <w:rPr>
          <w:rFonts w:ascii="Arial" w:hAnsi="Arial" w:cs="Arial"/>
          <w:sz w:val="20"/>
          <w:szCs w:val="20"/>
          <w:lang w:val="es-ES" w:eastAsia="es-ES_tradnl"/>
        </w:rPr>
        <w:t xml:space="preserve"> se celebra entre dos entidades públicas que se encuentran en pie de igualdad con el objeto de cumplir competencias de ambas entidades dirigidas a un propósito común; </w:t>
      </w:r>
      <w:r w:rsidR="00B719D1" w:rsidRPr="00B719D1">
        <w:rPr>
          <w:rFonts w:ascii="Arial" w:hAnsi="Arial" w:cs="Arial"/>
          <w:i/>
          <w:iCs/>
          <w:sz w:val="20"/>
          <w:szCs w:val="20"/>
          <w:lang w:val="es-ES" w:eastAsia="es-ES_tradnl"/>
        </w:rPr>
        <w:t>(ii)</w:t>
      </w:r>
      <w:r w:rsidR="00B719D1" w:rsidRPr="00B719D1">
        <w:rPr>
          <w:rFonts w:ascii="Arial" w:hAnsi="Arial" w:cs="Arial"/>
          <w:sz w:val="20"/>
          <w:szCs w:val="20"/>
          <w:lang w:val="es-ES" w:eastAsia="es-ES_tradnl"/>
        </w:rPr>
        <w:t xml:space="preserve"> la modalidad para su celebración es la contratación directa; </w:t>
      </w:r>
      <w:r w:rsidR="00B719D1" w:rsidRPr="00B719D1">
        <w:rPr>
          <w:rFonts w:ascii="Arial" w:hAnsi="Arial" w:cs="Arial"/>
          <w:i/>
          <w:iCs/>
          <w:sz w:val="20"/>
          <w:szCs w:val="20"/>
          <w:lang w:val="es-ES" w:eastAsia="es-ES_tradnl"/>
        </w:rPr>
        <w:t>(iii)</w:t>
      </w:r>
      <w:r w:rsidR="00B719D1" w:rsidRPr="00B719D1">
        <w:rPr>
          <w:rFonts w:ascii="Arial" w:hAnsi="Arial" w:cs="Arial"/>
          <w:sz w:val="20"/>
          <w:szCs w:val="20"/>
          <w:lang w:val="es-ES" w:eastAsia="es-ES_tradnl"/>
        </w:rPr>
        <w:t xml:space="preserve"> los convenios interadministrativos pueden suponer el compromiso de recursos públicos y, por consiguiente, la realización de aportes financieros. Ello, sin embargo, no supone la posibilidad de que en este tipo de relaciones jurídicas exista una remuneración en favor de uno de los co-contratantes y a cargo de otro u otros.</w:t>
      </w:r>
    </w:p>
    <w:p w14:paraId="52733686" w14:textId="77777777" w:rsidR="00B719D1" w:rsidRPr="00B719D1" w:rsidRDefault="00B719D1" w:rsidP="00B719D1">
      <w:pPr>
        <w:jc w:val="both"/>
        <w:rPr>
          <w:rFonts w:ascii="Arial" w:eastAsia="Calibri" w:hAnsi="Arial" w:cs="Arial"/>
          <w:bCs/>
          <w:sz w:val="20"/>
          <w:szCs w:val="20"/>
          <w:lang w:eastAsia="es-ES_tradnl"/>
        </w:rPr>
      </w:pPr>
    </w:p>
    <w:p w14:paraId="5A159015" w14:textId="3B4B4A6E" w:rsidR="00B719D1" w:rsidRPr="00B719D1" w:rsidRDefault="00B719D1" w:rsidP="00B719D1">
      <w:pPr>
        <w:jc w:val="both"/>
        <w:rPr>
          <w:rFonts w:ascii="Arial" w:eastAsia="Calibri" w:hAnsi="Arial" w:cs="Arial"/>
          <w:bCs/>
          <w:sz w:val="20"/>
          <w:szCs w:val="20"/>
          <w:highlight w:val="yellow"/>
          <w:lang w:eastAsia="es-ES_tradnl"/>
        </w:rPr>
      </w:pPr>
      <w:r w:rsidRPr="00B719D1">
        <w:rPr>
          <w:rFonts w:ascii="Arial" w:hAnsi="Arial" w:cs="Arial"/>
          <w:sz w:val="20"/>
          <w:szCs w:val="20"/>
          <w:lang w:val="es-ES" w:eastAsia="es-ES_tradnl"/>
        </w:rPr>
        <w:t>Repárese, entonces, en que los convenios interadministrativos no pueden ser sinalagmáticos, debido a que en ellos no se involucran intereses contrapuestos, sino un interés común. Esto implica que, en los eventos en que su celebración comporte el compromiso y la ejecución de recursos públicos, el valor de estos no puede destinarse al pago o remuneración de ninguna de las partes, sino que debe corresponder necesariamente a la asunción de costos y gastos para cumplir las funciones de la respectiva entidad, así como para atender los compromisos adquiridos para con la otra, pues las entidades cooperan entre sí, no se prestan servicios ni se ofrecen bienes a cambio de una remuneración y, por esa razón, los recursos comprometidos a través de los convenios interadministrativos no constituyen un pago, sino un aporte para lograr el cometido común.</w:t>
      </w:r>
    </w:p>
    <w:bookmarkEnd w:id="3"/>
    <w:p w14:paraId="72C3ADB0" w14:textId="77777777" w:rsidR="00B719D1" w:rsidRDefault="00B719D1" w:rsidP="00CE3C9B">
      <w:pPr>
        <w:jc w:val="both"/>
        <w:rPr>
          <w:rFonts w:ascii="Arial" w:hAnsi="Arial" w:cs="Arial"/>
          <w:sz w:val="22"/>
          <w:szCs w:val="22"/>
          <w:lang w:val="es-ES" w:eastAsia="es-ES_tradnl"/>
        </w:rPr>
      </w:pPr>
    </w:p>
    <w:p w14:paraId="26DE3968" w14:textId="01E97A57" w:rsidR="00CE3C9B" w:rsidRPr="000429AA" w:rsidRDefault="000429AA" w:rsidP="00CE3C9B">
      <w:pPr>
        <w:jc w:val="both"/>
        <w:rPr>
          <w:rFonts w:ascii="Arial" w:eastAsia="Calibri" w:hAnsi="Arial" w:cs="Arial"/>
          <w:b/>
          <w:bCs/>
          <w:sz w:val="20"/>
          <w:szCs w:val="20"/>
          <w:lang w:val="es-ES_tradnl" w:eastAsia="es-ES_tradnl"/>
        </w:rPr>
      </w:pPr>
      <w:r w:rsidRPr="000429AA">
        <w:rPr>
          <w:rFonts w:ascii="Arial" w:eastAsia="Calibri" w:hAnsi="Arial" w:cs="Arial"/>
          <w:b/>
          <w:bCs/>
          <w:sz w:val="20"/>
          <w:szCs w:val="20"/>
          <w:lang w:val="es-ES" w:eastAsia="es-ES_tradnl"/>
        </w:rPr>
        <w:t>EL LÍMITE DEL VALOR ESTABLECIDO EN EL PARAGRAFO DEL ARTÍCULO 40 DE LA LEY 80 DE 1993 - ALCANCE</w:t>
      </w:r>
    </w:p>
    <w:p w14:paraId="53E8B7F9" w14:textId="77777777" w:rsidR="000429AA" w:rsidRDefault="000429AA" w:rsidP="00044964">
      <w:pPr>
        <w:jc w:val="both"/>
        <w:rPr>
          <w:rFonts w:ascii="Arial" w:eastAsia="Calibri" w:hAnsi="Arial" w:cs="Arial"/>
          <w:bCs/>
          <w:color w:val="000000"/>
          <w:sz w:val="22"/>
          <w:szCs w:val="22"/>
          <w:lang w:eastAsia="es-ES_tradnl"/>
        </w:rPr>
      </w:pPr>
    </w:p>
    <w:p w14:paraId="4E801EBD" w14:textId="456DDC32" w:rsidR="000429AA" w:rsidRPr="000429AA" w:rsidRDefault="00CD50F1" w:rsidP="000429AA">
      <w:pPr>
        <w:jc w:val="both"/>
        <w:rPr>
          <w:rFonts w:ascii="Arial" w:eastAsia="Calibri" w:hAnsi="Arial" w:cs="Arial"/>
          <w:sz w:val="20"/>
          <w:szCs w:val="20"/>
          <w:lang w:eastAsia="en-US"/>
        </w:rPr>
      </w:pPr>
      <w:r w:rsidRPr="000429AA">
        <w:rPr>
          <w:rFonts w:ascii="Arial" w:eastAsia="Calibri" w:hAnsi="Arial" w:cs="Arial"/>
          <w:sz w:val="20"/>
          <w:szCs w:val="20"/>
          <w:lang w:eastAsia="en-US"/>
        </w:rPr>
        <w:t>“(…)</w:t>
      </w:r>
      <w:r w:rsidR="000429AA" w:rsidRPr="000429AA">
        <w:rPr>
          <w:rFonts w:ascii="Arial" w:eastAsia="Calibri" w:hAnsi="Arial" w:cs="Arial"/>
          <w:sz w:val="20"/>
          <w:szCs w:val="20"/>
          <w:lang w:eastAsia="en-US"/>
        </w:rPr>
        <w:t xml:space="preserve"> </w:t>
      </w:r>
      <w:r w:rsidR="000429AA" w:rsidRPr="000429AA">
        <w:rPr>
          <w:rFonts w:ascii="Arial" w:eastAsia="Calibri" w:hAnsi="Arial" w:cs="Arial"/>
          <w:iCs/>
          <w:sz w:val="20"/>
          <w:szCs w:val="20"/>
          <w:lang w:eastAsia="en-US"/>
        </w:rPr>
        <w:t>En consecuencia, tanto las entidades sometidas al Estatuto General de Contratación de la Administración Pública -EGCAP-, como las excluidas de este -por tener un régimen especial-, gozan de autonomía para configurar el precio y para establecer el sistema de pago más apropiado para satisfacer los fines de la contratación, respetando los límites previstos en el ordenamiento. Bajo tal perspectiva, cuentan con discrecionalidad para establecer en el pliego de condiciones o en su documento equivalente, así como en el contrato, el sistema de precios que más se ajuste el objeto a contratar.</w:t>
      </w:r>
    </w:p>
    <w:p w14:paraId="30438B35" w14:textId="77777777" w:rsidR="000429AA" w:rsidRPr="000429AA" w:rsidRDefault="000429AA" w:rsidP="000429AA">
      <w:pPr>
        <w:jc w:val="both"/>
        <w:rPr>
          <w:rFonts w:ascii="Arial" w:eastAsia="Calibri" w:hAnsi="Arial" w:cs="Arial"/>
          <w:sz w:val="20"/>
          <w:szCs w:val="20"/>
          <w:lang w:eastAsia="en-US"/>
        </w:rPr>
      </w:pPr>
    </w:p>
    <w:p w14:paraId="1F762E40" w14:textId="77777777" w:rsidR="000429AA" w:rsidRPr="000429AA" w:rsidRDefault="000429AA" w:rsidP="000429AA">
      <w:pPr>
        <w:jc w:val="both"/>
        <w:rPr>
          <w:rFonts w:ascii="Arial" w:eastAsia="Calibri" w:hAnsi="Arial" w:cs="Arial"/>
          <w:sz w:val="20"/>
          <w:szCs w:val="20"/>
          <w:lang w:eastAsia="en-US"/>
        </w:rPr>
      </w:pPr>
      <w:r w:rsidRPr="000429AA">
        <w:rPr>
          <w:rFonts w:ascii="Arial" w:eastAsia="Calibri" w:hAnsi="Arial" w:cs="Arial"/>
          <w:iCs/>
          <w:sz w:val="20"/>
          <w:szCs w:val="20"/>
          <w:lang w:eastAsia="en-US"/>
        </w:rPr>
        <w:lastRenderedPageBreak/>
        <w:t xml:space="preserve">Con todo, el parágrafo del artículo 40 de la Ley 80 de 1993 dispone expresamente que </w:t>
      </w:r>
      <w:r w:rsidRPr="000429AA">
        <w:rPr>
          <w:rFonts w:ascii="Arial" w:eastAsia="Calibri" w:hAnsi="Arial" w:cs="Arial"/>
          <w:i/>
          <w:sz w:val="20"/>
          <w:szCs w:val="20"/>
          <w:lang w:eastAsia="en-US"/>
        </w:rPr>
        <w:t>“[e]n los contratos que celebren las entidades estatales se podrá pactar el pago anticipado y la entrega de anticipos, pero su monto no podrá exceder del cincuenta por ciento (50%) del valor del respectivo contrato (…)”</w:t>
      </w:r>
      <w:r w:rsidRPr="000429AA">
        <w:rPr>
          <w:rFonts w:ascii="Arial" w:eastAsia="Calibri" w:hAnsi="Arial" w:cs="Arial"/>
          <w:iCs/>
          <w:sz w:val="20"/>
          <w:szCs w:val="20"/>
          <w:lang w:eastAsia="en-US"/>
        </w:rPr>
        <w:t xml:space="preserve">. </w:t>
      </w:r>
      <w:r w:rsidRPr="000429AA">
        <w:rPr>
          <w:rFonts w:ascii="Arial" w:eastAsia="Calibri" w:hAnsi="Arial" w:cs="Arial"/>
          <w:color w:val="000000"/>
          <w:sz w:val="20"/>
          <w:szCs w:val="20"/>
          <w:lang w:eastAsia="es-ES_tradnl"/>
        </w:rPr>
        <w:t>En ese sentido, una de las disposiciones que deben considerarse en la celebración de convenios interadministrativos es este aparte normativo, comoquiera que esta modalidad contractual no se encuentra exceptuada de su aplicación.</w:t>
      </w:r>
    </w:p>
    <w:p w14:paraId="06A1B562" w14:textId="77777777" w:rsidR="000429AA" w:rsidRPr="000429AA" w:rsidRDefault="000429AA" w:rsidP="000429AA">
      <w:pPr>
        <w:jc w:val="both"/>
        <w:rPr>
          <w:rFonts w:ascii="Arial" w:eastAsia="Calibri" w:hAnsi="Arial" w:cs="Arial"/>
          <w:sz w:val="20"/>
          <w:szCs w:val="20"/>
          <w:lang w:eastAsia="en-US"/>
        </w:rPr>
      </w:pPr>
    </w:p>
    <w:p w14:paraId="075AFCE2" w14:textId="6EB8F832" w:rsidR="000429AA" w:rsidRPr="000429AA" w:rsidRDefault="000429AA" w:rsidP="000429AA">
      <w:pPr>
        <w:jc w:val="both"/>
        <w:rPr>
          <w:rFonts w:ascii="Arial" w:eastAsia="Calibri" w:hAnsi="Arial" w:cs="Arial"/>
          <w:sz w:val="20"/>
          <w:szCs w:val="20"/>
          <w:lang w:eastAsia="en-US"/>
        </w:rPr>
      </w:pPr>
      <w:r w:rsidRPr="000429AA">
        <w:rPr>
          <w:rFonts w:ascii="Arial" w:eastAsia="Calibri" w:hAnsi="Arial" w:cs="Arial"/>
          <w:iCs/>
          <w:sz w:val="20"/>
          <w:szCs w:val="20"/>
          <w:lang w:eastAsia="en-US"/>
        </w:rPr>
        <w:t>En consecuencia, las entidades sometidas al Estatuto General de Contratación de la Administración Pública -EGCAP-, aunque gozan de autonomía y, hasta cierto punto, de discrecionalidad para configurar el precio y para establecer el sistema de pago más apropiado para satisfacer los fines de la contratación, respetando los límites previstos en el ordenamiento, al suscribir la referida tipología contractual, habrán de observar como límite el valor porcentual máximo objeto de desembolso previsto en el inciso primero del parágrafo del artículo 40 de la Ley 80 de 1993, el cual no está restringido a un contrato estatal específico o a una concreta modalidad de selección del contratista (…)”.</w:t>
      </w:r>
    </w:p>
    <w:p w14:paraId="63F9438E" w14:textId="77777777" w:rsidR="00CE3C9B" w:rsidRPr="00FE46F4" w:rsidRDefault="00CE3C9B" w:rsidP="00876E88">
      <w:pPr>
        <w:spacing w:line="276" w:lineRule="auto"/>
        <w:contextualSpacing/>
        <w:rPr>
          <w:rFonts w:ascii="Arial" w:eastAsia="Calibri" w:hAnsi="Arial" w:cs="Arial"/>
          <w:sz w:val="20"/>
          <w:szCs w:val="20"/>
          <w:highlight w:val="yellow"/>
        </w:rPr>
      </w:pPr>
    </w:p>
    <w:p w14:paraId="7E4F7C3B" w14:textId="77777777" w:rsidR="00044964" w:rsidRDefault="00044964" w:rsidP="00044964">
      <w:pPr>
        <w:jc w:val="both"/>
        <w:rPr>
          <w:rFonts w:ascii="Arial" w:hAnsi="Arial" w:cs="Arial"/>
          <w:sz w:val="20"/>
          <w:szCs w:val="20"/>
          <w:lang w:eastAsia="es-ES_tradnl"/>
        </w:rPr>
      </w:pPr>
    </w:p>
    <w:p w14:paraId="3723EE67" w14:textId="77777777" w:rsidR="00CE3C9B" w:rsidRPr="00044964" w:rsidRDefault="00CE3C9B" w:rsidP="00876E88">
      <w:pPr>
        <w:spacing w:line="276" w:lineRule="auto"/>
        <w:contextualSpacing/>
        <w:rPr>
          <w:rFonts w:ascii="Arial" w:eastAsia="Calibri" w:hAnsi="Arial" w:cs="Arial"/>
          <w:sz w:val="20"/>
          <w:szCs w:val="20"/>
        </w:rPr>
      </w:pPr>
    </w:p>
    <w:p w14:paraId="0B8F339C" w14:textId="77777777" w:rsidR="00CE3C9B" w:rsidRDefault="00CE3C9B" w:rsidP="00876E88">
      <w:pPr>
        <w:spacing w:line="276" w:lineRule="auto"/>
        <w:contextualSpacing/>
        <w:rPr>
          <w:rFonts w:ascii="Arial" w:eastAsia="Calibri" w:hAnsi="Arial" w:cs="Arial"/>
          <w:sz w:val="20"/>
          <w:szCs w:val="20"/>
          <w:lang w:val="es-ES"/>
        </w:rPr>
      </w:pPr>
    </w:p>
    <w:p w14:paraId="2A169FAB" w14:textId="77777777" w:rsidR="00CE3C9B" w:rsidRDefault="00CE3C9B" w:rsidP="00876E88">
      <w:pPr>
        <w:spacing w:line="276" w:lineRule="auto"/>
        <w:contextualSpacing/>
        <w:rPr>
          <w:rFonts w:ascii="Arial" w:eastAsia="Calibri" w:hAnsi="Arial" w:cs="Arial"/>
          <w:sz w:val="20"/>
          <w:szCs w:val="20"/>
          <w:lang w:val="es-ES"/>
        </w:rPr>
      </w:pPr>
    </w:p>
    <w:p w14:paraId="0DF6FEAA" w14:textId="77777777" w:rsidR="00CE3C9B" w:rsidRDefault="00CE3C9B" w:rsidP="00876E88">
      <w:pPr>
        <w:spacing w:line="276" w:lineRule="auto"/>
        <w:contextualSpacing/>
        <w:rPr>
          <w:rFonts w:ascii="Arial" w:eastAsia="Calibri" w:hAnsi="Arial" w:cs="Arial"/>
          <w:sz w:val="20"/>
          <w:szCs w:val="20"/>
          <w:lang w:val="es-ES"/>
        </w:rPr>
      </w:pPr>
    </w:p>
    <w:p w14:paraId="750FD6B9" w14:textId="77777777" w:rsidR="00CE3C9B" w:rsidRDefault="00CE3C9B" w:rsidP="00876E88">
      <w:pPr>
        <w:spacing w:line="276" w:lineRule="auto"/>
        <w:contextualSpacing/>
        <w:rPr>
          <w:rFonts w:ascii="Arial" w:eastAsia="Calibri" w:hAnsi="Arial" w:cs="Arial"/>
          <w:sz w:val="20"/>
          <w:szCs w:val="20"/>
          <w:lang w:val="es-ES"/>
        </w:rPr>
      </w:pPr>
    </w:p>
    <w:p w14:paraId="49F5BB71" w14:textId="77777777" w:rsidR="00CE3C9B" w:rsidRDefault="00CE3C9B" w:rsidP="00876E88">
      <w:pPr>
        <w:spacing w:line="276" w:lineRule="auto"/>
        <w:contextualSpacing/>
        <w:rPr>
          <w:rFonts w:ascii="Arial" w:eastAsia="Calibri" w:hAnsi="Arial" w:cs="Arial"/>
          <w:sz w:val="20"/>
          <w:szCs w:val="20"/>
          <w:lang w:val="es-ES"/>
        </w:rPr>
      </w:pPr>
    </w:p>
    <w:p w14:paraId="62AF7780" w14:textId="77777777" w:rsidR="00CE3C9B" w:rsidRDefault="00CE3C9B" w:rsidP="00876E88">
      <w:pPr>
        <w:spacing w:line="276" w:lineRule="auto"/>
        <w:contextualSpacing/>
        <w:rPr>
          <w:rFonts w:ascii="Arial" w:eastAsia="Calibri" w:hAnsi="Arial" w:cs="Arial"/>
          <w:sz w:val="20"/>
          <w:szCs w:val="20"/>
          <w:lang w:val="es-ES"/>
        </w:rPr>
      </w:pPr>
    </w:p>
    <w:p w14:paraId="0680B2CC" w14:textId="77777777" w:rsidR="00CE3C9B" w:rsidRDefault="00CE3C9B" w:rsidP="00876E88">
      <w:pPr>
        <w:spacing w:line="276" w:lineRule="auto"/>
        <w:contextualSpacing/>
        <w:rPr>
          <w:rFonts w:ascii="Arial" w:eastAsia="Calibri" w:hAnsi="Arial" w:cs="Arial"/>
          <w:sz w:val="20"/>
          <w:szCs w:val="20"/>
          <w:lang w:val="es-ES"/>
        </w:rPr>
      </w:pPr>
    </w:p>
    <w:p w14:paraId="54F64EFC" w14:textId="77777777" w:rsidR="00CE3C9B" w:rsidRDefault="00CE3C9B" w:rsidP="00876E88">
      <w:pPr>
        <w:spacing w:line="276" w:lineRule="auto"/>
        <w:contextualSpacing/>
        <w:rPr>
          <w:rFonts w:ascii="Arial" w:eastAsia="Calibri" w:hAnsi="Arial" w:cs="Arial"/>
          <w:sz w:val="20"/>
          <w:szCs w:val="20"/>
          <w:lang w:val="es-ES"/>
        </w:rPr>
      </w:pPr>
    </w:p>
    <w:p w14:paraId="3FD36A88" w14:textId="77777777" w:rsidR="00CE3C9B" w:rsidRDefault="00CE3C9B" w:rsidP="00876E88">
      <w:pPr>
        <w:spacing w:line="276" w:lineRule="auto"/>
        <w:contextualSpacing/>
        <w:rPr>
          <w:rFonts w:ascii="Arial" w:eastAsia="Calibri" w:hAnsi="Arial" w:cs="Arial"/>
          <w:sz w:val="20"/>
          <w:szCs w:val="20"/>
          <w:lang w:val="es-ES"/>
        </w:rPr>
      </w:pPr>
    </w:p>
    <w:p w14:paraId="2CF44E04" w14:textId="77777777" w:rsidR="00CE3C9B" w:rsidRDefault="00CE3C9B" w:rsidP="00876E88">
      <w:pPr>
        <w:spacing w:line="276" w:lineRule="auto"/>
        <w:contextualSpacing/>
        <w:rPr>
          <w:rFonts w:ascii="Arial" w:eastAsia="Calibri" w:hAnsi="Arial" w:cs="Arial"/>
          <w:sz w:val="20"/>
          <w:szCs w:val="20"/>
          <w:lang w:val="es-ES"/>
        </w:rPr>
      </w:pPr>
    </w:p>
    <w:p w14:paraId="499F31FA" w14:textId="77777777" w:rsidR="00CE3C9B" w:rsidRDefault="00CE3C9B" w:rsidP="00876E88">
      <w:pPr>
        <w:spacing w:line="276" w:lineRule="auto"/>
        <w:contextualSpacing/>
        <w:rPr>
          <w:rFonts w:ascii="Arial" w:eastAsia="Calibri" w:hAnsi="Arial" w:cs="Arial"/>
          <w:sz w:val="20"/>
          <w:szCs w:val="20"/>
          <w:lang w:val="es-ES"/>
        </w:rPr>
      </w:pPr>
    </w:p>
    <w:p w14:paraId="5AA2751B" w14:textId="77777777" w:rsidR="00CE3C9B" w:rsidRDefault="00CE3C9B" w:rsidP="00876E88">
      <w:pPr>
        <w:spacing w:line="276" w:lineRule="auto"/>
        <w:contextualSpacing/>
        <w:rPr>
          <w:rFonts w:ascii="Arial" w:eastAsia="Calibri" w:hAnsi="Arial" w:cs="Arial"/>
          <w:sz w:val="20"/>
          <w:szCs w:val="20"/>
          <w:lang w:val="es-ES"/>
        </w:rPr>
      </w:pPr>
    </w:p>
    <w:p w14:paraId="58B12EE8" w14:textId="77777777" w:rsidR="00CE3C9B" w:rsidRDefault="00CE3C9B" w:rsidP="00876E88">
      <w:pPr>
        <w:spacing w:line="276" w:lineRule="auto"/>
        <w:contextualSpacing/>
        <w:rPr>
          <w:rFonts w:ascii="Arial" w:eastAsia="Calibri" w:hAnsi="Arial" w:cs="Arial"/>
          <w:sz w:val="20"/>
          <w:szCs w:val="20"/>
          <w:lang w:val="es-ES"/>
        </w:rPr>
      </w:pPr>
    </w:p>
    <w:p w14:paraId="4FCB479B" w14:textId="77777777" w:rsidR="00CE3C9B" w:rsidRDefault="00CE3C9B" w:rsidP="00876E88">
      <w:pPr>
        <w:spacing w:line="276" w:lineRule="auto"/>
        <w:contextualSpacing/>
        <w:rPr>
          <w:rFonts w:ascii="Arial" w:eastAsia="Calibri" w:hAnsi="Arial" w:cs="Arial"/>
          <w:sz w:val="20"/>
          <w:szCs w:val="20"/>
          <w:lang w:val="es-ES"/>
        </w:rPr>
      </w:pPr>
    </w:p>
    <w:p w14:paraId="08226457" w14:textId="77777777" w:rsidR="00CE3C9B" w:rsidRDefault="00CE3C9B" w:rsidP="00876E88">
      <w:pPr>
        <w:spacing w:line="276" w:lineRule="auto"/>
        <w:contextualSpacing/>
        <w:rPr>
          <w:rFonts w:ascii="Arial" w:eastAsia="Calibri" w:hAnsi="Arial" w:cs="Arial"/>
          <w:sz w:val="20"/>
          <w:szCs w:val="20"/>
          <w:lang w:val="es-ES"/>
        </w:rPr>
      </w:pPr>
    </w:p>
    <w:p w14:paraId="43BF5AC9" w14:textId="77777777" w:rsidR="00CD50F1" w:rsidRDefault="00CD50F1" w:rsidP="00876E88">
      <w:pPr>
        <w:spacing w:line="276" w:lineRule="auto"/>
        <w:contextualSpacing/>
        <w:rPr>
          <w:rFonts w:ascii="Arial" w:eastAsia="Calibri" w:hAnsi="Arial" w:cs="Arial"/>
          <w:sz w:val="20"/>
          <w:szCs w:val="20"/>
          <w:lang w:val="es-ES"/>
        </w:rPr>
      </w:pPr>
    </w:p>
    <w:p w14:paraId="7868FEA8" w14:textId="77777777" w:rsidR="00CD50F1" w:rsidRDefault="00CD50F1" w:rsidP="00876E88">
      <w:pPr>
        <w:spacing w:line="276" w:lineRule="auto"/>
        <w:contextualSpacing/>
        <w:rPr>
          <w:rFonts w:ascii="Arial" w:eastAsia="Calibri" w:hAnsi="Arial" w:cs="Arial"/>
          <w:sz w:val="20"/>
          <w:szCs w:val="20"/>
          <w:lang w:val="es-ES"/>
        </w:rPr>
      </w:pPr>
    </w:p>
    <w:p w14:paraId="3401C640" w14:textId="77777777" w:rsidR="00CD50F1" w:rsidRDefault="00CD50F1" w:rsidP="00876E88">
      <w:pPr>
        <w:spacing w:line="276" w:lineRule="auto"/>
        <w:contextualSpacing/>
        <w:rPr>
          <w:rFonts w:ascii="Arial" w:eastAsia="Calibri" w:hAnsi="Arial" w:cs="Arial"/>
          <w:sz w:val="20"/>
          <w:szCs w:val="20"/>
          <w:lang w:val="es-ES"/>
        </w:rPr>
      </w:pPr>
    </w:p>
    <w:p w14:paraId="2C0DFC77" w14:textId="77777777" w:rsidR="000429AA" w:rsidRDefault="000429AA" w:rsidP="00876E88">
      <w:pPr>
        <w:spacing w:line="276" w:lineRule="auto"/>
        <w:contextualSpacing/>
        <w:rPr>
          <w:rFonts w:ascii="Arial" w:eastAsia="Calibri" w:hAnsi="Arial" w:cs="Arial"/>
          <w:sz w:val="20"/>
          <w:szCs w:val="20"/>
          <w:lang w:val="es-ES"/>
        </w:rPr>
      </w:pPr>
    </w:p>
    <w:p w14:paraId="71BFED00" w14:textId="77777777" w:rsidR="000429AA" w:rsidRDefault="000429AA" w:rsidP="00876E88">
      <w:pPr>
        <w:spacing w:line="276" w:lineRule="auto"/>
        <w:contextualSpacing/>
        <w:rPr>
          <w:rFonts w:ascii="Arial" w:eastAsia="Calibri" w:hAnsi="Arial" w:cs="Arial"/>
          <w:sz w:val="20"/>
          <w:szCs w:val="20"/>
          <w:lang w:val="es-ES"/>
        </w:rPr>
      </w:pPr>
    </w:p>
    <w:p w14:paraId="30807CC3" w14:textId="77777777" w:rsidR="000429AA" w:rsidRDefault="000429AA" w:rsidP="00876E88">
      <w:pPr>
        <w:spacing w:line="276" w:lineRule="auto"/>
        <w:contextualSpacing/>
        <w:rPr>
          <w:rFonts w:ascii="Arial" w:eastAsia="Calibri" w:hAnsi="Arial" w:cs="Arial"/>
          <w:sz w:val="20"/>
          <w:szCs w:val="20"/>
          <w:lang w:val="es-ES"/>
        </w:rPr>
      </w:pPr>
    </w:p>
    <w:p w14:paraId="2924B1F1" w14:textId="77777777" w:rsidR="000429AA" w:rsidRDefault="000429AA" w:rsidP="00876E88">
      <w:pPr>
        <w:spacing w:line="276" w:lineRule="auto"/>
        <w:contextualSpacing/>
        <w:rPr>
          <w:rFonts w:ascii="Arial" w:eastAsia="Calibri" w:hAnsi="Arial" w:cs="Arial"/>
          <w:sz w:val="20"/>
          <w:szCs w:val="20"/>
          <w:lang w:val="es-ES"/>
        </w:rPr>
      </w:pPr>
    </w:p>
    <w:p w14:paraId="30C427C4" w14:textId="77777777" w:rsidR="000429AA" w:rsidRDefault="000429AA" w:rsidP="00876E88">
      <w:pPr>
        <w:spacing w:line="276" w:lineRule="auto"/>
        <w:contextualSpacing/>
        <w:rPr>
          <w:rFonts w:ascii="Arial" w:eastAsia="Calibri" w:hAnsi="Arial" w:cs="Arial"/>
          <w:sz w:val="20"/>
          <w:szCs w:val="20"/>
          <w:lang w:val="es-ES"/>
        </w:rPr>
      </w:pPr>
    </w:p>
    <w:p w14:paraId="6DF9F616" w14:textId="77777777" w:rsidR="000429AA" w:rsidRDefault="000429AA" w:rsidP="00876E88">
      <w:pPr>
        <w:spacing w:line="276" w:lineRule="auto"/>
        <w:contextualSpacing/>
        <w:rPr>
          <w:rFonts w:ascii="Arial" w:eastAsia="Calibri" w:hAnsi="Arial" w:cs="Arial"/>
          <w:sz w:val="20"/>
          <w:szCs w:val="20"/>
          <w:lang w:val="es-ES"/>
        </w:rPr>
      </w:pPr>
    </w:p>
    <w:p w14:paraId="44B5C520" w14:textId="77777777" w:rsidR="000429AA" w:rsidRDefault="000429AA" w:rsidP="00876E88">
      <w:pPr>
        <w:spacing w:line="276" w:lineRule="auto"/>
        <w:contextualSpacing/>
        <w:rPr>
          <w:rFonts w:ascii="Arial" w:eastAsia="Calibri" w:hAnsi="Arial" w:cs="Arial"/>
          <w:sz w:val="20"/>
          <w:szCs w:val="20"/>
          <w:lang w:val="es-ES"/>
        </w:rPr>
      </w:pPr>
    </w:p>
    <w:p w14:paraId="2D81F82C" w14:textId="77777777" w:rsidR="000429AA" w:rsidRDefault="000429AA" w:rsidP="00876E88">
      <w:pPr>
        <w:spacing w:line="276" w:lineRule="auto"/>
        <w:contextualSpacing/>
        <w:rPr>
          <w:rFonts w:ascii="Arial" w:eastAsia="Calibri" w:hAnsi="Arial" w:cs="Arial"/>
          <w:sz w:val="20"/>
          <w:szCs w:val="20"/>
          <w:lang w:val="es-ES"/>
        </w:rPr>
      </w:pPr>
    </w:p>
    <w:p w14:paraId="0B1D95B7" w14:textId="77777777" w:rsidR="000429AA" w:rsidRDefault="000429AA" w:rsidP="00876E88">
      <w:pPr>
        <w:spacing w:line="276" w:lineRule="auto"/>
        <w:contextualSpacing/>
        <w:rPr>
          <w:rFonts w:ascii="Arial" w:eastAsia="Calibri" w:hAnsi="Arial" w:cs="Arial"/>
          <w:sz w:val="20"/>
          <w:szCs w:val="20"/>
          <w:lang w:val="es-ES"/>
        </w:rPr>
      </w:pPr>
    </w:p>
    <w:p w14:paraId="2B65B3FC" w14:textId="77777777" w:rsidR="000429AA" w:rsidRDefault="000429AA" w:rsidP="00876E88">
      <w:pPr>
        <w:spacing w:line="276" w:lineRule="auto"/>
        <w:contextualSpacing/>
        <w:rPr>
          <w:rFonts w:ascii="Arial" w:eastAsia="Calibri" w:hAnsi="Arial" w:cs="Arial"/>
          <w:sz w:val="20"/>
          <w:szCs w:val="20"/>
          <w:lang w:val="es-ES"/>
        </w:rPr>
      </w:pPr>
    </w:p>
    <w:p w14:paraId="33A808D4" w14:textId="77777777" w:rsidR="000429AA" w:rsidRDefault="000429AA" w:rsidP="00876E88">
      <w:pPr>
        <w:spacing w:line="276" w:lineRule="auto"/>
        <w:contextualSpacing/>
        <w:rPr>
          <w:rFonts w:ascii="Arial" w:eastAsia="Calibri" w:hAnsi="Arial" w:cs="Arial"/>
          <w:sz w:val="20"/>
          <w:szCs w:val="20"/>
          <w:lang w:val="es-ES"/>
        </w:rPr>
      </w:pPr>
    </w:p>
    <w:p w14:paraId="23791F16" w14:textId="77777777" w:rsidR="00CD50F1" w:rsidRDefault="00CD50F1" w:rsidP="00876E88">
      <w:pPr>
        <w:spacing w:line="276" w:lineRule="auto"/>
        <w:contextualSpacing/>
        <w:rPr>
          <w:rFonts w:ascii="Arial" w:eastAsia="Calibri" w:hAnsi="Arial" w:cs="Arial"/>
          <w:sz w:val="20"/>
          <w:szCs w:val="20"/>
          <w:lang w:val="es-ES"/>
        </w:rPr>
      </w:pPr>
    </w:p>
    <w:p w14:paraId="4C43A253" w14:textId="77777777" w:rsidR="000E6850" w:rsidRDefault="000E6850" w:rsidP="000E6850">
      <w:pPr>
        <w:pStyle w:val="Textoindependiente"/>
        <w:spacing w:before="93"/>
      </w:pPr>
      <w:r>
        <w:rPr>
          <w:noProof/>
        </w:rPr>
        <w:drawing>
          <wp:anchor distT="0" distB="0" distL="0" distR="0" simplePos="0" relativeHeight="251659264" behindDoc="0" locked="0" layoutInCell="1" allowOverlap="1" wp14:anchorId="546F02AA" wp14:editId="41C61F94">
            <wp:simplePos x="0" y="0"/>
            <wp:positionH relativeFrom="page">
              <wp:posOffset>4291965</wp:posOffset>
            </wp:positionH>
            <wp:positionV relativeFrom="paragraph">
              <wp:posOffset>63625</wp:posOffset>
            </wp:positionV>
            <wp:extent cx="2400300" cy="615950"/>
            <wp:effectExtent l="0" t="0" r="0" b="0"/>
            <wp:wrapNone/>
            <wp:docPr id="9" name="image5.pn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descr="Texto&#10;&#10;Descripción generada automáticamente"/>
                    <pic:cNvPicPr/>
                  </pic:nvPicPr>
                  <pic:blipFill>
                    <a:blip r:embed="rId11" cstate="print"/>
                    <a:stretch>
                      <a:fillRect/>
                    </a:stretch>
                  </pic:blipFill>
                  <pic:spPr>
                    <a:xfrm>
                      <a:off x="0" y="0"/>
                      <a:ext cx="2400300" cy="615950"/>
                    </a:xfrm>
                    <a:prstGeom prst="rect">
                      <a:avLst/>
                    </a:prstGeom>
                  </pic:spPr>
                </pic:pic>
              </a:graphicData>
            </a:graphic>
          </wp:anchor>
        </w:drawing>
      </w:r>
      <w:r>
        <w:t>Bogotá</w:t>
      </w:r>
      <w:r>
        <w:rPr>
          <w:spacing w:val="-4"/>
        </w:rPr>
        <w:t xml:space="preserve"> </w:t>
      </w:r>
      <w:r>
        <w:t>D.C.,</w:t>
      </w:r>
      <w:r>
        <w:rPr>
          <w:spacing w:val="-3"/>
        </w:rPr>
        <w:t xml:space="preserve"> </w:t>
      </w:r>
      <w:r>
        <w:t>05</w:t>
      </w:r>
      <w:r>
        <w:rPr>
          <w:spacing w:val="-3"/>
        </w:rPr>
        <w:t xml:space="preserve"> </w:t>
      </w:r>
      <w:r>
        <w:t>de</w:t>
      </w:r>
      <w:r>
        <w:rPr>
          <w:spacing w:val="-3"/>
        </w:rPr>
        <w:t xml:space="preserve"> </w:t>
      </w:r>
      <w:r>
        <w:t>Julio de</w:t>
      </w:r>
      <w:r>
        <w:rPr>
          <w:spacing w:val="-3"/>
        </w:rPr>
        <w:t xml:space="preserve"> </w:t>
      </w:r>
      <w:r>
        <w:t>2023</w:t>
      </w:r>
    </w:p>
    <w:p w14:paraId="59B729E9" w14:textId="77777777" w:rsidR="000E6850" w:rsidRDefault="000E6850" w:rsidP="000E6850">
      <w:pPr>
        <w:pStyle w:val="Textoindependiente"/>
        <w:rPr>
          <w:sz w:val="24"/>
        </w:rPr>
      </w:pPr>
    </w:p>
    <w:p w14:paraId="1828DB88" w14:textId="77777777" w:rsidR="009E0B77" w:rsidRDefault="009E0B77" w:rsidP="009E0B77">
      <w:pPr>
        <w:spacing w:line="276" w:lineRule="auto"/>
        <w:jc w:val="both"/>
        <w:rPr>
          <w:rFonts w:ascii="Arial" w:hAnsi="Arial" w:cs="Arial"/>
          <w:noProof/>
          <w:sz w:val="22"/>
          <w:lang w:val="es-ES_tradnl" w:eastAsia="es-ES_tradnl"/>
        </w:rPr>
      </w:pPr>
    </w:p>
    <w:p w14:paraId="659AD4EE" w14:textId="77777777" w:rsidR="000376A2" w:rsidRPr="009E0B77" w:rsidRDefault="000376A2" w:rsidP="009E0B77">
      <w:pPr>
        <w:spacing w:line="276" w:lineRule="auto"/>
        <w:jc w:val="both"/>
        <w:rPr>
          <w:rFonts w:ascii="Arial" w:hAnsi="Arial" w:cs="Arial"/>
          <w:noProof/>
          <w:sz w:val="22"/>
          <w:lang w:val="es-ES_tradnl" w:eastAsia="es-ES_tradnl"/>
        </w:rPr>
      </w:pPr>
    </w:p>
    <w:p w14:paraId="18A0C747" w14:textId="0C936510" w:rsidR="00D93385" w:rsidRPr="004C5FEF" w:rsidRDefault="00B26F7A" w:rsidP="00876E88">
      <w:pPr>
        <w:spacing w:line="276" w:lineRule="auto"/>
        <w:contextualSpacing/>
        <w:rPr>
          <w:rFonts w:ascii="Arial" w:eastAsia="Calibri" w:hAnsi="Arial" w:cs="Arial"/>
          <w:sz w:val="22"/>
          <w:szCs w:val="22"/>
        </w:rPr>
      </w:pPr>
      <w:r w:rsidRPr="004C5FEF">
        <w:rPr>
          <w:rFonts w:ascii="Arial" w:eastAsia="Calibri" w:hAnsi="Arial" w:cs="Arial"/>
          <w:sz w:val="22"/>
          <w:szCs w:val="22"/>
        </w:rPr>
        <w:t>Señor</w:t>
      </w:r>
      <w:r w:rsidR="004C5FEF" w:rsidRPr="004C5FEF">
        <w:rPr>
          <w:rFonts w:ascii="Arial" w:eastAsia="Calibri" w:hAnsi="Arial" w:cs="Arial"/>
          <w:sz w:val="22"/>
          <w:szCs w:val="22"/>
        </w:rPr>
        <w:t>a</w:t>
      </w:r>
    </w:p>
    <w:p w14:paraId="20C420EC" w14:textId="69828DE9" w:rsidR="00B26F7A" w:rsidRPr="004C5FEF" w:rsidRDefault="004C5FEF" w:rsidP="00876E88">
      <w:pPr>
        <w:spacing w:line="276" w:lineRule="auto"/>
        <w:contextualSpacing/>
        <w:rPr>
          <w:rFonts w:ascii="Arial" w:eastAsia="Calibri" w:hAnsi="Arial" w:cs="Arial"/>
          <w:b/>
          <w:bCs/>
          <w:sz w:val="22"/>
          <w:szCs w:val="22"/>
        </w:rPr>
      </w:pPr>
      <w:r w:rsidRPr="004C5FEF">
        <w:rPr>
          <w:rFonts w:ascii="Arial" w:eastAsia="Calibri" w:hAnsi="Arial" w:cs="Arial"/>
          <w:b/>
          <w:bCs/>
          <w:sz w:val="22"/>
          <w:szCs w:val="22"/>
        </w:rPr>
        <w:t>Katheryn Cortés Reinel</w:t>
      </w:r>
    </w:p>
    <w:p w14:paraId="42DB4665" w14:textId="110C783A" w:rsidR="002B6363" w:rsidRPr="00804158" w:rsidRDefault="004C5FEF" w:rsidP="002B6363">
      <w:pPr>
        <w:spacing w:line="276" w:lineRule="auto"/>
        <w:contextualSpacing/>
        <w:rPr>
          <w:rFonts w:ascii="Arial" w:eastAsia="Calibri" w:hAnsi="Arial" w:cs="Arial"/>
          <w:sz w:val="22"/>
          <w:szCs w:val="22"/>
        </w:rPr>
      </w:pPr>
      <w:r>
        <w:rPr>
          <w:rFonts w:ascii="Arial" w:eastAsia="Calibri" w:hAnsi="Arial" w:cs="Arial"/>
          <w:sz w:val="22"/>
          <w:szCs w:val="22"/>
        </w:rPr>
        <w:t>Bogotá D.C.</w:t>
      </w:r>
    </w:p>
    <w:p w14:paraId="4CA12051" w14:textId="77777777" w:rsidR="004C5FEF" w:rsidRDefault="004C5FEF" w:rsidP="002C5E84">
      <w:pPr>
        <w:contextualSpacing/>
        <w:rPr>
          <w:rFonts w:ascii="Arial" w:eastAsia="Calibri" w:hAnsi="Arial" w:cs="Arial"/>
          <w:sz w:val="22"/>
        </w:rPr>
      </w:pPr>
    </w:p>
    <w:p w14:paraId="1DB4A47E" w14:textId="77777777" w:rsidR="00804158" w:rsidRDefault="00804158" w:rsidP="002C5E84">
      <w:pPr>
        <w:contextualSpacing/>
        <w:rPr>
          <w:rFonts w:ascii="Arial" w:eastAsia="Calibri" w:hAnsi="Arial" w:cs="Arial"/>
          <w:sz w:val="22"/>
        </w:rPr>
      </w:pPr>
    </w:p>
    <w:p w14:paraId="2F4DFAA3" w14:textId="5480F589" w:rsidR="002B6363" w:rsidRPr="002B6363" w:rsidRDefault="002B6363" w:rsidP="002C5E84">
      <w:pPr>
        <w:ind w:right="571"/>
        <w:contextualSpacing/>
        <w:jc w:val="center"/>
        <w:rPr>
          <w:rFonts w:ascii="Arial" w:eastAsia="Calibri" w:hAnsi="Arial" w:cs="Arial"/>
          <w:b/>
          <w:bCs/>
          <w:sz w:val="22"/>
        </w:rPr>
      </w:pPr>
      <w:r w:rsidRPr="002B6363">
        <w:rPr>
          <w:rFonts w:ascii="Arial" w:eastAsia="Calibri" w:hAnsi="Arial" w:cs="Arial"/>
          <w:b/>
          <w:bCs/>
          <w:sz w:val="22"/>
        </w:rPr>
        <w:t>Concepto C-</w:t>
      </w:r>
      <w:r w:rsidR="00755E2A">
        <w:rPr>
          <w:rFonts w:ascii="Arial" w:eastAsia="Calibri" w:hAnsi="Arial" w:cs="Arial"/>
          <w:b/>
          <w:bCs/>
          <w:sz w:val="22"/>
        </w:rPr>
        <w:t>236</w:t>
      </w:r>
      <w:r w:rsidRPr="002B6363">
        <w:rPr>
          <w:rFonts w:ascii="Arial" w:eastAsia="Calibri" w:hAnsi="Arial" w:cs="Arial"/>
          <w:b/>
          <w:bCs/>
          <w:sz w:val="22"/>
        </w:rPr>
        <w:t xml:space="preserve"> de 2023</w:t>
      </w:r>
    </w:p>
    <w:p w14:paraId="47490615" w14:textId="77777777" w:rsidR="009E0B77" w:rsidRPr="009E0B77" w:rsidRDefault="009E0B77" w:rsidP="002C5E84">
      <w:pPr>
        <w:jc w:val="both"/>
        <w:rPr>
          <w:rFonts w:ascii="Arial" w:eastAsia="Calibri" w:hAnsi="Arial" w:cs="Arial"/>
          <w:sz w:val="22"/>
          <w:lang w:val="es-ES_tradnl" w:eastAsia="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9E0B77" w:rsidRPr="009E0B77" w14:paraId="014CF652" w14:textId="77777777" w:rsidTr="00102897">
        <w:trPr>
          <w:jc w:val="right"/>
        </w:trPr>
        <w:tc>
          <w:tcPr>
            <w:tcW w:w="1838" w:type="dxa"/>
          </w:tcPr>
          <w:p w14:paraId="577B36E8" w14:textId="77777777" w:rsidR="009E0B77" w:rsidRPr="009E0B77" w:rsidRDefault="009E0B77" w:rsidP="002C5E84">
            <w:pPr>
              <w:jc w:val="center"/>
              <w:rPr>
                <w:rFonts w:ascii="Arial" w:eastAsia="Calibri" w:hAnsi="Arial" w:cs="Arial"/>
                <w:sz w:val="22"/>
                <w:lang w:val="es-ES_tradnl" w:eastAsia="es-ES_tradnl"/>
              </w:rPr>
            </w:pPr>
            <w:r w:rsidRPr="009E0B77">
              <w:rPr>
                <w:rFonts w:ascii="Arial" w:eastAsia="Calibri" w:hAnsi="Arial" w:cs="Arial"/>
                <w:b/>
                <w:sz w:val="22"/>
                <w:lang w:val="es-ES_tradnl" w:eastAsia="es-ES_tradnl"/>
              </w:rPr>
              <w:t>Temas:</w:t>
            </w:r>
          </w:p>
        </w:tc>
        <w:tc>
          <w:tcPr>
            <w:tcW w:w="6237" w:type="dxa"/>
          </w:tcPr>
          <w:p w14:paraId="4B04A572" w14:textId="31D88692" w:rsidR="00804158" w:rsidRDefault="009E0B77" w:rsidP="002C5E84">
            <w:pPr>
              <w:jc w:val="both"/>
              <w:rPr>
                <w:rFonts w:ascii="Arial" w:eastAsia="Calibri" w:hAnsi="Arial" w:cs="Arial"/>
                <w:sz w:val="22"/>
                <w:lang w:val="es-ES_tradnl" w:eastAsia="es-ES_tradnl"/>
              </w:rPr>
            </w:pPr>
            <w:r w:rsidRPr="009E0B77">
              <w:rPr>
                <w:rFonts w:ascii="Arial" w:eastAsia="Calibri" w:hAnsi="Arial" w:cs="Arial"/>
                <w:sz w:val="22"/>
                <w:lang w:eastAsia="es-ES_tradnl"/>
              </w:rPr>
              <w:t>COLOMBIA COMPRA EFICIENTE – Competencia Consultiva – Contratación Estatal – Normas Generales</w:t>
            </w:r>
            <w:r w:rsidRPr="009E0B77">
              <w:rPr>
                <w:rFonts w:ascii="Arial" w:eastAsia="Calibri" w:hAnsi="Arial" w:cs="Arial"/>
                <w:sz w:val="22"/>
                <w:lang w:val="es-ES_tradnl" w:eastAsia="es-ES_tradnl"/>
              </w:rPr>
              <w:t xml:space="preserve"> / </w:t>
            </w:r>
            <w:r w:rsidR="00804158">
              <w:rPr>
                <w:rFonts w:ascii="Arial" w:eastAsia="Calibri" w:hAnsi="Arial" w:cs="Arial"/>
                <w:sz w:val="22"/>
                <w:lang w:val="es-ES_tradnl" w:eastAsia="es-ES_tradnl"/>
              </w:rPr>
              <w:t xml:space="preserve">CONVENIOS INTERADMINISTRATIVOS </w:t>
            </w:r>
            <w:r w:rsidR="00804158" w:rsidRPr="009E0B77">
              <w:rPr>
                <w:rFonts w:ascii="Arial" w:eastAsia="Calibri" w:hAnsi="Arial" w:cs="Arial"/>
                <w:sz w:val="22"/>
                <w:lang w:eastAsia="es-ES_tradnl"/>
              </w:rPr>
              <w:t>–</w:t>
            </w:r>
            <w:r w:rsidR="00804158">
              <w:rPr>
                <w:rFonts w:ascii="Arial" w:eastAsia="Calibri" w:hAnsi="Arial" w:cs="Arial"/>
                <w:sz w:val="22"/>
                <w:lang w:eastAsia="es-ES_tradnl"/>
              </w:rPr>
              <w:t xml:space="preserve"> </w:t>
            </w:r>
            <w:r w:rsidR="00846E11">
              <w:rPr>
                <w:rFonts w:ascii="Arial" w:eastAsia="Calibri" w:hAnsi="Arial" w:cs="Arial"/>
                <w:sz w:val="22"/>
                <w:lang w:eastAsia="es-ES_tradnl"/>
              </w:rPr>
              <w:t xml:space="preserve">Noción y </w:t>
            </w:r>
            <w:r w:rsidR="00804158">
              <w:rPr>
                <w:rFonts w:ascii="Arial" w:eastAsia="Calibri" w:hAnsi="Arial" w:cs="Arial"/>
                <w:sz w:val="22"/>
                <w:lang w:eastAsia="es-ES_tradnl"/>
              </w:rPr>
              <w:t xml:space="preserve">Características </w:t>
            </w:r>
            <w:r w:rsidR="00804158" w:rsidRPr="009E0B77">
              <w:rPr>
                <w:rFonts w:ascii="Arial" w:eastAsia="Calibri" w:hAnsi="Arial" w:cs="Arial"/>
                <w:sz w:val="22"/>
                <w:lang w:eastAsia="es-ES_tradnl"/>
              </w:rPr>
              <w:t>–</w:t>
            </w:r>
            <w:r w:rsidR="00804158">
              <w:rPr>
                <w:rFonts w:ascii="Arial" w:eastAsia="Calibri" w:hAnsi="Arial" w:cs="Arial"/>
                <w:sz w:val="22"/>
                <w:lang w:eastAsia="es-ES_tradnl"/>
              </w:rPr>
              <w:t xml:space="preserve"> CONVENIOS INTERADMINISTRATIVOS </w:t>
            </w:r>
            <w:r w:rsidR="00804158" w:rsidRPr="009E0B77">
              <w:rPr>
                <w:rFonts w:ascii="Arial" w:eastAsia="Calibri" w:hAnsi="Arial" w:cs="Arial"/>
                <w:sz w:val="22"/>
                <w:lang w:eastAsia="es-ES_tradnl"/>
              </w:rPr>
              <w:t>–</w:t>
            </w:r>
            <w:r w:rsidR="00804158">
              <w:rPr>
                <w:rFonts w:ascii="Arial" w:eastAsia="Calibri" w:hAnsi="Arial" w:cs="Arial"/>
                <w:sz w:val="22"/>
                <w:lang w:eastAsia="es-ES_tradnl"/>
              </w:rPr>
              <w:t xml:space="preserve"> </w:t>
            </w:r>
            <w:r w:rsidR="00197C79">
              <w:rPr>
                <w:rFonts w:ascii="Arial" w:eastAsia="Calibri" w:hAnsi="Arial" w:cs="Arial"/>
                <w:sz w:val="22"/>
                <w:lang w:eastAsia="es-ES_tradnl"/>
              </w:rPr>
              <w:t xml:space="preserve">Límites de valor </w:t>
            </w:r>
            <w:r w:rsidR="00804158" w:rsidRPr="009E0B77">
              <w:rPr>
                <w:rFonts w:ascii="Arial" w:eastAsia="Calibri" w:hAnsi="Arial" w:cs="Arial"/>
                <w:sz w:val="22"/>
                <w:lang w:eastAsia="es-ES_tradnl"/>
              </w:rPr>
              <w:t>–</w:t>
            </w:r>
            <w:r w:rsidR="00197C79">
              <w:rPr>
                <w:rFonts w:ascii="Arial" w:eastAsia="Calibri" w:hAnsi="Arial" w:cs="Arial"/>
                <w:sz w:val="22"/>
                <w:lang w:eastAsia="es-ES_tradnl"/>
              </w:rPr>
              <w:t xml:space="preserve"> Alcance del parágrafo del artículo 40 de la Ley 80 de 1993</w:t>
            </w:r>
          </w:p>
          <w:p w14:paraId="2CF655F9" w14:textId="034295DB" w:rsidR="009E0B77" w:rsidRPr="009E0B77" w:rsidRDefault="009E0B77" w:rsidP="002C5E84">
            <w:pPr>
              <w:jc w:val="both"/>
              <w:rPr>
                <w:rFonts w:ascii="Arial" w:hAnsi="Arial" w:cs="Arial"/>
                <w:sz w:val="22"/>
                <w:lang w:val="es-ES_tradnl" w:eastAsia="es-ES_tradnl"/>
              </w:rPr>
            </w:pPr>
          </w:p>
        </w:tc>
      </w:tr>
      <w:tr w:rsidR="009E0B77" w:rsidRPr="009E0B77" w14:paraId="51AE26CF" w14:textId="77777777" w:rsidTr="00102897">
        <w:trPr>
          <w:jc w:val="right"/>
        </w:trPr>
        <w:tc>
          <w:tcPr>
            <w:tcW w:w="1838" w:type="dxa"/>
          </w:tcPr>
          <w:p w14:paraId="0092587F" w14:textId="77777777" w:rsidR="009E0B77" w:rsidRPr="009E0B77" w:rsidRDefault="009E0B77" w:rsidP="002C5E84">
            <w:pPr>
              <w:jc w:val="center"/>
              <w:rPr>
                <w:rFonts w:ascii="Arial" w:eastAsia="Calibri" w:hAnsi="Arial" w:cs="Arial"/>
                <w:b/>
                <w:sz w:val="22"/>
                <w:lang w:val="es-ES" w:eastAsia="es-ES_tradnl"/>
              </w:rPr>
            </w:pPr>
            <w:r w:rsidRPr="009E0B77">
              <w:rPr>
                <w:rFonts w:ascii="Arial" w:eastAsia="Calibri" w:hAnsi="Arial" w:cs="Arial"/>
                <w:b/>
                <w:sz w:val="22"/>
                <w:lang w:val="es-ES" w:eastAsia="es-ES_tradnl"/>
              </w:rPr>
              <w:t>Radicación:</w:t>
            </w:r>
          </w:p>
        </w:tc>
        <w:tc>
          <w:tcPr>
            <w:tcW w:w="6237" w:type="dxa"/>
          </w:tcPr>
          <w:p w14:paraId="0959B62A" w14:textId="7F8E3A9D" w:rsidR="009E0B77" w:rsidRPr="009E0B77" w:rsidRDefault="009E0B77" w:rsidP="002C5E84">
            <w:pPr>
              <w:jc w:val="both"/>
              <w:rPr>
                <w:rFonts w:ascii="Arial" w:eastAsia="Calibri" w:hAnsi="Arial" w:cs="Arial"/>
                <w:sz w:val="22"/>
                <w:lang w:val="es-ES" w:eastAsia="es-ES_tradnl"/>
              </w:rPr>
            </w:pPr>
            <w:r w:rsidRPr="009E0B77">
              <w:rPr>
                <w:rFonts w:ascii="Arial" w:eastAsia="Calibri" w:hAnsi="Arial" w:cs="Arial"/>
                <w:sz w:val="22"/>
                <w:lang w:val="es-ES" w:eastAsia="es-ES_tradnl"/>
              </w:rPr>
              <w:t>Respuesta a consulta P2023</w:t>
            </w:r>
            <w:r w:rsidR="00197C79">
              <w:rPr>
                <w:rFonts w:ascii="Arial" w:eastAsia="Calibri" w:hAnsi="Arial" w:cs="Arial"/>
                <w:sz w:val="22"/>
                <w:lang w:val="es-ES" w:eastAsia="es-ES_tradnl"/>
              </w:rPr>
              <w:t>0523011503</w:t>
            </w:r>
          </w:p>
        </w:tc>
      </w:tr>
    </w:tbl>
    <w:p w14:paraId="7A30018D" w14:textId="77777777" w:rsidR="00804158" w:rsidRDefault="00804158" w:rsidP="002C5E84">
      <w:pPr>
        <w:spacing w:line="276" w:lineRule="auto"/>
        <w:jc w:val="both"/>
        <w:rPr>
          <w:rFonts w:ascii="Arial" w:eastAsia="Calibri" w:hAnsi="Arial" w:cs="Arial"/>
          <w:sz w:val="22"/>
          <w:lang w:val="es-ES_tradnl" w:eastAsia="es-ES_tradnl"/>
        </w:rPr>
      </w:pPr>
    </w:p>
    <w:p w14:paraId="0B906E75" w14:textId="77777777" w:rsidR="009E0B77" w:rsidRPr="009E0B77" w:rsidRDefault="009E0B77" w:rsidP="002C5E84">
      <w:pPr>
        <w:spacing w:line="276" w:lineRule="auto"/>
        <w:jc w:val="both"/>
        <w:rPr>
          <w:rFonts w:ascii="Arial" w:eastAsia="Calibri" w:hAnsi="Arial" w:cs="Arial"/>
          <w:sz w:val="22"/>
          <w:lang w:val="es-ES_tradnl" w:eastAsia="es-ES_tradnl"/>
        </w:rPr>
      </w:pPr>
    </w:p>
    <w:p w14:paraId="5132A2D0" w14:textId="1CE2AEA9" w:rsidR="002C5E84" w:rsidRDefault="009E0B77" w:rsidP="002C5E84">
      <w:pPr>
        <w:spacing w:line="276" w:lineRule="auto"/>
        <w:jc w:val="both"/>
        <w:rPr>
          <w:rFonts w:ascii="Arial" w:eastAsia="Calibri" w:hAnsi="Arial" w:cs="Arial"/>
          <w:bCs/>
          <w:sz w:val="22"/>
          <w:lang w:val="es-ES_tradnl" w:eastAsia="es-ES_tradnl"/>
        </w:rPr>
      </w:pPr>
      <w:r w:rsidRPr="009E0B77">
        <w:rPr>
          <w:rFonts w:ascii="Arial" w:eastAsia="Calibri" w:hAnsi="Arial" w:cs="Arial"/>
          <w:sz w:val="22"/>
          <w:lang w:val="es-ES_tradnl" w:eastAsia="es-ES_tradnl"/>
        </w:rPr>
        <w:t>Estimad</w:t>
      </w:r>
      <w:r w:rsidR="00197C79">
        <w:rPr>
          <w:rFonts w:ascii="Arial" w:eastAsia="Calibri" w:hAnsi="Arial" w:cs="Arial"/>
          <w:sz w:val="22"/>
          <w:lang w:val="es-ES_tradnl" w:eastAsia="es-ES_tradnl"/>
        </w:rPr>
        <w:t>a</w:t>
      </w:r>
      <w:r w:rsidRPr="009E0B77">
        <w:rPr>
          <w:rFonts w:ascii="Arial" w:eastAsia="Calibri" w:hAnsi="Arial" w:cs="Arial"/>
          <w:sz w:val="22"/>
          <w:lang w:val="es-ES_tradnl" w:eastAsia="es-ES_tradnl"/>
        </w:rPr>
        <w:t xml:space="preserve"> señor</w:t>
      </w:r>
      <w:r w:rsidR="00197C79">
        <w:rPr>
          <w:rFonts w:ascii="Arial" w:eastAsia="Calibri" w:hAnsi="Arial" w:cs="Arial"/>
          <w:sz w:val="22"/>
          <w:lang w:val="es-ES_tradnl" w:eastAsia="es-ES_tradnl"/>
        </w:rPr>
        <w:t>a</w:t>
      </w:r>
      <w:r w:rsidRPr="009E0B77">
        <w:rPr>
          <w:rFonts w:ascii="Arial" w:eastAsia="Calibri" w:hAnsi="Arial" w:cs="Arial"/>
          <w:sz w:val="22"/>
          <w:lang w:val="es-ES_tradnl" w:eastAsia="es-ES_tradnl"/>
        </w:rPr>
        <w:t xml:space="preserve"> </w:t>
      </w:r>
      <w:r w:rsidR="00197C79">
        <w:rPr>
          <w:rFonts w:ascii="Arial" w:eastAsia="Calibri" w:hAnsi="Arial" w:cs="Arial"/>
          <w:sz w:val="22"/>
          <w:lang w:val="es-ES_tradnl" w:eastAsia="es-ES_tradnl"/>
        </w:rPr>
        <w:t>Cortés:</w:t>
      </w:r>
    </w:p>
    <w:p w14:paraId="01DA539D" w14:textId="77777777" w:rsidR="002C5E84" w:rsidRDefault="002C5E84" w:rsidP="002C5E84">
      <w:pPr>
        <w:spacing w:line="276" w:lineRule="auto"/>
        <w:jc w:val="both"/>
        <w:rPr>
          <w:rFonts w:ascii="Arial" w:eastAsia="Calibri" w:hAnsi="Arial" w:cs="Arial"/>
          <w:bCs/>
          <w:sz w:val="22"/>
          <w:lang w:val="es-ES_tradnl" w:eastAsia="es-ES_tradnl"/>
        </w:rPr>
      </w:pPr>
    </w:p>
    <w:p w14:paraId="732D0390" w14:textId="775E8D4B" w:rsidR="00804158" w:rsidRDefault="009E0B77" w:rsidP="00A949D0">
      <w:pPr>
        <w:spacing w:line="276" w:lineRule="auto"/>
        <w:jc w:val="both"/>
        <w:rPr>
          <w:rFonts w:ascii="Arial" w:eastAsia="Calibri" w:hAnsi="Arial" w:cs="Arial"/>
          <w:sz w:val="22"/>
          <w:lang w:val="es-ES" w:eastAsia="es-ES_tradnl"/>
        </w:rPr>
      </w:pPr>
      <w:r w:rsidRPr="00C85557">
        <w:rPr>
          <w:rFonts w:ascii="Arial" w:eastAsia="Calibri" w:hAnsi="Arial" w:cs="Arial"/>
          <w:sz w:val="22"/>
          <w:lang w:val="es-ES" w:eastAsia="es-ES_tradnl"/>
        </w:rPr>
        <w:t xml:space="preserve">En </w:t>
      </w:r>
      <w:r w:rsidR="002740B0" w:rsidRPr="00C85557">
        <w:rPr>
          <w:rFonts w:ascii="Arial" w:eastAsia="Calibri" w:hAnsi="Arial" w:cs="Arial"/>
          <w:sz w:val="22"/>
          <w:lang w:val="es-ES" w:eastAsia="es-ES_tradnl"/>
        </w:rPr>
        <w:t xml:space="preserve">virtud </w:t>
      </w:r>
      <w:r w:rsidRPr="00C85557">
        <w:rPr>
          <w:rFonts w:ascii="Arial" w:eastAsia="Calibri" w:hAnsi="Arial" w:cs="Arial"/>
          <w:sz w:val="22"/>
          <w:lang w:val="es-ES" w:eastAsia="es-ES_tradnl"/>
        </w:rPr>
        <w:t xml:space="preserve">de la competencia </w:t>
      </w:r>
      <w:r w:rsidR="002740B0" w:rsidRPr="00C85557">
        <w:rPr>
          <w:rFonts w:ascii="Arial" w:eastAsia="Calibri" w:hAnsi="Arial" w:cs="Arial"/>
          <w:sz w:val="22"/>
          <w:lang w:val="es-ES" w:eastAsia="es-ES_tradnl"/>
        </w:rPr>
        <w:t xml:space="preserve">conferida </w:t>
      </w:r>
      <w:r w:rsidRPr="00C85557">
        <w:rPr>
          <w:rFonts w:ascii="Arial" w:eastAsia="Calibri" w:hAnsi="Arial" w:cs="Arial"/>
          <w:sz w:val="22"/>
          <w:lang w:val="es-ES" w:eastAsia="es-ES_tradnl"/>
        </w:rPr>
        <w:t>por el numeral 8 del artículo 11 y el numeral 5 del artículo 3 del Decreto Ley 4170 de 2011, la Agenci</w:t>
      </w:r>
      <w:r w:rsidR="00A949D0" w:rsidRPr="00C85557">
        <w:rPr>
          <w:rFonts w:ascii="Arial" w:eastAsia="Calibri" w:hAnsi="Arial" w:cs="Arial"/>
          <w:sz w:val="22"/>
          <w:lang w:val="es-ES" w:eastAsia="es-ES_tradnl"/>
        </w:rPr>
        <w:t xml:space="preserve">a </w:t>
      </w:r>
      <w:r w:rsidRPr="00C85557">
        <w:rPr>
          <w:rFonts w:ascii="Arial" w:eastAsia="Calibri" w:hAnsi="Arial" w:cs="Arial"/>
          <w:sz w:val="22"/>
          <w:lang w:val="es-ES" w:eastAsia="es-ES_tradnl"/>
        </w:rPr>
        <w:t>Nacional de Contratación Pública</w:t>
      </w:r>
      <w:r w:rsidR="002740B0" w:rsidRPr="00C85557">
        <w:rPr>
          <w:rFonts w:ascii="Arial" w:eastAsia="Calibri" w:hAnsi="Arial" w:cs="Arial"/>
          <w:sz w:val="22"/>
          <w:lang w:val="es-ES" w:eastAsia="es-ES_tradnl"/>
        </w:rPr>
        <w:t xml:space="preserve"> -</w:t>
      </w:r>
      <w:r w:rsidRPr="00C85557">
        <w:rPr>
          <w:rFonts w:ascii="Arial" w:eastAsia="Calibri" w:hAnsi="Arial" w:cs="Arial"/>
          <w:sz w:val="22"/>
          <w:lang w:val="es-ES" w:eastAsia="es-ES_tradnl"/>
        </w:rPr>
        <w:t>Colombia Compra Eficiente</w:t>
      </w:r>
      <w:r w:rsidR="002740B0" w:rsidRPr="00C85557">
        <w:rPr>
          <w:rFonts w:ascii="Arial" w:eastAsia="Calibri" w:hAnsi="Arial" w:cs="Arial"/>
          <w:sz w:val="22"/>
          <w:lang w:val="es-ES" w:eastAsia="es-ES_tradnl"/>
        </w:rPr>
        <w:t xml:space="preserve">- </w:t>
      </w:r>
      <w:r w:rsidRPr="00C85557">
        <w:rPr>
          <w:rFonts w:ascii="Arial" w:eastAsia="Calibri" w:hAnsi="Arial" w:cs="Arial"/>
          <w:sz w:val="22"/>
          <w:lang w:val="es-ES" w:eastAsia="es-ES_tradnl"/>
        </w:rPr>
        <w:t>responde</w:t>
      </w:r>
      <w:r w:rsidR="00C85557" w:rsidRPr="00C85557">
        <w:rPr>
          <w:rFonts w:ascii="Arial" w:eastAsia="Calibri" w:hAnsi="Arial" w:cs="Arial"/>
          <w:sz w:val="22"/>
          <w:lang w:val="es-ES" w:eastAsia="es-ES_tradnl"/>
        </w:rPr>
        <w:t xml:space="preserve"> a </w:t>
      </w:r>
      <w:r w:rsidRPr="00C85557">
        <w:rPr>
          <w:rFonts w:ascii="Arial" w:eastAsia="Calibri" w:hAnsi="Arial" w:cs="Arial"/>
          <w:sz w:val="22"/>
          <w:lang w:val="es-ES" w:eastAsia="es-ES_tradnl"/>
        </w:rPr>
        <w:t>su consulta</w:t>
      </w:r>
      <w:r w:rsidR="00FE46F4">
        <w:rPr>
          <w:rFonts w:ascii="Arial" w:eastAsia="Calibri" w:hAnsi="Arial" w:cs="Arial"/>
          <w:sz w:val="22"/>
          <w:lang w:val="es-ES" w:eastAsia="es-ES_tradnl"/>
        </w:rPr>
        <w:t xml:space="preserve"> </w:t>
      </w:r>
      <w:r w:rsidRPr="00C85557">
        <w:rPr>
          <w:rFonts w:ascii="Arial" w:eastAsia="Calibri" w:hAnsi="Arial" w:cs="Arial"/>
          <w:sz w:val="22"/>
          <w:lang w:val="es-ES" w:eastAsia="es-ES_tradnl"/>
        </w:rPr>
        <w:t xml:space="preserve">del </w:t>
      </w:r>
      <w:r w:rsidR="00FE46F4">
        <w:rPr>
          <w:rFonts w:ascii="Arial" w:eastAsia="Calibri" w:hAnsi="Arial" w:cs="Arial"/>
          <w:sz w:val="22"/>
          <w:lang w:val="es-ES" w:eastAsia="es-ES_tradnl"/>
        </w:rPr>
        <w:t xml:space="preserve">22 </w:t>
      </w:r>
      <w:r w:rsidRPr="00C85557">
        <w:rPr>
          <w:rFonts w:ascii="Arial" w:eastAsia="Calibri" w:hAnsi="Arial" w:cs="Arial"/>
          <w:sz w:val="22"/>
          <w:lang w:val="es-ES" w:eastAsia="es-ES_tradnl"/>
        </w:rPr>
        <w:t xml:space="preserve">de </w:t>
      </w:r>
      <w:r w:rsidR="00FE46F4">
        <w:rPr>
          <w:rFonts w:ascii="Arial" w:eastAsia="Calibri" w:hAnsi="Arial" w:cs="Arial"/>
          <w:sz w:val="22"/>
          <w:lang w:val="es-ES" w:eastAsia="es-ES_tradnl"/>
        </w:rPr>
        <w:t xml:space="preserve">mayo </w:t>
      </w:r>
      <w:r w:rsidRPr="00C85557">
        <w:rPr>
          <w:rFonts w:ascii="Arial" w:eastAsia="Calibri" w:hAnsi="Arial" w:cs="Arial"/>
          <w:sz w:val="22"/>
          <w:lang w:val="es-ES" w:eastAsia="es-ES_tradnl"/>
        </w:rPr>
        <w:t>de</w:t>
      </w:r>
      <w:r w:rsidR="00FE46F4">
        <w:rPr>
          <w:rFonts w:ascii="Arial" w:eastAsia="Calibri" w:hAnsi="Arial" w:cs="Arial"/>
          <w:sz w:val="22"/>
          <w:lang w:val="es-ES" w:eastAsia="es-ES_tradnl"/>
        </w:rPr>
        <w:t xml:space="preserve"> </w:t>
      </w:r>
      <w:r w:rsidRPr="00C85557">
        <w:rPr>
          <w:rFonts w:ascii="Arial" w:eastAsia="Calibri" w:hAnsi="Arial" w:cs="Arial"/>
          <w:sz w:val="22"/>
          <w:lang w:val="es-ES" w:eastAsia="es-ES_tradnl"/>
        </w:rPr>
        <w:t>202</w:t>
      </w:r>
      <w:r w:rsidR="009F1FCB" w:rsidRPr="00C85557">
        <w:rPr>
          <w:rFonts w:ascii="Arial" w:eastAsia="Calibri" w:hAnsi="Arial" w:cs="Arial"/>
          <w:sz w:val="22"/>
          <w:lang w:val="es-ES" w:eastAsia="es-ES_tradnl"/>
        </w:rPr>
        <w:t>3</w:t>
      </w:r>
      <w:bookmarkStart w:id="5" w:name="_Hlk133234847"/>
      <w:bookmarkStart w:id="6" w:name="_Hlk133406549"/>
      <w:r w:rsidR="00FE46F4">
        <w:rPr>
          <w:rFonts w:ascii="Arial" w:eastAsia="Calibri" w:hAnsi="Arial" w:cs="Arial"/>
          <w:sz w:val="22"/>
          <w:lang w:val="es-ES" w:eastAsia="es-ES_tradnl"/>
        </w:rPr>
        <w:t>.</w:t>
      </w:r>
    </w:p>
    <w:p w14:paraId="79CC5375" w14:textId="77777777" w:rsidR="00367BC4" w:rsidRDefault="00367BC4" w:rsidP="00367BC4">
      <w:pPr>
        <w:spacing w:line="276" w:lineRule="auto"/>
        <w:jc w:val="both"/>
        <w:rPr>
          <w:rFonts w:ascii="Arial" w:eastAsia="Calibri" w:hAnsi="Arial" w:cs="Arial"/>
          <w:b/>
          <w:sz w:val="22"/>
          <w:lang w:val="es-ES_tradnl"/>
        </w:rPr>
      </w:pPr>
      <w:bookmarkStart w:id="7" w:name="_Hlk133234829"/>
    </w:p>
    <w:p w14:paraId="3E5C43F8" w14:textId="51A20556" w:rsidR="00367BC4" w:rsidRPr="00367BC4" w:rsidRDefault="00367BC4" w:rsidP="00367BC4">
      <w:pPr>
        <w:spacing w:line="276" w:lineRule="auto"/>
        <w:jc w:val="both"/>
        <w:rPr>
          <w:rFonts w:ascii="Arial" w:eastAsia="Calibri" w:hAnsi="Arial" w:cs="Arial"/>
          <w:b/>
          <w:sz w:val="22"/>
          <w:lang w:val="es-ES_tradnl"/>
        </w:rPr>
      </w:pPr>
      <w:r>
        <w:rPr>
          <w:rFonts w:ascii="Arial" w:eastAsia="Calibri" w:hAnsi="Arial" w:cs="Arial"/>
          <w:b/>
          <w:sz w:val="22"/>
          <w:lang w:val="es-ES_tradnl"/>
        </w:rPr>
        <w:t>1</w:t>
      </w:r>
      <w:r w:rsidRPr="00367BC4">
        <w:rPr>
          <w:rFonts w:ascii="Arial" w:eastAsia="Calibri" w:hAnsi="Arial" w:cs="Arial"/>
          <w:b/>
          <w:sz w:val="22"/>
          <w:lang w:val="es-ES_tradnl"/>
        </w:rPr>
        <w:t>.</w:t>
      </w:r>
      <w:r>
        <w:rPr>
          <w:rFonts w:ascii="Arial" w:eastAsia="Calibri" w:hAnsi="Arial" w:cs="Arial"/>
          <w:b/>
          <w:sz w:val="22"/>
          <w:lang w:val="es-ES_tradnl"/>
        </w:rPr>
        <w:tab/>
        <w:t>Problema planteado</w:t>
      </w:r>
    </w:p>
    <w:p w14:paraId="0F107CB6" w14:textId="77777777" w:rsidR="00367BC4" w:rsidRDefault="00367BC4" w:rsidP="00367BC4">
      <w:pPr>
        <w:tabs>
          <w:tab w:val="left" w:pos="0"/>
          <w:tab w:val="left" w:pos="142"/>
          <w:tab w:val="left" w:pos="284"/>
        </w:tabs>
        <w:spacing w:line="276" w:lineRule="auto"/>
        <w:contextualSpacing/>
        <w:jc w:val="both"/>
        <w:rPr>
          <w:rFonts w:ascii="Arial" w:eastAsia="Calibri" w:hAnsi="Arial" w:cs="Arial"/>
          <w:bCs/>
          <w:sz w:val="22"/>
          <w:lang w:val="es-ES_tradnl" w:eastAsia="es-ES_tradnl"/>
        </w:rPr>
      </w:pPr>
    </w:p>
    <w:p w14:paraId="46223208" w14:textId="28331F29" w:rsidR="005A7715" w:rsidRPr="00FE46F4" w:rsidRDefault="00A949D0" w:rsidP="005A7715">
      <w:pPr>
        <w:spacing w:line="276" w:lineRule="auto"/>
        <w:jc w:val="both"/>
        <w:rPr>
          <w:rFonts w:ascii="Arial" w:hAnsi="Arial" w:cs="Arial"/>
          <w:i/>
          <w:iCs/>
          <w:sz w:val="22"/>
          <w:lang w:val="es-ES_tradnl" w:eastAsia="es-ES_tradnl"/>
        </w:rPr>
      </w:pPr>
      <w:bookmarkStart w:id="8" w:name="_Hlk133498899"/>
      <w:bookmarkEnd w:id="5"/>
      <w:bookmarkEnd w:id="7"/>
      <w:r>
        <w:rPr>
          <w:rFonts w:ascii="Arial" w:hAnsi="Arial" w:cs="Arial"/>
          <w:sz w:val="22"/>
          <w:lang w:val="es-ES_tradnl" w:eastAsia="es-ES_tradnl"/>
        </w:rPr>
        <w:t>En el respectivo escrito,</w:t>
      </w:r>
      <w:r w:rsidR="009C37D7">
        <w:rPr>
          <w:rFonts w:ascii="Arial" w:hAnsi="Arial" w:cs="Arial"/>
          <w:sz w:val="22"/>
          <w:lang w:val="es-ES_tradnl" w:eastAsia="es-ES_tradnl"/>
        </w:rPr>
        <w:t xml:space="preserve"> </w:t>
      </w:r>
      <w:r>
        <w:rPr>
          <w:rFonts w:ascii="Arial" w:hAnsi="Arial" w:cs="Arial"/>
          <w:sz w:val="22"/>
          <w:lang w:val="es-ES_tradnl" w:eastAsia="es-ES_tradnl"/>
        </w:rPr>
        <w:t xml:space="preserve">usted </w:t>
      </w:r>
      <w:r w:rsidR="009C37D7">
        <w:rPr>
          <w:rFonts w:ascii="Arial" w:hAnsi="Arial" w:cs="Arial"/>
          <w:sz w:val="22"/>
          <w:lang w:val="es-ES_tradnl" w:eastAsia="es-ES_tradnl"/>
        </w:rPr>
        <w:t xml:space="preserve">solicita sea emitido concepto jurídico sobre la siguiente inquietud: </w:t>
      </w:r>
      <w:bookmarkStart w:id="9" w:name="_Hlk139323233"/>
      <w:bookmarkStart w:id="10" w:name="_Hlk136199855"/>
      <w:r w:rsidR="009C37D7" w:rsidRPr="009C37D7">
        <w:rPr>
          <w:rFonts w:ascii="Arial" w:hAnsi="Arial" w:cs="Arial"/>
          <w:i/>
          <w:iCs/>
          <w:sz w:val="22"/>
          <w:lang w:val="es-ES_tradnl" w:eastAsia="es-ES_tradnl"/>
        </w:rPr>
        <w:t xml:space="preserve">“(…) En un convenio interadministrativo </w:t>
      </w:r>
      <w:r w:rsidR="00FE46F4">
        <w:rPr>
          <w:rFonts w:ascii="Arial" w:hAnsi="Arial" w:cs="Arial"/>
          <w:i/>
          <w:iCs/>
          <w:sz w:val="22"/>
          <w:lang w:val="es-ES_tradnl" w:eastAsia="es-ES_tradnl"/>
        </w:rPr>
        <w:t xml:space="preserve">suscrito entre una entidad pública del orden nacional como por ejemplo Mindeporte y una entidad del orden territorial como un municipio </w:t>
      </w:r>
      <w:r w:rsidR="009C37D7" w:rsidRPr="009C37D7">
        <w:rPr>
          <w:rFonts w:ascii="Arial" w:hAnsi="Arial" w:cs="Arial"/>
          <w:i/>
          <w:iCs/>
          <w:sz w:val="22"/>
          <w:lang w:val="es-ES_tradnl" w:eastAsia="es-ES_tradnl"/>
        </w:rPr>
        <w:t xml:space="preserve">¿se </w:t>
      </w:r>
      <w:r w:rsidR="00FE46F4">
        <w:rPr>
          <w:rFonts w:ascii="Arial" w:hAnsi="Arial" w:cs="Arial"/>
          <w:i/>
          <w:iCs/>
          <w:sz w:val="22"/>
          <w:lang w:val="es-ES_tradnl" w:eastAsia="es-ES_tradnl"/>
        </w:rPr>
        <w:t xml:space="preserve">tiene alguna limitación normativa o de ley para el desembolso de los recursos, por ejemplo, no trasladar más del 50% del valor total del convenio interadministrativo al inicio del convenio? </w:t>
      </w:r>
      <w:r w:rsidR="009C37D7" w:rsidRPr="009C37D7">
        <w:rPr>
          <w:rFonts w:ascii="Arial" w:hAnsi="Arial" w:cs="Arial"/>
          <w:i/>
          <w:iCs/>
          <w:sz w:val="22"/>
          <w:lang w:val="es-ES_tradnl" w:eastAsia="es-ES_tradnl"/>
        </w:rPr>
        <w:t xml:space="preserve">¿ </w:t>
      </w:r>
      <w:r w:rsidR="00FE46F4">
        <w:rPr>
          <w:rFonts w:ascii="Arial" w:hAnsi="Arial" w:cs="Arial"/>
          <w:i/>
          <w:iCs/>
          <w:sz w:val="22"/>
          <w:lang w:val="es-ES_tradnl" w:eastAsia="es-ES_tradnl"/>
        </w:rPr>
        <w:t>se puede desembolsar el 100% de los recursos al inicio de la ejecución?</w:t>
      </w:r>
      <w:r w:rsidR="009C37D7" w:rsidRPr="009C37D7">
        <w:rPr>
          <w:rFonts w:ascii="Arial" w:hAnsi="Arial" w:cs="Arial"/>
          <w:i/>
          <w:iCs/>
          <w:sz w:val="22"/>
          <w:lang w:val="es-ES_tradnl" w:eastAsia="es-ES_tradnl"/>
        </w:rPr>
        <w:t>”</w:t>
      </w:r>
      <w:r w:rsidR="00FE46F4">
        <w:rPr>
          <w:rFonts w:ascii="Arial" w:hAnsi="Arial" w:cs="Arial"/>
          <w:sz w:val="22"/>
          <w:lang w:val="es-ES_tradnl" w:eastAsia="es-ES_tradnl"/>
        </w:rPr>
        <w:t>.</w:t>
      </w:r>
      <w:bookmarkEnd w:id="9"/>
    </w:p>
    <w:bookmarkEnd w:id="8"/>
    <w:bookmarkEnd w:id="10"/>
    <w:p w14:paraId="3E7B2478" w14:textId="77777777" w:rsidR="009C37D7" w:rsidRDefault="009C37D7" w:rsidP="005A7715">
      <w:pPr>
        <w:spacing w:line="276" w:lineRule="auto"/>
        <w:jc w:val="both"/>
        <w:rPr>
          <w:rFonts w:ascii="Arial" w:hAnsi="Arial" w:cs="Arial"/>
          <w:sz w:val="22"/>
          <w:lang w:val="es-ES_tradnl" w:eastAsia="es-ES_tradnl"/>
        </w:rPr>
      </w:pPr>
    </w:p>
    <w:p w14:paraId="750D9A9C" w14:textId="3929D1B6" w:rsidR="005A7715" w:rsidRPr="00367BC4" w:rsidRDefault="00367BC4" w:rsidP="00367BC4">
      <w:pPr>
        <w:spacing w:line="276" w:lineRule="auto"/>
        <w:jc w:val="both"/>
        <w:rPr>
          <w:rFonts w:ascii="Arial" w:eastAsia="Calibri" w:hAnsi="Arial" w:cs="Arial"/>
          <w:b/>
          <w:sz w:val="22"/>
          <w:lang w:val="es-ES_tradnl"/>
        </w:rPr>
      </w:pPr>
      <w:bookmarkStart w:id="11" w:name="_Hlk133406532"/>
      <w:bookmarkStart w:id="12" w:name="_Hlk136199719"/>
      <w:bookmarkEnd w:id="6"/>
      <w:r w:rsidRPr="00367BC4">
        <w:rPr>
          <w:rFonts w:ascii="Arial" w:eastAsia="Calibri" w:hAnsi="Arial" w:cs="Arial"/>
          <w:b/>
          <w:sz w:val="22"/>
          <w:lang w:val="es-ES_tradnl"/>
        </w:rPr>
        <w:t>2.</w:t>
      </w:r>
      <w:r>
        <w:rPr>
          <w:rFonts w:ascii="Arial" w:eastAsia="Calibri" w:hAnsi="Arial" w:cs="Arial"/>
          <w:b/>
          <w:sz w:val="22"/>
          <w:lang w:val="es-ES_tradnl"/>
        </w:rPr>
        <w:tab/>
      </w:r>
      <w:r w:rsidR="005A7715" w:rsidRPr="00367BC4">
        <w:rPr>
          <w:rFonts w:ascii="Arial" w:eastAsia="Calibri" w:hAnsi="Arial" w:cs="Arial"/>
          <w:b/>
          <w:sz w:val="22"/>
          <w:lang w:val="es-ES_tradnl"/>
        </w:rPr>
        <w:t>Consideraciones</w:t>
      </w:r>
      <w:bookmarkEnd w:id="11"/>
    </w:p>
    <w:bookmarkEnd w:id="12"/>
    <w:p w14:paraId="7FFB6108" w14:textId="77777777" w:rsidR="00A949D0" w:rsidRDefault="00A949D0" w:rsidP="00A949D0">
      <w:pPr>
        <w:spacing w:line="276" w:lineRule="auto"/>
        <w:jc w:val="both"/>
        <w:rPr>
          <w:rFonts w:ascii="Arial" w:hAnsi="Arial" w:cs="Arial"/>
          <w:sz w:val="22"/>
          <w:lang w:val="es-ES_tradnl" w:eastAsia="es-ES_tradnl"/>
        </w:rPr>
      </w:pPr>
    </w:p>
    <w:p w14:paraId="1904CF79" w14:textId="53A03439" w:rsidR="00B01C8E" w:rsidRPr="00B01C8E" w:rsidRDefault="00B01C8E" w:rsidP="00B01C8E">
      <w:pPr>
        <w:spacing w:after="120" w:line="276" w:lineRule="auto"/>
        <w:jc w:val="both"/>
        <w:rPr>
          <w:rFonts w:ascii="Arial" w:hAnsi="Arial" w:cs="Arial"/>
          <w:sz w:val="22"/>
          <w:lang w:val="es-ES" w:eastAsia="es-ES_tradnl"/>
        </w:rPr>
      </w:pPr>
      <w:bookmarkStart w:id="13" w:name="_Hlk136161866"/>
      <w:bookmarkStart w:id="14" w:name="_Hlk131417155"/>
      <w:r w:rsidRPr="00B01C8E">
        <w:rPr>
          <w:rFonts w:ascii="Arial" w:hAnsi="Arial" w:cs="Arial"/>
          <w:sz w:val="22"/>
          <w:lang w:eastAsia="es-ES_tradnl"/>
        </w:rPr>
        <w:t xml:space="preserve">En ejercicio de las competencias </w:t>
      </w:r>
      <w:r>
        <w:rPr>
          <w:rFonts w:ascii="Arial" w:hAnsi="Arial" w:cs="Arial"/>
          <w:sz w:val="22"/>
          <w:lang w:eastAsia="es-ES_tradnl"/>
        </w:rPr>
        <w:t xml:space="preserve">previstas </w:t>
      </w:r>
      <w:r w:rsidRPr="00B01C8E">
        <w:rPr>
          <w:rFonts w:ascii="Arial" w:hAnsi="Arial" w:cs="Arial"/>
          <w:sz w:val="22"/>
          <w:lang w:eastAsia="es-ES_tradnl"/>
        </w:rPr>
        <w:t>en los artículos 3.5 y 11.8 del Decreto</w:t>
      </w:r>
      <w:r>
        <w:rPr>
          <w:rFonts w:ascii="Arial" w:hAnsi="Arial" w:cs="Arial"/>
          <w:sz w:val="22"/>
          <w:lang w:eastAsia="es-ES_tradnl"/>
        </w:rPr>
        <w:t>-</w:t>
      </w:r>
      <w:r w:rsidRPr="00B01C8E">
        <w:rPr>
          <w:rFonts w:ascii="Arial" w:hAnsi="Arial" w:cs="Arial"/>
          <w:sz w:val="22"/>
          <w:lang w:eastAsia="es-ES_tradnl"/>
        </w:rPr>
        <w:t>Ley 4170 de 2011, la Agencia Nacional de Contratación Pública</w:t>
      </w:r>
      <w:r>
        <w:rPr>
          <w:rFonts w:ascii="Arial" w:hAnsi="Arial" w:cs="Arial"/>
          <w:sz w:val="22"/>
          <w:lang w:eastAsia="es-ES_tradnl"/>
        </w:rPr>
        <w:t xml:space="preserve"> -</w:t>
      </w:r>
      <w:r w:rsidRPr="00B01C8E">
        <w:rPr>
          <w:rFonts w:ascii="Arial" w:hAnsi="Arial" w:cs="Arial"/>
          <w:sz w:val="22"/>
          <w:lang w:eastAsia="es-ES_tradnl"/>
        </w:rPr>
        <w:t>Colombia Compra Eficiente</w:t>
      </w:r>
      <w:r>
        <w:rPr>
          <w:rFonts w:ascii="Arial" w:hAnsi="Arial" w:cs="Arial"/>
          <w:sz w:val="22"/>
          <w:lang w:eastAsia="es-ES_tradnl"/>
        </w:rPr>
        <w:t xml:space="preserve">- </w:t>
      </w:r>
      <w:r w:rsidRPr="00B01C8E">
        <w:rPr>
          <w:rFonts w:ascii="Arial" w:hAnsi="Arial" w:cs="Arial"/>
          <w:sz w:val="22"/>
          <w:lang w:eastAsia="es-ES_tradnl"/>
        </w:rPr>
        <w:t xml:space="preserve">resuelve las consultas sobre los asuntos de su competencia, esto es, sobre las temáticas de la contratación </w:t>
      </w:r>
      <w:r w:rsidRPr="00B01C8E">
        <w:rPr>
          <w:rFonts w:ascii="Arial" w:hAnsi="Arial" w:cs="Arial"/>
          <w:sz w:val="22"/>
          <w:lang w:eastAsia="es-ES_tradnl"/>
        </w:rPr>
        <w:lastRenderedPageBreak/>
        <w:t>estatal y compras públicas relacionadas en los artículos citados.</w:t>
      </w:r>
      <w:bookmarkStart w:id="15" w:name="_Hlk61701014"/>
      <w:bookmarkStart w:id="16" w:name="_Hlk62136649"/>
      <w:r w:rsidRPr="00B01C8E">
        <w:rPr>
          <w:rFonts w:ascii="Arial" w:hAnsi="Arial" w:cs="Arial"/>
          <w:sz w:val="22"/>
          <w:shd w:val="clear" w:color="auto" w:fill="E6E6E6"/>
          <w:lang w:eastAsia="es-ES_tradnl"/>
        </w:rPr>
        <w:t xml:space="preserve"> </w:t>
      </w:r>
      <w:r w:rsidRPr="00B01C8E">
        <w:rPr>
          <w:rFonts w:ascii="Arial" w:hAnsi="Arial" w:cs="Arial"/>
          <w:sz w:val="22"/>
          <w:lang w:val="es-ES" w:eastAsia="es-ES_tradnl"/>
        </w:rPr>
        <w:t xml:space="preserve">Es necesario tener en cuenta que </w:t>
      </w:r>
      <w:bookmarkStart w:id="17" w:name="_Hlk61026958"/>
      <w:r w:rsidRPr="00B01C8E">
        <w:rPr>
          <w:rFonts w:ascii="Arial" w:hAnsi="Arial" w:cs="Arial"/>
          <w:sz w:val="22"/>
          <w:lang w:val="es-ES" w:eastAsia="es-ES_tradnl"/>
        </w:rPr>
        <w:t>esta entidad solo tiene competencia para responder solicitudes sobre la aplicación de normas de carácter general en materia de compras y contratación pública. En es</w:t>
      </w:r>
      <w:r>
        <w:rPr>
          <w:rFonts w:ascii="Arial" w:hAnsi="Arial" w:cs="Arial"/>
          <w:sz w:val="22"/>
          <w:lang w:val="es-ES" w:eastAsia="es-ES_tradnl"/>
        </w:rPr>
        <w:t>t</w:t>
      </w:r>
      <w:r w:rsidRPr="00B01C8E">
        <w:rPr>
          <w:rFonts w:ascii="Arial" w:hAnsi="Arial" w:cs="Arial"/>
          <w:sz w:val="22"/>
          <w:lang w:val="es-ES" w:eastAsia="es-ES_tradnl"/>
        </w:rPr>
        <w:t>e sentido, resolver casos particulares desborda</w:t>
      </w:r>
      <w:r>
        <w:rPr>
          <w:rFonts w:ascii="Arial" w:hAnsi="Arial" w:cs="Arial"/>
          <w:sz w:val="22"/>
          <w:lang w:val="es-ES" w:eastAsia="es-ES_tradnl"/>
        </w:rPr>
        <w:t xml:space="preserve"> </w:t>
      </w:r>
      <w:r w:rsidRPr="00B01C8E">
        <w:rPr>
          <w:rFonts w:ascii="Arial" w:hAnsi="Arial" w:cs="Arial"/>
          <w:sz w:val="22"/>
          <w:lang w:val="es-ES" w:eastAsia="es-ES_tradnl"/>
        </w:rPr>
        <w:t>las atribuciones asignadas por el legislador extraordinario, que no concibió a Colombia Compra Eficiente como una autoridad para solucionar problemas jurídicos particulares</w:t>
      </w:r>
      <w:r w:rsidRPr="00B01C8E">
        <w:rPr>
          <w:rFonts w:ascii="Arial" w:hAnsi="Arial" w:cs="Arial"/>
          <w:sz w:val="22"/>
          <w:lang w:eastAsia="es-ES_tradnl"/>
        </w:rPr>
        <w:t xml:space="preserve"> de todos los partícipes de la contratación estatal.</w:t>
      </w:r>
      <w:bookmarkStart w:id="18" w:name="_Hlk133416774"/>
    </w:p>
    <w:p w14:paraId="67B3D30B" w14:textId="77777777" w:rsidR="00C028B2" w:rsidRDefault="00B01C8E" w:rsidP="00C028B2">
      <w:pPr>
        <w:spacing w:after="120" w:line="276" w:lineRule="auto"/>
        <w:ind w:firstLine="708"/>
        <w:jc w:val="both"/>
        <w:rPr>
          <w:rFonts w:ascii="Arial" w:hAnsi="Arial" w:cs="Arial"/>
          <w:sz w:val="22"/>
          <w:lang w:val="es-ES" w:eastAsia="es-ES_tradnl"/>
        </w:rPr>
      </w:pPr>
      <w:r w:rsidRPr="00B01C8E">
        <w:rPr>
          <w:rFonts w:ascii="Arial" w:hAnsi="Arial" w:cs="Arial"/>
          <w:sz w:val="22"/>
          <w:lang w:val="es-ES" w:eastAsia="es-ES_tradnl"/>
        </w:rPr>
        <w:t xml:space="preserve">La competencia de esta entidad se fija con límites claros, con el objeto de evitar que la Agencia </w:t>
      </w:r>
      <w:r w:rsidR="00FD5DFC">
        <w:rPr>
          <w:rFonts w:ascii="Arial" w:hAnsi="Arial" w:cs="Arial"/>
          <w:sz w:val="22"/>
          <w:lang w:val="es-ES" w:eastAsia="es-ES_tradnl"/>
        </w:rPr>
        <w:t xml:space="preserve">intervenga </w:t>
      </w:r>
      <w:r w:rsidRPr="00B01C8E">
        <w:rPr>
          <w:rFonts w:ascii="Arial" w:hAnsi="Arial" w:cs="Arial"/>
          <w:sz w:val="22"/>
          <w:lang w:val="es-ES" w:eastAsia="es-ES_tradnl"/>
        </w:rPr>
        <w:t>como una instancia de validación de las actuaciones de las entidades sujetas a la Ley 80 de 1993 o de los demás participantes de la contratación pública</w:t>
      </w:r>
      <w:r w:rsidRPr="00B01C8E">
        <w:rPr>
          <w:rFonts w:ascii="Arial" w:hAnsi="Arial" w:cs="Arial"/>
          <w:sz w:val="22"/>
          <w:vertAlign w:val="superscript"/>
          <w:lang w:val="es-ES" w:eastAsia="es-ES_tradnl"/>
        </w:rPr>
        <w:footnoteReference w:id="1"/>
      </w:r>
      <w:r w:rsidRPr="00B01C8E">
        <w:rPr>
          <w:rFonts w:ascii="Arial" w:hAnsi="Arial" w:cs="Arial"/>
          <w:sz w:val="22"/>
          <w:lang w:val="es-ES" w:eastAsia="es-ES_tradnl"/>
        </w:rPr>
        <w:t>. Esta competencia de interpretación de normas generales, por definición, no puede extenderse a la resolución de controversias, ni a brindar asesorías sobre casos puntuales. Esto</w:t>
      </w:r>
      <w:r w:rsidR="00FD5DFC">
        <w:rPr>
          <w:rFonts w:ascii="Arial" w:hAnsi="Arial" w:cs="Arial"/>
          <w:sz w:val="22"/>
          <w:lang w:val="es-ES" w:eastAsia="es-ES_tradnl"/>
        </w:rPr>
        <w:t xml:space="preserve">, </w:t>
      </w:r>
      <w:r w:rsidRPr="00B01C8E">
        <w:rPr>
          <w:rFonts w:ascii="Arial" w:hAnsi="Arial" w:cs="Arial"/>
          <w:sz w:val="22"/>
          <w:lang w:val="es-ES" w:eastAsia="es-ES_tradnl"/>
        </w:rPr>
        <w:t>en la medida en que, para resolver una consulta de carácter particular, además de conocer un sinnúmero de detalles de la actuación administrativa, es necesario acceder al expediente y a los documentos del procedimiento contractual donde surge la inquietud</w:t>
      </w:r>
      <w:bookmarkEnd w:id="17"/>
      <w:r w:rsidRPr="00B01C8E">
        <w:rPr>
          <w:rFonts w:ascii="Arial" w:hAnsi="Arial" w:cs="Arial"/>
          <w:sz w:val="22"/>
          <w:lang w:val="es-ES" w:eastAsia="es-ES_tradnl"/>
        </w:rPr>
        <w:t>. Por lo anterior, previo concepto de sus órganos asesores, la solución de estos temas corresponde a la entidad que adelanta el procedimiento de selección y, en caso de conflicto, a las autoridades judiciales, fiscales y</w:t>
      </w:r>
      <w:r w:rsidR="00FD5DFC">
        <w:rPr>
          <w:rFonts w:ascii="Arial" w:hAnsi="Arial" w:cs="Arial"/>
          <w:sz w:val="22"/>
          <w:lang w:val="es-ES" w:eastAsia="es-ES_tradnl"/>
        </w:rPr>
        <w:t>/o</w:t>
      </w:r>
      <w:r w:rsidRPr="00B01C8E">
        <w:rPr>
          <w:rFonts w:ascii="Arial" w:hAnsi="Arial" w:cs="Arial"/>
          <w:sz w:val="22"/>
          <w:lang w:val="es-ES" w:eastAsia="es-ES_tradnl"/>
        </w:rPr>
        <w:t xml:space="preserve"> disciplinarias</w:t>
      </w:r>
      <w:bookmarkEnd w:id="15"/>
      <w:r w:rsidR="00FD5DFC">
        <w:rPr>
          <w:rFonts w:ascii="Arial" w:hAnsi="Arial" w:cs="Arial"/>
          <w:sz w:val="22"/>
          <w:lang w:val="es-ES" w:eastAsia="es-ES_tradnl"/>
        </w:rPr>
        <w:t>, según corresponda.</w:t>
      </w:r>
      <w:bookmarkEnd w:id="13"/>
    </w:p>
    <w:p w14:paraId="16FB9A06" w14:textId="038373F3" w:rsidR="00FE46F4" w:rsidRDefault="00FD5DFC" w:rsidP="00C028B2">
      <w:pPr>
        <w:spacing w:after="120" w:line="276" w:lineRule="auto"/>
        <w:ind w:firstLine="708"/>
        <w:jc w:val="both"/>
        <w:rPr>
          <w:rFonts w:ascii="Arial" w:hAnsi="Arial" w:cs="Arial"/>
          <w:sz w:val="22"/>
          <w:lang w:eastAsia="es-ES_tradnl"/>
        </w:rPr>
      </w:pPr>
      <w:r>
        <w:rPr>
          <w:rFonts w:ascii="Arial" w:hAnsi="Arial" w:cs="Arial"/>
          <w:sz w:val="22"/>
          <w:lang w:val="es-ES" w:eastAsia="es-ES_tradnl"/>
        </w:rPr>
        <w:t>Bajo este entendido</w:t>
      </w:r>
      <w:bookmarkEnd w:id="16"/>
      <w:r>
        <w:rPr>
          <w:rFonts w:ascii="Arial" w:hAnsi="Arial" w:cs="Arial"/>
          <w:sz w:val="22"/>
          <w:lang w:val="es-ES" w:eastAsia="es-ES_tradnl"/>
        </w:rPr>
        <w:t xml:space="preserve">, </w:t>
      </w:r>
      <w:r w:rsidRPr="00FD5DFC">
        <w:rPr>
          <w:rFonts w:ascii="Arial" w:hAnsi="Arial" w:cs="Arial"/>
          <w:sz w:val="22"/>
          <w:lang w:eastAsia="es-ES_tradnl"/>
        </w:rPr>
        <w:t xml:space="preserve">la Subdirección </w:t>
      </w:r>
      <w:r>
        <w:rPr>
          <w:rFonts w:ascii="Arial" w:hAnsi="Arial" w:cs="Arial"/>
          <w:sz w:val="22"/>
          <w:lang w:eastAsia="es-ES_tradnl"/>
        </w:rPr>
        <w:t>-</w:t>
      </w:r>
      <w:r w:rsidRPr="00FD5DFC">
        <w:rPr>
          <w:rFonts w:ascii="Arial" w:hAnsi="Arial" w:cs="Arial"/>
          <w:sz w:val="22"/>
          <w:lang w:eastAsia="es-ES_tradnl"/>
        </w:rPr>
        <w:t>dentro del límite</w:t>
      </w:r>
      <w:r>
        <w:rPr>
          <w:rFonts w:ascii="Arial" w:hAnsi="Arial" w:cs="Arial"/>
          <w:sz w:val="22"/>
          <w:lang w:eastAsia="es-ES_tradnl"/>
        </w:rPr>
        <w:t xml:space="preserve"> </w:t>
      </w:r>
      <w:r w:rsidRPr="00FD5DFC">
        <w:rPr>
          <w:rFonts w:ascii="Arial" w:hAnsi="Arial" w:cs="Arial"/>
          <w:sz w:val="22"/>
          <w:lang w:eastAsia="es-ES_tradnl"/>
        </w:rPr>
        <w:t>de sus atribuciones, esto es, haciendo abstracción de</w:t>
      </w:r>
      <w:r>
        <w:rPr>
          <w:rFonts w:ascii="Arial" w:hAnsi="Arial" w:cs="Arial"/>
          <w:sz w:val="22"/>
          <w:lang w:eastAsia="es-ES_tradnl"/>
        </w:rPr>
        <w:t xml:space="preserve"> cualquier </w:t>
      </w:r>
      <w:r w:rsidRPr="00FD5DFC">
        <w:rPr>
          <w:rFonts w:ascii="Arial" w:hAnsi="Arial" w:cs="Arial"/>
          <w:sz w:val="22"/>
          <w:lang w:eastAsia="es-ES_tradnl"/>
        </w:rPr>
        <w:t>caso</w:t>
      </w:r>
      <w:r>
        <w:rPr>
          <w:rFonts w:ascii="Arial" w:hAnsi="Arial" w:cs="Arial"/>
          <w:sz w:val="22"/>
          <w:lang w:eastAsia="es-ES_tradnl"/>
        </w:rPr>
        <w:t xml:space="preserve"> </w:t>
      </w:r>
      <w:r w:rsidRPr="00FD5DFC">
        <w:rPr>
          <w:rFonts w:ascii="Arial" w:hAnsi="Arial" w:cs="Arial"/>
          <w:sz w:val="22"/>
          <w:lang w:eastAsia="es-ES_tradnl"/>
        </w:rPr>
        <w:t>particular</w:t>
      </w:r>
      <w:r>
        <w:rPr>
          <w:rFonts w:ascii="Arial" w:hAnsi="Arial" w:cs="Arial"/>
          <w:sz w:val="22"/>
          <w:lang w:eastAsia="es-ES_tradnl"/>
        </w:rPr>
        <w:t xml:space="preserve"> que pueda llegar a proponer l</w:t>
      </w:r>
      <w:r w:rsidR="00FE46F4">
        <w:rPr>
          <w:rFonts w:ascii="Arial" w:hAnsi="Arial" w:cs="Arial"/>
          <w:sz w:val="22"/>
          <w:lang w:eastAsia="es-ES_tradnl"/>
        </w:rPr>
        <w:t>a</w:t>
      </w:r>
      <w:r>
        <w:rPr>
          <w:rFonts w:ascii="Arial" w:hAnsi="Arial" w:cs="Arial"/>
          <w:sz w:val="22"/>
          <w:lang w:eastAsia="es-ES_tradnl"/>
        </w:rPr>
        <w:t xml:space="preserve"> </w:t>
      </w:r>
      <w:r w:rsidRPr="00FD5DFC">
        <w:rPr>
          <w:rFonts w:ascii="Arial" w:hAnsi="Arial" w:cs="Arial"/>
          <w:sz w:val="22"/>
          <w:lang w:eastAsia="es-ES_tradnl"/>
        </w:rPr>
        <w:t>peticionari</w:t>
      </w:r>
      <w:r w:rsidR="00FE46F4">
        <w:rPr>
          <w:rFonts w:ascii="Arial" w:hAnsi="Arial" w:cs="Arial"/>
          <w:sz w:val="22"/>
          <w:lang w:eastAsia="es-ES_tradnl"/>
        </w:rPr>
        <w:t>a</w:t>
      </w:r>
      <w:r>
        <w:rPr>
          <w:rFonts w:ascii="Arial" w:hAnsi="Arial" w:cs="Arial"/>
          <w:sz w:val="22"/>
          <w:lang w:eastAsia="es-ES_tradnl"/>
        </w:rPr>
        <w:t>-</w:t>
      </w:r>
      <w:r w:rsidRPr="00FD5DFC">
        <w:rPr>
          <w:rFonts w:ascii="Arial" w:hAnsi="Arial" w:cs="Arial"/>
          <w:sz w:val="22"/>
          <w:lang w:eastAsia="es-ES_tradnl"/>
        </w:rPr>
        <w:t xml:space="preserve"> resolverá la </w:t>
      </w:r>
      <w:r>
        <w:rPr>
          <w:rFonts w:ascii="Arial" w:hAnsi="Arial" w:cs="Arial"/>
          <w:sz w:val="22"/>
          <w:lang w:eastAsia="es-ES_tradnl"/>
        </w:rPr>
        <w:t xml:space="preserve">presente </w:t>
      </w:r>
      <w:r w:rsidRPr="00FD5DFC">
        <w:rPr>
          <w:rFonts w:ascii="Arial" w:hAnsi="Arial" w:cs="Arial"/>
          <w:sz w:val="22"/>
          <w:lang w:eastAsia="es-ES_tradnl"/>
        </w:rPr>
        <w:t>consulta</w:t>
      </w:r>
      <w:r>
        <w:rPr>
          <w:rFonts w:ascii="Arial" w:hAnsi="Arial" w:cs="Arial"/>
          <w:sz w:val="22"/>
          <w:lang w:eastAsia="es-ES_tradnl"/>
        </w:rPr>
        <w:t xml:space="preserve"> de acuerdo con el alcance general de </w:t>
      </w:r>
      <w:r w:rsidRPr="00FD5DFC">
        <w:rPr>
          <w:rFonts w:ascii="Arial" w:hAnsi="Arial" w:cs="Arial"/>
          <w:sz w:val="22"/>
          <w:lang w:eastAsia="es-ES_tradnl"/>
        </w:rPr>
        <w:t>las normas</w:t>
      </w:r>
      <w:r w:rsidR="00340FB6">
        <w:rPr>
          <w:rFonts w:ascii="Arial" w:hAnsi="Arial" w:cs="Arial"/>
          <w:sz w:val="22"/>
          <w:lang w:eastAsia="es-ES_tradnl"/>
        </w:rPr>
        <w:t xml:space="preserve"> </w:t>
      </w:r>
      <w:r w:rsidRPr="00FD5DFC">
        <w:rPr>
          <w:rFonts w:ascii="Arial" w:hAnsi="Arial" w:cs="Arial"/>
          <w:sz w:val="22"/>
          <w:lang w:eastAsia="es-ES_tradnl"/>
        </w:rPr>
        <w:t>en materia de contratación</w:t>
      </w:r>
      <w:r>
        <w:rPr>
          <w:rFonts w:ascii="Arial" w:hAnsi="Arial" w:cs="Arial"/>
          <w:sz w:val="22"/>
          <w:lang w:eastAsia="es-ES_tradnl"/>
        </w:rPr>
        <w:t xml:space="preserve"> </w:t>
      </w:r>
      <w:r w:rsidRPr="00FD5DFC">
        <w:rPr>
          <w:rFonts w:ascii="Arial" w:hAnsi="Arial" w:cs="Arial"/>
          <w:sz w:val="22"/>
          <w:lang w:eastAsia="es-ES_tradnl"/>
        </w:rPr>
        <w:t>estatal</w:t>
      </w:r>
      <w:r w:rsidR="007367DF">
        <w:rPr>
          <w:rFonts w:ascii="Arial" w:hAnsi="Arial" w:cs="Arial"/>
          <w:sz w:val="22"/>
          <w:lang w:eastAsia="es-ES_tradnl"/>
        </w:rPr>
        <w:t xml:space="preserve">. </w:t>
      </w:r>
      <w:r w:rsidR="00340FB6">
        <w:rPr>
          <w:rFonts w:ascii="Arial" w:hAnsi="Arial" w:cs="Arial"/>
          <w:sz w:val="22"/>
          <w:lang w:eastAsia="es-ES_tradnl"/>
        </w:rPr>
        <w:t xml:space="preserve">Con tal </w:t>
      </w:r>
      <w:r w:rsidR="00846E11">
        <w:rPr>
          <w:rFonts w:ascii="Arial" w:hAnsi="Arial" w:cs="Arial"/>
          <w:sz w:val="22"/>
          <w:lang w:eastAsia="es-ES_tradnl"/>
        </w:rPr>
        <w:t>propósito, analizará</w:t>
      </w:r>
      <w:r w:rsidR="007367DF">
        <w:rPr>
          <w:rFonts w:ascii="Arial" w:hAnsi="Arial" w:cs="Arial"/>
          <w:sz w:val="22"/>
          <w:lang w:eastAsia="es-ES_tradnl"/>
        </w:rPr>
        <w:t xml:space="preserve"> los siguientes temas: </w:t>
      </w:r>
      <w:r w:rsidR="00846E11" w:rsidRPr="00846E11">
        <w:rPr>
          <w:rFonts w:ascii="Arial" w:hAnsi="Arial" w:cs="Arial"/>
          <w:i/>
          <w:iCs/>
          <w:sz w:val="22"/>
          <w:lang w:eastAsia="es-ES_tradnl"/>
        </w:rPr>
        <w:t>(i)</w:t>
      </w:r>
      <w:r w:rsidR="007367DF">
        <w:rPr>
          <w:rFonts w:ascii="Arial" w:hAnsi="Arial" w:cs="Arial"/>
          <w:sz w:val="22"/>
          <w:lang w:eastAsia="es-ES_tradnl"/>
        </w:rPr>
        <w:t xml:space="preserve"> No</w:t>
      </w:r>
      <w:r w:rsidR="00846E11">
        <w:rPr>
          <w:rFonts w:ascii="Arial" w:hAnsi="Arial" w:cs="Arial"/>
          <w:sz w:val="22"/>
          <w:lang w:eastAsia="es-ES_tradnl"/>
        </w:rPr>
        <w:t>ción y características de los convenios y contratos interadministrativos, sus elementos esenciales y diferenciadores;</w:t>
      </w:r>
      <w:r w:rsidR="00FE46F4">
        <w:rPr>
          <w:rFonts w:ascii="Arial" w:hAnsi="Arial" w:cs="Arial"/>
          <w:sz w:val="22"/>
          <w:lang w:eastAsia="es-ES_tradnl"/>
        </w:rPr>
        <w:t xml:space="preserve"> y </w:t>
      </w:r>
      <w:r w:rsidR="00846E11" w:rsidRPr="00846E11">
        <w:rPr>
          <w:rFonts w:ascii="Arial" w:hAnsi="Arial" w:cs="Arial"/>
          <w:i/>
          <w:iCs/>
          <w:sz w:val="22"/>
          <w:lang w:eastAsia="es-ES_tradnl"/>
        </w:rPr>
        <w:t>(ii)</w:t>
      </w:r>
      <w:r w:rsidR="00971C69">
        <w:rPr>
          <w:rFonts w:ascii="Arial" w:hAnsi="Arial" w:cs="Arial"/>
          <w:sz w:val="22"/>
          <w:lang w:eastAsia="es-ES_tradnl"/>
        </w:rPr>
        <w:t xml:space="preserve"> </w:t>
      </w:r>
      <w:bookmarkStart w:id="19" w:name="_Hlk139320455"/>
      <w:r w:rsidR="00971C69">
        <w:rPr>
          <w:rFonts w:ascii="Arial" w:hAnsi="Arial" w:cs="Arial"/>
          <w:sz w:val="22"/>
          <w:lang w:eastAsia="es-ES_tradnl"/>
        </w:rPr>
        <w:t>el alcance del límite de valor establecido en el parágrafo del artículo 40 de la Ley 80 de 1993</w:t>
      </w:r>
      <w:bookmarkEnd w:id="19"/>
      <w:r w:rsidR="00971C69">
        <w:rPr>
          <w:rFonts w:ascii="Arial" w:hAnsi="Arial" w:cs="Arial"/>
          <w:sz w:val="22"/>
          <w:lang w:eastAsia="es-ES_tradnl"/>
        </w:rPr>
        <w:t>.</w:t>
      </w:r>
    </w:p>
    <w:p w14:paraId="793D6DE8" w14:textId="6B5DAA32" w:rsidR="00DD759F" w:rsidRDefault="007367DF" w:rsidP="00DD759F">
      <w:pPr>
        <w:spacing w:after="120" w:line="276" w:lineRule="auto"/>
        <w:ind w:firstLine="708"/>
        <w:jc w:val="both"/>
        <w:rPr>
          <w:rFonts w:ascii="Arial" w:hAnsi="Arial" w:cs="Arial"/>
          <w:sz w:val="22"/>
          <w:lang w:eastAsia="es-ES_tradnl"/>
        </w:rPr>
      </w:pPr>
      <w:r>
        <w:rPr>
          <w:rFonts w:ascii="Arial" w:hAnsi="Arial" w:cs="Arial"/>
          <w:sz w:val="22"/>
          <w:lang w:eastAsia="es-ES_tradnl"/>
        </w:rPr>
        <w:t xml:space="preserve">La Agencia Nacional de Contratación Pública -Colombia Compra Eficiente- se ha referido previamente a la noción y características de los convenios y contratos interadministrativos en los conceptos </w:t>
      </w:r>
      <w:r w:rsidR="00846E11" w:rsidRPr="007367DF">
        <w:rPr>
          <w:rFonts w:ascii="Arial" w:eastAsia="Calibri" w:hAnsi="Arial" w:cs="Arial"/>
          <w:color w:val="000000"/>
          <w:sz w:val="22"/>
          <w:szCs w:val="22"/>
          <w:lang w:eastAsia="es-ES_tradnl"/>
        </w:rPr>
        <w:t>4201913000004536 del 27 de julio del 2019, C-023 del 13 de febrero del 2020, C-220 del 13 de abril del 2020, C-681 del 19 de noviembre del 2020,</w:t>
      </w:r>
      <w:r>
        <w:rPr>
          <w:rFonts w:ascii="Arial" w:eastAsia="Calibri" w:hAnsi="Arial" w:cs="Arial"/>
          <w:color w:val="000000"/>
          <w:sz w:val="22"/>
          <w:szCs w:val="22"/>
          <w:lang w:eastAsia="es-ES_tradnl"/>
        </w:rPr>
        <w:t xml:space="preserve"> </w:t>
      </w:r>
      <w:r w:rsidR="00846E11" w:rsidRPr="007367DF">
        <w:rPr>
          <w:rFonts w:ascii="Arial" w:eastAsia="Calibri" w:hAnsi="Arial" w:cs="Arial"/>
          <w:color w:val="000000"/>
          <w:sz w:val="22"/>
          <w:szCs w:val="22"/>
          <w:lang w:eastAsia="es-ES_tradnl"/>
        </w:rPr>
        <w:t xml:space="preserve">C-552 del 5 de octubre del </w:t>
      </w:r>
      <w:r w:rsidR="00846E11" w:rsidRPr="005C65E8">
        <w:rPr>
          <w:rFonts w:ascii="Arial" w:eastAsia="Calibri" w:hAnsi="Arial" w:cs="Arial"/>
          <w:color w:val="000000"/>
          <w:sz w:val="22"/>
          <w:szCs w:val="22"/>
          <w:lang w:eastAsia="es-ES_tradnl"/>
        </w:rPr>
        <w:t>2021</w:t>
      </w:r>
      <w:r w:rsidRPr="005C65E8">
        <w:rPr>
          <w:rFonts w:ascii="Arial" w:eastAsia="Calibri" w:hAnsi="Arial" w:cs="Arial"/>
          <w:color w:val="000000"/>
          <w:sz w:val="22"/>
          <w:szCs w:val="22"/>
          <w:lang w:eastAsia="es-ES_tradnl"/>
        </w:rPr>
        <w:t>,</w:t>
      </w:r>
      <w:r w:rsidR="00846E11" w:rsidRPr="005C65E8">
        <w:rPr>
          <w:rFonts w:ascii="Arial" w:eastAsia="Calibri" w:hAnsi="Arial" w:cs="Arial"/>
          <w:color w:val="000000"/>
          <w:sz w:val="22"/>
          <w:szCs w:val="22"/>
          <w:lang w:eastAsia="es-ES_tradnl"/>
        </w:rPr>
        <w:t xml:space="preserve"> </w:t>
      </w:r>
      <w:r w:rsidRPr="005C65E8">
        <w:rPr>
          <w:rFonts w:ascii="Arial" w:eastAsia="Calibri" w:hAnsi="Arial" w:cs="Arial"/>
          <w:color w:val="000000"/>
          <w:sz w:val="22"/>
          <w:szCs w:val="22"/>
          <w:lang w:eastAsia="es-ES_tradnl"/>
        </w:rPr>
        <w:t xml:space="preserve">C-387 del 15 de junio de 2022, </w:t>
      </w:r>
      <w:r w:rsidR="00846E11" w:rsidRPr="005C65E8">
        <w:rPr>
          <w:rFonts w:ascii="Arial" w:eastAsia="Calibri" w:hAnsi="Arial" w:cs="Arial"/>
          <w:color w:val="000000"/>
          <w:sz w:val="22"/>
          <w:szCs w:val="22"/>
          <w:lang w:eastAsia="es-ES_tradnl"/>
        </w:rPr>
        <w:t>C-562 del 7 de septiembre del 2022</w:t>
      </w:r>
      <w:r w:rsidR="00971C69">
        <w:rPr>
          <w:rFonts w:ascii="Arial" w:eastAsia="Calibri" w:hAnsi="Arial" w:cs="Arial"/>
          <w:color w:val="000000"/>
          <w:sz w:val="22"/>
          <w:szCs w:val="22"/>
          <w:lang w:eastAsia="es-ES_tradnl"/>
        </w:rPr>
        <w:t xml:space="preserve">, </w:t>
      </w:r>
      <w:r w:rsidR="00A52A27">
        <w:rPr>
          <w:rFonts w:ascii="Arial" w:eastAsia="Calibri" w:hAnsi="Arial" w:cs="Arial"/>
          <w:color w:val="000000"/>
          <w:sz w:val="22"/>
          <w:szCs w:val="22"/>
          <w:lang w:eastAsia="es-ES_tradnl"/>
        </w:rPr>
        <w:t xml:space="preserve">C-727 del 28 de noviembre de 2022, C-932 del 30 de diciembre de 2022, </w:t>
      </w:r>
      <w:r w:rsidR="00971C69">
        <w:rPr>
          <w:rFonts w:ascii="Arial" w:eastAsia="Calibri" w:hAnsi="Arial" w:cs="Arial"/>
          <w:color w:val="000000"/>
          <w:sz w:val="22"/>
          <w:szCs w:val="22"/>
          <w:lang w:eastAsia="es-ES_tradnl"/>
        </w:rPr>
        <w:t xml:space="preserve">C-088 del 29 de mayo de 2023 </w:t>
      </w:r>
      <w:r w:rsidRPr="005C65E8">
        <w:rPr>
          <w:rFonts w:ascii="Arial" w:eastAsia="Calibri" w:hAnsi="Arial" w:cs="Arial"/>
          <w:bCs/>
          <w:color w:val="000000"/>
          <w:sz w:val="22"/>
          <w:szCs w:val="22"/>
          <w:lang w:eastAsia="es-ES_tradnl"/>
        </w:rPr>
        <w:t>y C-114 del 4 de mayo de 2023.</w:t>
      </w:r>
      <w:r w:rsidR="00971C69">
        <w:rPr>
          <w:rFonts w:ascii="Arial" w:eastAsia="Calibri" w:hAnsi="Arial" w:cs="Arial"/>
          <w:bCs/>
          <w:color w:val="000000"/>
          <w:sz w:val="22"/>
          <w:szCs w:val="22"/>
          <w:lang w:eastAsia="es-ES_tradnl"/>
        </w:rPr>
        <w:t xml:space="preserve"> </w:t>
      </w:r>
      <w:r w:rsidRPr="005C65E8">
        <w:rPr>
          <w:rFonts w:ascii="Arial" w:eastAsia="Calibri" w:hAnsi="Arial" w:cs="Arial"/>
          <w:bCs/>
          <w:color w:val="000000"/>
          <w:sz w:val="22"/>
          <w:szCs w:val="22"/>
          <w:lang w:eastAsia="es-ES_tradnl"/>
        </w:rPr>
        <w:t>Asimismo, en los conceptos</w:t>
      </w:r>
      <w:r w:rsidR="00971C69">
        <w:rPr>
          <w:rFonts w:ascii="Arial" w:hAnsi="Arial" w:cs="Arial"/>
          <w:sz w:val="22"/>
          <w:lang w:eastAsia="es-ES_tradnl"/>
        </w:rPr>
        <w:t xml:space="preserve"> C-625 del 22 de noviembre de 2021</w:t>
      </w:r>
      <w:r w:rsidR="00A52A27">
        <w:rPr>
          <w:rFonts w:ascii="Arial" w:hAnsi="Arial" w:cs="Arial"/>
          <w:sz w:val="22"/>
          <w:lang w:eastAsia="es-ES_tradnl"/>
        </w:rPr>
        <w:t xml:space="preserve">, </w:t>
      </w:r>
      <w:r w:rsidR="00E7786E">
        <w:rPr>
          <w:rFonts w:ascii="Arial" w:hAnsi="Arial" w:cs="Arial"/>
          <w:sz w:val="22"/>
          <w:lang w:eastAsia="es-ES_tradnl"/>
        </w:rPr>
        <w:t>C-267 del 5 de mayo de 2022</w:t>
      </w:r>
      <w:r w:rsidR="00A52A27">
        <w:rPr>
          <w:rFonts w:ascii="Arial" w:hAnsi="Arial" w:cs="Arial"/>
          <w:sz w:val="22"/>
          <w:lang w:eastAsia="es-ES_tradnl"/>
        </w:rPr>
        <w:t xml:space="preserve"> y C-664 del 20 de octubre de 2022, </w:t>
      </w:r>
      <w:r w:rsidR="005C65E8" w:rsidRPr="005C65E8">
        <w:rPr>
          <w:rFonts w:ascii="Arial" w:eastAsia="Calibri" w:hAnsi="Arial" w:cs="Arial"/>
          <w:bCs/>
          <w:color w:val="000000"/>
          <w:sz w:val="22"/>
          <w:szCs w:val="22"/>
          <w:lang w:eastAsia="es-ES_tradnl"/>
        </w:rPr>
        <w:t xml:space="preserve">se pronunció sobre </w:t>
      </w:r>
      <w:r w:rsidR="00971C69">
        <w:rPr>
          <w:rFonts w:ascii="Arial" w:eastAsia="Calibri" w:hAnsi="Arial" w:cs="Arial"/>
          <w:bCs/>
          <w:color w:val="000000"/>
          <w:sz w:val="22"/>
          <w:szCs w:val="22"/>
          <w:lang w:eastAsia="es-ES_tradnl"/>
        </w:rPr>
        <w:t xml:space="preserve">el </w:t>
      </w:r>
      <w:bookmarkStart w:id="20" w:name="_Hlk139324743"/>
      <w:r w:rsidR="00971C69">
        <w:rPr>
          <w:rFonts w:ascii="Arial" w:eastAsia="Calibri" w:hAnsi="Arial" w:cs="Arial"/>
          <w:bCs/>
          <w:color w:val="000000"/>
          <w:sz w:val="22"/>
          <w:szCs w:val="22"/>
          <w:lang w:eastAsia="es-ES_tradnl"/>
        </w:rPr>
        <w:t xml:space="preserve">alcance del límite de </w:t>
      </w:r>
      <w:r w:rsidR="00971C69">
        <w:rPr>
          <w:rFonts w:ascii="Arial" w:eastAsia="Calibri" w:hAnsi="Arial" w:cs="Arial"/>
          <w:bCs/>
          <w:color w:val="000000"/>
          <w:sz w:val="22"/>
          <w:szCs w:val="22"/>
          <w:lang w:eastAsia="es-ES_tradnl"/>
        </w:rPr>
        <w:lastRenderedPageBreak/>
        <w:t>valor establecido en el parágrafo del artículo 40 de la Ley 80 de 1993</w:t>
      </w:r>
      <w:bookmarkEnd w:id="20"/>
      <w:r w:rsidR="005C65E8" w:rsidRPr="005C65E8">
        <w:rPr>
          <w:rFonts w:ascii="Arial" w:eastAsia="Calibri" w:hAnsi="Arial" w:cs="Arial"/>
          <w:bCs/>
          <w:color w:val="000000"/>
          <w:sz w:val="22"/>
          <w:szCs w:val="22"/>
          <w:lang w:eastAsia="es-ES_tradnl"/>
        </w:rPr>
        <w:t>.</w:t>
      </w:r>
      <w:r w:rsidR="005C65E8">
        <w:rPr>
          <w:rFonts w:ascii="Arial" w:eastAsia="Calibri" w:hAnsi="Arial" w:cs="Arial"/>
          <w:bCs/>
          <w:color w:val="000000"/>
          <w:sz w:val="22"/>
          <w:szCs w:val="22"/>
          <w:lang w:eastAsia="es-ES_tradnl"/>
        </w:rPr>
        <w:t xml:space="preserve"> Las tesis y argumentos </w:t>
      </w:r>
      <w:r w:rsidR="004F0B24">
        <w:rPr>
          <w:rFonts w:ascii="Arial" w:eastAsia="Calibri" w:hAnsi="Arial" w:cs="Arial"/>
          <w:bCs/>
          <w:color w:val="000000"/>
          <w:sz w:val="22"/>
          <w:szCs w:val="22"/>
          <w:lang w:eastAsia="es-ES_tradnl"/>
        </w:rPr>
        <w:t xml:space="preserve">en ellos expuestos </w:t>
      </w:r>
      <w:r w:rsidR="005C65E8">
        <w:rPr>
          <w:rFonts w:ascii="Arial" w:eastAsia="Calibri" w:hAnsi="Arial" w:cs="Arial"/>
          <w:bCs/>
          <w:color w:val="000000"/>
          <w:sz w:val="22"/>
          <w:szCs w:val="22"/>
          <w:lang w:eastAsia="es-ES_tradnl"/>
        </w:rPr>
        <w:t>se reiteran, precisan y complementan a continuación.</w:t>
      </w:r>
      <w:bookmarkStart w:id="21" w:name="_Hlk133491084"/>
      <w:bookmarkEnd w:id="18"/>
    </w:p>
    <w:p w14:paraId="23163E7D" w14:textId="6E26EAA0" w:rsidR="00DD759F" w:rsidRDefault="00416AF4" w:rsidP="006A5EDE">
      <w:pPr>
        <w:spacing w:after="120" w:line="276" w:lineRule="auto"/>
        <w:ind w:left="705" w:hanging="705"/>
        <w:jc w:val="both"/>
        <w:rPr>
          <w:rFonts w:ascii="Arial" w:hAnsi="Arial" w:cs="Arial"/>
          <w:sz w:val="22"/>
          <w:lang w:val="es-ES_tradnl" w:eastAsia="es-ES_tradnl"/>
        </w:rPr>
      </w:pPr>
      <w:r w:rsidRPr="00416AF4">
        <w:rPr>
          <w:rFonts w:ascii="Arial" w:eastAsia="Calibri" w:hAnsi="Arial" w:cs="Arial"/>
          <w:b/>
          <w:sz w:val="22"/>
          <w:lang w:val="es-ES_tradnl"/>
        </w:rPr>
        <w:t>2.1</w:t>
      </w:r>
      <w:r>
        <w:rPr>
          <w:rFonts w:ascii="Arial" w:eastAsia="Calibri" w:hAnsi="Arial" w:cs="Arial"/>
          <w:b/>
          <w:sz w:val="22"/>
          <w:lang w:val="es-ES_tradnl"/>
        </w:rPr>
        <w:t>.</w:t>
      </w:r>
      <w:bookmarkStart w:id="22" w:name="_Hlk133499202"/>
      <w:r w:rsidR="006A5EDE">
        <w:rPr>
          <w:rFonts w:ascii="Arial" w:eastAsia="Calibri" w:hAnsi="Arial" w:cs="Arial"/>
          <w:b/>
          <w:sz w:val="22"/>
          <w:lang w:val="es-ES_tradnl"/>
        </w:rPr>
        <w:tab/>
      </w:r>
      <w:bookmarkStart w:id="23" w:name="_Hlk136201580"/>
      <w:r w:rsidR="00F569B7">
        <w:rPr>
          <w:rFonts w:ascii="Arial" w:eastAsia="Calibri" w:hAnsi="Arial" w:cs="Arial"/>
          <w:b/>
          <w:sz w:val="22"/>
          <w:lang w:val="es-ES_tradnl"/>
        </w:rPr>
        <w:t>Noción y características de los convenios y contratos interadministrativos. Elementos esencia</w:t>
      </w:r>
      <w:r w:rsidR="00030FA9">
        <w:rPr>
          <w:rFonts w:ascii="Arial" w:eastAsia="Calibri" w:hAnsi="Arial" w:cs="Arial"/>
          <w:b/>
          <w:sz w:val="22"/>
          <w:lang w:val="es-ES_tradnl"/>
        </w:rPr>
        <w:t>les y diferenciadores</w:t>
      </w:r>
      <w:bookmarkStart w:id="24" w:name="_Hlk127422237"/>
      <w:bookmarkEnd w:id="14"/>
      <w:bookmarkEnd w:id="21"/>
      <w:bookmarkEnd w:id="22"/>
      <w:bookmarkEnd w:id="23"/>
    </w:p>
    <w:p w14:paraId="650CB512" w14:textId="71FA1C22" w:rsidR="00030FA9" w:rsidRDefault="00030FA9" w:rsidP="00DD759F">
      <w:pPr>
        <w:spacing w:after="120" w:line="276" w:lineRule="auto"/>
        <w:jc w:val="both"/>
        <w:rPr>
          <w:rFonts w:ascii="Arial" w:hAnsi="Arial" w:cs="Arial"/>
          <w:sz w:val="22"/>
          <w:lang w:eastAsia="es-ES_tradnl"/>
        </w:rPr>
      </w:pPr>
      <w:bookmarkStart w:id="25" w:name="_Hlk136184980"/>
      <w:r>
        <w:rPr>
          <w:rFonts w:ascii="Arial" w:hAnsi="Arial" w:cs="Arial"/>
          <w:sz w:val="22"/>
          <w:lang w:eastAsia="es-ES_tradnl"/>
        </w:rPr>
        <w:t>Un contrato o un convenio es, por definición, un acuerdo de voluntades entre dos o más partes, generador de obligaciones, sea de dar, hacer o no hacer algo. Lo allí estipulado es ley para los extremos de la relación contractual, por lo que solo podrá ser invalidado por su consentimiento mutuo o por causas legales</w:t>
      </w:r>
      <w:r>
        <w:rPr>
          <w:rStyle w:val="Refdenotaalpie"/>
          <w:rFonts w:ascii="Arial" w:hAnsi="Arial" w:cs="Arial"/>
          <w:sz w:val="22"/>
          <w:lang w:eastAsia="es-ES_tradnl"/>
        </w:rPr>
        <w:footnoteReference w:id="2"/>
      </w:r>
      <w:r>
        <w:rPr>
          <w:rFonts w:ascii="Arial" w:hAnsi="Arial" w:cs="Arial"/>
          <w:sz w:val="22"/>
          <w:lang w:eastAsia="es-ES_tradnl"/>
        </w:rPr>
        <w:t>.</w:t>
      </w:r>
    </w:p>
    <w:p w14:paraId="63515742" w14:textId="5B9EB2C0" w:rsidR="004F0B24" w:rsidRDefault="00030FA9" w:rsidP="00C028B2">
      <w:pPr>
        <w:spacing w:after="120" w:line="276" w:lineRule="auto"/>
        <w:ind w:firstLine="708"/>
        <w:jc w:val="both"/>
        <w:rPr>
          <w:rFonts w:ascii="Arial" w:hAnsi="Arial" w:cs="Arial"/>
          <w:sz w:val="22"/>
          <w:lang w:val="es-ES" w:eastAsia="es-ES_tradnl"/>
        </w:rPr>
      </w:pPr>
      <w:r w:rsidRPr="00B01C8E">
        <w:rPr>
          <w:rFonts w:ascii="Arial" w:hAnsi="Arial" w:cs="Arial"/>
          <w:sz w:val="22"/>
          <w:lang w:val="es-ES" w:eastAsia="es-ES_tradnl"/>
        </w:rPr>
        <w:t>L</w:t>
      </w:r>
      <w:r>
        <w:rPr>
          <w:rFonts w:ascii="Arial" w:hAnsi="Arial" w:cs="Arial"/>
          <w:sz w:val="22"/>
          <w:lang w:val="es-ES" w:eastAsia="es-ES_tradnl"/>
        </w:rPr>
        <w:t>os contratos</w:t>
      </w:r>
      <w:r w:rsidR="004F0B24">
        <w:rPr>
          <w:rFonts w:ascii="Arial" w:hAnsi="Arial" w:cs="Arial"/>
          <w:sz w:val="22"/>
          <w:lang w:val="es-ES" w:eastAsia="es-ES_tradnl"/>
        </w:rPr>
        <w:t xml:space="preserve"> </w:t>
      </w:r>
      <w:r>
        <w:rPr>
          <w:rFonts w:ascii="Arial" w:hAnsi="Arial" w:cs="Arial"/>
          <w:sz w:val="22"/>
          <w:lang w:val="es-ES" w:eastAsia="es-ES_tradnl"/>
        </w:rPr>
        <w:t>que celebren las entidades estatales</w:t>
      </w:r>
      <w:r w:rsidR="004F0B24">
        <w:rPr>
          <w:rFonts w:ascii="Arial" w:hAnsi="Arial" w:cs="Arial"/>
          <w:sz w:val="22"/>
          <w:lang w:val="es-ES" w:eastAsia="es-ES_tradnl"/>
        </w:rPr>
        <w:t xml:space="preserve"> en virtud de la Ley 80 de 1993 se rigen por las disposiciones civiles y comerciales salvo lo expresamente allí regulado, y en armonía con lo previsto en el Código Civil, el Estatuto General de Contratación de la Administración Pública   -EGCAP- define la noción de contrato estatal como “(…)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 En otras palabras, un contrato estatal es cualquier acto jurídico generador </w:t>
      </w:r>
      <w:r w:rsidR="00472908">
        <w:rPr>
          <w:rFonts w:ascii="Arial" w:hAnsi="Arial" w:cs="Arial"/>
          <w:sz w:val="22"/>
          <w:lang w:val="es-ES" w:eastAsia="es-ES_tradnl"/>
        </w:rPr>
        <w:t>de obligaciones que celebren las entidades estatales a las que dicha Ley se refiere, previstos en el derecho privado o derivados del ejercicio de la autonomía de la voluntad.</w:t>
      </w:r>
    </w:p>
    <w:bookmarkEnd w:id="25"/>
    <w:p w14:paraId="0FFC5F38" w14:textId="22377F29" w:rsidR="00472908" w:rsidRDefault="00472908" w:rsidP="00C028B2">
      <w:pPr>
        <w:spacing w:after="120" w:line="276" w:lineRule="auto"/>
        <w:ind w:firstLine="708"/>
        <w:jc w:val="both"/>
        <w:rPr>
          <w:rFonts w:ascii="Arial" w:hAnsi="Arial" w:cs="Arial"/>
          <w:sz w:val="22"/>
          <w:lang w:val="es-ES" w:eastAsia="es-ES_tradnl"/>
        </w:rPr>
      </w:pPr>
      <w:r>
        <w:rPr>
          <w:rFonts w:ascii="Arial" w:hAnsi="Arial" w:cs="Arial"/>
          <w:sz w:val="22"/>
          <w:lang w:val="es-ES" w:eastAsia="es-ES_tradnl"/>
        </w:rPr>
        <w:t>Pero además de lo anterior, la Ley 80 de 1993 también facultó de manera expresa a las entidades estatales para celebrar contratos y los demás acuerdos que permitan la autonomía de la voluntad y requieran el cumplimiento de los fines estatales, así como la continua y eficiente prestación de servicios públicos</w:t>
      </w:r>
      <w:r>
        <w:rPr>
          <w:rStyle w:val="Refdenotaalpie"/>
          <w:rFonts w:ascii="Arial" w:hAnsi="Arial" w:cs="Arial"/>
          <w:sz w:val="22"/>
          <w:lang w:val="es-ES" w:eastAsia="es-ES_tradnl"/>
        </w:rPr>
        <w:footnoteReference w:id="3"/>
      </w:r>
      <w:r>
        <w:rPr>
          <w:rFonts w:ascii="Arial" w:hAnsi="Arial" w:cs="Arial"/>
          <w:sz w:val="22"/>
          <w:lang w:val="es-ES" w:eastAsia="es-ES_tradnl"/>
        </w:rPr>
        <w:t>. Esto significa que las entidades estatales que se rigen por la Ley 80 de 1993, en virtud de la reseñada autonomía de la voluntad, pueden celebrar todos los acuerdos, indistintamente de su denominación como contratos o convenios, etc., que requieran para el cumplimiento de sus objetivos misionales y la consecuente realización de los fines estatales. No en vano, la función administrativa está al servicio de los intereses generales y para ello las autoridades administrativas tienen la obligación de coordinar sus actuaciones con el objetivo de lograr el adecuado cumplimiento de los fines del Estado</w:t>
      </w:r>
      <w:r>
        <w:rPr>
          <w:rStyle w:val="Refdenotaalpie"/>
          <w:rFonts w:ascii="Arial" w:hAnsi="Arial" w:cs="Arial"/>
          <w:sz w:val="22"/>
          <w:lang w:val="es-ES" w:eastAsia="es-ES_tradnl"/>
        </w:rPr>
        <w:footnoteReference w:id="4"/>
      </w:r>
      <w:r>
        <w:rPr>
          <w:rFonts w:ascii="Arial" w:hAnsi="Arial" w:cs="Arial"/>
          <w:sz w:val="22"/>
          <w:lang w:val="es-ES" w:eastAsia="es-ES_tradnl"/>
        </w:rPr>
        <w:t>.</w:t>
      </w:r>
    </w:p>
    <w:p w14:paraId="33B34B39" w14:textId="74F71BE4" w:rsidR="00C028B2" w:rsidRPr="00C028B2" w:rsidRDefault="00472908" w:rsidP="00C028B2">
      <w:pPr>
        <w:spacing w:after="120" w:line="276" w:lineRule="auto"/>
        <w:ind w:firstLine="708"/>
        <w:jc w:val="both"/>
        <w:rPr>
          <w:rFonts w:ascii="Arial" w:hAnsi="Arial" w:cs="Arial"/>
          <w:sz w:val="22"/>
          <w:szCs w:val="22"/>
          <w:lang w:val="es-ES" w:eastAsia="es-ES_tradnl"/>
        </w:rPr>
      </w:pPr>
      <w:r>
        <w:rPr>
          <w:rFonts w:ascii="Arial" w:hAnsi="Arial" w:cs="Arial"/>
          <w:sz w:val="22"/>
          <w:lang w:val="es-ES" w:eastAsia="es-ES_tradnl"/>
        </w:rPr>
        <w:t>Ahora,</w:t>
      </w:r>
      <w:r w:rsidR="00782B79">
        <w:rPr>
          <w:rFonts w:ascii="Arial" w:hAnsi="Arial" w:cs="Arial"/>
          <w:sz w:val="22"/>
          <w:lang w:val="es-ES" w:eastAsia="es-ES_tradnl"/>
        </w:rPr>
        <w:t xml:space="preserve"> es de relievar </w:t>
      </w:r>
      <w:r>
        <w:rPr>
          <w:rFonts w:ascii="Arial" w:hAnsi="Arial" w:cs="Arial"/>
          <w:sz w:val="22"/>
          <w:lang w:val="es-ES" w:eastAsia="es-ES_tradnl"/>
        </w:rPr>
        <w:t xml:space="preserve">que la tipología contractual referente al contrato interadministrativo fue creada en </w:t>
      </w:r>
      <w:r w:rsidR="00C028B2">
        <w:rPr>
          <w:rFonts w:ascii="Arial" w:hAnsi="Arial" w:cs="Arial"/>
          <w:sz w:val="22"/>
          <w:lang w:val="es-ES" w:eastAsia="es-ES_tradnl"/>
        </w:rPr>
        <w:t>la Ley 80 de 1993 y, aunque en esta preceptiva no la definió ni desarrolló, el Decreto 1082 de 2015 “</w:t>
      </w:r>
      <w:r w:rsidR="00F569B7" w:rsidRPr="00F569B7">
        <w:rPr>
          <w:rFonts w:ascii="Arial" w:hAnsi="Arial" w:cs="Arial"/>
          <w:i/>
          <w:iCs/>
          <w:sz w:val="22"/>
          <w:lang w:val="es-ES" w:eastAsia="es-ES_tradnl"/>
        </w:rPr>
        <w:t xml:space="preserve">Por medio del cual se expide el Decreto único </w:t>
      </w:r>
      <w:r w:rsidR="00C028B2">
        <w:rPr>
          <w:rFonts w:ascii="Arial" w:hAnsi="Arial" w:cs="Arial"/>
          <w:i/>
          <w:iCs/>
          <w:sz w:val="22"/>
          <w:lang w:val="es-ES" w:eastAsia="es-ES_tradnl"/>
        </w:rPr>
        <w:t>R</w:t>
      </w:r>
      <w:r w:rsidR="00F569B7" w:rsidRPr="00F569B7">
        <w:rPr>
          <w:rFonts w:ascii="Arial" w:hAnsi="Arial" w:cs="Arial"/>
          <w:i/>
          <w:iCs/>
          <w:sz w:val="22"/>
          <w:lang w:val="es-ES" w:eastAsia="es-ES_tradnl"/>
        </w:rPr>
        <w:t xml:space="preserve">eglamentario del </w:t>
      </w:r>
      <w:r w:rsidR="00C028B2">
        <w:rPr>
          <w:rFonts w:ascii="Arial" w:hAnsi="Arial" w:cs="Arial"/>
          <w:i/>
          <w:iCs/>
          <w:sz w:val="22"/>
          <w:lang w:val="es-ES" w:eastAsia="es-ES_tradnl"/>
        </w:rPr>
        <w:t>S</w:t>
      </w:r>
      <w:r w:rsidR="00F569B7" w:rsidRPr="00F569B7">
        <w:rPr>
          <w:rFonts w:ascii="Arial" w:hAnsi="Arial" w:cs="Arial"/>
          <w:i/>
          <w:iCs/>
          <w:sz w:val="22"/>
          <w:lang w:val="es-ES" w:eastAsia="es-ES_tradnl"/>
        </w:rPr>
        <w:t xml:space="preserve">ector </w:t>
      </w:r>
      <w:r w:rsidR="00C028B2">
        <w:rPr>
          <w:rFonts w:ascii="Arial" w:hAnsi="Arial" w:cs="Arial"/>
          <w:i/>
          <w:iCs/>
          <w:sz w:val="22"/>
          <w:lang w:val="es-ES" w:eastAsia="es-ES_tradnl"/>
        </w:rPr>
        <w:t>A</w:t>
      </w:r>
      <w:r w:rsidR="00F569B7" w:rsidRPr="00F569B7">
        <w:rPr>
          <w:rFonts w:ascii="Arial" w:hAnsi="Arial" w:cs="Arial"/>
          <w:i/>
          <w:iCs/>
          <w:sz w:val="22"/>
          <w:lang w:val="es-ES" w:eastAsia="es-ES_tradnl"/>
        </w:rPr>
        <w:t xml:space="preserve">dministrativo de </w:t>
      </w:r>
      <w:r w:rsidR="00C028B2">
        <w:rPr>
          <w:rFonts w:ascii="Arial" w:hAnsi="Arial" w:cs="Arial"/>
          <w:i/>
          <w:iCs/>
          <w:sz w:val="22"/>
          <w:lang w:val="es-ES" w:eastAsia="es-ES_tradnl"/>
        </w:rPr>
        <w:t>P</w:t>
      </w:r>
      <w:r w:rsidR="00F569B7" w:rsidRPr="00F569B7">
        <w:rPr>
          <w:rFonts w:ascii="Arial" w:hAnsi="Arial" w:cs="Arial"/>
          <w:i/>
          <w:iCs/>
          <w:sz w:val="22"/>
          <w:lang w:val="es-ES" w:eastAsia="es-ES_tradnl"/>
        </w:rPr>
        <w:t xml:space="preserve">laneación </w:t>
      </w:r>
      <w:r w:rsidR="00C028B2">
        <w:rPr>
          <w:rFonts w:ascii="Arial" w:hAnsi="Arial" w:cs="Arial"/>
          <w:i/>
          <w:iCs/>
          <w:sz w:val="22"/>
          <w:lang w:val="es-ES" w:eastAsia="es-ES_tradnl"/>
        </w:rPr>
        <w:t>N</w:t>
      </w:r>
      <w:r w:rsidR="00F569B7" w:rsidRPr="00F569B7">
        <w:rPr>
          <w:rFonts w:ascii="Arial" w:hAnsi="Arial" w:cs="Arial"/>
          <w:i/>
          <w:iCs/>
          <w:sz w:val="22"/>
          <w:lang w:val="es-ES" w:eastAsia="es-ES_tradnl"/>
        </w:rPr>
        <w:t>acional</w:t>
      </w:r>
      <w:r w:rsidR="00C028B2">
        <w:rPr>
          <w:rFonts w:ascii="Arial" w:hAnsi="Arial" w:cs="Arial"/>
          <w:i/>
          <w:iCs/>
          <w:sz w:val="22"/>
          <w:lang w:val="es-ES" w:eastAsia="es-ES_tradnl"/>
        </w:rPr>
        <w:t>”</w:t>
      </w:r>
      <w:r w:rsidR="00F569B7" w:rsidRPr="00F569B7">
        <w:rPr>
          <w:rFonts w:ascii="Arial" w:hAnsi="Arial" w:cs="Arial"/>
          <w:i/>
          <w:iCs/>
          <w:sz w:val="22"/>
          <w:lang w:val="es-ES" w:eastAsia="es-ES_tradnl"/>
        </w:rPr>
        <w:t>,</w:t>
      </w:r>
      <w:r w:rsidR="00F569B7" w:rsidRPr="00F569B7">
        <w:rPr>
          <w:rFonts w:ascii="Arial" w:hAnsi="Arial" w:cs="Arial"/>
          <w:sz w:val="22"/>
          <w:lang w:val="es-ES" w:eastAsia="es-ES_tradnl"/>
        </w:rPr>
        <w:t xml:space="preserve"> </w:t>
      </w:r>
      <w:r w:rsidR="00C028B2">
        <w:rPr>
          <w:rFonts w:ascii="Arial" w:hAnsi="Arial" w:cs="Arial"/>
          <w:sz w:val="22"/>
          <w:lang w:val="es-ES" w:eastAsia="es-ES_tradnl"/>
        </w:rPr>
        <w:t>establece que los contratos o convenios interadministrativos hacen parte de</w:t>
      </w:r>
      <w:r w:rsidR="00C028B2" w:rsidRPr="00C028B2">
        <w:rPr>
          <w:rFonts w:ascii="Arial" w:hAnsi="Arial" w:cs="Arial"/>
          <w:sz w:val="22"/>
          <w:szCs w:val="22"/>
          <w:lang w:val="es-ES" w:eastAsia="es-ES_tradnl"/>
        </w:rPr>
        <w:t xml:space="preserve"> la contratación entre entidades estatales</w:t>
      </w:r>
      <w:r w:rsidR="00C028B2" w:rsidRPr="00C028B2">
        <w:rPr>
          <w:rStyle w:val="Refdenotaalpie"/>
          <w:rFonts w:ascii="Arial" w:hAnsi="Arial" w:cs="Arial"/>
          <w:sz w:val="22"/>
          <w:szCs w:val="22"/>
          <w:lang w:val="es-ES" w:eastAsia="es-ES_tradnl"/>
        </w:rPr>
        <w:footnoteReference w:id="5"/>
      </w:r>
      <w:r w:rsidR="00C028B2" w:rsidRPr="00C028B2">
        <w:rPr>
          <w:rFonts w:ascii="Arial" w:hAnsi="Arial" w:cs="Arial"/>
          <w:sz w:val="22"/>
          <w:szCs w:val="22"/>
          <w:lang w:val="es-ES" w:eastAsia="es-ES_tradnl"/>
        </w:rPr>
        <w:t>.</w:t>
      </w:r>
    </w:p>
    <w:p w14:paraId="3555FFBF" w14:textId="77777777" w:rsidR="00D02BC5" w:rsidRDefault="00D02BC5" w:rsidP="00D02BC5">
      <w:pPr>
        <w:spacing w:after="120" w:line="276" w:lineRule="auto"/>
        <w:ind w:firstLine="708"/>
        <w:jc w:val="both"/>
        <w:rPr>
          <w:rFonts w:ascii="Arial" w:hAnsi="Arial" w:cs="Arial"/>
          <w:sz w:val="22"/>
          <w:szCs w:val="22"/>
          <w:lang w:val="es-ES" w:eastAsia="es-ES_tradnl"/>
        </w:rPr>
      </w:pPr>
      <w:bookmarkStart w:id="26" w:name="_Hlk136168432"/>
      <w:r>
        <w:rPr>
          <w:rFonts w:ascii="Arial" w:hAnsi="Arial" w:cs="Arial"/>
          <w:sz w:val="22"/>
          <w:szCs w:val="22"/>
          <w:lang w:val="es-ES" w:eastAsia="es-ES_tradnl"/>
        </w:rPr>
        <w:lastRenderedPageBreak/>
        <w:t>Como se puede apreciar</w:t>
      </w:r>
      <w:r w:rsidR="00C028B2" w:rsidRPr="00C028B2">
        <w:rPr>
          <w:rFonts w:ascii="Arial" w:hAnsi="Arial" w:cs="Arial"/>
          <w:sz w:val="22"/>
          <w:szCs w:val="22"/>
          <w:lang w:val="es-ES" w:eastAsia="es-ES_tradnl"/>
        </w:rPr>
        <w:t>,</w:t>
      </w:r>
      <w:r>
        <w:rPr>
          <w:rFonts w:ascii="Arial" w:hAnsi="Arial" w:cs="Arial"/>
          <w:sz w:val="22"/>
          <w:szCs w:val="22"/>
          <w:lang w:val="es-ES" w:eastAsia="es-ES_tradnl"/>
        </w:rPr>
        <w:t xml:space="preserve"> </w:t>
      </w:r>
      <w:r w:rsidR="00C028B2" w:rsidRPr="00C028B2">
        <w:rPr>
          <w:rFonts w:ascii="Arial" w:hAnsi="Arial" w:cs="Arial"/>
          <w:sz w:val="22"/>
          <w:szCs w:val="22"/>
          <w:lang w:val="es-ES" w:eastAsia="es-ES_tradnl"/>
        </w:rPr>
        <w:t>la disposición reglamentaria parece equiparar las nociones de contrato y convenio interadministrativo, bajo el concepto general de acuerdo en el que concurre la voluntad de dos o más personas jurídicas de derecho público</w:t>
      </w:r>
      <w:r w:rsidR="00C028B2">
        <w:rPr>
          <w:rFonts w:ascii="Arial" w:hAnsi="Arial" w:cs="Arial"/>
          <w:sz w:val="22"/>
          <w:szCs w:val="22"/>
          <w:lang w:val="es-ES" w:eastAsia="es-ES_tradnl"/>
        </w:rPr>
        <w:t xml:space="preserve"> </w:t>
      </w:r>
      <w:r w:rsidR="00105A5E">
        <w:rPr>
          <w:rFonts w:ascii="Arial" w:hAnsi="Arial" w:cs="Arial"/>
          <w:sz w:val="22"/>
          <w:szCs w:val="22"/>
          <w:lang w:val="es-ES" w:eastAsia="es-ES_tradnl"/>
        </w:rPr>
        <w:t xml:space="preserve">a fin de </w:t>
      </w:r>
      <w:r w:rsidR="00F569B7" w:rsidRPr="00F569B7">
        <w:rPr>
          <w:rFonts w:ascii="Arial" w:hAnsi="Arial" w:cs="Arial"/>
          <w:sz w:val="22"/>
          <w:szCs w:val="22"/>
          <w:lang w:val="es-ES" w:eastAsia="es-ES_tradnl"/>
        </w:rPr>
        <w:t>cumplir, en el marco de sus objetivos misionales y sus competencias,</w:t>
      </w:r>
      <w:r w:rsidR="00C028B2">
        <w:rPr>
          <w:rFonts w:ascii="Arial" w:hAnsi="Arial" w:cs="Arial"/>
          <w:sz w:val="22"/>
          <w:szCs w:val="22"/>
          <w:lang w:val="es-ES" w:eastAsia="es-ES_tradnl"/>
        </w:rPr>
        <w:t xml:space="preserve"> </w:t>
      </w:r>
      <w:r w:rsidR="00105A5E">
        <w:rPr>
          <w:rFonts w:ascii="Arial" w:hAnsi="Arial" w:cs="Arial"/>
          <w:sz w:val="22"/>
          <w:szCs w:val="22"/>
          <w:lang w:val="es-ES" w:eastAsia="es-ES_tradnl"/>
        </w:rPr>
        <w:t xml:space="preserve">con </w:t>
      </w:r>
      <w:r w:rsidR="00F569B7" w:rsidRPr="00F569B7">
        <w:rPr>
          <w:rFonts w:ascii="Arial" w:hAnsi="Arial" w:cs="Arial"/>
          <w:sz w:val="22"/>
          <w:szCs w:val="22"/>
          <w:lang w:val="es-ES" w:eastAsia="es-ES_tradnl"/>
        </w:rPr>
        <w:t xml:space="preserve">los fines </w:t>
      </w:r>
      <w:r w:rsidR="00105A5E">
        <w:rPr>
          <w:rFonts w:ascii="Arial" w:hAnsi="Arial" w:cs="Arial"/>
          <w:sz w:val="22"/>
          <w:szCs w:val="22"/>
          <w:lang w:val="es-ES" w:eastAsia="es-ES_tradnl"/>
        </w:rPr>
        <w:t xml:space="preserve">y cometidos </w:t>
      </w:r>
      <w:r w:rsidR="00F569B7" w:rsidRPr="00F569B7">
        <w:rPr>
          <w:rFonts w:ascii="Arial" w:hAnsi="Arial" w:cs="Arial"/>
          <w:sz w:val="22"/>
          <w:szCs w:val="22"/>
          <w:lang w:val="es-ES" w:eastAsia="es-ES_tradnl"/>
        </w:rPr>
        <w:t>del Estado.</w:t>
      </w:r>
    </w:p>
    <w:p w14:paraId="5A668B95" w14:textId="5ADEEDED" w:rsidR="00105A5E" w:rsidRDefault="00105A5E" w:rsidP="00D02BC5">
      <w:pPr>
        <w:spacing w:after="120" w:line="276" w:lineRule="auto"/>
        <w:ind w:firstLine="708"/>
        <w:jc w:val="both"/>
        <w:rPr>
          <w:rFonts w:ascii="Arial" w:eastAsia="Calibri" w:hAnsi="Arial" w:cs="Arial"/>
          <w:sz w:val="22"/>
          <w:szCs w:val="22"/>
          <w:lang w:eastAsia="en-US"/>
        </w:rPr>
      </w:pPr>
      <w:r>
        <w:rPr>
          <w:rFonts w:ascii="Arial" w:hAnsi="Arial" w:cs="Arial"/>
          <w:sz w:val="22"/>
          <w:szCs w:val="22"/>
          <w:lang w:val="es-ES" w:eastAsia="es-ES_tradnl"/>
        </w:rPr>
        <w:t>P</w:t>
      </w:r>
      <w:r>
        <w:rPr>
          <w:rFonts w:ascii="Arial" w:hAnsi="Arial" w:cs="Arial"/>
          <w:sz w:val="22"/>
          <w:szCs w:val="22"/>
          <w:lang w:val="es-ES_tradnl" w:eastAsia="es-ES_tradnl"/>
        </w:rPr>
        <w:t xml:space="preserve">ara precisar </w:t>
      </w:r>
      <w:r w:rsidR="00F569B7" w:rsidRPr="00F569B7">
        <w:rPr>
          <w:rFonts w:ascii="Arial" w:hAnsi="Arial" w:cs="Arial"/>
          <w:sz w:val="22"/>
          <w:szCs w:val="22"/>
          <w:lang w:val="es-ES" w:eastAsia="es-ES_tradnl"/>
        </w:rPr>
        <w:t>el alcance que tiene cada una de estas figuras</w:t>
      </w:r>
      <w:r>
        <w:rPr>
          <w:rFonts w:ascii="Arial" w:hAnsi="Arial" w:cs="Arial"/>
          <w:sz w:val="22"/>
          <w:szCs w:val="22"/>
          <w:lang w:val="es-ES" w:eastAsia="es-ES_tradnl"/>
        </w:rPr>
        <w:t xml:space="preserve">, </w:t>
      </w:r>
      <w:r w:rsidR="00F569B7" w:rsidRPr="00F569B7">
        <w:rPr>
          <w:rFonts w:ascii="Arial" w:hAnsi="Arial" w:cs="Arial"/>
          <w:sz w:val="22"/>
          <w:szCs w:val="22"/>
          <w:lang w:val="es-ES" w:eastAsia="es-ES_tradnl"/>
        </w:rPr>
        <w:t>resulta pertinente</w:t>
      </w:r>
      <w:r>
        <w:rPr>
          <w:rFonts w:ascii="Arial" w:hAnsi="Arial" w:cs="Arial"/>
          <w:sz w:val="22"/>
          <w:szCs w:val="22"/>
          <w:lang w:val="es-ES" w:eastAsia="es-ES_tradnl"/>
        </w:rPr>
        <w:t xml:space="preserve"> </w:t>
      </w:r>
      <w:r w:rsidR="00D02BC5">
        <w:rPr>
          <w:rFonts w:ascii="Arial" w:hAnsi="Arial" w:cs="Arial"/>
          <w:sz w:val="22"/>
          <w:szCs w:val="22"/>
          <w:lang w:val="es-ES" w:eastAsia="es-ES_tradnl"/>
        </w:rPr>
        <w:t xml:space="preserve">resaltar </w:t>
      </w:r>
      <w:r w:rsidR="00F569B7" w:rsidRPr="00F569B7">
        <w:rPr>
          <w:rFonts w:ascii="Arial" w:hAnsi="Arial" w:cs="Arial"/>
          <w:sz w:val="22"/>
          <w:szCs w:val="22"/>
          <w:lang w:val="es-ES" w:eastAsia="es-ES_tradnl"/>
        </w:rPr>
        <w:t>que,</w:t>
      </w:r>
      <w:r>
        <w:rPr>
          <w:rFonts w:ascii="Arial" w:hAnsi="Arial" w:cs="Arial"/>
          <w:sz w:val="22"/>
          <w:szCs w:val="22"/>
          <w:lang w:val="es-ES" w:eastAsia="es-ES_tradnl"/>
        </w:rPr>
        <w:t xml:space="preserve"> </w:t>
      </w:r>
      <w:r w:rsidR="00F569B7" w:rsidRPr="00F569B7">
        <w:rPr>
          <w:rFonts w:ascii="Arial" w:hAnsi="Arial" w:cs="Arial"/>
          <w:sz w:val="22"/>
          <w:szCs w:val="22"/>
          <w:lang w:val="es-ES" w:eastAsia="es-ES_tradnl"/>
        </w:rPr>
        <w:t>en con</w:t>
      </w:r>
      <w:r>
        <w:rPr>
          <w:rFonts w:ascii="Arial" w:hAnsi="Arial" w:cs="Arial"/>
          <w:sz w:val="22"/>
          <w:szCs w:val="22"/>
          <w:lang w:val="es-ES" w:eastAsia="es-ES_tradnl"/>
        </w:rPr>
        <w:t xml:space="preserve">sonancia </w:t>
      </w:r>
      <w:r w:rsidR="00F569B7" w:rsidRPr="00F569B7">
        <w:rPr>
          <w:rFonts w:ascii="Arial" w:hAnsi="Arial" w:cs="Arial"/>
          <w:sz w:val="22"/>
          <w:szCs w:val="22"/>
          <w:lang w:val="es-ES" w:eastAsia="es-ES_tradnl"/>
        </w:rPr>
        <w:t>con el artículo 209 de la Constitución Política</w:t>
      </w:r>
      <w:r w:rsidR="00F569B7" w:rsidRPr="00F569B7">
        <w:rPr>
          <w:rFonts w:ascii="Arial" w:hAnsi="Arial" w:cs="Arial"/>
          <w:sz w:val="22"/>
          <w:szCs w:val="22"/>
          <w:vertAlign w:val="superscript"/>
          <w:lang w:val="es-ES" w:eastAsia="es-ES_tradnl"/>
        </w:rPr>
        <w:footnoteReference w:id="6"/>
      </w:r>
      <w:r w:rsidR="00F569B7" w:rsidRPr="00F569B7">
        <w:rPr>
          <w:rFonts w:ascii="Arial" w:hAnsi="Arial" w:cs="Arial"/>
          <w:sz w:val="22"/>
          <w:szCs w:val="22"/>
          <w:lang w:val="es-ES" w:eastAsia="es-ES_tradnl"/>
        </w:rPr>
        <w:t>,</w:t>
      </w:r>
      <w:r>
        <w:rPr>
          <w:rFonts w:ascii="Arial" w:hAnsi="Arial" w:cs="Arial"/>
          <w:sz w:val="22"/>
          <w:szCs w:val="22"/>
          <w:lang w:val="es-ES" w:eastAsia="es-ES_tradnl"/>
        </w:rPr>
        <w:t xml:space="preserve"> </w:t>
      </w:r>
      <w:r w:rsidR="00F569B7" w:rsidRPr="00F569B7">
        <w:rPr>
          <w:rFonts w:ascii="Arial" w:hAnsi="Arial" w:cs="Arial"/>
          <w:sz w:val="22"/>
          <w:szCs w:val="22"/>
          <w:lang w:val="es-ES" w:eastAsia="es-ES_tradnl"/>
        </w:rPr>
        <w:t>del que se desprende</w:t>
      </w:r>
      <w:r w:rsidR="00DD759F">
        <w:rPr>
          <w:rFonts w:ascii="Arial" w:hAnsi="Arial" w:cs="Arial"/>
          <w:sz w:val="22"/>
          <w:szCs w:val="22"/>
          <w:lang w:val="es-ES" w:eastAsia="es-ES_tradnl"/>
        </w:rPr>
        <w:t>n</w:t>
      </w:r>
      <w:r w:rsidR="00F569B7" w:rsidRPr="00F569B7">
        <w:rPr>
          <w:rFonts w:ascii="Arial" w:hAnsi="Arial" w:cs="Arial"/>
          <w:sz w:val="22"/>
          <w:szCs w:val="22"/>
          <w:lang w:val="es-ES" w:eastAsia="es-ES_tradnl"/>
        </w:rPr>
        <w:t xml:space="preserve"> l</w:t>
      </w:r>
      <w:r w:rsidR="00DD759F">
        <w:rPr>
          <w:rFonts w:ascii="Arial" w:hAnsi="Arial" w:cs="Arial"/>
          <w:sz w:val="22"/>
          <w:szCs w:val="22"/>
          <w:lang w:val="es-ES" w:eastAsia="es-ES_tradnl"/>
        </w:rPr>
        <w:t>os</w:t>
      </w:r>
      <w:r w:rsidR="00F569B7" w:rsidRPr="00F569B7">
        <w:rPr>
          <w:rFonts w:ascii="Arial" w:hAnsi="Arial" w:cs="Arial"/>
          <w:sz w:val="22"/>
          <w:szCs w:val="22"/>
          <w:lang w:val="es-ES" w:eastAsia="es-ES_tradnl"/>
        </w:rPr>
        <w:t xml:space="preserve"> deber</w:t>
      </w:r>
      <w:r w:rsidR="00DD759F">
        <w:rPr>
          <w:rFonts w:ascii="Arial" w:hAnsi="Arial" w:cs="Arial"/>
          <w:sz w:val="22"/>
          <w:szCs w:val="22"/>
          <w:lang w:val="es-ES" w:eastAsia="es-ES_tradnl"/>
        </w:rPr>
        <w:t xml:space="preserve">es </w:t>
      </w:r>
      <w:r w:rsidR="00F569B7" w:rsidRPr="00F569B7">
        <w:rPr>
          <w:rFonts w:ascii="Arial" w:hAnsi="Arial" w:cs="Arial"/>
          <w:sz w:val="22"/>
          <w:szCs w:val="22"/>
          <w:lang w:val="es-ES" w:eastAsia="es-ES_tradnl"/>
        </w:rPr>
        <w:t xml:space="preserve">de coordinación </w:t>
      </w:r>
      <w:r>
        <w:rPr>
          <w:rFonts w:ascii="Arial" w:hAnsi="Arial" w:cs="Arial"/>
          <w:sz w:val="22"/>
          <w:szCs w:val="22"/>
          <w:lang w:val="es-ES" w:eastAsia="es-ES_tradnl"/>
        </w:rPr>
        <w:t xml:space="preserve">y colaboración </w:t>
      </w:r>
      <w:r w:rsidR="00F569B7" w:rsidRPr="00F569B7">
        <w:rPr>
          <w:rFonts w:ascii="Arial" w:hAnsi="Arial" w:cs="Arial"/>
          <w:sz w:val="22"/>
          <w:szCs w:val="22"/>
          <w:lang w:val="es-ES" w:eastAsia="es-ES_tradnl"/>
        </w:rPr>
        <w:t>a cargo de todas las autoridades administrativas,</w:t>
      </w:r>
      <w:r w:rsidR="00F569B7" w:rsidRPr="00F569B7">
        <w:rPr>
          <w:rFonts w:ascii="Arial" w:eastAsia="Calibri" w:hAnsi="Arial" w:cs="Arial"/>
          <w:sz w:val="22"/>
          <w:szCs w:val="22"/>
          <w:lang w:eastAsia="en-US"/>
        </w:rPr>
        <w:t xml:space="preserve"> </w:t>
      </w:r>
      <w:r>
        <w:rPr>
          <w:rFonts w:ascii="Arial" w:eastAsia="Calibri" w:hAnsi="Arial" w:cs="Arial"/>
          <w:sz w:val="22"/>
          <w:szCs w:val="22"/>
          <w:lang w:eastAsia="en-US"/>
        </w:rPr>
        <w:t xml:space="preserve">el </w:t>
      </w:r>
      <w:r w:rsidR="00F569B7" w:rsidRPr="00F569B7">
        <w:rPr>
          <w:rFonts w:ascii="Arial" w:eastAsia="Calibri" w:hAnsi="Arial" w:cs="Arial"/>
          <w:sz w:val="22"/>
          <w:szCs w:val="22"/>
          <w:lang w:eastAsia="en-US"/>
        </w:rPr>
        <w:t>artículo</w:t>
      </w:r>
      <w:r>
        <w:rPr>
          <w:rFonts w:ascii="Arial" w:eastAsia="Calibri" w:hAnsi="Arial" w:cs="Arial"/>
          <w:sz w:val="22"/>
          <w:szCs w:val="22"/>
          <w:lang w:eastAsia="en-US"/>
        </w:rPr>
        <w:t xml:space="preserve"> </w:t>
      </w:r>
      <w:r w:rsidR="00F569B7" w:rsidRPr="00F569B7">
        <w:rPr>
          <w:rFonts w:ascii="Arial" w:eastAsia="Calibri" w:hAnsi="Arial" w:cs="Arial"/>
          <w:sz w:val="22"/>
          <w:szCs w:val="22"/>
          <w:lang w:eastAsia="en-US"/>
        </w:rPr>
        <w:t>95 de la Ley 489 de 1998</w:t>
      </w:r>
      <w:r>
        <w:rPr>
          <w:rStyle w:val="Refdenotaalpie"/>
          <w:rFonts w:ascii="Arial" w:eastAsia="Calibri" w:hAnsi="Arial" w:cs="Arial"/>
          <w:sz w:val="22"/>
          <w:szCs w:val="22"/>
          <w:lang w:eastAsia="en-US"/>
        </w:rPr>
        <w:footnoteReference w:id="7"/>
      </w:r>
      <w:r>
        <w:rPr>
          <w:rFonts w:ascii="Arial" w:eastAsia="Calibri" w:hAnsi="Arial" w:cs="Arial"/>
          <w:sz w:val="22"/>
          <w:szCs w:val="22"/>
          <w:lang w:eastAsia="en-US"/>
        </w:rPr>
        <w:t xml:space="preserve"> dispone que “</w:t>
      </w:r>
      <w:r w:rsidRPr="00D02BC5">
        <w:rPr>
          <w:rFonts w:ascii="Arial" w:eastAsia="Calibri" w:hAnsi="Arial" w:cs="Arial"/>
          <w:b/>
          <w:bCs/>
          <w:sz w:val="22"/>
          <w:szCs w:val="22"/>
          <w:lang w:eastAsia="en-US"/>
        </w:rPr>
        <w:t>las entidades públicas podrán asociarse con el fin de cooperar en el cumplimiento</w:t>
      </w:r>
      <w:r w:rsidR="00D02BC5" w:rsidRPr="00D02BC5">
        <w:rPr>
          <w:rFonts w:ascii="Arial" w:eastAsia="Calibri" w:hAnsi="Arial" w:cs="Arial"/>
          <w:b/>
          <w:bCs/>
          <w:sz w:val="22"/>
          <w:szCs w:val="22"/>
          <w:lang w:eastAsia="en-US"/>
        </w:rPr>
        <w:t xml:space="preserve"> de funciones administrativas o de prestar conjuntamente servicios que se hallen a su cargo mediante la celebración de convenios interadministrativos</w:t>
      </w:r>
      <w:r w:rsidR="00D02BC5">
        <w:rPr>
          <w:rFonts w:ascii="Arial" w:eastAsia="Calibri" w:hAnsi="Arial" w:cs="Arial"/>
          <w:sz w:val="22"/>
          <w:szCs w:val="22"/>
          <w:lang w:eastAsia="en-US"/>
        </w:rPr>
        <w:t xml:space="preserve"> (…)</w:t>
      </w:r>
      <w:r>
        <w:rPr>
          <w:rFonts w:ascii="Arial" w:eastAsia="Calibri" w:hAnsi="Arial" w:cs="Arial"/>
          <w:sz w:val="22"/>
          <w:szCs w:val="22"/>
          <w:lang w:eastAsia="en-US"/>
        </w:rPr>
        <w:t>”</w:t>
      </w:r>
      <w:r w:rsidR="00BC3059">
        <w:rPr>
          <w:rStyle w:val="Refdenotaalpie"/>
          <w:rFonts w:ascii="Arial" w:eastAsia="Calibri" w:hAnsi="Arial" w:cs="Arial"/>
          <w:sz w:val="22"/>
          <w:szCs w:val="22"/>
          <w:lang w:eastAsia="en-US"/>
        </w:rPr>
        <w:footnoteReference w:id="8"/>
      </w:r>
      <w:r w:rsidR="00D02BC5">
        <w:rPr>
          <w:rFonts w:ascii="Arial" w:eastAsia="Calibri" w:hAnsi="Arial" w:cs="Arial"/>
          <w:sz w:val="22"/>
          <w:szCs w:val="22"/>
          <w:lang w:eastAsia="en-US"/>
        </w:rPr>
        <w:t xml:space="preserve"> (Negrillas no originales).</w:t>
      </w:r>
      <w:r w:rsidR="00DD759F">
        <w:rPr>
          <w:rFonts w:ascii="Arial" w:eastAsia="Calibri" w:hAnsi="Arial" w:cs="Arial"/>
          <w:sz w:val="22"/>
          <w:szCs w:val="22"/>
          <w:lang w:eastAsia="en-US"/>
        </w:rPr>
        <w:t xml:space="preserve"> De suerte que si bien la Ley 80 de 1993 faculta a las entidades estatales para celebrar cualquier acto jurídico generador de obligaciones, la norma en cita regula en forma particular la figura del convenio interadministrativo y define los </w:t>
      </w:r>
      <w:bookmarkStart w:id="27" w:name="_Hlk136171521"/>
      <w:r w:rsidR="00DD759F">
        <w:rPr>
          <w:rFonts w:ascii="Arial" w:eastAsia="Calibri" w:hAnsi="Arial" w:cs="Arial"/>
          <w:sz w:val="22"/>
          <w:szCs w:val="22"/>
          <w:lang w:eastAsia="en-US"/>
        </w:rPr>
        <w:t>elementos que caracterizan a este tipo de negocio jurídico.</w:t>
      </w:r>
    </w:p>
    <w:bookmarkEnd w:id="26"/>
    <w:p w14:paraId="229CC1D2" w14:textId="6DE2C423" w:rsidR="00DD759F" w:rsidRDefault="00DD759F" w:rsidP="00D02BC5">
      <w:pPr>
        <w:spacing w:after="120" w:line="276" w:lineRule="auto"/>
        <w:ind w:firstLine="708"/>
        <w:jc w:val="both"/>
        <w:rPr>
          <w:rFonts w:ascii="Arial" w:eastAsia="Calibri" w:hAnsi="Arial" w:cs="Arial"/>
          <w:sz w:val="22"/>
          <w:szCs w:val="22"/>
          <w:lang w:eastAsia="en-US"/>
        </w:rPr>
      </w:pPr>
      <w:r>
        <w:rPr>
          <w:rFonts w:ascii="Arial" w:eastAsia="Calibri" w:hAnsi="Arial" w:cs="Arial"/>
          <w:sz w:val="22"/>
          <w:szCs w:val="22"/>
          <w:lang w:eastAsia="en-US"/>
        </w:rPr>
        <w:t>Sobre el alcance de los</w:t>
      </w:r>
      <w:r w:rsidR="00BC3059">
        <w:rPr>
          <w:rFonts w:ascii="Arial" w:eastAsia="Calibri" w:hAnsi="Arial" w:cs="Arial"/>
          <w:sz w:val="22"/>
          <w:szCs w:val="22"/>
          <w:lang w:eastAsia="en-US"/>
        </w:rPr>
        <w:t xml:space="preserve"> co</w:t>
      </w:r>
      <w:r>
        <w:rPr>
          <w:rFonts w:ascii="Arial" w:eastAsia="Calibri" w:hAnsi="Arial" w:cs="Arial"/>
          <w:sz w:val="22"/>
          <w:szCs w:val="22"/>
          <w:lang w:eastAsia="en-US"/>
        </w:rPr>
        <w:t>nvenios interadministrativos, el Consejo de Estado ha</w:t>
      </w:r>
      <w:r w:rsidR="00BC3059">
        <w:rPr>
          <w:rFonts w:ascii="Arial" w:eastAsia="Calibri" w:hAnsi="Arial" w:cs="Arial"/>
          <w:sz w:val="22"/>
          <w:szCs w:val="22"/>
          <w:lang w:eastAsia="en-US"/>
        </w:rPr>
        <w:t xml:space="preserve"> dejado en claro en su jurisprudencia </w:t>
      </w:r>
      <w:r>
        <w:rPr>
          <w:rFonts w:ascii="Arial" w:eastAsia="Calibri" w:hAnsi="Arial" w:cs="Arial"/>
          <w:sz w:val="22"/>
          <w:szCs w:val="22"/>
          <w:lang w:eastAsia="en-US"/>
        </w:rPr>
        <w:t>que:</w:t>
      </w:r>
    </w:p>
    <w:p w14:paraId="48FC5BDE" w14:textId="0D6E8E8A" w:rsidR="00BC3059" w:rsidRDefault="00DD759F" w:rsidP="005A74A5">
      <w:pPr>
        <w:ind w:left="709" w:right="714"/>
        <w:jc w:val="both"/>
        <w:rPr>
          <w:rFonts w:ascii="Arial" w:eastAsia="Calibri" w:hAnsi="Arial" w:cs="Arial"/>
          <w:bCs/>
          <w:sz w:val="21"/>
          <w:szCs w:val="21"/>
          <w:lang w:val="es-ES_tradnl" w:eastAsia="en-US"/>
        </w:rPr>
      </w:pPr>
      <w:bookmarkStart w:id="28" w:name="_Hlk136171501"/>
      <w:r w:rsidRPr="00BC3059">
        <w:rPr>
          <w:rFonts w:ascii="Arial" w:eastAsia="Calibri" w:hAnsi="Arial" w:cs="Arial"/>
          <w:bCs/>
          <w:sz w:val="21"/>
          <w:szCs w:val="21"/>
          <w:lang w:eastAsia="es-ES_tradnl"/>
        </w:rPr>
        <w:t>“(…)</w:t>
      </w:r>
      <w:r w:rsidR="00BC3059">
        <w:rPr>
          <w:rFonts w:ascii="Arial" w:eastAsia="Calibri" w:hAnsi="Arial" w:cs="Arial"/>
          <w:bCs/>
          <w:sz w:val="21"/>
          <w:szCs w:val="21"/>
          <w:lang w:eastAsia="es-ES_tradnl"/>
        </w:rPr>
        <w:t xml:space="preserve"> </w:t>
      </w:r>
      <w:r w:rsidR="00F569B7" w:rsidRPr="00F569B7">
        <w:rPr>
          <w:rFonts w:ascii="Arial" w:eastAsia="Calibri" w:hAnsi="Arial" w:cs="Arial"/>
          <w:bCs/>
          <w:sz w:val="21"/>
          <w:szCs w:val="21"/>
          <w:lang w:val="es-ES_tradnl" w:eastAsia="en-US"/>
        </w:rPr>
        <w:t>i) Constituyen verdaderos contratos en los términos del Código de Comercio cuando su objeto lo constituyen obligaciones patrimoniales. ii) Tienen como fuente la autonomía contractual. iii) Son contratos nominados, puesto que están mencionados por la ley. iv) Son contratos atípicos desde la perspectiva legal, dado que se advierte la ausencia de unas normas que de manera detallada los disciplinen, expliquen y desarrollen, como sí las tienen los contratos típicos, por ejemplo, compraventa, arrendamiento, mandato, etc. v) La normativa a la cual se encuentran sujetos en principio es la del Estatuto General de Contratación, en atención a que las partes que los celebran son entidades estatales y, por consiguiente, también se obligan a las disposiciones que resulten pertinentes del Código Civil y 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00BC3059" w:rsidRPr="00BC3059">
        <w:rPr>
          <w:rFonts w:ascii="Arial" w:eastAsia="Calibri" w:hAnsi="Arial" w:cs="Arial"/>
          <w:bCs/>
          <w:sz w:val="21"/>
          <w:szCs w:val="21"/>
          <w:lang w:val="es-ES_tradnl" w:eastAsia="en-US"/>
        </w:rPr>
        <w:t>”</w:t>
      </w:r>
      <w:bookmarkEnd w:id="28"/>
      <w:r w:rsidR="00BC3059" w:rsidRPr="00F569B7">
        <w:rPr>
          <w:rFonts w:ascii="Arial" w:hAnsi="Arial" w:cs="Arial"/>
          <w:sz w:val="21"/>
          <w:szCs w:val="21"/>
          <w:vertAlign w:val="superscript"/>
          <w:lang w:val="es-ES" w:eastAsia="es-ES_tradnl"/>
        </w:rPr>
        <w:footnoteReference w:id="9"/>
      </w:r>
      <w:r w:rsidR="00BC3059" w:rsidRPr="00BC3059">
        <w:rPr>
          <w:rFonts w:ascii="Arial" w:eastAsia="Calibri" w:hAnsi="Arial" w:cs="Arial"/>
          <w:bCs/>
          <w:sz w:val="21"/>
          <w:szCs w:val="21"/>
          <w:lang w:val="es-ES_tradnl" w:eastAsia="en-US"/>
        </w:rPr>
        <w:t>.</w:t>
      </w:r>
    </w:p>
    <w:p w14:paraId="052EA5CA" w14:textId="77777777" w:rsidR="00BC3059" w:rsidRDefault="00BC3059" w:rsidP="00BC3059">
      <w:pPr>
        <w:spacing w:line="276" w:lineRule="auto"/>
        <w:ind w:right="713"/>
        <w:jc w:val="both"/>
        <w:rPr>
          <w:rFonts w:ascii="Arial" w:hAnsi="Arial" w:cs="Arial"/>
          <w:sz w:val="22"/>
          <w:szCs w:val="22"/>
          <w:lang w:val="es-ES" w:eastAsia="es-ES_tradnl"/>
        </w:rPr>
      </w:pPr>
      <w:bookmarkStart w:id="29" w:name="_Hlk136173892"/>
    </w:p>
    <w:bookmarkEnd w:id="27"/>
    <w:p w14:paraId="6F52E9C4" w14:textId="30C8B860" w:rsidR="00BC3059" w:rsidRDefault="005037A4" w:rsidP="00BC3059">
      <w:pPr>
        <w:spacing w:after="120" w:line="276" w:lineRule="auto"/>
        <w:ind w:firstLine="708"/>
        <w:jc w:val="both"/>
        <w:rPr>
          <w:rFonts w:ascii="Arial" w:hAnsi="Arial" w:cs="Arial"/>
          <w:sz w:val="22"/>
          <w:szCs w:val="22"/>
          <w:lang w:val="es-ES" w:eastAsia="es-ES_tradnl"/>
        </w:rPr>
      </w:pPr>
      <w:r>
        <w:rPr>
          <w:rFonts w:ascii="Arial" w:hAnsi="Arial" w:cs="Arial"/>
          <w:sz w:val="22"/>
          <w:szCs w:val="22"/>
          <w:lang w:val="es-ES" w:eastAsia="es-ES_tradnl"/>
        </w:rPr>
        <w:lastRenderedPageBreak/>
        <w:t>De otra parte</w:t>
      </w:r>
      <w:r w:rsidR="00BC3059">
        <w:rPr>
          <w:rFonts w:ascii="Arial" w:hAnsi="Arial" w:cs="Arial"/>
          <w:sz w:val="22"/>
          <w:szCs w:val="22"/>
          <w:lang w:val="es-ES" w:eastAsia="es-ES_tradnl"/>
        </w:rPr>
        <w:t>, el artículo 2.2.1.2.1.4.4. del Decreto 1082 de 2015 dispone expresamente que la modalidad de selección para los convenios o contratos interadministrativos es la contratación directa</w:t>
      </w:r>
      <w:r>
        <w:rPr>
          <w:rFonts w:ascii="Arial" w:hAnsi="Arial" w:cs="Arial"/>
          <w:sz w:val="22"/>
          <w:szCs w:val="22"/>
          <w:lang w:val="es-ES" w:eastAsia="es-ES_tradnl"/>
        </w:rPr>
        <w:t>, en función de la cual dicho reglamento determina para ambas tipologías una misma modalidad de selección.</w:t>
      </w:r>
    </w:p>
    <w:p w14:paraId="5691C6AA" w14:textId="0F9B5C17" w:rsidR="005037A4" w:rsidRDefault="005037A4" w:rsidP="005037A4">
      <w:pPr>
        <w:spacing w:after="120" w:line="276" w:lineRule="auto"/>
        <w:ind w:firstLine="708"/>
        <w:jc w:val="both"/>
        <w:rPr>
          <w:rFonts w:ascii="Arial" w:hAnsi="Arial" w:cs="Arial"/>
          <w:sz w:val="22"/>
          <w:szCs w:val="22"/>
          <w:lang w:val="es-ES" w:eastAsia="es-ES_tradnl"/>
        </w:rPr>
      </w:pPr>
      <w:r>
        <w:rPr>
          <w:rFonts w:ascii="Arial" w:hAnsi="Arial" w:cs="Arial"/>
          <w:sz w:val="22"/>
          <w:szCs w:val="22"/>
          <w:lang w:val="es-ES" w:eastAsia="es-ES_tradnl"/>
        </w:rPr>
        <w:t xml:space="preserve">A </w:t>
      </w:r>
      <w:r w:rsidRPr="005037A4">
        <w:rPr>
          <w:rFonts w:ascii="Arial" w:hAnsi="Arial" w:cs="Arial"/>
          <w:sz w:val="22"/>
          <w:szCs w:val="22"/>
          <w:lang w:val="es-ES" w:eastAsia="es-ES_tradnl"/>
        </w:rPr>
        <w:t>su turno, la doctrina</w:t>
      </w:r>
      <w:r>
        <w:rPr>
          <w:rFonts w:ascii="Arial" w:hAnsi="Arial" w:cs="Arial"/>
          <w:sz w:val="22"/>
          <w:szCs w:val="22"/>
          <w:lang w:val="es-ES" w:eastAsia="es-ES_tradnl"/>
        </w:rPr>
        <w:t xml:space="preserve"> especializada en la materia, a partir de la aplicación de un criterio material que envuelve la causa tenida en cuenta para contratar, </w:t>
      </w:r>
      <w:r w:rsidRPr="005037A4">
        <w:rPr>
          <w:rFonts w:ascii="Arial" w:hAnsi="Arial" w:cs="Arial"/>
          <w:sz w:val="22"/>
          <w:szCs w:val="22"/>
          <w:lang w:val="es-ES" w:eastAsia="es-ES_tradnl"/>
        </w:rPr>
        <w:t xml:space="preserve">ha </w:t>
      </w:r>
      <w:r w:rsidR="00052EE1">
        <w:rPr>
          <w:rFonts w:ascii="Arial" w:hAnsi="Arial" w:cs="Arial"/>
          <w:sz w:val="22"/>
          <w:szCs w:val="22"/>
          <w:lang w:val="es-ES" w:eastAsia="es-ES_tradnl"/>
        </w:rPr>
        <w:t xml:space="preserve">dejado entrever </w:t>
      </w:r>
      <w:r w:rsidRPr="005037A4">
        <w:rPr>
          <w:rFonts w:ascii="Arial" w:hAnsi="Arial" w:cs="Arial"/>
          <w:sz w:val="22"/>
          <w:szCs w:val="22"/>
          <w:lang w:val="es-ES" w:eastAsia="es-ES_tradnl"/>
        </w:rPr>
        <w:t xml:space="preserve">que los convenios interadministrativos son una figura autónoma e independiente de </w:t>
      </w:r>
      <w:r>
        <w:rPr>
          <w:rFonts w:ascii="Arial" w:hAnsi="Arial" w:cs="Arial"/>
          <w:sz w:val="22"/>
          <w:szCs w:val="22"/>
          <w:lang w:val="es-ES" w:eastAsia="es-ES_tradnl"/>
        </w:rPr>
        <w:t xml:space="preserve">la </w:t>
      </w:r>
      <w:r w:rsidRPr="005037A4">
        <w:rPr>
          <w:rFonts w:ascii="Arial" w:hAnsi="Arial" w:cs="Arial"/>
          <w:sz w:val="22"/>
          <w:szCs w:val="22"/>
          <w:lang w:val="es-ES" w:eastAsia="es-ES_tradnl"/>
        </w:rPr>
        <w:t>de los contratos interadministrativos</w:t>
      </w:r>
      <w:r w:rsidR="00F569B7" w:rsidRPr="00F569B7">
        <w:rPr>
          <w:rFonts w:ascii="Arial" w:hAnsi="Arial" w:cs="Arial"/>
          <w:sz w:val="22"/>
          <w:szCs w:val="22"/>
          <w:vertAlign w:val="superscript"/>
          <w:lang w:val="es-ES" w:eastAsia="es-ES_tradnl"/>
        </w:rPr>
        <w:footnoteReference w:id="10"/>
      </w:r>
      <w:r>
        <w:rPr>
          <w:rFonts w:ascii="Arial" w:hAnsi="Arial" w:cs="Arial"/>
          <w:sz w:val="22"/>
          <w:szCs w:val="22"/>
          <w:lang w:val="es-ES" w:eastAsia="es-ES_tradnl"/>
        </w:rPr>
        <w:t>.</w:t>
      </w:r>
      <w:r w:rsidR="00052EE1">
        <w:rPr>
          <w:rFonts w:ascii="Arial" w:hAnsi="Arial" w:cs="Arial"/>
          <w:sz w:val="22"/>
          <w:szCs w:val="22"/>
          <w:lang w:val="es-ES" w:eastAsia="es-ES_tradnl"/>
        </w:rPr>
        <w:t xml:space="preserve"> Así</w:t>
      </w:r>
      <w:r w:rsidR="0036575C">
        <w:rPr>
          <w:rFonts w:ascii="Arial" w:hAnsi="Arial" w:cs="Arial"/>
          <w:sz w:val="22"/>
          <w:szCs w:val="22"/>
          <w:lang w:val="es-ES" w:eastAsia="es-ES_tradnl"/>
        </w:rPr>
        <w:t xml:space="preserve"> </w:t>
      </w:r>
      <w:r w:rsidR="00052EE1">
        <w:rPr>
          <w:rFonts w:ascii="Arial" w:hAnsi="Arial" w:cs="Arial"/>
          <w:sz w:val="22"/>
          <w:szCs w:val="22"/>
          <w:lang w:val="es-ES" w:eastAsia="es-ES_tradnl"/>
        </w:rPr>
        <w:t>“(…) es posible afirmar que el contrato es en efecto un acuerdo de voluntades que modifica las situaciones jurídicas subjetivas de las partes intervinientes, pero no se trata de cualquier clase de voluntades, sino únicamente de aquellas manifestadas por sujetos de derecho que tienen pretensiones o interés disímiles que se pueden ver como opuestos. En otras palabras, el contrato es un acuerdo de voluntades, en el cual cada uno de los participantes tiene finalidades opuestas”</w:t>
      </w:r>
      <w:r w:rsidR="0036575C">
        <w:rPr>
          <w:rStyle w:val="Refdenotaalpie"/>
          <w:rFonts w:ascii="Arial" w:hAnsi="Arial" w:cs="Arial"/>
          <w:sz w:val="22"/>
          <w:szCs w:val="22"/>
          <w:lang w:val="es-ES" w:eastAsia="es-ES_tradnl"/>
        </w:rPr>
        <w:footnoteReference w:id="11"/>
      </w:r>
      <w:r w:rsidR="0036575C">
        <w:rPr>
          <w:rFonts w:ascii="Arial" w:hAnsi="Arial" w:cs="Arial"/>
          <w:sz w:val="22"/>
          <w:szCs w:val="22"/>
          <w:lang w:val="es-ES" w:eastAsia="es-ES_tradnl"/>
        </w:rPr>
        <w:t>. Con todo, según se advierte, “(…) basta agregar un ingrediente subjetivo para poder deducir la existencia del contrato de la administración, cual es la necesaria e imprescindible presencia de un sujeto especial de derecho llamado administración pública, lo cual implica que el contrato de la administración es un acuerdo de voluntades en el cual cada uno de los participantes pretende satisfacer necesidades o finalidades opuestas, donde necesariamente una de las partes tiene que ser una administración pública”</w:t>
      </w:r>
      <w:r w:rsidR="0036575C">
        <w:rPr>
          <w:rStyle w:val="Refdenotaalpie"/>
          <w:rFonts w:ascii="Arial" w:hAnsi="Arial" w:cs="Arial"/>
          <w:sz w:val="22"/>
          <w:szCs w:val="22"/>
          <w:lang w:val="es-ES" w:eastAsia="es-ES_tradnl"/>
        </w:rPr>
        <w:footnoteReference w:id="12"/>
      </w:r>
      <w:r w:rsidR="0036575C">
        <w:rPr>
          <w:rFonts w:ascii="Arial" w:hAnsi="Arial" w:cs="Arial"/>
          <w:sz w:val="22"/>
          <w:szCs w:val="22"/>
          <w:lang w:val="es-ES" w:eastAsia="es-ES_tradnl"/>
        </w:rPr>
        <w:t>.</w:t>
      </w:r>
    </w:p>
    <w:bookmarkEnd w:id="29"/>
    <w:p w14:paraId="61272063" w14:textId="29E31AB9" w:rsidR="00384A55" w:rsidRDefault="00384A55" w:rsidP="00384A55">
      <w:pPr>
        <w:spacing w:after="120" w:line="276" w:lineRule="auto"/>
        <w:ind w:firstLine="708"/>
        <w:jc w:val="both"/>
        <w:rPr>
          <w:rFonts w:ascii="Arial" w:hAnsi="Arial" w:cs="Arial"/>
          <w:sz w:val="22"/>
          <w:szCs w:val="22"/>
          <w:lang w:val="es-ES" w:eastAsia="es-ES_tradnl"/>
        </w:rPr>
      </w:pPr>
      <w:r>
        <w:rPr>
          <w:rFonts w:ascii="Arial" w:hAnsi="Arial" w:cs="Arial"/>
          <w:sz w:val="22"/>
          <w:szCs w:val="22"/>
          <w:lang w:val="es-ES" w:eastAsia="es-ES_tradnl"/>
        </w:rPr>
        <w:t xml:space="preserve">En definitiva, mientras el </w:t>
      </w:r>
      <w:r w:rsidRPr="00754CFD">
        <w:rPr>
          <w:rFonts w:ascii="Arial" w:hAnsi="Arial" w:cs="Arial"/>
          <w:b/>
          <w:bCs/>
          <w:i/>
          <w:iCs/>
          <w:sz w:val="22"/>
          <w:szCs w:val="22"/>
          <w:lang w:val="es-ES" w:eastAsia="es-ES_tradnl"/>
        </w:rPr>
        <w:t>contrato</w:t>
      </w:r>
      <w:r>
        <w:rPr>
          <w:rFonts w:ascii="Arial" w:hAnsi="Arial" w:cs="Arial"/>
          <w:sz w:val="22"/>
          <w:szCs w:val="22"/>
          <w:lang w:val="es-ES" w:eastAsia="es-ES_tradnl"/>
        </w:rPr>
        <w:t xml:space="preserve"> es un verdadero acuerdo de voluntades productor de efectos jurídicos, en el que los sujetos de derecho intervienen en la relación jurídico-negocial y acuden con intereses disímiles y contrapuestos, el </w:t>
      </w:r>
      <w:r w:rsidRPr="00754CFD">
        <w:rPr>
          <w:rFonts w:ascii="Arial" w:hAnsi="Arial" w:cs="Arial"/>
          <w:b/>
          <w:bCs/>
          <w:i/>
          <w:iCs/>
          <w:sz w:val="22"/>
          <w:szCs w:val="22"/>
          <w:lang w:val="es-ES" w:eastAsia="es-ES_tradnl"/>
        </w:rPr>
        <w:t>contrato de la administración</w:t>
      </w:r>
      <w:r>
        <w:rPr>
          <w:rFonts w:ascii="Arial" w:hAnsi="Arial" w:cs="Arial"/>
          <w:sz w:val="22"/>
          <w:szCs w:val="22"/>
          <w:lang w:val="es-ES" w:eastAsia="es-ES_tradnl"/>
        </w:rPr>
        <w:t xml:space="preserve"> tiene el mismo contenido, pero tiene como especialidad que uno de los sujetos que interviene en el acuerdo de voluntades -la administración pública- goza de una calificación jurídica especial que hace que el régimen jurídico aplicable sea igualmente especial</w:t>
      </w:r>
      <w:r>
        <w:rPr>
          <w:rStyle w:val="Refdenotaalpie"/>
          <w:rFonts w:ascii="Arial" w:hAnsi="Arial" w:cs="Arial"/>
          <w:sz w:val="22"/>
          <w:szCs w:val="22"/>
          <w:lang w:val="es-ES" w:eastAsia="es-ES_tradnl"/>
        </w:rPr>
        <w:footnoteReference w:id="13"/>
      </w:r>
      <w:r>
        <w:rPr>
          <w:rFonts w:ascii="Arial" w:hAnsi="Arial" w:cs="Arial"/>
          <w:sz w:val="22"/>
          <w:szCs w:val="22"/>
          <w:lang w:val="es-ES" w:eastAsia="es-ES_tradnl"/>
        </w:rPr>
        <w:t>. Es así como a partir de ese ingrediente subjetivo que implica la presencia de la administración pública como sujeto jurídico cualificado, puede afirmarse que el</w:t>
      </w:r>
      <w:r w:rsidRPr="00384A55">
        <w:rPr>
          <w:rFonts w:ascii="Arial" w:hAnsi="Arial" w:cs="Arial"/>
          <w:i/>
          <w:iCs/>
          <w:sz w:val="22"/>
          <w:szCs w:val="22"/>
          <w:lang w:val="es-ES" w:eastAsia="es-ES_tradnl"/>
        </w:rPr>
        <w:t xml:space="preserve"> </w:t>
      </w:r>
      <w:r w:rsidRPr="00754CFD">
        <w:rPr>
          <w:rFonts w:ascii="Arial" w:hAnsi="Arial" w:cs="Arial"/>
          <w:b/>
          <w:bCs/>
          <w:i/>
          <w:iCs/>
          <w:sz w:val="22"/>
          <w:szCs w:val="22"/>
          <w:lang w:val="es-ES" w:eastAsia="es-ES_tradnl"/>
        </w:rPr>
        <w:t>convenio de la administración</w:t>
      </w:r>
      <w:r>
        <w:rPr>
          <w:rFonts w:ascii="Arial" w:hAnsi="Arial" w:cs="Arial"/>
          <w:sz w:val="22"/>
          <w:szCs w:val="22"/>
          <w:lang w:val="es-ES" w:eastAsia="es-ES_tradnl"/>
        </w:rPr>
        <w:t xml:space="preserve"> es también un negocio jurídico</w:t>
      </w:r>
      <w:r w:rsidR="00754CFD">
        <w:rPr>
          <w:rFonts w:ascii="Arial" w:hAnsi="Arial" w:cs="Arial"/>
          <w:sz w:val="22"/>
          <w:szCs w:val="22"/>
          <w:lang w:val="es-ES" w:eastAsia="es-ES_tradnl"/>
        </w:rPr>
        <w:t xml:space="preserve"> que involucra una expresión de voluntades y genera efectos jurídicos creadores, modificatorios y extintivos de una o varias obligaciones, pero que, por contraste, se da con el ánimo de obtener la realización de fines comunes a ambas partes involucradas</w:t>
      </w:r>
      <w:r w:rsidR="00754CFD">
        <w:rPr>
          <w:rStyle w:val="Refdenotaalpie"/>
          <w:rFonts w:ascii="Arial" w:hAnsi="Arial" w:cs="Arial"/>
          <w:sz w:val="22"/>
          <w:szCs w:val="22"/>
          <w:lang w:val="es-ES" w:eastAsia="es-ES_tradnl"/>
        </w:rPr>
        <w:footnoteReference w:id="14"/>
      </w:r>
      <w:r w:rsidR="00754CFD">
        <w:rPr>
          <w:rFonts w:ascii="Arial" w:hAnsi="Arial" w:cs="Arial"/>
          <w:sz w:val="22"/>
          <w:szCs w:val="22"/>
          <w:lang w:val="es-ES" w:eastAsia="es-ES_tradnl"/>
        </w:rPr>
        <w:t xml:space="preserve">. Esta tesis ha sido de recibo tanto </w:t>
      </w:r>
      <w:r w:rsidR="00754CFD">
        <w:rPr>
          <w:rFonts w:ascii="Arial" w:hAnsi="Arial" w:cs="Arial"/>
          <w:sz w:val="22"/>
          <w:szCs w:val="22"/>
          <w:lang w:val="es-ES" w:eastAsia="es-ES_tradnl"/>
        </w:rPr>
        <w:lastRenderedPageBreak/>
        <w:t>en sede de la doctrina extranjera como en sede de la jurisprudencia nacional, llegándose a efectuar distinciones entre el negocio jurídico administrativo de colaboración (satisfacción de necesidades opuestas) y el negocio jurídico administrativo de cooperación (satisfacción de necesidades convergentes).</w:t>
      </w:r>
    </w:p>
    <w:p w14:paraId="1097B4F5" w14:textId="10585AF2" w:rsidR="00754CFD" w:rsidRDefault="00754CFD" w:rsidP="00384A55">
      <w:pPr>
        <w:spacing w:after="120" w:line="276" w:lineRule="auto"/>
        <w:ind w:firstLine="708"/>
        <w:jc w:val="both"/>
        <w:rPr>
          <w:rFonts w:ascii="Arial" w:hAnsi="Arial" w:cs="Arial"/>
          <w:sz w:val="22"/>
          <w:szCs w:val="22"/>
          <w:lang w:val="es-ES" w:eastAsia="es-ES_tradnl"/>
        </w:rPr>
      </w:pPr>
      <w:r>
        <w:rPr>
          <w:rFonts w:ascii="Arial" w:hAnsi="Arial" w:cs="Arial"/>
          <w:sz w:val="22"/>
          <w:szCs w:val="22"/>
          <w:lang w:val="es-ES" w:eastAsia="es-ES_tradnl"/>
        </w:rPr>
        <w:t>Hasta aquí, la diferencia entre contrato y convenio de la administración es evidente: en el primero, los intereses y finalidades de las partes que intervienen pueden verse como opuestos; en tanto que para el segundo, las necesidades que se buscan satisfacer por las partes son idénticas y coinciden con el interés general.</w:t>
      </w:r>
      <w:r w:rsidR="00622574">
        <w:rPr>
          <w:rFonts w:ascii="Arial" w:hAnsi="Arial" w:cs="Arial"/>
          <w:sz w:val="22"/>
          <w:szCs w:val="22"/>
          <w:lang w:val="es-ES" w:eastAsia="es-ES_tradnl"/>
        </w:rPr>
        <w:t xml:space="preserve"> La Sala de Consulta y Servicio Civil</w:t>
      </w:r>
      <w:r w:rsidR="005A74A5">
        <w:rPr>
          <w:rFonts w:ascii="Arial" w:hAnsi="Arial" w:cs="Arial"/>
          <w:sz w:val="22"/>
          <w:szCs w:val="22"/>
          <w:lang w:val="es-ES" w:eastAsia="es-ES_tradnl"/>
        </w:rPr>
        <w:t xml:space="preserve"> del Consejo de Estado, en concepto 2257 del 26 de julio de 2016, precisó sobre el régimen y características de los contratos y convenios interadministrativos, lo siguiente:</w:t>
      </w:r>
    </w:p>
    <w:p w14:paraId="74069B33" w14:textId="525DB0C3" w:rsidR="00F569B7" w:rsidRPr="00F569B7" w:rsidRDefault="005A74A5" w:rsidP="00F3425F">
      <w:pPr>
        <w:ind w:left="709" w:right="714"/>
        <w:jc w:val="both"/>
        <w:rPr>
          <w:rFonts w:ascii="Arial" w:eastAsia="Calibri" w:hAnsi="Arial" w:cs="Arial"/>
          <w:bCs/>
          <w:sz w:val="21"/>
          <w:szCs w:val="21"/>
          <w:lang w:val="es-ES_tradnl" w:eastAsia="en-US"/>
        </w:rPr>
      </w:pPr>
      <w:bookmarkStart w:id="30" w:name="_Hlk136173390"/>
      <w:r w:rsidRPr="005A74A5">
        <w:rPr>
          <w:rFonts w:ascii="Arial" w:eastAsia="Calibri" w:hAnsi="Arial" w:cs="Arial"/>
          <w:bCs/>
          <w:sz w:val="21"/>
          <w:szCs w:val="21"/>
          <w:lang w:val="es-ES_tradnl" w:eastAsia="en-US"/>
        </w:rPr>
        <w:t xml:space="preserve">“(…) </w:t>
      </w:r>
      <w:r w:rsidR="00F569B7" w:rsidRPr="00F569B7">
        <w:rPr>
          <w:rFonts w:ascii="Arial" w:eastAsia="Calibri" w:hAnsi="Arial" w:cs="Arial"/>
          <w:bCs/>
          <w:sz w:val="21"/>
          <w:szCs w:val="21"/>
          <w:lang w:val="es-ES_tradnl" w:eastAsia="en-US"/>
        </w:rPr>
        <w:t xml:space="preserve">Es decir, por un lado, </w:t>
      </w:r>
      <w:r w:rsidR="00F569B7" w:rsidRPr="00F569B7">
        <w:rPr>
          <w:rFonts w:ascii="Arial" w:eastAsia="Calibri" w:hAnsi="Arial" w:cs="Arial"/>
          <w:b/>
          <w:bCs/>
          <w:sz w:val="21"/>
          <w:szCs w:val="21"/>
          <w:lang w:val="es-ES_tradnl" w:eastAsia="en-US"/>
        </w:rPr>
        <w:t>el Estado en orden a alcanzar su misión recurre a la figura del contrato</w:t>
      </w:r>
      <w:r w:rsidR="00F569B7" w:rsidRPr="00F569B7">
        <w:rPr>
          <w:rFonts w:ascii="Arial" w:eastAsia="Calibri" w:hAnsi="Arial" w:cs="Arial"/>
          <w:bCs/>
          <w:sz w:val="21"/>
          <w:szCs w:val="21"/>
          <w:vertAlign w:val="superscript"/>
          <w:lang w:val="es-ES_tradnl" w:eastAsia="en-US"/>
        </w:rPr>
        <w:footnoteReference w:id="15"/>
      </w:r>
      <w:r w:rsidR="00F569B7" w:rsidRPr="00F569B7">
        <w:rPr>
          <w:rFonts w:ascii="Arial" w:eastAsia="Calibri" w:hAnsi="Arial" w:cs="Arial"/>
          <w:b/>
          <w:bCs/>
          <w:sz w:val="21"/>
          <w:szCs w:val="21"/>
          <w:lang w:val="es-ES_tradnl" w:eastAsia="en-US"/>
        </w:rPr>
        <w:t>,</w:t>
      </w:r>
      <w:r w:rsidR="00F569B7" w:rsidRPr="00F569B7">
        <w:rPr>
          <w:rFonts w:ascii="Arial" w:eastAsia="Calibri" w:hAnsi="Arial" w:cs="Arial"/>
          <w:bCs/>
          <w:sz w:val="21"/>
          <w:szCs w:val="21"/>
          <w:lang w:val="es-ES_tradnl" w:eastAsia="en-US"/>
        </w:rPr>
        <w:t xml:space="preserve"> acto jurídico de colaboración mutua e intersubjetiva, </w:t>
      </w:r>
      <w:r w:rsidR="00F569B7" w:rsidRPr="00F569B7">
        <w:rPr>
          <w:rFonts w:ascii="Arial" w:eastAsia="Calibri" w:hAnsi="Arial" w:cs="Arial"/>
          <w:b/>
          <w:bCs/>
          <w:sz w:val="21"/>
          <w:szCs w:val="21"/>
          <w:lang w:val="es-ES_tradnl" w:eastAsia="en-US"/>
        </w:rPr>
        <w:t xml:space="preserve">en el que se entablan relaciones obligatorias con carácter patrimonial con particulares o con otras entidades estatales </w:t>
      </w:r>
      <w:r w:rsidRPr="005A74A5">
        <w:rPr>
          <w:rFonts w:ascii="Arial" w:eastAsia="Calibri" w:hAnsi="Arial" w:cs="Arial"/>
          <w:b/>
          <w:bCs/>
          <w:sz w:val="21"/>
          <w:szCs w:val="21"/>
          <w:lang w:val="es-ES_tradnl" w:eastAsia="en-US"/>
        </w:rPr>
        <w:t>-</w:t>
      </w:r>
      <w:r w:rsidR="00F569B7" w:rsidRPr="00F569B7">
        <w:rPr>
          <w:rFonts w:ascii="Arial" w:eastAsia="Calibri" w:hAnsi="Arial" w:cs="Arial"/>
          <w:b/>
          <w:bCs/>
          <w:sz w:val="21"/>
          <w:szCs w:val="21"/>
          <w:lang w:val="es-ES_tradnl" w:eastAsia="en-US"/>
        </w:rPr>
        <w:t>cuando están en un mercado de forma similar a como lo hace el particular-,</w:t>
      </w:r>
      <w:r w:rsidR="00F569B7" w:rsidRPr="00F569B7">
        <w:rPr>
          <w:rFonts w:ascii="Arial" w:eastAsia="Calibri" w:hAnsi="Arial" w:cs="Arial"/>
          <w:bCs/>
          <w:sz w:val="21"/>
          <w:szCs w:val="21"/>
          <w:lang w:val="es-ES_tradnl" w:eastAsia="en-US"/>
        </w:rPr>
        <w:t xml:space="preserve"> de la que emanan </w:t>
      </w:r>
      <w:r w:rsidR="00F569B7" w:rsidRPr="00F569B7">
        <w:rPr>
          <w:rFonts w:ascii="Arial" w:eastAsia="Calibri" w:hAnsi="Arial" w:cs="Arial"/>
          <w:b/>
          <w:bCs/>
          <w:sz w:val="21"/>
          <w:szCs w:val="21"/>
          <w:lang w:val="es-ES_tradnl" w:eastAsia="en-US"/>
        </w:rPr>
        <w:t>prestaciones recíprocas</w:t>
      </w:r>
      <w:r w:rsidR="00F569B7" w:rsidRPr="00F569B7">
        <w:rPr>
          <w:rFonts w:ascii="Arial" w:eastAsia="Calibri" w:hAnsi="Arial" w:cs="Arial"/>
          <w:bCs/>
          <w:sz w:val="21"/>
          <w:szCs w:val="21"/>
          <w:lang w:val="es-ES_tradnl" w:eastAsia="en-US"/>
        </w:rPr>
        <w:t xml:space="preserve"> entre los sujetos partes del mismo, quienes son titulares de intereses disímiles o contrapuestos. </w:t>
      </w:r>
    </w:p>
    <w:p w14:paraId="76357D32" w14:textId="0F8C1F75" w:rsidR="005A74A5" w:rsidRPr="005A74A5" w:rsidRDefault="00F569B7" w:rsidP="00F3425F">
      <w:pPr>
        <w:tabs>
          <w:tab w:val="left" w:pos="-720"/>
        </w:tabs>
        <w:suppressAutoHyphens/>
        <w:ind w:left="709" w:right="709"/>
        <w:jc w:val="both"/>
        <w:rPr>
          <w:rFonts w:ascii="Arial" w:eastAsia="Calibri" w:hAnsi="Arial" w:cs="Arial"/>
          <w:bCs/>
          <w:sz w:val="21"/>
          <w:szCs w:val="21"/>
          <w:lang w:val="es-ES_tradnl" w:eastAsia="en-US"/>
        </w:rPr>
      </w:pPr>
      <w:r w:rsidRPr="00F569B7">
        <w:rPr>
          <w:rFonts w:ascii="Arial" w:eastAsia="Calibri" w:hAnsi="Arial" w:cs="Arial"/>
          <w:b/>
          <w:bCs/>
          <w:sz w:val="21"/>
          <w:szCs w:val="21"/>
          <w:lang w:val="es-ES_tradnl" w:eastAsia="en-US"/>
        </w:rPr>
        <w:t xml:space="preserve">Por otro lado, las entidades estatales también asumen vínculos obligacionales entre sí </w:t>
      </w:r>
      <w:r w:rsidRPr="00F569B7">
        <w:rPr>
          <w:rFonts w:ascii="Arial" w:eastAsia="Calibri" w:hAnsi="Arial" w:cs="Arial"/>
          <w:bCs/>
          <w:sz w:val="21"/>
          <w:szCs w:val="21"/>
          <w:lang w:val="es-ES_tradnl" w:eastAsia="en-US"/>
        </w:rPr>
        <w:t xml:space="preserve">para el normal funcionamiento del Estado </w:t>
      </w:r>
      <w:r w:rsidRPr="00F569B7">
        <w:rPr>
          <w:rFonts w:ascii="Arial" w:eastAsia="Calibri" w:hAnsi="Arial" w:cs="Arial"/>
          <w:b/>
          <w:bCs/>
          <w:sz w:val="21"/>
          <w:szCs w:val="21"/>
          <w:lang w:val="es-ES_tradnl" w:eastAsia="en-US"/>
        </w:rPr>
        <w:t xml:space="preserve">a través de los denominados convenios interadministrativos, los cuales comportan un acuerdo de voluntades entre ellas, </w:t>
      </w:r>
      <w:r w:rsidRPr="00F569B7">
        <w:rPr>
          <w:rFonts w:ascii="Arial" w:eastAsia="Calibri" w:hAnsi="Arial" w:cs="Arial"/>
          <w:bCs/>
          <w:sz w:val="21"/>
          <w:szCs w:val="21"/>
          <w:lang w:val="es-ES_tradnl" w:eastAsia="en-US"/>
        </w:rPr>
        <w:t>regido por los principios de cooperación, coordinación y apoyo, en los que aúnan</w:t>
      </w:r>
      <w:r w:rsidRPr="00F569B7">
        <w:rPr>
          <w:rFonts w:ascii="Arial" w:eastAsia="Calibri" w:hAnsi="Arial" w:cs="Arial"/>
          <w:iCs/>
          <w:sz w:val="21"/>
          <w:szCs w:val="21"/>
          <w:lang w:eastAsia="en-US"/>
        </w:rPr>
        <w:t xml:space="preserve"> esfuerzos</w:t>
      </w:r>
      <w:r w:rsidRPr="00F569B7">
        <w:rPr>
          <w:rFonts w:ascii="Arial" w:eastAsia="Calibri" w:hAnsi="Arial" w:cs="Arial"/>
          <w:b/>
          <w:iCs/>
          <w:sz w:val="21"/>
          <w:szCs w:val="21"/>
          <w:lang w:eastAsia="en-US"/>
        </w:rPr>
        <w:t xml:space="preserve"> </w:t>
      </w:r>
      <w:r w:rsidRPr="00F569B7">
        <w:rPr>
          <w:rFonts w:ascii="Arial" w:eastAsia="Calibri" w:hAnsi="Arial" w:cs="Arial"/>
          <w:b/>
          <w:bCs/>
          <w:sz w:val="21"/>
          <w:szCs w:val="21"/>
          <w:lang w:val="es-ES_tradnl" w:eastAsia="en-US"/>
        </w:rPr>
        <w:t>para la gestión conjunta de competencias y funciones administrativas, con el objeto de dar cumplimiento a fines concurrentes impuestos por la Constitución y la ley; es decir, en estos no existen intereses contrapuestos de las entidades que los celebran, ni tampoco se circunscriben a un intercambio patrimonial entre ellas</w:t>
      </w:r>
      <w:r w:rsidRPr="00F569B7">
        <w:rPr>
          <w:rFonts w:ascii="Arial" w:eastAsia="Calibri" w:hAnsi="Arial" w:cs="Arial"/>
          <w:bCs/>
          <w:sz w:val="21"/>
          <w:szCs w:val="21"/>
          <w:lang w:val="es-ES_tradnl" w:eastAsia="en-US"/>
        </w:rPr>
        <w:t>, sino que les asiste un ánimo de conseguir fines comunes, de manera que acuden a satisfacer un mismo interés general</w:t>
      </w:r>
      <w:r w:rsidR="005A74A5" w:rsidRPr="005A74A5">
        <w:rPr>
          <w:rFonts w:ascii="Arial" w:eastAsia="Calibri" w:hAnsi="Arial" w:cs="Arial"/>
          <w:bCs/>
          <w:sz w:val="21"/>
          <w:szCs w:val="21"/>
          <w:lang w:val="es-ES_tradnl" w:eastAsia="en-US"/>
        </w:rPr>
        <w:t xml:space="preserve">. </w:t>
      </w:r>
      <w:r w:rsidRPr="00F569B7">
        <w:rPr>
          <w:rFonts w:ascii="Arial" w:eastAsia="Calibri" w:hAnsi="Arial" w:cs="Arial"/>
          <w:bCs/>
          <w:sz w:val="21"/>
          <w:szCs w:val="21"/>
          <w:lang w:val="es-ES_tradnl" w:eastAsia="en-US"/>
        </w:rPr>
        <w:t>Así, en la actividad contractual del Estado surgen dos tipos de negocios jurídicos: los contratos interadministrativos y los convenios interadministrativos, que pueden celebrarse entre entidades o administraciones públicas.</w:t>
      </w:r>
    </w:p>
    <w:p w14:paraId="0A556C3F" w14:textId="77777777" w:rsidR="005A74A5" w:rsidRPr="005A74A5" w:rsidRDefault="005A74A5" w:rsidP="00F3425F">
      <w:pPr>
        <w:tabs>
          <w:tab w:val="left" w:pos="-720"/>
        </w:tabs>
        <w:suppressAutoHyphens/>
        <w:ind w:left="709" w:right="709"/>
        <w:jc w:val="both"/>
        <w:rPr>
          <w:rFonts w:ascii="Arial" w:eastAsia="Calibri" w:hAnsi="Arial" w:cs="Arial"/>
          <w:bCs/>
          <w:sz w:val="21"/>
          <w:szCs w:val="21"/>
          <w:lang w:val="es-ES_tradnl" w:eastAsia="en-US"/>
        </w:rPr>
      </w:pPr>
    </w:p>
    <w:bookmarkEnd w:id="30"/>
    <w:p w14:paraId="5165DA36" w14:textId="1009C91B" w:rsidR="005A74A5" w:rsidRPr="005A74A5" w:rsidRDefault="005A74A5" w:rsidP="00F3425F">
      <w:pPr>
        <w:tabs>
          <w:tab w:val="left" w:pos="-720"/>
        </w:tabs>
        <w:suppressAutoHyphens/>
        <w:ind w:left="709" w:right="709"/>
        <w:jc w:val="both"/>
        <w:rPr>
          <w:rFonts w:ascii="Arial" w:eastAsia="Calibri" w:hAnsi="Arial" w:cs="Arial"/>
          <w:bCs/>
          <w:sz w:val="21"/>
          <w:szCs w:val="21"/>
          <w:lang w:val="es-ES_tradnl" w:eastAsia="en-US"/>
        </w:rPr>
      </w:pPr>
      <w:r w:rsidRPr="005A74A5">
        <w:rPr>
          <w:rFonts w:ascii="Arial" w:eastAsia="Calibri" w:hAnsi="Arial" w:cs="Arial"/>
          <w:bCs/>
          <w:sz w:val="21"/>
          <w:szCs w:val="21"/>
          <w:lang w:val="es-ES_tradnl" w:eastAsia="en-US"/>
        </w:rPr>
        <w:t xml:space="preserve">(…) </w:t>
      </w:r>
      <w:r w:rsidR="00F569B7" w:rsidRPr="00F569B7">
        <w:rPr>
          <w:rFonts w:ascii="Arial" w:eastAsia="Calibri" w:hAnsi="Arial" w:cs="Arial"/>
          <w:bCs/>
          <w:sz w:val="21"/>
          <w:szCs w:val="21"/>
          <w:lang w:val="es-ES_tradnl" w:eastAsia="en-US"/>
        </w:rPr>
        <w:t>Empero, debe advertirse que, en contraste con legislaciones extranjeras (verbigracia en el derecho español), nuestro ordenamiento jurídico no hace una distinción expresa de los contratos y convenios interadministrativos y los regula dentro del régimen jurídico general</w:t>
      </w:r>
      <w:r w:rsidRPr="005A74A5">
        <w:rPr>
          <w:rFonts w:ascii="Arial" w:eastAsia="Calibri" w:hAnsi="Arial" w:cs="Arial"/>
          <w:bCs/>
          <w:sz w:val="21"/>
          <w:szCs w:val="21"/>
          <w:lang w:val="es-ES_tradnl" w:eastAsia="en-US"/>
        </w:rPr>
        <w:t xml:space="preserve"> </w:t>
      </w:r>
      <w:r w:rsidR="00F569B7" w:rsidRPr="00F569B7">
        <w:rPr>
          <w:rFonts w:ascii="Arial" w:eastAsia="Calibri" w:hAnsi="Arial" w:cs="Arial"/>
          <w:bCs/>
          <w:sz w:val="21"/>
          <w:szCs w:val="21"/>
          <w:lang w:val="es-ES_tradnl" w:eastAsia="en-US"/>
        </w:rPr>
        <w:t xml:space="preserve">en materia de celebración y ejecución de los contratos estales, </w:t>
      </w:r>
      <w:r w:rsidR="00F569B7" w:rsidRPr="00F569B7">
        <w:rPr>
          <w:rFonts w:ascii="Arial" w:eastAsia="Calibri" w:hAnsi="Arial" w:cs="Arial"/>
          <w:b/>
          <w:bCs/>
          <w:sz w:val="21"/>
          <w:szCs w:val="21"/>
          <w:lang w:val="es-ES_tradnl" w:eastAsia="en-US"/>
        </w:rPr>
        <w:t>no obstante lo cual es posible que la aplicación y la interpretación de las normas de dicho régimen puedan resultar disímiles debido a la particular naturaleza de tales acuerdos de voluntades</w:t>
      </w:r>
      <w:r w:rsidRPr="005A74A5">
        <w:rPr>
          <w:rFonts w:ascii="Arial" w:eastAsia="Calibri" w:hAnsi="Arial" w:cs="Arial"/>
          <w:bCs/>
          <w:sz w:val="21"/>
          <w:szCs w:val="21"/>
          <w:lang w:val="es-ES_tradnl" w:eastAsia="en-US"/>
        </w:rPr>
        <w:t>.</w:t>
      </w:r>
    </w:p>
    <w:p w14:paraId="4D72DC4C" w14:textId="77777777" w:rsidR="005A74A5" w:rsidRPr="005A74A5" w:rsidRDefault="005A74A5" w:rsidP="00F3425F">
      <w:pPr>
        <w:tabs>
          <w:tab w:val="left" w:pos="-720"/>
        </w:tabs>
        <w:suppressAutoHyphens/>
        <w:ind w:left="709" w:right="709"/>
        <w:jc w:val="both"/>
        <w:rPr>
          <w:rFonts w:ascii="Arial" w:eastAsia="Calibri" w:hAnsi="Arial" w:cs="Arial"/>
          <w:bCs/>
          <w:sz w:val="21"/>
          <w:szCs w:val="21"/>
          <w:lang w:val="es-ES_tradnl" w:eastAsia="en-US"/>
        </w:rPr>
      </w:pPr>
    </w:p>
    <w:p w14:paraId="240DFA7C" w14:textId="34A395CE" w:rsidR="005A74A5" w:rsidRPr="005A74A5" w:rsidRDefault="00F569B7" w:rsidP="00F3425F">
      <w:pPr>
        <w:tabs>
          <w:tab w:val="left" w:pos="-720"/>
        </w:tabs>
        <w:suppressAutoHyphens/>
        <w:ind w:left="709" w:right="709"/>
        <w:jc w:val="both"/>
        <w:rPr>
          <w:rFonts w:ascii="Arial" w:eastAsia="Calibri" w:hAnsi="Arial" w:cs="Arial"/>
          <w:bCs/>
          <w:sz w:val="21"/>
          <w:szCs w:val="21"/>
          <w:lang w:val="es-ES_tradnl" w:eastAsia="en-US"/>
        </w:rPr>
      </w:pPr>
      <w:r w:rsidRPr="00F569B7">
        <w:rPr>
          <w:rFonts w:ascii="Arial" w:eastAsia="Calibri" w:hAnsi="Arial" w:cs="Arial"/>
          <w:bCs/>
          <w:sz w:val="21"/>
          <w:szCs w:val="21"/>
          <w:lang w:val="es-ES_tradnl" w:eastAsia="en-US"/>
        </w:rPr>
        <w:t xml:space="preserve">En este sentido, </w:t>
      </w:r>
      <w:r w:rsidRPr="00F569B7">
        <w:rPr>
          <w:rFonts w:ascii="Arial" w:eastAsia="Calibri" w:hAnsi="Arial" w:cs="Arial"/>
          <w:b/>
          <w:bCs/>
          <w:sz w:val="21"/>
          <w:szCs w:val="21"/>
          <w:lang w:val="es-ES_tradnl" w:eastAsia="en-US"/>
        </w:rPr>
        <w:t xml:space="preserve">estima la Sala que para resolver la consulta debe partirse de la necesaria distinción conceptual entre contratos y convenios </w:t>
      </w:r>
      <w:r w:rsidRPr="00F569B7">
        <w:rPr>
          <w:rFonts w:ascii="Arial" w:eastAsia="Calibri" w:hAnsi="Arial" w:cs="Arial"/>
          <w:b/>
          <w:bCs/>
          <w:sz w:val="21"/>
          <w:szCs w:val="21"/>
          <w:lang w:val="es-ES_tradnl" w:eastAsia="en-US"/>
        </w:rPr>
        <w:lastRenderedPageBreak/>
        <w:t xml:space="preserve">interadministrativos, que si bien son nociones jurídicas que tienen formalmente un tronco común </w:t>
      </w:r>
      <w:r w:rsidR="00F3425F">
        <w:rPr>
          <w:rFonts w:ascii="Arial" w:eastAsia="Calibri" w:hAnsi="Arial" w:cs="Arial"/>
          <w:b/>
          <w:bCs/>
          <w:sz w:val="21"/>
          <w:szCs w:val="21"/>
          <w:lang w:val="es-ES_tradnl" w:eastAsia="en-US"/>
        </w:rPr>
        <w:t>-</w:t>
      </w:r>
      <w:r w:rsidRPr="00F569B7">
        <w:rPr>
          <w:rFonts w:ascii="Arial" w:eastAsia="Calibri" w:hAnsi="Arial" w:cs="Arial"/>
          <w:b/>
          <w:bCs/>
          <w:sz w:val="21"/>
          <w:szCs w:val="21"/>
          <w:lang w:val="es-ES_tradnl" w:eastAsia="en-US"/>
        </w:rPr>
        <w:t>acuerdos de voluntades generadores de obligaciones entre dos entidades estatales o de carácter público-, no es menos cierto que su naturaleza, alcance, finalidades y características los hacen diferentes y determinan, en últimas, su régimen lega</w:t>
      </w:r>
      <w:r w:rsidRPr="00F569B7">
        <w:rPr>
          <w:rFonts w:ascii="Arial" w:eastAsia="Calibri" w:hAnsi="Arial" w:cs="Arial"/>
          <w:bCs/>
          <w:sz w:val="21"/>
          <w:szCs w:val="21"/>
          <w:lang w:val="es-ES_tradnl" w:eastAsia="en-US"/>
        </w:rPr>
        <w:t>l</w:t>
      </w:r>
      <w:r w:rsidR="005A74A5" w:rsidRPr="005A74A5">
        <w:rPr>
          <w:rFonts w:ascii="Arial" w:eastAsia="Calibri" w:hAnsi="Arial" w:cs="Arial"/>
          <w:bCs/>
          <w:sz w:val="21"/>
          <w:szCs w:val="21"/>
          <w:lang w:val="es-ES_tradnl" w:eastAsia="en-US"/>
        </w:rPr>
        <w:t xml:space="preserve"> (…)” (Negrillas no originales).</w:t>
      </w:r>
    </w:p>
    <w:p w14:paraId="457F0163" w14:textId="77777777" w:rsidR="005A74A5" w:rsidRDefault="005A74A5" w:rsidP="005A74A5">
      <w:pPr>
        <w:tabs>
          <w:tab w:val="left" w:pos="-720"/>
        </w:tabs>
        <w:suppressAutoHyphens/>
        <w:spacing w:line="276" w:lineRule="auto"/>
        <w:ind w:left="709" w:right="709"/>
        <w:jc w:val="both"/>
        <w:rPr>
          <w:rFonts w:ascii="Arial" w:eastAsia="Calibri" w:hAnsi="Arial" w:cs="Arial"/>
          <w:bCs/>
          <w:sz w:val="21"/>
          <w:szCs w:val="21"/>
          <w:highlight w:val="yellow"/>
          <w:lang w:val="es-ES_tradnl" w:eastAsia="en-US"/>
        </w:rPr>
      </w:pPr>
    </w:p>
    <w:p w14:paraId="2ECD52E4" w14:textId="7A91C3C2" w:rsidR="005A74A5" w:rsidRDefault="005A74A5" w:rsidP="005A74A5">
      <w:pPr>
        <w:spacing w:after="120" w:line="276" w:lineRule="auto"/>
        <w:ind w:firstLine="708"/>
        <w:jc w:val="both"/>
        <w:rPr>
          <w:rFonts w:ascii="Arial" w:hAnsi="Arial" w:cs="Arial"/>
          <w:sz w:val="22"/>
          <w:szCs w:val="22"/>
          <w:lang w:val="es-ES_tradnl" w:eastAsia="es-ES_tradnl"/>
        </w:rPr>
      </w:pPr>
      <w:r>
        <w:rPr>
          <w:rFonts w:ascii="Arial" w:hAnsi="Arial" w:cs="Arial"/>
          <w:sz w:val="22"/>
          <w:szCs w:val="22"/>
          <w:lang w:val="es-ES_tradnl" w:eastAsia="es-ES_tradnl"/>
        </w:rPr>
        <w:t>Específicamente, en relación con la</w:t>
      </w:r>
      <w:r w:rsidR="00F3425F">
        <w:rPr>
          <w:rFonts w:ascii="Arial" w:hAnsi="Arial" w:cs="Arial"/>
          <w:sz w:val="22"/>
          <w:szCs w:val="22"/>
          <w:lang w:val="es-ES_tradnl" w:eastAsia="es-ES_tradnl"/>
        </w:rPr>
        <w:t xml:space="preserve">s principales características y </w:t>
      </w:r>
      <w:r>
        <w:rPr>
          <w:rFonts w:ascii="Arial" w:hAnsi="Arial" w:cs="Arial"/>
          <w:sz w:val="22"/>
          <w:szCs w:val="22"/>
          <w:lang w:val="es-ES_tradnl" w:eastAsia="es-ES_tradnl"/>
        </w:rPr>
        <w:t>diferencias entre los contratos</w:t>
      </w:r>
      <w:r w:rsidR="00F3425F">
        <w:rPr>
          <w:rFonts w:ascii="Arial" w:hAnsi="Arial" w:cs="Arial"/>
          <w:sz w:val="22"/>
          <w:szCs w:val="22"/>
          <w:lang w:val="es-ES_tradnl" w:eastAsia="es-ES_tradnl"/>
        </w:rPr>
        <w:t xml:space="preserve"> interadministrativos y los </w:t>
      </w:r>
      <w:r>
        <w:rPr>
          <w:rFonts w:ascii="Arial" w:hAnsi="Arial" w:cs="Arial"/>
          <w:sz w:val="22"/>
          <w:szCs w:val="22"/>
          <w:lang w:val="es-ES_tradnl" w:eastAsia="es-ES_tradnl"/>
        </w:rPr>
        <w:t>convenios interadministrativos</w:t>
      </w:r>
      <w:r w:rsidR="00F3425F">
        <w:rPr>
          <w:rFonts w:ascii="Arial" w:hAnsi="Arial" w:cs="Arial"/>
          <w:sz w:val="22"/>
          <w:szCs w:val="22"/>
          <w:lang w:val="es-ES_tradnl" w:eastAsia="es-ES_tradnl"/>
        </w:rPr>
        <w:t>, la Sala de Consulta y Servicio Civil indicó que:</w:t>
      </w:r>
    </w:p>
    <w:p w14:paraId="62A49149" w14:textId="1EA7A4B6" w:rsidR="00F3425F" w:rsidRPr="00F3425F" w:rsidRDefault="00F3425F" w:rsidP="00F3425F">
      <w:pPr>
        <w:ind w:left="709" w:right="714"/>
        <w:jc w:val="both"/>
        <w:rPr>
          <w:rFonts w:ascii="Arial" w:eastAsia="Calibri" w:hAnsi="Arial" w:cs="Arial"/>
          <w:b/>
          <w:iCs/>
          <w:sz w:val="21"/>
          <w:szCs w:val="21"/>
          <w:lang w:eastAsia="en-US"/>
        </w:rPr>
      </w:pPr>
      <w:r w:rsidRPr="00F3425F">
        <w:rPr>
          <w:rFonts w:ascii="Arial" w:eastAsia="Calibri" w:hAnsi="Arial" w:cs="Arial"/>
          <w:bCs/>
          <w:sz w:val="21"/>
          <w:szCs w:val="21"/>
          <w:lang w:val="es-ES_tradnl" w:eastAsia="en-US"/>
        </w:rPr>
        <w:t xml:space="preserve">“(…) </w:t>
      </w:r>
      <w:r w:rsidR="00F569B7" w:rsidRPr="00F569B7">
        <w:rPr>
          <w:rFonts w:ascii="Arial" w:eastAsia="Calibri" w:hAnsi="Arial" w:cs="Arial"/>
          <w:iCs/>
          <w:sz w:val="21"/>
          <w:szCs w:val="21"/>
          <w:lang w:eastAsia="en-US"/>
        </w:rPr>
        <w:t>la nota distintiva de los convenios interadministrativos</w:t>
      </w:r>
      <w:r w:rsidRPr="00F3425F">
        <w:rPr>
          <w:rFonts w:ascii="Arial" w:eastAsia="Calibri" w:hAnsi="Arial" w:cs="Arial"/>
          <w:iCs/>
          <w:sz w:val="21"/>
          <w:szCs w:val="21"/>
          <w:lang w:eastAsia="en-US"/>
        </w:rPr>
        <w:t xml:space="preserve"> </w:t>
      </w:r>
      <w:r w:rsidR="00F569B7" w:rsidRPr="00F569B7">
        <w:rPr>
          <w:rFonts w:ascii="Arial" w:eastAsia="Calibri" w:hAnsi="Arial" w:cs="Arial"/>
          <w:iCs/>
          <w:sz w:val="21"/>
          <w:szCs w:val="21"/>
          <w:lang w:eastAsia="en-US"/>
        </w:rPr>
        <w:t xml:space="preserve">la constituye la concurrencia de dos o más entidades estatales para la realización de fines comunes a ambas partes, respecto del cual </w:t>
      </w:r>
      <w:r w:rsidR="00F569B7" w:rsidRPr="00F569B7">
        <w:rPr>
          <w:rFonts w:ascii="Arial" w:eastAsia="Calibri" w:hAnsi="Arial" w:cs="Arial"/>
          <w:b/>
          <w:iCs/>
          <w:sz w:val="21"/>
          <w:szCs w:val="21"/>
          <w:lang w:eastAsia="en-US"/>
        </w:rPr>
        <w:t>cada entidad está interesada u obligada desde sus propias funciones o atribuciones legales</w:t>
      </w:r>
      <w:r w:rsidR="00F569B7" w:rsidRPr="00F569B7">
        <w:rPr>
          <w:rFonts w:ascii="Arial" w:eastAsia="Calibri" w:hAnsi="Arial" w:cs="Arial"/>
          <w:iCs/>
          <w:sz w:val="21"/>
          <w:szCs w:val="21"/>
          <w:vertAlign w:val="superscript"/>
          <w:lang w:eastAsia="en-US"/>
        </w:rPr>
        <w:footnoteReference w:id="16"/>
      </w:r>
      <w:r w:rsidR="00F569B7" w:rsidRPr="00F569B7">
        <w:rPr>
          <w:rFonts w:ascii="Arial" w:eastAsia="Calibri" w:hAnsi="Arial" w:cs="Arial"/>
          <w:iCs/>
          <w:sz w:val="21"/>
          <w:szCs w:val="21"/>
          <w:lang w:eastAsia="en-US"/>
        </w:rPr>
        <w:t xml:space="preserve">. Se da pues un ánimo de cooperación entre organismos o entidades públicas </w:t>
      </w:r>
      <w:r w:rsidR="00F569B7" w:rsidRPr="00F569B7">
        <w:rPr>
          <w:rFonts w:ascii="Arial" w:eastAsia="Calibri" w:hAnsi="Arial" w:cs="Arial"/>
          <w:b/>
          <w:iCs/>
          <w:sz w:val="21"/>
          <w:szCs w:val="21"/>
          <w:lang w:eastAsia="en-US"/>
        </w:rPr>
        <w:t xml:space="preserve">con funciones interrelacionadas o complementarias. </w:t>
      </w:r>
      <w:r w:rsidR="00F569B7" w:rsidRPr="00F569B7">
        <w:rPr>
          <w:rFonts w:ascii="Arial" w:eastAsia="Calibri" w:hAnsi="Arial" w:cs="Arial"/>
          <w:iCs/>
          <w:sz w:val="21"/>
          <w:szCs w:val="21"/>
          <w:lang w:eastAsia="en-US"/>
        </w:rPr>
        <w:t xml:space="preserve">Como se ha indicado, se habla de cooperación porque la entidad pública celebra </w:t>
      </w:r>
      <w:r w:rsidR="00F569B7" w:rsidRPr="00F569B7">
        <w:rPr>
          <w:rFonts w:ascii="Arial" w:eastAsia="Calibri" w:hAnsi="Arial" w:cs="Arial"/>
          <w:b/>
          <w:iCs/>
          <w:sz w:val="21"/>
          <w:szCs w:val="21"/>
          <w:lang w:eastAsia="en-US"/>
        </w:rPr>
        <w:t>el convenio “cuando tiene algo que aportar desde su ámbito funcional, obligándose a ejecutar actividades que contribuyen directamente al fin común de los sujetos contratantes, compartiendo tareas entre ellas</w:t>
      </w:r>
      <w:r w:rsidR="00F569B7" w:rsidRPr="00F569B7">
        <w:rPr>
          <w:rFonts w:ascii="Arial" w:eastAsia="Calibri" w:hAnsi="Arial" w:cs="Arial"/>
          <w:iCs/>
          <w:sz w:val="21"/>
          <w:szCs w:val="21"/>
          <w:vertAlign w:val="superscript"/>
          <w:lang w:eastAsia="en-US"/>
        </w:rPr>
        <w:footnoteReference w:id="17"/>
      </w:r>
      <w:r w:rsidR="00F569B7" w:rsidRPr="00F569B7">
        <w:rPr>
          <w:rFonts w:ascii="Arial" w:eastAsia="Calibri" w:hAnsi="Arial" w:cs="Arial"/>
          <w:iCs/>
          <w:sz w:val="21"/>
          <w:szCs w:val="21"/>
          <w:lang w:eastAsia="en-US"/>
        </w:rPr>
        <w:t>. Esta finalidad común y ánimo de cooperación, agrega en esta oportunidad la Sala, se da en el ámbito de un “paralelismo de intereses”</w:t>
      </w:r>
      <w:r w:rsidR="00F569B7" w:rsidRPr="00F569B7">
        <w:rPr>
          <w:rFonts w:ascii="Arial" w:eastAsia="Calibri" w:hAnsi="Arial" w:cs="Arial"/>
          <w:iCs/>
          <w:sz w:val="21"/>
          <w:szCs w:val="21"/>
          <w:vertAlign w:val="superscript"/>
          <w:lang w:eastAsia="en-US"/>
        </w:rPr>
        <w:footnoteReference w:id="18"/>
      </w:r>
      <w:r w:rsidR="00F569B7" w:rsidRPr="00F569B7">
        <w:rPr>
          <w:rFonts w:ascii="Arial" w:eastAsia="Calibri" w:hAnsi="Arial" w:cs="Arial"/>
          <w:iCs/>
          <w:sz w:val="21"/>
          <w:szCs w:val="21"/>
          <w:lang w:eastAsia="en-US"/>
        </w:rPr>
        <w:t xml:space="preserve">. </w:t>
      </w:r>
      <w:r w:rsidR="00F569B7" w:rsidRPr="00F569B7">
        <w:rPr>
          <w:rFonts w:ascii="Arial" w:eastAsia="Calibri" w:hAnsi="Arial" w:cs="Arial"/>
          <w:b/>
          <w:iCs/>
          <w:sz w:val="21"/>
          <w:szCs w:val="21"/>
          <w:lang w:eastAsia="en-US"/>
        </w:rPr>
        <w:t>Por lo que no existe preeminencia del contratante respecto del contratista, sino más bien las relaciones se desarrollan en un plano de igualdad o equivalencia, esto es, sin que existan prerrogativas en favor de una parte a costa de la otra.</w:t>
      </w:r>
    </w:p>
    <w:p w14:paraId="21619805" w14:textId="77777777" w:rsidR="00F3425F" w:rsidRPr="00F3425F" w:rsidRDefault="00F3425F" w:rsidP="00F3425F">
      <w:pPr>
        <w:ind w:left="709" w:right="714"/>
        <w:jc w:val="both"/>
        <w:rPr>
          <w:rFonts w:ascii="Arial" w:eastAsia="Calibri" w:hAnsi="Arial" w:cs="Arial"/>
          <w:b/>
          <w:iCs/>
          <w:sz w:val="21"/>
          <w:szCs w:val="21"/>
          <w:lang w:eastAsia="en-US"/>
        </w:rPr>
      </w:pPr>
    </w:p>
    <w:p w14:paraId="131595EE" w14:textId="32F35269" w:rsidR="00F3425F" w:rsidRPr="00F3425F" w:rsidRDefault="00F3425F" w:rsidP="00F3425F">
      <w:pPr>
        <w:ind w:left="709" w:right="714"/>
        <w:jc w:val="both"/>
        <w:rPr>
          <w:rFonts w:ascii="Arial" w:eastAsia="Calibri" w:hAnsi="Arial" w:cs="Arial"/>
          <w:iCs/>
          <w:sz w:val="21"/>
          <w:szCs w:val="21"/>
          <w:lang w:eastAsia="en-US"/>
        </w:rPr>
      </w:pPr>
      <w:r w:rsidRPr="00F3425F">
        <w:rPr>
          <w:rFonts w:ascii="Arial" w:eastAsia="Calibri" w:hAnsi="Arial" w:cs="Arial"/>
          <w:iCs/>
          <w:sz w:val="21"/>
          <w:szCs w:val="21"/>
          <w:lang w:eastAsia="en-US"/>
        </w:rPr>
        <w:t xml:space="preserve">(…) </w:t>
      </w:r>
      <w:r w:rsidR="00F569B7" w:rsidRPr="00F569B7">
        <w:rPr>
          <w:rFonts w:ascii="Arial" w:eastAsia="Calibri" w:hAnsi="Arial" w:cs="Arial"/>
          <w:iCs/>
          <w:sz w:val="21"/>
          <w:szCs w:val="21"/>
          <w:lang w:eastAsia="en-US"/>
        </w:rPr>
        <w:t xml:space="preserve">Así, es viable distinguir entre “convenios interadministrativos” (denominación dada por las partes) de contenido patrimonial, los cuales se someterán al régimen de los contratos interadministrativos </w:t>
      </w:r>
      <w:r w:rsidR="00F569B7" w:rsidRPr="00F569B7">
        <w:rPr>
          <w:rFonts w:ascii="Arial" w:eastAsia="Calibri" w:hAnsi="Arial" w:cs="Arial"/>
          <w:b/>
          <w:iCs/>
          <w:sz w:val="21"/>
          <w:szCs w:val="21"/>
          <w:lang w:eastAsia="en-US"/>
        </w:rPr>
        <w:t xml:space="preserve">y otros que si bien implican obligaciones y responsabilidades para los intervinientes, no tiene un interés puramente económico (es decir, destinados a obtener una ganancia), al girar en torno solamente a la forma de complementar y articular las funciones de cada entidad, mediante e intercambio de información, el apoyo logístico, la facilitación de infraestructuras, etc., para mejorar la eficiencia de la gestión pública, así como la utilización conjunta de medios y servicios públicos en el ámbito de los </w:t>
      </w:r>
      <w:r w:rsidR="00F569B7" w:rsidRPr="00F569B7">
        <w:rPr>
          <w:rFonts w:ascii="Arial" w:eastAsia="Calibri" w:hAnsi="Arial" w:cs="Arial"/>
          <w:b/>
          <w:iCs/>
          <w:sz w:val="21"/>
          <w:szCs w:val="21"/>
          <w:lang w:eastAsia="en-US"/>
        </w:rPr>
        <w:lastRenderedPageBreak/>
        <w:t>principios constitucionales de economía, celeridad y eficacia para el logro del bien común.</w:t>
      </w:r>
    </w:p>
    <w:p w14:paraId="3E83BA5F" w14:textId="77777777" w:rsidR="00F3425F" w:rsidRPr="00F3425F" w:rsidRDefault="00F3425F" w:rsidP="00F3425F">
      <w:pPr>
        <w:ind w:left="709" w:right="714"/>
        <w:jc w:val="both"/>
        <w:rPr>
          <w:rFonts w:ascii="Arial" w:eastAsia="Calibri" w:hAnsi="Arial" w:cs="Arial"/>
          <w:iCs/>
          <w:sz w:val="21"/>
          <w:szCs w:val="21"/>
          <w:lang w:eastAsia="en-US"/>
        </w:rPr>
      </w:pPr>
    </w:p>
    <w:p w14:paraId="7B18A0CB" w14:textId="0073DC1E" w:rsidR="00F3425F" w:rsidRDefault="00F569B7" w:rsidP="00F3425F">
      <w:pPr>
        <w:ind w:left="709" w:right="714"/>
        <w:jc w:val="both"/>
        <w:rPr>
          <w:rFonts w:ascii="Arial" w:eastAsia="Calibri" w:hAnsi="Arial" w:cs="Arial"/>
          <w:iCs/>
          <w:sz w:val="21"/>
          <w:szCs w:val="21"/>
          <w:lang w:eastAsia="en-US"/>
        </w:rPr>
      </w:pPr>
      <w:r w:rsidRPr="00F569B7">
        <w:rPr>
          <w:rFonts w:ascii="Arial" w:eastAsia="Calibri" w:hAnsi="Arial" w:cs="Arial"/>
          <w:iCs/>
          <w:sz w:val="21"/>
          <w:szCs w:val="21"/>
          <w:lang w:eastAsia="en-US"/>
        </w:rPr>
        <w:t>Lógicamente,</w:t>
      </w:r>
      <w:r w:rsidRPr="00F569B7">
        <w:rPr>
          <w:rFonts w:ascii="Arial" w:eastAsia="Calibri" w:hAnsi="Arial" w:cs="Arial"/>
          <w:b/>
          <w:iCs/>
          <w:sz w:val="21"/>
          <w:szCs w:val="21"/>
          <w:lang w:eastAsia="en-US"/>
        </w:rPr>
        <w:t xml:space="preserve"> en los convenios interadministrativos propiamente dichos, es posible, que cada entidad incurra en costos y gastos y en ejecución de su propio presupuesto para cumplir sus funciones y los compromisos adquiridos para con </w:t>
      </w:r>
      <w:r w:rsidR="007C55A2">
        <w:rPr>
          <w:rFonts w:ascii="Arial" w:eastAsia="Calibri" w:hAnsi="Arial" w:cs="Arial"/>
          <w:b/>
          <w:iCs/>
          <w:sz w:val="21"/>
          <w:szCs w:val="21"/>
          <w:lang w:eastAsia="en-US"/>
        </w:rPr>
        <w:t>l</w:t>
      </w:r>
      <w:r w:rsidRPr="00F569B7">
        <w:rPr>
          <w:rFonts w:ascii="Arial" w:eastAsia="Calibri" w:hAnsi="Arial" w:cs="Arial"/>
          <w:b/>
          <w:iCs/>
          <w:sz w:val="21"/>
          <w:szCs w:val="21"/>
          <w:lang w:eastAsia="en-US"/>
        </w:rPr>
        <w:t>a otra, razón por la cual bien pueden comprender la asunción de aportes económicos o financieros, pero sin que su objeto esencial lo constituyan prestaciones propias de los contratos interadministrativos, o el pago de un precio o una remuneración por un servicio prestado o por un bien adquirido o por una obra realizada por una a favor de la otra,</w:t>
      </w:r>
      <w:r w:rsidRPr="00F569B7">
        <w:rPr>
          <w:rFonts w:ascii="Arial" w:eastAsia="Calibri" w:hAnsi="Arial" w:cs="Arial"/>
          <w:iCs/>
          <w:sz w:val="21"/>
          <w:szCs w:val="21"/>
          <w:lang w:eastAsia="en-US"/>
        </w:rPr>
        <w:t xml:space="preserve"> pues en tales eventos se estará en presencia de verdaderos contratos.</w:t>
      </w:r>
    </w:p>
    <w:p w14:paraId="11B41ECD" w14:textId="77777777" w:rsidR="00F3425F" w:rsidRPr="00F3425F" w:rsidRDefault="00F3425F" w:rsidP="00F3425F">
      <w:pPr>
        <w:ind w:left="709" w:right="714"/>
        <w:jc w:val="both"/>
        <w:rPr>
          <w:rFonts w:ascii="Arial" w:eastAsia="Calibri" w:hAnsi="Arial" w:cs="Arial"/>
          <w:iCs/>
          <w:sz w:val="21"/>
          <w:szCs w:val="21"/>
          <w:lang w:eastAsia="en-US"/>
        </w:rPr>
      </w:pPr>
    </w:p>
    <w:p w14:paraId="5B41E08E" w14:textId="7DF06376" w:rsidR="00F569B7" w:rsidRPr="007C55A2" w:rsidRDefault="00F569B7" w:rsidP="00F3425F">
      <w:pPr>
        <w:ind w:left="709" w:right="714"/>
        <w:jc w:val="both"/>
        <w:rPr>
          <w:rFonts w:ascii="Arial" w:eastAsia="Calibri" w:hAnsi="Arial" w:cs="Arial"/>
          <w:bCs/>
          <w:iCs/>
          <w:sz w:val="20"/>
          <w:szCs w:val="20"/>
          <w:lang w:eastAsia="en-US"/>
        </w:rPr>
      </w:pPr>
      <w:r w:rsidRPr="00F569B7">
        <w:rPr>
          <w:rFonts w:ascii="Arial" w:eastAsia="Calibri" w:hAnsi="Arial" w:cs="Arial"/>
          <w:iCs/>
          <w:sz w:val="21"/>
          <w:szCs w:val="21"/>
          <w:lang w:eastAsia="en-US"/>
        </w:rPr>
        <w:t>Ahora, dada la naturaleza jurídica explicada de los convenios interadministrativos,</w:t>
      </w:r>
      <w:r w:rsidRPr="00F569B7">
        <w:rPr>
          <w:rFonts w:ascii="Arial" w:eastAsia="Calibri" w:hAnsi="Arial" w:cs="Arial"/>
          <w:b/>
          <w:iCs/>
          <w:sz w:val="21"/>
          <w:szCs w:val="21"/>
          <w:lang w:eastAsia="en-US"/>
        </w:rPr>
        <w:t xml:space="preserve"> las reglas del Estatuto General de Contratación de la Administración Pública contenidas en la actualidad en las Leyes 80 de 1993 1150 de 2007 y 1474 de 2011, no resultan de aplicación automática a tales convenios, toda vez que este Estatuto lo que esencialmente regula son relaciones contractuales de contenido patrimonial y oneroso</w:t>
      </w:r>
      <w:r w:rsidR="00F3425F" w:rsidRPr="00F3425F">
        <w:rPr>
          <w:rFonts w:ascii="Arial" w:eastAsia="Calibri" w:hAnsi="Arial" w:cs="Arial"/>
          <w:b/>
          <w:iCs/>
          <w:sz w:val="21"/>
          <w:szCs w:val="21"/>
          <w:lang w:eastAsia="en-US"/>
        </w:rPr>
        <w:t>”</w:t>
      </w:r>
      <w:r w:rsidR="006A5EDE" w:rsidRPr="006A5EDE">
        <w:rPr>
          <w:rFonts w:ascii="Arial" w:eastAsia="Calibri" w:hAnsi="Arial" w:cs="Arial"/>
          <w:bCs/>
          <w:iCs/>
          <w:sz w:val="21"/>
          <w:szCs w:val="21"/>
          <w:lang w:eastAsia="en-US"/>
        </w:rPr>
        <w:t xml:space="preserve"> </w:t>
      </w:r>
      <w:r w:rsidR="00073DB3">
        <w:rPr>
          <w:rFonts w:ascii="Arial" w:eastAsia="Calibri" w:hAnsi="Arial" w:cs="Arial"/>
          <w:bCs/>
          <w:iCs/>
          <w:sz w:val="21"/>
          <w:szCs w:val="21"/>
          <w:lang w:eastAsia="en-US"/>
        </w:rPr>
        <w:t>(Negrillas no originales)</w:t>
      </w:r>
      <w:r w:rsidR="006A5EDE">
        <w:rPr>
          <w:rFonts w:ascii="Arial" w:eastAsia="Calibri" w:hAnsi="Arial" w:cs="Arial"/>
          <w:bCs/>
          <w:iCs/>
          <w:sz w:val="21"/>
          <w:szCs w:val="21"/>
          <w:lang w:eastAsia="en-US"/>
        </w:rPr>
        <w:t>.</w:t>
      </w:r>
    </w:p>
    <w:p w14:paraId="6870322F" w14:textId="77777777" w:rsidR="007C55A2" w:rsidRPr="00440AB9" w:rsidRDefault="007C55A2" w:rsidP="007C55A2">
      <w:pPr>
        <w:spacing w:line="276" w:lineRule="auto"/>
        <w:ind w:right="713"/>
        <w:jc w:val="both"/>
        <w:rPr>
          <w:rFonts w:ascii="Arial" w:hAnsi="Arial" w:cs="Arial"/>
          <w:sz w:val="22"/>
          <w:szCs w:val="22"/>
          <w:lang w:eastAsia="es-ES_tradnl"/>
        </w:rPr>
      </w:pPr>
    </w:p>
    <w:p w14:paraId="3F023920" w14:textId="35C49B44" w:rsidR="007C55A2" w:rsidRDefault="007C55A2" w:rsidP="007C55A2">
      <w:pPr>
        <w:spacing w:after="120" w:line="276" w:lineRule="auto"/>
        <w:ind w:firstLine="708"/>
        <w:jc w:val="both"/>
        <w:rPr>
          <w:rFonts w:ascii="Arial" w:hAnsi="Arial" w:cs="Arial"/>
          <w:sz w:val="22"/>
          <w:szCs w:val="22"/>
          <w:lang w:val="es-ES" w:eastAsia="es-ES_tradnl"/>
        </w:rPr>
      </w:pPr>
      <w:r>
        <w:rPr>
          <w:rFonts w:ascii="Arial" w:hAnsi="Arial" w:cs="Arial"/>
          <w:sz w:val="22"/>
          <w:szCs w:val="22"/>
          <w:lang w:val="es-ES" w:eastAsia="es-ES_tradnl"/>
        </w:rPr>
        <w:t xml:space="preserve">Visto lo anterior, de conformidad con lo previsto en el artículo 95 de la Ley 489 de 1998 y el alcance que la jurisprudencia y conceptos del Consejo de Estado -en su calidad de máximo tribunal de la jurisdicción de lo contencioso administrativo- y la doctrina le han conferido al tema de la regulación de los contratos y convenios interadministrativos, esta última tipología presenta las siguientes características: </w:t>
      </w:r>
      <w:r w:rsidRPr="007C55A2">
        <w:rPr>
          <w:rFonts w:ascii="Arial" w:hAnsi="Arial" w:cs="Arial"/>
          <w:i/>
          <w:iCs/>
          <w:sz w:val="22"/>
          <w:szCs w:val="22"/>
          <w:lang w:val="es-ES" w:eastAsia="es-ES_tradnl"/>
        </w:rPr>
        <w:t>(i)</w:t>
      </w:r>
      <w:r>
        <w:rPr>
          <w:rFonts w:ascii="Arial" w:hAnsi="Arial" w:cs="Arial"/>
          <w:sz w:val="22"/>
          <w:szCs w:val="22"/>
          <w:lang w:val="es-ES" w:eastAsia="es-ES_tradnl"/>
        </w:rPr>
        <w:t xml:space="preserve"> se celebra entre dos entidades públicas que se encuentran en pie de igualdad con el objeto de cumplir competencias de ambas entidades dirigidas a un propósito común</w:t>
      </w:r>
      <w:r w:rsidR="003A53CC">
        <w:rPr>
          <w:rFonts w:ascii="Arial" w:hAnsi="Arial" w:cs="Arial"/>
          <w:sz w:val="22"/>
          <w:szCs w:val="22"/>
          <w:lang w:val="es-ES" w:eastAsia="es-ES_tradnl"/>
        </w:rPr>
        <w:t xml:space="preserve">; </w:t>
      </w:r>
      <w:r w:rsidR="003A53CC" w:rsidRPr="003A53CC">
        <w:rPr>
          <w:rFonts w:ascii="Arial" w:hAnsi="Arial" w:cs="Arial"/>
          <w:i/>
          <w:iCs/>
          <w:sz w:val="22"/>
          <w:szCs w:val="22"/>
          <w:lang w:val="es-ES" w:eastAsia="es-ES_tradnl"/>
        </w:rPr>
        <w:t>(ii)</w:t>
      </w:r>
      <w:r w:rsidR="003A53CC">
        <w:rPr>
          <w:rFonts w:ascii="Arial" w:hAnsi="Arial" w:cs="Arial"/>
          <w:sz w:val="22"/>
          <w:szCs w:val="22"/>
          <w:lang w:val="es-ES" w:eastAsia="es-ES_tradnl"/>
        </w:rPr>
        <w:t xml:space="preserve"> la modalidad para su celebración es la contratación directa; </w:t>
      </w:r>
      <w:r w:rsidR="003A53CC" w:rsidRPr="003A53CC">
        <w:rPr>
          <w:rFonts w:ascii="Arial" w:hAnsi="Arial" w:cs="Arial"/>
          <w:i/>
          <w:iCs/>
          <w:sz w:val="22"/>
          <w:szCs w:val="22"/>
          <w:lang w:val="es-ES" w:eastAsia="es-ES_tradnl"/>
        </w:rPr>
        <w:t>(iii)</w:t>
      </w:r>
      <w:r w:rsidR="003A53CC">
        <w:rPr>
          <w:rFonts w:ascii="Arial" w:hAnsi="Arial" w:cs="Arial"/>
          <w:sz w:val="22"/>
          <w:szCs w:val="22"/>
          <w:lang w:val="es-ES" w:eastAsia="es-ES_tradnl"/>
        </w:rPr>
        <w:t xml:space="preserve"> los convenios interadministrativos pueden suponer el compromiso de recursos públicos y, por consiguiente, la realización de aportes financieros. Ello, sin embargo, no supone la posibilidad de que en este tipo de relaciones jurídicas exista una remuneración en favor de uno de los co-contratantes y a cargo de otro u otros.</w:t>
      </w:r>
    </w:p>
    <w:p w14:paraId="36F224B4" w14:textId="52855D96" w:rsidR="00440AB9" w:rsidRDefault="00440AB9" w:rsidP="00440AB9">
      <w:pPr>
        <w:spacing w:after="120" w:line="276" w:lineRule="auto"/>
        <w:ind w:firstLine="708"/>
        <w:jc w:val="both"/>
        <w:rPr>
          <w:rFonts w:ascii="Arial" w:hAnsi="Arial" w:cs="Arial"/>
          <w:sz w:val="22"/>
          <w:szCs w:val="22"/>
          <w:lang w:val="es-ES" w:eastAsia="es-ES_tradnl"/>
        </w:rPr>
      </w:pPr>
      <w:r>
        <w:rPr>
          <w:rFonts w:ascii="Arial" w:hAnsi="Arial" w:cs="Arial"/>
          <w:sz w:val="22"/>
          <w:szCs w:val="22"/>
          <w:lang w:val="es-ES" w:eastAsia="es-ES_tradnl"/>
        </w:rPr>
        <w:t>Repárese, entonces, en que los convenios interadministrativos no pueden ser sinalagmáticos, debido a que en ellos no se involucran intereses contrapuestos, sino un interés común. Esto implica que, en los eventos en que su celebración comporte el compromiso y la ejecución de recursos públicos, el valor de estos no puede destinarse al pago o remuneración de ninguna de las partes, sino que debe corresponder necesariamente a la asunción de costos y gastos para cumplir las funciones de la respectiva entidad, así como para atender los compromisos adquiridos para con la otra, pues las entidades cooperan entre sí, no se prestan servicios ni se ofrecen bienes a cambio de una remuneración y, por esa razón, los recursos comprometidos a través de los convenios interadministrativos no constituyen un pago, sino un aporte para lograr el cometido común.</w:t>
      </w:r>
    </w:p>
    <w:p w14:paraId="15B0BC2F" w14:textId="72CE2D86" w:rsidR="009D5330" w:rsidRDefault="009D5330" w:rsidP="00440AB9">
      <w:pPr>
        <w:spacing w:after="120" w:line="276" w:lineRule="auto"/>
        <w:ind w:firstLine="708"/>
        <w:jc w:val="both"/>
        <w:rPr>
          <w:rFonts w:ascii="Arial" w:hAnsi="Arial" w:cs="Arial"/>
          <w:sz w:val="22"/>
          <w:szCs w:val="22"/>
          <w:lang w:val="es-ES" w:eastAsia="es-ES_tradnl"/>
        </w:rPr>
      </w:pPr>
      <w:r>
        <w:rPr>
          <w:rFonts w:ascii="Arial" w:hAnsi="Arial" w:cs="Arial"/>
          <w:sz w:val="22"/>
          <w:szCs w:val="22"/>
          <w:lang w:val="es-ES" w:eastAsia="es-ES_tradnl"/>
        </w:rPr>
        <w:lastRenderedPageBreak/>
        <w:t>En conclusión, lo hasta ahora apuntado permite delimitar el concepto de convenio interadministrativo e identificar sus principales similitudes y diferencias con la figura del contrato interadministrativo, sobre todo en cuanto hace a la naturaleza conmutativa de este último. Lo anterior, sin perjuicio de reconocer, tal y como lo hace la Sala de Consulta y Servicio Civil y la Sección Tercera del Consejo de Estado, que en los convenios interadministrativos pueden existir obligaciones con contenido patrimonial expreso o implícito, como sería el comprendido en las obligaciones de hacer, siempre que dicho contenido patrimonial no esté dirigido a pagar o remunerar las actividades realizadas por cada una de las partes.</w:t>
      </w:r>
    </w:p>
    <w:p w14:paraId="57F5EEEC" w14:textId="52448AB5" w:rsidR="00F569B7" w:rsidRDefault="009D5330" w:rsidP="00AD1802">
      <w:pPr>
        <w:spacing w:after="120" w:line="276" w:lineRule="auto"/>
        <w:ind w:firstLine="708"/>
        <w:jc w:val="both"/>
        <w:rPr>
          <w:rFonts w:ascii="Arial" w:eastAsia="Calibri" w:hAnsi="Arial" w:cs="Arial"/>
          <w:iCs/>
          <w:sz w:val="22"/>
          <w:szCs w:val="22"/>
          <w:lang w:eastAsia="en-US"/>
        </w:rPr>
      </w:pPr>
      <w:r>
        <w:rPr>
          <w:rFonts w:ascii="Arial" w:hAnsi="Arial" w:cs="Arial"/>
          <w:sz w:val="22"/>
          <w:szCs w:val="22"/>
          <w:lang w:val="es-ES" w:eastAsia="es-ES_tradnl"/>
        </w:rPr>
        <w:t xml:space="preserve">A </w:t>
      </w:r>
      <w:r w:rsidR="00AD1802">
        <w:rPr>
          <w:rFonts w:ascii="Arial" w:hAnsi="Arial" w:cs="Arial"/>
          <w:sz w:val="22"/>
          <w:szCs w:val="22"/>
          <w:lang w:val="es-ES" w:eastAsia="es-ES_tradnl"/>
        </w:rPr>
        <w:t xml:space="preserve">lo anterior también debe agregarse que, dadas las particularidades de los convenios interadministrativos, derivadas de su regulación en el artículo 95 de la Ley 489 de 1998, las normas </w:t>
      </w:r>
      <w:r w:rsidR="00AD1802" w:rsidRPr="00AD1802">
        <w:rPr>
          <w:rFonts w:ascii="Arial" w:hAnsi="Arial" w:cs="Arial"/>
          <w:sz w:val="22"/>
          <w:szCs w:val="22"/>
          <w:lang w:val="es-ES" w:eastAsia="es-ES_tradnl"/>
        </w:rPr>
        <w:t>contenidas en el Estatuto General de Contratación de la Administración Pública -EGCAP- no les resultan aplicables en su integridad, comoquiera que están concebidas en función de contratos conmutativos y onerosos</w:t>
      </w:r>
      <w:r w:rsidR="00F569B7" w:rsidRPr="00F569B7">
        <w:rPr>
          <w:rFonts w:ascii="Arial" w:eastAsia="Calibri" w:hAnsi="Arial" w:cs="Arial"/>
          <w:iCs/>
          <w:sz w:val="22"/>
          <w:szCs w:val="22"/>
          <w:vertAlign w:val="superscript"/>
          <w:lang w:eastAsia="en-US"/>
        </w:rPr>
        <w:footnoteReference w:id="19"/>
      </w:r>
      <w:r w:rsidR="00F569B7" w:rsidRPr="00F569B7">
        <w:rPr>
          <w:rFonts w:ascii="Arial" w:eastAsia="Calibri" w:hAnsi="Arial" w:cs="Arial"/>
          <w:iCs/>
          <w:sz w:val="22"/>
          <w:szCs w:val="22"/>
          <w:lang w:eastAsia="en-US"/>
        </w:rPr>
        <w:t>,</w:t>
      </w:r>
      <w:r w:rsidR="00AD1802" w:rsidRPr="00AD1802">
        <w:rPr>
          <w:rFonts w:ascii="Arial" w:eastAsia="Calibri" w:hAnsi="Arial" w:cs="Arial"/>
          <w:iCs/>
          <w:sz w:val="22"/>
          <w:szCs w:val="22"/>
          <w:lang w:eastAsia="en-US"/>
        </w:rPr>
        <w:t xml:space="preserve"> </w:t>
      </w:r>
      <w:r w:rsidR="00F569B7" w:rsidRPr="00F569B7">
        <w:rPr>
          <w:rFonts w:ascii="Arial" w:eastAsia="Calibri" w:hAnsi="Arial" w:cs="Arial"/>
          <w:iCs/>
          <w:sz w:val="22"/>
          <w:szCs w:val="22"/>
          <w:lang w:eastAsia="en-US"/>
        </w:rPr>
        <w:t>características ausentes en el caso de los convenios</w:t>
      </w:r>
      <w:r w:rsidR="00AD1802" w:rsidRPr="00AD1802">
        <w:rPr>
          <w:rFonts w:ascii="Arial" w:eastAsia="Calibri" w:hAnsi="Arial" w:cs="Arial"/>
          <w:iCs/>
          <w:sz w:val="22"/>
          <w:szCs w:val="22"/>
          <w:lang w:eastAsia="en-US"/>
        </w:rPr>
        <w:t>.</w:t>
      </w:r>
      <w:r w:rsidR="00AD1802">
        <w:rPr>
          <w:rFonts w:ascii="Arial" w:eastAsia="Calibri" w:hAnsi="Arial" w:cs="Arial"/>
          <w:iCs/>
          <w:sz w:val="22"/>
          <w:szCs w:val="22"/>
          <w:lang w:eastAsia="en-US"/>
        </w:rPr>
        <w:t xml:space="preserve"> </w:t>
      </w:r>
      <w:r w:rsidR="00AD1802" w:rsidRPr="00AD1802">
        <w:rPr>
          <w:rFonts w:ascii="Arial" w:eastAsia="Calibri" w:hAnsi="Arial" w:cs="Arial"/>
          <w:iCs/>
          <w:sz w:val="22"/>
          <w:szCs w:val="22"/>
          <w:lang w:eastAsia="en-US"/>
        </w:rPr>
        <w:t>A</w:t>
      </w:r>
      <w:r w:rsidR="00F569B7" w:rsidRPr="00F569B7">
        <w:rPr>
          <w:rFonts w:ascii="Arial" w:eastAsia="Calibri" w:hAnsi="Arial" w:cs="Arial"/>
          <w:iCs/>
          <w:sz w:val="22"/>
          <w:szCs w:val="22"/>
          <w:lang w:eastAsia="en-US"/>
        </w:rPr>
        <w:t>sí</w:t>
      </w:r>
      <w:r w:rsidR="00AD1802">
        <w:rPr>
          <w:rFonts w:ascii="Arial" w:eastAsia="Calibri" w:hAnsi="Arial" w:cs="Arial"/>
          <w:iCs/>
          <w:sz w:val="22"/>
          <w:szCs w:val="22"/>
          <w:lang w:eastAsia="en-US"/>
        </w:rPr>
        <w:t xml:space="preserve"> acontece</w:t>
      </w:r>
      <w:r w:rsidR="00F569B7" w:rsidRPr="00F569B7">
        <w:rPr>
          <w:rFonts w:ascii="Arial" w:eastAsia="Calibri" w:hAnsi="Arial" w:cs="Arial"/>
          <w:iCs/>
          <w:sz w:val="22"/>
          <w:szCs w:val="22"/>
          <w:lang w:eastAsia="en-US"/>
        </w:rPr>
        <w:t>,</w:t>
      </w:r>
      <w:r w:rsidR="00AD1802">
        <w:rPr>
          <w:rFonts w:ascii="Arial" w:eastAsia="Calibri" w:hAnsi="Arial" w:cs="Arial"/>
          <w:iCs/>
          <w:sz w:val="22"/>
          <w:szCs w:val="22"/>
          <w:lang w:eastAsia="en-US"/>
        </w:rPr>
        <w:t xml:space="preserve"> </w:t>
      </w:r>
      <w:r w:rsidR="00F569B7" w:rsidRPr="00F569B7">
        <w:rPr>
          <w:rFonts w:ascii="Arial" w:eastAsia="Calibri" w:hAnsi="Arial" w:cs="Arial"/>
          <w:iCs/>
          <w:sz w:val="22"/>
          <w:szCs w:val="22"/>
          <w:lang w:eastAsia="en-US"/>
        </w:rPr>
        <w:t xml:space="preserve">por ejemplo, en </w:t>
      </w:r>
      <w:r w:rsidR="00AD1802">
        <w:rPr>
          <w:rFonts w:ascii="Arial" w:eastAsia="Calibri" w:hAnsi="Arial" w:cs="Arial"/>
          <w:iCs/>
          <w:sz w:val="22"/>
          <w:szCs w:val="22"/>
          <w:lang w:eastAsia="en-US"/>
        </w:rPr>
        <w:t xml:space="preserve">los casos </w:t>
      </w:r>
      <w:r w:rsidR="00F569B7" w:rsidRPr="00F569B7">
        <w:rPr>
          <w:rFonts w:ascii="Arial" w:eastAsia="Calibri" w:hAnsi="Arial" w:cs="Arial"/>
          <w:iCs/>
          <w:sz w:val="22"/>
          <w:szCs w:val="22"/>
          <w:lang w:eastAsia="en-US"/>
        </w:rPr>
        <w:t>de las potestades excepcionales y de las facultades sancionatorias contractuales</w:t>
      </w:r>
      <w:r w:rsidR="00AD1802">
        <w:rPr>
          <w:rFonts w:ascii="Arial" w:eastAsia="Calibri" w:hAnsi="Arial" w:cs="Arial"/>
          <w:iCs/>
          <w:sz w:val="22"/>
          <w:szCs w:val="22"/>
          <w:lang w:eastAsia="en-US"/>
        </w:rPr>
        <w:t xml:space="preserve"> establecidas e</w:t>
      </w:r>
      <w:r w:rsidR="00F569B7" w:rsidRPr="00F569B7">
        <w:rPr>
          <w:rFonts w:ascii="Arial" w:eastAsia="Calibri" w:hAnsi="Arial" w:cs="Arial"/>
          <w:iCs/>
          <w:sz w:val="22"/>
          <w:szCs w:val="22"/>
          <w:lang w:eastAsia="en-US"/>
        </w:rPr>
        <w:t>n los artículos 17 de la Ley 1150 de</w:t>
      </w:r>
      <w:r w:rsidR="00AD1802" w:rsidRPr="00AD1802">
        <w:rPr>
          <w:rFonts w:ascii="Arial" w:eastAsia="Calibri" w:hAnsi="Arial" w:cs="Arial"/>
          <w:iCs/>
          <w:sz w:val="22"/>
          <w:szCs w:val="22"/>
          <w:lang w:eastAsia="en-US"/>
        </w:rPr>
        <w:t xml:space="preserve"> </w:t>
      </w:r>
      <w:r w:rsidR="00F569B7" w:rsidRPr="00F569B7">
        <w:rPr>
          <w:rFonts w:ascii="Arial" w:eastAsia="Calibri" w:hAnsi="Arial" w:cs="Arial"/>
          <w:iCs/>
          <w:sz w:val="22"/>
          <w:szCs w:val="22"/>
          <w:lang w:eastAsia="en-US"/>
        </w:rPr>
        <w:t>2007 y 86 de la Ley 1474 del 2011</w:t>
      </w:r>
      <w:r w:rsidR="00AD1802">
        <w:rPr>
          <w:rFonts w:ascii="Arial" w:eastAsia="Calibri" w:hAnsi="Arial" w:cs="Arial"/>
          <w:iCs/>
          <w:sz w:val="22"/>
          <w:szCs w:val="22"/>
          <w:lang w:eastAsia="en-US"/>
        </w:rPr>
        <w:t>, respectivamente.</w:t>
      </w:r>
      <w:bookmarkStart w:id="31" w:name="_Hlk136187315"/>
    </w:p>
    <w:p w14:paraId="6D323C3F" w14:textId="648B58D7" w:rsidR="00073DB3" w:rsidRDefault="00073DB3" w:rsidP="00073DB3">
      <w:pPr>
        <w:spacing w:after="120" w:line="276" w:lineRule="auto"/>
        <w:jc w:val="both"/>
        <w:rPr>
          <w:rFonts w:ascii="Arial" w:eastAsia="Calibri" w:hAnsi="Arial" w:cs="Arial"/>
          <w:b/>
          <w:bCs/>
          <w:iCs/>
          <w:sz w:val="22"/>
          <w:szCs w:val="22"/>
          <w:lang w:eastAsia="en-US"/>
        </w:rPr>
      </w:pPr>
      <w:bookmarkStart w:id="32" w:name="_Hlk136188490"/>
      <w:r w:rsidRPr="004778FF">
        <w:rPr>
          <w:rFonts w:ascii="Arial" w:eastAsia="Calibri" w:hAnsi="Arial" w:cs="Arial"/>
          <w:b/>
          <w:bCs/>
          <w:iCs/>
          <w:sz w:val="22"/>
          <w:szCs w:val="22"/>
          <w:lang w:eastAsia="en-US"/>
        </w:rPr>
        <w:t>2.2.</w:t>
      </w:r>
      <w:r w:rsidR="006A5EDE" w:rsidRPr="004778FF">
        <w:rPr>
          <w:rFonts w:ascii="Arial" w:eastAsia="Calibri" w:hAnsi="Arial" w:cs="Arial"/>
          <w:b/>
          <w:bCs/>
          <w:iCs/>
          <w:sz w:val="22"/>
          <w:szCs w:val="22"/>
          <w:lang w:eastAsia="en-US"/>
        </w:rPr>
        <w:tab/>
      </w:r>
      <w:bookmarkStart w:id="33" w:name="_Hlk136201775"/>
      <w:r w:rsidR="008C2D63">
        <w:rPr>
          <w:rFonts w:ascii="Arial" w:hAnsi="Arial" w:cs="Arial"/>
          <w:b/>
          <w:bCs/>
          <w:sz w:val="22"/>
          <w:lang w:eastAsia="es-ES_tradnl"/>
        </w:rPr>
        <w:t>A</w:t>
      </w:r>
      <w:r w:rsidR="008C2D63" w:rsidRPr="008C2D63">
        <w:rPr>
          <w:rFonts w:ascii="Arial" w:hAnsi="Arial" w:cs="Arial"/>
          <w:b/>
          <w:bCs/>
          <w:sz w:val="22"/>
          <w:lang w:eastAsia="es-ES_tradnl"/>
        </w:rPr>
        <w:t>lcance del límite de valor establecido en el parágrafo del artículo 40 de la Ley 80 de 1993</w:t>
      </w:r>
    </w:p>
    <w:bookmarkEnd w:id="33"/>
    <w:p w14:paraId="30A15F86" w14:textId="07692DE3" w:rsidR="00D20573" w:rsidRDefault="00D20573" w:rsidP="00D20573">
      <w:pPr>
        <w:spacing w:after="120" w:line="276" w:lineRule="auto"/>
        <w:jc w:val="both"/>
        <w:rPr>
          <w:rFonts w:ascii="Arial" w:hAnsi="Arial" w:cs="Arial"/>
          <w:sz w:val="22"/>
          <w:lang w:eastAsia="es-ES_tradnl"/>
        </w:rPr>
      </w:pPr>
      <w:r>
        <w:rPr>
          <w:rFonts w:ascii="Arial" w:hAnsi="Arial" w:cs="Arial"/>
          <w:sz w:val="22"/>
          <w:lang w:eastAsia="es-ES_tradnl"/>
        </w:rPr>
        <w:t>Como se viene de resaltar y también lo prevé el artículo 28 de la Ley 80 de 1993, el contrato estatal es un negocio jurídico creador de obligaciones que, en líneas generales, es conmutativo y, por lo mismo, en el momento de su celebración, requiere la certeza sobre las prestaciones a ejecutar por el contratista y el precio que la Entidad Estatal ha de pagar, el cual debe estar determinado o ser determinable.</w:t>
      </w:r>
    </w:p>
    <w:bookmarkEnd w:id="31"/>
    <w:bookmarkEnd w:id="32"/>
    <w:p w14:paraId="110A42C6" w14:textId="05FCD028" w:rsidR="00D20573" w:rsidRPr="00F26C43" w:rsidRDefault="00D20573" w:rsidP="00D20573">
      <w:pPr>
        <w:spacing w:after="120" w:line="276" w:lineRule="auto"/>
        <w:ind w:firstLine="708"/>
        <w:jc w:val="both"/>
        <w:rPr>
          <w:rFonts w:ascii="Arial" w:hAnsi="Arial" w:cs="Arial"/>
          <w:sz w:val="22"/>
          <w:lang w:val="es-ES" w:eastAsia="es-ES_tradnl"/>
        </w:rPr>
      </w:pPr>
      <w:r>
        <w:rPr>
          <w:rFonts w:ascii="Arial" w:hAnsi="Arial" w:cs="Arial"/>
          <w:sz w:val="22"/>
          <w:lang w:val="es-ES" w:eastAsia="es-ES_tradnl"/>
        </w:rPr>
        <w:t xml:space="preserve">Es por ello </w:t>
      </w:r>
      <w:r w:rsidR="008C2D63">
        <w:rPr>
          <w:rFonts w:ascii="Arial" w:hAnsi="Arial" w:cs="Arial"/>
          <w:sz w:val="22"/>
          <w:lang w:val="es-ES" w:eastAsia="es-ES_tradnl"/>
        </w:rPr>
        <w:t>por lo que</w:t>
      </w:r>
      <w:r w:rsidR="009C5278">
        <w:rPr>
          <w:rFonts w:ascii="Arial" w:hAnsi="Arial" w:cs="Arial"/>
          <w:sz w:val="22"/>
          <w:lang w:val="es-ES" w:eastAsia="es-ES_tradnl"/>
        </w:rPr>
        <w:t xml:space="preserve">, </w:t>
      </w:r>
      <w:r>
        <w:rPr>
          <w:rFonts w:ascii="Arial" w:hAnsi="Arial" w:cs="Arial"/>
          <w:sz w:val="22"/>
          <w:lang w:val="es-ES" w:eastAsia="es-ES_tradnl"/>
        </w:rPr>
        <w:t xml:space="preserve">según el artículo 40 de la Ley 80 de 1993, uno de los elementos esenciales de los </w:t>
      </w:r>
      <w:r w:rsidRPr="00F26C43">
        <w:rPr>
          <w:rFonts w:ascii="Arial" w:hAnsi="Arial" w:cs="Arial"/>
          <w:sz w:val="22"/>
          <w:lang w:val="es-ES" w:eastAsia="es-ES_tradnl"/>
        </w:rPr>
        <w:t>contratos estatales es el precio, igualmente conocido como valor. Lo usual es que los contratos estatales se perfeccionen como onerosos y, la mayoría de las veces, como conmutativos. Adicionalmente, el precio suele ser el elemento más importante para el contratista, porque equivale a la remuneración que la entidad contratante le pagará por la ejecución del objeto contractual.</w:t>
      </w:r>
    </w:p>
    <w:p w14:paraId="03018AD9" w14:textId="540E470C" w:rsidR="00F26C43" w:rsidRPr="00F26C43" w:rsidRDefault="00D20573" w:rsidP="00F26C43">
      <w:pPr>
        <w:spacing w:after="120" w:line="276" w:lineRule="auto"/>
        <w:ind w:firstLine="708"/>
        <w:jc w:val="both"/>
        <w:rPr>
          <w:rFonts w:ascii="Arial" w:hAnsi="Arial" w:cs="Arial"/>
          <w:sz w:val="22"/>
          <w:lang w:eastAsia="es-ES_tradnl"/>
        </w:rPr>
      </w:pPr>
      <w:r w:rsidRPr="00F26C43">
        <w:rPr>
          <w:rFonts w:ascii="Arial" w:hAnsi="Arial" w:cs="Arial"/>
          <w:sz w:val="22"/>
          <w:lang w:val="es-ES" w:eastAsia="es-ES_tradnl"/>
        </w:rPr>
        <w:t>A</w:t>
      </w:r>
      <w:r w:rsidR="00F26C43">
        <w:rPr>
          <w:rFonts w:ascii="Arial" w:hAnsi="Arial" w:cs="Arial"/>
          <w:sz w:val="22"/>
          <w:lang w:val="es-ES" w:eastAsia="es-ES_tradnl"/>
        </w:rPr>
        <w:t xml:space="preserve">l </w:t>
      </w:r>
      <w:r w:rsidRPr="00F26C43">
        <w:rPr>
          <w:rFonts w:ascii="Arial" w:hAnsi="Arial" w:cs="Arial"/>
          <w:sz w:val="22"/>
          <w:lang w:val="es-ES" w:eastAsia="es-ES_tradnl"/>
        </w:rPr>
        <w:t>respecto, el Estatuto General de Contratación de la Administración Pública</w:t>
      </w:r>
      <w:r w:rsidR="00F26C43">
        <w:rPr>
          <w:rFonts w:ascii="Arial" w:hAnsi="Arial" w:cs="Arial"/>
          <w:sz w:val="22"/>
          <w:lang w:val="es-ES" w:eastAsia="es-ES_tradnl"/>
        </w:rPr>
        <w:t xml:space="preserve"> </w:t>
      </w:r>
      <w:r w:rsidRPr="00F26C43">
        <w:rPr>
          <w:rFonts w:ascii="Arial" w:hAnsi="Arial" w:cs="Arial"/>
          <w:sz w:val="22"/>
          <w:lang w:val="es-ES" w:eastAsia="es-ES_tradnl"/>
        </w:rPr>
        <w:t>-EGCAP- no consagra una sola metodología para pactar el precio y, en gran medida, la manera de hacerlo ha obedecido</w:t>
      </w:r>
      <w:r w:rsidR="00F26C43" w:rsidRPr="00F26C43">
        <w:rPr>
          <w:rFonts w:ascii="Arial" w:hAnsi="Arial" w:cs="Arial"/>
          <w:sz w:val="22"/>
          <w:lang w:val="es-ES" w:eastAsia="es-ES_tradnl"/>
        </w:rPr>
        <w:t xml:space="preserve"> a la costumbre mercantil y a la influencia de disciplinas técnicas, como la ingeniería o la administración de empresas, en la contratación estatal. </w:t>
      </w:r>
      <w:r w:rsidR="00073DB3" w:rsidRPr="00F26C43">
        <w:rPr>
          <w:rFonts w:ascii="Arial" w:eastAsia="Calibri" w:hAnsi="Arial" w:cs="Arial"/>
          <w:bCs/>
          <w:iCs/>
          <w:sz w:val="22"/>
          <w:szCs w:val="22"/>
          <w:lang w:val="es-ES" w:eastAsia="en-US"/>
        </w:rPr>
        <w:t xml:space="preserve">Dentro de tales esquemas de </w:t>
      </w:r>
      <w:r w:rsidR="00F26C43" w:rsidRPr="00F26C43">
        <w:rPr>
          <w:rFonts w:ascii="Arial" w:eastAsia="Calibri" w:hAnsi="Arial" w:cs="Arial"/>
          <w:bCs/>
          <w:iCs/>
          <w:sz w:val="22"/>
          <w:szCs w:val="22"/>
          <w:lang w:val="es-ES" w:eastAsia="en-US"/>
        </w:rPr>
        <w:t xml:space="preserve">fijación </w:t>
      </w:r>
      <w:r w:rsidR="00073DB3" w:rsidRPr="00F26C43">
        <w:rPr>
          <w:rFonts w:ascii="Arial" w:eastAsia="Calibri" w:hAnsi="Arial" w:cs="Arial"/>
          <w:bCs/>
          <w:iCs/>
          <w:sz w:val="22"/>
          <w:szCs w:val="22"/>
          <w:lang w:val="es-ES" w:eastAsia="en-US"/>
        </w:rPr>
        <w:lastRenderedPageBreak/>
        <w:t xml:space="preserve">del precio pueden citarse, entre otros: </w:t>
      </w:r>
      <w:r w:rsidR="00F26C43" w:rsidRPr="00F26C43">
        <w:rPr>
          <w:rFonts w:ascii="Arial" w:eastAsia="Calibri" w:hAnsi="Arial" w:cs="Arial"/>
          <w:bCs/>
          <w:i/>
          <w:sz w:val="22"/>
          <w:szCs w:val="22"/>
          <w:lang w:val="es-ES" w:eastAsia="en-US"/>
        </w:rPr>
        <w:t>(</w:t>
      </w:r>
      <w:r w:rsidR="00073DB3" w:rsidRPr="00F26C43">
        <w:rPr>
          <w:rFonts w:ascii="Arial" w:eastAsia="Calibri" w:hAnsi="Arial" w:cs="Arial"/>
          <w:bCs/>
          <w:i/>
          <w:sz w:val="22"/>
          <w:szCs w:val="22"/>
          <w:lang w:val="es-ES" w:eastAsia="en-US"/>
        </w:rPr>
        <w:t>i)</w:t>
      </w:r>
      <w:r w:rsidR="00073DB3" w:rsidRPr="00F26C43">
        <w:rPr>
          <w:rFonts w:ascii="Arial" w:eastAsia="Calibri" w:hAnsi="Arial" w:cs="Arial"/>
          <w:bCs/>
          <w:iCs/>
          <w:sz w:val="22"/>
          <w:szCs w:val="22"/>
          <w:lang w:val="es-ES" w:eastAsia="en-US"/>
        </w:rPr>
        <w:t xml:space="preserve"> los precios unitarios </w:t>
      </w:r>
      <w:r w:rsidR="00F26C43" w:rsidRPr="00F26C43">
        <w:rPr>
          <w:rFonts w:ascii="Arial" w:eastAsia="Calibri" w:hAnsi="Arial" w:cs="Arial"/>
          <w:bCs/>
          <w:iCs/>
          <w:sz w:val="22"/>
          <w:szCs w:val="22"/>
          <w:lang w:val="es-ES" w:eastAsia="en-US"/>
        </w:rPr>
        <w:t>-</w:t>
      </w:r>
      <w:r w:rsidR="00073DB3" w:rsidRPr="00F26C43">
        <w:rPr>
          <w:rFonts w:ascii="Arial" w:eastAsia="Calibri" w:hAnsi="Arial" w:cs="Arial"/>
          <w:bCs/>
          <w:iCs/>
          <w:sz w:val="22"/>
          <w:szCs w:val="22"/>
          <w:lang w:val="es-ES" w:eastAsia="en-US"/>
        </w:rPr>
        <w:t>calculados de acuerdo con las unidades que componen el objeto del contrato</w:t>
      </w:r>
      <w:r w:rsidR="00F26C43" w:rsidRPr="00F26C43">
        <w:rPr>
          <w:rFonts w:ascii="Arial" w:eastAsia="Calibri" w:hAnsi="Arial" w:cs="Arial"/>
          <w:bCs/>
          <w:iCs/>
          <w:sz w:val="22"/>
          <w:szCs w:val="22"/>
          <w:lang w:val="es-ES" w:eastAsia="en-US"/>
        </w:rPr>
        <w:t>-;</w:t>
      </w:r>
      <w:r w:rsidR="00073DB3" w:rsidRPr="00F26C43">
        <w:rPr>
          <w:rFonts w:ascii="Arial" w:eastAsia="Calibri" w:hAnsi="Arial" w:cs="Arial"/>
          <w:bCs/>
          <w:iCs/>
          <w:sz w:val="22"/>
          <w:szCs w:val="22"/>
          <w:lang w:val="es-ES" w:eastAsia="en-US"/>
        </w:rPr>
        <w:t xml:space="preserve"> </w:t>
      </w:r>
      <w:r w:rsidR="00F26C43" w:rsidRPr="00F26C43">
        <w:rPr>
          <w:rFonts w:ascii="Arial" w:eastAsia="Calibri" w:hAnsi="Arial" w:cs="Arial"/>
          <w:bCs/>
          <w:i/>
          <w:sz w:val="22"/>
          <w:szCs w:val="22"/>
          <w:lang w:val="es-ES" w:eastAsia="en-US"/>
        </w:rPr>
        <w:t>(</w:t>
      </w:r>
      <w:r w:rsidR="00073DB3" w:rsidRPr="00F26C43">
        <w:rPr>
          <w:rFonts w:ascii="Arial" w:eastAsia="Calibri" w:hAnsi="Arial" w:cs="Arial"/>
          <w:bCs/>
          <w:i/>
          <w:sz w:val="22"/>
          <w:szCs w:val="22"/>
          <w:lang w:val="es-ES" w:eastAsia="en-US"/>
        </w:rPr>
        <w:t>ii)</w:t>
      </w:r>
      <w:r w:rsidR="00073DB3" w:rsidRPr="00F26C43">
        <w:rPr>
          <w:rFonts w:ascii="Arial" w:eastAsia="Calibri" w:hAnsi="Arial" w:cs="Arial"/>
          <w:bCs/>
          <w:iCs/>
          <w:sz w:val="22"/>
          <w:szCs w:val="22"/>
          <w:lang w:val="es-ES" w:eastAsia="en-US"/>
        </w:rPr>
        <w:t xml:space="preserve"> el precio global </w:t>
      </w:r>
      <w:r w:rsidR="00F26C43" w:rsidRPr="00F26C43">
        <w:rPr>
          <w:rFonts w:ascii="Arial" w:eastAsia="Calibri" w:hAnsi="Arial" w:cs="Arial"/>
          <w:bCs/>
          <w:iCs/>
          <w:sz w:val="22"/>
          <w:szCs w:val="22"/>
          <w:lang w:val="es-ES" w:eastAsia="en-US"/>
        </w:rPr>
        <w:t>-</w:t>
      </w:r>
      <w:r w:rsidR="00073DB3" w:rsidRPr="00F26C43">
        <w:rPr>
          <w:rFonts w:ascii="Arial" w:eastAsia="Calibri" w:hAnsi="Arial" w:cs="Arial"/>
          <w:bCs/>
          <w:iCs/>
          <w:sz w:val="22"/>
          <w:szCs w:val="22"/>
          <w:lang w:val="es-ES" w:eastAsia="en-US"/>
        </w:rPr>
        <w:t>que equivale al monto total, sin discriminar unidades</w:t>
      </w:r>
      <w:r w:rsidR="00F26C43" w:rsidRPr="00F26C43">
        <w:rPr>
          <w:rFonts w:ascii="Arial" w:eastAsia="Calibri" w:hAnsi="Arial" w:cs="Arial"/>
          <w:bCs/>
          <w:iCs/>
          <w:sz w:val="22"/>
          <w:szCs w:val="22"/>
          <w:lang w:val="es-ES" w:eastAsia="en-US"/>
        </w:rPr>
        <w:t>-;</w:t>
      </w:r>
      <w:r w:rsidR="00073DB3" w:rsidRPr="00F26C43">
        <w:rPr>
          <w:rFonts w:ascii="Arial" w:eastAsia="Calibri" w:hAnsi="Arial" w:cs="Arial"/>
          <w:bCs/>
          <w:iCs/>
          <w:sz w:val="22"/>
          <w:szCs w:val="22"/>
          <w:lang w:val="es-ES" w:eastAsia="en-US"/>
        </w:rPr>
        <w:t xml:space="preserve"> y </w:t>
      </w:r>
      <w:r w:rsidR="00F26C43" w:rsidRPr="00F26C43">
        <w:rPr>
          <w:rFonts w:ascii="Arial" w:eastAsia="Calibri" w:hAnsi="Arial" w:cs="Arial"/>
          <w:bCs/>
          <w:i/>
          <w:sz w:val="22"/>
          <w:szCs w:val="22"/>
          <w:lang w:val="es-ES" w:eastAsia="en-US"/>
        </w:rPr>
        <w:t>(</w:t>
      </w:r>
      <w:r w:rsidR="00073DB3" w:rsidRPr="00F26C43">
        <w:rPr>
          <w:rFonts w:ascii="Arial" w:eastAsia="Calibri" w:hAnsi="Arial" w:cs="Arial"/>
          <w:bCs/>
          <w:i/>
          <w:sz w:val="22"/>
          <w:szCs w:val="22"/>
          <w:lang w:val="es-ES" w:eastAsia="en-US"/>
        </w:rPr>
        <w:t>iii)</w:t>
      </w:r>
      <w:r w:rsidR="00073DB3" w:rsidRPr="00F26C43">
        <w:rPr>
          <w:rFonts w:ascii="Arial" w:eastAsia="Calibri" w:hAnsi="Arial" w:cs="Arial"/>
          <w:bCs/>
          <w:iCs/>
          <w:sz w:val="22"/>
          <w:szCs w:val="22"/>
          <w:lang w:val="es-ES" w:eastAsia="en-US"/>
        </w:rPr>
        <w:t xml:space="preserve"> la administración delegada de recursos</w:t>
      </w:r>
      <w:r w:rsidR="00F26C43">
        <w:rPr>
          <w:rFonts w:ascii="Arial" w:eastAsia="Calibri" w:hAnsi="Arial" w:cs="Arial"/>
          <w:bCs/>
          <w:iCs/>
          <w:sz w:val="22"/>
          <w:szCs w:val="22"/>
          <w:lang w:val="es-ES" w:eastAsia="en-US"/>
        </w:rPr>
        <w:t xml:space="preserve"> </w:t>
      </w:r>
      <w:r w:rsidR="00F26C43" w:rsidRPr="00F26C43">
        <w:rPr>
          <w:rFonts w:ascii="Arial" w:eastAsia="Calibri" w:hAnsi="Arial" w:cs="Arial"/>
          <w:bCs/>
          <w:iCs/>
          <w:sz w:val="22"/>
          <w:szCs w:val="22"/>
          <w:lang w:val="es-ES" w:eastAsia="en-US"/>
        </w:rPr>
        <w:t>-</w:t>
      </w:r>
      <w:r w:rsidR="00073DB3" w:rsidRPr="00F26C43">
        <w:rPr>
          <w:rFonts w:ascii="Arial" w:eastAsia="Calibri" w:hAnsi="Arial" w:cs="Arial"/>
          <w:bCs/>
          <w:iCs/>
          <w:sz w:val="22"/>
          <w:szCs w:val="22"/>
          <w:lang w:val="es-ES" w:eastAsia="en-US"/>
        </w:rPr>
        <w:t>en la que se distinguen los costos de inversión de los honorarios del administrador</w:t>
      </w:r>
      <w:r w:rsidR="00F26C43" w:rsidRPr="00F26C43">
        <w:rPr>
          <w:rFonts w:ascii="Arial" w:eastAsia="Calibri" w:hAnsi="Arial" w:cs="Arial"/>
          <w:bCs/>
          <w:iCs/>
          <w:sz w:val="22"/>
          <w:szCs w:val="22"/>
          <w:lang w:val="es-ES" w:eastAsia="en-US"/>
        </w:rPr>
        <w:t>-</w:t>
      </w:r>
      <w:r w:rsidR="00A7543D">
        <w:rPr>
          <w:rFonts w:ascii="Arial" w:eastAsia="Calibri" w:hAnsi="Arial" w:cs="Arial"/>
          <w:bCs/>
          <w:iCs/>
          <w:sz w:val="22"/>
          <w:szCs w:val="22"/>
          <w:lang w:val="es-ES" w:eastAsia="en-US"/>
        </w:rPr>
        <w:t>.</w:t>
      </w:r>
    </w:p>
    <w:p w14:paraId="3A695B62" w14:textId="627A1465" w:rsidR="00073DB3" w:rsidRDefault="00073DB3" w:rsidP="00F26C43">
      <w:pPr>
        <w:spacing w:after="120" w:line="276" w:lineRule="auto"/>
        <w:ind w:firstLine="708"/>
        <w:jc w:val="both"/>
        <w:rPr>
          <w:rFonts w:ascii="Arial" w:eastAsia="Calibri" w:hAnsi="Arial" w:cs="Arial"/>
          <w:iCs/>
          <w:sz w:val="22"/>
          <w:szCs w:val="22"/>
          <w:lang w:eastAsia="en-US"/>
        </w:rPr>
      </w:pPr>
      <w:bookmarkStart w:id="34" w:name="_Hlk136192206"/>
      <w:bookmarkStart w:id="35" w:name="_Hlk136201880"/>
      <w:r w:rsidRPr="00F26C43">
        <w:rPr>
          <w:rFonts w:ascii="Arial" w:eastAsia="Calibri" w:hAnsi="Arial" w:cs="Arial"/>
          <w:iCs/>
          <w:sz w:val="22"/>
          <w:szCs w:val="22"/>
          <w:lang w:eastAsia="en-US"/>
        </w:rPr>
        <w:t xml:space="preserve">El precio del contrato estatal puede comprender los costos </w:t>
      </w:r>
      <w:r w:rsidRPr="00F26C43">
        <w:rPr>
          <w:rFonts w:ascii="Arial" w:eastAsia="Calibri" w:hAnsi="Arial" w:cs="Arial"/>
          <w:i/>
          <w:sz w:val="22"/>
          <w:szCs w:val="22"/>
          <w:lang w:eastAsia="en-US"/>
        </w:rPr>
        <w:t>directos</w:t>
      </w:r>
      <w:r w:rsidRPr="00F26C43">
        <w:rPr>
          <w:rFonts w:ascii="Arial" w:eastAsia="Calibri" w:hAnsi="Arial" w:cs="Arial"/>
          <w:iCs/>
          <w:sz w:val="22"/>
          <w:szCs w:val="22"/>
          <w:lang w:eastAsia="en-US"/>
        </w:rPr>
        <w:t xml:space="preserve"> e </w:t>
      </w:r>
      <w:r w:rsidRPr="00F26C43">
        <w:rPr>
          <w:rFonts w:ascii="Arial" w:eastAsia="Calibri" w:hAnsi="Arial" w:cs="Arial"/>
          <w:i/>
          <w:sz w:val="22"/>
          <w:szCs w:val="22"/>
          <w:lang w:eastAsia="en-US"/>
        </w:rPr>
        <w:t>indirectos</w:t>
      </w:r>
      <w:r w:rsidR="00F26C43">
        <w:rPr>
          <w:rFonts w:ascii="Arial" w:eastAsia="Calibri" w:hAnsi="Arial" w:cs="Arial"/>
          <w:iCs/>
          <w:sz w:val="22"/>
          <w:szCs w:val="22"/>
          <w:lang w:eastAsia="en-US"/>
        </w:rPr>
        <w:t xml:space="preserve">, siendo los </w:t>
      </w:r>
      <w:r w:rsidRPr="00F26C43">
        <w:rPr>
          <w:rFonts w:ascii="Arial" w:eastAsia="Calibri" w:hAnsi="Arial" w:cs="Arial"/>
          <w:iCs/>
          <w:sz w:val="22"/>
          <w:szCs w:val="22"/>
          <w:lang w:eastAsia="en-US"/>
        </w:rPr>
        <w:t>primero</w:t>
      </w:r>
      <w:r w:rsidR="00F26C43">
        <w:rPr>
          <w:rFonts w:ascii="Arial" w:eastAsia="Calibri" w:hAnsi="Arial" w:cs="Arial"/>
          <w:iCs/>
          <w:sz w:val="22"/>
          <w:szCs w:val="22"/>
          <w:lang w:eastAsia="en-US"/>
        </w:rPr>
        <w:t xml:space="preserve">s </w:t>
      </w:r>
      <w:r w:rsidRPr="00F26C43">
        <w:rPr>
          <w:rFonts w:ascii="Arial" w:eastAsia="Calibri" w:hAnsi="Arial" w:cs="Arial"/>
          <w:iCs/>
          <w:sz w:val="22"/>
          <w:szCs w:val="22"/>
          <w:lang w:eastAsia="en-US"/>
        </w:rPr>
        <w:t>recursos que se van a utilizar para la ejecución del objeto contractual y lo</w:t>
      </w:r>
      <w:r w:rsidR="00F26C43">
        <w:rPr>
          <w:rFonts w:ascii="Arial" w:eastAsia="Calibri" w:hAnsi="Arial" w:cs="Arial"/>
          <w:iCs/>
          <w:sz w:val="22"/>
          <w:szCs w:val="22"/>
          <w:lang w:eastAsia="en-US"/>
        </w:rPr>
        <w:t xml:space="preserve">s </w:t>
      </w:r>
      <w:r w:rsidRPr="00F26C43">
        <w:rPr>
          <w:rFonts w:ascii="Arial" w:eastAsia="Calibri" w:hAnsi="Arial" w:cs="Arial"/>
          <w:iCs/>
          <w:sz w:val="22"/>
          <w:szCs w:val="22"/>
          <w:lang w:eastAsia="en-US"/>
        </w:rPr>
        <w:t>segundo</w:t>
      </w:r>
      <w:r w:rsidR="00F26C43">
        <w:rPr>
          <w:rFonts w:ascii="Arial" w:eastAsia="Calibri" w:hAnsi="Arial" w:cs="Arial"/>
          <w:iCs/>
          <w:sz w:val="22"/>
          <w:szCs w:val="22"/>
          <w:lang w:eastAsia="en-US"/>
        </w:rPr>
        <w:t>s</w:t>
      </w:r>
      <w:r w:rsidRPr="00F26C43">
        <w:rPr>
          <w:rFonts w:ascii="Arial" w:eastAsia="Calibri" w:hAnsi="Arial" w:cs="Arial"/>
          <w:iCs/>
          <w:sz w:val="22"/>
          <w:szCs w:val="22"/>
          <w:lang w:eastAsia="en-US"/>
        </w:rPr>
        <w:t xml:space="preserve">, también conocidos como </w:t>
      </w:r>
      <w:r w:rsidRPr="00F26C43">
        <w:rPr>
          <w:rFonts w:ascii="Arial" w:eastAsia="Calibri" w:hAnsi="Arial" w:cs="Arial"/>
          <w:i/>
          <w:iCs/>
          <w:sz w:val="22"/>
          <w:szCs w:val="22"/>
          <w:lang w:eastAsia="en-US"/>
        </w:rPr>
        <w:t>overhead</w:t>
      </w:r>
      <w:r w:rsidRPr="00F26C43">
        <w:rPr>
          <w:rFonts w:ascii="Arial" w:eastAsia="Calibri" w:hAnsi="Arial" w:cs="Arial"/>
          <w:iCs/>
          <w:sz w:val="22"/>
          <w:szCs w:val="22"/>
          <w:lang w:eastAsia="en-US"/>
        </w:rPr>
        <w:t>,</w:t>
      </w:r>
      <w:r w:rsidR="00F26C43">
        <w:rPr>
          <w:rFonts w:ascii="Arial" w:eastAsia="Calibri" w:hAnsi="Arial" w:cs="Arial"/>
          <w:iCs/>
          <w:sz w:val="22"/>
          <w:szCs w:val="22"/>
          <w:lang w:eastAsia="en-US"/>
        </w:rPr>
        <w:t xml:space="preserve"> caracterizados como los g</w:t>
      </w:r>
      <w:r w:rsidRPr="00F26C43">
        <w:rPr>
          <w:rFonts w:ascii="Arial" w:eastAsia="Calibri" w:hAnsi="Arial" w:cs="Arial"/>
          <w:iCs/>
          <w:sz w:val="22"/>
          <w:szCs w:val="22"/>
          <w:lang w:eastAsia="en-US"/>
        </w:rPr>
        <w:t>astos que, si bien no inciden en forma directa, sí afectan su valor</w:t>
      </w:r>
      <w:r w:rsidR="00F26C43">
        <w:rPr>
          <w:rFonts w:ascii="Arial" w:eastAsia="Calibri" w:hAnsi="Arial" w:cs="Arial"/>
          <w:iCs/>
          <w:sz w:val="22"/>
          <w:szCs w:val="22"/>
          <w:lang w:eastAsia="en-US"/>
        </w:rPr>
        <w:t>.</w:t>
      </w:r>
    </w:p>
    <w:p w14:paraId="0F9E14A7" w14:textId="77777777" w:rsidR="00A7543D" w:rsidRDefault="00073DB3" w:rsidP="00A7543D">
      <w:pPr>
        <w:spacing w:after="120" w:line="276" w:lineRule="auto"/>
        <w:ind w:firstLine="708"/>
        <w:jc w:val="both"/>
        <w:rPr>
          <w:rFonts w:ascii="Arial" w:eastAsia="Calibri" w:hAnsi="Arial" w:cs="Arial"/>
          <w:iCs/>
          <w:sz w:val="22"/>
          <w:szCs w:val="22"/>
          <w:lang w:eastAsia="en-US"/>
        </w:rPr>
      </w:pPr>
      <w:bookmarkStart w:id="36" w:name="_Hlk139324847"/>
      <w:bookmarkEnd w:id="34"/>
      <w:bookmarkEnd w:id="35"/>
      <w:r w:rsidRPr="00BD3B1F">
        <w:rPr>
          <w:rFonts w:ascii="Arial" w:eastAsia="Calibri" w:hAnsi="Arial" w:cs="Arial"/>
          <w:iCs/>
          <w:sz w:val="22"/>
          <w:szCs w:val="22"/>
          <w:lang w:eastAsia="en-US"/>
        </w:rPr>
        <w:t>En consecuencia, tanto las entidades sometidas al Estatuto General de Contratación de la Administración Pública</w:t>
      </w:r>
      <w:r w:rsidR="00A7543D" w:rsidRPr="00BD3B1F">
        <w:rPr>
          <w:rFonts w:ascii="Arial" w:eastAsia="Calibri" w:hAnsi="Arial" w:cs="Arial"/>
          <w:iCs/>
          <w:sz w:val="22"/>
          <w:szCs w:val="22"/>
          <w:lang w:eastAsia="en-US"/>
        </w:rPr>
        <w:t xml:space="preserve"> -EGCAP-</w:t>
      </w:r>
      <w:r w:rsidRPr="00BD3B1F">
        <w:rPr>
          <w:rFonts w:ascii="Arial" w:eastAsia="Calibri" w:hAnsi="Arial" w:cs="Arial"/>
          <w:iCs/>
          <w:sz w:val="22"/>
          <w:szCs w:val="22"/>
          <w:lang w:eastAsia="en-US"/>
        </w:rPr>
        <w:t>, como las excluidas de este</w:t>
      </w:r>
      <w:r w:rsidR="00A7543D" w:rsidRPr="00BD3B1F">
        <w:rPr>
          <w:rFonts w:ascii="Arial" w:eastAsia="Calibri" w:hAnsi="Arial" w:cs="Arial"/>
          <w:iCs/>
          <w:sz w:val="22"/>
          <w:szCs w:val="22"/>
          <w:lang w:eastAsia="en-US"/>
        </w:rPr>
        <w:t xml:space="preserve"> -por tener </w:t>
      </w:r>
      <w:r w:rsidRPr="00BD3B1F">
        <w:rPr>
          <w:rFonts w:ascii="Arial" w:eastAsia="Calibri" w:hAnsi="Arial" w:cs="Arial"/>
          <w:iCs/>
          <w:sz w:val="22"/>
          <w:szCs w:val="22"/>
          <w:lang w:eastAsia="en-US"/>
        </w:rPr>
        <w:t>un régimen especial</w:t>
      </w:r>
      <w:r w:rsidR="00A7543D" w:rsidRPr="00BD3B1F">
        <w:rPr>
          <w:rFonts w:ascii="Arial" w:eastAsia="Calibri" w:hAnsi="Arial" w:cs="Arial"/>
          <w:iCs/>
          <w:sz w:val="22"/>
          <w:szCs w:val="22"/>
          <w:lang w:eastAsia="en-US"/>
        </w:rPr>
        <w:t xml:space="preserve">-, </w:t>
      </w:r>
      <w:r w:rsidRPr="00BD3B1F">
        <w:rPr>
          <w:rFonts w:ascii="Arial" w:eastAsia="Calibri" w:hAnsi="Arial" w:cs="Arial"/>
          <w:iCs/>
          <w:sz w:val="22"/>
          <w:szCs w:val="22"/>
          <w:lang w:eastAsia="en-US"/>
        </w:rPr>
        <w:t>gozan de autonomía para configurar el precio y para establecer el sistema de pago más apropiado para satisfacer los fines de la contratación, respetando los límites previstos en el ordenamiento.</w:t>
      </w:r>
      <w:r w:rsidR="00A7543D" w:rsidRPr="00BD3B1F">
        <w:rPr>
          <w:rFonts w:ascii="Arial" w:eastAsia="Calibri" w:hAnsi="Arial" w:cs="Arial"/>
          <w:iCs/>
          <w:sz w:val="22"/>
          <w:szCs w:val="22"/>
          <w:lang w:eastAsia="en-US"/>
        </w:rPr>
        <w:t xml:space="preserve"> Bajo </w:t>
      </w:r>
      <w:r w:rsidRPr="00BD3B1F">
        <w:rPr>
          <w:rFonts w:ascii="Arial" w:eastAsia="Calibri" w:hAnsi="Arial" w:cs="Arial"/>
          <w:iCs/>
          <w:sz w:val="22"/>
          <w:szCs w:val="22"/>
          <w:lang w:eastAsia="en-US"/>
        </w:rPr>
        <w:t>tal perspectiva, cuentan con discrecionalidad para establecer en el pliego de condiciones o en su documento equivalente, así como en el contrato, el sistema de precios que más se ajuste el objeto a contratar</w:t>
      </w:r>
      <w:r w:rsidR="00A7543D" w:rsidRPr="00BD3B1F">
        <w:rPr>
          <w:rFonts w:ascii="Arial" w:eastAsia="Calibri" w:hAnsi="Arial" w:cs="Arial"/>
          <w:iCs/>
          <w:sz w:val="22"/>
          <w:szCs w:val="22"/>
          <w:lang w:eastAsia="en-US"/>
        </w:rPr>
        <w:t>.</w:t>
      </w:r>
    </w:p>
    <w:p w14:paraId="6A995E0A" w14:textId="301FF23F" w:rsidR="00652BEA" w:rsidRDefault="008C2D63" w:rsidP="00652BEA">
      <w:pPr>
        <w:spacing w:after="120" w:line="276" w:lineRule="auto"/>
        <w:ind w:firstLine="708"/>
        <w:jc w:val="both"/>
        <w:rPr>
          <w:rFonts w:ascii="Arial" w:eastAsia="Calibri" w:hAnsi="Arial" w:cs="Arial"/>
          <w:color w:val="000000"/>
          <w:sz w:val="22"/>
          <w:lang w:eastAsia="es-ES_tradnl"/>
        </w:rPr>
      </w:pPr>
      <w:r>
        <w:rPr>
          <w:rFonts w:ascii="Arial" w:eastAsia="Calibri" w:hAnsi="Arial" w:cs="Arial"/>
          <w:iCs/>
          <w:sz w:val="22"/>
          <w:szCs w:val="22"/>
          <w:lang w:eastAsia="en-US"/>
        </w:rPr>
        <w:t>Con todo,</w:t>
      </w:r>
      <w:r w:rsidR="00652BEA">
        <w:rPr>
          <w:rFonts w:ascii="Arial" w:eastAsia="Calibri" w:hAnsi="Arial" w:cs="Arial"/>
          <w:iCs/>
          <w:sz w:val="22"/>
          <w:szCs w:val="22"/>
          <w:lang w:eastAsia="en-US"/>
        </w:rPr>
        <w:t xml:space="preserve"> </w:t>
      </w:r>
      <w:r>
        <w:rPr>
          <w:rFonts w:ascii="Arial" w:eastAsia="Calibri" w:hAnsi="Arial" w:cs="Arial"/>
          <w:iCs/>
          <w:sz w:val="22"/>
          <w:szCs w:val="22"/>
          <w:lang w:eastAsia="en-US"/>
        </w:rPr>
        <w:t xml:space="preserve">el parágrafo del artículo 40 de la Ley 80 de 1993 dispone expresamente que </w:t>
      </w:r>
      <w:r w:rsidRPr="004778FF">
        <w:rPr>
          <w:rFonts w:ascii="Arial" w:eastAsia="Calibri" w:hAnsi="Arial" w:cs="Arial"/>
          <w:i/>
          <w:sz w:val="22"/>
          <w:szCs w:val="22"/>
          <w:lang w:eastAsia="en-US"/>
        </w:rPr>
        <w:t>“[e]n los contratos que celebren las entidades estatales se podrá pactar el pago anticipado y la entrega de anticipos, pero su monto no podrá exceder del cincuenta por ciento (50%) del valor del respectivo contrato</w:t>
      </w:r>
      <w:r w:rsidR="004778FF">
        <w:rPr>
          <w:rFonts w:ascii="Arial" w:eastAsia="Calibri" w:hAnsi="Arial" w:cs="Arial"/>
          <w:i/>
          <w:sz w:val="22"/>
          <w:szCs w:val="22"/>
          <w:lang w:eastAsia="en-US"/>
        </w:rPr>
        <w:t xml:space="preserve"> (…)</w:t>
      </w:r>
      <w:r w:rsidRPr="004778FF">
        <w:rPr>
          <w:rFonts w:ascii="Arial" w:eastAsia="Calibri" w:hAnsi="Arial" w:cs="Arial"/>
          <w:i/>
          <w:sz w:val="22"/>
          <w:szCs w:val="22"/>
          <w:lang w:eastAsia="en-US"/>
        </w:rPr>
        <w:t>”</w:t>
      </w:r>
      <w:r w:rsidR="006C6BF6">
        <w:rPr>
          <w:rFonts w:ascii="Arial" w:eastAsia="Calibri" w:hAnsi="Arial" w:cs="Arial"/>
          <w:iCs/>
          <w:sz w:val="22"/>
          <w:szCs w:val="22"/>
          <w:lang w:eastAsia="en-US"/>
        </w:rPr>
        <w:t>.</w:t>
      </w:r>
      <w:bookmarkStart w:id="37" w:name="_Hlk139320740"/>
      <w:r w:rsidR="006C6BF6">
        <w:rPr>
          <w:rFonts w:ascii="Arial" w:eastAsia="Calibri" w:hAnsi="Arial" w:cs="Arial"/>
          <w:iCs/>
          <w:sz w:val="22"/>
          <w:szCs w:val="22"/>
          <w:lang w:eastAsia="en-US"/>
        </w:rPr>
        <w:t xml:space="preserve"> </w:t>
      </w:r>
      <w:r w:rsidR="004778FF">
        <w:rPr>
          <w:rFonts w:ascii="Arial" w:eastAsia="Calibri" w:hAnsi="Arial" w:cs="Arial"/>
          <w:color w:val="000000"/>
          <w:sz w:val="22"/>
          <w:lang w:eastAsia="es-ES_tradnl"/>
        </w:rPr>
        <w:t xml:space="preserve">En ese sentido, una de las disposiciones que deben considerarse en la celebración de </w:t>
      </w:r>
      <w:r w:rsidR="006C6BF6">
        <w:rPr>
          <w:rFonts w:ascii="Arial" w:eastAsia="Calibri" w:hAnsi="Arial" w:cs="Arial"/>
          <w:color w:val="000000"/>
          <w:sz w:val="22"/>
          <w:lang w:eastAsia="es-ES_tradnl"/>
        </w:rPr>
        <w:t xml:space="preserve">convenios interadministrativos es este aparte normativo, comoquiera </w:t>
      </w:r>
      <w:r w:rsidR="004778FF">
        <w:rPr>
          <w:rFonts w:ascii="Arial" w:eastAsia="Calibri" w:hAnsi="Arial" w:cs="Arial"/>
          <w:color w:val="000000"/>
          <w:sz w:val="22"/>
          <w:lang w:eastAsia="es-ES_tradnl"/>
        </w:rPr>
        <w:t xml:space="preserve">que </w:t>
      </w:r>
      <w:r w:rsidR="006C6BF6">
        <w:rPr>
          <w:rFonts w:ascii="Arial" w:eastAsia="Calibri" w:hAnsi="Arial" w:cs="Arial"/>
          <w:color w:val="000000"/>
          <w:sz w:val="22"/>
          <w:lang w:eastAsia="es-ES_tradnl"/>
        </w:rPr>
        <w:t xml:space="preserve">esta modalidad contractual </w:t>
      </w:r>
      <w:r w:rsidR="004778FF">
        <w:rPr>
          <w:rFonts w:ascii="Arial" w:eastAsia="Calibri" w:hAnsi="Arial" w:cs="Arial"/>
          <w:color w:val="000000"/>
          <w:sz w:val="22"/>
          <w:lang w:eastAsia="es-ES_tradnl"/>
        </w:rPr>
        <w:t>no</w:t>
      </w:r>
      <w:r w:rsidR="006C6BF6">
        <w:rPr>
          <w:rFonts w:ascii="Arial" w:eastAsia="Calibri" w:hAnsi="Arial" w:cs="Arial"/>
          <w:color w:val="000000"/>
          <w:sz w:val="22"/>
          <w:lang w:eastAsia="es-ES_tradnl"/>
        </w:rPr>
        <w:t xml:space="preserve"> </w:t>
      </w:r>
      <w:r w:rsidR="004778FF">
        <w:rPr>
          <w:rFonts w:ascii="Arial" w:eastAsia="Calibri" w:hAnsi="Arial" w:cs="Arial"/>
          <w:color w:val="000000"/>
          <w:sz w:val="22"/>
          <w:lang w:eastAsia="es-ES_tradnl"/>
        </w:rPr>
        <w:t>se</w:t>
      </w:r>
      <w:r w:rsidR="006C6BF6">
        <w:rPr>
          <w:rFonts w:ascii="Arial" w:eastAsia="Calibri" w:hAnsi="Arial" w:cs="Arial"/>
          <w:color w:val="000000"/>
          <w:sz w:val="22"/>
          <w:lang w:eastAsia="es-ES_tradnl"/>
        </w:rPr>
        <w:t xml:space="preserve"> </w:t>
      </w:r>
      <w:r w:rsidR="004778FF">
        <w:rPr>
          <w:rFonts w:ascii="Arial" w:eastAsia="Calibri" w:hAnsi="Arial" w:cs="Arial"/>
          <w:color w:val="000000"/>
          <w:sz w:val="22"/>
          <w:lang w:eastAsia="es-ES_tradnl"/>
        </w:rPr>
        <w:t>encuentra</w:t>
      </w:r>
      <w:r w:rsidR="006C6BF6">
        <w:rPr>
          <w:rFonts w:ascii="Arial" w:eastAsia="Calibri" w:hAnsi="Arial" w:cs="Arial"/>
          <w:color w:val="000000"/>
          <w:sz w:val="22"/>
          <w:lang w:eastAsia="es-ES_tradnl"/>
        </w:rPr>
        <w:t xml:space="preserve"> </w:t>
      </w:r>
      <w:r w:rsidR="004778FF">
        <w:rPr>
          <w:rFonts w:ascii="Arial" w:eastAsia="Calibri" w:hAnsi="Arial" w:cs="Arial"/>
          <w:color w:val="000000"/>
          <w:sz w:val="22"/>
          <w:lang w:eastAsia="es-ES_tradnl"/>
        </w:rPr>
        <w:t xml:space="preserve">exceptuada de </w:t>
      </w:r>
      <w:r w:rsidR="006C6BF6">
        <w:rPr>
          <w:rFonts w:ascii="Arial" w:eastAsia="Calibri" w:hAnsi="Arial" w:cs="Arial"/>
          <w:color w:val="000000"/>
          <w:sz w:val="22"/>
          <w:lang w:eastAsia="es-ES_tradnl"/>
        </w:rPr>
        <w:t>su aplicación.</w:t>
      </w:r>
    </w:p>
    <w:p w14:paraId="6C660456" w14:textId="2CA9AC0A" w:rsidR="00652BEA" w:rsidRDefault="00652BEA" w:rsidP="00652BEA">
      <w:pPr>
        <w:spacing w:after="120" w:line="276" w:lineRule="auto"/>
        <w:ind w:firstLine="708"/>
        <w:jc w:val="both"/>
        <w:rPr>
          <w:rFonts w:ascii="Arial" w:eastAsia="Calibri" w:hAnsi="Arial" w:cs="Arial"/>
          <w:iCs/>
          <w:sz w:val="22"/>
          <w:szCs w:val="22"/>
          <w:lang w:eastAsia="en-US"/>
        </w:rPr>
      </w:pPr>
      <w:bookmarkStart w:id="38" w:name="_Hlk139323846"/>
      <w:r w:rsidRPr="00BD3B1F">
        <w:rPr>
          <w:rFonts w:ascii="Arial" w:eastAsia="Calibri" w:hAnsi="Arial" w:cs="Arial"/>
          <w:iCs/>
          <w:sz w:val="22"/>
          <w:szCs w:val="22"/>
          <w:lang w:eastAsia="en-US"/>
        </w:rPr>
        <w:t>En consecuencia,</w:t>
      </w:r>
      <w:r w:rsidR="00714037">
        <w:rPr>
          <w:rFonts w:ascii="Arial" w:eastAsia="Calibri" w:hAnsi="Arial" w:cs="Arial"/>
          <w:iCs/>
          <w:sz w:val="22"/>
          <w:szCs w:val="22"/>
          <w:lang w:eastAsia="en-US"/>
        </w:rPr>
        <w:t xml:space="preserve"> </w:t>
      </w:r>
      <w:r w:rsidRPr="00BD3B1F">
        <w:rPr>
          <w:rFonts w:ascii="Arial" w:eastAsia="Calibri" w:hAnsi="Arial" w:cs="Arial"/>
          <w:iCs/>
          <w:sz w:val="22"/>
          <w:szCs w:val="22"/>
          <w:lang w:eastAsia="en-US"/>
        </w:rPr>
        <w:t>las entidades sometidas al Estatuto General de Contratación de la Administración Pública -EGCAP-,</w:t>
      </w:r>
      <w:r>
        <w:rPr>
          <w:rFonts w:ascii="Arial" w:eastAsia="Calibri" w:hAnsi="Arial" w:cs="Arial"/>
          <w:iCs/>
          <w:sz w:val="22"/>
          <w:szCs w:val="22"/>
          <w:lang w:eastAsia="en-US"/>
        </w:rPr>
        <w:t xml:space="preserve"> aunque </w:t>
      </w:r>
      <w:r w:rsidRPr="00BD3B1F">
        <w:rPr>
          <w:rFonts w:ascii="Arial" w:eastAsia="Calibri" w:hAnsi="Arial" w:cs="Arial"/>
          <w:iCs/>
          <w:sz w:val="22"/>
          <w:szCs w:val="22"/>
          <w:lang w:eastAsia="en-US"/>
        </w:rPr>
        <w:t>gozan de</w:t>
      </w:r>
      <w:r>
        <w:rPr>
          <w:rFonts w:ascii="Arial" w:eastAsia="Calibri" w:hAnsi="Arial" w:cs="Arial"/>
          <w:iCs/>
          <w:sz w:val="22"/>
          <w:szCs w:val="22"/>
          <w:lang w:eastAsia="en-US"/>
        </w:rPr>
        <w:t xml:space="preserve"> </w:t>
      </w:r>
      <w:r w:rsidRPr="00BD3B1F">
        <w:rPr>
          <w:rFonts w:ascii="Arial" w:eastAsia="Calibri" w:hAnsi="Arial" w:cs="Arial"/>
          <w:iCs/>
          <w:sz w:val="22"/>
          <w:szCs w:val="22"/>
          <w:lang w:eastAsia="en-US"/>
        </w:rPr>
        <w:t>autonomía</w:t>
      </w:r>
      <w:r>
        <w:rPr>
          <w:rFonts w:ascii="Arial" w:eastAsia="Calibri" w:hAnsi="Arial" w:cs="Arial"/>
          <w:iCs/>
          <w:sz w:val="22"/>
          <w:szCs w:val="22"/>
          <w:lang w:eastAsia="en-US"/>
        </w:rPr>
        <w:t xml:space="preserve"> y, hasta cierto punto, de discrecionalidad </w:t>
      </w:r>
      <w:r w:rsidRPr="00BD3B1F">
        <w:rPr>
          <w:rFonts w:ascii="Arial" w:eastAsia="Calibri" w:hAnsi="Arial" w:cs="Arial"/>
          <w:iCs/>
          <w:sz w:val="22"/>
          <w:szCs w:val="22"/>
          <w:lang w:eastAsia="en-US"/>
        </w:rPr>
        <w:t>para configurar el precio y para establecer el sistema de pago más apropiado para satisfacer los fines de la contratación, respetando los límites previstos en el ordenamiento</w:t>
      </w:r>
      <w:r>
        <w:rPr>
          <w:rFonts w:ascii="Arial" w:eastAsia="Calibri" w:hAnsi="Arial" w:cs="Arial"/>
          <w:iCs/>
          <w:sz w:val="22"/>
          <w:szCs w:val="22"/>
          <w:lang w:eastAsia="en-US"/>
        </w:rPr>
        <w:t xml:space="preserve">, al suscribir la referida tipología contractual, habrán de </w:t>
      </w:r>
      <w:r w:rsidR="002C349C">
        <w:rPr>
          <w:rFonts w:ascii="Arial" w:eastAsia="Calibri" w:hAnsi="Arial" w:cs="Arial"/>
          <w:iCs/>
          <w:sz w:val="22"/>
          <w:szCs w:val="22"/>
          <w:lang w:eastAsia="en-US"/>
        </w:rPr>
        <w:t xml:space="preserve">observar como límite el valor porcentual máximo objeto de desembolso previsto en el </w:t>
      </w:r>
      <w:r>
        <w:rPr>
          <w:rFonts w:ascii="Arial" w:eastAsia="Calibri" w:hAnsi="Arial" w:cs="Arial"/>
          <w:iCs/>
          <w:sz w:val="22"/>
          <w:szCs w:val="22"/>
          <w:lang w:eastAsia="en-US"/>
        </w:rPr>
        <w:t>inciso primero del parágrafo del artículo 40 de la Ley 80 de 1993</w:t>
      </w:r>
      <w:r w:rsidR="002C349C">
        <w:rPr>
          <w:rFonts w:ascii="Arial" w:eastAsia="Calibri" w:hAnsi="Arial" w:cs="Arial"/>
          <w:iCs/>
          <w:sz w:val="22"/>
          <w:szCs w:val="22"/>
          <w:lang w:eastAsia="en-US"/>
        </w:rPr>
        <w:t>, el cual no está restringido a un contrato estatal específico o a una concreta modalidad de selección del contratista.</w:t>
      </w:r>
    </w:p>
    <w:bookmarkEnd w:id="36"/>
    <w:bookmarkEnd w:id="37"/>
    <w:bookmarkEnd w:id="38"/>
    <w:p w14:paraId="0BDF79D3" w14:textId="1EE60CD4" w:rsidR="00367BC4" w:rsidRPr="000C7279" w:rsidRDefault="00367BC4" w:rsidP="000C7279">
      <w:pPr>
        <w:spacing w:line="276" w:lineRule="auto"/>
        <w:jc w:val="both"/>
        <w:rPr>
          <w:rFonts w:ascii="Arial" w:hAnsi="Arial" w:cs="Arial"/>
          <w:sz w:val="22"/>
          <w:szCs w:val="22"/>
          <w:lang w:eastAsia="es-ES_tradnl"/>
        </w:rPr>
      </w:pPr>
      <w:r>
        <w:rPr>
          <w:rFonts w:ascii="Arial" w:eastAsia="Calibri" w:hAnsi="Arial" w:cs="Arial"/>
          <w:b/>
          <w:bCs/>
          <w:iCs/>
          <w:sz w:val="22"/>
          <w:szCs w:val="22"/>
          <w:lang w:eastAsia="en-US"/>
        </w:rPr>
        <w:t>Respuesta</w:t>
      </w:r>
    </w:p>
    <w:p w14:paraId="3E06EBEA" w14:textId="77777777" w:rsidR="000C7279" w:rsidRDefault="000C7279" w:rsidP="000C7279">
      <w:pPr>
        <w:ind w:right="714"/>
        <w:jc w:val="both"/>
        <w:rPr>
          <w:rFonts w:ascii="Arial" w:hAnsi="Arial" w:cs="Arial"/>
          <w:i/>
          <w:iCs/>
          <w:sz w:val="22"/>
          <w:lang w:val="es-ES_tradnl" w:eastAsia="es-ES_tradnl"/>
        </w:rPr>
      </w:pPr>
    </w:p>
    <w:p w14:paraId="12925C5C" w14:textId="7B7DC9CB" w:rsidR="00367BC4" w:rsidRPr="00367BC4" w:rsidRDefault="002C349C" w:rsidP="00367BC4">
      <w:pPr>
        <w:ind w:left="709" w:right="714"/>
        <w:jc w:val="both"/>
        <w:rPr>
          <w:rFonts w:ascii="Arial" w:eastAsia="Calibri" w:hAnsi="Arial" w:cs="Arial"/>
          <w:iCs/>
          <w:sz w:val="21"/>
          <w:szCs w:val="21"/>
          <w:lang w:val="es-ES_tradnl" w:eastAsia="en-US"/>
        </w:rPr>
      </w:pPr>
      <w:r w:rsidRPr="009C37D7">
        <w:rPr>
          <w:rFonts w:ascii="Arial" w:hAnsi="Arial" w:cs="Arial"/>
          <w:i/>
          <w:iCs/>
          <w:sz w:val="22"/>
          <w:lang w:val="es-ES_tradnl" w:eastAsia="es-ES_tradnl"/>
        </w:rPr>
        <w:t xml:space="preserve">“(…) En un convenio interadministrativo </w:t>
      </w:r>
      <w:r>
        <w:rPr>
          <w:rFonts w:ascii="Arial" w:hAnsi="Arial" w:cs="Arial"/>
          <w:i/>
          <w:iCs/>
          <w:sz w:val="22"/>
          <w:lang w:val="es-ES_tradnl" w:eastAsia="es-ES_tradnl"/>
        </w:rPr>
        <w:t xml:space="preserve">suscrito entre una entidad pública del orden nacional como por ejemplo Mindeporte y una entidad del orden territorial como un municipio </w:t>
      </w:r>
      <w:r w:rsidRPr="009C37D7">
        <w:rPr>
          <w:rFonts w:ascii="Arial" w:hAnsi="Arial" w:cs="Arial"/>
          <w:i/>
          <w:iCs/>
          <w:sz w:val="22"/>
          <w:lang w:val="es-ES_tradnl" w:eastAsia="es-ES_tradnl"/>
        </w:rPr>
        <w:t xml:space="preserve">¿se </w:t>
      </w:r>
      <w:r>
        <w:rPr>
          <w:rFonts w:ascii="Arial" w:hAnsi="Arial" w:cs="Arial"/>
          <w:i/>
          <w:iCs/>
          <w:sz w:val="22"/>
          <w:lang w:val="es-ES_tradnl" w:eastAsia="es-ES_tradnl"/>
        </w:rPr>
        <w:t xml:space="preserve">tiene alguna limitación normativa o de ley para el desembolso de los recursos, por ejemplo, no trasladar más del 50% del valor total del convenio interadministrativo al inicio del convenio? </w:t>
      </w:r>
      <w:r w:rsidRPr="009C37D7">
        <w:rPr>
          <w:rFonts w:ascii="Arial" w:hAnsi="Arial" w:cs="Arial"/>
          <w:i/>
          <w:iCs/>
          <w:sz w:val="22"/>
          <w:lang w:val="es-ES_tradnl" w:eastAsia="es-ES_tradnl"/>
        </w:rPr>
        <w:t xml:space="preserve">¿ </w:t>
      </w:r>
      <w:r>
        <w:rPr>
          <w:rFonts w:ascii="Arial" w:hAnsi="Arial" w:cs="Arial"/>
          <w:i/>
          <w:iCs/>
          <w:sz w:val="22"/>
          <w:lang w:val="es-ES_tradnl" w:eastAsia="es-ES_tradnl"/>
        </w:rPr>
        <w:t>se puede desembolsar el 100% de los recursos al inicio de la ejecución?</w:t>
      </w:r>
      <w:r w:rsidRPr="009C37D7">
        <w:rPr>
          <w:rFonts w:ascii="Arial" w:hAnsi="Arial" w:cs="Arial"/>
          <w:i/>
          <w:iCs/>
          <w:sz w:val="22"/>
          <w:lang w:val="es-ES_tradnl" w:eastAsia="es-ES_tradnl"/>
        </w:rPr>
        <w:t>”</w:t>
      </w:r>
      <w:r>
        <w:rPr>
          <w:rFonts w:ascii="Arial" w:hAnsi="Arial" w:cs="Arial"/>
          <w:sz w:val="22"/>
          <w:lang w:val="es-ES_tradnl" w:eastAsia="es-ES_tradnl"/>
        </w:rPr>
        <w:t>.</w:t>
      </w:r>
    </w:p>
    <w:p w14:paraId="331E2D56" w14:textId="77777777" w:rsidR="002C349C" w:rsidRDefault="002C349C" w:rsidP="002C349C">
      <w:pPr>
        <w:spacing w:line="276" w:lineRule="auto"/>
        <w:ind w:firstLine="709"/>
        <w:jc w:val="both"/>
        <w:rPr>
          <w:rFonts w:ascii="Arial" w:hAnsi="Arial" w:cs="Arial"/>
          <w:sz w:val="22"/>
          <w:szCs w:val="22"/>
          <w:lang w:val="es-ES"/>
        </w:rPr>
      </w:pPr>
    </w:p>
    <w:p w14:paraId="5F68AB76" w14:textId="77777777" w:rsidR="00F95101" w:rsidRDefault="00315DA5" w:rsidP="00F95101">
      <w:pPr>
        <w:spacing w:line="276" w:lineRule="auto"/>
        <w:ind w:firstLine="709"/>
        <w:jc w:val="both"/>
        <w:rPr>
          <w:rFonts w:ascii="Arial" w:hAnsi="Arial" w:cs="Arial"/>
          <w:sz w:val="22"/>
          <w:szCs w:val="22"/>
        </w:rPr>
      </w:pPr>
      <w:r w:rsidRPr="00781AC2">
        <w:rPr>
          <w:rFonts w:ascii="Arial" w:hAnsi="Arial" w:cs="Arial"/>
          <w:sz w:val="22"/>
          <w:szCs w:val="22"/>
          <w:lang w:val="es-ES"/>
        </w:rPr>
        <w:lastRenderedPageBreak/>
        <w:t>En ejercicio de las competencias establecidas en los artículos 3.5 y 11.8 del Decreto 4170 de 2011, la Agencia Nacional de Contratación Pública</w:t>
      </w:r>
      <w:r>
        <w:rPr>
          <w:rFonts w:ascii="Arial" w:hAnsi="Arial" w:cs="Arial"/>
          <w:sz w:val="22"/>
          <w:szCs w:val="22"/>
          <w:lang w:val="es-ES"/>
        </w:rPr>
        <w:t xml:space="preserve"> -</w:t>
      </w:r>
      <w:r w:rsidRPr="00781AC2">
        <w:rPr>
          <w:rFonts w:ascii="Arial" w:hAnsi="Arial" w:cs="Arial"/>
          <w:sz w:val="22"/>
          <w:szCs w:val="22"/>
          <w:lang w:val="es-ES"/>
        </w:rPr>
        <w:t>Colombia Compra Eficiente</w:t>
      </w:r>
      <w:r>
        <w:rPr>
          <w:rFonts w:ascii="Arial" w:hAnsi="Arial" w:cs="Arial"/>
          <w:sz w:val="22"/>
          <w:szCs w:val="22"/>
          <w:lang w:val="es-ES"/>
        </w:rPr>
        <w:t xml:space="preserve">- </w:t>
      </w:r>
      <w:r w:rsidRPr="00781AC2">
        <w:rPr>
          <w:rFonts w:ascii="Arial" w:hAnsi="Arial" w:cs="Arial"/>
          <w:sz w:val="22"/>
          <w:szCs w:val="22"/>
          <w:lang w:val="es-ES"/>
        </w:rPr>
        <w:t xml:space="preserve">solo tiene competencia para responder solicitudes sobre la aplicación de normas de carácter general en materia de compras y contratación pública. En ese sentido, esta Agencia no tiene competencia para </w:t>
      </w:r>
      <w:r w:rsidRPr="00781AC2">
        <w:rPr>
          <w:rFonts w:ascii="Arial" w:hAnsi="Arial" w:cs="Arial"/>
          <w:sz w:val="22"/>
          <w:szCs w:val="22"/>
        </w:rPr>
        <w:t xml:space="preserve">brindar asesorías, ni para expedir </w:t>
      </w:r>
      <w:r>
        <w:rPr>
          <w:rFonts w:ascii="Arial" w:hAnsi="Arial" w:cs="Arial"/>
          <w:sz w:val="22"/>
          <w:szCs w:val="22"/>
        </w:rPr>
        <w:t>directrices especiales en materia de con</w:t>
      </w:r>
      <w:r w:rsidR="003B652A">
        <w:rPr>
          <w:rFonts w:ascii="Arial" w:hAnsi="Arial" w:cs="Arial"/>
          <w:sz w:val="22"/>
          <w:szCs w:val="22"/>
        </w:rPr>
        <w:t>venios</w:t>
      </w:r>
      <w:r w:rsidR="00F95101">
        <w:rPr>
          <w:rFonts w:ascii="Arial" w:hAnsi="Arial" w:cs="Arial"/>
          <w:sz w:val="22"/>
          <w:szCs w:val="22"/>
        </w:rPr>
        <w:t xml:space="preserve"> </w:t>
      </w:r>
      <w:r w:rsidR="003B652A">
        <w:rPr>
          <w:rFonts w:ascii="Arial" w:hAnsi="Arial" w:cs="Arial"/>
          <w:sz w:val="22"/>
          <w:szCs w:val="22"/>
        </w:rPr>
        <w:t xml:space="preserve">interadministrativos, ni mucho menos sobre </w:t>
      </w:r>
      <w:r w:rsidR="00F95101">
        <w:rPr>
          <w:rFonts w:ascii="Arial" w:hAnsi="Arial" w:cs="Arial"/>
          <w:sz w:val="22"/>
          <w:szCs w:val="22"/>
        </w:rPr>
        <w:t>su forma de pago y/o porcentajes de desembolso.</w:t>
      </w:r>
    </w:p>
    <w:p w14:paraId="4452201A" w14:textId="77777777" w:rsidR="00F95101" w:rsidRDefault="00F95101" w:rsidP="00F95101">
      <w:pPr>
        <w:spacing w:line="276" w:lineRule="auto"/>
        <w:ind w:firstLine="709"/>
        <w:jc w:val="both"/>
        <w:rPr>
          <w:rFonts w:ascii="Arial" w:hAnsi="Arial" w:cs="Arial"/>
          <w:sz w:val="22"/>
          <w:szCs w:val="22"/>
        </w:rPr>
      </w:pPr>
    </w:p>
    <w:p w14:paraId="4B090FB6" w14:textId="4D86B81D" w:rsidR="000C7279" w:rsidRDefault="00161FA6" w:rsidP="00F95101">
      <w:pPr>
        <w:spacing w:line="276" w:lineRule="auto"/>
        <w:ind w:firstLine="709"/>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Sin embargo, </w:t>
      </w:r>
      <w:r w:rsidR="00315DA5">
        <w:rPr>
          <w:rFonts w:ascii="Arial" w:eastAsia="Calibri" w:hAnsi="Arial" w:cs="Arial"/>
          <w:sz w:val="22"/>
          <w:szCs w:val="22"/>
          <w:lang w:val="es-MX" w:eastAsia="en-US"/>
        </w:rPr>
        <w:t>e</w:t>
      </w:r>
      <w:r w:rsidR="007A72A3" w:rsidRPr="007A72A3">
        <w:rPr>
          <w:rFonts w:ascii="Arial" w:eastAsia="Calibri" w:hAnsi="Arial" w:cs="Arial"/>
          <w:sz w:val="22"/>
          <w:szCs w:val="22"/>
          <w:lang w:val="es-MX" w:eastAsia="en-US"/>
        </w:rPr>
        <w:t xml:space="preserve">n línea con </w:t>
      </w:r>
      <w:r w:rsidR="00B5433C" w:rsidRPr="007A72A3">
        <w:rPr>
          <w:rFonts w:ascii="Arial" w:eastAsia="Calibri" w:hAnsi="Arial" w:cs="Arial"/>
          <w:sz w:val="22"/>
          <w:szCs w:val="22"/>
          <w:lang w:val="es-MX" w:eastAsia="en-US"/>
        </w:rPr>
        <w:t>l</w:t>
      </w:r>
      <w:r w:rsidR="007A72A3" w:rsidRPr="007A72A3">
        <w:rPr>
          <w:rFonts w:ascii="Arial" w:eastAsia="Calibri" w:hAnsi="Arial" w:cs="Arial"/>
          <w:sz w:val="22"/>
          <w:szCs w:val="22"/>
          <w:lang w:val="es-MX" w:eastAsia="en-US"/>
        </w:rPr>
        <w:t>as</w:t>
      </w:r>
      <w:r>
        <w:rPr>
          <w:rFonts w:ascii="Arial" w:eastAsia="Calibri" w:hAnsi="Arial" w:cs="Arial"/>
          <w:sz w:val="22"/>
          <w:szCs w:val="22"/>
          <w:lang w:val="es-MX" w:eastAsia="en-US"/>
        </w:rPr>
        <w:t xml:space="preserve"> </w:t>
      </w:r>
      <w:r w:rsidR="00B5433C" w:rsidRPr="007A72A3">
        <w:rPr>
          <w:rFonts w:ascii="Arial" w:eastAsia="Calibri" w:hAnsi="Arial" w:cs="Arial"/>
          <w:sz w:val="22"/>
          <w:szCs w:val="22"/>
          <w:lang w:val="es-MX" w:eastAsia="en-US"/>
        </w:rPr>
        <w:t>precisiones normativas y jurisprudenciales</w:t>
      </w:r>
      <w:r w:rsidR="00315DA5">
        <w:rPr>
          <w:rFonts w:ascii="Arial" w:eastAsia="Calibri" w:hAnsi="Arial" w:cs="Arial"/>
          <w:sz w:val="22"/>
          <w:szCs w:val="22"/>
          <w:lang w:val="es-MX" w:eastAsia="en-US"/>
        </w:rPr>
        <w:t xml:space="preserve"> </w:t>
      </w:r>
      <w:r w:rsidR="007A72A3" w:rsidRPr="007A72A3">
        <w:rPr>
          <w:rFonts w:ascii="Arial" w:eastAsia="Calibri" w:hAnsi="Arial" w:cs="Arial"/>
          <w:sz w:val="22"/>
          <w:szCs w:val="22"/>
          <w:lang w:val="es-MX" w:eastAsia="en-US"/>
        </w:rPr>
        <w:t xml:space="preserve">previamente </w:t>
      </w:r>
      <w:r w:rsidR="00B5433C" w:rsidRPr="007A72A3">
        <w:rPr>
          <w:rFonts w:ascii="Arial" w:eastAsia="Calibri" w:hAnsi="Arial" w:cs="Arial"/>
          <w:sz w:val="22"/>
          <w:szCs w:val="22"/>
          <w:lang w:val="es-MX" w:eastAsia="en-US"/>
        </w:rPr>
        <w:t>realizadas</w:t>
      </w:r>
      <w:r w:rsidR="002A5A2D" w:rsidRPr="007A72A3">
        <w:rPr>
          <w:rFonts w:ascii="Arial" w:eastAsia="Calibri" w:hAnsi="Arial" w:cs="Arial"/>
          <w:sz w:val="22"/>
          <w:szCs w:val="22"/>
          <w:lang w:val="es-MX" w:eastAsia="en-US"/>
        </w:rPr>
        <w:t>,</w:t>
      </w:r>
      <w:r w:rsidR="007A72A3" w:rsidRPr="007A72A3">
        <w:rPr>
          <w:rFonts w:ascii="Arial" w:eastAsia="Calibri" w:hAnsi="Arial" w:cs="Arial"/>
          <w:sz w:val="22"/>
          <w:szCs w:val="22"/>
          <w:lang w:val="es-MX" w:eastAsia="en-US"/>
        </w:rPr>
        <w:t xml:space="preserve"> </w:t>
      </w:r>
      <w:r>
        <w:rPr>
          <w:rFonts w:ascii="Arial" w:eastAsia="Calibri" w:hAnsi="Arial" w:cs="Arial"/>
          <w:sz w:val="22"/>
          <w:szCs w:val="22"/>
          <w:lang w:val="es-MX" w:eastAsia="en-US"/>
        </w:rPr>
        <w:t xml:space="preserve">conviene </w:t>
      </w:r>
      <w:r w:rsidR="000C7279">
        <w:rPr>
          <w:rFonts w:ascii="Arial" w:eastAsia="Calibri" w:hAnsi="Arial" w:cs="Arial"/>
          <w:sz w:val="22"/>
          <w:szCs w:val="22"/>
          <w:lang w:val="es-MX" w:eastAsia="en-US"/>
        </w:rPr>
        <w:t xml:space="preserve">efectuar </w:t>
      </w:r>
      <w:r w:rsidR="00F95101">
        <w:rPr>
          <w:rFonts w:ascii="Arial" w:eastAsia="Calibri" w:hAnsi="Arial" w:cs="Arial"/>
          <w:sz w:val="22"/>
          <w:szCs w:val="22"/>
          <w:lang w:val="es-MX" w:eastAsia="en-US"/>
        </w:rPr>
        <w:t xml:space="preserve">algunas </w:t>
      </w:r>
      <w:r w:rsidR="000C7279">
        <w:rPr>
          <w:rFonts w:ascii="Arial" w:eastAsia="Calibri" w:hAnsi="Arial" w:cs="Arial"/>
          <w:sz w:val="22"/>
          <w:szCs w:val="22"/>
          <w:lang w:val="es-MX" w:eastAsia="en-US"/>
        </w:rPr>
        <w:t>precisiones para responder la consulta objeto de análisis. En primer lugar, aun cuando los convenios interadministrativos pueden suponer el compromiso de recursos públicos y, por tanto, la realización de aportes financieros, esta circunstancia, por sí sola, no admite la posibilidad de que en este tipo de relaciones jurídicas exista una remuneración en favor de uno de los co-contratantes y a cargo de otro y otros.</w:t>
      </w:r>
      <w:bookmarkStart w:id="39" w:name="_Hlk98489914"/>
    </w:p>
    <w:p w14:paraId="154B868B" w14:textId="77777777" w:rsidR="00F95101" w:rsidRDefault="00F95101" w:rsidP="00F95101">
      <w:pPr>
        <w:spacing w:line="276" w:lineRule="auto"/>
        <w:ind w:firstLine="709"/>
        <w:jc w:val="both"/>
        <w:rPr>
          <w:rFonts w:ascii="Arial" w:hAnsi="Arial" w:cs="Arial"/>
          <w:sz w:val="22"/>
          <w:szCs w:val="22"/>
        </w:rPr>
      </w:pPr>
    </w:p>
    <w:p w14:paraId="6DFB0EC9" w14:textId="77777777" w:rsidR="000C7279" w:rsidRDefault="000C7279" w:rsidP="000C7279">
      <w:pPr>
        <w:spacing w:after="120" w:line="276" w:lineRule="auto"/>
        <w:ind w:firstLine="708"/>
        <w:jc w:val="both"/>
        <w:rPr>
          <w:rFonts w:ascii="Arial" w:hAnsi="Arial" w:cs="Arial"/>
          <w:sz w:val="22"/>
          <w:szCs w:val="22"/>
          <w:lang w:eastAsia="es-ES_tradnl"/>
        </w:rPr>
      </w:pPr>
      <w:r>
        <w:rPr>
          <w:rFonts w:ascii="Arial" w:hAnsi="Arial" w:cs="Arial"/>
          <w:sz w:val="22"/>
          <w:szCs w:val="22"/>
          <w:lang w:eastAsia="es-ES_tradnl"/>
        </w:rPr>
        <w:t>Como se vio, en esta tipología contractual no existen intereses contrapuestos sino un interés común, lo que lleva a firmar que en aquellos eventos en que su celebración conlleve el compromiso y la ejecución de recursos públicos, el valor de estos no puede destinarse al pago o remuneración de ninguna de las partes, es decir contraprestaciones, sino que debe corresponder, necesariamente, a la asunción de costos y gastos para cumplir las funciones de la respectiva entidad y así atender los compromisos adquiridos para con la otra, en plena correspondencia de la jurisprudencia del Consejo de Estado en la materia.</w:t>
      </w:r>
    </w:p>
    <w:p w14:paraId="38C2BCEE" w14:textId="58162D53" w:rsidR="000C7279" w:rsidRDefault="000C7279" w:rsidP="000C7279">
      <w:pPr>
        <w:spacing w:after="120" w:line="276" w:lineRule="auto"/>
        <w:ind w:firstLine="708"/>
        <w:jc w:val="both"/>
        <w:rPr>
          <w:rFonts w:ascii="Arial" w:eastAsia="Calibri" w:hAnsi="Arial" w:cs="Arial"/>
          <w:bCs/>
          <w:sz w:val="22"/>
          <w:szCs w:val="22"/>
          <w:lang w:eastAsia="en-US"/>
        </w:rPr>
      </w:pPr>
      <w:r>
        <w:rPr>
          <w:rFonts w:ascii="Arial" w:eastAsia="Calibri" w:hAnsi="Arial" w:cs="Arial"/>
          <w:bCs/>
          <w:sz w:val="22"/>
          <w:szCs w:val="22"/>
          <w:lang w:eastAsia="en-US"/>
        </w:rPr>
        <w:t xml:space="preserve">Y es que en </w:t>
      </w:r>
      <w:r w:rsidRPr="0024742E">
        <w:rPr>
          <w:rFonts w:ascii="Arial" w:eastAsia="Calibri" w:hAnsi="Arial" w:cs="Arial"/>
          <w:bCs/>
          <w:sz w:val="22"/>
          <w:szCs w:val="22"/>
          <w:lang w:eastAsia="en-US"/>
        </w:rPr>
        <w:t>los convenios interadministrativos</w:t>
      </w:r>
      <w:r>
        <w:rPr>
          <w:rFonts w:ascii="Arial" w:eastAsia="Calibri" w:hAnsi="Arial" w:cs="Arial"/>
          <w:bCs/>
          <w:sz w:val="22"/>
          <w:szCs w:val="22"/>
          <w:lang w:eastAsia="en-US"/>
        </w:rPr>
        <w:t xml:space="preserve"> </w:t>
      </w:r>
      <w:r w:rsidRPr="0024742E">
        <w:rPr>
          <w:rFonts w:ascii="Arial" w:eastAsia="Calibri" w:hAnsi="Arial" w:cs="Arial"/>
          <w:bCs/>
          <w:sz w:val="22"/>
          <w:szCs w:val="22"/>
          <w:lang w:eastAsia="en-US"/>
        </w:rPr>
        <w:t xml:space="preserve">las entidades cooperan entre sí, no se prestan servicios ni se ofrecen bienes a cambio de una remuneración y, por esa </w:t>
      </w:r>
      <w:r>
        <w:rPr>
          <w:rFonts w:ascii="Arial" w:eastAsia="Calibri" w:hAnsi="Arial" w:cs="Arial"/>
          <w:bCs/>
          <w:sz w:val="22"/>
          <w:szCs w:val="22"/>
          <w:lang w:eastAsia="en-US"/>
        </w:rPr>
        <w:t xml:space="preserve">misma </w:t>
      </w:r>
      <w:r w:rsidRPr="0024742E">
        <w:rPr>
          <w:rFonts w:ascii="Arial" w:eastAsia="Calibri" w:hAnsi="Arial" w:cs="Arial"/>
          <w:bCs/>
          <w:sz w:val="22"/>
          <w:szCs w:val="22"/>
          <w:lang w:eastAsia="en-US"/>
        </w:rPr>
        <w:t xml:space="preserve">razón, los recursos comprometidos a través de los convenios interadministrativos no </w:t>
      </w:r>
      <w:r>
        <w:rPr>
          <w:rFonts w:ascii="Arial" w:eastAsia="Calibri" w:hAnsi="Arial" w:cs="Arial"/>
          <w:bCs/>
          <w:sz w:val="22"/>
          <w:szCs w:val="22"/>
          <w:lang w:eastAsia="en-US"/>
        </w:rPr>
        <w:t xml:space="preserve">pueden </w:t>
      </w:r>
      <w:r w:rsidRPr="0024742E">
        <w:rPr>
          <w:rFonts w:ascii="Arial" w:eastAsia="Calibri" w:hAnsi="Arial" w:cs="Arial"/>
          <w:bCs/>
          <w:sz w:val="22"/>
          <w:szCs w:val="22"/>
          <w:lang w:eastAsia="en-US"/>
        </w:rPr>
        <w:t>constitu</w:t>
      </w:r>
      <w:r>
        <w:rPr>
          <w:rFonts w:ascii="Arial" w:eastAsia="Calibri" w:hAnsi="Arial" w:cs="Arial"/>
          <w:bCs/>
          <w:sz w:val="22"/>
          <w:szCs w:val="22"/>
          <w:lang w:eastAsia="en-US"/>
        </w:rPr>
        <w:t>ir</w:t>
      </w:r>
      <w:r w:rsidRPr="0024742E">
        <w:rPr>
          <w:rFonts w:ascii="Arial" w:eastAsia="Calibri" w:hAnsi="Arial" w:cs="Arial"/>
          <w:bCs/>
          <w:sz w:val="22"/>
          <w:szCs w:val="22"/>
          <w:lang w:eastAsia="en-US"/>
        </w:rPr>
        <w:t xml:space="preserve"> un pago, sino un aporte para lograr el cometido común.</w:t>
      </w:r>
    </w:p>
    <w:p w14:paraId="1525C456" w14:textId="1E7D9664" w:rsidR="00B65A58" w:rsidRPr="00F95101" w:rsidRDefault="00B65A58" w:rsidP="00F95101">
      <w:pPr>
        <w:spacing w:after="120" w:line="276" w:lineRule="auto"/>
        <w:ind w:firstLine="708"/>
        <w:jc w:val="both"/>
        <w:rPr>
          <w:rFonts w:ascii="Arial" w:eastAsia="Calibri" w:hAnsi="Arial" w:cs="Arial"/>
          <w:bCs/>
          <w:sz w:val="22"/>
          <w:szCs w:val="22"/>
          <w:lang w:eastAsia="en-US"/>
        </w:rPr>
      </w:pPr>
      <w:r>
        <w:rPr>
          <w:rFonts w:ascii="Arial" w:eastAsia="Calibri" w:hAnsi="Arial" w:cs="Arial"/>
          <w:bCs/>
          <w:sz w:val="22"/>
          <w:szCs w:val="22"/>
          <w:lang w:eastAsia="en-US"/>
        </w:rPr>
        <w:t>En segundo término,</w:t>
      </w:r>
      <w:r w:rsidR="00F95101">
        <w:rPr>
          <w:rFonts w:ascii="Arial" w:eastAsia="Calibri" w:hAnsi="Arial" w:cs="Arial"/>
          <w:bCs/>
          <w:sz w:val="22"/>
          <w:szCs w:val="22"/>
          <w:lang w:eastAsia="en-US"/>
        </w:rPr>
        <w:t xml:space="preserve"> l</w:t>
      </w:r>
      <w:r w:rsidR="000C7279" w:rsidRPr="000E4825">
        <w:rPr>
          <w:rFonts w:ascii="Arial" w:eastAsia="Calibri" w:hAnsi="Arial" w:cs="Arial"/>
          <w:bCs/>
          <w:sz w:val="22"/>
          <w:szCs w:val="22"/>
          <w:lang w:eastAsia="en-US"/>
        </w:rPr>
        <w:t>os convenios interadministrativos, regulados en el artículo 95 de la Ley 489 de 199</w:t>
      </w:r>
      <w:r>
        <w:rPr>
          <w:rFonts w:ascii="Arial" w:eastAsia="Calibri" w:hAnsi="Arial" w:cs="Arial"/>
          <w:bCs/>
          <w:sz w:val="22"/>
          <w:szCs w:val="22"/>
          <w:lang w:eastAsia="en-US"/>
        </w:rPr>
        <w:t xml:space="preserve">8, </w:t>
      </w:r>
      <w:r w:rsidR="000C7279" w:rsidRPr="000E4825">
        <w:rPr>
          <w:rFonts w:ascii="Arial" w:eastAsia="Calibri" w:hAnsi="Arial" w:cs="Arial"/>
          <w:bCs/>
          <w:sz w:val="22"/>
          <w:szCs w:val="22"/>
          <w:lang w:eastAsia="en-US"/>
        </w:rPr>
        <w:t>son una tipología de contrato estatal, cuyas partes son dos entidades públicas que unen esfuerzos para cumplir un propósito común. E</w:t>
      </w:r>
      <w:r w:rsidR="000C7279">
        <w:rPr>
          <w:rFonts w:ascii="Arial" w:eastAsia="Calibri" w:hAnsi="Arial" w:cs="Arial"/>
          <w:bCs/>
          <w:sz w:val="22"/>
          <w:szCs w:val="22"/>
          <w:lang w:eastAsia="en-US"/>
        </w:rPr>
        <w:t>n este tipo de convenios no se adquieren bienes y servicios, lo que explica que la noción de precio y de remuneración sea ajena a esta tipología contractual.</w:t>
      </w:r>
    </w:p>
    <w:p w14:paraId="6C482474" w14:textId="77777777" w:rsidR="00B65A58" w:rsidRDefault="000C7279" w:rsidP="00B65A58">
      <w:pPr>
        <w:spacing w:after="120" w:line="276" w:lineRule="auto"/>
        <w:ind w:firstLine="708"/>
        <w:jc w:val="both"/>
        <w:rPr>
          <w:rFonts w:ascii="Arial" w:eastAsia="Calibri" w:hAnsi="Arial" w:cs="Arial"/>
          <w:bCs/>
          <w:iCs/>
          <w:sz w:val="22"/>
          <w:szCs w:val="22"/>
          <w:lang w:eastAsia="en-US"/>
        </w:rPr>
      </w:pPr>
      <w:r w:rsidRPr="000E4825">
        <w:rPr>
          <w:rFonts w:ascii="Arial" w:eastAsia="Calibri" w:hAnsi="Arial" w:cs="Arial"/>
          <w:bCs/>
          <w:sz w:val="22"/>
          <w:szCs w:val="22"/>
          <w:lang w:eastAsia="en-US"/>
        </w:rPr>
        <w:t>En efecto, dada su particular naturaleza</w:t>
      </w:r>
      <w:r w:rsidR="00B65A58">
        <w:rPr>
          <w:rFonts w:ascii="Arial" w:eastAsia="Calibri" w:hAnsi="Arial" w:cs="Arial"/>
          <w:bCs/>
          <w:sz w:val="22"/>
          <w:szCs w:val="22"/>
          <w:lang w:eastAsia="en-US"/>
        </w:rPr>
        <w:t>,</w:t>
      </w:r>
      <w:r w:rsidRPr="000E4825">
        <w:rPr>
          <w:rFonts w:ascii="Arial" w:eastAsia="Calibri" w:hAnsi="Arial" w:cs="Arial"/>
          <w:bCs/>
          <w:sz w:val="22"/>
          <w:szCs w:val="22"/>
          <w:lang w:eastAsia="en-US"/>
        </w:rPr>
        <w:t xml:space="preserve"> los convenios no tienen un interés puramente económico, porque no se celebran con el fin de obtener una ganancia, sino con el propósito de ejecutar actividades que contribuyen directamente al fin común de los sujetos vinculados al convenio</w:t>
      </w:r>
      <w:r w:rsidR="00B65A58">
        <w:rPr>
          <w:rFonts w:ascii="Arial" w:eastAsia="Calibri" w:hAnsi="Arial" w:cs="Arial"/>
          <w:bCs/>
          <w:sz w:val="22"/>
          <w:szCs w:val="22"/>
          <w:lang w:eastAsia="en-US"/>
        </w:rPr>
        <w:t>.</w:t>
      </w:r>
      <w:r w:rsidRPr="000E4825">
        <w:rPr>
          <w:rFonts w:ascii="Arial" w:eastAsia="Calibri" w:hAnsi="Arial" w:cs="Arial"/>
          <w:bCs/>
          <w:sz w:val="22"/>
          <w:szCs w:val="22"/>
          <w:lang w:eastAsia="en-US"/>
        </w:rPr>
        <w:t xml:space="preserve"> </w:t>
      </w:r>
      <w:r w:rsidR="00B65A58">
        <w:rPr>
          <w:rFonts w:ascii="Arial" w:eastAsia="Calibri" w:hAnsi="Arial" w:cs="Arial"/>
          <w:bCs/>
          <w:sz w:val="22"/>
          <w:szCs w:val="22"/>
          <w:lang w:eastAsia="en-US"/>
        </w:rPr>
        <w:t xml:space="preserve">En otras palabras, </w:t>
      </w:r>
      <w:r w:rsidRPr="000E4825">
        <w:rPr>
          <w:rFonts w:ascii="Arial" w:eastAsia="Calibri" w:hAnsi="Arial" w:cs="Arial"/>
          <w:bCs/>
          <w:sz w:val="22"/>
          <w:szCs w:val="22"/>
          <w:lang w:eastAsia="en-US"/>
        </w:rPr>
        <w:t>las partes tienen intereses convergentes, coincidentes o comunes y cooperan para alcanzar en forma eficaz la finalidad estatal prevista en la Constitución o la ley</w:t>
      </w:r>
      <w:r w:rsidR="00B65A58">
        <w:rPr>
          <w:rFonts w:ascii="Arial" w:eastAsia="Calibri" w:hAnsi="Arial" w:cs="Arial"/>
          <w:bCs/>
          <w:sz w:val="22"/>
          <w:szCs w:val="22"/>
          <w:lang w:eastAsia="en-US"/>
        </w:rPr>
        <w:t>,</w:t>
      </w:r>
      <w:r w:rsidRPr="000E4825">
        <w:rPr>
          <w:rFonts w:ascii="Arial" w:eastAsia="Calibri" w:hAnsi="Arial" w:cs="Arial"/>
          <w:bCs/>
          <w:sz w:val="22"/>
          <w:szCs w:val="22"/>
          <w:lang w:eastAsia="en-US"/>
        </w:rPr>
        <w:t xml:space="preserve"> sin que por esto se reciba por ninguna de ellas el pago de un precio o contraprestación.</w:t>
      </w:r>
    </w:p>
    <w:p w14:paraId="2424EEFD" w14:textId="77777777" w:rsidR="00F95101" w:rsidRDefault="000C7279" w:rsidP="00F95101">
      <w:pPr>
        <w:spacing w:after="120" w:line="276" w:lineRule="auto"/>
        <w:ind w:firstLine="708"/>
        <w:jc w:val="both"/>
        <w:rPr>
          <w:rFonts w:ascii="Arial" w:eastAsia="Calibri" w:hAnsi="Arial" w:cs="Arial"/>
          <w:bCs/>
          <w:sz w:val="22"/>
          <w:szCs w:val="22"/>
          <w:lang w:eastAsia="en-US"/>
        </w:rPr>
      </w:pPr>
      <w:r>
        <w:rPr>
          <w:rFonts w:ascii="Arial" w:eastAsia="Calibri" w:hAnsi="Arial" w:cs="Arial"/>
          <w:bCs/>
          <w:sz w:val="22"/>
          <w:szCs w:val="22"/>
          <w:lang w:eastAsia="en-US"/>
        </w:rPr>
        <w:t>Aunque en los convenios interadministrativos</w:t>
      </w:r>
      <w:r w:rsidR="00B65A58">
        <w:rPr>
          <w:rFonts w:ascii="Arial" w:eastAsia="Calibri" w:hAnsi="Arial" w:cs="Arial"/>
          <w:bCs/>
          <w:sz w:val="22"/>
          <w:szCs w:val="22"/>
          <w:lang w:eastAsia="en-US"/>
        </w:rPr>
        <w:t xml:space="preserve"> </w:t>
      </w:r>
      <w:r>
        <w:rPr>
          <w:rFonts w:ascii="Arial" w:eastAsia="Calibri" w:hAnsi="Arial" w:cs="Arial"/>
          <w:bCs/>
          <w:sz w:val="22"/>
          <w:szCs w:val="22"/>
          <w:lang w:eastAsia="en-US"/>
        </w:rPr>
        <w:t>pueden incluirse prestaciones de contenido patrimonial</w:t>
      </w:r>
      <w:r w:rsidR="00B65A58">
        <w:rPr>
          <w:rFonts w:ascii="Arial" w:eastAsia="Calibri" w:hAnsi="Arial" w:cs="Arial"/>
          <w:bCs/>
          <w:sz w:val="22"/>
          <w:szCs w:val="22"/>
          <w:lang w:eastAsia="en-US"/>
        </w:rPr>
        <w:t xml:space="preserve">, </w:t>
      </w:r>
      <w:r>
        <w:rPr>
          <w:rFonts w:ascii="Arial" w:eastAsia="Calibri" w:hAnsi="Arial" w:cs="Arial"/>
          <w:bCs/>
          <w:sz w:val="22"/>
          <w:szCs w:val="22"/>
          <w:lang w:eastAsia="en-US"/>
        </w:rPr>
        <w:t xml:space="preserve">su objeto no puede ser, en ningún caso, el de pagar por la ejecución de determinada </w:t>
      </w:r>
      <w:r>
        <w:rPr>
          <w:rFonts w:ascii="Arial" w:eastAsia="Calibri" w:hAnsi="Arial" w:cs="Arial"/>
          <w:bCs/>
          <w:sz w:val="22"/>
          <w:szCs w:val="22"/>
          <w:lang w:eastAsia="en-US"/>
        </w:rPr>
        <w:lastRenderedPageBreak/>
        <w:t>actividad</w:t>
      </w:r>
      <w:r w:rsidR="00B65A58">
        <w:rPr>
          <w:rFonts w:ascii="Arial" w:eastAsia="Calibri" w:hAnsi="Arial" w:cs="Arial"/>
          <w:bCs/>
          <w:sz w:val="22"/>
          <w:szCs w:val="22"/>
          <w:lang w:eastAsia="en-US"/>
        </w:rPr>
        <w:t>. U</w:t>
      </w:r>
      <w:r>
        <w:rPr>
          <w:rFonts w:ascii="Arial" w:eastAsia="Calibri" w:hAnsi="Arial" w:cs="Arial"/>
          <w:bCs/>
          <w:sz w:val="22"/>
          <w:szCs w:val="22"/>
          <w:lang w:eastAsia="en-US"/>
        </w:rPr>
        <w:t xml:space="preserve">n reconocimiento de esta índole </w:t>
      </w:r>
      <w:r w:rsidR="00B65A58">
        <w:rPr>
          <w:rFonts w:ascii="Arial" w:eastAsia="Calibri" w:hAnsi="Arial" w:cs="Arial"/>
          <w:bCs/>
          <w:sz w:val="22"/>
          <w:szCs w:val="22"/>
          <w:lang w:eastAsia="en-US"/>
        </w:rPr>
        <w:t xml:space="preserve">no solo </w:t>
      </w:r>
      <w:r>
        <w:rPr>
          <w:rFonts w:ascii="Arial" w:eastAsia="Calibri" w:hAnsi="Arial" w:cs="Arial"/>
          <w:bCs/>
          <w:sz w:val="22"/>
          <w:szCs w:val="22"/>
          <w:lang w:eastAsia="en-US"/>
        </w:rPr>
        <w:t xml:space="preserve">resulta contrario </w:t>
      </w:r>
      <w:r w:rsidR="00B65A58">
        <w:rPr>
          <w:rFonts w:ascii="Arial" w:eastAsia="Calibri" w:hAnsi="Arial" w:cs="Arial"/>
          <w:bCs/>
          <w:sz w:val="22"/>
          <w:szCs w:val="22"/>
          <w:lang w:eastAsia="en-US"/>
        </w:rPr>
        <w:t xml:space="preserve">a </w:t>
      </w:r>
      <w:r>
        <w:rPr>
          <w:rFonts w:ascii="Arial" w:eastAsia="Calibri" w:hAnsi="Arial" w:cs="Arial"/>
          <w:bCs/>
          <w:sz w:val="22"/>
          <w:szCs w:val="22"/>
          <w:lang w:eastAsia="en-US"/>
        </w:rPr>
        <w:t>s</w:t>
      </w:r>
      <w:r w:rsidRPr="000E4825">
        <w:rPr>
          <w:rFonts w:ascii="Arial" w:eastAsia="Calibri" w:hAnsi="Arial" w:cs="Arial"/>
          <w:bCs/>
          <w:sz w:val="22"/>
          <w:szCs w:val="22"/>
          <w:lang w:eastAsia="en-US"/>
        </w:rPr>
        <w:t>u naturaleza y finalidad</w:t>
      </w:r>
      <w:r w:rsidR="00B65A58">
        <w:rPr>
          <w:rFonts w:ascii="Arial" w:eastAsia="Calibri" w:hAnsi="Arial" w:cs="Arial"/>
          <w:bCs/>
          <w:sz w:val="22"/>
          <w:szCs w:val="22"/>
          <w:lang w:eastAsia="en-US"/>
        </w:rPr>
        <w:t xml:space="preserve">, sino que también </w:t>
      </w:r>
      <w:r>
        <w:rPr>
          <w:rFonts w:ascii="Arial" w:eastAsia="Calibri" w:hAnsi="Arial" w:cs="Arial"/>
          <w:bCs/>
          <w:sz w:val="22"/>
          <w:szCs w:val="22"/>
          <w:lang w:eastAsia="en-US"/>
        </w:rPr>
        <w:t>desconoce</w:t>
      </w:r>
      <w:r w:rsidR="00B65A58">
        <w:rPr>
          <w:rFonts w:ascii="Arial" w:eastAsia="Calibri" w:hAnsi="Arial" w:cs="Arial"/>
          <w:bCs/>
          <w:sz w:val="22"/>
          <w:szCs w:val="22"/>
          <w:lang w:eastAsia="en-US"/>
        </w:rPr>
        <w:t xml:space="preserve"> </w:t>
      </w:r>
      <w:r w:rsidRPr="000E4825">
        <w:rPr>
          <w:rFonts w:ascii="Arial" w:eastAsia="Calibri" w:hAnsi="Arial" w:cs="Arial"/>
          <w:bCs/>
          <w:sz w:val="22"/>
          <w:szCs w:val="22"/>
          <w:lang w:eastAsia="en-US"/>
        </w:rPr>
        <w:t>los elementos esenciales de este tipo de negocio jurídico, que se desprenden</w:t>
      </w:r>
      <w:r w:rsidR="00B65A58">
        <w:rPr>
          <w:rFonts w:ascii="Arial" w:eastAsia="Calibri" w:hAnsi="Arial" w:cs="Arial"/>
          <w:bCs/>
          <w:sz w:val="22"/>
          <w:szCs w:val="22"/>
          <w:lang w:eastAsia="en-US"/>
        </w:rPr>
        <w:t xml:space="preserve"> d</w:t>
      </w:r>
      <w:r w:rsidRPr="000E4825">
        <w:rPr>
          <w:rFonts w:ascii="Arial" w:eastAsia="Calibri" w:hAnsi="Arial" w:cs="Arial"/>
          <w:bCs/>
          <w:sz w:val="22"/>
          <w:szCs w:val="22"/>
          <w:lang w:eastAsia="en-US"/>
        </w:rPr>
        <w:t>el artículo 95 de la Ley 489 de 1998</w:t>
      </w:r>
      <w:r>
        <w:rPr>
          <w:rFonts w:ascii="Arial" w:eastAsia="Calibri" w:hAnsi="Arial" w:cs="Arial"/>
          <w:bCs/>
          <w:sz w:val="22"/>
          <w:szCs w:val="22"/>
          <w:lang w:eastAsia="en-US"/>
        </w:rPr>
        <w:t>.</w:t>
      </w:r>
    </w:p>
    <w:p w14:paraId="028E05F3" w14:textId="77777777" w:rsidR="00714037" w:rsidRDefault="00F95101" w:rsidP="00714037">
      <w:pPr>
        <w:spacing w:after="120" w:line="276" w:lineRule="auto"/>
        <w:ind w:firstLine="708"/>
        <w:jc w:val="both"/>
        <w:rPr>
          <w:rFonts w:ascii="Arial" w:eastAsia="Calibri" w:hAnsi="Arial" w:cs="Arial"/>
          <w:iCs/>
          <w:sz w:val="22"/>
          <w:szCs w:val="22"/>
          <w:lang w:eastAsia="en-US"/>
        </w:rPr>
      </w:pPr>
      <w:r>
        <w:rPr>
          <w:rFonts w:ascii="Arial" w:eastAsia="Calibri" w:hAnsi="Arial" w:cs="Arial"/>
          <w:bCs/>
          <w:sz w:val="22"/>
          <w:szCs w:val="22"/>
          <w:lang w:eastAsia="en-US"/>
        </w:rPr>
        <w:t>En todo caso</w:t>
      </w:r>
      <w:r>
        <w:rPr>
          <w:rFonts w:ascii="Arial" w:eastAsia="Calibri" w:hAnsi="Arial" w:cs="Arial"/>
          <w:color w:val="000000"/>
          <w:sz w:val="22"/>
          <w:lang w:eastAsia="es-ES_tradnl"/>
        </w:rPr>
        <w:t>, una de las disposiciones que deben considerarse en la celebración de estos convenios es el artículo 40 de la Ley 80 de 1993 que hace referencia al contenido del contrato estatal, junto con su parágrafo. Por ende,</w:t>
      </w:r>
      <w:r w:rsidR="00714037">
        <w:rPr>
          <w:rFonts w:ascii="Arial" w:eastAsia="Calibri" w:hAnsi="Arial" w:cs="Arial"/>
          <w:color w:val="000000"/>
          <w:sz w:val="22"/>
          <w:lang w:eastAsia="es-ES_tradnl"/>
        </w:rPr>
        <w:t xml:space="preserve"> </w:t>
      </w:r>
      <w:r w:rsidRPr="00BD3B1F">
        <w:rPr>
          <w:rFonts w:ascii="Arial" w:eastAsia="Calibri" w:hAnsi="Arial" w:cs="Arial"/>
          <w:iCs/>
          <w:sz w:val="22"/>
          <w:szCs w:val="22"/>
          <w:lang w:eastAsia="en-US"/>
        </w:rPr>
        <w:t xml:space="preserve">las entidades </w:t>
      </w:r>
      <w:r w:rsidR="00714037">
        <w:rPr>
          <w:rFonts w:ascii="Arial" w:eastAsia="Calibri" w:hAnsi="Arial" w:cs="Arial"/>
          <w:iCs/>
          <w:sz w:val="22"/>
          <w:szCs w:val="22"/>
          <w:lang w:eastAsia="en-US"/>
        </w:rPr>
        <w:t xml:space="preserve">estatales </w:t>
      </w:r>
      <w:r w:rsidRPr="00BD3B1F">
        <w:rPr>
          <w:rFonts w:ascii="Arial" w:eastAsia="Calibri" w:hAnsi="Arial" w:cs="Arial"/>
          <w:iCs/>
          <w:sz w:val="22"/>
          <w:szCs w:val="22"/>
          <w:lang w:eastAsia="en-US"/>
        </w:rPr>
        <w:t>sometidas al Estatuto General de Contratación de la Administración Pública -EGCAP-</w:t>
      </w:r>
      <w:r w:rsidR="00714037">
        <w:rPr>
          <w:rFonts w:ascii="Arial" w:eastAsia="Calibri" w:hAnsi="Arial" w:cs="Arial"/>
          <w:iCs/>
          <w:sz w:val="22"/>
          <w:szCs w:val="22"/>
          <w:lang w:eastAsia="en-US"/>
        </w:rPr>
        <w:t xml:space="preserve">, si bien </w:t>
      </w:r>
      <w:r w:rsidRPr="00BD3B1F">
        <w:rPr>
          <w:rFonts w:ascii="Arial" w:eastAsia="Calibri" w:hAnsi="Arial" w:cs="Arial"/>
          <w:iCs/>
          <w:sz w:val="22"/>
          <w:szCs w:val="22"/>
          <w:lang w:eastAsia="en-US"/>
        </w:rPr>
        <w:t>gozan de</w:t>
      </w:r>
      <w:r>
        <w:rPr>
          <w:rFonts w:ascii="Arial" w:eastAsia="Calibri" w:hAnsi="Arial" w:cs="Arial"/>
          <w:iCs/>
          <w:sz w:val="22"/>
          <w:szCs w:val="22"/>
          <w:lang w:eastAsia="en-US"/>
        </w:rPr>
        <w:t xml:space="preserve"> </w:t>
      </w:r>
      <w:r w:rsidRPr="00BD3B1F">
        <w:rPr>
          <w:rFonts w:ascii="Arial" w:eastAsia="Calibri" w:hAnsi="Arial" w:cs="Arial"/>
          <w:iCs/>
          <w:sz w:val="22"/>
          <w:szCs w:val="22"/>
          <w:lang w:eastAsia="en-US"/>
        </w:rPr>
        <w:t>autonomía</w:t>
      </w:r>
      <w:r>
        <w:rPr>
          <w:rFonts w:ascii="Arial" w:eastAsia="Calibri" w:hAnsi="Arial" w:cs="Arial"/>
          <w:iCs/>
          <w:sz w:val="22"/>
          <w:szCs w:val="22"/>
          <w:lang w:eastAsia="en-US"/>
        </w:rPr>
        <w:t xml:space="preserve"> y, hasta cierto punto, de discrecionalidad </w:t>
      </w:r>
      <w:r w:rsidRPr="00BD3B1F">
        <w:rPr>
          <w:rFonts w:ascii="Arial" w:eastAsia="Calibri" w:hAnsi="Arial" w:cs="Arial"/>
          <w:iCs/>
          <w:sz w:val="22"/>
          <w:szCs w:val="22"/>
          <w:lang w:eastAsia="en-US"/>
        </w:rPr>
        <w:t>para configurar el precio y para establecer el sistema de pago más apropiado para satisfacer los fines de la contratación, respetando los límites previstos en el ordenamiento</w:t>
      </w:r>
      <w:r>
        <w:rPr>
          <w:rFonts w:ascii="Arial" w:eastAsia="Calibri" w:hAnsi="Arial" w:cs="Arial"/>
          <w:iCs/>
          <w:sz w:val="22"/>
          <w:szCs w:val="22"/>
          <w:lang w:eastAsia="en-US"/>
        </w:rPr>
        <w:t xml:space="preserve">, al suscribir la referida tipología contractual, habrán de </w:t>
      </w:r>
      <w:r w:rsidR="00714037">
        <w:rPr>
          <w:rFonts w:ascii="Arial" w:eastAsia="Calibri" w:hAnsi="Arial" w:cs="Arial"/>
          <w:iCs/>
          <w:sz w:val="22"/>
          <w:szCs w:val="22"/>
          <w:lang w:eastAsia="en-US"/>
        </w:rPr>
        <w:t xml:space="preserve">aplicar el 50% del valor del respectivo contrato como límite </w:t>
      </w:r>
      <w:r>
        <w:rPr>
          <w:rFonts w:ascii="Arial" w:eastAsia="Calibri" w:hAnsi="Arial" w:cs="Arial"/>
          <w:iCs/>
          <w:sz w:val="22"/>
          <w:szCs w:val="22"/>
          <w:lang w:eastAsia="en-US"/>
        </w:rPr>
        <w:t xml:space="preserve">porcentual máximo </w:t>
      </w:r>
      <w:r w:rsidR="00714037">
        <w:rPr>
          <w:rFonts w:ascii="Arial" w:eastAsia="Calibri" w:hAnsi="Arial" w:cs="Arial"/>
          <w:iCs/>
          <w:sz w:val="22"/>
          <w:szCs w:val="22"/>
          <w:lang w:eastAsia="en-US"/>
        </w:rPr>
        <w:t xml:space="preserve">para que sea objeto de </w:t>
      </w:r>
      <w:r>
        <w:rPr>
          <w:rFonts w:ascii="Arial" w:eastAsia="Calibri" w:hAnsi="Arial" w:cs="Arial"/>
          <w:iCs/>
          <w:sz w:val="22"/>
          <w:szCs w:val="22"/>
          <w:lang w:eastAsia="en-US"/>
        </w:rPr>
        <w:t xml:space="preserve">desembolso </w:t>
      </w:r>
      <w:r w:rsidR="00714037">
        <w:rPr>
          <w:rFonts w:ascii="Arial" w:eastAsia="Calibri" w:hAnsi="Arial" w:cs="Arial"/>
          <w:iCs/>
          <w:sz w:val="22"/>
          <w:szCs w:val="22"/>
          <w:lang w:eastAsia="en-US"/>
        </w:rPr>
        <w:t xml:space="preserve">con arreglo a lo estipulado </w:t>
      </w:r>
      <w:r>
        <w:rPr>
          <w:rFonts w:ascii="Arial" w:eastAsia="Calibri" w:hAnsi="Arial" w:cs="Arial"/>
          <w:iCs/>
          <w:sz w:val="22"/>
          <w:szCs w:val="22"/>
          <w:lang w:eastAsia="en-US"/>
        </w:rPr>
        <w:t>en el inciso primero del parágrafo del artículo 40 de la Ley 80 de 1993, el cual no está restringido a un contrato estatal específico o a una concreta modalidad de selección del contratista</w:t>
      </w:r>
      <w:r w:rsidR="00714037">
        <w:rPr>
          <w:rFonts w:ascii="Arial" w:eastAsia="Calibri" w:hAnsi="Arial" w:cs="Arial"/>
          <w:iCs/>
          <w:sz w:val="22"/>
          <w:szCs w:val="22"/>
          <w:lang w:eastAsia="en-US"/>
        </w:rPr>
        <w:t>.</w:t>
      </w:r>
    </w:p>
    <w:p w14:paraId="2EDBAF4D" w14:textId="17C3E8C2" w:rsidR="00714037" w:rsidRDefault="00714037" w:rsidP="00714037">
      <w:pPr>
        <w:spacing w:after="120" w:line="276" w:lineRule="auto"/>
        <w:ind w:firstLine="708"/>
        <w:jc w:val="both"/>
        <w:rPr>
          <w:rFonts w:ascii="Arial" w:eastAsia="Calibri" w:hAnsi="Arial" w:cs="Arial"/>
          <w:iCs/>
          <w:sz w:val="22"/>
          <w:szCs w:val="22"/>
          <w:lang w:eastAsia="en-US"/>
        </w:rPr>
      </w:pPr>
      <w:r>
        <w:rPr>
          <w:rFonts w:ascii="Arial" w:eastAsia="Calibri" w:hAnsi="Arial" w:cs="Arial"/>
          <w:iCs/>
          <w:sz w:val="22"/>
          <w:szCs w:val="22"/>
          <w:lang w:eastAsia="en-US"/>
        </w:rPr>
        <w:t xml:space="preserve">Lo anterior, sin perjuicio de señalar que dicho límite </w:t>
      </w:r>
      <w:r w:rsidRPr="00971C69">
        <w:rPr>
          <w:rFonts w:ascii="Arial" w:hAnsi="Arial" w:cs="Arial"/>
          <w:sz w:val="22"/>
        </w:rPr>
        <w:t xml:space="preserve">solo </w:t>
      </w:r>
      <w:r>
        <w:rPr>
          <w:rFonts w:ascii="Arial" w:hAnsi="Arial" w:cs="Arial"/>
          <w:sz w:val="22"/>
        </w:rPr>
        <w:t xml:space="preserve">resulta aplicable </w:t>
      </w:r>
      <w:r w:rsidRPr="00971C69">
        <w:rPr>
          <w:rFonts w:ascii="Arial" w:hAnsi="Arial" w:cs="Arial"/>
          <w:sz w:val="22"/>
        </w:rPr>
        <w:t xml:space="preserve">para </w:t>
      </w:r>
      <w:r>
        <w:rPr>
          <w:rFonts w:ascii="Arial" w:hAnsi="Arial" w:cs="Arial"/>
          <w:sz w:val="22"/>
        </w:rPr>
        <w:t xml:space="preserve">aquellos </w:t>
      </w:r>
      <w:r w:rsidRPr="00971C69">
        <w:rPr>
          <w:rFonts w:ascii="Arial" w:hAnsi="Arial" w:cs="Arial"/>
          <w:sz w:val="22"/>
        </w:rPr>
        <w:t xml:space="preserve">convenios interadministrativos </w:t>
      </w:r>
      <w:r>
        <w:rPr>
          <w:rFonts w:ascii="Arial" w:hAnsi="Arial" w:cs="Arial"/>
          <w:sz w:val="22"/>
        </w:rPr>
        <w:t xml:space="preserve">que </w:t>
      </w:r>
      <w:r w:rsidRPr="00971C69">
        <w:rPr>
          <w:rFonts w:ascii="Arial" w:hAnsi="Arial" w:cs="Arial"/>
          <w:sz w:val="22"/>
        </w:rPr>
        <w:t>comporten un contenido patrimonial</w:t>
      </w:r>
      <w:r>
        <w:rPr>
          <w:rFonts w:ascii="Arial" w:hAnsi="Arial" w:cs="Arial"/>
          <w:sz w:val="22"/>
        </w:rPr>
        <w:t xml:space="preserve"> </w:t>
      </w:r>
      <w:r w:rsidRPr="00971C69">
        <w:rPr>
          <w:rFonts w:ascii="Arial" w:hAnsi="Arial" w:cs="Arial"/>
          <w:sz w:val="22"/>
        </w:rPr>
        <w:t>y</w:t>
      </w:r>
      <w:r>
        <w:rPr>
          <w:rFonts w:ascii="Arial" w:hAnsi="Arial" w:cs="Arial"/>
          <w:sz w:val="22"/>
        </w:rPr>
        <w:t xml:space="preserve"> que</w:t>
      </w:r>
      <w:r w:rsidRPr="00971C69">
        <w:rPr>
          <w:rFonts w:ascii="Arial" w:hAnsi="Arial" w:cs="Arial"/>
          <w:sz w:val="22"/>
        </w:rPr>
        <w:t>, por ende, estén sujetos al régimen jurídico del</w:t>
      </w:r>
      <w:r>
        <w:rPr>
          <w:rFonts w:ascii="Arial" w:hAnsi="Arial" w:cs="Arial"/>
          <w:sz w:val="22"/>
        </w:rPr>
        <w:t xml:space="preserve"> Estatuto General de Contratación de la Administración Pública        -</w:t>
      </w:r>
      <w:r w:rsidRPr="00971C69">
        <w:rPr>
          <w:rFonts w:ascii="Arial" w:hAnsi="Arial" w:cs="Arial"/>
          <w:sz w:val="22"/>
        </w:rPr>
        <w:t>EGCAP</w:t>
      </w:r>
      <w:r>
        <w:rPr>
          <w:rFonts w:ascii="Arial" w:hAnsi="Arial" w:cs="Arial"/>
          <w:sz w:val="22"/>
        </w:rPr>
        <w:t>-</w:t>
      </w:r>
      <w:r w:rsidRPr="00971C69">
        <w:rPr>
          <w:rFonts w:ascii="Arial" w:hAnsi="Arial" w:cs="Arial"/>
          <w:sz w:val="22"/>
        </w:rPr>
        <w:t xml:space="preserve">. </w:t>
      </w:r>
      <w:r>
        <w:rPr>
          <w:rFonts w:ascii="Arial" w:hAnsi="Arial" w:cs="Arial"/>
          <w:sz w:val="22"/>
        </w:rPr>
        <w:t xml:space="preserve">Entre tanto, los </w:t>
      </w:r>
      <w:r w:rsidRPr="00971C69">
        <w:rPr>
          <w:rFonts w:ascii="Arial" w:hAnsi="Arial" w:cs="Arial"/>
          <w:sz w:val="22"/>
        </w:rPr>
        <w:t>convenios interadministrativos que no</w:t>
      </w:r>
      <w:r>
        <w:rPr>
          <w:rFonts w:ascii="Arial" w:hAnsi="Arial" w:cs="Arial"/>
          <w:sz w:val="22"/>
        </w:rPr>
        <w:t xml:space="preserve"> </w:t>
      </w:r>
      <w:r w:rsidRPr="00971C69">
        <w:rPr>
          <w:rFonts w:ascii="Arial" w:hAnsi="Arial" w:cs="Arial"/>
          <w:sz w:val="22"/>
        </w:rPr>
        <w:t>t</w:t>
      </w:r>
      <w:r>
        <w:rPr>
          <w:rFonts w:ascii="Arial" w:hAnsi="Arial" w:cs="Arial"/>
          <w:sz w:val="22"/>
        </w:rPr>
        <w:t>iene</w:t>
      </w:r>
      <w:r w:rsidRPr="00971C69">
        <w:rPr>
          <w:rFonts w:ascii="Arial" w:hAnsi="Arial" w:cs="Arial"/>
          <w:sz w:val="22"/>
        </w:rPr>
        <w:t>n contenido patrimonial y que</w:t>
      </w:r>
      <w:r>
        <w:rPr>
          <w:rFonts w:ascii="Arial" w:hAnsi="Arial" w:cs="Arial"/>
          <w:sz w:val="22"/>
        </w:rPr>
        <w:t xml:space="preserve">, consecuencialmente, </w:t>
      </w:r>
      <w:r w:rsidRPr="00971C69">
        <w:rPr>
          <w:rFonts w:ascii="Arial" w:hAnsi="Arial" w:cs="Arial"/>
          <w:sz w:val="22"/>
        </w:rPr>
        <w:t>no est</w:t>
      </w:r>
      <w:r>
        <w:rPr>
          <w:rFonts w:ascii="Arial" w:hAnsi="Arial" w:cs="Arial"/>
          <w:sz w:val="22"/>
        </w:rPr>
        <w:t>á</w:t>
      </w:r>
      <w:r w:rsidRPr="00971C69">
        <w:rPr>
          <w:rFonts w:ascii="Arial" w:hAnsi="Arial" w:cs="Arial"/>
          <w:sz w:val="22"/>
        </w:rPr>
        <w:t>n</w:t>
      </w:r>
      <w:r>
        <w:rPr>
          <w:rFonts w:ascii="Arial" w:hAnsi="Arial" w:cs="Arial"/>
          <w:sz w:val="22"/>
        </w:rPr>
        <w:t xml:space="preserve"> sujetos al referido Estatuto</w:t>
      </w:r>
      <w:r w:rsidRPr="00971C69">
        <w:rPr>
          <w:rFonts w:ascii="Arial" w:hAnsi="Arial" w:cs="Arial"/>
          <w:sz w:val="22"/>
        </w:rPr>
        <w:t>, no</w:t>
      </w:r>
      <w:r>
        <w:rPr>
          <w:rFonts w:ascii="Arial" w:hAnsi="Arial" w:cs="Arial"/>
          <w:sz w:val="22"/>
        </w:rPr>
        <w:t xml:space="preserve"> están </w:t>
      </w:r>
      <w:r w:rsidRPr="00971C69">
        <w:rPr>
          <w:rFonts w:ascii="Arial" w:hAnsi="Arial" w:cs="Arial"/>
          <w:sz w:val="22"/>
        </w:rPr>
        <w:t xml:space="preserve">obligados a </w:t>
      </w:r>
      <w:r>
        <w:rPr>
          <w:rFonts w:ascii="Arial" w:hAnsi="Arial" w:cs="Arial"/>
          <w:sz w:val="22"/>
        </w:rPr>
        <w:t xml:space="preserve">dar cumplimiento al límite porcentual máximo previsto </w:t>
      </w:r>
      <w:r w:rsidRPr="00971C69">
        <w:rPr>
          <w:rFonts w:ascii="Arial" w:hAnsi="Arial" w:cs="Arial"/>
          <w:sz w:val="22"/>
        </w:rPr>
        <w:t xml:space="preserve">en el </w:t>
      </w:r>
      <w:r>
        <w:rPr>
          <w:rFonts w:ascii="Arial" w:hAnsi="Arial" w:cs="Arial"/>
          <w:sz w:val="22"/>
        </w:rPr>
        <w:t xml:space="preserve">inciso primero del parágrafo del </w:t>
      </w:r>
      <w:r w:rsidRPr="00971C69">
        <w:rPr>
          <w:rFonts w:ascii="Arial" w:hAnsi="Arial" w:cs="Arial"/>
          <w:sz w:val="22"/>
        </w:rPr>
        <w:t>artículo 40</w:t>
      </w:r>
      <w:r>
        <w:rPr>
          <w:rFonts w:ascii="Arial" w:hAnsi="Arial" w:cs="Arial"/>
          <w:sz w:val="22"/>
        </w:rPr>
        <w:t xml:space="preserve"> de la Ley 80 de 1993.</w:t>
      </w:r>
      <w:bookmarkEnd w:id="39"/>
    </w:p>
    <w:p w14:paraId="5EFA6318" w14:textId="77777777" w:rsidR="00714037" w:rsidRDefault="00005C5B" w:rsidP="00714037">
      <w:pPr>
        <w:spacing w:after="120" w:line="276" w:lineRule="auto"/>
        <w:ind w:firstLine="708"/>
        <w:jc w:val="both"/>
        <w:rPr>
          <w:rFonts w:ascii="Arial" w:eastAsia="Calibri" w:hAnsi="Arial" w:cs="Arial"/>
          <w:iCs/>
          <w:sz w:val="22"/>
          <w:szCs w:val="22"/>
          <w:lang w:eastAsia="en-US"/>
        </w:rPr>
      </w:pPr>
      <w:r w:rsidRPr="00005C5B">
        <w:rPr>
          <w:rFonts w:ascii="Arial" w:hAnsi="Arial" w:cs="Arial"/>
          <w:sz w:val="22"/>
        </w:rPr>
        <w:t>Este concepto tiene el alcance previsto en el artículo 28 del Código de Procedimiento Administrativo y de lo Contencioso Administrativo</w:t>
      </w:r>
      <w:r>
        <w:rPr>
          <w:rFonts w:ascii="Arial" w:hAnsi="Arial" w:cs="Arial"/>
          <w:sz w:val="22"/>
        </w:rPr>
        <w:t xml:space="preserve">, </w:t>
      </w:r>
      <w:r w:rsidRPr="00005C5B">
        <w:rPr>
          <w:rFonts w:ascii="Arial" w:hAnsi="Arial" w:cs="Arial"/>
          <w:sz w:val="22"/>
        </w:rPr>
        <w:t>y las expresiones aquí utilizadas con mayúscula inicial deben ser entendidas con el significado que les otorga el artículo 2.2.1.1.1.3.1. del Decreto 1082 de 2015.</w:t>
      </w:r>
      <w:bookmarkStart w:id="40" w:name="_Hlk34951122"/>
      <w:bookmarkEnd w:id="0"/>
      <w:bookmarkEnd w:id="24"/>
    </w:p>
    <w:p w14:paraId="0AB98133" w14:textId="10F9ECB4" w:rsidR="00011723" w:rsidRPr="00714037" w:rsidRDefault="00011723" w:rsidP="00714037">
      <w:pPr>
        <w:spacing w:after="120" w:line="276" w:lineRule="auto"/>
        <w:jc w:val="both"/>
        <w:rPr>
          <w:rFonts w:ascii="Arial" w:eastAsia="Calibri" w:hAnsi="Arial" w:cs="Arial"/>
          <w:iCs/>
          <w:sz w:val="22"/>
          <w:szCs w:val="22"/>
          <w:lang w:eastAsia="en-US"/>
        </w:rPr>
      </w:pPr>
      <w:r w:rsidRPr="00011723">
        <w:rPr>
          <w:rFonts w:ascii="Arial" w:hAnsi="Arial" w:cs="Arial"/>
          <w:sz w:val="22"/>
          <w:szCs w:val="22"/>
          <w:lang w:val="es-MX"/>
        </w:rPr>
        <w:t>Atentamente,</w:t>
      </w:r>
    </w:p>
    <w:p w14:paraId="138FAE1E" w14:textId="0B246683" w:rsidR="00011723" w:rsidRPr="00011723" w:rsidRDefault="005F3F4B" w:rsidP="00011723">
      <w:pPr>
        <w:spacing w:line="276" w:lineRule="auto"/>
        <w:jc w:val="center"/>
        <w:textAlignment w:val="baseline"/>
        <w:rPr>
          <w:rFonts w:ascii="Arial" w:hAnsi="Arial" w:cs="Arial"/>
        </w:rPr>
      </w:pPr>
      <w:r>
        <w:rPr>
          <w:noProof/>
        </w:rPr>
        <w:drawing>
          <wp:inline distT="0" distB="0" distL="0" distR="0" wp14:anchorId="0E7D617F" wp14:editId="7B11F78F">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p w14:paraId="0A177B7C" w14:textId="77777777" w:rsidR="00011723" w:rsidRPr="00011723" w:rsidRDefault="00011723" w:rsidP="00011723">
      <w:pPr>
        <w:spacing w:line="276" w:lineRule="auto"/>
        <w:jc w:val="both"/>
        <w:textAlignment w:val="baseline"/>
        <w:rPr>
          <w:rFonts w:ascii="Arial" w:hAnsi="Arial" w:cs="Arial"/>
        </w:rPr>
      </w:pPr>
    </w:p>
    <w:tbl>
      <w:tblPr>
        <w:tblW w:w="58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6"/>
        <w:gridCol w:w="5220"/>
      </w:tblGrid>
      <w:tr w:rsidR="00011723" w:rsidRPr="00011723" w14:paraId="1EA5AC2B" w14:textId="77777777" w:rsidTr="00367BC4">
        <w:trPr>
          <w:trHeight w:val="315"/>
        </w:trPr>
        <w:tc>
          <w:tcPr>
            <w:tcW w:w="596" w:type="dxa"/>
            <w:tcBorders>
              <w:top w:val="nil"/>
              <w:left w:val="nil"/>
              <w:bottom w:val="nil"/>
              <w:right w:val="nil"/>
            </w:tcBorders>
            <w:shd w:val="clear" w:color="auto" w:fill="auto"/>
            <w:vAlign w:val="center"/>
            <w:hideMark/>
          </w:tcPr>
          <w:p w14:paraId="41E8FB92" w14:textId="77777777" w:rsidR="00011723" w:rsidRPr="00011723" w:rsidRDefault="00011723" w:rsidP="00011723">
            <w:pPr>
              <w:textAlignment w:val="baseline"/>
              <w:rPr>
                <w:rFonts w:ascii="Arial" w:hAnsi="Arial" w:cs="Arial"/>
                <w:sz w:val="16"/>
                <w:szCs w:val="16"/>
                <w:lang w:val="es-MX"/>
              </w:rPr>
            </w:pPr>
            <w:r w:rsidRPr="00011723">
              <w:rPr>
                <w:rFonts w:ascii="Arial" w:hAnsi="Arial" w:cs="Arial"/>
                <w:sz w:val="16"/>
                <w:szCs w:val="16"/>
                <w:lang w:val="es-MX"/>
              </w:rPr>
              <w:t>Elaboró:</w:t>
            </w:r>
          </w:p>
        </w:tc>
        <w:tc>
          <w:tcPr>
            <w:tcW w:w="5220" w:type="dxa"/>
            <w:tcBorders>
              <w:top w:val="nil"/>
              <w:left w:val="nil"/>
              <w:bottom w:val="dotted" w:sz="6" w:space="0" w:color="7F7F7F"/>
              <w:right w:val="nil"/>
            </w:tcBorders>
            <w:shd w:val="clear" w:color="auto" w:fill="auto"/>
            <w:vAlign w:val="center"/>
            <w:hideMark/>
          </w:tcPr>
          <w:p w14:paraId="2207DA5F" w14:textId="77777777" w:rsidR="00011723" w:rsidRPr="00011723" w:rsidRDefault="00011723" w:rsidP="00011723">
            <w:pPr>
              <w:textAlignment w:val="baseline"/>
              <w:rPr>
                <w:rFonts w:ascii="Arial" w:hAnsi="Arial" w:cs="Arial"/>
                <w:sz w:val="16"/>
                <w:szCs w:val="16"/>
                <w:lang w:val="es-MX"/>
              </w:rPr>
            </w:pPr>
            <w:r w:rsidRPr="00011723">
              <w:rPr>
                <w:rFonts w:ascii="Arial" w:hAnsi="Arial" w:cs="Arial"/>
                <w:sz w:val="16"/>
                <w:szCs w:val="16"/>
                <w:lang w:val="es-MX"/>
              </w:rPr>
              <w:t>Diego Andrés Zambrano Pérez</w:t>
            </w:r>
          </w:p>
          <w:p w14:paraId="2251292F" w14:textId="77777777" w:rsidR="00011723" w:rsidRPr="00011723" w:rsidRDefault="00011723" w:rsidP="00011723">
            <w:pPr>
              <w:textAlignment w:val="baseline"/>
              <w:rPr>
                <w:rFonts w:ascii="Arial" w:hAnsi="Arial" w:cs="Arial"/>
                <w:sz w:val="16"/>
                <w:szCs w:val="16"/>
                <w:lang w:val="es-MX"/>
              </w:rPr>
            </w:pPr>
            <w:r w:rsidRPr="00011723">
              <w:rPr>
                <w:rFonts w:ascii="Arial" w:hAnsi="Arial" w:cs="Arial"/>
                <w:sz w:val="16"/>
                <w:szCs w:val="16"/>
                <w:lang w:val="es-MX"/>
              </w:rPr>
              <w:t>Contratista de la Subdirección de Gestión Contractual</w:t>
            </w:r>
          </w:p>
        </w:tc>
      </w:tr>
      <w:tr w:rsidR="00011723" w:rsidRPr="00011723" w14:paraId="34BD4F3F" w14:textId="77777777" w:rsidTr="00367BC4">
        <w:trPr>
          <w:trHeight w:val="315"/>
        </w:trPr>
        <w:tc>
          <w:tcPr>
            <w:tcW w:w="596" w:type="dxa"/>
            <w:tcBorders>
              <w:top w:val="nil"/>
              <w:left w:val="nil"/>
              <w:bottom w:val="nil"/>
              <w:right w:val="nil"/>
            </w:tcBorders>
            <w:shd w:val="clear" w:color="auto" w:fill="auto"/>
            <w:vAlign w:val="center"/>
            <w:hideMark/>
          </w:tcPr>
          <w:p w14:paraId="54CABB05" w14:textId="77777777" w:rsidR="00011723" w:rsidRPr="00011723" w:rsidRDefault="00011723" w:rsidP="00011723">
            <w:pPr>
              <w:textAlignment w:val="baseline"/>
              <w:rPr>
                <w:rFonts w:ascii="Arial" w:hAnsi="Arial" w:cs="Arial"/>
                <w:sz w:val="16"/>
                <w:szCs w:val="16"/>
                <w:lang w:val="es-MX"/>
              </w:rPr>
            </w:pPr>
            <w:r w:rsidRPr="00011723">
              <w:rPr>
                <w:rFonts w:ascii="Arial" w:hAnsi="Arial" w:cs="Arial"/>
                <w:sz w:val="16"/>
                <w:szCs w:val="16"/>
                <w:lang w:val="es-MX"/>
              </w:rPr>
              <w:t>Revisó:</w:t>
            </w:r>
          </w:p>
        </w:tc>
        <w:tc>
          <w:tcPr>
            <w:tcW w:w="5220" w:type="dxa"/>
            <w:tcBorders>
              <w:top w:val="dotted" w:sz="6" w:space="0" w:color="7F7F7F"/>
              <w:left w:val="nil"/>
              <w:bottom w:val="dotted" w:sz="6" w:space="0" w:color="7F7F7F"/>
              <w:right w:val="nil"/>
            </w:tcBorders>
            <w:shd w:val="clear" w:color="auto" w:fill="auto"/>
            <w:vAlign w:val="center"/>
            <w:hideMark/>
          </w:tcPr>
          <w:p w14:paraId="0075A103" w14:textId="78B9A7BB" w:rsidR="00011723" w:rsidRPr="00011723" w:rsidRDefault="00367BC4" w:rsidP="00011723">
            <w:pPr>
              <w:textAlignment w:val="baseline"/>
              <w:rPr>
                <w:rFonts w:ascii="Arial" w:hAnsi="Arial" w:cs="Arial"/>
                <w:sz w:val="16"/>
                <w:szCs w:val="16"/>
                <w:lang w:val="es-MX"/>
              </w:rPr>
            </w:pPr>
            <w:r>
              <w:rPr>
                <w:rFonts w:ascii="Arial" w:hAnsi="Arial" w:cs="Arial"/>
                <w:sz w:val="16"/>
                <w:szCs w:val="16"/>
                <w:lang w:val="es-MX"/>
              </w:rPr>
              <w:t>Alejandro Raúl Sarmiento Cantillo</w:t>
            </w:r>
          </w:p>
          <w:p w14:paraId="3BAE9CAC" w14:textId="13C06096" w:rsidR="00011723" w:rsidRPr="00011723" w:rsidRDefault="00367BC4" w:rsidP="00011723">
            <w:pPr>
              <w:textAlignment w:val="baseline"/>
              <w:rPr>
                <w:rFonts w:ascii="Arial" w:hAnsi="Arial" w:cs="Arial"/>
                <w:sz w:val="16"/>
                <w:szCs w:val="16"/>
                <w:lang w:val="es-MX"/>
              </w:rPr>
            </w:pPr>
            <w:r>
              <w:rPr>
                <w:rFonts w:ascii="Arial" w:hAnsi="Arial" w:cs="Arial"/>
                <w:sz w:val="16"/>
                <w:szCs w:val="16"/>
                <w:lang w:val="es-MX"/>
              </w:rPr>
              <w:t xml:space="preserve">Gestor T1-15 </w:t>
            </w:r>
            <w:r w:rsidR="00011723" w:rsidRPr="00011723">
              <w:rPr>
                <w:rFonts w:ascii="Arial" w:hAnsi="Arial" w:cs="Arial"/>
                <w:sz w:val="16"/>
                <w:szCs w:val="16"/>
                <w:lang w:val="es-MX"/>
              </w:rPr>
              <w:t>de la Subdirección de Gestión Contractual</w:t>
            </w:r>
          </w:p>
        </w:tc>
      </w:tr>
      <w:tr w:rsidR="00011723" w:rsidRPr="00011723" w14:paraId="4F91C1DF" w14:textId="77777777" w:rsidTr="00367BC4">
        <w:trPr>
          <w:trHeight w:val="300"/>
        </w:trPr>
        <w:tc>
          <w:tcPr>
            <w:tcW w:w="596" w:type="dxa"/>
            <w:tcBorders>
              <w:top w:val="nil"/>
              <w:left w:val="nil"/>
              <w:bottom w:val="nil"/>
              <w:right w:val="nil"/>
            </w:tcBorders>
            <w:shd w:val="clear" w:color="auto" w:fill="auto"/>
            <w:vAlign w:val="center"/>
            <w:hideMark/>
          </w:tcPr>
          <w:p w14:paraId="5D96043E" w14:textId="77777777" w:rsidR="00011723" w:rsidRPr="00011723" w:rsidRDefault="00011723" w:rsidP="00011723">
            <w:pPr>
              <w:textAlignment w:val="baseline"/>
              <w:rPr>
                <w:rFonts w:ascii="Arial" w:hAnsi="Arial" w:cs="Arial"/>
                <w:sz w:val="16"/>
                <w:szCs w:val="16"/>
                <w:lang w:val="es-MX"/>
              </w:rPr>
            </w:pPr>
            <w:r w:rsidRPr="00011723">
              <w:rPr>
                <w:rFonts w:ascii="Arial" w:hAnsi="Arial" w:cs="Arial"/>
                <w:sz w:val="16"/>
                <w:szCs w:val="16"/>
                <w:lang w:val="es-MX"/>
              </w:rPr>
              <w:t>Aprobó:</w:t>
            </w:r>
          </w:p>
        </w:tc>
        <w:tc>
          <w:tcPr>
            <w:tcW w:w="5220" w:type="dxa"/>
            <w:tcBorders>
              <w:top w:val="dotted" w:sz="6" w:space="0" w:color="7F7F7F"/>
              <w:left w:val="nil"/>
              <w:bottom w:val="dotted" w:sz="6" w:space="0" w:color="7F7F7F"/>
              <w:right w:val="nil"/>
            </w:tcBorders>
            <w:shd w:val="clear" w:color="auto" w:fill="auto"/>
            <w:vAlign w:val="center"/>
            <w:hideMark/>
          </w:tcPr>
          <w:p w14:paraId="5F2DAEFD" w14:textId="77777777" w:rsidR="00011723" w:rsidRPr="00011723" w:rsidRDefault="00011723" w:rsidP="00011723">
            <w:pPr>
              <w:textAlignment w:val="baseline"/>
              <w:rPr>
                <w:rFonts w:ascii="Arial" w:hAnsi="Arial" w:cs="Arial"/>
                <w:sz w:val="16"/>
                <w:szCs w:val="16"/>
                <w:lang w:val="es-MX"/>
              </w:rPr>
            </w:pPr>
            <w:r w:rsidRPr="00011723">
              <w:rPr>
                <w:rFonts w:ascii="Arial" w:hAnsi="Arial" w:cs="Arial"/>
                <w:sz w:val="16"/>
                <w:szCs w:val="16"/>
                <w:lang w:val="es-MX"/>
              </w:rPr>
              <w:t>Nohelia del Carmen Zawady Palacio</w:t>
            </w:r>
          </w:p>
          <w:p w14:paraId="769F1266" w14:textId="77777777" w:rsidR="00011723" w:rsidRPr="00011723" w:rsidRDefault="00011723" w:rsidP="00011723">
            <w:pPr>
              <w:textAlignment w:val="baseline"/>
              <w:rPr>
                <w:rFonts w:ascii="Arial" w:hAnsi="Arial" w:cs="Arial"/>
                <w:sz w:val="16"/>
                <w:szCs w:val="16"/>
                <w:lang w:val="es-MX"/>
              </w:rPr>
            </w:pPr>
            <w:r w:rsidRPr="00011723">
              <w:rPr>
                <w:rFonts w:ascii="Arial" w:hAnsi="Arial" w:cs="Arial"/>
                <w:sz w:val="16"/>
                <w:szCs w:val="16"/>
                <w:lang w:val="es-MX"/>
              </w:rPr>
              <w:t>Subdirectora de Gestión Contractual</w:t>
            </w:r>
          </w:p>
        </w:tc>
      </w:tr>
      <w:bookmarkEnd w:id="1"/>
      <w:bookmarkEnd w:id="40"/>
    </w:tbl>
    <w:p w14:paraId="385B3094" w14:textId="77777777" w:rsidR="00005C5B" w:rsidRDefault="00005C5B" w:rsidP="000E7640">
      <w:pPr>
        <w:spacing w:line="276" w:lineRule="auto"/>
        <w:jc w:val="both"/>
        <w:textAlignment w:val="baseline"/>
        <w:rPr>
          <w:rFonts w:ascii="Arial" w:hAnsi="Arial" w:cs="Arial"/>
          <w:sz w:val="22"/>
          <w:lang w:val="es-MX"/>
        </w:rPr>
      </w:pPr>
    </w:p>
    <w:sectPr w:rsidR="00005C5B" w:rsidSect="00F76AFC">
      <w:headerReference w:type="default" r:id="rId13"/>
      <w:footerReference w:type="default" r:id="rId14"/>
      <w:pgSz w:w="12240" w:h="15840"/>
      <w:pgMar w:top="1440" w:right="1440" w:bottom="1440" w:left="1440" w:header="708"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E51BB" w14:textId="77777777" w:rsidR="00FB3253" w:rsidRDefault="00FB3253" w:rsidP="004A1847">
      <w:r>
        <w:separator/>
      </w:r>
    </w:p>
  </w:endnote>
  <w:endnote w:type="continuationSeparator" w:id="0">
    <w:p w14:paraId="03A518A1" w14:textId="77777777" w:rsidR="00FB3253" w:rsidRDefault="00FB3253" w:rsidP="004A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pPr>
      <w:pStyle w:val="Piedepgina"/>
    </w:pPr>
    <w:r>
      <w:rPr>
        <w:noProof/>
      </w:rPr>
      <w:drawing>
        <wp:inline distT="0" distB="0" distL="0" distR="0" wp14:anchorId="1F77499E" wp14:editId="58F58CA2">
          <wp:extent cx="5885180" cy="914400"/>
          <wp:effectExtent l="0" t="0" r="1270" b="0"/>
          <wp:docPr id="76759312" name="Imagen 76759312"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888238" cy="914875"/>
                  </a:xfrm>
                  <a:prstGeom prst="rect">
                    <a:avLst/>
                  </a:prstGeom>
                </pic:spPr>
              </pic:pic>
            </a:graphicData>
          </a:graphic>
        </wp:inline>
      </w:drawing>
    </w:r>
  </w:p>
  <w:p w14:paraId="744661F5" w14:textId="77777777" w:rsidR="006219F8" w:rsidRDefault="006219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6F64E" w14:textId="77777777" w:rsidR="00FB3253" w:rsidRDefault="00FB3253" w:rsidP="004A1847">
      <w:r>
        <w:separator/>
      </w:r>
    </w:p>
  </w:footnote>
  <w:footnote w:type="continuationSeparator" w:id="0">
    <w:p w14:paraId="0A167EE1" w14:textId="77777777" w:rsidR="00FB3253" w:rsidRDefault="00FB3253" w:rsidP="004A1847">
      <w:r>
        <w:continuationSeparator/>
      </w:r>
    </w:p>
  </w:footnote>
  <w:footnote w:id="1">
    <w:p w14:paraId="7F234913" w14:textId="4AEB038C" w:rsidR="00B01C8E" w:rsidRPr="00011723" w:rsidRDefault="00B01C8E" w:rsidP="00782B79">
      <w:pPr>
        <w:pStyle w:val="Textonotapie"/>
        <w:ind w:firstLine="708"/>
        <w:jc w:val="both"/>
        <w:rPr>
          <w:rFonts w:ascii="Arial" w:hAnsi="Arial" w:cs="Arial"/>
          <w:sz w:val="18"/>
          <w:szCs w:val="18"/>
          <w:lang w:val="es-ES"/>
        </w:rPr>
      </w:pPr>
      <w:r w:rsidRPr="00011723">
        <w:rPr>
          <w:rStyle w:val="Refdenotaalpie"/>
          <w:rFonts w:ascii="Arial" w:eastAsiaTheme="majorEastAsia" w:hAnsi="Arial" w:cs="Arial"/>
          <w:sz w:val="18"/>
          <w:szCs w:val="18"/>
        </w:rPr>
        <w:footnoteRef/>
      </w:r>
      <w:r w:rsidRPr="00011723">
        <w:rPr>
          <w:rFonts w:ascii="Arial" w:hAnsi="Arial" w:cs="Arial"/>
          <w:sz w:val="18"/>
          <w:szCs w:val="18"/>
        </w:rPr>
        <w:t xml:space="preserve"> La Agencia Nacional de Contratación Pública</w:t>
      </w:r>
      <w:r w:rsidR="008D2E9B" w:rsidRPr="00011723">
        <w:rPr>
          <w:rFonts w:ascii="Arial" w:hAnsi="Arial" w:cs="Arial"/>
          <w:sz w:val="18"/>
          <w:szCs w:val="18"/>
        </w:rPr>
        <w:t xml:space="preserve"> -</w:t>
      </w:r>
      <w:r w:rsidRPr="00011723">
        <w:rPr>
          <w:rFonts w:ascii="Arial" w:hAnsi="Arial" w:cs="Arial"/>
          <w:sz w:val="18"/>
          <w:szCs w:val="18"/>
        </w:rPr>
        <w:t>Colombia Compra Eficiente</w:t>
      </w:r>
      <w:r w:rsidR="008D2E9B" w:rsidRPr="00011723">
        <w:rPr>
          <w:rFonts w:ascii="Arial" w:hAnsi="Arial" w:cs="Arial"/>
          <w:sz w:val="18"/>
          <w:szCs w:val="18"/>
        </w:rPr>
        <w:t xml:space="preserve">- </w:t>
      </w:r>
      <w:r w:rsidRPr="00011723">
        <w:rPr>
          <w:rFonts w:ascii="Arial" w:hAnsi="Arial" w:cs="Arial"/>
          <w:sz w:val="18"/>
          <w:szCs w:val="18"/>
        </w:rPr>
        <w:t>fue creada por el Decreto</w:t>
      </w:r>
      <w:r w:rsidR="008D2E9B" w:rsidRPr="00011723">
        <w:rPr>
          <w:rFonts w:ascii="Arial" w:hAnsi="Arial" w:cs="Arial"/>
          <w:sz w:val="18"/>
          <w:szCs w:val="18"/>
        </w:rPr>
        <w:t>-</w:t>
      </w:r>
      <w:r w:rsidRPr="00011723">
        <w:rPr>
          <w:rFonts w:ascii="Arial" w:hAnsi="Arial" w:cs="Arial"/>
          <w:sz w:val="18"/>
          <w:szCs w:val="18"/>
        </w:rPr>
        <w:t xml:space="preserve">Ley 4170 de 2011. Su objetivo es servir como ente rector de la política de compras y contratación </w:t>
      </w:r>
      <w:r w:rsidR="008D2E9B" w:rsidRPr="00011723">
        <w:rPr>
          <w:rFonts w:ascii="Arial" w:hAnsi="Arial" w:cs="Arial"/>
          <w:sz w:val="18"/>
          <w:szCs w:val="18"/>
        </w:rPr>
        <w:t xml:space="preserve">pública </w:t>
      </w:r>
      <w:r w:rsidRPr="00011723">
        <w:rPr>
          <w:rFonts w:ascii="Arial" w:hAnsi="Arial" w:cs="Arial"/>
          <w:sz w:val="18"/>
          <w:szCs w:val="18"/>
        </w:rPr>
        <w:t>del Estado. Para tales fines, como órgano técnico especializado, le corresponde formular políticas públicas</w:t>
      </w:r>
      <w:r w:rsidR="008D2E9B" w:rsidRPr="00011723">
        <w:rPr>
          <w:rFonts w:ascii="Arial" w:hAnsi="Arial" w:cs="Arial"/>
          <w:sz w:val="18"/>
          <w:szCs w:val="18"/>
        </w:rPr>
        <w:t xml:space="preserve">, </w:t>
      </w:r>
      <w:r w:rsidRPr="00011723">
        <w:rPr>
          <w:rFonts w:ascii="Arial" w:hAnsi="Arial" w:cs="Arial"/>
          <w:sz w:val="18"/>
          <w:szCs w:val="18"/>
        </w:rPr>
        <w:t xml:space="preserve">normas y unificar los procesos de contratación estatal, con el </w:t>
      </w:r>
      <w:r w:rsidR="008D2E9B" w:rsidRPr="00011723">
        <w:rPr>
          <w:rFonts w:ascii="Arial" w:hAnsi="Arial" w:cs="Arial"/>
          <w:sz w:val="18"/>
          <w:szCs w:val="18"/>
        </w:rPr>
        <w:t xml:space="preserve">objetivo </w:t>
      </w:r>
      <w:r w:rsidRPr="00011723">
        <w:rPr>
          <w:rFonts w:ascii="Arial" w:hAnsi="Arial" w:cs="Arial"/>
          <w:sz w:val="18"/>
          <w:szCs w:val="18"/>
        </w:rPr>
        <w:t>de lograr una mayor eficiencia, transparencia y optimización de los recursos del Estado. El artículo 3</w:t>
      </w:r>
      <w:r w:rsidR="008D2E9B" w:rsidRPr="00011723">
        <w:rPr>
          <w:rFonts w:ascii="Arial" w:hAnsi="Arial" w:cs="Arial"/>
          <w:sz w:val="18"/>
          <w:szCs w:val="18"/>
        </w:rPr>
        <w:t>º</w:t>
      </w:r>
      <w:r w:rsidRPr="00011723">
        <w:rPr>
          <w:rFonts w:ascii="Arial" w:hAnsi="Arial" w:cs="Arial"/>
          <w:sz w:val="18"/>
          <w:szCs w:val="18"/>
        </w:rPr>
        <w:t xml:space="preserve"> </w:t>
      </w:r>
      <w:r w:rsidRPr="00011723">
        <w:rPr>
          <w:rFonts w:ascii="Arial" w:hAnsi="Arial" w:cs="Arial"/>
          <w:i/>
          <w:iCs/>
          <w:sz w:val="18"/>
          <w:szCs w:val="18"/>
        </w:rPr>
        <w:t xml:space="preserve">ibidem </w:t>
      </w:r>
      <w:r w:rsidRPr="00011723">
        <w:rPr>
          <w:rFonts w:ascii="Arial" w:hAnsi="Arial" w:cs="Arial"/>
          <w:sz w:val="18"/>
          <w:szCs w:val="18"/>
        </w:rPr>
        <w:t>señala, de manera precisa, las funciones d</w:t>
      </w:r>
      <w:r w:rsidR="008D2E9B" w:rsidRPr="00011723">
        <w:rPr>
          <w:rFonts w:ascii="Arial" w:hAnsi="Arial" w:cs="Arial"/>
          <w:sz w:val="18"/>
          <w:szCs w:val="18"/>
        </w:rPr>
        <w:t>e la entidad</w:t>
      </w:r>
      <w:r w:rsidRPr="00011723">
        <w:rPr>
          <w:rFonts w:ascii="Arial" w:hAnsi="Arial" w:cs="Arial"/>
          <w:sz w:val="18"/>
          <w:szCs w:val="18"/>
        </w:rPr>
        <w:t>.</w:t>
      </w:r>
      <w:r w:rsidR="008D2E9B" w:rsidRPr="00011723">
        <w:rPr>
          <w:rFonts w:ascii="Arial" w:hAnsi="Arial" w:cs="Arial"/>
          <w:sz w:val="18"/>
          <w:szCs w:val="18"/>
        </w:rPr>
        <w:t xml:space="preserve"> </w:t>
      </w:r>
      <w:r w:rsidRPr="00011723">
        <w:rPr>
          <w:rFonts w:ascii="Arial" w:hAnsi="Arial" w:cs="Arial"/>
          <w:sz w:val="18"/>
          <w:szCs w:val="18"/>
        </w:rPr>
        <w:t>Concretamente, el numeral 5º de</w:t>
      </w:r>
      <w:r w:rsidR="008D2E9B" w:rsidRPr="00011723">
        <w:rPr>
          <w:rFonts w:ascii="Arial" w:hAnsi="Arial" w:cs="Arial"/>
          <w:sz w:val="18"/>
          <w:szCs w:val="18"/>
        </w:rPr>
        <w:t xml:space="preserve">l citado </w:t>
      </w:r>
      <w:r w:rsidRPr="00011723">
        <w:rPr>
          <w:rFonts w:ascii="Arial" w:hAnsi="Arial" w:cs="Arial"/>
          <w:sz w:val="18"/>
          <w:szCs w:val="18"/>
        </w:rPr>
        <w:t>artículo establece que le corresponde a esta entidad:</w:t>
      </w:r>
      <w:r w:rsidR="008D2E9B" w:rsidRPr="00011723">
        <w:rPr>
          <w:rFonts w:ascii="Arial" w:hAnsi="Arial" w:cs="Arial"/>
          <w:sz w:val="18"/>
          <w:szCs w:val="18"/>
        </w:rPr>
        <w:t xml:space="preserve"> </w:t>
      </w:r>
      <w:r w:rsidR="008D2E9B" w:rsidRPr="00011723">
        <w:rPr>
          <w:rFonts w:ascii="Arial" w:hAnsi="Arial" w:cs="Arial"/>
          <w:i/>
          <w:iCs/>
          <w:sz w:val="18"/>
          <w:szCs w:val="18"/>
        </w:rPr>
        <w:t>“</w:t>
      </w:r>
      <w:r w:rsidRPr="00011723">
        <w:rPr>
          <w:rFonts w:ascii="Arial" w:hAnsi="Arial" w:cs="Arial"/>
          <w:i/>
          <w:iCs/>
          <w:sz w:val="18"/>
          <w:szCs w:val="18"/>
        </w:rPr>
        <w:t>[a]bsolver consultas sobre la aplicación de normas de carácter general y expedir circulares externas en materia de compras y contratación pública</w:t>
      </w:r>
      <w:r w:rsidR="008D2E9B" w:rsidRPr="00011723">
        <w:rPr>
          <w:rFonts w:ascii="Arial" w:hAnsi="Arial" w:cs="Arial"/>
          <w:i/>
          <w:iCs/>
          <w:sz w:val="18"/>
          <w:szCs w:val="18"/>
        </w:rPr>
        <w:t>”</w:t>
      </w:r>
      <w:r w:rsidR="008D2E9B" w:rsidRPr="00011723">
        <w:rPr>
          <w:rFonts w:ascii="Arial" w:hAnsi="Arial" w:cs="Arial"/>
          <w:sz w:val="18"/>
          <w:szCs w:val="18"/>
        </w:rPr>
        <w:t xml:space="preserve">. A su turno, </w:t>
      </w:r>
      <w:r w:rsidRPr="00011723">
        <w:rPr>
          <w:rFonts w:ascii="Arial" w:hAnsi="Arial" w:cs="Arial"/>
          <w:sz w:val="18"/>
          <w:szCs w:val="18"/>
        </w:rPr>
        <w:t>el</w:t>
      </w:r>
      <w:r w:rsidR="008D2E9B" w:rsidRPr="00011723">
        <w:rPr>
          <w:rFonts w:ascii="Arial" w:hAnsi="Arial" w:cs="Arial"/>
          <w:sz w:val="18"/>
          <w:szCs w:val="18"/>
        </w:rPr>
        <w:t xml:space="preserve"> </w:t>
      </w:r>
      <w:r w:rsidRPr="00011723">
        <w:rPr>
          <w:rFonts w:ascii="Arial" w:hAnsi="Arial" w:cs="Arial"/>
          <w:sz w:val="18"/>
          <w:szCs w:val="18"/>
        </w:rPr>
        <w:t>numeral 8º del artículo 11</w:t>
      </w:r>
      <w:r w:rsidR="008D2E9B" w:rsidRPr="00011723">
        <w:rPr>
          <w:rFonts w:ascii="Arial" w:hAnsi="Arial" w:cs="Arial"/>
          <w:sz w:val="18"/>
          <w:szCs w:val="18"/>
        </w:rPr>
        <w:t xml:space="preserve"> </w:t>
      </w:r>
      <w:r w:rsidRPr="00011723">
        <w:rPr>
          <w:rFonts w:ascii="Arial" w:hAnsi="Arial" w:cs="Arial"/>
          <w:i/>
          <w:iCs/>
          <w:sz w:val="18"/>
          <w:szCs w:val="18"/>
        </w:rPr>
        <w:t>ibidem</w:t>
      </w:r>
      <w:r w:rsidRPr="00011723">
        <w:rPr>
          <w:rFonts w:ascii="Arial" w:hAnsi="Arial" w:cs="Arial"/>
          <w:sz w:val="18"/>
          <w:szCs w:val="18"/>
        </w:rPr>
        <w:t xml:space="preserve"> </w:t>
      </w:r>
      <w:r w:rsidR="008D2E9B" w:rsidRPr="00011723">
        <w:rPr>
          <w:rFonts w:ascii="Arial" w:hAnsi="Arial" w:cs="Arial"/>
          <w:sz w:val="18"/>
          <w:szCs w:val="18"/>
        </w:rPr>
        <w:t xml:space="preserve">indica </w:t>
      </w:r>
      <w:r w:rsidRPr="00011723">
        <w:rPr>
          <w:rFonts w:ascii="Arial" w:hAnsi="Arial" w:cs="Arial"/>
          <w:sz w:val="18"/>
          <w:szCs w:val="18"/>
        </w:rPr>
        <w:t>que es función de la Subdirección de Gestión Contractual:</w:t>
      </w:r>
      <w:r w:rsidR="008D2E9B" w:rsidRPr="00011723">
        <w:rPr>
          <w:rFonts w:ascii="Arial" w:hAnsi="Arial" w:cs="Arial"/>
          <w:sz w:val="18"/>
          <w:szCs w:val="18"/>
        </w:rPr>
        <w:t xml:space="preserve"> </w:t>
      </w:r>
      <w:r w:rsidR="008D2E9B" w:rsidRPr="00011723">
        <w:rPr>
          <w:rFonts w:ascii="Arial" w:hAnsi="Arial" w:cs="Arial"/>
          <w:i/>
          <w:iCs/>
          <w:sz w:val="18"/>
          <w:szCs w:val="18"/>
        </w:rPr>
        <w:t>“</w:t>
      </w:r>
      <w:r w:rsidRPr="00011723">
        <w:rPr>
          <w:rFonts w:ascii="Arial" w:hAnsi="Arial" w:cs="Arial"/>
          <w:i/>
          <w:iCs/>
          <w:sz w:val="18"/>
          <w:szCs w:val="18"/>
        </w:rPr>
        <w:t>[a]bsolver consultas sobre la aplicación de normas de carácter general</w:t>
      </w:r>
      <w:r w:rsidR="008D2E9B" w:rsidRPr="00011723">
        <w:rPr>
          <w:rFonts w:ascii="Arial" w:hAnsi="Arial" w:cs="Arial"/>
          <w:i/>
          <w:iCs/>
          <w:sz w:val="18"/>
          <w:szCs w:val="18"/>
        </w:rPr>
        <w:t>”</w:t>
      </w:r>
      <w:r w:rsidR="008D2E9B" w:rsidRPr="00011723">
        <w:rPr>
          <w:rFonts w:ascii="Arial" w:hAnsi="Arial" w:cs="Arial"/>
          <w:sz w:val="18"/>
          <w:szCs w:val="18"/>
        </w:rPr>
        <w:t>.</w:t>
      </w:r>
    </w:p>
  </w:footnote>
  <w:footnote w:id="2">
    <w:p w14:paraId="08EAEB14" w14:textId="3CD7C7C9" w:rsidR="00030FA9" w:rsidRPr="00472908" w:rsidRDefault="00030FA9" w:rsidP="00782B79">
      <w:pPr>
        <w:pStyle w:val="Textonotapie"/>
        <w:ind w:firstLine="708"/>
        <w:rPr>
          <w:rFonts w:ascii="Arial" w:hAnsi="Arial" w:cs="Arial"/>
          <w:sz w:val="18"/>
          <w:szCs w:val="18"/>
        </w:rPr>
      </w:pPr>
      <w:r w:rsidRPr="00472908">
        <w:rPr>
          <w:rStyle w:val="Refdenotaalpie"/>
          <w:rFonts w:ascii="Arial" w:hAnsi="Arial" w:cs="Arial"/>
          <w:sz w:val="18"/>
          <w:szCs w:val="18"/>
        </w:rPr>
        <w:footnoteRef/>
      </w:r>
      <w:r w:rsidRPr="00472908">
        <w:rPr>
          <w:rFonts w:ascii="Arial" w:hAnsi="Arial" w:cs="Arial"/>
          <w:sz w:val="18"/>
          <w:szCs w:val="18"/>
        </w:rPr>
        <w:t xml:space="preserve"> Artículos 1495 y 1602 del Código Civil.</w:t>
      </w:r>
    </w:p>
  </w:footnote>
  <w:footnote w:id="3">
    <w:p w14:paraId="342C8271" w14:textId="2C45E919" w:rsidR="00472908" w:rsidRPr="00472908" w:rsidRDefault="00472908" w:rsidP="00782B79">
      <w:pPr>
        <w:pStyle w:val="Textonotapie"/>
        <w:ind w:firstLine="708"/>
        <w:rPr>
          <w:rFonts w:ascii="Arial" w:hAnsi="Arial" w:cs="Arial"/>
          <w:sz w:val="18"/>
          <w:szCs w:val="18"/>
        </w:rPr>
      </w:pPr>
      <w:r w:rsidRPr="00472908">
        <w:rPr>
          <w:rStyle w:val="Refdenotaalpie"/>
          <w:rFonts w:ascii="Arial" w:hAnsi="Arial" w:cs="Arial"/>
          <w:sz w:val="18"/>
          <w:szCs w:val="18"/>
        </w:rPr>
        <w:footnoteRef/>
      </w:r>
      <w:r w:rsidRPr="00472908">
        <w:rPr>
          <w:rFonts w:ascii="Arial" w:hAnsi="Arial" w:cs="Arial"/>
          <w:sz w:val="18"/>
          <w:szCs w:val="18"/>
        </w:rPr>
        <w:t xml:space="preserve"> Artículos 3 y 40 de la Ley 80 de 1993.</w:t>
      </w:r>
    </w:p>
  </w:footnote>
  <w:footnote w:id="4">
    <w:p w14:paraId="461600D7" w14:textId="182F0095" w:rsidR="00472908" w:rsidRDefault="00472908" w:rsidP="00782B79">
      <w:pPr>
        <w:pStyle w:val="Textonotapie"/>
        <w:ind w:firstLine="708"/>
      </w:pPr>
      <w:r w:rsidRPr="00472908">
        <w:rPr>
          <w:rStyle w:val="Refdenotaalpie"/>
          <w:rFonts w:ascii="Arial" w:hAnsi="Arial" w:cs="Arial"/>
          <w:sz w:val="18"/>
          <w:szCs w:val="18"/>
        </w:rPr>
        <w:footnoteRef/>
      </w:r>
      <w:r w:rsidRPr="00472908">
        <w:rPr>
          <w:rFonts w:ascii="Arial" w:hAnsi="Arial" w:cs="Arial"/>
          <w:sz w:val="18"/>
          <w:szCs w:val="18"/>
        </w:rPr>
        <w:t xml:space="preserve"> Artículo 209 de la Constitución Política de 1991.</w:t>
      </w:r>
    </w:p>
  </w:footnote>
  <w:footnote w:id="5">
    <w:p w14:paraId="7B954B77" w14:textId="6A1ED325" w:rsidR="00C028B2" w:rsidRPr="00BC3059" w:rsidRDefault="00C028B2" w:rsidP="00782B79">
      <w:pPr>
        <w:pStyle w:val="Textonotapie"/>
        <w:ind w:firstLine="708"/>
        <w:jc w:val="both"/>
        <w:rPr>
          <w:rFonts w:ascii="Arial" w:hAnsi="Arial" w:cs="Arial"/>
          <w:sz w:val="18"/>
          <w:szCs w:val="18"/>
        </w:rPr>
      </w:pPr>
      <w:r w:rsidRPr="00BC3059">
        <w:rPr>
          <w:rStyle w:val="Refdenotaalpie"/>
          <w:rFonts w:ascii="Arial" w:hAnsi="Arial" w:cs="Arial"/>
          <w:sz w:val="18"/>
          <w:szCs w:val="18"/>
        </w:rPr>
        <w:footnoteRef/>
      </w:r>
      <w:r w:rsidRPr="00BC3059">
        <w:rPr>
          <w:rFonts w:ascii="Arial" w:hAnsi="Arial" w:cs="Arial"/>
          <w:sz w:val="18"/>
          <w:szCs w:val="18"/>
        </w:rPr>
        <w:t xml:space="preserve"> Artículo 2.2.1.2.1.4.4 del Decreto 1082 de 2015.</w:t>
      </w:r>
    </w:p>
  </w:footnote>
  <w:footnote w:id="6">
    <w:p w14:paraId="541B01CB" w14:textId="26C5D934" w:rsidR="00F569B7" w:rsidRPr="00BC3059" w:rsidRDefault="00F569B7" w:rsidP="00782B79">
      <w:pPr>
        <w:pStyle w:val="Textonotapie"/>
        <w:ind w:firstLine="708"/>
        <w:jc w:val="both"/>
        <w:rPr>
          <w:rFonts w:ascii="Arial" w:hAnsi="Arial" w:cs="Arial"/>
          <w:sz w:val="18"/>
          <w:szCs w:val="18"/>
        </w:rPr>
      </w:pPr>
      <w:r w:rsidRPr="00BC3059">
        <w:rPr>
          <w:rStyle w:val="Refdenotaalpie"/>
          <w:rFonts w:ascii="Arial" w:hAnsi="Arial" w:cs="Arial"/>
          <w:sz w:val="18"/>
          <w:szCs w:val="18"/>
        </w:rPr>
        <w:footnoteRef/>
      </w:r>
      <w:r w:rsidR="00105A5E" w:rsidRPr="00BC3059">
        <w:rPr>
          <w:rFonts w:ascii="Arial" w:hAnsi="Arial" w:cs="Arial"/>
          <w:sz w:val="18"/>
          <w:szCs w:val="18"/>
        </w:rPr>
        <w:t xml:space="preserve"> </w:t>
      </w:r>
      <w:r w:rsidRPr="00BC3059">
        <w:rPr>
          <w:rFonts w:ascii="Arial" w:hAnsi="Arial" w:cs="Arial"/>
          <w:i/>
          <w:iCs/>
          <w:sz w:val="18"/>
          <w:szCs w:val="18"/>
          <w:lang w:val="es-ES"/>
        </w:rPr>
        <w:t>“</w:t>
      </w:r>
      <w:r w:rsidRPr="00BC3059">
        <w:rPr>
          <w:rFonts w:ascii="Arial" w:hAnsi="Arial" w:cs="Arial"/>
          <w:bCs/>
          <w:i/>
          <w:iCs/>
          <w:sz w:val="18"/>
          <w:szCs w:val="18"/>
          <w:lang w:val="es-ES_tradnl"/>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Las autoridades administrativas deben coordinar sus actuaciones para el adecuado cumplimiento de los fines del estado.</w:t>
      </w:r>
      <w:r w:rsidR="00105A5E" w:rsidRPr="00BC3059">
        <w:rPr>
          <w:rFonts w:ascii="Arial" w:hAnsi="Arial" w:cs="Arial"/>
          <w:bCs/>
          <w:i/>
          <w:iCs/>
          <w:sz w:val="18"/>
          <w:szCs w:val="18"/>
          <w:lang w:val="es-ES_tradnl"/>
        </w:rPr>
        <w:t xml:space="preserve"> </w:t>
      </w:r>
      <w:r w:rsidRPr="00BC3059">
        <w:rPr>
          <w:rFonts w:ascii="Arial" w:hAnsi="Arial" w:cs="Arial"/>
          <w:bCs/>
          <w:i/>
          <w:iCs/>
          <w:sz w:val="18"/>
          <w:szCs w:val="18"/>
          <w:lang w:val="es-ES_tradnl"/>
        </w:rPr>
        <w:t>La administración pública, en todos sus órdenes, tendrá un control interno que se ejercerá en los términos que señale la Ley”</w:t>
      </w:r>
      <w:r w:rsidR="00105A5E" w:rsidRPr="00BC3059">
        <w:rPr>
          <w:rFonts w:ascii="Arial" w:hAnsi="Arial" w:cs="Arial"/>
          <w:bCs/>
          <w:i/>
          <w:iCs/>
          <w:sz w:val="18"/>
          <w:szCs w:val="18"/>
          <w:lang w:val="es-ES_tradnl"/>
        </w:rPr>
        <w:t>.</w:t>
      </w:r>
    </w:p>
  </w:footnote>
  <w:footnote w:id="7">
    <w:p w14:paraId="152827FE" w14:textId="6457F49C" w:rsidR="00105A5E" w:rsidRPr="00BC3059" w:rsidRDefault="00105A5E" w:rsidP="00782B79">
      <w:pPr>
        <w:pStyle w:val="Textonotapie"/>
        <w:ind w:firstLine="708"/>
        <w:jc w:val="both"/>
        <w:rPr>
          <w:rFonts w:ascii="Arial" w:hAnsi="Arial" w:cs="Arial"/>
          <w:sz w:val="18"/>
          <w:szCs w:val="18"/>
        </w:rPr>
      </w:pPr>
      <w:r w:rsidRPr="00BC3059">
        <w:rPr>
          <w:rStyle w:val="Refdenotaalpie"/>
          <w:rFonts w:ascii="Arial" w:hAnsi="Arial" w:cs="Arial"/>
          <w:sz w:val="18"/>
          <w:szCs w:val="18"/>
        </w:rPr>
        <w:footnoteRef/>
      </w:r>
      <w:r w:rsidRPr="00BC3059">
        <w:rPr>
          <w:rFonts w:ascii="Arial" w:hAnsi="Arial" w:cs="Arial"/>
          <w:sz w:val="18"/>
          <w:szCs w:val="18"/>
        </w:rPr>
        <w:t xml:space="preserve"> </w:t>
      </w:r>
      <w:r w:rsidRPr="00BC3059">
        <w:rPr>
          <w:rFonts w:ascii="Arial" w:hAnsi="Arial" w:cs="Arial"/>
          <w:color w:val="000000" w:themeColor="text1"/>
          <w:sz w:val="18"/>
          <w:szCs w:val="18"/>
        </w:rPr>
        <w:t>“</w:t>
      </w:r>
      <w:r w:rsidRPr="00BC3059">
        <w:rPr>
          <w:rStyle w:val="nfasis"/>
          <w:rFonts w:ascii="Arial" w:hAnsi="Arial" w:cs="Arial"/>
          <w:color w:val="000000" w:themeColor="text1"/>
          <w:sz w:val="18"/>
          <w:szCs w:val="18"/>
          <w:shd w:val="clear" w:color="auto" w:fill="FFFFFF"/>
        </w:rPr>
        <w:t>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w:t>
      </w:r>
      <w:r w:rsidRPr="00BC3059">
        <w:rPr>
          <w:rStyle w:val="nfasis"/>
          <w:rFonts w:ascii="Arial" w:hAnsi="Arial" w:cs="Arial"/>
          <w:i w:val="0"/>
          <w:iCs w:val="0"/>
          <w:color w:val="000000" w:themeColor="text1"/>
          <w:sz w:val="18"/>
          <w:szCs w:val="18"/>
          <w:shd w:val="clear" w:color="auto" w:fill="FFFFFF"/>
        </w:rPr>
        <w:t>.</w:t>
      </w:r>
    </w:p>
  </w:footnote>
  <w:footnote w:id="8">
    <w:p w14:paraId="355A8254" w14:textId="7CF6B08D" w:rsidR="00BC3059" w:rsidRDefault="00BC3059" w:rsidP="00782B79">
      <w:pPr>
        <w:pStyle w:val="Textonotapie"/>
        <w:ind w:firstLine="708"/>
        <w:jc w:val="both"/>
      </w:pPr>
      <w:r w:rsidRPr="00BC3059">
        <w:rPr>
          <w:rStyle w:val="Refdenotaalpie"/>
          <w:rFonts w:ascii="Arial" w:hAnsi="Arial" w:cs="Arial"/>
          <w:sz w:val="18"/>
          <w:szCs w:val="18"/>
        </w:rPr>
        <w:footnoteRef/>
      </w:r>
      <w:r w:rsidRPr="00BC3059">
        <w:rPr>
          <w:rFonts w:ascii="Arial" w:hAnsi="Arial" w:cs="Arial"/>
          <w:sz w:val="18"/>
          <w:szCs w:val="18"/>
        </w:rPr>
        <w:t xml:space="preserve"> Este artículo fue declarado exequible por la Corte Constitucional mediante la Sentencia C-671 de 1999, M.P. Alfredo Beltrán Sierra.</w:t>
      </w:r>
    </w:p>
  </w:footnote>
  <w:footnote w:id="9">
    <w:p w14:paraId="5F641C6F" w14:textId="77777777" w:rsidR="00BC3059" w:rsidRPr="00384A55" w:rsidRDefault="00BC3059" w:rsidP="00782B79">
      <w:pPr>
        <w:pStyle w:val="Textonotapie"/>
        <w:ind w:firstLine="708"/>
        <w:jc w:val="both"/>
        <w:rPr>
          <w:rFonts w:ascii="Arial" w:hAnsi="Arial" w:cs="Arial"/>
          <w:sz w:val="18"/>
          <w:szCs w:val="18"/>
        </w:rPr>
      </w:pPr>
      <w:r w:rsidRPr="0002332E">
        <w:rPr>
          <w:rStyle w:val="Refdenotaalpie"/>
          <w:rFonts w:ascii="Arial" w:hAnsi="Arial" w:cs="Arial"/>
          <w:sz w:val="18"/>
          <w:szCs w:val="18"/>
        </w:rPr>
        <w:footnoteRef/>
      </w:r>
      <w:r w:rsidRPr="0002332E">
        <w:rPr>
          <w:rFonts w:ascii="Arial" w:hAnsi="Arial" w:cs="Arial"/>
          <w:sz w:val="18"/>
          <w:szCs w:val="18"/>
        </w:rPr>
        <w:t xml:space="preserve"> </w:t>
      </w:r>
      <w:r w:rsidRPr="00384A55">
        <w:rPr>
          <w:rFonts w:ascii="Arial" w:hAnsi="Arial" w:cs="Arial"/>
          <w:sz w:val="18"/>
          <w:szCs w:val="18"/>
        </w:rPr>
        <w:t>Consejo de Estado, Sala de lo Contencioso Administrativo, Sección Tercera, sentencia de 23 de junio de 2010, exp.17860.</w:t>
      </w:r>
    </w:p>
  </w:footnote>
  <w:footnote w:id="10">
    <w:p w14:paraId="1EC7DDA2" w14:textId="22A082CD" w:rsidR="00F569B7" w:rsidRPr="00384A55" w:rsidRDefault="00F569B7" w:rsidP="00782B79">
      <w:pPr>
        <w:pStyle w:val="Textonotapie"/>
        <w:ind w:firstLine="708"/>
        <w:jc w:val="both"/>
        <w:rPr>
          <w:rFonts w:ascii="Arial" w:hAnsi="Arial" w:cs="Arial"/>
          <w:sz w:val="18"/>
          <w:szCs w:val="18"/>
        </w:rPr>
      </w:pPr>
      <w:r w:rsidRPr="00384A55">
        <w:rPr>
          <w:rStyle w:val="Refdenotaalpie"/>
          <w:rFonts w:ascii="Arial" w:hAnsi="Arial" w:cs="Arial"/>
          <w:sz w:val="18"/>
          <w:szCs w:val="18"/>
        </w:rPr>
        <w:footnoteRef/>
      </w:r>
      <w:r w:rsidRPr="00384A55">
        <w:rPr>
          <w:rFonts w:ascii="Arial" w:hAnsi="Arial" w:cs="Arial"/>
          <w:sz w:val="18"/>
          <w:szCs w:val="18"/>
        </w:rPr>
        <w:t xml:space="preserve"> Santos Rodríguez, Jorge Enrique</w:t>
      </w:r>
      <w:r w:rsidR="005037A4" w:rsidRPr="00384A55">
        <w:rPr>
          <w:rFonts w:ascii="Arial" w:hAnsi="Arial" w:cs="Arial"/>
          <w:sz w:val="18"/>
          <w:szCs w:val="18"/>
        </w:rPr>
        <w:t xml:space="preserve">. </w:t>
      </w:r>
      <w:r w:rsidR="005037A4" w:rsidRPr="00384A55">
        <w:rPr>
          <w:rFonts w:ascii="Arial" w:hAnsi="Arial" w:cs="Arial"/>
          <w:i/>
          <w:iCs/>
          <w:sz w:val="18"/>
          <w:szCs w:val="18"/>
        </w:rPr>
        <w:t>“</w:t>
      </w:r>
      <w:r w:rsidRPr="00384A55">
        <w:rPr>
          <w:rFonts w:ascii="Arial" w:hAnsi="Arial" w:cs="Arial"/>
          <w:i/>
          <w:iCs/>
          <w:sz w:val="18"/>
          <w:szCs w:val="18"/>
        </w:rPr>
        <w:t>Consideraciones sobre los convenios y contratos interadministrativos</w:t>
      </w:r>
      <w:r w:rsidR="005037A4" w:rsidRPr="00384A55">
        <w:rPr>
          <w:rFonts w:ascii="Arial" w:hAnsi="Arial" w:cs="Arial"/>
          <w:i/>
          <w:iCs/>
          <w:sz w:val="18"/>
          <w:szCs w:val="18"/>
        </w:rPr>
        <w:t>”</w:t>
      </w:r>
      <w:r w:rsidR="005037A4" w:rsidRPr="00384A55">
        <w:rPr>
          <w:rFonts w:ascii="Arial" w:hAnsi="Arial" w:cs="Arial"/>
          <w:sz w:val="18"/>
          <w:szCs w:val="18"/>
        </w:rPr>
        <w:t>.</w:t>
      </w:r>
      <w:r w:rsidRPr="00384A55">
        <w:rPr>
          <w:rFonts w:ascii="Arial" w:hAnsi="Arial" w:cs="Arial"/>
          <w:sz w:val="18"/>
          <w:szCs w:val="18"/>
        </w:rPr>
        <w:t xml:space="preserve"> Universidad Externado de Colombia, Revista Digital de Derecho Administrativo, Bogotá 2009.</w:t>
      </w:r>
    </w:p>
  </w:footnote>
  <w:footnote w:id="11">
    <w:p w14:paraId="513E2E7C" w14:textId="01790757" w:rsidR="0036575C" w:rsidRPr="00384A55" w:rsidRDefault="0036575C" w:rsidP="00782B79">
      <w:pPr>
        <w:pStyle w:val="Textonotapie"/>
        <w:ind w:firstLine="708"/>
        <w:jc w:val="both"/>
        <w:rPr>
          <w:rFonts w:ascii="Arial" w:hAnsi="Arial" w:cs="Arial"/>
          <w:sz w:val="18"/>
          <w:szCs w:val="18"/>
        </w:rPr>
      </w:pPr>
      <w:r w:rsidRPr="00384A55">
        <w:rPr>
          <w:rStyle w:val="Refdenotaalpie"/>
          <w:rFonts w:ascii="Arial" w:hAnsi="Arial" w:cs="Arial"/>
          <w:sz w:val="18"/>
          <w:szCs w:val="18"/>
        </w:rPr>
        <w:footnoteRef/>
      </w:r>
      <w:r w:rsidRPr="00384A55">
        <w:rPr>
          <w:rFonts w:ascii="Arial" w:hAnsi="Arial" w:cs="Arial"/>
          <w:sz w:val="18"/>
          <w:szCs w:val="18"/>
        </w:rPr>
        <w:t xml:space="preserve"> Sobre el concepto causalista de contrato y sus efectos respecto de la actividad negocial de la administración, cfr. Augusto Ramón Chávez Marín Los convenios de la administración: entre la gestión pública y la actividad negocial, Bogotá, Universidad del Rosario, 2008, pp. 41 y ss.</w:t>
      </w:r>
    </w:p>
  </w:footnote>
  <w:footnote w:id="12">
    <w:p w14:paraId="5628955A" w14:textId="52D18724" w:rsidR="0036575C" w:rsidRPr="00384A55" w:rsidRDefault="0036575C" w:rsidP="00782B79">
      <w:pPr>
        <w:pStyle w:val="Textonotapie"/>
        <w:ind w:firstLine="708"/>
        <w:jc w:val="both"/>
        <w:rPr>
          <w:rFonts w:ascii="Arial" w:hAnsi="Arial" w:cs="Arial"/>
          <w:sz w:val="18"/>
          <w:szCs w:val="18"/>
        </w:rPr>
      </w:pPr>
      <w:r w:rsidRPr="00384A55">
        <w:rPr>
          <w:rStyle w:val="Refdenotaalpie"/>
          <w:rFonts w:ascii="Arial" w:hAnsi="Arial" w:cs="Arial"/>
          <w:sz w:val="18"/>
          <w:szCs w:val="18"/>
        </w:rPr>
        <w:footnoteRef/>
      </w:r>
      <w:r w:rsidRPr="00384A55">
        <w:rPr>
          <w:rFonts w:ascii="Arial" w:hAnsi="Arial" w:cs="Arial"/>
          <w:sz w:val="18"/>
          <w:szCs w:val="18"/>
        </w:rPr>
        <w:t xml:space="preserve"> </w:t>
      </w:r>
      <w:r w:rsidR="0026539A" w:rsidRPr="00384A55">
        <w:rPr>
          <w:rFonts w:ascii="Arial" w:hAnsi="Arial" w:cs="Arial"/>
          <w:sz w:val="18"/>
          <w:szCs w:val="18"/>
        </w:rPr>
        <w:t xml:space="preserve">Expósito Vélez, Juan Carlos. </w:t>
      </w:r>
      <w:r w:rsidR="0026539A" w:rsidRPr="00384A55">
        <w:rPr>
          <w:rFonts w:ascii="Arial" w:hAnsi="Arial" w:cs="Arial"/>
          <w:i/>
          <w:iCs/>
          <w:sz w:val="18"/>
          <w:szCs w:val="18"/>
        </w:rPr>
        <w:t>“La configuración del contrato de la administración pública en derecho colombiano y español”</w:t>
      </w:r>
      <w:r w:rsidR="0026539A" w:rsidRPr="00384A55">
        <w:rPr>
          <w:rFonts w:ascii="Arial" w:hAnsi="Arial" w:cs="Arial"/>
          <w:sz w:val="18"/>
          <w:szCs w:val="18"/>
        </w:rPr>
        <w:t>. Bogotá, universidad Externado de Colombia, 2003, p. 25.</w:t>
      </w:r>
    </w:p>
  </w:footnote>
  <w:footnote w:id="13">
    <w:p w14:paraId="50846AA5" w14:textId="60B14628" w:rsidR="00384A55" w:rsidRDefault="00384A55" w:rsidP="00782B79">
      <w:pPr>
        <w:pStyle w:val="Textonotapie"/>
        <w:ind w:firstLine="708"/>
        <w:jc w:val="both"/>
      </w:pPr>
      <w:r w:rsidRPr="00384A55">
        <w:rPr>
          <w:rStyle w:val="Refdenotaalpie"/>
          <w:rFonts w:ascii="Arial" w:hAnsi="Arial" w:cs="Arial"/>
          <w:sz w:val="18"/>
          <w:szCs w:val="18"/>
        </w:rPr>
        <w:footnoteRef/>
      </w:r>
      <w:r w:rsidRPr="00384A55">
        <w:rPr>
          <w:rFonts w:ascii="Arial" w:hAnsi="Arial" w:cs="Arial"/>
          <w:sz w:val="18"/>
          <w:szCs w:val="18"/>
        </w:rPr>
        <w:t xml:space="preserve"> Sobre la especial posición de la administración en las relaciones jurídicas, cfr. Renato Alessi. Instituciones de Derecho Administrativo, T.I, traducción de la 3.º ed. italiana, Barcelona, Bosch, 1970, pp. 181 y ss.</w:t>
      </w:r>
    </w:p>
  </w:footnote>
  <w:footnote w:id="14">
    <w:p w14:paraId="2D850DFE" w14:textId="31401EBB" w:rsidR="00754CFD" w:rsidRPr="007C55A2" w:rsidRDefault="00754CFD" w:rsidP="00782B79">
      <w:pPr>
        <w:pStyle w:val="Textonotapie"/>
        <w:ind w:firstLine="708"/>
        <w:jc w:val="both"/>
        <w:rPr>
          <w:rFonts w:ascii="Arial" w:hAnsi="Arial" w:cs="Arial"/>
          <w:sz w:val="18"/>
          <w:szCs w:val="18"/>
        </w:rPr>
      </w:pPr>
      <w:r w:rsidRPr="007C55A2">
        <w:rPr>
          <w:rStyle w:val="Refdenotaalpie"/>
          <w:rFonts w:ascii="Arial" w:hAnsi="Arial" w:cs="Arial"/>
          <w:sz w:val="18"/>
          <w:szCs w:val="18"/>
        </w:rPr>
        <w:footnoteRef/>
      </w:r>
      <w:r w:rsidRPr="007C55A2">
        <w:rPr>
          <w:rFonts w:ascii="Arial" w:hAnsi="Arial" w:cs="Arial"/>
          <w:sz w:val="18"/>
          <w:szCs w:val="18"/>
        </w:rPr>
        <w:t xml:space="preserve"> Cfr. Enrique Sayagués Laso. Tratado de Derecho Administrativo, T. I, 8ª ed., Montevideo, Fundación de Cultura Universitaria, 2002, p. 395, y Héctor Jorge Escola. Tratado Integral de los contratos administrativos, T. I, Parte General, Buenos aires, Depalma, 1977, p. 310.</w:t>
      </w:r>
    </w:p>
  </w:footnote>
  <w:footnote w:id="15">
    <w:p w14:paraId="7DF126DE" w14:textId="47DE2C42" w:rsidR="00F569B7" w:rsidRPr="0002332E" w:rsidRDefault="00F569B7" w:rsidP="00782B79">
      <w:pPr>
        <w:pStyle w:val="Textonotapie"/>
        <w:ind w:firstLine="708"/>
        <w:jc w:val="both"/>
        <w:rPr>
          <w:rFonts w:ascii="Arial" w:hAnsi="Arial" w:cs="Arial"/>
          <w:sz w:val="18"/>
          <w:szCs w:val="18"/>
        </w:rPr>
      </w:pPr>
      <w:r w:rsidRPr="007C55A2">
        <w:rPr>
          <w:rStyle w:val="Refdenotaalpie"/>
          <w:rFonts w:ascii="Arial" w:hAnsi="Arial" w:cs="Arial"/>
          <w:sz w:val="18"/>
          <w:szCs w:val="18"/>
        </w:rPr>
        <w:footnoteRef/>
      </w:r>
      <w:r w:rsidRPr="007C55A2">
        <w:rPr>
          <w:rFonts w:ascii="Arial" w:hAnsi="Arial" w:cs="Arial"/>
          <w:sz w:val="18"/>
          <w:szCs w:val="18"/>
        </w:rPr>
        <w:t xml:space="preserve"> La noción misma de contrato involucra la autonomía de la voluntad privada, cuyo alcance es la </w:t>
      </w:r>
      <w:r w:rsidRPr="007C55A2">
        <w:rPr>
          <w:rFonts w:ascii="Arial" w:hAnsi="Arial" w:cs="Arial"/>
          <w:i/>
          <w:iCs/>
          <w:sz w:val="18"/>
          <w:szCs w:val="18"/>
        </w:rPr>
        <w:t>“liberta y poder atribuido por el ordenamiento al sujeto iuris para celebrar el contrato, cuyo efecto cardina, primero o existencial es su vinculatoriedad, atadura u obligación legal de cumplirlo, sin que, en línea de principio, quienes lo celebran puedan sustraerse unilateralmente</w:t>
      </w:r>
      <w:r w:rsidR="007C55A2" w:rsidRPr="007C55A2">
        <w:rPr>
          <w:rFonts w:ascii="Arial" w:hAnsi="Arial" w:cs="Arial"/>
          <w:i/>
          <w:iCs/>
          <w:sz w:val="18"/>
          <w:szCs w:val="18"/>
        </w:rPr>
        <w:t>”</w:t>
      </w:r>
      <w:r w:rsidRPr="007C55A2">
        <w:rPr>
          <w:rFonts w:ascii="Arial" w:hAnsi="Arial" w:cs="Arial"/>
          <w:sz w:val="18"/>
          <w:szCs w:val="18"/>
        </w:rPr>
        <w:t>. Corte Suprema de Justicia, Sala de Casación Civil, Sentencia de 30 de agosto de 2011, radicación 11001-3103-012-1999-01957-01.</w:t>
      </w:r>
    </w:p>
  </w:footnote>
  <w:footnote w:id="16">
    <w:p w14:paraId="4000051C" w14:textId="77777777" w:rsidR="00F569B7" w:rsidRPr="007C55A2" w:rsidRDefault="00F569B7" w:rsidP="00782B79">
      <w:pPr>
        <w:pStyle w:val="Textonotapie"/>
        <w:ind w:firstLine="708"/>
        <w:jc w:val="both"/>
        <w:rPr>
          <w:rFonts w:ascii="Arial" w:hAnsi="Arial" w:cs="Arial"/>
          <w:sz w:val="18"/>
          <w:szCs w:val="18"/>
        </w:rPr>
      </w:pPr>
      <w:r w:rsidRPr="007C55A2">
        <w:rPr>
          <w:rStyle w:val="Refdenotaalpie"/>
          <w:rFonts w:ascii="Arial" w:hAnsi="Arial" w:cs="Arial"/>
          <w:sz w:val="18"/>
          <w:szCs w:val="18"/>
        </w:rPr>
        <w:footnoteRef/>
      </w:r>
      <w:r w:rsidRPr="007C55A2">
        <w:rPr>
          <w:rFonts w:ascii="Arial" w:hAnsi="Arial" w:cs="Arial"/>
          <w:sz w:val="18"/>
          <w:szCs w:val="18"/>
        </w:rPr>
        <w:t xml:space="preserve"> </w:t>
      </w:r>
      <w:r w:rsidRPr="007C55A2">
        <w:rPr>
          <w:rFonts w:ascii="Arial" w:hAnsi="Arial" w:cs="Arial"/>
          <w:i/>
          <w:iCs/>
          <w:sz w:val="18"/>
          <w:szCs w:val="18"/>
        </w:rPr>
        <w:t>“El objeto de los convenios de la administración implica siempre la conjunción de voluntades en torno a intereses que son mutuos compartidos por ambos contratantes. Se trata de lograr la realización de objetivos o fines que son comunes a todas las partes que celebran el negocio jurídico. Lo anterior significa excluir de esta clase de acuerdos aquellos compromisos que implican una contradicción de intereses, en los cuales las partes buscan la satisfacción de objetivos que no les son comunes”</w:t>
      </w:r>
      <w:r w:rsidRPr="007C55A2">
        <w:rPr>
          <w:rFonts w:ascii="Arial" w:hAnsi="Arial" w:cs="Arial"/>
          <w:sz w:val="18"/>
          <w:szCs w:val="18"/>
        </w:rPr>
        <w:t>. CHAVES Marín, Augusto Ramón. Los Convenios de la Administración. Entre la Gestión Pública y la Actividad Contractual. Editorial Temis. Bogotá D.C. Tercera Edición 2015. Pág. 76.</w:t>
      </w:r>
    </w:p>
  </w:footnote>
  <w:footnote w:id="17">
    <w:p w14:paraId="5BD0CF13" w14:textId="556D858B" w:rsidR="00F569B7" w:rsidRPr="007C55A2" w:rsidRDefault="00F569B7" w:rsidP="00782B79">
      <w:pPr>
        <w:pStyle w:val="Textonotapie"/>
        <w:ind w:firstLine="708"/>
        <w:jc w:val="both"/>
        <w:rPr>
          <w:rFonts w:ascii="Arial" w:hAnsi="Arial" w:cs="Arial"/>
          <w:sz w:val="18"/>
          <w:szCs w:val="18"/>
        </w:rPr>
      </w:pPr>
      <w:r w:rsidRPr="007C55A2">
        <w:rPr>
          <w:rStyle w:val="Refdenotaalpie"/>
          <w:rFonts w:ascii="Arial" w:hAnsi="Arial" w:cs="Arial"/>
          <w:sz w:val="18"/>
          <w:szCs w:val="18"/>
        </w:rPr>
        <w:footnoteRef/>
      </w:r>
      <w:r w:rsidR="00F3425F" w:rsidRPr="007C55A2">
        <w:rPr>
          <w:rFonts w:ascii="Arial" w:hAnsi="Arial" w:cs="Arial"/>
          <w:sz w:val="18"/>
          <w:szCs w:val="18"/>
        </w:rPr>
        <w:t xml:space="preserve"> </w:t>
      </w:r>
      <w:r w:rsidRPr="007C55A2">
        <w:rPr>
          <w:rFonts w:ascii="Arial" w:hAnsi="Arial" w:cs="Arial"/>
          <w:sz w:val="18"/>
          <w:szCs w:val="18"/>
        </w:rPr>
        <w:t>Consejo de Estado</w:t>
      </w:r>
      <w:r w:rsidR="00F3425F" w:rsidRPr="007C55A2">
        <w:rPr>
          <w:rFonts w:ascii="Arial" w:hAnsi="Arial" w:cs="Arial"/>
          <w:sz w:val="18"/>
          <w:szCs w:val="18"/>
        </w:rPr>
        <w:t xml:space="preserve"> -</w:t>
      </w:r>
      <w:r w:rsidRPr="007C55A2">
        <w:rPr>
          <w:rFonts w:ascii="Arial" w:hAnsi="Arial" w:cs="Arial"/>
          <w:sz w:val="18"/>
          <w:szCs w:val="18"/>
        </w:rPr>
        <w:t>Sala de Consulta y Servicio Civil</w:t>
      </w:r>
      <w:r w:rsidR="00F3425F" w:rsidRPr="007C55A2">
        <w:rPr>
          <w:rFonts w:ascii="Arial" w:hAnsi="Arial" w:cs="Arial"/>
          <w:sz w:val="18"/>
          <w:szCs w:val="18"/>
        </w:rPr>
        <w:t>-</w:t>
      </w:r>
      <w:r w:rsidRPr="007C55A2">
        <w:rPr>
          <w:rFonts w:ascii="Arial" w:hAnsi="Arial" w:cs="Arial"/>
          <w:sz w:val="18"/>
          <w:szCs w:val="18"/>
        </w:rPr>
        <w:t xml:space="preserve"> Concepto</w:t>
      </w:r>
      <w:r w:rsidR="00F3425F" w:rsidRPr="007C55A2">
        <w:rPr>
          <w:rFonts w:ascii="Arial" w:hAnsi="Arial" w:cs="Arial"/>
          <w:sz w:val="18"/>
          <w:szCs w:val="18"/>
        </w:rPr>
        <w:t xml:space="preserve"> </w:t>
      </w:r>
      <w:r w:rsidRPr="007C55A2">
        <w:rPr>
          <w:rFonts w:ascii="Arial" w:hAnsi="Arial" w:cs="Arial"/>
          <w:sz w:val="18"/>
          <w:szCs w:val="18"/>
        </w:rPr>
        <w:t>1982 de 2010.</w:t>
      </w:r>
    </w:p>
  </w:footnote>
  <w:footnote w:id="18">
    <w:p w14:paraId="74A4E5D0" w14:textId="103FF644" w:rsidR="00F569B7" w:rsidRPr="0002332E" w:rsidRDefault="00F569B7" w:rsidP="00782B79">
      <w:pPr>
        <w:pStyle w:val="Textonotapie"/>
        <w:ind w:firstLine="708"/>
        <w:jc w:val="both"/>
        <w:rPr>
          <w:rFonts w:ascii="Arial" w:hAnsi="Arial" w:cs="Arial"/>
          <w:sz w:val="18"/>
          <w:szCs w:val="18"/>
        </w:rPr>
      </w:pPr>
      <w:r w:rsidRPr="007C55A2">
        <w:rPr>
          <w:rStyle w:val="Refdenotaalpie"/>
          <w:rFonts w:ascii="Arial" w:hAnsi="Arial" w:cs="Arial"/>
          <w:sz w:val="18"/>
          <w:szCs w:val="18"/>
        </w:rPr>
        <w:footnoteRef/>
      </w:r>
      <w:r w:rsidRPr="007C55A2">
        <w:rPr>
          <w:rFonts w:ascii="Arial" w:hAnsi="Arial" w:cs="Arial"/>
          <w:sz w:val="18"/>
          <w:szCs w:val="18"/>
        </w:rPr>
        <w:t xml:space="preserve"> </w:t>
      </w:r>
      <w:r w:rsidRPr="007C55A2">
        <w:rPr>
          <w:rFonts w:ascii="Arial" w:hAnsi="Arial" w:cs="Arial"/>
          <w:i/>
          <w:iCs/>
          <w:sz w:val="18"/>
          <w:szCs w:val="18"/>
        </w:rPr>
        <w:t>“El paralelismo de los intereses, del que nace el mencionado paralelismo de voluntades (y de las correspondientes declaraciones), debe considerarse, desde el punto de vista de la estructura, como el carácter diferencial básico del acuerdo con respecto al contrato, donde los intereses en conflicto reciben composición”</w:t>
      </w:r>
      <w:r w:rsidR="00F3425F" w:rsidRPr="007C55A2">
        <w:rPr>
          <w:rFonts w:ascii="Arial" w:hAnsi="Arial" w:cs="Arial"/>
          <w:sz w:val="18"/>
          <w:szCs w:val="18"/>
        </w:rPr>
        <w:t xml:space="preserve">. </w:t>
      </w:r>
      <w:r w:rsidRPr="007C55A2">
        <w:rPr>
          <w:rFonts w:ascii="Arial" w:hAnsi="Arial" w:cs="Arial"/>
          <w:sz w:val="18"/>
          <w:szCs w:val="18"/>
        </w:rPr>
        <w:t>MESSINEO, Op. Cit. P. 63.</w:t>
      </w:r>
    </w:p>
  </w:footnote>
  <w:footnote w:id="19">
    <w:p w14:paraId="35F29F05" w14:textId="193209AC" w:rsidR="00F569B7" w:rsidRPr="0002332E" w:rsidRDefault="00F569B7" w:rsidP="008C2D63">
      <w:pPr>
        <w:pStyle w:val="Textonotapie"/>
        <w:ind w:firstLine="708"/>
        <w:jc w:val="both"/>
        <w:rPr>
          <w:rFonts w:ascii="Arial" w:hAnsi="Arial" w:cs="Arial"/>
          <w:sz w:val="18"/>
          <w:szCs w:val="18"/>
        </w:rPr>
      </w:pPr>
      <w:r w:rsidRPr="0002332E">
        <w:rPr>
          <w:rStyle w:val="Refdenotaalpie"/>
          <w:rFonts w:ascii="Arial" w:hAnsi="Arial" w:cs="Arial"/>
          <w:sz w:val="18"/>
          <w:szCs w:val="18"/>
        </w:rPr>
        <w:footnoteRef/>
      </w:r>
      <w:r w:rsidRPr="0002332E">
        <w:rPr>
          <w:rFonts w:ascii="Arial" w:hAnsi="Arial" w:cs="Arial"/>
          <w:sz w:val="18"/>
          <w:szCs w:val="18"/>
        </w:rPr>
        <w:t xml:space="preserve"> En el concepto 2257 del 2016, la Sala de Consulta y Servicio Civil del Consejo de Estado</w:t>
      </w:r>
      <w:r w:rsidR="00F26C43">
        <w:rPr>
          <w:rFonts w:ascii="Arial" w:hAnsi="Arial" w:cs="Arial"/>
          <w:sz w:val="18"/>
          <w:szCs w:val="18"/>
        </w:rPr>
        <w:t xml:space="preserve"> </w:t>
      </w:r>
      <w:r w:rsidRPr="0002332E">
        <w:rPr>
          <w:rFonts w:ascii="Arial" w:hAnsi="Arial" w:cs="Arial"/>
          <w:sz w:val="18"/>
          <w:szCs w:val="18"/>
        </w:rPr>
        <w:t xml:space="preserve">señaló </w:t>
      </w:r>
      <w:r w:rsidR="00F26C43">
        <w:rPr>
          <w:rFonts w:ascii="Arial" w:hAnsi="Arial" w:cs="Arial"/>
          <w:sz w:val="18"/>
          <w:szCs w:val="18"/>
        </w:rPr>
        <w:t xml:space="preserve">que </w:t>
      </w:r>
      <w:r w:rsidR="00F26C43" w:rsidRPr="00F26C43">
        <w:rPr>
          <w:rFonts w:ascii="Arial" w:hAnsi="Arial" w:cs="Arial"/>
          <w:i/>
          <w:iCs/>
          <w:sz w:val="18"/>
          <w:szCs w:val="18"/>
        </w:rPr>
        <w:t>“[d]</w:t>
      </w:r>
      <w:r w:rsidRPr="00F26C43">
        <w:rPr>
          <w:rFonts w:ascii="Arial" w:hAnsi="Arial" w:cs="Arial"/>
          <w:i/>
          <w:iCs/>
          <w:sz w:val="18"/>
          <w:szCs w:val="18"/>
          <w:lang w:val="es-ES_tradnl"/>
        </w:rPr>
        <w:t>ada la naturaleza jurídica explicada de los convenios interadministrativos, las reglas del Estatuto General de Contratación de la Administración Pública no resultan de aplicación automática a esos convenios. En tal virtud, en cada caso concreto deberá analizarse, de conformidad con la naturaleza jurídica, objeto y finalidad de los convenios, si la disposición correspondiente del Estatuto Contractual es aplicable o no</w:t>
      </w:r>
      <w:r w:rsidR="00F26C43" w:rsidRPr="00F26C43">
        <w:rPr>
          <w:rFonts w:ascii="Arial" w:hAnsi="Arial" w:cs="Arial"/>
          <w:i/>
          <w:iCs/>
          <w:sz w:val="18"/>
          <w:szCs w:val="18"/>
          <w:lang w:val="es-ES_tradnl"/>
        </w:rPr>
        <w:t>”</w:t>
      </w:r>
      <w:r w:rsidRPr="0002332E">
        <w:rPr>
          <w:rFonts w:ascii="Arial" w:hAnsi="Arial" w:cs="Arial"/>
          <w:sz w:val="18"/>
          <w:szCs w:val="18"/>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D711" w14:textId="77617239" w:rsidR="004A1847" w:rsidRDefault="004A1847">
    <w:pPr>
      <w:pStyle w:val="Encabezado"/>
    </w:pPr>
    <w:r>
      <w:rPr>
        <w:noProof/>
      </w:rPr>
      <w:drawing>
        <wp:anchor distT="0" distB="0" distL="114300" distR="114300" simplePos="0" relativeHeight="251658240" behindDoc="0" locked="0" layoutInCell="1" allowOverlap="1" wp14:anchorId="392843FB" wp14:editId="567E39B0">
          <wp:simplePos x="0" y="0"/>
          <wp:positionH relativeFrom="margin">
            <wp:align>right</wp:align>
          </wp:positionH>
          <wp:positionV relativeFrom="paragraph">
            <wp:posOffset>-233883</wp:posOffset>
          </wp:positionV>
          <wp:extent cx="1688592" cy="701040"/>
          <wp:effectExtent l="0" t="0" r="6985" b="3810"/>
          <wp:wrapNone/>
          <wp:docPr id="1894654915" name="Imagen 1894654915"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88592" cy="701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2FBA240D"/>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FF56725"/>
    <w:multiLevelType w:val="hybridMultilevel"/>
    <w:tmpl w:val="CD9EC042"/>
    <w:lvl w:ilvl="0" w:tplc="4B7C50CA">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40426F1F"/>
    <w:multiLevelType w:val="hybridMultilevel"/>
    <w:tmpl w:val="FFFFFFFF"/>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6" w15:restartNumberingAfterBreak="0">
    <w:nsid w:val="4A4450DC"/>
    <w:multiLevelType w:val="hybridMultilevel"/>
    <w:tmpl w:val="450C3B6E"/>
    <w:lvl w:ilvl="0" w:tplc="645A4624">
      <w:start w:val="1"/>
      <w:numFmt w:val="decimal"/>
      <w:lvlText w:val="%1."/>
      <w:lvlJc w:val="left"/>
      <w:pPr>
        <w:tabs>
          <w:tab w:val="num" w:pos="1670"/>
        </w:tabs>
        <w:ind w:left="1670" w:hanging="360"/>
      </w:pPr>
      <w:rPr>
        <w:rFonts w:hint="default"/>
      </w:rPr>
    </w:lvl>
    <w:lvl w:ilvl="1" w:tplc="0C0A0019" w:tentative="1">
      <w:start w:val="1"/>
      <w:numFmt w:val="lowerLetter"/>
      <w:lvlText w:val="%2."/>
      <w:lvlJc w:val="left"/>
      <w:pPr>
        <w:tabs>
          <w:tab w:val="num" w:pos="2390"/>
        </w:tabs>
        <w:ind w:left="2390" w:hanging="360"/>
      </w:pPr>
    </w:lvl>
    <w:lvl w:ilvl="2" w:tplc="0C0A001B" w:tentative="1">
      <w:start w:val="1"/>
      <w:numFmt w:val="lowerRoman"/>
      <w:lvlText w:val="%3."/>
      <w:lvlJc w:val="right"/>
      <w:pPr>
        <w:tabs>
          <w:tab w:val="num" w:pos="3110"/>
        </w:tabs>
        <w:ind w:left="3110" w:hanging="180"/>
      </w:pPr>
    </w:lvl>
    <w:lvl w:ilvl="3" w:tplc="0C0A000F" w:tentative="1">
      <w:start w:val="1"/>
      <w:numFmt w:val="decimal"/>
      <w:lvlText w:val="%4."/>
      <w:lvlJc w:val="left"/>
      <w:pPr>
        <w:tabs>
          <w:tab w:val="num" w:pos="3830"/>
        </w:tabs>
        <w:ind w:left="3830" w:hanging="360"/>
      </w:pPr>
    </w:lvl>
    <w:lvl w:ilvl="4" w:tplc="0C0A0019" w:tentative="1">
      <w:start w:val="1"/>
      <w:numFmt w:val="lowerLetter"/>
      <w:lvlText w:val="%5."/>
      <w:lvlJc w:val="left"/>
      <w:pPr>
        <w:tabs>
          <w:tab w:val="num" w:pos="4550"/>
        </w:tabs>
        <w:ind w:left="4550" w:hanging="360"/>
      </w:pPr>
    </w:lvl>
    <w:lvl w:ilvl="5" w:tplc="0C0A001B" w:tentative="1">
      <w:start w:val="1"/>
      <w:numFmt w:val="lowerRoman"/>
      <w:lvlText w:val="%6."/>
      <w:lvlJc w:val="right"/>
      <w:pPr>
        <w:tabs>
          <w:tab w:val="num" w:pos="5270"/>
        </w:tabs>
        <w:ind w:left="5270" w:hanging="180"/>
      </w:pPr>
    </w:lvl>
    <w:lvl w:ilvl="6" w:tplc="0C0A000F" w:tentative="1">
      <w:start w:val="1"/>
      <w:numFmt w:val="decimal"/>
      <w:lvlText w:val="%7."/>
      <w:lvlJc w:val="left"/>
      <w:pPr>
        <w:tabs>
          <w:tab w:val="num" w:pos="5990"/>
        </w:tabs>
        <w:ind w:left="5990" w:hanging="360"/>
      </w:pPr>
    </w:lvl>
    <w:lvl w:ilvl="7" w:tplc="0C0A0019" w:tentative="1">
      <w:start w:val="1"/>
      <w:numFmt w:val="lowerLetter"/>
      <w:lvlText w:val="%8."/>
      <w:lvlJc w:val="left"/>
      <w:pPr>
        <w:tabs>
          <w:tab w:val="num" w:pos="6710"/>
        </w:tabs>
        <w:ind w:left="6710" w:hanging="360"/>
      </w:pPr>
    </w:lvl>
    <w:lvl w:ilvl="8" w:tplc="0C0A001B" w:tentative="1">
      <w:start w:val="1"/>
      <w:numFmt w:val="lowerRoman"/>
      <w:lvlText w:val="%9."/>
      <w:lvlJc w:val="right"/>
      <w:pPr>
        <w:tabs>
          <w:tab w:val="num" w:pos="7430"/>
        </w:tabs>
        <w:ind w:left="7430" w:hanging="180"/>
      </w:pPr>
    </w:lvl>
  </w:abstractNum>
  <w:abstractNum w:abstractNumId="7" w15:restartNumberingAfterBreak="0">
    <w:nsid w:val="4C8A1377"/>
    <w:multiLevelType w:val="hybridMultilevel"/>
    <w:tmpl w:val="D72C479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8F43F16"/>
    <w:multiLevelType w:val="hybridMultilevel"/>
    <w:tmpl w:val="8D1AB136"/>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B104A96"/>
    <w:multiLevelType w:val="hybridMultilevel"/>
    <w:tmpl w:val="EA2A0F6A"/>
    <w:lvl w:ilvl="0" w:tplc="7004B75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708B5B7C"/>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948779781">
    <w:abstractNumId w:val="3"/>
  </w:num>
  <w:num w:numId="2" w16cid:durableId="19822139">
    <w:abstractNumId w:val="1"/>
  </w:num>
  <w:num w:numId="3" w16cid:durableId="909074849">
    <w:abstractNumId w:val="9"/>
  </w:num>
  <w:num w:numId="4" w16cid:durableId="700783666">
    <w:abstractNumId w:val="5"/>
  </w:num>
  <w:num w:numId="5" w16cid:durableId="939681132">
    <w:abstractNumId w:val="4"/>
  </w:num>
  <w:num w:numId="6" w16cid:durableId="1746608719">
    <w:abstractNumId w:val="0"/>
  </w:num>
  <w:num w:numId="7" w16cid:durableId="1623270066">
    <w:abstractNumId w:val="10"/>
  </w:num>
  <w:num w:numId="8" w16cid:durableId="1614480891">
    <w:abstractNumId w:val="2"/>
  </w:num>
  <w:num w:numId="9" w16cid:durableId="876813715">
    <w:abstractNumId w:val="6"/>
  </w:num>
  <w:num w:numId="10" w16cid:durableId="1551847127">
    <w:abstractNumId w:val="7"/>
  </w:num>
  <w:num w:numId="11" w16cid:durableId="3233623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29AF"/>
    <w:rsid w:val="00005C5B"/>
    <w:rsid w:val="00006C96"/>
    <w:rsid w:val="00011723"/>
    <w:rsid w:val="00015F3C"/>
    <w:rsid w:val="00016C9F"/>
    <w:rsid w:val="0002069E"/>
    <w:rsid w:val="00030FA9"/>
    <w:rsid w:val="0003313C"/>
    <w:rsid w:val="00033622"/>
    <w:rsid w:val="000342DF"/>
    <w:rsid w:val="000376A2"/>
    <w:rsid w:val="000429AA"/>
    <w:rsid w:val="00044964"/>
    <w:rsid w:val="00045C9E"/>
    <w:rsid w:val="00052EE1"/>
    <w:rsid w:val="00057652"/>
    <w:rsid w:val="000611B9"/>
    <w:rsid w:val="00073392"/>
    <w:rsid w:val="00073DB3"/>
    <w:rsid w:val="000901AC"/>
    <w:rsid w:val="0009044B"/>
    <w:rsid w:val="00090C92"/>
    <w:rsid w:val="000A3617"/>
    <w:rsid w:val="000A57A9"/>
    <w:rsid w:val="000A6EE3"/>
    <w:rsid w:val="000B6F6D"/>
    <w:rsid w:val="000C100B"/>
    <w:rsid w:val="000C117A"/>
    <w:rsid w:val="000C7279"/>
    <w:rsid w:val="000D1D69"/>
    <w:rsid w:val="000E0CBA"/>
    <w:rsid w:val="000E441B"/>
    <w:rsid w:val="000E6803"/>
    <w:rsid w:val="000E6850"/>
    <w:rsid w:val="000E7640"/>
    <w:rsid w:val="000F361C"/>
    <w:rsid w:val="000F4CEA"/>
    <w:rsid w:val="000F6317"/>
    <w:rsid w:val="00102897"/>
    <w:rsid w:val="00102CA8"/>
    <w:rsid w:val="00105A5E"/>
    <w:rsid w:val="001062BE"/>
    <w:rsid w:val="00112673"/>
    <w:rsid w:val="001157F0"/>
    <w:rsid w:val="00120DBE"/>
    <w:rsid w:val="00127233"/>
    <w:rsid w:val="001332CB"/>
    <w:rsid w:val="00133859"/>
    <w:rsid w:val="0014510C"/>
    <w:rsid w:val="00147189"/>
    <w:rsid w:val="0015046C"/>
    <w:rsid w:val="00155B32"/>
    <w:rsid w:val="00157613"/>
    <w:rsid w:val="00157E9F"/>
    <w:rsid w:val="001605B9"/>
    <w:rsid w:val="001619EF"/>
    <w:rsid w:val="00161FA6"/>
    <w:rsid w:val="00165E51"/>
    <w:rsid w:val="001704CC"/>
    <w:rsid w:val="001705DA"/>
    <w:rsid w:val="00174522"/>
    <w:rsid w:val="00177A73"/>
    <w:rsid w:val="00177D8E"/>
    <w:rsid w:val="00185930"/>
    <w:rsid w:val="0018763A"/>
    <w:rsid w:val="001920F0"/>
    <w:rsid w:val="0019389F"/>
    <w:rsid w:val="00197C79"/>
    <w:rsid w:val="001A1131"/>
    <w:rsid w:val="001A661E"/>
    <w:rsid w:val="001B368A"/>
    <w:rsid w:val="001B74DC"/>
    <w:rsid w:val="001C0F63"/>
    <w:rsid w:val="001C2AFF"/>
    <w:rsid w:val="001C4AFC"/>
    <w:rsid w:val="001D2001"/>
    <w:rsid w:val="001E0DBB"/>
    <w:rsid w:val="001E468D"/>
    <w:rsid w:val="001E5744"/>
    <w:rsid w:val="001F1091"/>
    <w:rsid w:val="001F7F95"/>
    <w:rsid w:val="00202996"/>
    <w:rsid w:val="0020655F"/>
    <w:rsid w:val="00223CC8"/>
    <w:rsid w:val="0024149D"/>
    <w:rsid w:val="0024797F"/>
    <w:rsid w:val="00247E73"/>
    <w:rsid w:val="00261794"/>
    <w:rsid w:val="0026539A"/>
    <w:rsid w:val="00271F64"/>
    <w:rsid w:val="002727A4"/>
    <w:rsid w:val="00273710"/>
    <w:rsid w:val="002738F5"/>
    <w:rsid w:val="002740B0"/>
    <w:rsid w:val="00280BE0"/>
    <w:rsid w:val="00286DCA"/>
    <w:rsid w:val="00287C4C"/>
    <w:rsid w:val="002951A0"/>
    <w:rsid w:val="0029529F"/>
    <w:rsid w:val="002A5A2D"/>
    <w:rsid w:val="002A64FD"/>
    <w:rsid w:val="002B6363"/>
    <w:rsid w:val="002C1E2B"/>
    <w:rsid w:val="002C349C"/>
    <w:rsid w:val="002C500D"/>
    <w:rsid w:val="002C5E84"/>
    <w:rsid w:val="002D4E81"/>
    <w:rsid w:val="002D5CEC"/>
    <w:rsid w:val="002D6E11"/>
    <w:rsid w:val="002E1E87"/>
    <w:rsid w:val="002F14A8"/>
    <w:rsid w:val="002F1891"/>
    <w:rsid w:val="002F3960"/>
    <w:rsid w:val="00302744"/>
    <w:rsid w:val="00311E9B"/>
    <w:rsid w:val="003128DD"/>
    <w:rsid w:val="00315DA5"/>
    <w:rsid w:val="0031797A"/>
    <w:rsid w:val="00317DF7"/>
    <w:rsid w:val="003211A8"/>
    <w:rsid w:val="00325068"/>
    <w:rsid w:val="00326D2A"/>
    <w:rsid w:val="00332DF6"/>
    <w:rsid w:val="00337C19"/>
    <w:rsid w:val="00340FB6"/>
    <w:rsid w:val="00350B77"/>
    <w:rsid w:val="00350EC8"/>
    <w:rsid w:val="00355CEA"/>
    <w:rsid w:val="003630BA"/>
    <w:rsid w:val="0036575C"/>
    <w:rsid w:val="00367BC4"/>
    <w:rsid w:val="003748DA"/>
    <w:rsid w:val="00381DAF"/>
    <w:rsid w:val="0038212D"/>
    <w:rsid w:val="00384A55"/>
    <w:rsid w:val="00394C98"/>
    <w:rsid w:val="003A53CC"/>
    <w:rsid w:val="003B172C"/>
    <w:rsid w:val="003B192E"/>
    <w:rsid w:val="003B455C"/>
    <w:rsid w:val="003B5D17"/>
    <w:rsid w:val="003B652A"/>
    <w:rsid w:val="003C0266"/>
    <w:rsid w:val="003C22FF"/>
    <w:rsid w:val="003C4AF5"/>
    <w:rsid w:val="003D0F4D"/>
    <w:rsid w:val="003F1B64"/>
    <w:rsid w:val="003F20D9"/>
    <w:rsid w:val="003F364D"/>
    <w:rsid w:val="00411471"/>
    <w:rsid w:val="00416AF4"/>
    <w:rsid w:val="00430EF2"/>
    <w:rsid w:val="00436EEF"/>
    <w:rsid w:val="00440AB9"/>
    <w:rsid w:val="00443AA4"/>
    <w:rsid w:val="00450BB7"/>
    <w:rsid w:val="00450F3B"/>
    <w:rsid w:val="00452FEF"/>
    <w:rsid w:val="004573DE"/>
    <w:rsid w:val="004727E7"/>
    <w:rsid w:val="00472908"/>
    <w:rsid w:val="004778FF"/>
    <w:rsid w:val="00490369"/>
    <w:rsid w:val="00492C65"/>
    <w:rsid w:val="004A1847"/>
    <w:rsid w:val="004A55AD"/>
    <w:rsid w:val="004A7AC1"/>
    <w:rsid w:val="004B22FB"/>
    <w:rsid w:val="004B5497"/>
    <w:rsid w:val="004B55F5"/>
    <w:rsid w:val="004C1905"/>
    <w:rsid w:val="004C5D85"/>
    <w:rsid w:val="004C5FEF"/>
    <w:rsid w:val="004D2760"/>
    <w:rsid w:val="004D614B"/>
    <w:rsid w:val="004D7845"/>
    <w:rsid w:val="004E0C3B"/>
    <w:rsid w:val="004E1B20"/>
    <w:rsid w:val="004E3274"/>
    <w:rsid w:val="004E4AE9"/>
    <w:rsid w:val="004F0492"/>
    <w:rsid w:val="004F0B24"/>
    <w:rsid w:val="004F76C5"/>
    <w:rsid w:val="0050314B"/>
    <w:rsid w:val="005037A4"/>
    <w:rsid w:val="00510520"/>
    <w:rsid w:val="00534A50"/>
    <w:rsid w:val="005358C0"/>
    <w:rsid w:val="005413CC"/>
    <w:rsid w:val="0054322B"/>
    <w:rsid w:val="00543A02"/>
    <w:rsid w:val="00554061"/>
    <w:rsid w:val="005566E8"/>
    <w:rsid w:val="005574CA"/>
    <w:rsid w:val="0057211C"/>
    <w:rsid w:val="00574913"/>
    <w:rsid w:val="005773E8"/>
    <w:rsid w:val="0058027E"/>
    <w:rsid w:val="005859BA"/>
    <w:rsid w:val="00587A2C"/>
    <w:rsid w:val="005920AE"/>
    <w:rsid w:val="005A17AE"/>
    <w:rsid w:val="005A5489"/>
    <w:rsid w:val="005A5C10"/>
    <w:rsid w:val="005A7315"/>
    <w:rsid w:val="005A74A5"/>
    <w:rsid w:val="005A7715"/>
    <w:rsid w:val="005B0225"/>
    <w:rsid w:val="005B4C0A"/>
    <w:rsid w:val="005B553F"/>
    <w:rsid w:val="005B634F"/>
    <w:rsid w:val="005C1C84"/>
    <w:rsid w:val="005C5D99"/>
    <w:rsid w:val="005C62BB"/>
    <w:rsid w:val="005C65E8"/>
    <w:rsid w:val="005C66A3"/>
    <w:rsid w:val="005C7725"/>
    <w:rsid w:val="005D0E55"/>
    <w:rsid w:val="005D6643"/>
    <w:rsid w:val="005E11E8"/>
    <w:rsid w:val="005E21BB"/>
    <w:rsid w:val="005E3506"/>
    <w:rsid w:val="005F0534"/>
    <w:rsid w:val="005F3F4B"/>
    <w:rsid w:val="005F44E4"/>
    <w:rsid w:val="00602595"/>
    <w:rsid w:val="00602712"/>
    <w:rsid w:val="00613742"/>
    <w:rsid w:val="006219F8"/>
    <w:rsid w:val="00622574"/>
    <w:rsid w:val="006244A4"/>
    <w:rsid w:val="006267CA"/>
    <w:rsid w:val="00632268"/>
    <w:rsid w:val="00641E24"/>
    <w:rsid w:val="0064473D"/>
    <w:rsid w:val="00647100"/>
    <w:rsid w:val="00652BEA"/>
    <w:rsid w:val="00662025"/>
    <w:rsid w:val="0066546F"/>
    <w:rsid w:val="00671014"/>
    <w:rsid w:val="00672EC2"/>
    <w:rsid w:val="00675043"/>
    <w:rsid w:val="00680543"/>
    <w:rsid w:val="006806AF"/>
    <w:rsid w:val="006822B7"/>
    <w:rsid w:val="00687243"/>
    <w:rsid w:val="006917FA"/>
    <w:rsid w:val="00694A92"/>
    <w:rsid w:val="0069673C"/>
    <w:rsid w:val="006A5EDE"/>
    <w:rsid w:val="006B656C"/>
    <w:rsid w:val="006B7614"/>
    <w:rsid w:val="006C280C"/>
    <w:rsid w:val="006C2D9D"/>
    <w:rsid w:val="006C6BF6"/>
    <w:rsid w:val="006D2C7B"/>
    <w:rsid w:val="006D671C"/>
    <w:rsid w:val="006E2EDF"/>
    <w:rsid w:val="006E74D3"/>
    <w:rsid w:val="006E7653"/>
    <w:rsid w:val="006F15B3"/>
    <w:rsid w:val="006F194E"/>
    <w:rsid w:val="00701558"/>
    <w:rsid w:val="00714037"/>
    <w:rsid w:val="00715A1B"/>
    <w:rsid w:val="00722A90"/>
    <w:rsid w:val="00722DE8"/>
    <w:rsid w:val="00723F3B"/>
    <w:rsid w:val="00726DFD"/>
    <w:rsid w:val="00730C11"/>
    <w:rsid w:val="007367DF"/>
    <w:rsid w:val="007377CC"/>
    <w:rsid w:val="00737800"/>
    <w:rsid w:val="00740D45"/>
    <w:rsid w:val="00741E40"/>
    <w:rsid w:val="0074293B"/>
    <w:rsid w:val="007430F6"/>
    <w:rsid w:val="00744D25"/>
    <w:rsid w:val="007450BA"/>
    <w:rsid w:val="00754CFD"/>
    <w:rsid w:val="00755E2A"/>
    <w:rsid w:val="00756877"/>
    <w:rsid w:val="0076185E"/>
    <w:rsid w:val="00763684"/>
    <w:rsid w:val="00780972"/>
    <w:rsid w:val="00782B79"/>
    <w:rsid w:val="00787E9B"/>
    <w:rsid w:val="00791066"/>
    <w:rsid w:val="007928FC"/>
    <w:rsid w:val="007956CD"/>
    <w:rsid w:val="007969B1"/>
    <w:rsid w:val="007A71E7"/>
    <w:rsid w:val="007A72A3"/>
    <w:rsid w:val="007B5997"/>
    <w:rsid w:val="007B5BBB"/>
    <w:rsid w:val="007C2C23"/>
    <w:rsid w:val="007C55A2"/>
    <w:rsid w:val="007D6E60"/>
    <w:rsid w:val="007E2BB3"/>
    <w:rsid w:val="007E3C61"/>
    <w:rsid w:val="007F0D17"/>
    <w:rsid w:val="007F2714"/>
    <w:rsid w:val="00801D99"/>
    <w:rsid w:val="00804158"/>
    <w:rsid w:val="00804251"/>
    <w:rsid w:val="00804754"/>
    <w:rsid w:val="00820527"/>
    <w:rsid w:val="00824B67"/>
    <w:rsid w:val="00827EAB"/>
    <w:rsid w:val="00831F9F"/>
    <w:rsid w:val="00834D8A"/>
    <w:rsid w:val="0084299B"/>
    <w:rsid w:val="00842A30"/>
    <w:rsid w:val="008453C0"/>
    <w:rsid w:val="00845710"/>
    <w:rsid w:val="00846E11"/>
    <w:rsid w:val="00850F8B"/>
    <w:rsid w:val="008557DE"/>
    <w:rsid w:val="00857CA4"/>
    <w:rsid w:val="008602E9"/>
    <w:rsid w:val="00864AFE"/>
    <w:rsid w:val="00864FD7"/>
    <w:rsid w:val="00875B8A"/>
    <w:rsid w:val="00876068"/>
    <w:rsid w:val="00876E88"/>
    <w:rsid w:val="00881957"/>
    <w:rsid w:val="0089041B"/>
    <w:rsid w:val="008A7E39"/>
    <w:rsid w:val="008B2FED"/>
    <w:rsid w:val="008B3179"/>
    <w:rsid w:val="008B4670"/>
    <w:rsid w:val="008B6B98"/>
    <w:rsid w:val="008C2D63"/>
    <w:rsid w:val="008C2EE2"/>
    <w:rsid w:val="008C4C47"/>
    <w:rsid w:val="008D2E9B"/>
    <w:rsid w:val="008D613B"/>
    <w:rsid w:val="00905165"/>
    <w:rsid w:val="00905423"/>
    <w:rsid w:val="00921DE6"/>
    <w:rsid w:val="0092368C"/>
    <w:rsid w:val="00924882"/>
    <w:rsid w:val="00925674"/>
    <w:rsid w:val="00930097"/>
    <w:rsid w:val="009369AB"/>
    <w:rsid w:val="00942B72"/>
    <w:rsid w:val="0094303B"/>
    <w:rsid w:val="00952CDB"/>
    <w:rsid w:val="00955BFA"/>
    <w:rsid w:val="00957B1C"/>
    <w:rsid w:val="00961429"/>
    <w:rsid w:val="009717B6"/>
    <w:rsid w:val="00971C69"/>
    <w:rsid w:val="009778F9"/>
    <w:rsid w:val="00983DE9"/>
    <w:rsid w:val="00987F2B"/>
    <w:rsid w:val="00994E01"/>
    <w:rsid w:val="00997AC4"/>
    <w:rsid w:val="009B3AEB"/>
    <w:rsid w:val="009B58F3"/>
    <w:rsid w:val="009C2754"/>
    <w:rsid w:val="009C3475"/>
    <w:rsid w:val="009C37D7"/>
    <w:rsid w:val="009C5278"/>
    <w:rsid w:val="009D075D"/>
    <w:rsid w:val="009D0C9A"/>
    <w:rsid w:val="009D5330"/>
    <w:rsid w:val="009E081D"/>
    <w:rsid w:val="009E0B77"/>
    <w:rsid w:val="009E70FB"/>
    <w:rsid w:val="009F1E8D"/>
    <w:rsid w:val="009F1FCB"/>
    <w:rsid w:val="009F64DA"/>
    <w:rsid w:val="00A01D89"/>
    <w:rsid w:val="00A037B8"/>
    <w:rsid w:val="00A05E1B"/>
    <w:rsid w:val="00A06075"/>
    <w:rsid w:val="00A21E0B"/>
    <w:rsid w:val="00A27A7D"/>
    <w:rsid w:val="00A27C89"/>
    <w:rsid w:val="00A45B81"/>
    <w:rsid w:val="00A52403"/>
    <w:rsid w:val="00A52A27"/>
    <w:rsid w:val="00A553A4"/>
    <w:rsid w:val="00A65DD4"/>
    <w:rsid w:val="00A71987"/>
    <w:rsid w:val="00A7543D"/>
    <w:rsid w:val="00A76067"/>
    <w:rsid w:val="00A82876"/>
    <w:rsid w:val="00A84864"/>
    <w:rsid w:val="00A949D0"/>
    <w:rsid w:val="00AA54AC"/>
    <w:rsid w:val="00AA6ABB"/>
    <w:rsid w:val="00AB0E0F"/>
    <w:rsid w:val="00AB3E14"/>
    <w:rsid w:val="00AC0E60"/>
    <w:rsid w:val="00AC40F8"/>
    <w:rsid w:val="00AD1802"/>
    <w:rsid w:val="00AD4FC7"/>
    <w:rsid w:val="00AD5AAB"/>
    <w:rsid w:val="00AD7300"/>
    <w:rsid w:val="00AE232B"/>
    <w:rsid w:val="00AE2B13"/>
    <w:rsid w:val="00AE3788"/>
    <w:rsid w:val="00AE516E"/>
    <w:rsid w:val="00AF110F"/>
    <w:rsid w:val="00AF16DC"/>
    <w:rsid w:val="00AF32CA"/>
    <w:rsid w:val="00B0068F"/>
    <w:rsid w:val="00B016A2"/>
    <w:rsid w:val="00B01C8E"/>
    <w:rsid w:val="00B04BC3"/>
    <w:rsid w:val="00B1068A"/>
    <w:rsid w:val="00B13E67"/>
    <w:rsid w:val="00B167BA"/>
    <w:rsid w:val="00B17E7E"/>
    <w:rsid w:val="00B235CE"/>
    <w:rsid w:val="00B246B5"/>
    <w:rsid w:val="00B25F22"/>
    <w:rsid w:val="00B26F7A"/>
    <w:rsid w:val="00B35F6D"/>
    <w:rsid w:val="00B4098E"/>
    <w:rsid w:val="00B5433C"/>
    <w:rsid w:val="00B6518B"/>
    <w:rsid w:val="00B65A58"/>
    <w:rsid w:val="00B719D1"/>
    <w:rsid w:val="00B71E6A"/>
    <w:rsid w:val="00B71F90"/>
    <w:rsid w:val="00B74B70"/>
    <w:rsid w:val="00B770C3"/>
    <w:rsid w:val="00B85CFA"/>
    <w:rsid w:val="00B86A03"/>
    <w:rsid w:val="00B93DBE"/>
    <w:rsid w:val="00B95F68"/>
    <w:rsid w:val="00BA7513"/>
    <w:rsid w:val="00BB0041"/>
    <w:rsid w:val="00BB3833"/>
    <w:rsid w:val="00BB64CD"/>
    <w:rsid w:val="00BC26D9"/>
    <w:rsid w:val="00BC3059"/>
    <w:rsid w:val="00BD179E"/>
    <w:rsid w:val="00BD3B1F"/>
    <w:rsid w:val="00BE5065"/>
    <w:rsid w:val="00BF0476"/>
    <w:rsid w:val="00BF1184"/>
    <w:rsid w:val="00BF2C54"/>
    <w:rsid w:val="00BF41BC"/>
    <w:rsid w:val="00C00A52"/>
    <w:rsid w:val="00C028B2"/>
    <w:rsid w:val="00C110BF"/>
    <w:rsid w:val="00C1127C"/>
    <w:rsid w:val="00C12335"/>
    <w:rsid w:val="00C169AA"/>
    <w:rsid w:val="00C26495"/>
    <w:rsid w:val="00C371AB"/>
    <w:rsid w:val="00C45B9F"/>
    <w:rsid w:val="00C50703"/>
    <w:rsid w:val="00C55D3F"/>
    <w:rsid w:val="00C61517"/>
    <w:rsid w:val="00C669FC"/>
    <w:rsid w:val="00C702A3"/>
    <w:rsid w:val="00C751D9"/>
    <w:rsid w:val="00C754BE"/>
    <w:rsid w:val="00C8442A"/>
    <w:rsid w:val="00C85557"/>
    <w:rsid w:val="00C86F6F"/>
    <w:rsid w:val="00C9130A"/>
    <w:rsid w:val="00C92FAC"/>
    <w:rsid w:val="00C96E18"/>
    <w:rsid w:val="00C97538"/>
    <w:rsid w:val="00CA4D29"/>
    <w:rsid w:val="00CB220F"/>
    <w:rsid w:val="00CC07B2"/>
    <w:rsid w:val="00CC1B26"/>
    <w:rsid w:val="00CC5646"/>
    <w:rsid w:val="00CC7E8B"/>
    <w:rsid w:val="00CD0D0F"/>
    <w:rsid w:val="00CD50F1"/>
    <w:rsid w:val="00CD597C"/>
    <w:rsid w:val="00CE3C9B"/>
    <w:rsid w:val="00CF31A1"/>
    <w:rsid w:val="00CF48F7"/>
    <w:rsid w:val="00CF7822"/>
    <w:rsid w:val="00D02469"/>
    <w:rsid w:val="00D029CB"/>
    <w:rsid w:val="00D02BC5"/>
    <w:rsid w:val="00D055D0"/>
    <w:rsid w:val="00D0600F"/>
    <w:rsid w:val="00D14D90"/>
    <w:rsid w:val="00D17396"/>
    <w:rsid w:val="00D2009B"/>
    <w:rsid w:val="00D20573"/>
    <w:rsid w:val="00D2546C"/>
    <w:rsid w:val="00D4742B"/>
    <w:rsid w:val="00D607F5"/>
    <w:rsid w:val="00D62CE6"/>
    <w:rsid w:val="00D66863"/>
    <w:rsid w:val="00D74F7B"/>
    <w:rsid w:val="00D77249"/>
    <w:rsid w:val="00D8154C"/>
    <w:rsid w:val="00D826FA"/>
    <w:rsid w:val="00D84B98"/>
    <w:rsid w:val="00D87979"/>
    <w:rsid w:val="00D93385"/>
    <w:rsid w:val="00D95A05"/>
    <w:rsid w:val="00D972CC"/>
    <w:rsid w:val="00DA1818"/>
    <w:rsid w:val="00DB31CF"/>
    <w:rsid w:val="00DB36CB"/>
    <w:rsid w:val="00DB4D8D"/>
    <w:rsid w:val="00DD566E"/>
    <w:rsid w:val="00DD759F"/>
    <w:rsid w:val="00DE10F9"/>
    <w:rsid w:val="00DF267D"/>
    <w:rsid w:val="00DF2DD4"/>
    <w:rsid w:val="00DF580C"/>
    <w:rsid w:val="00E00641"/>
    <w:rsid w:val="00E00D89"/>
    <w:rsid w:val="00E03B67"/>
    <w:rsid w:val="00E07271"/>
    <w:rsid w:val="00E1422B"/>
    <w:rsid w:val="00E20894"/>
    <w:rsid w:val="00E26FBC"/>
    <w:rsid w:val="00E31444"/>
    <w:rsid w:val="00E3250E"/>
    <w:rsid w:val="00E3592A"/>
    <w:rsid w:val="00E4222C"/>
    <w:rsid w:val="00E430E0"/>
    <w:rsid w:val="00E43AC7"/>
    <w:rsid w:val="00E5028F"/>
    <w:rsid w:val="00E54A02"/>
    <w:rsid w:val="00E56CE4"/>
    <w:rsid w:val="00E67DD6"/>
    <w:rsid w:val="00E71ADB"/>
    <w:rsid w:val="00E7786E"/>
    <w:rsid w:val="00E82E5E"/>
    <w:rsid w:val="00E83054"/>
    <w:rsid w:val="00E8331F"/>
    <w:rsid w:val="00E87175"/>
    <w:rsid w:val="00E947BF"/>
    <w:rsid w:val="00E95E9E"/>
    <w:rsid w:val="00E967A5"/>
    <w:rsid w:val="00EA1E57"/>
    <w:rsid w:val="00EA3983"/>
    <w:rsid w:val="00EA5904"/>
    <w:rsid w:val="00EA70E8"/>
    <w:rsid w:val="00EB0E7A"/>
    <w:rsid w:val="00EB4961"/>
    <w:rsid w:val="00EB5A88"/>
    <w:rsid w:val="00EC0188"/>
    <w:rsid w:val="00EC2ACC"/>
    <w:rsid w:val="00EC54EA"/>
    <w:rsid w:val="00EF2081"/>
    <w:rsid w:val="00EF4CAB"/>
    <w:rsid w:val="00F01510"/>
    <w:rsid w:val="00F04C2A"/>
    <w:rsid w:val="00F06F20"/>
    <w:rsid w:val="00F1443D"/>
    <w:rsid w:val="00F16213"/>
    <w:rsid w:val="00F2030E"/>
    <w:rsid w:val="00F21506"/>
    <w:rsid w:val="00F25158"/>
    <w:rsid w:val="00F26C43"/>
    <w:rsid w:val="00F27AA4"/>
    <w:rsid w:val="00F31BB9"/>
    <w:rsid w:val="00F3425F"/>
    <w:rsid w:val="00F349CF"/>
    <w:rsid w:val="00F37561"/>
    <w:rsid w:val="00F40CE2"/>
    <w:rsid w:val="00F41763"/>
    <w:rsid w:val="00F44E11"/>
    <w:rsid w:val="00F46501"/>
    <w:rsid w:val="00F5352B"/>
    <w:rsid w:val="00F53FB9"/>
    <w:rsid w:val="00F569B7"/>
    <w:rsid w:val="00F615C9"/>
    <w:rsid w:val="00F61784"/>
    <w:rsid w:val="00F6560D"/>
    <w:rsid w:val="00F65F88"/>
    <w:rsid w:val="00F76AFC"/>
    <w:rsid w:val="00F771A1"/>
    <w:rsid w:val="00F82A08"/>
    <w:rsid w:val="00F90D74"/>
    <w:rsid w:val="00F94AED"/>
    <w:rsid w:val="00F95101"/>
    <w:rsid w:val="00F96FBE"/>
    <w:rsid w:val="00FA3BF2"/>
    <w:rsid w:val="00FB1B9D"/>
    <w:rsid w:val="00FB3253"/>
    <w:rsid w:val="00FB49C4"/>
    <w:rsid w:val="00FD5DFC"/>
    <w:rsid w:val="00FE46F4"/>
    <w:rsid w:val="00FE5CB2"/>
    <w:rsid w:val="00FF4857"/>
    <w:rsid w:val="00FF78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docId w15:val="{010D3FCC-4873-4CBA-8298-1F5EA668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FBE"/>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link w:val="Ttulo1Car"/>
    <w:uiPriority w:val="1"/>
    <w:qFormat/>
    <w:rsid w:val="00DB31CF"/>
    <w:pPr>
      <w:widowControl w:val="0"/>
      <w:autoSpaceDE w:val="0"/>
      <w:autoSpaceDN w:val="0"/>
      <w:ind w:left="725" w:hanging="426"/>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nhideWhenUsed/>
    <w:qFormat/>
    <w:rsid w:val="006219F8"/>
    <w:rPr>
      <w:sz w:val="20"/>
      <w:szCs w:val="20"/>
    </w:rPr>
  </w:style>
  <w:style w:type="character" w:customStyle="1" w:styleId="TextonotapieCar1">
    <w:name w:val="Texto nota pie Car1"/>
    <w:aliases w:val="Footnote Text Char Char Char Char Car,Texto nota pie Car Car,Footnote Text Char Car,Footnote Text Char Char Char Char Char Char Char Char Car"/>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styleId="Hipervnculo">
    <w:name w:val="Hyperlink"/>
    <w:basedOn w:val="Fuentedeprrafopredeter"/>
    <w:uiPriority w:val="99"/>
    <w:unhideWhenUsed/>
    <w:rsid w:val="00715A1B"/>
    <w:rPr>
      <w:color w:val="0563C1" w:themeColor="hyperlink"/>
      <w:u w:val="single"/>
    </w:rPr>
  </w:style>
  <w:style w:type="character" w:styleId="Textoennegrita">
    <w:name w:val="Strong"/>
    <w:basedOn w:val="Fuentedeprrafopredeter"/>
    <w:uiPriority w:val="22"/>
    <w:qFormat/>
    <w:rsid w:val="00715A1B"/>
    <w:rPr>
      <w:b/>
      <w:bC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15A1B"/>
    <w:rPr>
      <w:rFonts w:ascii="Geomanist Light" w:hAnsi="Geomanist Light"/>
      <w:lang w:val="es-ES"/>
    </w:rPr>
  </w:style>
  <w:style w:type="paragraph" w:customStyle="1" w:styleId="Appelnotedebasde">
    <w:name w:val="Appel note de bas de..."/>
    <w:basedOn w:val="Normal"/>
    <w:link w:val="Refdenotaalpie"/>
    <w:rsid w:val="00715A1B"/>
    <w:pPr>
      <w:spacing w:after="160" w:line="240" w:lineRule="exact"/>
    </w:pPr>
    <w:rPr>
      <w:sz w:val="22"/>
      <w:vertAlign w:val="superscript"/>
    </w:rPr>
  </w:style>
  <w:style w:type="table" w:customStyle="1" w:styleId="Tablaconcuadrcula1">
    <w:name w:val="Tabla con cuadrícula1"/>
    <w:basedOn w:val="Tablanormal"/>
    <w:next w:val="Tablaconcuadrcula"/>
    <w:uiPriority w:val="59"/>
    <w:rsid w:val="00C123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C12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unhideWhenUsed/>
    <w:rsid w:val="00D93385"/>
    <w:rPr>
      <w:color w:val="F2F2F2"/>
      <w:u w:val="single"/>
    </w:rPr>
  </w:style>
  <w:style w:type="paragraph" w:customStyle="1" w:styleId="paragraph">
    <w:name w:val="paragraph"/>
    <w:basedOn w:val="Normal"/>
    <w:rsid w:val="00D93385"/>
    <w:pPr>
      <w:spacing w:before="100" w:beforeAutospacing="1" w:after="100" w:afterAutospacing="1"/>
    </w:pPr>
  </w:style>
  <w:style w:type="character" w:customStyle="1" w:styleId="eop">
    <w:name w:val="eop"/>
    <w:basedOn w:val="Fuentedeprrafopredeter"/>
    <w:rsid w:val="00D93385"/>
  </w:style>
  <w:style w:type="character" w:styleId="Mencinsinresolver">
    <w:name w:val="Unresolved Mention"/>
    <w:basedOn w:val="Fuentedeprrafopredeter"/>
    <w:uiPriority w:val="99"/>
    <w:semiHidden/>
    <w:unhideWhenUsed/>
    <w:rsid w:val="00317DF7"/>
    <w:rPr>
      <w:color w:val="605E5C"/>
      <w:shd w:val="clear" w:color="auto" w:fill="E1DFDD"/>
    </w:rPr>
  </w:style>
  <w:style w:type="paragraph" w:styleId="Revisin">
    <w:name w:val="Revision"/>
    <w:hidden/>
    <w:uiPriority w:val="99"/>
    <w:semiHidden/>
    <w:rsid w:val="00804251"/>
    <w:pPr>
      <w:spacing w:after="0" w:line="240" w:lineRule="auto"/>
    </w:pPr>
    <w:rPr>
      <w:sz w:val="24"/>
      <w:lang w:val="es-MX"/>
    </w:rPr>
  </w:style>
  <w:style w:type="character" w:styleId="Refdecomentario">
    <w:name w:val="annotation reference"/>
    <w:basedOn w:val="Fuentedeprrafopredeter"/>
    <w:uiPriority w:val="99"/>
    <w:semiHidden/>
    <w:unhideWhenUsed/>
    <w:rsid w:val="00F65F88"/>
    <w:rPr>
      <w:sz w:val="16"/>
      <w:szCs w:val="16"/>
    </w:rPr>
  </w:style>
  <w:style w:type="paragraph" w:styleId="Textocomentario">
    <w:name w:val="annotation text"/>
    <w:basedOn w:val="Normal"/>
    <w:link w:val="TextocomentarioCar"/>
    <w:uiPriority w:val="99"/>
    <w:unhideWhenUsed/>
    <w:rsid w:val="00F65F88"/>
    <w:rPr>
      <w:sz w:val="20"/>
      <w:szCs w:val="20"/>
    </w:rPr>
  </w:style>
  <w:style w:type="character" w:customStyle="1" w:styleId="TextocomentarioCar">
    <w:name w:val="Texto comentario Car"/>
    <w:basedOn w:val="Fuentedeprrafopredeter"/>
    <w:link w:val="Textocomentario"/>
    <w:uiPriority w:val="99"/>
    <w:rsid w:val="00F65F88"/>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F65F88"/>
    <w:rPr>
      <w:b/>
      <w:bCs/>
    </w:rPr>
  </w:style>
  <w:style w:type="character" w:customStyle="1" w:styleId="AsuntodelcomentarioCar">
    <w:name w:val="Asunto del comentario Car"/>
    <w:basedOn w:val="TextocomentarioCar"/>
    <w:link w:val="Asuntodelcomentario"/>
    <w:uiPriority w:val="99"/>
    <w:semiHidden/>
    <w:rsid w:val="00F65F88"/>
    <w:rPr>
      <w:b/>
      <w:bCs/>
      <w:sz w:val="20"/>
      <w:szCs w:val="20"/>
      <w:lang w:val="es-MX"/>
    </w:rPr>
  </w:style>
  <w:style w:type="paragraph" w:styleId="NormalWeb">
    <w:name w:val="Normal (Web)"/>
    <w:basedOn w:val="Normal"/>
    <w:link w:val="NormalWebCar"/>
    <w:uiPriority w:val="99"/>
    <w:unhideWhenUsed/>
    <w:rsid w:val="00332DF6"/>
    <w:pPr>
      <w:spacing w:before="100" w:beforeAutospacing="1" w:after="100" w:afterAutospacing="1"/>
    </w:pPr>
  </w:style>
  <w:style w:type="character" w:customStyle="1" w:styleId="baj">
    <w:name w:val="b_aj"/>
    <w:basedOn w:val="Fuentedeprrafopredeter"/>
    <w:rsid w:val="00332DF6"/>
  </w:style>
  <w:style w:type="paragraph" w:customStyle="1" w:styleId="xmsonormal">
    <w:name w:val="x_msonormal"/>
    <w:basedOn w:val="Normal"/>
    <w:rsid w:val="00E31444"/>
    <w:pPr>
      <w:spacing w:before="100" w:beforeAutospacing="1" w:after="100" w:afterAutospacing="1"/>
    </w:pPr>
  </w:style>
  <w:style w:type="character" w:customStyle="1" w:styleId="Ttulo1Car">
    <w:name w:val="Título 1 Car"/>
    <w:basedOn w:val="Fuentedeprrafopredeter"/>
    <w:link w:val="Ttulo1"/>
    <w:uiPriority w:val="1"/>
    <w:rsid w:val="00DB31CF"/>
    <w:rPr>
      <w:rFonts w:ascii="Arial" w:eastAsia="Arial" w:hAnsi="Arial" w:cs="Arial"/>
      <w:b/>
      <w:bCs/>
      <w:lang w:val="es-ES"/>
    </w:rPr>
  </w:style>
  <w:style w:type="paragraph" w:styleId="Textoindependiente">
    <w:name w:val="Body Text"/>
    <w:basedOn w:val="Normal"/>
    <w:link w:val="TextoindependienteCar"/>
    <w:uiPriority w:val="1"/>
    <w:qFormat/>
    <w:rsid w:val="00DB31CF"/>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DB31CF"/>
    <w:rPr>
      <w:rFonts w:ascii="Arial" w:eastAsia="Arial" w:hAnsi="Arial" w:cs="Arial"/>
      <w:lang w:val="es-ES"/>
    </w:rPr>
  </w:style>
  <w:style w:type="paragraph" w:styleId="Sinespaciado">
    <w:name w:val="No Spacing"/>
    <w:aliases w:val="No Indent"/>
    <w:link w:val="SinespaciadoCar"/>
    <w:uiPriority w:val="3"/>
    <w:qFormat/>
    <w:rsid w:val="00DB31CF"/>
    <w:pPr>
      <w:spacing w:after="0" w:line="240" w:lineRule="auto"/>
    </w:pPr>
    <w:rPr>
      <w:sz w:val="24"/>
      <w:lang w:val="es-MX"/>
    </w:rPr>
  </w:style>
  <w:style w:type="character" w:customStyle="1" w:styleId="SinespaciadoCar">
    <w:name w:val="Sin espaciado Car"/>
    <w:aliases w:val="No Indent Car"/>
    <w:link w:val="Sinespaciado"/>
    <w:uiPriority w:val="3"/>
    <w:rsid w:val="00DB31CF"/>
    <w:rPr>
      <w:sz w:val="24"/>
      <w:lang w:val="es-MX"/>
    </w:rPr>
  </w:style>
  <w:style w:type="character" w:styleId="nfasis">
    <w:name w:val="Emphasis"/>
    <w:basedOn w:val="Fuentedeprrafopredeter"/>
    <w:uiPriority w:val="20"/>
    <w:qFormat/>
    <w:rsid w:val="004D7845"/>
    <w:rPr>
      <w:i/>
      <w:iCs/>
    </w:rPr>
  </w:style>
  <w:style w:type="paragraph" w:customStyle="1" w:styleId="pa4">
    <w:name w:val="pa4"/>
    <w:basedOn w:val="Normal"/>
    <w:rsid w:val="00A553A4"/>
    <w:pPr>
      <w:autoSpaceDE w:val="0"/>
      <w:autoSpaceDN w:val="0"/>
    </w:pPr>
    <w:rPr>
      <w:lang w:val="es-ES" w:eastAsia="es-ES"/>
    </w:rPr>
  </w:style>
  <w:style w:type="character" w:customStyle="1" w:styleId="NormalWebCar">
    <w:name w:val="Normal (Web) Car"/>
    <w:link w:val="NormalWeb"/>
    <w:uiPriority w:val="99"/>
    <w:rsid w:val="002D6E11"/>
    <w:rPr>
      <w:rFonts w:ascii="Times New Roman" w:eastAsia="Times New Roman" w:hAnsi="Times New Roman" w:cs="Times New Roman"/>
      <w:sz w:val="24"/>
      <w:szCs w:val="24"/>
      <w:lang w:eastAsia="es-CO"/>
    </w:rPr>
  </w:style>
  <w:style w:type="paragraph" w:customStyle="1" w:styleId="Normal11pt">
    <w:name w:val="Normal + 11 pt"/>
    <w:aliases w:val="Negro,Justificado,Izquierda:  -0,95 cm,Derecha:  0,04 cm"/>
    <w:basedOn w:val="Normal"/>
    <w:uiPriority w:val="99"/>
    <w:rsid w:val="00E430E0"/>
    <w:pPr>
      <w:ind w:left="-540"/>
      <w:jc w:val="both"/>
    </w:pPr>
    <w:rPr>
      <w:rFonts w:ascii="Arial" w:hAnsi="Arial" w:cs="Arial"/>
      <w:color w:val="000000"/>
      <w:sz w:val="22"/>
      <w:lang w:val="es-ES_tradnl" w:eastAsia="es-ES"/>
    </w:rPr>
  </w:style>
  <w:style w:type="paragraph" w:customStyle="1" w:styleId="MIPARRAFONORMAL">
    <w:name w:val="MI PARRAFO NORMAL"/>
    <w:basedOn w:val="Textoindependiente"/>
    <w:rsid w:val="003F1B64"/>
    <w:pPr>
      <w:widowControl/>
      <w:spacing w:after="360" w:line="360" w:lineRule="auto"/>
      <w:jc w:val="both"/>
    </w:pPr>
    <w:rPr>
      <w:rFonts w:eastAsia="Times New Roman"/>
      <w:sz w:val="24"/>
      <w:lang w:eastAsia="es-ES"/>
    </w:rPr>
  </w:style>
  <w:style w:type="paragraph" w:styleId="Textoindependiente2">
    <w:name w:val="Body Text 2"/>
    <w:basedOn w:val="Normal"/>
    <w:link w:val="Textoindependiente2Car"/>
    <w:uiPriority w:val="99"/>
    <w:semiHidden/>
    <w:unhideWhenUsed/>
    <w:rsid w:val="003B192E"/>
    <w:pPr>
      <w:spacing w:after="120" w:line="480" w:lineRule="auto"/>
    </w:pPr>
  </w:style>
  <w:style w:type="character" w:customStyle="1" w:styleId="Textoindependiente2Car">
    <w:name w:val="Texto independiente 2 Car"/>
    <w:basedOn w:val="Fuentedeprrafopredeter"/>
    <w:link w:val="Textoindependiente2"/>
    <w:uiPriority w:val="99"/>
    <w:semiHidden/>
    <w:rsid w:val="003B192E"/>
    <w:rPr>
      <w:rFonts w:ascii="Times New Roman" w:eastAsia="Times New Roman" w:hAnsi="Times New Roman" w:cs="Times New Roman"/>
      <w:sz w:val="24"/>
      <w:szCs w:val="24"/>
      <w:lang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rsid w:val="00780972"/>
    <w:pPr>
      <w:jc w:val="both"/>
    </w:pPr>
    <w:rPr>
      <w:rFonts w:ascii="Calibri" w:eastAsia="Calibri" w:hAnsi="Calibr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3312">
      <w:bodyDiv w:val="1"/>
      <w:marLeft w:val="0"/>
      <w:marRight w:val="0"/>
      <w:marTop w:val="0"/>
      <w:marBottom w:val="0"/>
      <w:divBdr>
        <w:top w:val="none" w:sz="0" w:space="0" w:color="auto"/>
        <w:left w:val="none" w:sz="0" w:space="0" w:color="auto"/>
        <w:bottom w:val="none" w:sz="0" w:space="0" w:color="auto"/>
        <w:right w:val="none" w:sz="0" w:space="0" w:color="auto"/>
      </w:divBdr>
    </w:div>
    <w:div w:id="51121999">
      <w:bodyDiv w:val="1"/>
      <w:marLeft w:val="0"/>
      <w:marRight w:val="0"/>
      <w:marTop w:val="0"/>
      <w:marBottom w:val="0"/>
      <w:divBdr>
        <w:top w:val="none" w:sz="0" w:space="0" w:color="auto"/>
        <w:left w:val="none" w:sz="0" w:space="0" w:color="auto"/>
        <w:bottom w:val="none" w:sz="0" w:space="0" w:color="auto"/>
        <w:right w:val="none" w:sz="0" w:space="0" w:color="auto"/>
      </w:divBdr>
    </w:div>
    <w:div w:id="57750176">
      <w:bodyDiv w:val="1"/>
      <w:marLeft w:val="0"/>
      <w:marRight w:val="0"/>
      <w:marTop w:val="0"/>
      <w:marBottom w:val="0"/>
      <w:divBdr>
        <w:top w:val="none" w:sz="0" w:space="0" w:color="auto"/>
        <w:left w:val="none" w:sz="0" w:space="0" w:color="auto"/>
        <w:bottom w:val="none" w:sz="0" w:space="0" w:color="auto"/>
        <w:right w:val="none" w:sz="0" w:space="0" w:color="auto"/>
      </w:divBdr>
    </w:div>
    <w:div w:id="125122828">
      <w:bodyDiv w:val="1"/>
      <w:marLeft w:val="0"/>
      <w:marRight w:val="0"/>
      <w:marTop w:val="0"/>
      <w:marBottom w:val="0"/>
      <w:divBdr>
        <w:top w:val="none" w:sz="0" w:space="0" w:color="auto"/>
        <w:left w:val="none" w:sz="0" w:space="0" w:color="auto"/>
        <w:bottom w:val="none" w:sz="0" w:space="0" w:color="auto"/>
        <w:right w:val="none" w:sz="0" w:space="0" w:color="auto"/>
      </w:divBdr>
    </w:div>
    <w:div w:id="163329287">
      <w:bodyDiv w:val="1"/>
      <w:marLeft w:val="0"/>
      <w:marRight w:val="0"/>
      <w:marTop w:val="0"/>
      <w:marBottom w:val="0"/>
      <w:divBdr>
        <w:top w:val="none" w:sz="0" w:space="0" w:color="auto"/>
        <w:left w:val="none" w:sz="0" w:space="0" w:color="auto"/>
        <w:bottom w:val="none" w:sz="0" w:space="0" w:color="auto"/>
        <w:right w:val="none" w:sz="0" w:space="0" w:color="auto"/>
      </w:divBdr>
    </w:div>
    <w:div w:id="193152151">
      <w:bodyDiv w:val="1"/>
      <w:marLeft w:val="0"/>
      <w:marRight w:val="0"/>
      <w:marTop w:val="0"/>
      <w:marBottom w:val="0"/>
      <w:divBdr>
        <w:top w:val="none" w:sz="0" w:space="0" w:color="auto"/>
        <w:left w:val="none" w:sz="0" w:space="0" w:color="auto"/>
        <w:bottom w:val="none" w:sz="0" w:space="0" w:color="auto"/>
        <w:right w:val="none" w:sz="0" w:space="0" w:color="auto"/>
      </w:divBdr>
    </w:div>
    <w:div w:id="278142926">
      <w:bodyDiv w:val="1"/>
      <w:marLeft w:val="0"/>
      <w:marRight w:val="0"/>
      <w:marTop w:val="0"/>
      <w:marBottom w:val="0"/>
      <w:divBdr>
        <w:top w:val="none" w:sz="0" w:space="0" w:color="auto"/>
        <w:left w:val="none" w:sz="0" w:space="0" w:color="auto"/>
        <w:bottom w:val="none" w:sz="0" w:space="0" w:color="auto"/>
        <w:right w:val="none" w:sz="0" w:space="0" w:color="auto"/>
      </w:divBdr>
    </w:div>
    <w:div w:id="294410174">
      <w:bodyDiv w:val="1"/>
      <w:marLeft w:val="0"/>
      <w:marRight w:val="0"/>
      <w:marTop w:val="0"/>
      <w:marBottom w:val="0"/>
      <w:divBdr>
        <w:top w:val="none" w:sz="0" w:space="0" w:color="auto"/>
        <w:left w:val="none" w:sz="0" w:space="0" w:color="auto"/>
        <w:bottom w:val="none" w:sz="0" w:space="0" w:color="auto"/>
        <w:right w:val="none" w:sz="0" w:space="0" w:color="auto"/>
      </w:divBdr>
    </w:div>
    <w:div w:id="360128540">
      <w:bodyDiv w:val="1"/>
      <w:marLeft w:val="0"/>
      <w:marRight w:val="0"/>
      <w:marTop w:val="0"/>
      <w:marBottom w:val="0"/>
      <w:divBdr>
        <w:top w:val="none" w:sz="0" w:space="0" w:color="auto"/>
        <w:left w:val="none" w:sz="0" w:space="0" w:color="auto"/>
        <w:bottom w:val="none" w:sz="0" w:space="0" w:color="auto"/>
        <w:right w:val="none" w:sz="0" w:space="0" w:color="auto"/>
      </w:divBdr>
    </w:div>
    <w:div w:id="373045142">
      <w:bodyDiv w:val="1"/>
      <w:marLeft w:val="0"/>
      <w:marRight w:val="0"/>
      <w:marTop w:val="0"/>
      <w:marBottom w:val="0"/>
      <w:divBdr>
        <w:top w:val="none" w:sz="0" w:space="0" w:color="auto"/>
        <w:left w:val="none" w:sz="0" w:space="0" w:color="auto"/>
        <w:bottom w:val="none" w:sz="0" w:space="0" w:color="auto"/>
        <w:right w:val="none" w:sz="0" w:space="0" w:color="auto"/>
      </w:divBdr>
    </w:div>
    <w:div w:id="477914816">
      <w:bodyDiv w:val="1"/>
      <w:marLeft w:val="0"/>
      <w:marRight w:val="0"/>
      <w:marTop w:val="0"/>
      <w:marBottom w:val="0"/>
      <w:divBdr>
        <w:top w:val="none" w:sz="0" w:space="0" w:color="auto"/>
        <w:left w:val="none" w:sz="0" w:space="0" w:color="auto"/>
        <w:bottom w:val="none" w:sz="0" w:space="0" w:color="auto"/>
        <w:right w:val="none" w:sz="0" w:space="0" w:color="auto"/>
      </w:divBdr>
    </w:div>
    <w:div w:id="533008578">
      <w:bodyDiv w:val="1"/>
      <w:marLeft w:val="0"/>
      <w:marRight w:val="0"/>
      <w:marTop w:val="0"/>
      <w:marBottom w:val="0"/>
      <w:divBdr>
        <w:top w:val="none" w:sz="0" w:space="0" w:color="auto"/>
        <w:left w:val="none" w:sz="0" w:space="0" w:color="auto"/>
        <w:bottom w:val="none" w:sz="0" w:space="0" w:color="auto"/>
        <w:right w:val="none" w:sz="0" w:space="0" w:color="auto"/>
      </w:divBdr>
    </w:div>
    <w:div w:id="553929023">
      <w:bodyDiv w:val="1"/>
      <w:marLeft w:val="0"/>
      <w:marRight w:val="0"/>
      <w:marTop w:val="0"/>
      <w:marBottom w:val="0"/>
      <w:divBdr>
        <w:top w:val="none" w:sz="0" w:space="0" w:color="auto"/>
        <w:left w:val="none" w:sz="0" w:space="0" w:color="auto"/>
        <w:bottom w:val="none" w:sz="0" w:space="0" w:color="auto"/>
        <w:right w:val="none" w:sz="0" w:space="0" w:color="auto"/>
      </w:divBdr>
    </w:div>
    <w:div w:id="561408446">
      <w:bodyDiv w:val="1"/>
      <w:marLeft w:val="0"/>
      <w:marRight w:val="0"/>
      <w:marTop w:val="0"/>
      <w:marBottom w:val="0"/>
      <w:divBdr>
        <w:top w:val="none" w:sz="0" w:space="0" w:color="auto"/>
        <w:left w:val="none" w:sz="0" w:space="0" w:color="auto"/>
        <w:bottom w:val="none" w:sz="0" w:space="0" w:color="auto"/>
        <w:right w:val="none" w:sz="0" w:space="0" w:color="auto"/>
      </w:divBdr>
    </w:div>
    <w:div w:id="692269451">
      <w:bodyDiv w:val="1"/>
      <w:marLeft w:val="0"/>
      <w:marRight w:val="0"/>
      <w:marTop w:val="0"/>
      <w:marBottom w:val="0"/>
      <w:divBdr>
        <w:top w:val="none" w:sz="0" w:space="0" w:color="auto"/>
        <w:left w:val="none" w:sz="0" w:space="0" w:color="auto"/>
        <w:bottom w:val="none" w:sz="0" w:space="0" w:color="auto"/>
        <w:right w:val="none" w:sz="0" w:space="0" w:color="auto"/>
      </w:divBdr>
    </w:div>
    <w:div w:id="742869962">
      <w:bodyDiv w:val="1"/>
      <w:marLeft w:val="0"/>
      <w:marRight w:val="0"/>
      <w:marTop w:val="0"/>
      <w:marBottom w:val="0"/>
      <w:divBdr>
        <w:top w:val="none" w:sz="0" w:space="0" w:color="auto"/>
        <w:left w:val="none" w:sz="0" w:space="0" w:color="auto"/>
        <w:bottom w:val="none" w:sz="0" w:space="0" w:color="auto"/>
        <w:right w:val="none" w:sz="0" w:space="0" w:color="auto"/>
      </w:divBdr>
    </w:div>
    <w:div w:id="876969807">
      <w:bodyDiv w:val="1"/>
      <w:marLeft w:val="0"/>
      <w:marRight w:val="0"/>
      <w:marTop w:val="0"/>
      <w:marBottom w:val="0"/>
      <w:divBdr>
        <w:top w:val="none" w:sz="0" w:space="0" w:color="auto"/>
        <w:left w:val="none" w:sz="0" w:space="0" w:color="auto"/>
        <w:bottom w:val="none" w:sz="0" w:space="0" w:color="auto"/>
        <w:right w:val="none" w:sz="0" w:space="0" w:color="auto"/>
      </w:divBdr>
    </w:div>
    <w:div w:id="1236625059">
      <w:bodyDiv w:val="1"/>
      <w:marLeft w:val="0"/>
      <w:marRight w:val="0"/>
      <w:marTop w:val="0"/>
      <w:marBottom w:val="0"/>
      <w:divBdr>
        <w:top w:val="none" w:sz="0" w:space="0" w:color="auto"/>
        <w:left w:val="none" w:sz="0" w:space="0" w:color="auto"/>
        <w:bottom w:val="none" w:sz="0" w:space="0" w:color="auto"/>
        <w:right w:val="none" w:sz="0" w:space="0" w:color="auto"/>
      </w:divBdr>
    </w:div>
    <w:div w:id="1245064876">
      <w:bodyDiv w:val="1"/>
      <w:marLeft w:val="0"/>
      <w:marRight w:val="0"/>
      <w:marTop w:val="0"/>
      <w:marBottom w:val="0"/>
      <w:divBdr>
        <w:top w:val="none" w:sz="0" w:space="0" w:color="auto"/>
        <w:left w:val="none" w:sz="0" w:space="0" w:color="auto"/>
        <w:bottom w:val="none" w:sz="0" w:space="0" w:color="auto"/>
        <w:right w:val="none" w:sz="0" w:space="0" w:color="auto"/>
      </w:divBdr>
    </w:div>
    <w:div w:id="1281648886">
      <w:bodyDiv w:val="1"/>
      <w:marLeft w:val="0"/>
      <w:marRight w:val="0"/>
      <w:marTop w:val="0"/>
      <w:marBottom w:val="0"/>
      <w:divBdr>
        <w:top w:val="none" w:sz="0" w:space="0" w:color="auto"/>
        <w:left w:val="none" w:sz="0" w:space="0" w:color="auto"/>
        <w:bottom w:val="none" w:sz="0" w:space="0" w:color="auto"/>
        <w:right w:val="none" w:sz="0" w:space="0" w:color="auto"/>
      </w:divBdr>
    </w:div>
    <w:div w:id="1294483887">
      <w:bodyDiv w:val="1"/>
      <w:marLeft w:val="0"/>
      <w:marRight w:val="0"/>
      <w:marTop w:val="0"/>
      <w:marBottom w:val="0"/>
      <w:divBdr>
        <w:top w:val="none" w:sz="0" w:space="0" w:color="auto"/>
        <w:left w:val="none" w:sz="0" w:space="0" w:color="auto"/>
        <w:bottom w:val="none" w:sz="0" w:space="0" w:color="auto"/>
        <w:right w:val="none" w:sz="0" w:space="0" w:color="auto"/>
      </w:divBdr>
    </w:div>
    <w:div w:id="1338577398">
      <w:bodyDiv w:val="1"/>
      <w:marLeft w:val="0"/>
      <w:marRight w:val="0"/>
      <w:marTop w:val="0"/>
      <w:marBottom w:val="0"/>
      <w:divBdr>
        <w:top w:val="none" w:sz="0" w:space="0" w:color="auto"/>
        <w:left w:val="none" w:sz="0" w:space="0" w:color="auto"/>
        <w:bottom w:val="none" w:sz="0" w:space="0" w:color="auto"/>
        <w:right w:val="none" w:sz="0" w:space="0" w:color="auto"/>
      </w:divBdr>
    </w:div>
    <w:div w:id="1354576923">
      <w:bodyDiv w:val="1"/>
      <w:marLeft w:val="0"/>
      <w:marRight w:val="0"/>
      <w:marTop w:val="0"/>
      <w:marBottom w:val="0"/>
      <w:divBdr>
        <w:top w:val="none" w:sz="0" w:space="0" w:color="auto"/>
        <w:left w:val="none" w:sz="0" w:space="0" w:color="auto"/>
        <w:bottom w:val="none" w:sz="0" w:space="0" w:color="auto"/>
        <w:right w:val="none" w:sz="0" w:space="0" w:color="auto"/>
      </w:divBdr>
    </w:div>
    <w:div w:id="1354960904">
      <w:bodyDiv w:val="1"/>
      <w:marLeft w:val="0"/>
      <w:marRight w:val="0"/>
      <w:marTop w:val="0"/>
      <w:marBottom w:val="0"/>
      <w:divBdr>
        <w:top w:val="none" w:sz="0" w:space="0" w:color="auto"/>
        <w:left w:val="none" w:sz="0" w:space="0" w:color="auto"/>
        <w:bottom w:val="none" w:sz="0" w:space="0" w:color="auto"/>
        <w:right w:val="none" w:sz="0" w:space="0" w:color="auto"/>
      </w:divBdr>
    </w:div>
    <w:div w:id="1355154893">
      <w:bodyDiv w:val="1"/>
      <w:marLeft w:val="0"/>
      <w:marRight w:val="0"/>
      <w:marTop w:val="0"/>
      <w:marBottom w:val="0"/>
      <w:divBdr>
        <w:top w:val="none" w:sz="0" w:space="0" w:color="auto"/>
        <w:left w:val="none" w:sz="0" w:space="0" w:color="auto"/>
        <w:bottom w:val="none" w:sz="0" w:space="0" w:color="auto"/>
        <w:right w:val="none" w:sz="0" w:space="0" w:color="auto"/>
      </w:divBdr>
    </w:div>
    <w:div w:id="1423183881">
      <w:bodyDiv w:val="1"/>
      <w:marLeft w:val="0"/>
      <w:marRight w:val="0"/>
      <w:marTop w:val="0"/>
      <w:marBottom w:val="0"/>
      <w:divBdr>
        <w:top w:val="none" w:sz="0" w:space="0" w:color="auto"/>
        <w:left w:val="none" w:sz="0" w:space="0" w:color="auto"/>
        <w:bottom w:val="none" w:sz="0" w:space="0" w:color="auto"/>
        <w:right w:val="none" w:sz="0" w:space="0" w:color="auto"/>
      </w:divBdr>
    </w:div>
    <w:div w:id="1425226119">
      <w:bodyDiv w:val="1"/>
      <w:marLeft w:val="0"/>
      <w:marRight w:val="0"/>
      <w:marTop w:val="0"/>
      <w:marBottom w:val="0"/>
      <w:divBdr>
        <w:top w:val="none" w:sz="0" w:space="0" w:color="auto"/>
        <w:left w:val="none" w:sz="0" w:space="0" w:color="auto"/>
        <w:bottom w:val="none" w:sz="0" w:space="0" w:color="auto"/>
        <w:right w:val="none" w:sz="0" w:space="0" w:color="auto"/>
      </w:divBdr>
    </w:div>
    <w:div w:id="1455056594">
      <w:bodyDiv w:val="1"/>
      <w:marLeft w:val="0"/>
      <w:marRight w:val="0"/>
      <w:marTop w:val="0"/>
      <w:marBottom w:val="0"/>
      <w:divBdr>
        <w:top w:val="none" w:sz="0" w:space="0" w:color="auto"/>
        <w:left w:val="none" w:sz="0" w:space="0" w:color="auto"/>
        <w:bottom w:val="none" w:sz="0" w:space="0" w:color="auto"/>
        <w:right w:val="none" w:sz="0" w:space="0" w:color="auto"/>
      </w:divBdr>
    </w:div>
    <w:div w:id="1529757128">
      <w:bodyDiv w:val="1"/>
      <w:marLeft w:val="0"/>
      <w:marRight w:val="0"/>
      <w:marTop w:val="0"/>
      <w:marBottom w:val="0"/>
      <w:divBdr>
        <w:top w:val="none" w:sz="0" w:space="0" w:color="auto"/>
        <w:left w:val="none" w:sz="0" w:space="0" w:color="auto"/>
        <w:bottom w:val="none" w:sz="0" w:space="0" w:color="auto"/>
        <w:right w:val="none" w:sz="0" w:space="0" w:color="auto"/>
      </w:divBdr>
    </w:div>
    <w:div w:id="1674185951">
      <w:bodyDiv w:val="1"/>
      <w:marLeft w:val="0"/>
      <w:marRight w:val="0"/>
      <w:marTop w:val="0"/>
      <w:marBottom w:val="0"/>
      <w:divBdr>
        <w:top w:val="none" w:sz="0" w:space="0" w:color="auto"/>
        <w:left w:val="none" w:sz="0" w:space="0" w:color="auto"/>
        <w:bottom w:val="none" w:sz="0" w:space="0" w:color="auto"/>
        <w:right w:val="none" w:sz="0" w:space="0" w:color="auto"/>
      </w:divBdr>
    </w:div>
    <w:div w:id="1901669370">
      <w:bodyDiv w:val="1"/>
      <w:marLeft w:val="0"/>
      <w:marRight w:val="0"/>
      <w:marTop w:val="0"/>
      <w:marBottom w:val="0"/>
      <w:divBdr>
        <w:top w:val="none" w:sz="0" w:space="0" w:color="auto"/>
        <w:left w:val="none" w:sz="0" w:space="0" w:color="auto"/>
        <w:bottom w:val="none" w:sz="0" w:space="0" w:color="auto"/>
        <w:right w:val="none" w:sz="0" w:space="0" w:color="auto"/>
      </w:divBdr>
    </w:div>
    <w:div w:id="1956519712">
      <w:bodyDiv w:val="1"/>
      <w:marLeft w:val="0"/>
      <w:marRight w:val="0"/>
      <w:marTop w:val="0"/>
      <w:marBottom w:val="0"/>
      <w:divBdr>
        <w:top w:val="none" w:sz="0" w:space="0" w:color="auto"/>
        <w:left w:val="none" w:sz="0" w:space="0" w:color="auto"/>
        <w:bottom w:val="none" w:sz="0" w:space="0" w:color="auto"/>
        <w:right w:val="none" w:sz="0" w:space="0" w:color="auto"/>
      </w:divBdr>
    </w:div>
    <w:div w:id="1994136427">
      <w:bodyDiv w:val="1"/>
      <w:marLeft w:val="0"/>
      <w:marRight w:val="0"/>
      <w:marTop w:val="0"/>
      <w:marBottom w:val="0"/>
      <w:divBdr>
        <w:top w:val="none" w:sz="0" w:space="0" w:color="auto"/>
        <w:left w:val="none" w:sz="0" w:space="0" w:color="auto"/>
        <w:bottom w:val="none" w:sz="0" w:space="0" w:color="auto"/>
        <w:right w:val="none" w:sz="0" w:space="0" w:color="auto"/>
      </w:divBdr>
    </w:div>
    <w:div w:id="2093895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C015AF72-2F5B-43EC-9201-F4C04D8E1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6759BB5E-095A-447D-B26F-AC5262A95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14</Pages>
  <Words>5735</Words>
  <Characters>31546</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Olga Isabel Pertuz De La Hoz</cp:lastModifiedBy>
  <cp:revision>61</cp:revision>
  <dcterms:created xsi:type="dcterms:W3CDTF">2023-04-27T20:26:00Z</dcterms:created>
  <dcterms:modified xsi:type="dcterms:W3CDTF">2023-07-12T13:59:00Z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