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Pr="00DE144A" w:rsidRDefault="00833452" w:rsidP="00526E9D">
      <w:pPr>
        <w:rPr>
          <w:rFonts w:ascii="Arial" w:eastAsia="Times New Roman" w:hAnsi="Arial" w:cs="Arial"/>
          <w:b/>
          <w:lang w:val="es-MX" w:eastAsia="es-CO"/>
        </w:rPr>
      </w:pPr>
    </w:p>
    <w:p w14:paraId="736AE845" w14:textId="77777777" w:rsidR="007F2FEE" w:rsidRPr="007F2FEE" w:rsidRDefault="007F2FEE" w:rsidP="007F2FEE">
      <w:pPr>
        <w:spacing w:after="0" w:line="240" w:lineRule="auto"/>
        <w:jc w:val="both"/>
        <w:rPr>
          <w:rFonts w:ascii="Arial" w:eastAsia="Calibri" w:hAnsi="Arial" w:cs="Arial"/>
          <w:b/>
          <w:szCs w:val="24"/>
          <w:lang w:val="es-MX" w:eastAsia="es-ES_tradnl"/>
        </w:rPr>
      </w:pPr>
      <w:bookmarkStart w:id="0" w:name="_Hlk103947551"/>
      <w:r w:rsidRPr="007F2FEE">
        <w:rPr>
          <w:rFonts w:ascii="Arial" w:eastAsia="Calibri" w:hAnsi="Arial" w:cs="Arial"/>
          <w:b/>
          <w:szCs w:val="24"/>
          <w:lang w:val="es-MX" w:eastAsia="es-ES_tradnl"/>
        </w:rPr>
        <w:t>ADICIÓN – Concepto – Distintos supuestos – Prohibición – Adición en más del 50%</w:t>
      </w:r>
    </w:p>
    <w:p w14:paraId="675D8E55" w14:textId="77777777" w:rsidR="007F2FEE" w:rsidRPr="007F2FEE" w:rsidRDefault="007F2FEE" w:rsidP="007F2FEE">
      <w:pPr>
        <w:spacing w:after="0" w:line="240" w:lineRule="auto"/>
        <w:jc w:val="both"/>
        <w:rPr>
          <w:rFonts w:ascii="Arial" w:eastAsia="Calibri" w:hAnsi="Arial" w:cs="Arial"/>
          <w:b/>
          <w:szCs w:val="24"/>
          <w:lang w:val="es-MX" w:eastAsia="es-ES_tradnl"/>
        </w:rPr>
      </w:pPr>
    </w:p>
    <w:p w14:paraId="0B2A490B" w14:textId="77777777" w:rsidR="007F2FEE" w:rsidRPr="007F2FEE" w:rsidRDefault="007F2FEE" w:rsidP="007F2FEE">
      <w:pPr>
        <w:spacing w:after="0" w:line="240" w:lineRule="auto"/>
        <w:jc w:val="both"/>
        <w:rPr>
          <w:rFonts w:ascii="Arial" w:eastAsia="Calibri" w:hAnsi="Arial" w:cs="Arial"/>
          <w:bCs/>
          <w:sz w:val="20"/>
          <w:szCs w:val="20"/>
          <w:lang w:val="es-ES_tradnl" w:eastAsia="es-ES_tradnl"/>
        </w:rPr>
      </w:pPr>
      <w:r w:rsidRPr="007F2FEE">
        <w:rPr>
          <w:rFonts w:ascii="Arial" w:eastAsia="Calibri" w:hAnsi="Arial" w:cs="Arial"/>
          <w:bCs/>
          <w:sz w:val="20"/>
          <w:szCs w:val="20"/>
          <w:lang w:val="es-ES_tradnl" w:eastAsia="es-ES_tradn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7F2FEE">
        <w:rPr>
          <w:rFonts w:ascii="Arial" w:eastAsia="Calibri" w:hAnsi="Arial" w:cs="Arial"/>
          <w:bCs/>
          <w:sz w:val="20"/>
          <w:szCs w:val="20"/>
          <w:lang w:val="es-ES_tradnl" w:eastAsia="es-ES_tradnl"/>
        </w:rPr>
        <w:t>ii</w:t>
      </w:r>
      <w:proofErr w:type="spellEnd"/>
      <w:r w:rsidRPr="007F2FEE">
        <w:rPr>
          <w:rFonts w:ascii="Arial" w:eastAsia="Calibri" w:hAnsi="Arial" w:cs="Arial"/>
          <w:bCs/>
          <w:sz w:val="20"/>
          <w:szCs w:val="20"/>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Pr="007F2FEE">
        <w:rPr>
          <w:rFonts w:ascii="Arial" w:eastAsia="Calibri" w:hAnsi="Arial" w:cs="Arial"/>
          <w:sz w:val="20"/>
          <w:szCs w:val="20"/>
          <w:lang w:val="es-ES_tradnl" w:eastAsia="es-ES_tradnl"/>
        </w:rPr>
        <w:t>[…]</w:t>
      </w:r>
    </w:p>
    <w:p w14:paraId="7040EFA1" w14:textId="77777777" w:rsidR="007F2FEE" w:rsidRPr="007F2FEE" w:rsidRDefault="007F2FEE" w:rsidP="007F2FEE">
      <w:pPr>
        <w:spacing w:after="0" w:line="240" w:lineRule="auto"/>
        <w:jc w:val="both"/>
        <w:rPr>
          <w:rFonts w:ascii="Arial" w:eastAsia="Calibri" w:hAnsi="Arial" w:cs="Arial"/>
          <w:bCs/>
          <w:sz w:val="20"/>
          <w:szCs w:val="20"/>
          <w:lang w:val="es-ES_tradnl" w:eastAsia="es-ES_tradnl"/>
        </w:rPr>
      </w:pPr>
    </w:p>
    <w:p w14:paraId="0635DC04" w14:textId="77777777" w:rsidR="007F2FEE" w:rsidRPr="007F2FEE" w:rsidRDefault="007F2FEE" w:rsidP="007F2FEE">
      <w:pPr>
        <w:spacing w:after="0" w:line="240" w:lineRule="auto"/>
        <w:jc w:val="both"/>
        <w:rPr>
          <w:rFonts w:ascii="Arial" w:eastAsia="Calibri" w:hAnsi="Arial" w:cs="Arial"/>
          <w:bCs/>
          <w:sz w:val="20"/>
          <w:szCs w:val="20"/>
          <w:lang w:val="es-ES_tradnl" w:eastAsia="es-ES_tradnl"/>
        </w:rPr>
      </w:pPr>
      <w:r w:rsidRPr="007F2FEE">
        <w:rPr>
          <w:rFonts w:ascii="Arial" w:eastAsia="Calibri" w:hAnsi="Arial" w:cs="Arial"/>
          <w:bCs/>
          <w:sz w:val="20"/>
          <w:szCs w:val="20"/>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7F2FEE">
        <w:rPr>
          <w:rFonts w:ascii="Arial" w:eastAsia="Calibri" w:hAnsi="Arial" w:cs="Arial"/>
          <w:bCs/>
          <w:sz w:val="20"/>
          <w:szCs w:val="20"/>
          <w:lang w:val="es-ES_tradnl" w:eastAsia="es-ES_tradnl"/>
        </w:rPr>
        <w:t>: «Los contratos no podrán adicionarse en más del cincuenta por ciento (50%) de su valor inicial, expresado éste en salarios mínimos legales mensuales»</w:t>
      </w:r>
    </w:p>
    <w:p w14:paraId="5B4647EA" w14:textId="77777777" w:rsidR="007F2FEE" w:rsidRPr="007F2FEE" w:rsidRDefault="007F2FEE" w:rsidP="007F2FEE">
      <w:pPr>
        <w:spacing w:after="0" w:line="240" w:lineRule="auto"/>
        <w:jc w:val="both"/>
        <w:rPr>
          <w:rFonts w:ascii="Arial" w:eastAsia="Calibri" w:hAnsi="Arial" w:cs="Arial"/>
          <w:b/>
          <w:szCs w:val="24"/>
          <w:lang w:val="es-MX" w:eastAsia="es-ES_tradnl"/>
        </w:rPr>
      </w:pPr>
    </w:p>
    <w:p w14:paraId="3241BA45" w14:textId="77777777" w:rsidR="007F2FEE" w:rsidRPr="007F2FEE" w:rsidRDefault="007F2FEE" w:rsidP="007F2FEE">
      <w:pPr>
        <w:spacing w:after="0" w:line="240" w:lineRule="auto"/>
        <w:jc w:val="both"/>
        <w:rPr>
          <w:rFonts w:ascii="Arial" w:eastAsia="Calibri" w:hAnsi="Arial" w:cs="Arial"/>
          <w:b/>
          <w:bCs/>
          <w:szCs w:val="24"/>
          <w:lang w:val="es-MX" w:eastAsia="es-ES_tradnl"/>
        </w:rPr>
      </w:pPr>
      <w:r w:rsidRPr="007F2FEE">
        <w:rPr>
          <w:rFonts w:ascii="Arial" w:eastAsia="Calibri" w:hAnsi="Arial" w:cs="Arial"/>
          <w:b/>
          <w:bCs/>
          <w:szCs w:val="24"/>
          <w:lang w:val="es-MX" w:eastAsia="es-ES_tradnl"/>
        </w:rPr>
        <w:t xml:space="preserve">ADICIÓN – Prohibición – Monto – Cálculo – Parágrafo artículo 40 – Ley 80 de 1993 </w:t>
      </w:r>
    </w:p>
    <w:p w14:paraId="1E93AFE0" w14:textId="77777777" w:rsidR="007F2FEE" w:rsidRPr="007F2FEE" w:rsidRDefault="007F2FEE" w:rsidP="007F2FEE">
      <w:pPr>
        <w:spacing w:after="0" w:line="240" w:lineRule="auto"/>
        <w:jc w:val="both"/>
        <w:rPr>
          <w:rFonts w:ascii="Arial" w:eastAsia="Calibri" w:hAnsi="Arial" w:cs="Arial"/>
          <w:b/>
          <w:szCs w:val="24"/>
          <w:lang w:val="es-MX" w:eastAsia="es-ES_tradnl"/>
        </w:rPr>
      </w:pPr>
    </w:p>
    <w:p w14:paraId="22CEF0CE" w14:textId="77777777" w:rsidR="007F2FEE" w:rsidRPr="007F2FEE" w:rsidRDefault="007F2FEE" w:rsidP="007F2FEE">
      <w:pPr>
        <w:spacing w:after="0" w:line="240" w:lineRule="auto"/>
        <w:jc w:val="both"/>
        <w:rPr>
          <w:rFonts w:ascii="Arial" w:eastAsia="Calibri" w:hAnsi="Arial" w:cs="Arial"/>
          <w:bCs/>
          <w:sz w:val="20"/>
          <w:szCs w:val="20"/>
          <w:lang w:eastAsia="es-ES_tradnl"/>
        </w:rPr>
      </w:pPr>
      <w:r w:rsidRPr="007F2FEE">
        <w:rPr>
          <w:rFonts w:ascii="Arial" w:eastAsia="Calibri" w:hAnsi="Arial" w:cs="Arial"/>
          <w:bCs/>
          <w:sz w:val="20"/>
          <w:szCs w:val="20"/>
          <w:lang w:val="es-ES_tradnl" w:eastAsia="es-ES_tradnl"/>
        </w:rPr>
        <w:t>Dicha norma además de consagrar una prohibición trae implícita una autorización, consistente en la posibilidad de adicionar los contratos estatales, siempre que no se supere el tope establecido.</w:t>
      </w:r>
      <w:r w:rsidRPr="007F2FEE">
        <w:rPr>
          <w:rFonts w:ascii="Arial" w:eastAsia="Calibri" w:hAnsi="Arial" w:cs="Arial"/>
          <w:bCs/>
          <w:sz w:val="20"/>
          <w:szCs w:val="20"/>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r w:rsidRPr="007F2FEE">
        <w:rPr>
          <w:rFonts w:ascii="Arial" w:eastAsia="Calibri" w:hAnsi="Arial" w:cs="Arial"/>
          <w:bCs/>
          <w:sz w:val="20"/>
          <w:szCs w:val="20"/>
          <w:lang w:val="es-ES_tradnl" w:eastAsia="es-ES_tradnl"/>
        </w:rPr>
        <w:t xml:space="preserve">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r w:rsidRPr="007F2FEE">
        <w:rPr>
          <w:rFonts w:ascii="Arial" w:eastAsia="Calibri" w:hAnsi="Arial" w:cs="Arial"/>
          <w:bCs/>
          <w:sz w:val="20"/>
          <w:szCs w:val="20"/>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77F8CCCC" w14:textId="77777777" w:rsidR="007F2FEE" w:rsidRPr="007F2FEE" w:rsidRDefault="007F2FEE" w:rsidP="007F2FEE">
      <w:pPr>
        <w:spacing w:after="0" w:line="240" w:lineRule="auto"/>
        <w:jc w:val="both"/>
        <w:rPr>
          <w:rFonts w:ascii="Arial" w:eastAsia="Calibri" w:hAnsi="Arial" w:cs="Arial"/>
          <w:b/>
          <w:szCs w:val="24"/>
          <w:lang w:val="es-MX" w:eastAsia="es-ES_tradnl"/>
        </w:rPr>
      </w:pPr>
    </w:p>
    <w:p w14:paraId="1ED5B6A2" w14:textId="77777777" w:rsidR="007F2FEE" w:rsidRPr="007F2FEE" w:rsidRDefault="007F2FEE" w:rsidP="007F2FEE">
      <w:pPr>
        <w:spacing w:after="0" w:line="240" w:lineRule="auto"/>
        <w:jc w:val="both"/>
        <w:rPr>
          <w:rFonts w:ascii="Arial" w:eastAsia="Calibri" w:hAnsi="Arial" w:cs="Arial"/>
          <w:b/>
          <w:bCs/>
          <w:szCs w:val="24"/>
          <w:lang w:val="es-MX" w:eastAsia="es-ES_tradnl"/>
        </w:rPr>
      </w:pPr>
      <w:r w:rsidRPr="007F2FEE">
        <w:rPr>
          <w:rFonts w:ascii="Arial" w:eastAsia="Calibri" w:hAnsi="Arial" w:cs="Arial"/>
          <w:b/>
          <w:bCs/>
          <w:szCs w:val="24"/>
          <w:lang w:val="es-MX" w:eastAsia="es-ES_tradnl"/>
        </w:rPr>
        <w:t xml:space="preserve">ADICIÓN – Mayores cantidades – Límites – Posturas </w:t>
      </w:r>
    </w:p>
    <w:p w14:paraId="07CC1688" w14:textId="77777777" w:rsidR="007F2FEE" w:rsidRPr="007F2FEE" w:rsidRDefault="007F2FEE" w:rsidP="007F2FEE">
      <w:pPr>
        <w:spacing w:after="0" w:line="240" w:lineRule="auto"/>
        <w:jc w:val="both"/>
        <w:rPr>
          <w:rFonts w:ascii="Arial" w:eastAsia="Calibri" w:hAnsi="Arial" w:cs="Arial"/>
          <w:b/>
          <w:bCs/>
          <w:szCs w:val="24"/>
          <w:lang w:val="es-MX" w:eastAsia="es-ES_tradnl"/>
        </w:rPr>
      </w:pPr>
    </w:p>
    <w:p w14:paraId="3B89234B" w14:textId="34B578C9" w:rsidR="007F2FEE" w:rsidRPr="007F2FEE" w:rsidRDefault="007F2FEE" w:rsidP="007F2FEE">
      <w:pPr>
        <w:spacing w:after="0" w:line="240" w:lineRule="auto"/>
        <w:jc w:val="both"/>
        <w:rPr>
          <w:rFonts w:ascii="Arial" w:eastAsia="Calibri" w:hAnsi="Arial" w:cs="Arial"/>
          <w:sz w:val="20"/>
          <w:szCs w:val="20"/>
          <w:lang w:val="es-ES" w:eastAsia="es-ES"/>
        </w:rPr>
      </w:pPr>
      <w:r w:rsidRPr="64F5709F">
        <w:rPr>
          <w:rFonts w:ascii="Arial" w:eastAsia="Calibri" w:hAnsi="Arial" w:cs="Arial"/>
          <w:lang w:val="es-MX" w:eastAsia="es-ES"/>
        </w:rPr>
        <w:t>L</w:t>
      </w:r>
      <w:r w:rsidRPr="64F5709F">
        <w:rPr>
          <w:rFonts w:ascii="Arial" w:eastAsia="Calibri" w:hAnsi="Arial" w:cs="Arial"/>
          <w:sz w:val="20"/>
          <w:szCs w:val="20"/>
          <w:lang w:val="es-MX" w:eastAsia="es-ES"/>
        </w:rPr>
        <w:t xml:space="preserve">a primera postura, que fue señalada por la Sala de Consulta y Servicio Civil del Consejo de Estado, y adoptada por </w:t>
      </w:r>
      <w:r w:rsidR="2A579966" w:rsidRPr="64F5709F">
        <w:rPr>
          <w:rFonts w:ascii="Arial" w:eastAsia="Calibri" w:hAnsi="Arial" w:cs="Arial"/>
          <w:sz w:val="20"/>
          <w:szCs w:val="20"/>
          <w:lang w:val="es-MX" w:eastAsia="es-ES"/>
        </w:rPr>
        <w:t>la Corporación</w:t>
      </w:r>
      <w:r w:rsidRPr="64F5709F">
        <w:rPr>
          <w:rFonts w:ascii="Arial" w:eastAsia="Calibri" w:hAnsi="Arial" w:cs="Arial"/>
          <w:sz w:val="20"/>
          <w:szCs w:val="20"/>
          <w:lang w:val="es-MX" w:eastAsia="es-ES"/>
        </w:rPr>
        <w:t xml:space="preserve"> en otros pronunciamientos, parte de considerar que solo hay lugar a la celebración de un contrato adicional, y por tanto que se encuentre sometido al </w:t>
      </w:r>
      <w:r w:rsidR="04FEAEF9" w:rsidRPr="64F5709F">
        <w:rPr>
          <w:rFonts w:ascii="Arial" w:eastAsia="Calibri" w:hAnsi="Arial" w:cs="Arial"/>
          <w:sz w:val="20"/>
          <w:szCs w:val="20"/>
          <w:lang w:val="es-MX" w:eastAsia="es-ES"/>
        </w:rPr>
        <w:t>segundo inciso del</w:t>
      </w:r>
      <w:r w:rsidRPr="64F5709F">
        <w:rPr>
          <w:rFonts w:ascii="Arial" w:eastAsia="Calibri" w:hAnsi="Arial" w:cs="Arial"/>
          <w:sz w:val="20"/>
          <w:szCs w:val="20"/>
          <w:lang w:val="es-MX" w:eastAsia="es-ES"/>
        </w:rPr>
        <w:t xml:space="preserve"> parágrafo del artículo 40 de la Ley 80 de 1993, cuando se trate de adicionar una obra </w:t>
      </w:r>
      <w:r w:rsidR="766481DB" w:rsidRPr="64F5709F">
        <w:rPr>
          <w:rFonts w:ascii="Arial" w:eastAsia="Calibri" w:hAnsi="Arial" w:cs="Arial"/>
          <w:sz w:val="20"/>
          <w:szCs w:val="20"/>
          <w:lang w:val="es-MX" w:eastAsia="es-ES"/>
        </w:rPr>
        <w:t>o</w:t>
      </w:r>
      <w:r w:rsidRPr="64F5709F">
        <w:rPr>
          <w:rFonts w:ascii="Arial" w:eastAsia="Calibri" w:hAnsi="Arial" w:cs="Arial"/>
          <w:sz w:val="20"/>
          <w:szCs w:val="20"/>
          <w:lang w:val="es-MX" w:eastAsia="es-ES"/>
        </w:rPr>
        <w:t xml:space="preserve"> actividad que no estaba </w:t>
      </w:r>
      <w:r w:rsidRPr="64F5709F">
        <w:rPr>
          <w:rFonts w:ascii="Arial" w:eastAsia="Calibri" w:hAnsi="Arial" w:cs="Arial"/>
          <w:sz w:val="20"/>
          <w:szCs w:val="20"/>
          <w:lang w:val="es-MX" w:eastAsia="es-ES"/>
        </w:rPr>
        <w:lastRenderedPageBreak/>
        <w:t xml:space="preserve">contemplada en el alcance inicial del contrato. 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r w:rsidRPr="64F5709F">
        <w:rPr>
          <w:rFonts w:ascii="Arial" w:eastAsia="Calibri" w:hAnsi="Arial" w:cs="Arial"/>
          <w:sz w:val="20"/>
          <w:szCs w:val="20"/>
          <w:lang w:val="es-ES" w:eastAsia="es-ES"/>
        </w:rPr>
        <w:t>[…]</w:t>
      </w:r>
    </w:p>
    <w:p w14:paraId="171BBD74" w14:textId="77777777" w:rsidR="007F2FEE" w:rsidRPr="007F2FEE" w:rsidRDefault="007F2FEE" w:rsidP="007F2FEE">
      <w:pPr>
        <w:spacing w:after="0" w:line="240" w:lineRule="auto"/>
        <w:jc w:val="both"/>
        <w:rPr>
          <w:rFonts w:ascii="Arial" w:eastAsia="Calibri" w:hAnsi="Arial" w:cs="Arial"/>
          <w:sz w:val="20"/>
          <w:szCs w:val="20"/>
          <w:lang w:val="es-ES_tradnl" w:eastAsia="es-ES_tradnl"/>
        </w:rPr>
      </w:pPr>
    </w:p>
    <w:p w14:paraId="1E3FD060" w14:textId="77777777" w:rsidR="007F2FEE" w:rsidRPr="007F2FEE" w:rsidRDefault="007F2FEE" w:rsidP="007F2FEE">
      <w:pPr>
        <w:spacing w:after="0" w:line="240" w:lineRule="auto"/>
        <w:jc w:val="both"/>
        <w:rPr>
          <w:rFonts w:ascii="Arial" w:eastAsia="Calibri" w:hAnsi="Arial" w:cs="Arial"/>
          <w:sz w:val="20"/>
          <w:szCs w:val="20"/>
          <w:lang w:val="es-MX" w:eastAsia="es-ES_tradnl"/>
        </w:rPr>
      </w:pPr>
      <w:r w:rsidRPr="007F2FEE">
        <w:rPr>
          <w:rFonts w:ascii="Arial" w:eastAsia="Calibri" w:hAnsi="Arial" w:cs="Arial"/>
          <w:sz w:val="20"/>
          <w:szCs w:val="20"/>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7F2FEE">
        <w:rPr>
          <w:rFonts w:ascii="Arial" w:eastAsia="Calibri" w:hAnsi="Arial" w:cs="Arial" w:hint="eastAsia"/>
          <w:sz w:val="20"/>
          <w:szCs w:val="20"/>
          <w:lang w:val="es-MX" w:eastAsia="es-ES_tradnl"/>
        </w:rPr>
        <w:t>―</w:t>
      </w:r>
      <w:r w:rsidRPr="007F2FEE">
        <w:rPr>
          <w:rFonts w:ascii="Arial" w:eastAsia="Calibri" w:hAnsi="Arial" w:cs="Arial"/>
          <w:sz w:val="20"/>
          <w:szCs w:val="20"/>
          <w:lang w:val="es-MX" w:eastAsia="es-ES_tradnl"/>
        </w:rPr>
        <w:t>que será un contrato</w:t>
      </w:r>
      <w:r w:rsidRPr="007F2FEE">
        <w:rPr>
          <w:rFonts w:ascii="Arial" w:eastAsia="Calibri" w:hAnsi="Arial" w:cs="Arial" w:hint="eastAsia"/>
          <w:sz w:val="20"/>
          <w:szCs w:val="20"/>
          <w:lang w:val="es-MX" w:eastAsia="es-ES_tradnl"/>
        </w:rPr>
        <w:t>―</w:t>
      </w:r>
      <w:r w:rsidRPr="007F2FEE">
        <w:rPr>
          <w:rFonts w:ascii="Arial" w:eastAsia="Calibri" w:hAnsi="Arial" w:cs="Arial"/>
          <w:sz w:val="20"/>
          <w:szCs w:val="20"/>
          <w:lang w:val="es-MX" w:eastAsia="es-ES_tradnl"/>
        </w:rPr>
        <w:t>, independientemente del nombre que se le dé y que necesariamente se someterá a la norma prohibitiva, salvo norma especial que excepcione la regla general.</w:t>
      </w:r>
    </w:p>
    <w:p w14:paraId="1129C66C" w14:textId="77777777" w:rsidR="007F2FEE" w:rsidRPr="007F2FEE" w:rsidRDefault="007F2FEE" w:rsidP="007F2FEE">
      <w:pPr>
        <w:spacing w:after="0" w:line="240" w:lineRule="auto"/>
        <w:jc w:val="both"/>
        <w:rPr>
          <w:rFonts w:ascii="Arial" w:eastAsia="Calibri" w:hAnsi="Arial" w:cs="Arial"/>
          <w:szCs w:val="24"/>
          <w:lang w:val="es-MX" w:eastAsia="es-ES_tradnl"/>
        </w:rPr>
      </w:pPr>
    </w:p>
    <w:p w14:paraId="0AADE505" w14:textId="77777777" w:rsidR="007F2FEE" w:rsidRPr="007F2FEE" w:rsidRDefault="007F2FEE" w:rsidP="007F2FEE">
      <w:pPr>
        <w:spacing w:after="0" w:line="240" w:lineRule="auto"/>
        <w:jc w:val="both"/>
        <w:rPr>
          <w:rFonts w:ascii="Arial" w:eastAsia="Calibri" w:hAnsi="Arial" w:cs="Arial"/>
          <w:b/>
          <w:bCs/>
          <w:color w:val="000000"/>
        </w:rPr>
      </w:pPr>
      <w:r w:rsidRPr="007F2FEE">
        <w:rPr>
          <w:rFonts w:ascii="Arial" w:eastAsia="Calibri" w:hAnsi="Arial" w:cs="Arial"/>
          <w:b/>
          <w:bCs/>
          <w:color w:val="000000"/>
        </w:rPr>
        <w:t xml:space="preserve">ADICIÓN – Excepciones a la regla </w:t>
      </w:r>
    </w:p>
    <w:p w14:paraId="4C37A4BE" w14:textId="77777777" w:rsidR="007F2FEE" w:rsidRPr="007F2FEE" w:rsidRDefault="007F2FEE" w:rsidP="007F2FEE">
      <w:pPr>
        <w:spacing w:after="0" w:line="240" w:lineRule="auto"/>
        <w:jc w:val="both"/>
        <w:rPr>
          <w:rFonts w:ascii="Arial" w:eastAsia="Times New Roman" w:hAnsi="Arial" w:cs="Arial"/>
          <w:noProof/>
          <w:color w:val="000000"/>
          <w:lang w:val="es-ES_tradnl"/>
        </w:rPr>
      </w:pPr>
    </w:p>
    <w:p w14:paraId="0DB7E225" w14:textId="77777777" w:rsidR="007F2FEE" w:rsidRPr="007F2FEE" w:rsidRDefault="007F2FEE" w:rsidP="007F2FEE">
      <w:pPr>
        <w:spacing w:after="0" w:line="240" w:lineRule="auto"/>
        <w:jc w:val="both"/>
        <w:rPr>
          <w:rFonts w:ascii="Arial" w:eastAsia="Calibri" w:hAnsi="Arial" w:cs="Arial"/>
          <w:color w:val="000000"/>
          <w:sz w:val="20"/>
          <w:szCs w:val="20"/>
          <w:lang w:eastAsia="es-ES"/>
        </w:rPr>
      </w:pPr>
      <w:r w:rsidRPr="007F2FEE">
        <w:rPr>
          <w:rFonts w:ascii="Arial" w:eastAsia="Calibri" w:hAnsi="Arial" w:cs="Arial"/>
          <w:color w:val="000000"/>
          <w:sz w:val="20"/>
          <w:szCs w:val="20"/>
          <w:lang w:eastAsia="es-ES"/>
        </w:rPr>
        <w:t>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626B661A" w14:textId="77777777" w:rsidR="007F2FEE" w:rsidRPr="007F2FEE" w:rsidRDefault="007F2FEE" w:rsidP="007F2FEE">
      <w:pPr>
        <w:spacing w:after="0" w:line="240" w:lineRule="auto"/>
        <w:jc w:val="both"/>
        <w:rPr>
          <w:rFonts w:ascii="Arial" w:eastAsia="Calibri" w:hAnsi="Arial" w:cs="Arial"/>
          <w:color w:val="000000"/>
          <w:sz w:val="20"/>
          <w:szCs w:val="20"/>
          <w:lang w:eastAsia="es-ES"/>
        </w:rPr>
      </w:pPr>
    </w:p>
    <w:p w14:paraId="4D38EA48" w14:textId="77777777" w:rsidR="007F2FEE" w:rsidRPr="007F2FEE" w:rsidRDefault="007F2FEE" w:rsidP="007F2FEE">
      <w:pPr>
        <w:spacing w:after="0" w:line="240" w:lineRule="auto"/>
        <w:jc w:val="both"/>
        <w:rPr>
          <w:rFonts w:ascii="Arial" w:eastAsia="Calibri" w:hAnsi="Arial" w:cs="Arial"/>
          <w:b/>
          <w:szCs w:val="24"/>
          <w:lang w:val="es-ES_tradnl" w:eastAsia="es-ES_tradnl" w:bidi="es-ES"/>
        </w:rPr>
      </w:pPr>
      <w:r w:rsidRPr="007F2FEE">
        <w:rPr>
          <w:rFonts w:ascii="Arial" w:eastAsia="Calibri" w:hAnsi="Arial" w:cs="Arial"/>
          <w:b/>
          <w:szCs w:val="24"/>
          <w:lang w:val="es-ES_tradnl" w:eastAsia="es-ES_tradnl" w:bidi="es-ES"/>
        </w:rPr>
        <w:t>MODIFICACION DE LOS CONTRATOS ESTATALES – Procedencia – Límites</w:t>
      </w:r>
    </w:p>
    <w:p w14:paraId="1B80A925" w14:textId="77777777" w:rsidR="007F2FEE" w:rsidRPr="007F2FEE" w:rsidRDefault="007F2FEE" w:rsidP="007F2FEE">
      <w:pPr>
        <w:spacing w:after="0" w:line="240" w:lineRule="auto"/>
        <w:jc w:val="both"/>
        <w:rPr>
          <w:rFonts w:ascii="Arial" w:eastAsia="Calibri" w:hAnsi="Arial" w:cs="Arial"/>
          <w:b/>
          <w:szCs w:val="24"/>
          <w:lang w:val="es-MX" w:eastAsia="es-ES_tradnl"/>
        </w:rPr>
      </w:pPr>
    </w:p>
    <w:p w14:paraId="31E5B3E1" w14:textId="77777777" w:rsidR="007F2FEE" w:rsidRPr="007F2FEE" w:rsidRDefault="007F2FEE" w:rsidP="007F2FEE">
      <w:pPr>
        <w:spacing w:after="0" w:line="240" w:lineRule="auto"/>
        <w:jc w:val="both"/>
        <w:rPr>
          <w:rFonts w:ascii="Arial" w:eastAsia="Calibri" w:hAnsi="Arial" w:cs="Arial"/>
          <w:bCs/>
          <w:sz w:val="20"/>
          <w:szCs w:val="20"/>
          <w:lang w:val="es-ES_tradnl" w:eastAsia="es-ES_tradnl" w:bidi="es-ES"/>
        </w:rPr>
      </w:pPr>
      <w:r w:rsidRPr="007F2FEE">
        <w:rPr>
          <w:rFonts w:ascii="Arial" w:eastAsia="Calibri" w:hAnsi="Arial" w:cs="Arial"/>
          <w:bCs/>
          <w:sz w:val="20"/>
          <w:szCs w:val="20"/>
          <w:lang w:val="es-ES_tradnl" w:eastAsia="es-ES_tradnl" w:bidi="es-ES"/>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5432847F" w14:textId="77777777" w:rsidR="007F2FEE" w:rsidRPr="007F2FEE" w:rsidRDefault="007F2FEE" w:rsidP="007F2FEE">
      <w:pPr>
        <w:spacing w:after="0" w:line="240" w:lineRule="auto"/>
        <w:jc w:val="both"/>
        <w:rPr>
          <w:rFonts w:ascii="Arial" w:eastAsia="Calibri" w:hAnsi="Arial" w:cs="Arial"/>
          <w:b/>
          <w:szCs w:val="24"/>
          <w:lang w:val="es-ES_tradnl" w:eastAsia="es-ES_tradnl"/>
        </w:rPr>
      </w:pPr>
    </w:p>
    <w:p w14:paraId="3111DA19" w14:textId="77777777" w:rsidR="007F2FEE" w:rsidRPr="007F2FEE" w:rsidRDefault="007F2FEE" w:rsidP="007F2FEE">
      <w:pPr>
        <w:spacing w:after="0" w:line="240" w:lineRule="auto"/>
        <w:jc w:val="both"/>
        <w:rPr>
          <w:rFonts w:ascii="Arial" w:eastAsia="Calibri" w:hAnsi="Arial" w:cs="Arial"/>
          <w:b/>
          <w:szCs w:val="24"/>
          <w:lang w:val="es-ES_tradnl" w:eastAsia="es-ES_tradnl"/>
        </w:rPr>
      </w:pPr>
      <w:r w:rsidRPr="007F2FEE">
        <w:rPr>
          <w:rFonts w:ascii="Arial" w:eastAsia="Calibri" w:hAnsi="Arial" w:cs="Arial"/>
          <w:b/>
          <w:szCs w:val="24"/>
          <w:lang w:val="es-ES_tradnl" w:eastAsia="es-ES_tradnl"/>
        </w:rPr>
        <w:t xml:space="preserve">ACTIVIDADES NO PREVISTAS </w:t>
      </w:r>
      <w:r w:rsidRPr="007F2FEE">
        <w:rPr>
          <w:rFonts w:ascii="Arial" w:eastAsia="Calibri" w:hAnsi="Arial" w:cs="Arial"/>
          <w:b/>
          <w:szCs w:val="24"/>
          <w:lang w:val="es-ES_tradnl" w:eastAsia="es-ES_tradnl" w:bidi="es-ES"/>
        </w:rPr>
        <w:t xml:space="preserve">– Modificación </w:t>
      </w:r>
    </w:p>
    <w:p w14:paraId="14E8C262" w14:textId="77777777" w:rsidR="007F2FEE" w:rsidRPr="007F2FEE" w:rsidRDefault="007F2FEE" w:rsidP="007F2FEE">
      <w:pPr>
        <w:spacing w:after="0" w:line="240" w:lineRule="auto"/>
        <w:jc w:val="both"/>
        <w:rPr>
          <w:rFonts w:ascii="Arial" w:eastAsia="Calibri" w:hAnsi="Arial" w:cs="Arial"/>
          <w:b/>
          <w:szCs w:val="24"/>
          <w:lang w:val="es-ES_tradnl" w:eastAsia="es-ES_tradnl"/>
        </w:rPr>
      </w:pPr>
    </w:p>
    <w:p w14:paraId="4075E026" w14:textId="77777777" w:rsidR="007F2FEE" w:rsidRPr="007F2FEE" w:rsidRDefault="007F2FEE" w:rsidP="007F2FEE">
      <w:pPr>
        <w:spacing w:after="0" w:line="240" w:lineRule="auto"/>
        <w:jc w:val="both"/>
        <w:rPr>
          <w:rFonts w:ascii="Arial" w:eastAsia="Calibri" w:hAnsi="Arial" w:cs="Arial"/>
          <w:bCs/>
          <w:sz w:val="20"/>
          <w:szCs w:val="20"/>
          <w:lang w:val="es-MX" w:eastAsia="es-ES_tradnl"/>
        </w:rPr>
      </w:pPr>
      <w:r w:rsidRPr="007F2FEE">
        <w:rPr>
          <w:rFonts w:ascii="Arial" w:eastAsia="Calibri" w:hAnsi="Arial" w:cs="Arial"/>
          <w:bCs/>
          <w:sz w:val="20"/>
          <w:szCs w:val="20"/>
          <w:lang w:val="es-ES_tradnl" w:eastAsia="es-ES_tradnl"/>
        </w:rPr>
        <w:t xml:space="preserve">Un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w:t>
      </w:r>
      <w:r w:rsidRPr="007F2FEE">
        <w:rPr>
          <w:rFonts w:ascii="Arial" w:eastAsia="Calibri" w:hAnsi="Arial" w:cs="Arial"/>
          <w:bCs/>
          <w:sz w:val="20"/>
          <w:szCs w:val="20"/>
          <w:lang w:val="es-ES_tradnl" w:eastAsia="es-ES_tradnl"/>
        </w:rPr>
        <w:lastRenderedPageBreak/>
        <w:t xml:space="preserve">1993 señala que si las modificaciones alteran el valor del contrato en un veinte por ciento (20%) o más del valor inicial, el contratista podrá renunciar a la continuación de la ejecución. </w:t>
      </w:r>
    </w:p>
    <w:p w14:paraId="0524F4A4" w14:textId="77777777" w:rsidR="007F2FEE" w:rsidRPr="007F2FEE" w:rsidRDefault="007F2FEE" w:rsidP="007F2FEE">
      <w:pPr>
        <w:spacing w:after="0" w:line="240" w:lineRule="auto"/>
        <w:jc w:val="both"/>
        <w:rPr>
          <w:rFonts w:ascii="Arial" w:eastAsia="Calibri" w:hAnsi="Arial" w:cs="Arial"/>
          <w:bCs/>
          <w:sz w:val="20"/>
          <w:szCs w:val="20"/>
          <w:lang w:val="es-ES_tradnl" w:eastAsia="es-ES_tradnl"/>
        </w:rPr>
      </w:pPr>
    </w:p>
    <w:p w14:paraId="75C9DB17"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5BE7054E"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48C3563B"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08CFE78F"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2AF30F6C"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49A37E19"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20295316"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6C6529D6"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0002F573"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0C8EF640"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6389B4F0"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34EF51FF"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5C297934"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3E1BAA5D"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46638FE5"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7494236C"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721FE144"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4C11D16F"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629C602C"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24225173"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3ECDE994"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7260657D"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6812CF10"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35F9F9BA"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69B06E9A"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1048496D"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7EFA8FC3"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7B44376C"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7ECA36F7"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19C8322A" w14:textId="77777777" w:rsidR="00AC2945" w:rsidRDefault="00AC2945" w:rsidP="007F2FEE">
      <w:pPr>
        <w:spacing w:after="0" w:line="276" w:lineRule="auto"/>
        <w:jc w:val="both"/>
        <w:rPr>
          <w:rFonts w:ascii="Arial" w:eastAsia="Calibri" w:hAnsi="Arial" w:cs="Arial"/>
          <w:bCs/>
          <w:sz w:val="20"/>
          <w:szCs w:val="20"/>
          <w:lang w:val="es-ES_tradnl" w:eastAsia="es-ES_tradnl"/>
        </w:rPr>
      </w:pPr>
    </w:p>
    <w:p w14:paraId="35B19E3E" w14:textId="77777777" w:rsidR="00AC2945" w:rsidRPr="007F2FEE" w:rsidRDefault="00AC2945" w:rsidP="007F2FEE">
      <w:pPr>
        <w:spacing w:after="0" w:line="276" w:lineRule="auto"/>
        <w:jc w:val="both"/>
        <w:rPr>
          <w:rFonts w:ascii="Arial" w:eastAsia="Calibri" w:hAnsi="Arial" w:cs="Arial"/>
          <w:bCs/>
          <w:sz w:val="20"/>
          <w:szCs w:val="20"/>
          <w:lang w:val="es-ES_tradnl" w:eastAsia="es-ES_tradnl"/>
        </w:rPr>
      </w:pPr>
    </w:p>
    <w:p w14:paraId="539B7DF8"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0F3C8117"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1F311BB6"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3A00CC1E"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4BA35AD0"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54DFB514"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2532A01A" w14:textId="77777777" w:rsidR="007F2FEE" w:rsidRDefault="007F2FEE" w:rsidP="007F2FEE">
      <w:pPr>
        <w:spacing w:after="0" w:line="276" w:lineRule="auto"/>
        <w:jc w:val="both"/>
        <w:rPr>
          <w:rFonts w:ascii="Arial" w:eastAsia="Calibri" w:hAnsi="Arial" w:cs="Arial"/>
          <w:bCs/>
          <w:sz w:val="20"/>
          <w:szCs w:val="20"/>
          <w:lang w:val="es-ES_tradnl" w:eastAsia="es-ES_tradnl"/>
        </w:rPr>
      </w:pPr>
    </w:p>
    <w:p w14:paraId="14C591B4" w14:textId="77777777" w:rsidR="00290AA8" w:rsidRDefault="00290AA8" w:rsidP="007F2FEE">
      <w:pPr>
        <w:spacing w:after="0" w:line="276" w:lineRule="auto"/>
        <w:jc w:val="both"/>
        <w:rPr>
          <w:rFonts w:ascii="Arial" w:eastAsia="Calibri" w:hAnsi="Arial" w:cs="Arial"/>
          <w:bCs/>
          <w:sz w:val="20"/>
          <w:szCs w:val="20"/>
          <w:lang w:val="es-ES_tradnl" w:eastAsia="es-ES_tradnl"/>
        </w:rPr>
      </w:pPr>
    </w:p>
    <w:p w14:paraId="35AA7290" w14:textId="77777777" w:rsidR="00290AA8" w:rsidRPr="007F2FEE" w:rsidRDefault="00290AA8" w:rsidP="007F2FEE">
      <w:pPr>
        <w:spacing w:after="0" w:line="276" w:lineRule="auto"/>
        <w:jc w:val="both"/>
        <w:rPr>
          <w:rFonts w:ascii="Arial" w:eastAsia="Calibri" w:hAnsi="Arial" w:cs="Arial"/>
          <w:bCs/>
          <w:sz w:val="20"/>
          <w:szCs w:val="20"/>
          <w:lang w:val="es-ES_tradnl" w:eastAsia="es-ES_tradnl"/>
        </w:rPr>
      </w:pPr>
    </w:p>
    <w:p w14:paraId="2234C523"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5D7B9253" w14:textId="77777777" w:rsidR="007F2FEE" w:rsidRPr="007F2FEE" w:rsidRDefault="007F2FEE" w:rsidP="007F2FEE">
      <w:pPr>
        <w:spacing w:after="0" w:line="276" w:lineRule="auto"/>
        <w:jc w:val="both"/>
        <w:rPr>
          <w:rFonts w:ascii="Arial" w:eastAsia="Calibri" w:hAnsi="Arial" w:cs="Arial"/>
          <w:bCs/>
          <w:sz w:val="20"/>
          <w:szCs w:val="20"/>
          <w:lang w:val="es-ES_tradnl" w:eastAsia="es-ES_tradnl"/>
        </w:rPr>
      </w:pPr>
    </w:p>
    <w:p w14:paraId="7DEE7113" w14:textId="184F6D4C" w:rsidR="007F2FEE" w:rsidRPr="007F2FEE" w:rsidRDefault="284078EE" w:rsidP="007F2FEE">
      <w:pPr>
        <w:spacing w:after="0" w:line="276" w:lineRule="auto"/>
        <w:jc w:val="both"/>
      </w:pPr>
      <w:r w:rsidRPr="4F6ED40C">
        <w:rPr>
          <w:rFonts w:ascii="Arial" w:eastAsia="Arial" w:hAnsi="Arial" w:cs="Arial"/>
          <w:lang w:val="es-MX"/>
        </w:rPr>
        <w:t>Bogotá D.C., 24 de enero de 2023</w:t>
      </w:r>
    </w:p>
    <w:p w14:paraId="45C84943" w14:textId="297DCD2B" w:rsidR="007F2FEE" w:rsidRPr="007F2FEE" w:rsidRDefault="007F2FEE" w:rsidP="4F6ED40C">
      <w:pPr>
        <w:spacing w:after="0" w:line="276" w:lineRule="auto"/>
        <w:jc w:val="both"/>
        <w:rPr>
          <w:rFonts w:ascii="Arial" w:eastAsia="Calibri" w:hAnsi="Arial" w:cs="Arial"/>
          <w:b/>
          <w:bCs/>
          <w:color w:val="000000"/>
          <w:lang w:val="pt-BR"/>
        </w:rPr>
      </w:pPr>
    </w:p>
    <w:p w14:paraId="6AD21B39" w14:textId="77777777" w:rsidR="00222E2D" w:rsidRDefault="00222E2D" w:rsidP="007F2FEE">
      <w:pPr>
        <w:spacing w:after="0" w:line="276" w:lineRule="auto"/>
        <w:jc w:val="both"/>
        <w:rPr>
          <w:rFonts w:ascii="Arial" w:eastAsia="Calibri" w:hAnsi="Arial" w:cs="Arial"/>
          <w:color w:val="000000"/>
        </w:rPr>
      </w:pPr>
      <w:bookmarkStart w:id="1" w:name="_Hlk100051121"/>
    </w:p>
    <w:p w14:paraId="4528DF9E" w14:textId="27DE6BD2" w:rsidR="00222E2D" w:rsidRDefault="00222E2D" w:rsidP="00222E2D">
      <w:pPr>
        <w:spacing w:after="0" w:line="276" w:lineRule="auto"/>
        <w:jc w:val="right"/>
        <w:rPr>
          <w:rFonts w:ascii="Arial" w:eastAsia="Calibri" w:hAnsi="Arial" w:cs="Arial"/>
          <w:color w:val="000000"/>
        </w:rPr>
      </w:pPr>
      <w:r w:rsidRPr="00222E2D">
        <w:rPr>
          <w:rFonts w:ascii="Arial" w:eastAsia="Calibri" w:hAnsi="Arial" w:cs="Arial"/>
          <w:noProof/>
          <w:color w:val="000000"/>
        </w:rPr>
        <w:drawing>
          <wp:inline distT="0" distB="0" distL="0" distR="0" wp14:anchorId="1ADB0F6A" wp14:editId="0434DF5A">
            <wp:extent cx="3407434" cy="880066"/>
            <wp:effectExtent l="0" t="0" r="254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3411281" cy="881060"/>
                    </a:xfrm>
                    <a:prstGeom prst="rect">
                      <a:avLst/>
                    </a:prstGeom>
                  </pic:spPr>
                </pic:pic>
              </a:graphicData>
            </a:graphic>
          </wp:inline>
        </w:drawing>
      </w:r>
    </w:p>
    <w:p w14:paraId="3E0AF8BD" w14:textId="77777777" w:rsidR="00222E2D" w:rsidRDefault="00222E2D" w:rsidP="007F2FEE">
      <w:pPr>
        <w:spacing w:after="0" w:line="276" w:lineRule="auto"/>
        <w:jc w:val="both"/>
        <w:rPr>
          <w:rFonts w:ascii="Arial" w:eastAsia="Calibri" w:hAnsi="Arial" w:cs="Arial"/>
          <w:color w:val="000000"/>
        </w:rPr>
      </w:pPr>
    </w:p>
    <w:p w14:paraId="2FAF5C84" w14:textId="4C1789B6" w:rsidR="007F2FEE" w:rsidRPr="007F2FEE" w:rsidRDefault="007F2FEE" w:rsidP="007F2FEE">
      <w:pPr>
        <w:spacing w:after="0" w:line="276" w:lineRule="auto"/>
        <w:jc w:val="both"/>
        <w:rPr>
          <w:rFonts w:ascii="Arial" w:eastAsia="Calibri" w:hAnsi="Arial" w:cs="Arial"/>
          <w:color w:val="000000"/>
        </w:rPr>
      </w:pPr>
      <w:r w:rsidRPr="007F2FEE">
        <w:rPr>
          <w:rFonts w:ascii="Arial" w:eastAsia="Calibri" w:hAnsi="Arial" w:cs="Arial"/>
          <w:color w:val="000000"/>
        </w:rPr>
        <w:t>Señor</w:t>
      </w:r>
    </w:p>
    <w:p w14:paraId="757D113C" w14:textId="77777777" w:rsidR="007F2FEE" w:rsidRPr="007F2FEE" w:rsidRDefault="007F2FEE" w:rsidP="007F2FEE">
      <w:pPr>
        <w:tabs>
          <w:tab w:val="center" w:pos="4394"/>
        </w:tabs>
        <w:spacing w:after="0" w:line="276" w:lineRule="auto"/>
        <w:jc w:val="both"/>
        <w:rPr>
          <w:rFonts w:ascii="Arial" w:eastAsia="Calibri" w:hAnsi="Arial" w:cs="Arial"/>
          <w:b/>
          <w:color w:val="000000"/>
        </w:rPr>
      </w:pPr>
      <w:r w:rsidRPr="007F2FEE">
        <w:rPr>
          <w:rFonts w:ascii="Arial" w:eastAsia="Calibri" w:hAnsi="Arial" w:cs="Arial"/>
          <w:b/>
          <w:color w:val="000000"/>
        </w:rPr>
        <w:t>Rogers Carlos Aguirre Bejarano</w:t>
      </w:r>
      <w:r w:rsidRPr="007F2FEE">
        <w:rPr>
          <w:rFonts w:ascii="Arial" w:eastAsia="Calibri" w:hAnsi="Arial" w:cs="Arial"/>
          <w:b/>
          <w:color w:val="000000"/>
        </w:rPr>
        <w:tab/>
      </w:r>
    </w:p>
    <w:p w14:paraId="5A0B3078" w14:textId="77777777" w:rsidR="007F2FEE" w:rsidRPr="007F2FEE" w:rsidRDefault="007F2FEE" w:rsidP="007F2FEE">
      <w:pPr>
        <w:spacing w:after="0" w:line="276" w:lineRule="auto"/>
        <w:rPr>
          <w:rFonts w:ascii="Arial" w:eastAsia="Calibri" w:hAnsi="Arial" w:cs="Arial"/>
          <w:b/>
          <w:bCs/>
          <w:color w:val="000000"/>
        </w:rPr>
      </w:pPr>
      <w:r w:rsidRPr="007F2FEE">
        <w:rPr>
          <w:rFonts w:ascii="Arial" w:eastAsia="Calibri" w:hAnsi="Arial" w:cs="Arial"/>
          <w:bCs/>
          <w:color w:val="000000"/>
        </w:rPr>
        <w:t>Bogotá D.C.</w:t>
      </w:r>
    </w:p>
    <w:p w14:paraId="7A4F473A" w14:textId="77777777" w:rsidR="007F2FEE" w:rsidRPr="007F2FEE" w:rsidRDefault="007F2FEE" w:rsidP="007F2FEE">
      <w:pPr>
        <w:spacing w:after="0" w:line="276" w:lineRule="auto"/>
        <w:rPr>
          <w:rFonts w:ascii="Arial" w:eastAsia="Calibri" w:hAnsi="Arial" w:cs="Arial"/>
          <w:b/>
          <w:bCs/>
          <w:color w:val="000000"/>
        </w:rPr>
      </w:pPr>
    </w:p>
    <w:p w14:paraId="4E6C81E4" w14:textId="77777777" w:rsidR="007F2FEE" w:rsidRPr="007F2FEE" w:rsidRDefault="007F2FEE" w:rsidP="007F2FEE">
      <w:pPr>
        <w:spacing w:after="0" w:line="276" w:lineRule="auto"/>
        <w:rPr>
          <w:rFonts w:ascii="Arial" w:eastAsia="Calibri" w:hAnsi="Arial" w:cs="Arial"/>
          <w:b/>
          <w:bCs/>
          <w:color w:val="000000"/>
          <w:lang w:val="pt-BR"/>
        </w:rPr>
      </w:pPr>
      <w:r w:rsidRPr="007F2FEE">
        <w:rPr>
          <w:rFonts w:ascii="Arial" w:eastAsia="Calibri" w:hAnsi="Arial" w:cs="Arial"/>
          <w:b/>
          <w:bCs/>
          <w:color w:val="000000"/>
        </w:rPr>
        <w:t xml:space="preserve">                                            </w:t>
      </w:r>
      <w:r w:rsidRPr="007F2FEE">
        <w:rPr>
          <w:rFonts w:ascii="Arial" w:eastAsia="Calibri" w:hAnsi="Arial" w:cs="Arial"/>
          <w:b/>
          <w:bCs/>
          <w:color w:val="000000"/>
          <w:lang w:val="pt-BR"/>
        </w:rPr>
        <w:t>Concepto C ‒ 950 de 2022</w:t>
      </w:r>
    </w:p>
    <w:p w14:paraId="33BFF18E" w14:textId="77777777" w:rsidR="007F2FEE" w:rsidRPr="007F2FEE" w:rsidRDefault="007F2FEE" w:rsidP="007F2FEE">
      <w:pPr>
        <w:spacing w:after="0" w:line="240" w:lineRule="auto"/>
        <w:rPr>
          <w:rFonts w:ascii="Arial" w:eastAsia="Calibri" w:hAnsi="Arial" w:cs="Arial"/>
          <w:b/>
          <w:bCs/>
          <w:color w:val="000000"/>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F2FEE" w:rsidRPr="007F2FEE" w14:paraId="23D9B288" w14:textId="77777777" w:rsidTr="00D62BBF">
        <w:trPr>
          <w:trHeight w:val="884"/>
        </w:trPr>
        <w:tc>
          <w:tcPr>
            <w:tcW w:w="2689" w:type="dxa"/>
          </w:tcPr>
          <w:p w14:paraId="65A29360" w14:textId="77777777" w:rsidR="007F2FEE" w:rsidRPr="007F2FEE" w:rsidRDefault="007F2FEE" w:rsidP="007F2FEE">
            <w:pPr>
              <w:jc w:val="both"/>
              <w:rPr>
                <w:rFonts w:ascii="Arial" w:eastAsia="Calibri" w:hAnsi="Arial" w:cs="Arial"/>
                <w:b/>
                <w:color w:val="000000"/>
                <w:szCs w:val="24"/>
                <w:lang w:val="es-ES_tradnl" w:eastAsia="es-ES_tradnl"/>
              </w:rPr>
            </w:pPr>
            <w:r w:rsidRPr="007F2FEE">
              <w:rPr>
                <w:rFonts w:ascii="Arial" w:eastAsia="Calibri" w:hAnsi="Arial" w:cs="Arial"/>
                <w:b/>
                <w:color w:val="000000"/>
                <w:szCs w:val="24"/>
                <w:lang w:val="es-ES_tradnl" w:eastAsia="es-ES_tradnl"/>
              </w:rPr>
              <w:t xml:space="preserve">Temas:                   </w:t>
            </w:r>
          </w:p>
        </w:tc>
        <w:tc>
          <w:tcPr>
            <w:tcW w:w="6237" w:type="dxa"/>
          </w:tcPr>
          <w:p w14:paraId="28FCABF5" w14:textId="77777777" w:rsidR="007F2FEE" w:rsidRPr="007F2FEE" w:rsidRDefault="007F2FEE" w:rsidP="00DE144A">
            <w:pPr>
              <w:spacing w:line="276" w:lineRule="auto"/>
              <w:jc w:val="both"/>
              <w:rPr>
                <w:rFonts w:ascii="Arial" w:eastAsia="Calibri" w:hAnsi="Arial" w:cs="Arial"/>
                <w:bCs/>
                <w:color w:val="000000"/>
                <w:szCs w:val="24"/>
                <w:lang w:val="es-ES_tradnl" w:eastAsia="es-ES_tradnl"/>
              </w:rPr>
            </w:pPr>
            <w:r w:rsidRPr="007F2FEE">
              <w:rPr>
                <w:rFonts w:ascii="Arial" w:eastAsia="Calibri" w:hAnsi="Arial" w:cs="Arial"/>
                <w:bCs/>
                <w:szCs w:val="24"/>
                <w:lang w:eastAsia="es-ES_tradnl"/>
              </w:rPr>
              <w:t>ADICIÓN – Concepto – Distintos supuestos – Prohibición – Adición en más del 50% / ADICIÓN – Prohibición – Monto – Cálculo – Parágrafo artículo 40 – Ley 80 de 1993 / ADICIÓN – Mayores cantidades – Límites – Posturas /</w:t>
            </w:r>
            <w:r w:rsidRPr="007F2FEE">
              <w:rPr>
                <w:rFonts w:ascii="Calibri" w:eastAsia="Calibri" w:hAnsi="Calibri" w:cs="Times New Roman"/>
              </w:rPr>
              <w:t xml:space="preserve"> </w:t>
            </w:r>
            <w:r w:rsidRPr="007F2FEE">
              <w:rPr>
                <w:rFonts w:ascii="Arial" w:eastAsia="Calibri" w:hAnsi="Arial" w:cs="Arial"/>
                <w:bCs/>
                <w:szCs w:val="24"/>
                <w:lang w:eastAsia="es-ES_tradnl"/>
              </w:rPr>
              <w:t>ADICIÓN – Excepciones a la regla /</w:t>
            </w:r>
            <w:r w:rsidRPr="007F2FEE">
              <w:rPr>
                <w:rFonts w:ascii="Arial" w:eastAsia="Calibri" w:hAnsi="Arial" w:cs="Arial"/>
                <w:bCs/>
                <w:szCs w:val="24"/>
                <w:lang w:val="es-ES_tradnl" w:eastAsia="es-ES_tradnl" w:bidi="es-ES"/>
              </w:rPr>
              <w:t xml:space="preserve"> MODIFICACION DE LOS CONTRATOS ESTATALES – Procedencia – Límites</w:t>
            </w:r>
            <w:r w:rsidRPr="007F2FEE">
              <w:rPr>
                <w:rFonts w:ascii="Arial" w:eastAsia="Calibri" w:hAnsi="Arial" w:cs="Arial"/>
                <w:bCs/>
                <w:szCs w:val="24"/>
                <w:lang w:eastAsia="es-ES_tradnl"/>
              </w:rPr>
              <w:t xml:space="preserve"> </w:t>
            </w:r>
            <w:r w:rsidRPr="007F2FEE">
              <w:rPr>
                <w:rFonts w:ascii="Arial" w:eastAsia="Calibri" w:hAnsi="Arial" w:cs="Arial"/>
                <w:bCs/>
                <w:color w:val="000000"/>
                <w:szCs w:val="24"/>
                <w:lang w:val="es-ES_tradnl" w:eastAsia="es-ES_tradnl"/>
              </w:rPr>
              <w:t xml:space="preserve">/ ACTIVIDADES NO PREVISTAS – Modificación </w:t>
            </w:r>
          </w:p>
          <w:p w14:paraId="005DA6EE" w14:textId="77777777" w:rsidR="007F2FEE" w:rsidRPr="007F2FEE" w:rsidRDefault="007F2FEE" w:rsidP="00DE144A">
            <w:pPr>
              <w:tabs>
                <w:tab w:val="left" w:pos="6551"/>
              </w:tabs>
              <w:spacing w:line="276" w:lineRule="auto"/>
              <w:jc w:val="both"/>
              <w:rPr>
                <w:rFonts w:ascii="Arial" w:eastAsia="Calibri" w:hAnsi="Arial" w:cs="Arial"/>
                <w:bCs/>
                <w:color w:val="000000"/>
                <w:lang w:val="es-ES_tradnl"/>
              </w:rPr>
            </w:pPr>
          </w:p>
        </w:tc>
      </w:tr>
      <w:tr w:rsidR="007F2FEE" w:rsidRPr="007F2FEE" w14:paraId="32F49060" w14:textId="77777777" w:rsidTr="00D62BBF">
        <w:tc>
          <w:tcPr>
            <w:tcW w:w="2689" w:type="dxa"/>
          </w:tcPr>
          <w:p w14:paraId="71A2DC7A" w14:textId="77777777" w:rsidR="007F2FEE" w:rsidRPr="007F2FEE" w:rsidRDefault="007F2FEE" w:rsidP="007F2FEE">
            <w:pPr>
              <w:jc w:val="both"/>
              <w:rPr>
                <w:rFonts w:ascii="Arial" w:eastAsia="Calibri" w:hAnsi="Arial" w:cs="Arial"/>
                <w:b/>
                <w:color w:val="000000"/>
                <w:szCs w:val="24"/>
                <w:lang w:val="es-ES_tradnl" w:eastAsia="es-ES_tradnl"/>
              </w:rPr>
            </w:pPr>
            <w:r w:rsidRPr="007F2FEE">
              <w:rPr>
                <w:rFonts w:ascii="Arial" w:eastAsia="Calibri" w:hAnsi="Arial" w:cs="Arial"/>
                <w:b/>
                <w:color w:val="000000"/>
                <w:szCs w:val="24"/>
                <w:lang w:val="es-ES_tradnl" w:eastAsia="es-ES_tradnl"/>
              </w:rPr>
              <w:t xml:space="preserve">Radicación:               </w:t>
            </w:r>
          </w:p>
        </w:tc>
        <w:tc>
          <w:tcPr>
            <w:tcW w:w="6237" w:type="dxa"/>
          </w:tcPr>
          <w:p w14:paraId="0FF13114" w14:textId="77777777" w:rsidR="007F2FEE" w:rsidRPr="007F2FEE" w:rsidRDefault="007F2FEE" w:rsidP="007F2FEE">
            <w:pPr>
              <w:jc w:val="both"/>
              <w:rPr>
                <w:rFonts w:ascii="Arial" w:eastAsia="Calibri" w:hAnsi="Arial" w:cs="Arial"/>
                <w:bCs/>
                <w:color w:val="000000"/>
                <w:szCs w:val="24"/>
                <w:lang w:val="es-ES_tradnl" w:eastAsia="es-ES_tradnl"/>
              </w:rPr>
            </w:pPr>
            <w:r w:rsidRPr="007F2FEE">
              <w:rPr>
                <w:rFonts w:ascii="Arial" w:eastAsia="Calibri" w:hAnsi="Arial" w:cs="Arial"/>
                <w:bCs/>
                <w:color w:val="000000"/>
                <w:szCs w:val="24"/>
                <w:lang w:val="es-ES_tradnl" w:eastAsia="es-ES_tradnl"/>
              </w:rPr>
              <w:t>Respuesta a consulta P20221212012154</w:t>
            </w:r>
          </w:p>
        </w:tc>
      </w:tr>
    </w:tbl>
    <w:p w14:paraId="6B5390FC" w14:textId="77777777" w:rsidR="007F2FEE" w:rsidRPr="007F2FEE" w:rsidRDefault="007F2FEE" w:rsidP="007F2FEE">
      <w:pPr>
        <w:spacing w:after="0" w:line="274" w:lineRule="auto"/>
        <w:jc w:val="both"/>
        <w:rPr>
          <w:rFonts w:ascii="Arial" w:eastAsia="Calibri" w:hAnsi="Arial" w:cs="Arial"/>
          <w:color w:val="000000"/>
          <w:lang w:val="es-ES_tradnl"/>
        </w:rPr>
      </w:pPr>
    </w:p>
    <w:p w14:paraId="7FEDF2C7" w14:textId="77777777" w:rsidR="007F2FEE" w:rsidRPr="007F2FEE" w:rsidRDefault="007F2FEE" w:rsidP="007F2FEE">
      <w:pPr>
        <w:spacing w:after="0" w:line="274" w:lineRule="auto"/>
        <w:jc w:val="both"/>
        <w:rPr>
          <w:rFonts w:ascii="Arial" w:eastAsia="Calibri" w:hAnsi="Arial" w:cs="Arial"/>
          <w:color w:val="000000"/>
          <w:lang w:val="es-ES_tradnl"/>
        </w:rPr>
      </w:pPr>
    </w:p>
    <w:p w14:paraId="6687B766" w14:textId="77777777" w:rsidR="007F2FEE" w:rsidRPr="007F2FEE" w:rsidRDefault="007F2FEE" w:rsidP="007F2FEE">
      <w:pPr>
        <w:spacing w:after="0" w:line="274" w:lineRule="auto"/>
        <w:jc w:val="both"/>
        <w:rPr>
          <w:rFonts w:ascii="Arial" w:eastAsia="Calibri" w:hAnsi="Arial" w:cs="Arial"/>
          <w:color w:val="000000"/>
          <w:lang w:val="es-ES_tradnl"/>
        </w:rPr>
      </w:pPr>
      <w:r w:rsidRPr="007F2FEE">
        <w:rPr>
          <w:rFonts w:ascii="Arial" w:eastAsia="Calibri" w:hAnsi="Arial" w:cs="Arial"/>
          <w:color w:val="000000"/>
          <w:lang w:val="es-ES_tradnl"/>
        </w:rPr>
        <w:t xml:space="preserve">Estimado señor Aguirre: </w:t>
      </w:r>
    </w:p>
    <w:p w14:paraId="7F93AEAD" w14:textId="77777777" w:rsidR="007F2FEE" w:rsidRPr="007F2FEE" w:rsidRDefault="007F2FEE" w:rsidP="007F2FEE">
      <w:pPr>
        <w:spacing w:after="0" w:line="274" w:lineRule="auto"/>
        <w:jc w:val="both"/>
        <w:rPr>
          <w:rFonts w:ascii="Arial" w:eastAsia="Calibri" w:hAnsi="Arial" w:cs="Arial"/>
          <w:color w:val="000000"/>
          <w:lang w:val="es-ES_tradnl"/>
        </w:rPr>
      </w:pPr>
    </w:p>
    <w:p w14:paraId="5FA10EE5" w14:textId="77777777" w:rsidR="007F2FEE" w:rsidRPr="007F2FEE" w:rsidRDefault="007F2FEE" w:rsidP="007F2FEE">
      <w:pPr>
        <w:spacing w:after="0" w:line="274" w:lineRule="auto"/>
        <w:jc w:val="both"/>
        <w:rPr>
          <w:rFonts w:ascii="Arial" w:eastAsia="Calibri" w:hAnsi="Arial" w:cs="Arial"/>
          <w:color w:val="000000"/>
          <w:lang w:val="es-ES_tradnl"/>
        </w:rPr>
      </w:pPr>
      <w:r w:rsidRPr="007F2FEE">
        <w:rPr>
          <w:rFonts w:ascii="Arial" w:eastAsia="Calibri" w:hAnsi="Arial" w:cs="Arial"/>
          <w:color w:val="000000"/>
          <w:lang w:val="es-ES_tradnl"/>
        </w:rPr>
        <w:t>En ejercicio de la competencia otorgada por el numeral 8 del artículo 11 y el numeral 5 del artículo 3 del Decreto Ley 4170 de 2011,</w:t>
      </w:r>
      <w:r w:rsidRPr="007F2FEE">
        <w:rPr>
          <w:rFonts w:ascii="Arial" w:eastAsia="Arial MT" w:hAnsi="Arial" w:cs="Arial"/>
          <w:lang w:val="es-ES"/>
        </w:rPr>
        <w:t xml:space="preserve"> </w:t>
      </w:r>
      <w:r w:rsidRPr="007F2FEE">
        <w:rPr>
          <w:rFonts w:ascii="Arial" w:eastAsia="Calibri" w:hAnsi="Arial" w:cs="Arial"/>
          <w:color w:val="000000"/>
          <w:lang w:val="es-ES_tradnl"/>
        </w:rPr>
        <w:t>la Agencia Nacional de Contratación Pública – Colombia Compra Eficiente, responde su consulta del 12 de diciembre de 2022.</w:t>
      </w:r>
    </w:p>
    <w:p w14:paraId="40C53E55" w14:textId="77777777" w:rsidR="007F2FEE" w:rsidRPr="007F2FEE" w:rsidRDefault="007F2FEE" w:rsidP="007F2FEE">
      <w:pPr>
        <w:spacing w:after="0" w:line="276" w:lineRule="auto"/>
        <w:jc w:val="both"/>
        <w:rPr>
          <w:rFonts w:ascii="Arial" w:eastAsia="Calibri" w:hAnsi="Arial" w:cs="Arial"/>
          <w:b/>
          <w:color w:val="000000"/>
          <w:lang w:val="es-ES_tradnl"/>
        </w:rPr>
      </w:pPr>
    </w:p>
    <w:p w14:paraId="69F5263B" w14:textId="77777777" w:rsidR="007F2FEE" w:rsidRPr="007F2FEE" w:rsidRDefault="007F2FEE" w:rsidP="007F2FEE">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lang w:val="es-ES_tradnl"/>
        </w:rPr>
      </w:pPr>
      <w:r w:rsidRPr="007F2FEE">
        <w:rPr>
          <w:rFonts w:ascii="Arial" w:eastAsia="Calibri" w:hAnsi="Arial" w:cs="Arial"/>
          <w:b/>
          <w:color w:val="000000"/>
          <w:lang w:val="es-ES_tradnl"/>
        </w:rPr>
        <w:t xml:space="preserve">Problema planteado </w:t>
      </w:r>
    </w:p>
    <w:p w14:paraId="7CC8A016" w14:textId="77777777" w:rsidR="007F2FEE" w:rsidRPr="007F2FEE" w:rsidRDefault="007F2FEE" w:rsidP="007F2FEE">
      <w:pPr>
        <w:tabs>
          <w:tab w:val="left" w:pos="426"/>
        </w:tabs>
        <w:spacing w:after="0" w:line="276" w:lineRule="auto"/>
        <w:jc w:val="both"/>
        <w:rPr>
          <w:rFonts w:ascii="Arial" w:eastAsia="Calibri" w:hAnsi="Arial" w:cs="Arial"/>
          <w:b/>
          <w:color w:val="000000"/>
          <w:lang w:val="es-ES_tradnl"/>
        </w:rPr>
      </w:pPr>
    </w:p>
    <w:p w14:paraId="37B27975" w14:textId="2804F480" w:rsidR="007F2FEE" w:rsidRPr="007F2FEE" w:rsidRDefault="007F2FEE" w:rsidP="007F2FEE">
      <w:pPr>
        <w:spacing w:after="0" w:line="276" w:lineRule="auto"/>
        <w:jc w:val="both"/>
        <w:rPr>
          <w:rFonts w:ascii="Arial" w:eastAsia="Calibri" w:hAnsi="Arial" w:cs="Arial"/>
          <w:bCs/>
        </w:rPr>
      </w:pPr>
      <w:r w:rsidRPr="007F2FEE">
        <w:rPr>
          <w:rFonts w:ascii="Arial" w:eastAsia="Calibri" w:hAnsi="Arial" w:cs="Arial"/>
          <w:bCs/>
        </w:rPr>
        <w:t xml:space="preserve">En relación con la Sentencia SU214 del 16 de junio de 2022 de la Corte Constitucional, usted realiza las siguientes preguntas: i) </w:t>
      </w:r>
      <w:r w:rsidRPr="007F2FEE">
        <w:rPr>
          <w:rFonts w:ascii="Arial" w:eastAsia="Calibri" w:hAnsi="Arial" w:cs="Arial"/>
          <w:bCs/>
          <w:sz w:val="21"/>
          <w:szCs w:val="21"/>
        </w:rPr>
        <w:t>«</w:t>
      </w:r>
      <w:r w:rsidRPr="007F2FEE">
        <w:rPr>
          <w:rFonts w:ascii="Arial" w:eastAsia="Calibri" w:hAnsi="Arial" w:cs="Arial"/>
          <w:bCs/>
        </w:rPr>
        <w:t>¿</w:t>
      </w:r>
      <w:r w:rsidRPr="007F2FEE">
        <w:rPr>
          <w:rFonts w:ascii="Calibri" w:eastAsia="Calibri" w:hAnsi="Calibri" w:cs="Times New Roman"/>
        </w:rPr>
        <w:t xml:space="preserve"> </w:t>
      </w:r>
      <w:r w:rsidRPr="007F2FEE">
        <w:rPr>
          <w:rFonts w:ascii="Arial" w:eastAsia="Calibri" w:hAnsi="Arial" w:cs="Arial"/>
          <w:bCs/>
        </w:rPr>
        <w:t>Es dable interpretar que en los contratos por precios unitarios solo es posible adicionar valores a los ítems contemplados en el contrato inicial? o se podría incluir ítems adicionales?</w:t>
      </w:r>
      <w:r w:rsidRPr="007F2FEE">
        <w:rPr>
          <w:rFonts w:ascii="Arial" w:eastAsia="Calibri" w:hAnsi="Arial" w:cs="Arial"/>
          <w:bCs/>
          <w:sz w:val="21"/>
          <w:szCs w:val="21"/>
        </w:rPr>
        <w:t>»</w:t>
      </w:r>
      <w:r w:rsidRPr="007F2FEE">
        <w:rPr>
          <w:rFonts w:ascii="Arial" w:eastAsia="Calibri" w:hAnsi="Arial" w:cs="Arial"/>
          <w:bCs/>
        </w:rPr>
        <w:t xml:space="preserve">, </w:t>
      </w:r>
      <w:proofErr w:type="spellStart"/>
      <w:r w:rsidRPr="007F2FEE">
        <w:rPr>
          <w:rFonts w:ascii="Arial" w:eastAsia="Calibri" w:hAnsi="Arial" w:cs="Arial"/>
          <w:bCs/>
        </w:rPr>
        <w:t>ii</w:t>
      </w:r>
      <w:proofErr w:type="spellEnd"/>
      <w:r w:rsidRPr="007F2FEE">
        <w:rPr>
          <w:rFonts w:ascii="Arial" w:eastAsia="Calibri" w:hAnsi="Arial" w:cs="Arial"/>
          <w:bCs/>
        </w:rPr>
        <w:t xml:space="preserve">) </w:t>
      </w:r>
      <w:r w:rsidRPr="007F2FEE">
        <w:rPr>
          <w:rFonts w:ascii="Arial" w:eastAsia="Calibri" w:hAnsi="Arial" w:cs="Arial"/>
          <w:bCs/>
          <w:sz w:val="21"/>
          <w:szCs w:val="21"/>
        </w:rPr>
        <w:t xml:space="preserve">«En el evento en que se contraten ítem por precios unitarios y el contrato inicial los relacione pero no les asigne presupuesto, es posible adicionar recursos al </w:t>
      </w:r>
      <w:r w:rsidRPr="007F2FEE">
        <w:rPr>
          <w:rFonts w:ascii="Arial" w:eastAsia="Calibri" w:hAnsi="Arial" w:cs="Arial"/>
          <w:bCs/>
          <w:sz w:val="21"/>
          <w:szCs w:val="21"/>
        </w:rPr>
        <w:lastRenderedPageBreak/>
        <w:t>contrato para asignarle recursos a dichos ítems?»</w:t>
      </w:r>
      <w:r w:rsidRPr="007F2FEE">
        <w:rPr>
          <w:rFonts w:ascii="Arial" w:eastAsia="Calibri" w:hAnsi="Arial" w:cs="Arial"/>
          <w:bCs/>
        </w:rPr>
        <w:t xml:space="preserve">, y </w:t>
      </w:r>
      <w:proofErr w:type="spellStart"/>
      <w:r w:rsidRPr="007F2FEE">
        <w:rPr>
          <w:rFonts w:ascii="Arial" w:eastAsia="Calibri" w:hAnsi="Arial" w:cs="Arial"/>
          <w:bCs/>
        </w:rPr>
        <w:t>iii</w:t>
      </w:r>
      <w:proofErr w:type="spellEnd"/>
      <w:r w:rsidRPr="007F2FEE">
        <w:rPr>
          <w:rFonts w:ascii="Arial" w:eastAsia="Calibri" w:hAnsi="Arial" w:cs="Arial"/>
          <w:bCs/>
        </w:rPr>
        <w:t xml:space="preserve">) </w:t>
      </w:r>
      <w:r w:rsidRPr="007F2FEE">
        <w:rPr>
          <w:rFonts w:ascii="Arial" w:eastAsia="Calibri" w:hAnsi="Arial" w:cs="Arial"/>
          <w:bCs/>
          <w:sz w:val="21"/>
          <w:szCs w:val="21"/>
        </w:rPr>
        <w:t>«</w:t>
      </w:r>
      <w:r w:rsidRPr="007F2FEE">
        <w:rPr>
          <w:rFonts w:ascii="Arial" w:eastAsia="Calibri" w:hAnsi="Arial" w:cs="Arial"/>
          <w:bCs/>
        </w:rPr>
        <w:t>En los contratos de prestación de servicios, con el criterio de interpretación de la sentencia antes indicada, es posible adicionar los mismos?</w:t>
      </w:r>
      <w:r w:rsidR="00526F42" w:rsidRPr="007F2FEE" w:rsidDel="00526F42">
        <w:rPr>
          <w:rFonts w:ascii="Arial" w:eastAsia="Calibri" w:hAnsi="Arial" w:cs="Arial"/>
          <w:bCs/>
        </w:rPr>
        <w:t xml:space="preserve"> </w:t>
      </w:r>
      <w:proofErr w:type="gramStart"/>
      <w:r w:rsidRPr="007F2FEE">
        <w:rPr>
          <w:rFonts w:ascii="Arial" w:eastAsia="Calibri" w:hAnsi="Arial" w:cs="Arial"/>
          <w:bCs/>
          <w:sz w:val="21"/>
          <w:szCs w:val="21"/>
        </w:rPr>
        <w:t>»</w:t>
      </w:r>
      <w:r w:rsidR="00526F42" w:rsidRPr="007F2FEE">
        <w:rPr>
          <w:rFonts w:ascii="Arial" w:eastAsia="Calibri" w:hAnsi="Arial" w:cs="Arial"/>
          <w:bCs/>
        </w:rPr>
        <w:t>(</w:t>
      </w:r>
      <w:proofErr w:type="gramEnd"/>
      <w:r w:rsidR="00526F42" w:rsidRPr="007F2FEE">
        <w:rPr>
          <w:rFonts w:ascii="Arial" w:eastAsia="Calibri" w:hAnsi="Arial" w:cs="Arial"/>
          <w:bCs/>
        </w:rPr>
        <w:t>sic)</w:t>
      </w:r>
      <w:r w:rsidRPr="007F2FEE">
        <w:rPr>
          <w:rFonts w:ascii="Arial" w:eastAsia="Calibri" w:hAnsi="Arial" w:cs="Arial"/>
          <w:bCs/>
          <w:sz w:val="21"/>
          <w:szCs w:val="21"/>
        </w:rPr>
        <w:t>.</w:t>
      </w:r>
    </w:p>
    <w:p w14:paraId="54EA54F2" w14:textId="77777777" w:rsidR="007F2FEE" w:rsidRPr="007F2FEE" w:rsidRDefault="007F2FEE" w:rsidP="007F2FEE">
      <w:pPr>
        <w:spacing w:after="0" w:line="276" w:lineRule="auto"/>
        <w:ind w:right="709"/>
        <w:jc w:val="both"/>
        <w:rPr>
          <w:rFonts w:ascii="Arial" w:eastAsia="Calibri" w:hAnsi="Arial" w:cs="Arial"/>
          <w:bCs/>
          <w:sz w:val="21"/>
          <w:szCs w:val="21"/>
        </w:rPr>
      </w:pPr>
    </w:p>
    <w:p w14:paraId="3CC9A0C8" w14:textId="77777777" w:rsidR="007F2FEE" w:rsidRPr="007F2FEE" w:rsidRDefault="007F2FEE" w:rsidP="007F2FEE">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lang w:val="es-ES_tradnl"/>
        </w:rPr>
      </w:pPr>
      <w:r w:rsidRPr="007F2FEE">
        <w:rPr>
          <w:rFonts w:ascii="Arial" w:eastAsia="Calibri" w:hAnsi="Arial" w:cs="Arial"/>
          <w:b/>
          <w:color w:val="000000"/>
          <w:lang w:val="es-ES_tradnl"/>
        </w:rPr>
        <w:t>Consideraciones</w:t>
      </w:r>
    </w:p>
    <w:p w14:paraId="1E29DC78" w14:textId="77777777" w:rsidR="007F2FEE" w:rsidRPr="007F2FEE" w:rsidRDefault="007F2FEE" w:rsidP="007F2FEE">
      <w:pPr>
        <w:spacing w:after="0" w:line="276" w:lineRule="auto"/>
        <w:jc w:val="both"/>
        <w:rPr>
          <w:rFonts w:ascii="Arial" w:eastAsia="Calibri" w:hAnsi="Arial" w:cs="Arial"/>
          <w:color w:val="000000"/>
        </w:rPr>
      </w:pPr>
    </w:p>
    <w:p w14:paraId="46FBA9D5" w14:textId="77777777" w:rsidR="007F2FEE" w:rsidRPr="007F2FEE" w:rsidRDefault="007F2FEE" w:rsidP="007F2FEE">
      <w:pPr>
        <w:spacing w:after="0" w:line="276" w:lineRule="auto"/>
        <w:jc w:val="both"/>
        <w:rPr>
          <w:rFonts w:ascii="Arial" w:eastAsia="Calibri" w:hAnsi="Arial" w:cs="Arial"/>
          <w:szCs w:val="24"/>
          <w:lang w:val="es-MX" w:eastAsia="es-ES_tradnl"/>
        </w:rPr>
      </w:pPr>
      <w:r w:rsidRPr="007F2FEE">
        <w:rPr>
          <w:rFonts w:ascii="Arial" w:eastAsia="Calibri" w:hAnsi="Arial" w:cs="Arial"/>
          <w:bCs/>
          <w:color w:val="000000"/>
          <w:lang w:val="es-ES"/>
        </w:rPr>
        <w:t xml:space="preserve">Para </w:t>
      </w:r>
      <w:r w:rsidRPr="007F2FEE">
        <w:rPr>
          <w:rFonts w:ascii="Arial" w:eastAsia="Calibri" w:hAnsi="Arial" w:cs="Arial"/>
          <w:szCs w:val="24"/>
          <w:lang w:val="es-MX" w:eastAsia="es-ES_tradnl"/>
        </w:rPr>
        <w:t xml:space="preserve">resolver su consulta se analizarán los siguientes temas: i) adición de los contratos estatales y las posturas en torno al tope para adicionar contratos y </w:t>
      </w:r>
      <w:proofErr w:type="spellStart"/>
      <w:r w:rsidRPr="007F2FEE">
        <w:rPr>
          <w:rFonts w:ascii="Arial" w:eastAsia="Calibri" w:hAnsi="Arial" w:cs="Arial"/>
          <w:szCs w:val="24"/>
          <w:lang w:val="es-MX" w:eastAsia="es-ES_tradnl"/>
        </w:rPr>
        <w:t>ii</w:t>
      </w:r>
      <w:proofErr w:type="spellEnd"/>
      <w:r w:rsidRPr="007F2FEE">
        <w:rPr>
          <w:rFonts w:ascii="Arial" w:eastAsia="Calibri" w:hAnsi="Arial" w:cs="Arial"/>
          <w:szCs w:val="24"/>
          <w:lang w:val="es-MX" w:eastAsia="es-ES_tradnl"/>
        </w:rPr>
        <w:t>) las modificaciones a los contratos estatales.</w:t>
      </w:r>
    </w:p>
    <w:p w14:paraId="3FAF19BC"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rPr>
      </w:pPr>
      <w:r w:rsidRPr="007F2FEE">
        <w:rPr>
          <w:rFonts w:ascii="Arial" w:eastAsia="Calibri" w:hAnsi="Arial" w:cs="Arial"/>
          <w:szCs w:val="24"/>
          <w:lang w:val="es-MX" w:eastAsia="es-ES_tradnl"/>
        </w:rPr>
        <w:t xml:space="preserve">La Agencia Nacional de Contratación Pública </w:t>
      </w:r>
      <w:r w:rsidRPr="007F2FEE">
        <w:rPr>
          <w:rFonts w:ascii="Arial" w:eastAsia="Calibri" w:hAnsi="Arial" w:cs="Arial" w:hint="eastAsia"/>
          <w:szCs w:val="24"/>
          <w:lang w:val="es-MX" w:eastAsia="es-ES_tradnl"/>
        </w:rPr>
        <w:t>―</w:t>
      </w:r>
      <w:r w:rsidRPr="007F2FEE">
        <w:rPr>
          <w:rFonts w:ascii="Arial" w:eastAsia="Calibri" w:hAnsi="Arial" w:cs="Arial"/>
          <w:szCs w:val="24"/>
          <w:lang w:val="es-MX" w:eastAsia="es-ES_tradnl"/>
        </w:rPr>
        <w:t xml:space="preserve"> Colombia Compra Eficiente, en los conceptos con radicados No. 4201912000007298 del 23 de octubre de 2019, 4201913000006294 del 16 de septiembre de 2019, así como en los conceptos C-062 del 25 de marzo de 2020, C-100 del 27 de marzo de 2020, </w:t>
      </w:r>
      <w:r w:rsidRPr="007F2FEE">
        <w:rPr>
          <w:rFonts w:ascii="Arial" w:eastAsia="Calibri" w:hAnsi="Arial" w:cs="Arial"/>
          <w:szCs w:val="24"/>
          <w:lang w:eastAsia="es-ES_tradnl"/>
        </w:rPr>
        <w:t>C-318 del 28 de mayo de 2020, C–452 del 28 de julio de 2020,</w:t>
      </w:r>
      <w:r w:rsidRPr="007F2FEE">
        <w:rPr>
          <w:rFonts w:ascii="Arial" w:eastAsia="Calibri" w:hAnsi="Arial" w:cs="Arial"/>
          <w:bCs/>
          <w:szCs w:val="24"/>
          <w:lang w:eastAsia="es-ES_tradnl"/>
        </w:rPr>
        <w:t xml:space="preserve"> C-560 del 24 de agosto de 2020, C-628 del 23 de septiembre del 2020,</w:t>
      </w:r>
      <w:r w:rsidRPr="007F2FEE">
        <w:rPr>
          <w:rFonts w:ascii="Arial" w:eastAsia="Calibri" w:hAnsi="Arial" w:cs="Arial"/>
          <w:szCs w:val="24"/>
          <w:lang w:eastAsia="es-ES_tradnl"/>
        </w:rPr>
        <w:t xml:space="preserve"> C-750 del 21 de diciembre de 2020,</w:t>
      </w:r>
      <w:r w:rsidRPr="007F2FEE">
        <w:rPr>
          <w:rFonts w:ascii="Arial" w:eastAsia="Calibri" w:hAnsi="Arial" w:cs="Arial"/>
          <w:bCs/>
          <w:szCs w:val="24"/>
          <w:lang w:eastAsia="es-ES_tradnl"/>
        </w:rPr>
        <w:t xml:space="preserve"> C-073 del 16 de marzo de 2021, C-277 del 21 de junio de 2021, C-644 del 18 de noviembre de 2021, C-755 del 21 de enero de 2022, C-152 del 1 de abril de 2022, C-267 del 5 de mayo de 2022, C-432 del 13 de julio de 2022, C-630 del 29 de septiembre de 2022, C-784 del 21 de noviembre de 2022 y C-824 del 29 de noviembre de 2022,</w:t>
      </w:r>
      <w:r w:rsidRPr="007F2FEE">
        <w:rPr>
          <w:rFonts w:ascii="Arial" w:eastAsia="Calibri" w:hAnsi="Arial" w:cs="Arial"/>
          <w:szCs w:val="24"/>
          <w:lang w:val="es-MX" w:eastAsia="es-ES_tradnl"/>
        </w:rPr>
        <w:t xml:space="preserve"> estudió asuntos relacionados con la adición de los contratos estatales</w:t>
      </w:r>
      <w:r w:rsidRPr="007F2FEE">
        <w:rPr>
          <w:rFonts w:ascii="Arial" w:eastAsia="Calibri" w:hAnsi="Arial" w:cs="Arial"/>
          <w:szCs w:val="24"/>
          <w:vertAlign w:val="superscript"/>
          <w:lang w:val="es-ES_tradnl" w:eastAsia="es-ES_tradnl"/>
        </w:rPr>
        <w:footnoteReference w:id="2"/>
      </w:r>
      <w:r w:rsidRPr="007F2FEE">
        <w:rPr>
          <w:rFonts w:ascii="Arial" w:eastAsia="Calibri" w:hAnsi="Arial" w:cs="Arial"/>
          <w:szCs w:val="24"/>
          <w:lang w:val="es-ES_tradnl" w:eastAsia="es-ES_tradnl"/>
        </w:rPr>
        <w:t xml:space="preserve">. </w:t>
      </w:r>
      <w:r w:rsidRPr="007F2FEE">
        <w:rPr>
          <w:rFonts w:ascii="Arial" w:eastAsia="Calibri" w:hAnsi="Arial" w:cs="Arial"/>
          <w:bCs/>
          <w:szCs w:val="24"/>
          <w:lang w:val="es-ES_tradnl" w:eastAsia="es-ES_tradnl"/>
        </w:rPr>
        <w:t>Asimismo, en los conceptos C-457 del 3 de septiembre del 2021 y C-663 del 13 de octubre de 2022 se pronunció sobre la modificación a los contratos estatales. Las tesis expuestas en estos conceptos se reiteran y se complementan en lo pertinente.</w:t>
      </w:r>
    </w:p>
    <w:p w14:paraId="3B7B1478" w14:textId="77777777" w:rsidR="007F2FEE" w:rsidRPr="007F2FEE" w:rsidRDefault="007F2FEE" w:rsidP="007F2FEE">
      <w:pPr>
        <w:spacing w:after="0" w:line="276" w:lineRule="auto"/>
        <w:jc w:val="both"/>
        <w:rPr>
          <w:rFonts w:ascii="Arial" w:eastAsia="Calibri" w:hAnsi="Arial" w:cs="Arial"/>
          <w:b/>
          <w:bCs/>
          <w:szCs w:val="24"/>
          <w:lang w:val="es-ES_tradnl" w:eastAsia="es-ES_tradnl"/>
        </w:rPr>
      </w:pPr>
    </w:p>
    <w:p w14:paraId="7BCD0AE5" w14:textId="77777777" w:rsidR="007F2FEE" w:rsidRPr="007F2FEE" w:rsidRDefault="007F2FEE" w:rsidP="007F2FEE">
      <w:pPr>
        <w:spacing w:after="0" w:line="276" w:lineRule="auto"/>
        <w:jc w:val="both"/>
        <w:rPr>
          <w:rFonts w:ascii="Arial" w:eastAsia="Calibri" w:hAnsi="Arial" w:cs="Arial"/>
          <w:b/>
          <w:szCs w:val="24"/>
          <w:lang w:val="es-ES_tradnl" w:eastAsia="es-ES_tradnl"/>
        </w:rPr>
      </w:pPr>
      <w:r w:rsidRPr="007F2FEE">
        <w:rPr>
          <w:rFonts w:ascii="Arial" w:eastAsia="Calibri" w:hAnsi="Arial" w:cs="Arial"/>
          <w:b/>
          <w:bCs/>
          <w:szCs w:val="24"/>
          <w:lang w:val="es-ES_tradnl" w:eastAsia="es-ES_tradnl"/>
        </w:rPr>
        <w:t xml:space="preserve">2.1. </w:t>
      </w:r>
      <w:r w:rsidRPr="007F2FEE">
        <w:rPr>
          <w:rFonts w:ascii="Arial" w:eastAsia="Calibri" w:hAnsi="Arial" w:cs="Arial"/>
          <w:b/>
          <w:szCs w:val="24"/>
          <w:lang w:val="es-ES_tradnl" w:eastAsia="es-ES_tradnl"/>
        </w:rPr>
        <w:t>Concepto de adición en los contratos estatales y sus límites en el Estatuto General de Contratación de la Administración Pública</w:t>
      </w:r>
    </w:p>
    <w:p w14:paraId="0427E217" w14:textId="77777777" w:rsidR="007F2FEE" w:rsidRPr="007F2FEE" w:rsidRDefault="007F2FEE" w:rsidP="007F2FEE">
      <w:pPr>
        <w:spacing w:after="0" w:line="276" w:lineRule="auto"/>
        <w:jc w:val="both"/>
        <w:rPr>
          <w:rFonts w:ascii="Arial" w:eastAsia="Calibri" w:hAnsi="Arial" w:cs="Arial"/>
          <w:bCs/>
          <w:szCs w:val="24"/>
          <w:lang w:val="es-ES_tradnl" w:eastAsia="es-ES_tradnl"/>
        </w:rPr>
      </w:pPr>
    </w:p>
    <w:p w14:paraId="0919393E" w14:textId="77777777" w:rsidR="007F2FEE" w:rsidRPr="007F2FEE" w:rsidRDefault="007F2FEE" w:rsidP="007F2FEE">
      <w:pPr>
        <w:spacing w:after="0" w:line="276" w:lineRule="auto"/>
        <w:jc w:val="both"/>
        <w:rPr>
          <w:rFonts w:ascii="Arial" w:eastAsia="Calibri" w:hAnsi="Arial" w:cs="Arial"/>
          <w:bCs/>
          <w:szCs w:val="24"/>
          <w:lang w:val="es-ES_tradnl" w:eastAsia="es-ES_tradnl"/>
        </w:rPr>
      </w:pPr>
      <w:r w:rsidRPr="007F2FEE">
        <w:rPr>
          <w:rFonts w:ascii="Arial" w:eastAsia="Calibri" w:hAnsi="Arial" w:cs="Arial"/>
          <w:bCs/>
          <w:szCs w:val="24"/>
          <w:lang w:val="es-ES_tradnl" w:eastAsia="es-ES_tradnl"/>
        </w:rPr>
        <w:t xml:space="preserve">Como es sabido, uno de los elementos más comunes en los contratos estatales es el </w:t>
      </w:r>
      <w:r w:rsidRPr="007F2FEE">
        <w:rPr>
          <w:rFonts w:ascii="Arial" w:eastAsia="Calibri" w:hAnsi="Arial" w:cs="Arial"/>
          <w:bCs/>
          <w:i/>
          <w:iCs/>
          <w:szCs w:val="24"/>
          <w:lang w:val="es-ES_tradnl" w:eastAsia="es-ES_tradnl"/>
        </w:rPr>
        <w:t>precio</w:t>
      </w:r>
      <w:r w:rsidRPr="007F2FEE">
        <w:rPr>
          <w:rFonts w:ascii="Arial" w:eastAsia="Calibri" w:hAnsi="Arial" w:cs="Arial"/>
          <w:bCs/>
          <w:szCs w:val="24"/>
          <w:lang w:val="es-ES_tradnl" w:eastAsia="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27B5AB6F"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rPr>
      </w:pPr>
      <w:r w:rsidRPr="007F2FEE">
        <w:rPr>
          <w:rFonts w:ascii="Arial" w:eastAsia="Calibri" w:hAnsi="Arial" w:cs="Arial"/>
          <w:bCs/>
          <w:szCs w:val="24"/>
          <w:lang w:val="es-ES_tradnl"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w:t>
      </w:r>
      <w:r w:rsidRPr="007F2FEE">
        <w:rPr>
          <w:rFonts w:ascii="Arial" w:eastAsia="Calibri" w:hAnsi="Arial" w:cs="Arial"/>
          <w:bCs/>
          <w:szCs w:val="24"/>
          <w:lang w:val="es-ES_tradnl" w:eastAsia="es-ES_tradnl"/>
        </w:rPr>
        <w:lastRenderedPageBreak/>
        <w:t>hay algunas modalidades más comunes en los de obra pública; otras más utilizadas en los de prestación de servicios y otras más indicadas para los de concesión, por mencionar algunos ejemplos</w:t>
      </w:r>
      <w:r w:rsidRPr="007F2FEE">
        <w:rPr>
          <w:rFonts w:ascii="Arial" w:eastAsia="Calibri" w:hAnsi="Arial" w:cs="Arial"/>
          <w:bCs/>
          <w:szCs w:val="24"/>
          <w:vertAlign w:val="superscript"/>
          <w:lang w:val="es-ES_tradnl" w:eastAsia="es-ES_tradnl"/>
        </w:rPr>
        <w:footnoteReference w:id="3"/>
      </w:r>
      <w:r w:rsidRPr="007F2FEE">
        <w:rPr>
          <w:rFonts w:ascii="Arial" w:eastAsia="Calibri" w:hAnsi="Arial" w:cs="Arial"/>
          <w:bCs/>
          <w:szCs w:val="24"/>
          <w:lang w:val="es-ES_tradnl" w:eastAsia="es-ES_tradnl"/>
        </w:rPr>
        <w:t>.</w:t>
      </w:r>
    </w:p>
    <w:p w14:paraId="7F7E85BB"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rPr>
      </w:pPr>
      <w:r w:rsidRPr="007F2FEE">
        <w:rPr>
          <w:rFonts w:ascii="Arial" w:eastAsia="Calibri" w:hAnsi="Arial" w:cs="Arial"/>
          <w:bCs/>
          <w:szCs w:val="24"/>
          <w:lang w:val="es-ES_tradnl" w:eastAsia="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7F2FEE">
        <w:rPr>
          <w:rFonts w:ascii="Arial" w:eastAsia="Calibri" w:hAnsi="Arial" w:cs="Arial"/>
          <w:bCs/>
          <w:szCs w:val="24"/>
          <w:lang w:val="es-ES_tradnl" w:eastAsia="es-ES_tradnl"/>
        </w:rPr>
        <w:t>ii</w:t>
      </w:r>
      <w:proofErr w:type="spellEnd"/>
      <w:r w:rsidRPr="007F2FEE">
        <w:rPr>
          <w:rFonts w:ascii="Arial" w:eastAsia="Calibri" w:hAnsi="Arial" w:cs="Arial"/>
          <w:bCs/>
          <w:szCs w:val="24"/>
          <w:lang w:val="es-ES_tradnl" w:eastAsia="es-ES_tradnl"/>
        </w:rPr>
        <w:t xml:space="preserve">) el precio global –que equivale al monto total, sin discriminar unidades–, y </w:t>
      </w:r>
      <w:proofErr w:type="spellStart"/>
      <w:r w:rsidRPr="007F2FEE">
        <w:rPr>
          <w:rFonts w:ascii="Arial" w:eastAsia="Calibri" w:hAnsi="Arial" w:cs="Arial"/>
          <w:bCs/>
          <w:szCs w:val="24"/>
          <w:lang w:val="es-ES_tradnl" w:eastAsia="es-ES_tradnl"/>
        </w:rPr>
        <w:t>iii</w:t>
      </w:r>
      <w:proofErr w:type="spellEnd"/>
      <w:r w:rsidRPr="007F2FEE">
        <w:rPr>
          <w:rFonts w:ascii="Arial" w:eastAsia="Calibri" w:hAnsi="Arial" w:cs="Arial"/>
          <w:bCs/>
          <w:szCs w:val="24"/>
          <w:lang w:val="es-ES_tradnl" w:eastAsia="es-ES_tradnl"/>
        </w:rPr>
        <w:t>) la administración delegada de recursos –en la que se distinguen los costos de inversión de los honorarios del administrador–.</w:t>
      </w:r>
    </w:p>
    <w:p w14:paraId="33DD50EB"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rPr>
      </w:pPr>
      <w:r w:rsidRPr="007F2FEE">
        <w:rPr>
          <w:rFonts w:ascii="Arial" w:eastAsia="Calibri" w:hAnsi="Arial" w:cs="Arial"/>
          <w:bCs/>
          <w:szCs w:val="24"/>
          <w:lang w:val="es-ES_tradnl" w:eastAsia="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7F2FEE">
        <w:rPr>
          <w:rFonts w:ascii="Arial" w:eastAsia="Calibri" w:hAnsi="Arial" w:cs="Arial"/>
          <w:bCs/>
          <w:i/>
          <w:iCs/>
          <w:szCs w:val="24"/>
          <w:lang w:val="es-ES_tradnl" w:eastAsia="es-ES_tradnl"/>
        </w:rPr>
        <w:t>ítems</w:t>
      </w:r>
      <w:r w:rsidRPr="007F2FEE">
        <w:rPr>
          <w:rFonts w:ascii="Arial" w:eastAsia="Calibri" w:hAnsi="Arial"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7F2FEE">
        <w:rPr>
          <w:rFonts w:ascii="Arial" w:eastAsia="Calibri" w:hAnsi="Arial" w:cs="Arial"/>
          <w:szCs w:val="24"/>
          <w:vertAlign w:val="superscript"/>
          <w:lang w:val="es-ES_tradnl" w:eastAsia="es-ES_tradnl"/>
        </w:rPr>
        <w:footnoteReference w:id="4"/>
      </w:r>
      <w:r w:rsidRPr="007F2FEE">
        <w:rPr>
          <w:rFonts w:ascii="Arial" w:eastAsia="Calibri" w:hAnsi="Arial" w:cs="Arial"/>
          <w:szCs w:val="24"/>
          <w:lang w:val="es-ES_tradnl" w:eastAsia="es-ES_tradnl"/>
        </w:rPr>
        <w:t>.</w:t>
      </w:r>
    </w:p>
    <w:p w14:paraId="4C76161F"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rPr>
      </w:pPr>
      <w:r w:rsidRPr="007F2FEE">
        <w:rPr>
          <w:rFonts w:ascii="Arial" w:eastAsia="Calibri" w:hAnsi="Arial" w:cs="Arial"/>
          <w:bCs/>
          <w:szCs w:val="24"/>
          <w:lang w:val="es-ES_tradnl" w:eastAsia="es-ES_tradnl"/>
        </w:rPr>
        <w:t xml:space="preserve">En este orden de ideas, tanto las entidades sometidas al Estatuto General de Contratación de la Administración Pública – EGCAP –, como las excluidas de este –es decir, las que tienen un régimen especial– gozan de autonomía para configurar el precio y para establecer el sistema de </w:t>
      </w:r>
      <w:r w:rsidRPr="007F2FEE">
        <w:rPr>
          <w:rFonts w:ascii="Arial" w:eastAsia="Calibri" w:hAnsi="Arial" w:cs="Arial"/>
          <w:bCs/>
          <w:szCs w:val="24"/>
          <w:lang w:val="es-ES_tradnl" w:eastAsia="es-ES_tradnl"/>
        </w:rPr>
        <w:lastRenderedPageBreak/>
        <w:t>pago más apropiado para satisfacer los fines de la contratación, respetando los límites previstos en el ordenamiento. Para las entidades que se rigen por el EGCAP, tal autonomía está reconocida en los artículos 13, 32 y 40 de la Ley 80 de 1993.</w:t>
      </w:r>
    </w:p>
    <w:p w14:paraId="693B796D" w14:textId="77777777" w:rsidR="007F2FEE" w:rsidRPr="007F2FEE" w:rsidRDefault="007F2FEE" w:rsidP="007F2FEE">
      <w:pPr>
        <w:spacing w:before="120" w:after="0" w:line="276" w:lineRule="auto"/>
        <w:ind w:firstLine="709"/>
        <w:jc w:val="both"/>
        <w:rPr>
          <w:rFonts w:ascii="Arial" w:eastAsia="Calibri" w:hAnsi="Arial" w:cs="Arial"/>
          <w:lang w:val="es-ES_tradnl" w:eastAsia="es-ES_tradnl"/>
        </w:rPr>
      </w:pPr>
      <w:r w:rsidRPr="007F2FEE">
        <w:rPr>
          <w:rFonts w:ascii="Arial" w:eastAsia="Calibri" w:hAnsi="Arial" w:cs="Arial"/>
          <w:lang w:val="es-ES_tradnl" w:eastAsia="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pretenden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7F2FEE">
        <w:rPr>
          <w:rFonts w:ascii="Arial" w:eastAsia="Calibri" w:hAnsi="Arial" w:cs="Arial"/>
          <w:lang w:val="es-ES_tradnl" w:eastAsia="es-ES_tradnl"/>
        </w:rPr>
        <w:t>ii</w:t>
      </w:r>
      <w:proofErr w:type="spellEnd"/>
      <w:r w:rsidRPr="007F2FEE">
        <w:rPr>
          <w:rFonts w:ascii="Arial" w:eastAsia="Calibri" w:hAnsi="Arial" w:cs="Arial"/>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29AE4675" w14:textId="77777777" w:rsidR="007F2FEE" w:rsidRPr="007F2FEE" w:rsidRDefault="007F2FEE" w:rsidP="007F2FEE">
      <w:pPr>
        <w:spacing w:before="120" w:after="0" w:line="276" w:lineRule="auto"/>
        <w:ind w:firstLine="709"/>
        <w:jc w:val="both"/>
        <w:rPr>
          <w:rFonts w:ascii="Arial" w:eastAsia="Calibri" w:hAnsi="Arial" w:cs="Arial"/>
          <w:lang w:val="es-ES_tradnl" w:eastAsia="es-ES_tradnl"/>
        </w:rPr>
      </w:pPr>
      <w:r w:rsidRPr="007F2FEE">
        <w:rPr>
          <w:rFonts w:ascii="Arial" w:eastAsia="Calibri" w:hAnsi="Arial" w:cs="Arial"/>
          <w:lang w:val="es-ES_tradnl" w:eastAsia="es-ES_tradnl"/>
        </w:rPr>
        <w:t>Este último término tiene origen en el artículo 58 del Decreto ley 222 de 1983</w:t>
      </w:r>
      <w:r w:rsidRPr="007F2FEE">
        <w:rPr>
          <w:rFonts w:ascii="Arial" w:eastAsia="Calibri" w:hAnsi="Arial" w:cs="Arial"/>
          <w:vertAlign w:val="superscript"/>
          <w:lang w:val="es-ES_tradnl" w:eastAsia="es-ES_tradnl"/>
        </w:rPr>
        <w:footnoteReference w:id="5"/>
      </w:r>
      <w:r w:rsidRPr="007F2FEE">
        <w:rPr>
          <w:rFonts w:ascii="Arial" w:eastAsia="Calibri" w:hAnsi="Arial" w:cs="Arial"/>
          <w:lang w:val="es-ES_tradnl" w:eastAsia="es-ES_tradnl"/>
        </w:rPr>
        <w:t>, el cual establecía el «contrato adicional» como el mecanismo a utilizar 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la posibilidad de adicionar valor de los contratos estatales dentro de un límite dado por el cincuenta por ciento (50%) de su valor inicial expresado, pero sin establecer una limitación expresa sobre otros elementos sobre los que recae la adición</w:t>
      </w:r>
      <w:r w:rsidRPr="007F2FEE">
        <w:rPr>
          <w:rFonts w:ascii="Arial" w:eastAsia="Calibri" w:hAnsi="Arial" w:cs="Arial"/>
          <w:vertAlign w:val="superscript"/>
          <w:lang w:val="es-ES_tradnl" w:eastAsia="es-ES_tradnl"/>
        </w:rPr>
        <w:footnoteReference w:id="6"/>
      </w:r>
      <w:r w:rsidRPr="007F2FEE">
        <w:rPr>
          <w:rFonts w:ascii="Arial" w:eastAsia="Calibri" w:hAnsi="Arial" w:cs="Arial"/>
          <w:lang w:val="es-ES_tradnl" w:eastAsia="es-ES_tradnl"/>
        </w:rPr>
        <w:t>.</w:t>
      </w:r>
    </w:p>
    <w:p w14:paraId="1DD1B3A6"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lastRenderedPageBreak/>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7F2FEE">
        <w:rPr>
          <w:rFonts w:ascii="Arial" w:eastAsia="Calibri"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7F2FEE">
        <w:rPr>
          <w:rFonts w:ascii="Arial" w:eastAsia="Calibri" w:hAnsi="Arial" w:cs="Arial"/>
          <w:szCs w:val="24"/>
          <w:vertAlign w:val="superscript"/>
          <w:lang w:val="es-ES_tradnl" w:eastAsia="es-ES_tradnl"/>
        </w:rPr>
        <w:footnoteReference w:id="7"/>
      </w:r>
      <w:r w:rsidRPr="007F2FEE">
        <w:rPr>
          <w:rFonts w:ascii="Arial" w:eastAsia="Calibri" w:hAnsi="Arial" w:cs="Arial"/>
          <w:szCs w:val="24"/>
          <w:lang w:val="es-ES_tradnl" w:eastAsia="es-ES_tradnl"/>
        </w:rPr>
        <w:t>.</w:t>
      </w:r>
    </w:p>
    <w:p w14:paraId="10E5A32D" w14:textId="77777777" w:rsidR="007F2FEE" w:rsidRPr="007F2FEE" w:rsidRDefault="007F2FEE" w:rsidP="007F2FEE">
      <w:pPr>
        <w:spacing w:before="120" w:after="0" w:line="276" w:lineRule="auto"/>
        <w:ind w:firstLine="709"/>
        <w:jc w:val="both"/>
        <w:rPr>
          <w:rFonts w:ascii="Arial" w:eastAsia="Calibri" w:hAnsi="Arial" w:cs="Arial"/>
          <w:szCs w:val="24"/>
          <w:lang w:eastAsia="es-ES_tradnl"/>
        </w:rPr>
      </w:pPr>
      <w:r w:rsidRPr="007F2FEE">
        <w:rPr>
          <w:rFonts w:ascii="Arial" w:eastAsia="Calibri" w:hAnsi="Arial" w:cs="Arial"/>
          <w:szCs w:val="24"/>
          <w:lang w:val="es-ES_tradnl" w:eastAsia="es-ES_tradnl"/>
        </w:rPr>
        <w:t>Dicha norma además de consagrar una prohibición trae implícita una autorización, consistente en la posibilidad de adicionar los contratos estatales, siempre que no se supere el tope establecido.</w:t>
      </w:r>
      <w:r w:rsidRPr="007F2FEE">
        <w:rPr>
          <w:rFonts w:ascii="Arial" w:eastAsia="Calibri" w:hAnsi="Arial" w:cs="Arial"/>
          <w:szCs w:val="24"/>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p>
    <w:p w14:paraId="54B1ADD8" w14:textId="77777777" w:rsidR="007F2FEE" w:rsidRPr="007F2FEE" w:rsidRDefault="007F2FEE" w:rsidP="007F2FEE">
      <w:pPr>
        <w:spacing w:before="120" w:after="0" w:line="276" w:lineRule="auto"/>
        <w:ind w:firstLine="709"/>
        <w:jc w:val="both"/>
        <w:rPr>
          <w:rFonts w:ascii="Arial" w:eastAsia="Calibri" w:hAnsi="Arial" w:cs="Arial"/>
          <w:szCs w:val="24"/>
          <w:lang w:val="es-ES_tradnl" w:eastAsia="es-ES_tradnl"/>
        </w:rPr>
      </w:pPr>
      <w:r w:rsidRPr="007F2FEE">
        <w:rPr>
          <w:rFonts w:ascii="Arial" w:eastAsia="Calibri" w:hAnsi="Arial" w:cs="Arial"/>
          <w:szCs w:val="24"/>
          <w:lang w:val="es-ES_tradnl" w:eastAsia="es-ES_tradnl"/>
        </w:rPr>
        <w:t xml:space="preserve">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3F670FA9" w14:textId="77777777" w:rsidR="007F2FEE" w:rsidRPr="007F2FEE" w:rsidRDefault="007F2FEE" w:rsidP="007F2FEE">
      <w:pPr>
        <w:spacing w:before="120" w:after="0" w:line="276" w:lineRule="auto"/>
        <w:ind w:firstLine="709"/>
        <w:jc w:val="both"/>
        <w:rPr>
          <w:rFonts w:ascii="Arial" w:eastAsia="Calibri" w:hAnsi="Arial" w:cs="Arial"/>
          <w:szCs w:val="24"/>
          <w:lang w:eastAsia="es-ES_tradnl"/>
        </w:rPr>
      </w:pPr>
      <w:r w:rsidRPr="007F2FEE">
        <w:rPr>
          <w:rFonts w:ascii="Arial" w:eastAsia="Calibri" w:hAnsi="Arial" w:cs="Arial"/>
          <w:szCs w:val="24"/>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6FD09837" w14:textId="77777777" w:rsidR="007F2FEE" w:rsidRPr="007F2FEE" w:rsidRDefault="007F2FEE" w:rsidP="007F2FEE">
      <w:pPr>
        <w:spacing w:before="120" w:after="0" w:line="276" w:lineRule="auto"/>
        <w:ind w:firstLine="709"/>
        <w:jc w:val="both"/>
        <w:rPr>
          <w:rFonts w:ascii="Arial" w:eastAsia="Calibri" w:hAnsi="Arial" w:cs="Arial"/>
          <w:szCs w:val="24"/>
          <w:lang w:eastAsia="es-ES_tradnl"/>
        </w:rPr>
      </w:pPr>
      <w:r w:rsidRPr="007F2FEE">
        <w:rPr>
          <w:rFonts w:ascii="Arial" w:eastAsia="Calibri" w:hAnsi="Arial" w:cs="Arial"/>
          <w:szCs w:val="24"/>
          <w:lang w:eastAsia="es-ES_tradnl"/>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w:t>
      </w:r>
      <w:r w:rsidRPr="007F2FEE">
        <w:rPr>
          <w:rFonts w:ascii="Arial" w:eastAsia="Calibri" w:hAnsi="Arial" w:cs="Arial"/>
          <w:szCs w:val="24"/>
          <w:lang w:eastAsia="es-ES_tradnl"/>
        </w:rPr>
        <w:lastRenderedPageBreak/>
        <w:t xml:space="preserve">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306C5D4F"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Sin perjuicio de la postura expuesta previamente por la Subdirección de Gestión Contractual, en torno al tope de la adición de los contratos, se señalarán algunas otras posturas que no se comparten, por considerarlas contrarias a la regulación actual contenida en la Ley 80 de 1993.</w:t>
      </w:r>
    </w:p>
    <w:p w14:paraId="484465C2"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030096F3" w14:textId="77777777" w:rsidR="007F2FEE" w:rsidRPr="007F2FEE" w:rsidRDefault="007F2FEE" w:rsidP="007F2FEE">
      <w:pPr>
        <w:spacing w:after="0" w:line="276" w:lineRule="auto"/>
        <w:jc w:val="both"/>
        <w:rPr>
          <w:rFonts w:ascii="Arial" w:eastAsia="Calibri" w:hAnsi="Arial" w:cs="Arial"/>
          <w:b/>
          <w:szCs w:val="24"/>
          <w:lang w:val="es-MX" w:eastAsia="es-ES_tradnl"/>
        </w:rPr>
      </w:pPr>
      <w:r w:rsidRPr="007F2FEE">
        <w:rPr>
          <w:rFonts w:ascii="Arial" w:eastAsia="Calibri" w:hAnsi="Arial" w:cs="Arial"/>
          <w:b/>
          <w:szCs w:val="24"/>
          <w:lang w:val="es-MX" w:eastAsia="es-ES_tradnl"/>
        </w:rPr>
        <w:t>2.1.1. Dos posturas en torno al tope para adicionar los contratos estatales</w:t>
      </w:r>
    </w:p>
    <w:p w14:paraId="48ABA917" w14:textId="77777777" w:rsidR="007F2FEE" w:rsidRPr="007F2FEE" w:rsidRDefault="007F2FEE" w:rsidP="007F2FEE">
      <w:pPr>
        <w:spacing w:after="0" w:line="276" w:lineRule="auto"/>
        <w:jc w:val="both"/>
        <w:rPr>
          <w:rFonts w:ascii="Arial" w:eastAsia="Calibri" w:hAnsi="Arial" w:cs="Arial"/>
          <w:b/>
          <w:szCs w:val="24"/>
          <w:lang w:val="es-MX" w:eastAsia="es-ES_tradnl"/>
        </w:rPr>
      </w:pPr>
    </w:p>
    <w:p w14:paraId="7C82B5C4" w14:textId="77777777" w:rsidR="007F2FEE" w:rsidRPr="007F2FEE" w:rsidRDefault="007F2FEE" w:rsidP="007F2FEE">
      <w:pPr>
        <w:spacing w:after="0" w:line="276" w:lineRule="auto"/>
        <w:jc w:val="both"/>
        <w:rPr>
          <w:rFonts w:ascii="Arial" w:eastAsia="Calibri" w:hAnsi="Arial" w:cs="Arial"/>
          <w:szCs w:val="24"/>
          <w:lang w:val="es-MX" w:eastAsia="es-ES_tradnl"/>
        </w:rPr>
      </w:pPr>
      <w:r w:rsidRPr="007F2FEE">
        <w:rPr>
          <w:rFonts w:ascii="Arial" w:eastAsia="Calibri" w:hAnsi="Arial" w:cs="Arial"/>
          <w:szCs w:val="24"/>
          <w:lang w:val="es-MX" w:eastAsia="es-ES_tradnl"/>
        </w:rPr>
        <w:t>Antes de señalar las dos posturas, es necesario aclarar que el presente problema ocurre, especialmente, en los contratos cuya estructuración y pago se realiza por precios unitarios, aunque también se ha extendido al de administración delegada o reembolso de gastos</w:t>
      </w:r>
      <w:r w:rsidRPr="007F2FEE">
        <w:rPr>
          <w:rFonts w:ascii="Arial" w:eastAsia="Calibri" w:hAnsi="Arial" w:cs="Arial"/>
          <w:szCs w:val="24"/>
          <w:vertAlign w:val="superscript"/>
          <w:lang w:val="es-MX" w:eastAsia="es-ES_tradnl"/>
        </w:rPr>
        <w:footnoteReference w:id="8"/>
      </w:r>
      <w:r w:rsidRPr="007F2FEE">
        <w:rPr>
          <w:rFonts w:ascii="Arial" w:eastAsia="Calibri" w:hAnsi="Arial" w:cs="Arial"/>
          <w:szCs w:val="24"/>
          <w:lang w:val="es-MX" w:eastAsia="es-ES_tradnl"/>
        </w:rPr>
        <w:t xml:space="preserve">, ya que en el de precio global, como más adelante se expondrá, existe un mayor consenso en torno a la forma de aplicar el parágrafo del artículo 40. </w:t>
      </w:r>
    </w:p>
    <w:p w14:paraId="3D840BF3"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0DCB4AEA"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4B059A1F"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30F66A0F" w14:textId="6089FD23" w:rsidR="007F2FEE" w:rsidRPr="007F2FEE" w:rsidRDefault="004577F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w:t>
      </w:r>
      <w:r w:rsidR="007F2FEE" w:rsidRPr="007F2FEE">
        <w:rPr>
          <w:rFonts w:ascii="Arial" w:eastAsia="Calibri" w:hAnsi="Arial" w:cs="Arial"/>
          <w:sz w:val="21"/>
          <w:szCs w:val="21"/>
          <w:lang w:val="es-MX" w:eastAsia="es-ES_tradnl"/>
        </w:rPr>
        <w:lastRenderedPageBreak/>
        <w:t>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784F9045"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F5EAA91"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Por lo mismo, no se trata de que exista un «cambio» o «adición» en el contrato, sino de la aplicación de las reglas contractuales previamente determinadas en el contrato original. Es una operación matemática y no más.</w:t>
      </w:r>
    </w:p>
    <w:p w14:paraId="0DC24E20"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723BE61B" w14:textId="5403764B"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004577FC">
        <w:rPr>
          <w:rFonts w:ascii="Arial" w:eastAsia="Calibri" w:hAnsi="Arial" w:cs="Arial"/>
          <w:sz w:val="21"/>
          <w:szCs w:val="21"/>
          <w:lang w:val="es-MX" w:eastAsia="es-ES_tradnl"/>
        </w:rPr>
        <w:t>»</w:t>
      </w:r>
      <w:r w:rsidRPr="007F2FEE">
        <w:rPr>
          <w:rFonts w:ascii="Arial" w:eastAsia="Calibri" w:hAnsi="Arial" w:cs="Arial"/>
          <w:sz w:val="21"/>
          <w:szCs w:val="21"/>
          <w:vertAlign w:val="superscript"/>
          <w:lang w:val="es-MX" w:eastAsia="es-ES_tradnl"/>
        </w:rPr>
        <w:footnoteReference w:id="9"/>
      </w:r>
      <w:r w:rsidRPr="007F2FEE">
        <w:rPr>
          <w:rFonts w:ascii="Arial" w:eastAsia="Calibri" w:hAnsi="Arial" w:cs="Arial"/>
          <w:sz w:val="21"/>
          <w:szCs w:val="21"/>
          <w:lang w:val="es-MX" w:eastAsia="es-ES_tradnl"/>
        </w:rPr>
        <w:t>.</w:t>
      </w:r>
    </w:p>
    <w:p w14:paraId="7EF79AC2"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7BF8F58A"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La postura anterior también es defendida por cierto sector de la doctrina</w:t>
      </w:r>
      <w:r w:rsidRPr="007F2FEE">
        <w:rPr>
          <w:rFonts w:ascii="Arial" w:eastAsia="Calibri" w:hAnsi="Arial" w:cs="Arial"/>
          <w:szCs w:val="24"/>
          <w:vertAlign w:val="superscript"/>
          <w:lang w:val="es-MX" w:eastAsia="es-ES_tradnl"/>
        </w:rPr>
        <w:footnoteReference w:id="10"/>
      </w:r>
      <w:r w:rsidRPr="007F2FEE">
        <w:rPr>
          <w:rFonts w:ascii="Arial" w:eastAsia="Calibri" w:hAnsi="Arial" w:cs="Arial"/>
          <w:szCs w:val="24"/>
          <w:lang w:val="es-MX" w:eastAsia="es-ES_tradnl"/>
        </w:rPr>
        <w:t xml:space="preserve">. Bajo ella se amplía el límite establecido por el legislador en el artículo 40, ya que este tipo de modificaciones, para ejecutar más de un mismo ítem o actividad pactada en el contrato </w:t>
      </w:r>
      <w:r w:rsidRPr="007F2FEE">
        <w:rPr>
          <w:rFonts w:ascii="Arial" w:eastAsia="Calibri" w:hAnsi="Arial" w:cs="Arial" w:hint="eastAsia"/>
          <w:szCs w:val="24"/>
          <w:lang w:val="es-MX" w:eastAsia="es-ES_tradnl"/>
        </w:rPr>
        <w:t>―</w:t>
      </w:r>
      <w:r w:rsidRPr="007F2FEE">
        <w:rPr>
          <w:rFonts w:ascii="Arial" w:eastAsia="Calibri" w:hAnsi="Arial" w:cs="Arial"/>
          <w:szCs w:val="24"/>
          <w:lang w:val="es-MX" w:eastAsia="es-ES_tradnl"/>
        </w:rPr>
        <w:t xml:space="preserve">estas posturas las considerarían «precisiones» o «determinaciones del valor </w:t>
      </w:r>
      <w:proofErr w:type="gramStart"/>
      <w:r w:rsidRPr="007F2FEE">
        <w:rPr>
          <w:rFonts w:ascii="Arial" w:eastAsia="Calibri" w:hAnsi="Arial" w:cs="Arial"/>
          <w:szCs w:val="24"/>
          <w:lang w:val="es-MX" w:eastAsia="es-ES_tradnl"/>
        </w:rPr>
        <w:t>final»</w:t>
      </w:r>
      <w:r w:rsidRPr="007F2FEE">
        <w:rPr>
          <w:rFonts w:ascii="Arial" w:eastAsia="Calibri" w:hAnsi="Arial" w:cs="Arial" w:hint="eastAsia"/>
          <w:szCs w:val="24"/>
          <w:lang w:val="es-MX" w:eastAsia="es-ES_tradnl"/>
        </w:rPr>
        <w:t>―</w:t>
      </w:r>
      <w:proofErr w:type="gramEnd"/>
      <w:r w:rsidRPr="007F2FEE">
        <w:rPr>
          <w:rFonts w:ascii="Arial" w:eastAsia="Calibri" w:hAnsi="Arial" w:cs="Arial"/>
          <w:szCs w:val="24"/>
          <w:lang w:val="es-MX" w:eastAsia="es-ES_tradnl"/>
        </w:rPr>
        <w:t>, no se tendrían en cuenta para señalar en qué porcentaje se ha adicionado un contrato, ya que ellas no son adiciones:</w:t>
      </w:r>
    </w:p>
    <w:p w14:paraId="18F0B316"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65130185" w14:textId="14BA01AF" w:rsidR="007F2FEE" w:rsidRPr="007F2FEE" w:rsidRDefault="004577F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007F2FEE" w:rsidRPr="007F2FEE">
        <w:rPr>
          <w:rFonts w:ascii="Arial" w:eastAsia="Calibri" w:hAnsi="Arial" w:cs="Arial"/>
          <w:sz w:val="21"/>
          <w:szCs w:val="21"/>
          <w:lang w:val="es-MX" w:eastAsia="es-ES_tradnl"/>
        </w:rPr>
        <w:t>unitarios,</w:t>
      </w:r>
      <w:proofErr w:type="gramEnd"/>
      <w:r w:rsidR="007F2FEE" w:rsidRPr="007F2FEE">
        <w:rPr>
          <w:rFonts w:ascii="Arial" w:eastAsia="Calibri" w:hAnsi="Arial" w:cs="Arial"/>
          <w:sz w:val="21"/>
          <w:szCs w:val="21"/>
          <w:lang w:val="es-MX" w:eastAsia="es-ES_tradnl"/>
        </w:rPr>
        <w:t xml:space="preserve"> debe ampararse bajo el ropaje de un contrato adicional y, en consecuencia aplicando el límite del 50%.</w:t>
      </w:r>
    </w:p>
    <w:p w14:paraId="252E43C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7AEBEC4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Insistimos que no podemos compartir este planteamiento por lo siguiente:</w:t>
      </w:r>
    </w:p>
    <w:p w14:paraId="47D56E90"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61FF5876"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1BF1920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D7B738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lastRenderedPageBreak/>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240CC8BB"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97D85FA"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7F898BB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5AC167F5" w14:textId="5FFBA3EF"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La inyección de los nuevos recursos no se hace al amparo de un contrato adicional sino como parte de un trámite interno oficial, con información al contratista para que pueda seguir avanzando en la obra</w:t>
      </w:r>
      <w:r w:rsidR="004577FC">
        <w:rPr>
          <w:rFonts w:ascii="Arial" w:eastAsia="Calibri" w:hAnsi="Arial" w:cs="Arial"/>
          <w:sz w:val="21"/>
          <w:szCs w:val="21"/>
          <w:lang w:val="es-MX" w:eastAsia="es-ES_tradnl"/>
        </w:rPr>
        <w:t>»</w:t>
      </w:r>
      <w:r w:rsidRPr="007F2FEE">
        <w:rPr>
          <w:rFonts w:ascii="Arial" w:eastAsia="Calibri" w:hAnsi="Arial" w:cs="Arial"/>
          <w:sz w:val="21"/>
          <w:szCs w:val="21"/>
          <w:vertAlign w:val="superscript"/>
          <w:lang w:val="es-MX" w:eastAsia="es-ES_tradnl"/>
        </w:rPr>
        <w:footnoteReference w:id="11"/>
      </w:r>
      <w:r w:rsidRPr="007F2FEE">
        <w:rPr>
          <w:rFonts w:ascii="Arial" w:eastAsia="Calibri" w:hAnsi="Arial" w:cs="Arial"/>
          <w:sz w:val="21"/>
          <w:szCs w:val="21"/>
          <w:lang w:val="es-MX" w:eastAsia="es-ES_tradnl"/>
        </w:rPr>
        <w:t>.</w:t>
      </w:r>
    </w:p>
    <w:p w14:paraId="48BE0DAD"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E1F805D"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Esta postura también es sostenida por el Consejo de Estado en otras providencias</w:t>
      </w:r>
      <w:r w:rsidRPr="007F2FEE">
        <w:rPr>
          <w:rFonts w:ascii="Arial" w:eastAsia="Calibri" w:hAnsi="Arial" w:cs="Arial"/>
          <w:szCs w:val="24"/>
          <w:vertAlign w:val="superscript"/>
          <w:lang w:val="es-MX" w:eastAsia="es-ES_tradnl"/>
        </w:rPr>
        <w:footnoteReference w:id="12"/>
      </w:r>
      <w:r w:rsidRPr="007F2FEE">
        <w:rPr>
          <w:rFonts w:ascii="Arial" w:eastAsia="Calibri" w:hAnsi="Arial" w:cs="Arial"/>
          <w:szCs w:val="24"/>
          <w:lang w:val="es-MX" w:eastAsia="es-ES_tradnl"/>
        </w:rPr>
        <w:t xml:space="preserve"> y reiterada en el Concepto del 6 de junio de 2018 de la Sala de Consulta y Servicio de Civil en el que se señala que «cuando se incrementa el valor del contrato como consecuencia de la variación de las cantidades de obra previamente pactadas sin que se modifique el valor unitario de los ítems, dicho incremento no queda sujeto al límite cuantitativo señalado en la Ley, del 50%»</w:t>
      </w:r>
      <w:r w:rsidRPr="007F2FEE">
        <w:rPr>
          <w:rFonts w:ascii="Arial" w:eastAsia="Calibri" w:hAnsi="Arial" w:cs="Arial"/>
          <w:szCs w:val="24"/>
          <w:vertAlign w:val="superscript"/>
          <w:lang w:val="es-MX" w:eastAsia="es-ES_tradnl"/>
        </w:rPr>
        <w:footnoteReference w:id="13"/>
      </w:r>
      <w:r w:rsidRPr="007F2FEE">
        <w:rPr>
          <w:rFonts w:ascii="Arial" w:eastAsia="Calibri" w:hAnsi="Arial" w:cs="Arial"/>
          <w:szCs w:val="24"/>
          <w:lang w:val="es-MX" w:eastAsia="es-ES_tradnl"/>
        </w:rPr>
        <w:t xml:space="preserve">. </w:t>
      </w:r>
    </w:p>
    <w:p w14:paraId="598C3372"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7F2FEE">
        <w:rPr>
          <w:rFonts w:ascii="Arial" w:eastAsia="Calibri" w:hAnsi="Arial" w:cs="Arial" w:hint="eastAsia"/>
          <w:szCs w:val="24"/>
          <w:lang w:val="es-MX" w:eastAsia="es-ES_tradnl"/>
        </w:rPr>
        <w:t>―</w:t>
      </w:r>
      <w:r w:rsidRPr="007F2FEE">
        <w:rPr>
          <w:rFonts w:ascii="Arial" w:eastAsia="Calibri" w:hAnsi="Arial" w:cs="Arial"/>
          <w:szCs w:val="24"/>
          <w:lang w:val="es-MX" w:eastAsia="es-ES_tradnl"/>
        </w:rPr>
        <w:t>que será un contrato</w:t>
      </w:r>
      <w:r w:rsidRPr="007F2FEE">
        <w:rPr>
          <w:rFonts w:ascii="Arial" w:eastAsia="Calibri" w:hAnsi="Arial" w:cs="Arial" w:hint="eastAsia"/>
          <w:szCs w:val="24"/>
          <w:lang w:val="es-MX" w:eastAsia="es-ES_tradnl"/>
        </w:rPr>
        <w:t>―</w:t>
      </w:r>
      <w:r w:rsidRPr="007F2FEE">
        <w:rPr>
          <w:rFonts w:ascii="Arial" w:eastAsia="Calibri" w:hAnsi="Arial" w:cs="Arial"/>
          <w:szCs w:val="24"/>
          <w:lang w:val="es-MX" w:eastAsia="es-ES_tradnl"/>
        </w:rPr>
        <w:t xml:space="preserve">, independientemente del nombre que se le dé y que necesariamente se someterá a la norma prohibitiva, salvo norma especial que excepcione la regla general: </w:t>
      </w:r>
    </w:p>
    <w:p w14:paraId="729E7713"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444B0BDD" w14:textId="1E20B90C" w:rsidR="007F2FEE" w:rsidRPr="007F2FEE" w:rsidRDefault="004577F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007F2FEE" w:rsidRPr="007F2FEE">
        <w:rPr>
          <w:rFonts w:ascii="Arial" w:eastAsia="Calibri" w:hAnsi="Arial" w:cs="Arial"/>
          <w:b/>
          <w:bCs/>
          <w:sz w:val="21"/>
          <w:szCs w:val="21"/>
          <w:lang w:val="es-MX" w:eastAsia="es-ES_tradnl"/>
        </w:rPr>
        <w:t>sin duda alguna una ampliación de las cantidades de obra denominada obra adicional conduce a una adición del contrato, luego debe tener como límite el 50% analizado</w:t>
      </w:r>
      <w:r w:rsidR="007F2FEE" w:rsidRPr="007F2FEE">
        <w:rPr>
          <w:rFonts w:ascii="Arial" w:eastAsia="Calibri" w:hAnsi="Arial" w:cs="Arial"/>
          <w:sz w:val="21"/>
          <w:szCs w:val="21"/>
          <w:lang w:val="es-MX" w:eastAsia="es-ES_tradnl"/>
        </w:rPr>
        <w:t>.</w:t>
      </w:r>
    </w:p>
    <w:p w14:paraId="0E12EFC9"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w:t>
      </w:r>
    </w:p>
    <w:p w14:paraId="0785A4F9"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2D16ABB7" w14:textId="61249389"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lastRenderedPageBreak/>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004577FC">
        <w:rPr>
          <w:rFonts w:ascii="Arial" w:eastAsia="Calibri" w:hAnsi="Arial" w:cs="Arial"/>
          <w:sz w:val="21"/>
          <w:szCs w:val="21"/>
          <w:lang w:val="es-MX" w:eastAsia="es-ES_tradnl"/>
        </w:rPr>
        <w:t>»</w:t>
      </w:r>
      <w:r w:rsidRPr="007F2FEE">
        <w:rPr>
          <w:rFonts w:ascii="Arial" w:eastAsia="Calibri" w:hAnsi="Arial" w:cs="Arial"/>
          <w:sz w:val="21"/>
          <w:szCs w:val="21"/>
          <w:vertAlign w:val="superscript"/>
          <w:lang w:val="es-MX" w:eastAsia="es-ES_tradnl"/>
        </w:rPr>
        <w:footnoteReference w:id="14"/>
      </w:r>
      <w:r w:rsidRPr="007F2FEE">
        <w:rPr>
          <w:rFonts w:ascii="Arial" w:eastAsia="Calibri" w:hAnsi="Arial" w:cs="Arial"/>
          <w:sz w:val="21"/>
          <w:szCs w:val="21"/>
          <w:lang w:val="es-MX" w:eastAsia="es-ES_tradnl"/>
        </w:rPr>
        <w:t xml:space="preserve">. (Aparte en corchetes </w:t>
      </w:r>
      <w:r w:rsidR="004577FC">
        <w:rPr>
          <w:rFonts w:ascii="Arial" w:eastAsia="Calibri" w:hAnsi="Arial" w:cs="Arial"/>
          <w:sz w:val="21"/>
          <w:szCs w:val="21"/>
          <w:lang w:val="es-MX" w:eastAsia="es-ES_tradnl"/>
        </w:rPr>
        <w:t>y negrilla</w:t>
      </w:r>
      <w:r w:rsidRPr="007F2FEE">
        <w:rPr>
          <w:rFonts w:ascii="Arial" w:eastAsia="Calibri" w:hAnsi="Arial" w:cs="Arial"/>
          <w:sz w:val="21"/>
          <w:szCs w:val="21"/>
          <w:lang w:val="es-MX" w:eastAsia="es-ES_tradnl"/>
        </w:rPr>
        <w:t xml:space="preserve"> fuera del original).</w:t>
      </w:r>
      <w:r w:rsidRPr="007F2FEE">
        <w:rPr>
          <w:rFonts w:ascii="Arial" w:eastAsia="Calibri" w:hAnsi="Arial" w:cs="Arial"/>
          <w:szCs w:val="24"/>
          <w:lang w:val="es-MX" w:eastAsia="es-ES_tradnl"/>
        </w:rPr>
        <w:t xml:space="preserve"> </w:t>
      </w:r>
    </w:p>
    <w:p w14:paraId="59C65B5A"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29AB7DAA"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En concordancia con lo expuesto, la doctrina ha definido dos modalidades de limitación a las adiciones contractuales desde una perspectiva cualitativa y cuantitativa que buscan preservar la esencia de este: </w:t>
      </w:r>
    </w:p>
    <w:p w14:paraId="3300A0CD" w14:textId="77777777" w:rsidR="007F2FEE" w:rsidRPr="007F2FEE" w:rsidRDefault="007F2FEE" w:rsidP="007F2FEE">
      <w:pPr>
        <w:spacing w:after="0" w:line="276" w:lineRule="auto"/>
        <w:ind w:left="709" w:right="709"/>
        <w:jc w:val="both"/>
        <w:rPr>
          <w:rFonts w:ascii="Arial" w:eastAsia="Calibri" w:hAnsi="Arial" w:cs="Arial"/>
          <w:szCs w:val="24"/>
          <w:lang w:val="es-MX" w:eastAsia="es-ES_tradnl"/>
        </w:rPr>
      </w:pPr>
    </w:p>
    <w:p w14:paraId="3A259B3C" w14:textId="35CD613A" w:rsidR="007F2FEE" w:rsidRPr="007F2FEE" w:rsidRDefault="004577F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Cs w:val="24"/>
          <w:lang w:val="es-MX" w:eastAsia="es-ES_tradnl"/>
        </w:rPr>
        <w:t>«</w:t>
      </w:r>
      <w:r w:rsidR="007F2FEE" w:rsidRPr="007F2FEE">
        <w:rPr>
          <w:rFonts w:ascii="Arial" w:eastAsia="Calibri" w:hAnsi="Arial" w:cs="Arial"/>
          <w:szCs w:val="24"/>
          <w:lang w:val="es-MX" w:eastAsia="es-ES_tradnl"/>
        </w:rPr>
        <w:t xml:space="preserve">Desde el punto de vista </w:t>
      </w:r>
      <w:r w:rsidR="007F2FEE" w:rsidRPr="007F2FEE">
        <w:rPr>
          <w:rFonts w:ascii="Arial" w:eastAsia="Calibri" w:hAnsi="Arial" w:cs="Arial"/>
          <w:i/>
          <w:iCs/>
          <w:szCs w:val="24"/>
          <w:lang w:val="es-MX" w:eastAsia="es-ES_tradnl"/>
        </w:rPr>
        <w:t>cuantitativo,</w:t>
      </w:r>
      <w:r w:rsidR="007F2FEE" w:rsidRPr="007F2FEE">
        <w:rPr>
          <w:rFonts w:ascii="Arial" w:eastAsia="Calibri" w:hAnsi="Arial" w:cs="Arial"/>
          <w:szCs w:val="24"/>
          <w:lang w:val="es-MX" w:eastAsia="es-ES_tradnl"/>
        </w:rPr>
        <w:t xml:space="preserve"> </w:t>
      </w:r>
      <w:r w:rsidR="007F2FEE" w:rsidRPr="007F2FEE">
        <w:rPr>
          <w:rFonts w:ascii="Arial" w:eastAsia="Calibri" w:hAnsi="Arial" w:cs="Arial"/>
          <w:b/>
          <w:bCs/>
          <w:szCs w:val="24"/>
          <w:lang w:val="es-MX" w:eastAsia="es-ES_tradnl"/>
        </w:rPr>
        <w:t>toda modificación que aumente el presupuesto destinado al contrato cuenta, independientemente de las modalidades contractuales y de la forma de pago o de la remuneración del contratista</w:t>
      </w:r>
      <w:r w:rsidR="007F2FEE" w:rsidRPr="007F2FEE">
        <w:rPr>
          <w:rFonts w:ascii="Arial" w:eastAsia="Calibri" w:hAnsi="Arial" w:cs="Arial"/>
          <w:szCs w:val="24"/>
          <w:lang w:val="es-MX" w:eastAsia="es-ES_tradnl"/>
        </w:rPr>
        <w:t xml:space="preserve">. El límite significativo del 50% de su valor inicialmente calculado es determinante del umbral a partir del cual el contrato original ha de considerarse cambiado en su esencia. </w:t>
      </w:r>
      <w:r w:rsidR="007F2FEE" w:rsidRPr="007F2FEE">
        <w:rPr>
          <w:rFonts w:ascii="Arial" w:eastAsia="Calibri" w:hAnsi="Arial" w:cs="Arial"/>
          <w:sz w:val="21"/>
          <w:szCs w:val="21"/>
          <w:lang w:val="es-MX" w:eastAsia="es-ES_tradnl"/>
        </w:rPr>
        <w:t>[…]</w:t>
      </w:r>
    </w:p>
    <w:p w14:paraId="4FC12091"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F0B375D"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Cs w:val="24"/>
          <w:lang w:val="es-MX" w:eastAsia="es-ES_tradnl"/>
        </w:rPr>
        <w:t>Y, desde el punto de vista</w:t>
      </w:r>
      <w:r w:rsidRPr="007F2FEE">
        <w:rPr>
          <w:rFonts w:ascii="Arial" w:eastAsia="Calibri" w:hAnsi="Arial" w:cs="Arial"/>
          <w:i/>
          <w:iCs/>
          <w:szCs w:val="24"/>
          <w:lang w:val="es-MX" w:eastAsia="es-ES_tradnl"/>
        </w:rPr>
        <w:t xml:space="preserve"> cualitativo</w:t>
      </w:r>
      <w:r w:rsidRPr="007F2FEE">
        <w:rPr>
          <w:rFonts w:ascii="Arial" w:eastAsia="Calibri" w:hAnsi="Arial" w:cs="Arial"/>
          <w:szCs w:val="24"/>
          <w:lang w:val="es-MX" w:eastAsia="es-ES_tradnl"/>
        </w:rPr>
        <w:t xml:space="preserve">,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r w:rsidRPr="007F2FEE">
        <w:rPr>
          <w:rFonts w:ascii="Arial" w:eastAsia="Calibri" w:hAnsi="Arial" w:cs="Arial"/>
          <w:sz w:val="21"/>
          <w:szCs w:val="21"/>
          <w:lang w:val="es-MX" w:eastAsia="es-ES_tradnl"/>
        </w:rPr>
        <w:t>[…]</w:t>
      </w:r>
    </w:p>
    <w:p w14:paraId="2C57B8B6"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C55F45C" w14:textId="3EB2FCD5" w:rsidR="007F2FEE" w:rsidRPr="007F2FEE" w:rsidRDefault="007F2FEE" w:rsidP="007F2FEE">
      <w:pPr>
        <w:spacing w:after="0" w:line="240" w:lineRule="auto"/>
        <w:ind w:left="709" w:right="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Puede entonces apreciarse que la limitación </w:t>
      </w:r>
      <w:r w:rsidRPr="007F2FEE">
        <w:rPr>
          <w:rFonts w:ascii="Arial" w:eastAsia="Calibri" w:hAnsi="Arial" w:cs="Arial"/>
          <w:i/>
          <w:iCs/>
          <w:szCs w:val="24"/>
          <w:lang w:val="es-MX" w:eastAsia="es-ES_tradnl"/>
        </w:rPr>
        <w:t>cuantitativa</w:t>
      </w:r>
      <w:r w:rsidRPr="007F2FEE">
        <w:rPr>
          <w:rFonts w:ascii="Arial" w:eastAsia="Calibri" w:hAnsi="Arial" w:cs="Arial"/>
          <w:szCs w:val="24"/>
          <w:lang w:val="es-MX" w:eastAsia="es-ES_tradnl"/>
        </w:rPr>
        <w:t xml:space="preserve"> de las adiciones contractuales es simple de apreciar. Una vez superada la distinción entre contrato estatal y adición del contrato y la consecuente particularidad de los contratos a precios unitarios, </w:t>
      </w:r>
      <w:r w:rsidRPr="007F2FEE">
        <w:rPr>
          <w:rFonts w:ascii="Arial" w:eastAsia="Calibri" w:hAnsi="Arial" w:cs="Arial"/>
          <w:b/>
          <w:bCs/>
          <w:szCs w:val="24"/>
          <w:lang w:val="es-MX" w:eastAsia="es-ES_tradnl"/>
        </w:rPr>
        <w:t xml:space="preserve">las </w:t>
      </w:r>
      <w:r w:rsidRPr="007F2FEE">
        <w:rPr>
          <w:rFonts w:ascii="Arial" w:eastAsia="Calibri" w:hAnsi="Arial" w:cs="Arial"/>
          <w:b/>
          <w:bCs/>
          <w:i/>
          <w:iCs/>
          <w:szCs w:val="24"/>
          <w:lang w:val="es-MX" w:eastAsia="es-ES_tradnl"/>
        </w:rPr>
        <w:t>adiciones</w:t>
      </w:r>
      <w:r w:rsidRPr="007F2FEE">
        <w:rPr>
          <w:rFonts w:ascii="Arial" w:eastAsia="Calibri" w:hAnsi="Arial" w:cs="Arial"/>
          <w:b/>
          <w:bCs/>
          <w:szCs w:val="24"/>
          <w:lang w:val="es-MX" w:eastAsia="es-ES_tradnl"/>
        </w:rPr>
        <w:t xml:space="preserve"> del parágrafo del artículo 40 de la Ley 80/93 comprenden cualquier aumento del valor o costo del contrato</w:t>
      </w:r>
      <w:r w:rsidR="004577FC" w:rsidRPr="00DE144A">
        <w:rPr>
          <w:rFonts w:ascii="Arial" w:eastAsia="Calibri" w:hAnsi="Arial" w:cs="Arial"/>
          <w:szCs w:val="24"/>
          <w:lang w:val="es-MX" w:eastAsia="es-ES_tradnl"/>
        </w:rPr>
        <w:t>»</w:t>
      </w:r>
      <w:r w:rsidRPr="007F2FEE">
        <w:rPr>
          <w:rFonts w:ascii="Arial" w:eastAsia="Calibri" w:hAnsi="Arial" w:cs="Arial"/>
          <w:szCs w:val="24"/>
          <w:vertAlign w:val="superscript"/>
          <w:lang w:val="es-MX" w:eastAsia="es-ES_tradnl"/>
        </w:rPr>
        <w:footnoteReference w:id="15"/>
      </w:r>
      <w:r w:rsidRPr="007F2FEE">
        <w:rPr>
          <w:rFonts w:ascii="Arial" w:eastAsia="Calibri" w:hAnsi="Arial" w:cs="Arial"/>
          <w:szCs w:val="24"/>
          <w:lang w:val="es-MX" w:eastAsia="es-ES_tradnl"/>
        </w:rPr>
        <w:t>. (Negrilla por fuera de texto)</w:t>
      </w:r>
    </w:p>
    <w:p w14:paraId="488C49E2" w14:textId="77777777" w:rsidR="007F2FEE" w:rsidRPr="007F2FEE" w:rsidRDefault="007F2FEE" w:rsidP="007F2FEE">
      <w:pPr>
        <w:spacing w:after="0" w:line="240" w:lineRule="auto"/>
        <w:ind w:firstLine="709"/>
        <w:jc w:val="both"/>
        <w:rPr>
          <w:rFonts w:ascii="Arial" w:eastAsia="Calibri" w:hAnsi="Arial" w:cs="Arial"/>
          <w:szCs w:val="24"/>
          <w:lang w:val="es-MX" w:eastAsia="es-ES_tradnl"/>
        </w:rPr>
      </w:pPr>
    </w:p>
    <w:p w14:paraId="48FB427C"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La postura anterior también es defendida por la Sección Tercera del Consejo de Estado, que, en el año 2010, se pronunció al respecto al resolver sobre la legalidad del artículo 73 del Decreto 2474 de 2008, que autorizaba la adición de algunos contratos por encima del 50%. La Sección Tercera declaró su nulidad de dicha norma en la sentencia del 14 de abril de 2010, exponiendo los siguientes argumentos:</w:t>
      </w:r>
    </w:p>
    <w:p w14:paraId="6A3271A6" w14:textId="77777777" w:rsidR="007F2FEE" w:rsidRPr="007F2FEE" w:rsidRDefault="007F2FEE" w:rsidP="007F2FEE">
      <w:pPr>
        <w:spacing w:after="0" w:line="276" w:lineRule="auto"/>
        <w:jc w:val="both"/>
        <w:rPr>
          <w:rFonts w:ascii="Arial" w:eastAsia="Calibri" w:hAnsi="Arial" w:cs="Arial"/>
          <w:szCs w:val="24"/>
          <w:lang w:val="es-MX" w:eastAsia="es-ES_tradnl"/>
        </w:rPr>
      </w:pPr>
    </w:p>
    <w:p w14:paraId="2C3EEF02" w14:textId="69B77FAF" w:rsidR="007F2FEE" w:rsidRPr="007F2FEE" w:rsidRDefault="004577F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w:t>
      </w:r>
      <w:r w:rsidR="007F2FEE" w:rsidRPr="007F2FEE">
        <w:rPr>
          <w:rFonts w:ascii="Arial" w:eastAsia="Calibri" w:hAnsi="Arial" w:cs="Arial"/>
          <w:sz w:val="21"/>
          <w:szCs w:val="21"/>
          <w:lang w:val="es-MX" w:eastAsia="es-ES_tradnl"/>
        </w:rPr>
        <w:lastRenderedPageBreak/>
        <w:t xml:space="preserve">negocios jurídicos, lo cual implica una variación en el valor pactado. En este evento, se trata de obras nuevas o distintas indispensables para alcanzar la finalidad perseguida con el acuerdo de voluntades. No </w:t>
      </w:r>
      <w:proofErr w:type="gramStart"/>
      <w:r w:rsidR="007F2FEE" w:rsidRPr="007F2FEE">
        <w:rPr>
          <w:rFonts w:ascii="Arial" w:eastAsia="Calibri" w:hAnsi="Arial" w:cs="Arial"/>
          <w:sz w:val="21"/>
          <w:szCs w:val="21"/>
          <w:lang w:val="es-MX" w:eastAsia="es-ES_tradnl"/>
        </w:rPr>
        <w:t>obstante</w:t>
      </w:r>
      <w:proofErr w:type="gramEnd"/>
      <w:r w:rsidR="007F2FEE" w:rsidRPr="007F2FEE">
        <w:rPr>
          <w:rFonts w:ascii="Arial" w:eastAsia="Calibri" w:hAnsi="Arial" w:cs="Arial"/>
          <w:sz w:val="21"/>
          <w:szCs w:val="21"/>
          <w:lang w:val="es-MX" w:eastAsia="es-ES_tradnl"/>
        </w:rPr>
        <w:t xml:space="preserve"> lo anterior, </w:t>
      </w:r>
      <w:r w:rsidR="007F2FEE" w:rsidRPr="007F2FEE">
        <w:rPr>
          <w:rFonts w:ascii="Arial" w:eastAsia="Calibri" w:hAnsi="Arial" w:cs="Arial"/>
          <w:b/>
          <w:bCs/>
          <w:sz w:val="21"/>
          <w:szCs w:val="21"/>
          <w:lang w:val="es-MX" w:eastAsia="es-ES_tradnl"/>
        </w:rPr>
        <w:t>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r w:rsidR="007F2FEE" w:rsidRPr="007F2FEE">
        <w:rPr>
          <w:rFonts w:ascii="Arial" w:eastAsia="Calibri" w:hAnsi="Arial" w:cs="Arial"/>
          <w:sz w:val="21"/>
          <w:szCs w:val="21"/>
          <w:lang w:val="es-MX" w:eastAsia="es-ES_tradnl"/>
        </w:rPr>
        <w:t>.</w:t>
      </w:r>
    </w:p>
    <w:p w14:paraId="0563E351"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641447C1" w14:textId="477D5F04" w:rsidR="007F2FEE" w:rsidRPr="007F2FEE" w:rsidRDefault="007F2FEE" w:rsidP="007F2FEE">
      <w:pPr>
        <w:spacing w:after="0" w:line="240" w:lineRule="auto"/>
        <w:ind w:left="709" w:right="709"/>
        <w:jc w:val="both"/>
        <w:rPr>
          <w:rFonts w:ascii="Arial" w:eastAsia="Calibri" w:hAnsi="Arial" w:cs="Arial"/>
          <w:szCs w:val="24"/>
          <w:lang w:val="es-MX" w:eastAsia="es-ES_tradnl"/>
        </w:rPr>
      </w:pPr>
      <w:r w:rsidRPr="007F2FEE">
        <w:rPr>
          <w:rFonts w:ascii="Arial" w:eastAsia="Calibri" w:hAnsi="Arial" w:cs="Arial"/>
          <w:sz w:val="21"/>
          <w:szCs w:val="21"/>
          <w:lang w:val="es-MX"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004577FC">
        <w:rPr>
          <w:rFonts w:ascii="Arial" w:eastAsia="Calibri" w:hAnsi="Arial" w:cs="Arial"/>
          <w:sz w:val="21"/>
          <w:szCs w:val="21"/>
          <w:lang w:val="es-MX" w:eastAsia="es-ES_tradnl"/>
        </w:rPr>
        <w:t>»</w:t>
      </w:r>
      <w:r w:rsidRPr="007F2FEE">
        <w:rPr>
          <w:rFonts w:ascii="Arial" w:eastAsia="Calibri" w:hAnsi="Arial" w:cs="Arial"/>
          <w:sz w:val="21"/>
          <w:szCs w:val="21"/>
          <w:vertAlign w:val="superscript"/>
          <w:lang w:val="es-MX" w:eastAsia="es-ES_tradnl"/>
        </w:rPr>
        <w:footnoteReference w:id="16"/>
      </w:r>
      <w:r w:rsidRPr="007F2FEE">
        <w:rPr>
          <w:rFonts w:ascii="Arial" w:eastAsia="Calibri" w:hAnsi="Arial" w:cs="Arial"/>
          <w:sz w:val="21"/>
          <w:szCs w:val="21"/>
          <w:vertAlign w:val="superscript"/>
          <w:lang w:val="es-MX" w:eastAsia="es-ES_tradnl"/>
        </w:rPr>
        <w:t>.</w:t>
      </w:r>
      <w:r w:rsidRPr="007F2FEE">
        <w:rPr>
          <w:rFonts w:ascii="Arial" w:eastAsia="Calibri" w:hAnsi="Arial" w:cs="Arial"/>
          <w:szCs w:val="24"/>
          <w:lang w:val="es-MX" w:eastAsia="es-ES_tradnl"/>
        </w:rPr>
        <w:t>(Negrilla por fuera de texto).</w:t>
      </w:r>
    </w:p>
    <w:p w14:paraId="7911B331" w14:textId="77777777" w:rsidR="007F2FEE" w:rsidRPr="007F2FEE" w:rsidRDefault="007F2FEE" w:rsidP="007F2FEE">
      <w:pPr>
        <w:spacing w:after="0" w:line="240" w:lineRule="auto"/>
        <w:ind w:left="709" w:right="709"/>
        <w:jc w:val="both"/>
        <w:rPr>
          <w:rFonts w:ascii="Arial" w:eastAsia="Calibri" w:hAnsi="Arial" w:cs="Arial"/>
          <w:szCs w:val="24"/>
          <w:lang w:val="es-MX" w:eastAsia="es-ES_tradnl"/>
        </w:rPr>
      </w:pPr>
    </w:p>
    <w:p w14:paraId="37145736"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Asimismo, esta postura también es sostenida por el Consejo de Estado en otras providencias en las que se indica que en el evento de mayores cantidades de obra se puede proceder acudiendo a la compensación o, en su defecto, a la suscripción de un contrato adicional sujeto a la verificación de la disponibilidad presupuestal: </w:t>
      </w:r>
    </w:p>
    <w:p w14:paraId="22628890"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391DBCE7" w14:textId="429CF5A1" w:rsidR="007F2FEE" w:rsidRPr="007F2FEE" w:rsidRDefault="00A072F1"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Pr>
          <w:rFonts w:ascii="Arial" w:eastAsia="Calibri" w:hAnsi="Arial" w:cs="Arial"/>
          <w:sz w:val="21"/>
          <w:szCs w:val="21"/>
          <w:lang w:val="es-MX" w:eastAsia="es-ES_tradnl"/>
        </w:rPr>
        <w:t>»</w:t>
      </w:r>
      <w:r w:rsidR="007F2FEE" w:rsidRPr="007F2FEE">
        <w:rPr>
          <w:rFonts w:ascii="Arial" w:eastAsia="Calibri" w:hAnsi="Arial" w:cs="Arial"/>
          <w:sz w:val="21"/>
          <w:szCs w:val="21"/>
          <w:vertAlign w:val="superscript"/>
          <w:lang w:val="es-MX" w:eastAsia="es-ES_tradnl"/>
        </w:rPr>
        <w:footnoteReference w:id="17"/>
      </w:r>
      <w:r w:rsidR="007F2FEE" w:rsidRPr="007F2FEE">
        <w:rPr>
          <w:rFonts w:ascii="Arial" w:eastAsia="Calibri" w:hAnsi="Arial" w:cs="Arial"/>
          <w:sz w:val="21"/>
          <w:szCs w:val="21"/>
          <w:lang w:val="es-MX" w:eastAsia="es-ES_tradnl"/>
        </w:rPr>
        <w:t>.</w:t>
      </w:r>
    </w:p>
    <w:p w14:paraId="44E4B36C" w14:textId="77777777" w:rsidR="007F2FEE" w:rsidRPr="007F2FEE" w:rsidRDefault="007F2FEE" w:rsidP="007F2FEE">
      <w:pPr>
        <w:spacing w:after="0" w:line="276" w:lineRule="auto"/>
        <w:ind w:left="709" w:right="709"/>
        <w:jc w:val="both"/>
        <w:rPr>
          <w:rFonts w:ascii="Arial" w:eastAsia="Calibri" w:hAnsi="Arial" w:cs="Arial"/>
          <w:sz w:val="21"/>
          <w:szCs w:val="21"/>
          <w:lang w:val="es-MX" w:eastAsia="es-ES_tradnl"/>
        </w:rPr>
      </w:pPr>
    </w:p>
    <w:p w14:paraId="14C41758" w14:textId="5677A069" w:rsidR="007F2FEE" w:rsidRPr="007F2FEE" w:rsidRDefault="007F2FEE" w:rsidP="007F2FEE">
      <w:pPr>
        <w:spacing w:after="0" w:line="276" w:lineRule="auto"/>
        <w:ind w:firstLine="709"/>
        <w:jc w:val="both"/>
        <w:rPr>
          <w:rFonts w:ascii="Arial" w:eastAsia="Calibri" w:hAnsi="Arial" w:cs="Arial"/>
          <w:szCs w:val="24"/>
          <w:lang w:eastAsia="es-ES_tradnl"/>
        </w:rPr>
      </w:pPr>
      <w:r w:rsidRPr="007F2FEE">
        <w:rPr>
          <w:rFonts w:ascii="Arial" w:eastAsia="Calibri" w:hAnsi="Arial" w:cs="Arial"/>
          <w:szCs w:val="24"/>
          <w:lang w:eastAsia="es-ES_tradnl"/>
        </w:rPr>
        <w:t xml:space="preserve">En sentencia del 9 de julio de 2021 del Consejo de Estado, se realizó una aclaración de voto que vale la pena destacar, en cuanto reitera esta postura en relación con la limitación de la adición del contrato. En esta oportunidad se indicó que </w:t>
      </w:r>
      <w:bookmarkStart w:id="2" w:name="_Hlk119400783"/>
      <w:r w:rsidRPr="007F2FEE">
        <w:rPr>
          <w:rFonts w:ascii="Arial" w:eastAsia="Calibri" w:hAnsi="Arial" w:cs="Arial"/>
          <w:szCs w:val="24"/>
          <w:lang w:val="es-ES" w:eastAsia="es-ES_tradnl"/>
        </w:rPr>
        <w:t>«</w:t>
      </w:r>
      <w:bookmarkEnd w:id="2"/>
      <w:r w:rsidRPr="007F2FEE">
        <w:rPr>
          <w:rFonts w:ascii="Arial" w:eastAsia="Calibri" w:hAnsi="Arial" w:cs="Arial"/>
          <w:bCs/>
          <w:szCs w:val="24"/>
          <w:lang w:val="es-ES" w:eastAsia="es-ES_tradnl"/>
        </w:rPr>
        <w:t xml:space="preserve">En el párrafo 34 de la sentencia se señaló </w:t>
      </w:r>
      <w:proofErr w:type="gramStart"/>
      <w:r w:rsidRPr="007F2FEE">
        <w:rPr>
          <w:rFonts w:ascii="Arial" w:eastAsia="Calibri" w:hAnsi="Arial" w:cs="Arial"/>
          <w:bCs/>
          <w:szCs w:val="24"/>
          <w:lang w:val="es-ES" w:eastAsia="es-ES_tradnl"/>
        </w:rPr>
        <w:lastRenderedPageBreak/>
        <w:t>que</w:t>
      </w:r>
      <w:proofErr w:type="gramEnd"/>
      <w:r w:rsidRPr="007F2FEE">
        <w:rPr>
          <w:rFonts w:ascii="Arial" w:eastAsia="Calibri" w:hAnsi="Arial" w:cs="Arial"/>
          <w:bCs/>
          <w:szCs w:val="24"/>
          <w:lang w:val="es-ES" w:eastAsia="es-ES_tradnl"/>
        </w:rPr>
        <w:t xml:space="preserve"> en contratos a precios unitarios, la cláusula de valor es “meramente indicativa”.  </w:t>
      </w:r>
      <w:r w:rsidRPr="007F2FEE">
        <w:rPr>
          <w:rFonts w:ascii="Arial" w:eastAsia="Calibri" w:hAnsi="Arial" w:cs="Arial"/>
          <w:bCs/>
          <w:i/>
          <w:iCs/>
          <w:szCs w:val="24"/>
          <w:lang w:val="es-ES" w:eastAsia="es-ES_tradnl"/>
        </w:rPr>
        <w:t>Al respecto estimo que el precio no puede fluctuar libremente al arbitrio de las partes, en tanto la ley</w:t>
      </w:r>
      <w:r w:rsidRPr="007F2FEE">
        <w:rPr>
          <w:rFonts w:ascii="Arial" w:eastAsia="Calibri" w:hAnsi="Arial" w:cs="Arial"/>
          <w:bCs/>
          <w:i/>
          <w:iCs/>
          <w:szCs w:val="24"/>
          <w:vertAlign w:val="superscript"/>
          <w:lang w:val="es-ES" w:eastAsia="es-ES_tradnl"/>
        </w:rPr>
        <w:footnoteRef/>
      </w:r>
      <w:r w:rsidRPr="007F2FEE">
        <w:rPr>
          <w:rFonts w:ascii="Arial" w:eastAsia="Calibri" w:hAnsi="Arial" w:cs="Arial"/>
          <w:bCs/>
          <w:i/>
          <w:iCs/>
          <w:szCs w:val="24"/>
          <w:lang w:val="es-ES" w:eastAsia="es-ES_tradnl"/>
        </w:rPr>
        <w:t xml:space="preserve"> impone restricciones a la posibilidad de adicionarlo, sin atención a la modalidad pactada en el contrato</w:t>
      </w:r>
      <w:r w:rsidRPr="007F2FEE">
        <w:rPr>
          <w:rFonts w:ascii="Arial" w:eastAsia="Calibri" w:hAnsi="Arial" w:cs="Arial"/>
          <w:bCs/>
          <w:szCs w:val="24"/>
          <w:lang w:val="es-ES" w:eastAsia="es-ES_tradnl"/>
        </w:rPr>
        <w:t>. A juicio del suscrito, el deber de planeación a cargo de las entidad</w:t>
      </w:r>
      <w:r w:rsidR="00A072F1">
        <w:rPr>
          <w:rFonts w:ascii="Arial" w:eastAsia="Calibri" w:hAnsi="Arial" w:cs="Arial"/>
          <w:bCs/>
          <w:szCs w:val="24"/>
          <w:lang w:val="es-ES" w:eastAsia="es-ES_tradnl"/>
        </w:rPr>
        <w:t>es</w:t>
      </w:r>
      <w:r w:rsidRPr="007F2FEE">
        <w:rPr>
          <w:rFonts w:ascii="Arial" w:eastAsia="Calibri" w:hAnsi="Arial" w:cs="Arial"/>
          <w:bCs/>
          <w:szCs w:val="24"/>
          <w:lang w:val="es-ES" w:eastAsia="es-ES_tradnl"/>
        </w:rPr>
        <w:t xml:space="preserve"> estatales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Pr="007F2FEE">
        <w:rPr>
          <w:rFonts w:ascii="Arial" w:eastAsia="Calibri" w:hAnsi="Arial" w:cs="Arial"/>
          <w:szCs w:val="24"/>
          <w:lang w:val="es-ES" w:eastAsia="es-ES_tradnl"/>
        </w:rPr>
        <w:t>»</w:t>
      </w:r>
      <w:r w:rsidRPr="007F2FEE">
        <w:rPr>
          <w:rFonts w:ascii="Arial" w:eastAsia="Calibri" w:hAnsi="Arial" w:cs="Arial"/>
          <w:szCs w:val="24"/>
          <w:vertAlign w:val="superscript"/>
          <w:lang w:val="es-ES" w:eastAsia="es-ES_tradnl"/>
        </w:rPr>
        <w:footnoteReference w:id="18"/>
      </w:r>
      <w:r w:rsidRPr="007F2FEE">
        <w:rPr>
          <w:rFonts w:ascii="Arial" w:eastAsia="Calibri" w:hAnsi="Arial" w:cs="Arial"/>
          <w:bCs/>
          <w:szCs w:val="24"/>
          <w:lang w:val="es-ES" w:eastAsia="es-ES_tradnl"/>
        </w:rPr>
        <w:t xml:space="preserve">. (Énfasis por fuera de texto). </w:t>
      </w:r>
    </w:p>
    <w:p w14:paraId="41C04E08"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En este contexto, reiterando lo expuesto en otros conceptos, esta Agencia comparte la última postura expuesta, ya que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097E5231"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szCs w:val="24"/>
          <w:lang w:val="es-MX" w:eastAsia="es-ES_tradnl"/>
        </w:rPr>
        <w:t xml:space="preserve">Si bien no se desconoce que el reconocimiento de mayores cantidades de obra no ha sido un tema pacífico en la jurisprudencia del Consejo de Estado, se considera que esta última postura es la que más se adecua a la legislación vigente en la medida en que la ampliación de las cantidades de obra conduce a una adición del contrato y por ende al aumento del presupuesto de este, luego debe tener como límite el cincuenta por ciento (50%) establecido en el artículo 40 de la Ley 80 de 1993. Además, como lo ha mencionado la doctrina esta línea es más coherente </w:t>
      </w:r>
      <w:r w:rsidRPr="007F2FEE">
        <w:rPr>
          <w:rFonts w:ascii="Arial" w:eastAsia="Calibri" w:hAnsi="Arial" w:cs="Arial"/>
          <w:szCs w:val="24"/>
          <w:lang w:val="es-ES" w:eastAsia="es-ES_tradnl"/>
        </w:rPr>
        <w:t xml:space="preserve">«no solo con la concepción original de la adición de los contratos, contemplada en la Ley 80/93 sino también con </w:t>
      </w:r>
      <w:r w:rsidRPr="007F2FEE">
        <w:rPr>
          <w:rFonts w:ascii="Arial" w:eastAsia="Calibri" w:hAnsi="Arial" w:cs="Arial"/>
          <w:szCs w:val="24"/>
          <w:lang w:val="es-MX" w:eastAsia="es-ES_tradnl"/>
        </w:rPr>
        <w:t>el reforzamiento cada vez más enfático del principio de planeación, frente al cual parecen aberrantes las consideraciones de indefinición del objeto contractual, la designación formal de los presupuestos iniciales y la ampliación ilimitada del costo de los contratos, independientemente de la denominación que se dé a su valor</w:t>
      </w:r>
      <w:r w:rsidRPr="007F2FEE">
        <w:rPr>
          <w:rFonts w:ascii="Arial" w:eastAsia="Calibri" w:hAnsi="Arial" w:cs="Arial"/>
          <w:szCs w:val="24"/>
          <w:lang w:val="es-ES" w:eastAsia="es-ES_tradnl"/>
        </w:rPr>
        <w:t>»</w:t>
      </w:r>
      <w:r w:rsidRPr="007F2FEE">
        <w:rPr>
          <w:rFonts w:ascii="Arial" w:eastAsia="Calibri" w:hAnsi="Arial" w:cs="Arial"/>
          <w:szCs w:val="24"/>
          <w:vertAlign w:val="superscript"/>
          <w:lang w:val="es-ES" w:eastAsia="es-ES_tradnl"/>
        </w:rPr>
        <w:footnoteReference w:id="19"/>
      </w:r>
      <w:r w:rsidRPr="007F2FEE">
        <w:rPr>
          <w:rFonts w:ascii="Arial" w:eastAsia="Calibri" w:hAnsi="Arial" w:cs="Arial"/>
          <w:szCs w:val="24"/>
          <w:lang w:val="es-ES" w:eastAsia="es-ES_tradnl"/>
        </w:rPr>
        <w:t>.</w:t>
      </w:r>
      <w:r w:rsidRPr="007F2FEE">
        <w:rPr>
          <w:rFonts w:ascii="Arial" w:eastAsia="Calibri" w:hAnsi="Arial" w:cs="Arial"/>
          <w:szCs w:val="24"/>
          <w:lang w:val="es-MX" w:eastAsia="es-ES_tradnl"/>
        </w:rPr>
        <w:t xml:space="preserve">  </w:t>
      </w:r>
    </w:p>
    <w:p w14:paraId="4E23C7A4" w14:textId="77777777" w:rsidR="007F2FEE" w:rsidRPr="007F2FEE" w:rsidRDefault="007F2FEE" w:rsidP="007F2FEE">
      <w:pPr>
        <w:spacing w:before="120" w:after="0" w:line="276" w:lineRule="auto"/>
        <w:ind w:firstLine="709"/>
        <w:jc w:val="both"/>
        <w:rPr>
          <w:rFonts w:ascii="Arial" w:eastAsia="Calibri" w:hAnsi="Arial" w:cs="Arial"/>
          <w:bCs/>
          <w:szCs w:val="24"/>
          <w:lang w:val="es-ES" w:eastAsia="es-ES_tradnl"/>
        </w:rPr>
      </w:pPr>
      <w:r w:rsidRPr="007F2FEE">
        <w:rPr>
          <w:rFonts w:ascii="Arial" w:eastAsia="Calibri" w:hAnsi="Arial" w:cs="Arial"/>
          <w:bCs/>
          <w:szCs w:val="24"/>
          <w:lang w:val="es-MX" w:eastAsia="es-ES_tradnl"/>
        </w:rPr>
        <w:t>Adicionalmente, es pertinente indicar que recientemente la Corte Constitucional se pronunció sobre la adición de l</w:t>
      </w:r>
      <w:r w:rsidRPr="007F2FEE">
        <w:rPr>
          <w:rFonts w:ascii="Arial" w:eastAsia="Calibri" w:hAnsi="Arial" w:cs="Arial"/>
          <w:bCs/>
          <w:lang w:val="es-MX" w:eastAsia="es-ES_tradnl"/>
        </w:rPr>
        <w:t xml:space="preserve">os contratos por mayores cantidades de obra en la Sentencia SU-214 del 16 de junio de 2022, en la cual se señaló que en estos eventos la restricción del cincuenta por </w:t>
      </w:r>
      <w:r w:rsidRPr="007F2FEE">
        <w:rPr>
          <w:rFonts w:ascii="Arial" w:eastAsia="Calibri" w:hAnsi="Arial" w:cs="Arial"/>
          <w:lang w:val="es-MX" w:eastAsia="es-ES_tradnl"/>
        </w:rPr>
        <w:t>ciento (50%) de su valor inicial aplica con independencia de la modalidad contractual de que se trate y del sistema de precios pactado</w:t>
      </w:r>
      <w:r w:rsidRPr="007F2FEE">
        <w:rPr>
          <w:rFonts w:ascii="Arial" w:eastAsia="Calibri" w:hAnsi="Arial" w:cs="Arial"/>
          <w:bCs/>
          <w:lang w:val="es-MX" w:eastAsia="es-ES_tradnl"/>
        </w:rPr>
        <w:t xml:space="preserve">: </w:t>
      </w:r>
    </w:p>
    <w:p w14:paraId="4DAEAE00" w14:textId="77777777" w:rsidR="007F2FEE" w:rsidRPr="007F2FEE" w:rsidRDefault="007F2FEE" w:rsidP="007F2FEE">
      <w:pPr>
        <w:spacing w:after="0" w:line="240" w:lineRule="auto"/>
        <w:ind w:firstLine="709"/>
        <w:jc w:val="both"/>
        <w:rPr>
          <w:rFonts w:ascii="Arial" w:eastAsia="Calibri" w:hAnsi="Arial" w:cs="Arial"/>
          <w:bCs/>
          <w:szCs w:val="24"/>
          <w:lang w:val="es-MX" w:eastAsia="es-ES_tradnl"/>
        </w:rPr>
      </w:pPr>
    </w:p>
    <w:p w14:paraId="41562485" w14:textId="533CE215" w:rsidR="007F2FEE" w:rsidRPr="007F2FEE" w:rsidRDefault="005A4A5D"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180. (…) aunque la jurisprudencia del Consejo de Estado ha admitido que los contratos pactados por el sistema de precios unitarios permiten ejecutar mayores cantidades de obra de los ítems pactados sin que haya necesidad de suscribir un contrato adicional, ello, en modo alguno, significa que la administración puede obviar </w:t>
      </w:r>
      <w:r w:rsidR="007F2FEE" w:rsidRPr="007F2FEE">
        <w:rPr>
          <w:rFonts w:ascii="Arial" w:eastAsia="Calibri" w:hAnsi="Arial" w:cs="Arial"/>
          <w:sz w:val="21"/>
          <w:szCs w:val="21"/>
          <w:lang w:val="es-MX" w:eastAsia="es-ES_tradnl"/>
        </w:rPr>
        <w:lastRenderedPageBreak/>
        <w:t>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w:t>
      </w:r>
    </w:p>
    <w:p w14:paraId="20C3D916" w14:textId="77777777" w:rsidR="007F2FEE" w:rsidRPr="007F2FEE" w:rsidRDefault="007F2FEE" w:rsidP="007F2FEE">
      <w:pPr>
        <w:spacing w:after="0" w:line="240" w:lineRule="auto"/>
        <w:ind w:firstLine="709"/>
        <w:jc w:val="both"/>
        <w:rPr>
          <w:rFonts w:ascii="Arial" w:eastAsia="Calibri" w:hAnsi="Arial" w:cs="Arial"/>
          <w:bCs/>
          <w:szCs w:val="24"/>
          <w:lang w:val="es-MX" w:eastAsia="es-ES_tradnl"/>
        </w:rPr>
      </w:pPr>
    </w:p>
    <w:p w14:paraId="146BE182" w14:textId="77777777" w:rsidR="007F2FEE" w:rsidRPr="007F2FEE" w:rsidRDefault="007F2FEE" w:rsidP="007F2FEE">
      <w:pPr>
        <w:spacing w:after="0" w:line="276" w:lineRule="auto"/>
        <w:ind w:firstLine="709"/>
        <w:jc w:val="both"/>
        <w:rPr>
          <w:rFonts w:ascii="Arial" w:eastAsia="Calibri" w:hAnsi="Arial" w:cs="Arial"/>
          <w:bCs/>
          <w:szCs w:val="24"/>
          <w:lang w:val="es-MX" w:eastAsia="es-ES_tradnl"/>
        </w:rPr>
      </w:pPr>
      <w:r w:rsidRPr="007F2FEE">
        <w:rPr>
          <w:rFonts w:ascii="Arial" w:eastAsia="Calibri" w:hAnsi="Arial" w:cs="Arial"/>
          <w:bCs/>
          <w:szCs w:val="24"/>
          <w:lang w:val="es-MX" w:eastAsia="es-ES_tradnl"/>
        </w:rPr>
        <w:t xml:space="preserve">Aunque este argumento no fue desarrollado de forma extensa en la sentencia, la postura expuesta por la Corte Constitucional es clara en señalar que en los contratos pactados por el sistema de precios unitarios las mayores cantidades de obra deben ejecutarse con observancia del límite de adición del 50% del valor inicial, pues su aplicación se debe efectuar independientemente del sistema de precios pactados. De esta manera, la posición de la Corte Constitucional es concordante con la segunda postura señalada en este concepto. </w:t>
      </w:r>
    </w:p>
    <w:p w14:paraId="09B6FAC4"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rPr>
      </w:pPr>
      <w:r w:rsidRPr="007F2FEE">
        <w:rPr>
          <w:rFonts w:ascii="Arial" w:eastAsia="Calibri" w:hAnsi="Arial" w:cs="Arial"/>
          <w:bCs/>
          <w:szCs w:val="24"/>
          <w:lang w:val="es-MX" w:eastAsia="es-ES_tradnl"/>
        </w:rPr>
        <w:t>En ese orden, esta Agencia comparte las consideraciones de la última postura expuesta, concordante con lo señalado por la Corte Constitucional en la SU 214 de 2022, según la cual en 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4BBEF011" w14:textId="77777777" w:rsidR="007F2FEE" w:rsidRPr="007F2FEE" w:rsidRDefault="007F2FEE" w:rsidP="007F2FEE">
      <w:pPr>
        <w:spacing w:after="0" w:line="264" w:lineRule="auto"/>
        <w:ind w:firstLine="709"/>
        <w:jc w:val="both"/>
        <w:rPr>
          <w:rFonts w:ascii="Arial" w:eastAsia="Calibri" w:hAnsi="Arial" w:cs="Arial"/>
          <w:bCs/>
          <w:szCs w:val="24"/>
          <w:lang w:val="es-MX" w:eastAsia="es-ES_tradnl"/>
        </w:rPr>
      </w:pPr>
    </w:p>
    <w:p w14:paraId="770CA539" w14:textId="77777777" w:rsidR="007F2FEE" w:rsidRPr="007F2FEE" w:rsidRDefault="007F2FEE" w:rsidP="007F2FEE">
      <w:pPr>
        <w:spacing w:after="0" w:line="264" w:lineRule="auto"/>
        <w:rPr>
          <w:rFonts w:ascii="Arial" w:eastAsia="Calibri" w:hAnsi="Arial" w:cs="Arial"/>
          <w:b/>
          <w:bCs/>
          <w:szCs w:val="24"/>
          <w:lang w:eastAsia="es-ES_tradnl" w:bidi="es-ES"/>
        </w:rPr>
      </w:pPr>
      <w:r w:rsidRPr="007F2FEE">
        <w:rPr>
          <w:rFonts w:ascii="Arial" w:eastAsia="Calibri" w:hAnsi="Arial" w:cs="Arial"/>
          <w:b/>
          <w:szCs w:val="24"/>
          <w:lang w:val="es-MX" w:eastAsia="es-ES_tradnl"/>
        </w:rPr>
        <w:t>2.2</w:t>
      </w:r>
      <w:r w:rsidRPr="007F2FEE">
        <w:rPr>
          <w:rFonts w:ascii="Arial" w:eastAsia="Calibri" w:hAnsi="Arial" w:cs="Arial"/>
          <w:bCs/>
          <w:szCs w:val="24"/>
          <w:lang w:val="es-MX" w:eastAsia="es-ES_tradnl"/>
        </w:rPr>
        <w:t xml:space="preserve"> </w:t>
      </w:r>
      <w:r w:rsidRPr="007F2FEE">
        <w:rPr>
          <w:rFonts w:ascii="Arial" w:eastAsia="Calibri" w:hAnsi="Arial" w:cs="Arial"/>
          <w:b/>
          <w:bCs/>
          <w:szCs w:val="24"/>
          <w:lang w:eastAsia="es-ES_tradnl" w:bidi="es-ES"/>
        </w:rPr>
        <w:t>Las modificaciones a los contratos estatales</w:t>
      </w:r>
    </w:p>
    <w:p w14:paraId="3B2B6EDF" w14:textId="77777777" w:rsidR="007F2FEE" w:rsidRPr="007F2FEE" w:rsidRDefault="007F2FEE" w:rsidP="007F2FEE">
      <w:pPr>
        <w:spacing w:after="0" w:line="264" w:lineRule="auto"/>
        <w:jc w:val="both"/>
        <w:rPr>
          <w:rFonts w:ascii="Arial" w:eastAsia="Calibri" w:hAnsi="Arial" w:cs="Arial"/>
          <w:b/>
          <w:bCs/>
          <w:szCs w:val="24"/>
          <w:lang w:val="es-MX" w:eastAsia="es-ES_tradnl" w:bidi="es-ES"/>
        </w:rPr>
      </w:pPr>
    </w:p>
    <w:p w14:paraId="0C4941E6" w14:textId="77777777" w:rsidR="007F2FEE" w:rsidRPr="007F2FEE" w:rsidRDefault="007F2FEE" w:rsidP="007F2FEE">
      <w:pPr>
        <w:spacing w:after="0" w:line="276" w:lineRule="auto"/>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El Estatuto General de Contratación de la Administración Pública, contenido en las Leyes 80 de 1993, 1150 de 2007 y 1474 de 2011, así como en las normas que las han modificado y las reglamentan, no consagra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7F2FEE">
        <w:rPr>
          <w:rFonts w:ascii="Arial" w:eastAsia="Calibri" w:hAnsi="Arial" w:cs="Arial"/>
          <w:bCs/>
          <w:szCs w:val="24"/>
          <w:vertAlign w:val="superscript"/>
          <w:lang w:val="es-MX" w:eastAsia="es-ES_tradnl"/>
        </w:rPr>
        <w:footnoteReference w:id="20"/>
      </w:r>
      <w:r w:rsidRPr="007F2FEE">
        <w:rPr>
          <w:rFonts w:ascii="Arial" w:eastAsia="Calibri" w:hAnsi="Arial" w:cs="Arial"/>
          <w:bCs/>
          <w:szCs w:val="24"/>
          <w:lang w:val="es-MX" w:eastAsia="es-ES_tradnl" w:bidi="es-ES"/>
        </w:rPr>
        <w:t>.</w:t>
      </w:r>
      <w:r w:rsidRPr="007F2FEE">
        <w:rPr>
          <w:rFonts w:ascii="Arial" w:eastAsia="Calibri" w:hAnsi="Arial" w:cs="Arial"/>
          <w:bCs/>
          <w:szCs w:val="24"/>
          <w:lang w:val="es-MX" w:eastAsia="es-ES_tradnl"/>
        </w:rPr>
        <w:t xml:space="preserve"> </w:t>
      </w:r>
    </w:p>
    <w:p w14:paraId="7171C2B5"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 xml:space="preserve">Ahora bien, no existe ninguna restricción expresa para modificar los contratos estatales y los mismos principios antes referidos pueden poner en evidencia la necesidad de suscribir documentos de modificación en los cuales se cambie parte de las estipulaciones pactadas en un </w:t>
      </w:r>
      <w:r w:rsidRPr="007F2FEE">
        <w:rPr>
          <w:rFonts w:ascii="Arial" w:eastAsia="Calibri" w:hAnsi="Arial" w:cs="Arial"/>
          <w:bCs/>
          <w:szCs w:val="24"/>
          <w:lang w:val="es-MX" w:eastAsia="es-ES_tradnl" w:bidi="es-ES"/>
        </w:rPr>
        <w:lastRenderedPageBreak/>
        <w:t>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344795C3" w14:textId="77777777" w:rsidR="007F2FEE" w:rsidRPr="007F2FEE" w:rsidRDefault="007F2FEE" w:rsidP="007F2FEE">
      <w:pPr>
        <w:spacing w:after="0" w:line="240" w:lineRule="auto"/>
        <w:jc w:val="both"/>
        <w:rPr>
          <w:rFonts w:ascii="Arial" w:eastAsia="Calibri" w:hAnsi="Arial" w:cs="Arial"/>
          <w:bCs/>
          <w:szCs w:val="24"/>
          <w:lang w:val="es-MX" w:eastAsia="es-ES_tradnl" w:bidi="es-ES"/>
        </w:rPr>
      </w:pPr>
    </w:p>
    <w:p w14:paraId="394924FE" w14:textId="072DBCFB" w:rsidR="007F2FEE" w:rsidRPr="007F2FEE" w:rsidRDefault="002E7AB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0"/>
          <w:szCs w:val="20"/>
          <w:lang w:val="es-MX" w:eastAsia="es-ES_tradnl"/>
        </w:rPr>
        <w:t>«</w:t>
      </w:r>
      <w:r w:rsidR="007F2FEE" w:rsidRPr="007F2FEE">
        <w:rPr>
          <w:rFonts w:ascii="Arial" w:eastAsia="Calibri" w:hAnsi="Arial" w:cs="Arial"/>
          <w:sz w:val="21"/>
          <w:szCs w:val="21"/>
          <w:lang w:val="es-MX" w:eastAsia="es-ES_tradnl"/>
        </w:rPr>
        <w:t>Por regla general, los contratos estatales pueden ser modificados cuando sea necesario para lograr su finalidad y en aras de la realización de los fines del Estado, a los cuales sirve el contrato.</w:t>
      </w:r>
      <w:r w:rsidR="007F2FEE" w:rsidRPr="007F2FEE">
        <w:rPr>
          <w:rFonts w:ascii="Arial" w:eastAsia="Calibri" w:hAnsi="Arial" w:cs="Arial"/>
          <w:sz w:val="21"/>
          <w:szCs w:val="21"/>
          <w:lang w:val="es-MX" w:eastAsia="es-ES_tradnl"/>
        </w:rPr>
        <w:footnoteReference w:id="21"/>
      </w:r>
      <w:r w:rsidR="007F2FEE" w:rsidRPr="007F2FEE">
        <w:rPr>
          <w:rFonts w:ascii="Arial" w:eastAsia="Calibri" w:hAnsi="Arial" w:cs="Arial"/>
          <w:sz w:val="21"/>
          <w:szCs w:val="21"/>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007F2FEE" w:rsidRPr="007F2FEE">
        <w:rPr>
          <w:rFonts w:ascii="Arial" w:eastAsia="Calibri" w:hAnsi="Arial" w:cs="Arial"/>
          <w:sz w:val="21"/>
          <w:szCs w:val="21"/>
          <w:lang w:val="es-MX" w:eastAsia="es-ES_tradnl"/>
        </w:rPr>
        <w:footnoteReference w:id="22"/>
      </w:r>
      <w:r w:rsidR="007F2FEE" w:rsidRPr="007F2FEE">
        <w:rPr>
          <w:rFonts w:ascii="Arial" w:eastAsia="Calibri" w:hAnsi="Arial" w:cs="Arial"/>
          <w:sz w:val="21"/>
          <w:szCs w:val="21"/>
          <w:lang w:val="es-MX" w:eastAsia="es-ES_tradnl"/>
        </w:rPr>
        <w:t>, la Corte Constitucional señaló que las prórrogas de los contratos –como especie de modificación- pueden ser un instrumento útil para lograr los fines propios de la contratación estatal.</w:t>
      </w:r>
      <w:r w:rsidR="007F2FEE" w:rsidRPr="007F2FEE">
        <w:rPr>
          <w:rFonts w:ascii="Arial" w:eastAsia="Calibri" w:hAnsi="Arial" w:cs="Arial"/>
          <w:sz w:val="21"/>
          <w:szCs w:val="21"/>
          <w:vertAlign w:val="superscript"/>
          <w:lang w:val="es-MX" w:eastAsia="es-ES_tradnl"/>
        </w:rPr>
        <w:footnoteReference w:id="23"/>
      </w:r>
    </w:p>
    <w:p w14:paraId="461D053B"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w:t>
      </w:r>
    </w:p>
    <w:p w14:paraId="625E83EB"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5EF7C641" w14:textId="4514B121"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7F2FEE">
        <w:rPr>
          <w:rFonts w:ascii="Arial" w:eastAsia="Calibri" w:hAnsi="Arial" w:cs="Arial"/>
          <w:sz w:val="21"/>
          <w:szCs w:val="21"/>
          <w:lang w:val="es-MX" w:eastAsia="es-ES_tradnl"/>
        </w:rPr>
        <w:t>ii</w:t>
      </w:r>
      <w:proofErr w:type="spellEnd"/>
      <w:r w:rsidRPr="007F2FEE">
        <w:rPr>
          <w:rFonts w:ascii="Arial" w:eastAsia="Calibri" w:hAnsi="Arial" w:cs="Arial"/>
          <w:sz w:val="21"/>
          <w:szCs w:val="21"/>
          <w:lang w:val="es-MX" w:eastAsia="es-ES_tradnl"/>
        </w:rPr>
        <w:t xml:space="preserve">)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w:t>
      </w:r>
      <w:r w:rsidR="002E7ABC" w:rsidRPr="007F2FEE">
        <w:rPr>
          <w:rFonts w:ascii="Arial" w:eastAsia="Calibri" w:hAnsi="Arial" w:cs="Arial"/>
          <w:sz w:val="21"/>
          <w:szCs w:val="21"/>
          <w:lang w:val="es-MX" w:eastAsia="es-ES_tradnl"/>
        </w:rPr>
        <w:t>S</w:t>
      </w:r>
      <w:r w:rsidRPr="007F2FEE">
        <w:rPr>
          <w:rFonts w:ascii="Arial" w:eastAsia="Calibri" w:hAnsi="Arial" w:cs="Arial"/>
          <w:sz w:val="21"/>
          <w:szCs w:val="21"/>
          <w:lang w:val="es-MX" w:eastAsia="es-ES_tradnl"/>
        </w:rPr>
        <w:t>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627D9D6D"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080D5B6F" w14:textId="270D7610"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r w:rsidR="002E7ABC">
        <w:rPr>
          <w:rFonts w:ascii="Arial" w:eastAsia="Calibri" w:hAnsi="Arial" w:cs="Arial"/>
          <w:sz w:val="21"/>
          <w:szCs w:val="21"/>
          <w:lang w:val="es-MX" w:eastAsia="es-ES_tradnl"/>
        </w:rPr>
        <w:t>»</w:t>
      </w:r>
      <w:r w:rsidRPr="007F2FEE">
        <w:rPr>
          <w:rFonts w:ascii="Arial" w:eastAsia="Calibri" w:hAnsi="Arial" w:cs="Arial"/>
          <w:sz w:val="21"/>
          <w:szCs w:val="21"/>
          <w:lang w:val="es-MX" w:eastAsia="es-ES_tradnl"/>
        </w:rPr>
        <w:t>.</w:t>
      </w:r>
    </w:p>
    <w:p w14:paraId="037955F8" w14:textId="77777777" w:rsidR="007F2FEE" w:rsidRPr="007F2FEE" w:rsidRDefault="007F2FEE" w:rsidP="007F2FEE">
      <w:pPr>
        <w:spacing w:after="0" w:line="276" w:lineRule="auto"/>
        <w:ind w:left="709" w:right="709"/>
        <w:jc w:val="both"/>
        <w:rPr>
          <w:rFonts w:ascii="Arial" w:eastAsia="Calibri" w:hAnsi="Arial" w:cs="Arial"/>
          <w:sz w:val="21"/>
          <w:szCs w:val="21"/>
          <w:lang w:val="es-MX" w:eastAsia="es-ES_tradnl"/>
        </w:rPr>
      </w:pPr>
    </w:p>
    <w:p w14:paraId="60E3B7C0"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lastRenderedPageBreak/>
        <w:t>A su turno, el Consejo de Estado</w:t>
      </w:r>
      <w:r w:rsidRPr="007F2FEE">
        <w:rPr>
          <w:rFonts w:ascii="Arial" w:eastAsia="Calibri" w:hAnsi="Arial" w:cs="Arial"/>
          <w:bCs/>
          <w:szCs w:val="24"/>
          <w:vertAlign w:val="superscript"/>
          <w:lang w:val="es-MX" w:eastAsia="es-ES_tradnl" w:bidi="es-ES"/>
        </w:rPr>
        <w:footnoteReference w:id="24"/>
      </w:r>
      <w:r w:rsidRPr="007F2FEE">
        <w:rPr>
          <w:rFonts w:ascii="Arial" w:eastAsia="Calibri" w:hAnsi="Arial" w:cs="Arial"/>
          <w:bCs/>
          <w:szCs w:val="24"/>
          <w:lang w:val="es-MX" w:eastAsia="es-ES_tradnl" w:bidi="es-ES"/>
        </w:rPr>
        <w:t>, ha expresado lo siguiente sobre el asunto:</w:t>
      </w:r>
    </w:p>
    <w:p w14:paraId="1B0D247B" w14:textId="77777777" w:rsidR="007F2FEE" w:rsidRPr="007F2FEE" w:rsidRDefault="007F2FEE" w:rsidP="007F2FEE">
      <w:pPr>
        <w:spacing w:after="0" w:line="264" w:lineRule="auto"/>
        <w:jc w:val="both"/>
        <w:rPr>
          <w:rFonts w:ascii="Arial" w:eastAsia="Calibri" w:hAnsi="Arial" w:cs="Arial"/>
          <w:bCs/>
          <w:szCs w:val="24"/>
          <w:lang w:val="es-MX" w:eastAsia="es-ES_tradnl" w:bidi="es-ES"/>
        </w:rPr>
      </w:pPr>
    </w:p>
    <w:p w14:paraId="623D5374" w14:textId="3EEC5BC4" w:rsidR="007F2FEE" w:rsidRPr="007F2FEE" w:rsidRDefault="00A373B5"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007F2FEE" w:rsidRPr="007F2FEE">
        <w:rPr>
          <w:rFonts w:ascii="Arial" w:eastAsia="Calibri" w:hAnsi="Arial" w:cs="Arial"/>
          <w:sz w:val="21"/>
          <w:szCs w:val="21"/>
          <w:lang w:val="es-MX" w:eastAsia="es-ES_tradnl"/>
        </w:rPr>
        <w:t>del mismo</w:t>
      </w:r>
      <w:proofErr w:type="gramEnd"/>
      <w:r w:rsidR="007F2FEE" w:rsidRPr="007F2FEE">
        <w:rPr>
          <w:rFonts w:ascii="Arial" w:eastAsia="Calibri" w:hAnsi="Arial" w:cs="Arial"/>
          <w:sz w:val="21"/>
          <w:szCs w:val="21"/>
          <w:lang w:val="es-MX" w:eastAsia="es-ES_tradnl"/>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65B781FF"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4C031350"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w:t>
      </w:r>
    </w:p>
    <w:p w14:paraId="2D08D1AF"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4660F673"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w:t>
      </w:r>
      <w:proofErr w:type="spellStart"/>
      <w:r w:rsidRPr="007F2FEE">
        <w:rPr>
          <w:rFonts w:ascii="Arial" w:eastAsia="Calibri" w:hAnsi="Arial" w:cs="Arial"/>
          <w:sz w:val="21"/>
          <w:szCs w:val="21"/>
          <w:lang w:val="es-MX" w:eastAsia="es-ES_tradnl"/>
        </w:rPr>
        <w:t>ibídem</w:t>
      </w:r>
      <w:proofErr w:type="spellEnd"/>
      <w:r w:rsidRPr="007F2FEE">
        <w:rPr>
          <w:rFonts w:ascii="Arial" w:eastAsia="Calibri" w:hAnsi="Arial" w:cs="Arial"/>
          <w:sz w:val="21"/>
          <w:szCs w:val="21"/>
          <w:lang w:val="es-MX" w:eastAsia="es-ES_tradnl"/>
        </w:rPr>
        <w:t>),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10DB6562"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4BCD1EA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171D62B5"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5D606729" w14:textId="3005D448"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r w:rsidR="00040AC1">
        <w:rPr>
          <w:rFonts w:ascii="Arial" w:eastAsia="Calibri" w:hAnsi="Arial" w:cs="Arial"/>
          <w:sz w:val="21"/>
          <w:szCs w:val="21"/>
          <w:lang w:val="es-MX" w:eastAsia="es-ES_tradnl"/>
        </w:rPr>
        <w:t>»</w:t>
      </w:r>
      <w:r w:rsidRPr="007F2FEE">
        <w:rPr>
          <w:rFonts w:ascii="Arial" w:eastAsia="Calibri" w:hAnsi="Arial" w:cs="Arial"/>
          <w:sz w:val="21"/>
          <w:szCs w:val="21"/>
          <w:lang w:val="es-MX" w:eastAsia="es-ES_tradnl"/>
        </w:rPr>
        <w:t>.</w:t>
      </w:r>
    </w:p>
    <w:p w14:paraId="56626C94" w14:textId="77777777" w:rsidR="007F2FEE" w:rsidRPr="007F2FEE" w:rsidRDefault="007F2FEE" w:rsidP="007F2FEE">
      <w:pPr>
        <w:spacing w:after="0" w:line="276" w:lineRule="auto"/>
        <w:ind w:left="709" w:right="709"/>
        <w:jc w:val="both"/>
        <w:rPr>
          <w:rFonts w:ascii="Arial" w:eastAsia="Calibri" w:hAnsi="Arial" w:cs="Arial"/>
          <w:sz w:val="21"/>
          <w:szCs w:val="21"/>
          <w:lang w:val="es-MX" w:eastAsia="es-ES_tradnl"/>
        </w:rPr>
      </w:pPr>
    </w:p>
    <w:p w14:paraId="18EC5E0F"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rPr>
      </w:pPr>
      <w:r w:rsidRPr="007F2FEE">
        <w:rPr>
          <w:rFonts w:ascii="Arial" w:eastAsia="Calibri" w:hAnsi="Arial" w:cs="Arial"/>
          <w:bCs/>
          <w:szCs w:val="24"/>
          <w:lang w:val="es-MX" w:eastAsia="es-ES_tradnl" w:bidi="es-ES"/>
        </w:rPr>
        <w:lastRenderedPageBreak/>
        <w:t xml:space="preserve">En el mismo sentido, en el concepto 2263 del 17 de marzo del 2016, la Sala de Consulta y Servicio Civil del Consejo de Estado precisó que </w:t>
      </w:r>
      <w:r w:rsidRPr="007F2FEE">
        <w:rPr>
          <w:rFonts w:ascii="Arial" w:eastAsia="Calibri" w:hAnsi="Arial" w:cs="Arial"/>
          <w:bCs/>
          <w:szCs w:val="24"/>
          <w:lang w:val="es-MX" w:eastAsia="es-ES_tradnl"/>
        </w:rPr>
        <w:t>la regla general es la no modificación del contrato, y la vía excepcional su modificación, sometida a límites legales; límites que, en los términos definidos en el referido concepto, corresponden a los siguientes:</w:t>
      </w:r>
    </w:p>
    <w:p w14:paraId="3EE11554" w14:textId="77777777" w:rsidR="007F2FEE" w:rsidRPr="007F2FEE" w:rsidRDefault="007F2FEE" w:rsidP="007F2FEE">
      <w:pPr>
        <w:spacing w:after="0" w:line="276" w:lineRule="auto"/>
        <w:ind w:firstLine="709"/>
        <w:jc w:val="both"/>
        <w:rPr>
          <w:rFonts w:ascii="Arial" w:eastAsia="Calibri" w:hAnsi="Arial" w:cs="Arial"/>
          <w:bCs/>
          <w:szCs w:val="24"/>
          <w:lang w:val="es-MX" w:eastAsia="es-ES_tradnl"/>
        </w:rPr>
      </w:pPr>
    </w:p>
    <w:p w14:paraId="5BFC13FA" w14:textId="2DE9AA82" w:rsidR="007F2FEE" w:rsidRPr="007F2FEE" w:rsidRDefault="00040AC1"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1. La necesidad de preservar los principios de igualdad, transparencia y libertad de concurrencia, durante la fase de ejecución del contrato. </w:t>
      </w:r>
    </w:p>
    <w:p w14:paraId="70973D3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7513D67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1518A17A"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6CF788FA"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6F4EDFD8"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FEE599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2.Límites de orden temporal, entre los que están comprendidos: i) la vigencia del contrato, pues no podría modificarse un contrato cuyo plazo ha culminado y </w:t>
      </w:r>
      <w:proofErr w:type="spellStart"/>
      <w:r w:rsidRPr="007F2FEE">
        <w:rPr>
          <w:rFonts w:ascii="Arial" w:eastAsia="Calibri" w:hAnsi="Arial" w:cs="Arial"/>
          <w:sz w:val="21"/>
          <w:szCs w:val="21"/>
          <w:lang w:val="es-MX" w:eastAsia="es-ES_tradnl"/>
        </w:rPr>
        <w:t>ii</w:t>
      </w:r>
      <w:proofErr w:type="spellEnd"/>
      <w:r w:rsidRPr="007F2FEE">
        <w:rPr>
          <w:rFonts w:ascii="Arial" w:eastAsia="Calibri" w:hAnsi="Arial" w:cs="Arial"/>
          <w:sz w:val="21"/>
          <w:szCs w:val="21"/>
          <w:lang w:val="es-MX" w:eastAsia="es-ES_tradnl"/>
        </w:rPr>
        <w:t>) la prohibición de consagrar prórrogas automáticas, sucesivas o indefinidas, en tanto resultan contrarias al derecho esencial de la libertad de competencia.</w:t>
      </w:r>
    </w:p>
    <w:p w14:paraId="35EF6333"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BBD6C9A"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3. Límites de orden formal, que comprenden: i) La solemnidad del contrato de modificación, derivada del carácter solemne del contrato estatal, que exige que modificación de los contratos conste por escrito</w:t>
      </w:r>
      <w:r w:rsidRPr="007F2FEE">
        <w:rPr>
          <w:rFonts w:ascii="Arial" w:eastAsia="Calibri" w:hAnsi="Arial" w:cs="Arial"/>
          <w:sz w:val="21"/>
          <w:szCs w:val="21"/>
          <w:vertAlign w:val="superscript"/>
          <w:lang w:val="es-MX" w:eastAsia="es-ES_tradnl"/>
        </w:rPr>
        <w:footnoteReference w:id="25"/>
      </w:r>
      <w:r w:rsidRPr="007F2FEE">
        <w:rPr>
          <w:rFonts w:ascii="Arial" w:eastAsia="Calibri" w:hAnsi="Arial" w:cs="Arial"/>
          <w:sz w:val="21"/>
          <w:szCs w:val="21"/>
          <w:vertAlign w:val="superscript"/>
          <w:lang w:val="es-MX" w:eastAsia="es-ES_tradnl"/>
        </w:rPr>
        <w:t>;</w:t>
      </w:r>
      <w:r w:rsidRPr="007F2FEE">
        <w:rPr>
          <w:rFonts w:ascii="Arial" w:eastAsia="Calibri" w:hAnsi="Arial" w:cs="Arial"/>
          <w:sz w:val="21"/>
          <w:szCs w:val="21"/>
          <w:lang w:val="es-MX" w:eastAsia="es-ES_tradnl"/>
        </w:rPr>
        <w:t xml:space="preserve"> </w:t>
      </w:r>
      <w:proofErr w:type="spellStart"/>
      <w:r w:rsidRPr="007F2FEE">
        <w:rPr>
          <w:rFonts w:ascii="Arial" w:eastAsia="Calibri" w:hAnsi="Arial" w:cs="Arial"/>
          <w:sz w:val="21"/>
          <w:szCs w:val="21"/>
          <w:lang w:val="es-MX" w:eastAsia="es-ES_tradnl"/>
        </w:rPr>
        <w:t>ii</w:t>
      </w:r>
      <w:proofErr w:type="spellEnd"/>
      <w:r w:rsidRPr="007F2FEE">
        <w:rPr>
          <w:rFonts w:ascii="Arial" w:eastAsia="Calibri" w:hAnsi="Arial" w:cs="Arial"/>
          <w:sz w:val="21"/>
          <w:szCs w:val="21"/>
          <w:lang w:val="es-MX" w:eastAsia="es-ES_tradnl"/>
        </w:rPr>
        <w:t>) la motivación y justificación de la modificación, la cual constituye un elemento esencial que permite determinar la juridicidad y la necesidad de una modificación determinada; así como su racionalidad y la proporcionalidad de su contenido.</w:t>
      </w:r>
    </w:p>
    <w:p w14:paraId="6CFC17F3"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E2FB479" w14:textId="39A085B0"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4. Límites de orden material, que corresponden a: i) la prohibición de modificar las condiciones sustanciales del contrato, que se presentará en los casos en que se incluyan elementos que, «habiendo figurado en el procedimiento inicial, hubiera </w:t>
      </w:r>
      <w:r w:rsidRPr="007F2FEE">
        <w:rPr>
          <w:rFonts w:ascii="Arial" w:eastAsia="Calibri" w:hAnsi="Arial" w:cs="Arial"/>
          <w:sz w:val="21"/>
          <w:szCs w:val="21"/>
          <w:lang w:val="es-MX" w:eastAsia="es-ES_tradnl"/>
        </w:rPr>
        <w:lastRenderedPageBreak/>
        <w:t>permitido la participación de otros interesados aparte de los inicialmente admitidos, o seleccionar una oferta distinta de la inicialmente seleccionada</w:t>
      </w:r>
      <w:r w:rsidR="00040AC1">
        <w:rPr>
          <w:rFonts w:ascii="Arial" w:eastAsia="Calibri" w:hAnsi="Arial" w:cs="Arial"/>
          <w:sz w:val="21"/>
          <w:szCs w:val="21"/>
          <w:lang w:val="es-MX" w:eastAsia="es-ES_tradnl"/>
        </w:rPr>
        <w:t>»</w:t>
      </w:r>
      <w:r w:rsidRPr="007F2FEE">
        <w:rPr>
          <w:rFonts w:ascii="Arial" w:eastAsia="Calibri" w:hAnsi="Arial" w:cs="Arial"/>
          <w:sz w:val="21"/>
          <w:szCs w:val="21"/>
          <w:lang w:val="es-MX" w:eastAsia="es-ES_tradnl"/>
        </w:rPr>
        <w:t>.</w:t>
      </w:r>
    </w:p>
    <w:p w14:paraId="272B4EB7"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43778445" w14:textId="77777777" w:rsidR="007F2FEE" w:rsidRPr="007F2FEE" w:rsidRDefault="007F2FEE" w:rsidP="007F2FEE">
      <w:pPr>
        <w:spacing w:after="0" w:line="240" w:lineRule="auto"/>
        <w:ind w:firstLine="708"/>
        <w:jc w:val="both"/>
        <w:rPr>
          <w:rFonts w:ascii="Arial" w:eastAsia="Calibri" w:hAnsi="Arial" w:cs="Arial"/>
          <w:lang w:val="es-MX" w:eastAsia="es-ES_tradnl"/>
        </w:rPr>
      </w:pPr>
      <w:r w:rsidRPr="007F2FEE">
        <w:rPr>
          <w:rFonts w:ascii="Arial" w:eastAsia="Calibri" w:hAnsi="Arial" w:cs="Arial"/>
          <w:lang w:val="es-MX" w:eastAsia="es-ES_tradnl"/>
        </w:rPr>
        <w:t>Sobre el alcance de dicha prohibición, la Sala de Consulta y Servicio Civil expresó lo siguiente</w:t>
      </w:r>
      <w:r w:rsidRPr="007F2FEE">
        <w:rPr>
          <w:rFonts w:ascii="Arial" w:eastAsia="Calibri" w:hAnsi="Arial" w:cs="Arial"/>
          <w:vertAlign w:val="superscript"/>
          <w:lang w:val="es-MX" w:eastAsia="es-ES_tradnl"/>
        </w:rPr>
        <w:footnoteReference w:id="26"/>
      </w:r>
      <w:r w:rsidRPr="007F2FEE">
        <w:rPr>
          <w:rFonts w:ascii="Arial" w:eastAsia="Calibri" w:hAnsi="Arial" w:cs="Arial"/>
          <w:lang w:val="es-MX" w:eastAsia="es-ES_tradnl"/>
        </w:rPr>
        <w:t>:</w:t>
      </w:r>
    </w:p>
    <w:p w14:paraId="5B1A10F9"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20A0C5B" w14:textId="64545AA8" w:rsidR="007F2FEE" w:rsidRPr="007F2FEE" w:rsidRDefault="00040AC1"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21"/>
          <w:szCs w:val="21"/>
          <w:lang w:val="es-MX" w:eastAsia="es-ES_tradnl"/>
        </w:rPr>
        <w:t>«</w:t>
      </w:r>
      <w:r w:rsidR="007F2FEE" w:rsidRPr="007F2FEE">
        <w:rPr>
          <w:rFonts w:ascii="Arial" w:eastAsia="Calibri" w:hAnsi="Arial" w:cs="Arial"/>
          <w:sz w:val="21"/>
          <w:szCs w:val="21"/>
          <w:lang w:val="es-MX" w:eastAsia="es-ES_tradnl"/>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w:t>
      </w:r>
      <w:proofErr w:type="gramStart"/>
      <w:r w:rsidR="007F2FEE" w:rsidRPr="007F2FEE">
        <w:rPr>
          <w:rFonts w:ascii="Arial" w:eastAsia="Calibri" w:hAnsi="Arial" w:cs="Arial"/>
          <w:sz w:val="21"/>
          <w:szCs w:val="21"/>
          <w:lang w:val="es-MX" w:eastAsia="es-ES_tradnl"/>
        </w:rPr>
        <w:t>Estado,</w:t>
      </w:r>
      <w:proofErr w:type="gramEnd"/>
      <w:r w:rsidR="007F2FEE" w:rsidRPr="007F2FEE">
        <w:rPr>
          <w:rFonts w:ascii="Arial" w:eastAsia="Calibri" w:hAnsi="Arial" w:cs="Arial"/>
          <w:sz w:val="21"/>
          <w:szCs w:val="21"/>
          <w:lang w:val="es-MX" w:eastAsia="es-ES_tradnl"/>
        </w:rPr>
        <w:t xml:space="preserve"> aportan los elementos necesarios que permiten orientar a la Administración sobre esta vía excepcional y sus requisitos:</w:t>
      </w:r>
    </w:p>
    <w:p w14:paraId="2688C81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6871DE32"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7365FFF3"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2B18FAAD"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w:t>
      </w:r>
    </w:p>
    <w:p w14:paraId="785579D0"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022F1EE5"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64C0F442"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5967633E"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6E57152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1DD2FB32"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-El cumplimiento del límite cuantitativo consagrado en la ley para los contratos adicionales. […]</w:t>
      </w:r>
    </w:p>
    <w:p w14:paraId="41FB5D0B"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632D4B75" w14:textId="7B99E814"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lastRenderedPageBreak/>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00040AC1">
        <w:rPr>
          <w:rFonts w:ascii="Arial" w:eastAsia="Calibri" w:hAnsi="Arial" w:cs="Arial"/>
          <w:sz w:val="21"/>
          <w:szCs w:val="21"/>
          <w:lang w:val="es-MX" w:eastAsia="es-ES_tradnl"/>
        </w:rPr>
        <w:t>»</w:t>
      </w:r>
      <w:r w:rsidRPr="007F2FEE">
        <w:rPr>
          <w:rFonts w:ascii="Arial" w:eastAsia="Calibri" w:hAnsi="Arial" w:cs="Arial"/>
          <w:sz w:val="21"/>
          <w:szCs w:val="21"/>
          <w:lang w:val="es-MX" w:eastAsia="es-ES_tradnl"/>
        </w:rPr>
        <w:t>.</w:t>
      </w:r>
    </w:p>
    <w:p w14:paraId="5BB4A6E3"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3C733512"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De esta manera, para establecer si un contrato determinado puede ser susceptible de modificación, se hace necesario que la Administración analice, en cada caso, la concurrencia de los aspectos antes referidos.  </w:t>
      </w:r>
    </w:p>
    <w:p w14:paraId="2AC7CEE1" w14:textId="77777777" w:rsidR="007F2FEE" w:rsidRPr="007F2FEE" w:rsidRDefault="007F2FEE" w:rsidP="007F2FEE">
      <w:pPr>
        <w:spacing w:before="120" w:after="0" w:line="276" w:lineRule="auto"/>
        <w:ind w:firstLine="567"/>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3" w:name="_ftnref22"/>
      <w:r w:rsidRPr="007F2FEE">
        <w:rPr>
          <w:rFonts w:ascii="Arial" w:eastAsia="Calibri" w:hAnsi="Arial" w:cs="Arial"/>
          <w:bCs/>
          <w:szCs w:val="24"/>
          <w:lang w:val="es-MX" w:eastAsia="es-ES_tradnl" w:bidi="es-ES"/>
        </w:rPr>
        <w:t xml:space="preserve"> </w:t>
      </w:r>
    </w:p>
    <w:p w14:paraId="4E585153"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Sobre este último punto, la doctrina</w:t>
      </w:r>
      <w:r w:rsidRPr="007F2FEE">
        <w:rPr>
          <w:rFonts w:ascii="Arial" w:eastAsia="Calibri" w:hAnsi="Arial" w:cs="Arial"/>
          <w:bCs/>
          <w:szCs w:val="24"/>
          <w:vertAlign w:val="superscript"/>
          <w:lang w:val="es-MX" w:eastAsia="es-ES_tradnl" w:bidi="es-ES"/>
        </w:rPr>
        <w:footnoteReference w:id="27"/>
      </w:r>
      <w:r w:rsidRPr="007F2FEE">
        <w:rPr>
          <w:rFonts w:ascii="Arial" w:eastAsia="Calibri" w:hAnsi="Arial" w:cs="Arial"/>
          <w:bCs/>
          <w:szCs w:val="24"/>
          <w:lang w:val="es-MX" w:eastAsia="es-ES_tradnl" w:bidi="es-ES"/>
        </w:rPr>
        <w:t xml:space="preserve"> ha precisado que cuando </w:t>
      </w:r>
      <w:r w:rsidRPr="007F2FEE">
        <w:rPr>
          <w:rFonts w:ascii="Arial" w:eastAsia="Calibri" w:hAnsi="Arial" w:cs="Arial"/>
          <w:bCs/>
          <w:szCs w:val="24"/>
          <w:lang w:val="es-MX" w:eastAsia="es-ES_tradnl"/>
        </w:rPr>
        <w:t>«</w:t>
      </w:r>
      <w:r w:rsidRPr="007F2FEE">
        <w:rPr>
          <w:rFonts w:ascii="Arial" w:eastAsia="Calibri" w:hAnsi="Arial" w:cs="Arial"/>
          <w:bCs/>
          <w:szCs w:val="24"/>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7F2FEE">
        <w:rPr>
          <w:rFonts w:ascii="Arial" w:eastAsia="Calibri" w:hAnsi="Arial" w:cs="Arial"/>
          <w:bCs/>
          <w:szCs w:val="24"/>
          <w:lang w:val="es-MX" w:eastAsia="es-ES_tradnl"/>
        </w:rPr>
        <w:t>»</w:t>
      </w:r>
      <w:r w:rsidRPr="007F2FEE">
        <w:rPr>
          <w:rFonts w:ascii="Arial" w:eastAsia="Calibri" w:hAnsi="Arial" w:cs="Arial"/>
          <w:bCs/>
          <w:i/>
          <w:iCs/>
          <w:szCs w:val="24"/>
          <w:vertAlign w:val="superscript"/>
          <w:lang w:val="es-MX" w:eastAsia="es-ES_tradnl"/>
        </w:rPr>
        <w:footnoteReference w:id="28"/>
      </w:r>
      <w:r w:rsidRPr="007F2FEE">
        <w:rPr>
          <w:rFonts w:ascii="Arial" w:eastAsia="Calibri" w:hAnsi="Arial" w:cs="Arial"/>
          <w:bCs/>
          <w:szCs w:val="24"/>
          <w:lang w:val="es-MX" w:eastAsia="es-ES_tradnl" w:bidi="es-ES"/>
        </w:rPr>
        <w:t xml:space="preserve">. </w:t>
      </w:r>
      <w:bookmarkEnd w:id="3"/>
      <w:r w:rsidRPr="007F2FEE">
        <w:rPr>
          <w:rFonts w:ascii="Arial" w:eastAsia="Calibri" w:hAnsi="Arial" w:cs="Arial"/>
          <w:bCs/>
          <w:szCs w:val="24"/>
          <w:lang w:val="es-MX" w:eastAsia="es-ES_tradnl"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2D34B0D9"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MX" w:eastAsia="es-ES_tradnl" w:bidi="es-ES"/>
        </w:rPr>
        <w:t xml:space="preserve">En todo caso, corresponderá a cada entidad estatal realizar el análisis respecto a la procedencia de modificar determinado contrato estatal, en el entendido que se respeten las reglas </w:t>
      </w:r>
      <w:r w:rsidRPr="007F2FEE">
        <w:rPr>
          <w:rFonts w:ascii="Arial" w:eastAsia="Calibri" w:hAnsi="Arial" w:cs="Arial"/>
          <w:bCs/>
          <w:szCs w:val="24"/>
          <w:lang w:val="es-MX" w:eastAsia="es-ES_tradnl" w:bidi="es-ES"/>
        </w:rPr>
        <w:lastRenderedPageBreak/>
        <w:t xml:space="preserve">establecidas en el ordenamiento jurídico, de acuerdo con lo expuesto anteriormente, además de definir previamente su procedencia desde la perspectiva jurídica, técnica y financiera. </w:t>
      </w:r>
    </w:p>
    <w:p w14:paraId="59714A8C"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bidi="es-ES"/>
        </w:rPr>
      </w:pPr>
      <w:r w:rsidRPr="007F2FEE">
        <w:rPr>
          <w:rFonts w:ascii="Arial" w:eastAsia="Calibri" w:hAnsi="Arial" w:cs="Arial"/>
          <w:bCs/>
          <w:szCs w:val="24"/>
          <w:lang w:val="es-ES_tradnl" w:eastAsia="es-ES_tradnl" w:bidi="es-ES"/>
        </w:rPr>
        <w:t xml:space="preserve">En este contexto, en concordancia con lo expuesto en el numeral 2.1 de este concepto, es claro que un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 </w:t>
      </w:r>
    </w:p>
    <w:p w14:paraId="6A45D544" w14:textId="2F2E872E" w:rsidR="007F2FEE" w:rsidRPr="007F2FEE" w:rsidRDefault="007F2FEE" w:rsidP="007F2FEE">
      <w:pPr>
        <w:spacing w:before="120" w:after="0" w:line="276" w:lineRule="auto"/>
        <w:ind w:firstLine="709"/>
        <w:jc w:val="both"/>
        <w:rPr>
          <w:rFonts w:ascii="Arial" w:eastAsia="Calibri" w:hAnsi="Arial" w:cs="Arial"/>
          <w:bCs/>
          <w:szCs w:val="24"/>
          <w:lang w:eastAsia="es-ES_tradnl" w:bidi="es-ES"/>
        </w:rPr>
      </w:pPr>
      <w:r w:rsidRPr="007F2FEE">
        <w:rPr>
          <w:rFonts w:ascii="Arial" w:eastAsia="Calibri" w:hAnsi="Arial" w:cs="Arial"/>
          <w:bCs/>
          <w:szCs w:val="24"/>
          <w:lang w:val="es-ES_tradnl" w:eastAsia="es-ES_tradnl" w:bidi="es-ES"/>
        </w:rPr>
        <w:t xml:space="preserve">Al respecto, es pertinente indicar en relación con la sentencia SU 214 de 2022 de la Corte Constitucional que, las consideraciones expuestas en dicha providencia para resolver el caso particular se fundamentan en </w:t>
      </w:r>
      <w:r w:rsidRPr="007F2FEE">
        <w:rPr>
          <w:rFonts w:ascii="Arial" w:eastAsia="Calibri" w:hAnsi="Arial" w:cs="Arial"/>
          <w:bCs/>
          <w:szCs w:val="24"/>
          <w:lang w:eastAsia="es-ES_tradnl" w:bidi="es-ES"/>
        </w:rPr>
        <w:t xml:space="preserve">el análisis del alcance y contenido de las definiciones de </w:t>
      </w:r>
      <w:r w:rsidRPr="007F2FEE">
        <w:rPr>
          <w:rFonts w:ascii="Arial" w:eastAsia="Calibri" w:hAnsi="Arial" w:cs="Arial"/>
          <w:bCs/>
          <w:i/>
          <w:iCs/>
          <w:szCs w:val="24"/>
          <w:lang w:eastAsia="es-ES_tradnl" w:bidi="es-ES"/>
        </w:rPr>
        <w:t>adiciones contractuales</w:t>
      </w:r>
      <w:r w:rsidRPr="007F2FEE">
        <w:rPr>
          <w:rFonts w:ascii="Arial" w:eastAsia="Calibri" w:hAnsi="Arial" w:cs="Arial"/>
          <w:bCs/>
          <w:szCs w:val="24"/>
          <w:lang w:eastAsia="es-ES_tradnl" w:bidi="es-ES"/>
        </w:rPr>
        <w:t xml:space="preserve"> y  </w:t>
      </w:r>
      <w:r w:rsidRPr="007F2FEE">
        <w:rPr>
          <w:rFonts w:ascii="Arial" w:eastAsia="Calibri" w:hAnsi="Arial" w:cs="Arial"/>
          <w:bCs/>
          <w:i/>
          <w:iCs/>
          <w:szCs w:val="24"/>
          <w:lang w:eastAsia="es-ES_tradnl" w:bidi="es-ES"/>
        </w:rPr>
        <w:t>contratos adicionales</w:t>
      </w:r>
      <w:r w:rsidRPr="007F2FEE">
        <w:rPr>
          <w:rFonts w:ascii="Arial" w:eastAsia="Calibri" w:hAnsi="Arial" w:cs="Arial"/>
          <w:bCs/>
          <w:szCs w:val="24"/>
          <w:lang w:eastAsia="es-ES_tradnl" w:bidi="es-ES"/>
        </w:rPr>
        <w:t xml:space="preserve"> a la luz de la ley, teniendo en cuenta la posición de la jurisprudencia del Consejo de Estado y de la Sala de Casación Penal de la Corte Suprema de Justicia </w:t>
      </w:r>
      <w:r w:rsidRPr="007F2FEE">
        <w:rPr>
          <w:rFonts w:ascii="Arial" w:eastAsia="Calibri" w:hAnsi="Arial" w:cs="Arial"/>
          <w:bCs/>
          <w:szCs w:val="24"/>
          <w:lang w:val="es-ES_tradnl" w:eastAsia="es-ES_tradnl" w:bidi="es-ES"/>
        </w:rPr>
        <w:t xml:space="preserve">vigente para el </w:t>
      </w:r>
      <w:r w:rsidRPr="007F2FEE">
        <w:rPr>
          <w:rFonts w:ascii="Arial" w:eastAsia="Calibri" w:hAnsi="Arial" w:cs="Arial"/>
          <w:szCs w:val="24"/>
          <w:lang w:val="es-ES_tradnl" w:eastAsia="es-ES_tradnl" w:bidi="es-ES"/>
        </w:rPr>
        <w:t xml:space="preserve">momento de los hechos, </w:t>
      </w:r>
      <w:r w:rsidRPr="007F2FEE">
        <w:rPr>
          <w:rFonts w:ascii="Arial" w:eastAsia="Calibri" w:hAnsi="Arial" w:cs="Arial"/>
          <w:bCs/>
          <w:szCs w:val="24"/>
          <w:lang w:val="es-ES_tradnl" w:eastAsia="es-ES_tradnl" w:bidi="es-ES"/>
        </w:rPr>
        <w:t xml:space="preserve">que se remiten al año 2004. Según lo expuesto en dicha sentencia, la posición establecida para ese momento indicaba </w:t>
      </w:r>
      <w:proofErr w:type="gramStart"/>
      <w:r w:rsidRPr="007F2FEE">
        <w:rPr>
          <w:rFonts w:ascii="Arial" w:eastAsia="Calibri" w:hAnsi="Arial" w:cs="Arial"/>
          <w:bCs/>
          <w:szCs w:val="24"/>
          <w:lang w:val="es-ES_tradnl" w:eastAsia="es-ES_tradnl" w:bidi="es-ES"/>
        </w:rPr>
        <w:t>que</w:t>
      </w:r>
      <w:proofErr w:type="gramEnd"/>
      <w:r w:rsidRPr="007F2FEE">
        <w:rPr>
          <w:rFonts w:ascii="Arial" w:eastAsia="Calibri" w:hAnsi="Arial" w:cs="Arial"/>
          <w:bCs/>
          <w:szCs w:val="24"/>
          <w:lang w:val="es-ES_tradnl" w:eastAsia="es-ES_tradnl" w:bidi="es-ES"/>
        </w:rPr>
        <w:t xml:space="preserve"> para </w:t>
      </w:r>
      <w:r w:rsidRPr="007F2FEE">
        <w:rPr>
          <w:rFonts w:ascii="Arial" w:eastAsia="Calibri" w:hAnsi="Arial" w:cs="Arial"/>
          <w:bCs/>
          <w:szCs w:val="24"/>
          <w:lang w:eastAsia="es-ES_tradnl" w:bidi="es-ES"/>
        </w:rPr>
        <w:t xml:space="preserve">agregar ítems o actividades no pactadas en los contratos a precios unitarios, implicaba modificar el objeto del contrato por lo que era necesario celebrar nuevo contrato denominado </w:t>
      </w:r>
      <w:r w:rsidRPr="007F2FEE">
        <w:rPr>
          <w:rFonts w:ascii="Arial" w:eastAsia="Calibri" w:hAnsi="Arial" w:cs="Arial"/>
          <w:bCs/>
          <w:i/>
          <w:iCs/>
          <w:szCs w:val="24"/>
          <w:lang w:eastAsia="es-ES_tradnl" w:bidi="es-ES"/>
        </w:rPr>
        <w:t>contrato adicional</w:t>
      </w:r>
      <w:r w:rsidRPr="007F2FEE">
        <w:rPr>
          <w:rFonts w:ascii="Arial" w:eastAsia="Calibri" w:hAnsi="Arial" w:cs="Arial"/>
          <w:bCs/>
          <w:szCs w:val="24"/>
          <w:lang w:eastAsia="es-ES_tradnl" w:bidi="es-ES"/>
        </w:rPr>
        <w:t xml:space="preserve">. </w:t>
      </w:r>
    </w:p>
    <w:p w14:paraId="14138DF0" w14:textId="77777777" w:rsidR="007F2FEE" w:rsidRPr="007F2FEE" w:rsidRDefault="007F2FEE" w:rsidP="007F2FEE">
      <w:pPr>
        <w:spacing w:before="120" w:after="0" w:line="276" w:lineRule="auto"/>
        <w:ind w:firstLine="709"/>
        <w:jc w:val="both"/>
        <w:rPr>
          <w:rFonts w:ascii="Arial" w:eastAsia="Calibri" w:hAnsi="Arial" w:cs="Arial"/>
          <w:bCs/>
          <w:szCs w:val="24"/>
          <w:lang w:val="es-MX" w:eastAsia="es-ES_tradnl"/>
        </w:rPr>
      </w:pPr>
      <w:r w:rsidRPr="007F2FEE">
        <w:rPr>
          <w:rFonts w:ascii="Arial" w:eastAsia="Calibri" w:hAnsi="Arial" w:cs="Arial"/>
          <w:bCs/>
          <w:szCs w:val="24"/>
          <w:lang w:eastAsia="es-ES_tradnl" w:bidi="es-ES"/>
        </w:rPr>
        <w:t xml:space="preserve">Lo anterior se colige de varios apartes de la sentencia, principalmente lo señalado en el numeral 306 que indica que </w:t>
      </w:r>
      <w:r w:rsidRPr="007F2FEE">
        <w:rPr>
          <w:rFonts w:ascii="Arial" w:eastAsia="Calibri" w:hAnsi="Arial" w:cs="Arial"/>
          <w:bCs/>
          <w:szCs w:val="24"/>
          <w:lang w:val="es-MX" w:eastAsia="es-ES_tradnl"/>
        </w:rPr>
        <w:t>«</w:t>
      </w:r>
      <w:r w:rsidRPr="007F2FEE">
        <w:rPr>
          <w:rFonts w:ascii="Arial" w:eastAsia="Calibri" w:hAnsi="Arial" w:cs="Arial"/>
          <w:bCs/>
          <w:szCs w:val="24"/>
          <w:lang w:eastAsia="es-ES_tradnl" w:bidi="es-ES"/>
        </w:rPr>
        <w:t xml:space="preserve">La Sala reconoce que en la jurisprudencia y la doctrina han existido diferentes posturas sobre si el objeto de un contrato de obra puede o no ser reformado mediante una simple adición o si ello, por el contrato, exige la celebración de un nuevo contrato producto de un proceso de selección y contratación propio. Ello quedó evidenciado al hacer el recuento jurisprudencial y doctrinal en la materia, en el acápite K) de esta providencia. </w:t>
      </w:r>
      <w:r w:rsidRPr="007F2FEE">
        <w:rPr>
          <w:rFonts w:ascii="Arial" w:eastAsia="Calibri" w:hAnsi="Arial" w:cs="Arial"/>
          <w:bCs/>
          <w:i/>
          <w:iCs/>
          <w:szCs w:val="24"/>
          <w:lang w:eastAsia="es-ES_tradnl" w:bidi="es-ES"/>
        </w:rPr>
        <w:t>Sin embargo, la solución del caso sub examine, exige determinar cuál era el estado del arte, al momento de los hechos,</w:t>
      </w:r>
      <w:r w:rsidRPr="007F2FEE">
        <w:rPr>
          <w:rFonts w:ascii="Arial" w:eastAsia="Calibri" w:hAnsi="Arial" w:cs="Arial"/>
          <w:bCs/>
          <w:szCs w:val="24"/>
          <w:lang w:eastAsia="es-ES_tradnl" w:bidi="es-ES"/>
        </w:rPr>
        <w:t xml:space="preserve"> es decir, para el 30 de agosto de 2004, fecha en la que el demandante suscribió el adicional No. 2</w:t>
      </w:r>
      <w:r w:rsidRPr="007F2FEE">
        <w:rPr>
          <w:rFonts w:ascii="Arial" w:eastAsia="Calibri" w:hAnsi="Arial" w:cs="Arial"/>
          <w:bCs/>
          <w:szCs w:val="24"/>
          <w:lang w:val="es-MX" w:eastAsia="es-ES_tradnl"/>
        </w:rPr>
        <w:t xml:space="preserve">» (Énfasis por fuera de texto). </w:t>
      </w:r>
    </w:p>
    <w:p w14:paraId="4D38E9CF" w14:textId="77777777" w:rsidR="007F2FEE" w:rsidRPr="007F2FEE" w:rsidRDefault="007F2FEE" w:rsidP="007F2FEE">
      <w:pPr>
        <w:spacing w:before="120" w:after="0" w:line="276" w:lineRule="auto"/>
        <w:ind w:firstLine="709"/>
        <w:jc w:val="both"/>
        <w:rPr>
          <w:rFonts w:ascii="Arial" w:eastAsia="Calibri" w:hAnsi="Arial" w:cs="Arial"/>
          <w:bCs/>
          <w:szCs w:val="24"/>
          <w:lang w:eastAsia="es-ES_tradnl" w:bidi="es-ES"/>
        </w:rPr>
      </w:pPr>
      <w:r w:rsidRPr="007F2FEE">
        <w:rPr>
          <w:rFonts w:ascii="Arial" w:eastAsia="Calibri" w:hAnsi="Arial" w:cs="Arial"/>
          <w:bCs/>
          <w:szCs w:val="24"/>
          <w:lang w:val="es-MX" w:eastAsia="es-ES_tradnl"/>
        </w:rPr>
        <w:t>Asimismo, en el numeral 307 de la sentencia se señala que «</w:t>
      </w:r>
      <w:r w:rsidRPr="007F2FEE">
        <w:rPr>
          <w:rFonts w:ascii="Arial" w:eastAsia="Calibri" w:hAnsi="Arial" w:cs="Arial"/>
          <w:bCs/>
          <w:i/>
          <w:iCs/>
          <w:szCs w:val="24"/>
          <w:lang w:val="es-MX" w:eastAsia="es-ES_tradnl"/>
        </w:rPr>
        <w:t>para el momento de los hechos,</w:t>
      </w:r>
      <w:r w:rsidRPr="007F2FEE">
        <w:rPr>
          <w:rFonts w:ascii="Arial" w:eastAsia="Calibri" w:hAnsi="Arial" w:cs="Arial"/>
          <w:bCs/>
          <w:szCs w:val="24"/>
          <w:lang w:val="es-MX" w:eastAsia="es-ES_tradnl"/>
        </w:rPr>
        <w:t xml:space="preserve"> en la jurisprudencia del Consejo de Estado ya existía claridad sobre que (i) pactar nuevos ítems, en los contratos a precios unitarios, representa una modificación del objeto contractual; (</w:t>
      </w:r>
      <w:proofErr w:type="spellStart"/>
      <w:r w:rsidRPr="007F2FEE">
        <w:rPr>
          <w:rFonts w:ascii="Arial" w:eastAsia="Calibri" w:hAnsi="Arial" w:cs="Arial"/>
          <w:bCs/>
          <w:szCs w:val="24"/>
          <w:lang w:val="es-MX" w:eastAsia="es-ES_tradnl"/>
        </w:rPr>
        <w:t>ii</w:t>
      </w:r>
      <w:proofErr w:type="spellEnd"/>
      <w:r w:rsidRPr="007F2FEE">
        <w:rPr>
          <w:rFonts w:ascii="Arial" w:eastAsia="Calibri" w:hAnsi="Arial" w:cs="Arial"/>
          <w:bCs/>
          <w:szCs w:val="24"/>
          <w:lang w:val="es-MX" w:eastAsia="es-ES_tradnl"/>
        </w:rPr>
        <w:t>) la modificación del objeto es una modificación de fondo y, no accesoria, del contrato; por lo que (</w:t>
      </w:r>
      <w:proofErr w:type="spellStart"/>
      <w:r w:rsidRPr="007F2FEE">
        <w:rPr>
          <w:rFonts w:ascii="Arial" w:eastAsia="Calibri" w:hAnsi="Arial" w:cs="Arial"/>
          <w:bCs/>
          <w:szCs w:val="24"/>
          <w:lang w:val="es-MX" w:eastAsia="es-ES_tradnl"/>
        </w:rPr>
        <w:t>iii</w:t>
      </w:r>
      <w:proofErr w:type="spellEnd"/>
      <w:r w:rsidRPr="007F2FEE">
        <w:rPr>
          <w:rFonts w:ascii="Arial" w:eastAsia="Calibri" w:hAnsi="Arial" w:cs="Arial"/>
          <w:bCs/>
          <w:szCs w:val="24"/>
          <w:lang w:val="es-MX" w:eastAsia="es-ES_tradnl"/>
        </w:rPr>
        <w:t>) debe formalizarse mediante un nuevo contrato» (Énfasis por fuera de texto). De igual manera, el numeral 349 reitera que «</w:t>
      </w:r>
      <w:r w:rsidRPr="007F2FEE">
        <w:rPr>
          <w:rFonts w:ascii="Arial" w:eastAsia="Calibri" w:hAnsi="Arial" w:cs="Arial"/>
          <w:bCs/>
          <w:i/>
          <w:iCs/>
          <w:szCs w:val="24"/>
          <w:lang w:val="es-MX" w:eastAsia="es-ES_tradnl"/>
        </w:rPr>
        <w:t>para el mes de agosto de 2004</w:t>
      </w:r>
      <w:r w:rsidRPr="007F2FEE">
        <w:rPr>
          <w:rFonts w:ascii="Arial" w:eastAsia="Calibri" w:hAnsi="Arial" w:cs="Arial"/>
          <w:b/>
          <w:i/>
          <w:iCs/>
          <w:szCs w:val="24"/>
          <w:lang w:val="es-MX" w:eastAsia="es-ES_tradnl"/>
        </w:rPr>
        <w:t>,</w:t>
      </w:r>
      <w:r w:rsidRPr="007F2FEE">
        <w:rPr>
          <w:rFonts w:ascii="Arial" w:eastAsia="Calibri" w:hAnsi="Arial" w:cs="Arial"/>
          <w:bCs/>
          <w:szCs w:val="24"/>
          <w:lang w:val="es-MX" w:eastAsia="es-ES_tradnl"/>
        </w:rPr>
        <w:t xml:space="preserve"> fecha en la que el demandante </w:t>
      </w:r>
      <w:r w:rsidRPr="007F2FEE">
        <w:rPr>
          <w:rFonts w:ascii="Arial" w:eastAsia="Calibri" w:hAnsi="Arial" w:cs="Arial"/>
          <w:bCs/>
          <w:szCs w:val="24"/>
          <w:lang w:val="es-MX" w:eastAsia="es-ES_tradnl"/>
        </w:rPr>
        <w:lastRenderedPageBreak/>
        <w:t>suscribió el Adicional No. 2, la jurisprudencia del Consejo de Estado ya había señalado que, en los contratos pactados por el sistema de precios unitarios agregar ítems o actividades no pactados en el contrato, implica modificar el objeto del contrato, por lo que ello debía hacerse mediante nuevo contrato denominado “contrato adicional”». (Énfasis por fuera de texto).</w:t>
      </w:r>
    </w:p>
    <w:p w14:paraId="1B6E77D4" w14:textId="7C84459A"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bidi="es-ES"/>
        </w:rPr>
      </w:pPr>
      <w:r w:rsidRPr="007F2FEE">
        <w:rPr>
          <w:rFonts w:ascii="Arial" w:eastAsia="Calibri" w:hAnsi="Arial" w:cs="Arial"/>
          <w:bCs/>
          <w:szCs w:val="24"/>
          <w:lang w:val="es-ES_tradnl" w:eastAsia="es-ES_tradnl" w:bidi="es-ES"/>
        </w:rPr>
        <w:t>Así las cosas, es posible colegir que la interpretación que realiza la Sentencia SU 214 del 16 de junio de 2022 en relación con la celebración de un contrato nuevo cuando se pretenda adicionar ítems o actividades al contrato, debe entenderse en el contexto histórico del momento de los hechos, es decir, del año 2004, época en la que la jurisprudencia del Consejo de Estado y de la</w:t>
      </w:r>
      <w:r w:rsidRPr="007F2FEE">
        <w:rPr>
          <w:rFonts w:ascii="Arial" w:eastAsia="Calibri" w:hAnsi="Arial" w:cs="Arial"/>
          <w:bCs/>
          <w:szCs w:val="24"/>
          <w:lang w:eastAsia="es-ES_tradnl" w:bidi="es-ES"/>
        </w:rPr>
        <w:t xml:space="preserve"> Corte Suprema de Justicia sostenían </w:t>
      </w:r>
      <w:r w:rsidRPr="007F2FEE">
        <w:rPr>
          <w:rFonts w:ascii="Arial" w:eastAsia="Calibri" w:hAnsi="Arial" w:cs="Arial"/>
          <w:bCs/>
          <w:szCs w:val="24"/>
          <w:lang w:val="es-ES_tradnl" w:eastAsia="es-ES_tradnl" w:bidi="es-ES"/>
        </w:rPr>
        <w:t xml:space="preserve">la necesidad de suscribir un contrato nuevo en estos casos. Lo anterior, sin desconocer la posición actual de la materia en la jurisprudencia según la cual, como se explicó, es procedente las modificaciones del contrato </w:t>
      </w:r>
      <w:r w:rsidRPr="007F2FEE">
        <w:rPr>
          <w:rFonts w:ascii="Arial" w:eastAsia="Calibri" w:hAnsi="Arial" w:cs="Arial"/>
          <w:szCs w:val="24"/>
          <w:lang w:val="es-ES_tradnl" w:eastAsia="es-ES_tradnl"/>
        </w:rPr>
        <w:t xml:space="preserve">para ampliar las prestaciones </w:t>
      </w:r>
      <w:r w:rsidRPr="007F2FEE">
        <w:rPr>
          <w:rFonts w:ascii="Arial" w:eastAsia="Calibri" w:hAnsi="Arial" w:cs="Arial"/>
          <w:bCs/>
          <w:szCs w:val="24"/>
          <w:lang w:val="es-ES_tradnl" w:eastAsia="es-ES_tradnl" w:bidi="es-ES"/>
        </w:rPr>
        <w:t xml:space="preserve">contractuales, mediante la ejecución de nuevos ítems o actividades siempre que no se afecté el núcleo esencial del objeto y teniendo en cuenta las limitaciones sobre el particular. </w:t>
      </w:r>
    </w:p>
    <w:p w14:paraId="77F7BA62" w14:textId="77777777" w:rsidR="007F2FEE" w:rsidRPr="007F2FEE" w:rsidRDefault="007F2FEE" w:rsidP="007F2FEE">
      <w:pPr>
        <w:spacing w:before="120" w:after="0" w:line="276" w:lineRule="auto"/>
        <w:ind w:firstLine="709"/>
        <w:jc w:val="both"/>
        <w:rPr>
          <w:rFonts w:ascii="Arial" w:eastAsia="Calibri" w:hAnsi="Arial" w:cs="Arial"/>
          <w:bCs/>
          <w:szCs w:val="24"/>
          <w:lang w:eastAsia="es-ES_tradnl" w:bidi="es-ES"/>
        </w:rPr>
      </w:pPr>
      <w:r w:rsidRPr="007F2FEE">
        <w:rPr>
          <w:rFonts w:ascii="Arial" w:eastAsia="Calibri" w:hAnsi="Arial" w:cs="Arial"/>
          <w:bCs/>
          <w:szCs w:val="24"/>
          <w:lang w:val="es-ES_tradnl" w:eastAsia="es-ES_tradnl" w:bidi="es-ES"/>
        </w:rPr>
        <w:t xml:space="preserve">Además, sin perjuicio de otro análisis válido, se considera que la unificación de la Sentencia SU 214 del 16 de junio de 2022 está relacionada con el alcance de la acción de tutela contra providencia judicial, en el que se analiza </w:t>
      </w:r>
      <w:r w:rsidRPr="007F2FEE">
        <w:rPr>
          <w:rFonts w:ascii="Arial" w:eastAsia="Calibri" w:hAnsi="Arial" w:cs="Arial"/>
          <w:bCs/>
          <w:szCs w:val="24"/>
          <w:lang w:eastAsia="es-ES_tradnl" w:bidi="es-ES"/>
        </w:rPr>
        <w:t xml:space="preserve">el </w:t>
      </w:r>
      <w:r w:rsidRPr="007F2FEE">
        <w:rPr>
          <w:rFonts w:ascii="Arial" w:eastAsia="Calibri" w:hAnsi="Arial" w:cs="Arial"/>
          <w:bCs/>
          <w:i/>
          <w:iCs/>
          <w:szCs w:val="24"/>
          <w:lang w:eastAsia="es-ES_tradnl" w:bidi="es-ES"/>
        </w:rPr>
        <w:t>defecto por violación directa a la Constitución por desconocer el principio de interpretación</w:t>
      </w:r>
      <w:r w:rsidRPr="007F2FEE">
        <w:rPr>
          <w:rFonts w:ascii="Arial" w:eastAsia="Calibri" w:hAnsi="Arial" w:cs="Arial"/>
          <w:bCs/>
          <w:szCs w:val="24"/>
          <w:vertAlign w:val="superscript"/>
          <w:lang w:eastAsia="es-ES_tradnl" w:bidi="es-ES"/>
        </w:rPr>
        <w:footnoteReference w:id="29"/>
      </w:r>
      <w:r w:rsidRPr="007F2FEE">
        <w:rPr>
          <w:rFonts w:ascii="Arial" w:eastAsia="Calibri" w:hAnsi="Arial" w:cs="Arial"/>
          <w:bCs/>
          <w:szCs w:val="24"/>
          <w:lang w:eastAsia="es-ES_tradnl" w:bidi="es-ES"/>
        </w:rPr>
        <w:t xml:space="preserve">. Ello supone estudiar las posiciones interpretativas expresadas en la jurisprudencia del Consejo de Estado y de la Corte Suprema de Justicia sobre el contenido y alcance del concepto de </w:t>
      </w:r>
      <w:r w:rsidRPr="007F2FEE">
        <w:rPr>
          <w:rFonts w:ascii="Arial" w:eastAsia="Calibri" w:hAnsi="Arial" w:cs="Arial"/>
          <w:bCs/>
          <w:i/>
          <w:iCs/>
          <w:szCs w:val="24"/>
          <w:lang w:eastAsia="es-ES_tradnl" w:bidi="es-ES"/>
        </w:rPr>
        <w:t>contrato adicional</w:t>
      </w:r>
      <w:r w:rsidRPr="007F2FEE">
        <w:rPr>
          <w:rFonts w:ascii="Arial" w:eastAsia="Calibri" w:hAnsi="Arial" w:cs="Arial"/>
          <w:bCs/>
          <w:szCs w:val="24"/>
          <w:lang w:eastAsia="es-ES_tradnl" w:bidi="es-ES"/>
        </w:rPr>
        <w:t xml:space="preserve">, teniendo en cuenta los hechos que versan sobre esa materia y en atención al momento en el cual ocurrieron los hechos. </w:t>
      </w:r>
    </w:p>
    <w:p w14:paraId="75B62E8B" w14:textId="77777777" w:rsidR="007F2FEE" w:rsidRPr="007F2FEE" w:rsidRDefault="007F2FEE" w:rsidP="007F2FEE">
      <w:pPr>
        <w:spacing w:after="0" w:line="276" w:lineRule="auto"/>
        <w:ind w:firstLine="709"/>
        <w:jc w:val="both"/>
        <w:rPr>
          <w:rFonts w:ascii="Arial" w:eastAsia="Calibri" w:hAnsi="Arial" w:cs="Arial"/>
          <w:bCs/>
          <w:szCs w:val="24"/>
          <w:lang w:eastAsia="es-ES_tradnl" w:bidi="es-ES"/>
        </w:rPr>
      </w:pPr>
    </w:p>
    <w:p w14:paraId="69248EE4" w14:textId="77777777" w:rsidR="007F2FEE" w:rsidRPr="007F2FEE" w:rsidRDefault="007F2FEE" w:rsidP="007F2FEE">
      <w:pPr>
        <w:spacing w:after="0" w:line="276" w:lineRule="auto"/>
        <w:jc w:val="both"/>
        <w:rPr>
          <w:rFonts w:ascii="Arial" w:eastAsia="Calibri" w:hAnsi="Arial" w:cs="Arial"/>
          <w:b/>
          <w:lang w:val="es-ES_tradnl"/>
        </w:rPr>
      </w:pPr>
      <w:r w:rsidRPr="007F2FEE">
        <w:rPr>
          <w:rFonts w:ascii="Arial" w:eastAsia="Calibri" w:hAnsi="Arial" w:cs="Arial"/>
          <w:b/>
          <w:lang w:val="es-ES_tradnl"/>
        </w:rPr>
        <w:t>2.3 Excepciones al límite de adición de los contratos estatales</w:t>
      </w:r>
    </w:p>
    <w:p w14:paraId="3A8ABF88" w14:textId="77777777" w:rsidR="007F2FEE" w:rsidRPr="007F2FEE" w:rsidRDefault="007F2FEE" w:rsidP="007F2FEE">
      <w:pPr>
        <w:spacing w:after="0" w:line="276" w:lineRule="auto"/>
        <w:jc w:val="both"/>
        <w:rPr>
          <w:rFonts w:ascii="Arial" w:eastAsia="Calibri" w:hAnsi="Arial" w:cs="Arial"/>
          <w:b/>
          <w:color w:val="000000"/>
          <w:lang w:val="es-ES_tradnl"/>
        </w:rPr>
      </w:pPr>
    </w:p>
    <w:p w14:paraId="77E2A429" w14:textId="77777777" w:rsidR="007F2FEE" w:rsidRPr="007F2FEE" w:rsidRDefault="007F2FEE" w:rsidP="007F2FEE">
      <w:pPr>
        <w:spacing w:after="0" w:line="276" w:lineRule="auto"/>
        <w:jc w:val="both"/>
        <w:rPr>
          <w:rFonts w:ascii="Arial" w:eastAsia="Calibri" w:hAnsi="Arial" w:cs="Arial"/>
        </w:rPr>
      </w:pPr>
      <w:r w:rsidRPr="007F2FEE">
        <w:rPr>
          <w:rFonts w:ascii="Arial" w:eastAsia="Calibri" w:hAnsi="Arial" w:cs="Arial"/>
        </w:rPr>
        <w:t>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4CC0BE57" w14:textId="77777777" w:rsidR="007F2FEE" w:rsidRPr="007F2FEE" w:rsidRDefault="007F2FEE" w:rsidP="007F2FEE">
      <w:pPr>
        <w:spacing w:before="120" w:after="0" w:line="276" w:lineRule="auto"/>
        <w:ind w:firstLine="709"/>
        <w:jc w:val="both"/>
        <w:rPr>
          <w:rFonts w:ascii="Arial" w:eastAsia="Calibri" w:hAnsi="Arial" w:cs="Arial"/>
          <w:lang w:val="es-ES_tradnl"/>
        </w:rPr>
      </w:pPr>
      <w:r w:rsidRPr="007F2FEE">
        <w:rPr>
          <w:rFonts w:ascii="Arial" w:eastAsia="Calibri" w:hAnsi="Arial" w:cs="Arial"/>
          <w:lang w:val="es-ES_tradnl"/>
        </w:rPr>
        <w:lastRenderedPageBreak/>
        <w:t xml:space="preserve">En este sentido, en los casos en que se requiera adicionar un contrato que tenga por objeto la interventoría de otro contrato, por cuanto el contrato objeto de vigilancia no ha concluido, ya sea porque fue suspendido el plazo o porque se amplió el plazo de ejecución, la situación se regirá por una norma especial, contenida en el artículo 85 de la Ley 1474 de 2011. Dicha norma establece: </w:t>
      </w:r>
    </w:p>
    <w:p w14:paraId="1952FCC7" w14:textId="77777777" w:rsidR="007F2FEE" w:rsidRPr="007F2FEE" w:rsidRDefault="007F2FEE" w:rsidP="007F2FEE">
      <w:pPr>
        <w:spacing w:after="0" w:line="276" w:lineRule="auto"/>
        <w:ind w:firstLine="709"/>
        <w:jc w:val="both"/>
        <w:rPr>
          <w:rFonts w:ascii="Arial" w:eastAsia="Calibri" w:hAnsi="Arial" w:cs="Arial"/>
          <w:lang w:val="es-ES_tradnl"/>
        </w:rPr>
      </w:pPr>
    </w:p>
    <w:p w14:paraId="1FB82AB9" w14:textId="67414A7F" w:rsidR="007F2FEE" w:rsidRPr="007F2FEE" w:rsidRDefault="00B4065C" w:rsidP="007F2FEE">
      <w:pPr>
        <w:spacing w:after="0" w:line="240" w:lineRule="auto"/>
        <w:ind w:left="709" w:right="709"/>
        <w:jc w:val="both"/>
        <w:rPr>
          <w:rFonts w:ascii="Arial" w:eastAsia="Calibri" w:hAnsi="Arial" w:cs="Arial"/>
          <w:sz w:val="21"/>
          <w:szCs w:val="21"/>
          <w:lang w:val="es-MX" w:eastAsia="es-ES_tradnl"/>
        </w:rPr>
      </w:pPr>
      <w:r>
        <w:rPr>
          <w:rFonts w:ascii="Arial" w:eastAsia="Calibri" w:hAnsi="Arial" w:cs="Arial"/>
          <w:sz w:val="16"/>
          <w:szCs w:val="16"/>
          <w:lang w:val="es-MX" w:eastAsia="es-ES_tradnl"/>
        </w:rPr>
        <w:t>«</w:t>
      </w:r>
      <w:r w:rsidR="007F2FEE" w:rsidRPr="007F2FEE">
        <w:rPr>
          <w:rFonts w:ascii="Arial" w:eastAsia="Calibri" w:hAnsi="Arial" w:cs="Arial"/>
          <w:sz w:val="21"/>
          <w:szCs w:val="21"/>
          <w:lang w:val="es-MX" w:eastAsia="es-ES_tradnl"/>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774BB92B"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p>
    <w:p w14:paraId="2F0BAF24"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Parágrafo. Para la ejecución de los contratos de interventoría es obligatoria la constitución y aprobación de la garantía de cumplimiento hasta por el mismo término de la garantía de estabilidad del contrato principal; el Gobierno Nacional regulará la materia. En este evento podrá darse aplicación al artículo 7° de la Ley 1150, en cuanto a la posibilidad de que la garantía pueda ser dividida teniendo en cuenta las etapas o riesgos relativos a la ejecución del respectivo contrato».</w:t>
      </w:r>
    </w:p>
    <w:p w14:paraId="6E4AD01E" w14:textId="77777777" w:rsidR="007F2FEE" w:rsidRPr="007F2FEE" w:rsidRDefault="007F2FEE" w:rsidP="007F2FEE">
      <w:pPr>
        <w:spacing w:after="0" w:line="276" w:lineRule="auto"/>
        <w:ind w:left="709" w:right="709"/>
        <w:jc w:val="both"/>
        <w:rPr>
          <w:rFonts w:ascii="Arial" w:eastAsia="Calibri" w:hAnsi="Arial" w:cs="Arial"/>
          <w:sz w:val="21"/>
          <w:szCs w:val="21"/>
          <w:lang w:val="es-MX" w:eastAsia="es-ES_tradnl"/>
        </w:rPr>
      </w:pPr>
    </w:p>
    <w:p w14:paraId="471EF926" w14:textId="77777777" w:rsidR="007F2FEE" w:rsidRPr="007F2FEE" w:rsidRDefault="007F2FEE" w:rsidP="007F2FEE">
      <w:pPr>
        <w:spacing w:after="0" w:line="276" w:lineRule="auto"/>
        <w:ind w:firstLine="709"/>
        <w:jc w:val="both"/>
        <w:rPr>
          <w:rFonts w:ascii="Arial" w:eastAsia="Calibri" w:hAnsi="Arial" w:cs="Arial"/>
          <w:lang w:val="es-ES_tradnl"/>
        </w:rPr>
      </w:pPr>
      <w:r w:rsidRPr="007F2FEE">
        <w:rPr>
          <w:rFonts w:ascii="Arial" w:eastAsia="Calibri" w:hAnsi="Arial" w:cs="Arial"/>
          <w:lang w:val="es-ES_tradnl"/>
        </w:rPr>
        <w:t>Este supuesto normativo, que materializa la «continuidad de la interventoría», establece una excepción a la regla general de adición de los contratos estatales, en la medida en que no se tendrá en cuenta el límite del 50% del valor inicial del contrato, siempre que se trate de adicionar un contrato cuyo objeto corresponda al de interventoría, en los términos explicados. De esta manera, la doctrina ha manifestado sobre esta disposición que «el artículo 85 no contiene impedimento para adicionar sin límite el contrato de interventoría, con una ventaja adicional: que puede ser para cualquier objeto de contrato que haya requerido contratar externamente la interventoría»</w:t>
      </w:r>
      <w:r w:rsidRPr="007F2FEE">
        <w:rPr>
          <w:rFonts w:ascii="Arial" w:eastAsia="Calibri" w:hAnsi="Arial" w:cs="Arial"/>
          <w:vertAlign w:val="superscript"/>
          <w:lang w:val="es-ES_tradnl"/>
        </w:rPr>
        <w:footnoteReference w:id="30"/>
      </w:r>
      <w:r w:rsidRPr="007F2FEE">
        <w:rPr>
          <w:rFonts w:ascii="Arial" w:eastAsia="Calibri" w:hAnsi="Arial" w:cs="Arial"/>
          <w:lang w:val="es-ES_tradnl"/>
        </w:rPr>
        <w:t xml:space="preserve">. </w:t>
      </w:r>
    </w:p>
    <w:p w14:paraId="0A48F02A" w14:textId="77777777" w:rsidR="007F2FEE" w:rsidRPr="007F2FEE" w:rsidRDefault="007F2FEE" w:rsidP="007F2FEE">
      <w:pPr>
        <w:spacing w:before="120" w:after="0" w:line="276" w:lineRule="auto"/>
        <w:ind w:firstLine="709"/>
        <w:jc w:val="both"/>
        <w:rPr>
          <w:rFonts w:ascii="Arial" w:eastAsia="Calibri" w:hAnsi="Arial" w:cs="Arial"/>
          <w:bCs/>
          <w:lang w:val="es-ES_tradnl"/>
        </w:rPr>
      </w:pPr>
      <w:r w:rsidRPr="007F2FEE">
        <w:rPr>
          <w:rFonts w:ascii="Arial" w:eastAsia="Calibri" w:hAnsi="Arial" w:cs="Arial"/>
          <w:lang w:val="es-ES_tradnl"/>
        </w:rPr>
        <w:t>La disposición anterior tiene como finalidad que se mantenga la vigilancia frente a la ejecución de los contratos estatales, mediante el mecanismo especializado de la interventoría, sin que este seguimiento sea afectado por el tope establecido en el inciso segundo del parágrafo del artículo 40 de la Ley 80 de 1993. En tal sentido, la excepción se establece de forma especial frente a un objeto contractual específico, que hace parte de la tipología contractual de la consultoría, consistente en que se trate de un contrato de interventoría. De esta manera, independientemente de la modalidad de selección o del sujeto con quien se celebre el contrato de interventoría aplica la norma especial del artículo 85 de la Ley 1474 de 2011. En todo caso,</w:t>
      </w:r>
      <w:r w:rsidRPr="007F2FEE">
        <w:rPr>
          <w:rFonts w:ascii="Arial" w:eastAsia="Calibri" w:hAnsi="Arial" w:cs="Arial"/>
          <w:bCs/>
          <w:lang w:val="es-ES_tradnl"/>
        </w:rPr>
        <w:t xml:space="preserve"> la entidad estatal debe garantizar los principios de la función administrativa y de la gestión fiscal al momento de autorizar las adiciones de los contratos de interventoría. </w:t>
      </w:r>
    </w:p>
    <w:p w14:paraId="2B322811" w14:textId="77777777" w:rsidR="007F2FEE" w:rsidRPr="007F2FEE" w:rsidRDefault="007F2FEE" w:rsidP="007F2FEE">
      <w:pPr>
        <w:spacing w:before="120" w:after="0" w:line="276" w:lineRule="auto"/>
        <w:ind w:firstLine="709"/>
        <w:jc w:val="both"/>
        <w:rPr>
          <w:rFonts w:ascii="Arial" w:eastAsia="Calibri" w:hAnsi="Arial" w:cs="Arial"/>
          <w:szCs w:val="24"/>
          <w:lang w:val="es-MX" w:eastAsia="es-ES_tradnl"/>
        </w:rPr>
      </w:pPr>
      <w:r w:rsidRPr="007F2FEE">
        <w:rPr>
          <w:rFonts w:ascii="Arial" w:eastAsia="Calibri" w:hAnsi="Arial" w:cs="Arial"/>
        </w:rPr>
        <w:lastRenderedPageBreak/>
        <w:t xml:space="preserve">Por otra parte, en relación con la excepción al límite de la adición de los contratos estatales, </w:t>
      </w:r>
      <w:r w:rsidRPr="007F2FEE">
        <w:rPr>
          <w:rFonts w:ascii="Arial" w:eastAsia="Calibri" w:hAnsi="Arial" w:cs="Arial"/>
          <w:szCs w:val="24"/>
          <w:lang w:val="es-MX" w:eastAsia="es-ES_tradnl"/>
        </w:rPr>
        <w:t>la Sala de Consulta y Servicio Civil</w:t>
      </w:r>
      <w:r w:rsidRPr="007F2FEE">
        <w:rPr>
          <w:rFonts w:ascii="Arial" w:eastAsia="Calibri" w:hAnsi="Arial" w:cs="Arial"/>
        </w:rPr>
        <w:t xml:space="preserve"> del Consejo de Estado mediante concepto del </w:t>
      </w:r>
      <w:r w:rsidRPr="007F2FEE">
        <w:rPr>
          <w:rFonts w:ascii="Arial" w:eastAsia="Calibri" w:hAnsi="Arial" w:cs="Arial"/>
          <w:szCs w:val="24"/>
          <w:lang w:val="es-MX" w:eastAsia="es-ES_tradnl"/>
        </w:rPr>
        <w:t xml:space="preserve">6 de junio de 2018 señaló que además de los contratos de interventoría, también podrán adicionarse en más del 50% en estos dos eventos: i) cuando en un contrato de obra se pacte el mecanismo de ajuste de precios y </w:t>
      </w:r>
      <w:proofErr w:type="spellStart"/>
      <w:r w:rsidRPr="007F2FEE">
        <w:rPr>
          <w:rFonts w:ascii="Arial" w:eastAsia="Calibri" w:hAnsi="Arial" w:cs="Arial"/>
          <w:szCs w:val="24"/>
          <w:lang w:val="es-MX" w:eastAsia="es-ES_tradnl"/>
        </w:rPr>
        <w:t>ii</w:t>
      </w:r>
      <w:proofErr w:type="spellEnd"/>
      <w:r w:rsidRPr="007F2FEE">
        <w:rPr>
          <w:rFonts w:ascii="Arial" w:eastAsia="Calibri" w:hAnsi="Arial" w:cs="Arial"/>
          <w:szCs w:val="24"/>
          <w:lang w:val="es-MX" w:eastAsia="es-ES_tradnl"/>
        </w:rPr>
        <w:t xml:space="preserve">) por el restablecimiento del equilibrio económico del contrato. Al respecto manifestó lo siguiente: </w:t>
      </w:r>
    </w:p>
    <w:p w14:paraId="3E37DF7B" w14:textId="77777777" w:rsidR="007F2FEE" w:rsidRPr="007F2FEE" w:rsidRDefault="007F2FEE" w:rsidP="007F2FEE">
      <w:pPr>
        <w:spacing w:after="0" w:line="276" w:lineRule="auto"/>
        <w:ind w:firstLine="709"/>
        <w:jc w:val="both"/>
        <w:rPr>
          <w:rFonts w:ascii="Arial" w:eastAsia="Calibri" w:hAnsi="Arial" w:cs="Arial"/>
          <w:szCs w:val="24"/>
          <w:lang w:val="es-MX" w:eastAsia="es-ES_tradnl"/>
        </w:rPr>
      </w:pPr>
    </w:p>
    <w:p w14:paraId="00853A38" w14:textId="77777777" w:rsidR="007F2FEE" w:rsidRPr="007F2FEE" w:rsidRDefault="007F2FEE" w:rsidP="007F2FEE">
      <w:pPr>
        <w:spacing w:after="0" w:line="240" w:lineRule="auto"/>
        <w:ind w:left="709" w:right="709"/>
        <w:jc w:val="both"/>
        <w:rPr>
          <w:rFonts w:ascii="Arial" w:eastAsia="Calibri" w:hAnsi="Arial" w:cs="Arial"/>
          <w:sz w:val="21"/>
          <w:szCs w:val="21"/>
          <w:lang w:val="es-MX" w:eastAsia="es-ES_tradnl"/>
        </w:rPr>
      </w:pPr>
      <w:r w:rsidRPr="007F2FEE">
        <w:rPr>
          <w:rFonts w:ascii="Arial" w:eastAsia="Calibri" w:hAnsi="Arial" w:cs="Arial"/>
          <w:sz w:val="21"/>
          <w:szCs w:val="21"/>
          <w:lang w:val="es-MX" w:eastAsia="es-ES_tradnl"/>
        </w:rPr>
        <w:t xml:space="preserve">Existen, además, otras situaciones jurídicas que se presenta en materia contractual y que afectan el valor del contrato, pero que de conformidad con la Ley y la jurisprudencia tampoco están sujetas al </w:t>
      </w:r>
      <w:proofErr w:type="spellStart"/>
      <w:r w:rsidRPr="007F2FEE">
        <w:rPr>
          <w:rFonts w:ascii="Arial" w:eastAsia="Calibri" w:hAnsi="Arial" w:cs="Arial"/>
          <w:sz w:val="21"/>
          <w:szCs w:val="21"/>
          <w:lang w:val="es-MX" w:eastAsia="es-ES_tradnl"/>
        </w:rPr>
        <w:t>limite</w:t>
      </w:r>
      <w:proofErr w:type="spellEnd"/>
      <w:r w:rsidRPr="007F2FEE">
        <w:rPr>
          <w:rFonts w:ascii="Arial" w:eastAsia="Calibri" w:hAnsi="Arial" w:cs="Arial"/>
          <w:sz w:val="21"/>
          <w:szCs w:val="21"/>
          <w:lang w:val="es-MX" w:eastAsia="es-ES_tradnl"/>
        </w:rPr>
        <w:t xml:space="preserve"> cuantitativo del 50% del valor inicial del contrato. Estas son: i) cuando en un contrato de obra pública se pactaron mecanismos de ajustes de precios, (</w:t>
      </w:r>
      <w:proofErr w:type="spellStart"/>
      <w:r w:rsidRPr="007F2FEE">
        <w:rPr>
          <w:rFonts w:ascii="Arial" w:eastAsia="Calibri" w:hAnsi="Arial" w:cs="Arial"/>
          <w:sz w:val="21"/>
          <w:szCs w:val="21"/>
          <w:lang w:val="es-MX" w:eastAsia="es-ES_tradnl"/>
        </w:rPr>
        <w:t>ii</w:t>
      </w:r>
      <w:proofErr w:type="spellEnd"/>
      <w:r w:rsidRPr="007F2FEE">
        <w:rPr>
          <w:rFonts w:ascii="Arial" w:eastAsia="Calibri" w:hAnsi="Arial" w:cs="Arial"/>
          <w:sz w:val="21"/>
          <w:szCs w:val="21"/>
          <w:lang w:val="es-MX" w:eastAsia="es-ES_tradnl"/>
        </w:rPr>
        <w:t>) por restablecimiento del equilibrio económico del contrato, siempre y cuando exista plena prueba que acredite los requisitos para proceder al restablecimiento y (</w:t>
      </w:r>
      <w:proofErr w:type="spellStart"/>
      <w:r w:rsidRPr="007F2FEE">
        <w:rPr>
          <w:rFonts w:ascii="Arial" w:eastAsia="Calibri" w:hAnsi="Arial" w:cs="Arial"/>
          <w:sz w:val="21"/>
          <w:szCs w:val="21"/>
          <w:lang w:val="es-MX" w:eastAsia="es-ES_tradnl"/>
        </w:rPr>
        <w:t>iii</w:t>
      </w:r>
      <w:proofErr w:type="spellEnd"/>
      <w:r w:rsidRPr="007F2FEE">
        <w:rPr>
          <w:rFonts w:ascii="Arial" w:eastAsia="Calibri" w:hAnsi="Arial" w:cs="Arial"/>
          <w:sz w:val="21"/>
          <w:szCs w:val="21"/>
          <w:lang w:val="es-MX" w:eastAsia="es-ES_tradnl"/>
        </w:rPr>
        <w:t>) en los contratos de interventoría, cuando se den las situaciones previstas en la ley</w:t>
      </w:r>
      <w:r w:rsidRPr="007F2FEE">
        <w:rPr>
          <w:rFonts w:ascii="Arial" w:eastAsia="Calibri" w:hAnsi="Arial" w:cs="Arial"/>
          <w:sz w:val="21"/>
          <w:szCs w:val="21"/>
          <w:vertAlign w:val="superscript"/>
          <w:lang w:val="es-MX" w:eastAsia="es-ES_tradnl"/>
        </w:rPr>
        <w:footnoteReference w:id="31"/>
      </w:r>
      <w:r w:rsidRPr="007F2FEE">
        <w:rPr>
          <w:rFonts w:ascii="Arial" w:eastAsia="Calibri" w:hAnsi="Arial" w:cs="Arial"/>
          <w:sz w:val="21"/>
          <w:szCs w:val="21"/>
          <w:lang w:val="es-MX" w:eastAsia="es-ES_tradnl"/>
        </w:rPr>
        <w:t xml:space="preserve">. </w:t>
      </w:r>
    </w:p>
    <w:p w14:paraId="1217233B" w14:textId="77777777" w:rsidR="007F2FEE" w:rsidRPr="007F2FEE" w:rsidRDefault="007F2FEE" w:rsidP="007F2FEE">
      <w:pPr>
        <w:spacing w:after="0" w:line="276" w:lineRule="auto"/>
        <w:ind w:left="709" w:right="709"/>
        <w:jc w:val="both"/>
        <w:rPr>
          <w:rFonts w:ascii="Arial" w:eastAsia="Calibri" w:hAnsi="Arial" w:cs="Arial"/>
          <w:sz w:val="21"/>
          <w:szCs w:val="21"/>
          <w:lang w:val="es-MX" w:eastAsia="es-ES_tradnl"/>
        </w:rPr>
      </w:pPr>
    </w:p>
    <w:p w14:paraId="1CAF3A58" w14:textId="77777777" w:rsidR="007F2FEE" w:rsidRPr="007F2FEE" w:rsidRDefault="007F2FEE" w:rsidP="007F2FEE">
      <w:pPr>
        <w:spacing w:before="120" w:after="0" w:line="276" w:lineRule="auto"/>
        <w:ind w:firstLine="709"/>
        <w:jc w:val="both"/>
        <w:rPr>
          <w:rFonts w:ascii="Arial" w:eastAsia="Calibri" w:hAnsi="Arial" w:cs="Arial"/>
        </w:rPr>
      </w:pPr>
      <w:r w:rsidRPr="007F2FEE">
        <w:rPr>
          <w:rFonts w:ascii="Arial" w:eastAsia="Calibri" w:hAnsi="Arial" w:cs="Arial"/>
        </w:rPr>
        <w:t xml:space="preserve">En línea con lo anterior, la doctrina ha indicado que el reajuste de precios no </w:t>
      </w:r>
      <w:r w:rsidRPr="007F2FEE">
        <w:rPr>
          <w:rFonts w:ascii="Arial" w:eastAsia="Calibri" w:hAnsi="Arial" w:cs="Arial"/>
          <w:lang w:val="es-ES_tradnl"/>
        </w:rPr>
        <w:t>«</w:t>
      </w:r>
      <w:r w:rsidRPr="007F2FEE">
        <w:rPr>
          <w:rFonts w:ascii="Arial" w:eastAsia="Calibri" w:hAnsi="Arial" w:cs="Arial"/>
        </w:rPr>
        <w:t>busca una modificación del contrato, como es propio de los contratos adicionales, sino su preservación en las condiciones iniciales, frente a las fluctuaciones que pueden tener lo valores de los insumos del objeto contractual</w:t>
      </w:r>
      <w:r w:rsidRPr="007F2FEE">
        <w:rPr>
          <w:rFonts w:ascii="Arial" w:eastAsia="Calibri" w:hAnsi="Arial" w:cs="Arial"/>
          <w:lang w:val="es-ES_tradnl"/>
        </w:rPr>
        <w:t>»</w:t>
      </w:r>
      <w:r w:rsidRPr="007F2FEE">
        <w:rPr>
          <w:rFonts w:ascii="Arial" w:eastAsia="Calibri" w:hAnsi="Arial" w:cs="Arial"/>
          <w:vertAlign w:val="superscript"/>
          <w:lang w:val="es-ES_tradnl"/>
        </w:rPr>
        <w:footnoteReference w:id="32"/>
      </w:r>
      <w:r w:rsidRPr="007F2FEE">
        <w:rPr>
          <w:rFonts w:ascii="Arial" w:eastAsia="Calibri" w:hAnsi="Arial" w:cs="Arial"/>
        </w:rPr>
        <w:t xml:space="preserve">. Así, en este evento no se producen modificaciones sino la aplicación de mecanismos de reajuste pactados en el contrato. </w:t>
      </w:r>
    </w:p>
    <w:p w14:paraId="095E11E2" w14:textId="77777777" w:rsidR="007F2FEE" w:rsidRPr="007F2FEE" w:rsidRDefault="007F2FEE" w:rsidP="007F2FEE">
      <w:pPr>
        <w:spacing w:before="120" w:after="0" w:line="276" w:lineRule="auto"/>
        <w:ind w:firstLine="709"/>
        <w:jc w:val="both"/>
        <w:rPr>
          <w:rFonts w:ascii="Arial" w:eastAsia="Calibri" w:hAnsi="Arial" w:cs="Arial"/>
        </w:rPr>
      </w:pPr>
      <w:r w:rsidRPr="007F2FEE">
        <w:rPr>
          <w:rFonts w:ascii="Arial" w:eastAsia="Calibri" w:hAnsi="Arial" w:cs="Arial"/>
        </w:rPr>
        <w:t xml:space="preserve">En relación con el restablecimiento del equilibrio económico del contrato señala la doctrina que, a diferencia de los contratos adicionales que suponen previsiones presupuestales para su perfeccionamiento, de conformidad con el artículo 25.4 de la Ley 80 de 1993, ante los eventos de alteración sobreviniente de la ecuación contractual inicial </w:t>
      </w:r>
      <w:r w:rsidRPr="007F2FEE">
        <w:rPr>
          <w:rFonts w:ascii="Arial" w:eastAsia="Calibri" w:hAnsi="Arial" w:cs="Arial"/>
          <w:lang w:val="es-ES_tradnl"/>
        </w:rPr>
        <w:t>«</w:t>
      </w:r>
      <w:r w:rsidRPr="007F2FEE">
        <w:rPr>
          <w:rFonts w:ascii="Arial" w:eastAsia="Calibri" w:hAnsi="Arial" w:cs="Arial"/>
        </w:rPr>
        <w:t>el mismo artículo prevé utilizar las apropiaciones presupuestales globales que deben incluir las entidades en sus presupuestos anuales para hacer frente a los costos contractuales imprevistos (art. 25.4) y, si ello no es suficiente, las entidades deben adoptar las medidas necesarias para asegurar la efectividad de los pagos en la misma vigencia fiscal o en la siguiente</w:t>
      </w:r>
      <w:r w:rsidRPr="007F2FEE">
        <w:rPr>
          <w:rFonts w:ascii="Arial" w:eastAsia="Calibri" w:hAnsi="Arial" w:cs="Arial"/>
          <w:lang w:val="es-ES_tradnl"/>
        </w:rPr>
        <w:t>»</w:t>
      </w:r>
      <w:r w:rsidRPr="007F2FEE">
        <w:rPr>
          <w:rFonts w:ascii="Arial" w:eastAsia="Calibri" w:hAnsi="Arial" w:cs="Arial"/>
          <w:vertAlign w:val="superscript"/>
          <w:lang w:val="es-ES_tradnl"/>
        </w:rPr>
        <w:footnoteReference w:id="33"/>
      </w:r>
      <w:r w:rsidRPr="007F2FEE">
        <w:rPr>
          <w:rFonts w:ascii="Arial" w:eastAsia="Calibri" w:hAnsi="Arial" w:cs="Arial"/>
          <w:lang w:val="es-ES_tradnl"/>
        </w:rPr>
        <w:t xml:space="preserve">. Y agrega que este reconocimiento podrá realizarse en la liquidación del contrato que no constituye una adición a este. </w:t>
      </w:r>
    </w:p>
    <w:p w14:paraId="78E0C701" w14:textId="77777777" w:rsidR="007F2FEE" w:rsidRPr="007F2FEE" w:rsidRDefault="007F2FEE" w:rsidP="007F2FEE">
      <w:pPr>
        <w:spacing w:before="120" w:after="0" w:line="276" w:lineRule="auto"/>
        <w:ind w:firstLine="709"/>
        <w:jc w:val="both"/>
        <w:rPr>
          <w:rFonts w:ascii="Arial" w:eastAsia="Calibri" w:hAnsi="Arial" w:cs="Arial"/>
        </w:rPr>
      </w:pPr>
      <w:r w:rsidRPr="007F2FEE">
        <w:rPr>
          <w:rFonts w:ascii="Arial" w:eastAsia="Calibri" w:hAnsi="Arial" w:cs="Arial"/>
        </w:rPr>
        <w:t xml:space="preserve">En conclusión, en la actualidad solo se encuentra establecida una excepción legal expresa para adicionar contratos estatales en más del 50%, que es la contenida en el artículo 85 de la Ley 1474 de 2011 para los contratos de interventoría, como se explicó en los párrafos precedentes. Por otro lado, la Sala de Consulta y Servicio Civil del Consejo de Estado y la doctrina indican que esta excepción también procede en el contrato de obra cuando se aplique el </w:t>
      </w:r>
      <w:r w:rsidRPr="007F2FEE">
        <w:rPr>
          <w:rFonts w:ascii="Arial" w:eastAsia="Calibri" w:hAnsi="Arial" w:cs="Arial"/>
        </w:rPr>
        <w:lastRenderedPageBreak/>
        <w:t xml:space="preserve">mecanismo de reajuste pactado y en el evento de restablecimiento del equilibrio económico del contrato. </w:t>
      </w:r>
    </w:p>
    <w:p w14:paraId="623F66E3" w14:textId="77777777" w:rsidR="007F2FEE" w:rsidRPr="007F2FEE" w:rsidRDefault="007F2FEE" w:rsidP="007F2FEE">
      <w:pPr>
        <w:tabs>
          <w:tab w:val="left" w:pos="0"/>
          <w:tab w:val="left" w:pos="6645"/>
        </w:tabs>
        <w:spacing w:after="0" w:line="276" w:lineRule="auto"/>
        <w:jc w:val="both"/>
        <w:rPr>
          <w:rFonts w:ascii="Arial" w:eastAsia="Calibri" w:hAnsi="Arial" w:cs="Arial"/>
          <w:bCs/>
        </w:rPr>
      </w:pPr>
    </w:p>
    <w:p w14:paraId="355AFBE4" w14:textId="77777777" w:rsidR="007F2FEE" w:rsidRPr="007F2FEE" w:rsidRDefault="007F2FEE" w:rsidP="007F2FEE">
      <w:pPr>
        <w:tabs>
          <w:tab w:val="left" w:pos="0"/>
        </w:tabs>
        <w:spacing w:after="0" w:line="276" w:lineRule="auto"/>
        <w:jc w:val="both"/>
        <w:rPr>
          <w:rFonts w:ascii="Arial" w:eastAsia="Calibri" w:hAnsi="Arial" w:cs="Arial"/>
          <w:b/>
          <w:color w:val="000000"/>
          <w:lang w:val="es-ES_tradnl"/>
        </w:rPr>
      </w:pPr>
      <w:r w:rsidRPr="007F2FEE">
        <w:rPr>
          <w:rFonts w:ascii="Arial" w:eastAsia="Calibri" w:hAnsi="Arial" w:cs="Arial"/>
          <w:b/>
          <w:color w:val="000000"/>
          <w:lang w:val="es-ES_tradnl"/>
        </w:rPr>
        <w:t>3. Respuesta</w:t>
      </w:r>
    </w:p>
    <w:p w14:paraId="7E7E231B" w14:textId="77777777" w:rsidR="007F2FEE" w:rsidRPr="007F2FEE" w:rsidRDefault="007F2FEE" w:rsidP="007F2FEE">
      <w:pPr>
        <w:tabs>
          <w:tab w:val="left" w:pos="0"/>
        </w:tabs>
        <w:spacing w:after="0" w:line="276" w:lineRule="auto"/>
        <w:jc w:val="both"/>
        <w:rPr>
          <w:rFonts w:ascii="Arial" w:eastAsia="Calibri" w:hAnsi="Arial" w:cs="Arial"/>
          <w:b/>
          <w:color w:val="000000"/>
          <w:lang w:val="es-ES_tradnl"/>
        </w:rPr>
      </w:pPr>
    </w:p>
    <w:p w14:paraId="4815B560" w14:textId="77777777" w:rsidR="007F2FEE" w:rsidRPr="007F2FEE" w:rsidRDefault="007F2FEE" w:rsidP="007F2FEE">
      <w:pPr>
        <w:spacing w:after="0" w:line="276" w:lineRule="auto"/>
        <w:ind w:left="709" w:right="709"/>
        <w:jc w:val="both"/>
        <w:rPr>
          <w:rFonts w:ascii="Arial" w:eastAsia="Calibri" w:hAnsi="Arial" w:cs="Arial"/>
          <w:bCs/>
          <w:sz w:val="21"/>
          <w:szCs w:val="21"/>
        </w:rPr>
      </w:pPr>
      <w:r w:rsidRPr="007F2FEE">
        <w:rPr>
          <w:rFonts w:ascii="Arial" w:eastAsia="Calibri" w:hAnsi="Arial" w:cs="Arial"/>
          <w:bCs/>
          <w:sz w:val="21"/>
          <w:szCs w:val="21"/>
        </w:rPr>
        <w:t xml:space="preserve">i) </w:t>
      </w:r>
      <w:proofErr w:type="gramStart"/>
      <w:r w:rsidRPr="007F2FEE">
        <w:rPr>
          <w:rFonts w:ascii="Arial" w:eastAsia="Calibri" w:hAnsi="Arial" w:cs="Arial"/>
          <w:bCs/>
          <w:sz w:val="21"/>
          <w:szCs w:val="21"/>
        </w:rPr>
        <w:t>«¿ Es</w:t>
      </w:r>
      <w:proofErr w:type="gramEnd"/>
      <w:r w:rsidRPr="007F2FEE">
        <w:rPr>
          <w:rFonts w:ascii="Arial" w:eastAsia="Calibri" w:hAnsi="Arial" w:cs="Arial"/>
          <w:bCs/>
          <w:sz w:val="21"/>
          <w:szCs w:val="21"/>
        </w:rPr>
        <w:t xml:space="preserve"> dable interpretar que en los contratos por precios unitarios solo es posible adicionar valores a los ítems contemplados en el contrato inicial? o se podría incluir ítems adicionales?», </w:t>
      </w:r>
      <w:proofErr w:type="spellStart"/>
      <w:r w:rsidRPr="007F2FEE">
        <w:rPr>
          <w:rFonts w:ascii="Arial" w:eastAsia="Calibri" w:hAnsi="Arial" w:cs="Arial"/>
          <w:bCs/>
          <w:sz w:val="21"/>
          <w:szCs w:val="21"/>
        </w:rPr>
        <w:t>ii</w:t>
      </w:r>
      <w:proofErr w:type="spellEnd"/>
      <w:r w:rsidRPr="007F2FEE">
        <w:rPr>
          <w:rFonts w:ascii="Arial" w:eastAsia="Calibri" w:hAnsi="Arial" w:cs="Arial"/>
          <w:bCs/>
          <w:sz w:val="21"/>
          <w:szCs w:val="21"/>
        </w:rPr>
        <w:t>) «En el evento en que se contraten ítem por precios unitarios y el contrato inicial los relacione pero no les asigne presupuesto, es posible adicionar recursos al contrato para asignarle recursos a dichos ítems?»</w:t>
      </w:r>
    </w:p>
    <w:p w14:paraId="03DBF361" w14:textId="77777777" w:rsidR="007F2FEE" w:rsidRPr="007F2FEE" w:rsidRDefault="007F2FEE" w:rsidP="007F2FEE">
      <w:pPr>
        <w:spacing w:after="0" w:line="276" w:lineRule="auto"/>
        <w:jc w:val="both"/>
        <w:rPr>
          <w:rFonts w:ascii="Arial" w:eastAsia="Calibri" w:hAnsi="Arial" w:cs="Arial"/>
          <w:bCs/>
          <w:lang w:val="es-MX"/>
        </w:rPr>
      </w:pPr>
    </w:p>
    <w:p w14:paraId="28147900" w14:textId="77777777" w:rsidR="007F2FEE" w:rsidRPr="007F2FEE" w:rsidRDefault="007F2FEE" w:rsidP="007F2FEE">
      <w:pPr>
        <w:spacing w:after="0" w:line="276" w:lineRule="auto"/>
        <w:jc w:val="both"/>
        <w:rPr>
          <w:rFonts w:ascii="Arial" w:eastAsia="Calibri" w:hAnsi="Arial" w:cs="Arial"/>
          <w:bCs/>
          <w:lang w:val="es-MX"/>
        </w:rPr>
      </w:pPr>
      <w:r w:rsidRPr="007F2FEE">
        <w:rPr>
          <w:rFonts w:ascii="Arial" w:eastAsia="Calibri" w:hAnsi="Arial" w:cs="Arial"/>
          <w:bCs/>
          <w:lang w:val="es-MX"/>
        </w:rPr>
        <w:t xml:space="preserve">Conforme a la regulación legal y a la interpretación actual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3472C7A6" w14:textId="77777777" w:rsidR="007F2FEE" w:rsidRPr="007F2FEE" w:rsidRDefault="007F2FEE" w:rsidP="007F2FEE">
      <w:pPr>
        <w:spacing w:before="120" w:after="0" w:line="276" w:lineRule="auto"/>
        <w:ind w:firstLine="709"/>
        <w:jc w:val="both"/>
        <w:rPr>
          <w:rFonts w:ascii="Arial" w:eastAsia="Calibri" w:hAnsi="Arial" w:cs="Arial"/>
          <w:bCs/>
          <w:lang w:val="es-ES_tradnl"/>
        </w:rPr>
      </w:pPr>
      <w:r w:rsidRPr="007F2FEE">
        <w:rPr>
          <w:rFonts w:ascii="Arial" w:eastAsia="Calibri" w:hAnsi="Arial" w:cs="Arial"/>
          <w:bCs/>
          <w:lang w:val="es-ES_tradnl"/>
        </w:rPr>
        <w:t>En este contexto, en concordancia con lo expuesto en el numeral 2.1 de este concepto, para responder a su consulta se debe tener en cuenta que, es claro que un contrato estatal puede modificarse en precio para aumentarlo respecto de los ítems previstos, y también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w:t>
      </w:r>
    </w:p>
    <w:p w14:paraId="3261EC32" w14:textId="77777777" w:rsidR="007F2FEE" w:rsidRPr="007F2FEE" w:rsidRDefault="007F2FEE" w:rsidP="007F2FEE">
      <w:pPr>
        <w:spacing w:before="120" w:after="0" w:line="276" w:lineRule="auto"/>
        <w:ind w:firstLine="709"/>
        <w:jc w:val="both"/>
        <w:rPr>
          <w:rFonts w:ascii="Arial" w:eastAsia="Calibri" w:hAnsi="Arial" w:cs="Arial"/>
          <w:bCs/>
          <w:szCs w:val="24"/>
          <w:lang w:val="es-ES_tradnl" w:eastAsia="es-ES_tradnl" w:bidi="es-ES"/>
        </w:rPr>
      </w:pPr>
      <w:r w:rsidRPr="007F2FEE">
        <w:rPr>
          <w:rFonts w:ascii="Arial" w:eastAsia="Calibri" w:hAnsi="Arial" w:cs="Arial"/>
          <w:bCs/>
          <w:lang w:val="es-ES_tradnl"/>
        </w:rPr>
        <w:t xml:space="preserve">Debe precisarse que, conforme se explicó en el numeral 2.2 de este concepto, </w:t>
      </w:r>
      <w:r w:rsidRPr="007F2FEE">
        <w:rPr>
          <w:rFonts w:ascii="Arial" w:eastAsia="Calibri" w:hAnsi="Arial" w:cs="Arial"/>
          <w:bCs/>
          <w:szCs w:val="24"/>
          <w:lang w:val="es-ES_tradnl" w:eastAsia="es-ES_tradnl" w:bidi="es-ES"/>
        </w:rPr>
        <w:t xml:space="preserve">la interpretación que realiza la Sentencia SU 214 del 16 de junio de 2022 en relación con la celebración de un contrato nuevo cuando se pretenda adicionar ítems o actividades al contrato, debe entenderse en el contexto histórico del momento de los hechos, es decir, del año 2004, </w:t>
      </w:r>
      <w:r w:rsidRPr="007F2FEE">
        <w:rPr>
          <w:rFonts w:ascii="Arial" w:eastAsia="Calibri" w:hAnsi="Arial" w:cs="Arial"/>
          <w:bCs/>
          <w:szCs w:val="24"/>
          <w:lang w:val="es-ES_tradnl" w:eastAsia="es-ES_tradnl" w:bidi="es-ES"/>
        </w:rPr>
        <w:lastRenderedPageBreak/>
        <w:t>época en la que la jurisprudencia del Consejo de Estado y de la</w:t>
      </w:r>
      <w:r w:rsidRPr="007F2FEE">
        <w:rPr>
          <w:rFonts w:ascii="Arial" w:eastAsia="Calibri" w:hAnsi="Arial" w:cs="Arial"/>
          <w:bCs/>
          <w:szCs w:val="24"/>
          <w:lang w:eastAsia="es-ES_tradnl" w:bidi="es-ES"/>
        </w:rPr>
        <w:t xml:space="preserve"> Corte Suprema de Justicia sostenían </w:t>
      </w:r>
      <w:r w:rsidRPr="007F2FEE">
        <w:rPr>
          <w:rFonts w:ascii="Arial" w:eastAsia="Calibri" w:hAnsi="Arial" w:cs="Arial"/>
          <w:bCs/>
          <w:szCs w:val="24"/>
          <w:lang w:val="es-ES_tradnl" w:eastAsia="es-ES_tradnl" w:bidi="es-ES"/>
        </w:rPr>
        <w:t xml:space="preserve">la necesidad de suscribir un contrato nuevo en estos casos. Lo anterior, sin desconocer la posición actual de la materia en la jurisprudencia según la cual, como se explicó, es procedente las modificaciones del contrato </w:t>
      </w:r>
      <w:r w:rsidRPr="007F2FEE">
        <w:rPr>
          <w:rFonts w:ascii="Arial" w:eastAsia="Calibri" w:hAnsi="Arial" w:cs="Arial"/>
          <w:szCs w:val="24"/>
          <w:lang w:val="es-ES_tradnl" w:eastAsia="es-ES_tradnl"/>
        </w:rPr>
        <w:t xml:space="preserve">para adicionar los ítems previstos o para ampliar las prestaciones </w:t>
      </w:r>
      <w:r w:rsidRPr="007F2FEE">
        <w:rPr>
          <w:rFonts w:ascii="Arial" w:eastAsia="Calibri" w:hAnsi="Arial" w:cs="Arial"/>
          <w:bCs/>
          <w:szCs w:val="24"/>
          <w:lang w:val="es-ES_tradnl" w:eastAsia="es-ES_tradnl" w:bidi="es-ES"/>
        </w:rPr>
        <w:t xml:space="preserve">contractuales, mediante la ejecución de nuevos ítems o actividades siempre que no se afecte el núcleo esencial del objeto y teniendo en cuenta las limitaciones sobre el particular. </w:t>
      </w:r>
    </w:p>
    <w:p w14:paraId="71AEF92D" w14:textId="77777777" w:rsidR="007F2FEE" w:rsidRPr="007F2FEE" w:rsidRDefault="007F2FEE" w:rsidP="007F2FEE">
      <w:pPr>
        <w:spacing w:after="0" w:line="276" w:lineRule="auto"/>
        <w:jc w:val="both"/>
        <w:rPr>
          <w:rFonts w:ascii="Arial" w:eastAsia="Calibri" w:hAnsi="Arial" w:cs="Arial"/>
          <w:szCs w:val="24"/>
          <w:lang w:val="es-MX" w:eastAsia="es-ES_tradnl"/>
        </w:rPr>
      </w:pPr>
    </w:p>
    <w:p w14:paraId="609A2A55" w14:textId="77777777" w:rsidR="007F2FEE" w:rsidRPr="007F2FEE" w:rsidRDefault="007F2FEE" w:rsidP="007F2FEE">
      <w:pPr>
        <w:spacing w:after="0" w:line="276" w:lineRule="auto"/>
        <w:ind w:left="709" w:right="709"/>
        <w:jc w:val="both"/>
        <w:rPr>
          <w:rFonts w:ascii="Arial" w:eastAsia="Calibri" w:hAnsi="Arial" w:cs="Arial"/>
          <w:bCs/>
          <w:sz w:val="21"/>
          <w:szCs w:val="21"/>
        </w:rPr>
      </w:pPr>
      <w:proofErr w:type="spellStart"/>
      <w:r w:rsidRPr="007F2FEE">
        <w:rPr>
          <w:rFonts w:ascii="Arial" w:eastAsia="Calibri" w:hAnsi="Arial" w:cs="Arial"/>
          <w:bCs/>
          <w:sz w:val="21"/>
          <w:szCs w:val="21"/>
        </w:rPr>
        <w:t>iii</w:t>
      </w:r>
      <w:proofErr w:type="spellEnd"/>
      <w:r w:rsidRPr="007F2FEE">
        <w:rPr>
          <w:rFonts w:ascii="Arial" w:eastAsia="Calibri" w:hAnsi="Arial" w:cs="Arial"/>
          <w:bCs/>
          <w:sz w:val="21"/>
          <w:szCs w:val="21"/>
        </w:rPr>
        <w:t>) «</w:t>
      </w:r>
      <w:proofErr w:type="gramStart"/>
      <w:r w:rsidRPr="007F2FEE">
        <w:rPr>
          <w:rFonts w:ascii="Arial" w:eastAsia="Calibri" w:hAnsi="Arial" w:cs="Arial"/>
          <w:bCs/>
          <w:sz w:val="21"/>
          <w:szCs w:val="21"/>
        </w:rPr>
        <w:t>En los contratos de prestación de servicios, con el criterio de interpretación de la sentencia antes indicada, es posible adicionar los mismos?</w:t>
      </w:r>
      <w:proofErr w:type="gramEnd"/>
      <w:r w:rsidRPr="007F2FEE">
        <w:rPr>
          <w:rFonts w:ascii="Arial" w:eastAsia="Calibri" w:hAnsi="Arial" w:cs="Arial"/>
          <w:bCs/>
          <w:sz w:val="21"/>
          <w:szCs w:val="21"/>
        </w:rPr>
        <w:t>»</w:t>
      </w:r>
    </w:p>
    <w:p w14:paraId="42543F08" w14:textId="336F65ED" w:rsidR="007F2FEE" w:rsidRPr="007F2FEE" w:rsidRDefault="00492D43" w:rsidP="00DE144A">
      <w:pPr>
        <w:spacing w:before="120" w:after="0" w:line="276" w:lineRule="auto"/>
        <w:ind w:firstLine="708"/>
        <w:jc w:val="both"/>
        <w:rPr>
          <w:rFonts w:ascii="Arial" w:eastAsia="Calibri" w:hAnsi="Arial" w:cs="Arial"/>
          <w:bCs/>
        </w:rPr>
      </w:pPr>
      <w:r>
        <w:rPr>
          <w:rFonts w:ascii="Arial" w:eastAsia="Calibri" w:hAnsi="Arial" w:cs="Arial"/>
          <w:bCs/>
        </w:rPr>
        <w:t xml:space="preserve">De acuerdo con lo expuesto </w:t>
      </w:r>
      <w:r w:rsidR="007F2FEE" w:rsidRPr="007F2FEE">
        <w:rPr>
          <w:rFonts w:ascii="Arial" w:eastAsia="Calibri" w:hAnsi="Arial" w:cs="Arial"/>
          <w:bCs/>
        </w:rPr>
        <w:t xml:space="preserve">es </w:t>
      </w:r>
      <w:r>
        <w:rPr>
          <w:rFonts w:ascii="Arial" w:eastAsia="Calibri" w:hAnsi="Arial" w:cs="Arial"/>
          <w:bCs/>
        </w:rPr>
        <w:t>menester señalar</w:t>
      </w:r>
      <w:r w:rsidR="00D17EFA">
        <w:rPr>
          <w:rFonts w:ascii="Arial" w:eastAsia="Calibri" w:hAnsi="Arial" w:cs="Arial"/>
          <w:bCs/>
        </w:rPr>
        <w:t xml:space="preserve"> que</w:t>
      </w:r>
      <w:r w:rsidR="00387C60">
        <w:rPr>
          <w:rFonts w:ascii="Arial" w:eastAsia="Calibri" w:hAnsi="Arial" w:cs="Arial"/>
          <w:bCs/>
        </w:rPr>
        <w:t>, de acuerdo</w:t>
      </w:r>
      <w:r w:rsidR="00D17EFA">
        <w:rPr>
          <w:rFonts w:ascii="Arial" w:eastAsia="Calibri" w:hAnsi="Arial" w:cs="Arial"/>
          <w:bCs/>
        </w:rPr>
        <w:t xml:space="preserve"> con</w:t>
      </w:r>
      <w:r w:rsidR="00387C60">
        <w:rPr>
          <w:rFonts w:ascii="Arial" w:eastAsia="Calibri" w:hAnsi="Arial" w:cs="Arial"/>
          <w:bCs/>
        </w:rPr>
        <w:t xml:space="preserve"> lo considerado</w:t>
      </w:r>
      <w:r>
        <w:rPr>
          <w:rFonts w:ascii="Arial" w:eastAsia="Calibri" w:hAnsi="Arial" w:cs="Arial"/>
          <w:bCs/>
        </w:rPr>
        <w:t xml:space="preserve"> </w:t>
      </w:r>
      <w:r w:rsidR="00387C60">
        <w:rPr>
          <w:rFonts w:ascii="Arial" w:eastAsia="Calibri" w:hAnsi="Arial" w:cs="Arial"/>
          <w:bCs/>
        </w:rPr>
        <w:t xml:space="preserve">por </w:t>
      </w:r>
      <w:r w:rsidR="007F2FEE" w:rsidRPr="007F2FEE">
        <w:rPr>
          <w:rFonts w:ascii="Arial" w:eastAsia="Calibri" w:hAnsi="Arial" w:cs="Arial"/>
          <w:bCs/>
          <w:szCs w:val="24"/>
          <w:lang w:val="es-MX" w:eastAsia="es-ES_tradnl"/>
        </w:rPr>
        <w:t>la Corte Constitucional sobre la adición de l</w:t>
      </w:r>
      <w:r w:rsidR="007F2FEE" w:rsidRPr="007F2FEE">
        <w:rPr>
          <w:rFonts w:ascii="Arial" w:eastAsia="Calibri" w:hAnsi="Arial" w:cs="Arial"/>
          <w:bCs/>
          <w:lang w:val="es-MX" w:eastAsia="es-ES_tradnl"/>
        </w:rPr>
        <w:t xml:space="preserve">os contratos </w:t>
      </w:r>
      <w:r w:rsidR="00387C60">
        <w:rPr>
          <w:rFonts w:ascii="Arial" w:eastAsia="Calibri" w:hAnsi="Arial" w:cs="Arial"/>
          <w:bCs/>
          <w:lang w:val="es-MX" w:eastAsia="es-ES_tradnl"/>
        </w:rPr>
        <w:t xml:space="preserve">estatales </w:t>
      </w:r>
      <w:r w:rsidR="007F2FEE" w:rsidRPr="007F2FEE">
        <w:rPr>
          <w:rFonts w:ascii="Arial" w:eastAsia="Calibri" w:hAnsi="Arial" w:cs="Arial"/>
          <w:bCs/>
          <w:lang w:val="es-MX" w:eastAsia="es-ES_tradnl"/>
        </w:rPr>
        <w:t>en la Sentencia SU214 de 2022, la restricción de</w:t>
      </w:r>
      <w:r w:rsidR="00A6768A">
        <w:rPr>
          <w:rFonts w:ascii="Arial" w:eastAsia="Calibri" w:hAnsi="Arial" w:cs="Arial"/>
          <w:bCs/>
          <w:lang w:val="es-MX" w:eastAsia="es-ES_tradnl"/>
        </w:rPr>
        <w:t xml:space="preserve"> adicionarlos en más del</w:t>
      </w:r>
      <w:r w:rsidR="007F2FEE" w:rsidRPr="007F2FEE">
        <w:rPr>
          <w:rFonts w:ascii="Arial" w:eastAsia="Calibri" w:hAnsi="Arial" w:cs="Arial"/>
          <w:bCs/>
          <w:lang w:val="es-MX" w:eastAsia="es-ES_tradnl"/>
        </w:rPr>
        <w:t xml:space="preserve"> cincuenta por </w:t>
      </w:r>
      <w:r w:rsidR="007F2FEE" w:rsidRPr="007F2FEE">
        <w:rPr>
          <w:rFonts w:ascii="Arial" w:eastAsia="Calibri" w:hAnsi="Arial" w:cs="Arial"/>
          <w:lang w:val="es-MX" w:eastAsia="es-ES_tradnl"/>
        </w:rPr>
        <w:t xml:space="preserve">ciento (50%) de su valor inicial aplica con independencia de la modalidad contractual de que se trate y del sistema de precios pactado. </w:t>
      </w:r>
      <w:r w:rsidR="007F2FEE" w:rsidRPr="007F2FEE">
        <w:rPr>
          <w:rFonts w:ascii="Arial" w:eastAsia="Calibri" w:hAnsi="Arial" w:cs="Arial"/>
          <w:bCs/>
          <w:lang w:val="es-MX" w:eastAsia="es-ES_tradnl"/>
        </w:rPr>
        <w:t>En este sentido, en 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49CEA56D" w14:textId="77777777" w:rsidR="007F2FEE" w:rsidRPr="007F2FEE" w:rsidRDefault="007F2FEE" w:rsidP="007F2FEE">
      <w:pPr>
        <w:spacing w:after="0" w:line="276" w:lineRule="auto"/>
        <w:jc w:val="both"/>
        <w:rPr>
          <w:rFonts w:ascii="Arial" w:eastAsia="Calibri" w:hAnsi="Arial" w:cs="Arial"/>
        </w:rPr>
      </w:pPr>
    </w:p>
    <w:p w14:paraId="17AD150D" w14:textId="77777777" w:rsidR="007F2FEE" w:rsidRPr="007F2FEE" w:rsidRDefault="007F2FEE" w:rsidP="007F2FEE">
      <w:pPr>
        <w:widowControl w:val="0"/>
        <w:autoSpaceDE w:val="0"/>
        <w:autoSpaceDN w:val="0"/>
        <w:spacing w:line="276" w:lineRule="auto"/>
        <w:jc w:val="both"/>
        <w:rPr>
          <w:rFonts w:ascii="Arial" w:eastAsia="Calibri" w:hAnsi="Arial" w:cs="Arial"/>
          <w:lang w:val="es-ES_tradnl" w:bidi="es-ES"/>
        </w:rPr>
      </w:pPr>
      <w:r w:rsidRPr="007F2FEE">
        <w:rPr>
          <w:rFonts w:ascii="Arial" w:eastAsia="Calibri" w:hAnsi="Arial" w:cs="Arial"/>
          <w:color w:val="000000"/>
          <w:lang w:val="es-ES_tradnl"/>
        </w:rPr>
        <w:t>Este concepto tiene el alcance previsto en el artículo 28 del Código de Procedimiento Administrativo y de lo Contencioso Administrativo.</w:t>
      </w:r>
    </w:p>
    <w:p w14:paraId="660D4E04" w14:textId="77777777" w:rsidR="007F2FEE" w:rsidRPr="007F2FEE" w:rsidRDefault="007F2FEE" w:rsidP="007F2FEE">
      <w:pPr>
        <w:spacing w:before="120" w:line="276" w:lineRule="auto"/>
        <w:jc w:val="both"/>
        <w:rPr>
          <w:rFonts w:ascii="Arial" w:eastAsia="Calibri" w:hAnsi="Arial" w:cs="Arial"/>
          <w:color w:val="000000"/>
          <w:lang w:val="es-ES_tradnl"/>
        </w:rPr>
      </w:pPr>
    </w:p>
    <w:p w14:paraId="2776D56F" w14:textId="77777777" w:rsidR="007F2FEE" w:rsidRPr="007F2FEE" w:rsidRDefault="007F2FEE" w:rsidP="007F2FEE">
      <w:pPr>
        <w:spacing w:after="0" w:line="276" w:lineRule="auto"/>
        <w:jc w:val="both"/>
        <w:rPr>
          <w:rFonts w:ascii="Arial" w:eastAsia="Times New Roman" w:hAnsi="Arial" w:cs="Arial"/>
          <w:color w:val="000000"/>
          <w:lang w:val="es-ES_tradnl" w:eastAsia="es-CO"/>
        </w:rPr>
      </w:pPr>
      <w:r w:rsidRPr="35B67537">
        <w:rPr>
          <w:rFonts w:ascii="Arial" w:eastAsia="Times New Roman" w:hAnsi="Arial" w:cs="Arial"/>
          <w:color w:val="000000" w:themeColor="text1"/>
          <w:lang w:val="es-ES" w:eastAsia="es-CO"/>
        </w:rPr>
        <w:t>Atentamente,</w:t>
      </w:r>
    </w:p>
    <w:p w14:paraId="14E6BEF8" w14:textId="4B404907" w:rsidR="007F2FEE" w:rsidRPr="007F2FEE" w:rsidRDefault="3E8D4F0B" w:rsidP="35B67537">
      <w:pPr>
        <w:spacing w:after="0" w:line="276" w:lineRule="auto"/>
        <w:jc w:val="center"/>
      </w:pPr>
      <w:r>
        <w:rPr>
          <w:noProof/>
        </w:rPr>
        <w:drawing>
          <wp:inline distT="0" distB="0" distL="0" distR="0" wp14:anchorId="24C80375" wp14:editId="35B67537">
            <wp:extent cx="4333875" cy="1666875"/>
            <wp:effectExtent l="0" t="0" r="0" b="0"/>
            <wp:docPr id="319823673" name="Imagen 31982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1666875"/>
                    </a:xfrm>
                    <a:prstGeom prst="rect">
                      <a:avLst/>
                    </a:prstGeom>
                  </pic:spPr>
                </pic:pic>
              </a:graphicData>
            </a:graphic>
          </wp:inline>
        </w:drawing>
      </w:r>
    </w:p>
    <w:p w14:paraId="7338FA0C" w14:textId="77777777" w:rsidR="007F2FEE" w:rsidRPr="007F2FEE" w:rsidRDefault="007F2FEE" w:rsidP="007F2FEE">
      <w:pPr>
        <w:spacing w:after="0" w:line="240" w:lineRule="auto"/>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F2FEE" w:rsidRPr="007F2FEE" w14:paraId="21A1ED3F" w14:textId="77777777" w:rsidTr="007F2FEE">
        <w:trPr>
          <w:trHeight w:val="160"/>
        </w:trPr>
        <w:tc>
          <w:tcPr>
            <w:tcW w:w="812" w:type="dxa"/>
            <w:vAlign w:val="center"/>
            <w:hideMark/>
          </w:tcPr>
          <w:p w14:paraId="6BDD82E9"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2BF41BDB"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Calibri" w:hAnsi="Arial" w:cs="Arial"/>
                <w:color w:val="000000"/>
                <w:sz w:val="16"/>
                <w:szCs w:val="16"/>
                <w:lang w:val="es-ES_tradnl" w:eastAsia="es-ES"/>
              </w:rPr>
              <w:t>Ximena Ríos López</w:t>
            </w:r>
          </w:p>
          <w:p w14:paraId="4EDD7A19"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Calibri" w:hAnsi="Arial" w:cs="Arial"/>
                <w:color w:val="000000"/>
                <w:sz w:val="16"/>
                <w:szCs w:val="16"/>
                <w:lang w:eastAsia="es-ES"/>
              </w:rPr>
              <w:t>Gestor T1-11</w:t>
            </w:r>
            <w:r w:rsidRPr="007F2FEE">
              <w:rPr>
                <w:rFonts w:ascii="Arial" w:eastAsia="Calibri" w:hAnsi="Arial" w:cs="Arial"/>
                <w:color w:val="000000"/>
                <w:sz w:val="16"/>
                <w:szCs w:val="16"/>
                <w:lang w:val="es-ES_tradnl" w:eastAsia="es-ES"/>
              </w:rPr>
              <w:t xml:space="preserve"> de la Subdirección de Gestión Contractual</w:t>
            </w:r>
          </w:p>
        </w:tc>
      </w:tr>
      <w:tr w:rsidR="007F2FEE" w:rsidRPr="007F2FEE" w14:paraId="7C0421CE" w14:textId="77777777" w:rsidTr="007F2FEE">
        <w:trPr>
          <w:trHeight w:val="330"/>
        </w:trPr>
        <w:tc>
          <w:tcPr>
            <w:tcW w:w="812" w:type="dxa"/>
            <w:vAlign w:val="center"/>
            <w:hideMark/>
          </w:tcPr>
          <w:p w14:paraId="5C174D65"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5010EC9" w14:textId="77777777" w:rsidR="007F2FEE" w:rsidRPr="007F2FEE" w:rsidRDefault="007F2FEE" w:rsidP="007F2FEE">
            <w:pPr>
              <w:jc w:val="both"/>
              <w:rPr>
                <w:rFonts w:ascii="Arial" w:eastAsia="Calibri" w:hAnsi="Arial" w:cs="Arial"/>
                <w:color w:val="000000"/>
                <w:sz w:val="16"/>
                <w:szCs w:val="16"/>
                <w:lang w:eastAsia="es-ES"/>
              </w:rPr>
            </w:pPr>
            <w:r w:rsidRPr="007F2FEE">
              <w:rPr>
                <w:rFonts w:ascii="Arial" w:eastAsia="Calibri" w:hAnsi="Arial" w:cs="Arial"/>
                <w:color w:val="000000"/>
                <w:sz w:val="16"/>
                <w:szCs w:val="16"/>
                <w:lang w:eastAsia="es-ES"/>
              </w:rPr>
              <w:t xml:space="preserve">Alejandro Sarmiento Cantillo </w:t>
            </w:r>
          </w:p>
          <w:p w14:paraId="14A0E880" w14:textId="77777777" w:rsidR="007F2FEE" w:rsidRPr="007F2FEE" w:rsidRDefault="007F2FEE" w:rsidP="007F2FEE">
            <w:pPr>
              <w:jc w:val="both"/>
              <w:rPr>
                <w:rFonts w:ascii="Arial" w:eastAsia="Calibri" w:hAnsi="Arial" w:cs="Arial"/>
                <w:color w:val="000000"/>
                <w:sz w:val="16"/>
                <w:szCs w:val="16"/>
                <w:lang w:eastAsia="es-ES"/>
              </w:rPr>
            </w:pPr>
            <w:r w:rsidRPr="007F2FEE">
              <w:rPr>
                <w:rFonts w:ascii="Arial" w:eastAsia="Calibri" w:hAnsi="Arial" w:cs="Arial"/>
                <w:color w:val="000000"/>
                <w:sz w:val="16"/>
                <w:szCs w:val="16"/>
                <w:lang w:eastAsia="es-ES"/>
              </w:rPr>
              <w:t>Gestor T1-15 de la Subdirección de Gestión Contractual</w:t>
            </w:r>
          </w:p>
        </w:tc>
      </w:tr>
      <w:tr w:rsidR="007F2FEE" w:rsidRPr="007F2FEE" w14:paraId="54A8E078" w14:textId="77777777" w:rsidTr="007F2FEE">
        <w:trPr>
          <w:trHeight w:val="300"/>
        </w:trPr>
        <w:tc>
          <w:tcPr>
            <w:tcW w:w="812" w:type="dxa"/>
            <w:vAlign w:val="center"/>
            <w:hideMark/>
          </w:tcPr>
          <w:p w14:paraId="4591DB97"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7A1FE29" w14:textId="77777777" w:rsidR="007F2FEE" w:rsidRPr="007F2FEE" w:rsidRDefault="007F2FEE" w:rsidP="007F2FEE">
            <w:pPr>
              <w:rPr>
                <w:rFonts w:ascii="Arial" w:eastAsia="Calibri" w:hAnsi="Arial" w:cs="Arial"/>
                <w:color w:val="000000"/>
                <w:sz w:val="16"/>
                <w:szCs w:val="16"/>
                <w:lang w:eastAsia="es-ES"/>
              </w:rPr>
            </w:pPr>
            <w:r w:rsidRPr="007F2FEE">
              <w:rPr>
                <w:rFonts w:ascii="Arial" w:eastAsia="Calibri" w:hAnsi="Arial" w:cs="Arial"/>
                <w:color w:val="000000"/>
                <w:sz w:val="16"/>
                <w:szCs w:val="16"/>
                <w:lang w:eastAsia="es-ES"/>
              </w:rPr>
              <w:t>Nohelia del Carmen Zawady Palacio</w:t>
            </w:r>
          </w:p>
          <w:p w14:paraId="6CA01740" w14:textId="77777777" w:rsidR="007F2FEE" w:rsidRPr="007F2FEE" w:rsidRDefault="007F2FEE" w:rsidP="007F2FEE">
            <w:pPr>
              <w:jc w:val="both"/>
              <w:rPr>
                <w:rFonts w:ascii="Arial" w:eastAsia="Calibri" w:hAnsi="Arial" w:cs="Arial"/>
                <w:color w:val="000000"/>
                <w:sz w:val="16"/>
                <w:szCs w:val="16"/>
                <w:lang w:val="es-ES_tradnl" w:eastAsia="es-ES"/>
              </w:rPr>
            </w:pPr>
            <w:r w:rsidRPr="007F2FEE">
              <w:rPr>
                <w:rFonts w:ascii="Arial" w:eastAsia="Arial" w:hAnsi="Arial" w:cs="Arial"/>
                <w:color w:val="000000"/>
                <w:sz w:val="16"/>
                <w:szCs w:val="16"/>
              </w:rPr>
              <w:t>Subdirectora de Gestión Contractual</w:t>
            </w:r>
          </w:p>
        </w:tc>
      </w:tr>
      <w:bookmarkEnd w:id="0"/>
      <w:bookmarkEnd w:id="1"/>
    </w:tbl>
    <w:p w14:paraId="6DB83CEC" w14:textId="77777777" w:rsidR="007F2FEE" w:rsidRPr="007F2FEE" w:rsidRDefault="007F2FEE" w:rsidP="007F2FEE">
      <w:pPr>
        <w:tabs>
          <w:tab w:val="left" w:pos="3570"/>
        </w:tabs>
        <w:spacing w:line="256" w:lineRule="auto"/>
        <w:rPr>
          <w:rFonts w:ascii="Arial" w:eastAsia="Calibri" w:hAnsi="Arial" w:cs="Arial"/>
          <w:lang w:val="es-ES_tradnl"/>
        </w:rPr>
      </w:pPr>
    </w:p>
    <w:p w14:paraId="74AB96AB" w14:textId="77777777" w:rsidR="007F2FEE" w:rsidRPr="007F2FEE" w:rsidRDefault="007F2FEE" w:rsidP="6B8BD3AC">
      <w:pPr>
        <w:rPr>
          <w:rFonts w:ascii="Geomanist Light" w:eastAsia="Geomanist Light" w:hAnsi="Geomanist Light" w:cs="Geomanist Light"/>
          <w:color w:val="201F1E"/>
          <w:lang w:val="es-ES_tradnl"/>
        </w:rPr>
      </w:pPr>
    </w:p>
    <w:sectPr w:rsidR="007F2FEE" w:rsidRPr="007F2FE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6BED" w14:textId="77777777" w:rsidR="008B0CD2" w:rsidRDefault="008B0CD2" w:rsidP="004A1847">
      <w:pPr>
        <w:spacing w:after="0" w:line="240" w:lineRule="auto"/>
      </w:pPr>
      <w:r>
        <w:separator/>
      </w:r>
    </w:p>
  </w:endnote>
  <w:endnote w:type="continuationSeparator" w:id="0">
    <w:p w14:paraId="422A3FCC" w14:textId="77777777" w:rsidR="008B0CD2" w:rsidRDefault="008B0CD2" w:rsidP="004A1847">
      <w:pPr>
        <w:spacing w:after="0" w:line="240" w:lineRule="auto"/>
      </w:pPr>
      <w:r>
        <w:continuationSeparator/>
      </w:r>
    </w:p>
  </w:endnote>
  <w:endnote w:type="continuationNotice" w:id="1">
    <w:p w14:paraId="0E87E8F9" w14:textId="77777777" w:rsidR="008B0CD2" w:rsidRDefault="008B0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5D6C" w14:textId="77777777" w:rsidR="008B0CD2" w:rsidRDefault="008B0CD2" w:rsidP="004A1847">
      <w:pPr>
        <w:spacing w:after="0" w:line="240" w:lineRule="auto"/>
      </w:pPr>
      <w:r>
        <w:separator/>
      </w:r>
    </w:p>
  </w:footnote>
  <w:footnote w:type="continuationSeparator" w:id="0">
    <w:p w14:paraId="4D3D7E4A" w14:textId="77777777" w:rsidR="008B0CD2" w:rsidRDefault="008B0CD2" w:rsidP="004A1847">
      <w:pPr>
        <w:spacing w:after="0" w:line="240" w:lineRule="auto"/>
      </w:pPr>
      <w:r>
        <w:continuationSeparator/>
      </w:r>
    </w:p>
  </w:footnote>
  <w:footnote w:type="continuationNotice" w:id="1">
    <w:p w14:paraId="0F0A9A66" w14:textId="77777777" w:rsidR="008B0CD2" w:rsidRDefault="008B0CD2">
      <w:pPr>
        <w:spacing w:after="0" w:line="240" w:lineRule="auto"/>
      </w:pPr>
    </w:p>
  </w:footnote>
  <w:footnote w:id="2">
    <w:p w14:paraId="6CD712C9" w14:textId="77777777" w:rsidR="007F2FEE" w:rsidRPr="007F2FEE" w:rsidRDefault="007F2FEE" w:rsidP="007F2FEE">
      <w:pPr>
        <w:pStyle w:val="Textonotapie"/>
        <w:ind w:firstLine="709"/>
        <w:jc w:val="both"/>
        <w:rPr>
          <w:rFonts w:ascii="Arial" w:hAnsi="Arial" w:cs="Arial"/>
          <w:color w:val="000000"/>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Estos conceptos pueden ser consultado en la relatoría de la Agencia en el siguiente enlace: </w:t>
      </w:r>
      <w:hyperlink r:id="rId1" w:history="1">
        <w:r w:rsidRPr="00F14FFE">
          <w:rPr>
            <w:rFonts w:ascii="Arial" w:hAnsi="Arial" w:cs="Arial"/>
            <w:sz w:val="16"/>
            <w:szCs w:val="16"/>
          </w:rPr>
          <w:t>https://relatoria.colombiacompra.gov.co/busqueda/conceptos#</w:t>
        </w:r>
      </w:hyperlink>
    </w:p>
    <w:p w14:paraId="11F88C01" w14:textId="77777777" w:rsidR="007F2FEE" w:rsidRPr="00F14FFE" w:rsidRDefault="007F2FEE" w:rsidP="007F2FEE">
      <w:pPr>
        <w:pStyle w:val="Textonotapie"/>
        <w:ind w:firstLine="709"/>
        <w:jc w:val="both"/>
        <w:rPr>
          <w:rFonts w:ascii="Arial" w:hAnsi="Arial" w:cs="Arial"/>
          <w:sz w:val="16"/>
          <w:szCs w:val="16"/>
          <w:lang w:val="es-CO"/>
        </w:rPr>
      </w:pPr>
    </w:p>
  </w:footnote>
  <w:footnote w:id="3">
    <w:p w14:paraId="071FB3E5" w14:textId="77777777" w:rsidR="007F2FEE" w:rsidRPr="007F2FEE" w:rsidRDefault="007F2FEE" w:rsidP="00DE144A">
      <w:pPr>
        <w:pStyle w:val="Textonotapie"/>
        <w:spacing w:after="120"/>
        <w:ind w:firstLine="709"/>
        <w:jc w:val="both"/>
        <w:rPr>
          <w:rFonts w:ascii="Arial" w:hAnsi="Arial" w:cs="Arial"/>
          <w:color w:val="000000"/>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sz w:val="16"/>
          <w:szCs w:val="16"/>
          <w:lang w:val="es-ES"/>
        </w:rPr>
        <w:t>«</w:t>
      </w:r>
      <w:r w:rsidRPr="007F2FEE">
        <w:rPr>
          <w:rFonts w:ascii="Arial" w:hAnsi="Arial" w:cs="Arial"/>
          <w:color w:val="000000"/>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6450E23" w14:textId="77777777" w:rsidR="007F2FEE" w:rsidRPr="007F2FEE" w:rsidRDefault="007F2FEE" w:rsidP="007F2FEE">
      <w:pPr>
        <w:pStyle w:val="Textonotapie"/>
        <w:ind w:firstLine="709"/>
        <w:jc w:val="both"/>
        <w:rPr>
          <w:rFonts w:ascii="Arial" w:hAnsi="Arial" w:cs="Arial"/>
          <w:color w:val="000000"/>
          <w:sz w:val="16"/>
          <w:szCs w:val="16"/>
        </w:rPr>
      </w:pPr>
      <w:proofErr w:type="gramStart"/>
      <w:r w:rsidRPr="007F2FEE">
        <w:rPr>
          <w:rFonts w:ascii="Arial" w:hAnsi="Arial" w:cs="Arial"/>
          <w:color w:val="000000"/>
          <w:sz w:val="16"/>
          <w:szCs w:val="16"/>
        </w:rPr>
        <w:t>»Sin</w:t>
      </w:r>
      <w:proofErr w:type="gramEnd"/>
      <w:r w:rsidRPr="007F2FEE">
        <w:rPr>
          <w:rFonts w:ascii="Arial" w:hAnsi="Arial" w:cs="Arial"/>
          <w:color w:val="000000"/>
          <w:sz w:val="16"/>
          <w:szCs w:val="16"/>
        </w:rPr>
        <w:t xml:space="preserve">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023C4C87" w14:textId="77777777" w:rsidR="007F2FEE" w:rsidRPr="00F14FFE" w:rsidRDefault="007F2FEE" w:rsidP="007F2FEE">
      <w:pPr>
        <w:pStyle w:val="Textonotapie"/>
        <w:ind w:firstLine="709"/>
        <w:jc w:val="both"/>
        <w:rPr>
          <w:rFonts w:ascii="Arial" w:hAnsi="Arial" w:cs="Arial"/>
          <w:sz w:val="16"/>
          <w:szCs w:val="16"/>
          <w:lang w:val="es-ES"/>
        </w:rPr>
      </w:pPr>
    </w:p>
  </w:footnote>
  <w:footnote w:id="4">
    <w:p w14:paraId="5E509B87" w14:textId="77777777" w:rsidR="007F2FEE" w:rsidRPr="007F2FEE" w:rsidRDefault="007F2FEE" w:rsidP="007F2FEE">
      <w:pPr>
        <w:pStyle w:val="Textonotapie"/>
        <w:ind w:firstLine="709"/>
        <w:jc w:val="both"/>
        <w:rPr>
          <w:rFonts w:ascii="Arial" w:hAnsi="Arial" w:cs="Arial"/>
          <w:color w:val="000000"/>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Consejo de Estado. Sección Tercera. Subsección B. Sentencia del 14 de octubre de 2011.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20811, C.P. Ruth Stella Correa Palacio.</w:t>
      </w:r>
    </w:p>
    <w:p w14:paraId="556B64A2" w14:textId="77777777" w:rsidR="007F2FEE" w:rsidRPr="00F14FFE" w:rsidRDefault="007F2FEE" w:rsidP="007F2FEE">
      <w:pPr>
        <w:pStyle w:val="Textonotapie"/>
        <w:ind w:firstLine="709"/>
        <w:jc w:val="both"/>
        <w:rPr>
          <w:rFonts w:ascii="Arial" w:hAnsi="Arial" w:cs="Arial"/>
          <w:sz w:val="16"/>
          <w:szCs w:val="16"/>
          <w:lang w:val="es-ES"/>
        </w:rPr>
      </w:pPr>
    </w:p>
  </w:footnote>
  <w:footnote w:id="5">
    <w:p w14:paraId="14007C7C" w14:textId="77777777" w:rsidR="007F2FEE" w:rsidRPr="00F14FFE" w:rsidRDefault="007F2FEE" w:rsidP="007F2FEE">
      <w:pPr>
        <w:pStyle w:val="Textonotapie"/>
        <w:spacing w:after="60"/>
        <w:ind w:firstLine="709"/>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71B46E85" w14:textId="77777777" w:rsidR="007F2FEE" w:rsidRPr="00F14FFE" w:rsidRDefault="007F2FEE" w:rsidP="007F2FEE">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»Las</w:t>
      </w:r>
      <w:proofErr w:type="gramEnd"/>
      <w:r w:rsidRPr="00F14FFE">
        <w:rPr>
          <w:rFonts w:ascii="Arial" w:hAnsi="Arial" w:cs="Arial"/>
          <w:sz w:val="16"/>
          <w:szCs w:val="16"/>
        </w:rPr>
        <w:t xml:space="preserve"> adiciones relacionadas con el valor quedarán perfeccionadas una vez suscrito el contrato y efectuado el registro presupuestal. Las relaciones con el plazo sólo requerirán firma del jefe de la entidad contratante y prórroga de las garantías. </w:t>
      </w:r>
    </w:p>
    <w:p w14:paraId="3200DD7A" w14:textId="77777777" w:rsidR="007F2FEE" w:rsidRPr="00F14FFE" w:rsidRDefault="007F2FEE" w:rsidP="007F2FEE">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»Serán</w:t>
      </w:r>
      <w:proofErr w:type="gramEnd"/>
      <w:r w:rsidRPr="00F14FFE">
        <w:rPr>
          <w:rFonts w:ascii="Arial" w:hAnsi="Arial" w:cs="Arial"/>
          <w:sz w:val="16"/>
          <w:szCs w:val="16"/>
        </w:rPr>
        <w:t xml:space="preserve"> requisitos para que pueda iniciarse la ejecución del contrato, la adición y prórroga de las garantías y el pago de los impuestos correspondientes. </w:t>
      </w:r>
    </w:p>
    <w:p w14:paraId="663D6038" w14:textId="77777777" w:rsidR="007F2FEE" w:rsidRPr="00F14FFE" w:rsidRDefault="007F2FEE" w:rsidP="007F2FEE">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»Los</w:t>
      </w:r>
      <w:proofErr w:type="gramEnd"/>
      <w:r w:rsidRPr="00F14FFE">
        <w:rPr>
          <w:rFonts w:ascii="Arial" w:hAnsi="Arial" w:cs="Arial"/>
          <w:sz w:val="16"/>
          <w:szCs w:val="16"/>
        </w:rPr>
        <w:t xml:space="preserve"> contratos de interventoría, administración delegada, y consultoría previstos en este estatuto, podrán adicionarse sin el límite fijado en el presente artículo. </w:t>
      </w:r>
    </w:p>
    <w:p w14:paraId="5BA12872" w14:textId="77777777" w:rsidR="007F2FEE" w:rsidRPr="00F14FFE" w:rsidRDefault="007F2FEE" w:rsidP="007F2FEE">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»Las</w:t>
      </w:r>
      <w:proofErr w:type="gramEnd"/>
      <w:r w:rsidRPr="00F14FFE">
        <w:rPr>
          <w:rFonts w:ascii="Arial" w:hAnsi="Arial" w:cs="Arial"/>
          <w:sz w:val="16"/>
          <w:szCs w:val="16"/>
        </w:rPr>
        <w:t xml:space="preserve"> adiciones deberán publicarse en el Diario oficial. </w:t>
      </w:r>
    </w:p>
    <w:p w14:paraId="50999107" w14:textId="77777777" w:rsidR="007F2FEE" w:rsidRPr="00F14FFE" w:rsidRDefault="007F2FEE" w:rsidP="007F2FEE">
      <w:pPr>
        <w:pStyle w:val="Textonotapie"/>
        <w:spacing w:after="60"/>
        <w:ind w:firstLine="709"/>
        <w:jc w:val="both"/>
        <w:rPr>
          <w:rFonts w:ascii="Arial" w:hAnsi="Arial" w:cs="Arial"/>
          <w:sz w:val="16"/>
          <w:szCs w:val="16"/>
        </w:rPr>
      </w:pPr>
      <w:proofErr w:type="gramStart"/>
      <w:r w:rsidRPr="00F14FFE">
        <w:rPr>
          <w:rFonts w:ascii="Arial" w:hAnsi="Arial" w:cs="Arial"/>
          <w:sz w:val="16"/>
          <w:szCs w:val="16"/>
        </w:rPr>
        <w:t>»En</w:t>
      </w:r>
      <w:proofErr w:type="gramEnd"/>
      <w:r w:rsidRPr="00F14FFE">
        <w:rPr>
          <w:rFonts w:ascii="Arial" w:hAnsi="Arial" w:cs="Arial"/>
          <w:sz w:val="16"/>
          <w:szCs w:val="16"/>
        </w:rPr>
        <w:t xml:space="preserve"> ningún caso podrá modificarse el objeto de los contratos, ni prorrogarse su plazo si estuviere vencido, so pretexto de la celebración de contratos adicionales, ni pactarse prórrogas automáticas. </w:t>
      </w:r>
    </w:p>
    <w:p w14:paraId="2E5D9DCC" w14:textId="77777777" w:rsidR="007F2FEE" w:rsidRPr="00F14FFE" w:rsidRDefault="007F2FEE" w:rsidP="007F2FEE">
      <w:pPr>
        <w:pStyle w:val="Textonotapie"/>
        <w:ind w:firstLine="708"/>
        <w:jc w:val="both"/>
        <w:rPr>
          <w:rFonts w:ascii="Arial" w:hAnsi="Arial" w:cs="Arial"/>
          <w:sz w:val="16"/>
          <w:szCs w:val="16"/>
        </w:rPr>
      </w:pPr>
      <w:proofErr w:type="gramStart"/>
      <w:r w:rsidRPr="00F14FFE">
        <w:rPr>
          <w:rFonts w:ascii="Arial" w:hAnsi="Arial" w:cs="Arial"/>
          <w:sz w:val="16"/>
          <w:szCs w:val="16"/>
        </w:rPr>
        <w:t>»Parágrafo</w:t>
      </w:r>
      <w:proofErr w:type="gramEnd"/>
      <w:r w:rsidRPr="00F14FFE">
        <w:rPr>
          <w:rFonts w:ascii="Arial" w:hAnsi="Arial" w:cs="Arial"/>
          <w:sz w:val="16"/>
          <w:szCs w:val="16"/>
        </w:rPr>
        <w:t>. Los contratos de empréstito distintos a los créditos de proveedores, no se someterán a lo dispuesto en este artículo».</w:t>
      </w:r>
    </w:p>
    <w:p w14:paraId="587B764C" w14:textId="77777777" w:rsidR="007F2FEE" w:rsidRPr="00F14FFE" w:rsidRDefault="007F2FEE" w:rsidP="007F2FEE">
      <w:pPr>
        <w:pStyle w:val="Textonotapie"/>
        <w:ind w:firstLine="708"/>
        <w:jc w:val="both"/>
        <w:rPr>
          <w:sz w:val="16"/>
          <w:szCs w:val="16"/>
        </w:rPr>
      </w:pPr>
      <w:r w:rsidRPr="00F14FFE">
        <w:rPr>
          <w:sz w:val="16"/>
          <w:szCs w:val="16"/>
        </w:rPr>
        <w:t xml:space="preserve">  </w:t>
      </w:r>
    </w:p>
  </w:footnote>
  <w:footnote w:id="6">
    <w:p w14:paraId="13761DA0" w14:textId="77777777" w:rsidR="007F2FEE" w:rsidRPr="00F14FFE" w:rsidRDefault="007F2FEE" w:rsidP="007F2FEE">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w:t>
      </w:r>
      <w:proofErr w:type="spellStart"/>
      <w:r w:rsidRPr="00F14FFE">
        <w:rPr>
          <w:rFonts w:ascii="Arial" w:hAnsi="Arial" w:cs="Arial"/>
          <w:sz w:val="16"/>
          <w:szCs w:val="16"/>
        </w:rPr>
        <w:t>limite</w:t>
      </w:r>
      <w:proofErr w:type="spellEnd"/>
      <w:r w:rsidRPr="00F14FFE">
        <w:rPr>
          <w:rFonts w:ascii="Arial" w:hAnsi="Arial" w:cs="Arial"/>
          <w:sz w:val="16"/>
          <w:szCs w:val="16"/>
        </w:rPr>
        <w:t xml:space="preserve">: no más del cincuenta por ciento (50%) de su valor inicial, expresado este en salarios mínimos legales mensuales […]».  Concepto 1128 del 26 de agosto de 1998, C.P. César Hoyos Salazar. </w:t>
      </w:r>
    </w:p>
    <w:p w14:paraId="355B38B3" w14:textId="77777777" w:rsidR="007F2FEE" w:rsidRPr="00F14FFE" w:rsidRDefault="007F2FEE" w:rsidP="007F2FEE">
      <w:pPr>
        <w:pStyle w:val="Textonotapie"/>
        <w:ind w:firstLine="708"/>
        <w:rPr>
          <w:sz w:val="16"/>
          <w:szCs w:val="16"/>
        </w:rPr>
      </w:pPr>
      <w:r w:rsidRPr="00F14FFE">
        <w:rPr>
          <w:sz w:val="16"/>
          <w:szCs w:val="16"/>
        </w:rPr>
        <w:t xml:space="preserve">  </w:t>
      </w:r>
    </w:p>
  </w:footnote>
  <w:footnote w:id="7">
    <w:p w14:paraId="079B0000" w14:textId="77777777" w:rsidR="007F2FEE" w:rsidRPr="007F2FEE" w:rsidRDefault="007F2FEE" w:rsidP="007F2FEE">
      <w:pPr>
        <w:pStyle w:val="Textonotapie"/>
        <w:ind w:firstLine="708"/>
        <w:jc w:val="both"/>
        <w:rPr>
          <w:rFonts w:ascii="Arial" w:hAnsi="Arial" w:cs="Arial"/>
          <w:color w:val="000000"/>
          <w:sz w:val="16"/>
          <w:szCs w:val="16"/>
          <w:lang w:val="es-CO"/>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605BB2BA"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Consejo de Estado. Sala de Consulta y Servicio Civil. Concepto del 18 de julio de 2002.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1.439 C.P. Susana Montes Echeverri.</w:t>
      </w:r>
    </w:p>
  </w:footnote>
  <w:footnote w:id="9">
    <w:p w14:paraId="38E46249"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w:t>
      </w:r>
      <w:proofErr w:type="spellStart"/>
      <w:r w:rsidRPr="007F2FEE">
        <w:rPr>
          <w:rFonts w:ascii="Arial" w:hAnsi="Arial" w:cs="Arial"/>
          <w:color w:val="000000"/>
          <w:sz w:val="16"/>
          <w:szCs w:val="16"/>
        </w:rPr>
        <w:t>Ibíd</w:t>
      </w:r>
      <w:proofErr w:type="spellEnd"/>
      <w:r w:rsidRPr="007F2FEE">
        <w:rPr>
          <w:rFonts w:ascii="Arial" w:hAnsi="Arial" w:cs="Arial"/>
          <w:color w:val="000000"/>
          <w:sz w:val="16"/>
          <w:szCs w:val="16"/>
        </w:rPr>
        <w:t xml:space="preserve">. </w:t>
      </w:r>
    </w:p>
    <w:p w14:paraId="2C9B66C2" w14:textId="77777777" w:rsidR="007F2FEE" w:rsidRPr="007F2FEE" w:rsidRDefault="007F2FEE" w:rsidP="007F2FEE">
      <w:pPr>
        <w:pStyle w:val="Textonotapie"/>
        <w:ind w:firstLine="708"/>
        <w:jc w:val="both"/>
        <w:rPr>
          <w:rFonts w:ascii="Arial" w:hAnsi="Arial" w:cs="Arial"/>
          <w:color w:val="000000"/>
          <w:sz w:val="16"/>
          <w:szCs w:val="16"/>
          <w:lang w:val="es-CO"/>
        </w:rPr>
      </w:pPr>
    </w:p>
  </w:footnote>
  <w:footnote w:id="10">
    <w:p w14:paraId="60C1EAF4"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DÁVILA VINUEZA, Luis Guillermo. Régimen jurídico de la contratación estatal. Tercera edición, Bogotá: Legis, 2016, p. 635 y 636.</w:t>
      </w:r>
    </w:p>
  </w:footnote>
  <w:footnote w:id="11">
    <w:p w14:paraId="0A5F819D"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w:t>
      </w:r>
      <w:proofErr w:type="spellStart"/>
      <w:r w:rsidRPr="007F2FEE">
        <w:rPr>
          <w:rFonts w:ascii="Arial" w:hAnsi="Arial" w:cs="Arial"/>
          <w:color w:val="000000"/>
          <w:sz w:val="16"/>
          <w:szCs w:val="16"/>
        </w:rPr>
        <w:t>Ibíd</w:t>
      </w:r>
      <w:proofErr w:type="spellEnd"/>
      <w:r w:rsidRPr="007F2FEE">
        <w:rPr>
          <w:rFonts w:ascii="Arial" w:hAnsi="Arial" w:cs="Arial"/>
          <w:color w:val="000000"/>
          <w:sz w:val="16"/>
          <w:szCs w:val="16"/>
        </w:rPr>
        <w:t>. p. 592</w:t>
      </w:r>
    </w:p>
    <w:p w14:paraId="0CFC17E4" w14:textId="77777777" w:rsidR="007F2FEE" w:rsidRPr="007F2FEE" w:rsidRDefault="007F2FEE" w:rsidP="007F2FEE">
      <w:pPr>
        <w:pStyle w:val="Textonotapie"/>
        <w:ind w:firstLine="708"/>
        <w:jc w:val="both"/>
        <w:rPr>
          <w:rFonts w:ascii="Arial" w:hAnsi="Arial" w:cs="Arial"/>
          <w:color w:val="000000"/>
          <w:sz w:val="16"/>
          <w:szCs w:val="16"/>
        </w:rPr>
      </w:pPr>
    </w:p>
  </w:footnote>
  <w:footnote w:id="12">
    <w:p w14:paraId="3E2D2D9E" w14:textId="77777777" w:rsidR="007F2FEE" w:rsidRPr="007F2FEE" w:rsidRDefault="007F2FEE" w:rsidP="007F2FEE">
      <w:pPr>
        <w:pStyle w:val="Textonotapie"/>
        <w:ind w:firstLine="709"/>
        <w:rPr>
          <w:rFonts w:ascii="Arial" w:hAnsi="Arial" w:cs="Arial"/>
          <w:color w:val="000000"/>
          <w:sz w:val="16"/>
          <w:szCs w:val="16"/>
        </w:rPr>
      </w:pPr>
      <w:r w:rsidRPr="00F14FFE">
        <w:rPr>
          <w:rStyle w:val="Refdenotaalpie"/>
          <w:sz w:val="16"/>
          <w:szCs w:val="16"/>
        </w:rPr>
        <w:footnoteRef/>
      </w:r>
      <w:r w:rsidRPr="00F14FFE">
        <w:rPr>
          <w:sz w:val="16"/>
          <w:szCs w:val="16"/>
        </w:rPr>
        <w:t xml:space="preserve"> </w:t>
      </w:r>
      <w:r w:rsidRPr="007F2FEE">
        <w:rPr>
          <w:rFonts w:ascii="Arial" w:hAnsi="Arial" w:cs="Arial"/>
          <w:color w:val="000000"/>
          <w:sz w:val="16"/>
          <w:szCs w:val="16"/>
        </w:rPr>
        <w:t xml:space="preserve">Cfr. Consejo de Estado. Sección Tercera. Sentencia del 22 de abril de 2004.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xml:space="preserve">. 22.178 y en la Sentencia de la misma Sección del 15 de julio de 2004.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AP-1164-02</w:t>
      </w:r>
    </w:p>
    <w:p w14:paraId="663BCB2E" w14:textId="77777777" w:rsidR="007F2FEE" w:rsidRPr="00F14FFE" w:rsidRDefault="007F2FEE" w:rsidP="007F2FEE">
      <w:pPr>
        <w:pStyle w:val="Textonotapie"/>
        <w:ind w:firstLine="709"/>
        <w:rPr>
          <w:sz w:val="16"/>
          <w:szCs w:val="16"/>
          <w:lang w:val="es-CO"/>
        </w:rPr>
      </w:pPr>
    </w:p>
  </w:footnote>
  <w:footnote w:id="13">
    <w:p w14:paraId="1EEE9A2D"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Concepto del 6 de julio de 2018. Radicación Nro. 2369. C.P.: Osar Darío Amaya Navas. </w:t>
      </w:r>
    </w:p>
    <w:p w14:paraId="429D6A7E" w14:textId="77777777" w:rsidR="007F2FEE" w:rsidRPr="007F2FEE" w:rsidRDefault="007F2FEE" w:rsidP="007F2FEE">
      <w:pPr>
        <w:pStyle w:val="Textonotapie"/>
        <w:ind w:firstLine="708"/>
        <w:jc w:val="both"/>
        <w:rPr>
          <w:rFonts w:ascii="Arial" w:hAnsi="Arial" w:cs="Arial"/>
          <w:color w:val="000000"/>
          <w:sz w:val="16"/>
          <w:szCs w:val="16"/>
        </w:rPr>
      </w:pPr>
    </w:p>
  </w:footnote>
  <w:footnote w:id="14">
    <w:p w14:paraId="2C0B3BD1" w14:textId="77777777" w:rsidR="007F2FEE" w:rsidRPr="007F2FEE" w:rsidRDefault="007F2FEE" w:rsidP="007F2FEE">
      <w:pPr>
        <w:pStyle w:val="Textonotapie"/>
        <w:ind w:firstLine="708"/>
        <w:jc w:val="both"/>
        <w:rPr>
          <w:rFonts w:ascii="Arial" w:hAnsi="Arial" w:cs="Arial"/>
          <w:color w:val="000000"/>
          <w:sz w:val="16"/>
          <w:szCs w:val="16"/>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MARÍN CORTÉS. Fabián G. El precio. Serie: Las Cláusulas del Contrato Estatal. Medellín: Centro de Estudios de Derecho Administrativo </w:t>
      </w:r>
      <w:r w:rsidRPr="007F2FEE">
        <w:rPr>
          <w:rFonts w:ascii="Arial" w:hAnsi="Arial" w:cs="Arial" w:hint="eastAsia"/>
          <w:color w:val="000000"/>
          <w:sz w:val="16"/>
          <w:szCs w:val="16"/>
        </w:rPr>
        <w:t>―</w:t>
      </w:r>
      <w:r w:rsidRPr="007F2FEE">
        <w:rPr>
          <w:rFonts w:ascii="Arial" w:hAnsi="Arial" w:cs="Arial"/>
          <w:color w:val="000000"/>
          <w:sz w:val="16"/>
          <w:szCs w:val="16"/>
        </w:rPr>
        <w:t xml:space="preserve"> CEDA y Librería Jurídica Sánchez, 2012. p. 220 y 221.</w:t>
      </w:r>
    </w:p>
    <w:p w14:paraId="460284D0" w14:textId="77777777" w:rsidR="007F2FEE" w:rsidRPr="007F2FEE" w:rsidRDefault="007F2FEE" w:rsidP="007F2FEE">
      <w:pPr>
        <w:pStyle w:val="Textonotapie"/>
        <w:ind w:firstLine="708"/>
        <w:jc w:val="both"/>
        <w:rPr>
          <w:rFonts w:ascii="Arial" w:hAnsi="Arial" w:cs="Arial"/>
          <w:color w:val="000000"/>
          <w:sz w:val="16"/>
          <w:szCs w:val="16"/>
          <w:lang w:val="es-CO"/>
        </w:rPr>
      </w:pPr>
    </w:p>
  </w:footnote>
  <w:footnote w:id="15">
    <w:p w14:paraId="69ADE8C4" w14:textId="77777777" w:rsidR="007F2FEE" w:rsidRPr="00F14FFE" w:rsidRDefault="007F2FEE" w:rsidP="007F2FEE">
      <w:pPr>
        <w:pStyle w:val="Textonotapie"/>
        <w:ind w:firstLine="709"/>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BENAVIDES, José Luis. Contratos Públicos: Estudios. Primera edición. Bogotá: Universidad Externado de Colombia, 2014. p. 386</w:t>
      </w:r>
    </w:p>
  </w:footnote>
  <w:footnote w:id="16">
    <w:p w14:paraId="4FC792CD" w14:textId="77777777" w:rsidR="007F2FEE" w:rsidRPr="007F2FEE" w:rsidRDefault="007F2FEE" w:rsidP="007F2FEE">
      <w:pPr>
        <w:pStyle w:val="Textonotapie"/>
        <w:ind w:firstLine="708"/>
        <w:jc w:val="both"/>
        <w:rPr>
          <w:rFonts w:ascii="Arial" w:hAnsi="Arial" w:cs="Arial"/>
          <w:color w:val="000000"/>
          <w:sz w:val="16"/>
          <w:szCs w:val="16"/>
          <w:lang w:val="es-CO"/>
        </w:rPr>
      </w:pPr>
      <w:r w:rsidRPr="007F2FEE">
        <w:rPr>
          <w:rStyle w:val="Refdenotaalpie"/>
          <w:rFonts w:ascii="Arial" w:hAnsi="Arial" w:cs="Arial"/>
          <w:color w:val="000000"/>
          <w:sz w:val="16"/>
          <w:szCs w:val="16"/>
        </w:rPr>
        <w:footnoteRef/>
      </w:r>
      <w:r w:rsidRPr="007F2FEE">
        <w:rPr>
          <w:rFonts w:ascii="Arial" w:hAnsi="Arial" w:cs="Arial"/>
          <w:color w:val="000000"/>
          <w:sz w:val="16"/>
          <w:szCs w:val="16"/>
        </w:rPr>
        <w:t xml:space="preserve"> Consejo de Estado. Sección Tercera. Sentencia del 14 de abril de 2010.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36.054. C.P.: Enrique Gil Botero.</w:t>
      </w:r>
    </w:p>
  </w:footnote>
  <w:footnote w:id="17">
    <w:p w14:paraId="01C0B1D9" w14:textId="77777777" w:rsidR="00A072F1" w:rsidRDefault="00A072F1" w:rsidP="007F2FEE">
      <w:pPr>
        <w:pStyle w:val="Textonotapie"/>
        <w:ind w:firstLine="709"/>
        <w:rPr>
          <w:rFonts w:ascii="Arial" w:hAnsi="Arial" w:cs="Arial"/>
          <w:sz w:val="16"/>
          <w:szCs w:val="16"/>
        </w:rPr>
      </w:pPr>
    </w:p>
    <w:p w14:paraId="36579605" w14:textId="28AFF7C3" w:rsidR="007F2FEE" w:rsidRPr="007F2FEE" w:rsidRDefault="007F2FEE" w:rsidP="00DE144A">
      <w:pPr>
        <w:pStyle w:val="Textonotapie"/>
        <w:ind w:firstLine="709"/>
        <w:jc w:val="both"/>
        <w:rPr>
          <w:rFonts w:ascii="Arial" w:hAnsi="Arial" w:cs="Arial"/>
          <w:color w:val="000000"/>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Consejo de Estado. Sección Tercera. Sentencia del 20 de noviembre de 2008.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xml:space="preserve">. 17.031. </w:t>
      </w:r>
      <w:proofErr w:type="gramStart"/>
      <w:r w:rsidRPr="007F2FEE">
        <w:rPr>
          <w:rFonts w:ascii="Arial" w:hAnsi="Arial" w:cs="Arial"/>
          <w:color w:val="000000"/>
          <w:sz w:val="16"/>
          <w:szCs w:val="16"/>
        </w:rPr>
        <w:t>C.P:,</w:t>
      </w:r>
      <w:proofErr w:type="gramEnd"/>
      <w:r w:rsidRPr="007F2FEE">
        <w:rPr>
          <w:rFonts w:ascii="Arial" w:hAnsi="Arial" w:cs="Arial"/>
          <w:color w:val="000000"/>
          <w:sz w:val="16"/>
          <w:szCs w:val="16"/>
        </w:rPr>
        <w:t xml:space="preserve"> Ruth Stella Correa Palacio. Ver también: Consejo de Estado, Sección Tercera, sentencia 18 de septiembre de 2003, </w:t>
      </w:r>
      <w:proofErr w:type="spellStart"/>
      <w:r w:rsidRPr="007F2FEE">
        <w:rPr>
          <w:rFonts w:ascii="Arial" w:hAnsi="Arial" w:cs="Arial"/>
          <w:color w:val="000000"/>
          <w:sz w:val="16"/>
          <w:szCs w:val="16"/>
        </w:rPr>
        <w:t>Exp</w:t>
      </w:r>
      <w:proofErr w:type="spellEnd"/>
      <w:r w:rsidRPr="007F2FEE">
        <w:rPr>
          <w:rFonts w:ascii="Arial" w:hAnsi="Arial" w:cs="Arial"/>
          <w:color w:val="000000"/>
          <w:sz w:val="16"/>
          <w:szCs w:val="16"/>
        </w:rPr>
        <w:t>. 15.119, C.P. Ramiro Saavedra Becerra.</w:t>
      </w:r>
    </w:p>
    <w:p w14:paraId="59230599" w14:textId="77777777" w:rsidR="007F2FEE" w:rsidRPr="00F14FFE" w:rsidRDefault="007F2FEE" w:rsidP="007F2FEE">
      <w:pPr>
        <w:pStyle w:val="Textonotapie"/>
        <w:ind w:firstLine="709"/>
        <w:rPr>
          <w:rFonts w:ascii="Arial" w:hAnsi="Arial" w:cs="Arial"/>
          <w:sz w:val="16"/>
          <w:szCs w:val="16"/>
          <w:lang w:val="es-CO"/>
        </w:rPr>
      </w:pPr>
    </w:p>
  </w:footnote>
  <w:footnote w:id="18">
    <w:p w14:paraId="2F9A98DF" w14:textId="77777777" w:rsidR="007F2FEE" w:rsidRPr="00F14FFE" w:rsidRDefault="007F2FEE" w:rsidP="007F2FEE">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Consejo de Estado. Sección tercera. Sentencia del 9 de julio de 2021. Radicación Nro. 52045.C.P.; Alberto Montaña Plata. Aclaración de voto: Alexander Jojoa Bolaños.</w:t>
      </w:r>
    </w:p>
  </w:footnote>
  <w:footnote w:id="19">
    <w:p w14:paraId="58E77821" w14:textId="77777777" w:rsidR="007F2FEE" w:rsidRPr="00F14FFE" w:rsidRDefault="007F2FEE" w:rsidP="007F2FEE">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BENAVIDES, José Luis. Contratos Públicos: Estudios. Primera edición. Bogotá: Universidad Externado de Colombia, 2014. p. 386</w:t>
      </w:r>
    </w:p>
  </w:footnote>
  <w:footnote w:id="20">
    <w:p w14:paraId="42F87104" w14:textId="77777777" w:rsidR="007F2FEE" w:rsidRPr="00F14FFE" w:rsidRDefault="007F2FEE" w:rsidP="007F2FEE">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El artículo 40 de la Ley 80 de 1993 dispone que los contratos no podrán adicionarse en más del 50% de su valor inicial, expresado en SMLMV.</w:t>
      </w:r>
    </w:p>
    <w:p w14:paraId="501476ED" w14:textId="77777777" w:rsidR="007F2FEE" w:rsidRPr="00F14FFE" w:rsidRDefault="007F2FEE" w:rsidP="007F2FEE">
      <w:pPr>
        <w:pStyle w:val="Textonotapie"/>
        <w:ind w:firstLine="708"/>
        <w:jc w:val="both"/>
        <w:rPr>
          <w:rFonts w:ascii="Arial" w:hAnsi="Arial" w:cs="Arial"/>
          <w:sz w:val="16"/>
          <w:szCs w:val="16"/>
          <w:lang w:val="es-CO"/>
        </w:rPr>
      </w:pPr>
    </w:p>
  </w:footnote>
  <w:footnote w:id="21">
    <w:p w14:paraId="3C233F16" w14:textId="77777777" w:rsidR="007F2FEE" w:rsidRPr="007F2FEE" w:rsidRDefault="007F2FEE" w:rsidP="007F2FEE">
      <w:pPr>
        <w:pStyle w:val="Textonotapie"/>
        <w:ind w:firstLine="708"/>
        <w:jc w:val="both"/>
        <w:rPr>
          <w:rFonts w:ascii="Arial" w:hAnsi="Arial" w:cs="Arial"/>
          <w:color w:val="000000"/>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7F2FEE">
          <w:rPr>
            <w:rFonts w:ascii="Arial" w:hAnsi="Arial" w:cs="Arial"/>
            <w:color w:val="000000"/>
            <w:sz w:val="16"/>
            <w:szCs w:val="16"/>
          </w:rPr>
          <w:t>2007, M</w:t>
        </w:r>
      </w:smartTag>
      <w:r w:rsidRPr="007F2FEE">
        <w:rPr>
          <w:rFonts w:ascii="Arial" w:hAnsi="Arial" w:cs="Arial"/>
          <w:color w:val="000000"/>
          <w:sz w:val="16"/>
          <w:szCs w:val="16"/>
        </w:rPr>
        <w:t>.P. Marco Gerardo Monroy Cabra.</w:t>
      </w:r>
    </w:p>
    <w:p w14:paraId="2F37F26E" w14:textId="77777777" w:rsidR="007F2FEE" w:rsidRPr="00F14FFE" w:rsidRDefault="007F2FEE" w:rsidP="007F2FEE">
      <w:pPr>
        <w:pStyle w:val="Textonotapie"/>
        <w:ind w:firstLine="708"/>
        <w:jc w:val="both"/>
        <w:rPr>
          <w:rFonts w:ascii="Arial" w:hAnsi="Arial" w:cs="Arial"/>
          <w:sz w:val="16"/>
          <w:szCs w:val="16"/>
        </w:rPr>
      </w:pPr>
    </w:p>
  </w:footnote>
  <w:footnote w:id="22">
    <w:p w14:paraId="105C2BB9" w14:textId="77777777" w:rsidR="007F2FEE" w:rsidRPr="00F14FFE" w:rsidRDefault="007F2FEE" w:rsidP="007F2FEE">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M.P. Clara Inés Vargas Hernández.</w:t>
      </w:r>
    </w:p>
    <w:p w14:paraId="3B060FCE" w14:textId="77777777" w:rsidR="007F2FEE" w:rsidRPr="00F14FFE" w:rsidRDefault="007F2FEE" w:rsidP="007F2FEE">
      <w:pPr>
        <w:pStyle w:val="Textonotapie"/>
        <w:ind w:firstLine="708"/>
        <w:jc w:val="both"/>
        <w:rPr>
          <w:rFonts w:ascii="Arial" w:hAnsi="Arial" w:cs="Arial"/>
          <w:sz w:val="16"/>
          <w:szCs w:val="16"/>
        </w:rPr>
      </w:pPr>
    </w:p>
  </w:footnote>
  <w:footnote w:id="23">
    <w:p w14:paraId="72992321" w14:textId="77777777" w:rsidR="007F2FEE" w:rsidRPr="00F14FFE" w:rsidRDefault="007F2FEE" w:rsidP="007F2FEE">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Ver también la sentencia C-068 de </w:t>
      </w:r>
      <w:smartTag w:uri="urn:schemas-microsoft-com:office:smarttags" w:element="metricconverter">
        <w:smartTagPr>
          <w:attr w:name="ProductID" w:val="2009, M"/>
        </w:smartTagPr>
        <w:r w:rsidRPr="007F2FEE">
          <w:rPr>
            <w:rFonts w:ascii="Arial" w:hAnsi="Arial" w:cs="Arial"/>
            <w:color w:val="000000"/>
            <w:sz w:val="16"/>
            <w:szCs w:val="16"/>
          </w:rPr>
          <w:t>2009, M</w:t>
        </w:r>
      </w:smartTag>
      <w:r w:rsidRPr="007F2FEE">
        <w:rPr>
          <w:rFonts w:ascii="Arial" w:hAnsi="Arial" w:cs="Arial"/>
          <w:color w:val="000000"/>
          <w:sz w:val="16"/>
          <w:szCs w:val="16"/>
        </w:rPr>
        <w:t xml:space="preserve">.P. Mauricio González Cuervo, sobre la constitucional de la posibilidad de prorrogar los contratos de concesión portuaria (artículo </w:t>
      </w:r>
      <w:proofErr w:type="gramStart"/>
      <w:r w:rsidRPr="007F2FEE">
        <w:rPr>
          <w:rFonts w:ascii="Arial" w:hAnsi="Arial" w:cs="Arial"/>
          <w:color w:val="000000"/>
          <w:sz w:val="16"/>
          <w:szCs w:val="16"/>
        </w:rPr>
        <w:t>8º  de</w:t>
      </w:r>
      <w:proofErr w:type="gramEnd"/>
      <w:r w:rsidRPr="007F2FEE">
        <w:rPr>
          <w:rFonts w:ascii="Arial" w:hAnsi="Arial" w:cs="Arial"/>
          <w:color w:val="000000"/>
          <w:sz w:val="16"/>
          <w:szCs w:val="16"/>
        </w:rPr>
        <w:t xml:space="preserve"> la ley 1º de 1991).</w:t>
      </w:r>
    </w:p>
  </w:footnote>
  <w:footnote w:id="24">
    <w:p w14:paraId="77E5AC42" w14:textId="77777777" w:rsidR="007F2FEE" w:rsidRPr="00F14FFE" w:rsidRDefault="007F2FEE" w:rsidP="007F2FEE">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Cfr. Consejo de Estado, Sala de Consulta y Servicio Civil, concepto del 13 de agosto de 2009, rad. </w:t>
      </w:r>
      <w:smartTag w:uri="urn:schemas-microsoft-com:office:smarttags" w:element="metricconverter">
        <w:smartTagPr>
          <w:attr w:name="ProductID" w:val="1.952, C"/>
        </w:smartTagPr>
        <w:r w:rsidRPr="007F2FEE">
          <w:rPr>
            <w:rFonts w:ascii="Arial" w:hAnsi="Arial" w:cs="Arial"/>
            <w:color w:val="000000"/>
            <w:sz w:val="16"/>
            <w:szCs w:val="16"/>
          </w:rPr>
          <w:t>1.952, C</w:t>
        </w:r>
      </w:smartTag>
      <w:r w:rsidRPr="007F2FEE">
        <w:rPr>
          <w:rFonts w:ascii="Arial" w:hAnsi="Arial" w:cs="Arial"/>
          <w:color w:val="000000"/>
          <w:sz w:val="16"/>
          <w:szCs w:val="16"/>
        </w:rPr>
        <w:t>.P.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25">
    <w:p w14:paraId="410E692C" w14:textId="77777777" w:rsidR="007F2FEE" w:rsidRPr="00F14FFE" w:rsidRDefault="007F2FEE" w:rsidP="007F2FEE">
      <w:pPr>
        <w:pStyle w:val="Textonotapie"/>
        <w:ind w:firstLine="708"/>
        <w:jc w:val="both"/>
        <w:rPr>
          <w:rFonts w:ascii="Arial" w:hAnsi="Arial" w:cs="Arial"/>
          <w:bCs/>
          <w:iCs/>
          <w:sz w:val="16"/>
          <w:szCs w:val="16"/>
          <w:lang w:val="es-ES_tradnl"/>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p>
    <w:p w14:paraId="60E586F0" w14:textId="77777777" w:rsidR="007F2FEE" w:rsidRPr="00F14FFE" w:rsidRDefault="007F2FEE" w:rsidP="007F2FEE">
      <w:pPr>
        <w:pStyle w:val="Textonotapie"/>
        <w:ind w:firstLine="708"/>
        <w:jc w:val="both"/>
        <w:rPr>
          <w:rFonts w:ascii="Arial" w:hAnsi="Arial" w:cs="Arial"/>
          <w:sz w:val="16"/>
          <w:szCs w:val="16"/>
          <w:lang w:val="es-CO"/>
        </w:rPr>
      </w:pPr>
    </w:p>
  </w:footnote>
  <w:footnote w:id="26">
    <w:p w14:paraId="607689BD" w14:textId="77777777" w:rsidR="007F2FEE" w:rsidRPr="00F14FFE" w:rsidRDefault="007F2FEE" w:rsidP="007F2FEE">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proofErr w:type="spellStart"/>
      <w:r w:rsidRPr="00F14FFE">
        <w:rPr>
          <w:rFonts w:ascii="Arial" w:hAnsi="Arial" w:cs="Arial"/>
          <w:sz w:val="16"/>
          <w:szCs w:val="16"/>
        </w:rPr>
        <w:t>Ibí</w:t>
      </w:r>
      <w:r w:rsidRPr="007F2FEE">
        <w:rPr>
          <w:rFonts w:ascii="Arial" w:hAnsi="Arial" w:cs="Arial"/>
          <w:color w:val="000000"/>
          <w:sz w:val="16"/>
          <w:szCs w:val="16"/>
        </w:rPr>
        <w:t>dem</w:t>
      </w:r>
      <w:proofErr w:type="spellEnd"/>
    </w:p>
  </w:footnote>
  <w:footnote w:id="27">
    <w:p w14:paraId="3E8F0EB9" w14:textId="77777777" w:rsidR="007F2FEE" w:rsidRPr="00F14FFE" w:rsidRDefault="007F2FEE" w:rsidP="007F2FEE">
      <w:pPr>
        <w:pStyle w:val="Textonotapie"/>
        <w:ind w:firstLine="708"/>
        <w:jc w:val="both"/>
        <w:rPr>
          <w:rFonts w:ascii="Arial" w:hAnsi="Arial" w:cs="Arial"/>
          <w:sz w:val="16"/>
          <w:szCs w:val="16"/>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Cfr. DAVILA VINUEZA Luis Guillermo. Régimen Jurídico de la contratación estatal. Bogotá: Editorial Legis, 2001, p. 387.</w:t>
      </w:r>
    </w:p>
    <w:p w14:paraId="11349ABD" w14:textId="77777777" w:rsidR="007F2FEE" w:rsidRPr="00F14FFE" w:rsidRDefault="007F2FEE" w:rsidP="007F2FEE">
      <w:pPr>
        <w:pStyle w:val="Textonotapie"/>
        <w:ind w:firstLine="708"/>
        <w:jc w:val="both"/>
        <w:rPr>
          <w:rFonts w:ascii="Arial" w:hAnsi="Arial" w:cs="Arial"/>
          <w:sz w:val="16"/>
          <w:szCs w:val="16"/>
          <w:lang w:val="es-CO"/>
        </w:rPr>
      </w:pPr>
    </w:p>
  </w:footnote>
  <w:footnote w:id="28">
    <w:p w14:paraId="2A20FBBC" w14:textId="77777777" w:rsidR="007F2FEE" w:rsidRPr="00F14FFE" w:rsidRDefault="007F2FEE" w:rsidP="007F2FEE">
      <w:pPr>
        <w:pStyle w:val="Textonotapie"/>
        <w:ind w:firstLine="708"/>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 xml:space="preserve">Sobre el particular resultan pertinentes las consideraciones efectuadas en el mismo sentido por la Sala de Consulta y Servicio Civil del Consejo de Estado en el concepto del 13 de agosto de 2009, rad. </w:t>
      </w:r>
      <w:smartTag w:uri="urn:schemas-microsoft-com:office:smarttags" w:element="metricconverter">
        <w:smartTagPr>
          <w:attr w:name="ProductID" w:val="1.952, C"/>
        </w:smartTagPr>
        <w:r w:rsidRPr="007F2FEE">
          <w:rPr>
            <w:rFonts w:ascii="Arial" w:hAnsi="Arial" w:cs="Arial"/>
            <w:color w:val="000000"/>
            <w:sz w:val="16"/>
            <w:szCs w:val="16"/>
          </w:rPr>
          <w:t>1.952, C</w:t>
        </w:r>
      </w:smartTag>
      <w:r w:rsidRPr="007F2FEE">
        <w:rPr>
          <w:rFonts w:ascii="Arial" w:hAnsi="Arial" w:cs="Arial"/>
          <w:color w:val="000000"/>
          <w:sz w:val="16"/>
          <w:szCs w:val="16"/>
        </w:rPr>
        <w:t>.P. Enrique José Arboleda Perdomo y por la Corte Constitucional en la sentencia C-300 de 2012.</w:t>
      </w:r>
      <w:r w:rsidRPr="00F14FFE">
        <w:rPr>
          <w:rFonts w:ascii="Arial" w:eastAsia="Times New Roman" w:hAnsi="Arial" w:cs="Arial"/>
          <w:bCs/>
          <w:sz w:val="16"/>
          <w:szCs w:val="16"/>
          <w:lang w:val="es-ES" w:eastAsia="es-ES"/>
        </w:rPr>
        <w:t xml:space="preserve"> </w:t>
      </w:r>
    </w:p>
  </w:footnote>
  <w:footnote w:id="29">
    <w:p w14:paraId="4E66222E" w14:textId="77777777" w:rsidR="007F2FEE" w:rsidRPr="00F14FFE" w:rsidRDefault="007F2FEE" w:rsidP="007F2FEE">
      <w:pPr>
        <w:pStyle w:val="Textonotapie"/>
        <w:ind w:firstLine="709"/>
        <w:jc w:val="both"/>
        <w:rPr>
          <w:rFonts w:ascii="Arial" w:hAnsi="Arial" w:cs="Arial"/>
          <w:sz w:val="16"/>
          <w:szCs w:val="16"/>
          <w:lang w:val="es-CO"/>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7F2FEE">
        <w:rPr>
          <w:rFonts w:ascii="Arial" w:hAnsi="Arial" w:cs="Arial"/>
          <w:color w:val="000000"/>
          <w:sz w:val="16"/>
          <w:szCs w:val="16"/>
        </w:rPr>
        <w:t>En efecto, en el numeral 67 de la sentencia se indica que «El 25 de febrero de 2022, se presentó informe a la Sala Plena de la Corte Constitucional, para que decidiera si asumía o no el conocimiento del proceso. Esto, habida cuenta que (i) se trata de una tutela que busca dejar sin efectos una sentencia de la Sala de Casación Penal de la Corte Suprema de Justicia; y que (</w:t>
      </w:r>
      <w:proofErr w:type="spellStart"/>
      <w:r w:rsidRPr="007F2FEE">
        <w:rPr>
          <w:rFonts w:ascii="Arial" w:hAnsi="Arial" w:cs="Arial"/>
          <w:color w:val="000000"/>
          <w:sz w:val="16"/>
          <w:szCs w:val="16"/>
        </w:rPr>
        <w:t>ii</w:t>
      </w:r>
      <w:proofErr w:type="spellEnd"/>
      <w:r w:rsidRPr="007F2FEE">
        <w:rPr>
          <w:rFonts w:ascii="Arial" w:hAnsi="Arial" w:cs="Arial"/>
          <w:color w:val="000000"/>
          <w:sz w:val="16"/>
          <w:szCs w:val="16"/>
        </w:rPr>
        <w:t>) podría exigir de una sentencia de unificación para decidir sobre la posible configuración del defecto que el apoderado del accionante denominó “violación directa de la Constitución por desconocimiento del principio de interpretación conforme a la Constitución”, puesto que en la jurisprudencia de las Cortes existe disparidad de criterios sobre el contenido y alcance de una adición contractual en los términos del parágrafo del artículo 40 de la Ley 80 de 1993».</w:t>
      </w:r>
    </w:p>
  </w:footnote>
  <w:footnote w:id="30">
    <w:p w14:paraId="3F3A121B" w14:textId="77777777" w:rsidR="007F2FEE" w:rsidRPr="00F14FFE" w:rsidRDefault="007F2FEE" w:rsidP="007F2FEE">
      <w:pPr>
        <w:pStyle w:val="Textonotapie"/>
        <w:ind w:firstLine="708"/>
        <w:jc w:val="both"/>
        <w:rPr>
          <w:rFonts w:ascii="Arial" w:hAnsi="Arial" w:cs="Arial"/>
          <w:sz w:val="16"/>
          <w:szCs w:val="16"/>
          <w:lang w:val="es-ES"/>
        </w:rPr>
      </w:pPr>
      <w:r w:rsidRPr="00F14FFE">
        <w:rPr>
          <w:rStyle w:val="Refdenotaalpie"/>
          <w:rFonts w:ascii="Arial" w:hAnsi="Arial" w:cs="Arial"/>
          <w:sz w:val="16"/>
          <w:szCs w:val="16"/>
        </w:rPr>
        <w:footnoteRef/>
      </w:r>
      <w:r w:rsidRPr="00F14FFE">
        <w:rPr>
          <w:rFonts w:ascii="Arial" w:hAnsi="Arial" w:cs="Arial"/>
          <w:sz w:val="16"/>
          <w:szCs w:val="16"/>
        </w:rPr>
        <w:t xml:space="preserve"> </w:t>
      </w:r>
      <w:r w:rsidRPr="00F14FFE">
        <w:rPr>
          <w:rFonts w:ascii="Arial" w:hAnsi="Arial" w:cs="Arial"/>
          <w:sz w:val="16"/>
          <w:szCs w:val="16"/>
          <w:lang w:val="es-ES"/>
        </w:rPr>
        <w:t xml:space="preserve">MATALLANA CAMACHO, Ernesto. Manual de contratación de la administración pública: reforma de la Ley 80 de 1993. 4ª edición. Bogotá: Universidad Externado de Colombia, 2015. p. 971 </w:t>
      </w:r>
    </w:p>
    <w:p w14:paraId="31D57605" w14:textId="77777777" w:rsidR="007F2FEE" w:rsidRPr="00F14FFE" w:rsidRDefault="007F2FEE" w:rsidP="007F2FEE">
      <w:pPr>
        <w:pStyle w:val="Textonotapie"/>
        <w:ind w:firstLine="708"/>
        <w:rPr>
          <w:rFonts w:ascii="Arial" w:hAnsi="Arial" w:cs="Arial"/>
          <w:sz w:val="16"/>
          <w:szCs w:val="16"/>
          <w:lang w:val="es-ES"/>
        </w:rPr>
      </w:pPr>
    </w:p>
  </w:footnote>
  <w:footnote w:id="31">
    <w:p w14:paraId="651D59FB" w14:textId="77777777" w:rsidR="007F2FEE" w:rsidRDefault="007F2FEE" w:rsidP="007F2FEE">
      <w:pPr>
        <w:pStyle w:val="Textonotapie"/>
        <w:ind w:firstLine="709"/>
        <w:rPr>
          <w:rFonts w:ascii="Arial" w:hAnsi="Arial" w:cs="Arial"/>
          <w:color w:val="000000"/>
          <w:sz w:val="16"/>
          <w:szCs w:val="16"/>
        </w:rPr>
      </w:pPr>
      <w:r w:rsidRPr="00F14FFE">
        <w:rPr>
          <w:rStyle w:val="Refdenotaalpie"/>
          <w:sz w:val="16"/>
          <w:szCs w:val="16"/>
        </w:rPr>
        <w:footnoteRef/>
      </w:r>
      <w:r w:rsidRPr="00F14FFE">
        <w:rPr>
          <w:sz w:val="16"/>
          <w:szCs w:val="16"/>
        </w:rPr>
        <w:t xml:space="preserve"> </w:t>
      </w:r>
      <w:r w:rsidRPr="007F2FEE">
        <w:rPr>
          <w:rFonts w:ascii="Arial" w:hAnsi="Arial" w:cs="Arial"/>
          <w:color w:val="000000"/>
          <w:sz w:val="16"/>
          <w:szCs w:val="16"/>
        </w:rPr>
        <w:t>Concepto del 6 de julio de 2018. Radicación Nro. 2369. C.P.: Osar Darío Amaya Navas.</w:t>
      </w:r>
    </w:p>
    <w:p w14:paraId="1FAAFAC0" w14:textId="77777777" w:rsidR="007F2FEE" w:rsidRPr="007F2FEE" w:rsidRDefault="007F2FEE" w:rsidP="007F2FEE">
      <w:pPr>
        <w:pStyle w:val="Textonotapie"/>
        <w:ind w:firstLine="709"/>
        <w:rPr>
          <w:rFonts w:ascii="Arial" w:hAnsi="Arial" w:cs="Arial"/>
          <w:color w:val="000000"/>
          <w:sz w:val="16"/>
          <w:szCs w:val="16"/>
        </w:rPr>
      </w:pPr>
    </w:p>
  </w:footnote>
  <w:footnote w:id="32">
    <w:p w14:paraId="3211ECEB" w14:textId="77777777" w:rsidR="007F2FEE" w:rsidRPr="007F2FEE" w:rsidRDefault="007F2FEE" w:rsidP="007F2FEE">
      <w:pPr>
        <w:pStyle w:val="Textonotapie"/>
        <w:ind w:firstLine="709"/>
        <w:jc w:val="both"/>
        <w:rPr>
          <w:rFonts w:ascii="Arial" w:hAnsi="Arial" w:cs="Arial"/>
          <w:color w:val="000000"/>
          <w:sz w:val="16"/>
          <w:szCs w:val="16"/>
        </w:rPr>
      </w:pPr>
      <w:r w:rsidRPr="00F14FFE">
        <w:rPr>
          <w:rStyle w:val="Refdenotaalpie"/>
          <w:sz w:val="16"/>
          <w:szCs w:val="16"/>
        </w:rPr>
        <w:footnoteRef/>
      </w:r>
      <w:r w:rsidRPr="00F14FFE">
        <w:rPr>
          <w:sz w:val="16"/>
          <w:szCs w:val="16"/>
        </w:rPr>
        <w:t xml:space="preserve"> </w:t>
      </w:r>
      <w:r w:rsidRPr="007F2FEE">
        <w:rPr>
          <w:rFonts w:ascii="Arial" w:hAnsi="Arial" w:cs="Arial"/>
          <w:color w:val="000000"/>
          <w:sz w:val="16"/>
          <w:szCs w:val="16"/>
        </w:rPr>
        <w:t>BENAVIDES, José Luis. Contratos Públicos: Estudios. Primera edición. Bogotá: Universidad Externado de Colombia, 2014. p. 362</w:t>
      </w:r>
    </w:p>
    <w:p w14:paraId="74BABB13" w14:textId="77777777" w:rsidR="007F2FEE" w:rsidRPr="00F14FFE" w:rsidRDefault="007F2FEE" w:rsidP="007F2FEE">
      <w:pPr>
        <w:pStyle w:val="Textonotapie"/>
        <w:ind w:firstLine="709"/>
        <w:jc w:val="both"/>
        <w:rPr>
          <w:sz w:val="16"/>
          <w:szCs w:val="16"/>
          <w:lang w:val="es-CO"/>
        </w:rPr>
      </w:pPr>
    </w:p>
  </w:footnote>
  <w:footnote w:id="33">
    <w:p w14:paraId="3AA7C196" w14:textId="77777777" w:rsidR="007F2FEE" w:rsidRPr="00F14FFE" w:rsidRDefault="007F2FEE" w:rsidP="007F2FEE">
      <w:pPr>
        <w:pStyle w:val="Textonotapie"/>
        <w:ind w:firstLine="709"/>
        <w:rPr>
          <w:sz w:val="16"/>
          <w:szCs w:val="16"/>
          <w:lang w:val="es-CO"/>
        </w:rPr>
      </w:pPr>
      <w:r w:rsidRPr="00F14FFE">
        <w:rPr>
          <w:rStyle w:val="Refdenotaalpie"/>
          <w:sz w:val="16"/>
          <w:szCs w:val="16"/>
        </w:rPr>
        <w:footnoteRef/>
      </w:r>
      <w:r w:rsidRPr="00F14FFE">
        <w:rPr>
          <w:sz w:val="16"/>
          <w:szCs w:val="16"/>
        </w:rPr>
        <w:t xml:space="preserve"> </w:t>
      </w:r>
      <w:proofErr w:type="spellStart"/>
      <w:r w:rsidRPr="007F2FEE">
        <w:rPr>
          <w:rFonts w:ascii="Arial" w:hAnsi="Arial" w:cs="Arial"/>
          <w:color w:val="000000"/>
          <w:sz w:val="16"/>
          <w:szCs w:val="16"/>
        </w:rPr>
        <w:t>Ibíd</w:t>
      </w:r>
      <w:proofErr w:type="spellEnd"/>
      <w:r w:rsidRPr="007F2FEE">
        <w:rPr>
          <w:rFonts w:ascii="Arial" w:hAnsi="Arial" w:cs="Arial"/>
          <w:color w:val="000000"/>
          <w:sz w:val="16"/>
          <w:szCs w:val="16"/>
        </w:rPr>
        <w:t>. P. 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66297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0AC1"/>
    <w:rsid w:val="00083334"/>
    <w:rsid w:val="000956CF"/>
    <w:rsid w:val="000A683E"/>
    <w:rsid w:val="0011595A"/>
    <w:rsid w:val="001220C5"/>
    <w:rsid w:val="001267F7"/>
    <w:rsid w:val="00127233"/>
    <w:rsid w:val="00130999"/>
    <w:rsid w:val="00164D81"/>
    <w:rsid w:val="001A1011"/>
    <w:rsid w:val="001A48D0"/>
    <w:rsid w:val="00222E2D"/>
    <w:rsid w:val="002653C1"/>
    <w:rsid w:val="0026611D"/>
    <w:rsid w:val="00290AA8"/>
    <w:rsid w:val="002951A0"/>
    <w:rsid w:val="002A64FD"/>
    <w:rsid w:val="002D7D4E"/>
    <w:rsid w:val="002E7ABC"/>
    <w:rsid w:val="002F0839"/>
    <w:rsid w:val="00301469"/>
    <w:rsid w:val="00306EE1"/>
    <w:rsid w:val="00310B9B"/>
    <w:rsid w:val="0036461C"/>
    <w:rsid w:val="00367884"/>
    <w:rsid w:val="00387C60"/>
    <w:rsid w:val="0039439C"/>
    <w:rsid w:val="003B69E7"/>
    <w:rsid w:val="003C013B"/>
    <w:rsid w:val="003D0F4D"/>
    <w:rsid w:val="003F58A1"/>
    <w:rsid w:val="00410DD6"/>
    <w:rsid w:val="004134C9"/>
    <w:rsid w:val="0043138C"/>
    <w:rsid w:val="004568D7"/>
    <w:rsid w:val="004577FC"/>
    <w:rsid w:val="00462A59"/>
    <w:rsid w:val="00492D43"/>
    <w:rsid w:val="004A1847"/>
    <w:rsid w:val="004B6B0E"/>
    <w:rsid w:val="004D25B3"/>
    <w:rsid w:val="00511405"/>
    <w:rsid w:val="00526E9D"/>
    <w:rsid w:val="00526F42"/>
    <w:rsid w:val="00547856"/>
    <w:rsid w:val="00547A74"/>
    <w:rsid w:val="005566E8"/>
    <w:rsid w:val="005746AB"/>
    <w:rsid w:val="0059357F"/>
    <w:rsid w:val="005A1130"/>
    <w:rsid w:val="005A4A5D"/>
    <w:rsid w:val="005B0DE9"/>
    <w:rsid w:val="005D65C8"/>
    <w:rsid w:val="006219F8"/>
    <w:rsid w:val="00681FDB"/>
    <w:rsid w:val="006A7DAD"/>
    <w:rsid w:val="006D70BA"/>
    <w:rsid w:val="007566FE"/>
    <w:rsid w:val="0076726F"/>
    <w:rsid w:val="0077144B"/>
    <w:rsid w:val="00793403"/>
    <w:rsid w:val="007C0CDF"/>
    <w:rsid w:val="007E2A2F"/>
    <w:rsid w:val="007F2B7C"/>
    <w:rsid w:val="007F2FEE"/>
    <w:rsid w:val="00811651"/>
    <w:rsid w:val="00820F5B"/>
    <w:rsid w:val="00833452"/>
    <w:rsid w:val="008614E5"/>
    <w:rsid w:val="008678EB"/>
    <w:rsid w:val="00875894"/>
    <w:rsid w:val="00881C10"/>
    <w:rsid w:val="00890411"/>
    <w:rsid w:val="008B0CD2"/>
    <w:rsid w:val="008D5C70"/>
    <w:rsid w:val="009025AF"/>
    <w:rsid w:val="00904F23"/>
    <w:rsid w:val="00906B3C"/>
    <w:rsid w:val="0095342C"/>
    <w:rsid w:val="00957296"/>
    <w:rsid w:val="009F33F2"/>
    <w:rsid w:val="009F6C77"/>
    <w:rsid w:val="00A072F1"/>
    <w:rsid w:val="00A07532"/>
    <w:rsid w:val="00A1085C"/>
    <w:rsid w:val="00A309E2"/>
    <w:rsid w:val="00A373B5"/>
    <w:rsid w:val="00A6768A"/>
    <w:rsid w:val="00A8066E"/>
    <w:rsid w:val="00A92C47"/>
    <w:rsid w:val="00AA4B8A"/>
    <w:rsid w:val="00AA6BF7"/>
    <w:rsid w:val="00AC2945"/>
    <w:rsid w:val="00B01ED6"/>
    <w:rsid w:val="00B06D09"/>
    <w:rsid w:val="00B14D6D"/>
    <w:rsid w:val="00B4065C"/>
    <w:rsid w:val="00B771A9"/>
    <w:rsid w:val="00B809BB"/>
    <w:rsid w:val="00B8248A"/>
    <w:rsid w:val="00BB7726"/>
    <w:rsid w:val="00BD3C77"/>
    <w:rsid w:val="00BF5518"/>
    <w:rsid w:val="00C2329E"/>
    <w:rsid w:val="00C30461"/>
    <w:rsid w:val="00C754BE"/>
    <w:rsid w:val="00C87572"/>
    <w:rsid w:val="00C9405D"/>
    <w:rsid w:val="00CC1B26"/>
    <w:rsid w:val="00CD284F"/>
    <w:rsid w:val="00CF23AA"/>
    <w:rsid w:val="00D01921"/>
    <w:rsid w:val="00D17EFA"/>
    <w:rsid w:val="00D37107"/>
    <w:rsid w:val="00D752B7"/>
    <w:rsid w:val="00DA1854"/>
    <w:rsid w:val="00DB0887"/>
    <w:rsid w:val="00DE144A"/>
    <w:rsid w:val="00DF1E43"/>
    <w:rsid w:val="00E20894"/>
    <w:rsid w:val="00E26B7C"/>
    <w:rsid w:val="00EA3003"/>
    <w:rsid w:val="00EA4CD4"/>
    <w:rsid w:val="00EB3C91"/>
    <w:rsid w:val="00EB66DA"/>
    <w:rsid w:val="00F605F2"/>
    <w:rsid w:val="00F76AFC"/>
    <w:rsid w:val="00F8319B"/>
    <w:rsid w:val="00FA5516"/>
    <w:rsid w:val="00FD6F73"/>
    <w:rsid w:val="04FEAEF9"/>
    <w:rsid w:val="1CC63BF5"/>
    <w:rsid w:val="284078EE"/>
    <w:rsid w:val="2A579966"/>
    <w:rsid w:val="2F9951DC"/>
    <w:rsid w:val="35B67537"/>
    <w:rsid w:val="3E8D4F0B"/>
    <w:rsid w:val="3EA2D60F"/>
    <w:rsid w:val="4F6ED40C"/>
    <w:rsid w:val="57B0E0D8"/>
    <w:rsid w:val="64F5709F"/>
    <w:rsid w:val="6B8BD3AC"/>
    <w:rsid w:val="766481DB"/>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7F2FE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D444F986-1641-4169-96EE-6B6DA709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10747</Words>
  <Characters>59113</Characters>
  <Application>Microsoft Office Word</Application>
  <DocSecurity>0</DocSecurity>
  <Lines>492</Lines>
  <Paragraphs>139</Paragraphs>
  <ScaleCrop>false</ScaleCrop>
  <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5</cp:revision>
  <dcterms:created xsi:type="dcterms:W3CDTF">2023-01-28T00:07:00Z</dcterms:created>
  <dcterms:modified xsi:type="dcterms:W3CDTF">2023-07-12T18:22:00Z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