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3806" w14:textId="40ADC4DB" w:rsidR="006219F8" w:rsidRPr="007566FE" w:rsidRDefault="006219F8" w:rsidP="00526E9D">
      <w:pPr>
        <w:rPr>
          <w:rFonts w:ascii="Arial Nova" w:hAnsi="Arial Nova"/>
          <w:color w:val="000000" w:themeColor="text1"/>
        </w:rPr>
      </w:pPr>
    </w:p>
    <w:p w14:paraId="668496EF" w14:textId="77777777" w:rsidR="00D43FFE" w:rsidRPr="00C513A4" w:rsidRDefault="00D43FFE" w:rsidP="00D43FFE">
      <w:pPr>
        <w:spacing w:after="0" w:line="240" w:lineRule="auto"/>
        <w:jc w:val="both"/>
        <w:rPr>
          <w:rFonts w:ascii="Arial" w:eastAsia="Calibri" w:hAnsi="Arial" w:cs="Arial"/>
          <w:b/>
          <w:bCs/>
          <w:color w:val="000000" w:themeColor="text1"/>
          <w:lang w:val="es-ES_tradnl"/>
        </w:rPr>
      </w:pPr>
      <w:bookmarkStart w:id="0" w:name="_Hlk94281581"/>
      <w:bookmarkStart w:id="1" w:name="_Hlk102489058"/>
      <w:bookmarkStart w:id="2" w:name="_Hlk34951122"/>
      <w:r w:rsidRPr="007F16DE">
        <w:rPr>
          <w:rFonts w:ascii="Arial" w:eastAsia="Calibri" w:hAnsi="Arial" w:cs="Arial"/>
          <w:b/>
          <w:bCs/>
          <w:color w:val="000000" w:themeColor="text1"/>
          <w:lang w:val="es-ES_tradnl"/>
        </w:rPr>
        <w:t>REGISTRO ÚNICO DE PROPONENTES – Concepto</w:t>
      </w:r>
    </w:p>
    <w:p w14:paraId="079F2D9D" w14:textId="77777777" w:rsidR="00D43FFE" w:rsidRDefault="00D43FFE" w:rsidP="00D43FFE">
      <w:pPr>
        <w:spacing w:after="0" w:line="240" w:lineRule="auto"/>
        <w:jc w:val="both"/>
        <w:rPr>
          <w:rFonts w:ascii="Arial" w:eastAsia="Calibri" w:hAnsi="Arial" w:cs="Arial"/>
          <w:bCs/>
          <w:color w:val="000000" w:themeColor="text1"/>
          <w:sz w:val="20"/>
          <w:szCs w:val="20"/>
          <w:lang w:val="es-ES"/>
        </w:rPr>
      </w:pPr>
    </w:p>
    <w:p w14:paraId="00A58AE6" w14:textId="77777777" w:rsidR="00D43FFE" w:rsidRPr="00C513A4" w:rsidRDefault="00D43FFE" w:rsidP="00D43FFE">
      <w:pPr>
        <w:spacing w:after="0" w:line="240" w:lineRule="auto"/>
        <w:jc w:val="both"/>
        <w:rPr>
          <w:rFonts w:ascii="Arial" w:eastAsia="Calibri" w:hAnsi="Arial" w:cs="Arial"/>
          <w:b/>
          <w:bCs/>
          <w:color w:val="000000" w:themeColor="text1"/>
          <w:sz w:val="20"/>
          <w:szCs w:val="20"/>
          <w:lang w:val="es-MX"/>
        </w:rPr>
      </w:pPr>
      <w:r w:rsidRPr="00C513A4">
        <w:rPr>
          <w:rFonts w:ascii="Arial" w:eastAsia="Calibri" w:hAnsi="Arial" w:cs="Arial"/>
          <w:bCs/>
          <w:color w:val="000000" w:themeColor="text1"/>
          <w:sz w:val="20"/>
          <w:szCs w:val="20"/>
        </w:rPr>
        <w:t>El Registro Único de Proponentes (en adelante RUP)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p>
    <w:p w14:paraId="69CE4922" w14:textId="77777777" w:rsidR="00D43FFE" w:rsidRPr="00C513A4" w:rsidRDefault="00D43FFE" w:rsidP="00D43FFE">
      <w:pPr>
        <w:spacing w:after="0" w:line="240" w:lineRule="auto"/>
        <w:jc w:val="both"/>
        <w:rPr>
          <w:rFonts w:ascii="Arial" w:eastAsia="Calibri" w:hAnsi="Arial" w:cs="Arial"/>
          <w:b/>
          <w:bCs/>
          <w:color w:val="000000" w:themeColor="text1"/>
          <w:sz w:val="20"/>
          <w:szCs w:val="20"/>
          <w:lang w:val="es-MX"/>
        </w:rPr>
      </w:pPr>
    </w:p>
    <w:p w14:paraId="29D8844E" w14:textId="77777777" w:rsidR="00D43FFE" w:rsidRPr="00C513A4" w:rsidRDefault="00D43FFE" w:rsidP="00D43FFE">
      <w:pPr>
        <w:spacing w:after="0" w:line="240" w:lineRule="auto"/>
        <w:jc w:val="both"/>
        <w:rPr>
          <w:rFonts w:ascii="Arial" w:eastAsia="Calibri" w:hAnsi="Arial" w:cs="Arial"/>
          <w:bCs/>
          <w:color w:val="000000" w:themeColor="text1"/>
          <w:sz w:val="20"/>
          <w:szCs w:val="20"/>
        </w:rPr>
      </w:pPr>
      <w:r w:rsidRPr="00C513A4">
        <w:rPr>
          <w:rFonts w:ascii="Arial" w:eastAsia="Calibri" w:hAnsi="Arial" w:cs="Arial"/>
          <w:bCs/>
          <w:color w:val="000000" w:themeColor="text1"/>
          <w:sz w:val="20"/>
          <w:szCs w:val="20"/>
        </w:rPr>
        <w:t>El artículo 6.1 de la Ley 1150 de 2007 dispone que el RUP es plena prueba de la información que contiene.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w:t>
      </w:r>
    </w:p>
    <w:p w14:paraId="7258794D" w14:textId="77777777" w:rsidR="00D43FFE" w:rsidRPr="00504597" w:rsidRDefault="00D43FFE" w:rsidP="00D43FFE">
      <w:pPr>
        <w:spacing w:after="0" w:line="240" w:lineRule="auto"/>
        <w:jc w:val="both"/>
        <w:rPr>
          <w:rFonts w:ascii="Arial" w:eastAsia="Calibri" w:hAnsi="Arial" w:cs="Arial"/>
          <w:bCs/>
          <w:color w:val="000000" w:themeColor="text1"/>
          <w:sz w:val="20"/>
          <w:szCs w:val="20"/>
          <w:lang w:val="es-ES"/>
        </w:rPr>
      </w:pPr>
      <w:r w:rsidRPr="00504597">
        <w:rPr>
          <w:rFonts w:ascii="Arial" w:eastAsia="Calibri" w:hAnsi="Arial" w:cs="Arial"/>
          <w:bCs/>
          <w:color w:val="000000" w:themeColor="text1"/>
          <w:sz w:val="20"/>
          <w:szCs w:val="20"/>
          <w:lang w:val="es-ES"/>
        </w:rPr>
        <w:t xml:space="preserve"> </w:t>
      </w:r>
    </w:p>
    <w:p w14:paraId="47327E6D" w14:textId="77777777" w:rsidR="00D43FFE" w:rsidRPr="00C513A4" w:rsidRDefault="00D43FFE" w:rsidP="00D43FFE">
      <w:pPr>
        <w:spacing w:after="0" w:line="240" w:lineRule="auto"/>
        <w:jc w:val="both"/>
        <w:rPr>
          <w:rFonts w:ascii="Arial" w:eastAsia="Calibri" w:hAnsi="Arial" w:cs="Arial"/>
          <w:b/>
          <w:bCs/>
          <w:color w:val="000000" w:themeColor="text1"/>
          <w:lang w:val="es-ES_tradnl"/>
        </w:rPr>
      </w:pPr>
      <w:r w:rsidRPr="007F16DE">
        <w:rPr>
          <w:rFonts w:ascii="Arial" w:eastAsia="Calibri" w:hAnsi="Arial" w:cs="Arial"/>
          <w:b/>
          <w:bCs/>
          <w:color w:val="000000" w:themeColor="text1"/>
          <w:lang w:val="es-ES_tradnl"/>
        </w:rPr>
        <w:t>RUP</w:t>
      </w:r>
      <w:r>
        <w:rPr>
          <w:rFonts w:ascii="Arial" w:eastAsia="Calibri" w:hAnsi="Arial" w:cs="Arial"/>
          <w:b/>
          <w:bCs/>
          <w:color w:val="000000" w:themeColor="text1"/>
          <w:lang w:val="es-ES_tradnl"/>
        </w:rPr>
        <w:t xml:space="preserve"> </w:t>
      </w:r>
      <w:r w:rsidRPr="00C513A4">
        <w:rPr>
          <w:rFonts w:ascii="Arial" w:eastAsia="Calibri" w:hAnsi="Arial" w:cs="Arial"/>
          <w:b/>
          <w:bCs/>
          <w:color w:val="000000" w:themeColor="text1"/>
          <w:lang w:val="es-ES_tradnl"/>
        </w:rPr>
        <w:t>– Sujetos obligados</w:t>
      </w:r>
    </w:p>
    <w:p w14:paraId="7728F462" w14:textId="77777777" w:rsidR="00D43FFE" w:rsidRPr="00504597" w:rsidRDefault="00D43FFE" w:rsidP="00D43FFE">
      <w:pPr>
        <w:spacing w:after="0" w:line="240" w:lineRule="auto"/>
        <w:jc w:val="both"/>
        <w:rPr>
          <w:rFonts w:ascii="Arial" w:eastAsia="Calibri" w:hAnsi="Arial" w:cs="Arial"/>
          <w:b/>
          <w:bCs/>
          <w:color w:val="000000" w:themeColor="text1"/>
          <w:sz w:val="20"/>
          <w:szCs w:val="20"/>
          <w:lang w:val="es-ES"/>
        </w:rPr>
      </w:pPr>
    </w:p>
    <w:p w14:paraId="79345D2B" w14:textId="77777777" w:rsidR="00D43FFE" w:rsidRPr="00C513A4" w:rsidRDefault="00D43FFE" w:rsidP="00D43FFE">
      <w:pPr>
        <w:spacing w:after="0" w:line="240" w:lineRule="auto"/>
        <w:jc w:val="both"/>
        <w:rPr>
          <w:rFonts w:ascii="Arial" w:eastAsia="Calibri" w:hAnsi="Arial" w:cs="Arial"/>
          <w:b/>
          <w:color w:val="000000" w:themeColor="text1"/>
          <w:sz w:val="20"/>
          <w:szCs w:val="20"/>
          <w:lang w:val="es-ES"/>
        </w:rPr>
      </w:pPr>
      <w:r w:rsidRPr="00C513A4">
        <w:rPr>
          <w:rFonts w:ascii="Arial" w:eastAsia="Calibri" w:hAnsi="Arial" w:cs="Arial"/>
          <w:color w:val="000000" w:themeColor="text1"/>
          <w:sz w:val="20"/>
          <w:szCs w:val="20"/>
        </w:rPr>
        <w:t>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68E72757" w14:textId="77777777" w:rsidR="00D43FFE" w:rsidRPr="00504597" w:rsidRDefault="00D43FFE" w:rsidP="00D43FFE">
      <w:pPr>
        <w:spacing w:after="0" w:line="240" w:lineRule="auto"/>
        <w:jc w:val="both"/>
        <w:rPr>
          <w:rFonts w:ascii="Arial" w:eastAsia="Calibri" w:hAnsi="Arial" w:cs="Arial"/>
          <w:b/>
          <w:bCs/>
          <w:color w:val="000000" w:themeColor="text1"/>
          <w:sz w:val="20"/>
          <w:szCs w:val="20"/>
          <w:lang w:val="es-ES"/>
        </w:rPr>
      </w:pPr>
    </w:p>
    <w:p w14:paraId="06DD2407" w14:textId="77777777" w:rsidR="00D43FFE" w:rsidRPr="005C4CC9" w:rsidRDefault="00D43FFE" w:rsidP="00D43FFE">
      <w:pPr>
        <w:spacing w:after="0" w:line="240" w:lineRule="auto"/>
        <w:jc w:val="both"/>
        <w:rPr>
          <w:rFonts w:ascii="Arial" w:eastAsia="Calibri" w:hAnsi="Arial" w:cs="Arial"/>
          <w:b/>
          <w:szCs w:val="24"/>
          <w:lang w:val="es-ES_tradnl" w:eastAsia="es-ES_tradnl"/>
        </w:rPr>
      </w:pPr>
      <w:r w:rsidRPr="005C4CC9">
        <w:rPr>
          <w:rFonts w:ascii="Arial" w:eastAsia="Calibri" w:hAnsi="Arial" w:cs="Arial"/>
          <w:b/>
          <w:szCs w:val="24"/>
          <w:lang w:val="es-ES_tradnl" w:eastAsia="es-ES_tradnl"/>
        </w:rPr>
        <w:t>CONCURSO DE MÉRITOS – Concepto – Modalidades</w:t>
      </w:r>
    </w:p>
    <w:p w14:paraId="6CBBD7D6" w14:textId="77777777" w:rsidR="00D43FFE" w:rsidRPr="005C4CC9" w:rsidRDefault="00D43FFE" w:rsidP="00D43FFE">
      <w:pPr>
        <w:spacing w:after="0" w:line="240" w:lineRule="auto"/>
        <w:jc w:val="both"/>
        <w:rPr>
          <w:rFonts w:ascii="Arial" w:eastAsia="Calibri" w:hAnsi="Arial" w:cs="Arial"/>
          <w:b/>
          <w:szCs w:val="24"/>
          <w:lang w:val="es-ES_tradnl" w:eastAsia="es-ES_tradnl"/>
        </w:rPr>
      </w:pPr>
    </w:p>
    <w:p w14:paraId="7D542EE4" w14:textId="77777777" w:rsidR="00D43FFE" w:rsidRPr="005C4CC9" w:rsidRDefault="00D43FFE" w:rsidP="00D43FFE">
      <w:pPr>
        <w:spacing w:after="0" w:line="240" w:lineRule="auto"/>
        <w:jc w:val="both"/>
        <w:rPr>
          <w:rFonts w:ascii="Arial" w:eastAsia="Times New Roman" w:hAnsi="Arial" w:cs="Arial"/>
          <w:color w:val="000000"/>
          <w:sz w:val="20"/>
          <w:szCs w:val="20"/>
          <w:lang w:val="es-ES_tradnl" w:eastAsia="es-ES_tradnl"/>
        </w:rPr>
      </w:pPr>
      <w:r w:rsidRPr="005C4CC9">
        <w:rPr>
          <w:rFonts w:ascii="Arial" w:eastAsia="Times New Roman" w:hAnsi="Arial" w:cs="Arial"/>
          <w:color w:val="000000"/>
          <w:sz w:val="20"/>
          <w:szCs w:val="20"/>
          <w:lang w:val="es-ES_tradnl" w:eastAsia="es-ES_tradnl"/>
        </w:rPr>
        <w:t xml:space="preserve">El </w:t>
      </w:r>
      <w:r w:rsidRPr="005C4CC9">
        <w:rPr>
          <w:rFonts w:ascii="Arial" w:eastAsia="Times New Roman" w:hAnsi="Arial" w:cs="Arial"/>
          <w:i/>
          <w:iCs/>
          <w:color w:val="000000"/>
          <w:sz w:val="20"/>
          <w:szCs w:val="20"/>
          <w:lang w:val="es-ES_tradnl" w:eastAsia="es-ES_tradnl"/>
        </w:rPr>
        <w:t xml:space="preserve">concurso de méritos </w:t>
      </w:r>
      <w:r w:rsidRPr="005C4CC9">
        <w:rPr>
          <w:rFonts w:ascii="Arial" w:eastAsia="Times New Roman" w:hAnsi="Arial" w:cs="Arial"/>
          <w:color w:val="000000"/>
          <w:sz w:val="20"/>
          <w:szCs w:val="20"/>
          <w:lang w:val="es-ES_tradnl" w:eastAsia="es-ES_tradnl"/>
        </w:rPr>
        <w:t xml:space="preserve">es un procedimiento de selección que deben realizar las entidades estatales para escoger </w:t>
      </w:r>
      <w:r>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consultores y proyectos</w:t>
      </w:r>
      <w:r>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xml:space="preserve">, es decir, para celebrar contratos de consultoría, entendidos estos últimos como aquellos </w:t>
      </w:r>
      <w:r>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r>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según lo dispuesto en el artículo 32, numeral 2, de la Ley 80 de 1993.</w:t>
      </w:r>
    </w:p>
    <w:p w14:paraId="2197CE4D" w14:textId="77777777" w:rsidR="00D43FFE" w:rsidRPr="005C4CC9" w:rsidRDefault="00D43FFE" w:rsidP="00D43FFE">
      <w:pPr>
        <w:spacing w:after="0" w:line="240" w:lineRule="auto"/>
        <w:jc w:val="both"/>
        <w:rPr>
          <w:rFonts w:ascii="Arial" w:eastAsia="Times New Roman" w:hAnsi="Arial" w:cs="Arial"/>
          <w:color w:val="000000"/>
          <w:sz w:val="20"/>
          <w:szCs w:val="20"/>
          <w:lang w:val="es-ES_tradnl" w:eastAsia="es-ES_tradnl"/>
        </w:rPr>
      </w:pPr>
    </w:p>
    <w:p w14:paraId="57D221FC" w14:textId="77777777" w:rsidR="00D43FFE" w:rsidRPr="005C4CC9" w:rsidRDefault="00D43FFE" w:rsidP="00D43FFE">
      <w:pPr>
        <w:spacing w:after="0" w:line="240" w:lineRule="auto"/>
        <w:jc w:val="both"/>
        <w:rPr>
          <w:rFonts w:ascii="Arial" w:eastAsia="Times New Roman" w:hAnsi="Arial" w:cs="Arial"/>
          <w:color w:val="000000"/>
          <w:sz w:val="20"/>
          <w:szCs w:val="20"/>
          <w:lang w:val="es-ES_tradnl" w:eastAsia="es-ES_tradnl"/>
        </w:rPr>
      </w:pPr>
      <w:r w:rsidRPr="005C4CC9">
        <w:rPr>
          <w:rFonts w:ascii="Arial" w:eastAsia="Times New Roman" w:hAnsi="Arial" w:cs="Arial"/>
          <w:color w:val="000000"/>
          <w:sz w:val="20"/>
          <w:szCs w:val="20"/>
          <w:lang w:val="es-ES_tradnl" w:eastAsia="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w:t>
      </w:r>
      <w:r>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para la selección de consultores de diseño, planos, anteproyectos y proyectos arquitectónicos</w:t>
      </w:r>
      <w:r>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xml:space="preserve">. El primero está regulado en los artículos 2.2.1.2.1.3.1. y 2.2.1.2.1.3.2. </w:t>
      </w:r>
      <w:r w:rsidRPr="005C4CC9">
        <w:rPr>
          <w:rFonts w:ascii="Arial" w:eastAsia="Times New Roman" w:hAnsi="Arial" w:cs="Arial"/>
          <w:i/>
          <w:iCs/>
          <w:color w:val="000000"/>
          <w:sz w:val="20"/>
          <w:szCs w:val="20"/>
          <w:lang w:val="es-ES_tradnl" w:eastAsia="es-ES_tradnl"/>
        </w:rPr>
        <w:t>ibídem</w:t>
      </w:r>
      <w:r w:rsidRPr="005C4CC9">
        <w:rPr>
          <w:rFonts w:ascii="Arial" w:eastAsia="Times New Roman" w:hAnsi="Arial" w:cs="Arial"/>
          <w:color w:val="000000"/>
          <w:sz w:val="20"/>
          <w:szCs w:val="20"/>
          <w:lang w:val="es-ES_tradnl" w:eastAsia="es-ES_tradnl"/>
        </w:rPr>
        <w:t xml:space="preserve">. El segundo, además de los dos artículos anteriores, lo regulan los artículos 2.2.1.2.1.3.3. a 2.2.1.2.1.3.7. </w:t>
      </w:r>
      <w:proofErr w:type="spellStart"/>
      <w:r w:rsidRPr="005C4CC9">
        <w:rPr>
          <w:rFonts w:ascii="Arial" w:eastAsia="Times New Roman" w:hAnsi="Arial" w:cs="Arial"/>
          <w:i/>
          <w:iCs/>
          <w:color w:val="000000"/>
          <w:sz w:val="20"/>
          <w:szCs w:val="20"/>
          <w:lang w:val="es-ES_tradnl" w:eastAsia="es-ES_tradnl"/>
        </w:rPr>
        <w:t>ejusdem</w:t>
      </w:r>
      <w:proofErr w:type="spellEnd"/>
      <w:r w:rsidRPr="005C4CC9">
        <w:rPr>
          <w:rFonts w:ascii="Arial" w:eastAsia="Times New Roman" w:hAnsi="Arial" w:cs="Arial"/>
          <w:color w:val="000000"/>
          <w:sz w:val="20"/>
          <w:szCs w:val="20"/>
          <w:lang w:val="es-ES_tradnl" w:eastAsia="es-ES_tradnl"/>
        </w:rPr>
        <w:t>. El tercero lo regulan los artículos 2.2.1.2.1.3.8. a 2.2.1.2.1.3.25. del mencionado Decreto.</w:t>
      </w:r>
    </w:p>
    <w:p w14:paraId="336E9B5C" w14:textId="77777777" w:rsidR="00D43FFE" w:rsidRPr="005C4CC9" w:rsidRDefault="00D43FFE" w:rsidP="00D43FFE">
      <w:pPr>
        <w:spacing w:after="0" w:line="240" w:lineRule="auto"/>
        <w:jc w:val="both"/>
        <w:rPr>
          <w:rFonts w:ascii="Arial" w:eastAsia="Calibri" w:hAnsi="Arial" w:cs="Arial"/>
          <w:b/>
          <w:szCs w:val="24"/>
          <w:lang w:val="es-ES_tradnl" w:eastAsia="es-ES_tradnl"/>
        </w:rPr>
      </w:pPr>
    </w:p>
    <w:p w14:paraId="354AF7F5" w14:textId="77777777" w:rsidR="00D43FFE" w:rsidRPr="005C4CC9" w:rsidRDefault="00D43FFE" w:rsidP="00D43FFE">
      <w:pPr>
        <w:spacing w:after="0" w:line="240" w:lineRule="auto"/>
        <w:jc w:val="both"/>
        <w:rPr>
          <w:rFonts w:ascii="Arial" w:eastAsia="Calibri" w:hAnsi="Arial" w:cs="Arial"/>
          <w:b/>
          <w:szCs w:val="24"/>
          <w:lang w:val="es-ES_tradnl" w:eastAsia="es-ES_tradnl"/>
        </w:rPr>
      </w:pPr>
      <w:r w:rsidRPr="005C4CC9">
        <w:rPr>
          <w:rFonts w:ascii="Arial" w:eastAsia="Calibri" w:hAnsi="Arial" w:cs="Arial"/>
          <w:b/>
          <w:szCs w:val="24"/>
          <w:lang w:val="es-ES_tradnl" w:eastAsia="es-ES_tradnl"/>
        </w:rPr>
        <w:t xml:space="preserve">CONCURSO DE MÉRITOS – Decreto 1082 de 2015 – </w:t>
      </w:r>
      <w:r>
        <w:rPr>
          <w:rFonts w:ascii="Arial" w:eastAsia="Calibri" w:hAnsi="Arial" w:cs="Arial"/>
          <w:b/>
          <w:szCs w:val="24"/>
          <w:lang w:val="es-ES_tradnl" w:eastAsia="es-ES_tradnl"/>
        </w:rPr>
        <w:t>A</w:t>
      </w:r>
      <w:r w:rsidRPr="005C4CC9">
        <w:rPr>
          <w:rFonts w:ascii="Arial" w:eastAsia="Calibri" w:hAnsi="Arial" w:cs="Arial"/>
          <w:b/>
          <w:szCs w:val="24"/>
          <w:lang w:val="es-ES_tradnl" w:eastAsia="es-ES_tradnl"/>
        </w:rPr>
        <w:t>rtículo 2.2.1.2.1.3.2</w:t>
      </w:r>
      <w:r w:rsidRPr="005C4CC9">
        <w:rPr>
          <w:rFonts w:ascii="Arial" w:eastAsia="Times New Roman" w:hAnsi="Arial" w:cs="Arial"/>
          <w:b/>
          <w:color w:val="000000"/>
          <w:sz w:val="20"/>
          <w:szCs w:val="20"/>
          <w:lang w:val="es-ES_tradnl" w:eastAsia="es-ES_tradnl"/>
        </w:rPr>
        <w:t xml:space="preserve"> </w:t>
      </w:r>
      <w:r w:rsidRPr="005C4CC9">
        <w:rPr>
          <w:rFonts w:ascii="Arial" w:eastAsia="Calibri" w:hAnsi="Arial" w:cs="Arial"/>
          <w:b/>
          <w:szCs w:val="24"/>
          <w:lang w:val="es-ES_tradnl" w:eastAsia="es-ES_tradnl"/>
        </w:rPr>
        <w:t>–</w:t>
      </w:r>
      <w:r w:rsidRPr="005C4CC9">
        <w:rPr>
          <w:rFonts w:ascii="Arial" w:eastAsia="Times New Roman" w:hAnsi="Arial" w:cs="Arial"/>
          <w:b/>
          <w:color w:val="000000"/>
          <w:sz w:val="20"/>
          <w:szCs w:val="20"/>
          <w:lang w:val="es-ES_tradnl" w:eastAsia="es-ES_tradnl"/>
        </w:rPr>
        <w:t xml:space="preserve"> </w:t>
      </w:r>
      <w:r w:rsidRPr="005C4CC9">
        <w:rPr>
          <w:rFonts w:ascii="Arial" w:eastAsia="Calibri" w:hAnsi="Arial" w:cs="Arial"/>
          <w:b/>
          <w:szCs w:val="24"/>
          <w:lang w:val="es-ES_tradnl" w:eastAsia="es-ES_tradnl"/>
        </w:rPr>
        <w:t>Suspensión provisional</w:t>
      </w:r>
    </w:p>
    <w:p w14:paraId="18173C30" w14:textId="77777777" w:rsidR="00D43FFE" w:rsidRPr="005C4CC9" w:rsidRDefault="00D43FFE" w:rsidP="00D43FFE">
      <w:pPr>
        <w:spacing w:after="0" w:line="240" w:lineRule="auto"/>
        <w:jc w:val="both"/>
        <w:rPr>
          <w:rFonts w:ascii="Arial" w:eastAsia="Calibri" w:hAnsi="Arial" w:cs="Arial"/>
          <w:b/>
          <w:szCs w:val="24"/>
          <w:lang w:val="es-ES_tradnl" w:eastAsia="es-ES_tradnl"/>
        </w:rPr>
      </w:pPr>
    </w:p>
    <w:p w14:paraId="4E6CAA2B" w14:textId="77777777" w:rsidR="00D43FFE" w:rsidRPr="005C4CC9" w:rsidRDefault="00D43FFE" w:rsidP="00D43FFE">
      <w:pPr>
        <w:spacing w:after="0" w:line="240" w:lineRule="auto"/>
        <w:jc w:val="both"/>
        <w:rPr>
          <w:rFonts w:ascii="Arial" w:eastAsia="Times New Roman" w:hAnsi="Arial" w:cs="Arial"/>
          <w:color w:val="000000"/>
          <w:sz w:val="20"/>
          <w:szCs w:val="20"/>
          <w:lang w:val="es-ES_tradnl" w:eastAsia="es-ES_tradnl"/>
        </w:rPr>
      </w:pPr>
      <w:r w:rsidRPr="005C4CC9">
        <w:rPr>
          <w:rFonts w:ascii="Arial" w:eastAsia="Times New Roman" w:hAnsi="Arial" w:cs="Arial"/>
          <w:color w:val="000000"/>
          <w:sz w:val="20"/>
          <w:szCs w:val="20"/>
          <w:lang w:val="es-ES_tradnl" w:eastAsia="es-ES_tradnl"/>
        </w:rPr>
        <w:t xml:space="preserve">El Consejo de Estado consideró que los numerales 3, 4 y 5 violarían el artículo 5, numeral 4, último inciso, de la Ley 1150 de 2007, pues señaló que: </w:t>
      </w:r>
      <w:r>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en ningún caso se podrá incluir el precio, como factor de escogencia para la selección de consultores</w:t>
      </w:r>
      <w:r>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xml:space="preserve">, así como el artículo 25, numeral 2, de la Ley 80 de 1993 que dispone lo siguiente: </w:t>
      </w:r>
      <w:r>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las normas de los procedimientos contractuales se interpretarán de tal manera que no den ocasión a seguir trámites distintos y adicionales a los expresamente previstos […]</w:t>
      </w:r>
      <w:r>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xml:space="preserve">.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w:t>
      </w:r>
      <w:r w:rsidRPr="005C4CC9">
        <w:rPr>
          <w:rFonts w:ascii="Arial" w:eastAsia="Times New Roman" w:hAnsi="Arial" w:cs="Arial"/>
          <w:color w:val="000000"/>
          <w:sz w:val="20"/>
          <w:szCs w:val="20"/>
          <w:lang w:val="es-ES_tradnl" w:eastAsia="es-ES_tradnl"/>
        </w:rPr>
        <w:lastRenderedPageBreak/>
        <w:t>violaría especialmente el artículo 25.18 del Estatuto General y el artículo 5 de la Ley 1150 de 2007, pues la declaratoria de desierta solo procede cuando no es posible la selección objetiva del contratista.</w:t>
      </w:r>
    </w:p>
    <w:p w14:paraId="39C91E52" w14:textId="77777777" w:rsidR="00D43FFE" w:rsidRPr="005C4CC9" w:rsidRDefault="00D43FFE" w:rsidP="00D43FFE">
      <w:pPr>
        <w:spacing w:after="0" w:line="240" w:lineRule="auto"/>
        <w:jc w:val="both"/>
        <w:rPr>
          <w:rFonts w:ascii="Arial" w:eastAsia="Times New Roman" w:hAnsi="Arial" w:cs="Arial"/>
          <w:color w:val="000000"/>
          <w:sz w:val="20"/>
          <w:szCs w:val="20"/>
          <w:lang w:val="es-ES_tradnl" w:eastAsia="es-ES_tradnl"/>
        </w:rPr>
      </w:pPr>
    </w:p>
    <w:p w14:paraId="739CFC70" w14:textId="77777777" w:rsidR="00D43FFE" w:rsidRPr="005C4CC9" w:rsidRDefault="00D43FFE" w:rsidP="00D43FFE">
      <w:pPr>
        <w:spacing w:after="0" w:line="240" w:lineRule="auto"/>
        <w:jc w:val="both"/>
        <w:rPr>
          <w:rFonts w:ascii="Arial" w:eastAsia="Calibri" w:hAnsi="Arial" w:cs="Arial"/>
          <w:color w:val="000000"/>
          <w:sz w:val="20"/>
          <w:szCs w:val="20"/>
          <w:lang w:val="es-ES_tradnl" w:eastAsia="es-ES_tradnl"/>
        </w:rPr>
      </w:pPr>
      <w:r w:rsidRPr="005C4CC9">
        <w:rPr>
          <w:rFonts w:ascii="Arial" w:eastAsia="Times New Roman" w:hAnsi="Arial" w:cs="Arial"/>
          <w:color w:val="000000"/>
          <w:sz w:val="20"/>
          <w:szCs w:val="20"/>
          <w:lang w:val="es-ES_tradnl" w:eastAsia="es-ES_tradnl"/>
        </w:rPr>
        <w:t xml:space="preserve">En consecuencia, </w:t>
      </w:r>
      <w:r w:rsidRPr="005C4CC9">
        <w:rPr>
          <w:rFonts w:ascii="Arial" w:eastAsia="Calibri" w:hAnsi="Arial" w:cs="Arial"/>
          <w:color w:val="000000"/>
          <w:sz w:val="20"/>
          <w:szCs w:val="20"/>
          <w:lang w:val="es-ES_tradnl" w:eastAsia="es-ES_tradnl"/>
        </w:rPr>
        <w:t>con los autos de suspensión provisional, el concurso de méritos abierto debía desarrollarse aplicando únicamente los numerales 1 y 2 del</w:t>
      </w:r>
      <w:r w:rsidRPr="005C4CC9">
        <w:rPr>
          <w:rFonts w:ascii="Arial" w:eastAsia="Times New Roman" w:hAnsi="Arial" w:cs="Arial"/>
          <w:color w:val="000000"/>
          <w:sz w:val="20"/>
          <w:szCs w:val="20"/>
          <w:lang w:val="es-ES_tradnl" w:eastAsia="es-ES_tradnl"/>
        </w:rPr>
        <w:t xml:space="preserve"> artículo 2.2.1.2.1.3.2 original del Decreto 1082 de 2015, esto es, antes de la modificación realizada por el Decreto 399 de 2021, al que se hará referencia en el numeral siguiente. Por lo tanto, </w:t>
      </w:r>
      <w:r w:rsidRPr="005C4CC9">
        <w:rPr>
          <w:rFonts w:ascii="Arial" w:eastAsia="Times New Roman" w:hAnsi="Arial" w:cs="Arial"/>
          <w:i/>
          <w:iCs/>
          <w:color w:val="000000"/>
          <w:sz w:val="20"/>
          <w:szCs w:val="20"/>
          <w:lang w:val="es-ES_tradnl" w:eastAsia="es-ES_tradnl"/>
        </w:rPr>
        <w:t>siempre que estuviera dentro del presupuesto oficial</w:t>
      </w:r>
      <w:r w:rsidRPr="005C4CC9">
        <w:rPr>
          <w:rFonts w:ascii="Arial" w:eastAsia="Times New Roman" w:hAnsi="Arial" w:cs="Arial"/>
          <w:color w:val="000000"/>
          <w:sz w:val="20"/>
          <w:szCs w:val="20"/>
          <w:lang w:val="es-ES_tradnl" w:eastAsia="es-ES_tradnl"/>
        </w:rPr>
        <w:t>, la entidad estatal debía adjudicar el contrato al proponente que ocupara el primer puesto en el orden de elegibilidad, independientemente del valor ofrecido</w:t>
      </w:r>
      <w:r w:rsidRPr="005C4CC9">
        <w:rPr>
          <w:rFonts w:ascii="Arial" w:eastAsia="Calibri" w:hAnsi="Arial" w:cs="Arial"/>
          <w:color w:val="000000"/>
          <w:sz w:val="20"/>
          <w:szCs w:val="20"/>
          <w:lang w:val="es-ES_tradnl" w:eastAsia="es-ES_tradnl"/>
        </w:rPr>
        <w:t>.</w:t>
      </w:r>
    </w:p>
    <w:p w14:paraId="688D4DEB" w14:textId="77777777" w:rsidR="00D43FFE" w:rsidRPr="005C4CC9" w:rsidRDefault="00D43FFE" w:rsidP="00D43FFE">
      <w:pPr>
        <w:spacing w:after="0" w:line="240" w:lineRule="auto"/>
        <w:jc w:val="both"/>
        <w:rPr>
          <w:rFonts w:ascii="Arial" w:eastAsia="Calibri" w:hAnsi="Arial" w:cs="Arial"/>
          <w:color w:val="000000"/>
          <w:sz w:val="20"/>
          <w:szCs w:val="20"/>
          <w:lang w:val="es-ES_tradnl" w:eastAsia="es-ES_tradnl"/>
        </w:rPr>
      </w:pPr>
    </w:p>
    <w:p w14:paraId="0FF32CAE" w14:textId="77777777" w:rsidR="00D43FFE" w:rsidRPr="005C4CC9" w:rsidRDefault="00D43FFE" w:rsidP="00D43FFE">
      <w:pPr>
        <w:spacing w:after="0" w:line="240" w:lineRule="auto"/>
        <w:jc w:val="both"/>
        <w:rPr>
          <w:rFonts w:ascii="Arial" w:eastAsia="Calibri" w:hAnsi="Arial" w:cs="Arial"/>
          <w:b/>
          <w:szCs w:val="24"/>
          <w:lang w:val="es-ES_tradnl" w:eastAsia="es-ES_tradnl"/>
        </w:rPr>
      </w:pPr>
      <w:r w:rsidRPr="005C4CC9">
        <w:rPr>
          <w:rFonts w:ascii="Arial" w:eastAsia="Calibri" w:hAnsi="Arial" w:cs="Arial"/>
          <w:b/>
          <w:szCs w:val="24"/>
          <w:lang w:val="es-ES_tradnl" w:eastAsia="es-ES_tradnl"/>
        </w:rPr>
        <w:t>CONCURSO DE MÉRITOS –</w:t>
      </w:r>
      <w:r>
        <w:rPr>
          <w:rFonts w:ascii="Arial" w:eastAsia="Calibri" w:hAnsi="Arial" w:cs="Arial"/>
          <w:b/>
          <w:szCs w:val="24"/>
          <w:lang w:val="es-ES_tradnl" w:eastAsia="es-ES_tradnl"/>
        </w:rPr>
        <w:t xml:space="preserve"> Modificación – D</w:t>
      </w:r>
      <w:r w:rsidRPr="005C4CC9">
        <w:rPr>
          <w:rFonts w:ascii="Arial" w:eastAsia="Calibri" w:hAnsi="Arial" w:cs="Arial"/>
          <w:b/>
          <w:szCs w:val="24"/>
          <w:lang w:val="es-ES_tradnl" w:eastAsia="es-ES_tradnl"/>
        </w:rPr>
        <w:t>ecreto 399 de 2021 – Artículo 2</w:t>
      </w:r>
    </w:p>
    <w:p w14:paraId="7F05CFCC" w14:textId="77777777" w:rsidR="00D43FFE" w:rsidRPr="005C4CC9" w:rsidRDefault="00D43FFE" w:rsidP="00D43FFE">
      <w:pPr>
        <w:spacing w:after="0" w:line="240" w:lineRule="auto"/>
        <w:jc w:val="both"/>
        <w:rPr>
          <w:rFonts w:ascii="Arial" w:eastAsia="Times New Roman" w:hAnsi="Arial" w:cs="Arial"/>
          <w:color w:val="000000"/>
          <w:sz w:val="20"/>
          <w:szCs w:val="20"/>
          <w:lang w:val="es-ES_tradnl" w:eastAsia="es-ES_tradnl"/>
        </w:rPr>
      </w:pPr>
    </w:p>
    <w:p w14:paraId="1D01B4FB" w14:textId="77777777" w:rsidR="00D43FFE" w:rsidRPr="005C4CC9" w:rsidRDefault="00D43FFE" w:rsidP="00D43FFE">
      <w:pPr>
        <w:spacing w:after="0" w:line="240" w:lineRule="auto"/>
        <w:jc w:val="both"/>
        <w:rPr>
          <w:rFonts w:ascii="Arial" w:eastAsia="Calibri" w:hAnsi="Arial" w:cs="Arial"/>
          <w:color w:val="000000"/>
          <w:sz w:val="20"/>
          <w:szCs w:val="20"/>
          <w:lang w:val="es-ES_tradnl" w:eastAsia="es-ES_tradnl"/>
        </w:rPr>
      </w:pPr>
      <w:r w:rsidRPr="005C4CC9">
        <w:rPr>
          <w:rFonts w:ascii="Arial" w:eastAsia="Calibri" w:hAnsi="Arial" w:cs="Arial"/>
          <w:color w:val="000000"/>
          <w:sz w:val="20"/>
          <w:szCs w:val="20"/>
          <w:lang w:val="es-ES_tradnl" w:eastAsia="es-ES_tradnl"/>
        </w:rPr>
        <w:t>[…], el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entrada en vigencia del artículo 2 del Decreto 399 de 2021 se observan los siguientes cambios:</w:t>
      </w:r>
    </w:p>
    <w:p w14:paraId="6588BC00" w14:textId="77777777" w:rsidR="00D43FFE" w:rsidRPr="005C4CC9" w:rsidRDefault="00D43FFE" w:rsidP="00D43FFE">
      <w:pPr>
        <w:spacing w:after="0" w:line="240" w:lineRule="auto"/>
        <w:jc w:val="both"/>
        <w:rPr>
          <w:rFonts w:ascii="Arial" w:eastAsia="Calibri" w:hAnsi="Arial" w:cs="Arial"/>
          <w:color w:val="000000"/>
          <w:sz w:val="20"/>
          <w:szCs w:val="20"/>
          <w:lang w:val="es-ES_tradnl" w:eastAsia="es-ES_tradnl"/>
        </w:rPr>
      </w:pPr>
    </w:p>
    <w:p w14:paraId="49A13C64" w14:textId="77777777" w:rsidR="00D43FFE" w:rsidRPr="005C4CC9" w:rsidRDefault="00D43FFE" w:rsidP="00D43FFE">
      <w:pPr>
        <w:spacing w:after="0" w:line="240" w:lineRule="auto"/>
        <w:jc w:val="both"/>
        <w:rPr>
          <w:rFonts w:ascii="Arial" w:eastAsia="Calibri" w:hAnsi="Arial" w:cs="Arial"/>
          <w:color w:val="000000"/>
          <w:sz w:val="20"/>
          <w:szCs w:val="20"/>
          <w:lang w:val="es-ES_tradnl" w:eastAsia="es-ES_tradnl"/>
        </w:rPr>
      </w:pPr>
      <w:r w:rsidRPr="005C4CC9">
        <w:rPr>
          <w:rFonts w:ascii="Arial" w:eastAsia="Calibri" w:hAnsi="Arial" w:cs="Arial"/>
          <w:color w:val="000000"/>
          <w:sz w:val="20"/>
          <w:szCs w:val="20"/>
          <w:lang w:val="es-ES_tradnl" w:eastAsia="es-ES_tradnl"/>
        </w:rPr>
        <w:t xml:space="preserve">i) El informe de evaluación, que la entidad debe publicar durante tres </w:t>
      </w:r>
      <w:r>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3</w:t>
      </w:r>
      <w:r>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 xml:space="preserve"> días hábiles, debe contener ya no solamente la calificación técnica y el orden de elegibilidad, sino </w:t>
      </w:r>
      <w:r>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 la evaluación de las ofertas frente a todos los requisitos exigidos en el pliego de condiciones, incluyendo los requisitos habilitantes y los de asignación de puntaje</w:t>
      </w:r>
      <w:r>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4996B3DA" w14:textId="77777777" w:rsidR="00D43FFE" w:rsidRPr="005C4CC9" w:rsidRDefault="00D43FFE" w:rsidP="00D43FFE">
      <w:pPr>
        <w:spacing w:after="0" w:line="240" w:lineRule="auto"/>
        <w:jc w:val="both"/>
        <w:rPr>
          <w:rFonts w:ascii="Arial" w:eastAsia="Calibri" w:hAnsi="Arial" w:cs="Arial"/>
          <w:color w:val="000000"/>
          <w:sz w:val="20"/>
          <w:szCs w:val="20"/>
          <w:lang w:val="es-ES_tradnl" w:eastAsia="es-ES_tradnl"/>
        </w:rPr>
      </w:pPr>
    </w:p>
    <w:p w14:paraId="357E7EC6" w14:textId="77777777" w:rsidR="00D43FFE" w:rsidRPr="005C4CC9" w:rsidRDefault="00D43FFE" w:rsidP="00D43FFE">
      <w:pPr>
        <w:spacing w:after="0" w:line="240" w:lineRule="auto"/>
        <w:jc w:val="both"/>
        <w:rPr>
          <w:rFonts w:ascii="Arial" w:eastAsia="Calibri" w:hAnsi="Arial" w:cs="Arial"/>
          <w:color w:val="000000"/>
          <w:sz w:val="20"/>
          <w:szCs w:val="20"/>
          <w:lang w:val="es-ES_tradnl" w:eastAsia="es-ES_tradnl"/>
        </w:rPr>
      </w:pPr>
      <w:r w:rsidRPr="005C4CC9">
        <w:rPr>
          <w:rFonts w:ascii="Arial" w:eastAsia="Calibri" w:hAnsi="Arial" w:cs="Arial"/>
          <w:color w:val="000000"/>
          <w:sz w:val="20"/>
          <w:szCs w:val="20"/>
          <w:lang w:val="es-ES_tradnl" w:eastAsia="es-ES_tradnl"/>
        </w:rPr>
        <w:t xml:space="preserve">ii)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w:t>
      </w:r>
      <w:r>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Una vez resueltas las observaciones al informe de evaluación, la entidad adjudicará el contrato mediante acto administrativo al oferente que haya cumplido todos los requisitos exigidos en el pliego de condiciones y haya obtenido el mayor puntaje</w:t>
      </w:r>
      <w:r>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 xml:space="preserv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w:t>
      </w:r>
      <w:r>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negociación</w:t>
      </w:r>
      <w:r>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 xml:space="preserve"> con el oferente calificado en primer lugar sobre el valor y alcance del contrato, sino que debe proceder a la adjudicación a quien haya presentado objetivamente la mejor oferta, teniendo en cuenta todos los requisitos exigidos en el pliego de condiciones.</w:t>
      </w:r>
    </w:p>
    <w:p w14:paraId="50D23DD5" w14:textId="77777777" w:rsidR="00D43FFE" w:rsidRPr="005C4CC9" w:rsidRDefault="00D43FFE" w:rsidP="00D43FFE">
      <w:pPr>
        <w:spacing w:after="0" w:line="240" w:lineRule="auto"/>
        <w:jc w:val="both"/>
        <w:rPr>
          <w:rFonts w:ascii="Arial" w:eastAsia="Calibri" w:hAnsi="Arial" w:cs="Arial"/>
          <w:color w:val="000000"/>
          <w:sz w:val="20"/>
          <w:szCs w:val="20"/>
          <w:lang w:val="es-ES_tradnl" w:eastAsia="es-ES_tradnl"/>
        </w:rPr>
      </w:pPr>
    </w:p>
    <w:p w14:paraId="2C9AEE4B" w14:textId="77777777" w:rsidR="00D43FFE" w:rsidRPr="005C4CC9" w:rsidRDefault="00D43FFE" w:rsidP="00D43FFE">
      <w:pPr>
        <w:spacing w:after="0" w:line="240" w:lineRule="auto"/>
        <w:jc w:val="both"/>
        <w:rPr>
          <w:rFonts w:ascii="Arial" w:eastAsia="Calibri" w:hAnsi="Arial" w:cs="Arial"/>
          <w:color w:val="000000"/>
          <w:sz w:val="20"/>
          <w:szCs w:val="20"/>
          <w:lang w:val="es-ES_tradnl" w:eastAsia="es-ES_tradnl"/>
        </w:rPr>
      </w:pPr>
      <w:r w:rsidRPr="005C4CC9">
        <w:rPr>
          <w:rFonts w:ascii="Arial" w:eastAsia="Calibri" w:hAnsi="Arial" w:cs="Arial"/>
          <w:color w:val="000000"/>
          <w:sz w:val="20"/>
          <w:szCs w:val="20"/>
          <w:lang w:val="es-ES_tradnl" w:eastAsia="es-ES_tradnl"/>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4EB48BE3" w14:textId="77777777" w:rsidR="00D43FFE" w:rsidRPr="00982493" w:rsidRDefault="00D43FFE" w:rsidP="00D43FFE">
      <w:pPr>
        <w:spacing w:after="0" w:line="240" w:lineRule="auto"/>
        <w:contextualSpacing/>
        <w:rPr>
          <w:rFonts w:ascii="Arial" w:eastAsia="Geomanist Light" w:hAnsi="Arial" w:cs="Arial"/>
          <w:color w:val="000000" w:themeColor="text1"/>
          <w:lang w:val="es-MX"/>
        </w:rPr>
      </w:pPr>
    </w:p>
    <w:p w14:paraId="7F6758BB" w14:textId="77777777" w:rsidR="00D43FFE" w:rsidRPr="00E50222" w:rsidRDefault="00D43FFE" w:rsidP="00D43FFE">
      <w:pPr>
        <w:spacing w:after="0" w:line="240" w:lineRule="auto"/>
        <w:jc w:val="both"/>
        <w:rPr>
          <w:rFonts w:ascii="Arial" w:eastAsia="Calibri" w:hAnsi="Arial" w:cs="Arial"/>
          <w:b/>
          <w:lang w:val="es-MX"/>
        </w:rPr>
      </w:pPr>
      <w:r w:rsidRPr="00E50222">
        <w:rPr>
          <w:rFonts w:ascii="Arial" w:eastAsia="Calibri" w:hAnsi="Arial" w:cs="Arial"/>
          <w:b/>
          <w:color w:val="000000"/>
          <w:lang w:val="es-ES_tradnl"/>
        </w:rPr>
        <w:t xml:space="preserve">SUBSANABILIDAD DE LAS OFERTAS – Principio de selección objetiva </w:t>
      </w:r>
      <w:r w:rsidRPr="00E50222">
        <w:rPr>
          <w:rFonts w:ascii="Arial" w:eastAsia="Calibri" w:hAnsi="Arial" w:cs="Arial"/>
          <w:b/>
          <w:lang w:val="es-MX"/>
        </w:rPr>
        <w:t xml:space="preserve">– Ley 1882 de 2018 – Ámbito temporal </w:t>
      </w:r>
    </w:p>
    <w:p w14:paraId="3AC3F2E6" w14:textId="77777777" w:rsidR="00D43FFE" w:rsidRPr="00E50222" w:rsidRDefault="00D43FFE" w:rsidP="00D43FFE">
      <w:pPr>
        <w:spacing w:after="0" w:line="240" w:lineRule="auto"/>
        <w:jc w:val="both"/>
        <w:rPr>
          <w:rFonts w:ascii="Arial" w:eastAsia="Calibri" w:hAnsi="Arial" w:cs="Arial"/>
          <w:b/>
          <w:lang w:val="es-MX"/>
        </w:rPr>
      </w:pPr>
    </w:p>
    <w:p w14:paraId="0A4A29DD" w14:textId="77777777" w:rsidR="00D43FFE" w:rsidRPr="00E50222" w:rsidRDefault="00D43FFE" w:rsidP="00D43FFE">
      <w:pPr>
        <w:spacing w:after="0" w:line="240" w:lineRule="auto"/>
        <w:jc w:val="both"/>
        <w:rPr>
          <w:rFonts w:ascii="Arial" w:eastAsia="Calibri" w:hAnsi="Arial" w:cs="Arial"/>
          <w:sz w:val="20"/>
          <w:szCs w:val="20"/>
          <w:lang w:val="es-ES_tradnl"/>
        </w:rPr>
      </w:pPr>
      <w:r w:rsidRPr="00E50222">
        <w:rPr>
          <w:rFonts w:ascii="Arial" w:eastAsia="Calibri" w:hAnsi="Arial" w:cs="Arial"/>
          <w:sz w:val="20"/>
          <w:szCs w:val="20"/>
          <w:lang w:val="es-ES_tradnl"/>
        </w:rPr>
        <w:t xml:space="preserve">Como puede observarse, la Ley 1882 de 2018: i) mantiene el criterio de la Ley 80 de 1993, relativo a que todo lo que no sea necesario para la comparación de propuestas no es título suficiente para su rechazo; y ii) mantiene el criterio aclaratorio de la Ley 1150 de 2007, según el cual todo lo que no afecte la asignación de puntaje puede subsanarse. </w:t>
      </w:r>
    </w:p>
    <w:p w14:paraId="5A34C1A0" w14:textId="77777777" w:rsidR="00D43FFE" w:rsidRPr="00E50222" w:rsidRDefault="00D43FFE" w:rsidP="00D43FFE">
      <w:pPr>
        <w:spacing w:after="0" w:line="240" w:lineRule="auto"/>
        <w:jc w:val="both"/>
        <w:rPr>
          <w:rFonts w:ascii="Arial" w:eastAsia="Calibri" w:hAnsi="Arial" w:cs="Arial"/>
          <w:sz w:val="20"/>
          <w:szCs w:val="20"/>
          <w:lang w:val="es-ES_tradnl"/>
        </w:rPr>
      </w:pPr>
    </w:p>
    <w:p w14:paraId="34F4F5C3" w14:textId="77777777" w:rsidR="00D43FFE" w:rsidRPr="00E50222" w:rsidRDefault="00D43FFE" w:rsidP="00D43FFE">
      <w:pPr>
        <w:spacing w:after="0" w:line="240" w:lineRule="auto"/>
        <w:jc w:val="both"/>
        <w:rPr>
          <w:rFonts w:ascii="Arial" w:eastAsia="Calibri" w:hAnsi="Arial" w:cs="Arial"/>
          <w:sz w:val="20"/>
          <w:szCs w:val="20"/>
          <w:lang w:val="es-ES_tradnl"/>
        </w:rPr>
      </w:pPr>
      <w:r w:rsidRPr="00E50222">
        <w:rPr>
          <w:rFonts w:ascii="Arial" w:eastAsia="Calibri" w:hAnsi="Arial" w:cs="Arial"/>
          <w:sz w:val="20"/>
          <w:szCs w:val="20"/>
          <w:lang w:val="es-ES_tradnl"/>
        </w:rPr>
        <w:t xml:space="preserve">De lo anterior se colige que, a la luz de la Ley 1882 de 2018 se introdujo una modificación frente al criterio material, directamente relacionado con los aspectos subsanables según el cual: </w:t>
      </w:r>
      <w:r>
        <w:rPr>
          <w:rFonts w:ascii="Arial" w:eastAsia="Calibri" w:hAnsi="Arial" w:cs="Arial"/>
          <w:sz w:val="20"/>
          <w:szCs w:val="20"/>
          <w:lang w:val="es-ES_tradnl"/>
        </w:rPr>
        <w:t>“</w:t>
      </w:r>
      <w:r w:rsidRPr="00E50222">
        <w:rPr>
          <w:rFonts w:ascii="Arial" w:eastAsia="Calibri" w:hAnsi="Arial" w:cs="Arial"/>
          <w:sz w:val="20"/>
          <w:szCs w:val="20"/>
          <w:lang w:val="es-ES_tradnl"/>
        </w:rPr>
        <w:t>los proponentes no podrán acreditar circunstancias ocurridas con posterioridad al cierre del proceso</w:t>
      </w:r>
      <w:r>
        <w:rPr>
          <w:rFonts w:ascii="Arial" w:eastAsia="Calibri" w:hAnsi="Arial" w:cs="Arial"/>
          <w:sz w:val="20"/>
          <w:szCs w:val="20"/>
          <w:lang w:val="es-ES_tradnl"/>
        </w:rPr>
        <w:t>”</w:t>
      </w:r>
      <w:r w:rsidRPr="00E50222">
        <w:rPr>
          <w:rFonts w:ascii="Arial" w:eastAsia="Calibri" w:hAnsi="Arial" w:cs="Arial"/>
          <w:sz w:val="20"/>
          <w:szCs w:val="20"/>
          <w:lang w:val="es-ES_tradnl"/>
        </w:rPr>
        <w:t>. Lo anterior ofrece dos aspectos que merecen clarificación; primero, qué debe entenderse por circunstancias ocurridas con posterioridad; y segundo, qué es el cierre del proceso.</w:t>
      </w:r>
    </w:p>
    <w:p w14:paraId="3484FD20" w14:textId="77777777" w:rsidR="00D43FFE" w:rsidRPr="00E50222" w:rsidRDefault="00D43FFE" w:rsidP="00D43FFE">
      <w:pPr>
        <w:spacing w:after="0" w:line="240" w:lineRule="auto"/>
        <w:jc w:val="both"/>
        <w:rPr>
          <w:rFonts w:ascii="Arial" w:eastAsia="Calibri" w:hAnsi="Arial" w:cs="Arial"/>
          <w:sz w:val="20"/>
          <w:szCs w:val="20"/>
          <w:lang w:val="es-ES_tradnl"/>
        </w:rPr>
      </w:pPr>
      <w:r w:rsidRPr="00E50222">
        <w:rPr>
          <w:rFonts w:ascii="Arial" w:eastAsia="Calibri" w:hAnsi="Arial" w:cs="Arial"/>
          <w:sz w:val="20"/>
          <w:szCs w:val="20"/>
          <w:lang w:val="es-ES_tradnl"/>
        </w:rPr>
        <w:t>[…]</w:t>
      </w:r>
    </w:p>
    <w:p w14:paraId="6CEF92CF" w14:textId="77777777" w:rsidR="00D43FFE" w:rsidRPr="00E50222" w:rsidRDefault="00D43FFE" w:rsidP="00D43FFE">
      <w:pPr>
        <w:spacing w:after="0" w:line="240" w:lineRule="auto"/>
        <w:jc w:val="both"/>
        <w:rPr>
          <w:rFonts w:ascii="Arial" w:eastAsia="Calibri" w:hAnsi="Arial" w:cs="Arial"/>
          <w:sz w:val="20"/>
          <w:szCs w:val="20"/>
          <w:lang w:val="es-ES"/>
        </w:rPr>
      </w:pPr>
      <w:r w:rsidRPr="1548CBE8">
        <w:rPr>
          <w:rFonts w:ascii="Arial" w:eastAsia="Calibri" w:hAnsi="Arial" w:cs="Arial"/>
          <w:sz w:val="20"/>
          <w:szCs w:val="20"/>
          <w:lang w:val="es-ES"/>
        </w:rPr>
        <w:t xml:space="preserve">Ahora bien, en lo relacionado con el aspecto temporal de la </w:t>
      </w:r>
      <w:proofErr w:type="spellStart"/>
      <w:r w:rsidRPr="1548CBE8">
        <w:rPr>
          <w:rFonts w:ascii="Arial" w:eastAsia="Calibri" w:hAnsi="Arial" w:cs="Arial"/>
          <w:sz w:val="20"/>
          <w:szCs w:val="20"/>
          <w:lang w:val="es-ES"/>
        </w:rPr>
        <w:t>subsanabilidad</w:t>
      </w:r>
      <w:proofErr w:type="spellEnd"/>
      <w:r w:rsidRPr="1548CBE8">
        <w:rPr>
          <w:rFonts w:ascii="Arial" w:eastAsia="Calibri" w:hAnsi="Arial" w:cs="Arial"/>
          <w:sz w:val="20"/>
          <w:szCs w:val="20"/>
          <w:lang w:val="es-ES"/>
        </w:rPr>
        <w:t>, es menester analizar el ámbito temporal para ejercer la facultad de subsanar la oferta, frente a lo cual se puede afirmar que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 en el último, los documentos o requisitos subsanables pueden y deben solicitarse hasta el momento previo a la celebración de la audiencia. En cuanto al proceso de mínima cuantía, el Decreto 1082 de 2015, en su artículo 2.2.1.2.1.5.2., numeral 5 –modificado por el Decreto 1860 de 2021–, prescribe que las entidades estatales establecerán en la invitación el término preclusivo para recibir los documentos subsanables, frente a cada uno de los requerimientos que formulen. Sin embargo, agrega que en los casos en que no se establezca dicho término, subsidiariamente, los proponentes podrán subsanar sus ofertas hasta antes que finalice el traslado del informe de evaluación.</w:t>
      </w:r>
    </w:p>
    <w:p w14:paraId="3DDFF567" w14:textId="77777777" w:rsidR="00D43FFE" w:rsidRDefault="00D43FFE" w:rsidP="00D43FFE">
      <w:pPr>
        <w:spacing w:after="0" w:line="240" w:lineRule="auto"/>
        <w:jc w:val="both"/>
        <w:rPr>
          <w:rFonts w:ascii="Arial" w:eastAsia="Calibri" w:hAnsi="Arial" w:cs="Arial"/>
          <w:sz w:val="20"/>
          <w:szCs w:val="20"/>
          <w:lang w:val="es-ES"/>
        </w:rPr>
      </w:pPr>
    </w:p>
    <w:p w14:paraId="53D640F7" w14:textId="77777777" w:rsidR="00D43FFE" w:rsidRDefault="00D43FFE" w:rsidP="00D43FFE">
      <w:pPr>
        <w:jc w:val="both"/>
        <w:rPr>
          <w:rFonts w:ascii="Arial" w:eastAsia="Geomanist Light" w:hAnsi="Arial" w:cs="Arial"/>
          <w:b/>
          <w:bCs/>
          <w:color w:val="000000" w:themeColor="text1"/>
          <w:lang w:val="es-ES"/>
        </w:rPr>
      </w:pPr>
      <w:r w:rsidRPr="008B3300">
        <w:rPr>
          <w:rFonts w:ascii="Arial" w:eastAsia="Geomanist Light" w:hAnsi="Arial" w:cs="Arial"/>
          <w:b/>
          <w:bCs/>
          <w:color w:val="000000" w:themeColor="text1"/>
          <w:lang w:val="es-ES"/>
        </w:rPr>
        <w:t>SUBSANABILIDAD – Aspectos subsanables – No otorga puntaje</w:t>
      </w:r>
    </w:p>
    <w:p w14:paraId="5D8727AF" w14:textId="77777777" w:rsidR="00D43FFE" w:rsidRDefault="00D43FFE" w:rsidP="00D43FFE">
      <w:pPr>
        <w:spacing w:after="0"/>
        <w:jc w:val="both"/>
        <w:rPr>
          <w:rFonts w:ascii="Arial" w:eastAsia="Geomanist Light" w:hAnsi="Arial" w:cs="Arial"/>
          <w:color w:val="000000" w:themeColor="text1"/>
          <w:sz w:val="20"/>
          <w:szCs w:val="20"/>
          <w:lang w:val="es-ES"/>
        </w:rPr>
      </w:pPr>
      <w:r w:rsidRPr="008B3300">
        <w:rPr>
          <w:rFonts w:ascii="Arial" w:eastAsia="Geomanist Light" w:hAnsi="Arial" w:cs="Arial"/>
          <w:color w:val="000000" w:themeColor="text1"/>
          <w:sz w:val="20"/>
          <w:szCs w:val="20"/>
          <w:lang w:val="es-ES"/>
        </w:rPr>
        <w:t>Se reitera que si la Administración, al verificar, encuentra que lo omitido por el proponente es un aspecto que otorga puntaje, entonces no es posible subsanarlo; pero si lo omitido no otorga puntaje la Administración debe requerir al proponente para que lo subsane. Así las cosas, si un oferente no cumple con el requisito de experiencia, puede subsanarla, siempre y cuando lo acreditado no constituyan circunstancias ocurridas con posterioridad al cierre del proceso, en los términos ya explicados.</w:t>
      </w:r>
    </w:p>
    <w:p w14:paraId="250A4A41" w14:textId="77777777" w:rsidR="00D43FFE" w:rsidRPr="009F782A" w:rsidRDefault="00D43FFE" w:rsidP="00D43FFE">
      <w:pPr>
        <w:spacing w:after="0"/>
        <w:rPr>
          <w:rFonts w:ascii="Arial" w:eastAsia="Geomanist Light" w:hAnsi="Arial" w:cs="Arial"/>
          <w:color w:val="000000" w:themeColor="text1"/>
          <w:lang w:val="es-ES"/>
        </w:rPr>
      </w:pPr>
    </w:p>
    <w:p w14:paraId="16CF65C0" w14:textId="77777777" w:rsidR="00D43FFE" w:rsidRDefault="00D43FFE" w:rsidP="00D43FFE">
      <w:pPr>
        <w:spacing w:after="0"/>
        <w:rPr>
          <w:rFonts w:ascii="Arial" w:eastAsia="Geomanist Light" w:hAnsi="Arial" w:cs="Arial"/>
          <w:color w:val="000000" w:themeColor="text1"/>
          <w:lang w:val="es-MX"/>
        </w:rPr>
      </w:pPr>
    </w:p>
    <w:p w14:paraId="2D7F2AD4" w14:textId="77777777" w:rsidR="00D43FFE" w:rsidRDefault="00D43FFE" w:rsidP="00D43FFE">
      <w:pPr>
        <w:spacing w:after="0"/>
        <w:rPr>
          <w:rFonts w:ascii="Arial" w:eastAsia="Geomanist Light" w:hAnsi="Arial" w:cs="Arial"/>
          <w:color w:val="000000" w:themeColor="text1"/>
          <w:lang w:val="es-MX"/>
        </w:rPr>
      </w:pPr>
    </w:p>
    <w:p w14:paraId="029AC3B6" w14:textId="77777777" w:rsidR="00D43FFE" w:rsidRDefault="00D43FFE" w:rsidP="00D43FFE">
      <w:pPr>
        <w:spacing w:after="0"/>
        <w:rPr>
          <w:rFonts w:ascii="Arial" w:eastAsia="Geomanist Light" w:hAnsi="Arial" w:cs="Arial"/>
          <w:color w:val="000000" w:themeColor="text1"/>
          <w:lang w:val="es-MX"/>
        </w:rPr>
      </w:pPr>
    </w:p>
    <w:p w14:paraId="0652D58B" w14:textId="77777777" w:rsidR="00D43FFE" w:rsidRDefault="00D43FFE" w:rsidP="00D43FFE">
      <w:pPr>
        <w:spacing w:after="0"/>
        <w:rPr>
          <w:rFonts w:ascii="Arial" w:eastAsia="Geomanist Light" w:hAnsi="Arial" w:cs="Arial"/>
          <w:color w:val="000000" w:themeColor="text1"/>
          <w:lang w:val="es-MX"/>
        </w:rPr>
      </w:pPr>
    </w:p>
    <w:p w14:paraId="32D6E05C" w14:textId="77777777" w:rsidR="00D43FFE" w:rsidRDefault="00D43FFE" w:rsidP="00D43FFE">
      <w:pPr>
        <w:spacing w:after="0"/>
        <w:rPr>
          <w:rFonts w:ascii="Arial" w:eastAsia="Geomanist Light" w:hAnsi="Arial" w:cs="Arial"/>
          <w:color w:val="000000" w:themeColor="text1"/>
          <w:lang w:val="es-MX"/>
        </w:rPr>
      </w:pPr>
    </w:p>
    <w:p w14:paraId="7869EFFE" w14:textId="77777777" w:rsidR="00D43FFE" w:rsidRDefault="00D43FFE" w:rsidP="00D43FFE">
      <w:pPr>
        <w:spacing w:after="0"/>
        <w:rPr>
          <w:rFonts w:ascii="Arial" w:eastAsia="Geomanist Light" w:hAnsi="Arial" w:cs="Arial"/>
          <w:color w:val="000000" w:themeColor="text1"/>
          <w:lang w:val="es-MX"/>
        </w:rPr>
      </w:pPr>
    </w:p>
    <w:p w14:paraId="1328D847" w14:textId="77777777" w:rsidR="00D43FFE" w:rsidRDefault="00D43FFE" w:rsidP="00D43FFE">
      <w:pPr>
        <w:spacing w:after="0"/>
        <w:rPr>
          <w:rFonts w:ascii="Arial" w:eastAsia="Geomanist Light" w:hAnsi="Arial" w:cs="Arial"/>
          <w:color w:val="000000" w:themeColor="text1"/>
          <w:lang w:val="es-MX"/>
        </w:rPr>
      </w:pPr>
    </w:p>
    <w:p w14:paraId="20FDD45E" w14:textId="77777777" w:rsidR="00D43FFE" w:rsidRDefault="00D43FFE" w:rsidP="00D43FFE">
      <w:pPr>
        <w:spacing w:after="0"/>
        <w:rPr>
          <w:rFonts w:ascii="Arial" w:eastAsia="Geomanist Light" w:hAnsi="Arial" w:cs="Arial"/>
          <w:color w:val="000000" w:themeColor="text1"/>
          <w:lang w:val="es-MX"/>
        </w:rPr>
      </w:pPr>
    </w:p>
    <w:p w14:paraId="44C8D2F2" w14:textId="77777777" w:rsidR="00D43FFE" w:rsidRDefault="00D43FFE" w:rsidP="00D43FFE">
      <w:pPr>
        <w:spacing w:after="0"/>
        <w:rPr>
          <w:rFonts w:ascii="Arial" w:eastAsia="Geomanist Light" w:hAnsi="Arial" w:cs="Arial"/>
          <w:color w:val="000000" w:themeColor="text1"/>
          <w:lang w:val="es-MX"/>
        </w:rPr>
      </w:pPr>
    </w:p>
    <w:p w14:paraId="262959A7" w14:textId="77777777" w:rsidR="00A7750F" w:rsidRDefault="00A7750F" w:rsidP="00D43FFE">
      <w:pPr>
        <w:spacing w:after="0"/>
        <w:rPr>
          <w:rFonts w:ascii="Arial" w:eastAsia="Geomanist Light" w:hAnsi="Arial" w:cs="Arial"/>
          <w:color w:val="000000" w:themeColor="text1"/>
          <w:lang w:val="es-MX"/>
        </w:rPr>
      </w:pPr>
    </w:p>
    <w:p w14:paraId="7729DD9E" w14:textId="77777777" w:rsidR="00A7750F" w:rsidRDefault="00A7750F" w:rsidP="00D43FFE">
      <w:pPr>
        <w:spacing w:after="0"/>
        <w:rPr>
          <w:rFonts w:ascii="Arial" w:eastAsia="Geomanist Light" w:hAnsi="Arial" w:cs="Arial"/>
          <w:color w:val="000000" w:themeColor="text1"/>
          <w:lang w:val="es-MX"/>
        </w:rPr>
      </w:pPr>
    </w:p>
    <w:p w14:paraId="42073C52" w14:textId="77777777" w:rsidR="00A7750F" w:rsidRDefault="00A7750F" w:rsidP="00D43FFE">
      <w:pPr>
        <w:spacing w:after="0"/>
        <w:rPr>
          <w:rFonts w:ascii="Arial" w:eastAsia="Geomanist Light" w:hAnsi="Arial" w:cs="Arial"/>
          <w:color w:val="000000" w:themeColor="text1"/>
          <w:lang w:val="es-MX"/>
        </w:rPr>
      </w:pPr>
    </w:p>
    <w:p w14:paraId="1E9B85E2" w14:textId="77777777" w:rsidR="00A7750F" w:rsidRDefault="00A7750F" w:rsidP="00D43FFE">
      <w:pPr>
        <w:spacing w:after="0"/>
        <w:rPr>
          <w:rFonts w:ascii="Arial" w:eastAsia="Geomanist Light" w:hAnsi="Arial" w:cs="Arial"/>
          <w:color w:val="000000" w:themeColor="text1"/>
          <w:lang w:val="es-MX"/>
        </w:rPr>
      </w:pPr>
    </w:p>
    <w:p w14:paraId="67515B9D" w14:textId="77777777" w:rsidR="00D43FFE" w:rsidRDefault="00D43FFE" w:rsidP="00D43FFE">
      <w:pPr>
        <w:spacing w:after="0"/>
        <w:rPr>
          <w:rFonts w:ascii="Arial" w:eastAsia="Geomanist Light" w:hAnsi="Arial" w:cs="Arial"/>
          <w:color w:val="000000" w:themeColor="text1"/>
          <w:lang w:val="es-MX"/>
        </w:rPr>
      </w:pPr>
    </w:p>
    <w:p w14:paraId="37347DBD" w14:textId="77777777" w:rsidR="00D43FFE" w:rsidRDefault="00D43FFE" w:rsidP="00D43FFE">
      <w:pPr>
        <w:contextualSpacing/>
        <w:jc w:val="both"/>
        <w:rPr>
          <w:rFonts w:ascii="Arial" w:eastAsia="Geomanist Light" w:hAnsi="Arial" w:cs="Arial"/>
          <w:color w:val="000000" w:themeColor="text1"/>
          <w:lang w:val="es-MX"/>
        </w:rPr>
      </w:pPr>
    </w:p>
    <w:p w14:paraId="18BA5375" w14:textId="77777777" w:rsidR="00A7750F" w:rsidRDefault="00A7750F" w:rsidP="00A7750F">
      <w:pPr>
        <w:pStyle w:val="Textoindependiente"/>
        <w:spacing w:before="93"/>
      </w:pPr>
      <w:r>
        <w:rPr>
          <w:noProof/>
        </w:rPr>
        <w:drawing>
          <wp:anchor distT="0" distB="0" distL="0" distR="0" simplePos="0" relativeHeight="251659264" behindDoc="0" locked="0" layoutInCell="1" allowOverlap="1" wp14:anchorId="5274E90B" wp14:editId="6A1D2D73">
            <wp:simplePos x="0" y="0"/>
            <wp:positionH relativeFrom="page">
              <wp:posOffset>4471670</wp:posOffset>
            </wp:positionH>
            <wp:positionV relativeFrom="paragraph">
              <wp:posOffset>63624</wp:posOffset>
            </wp:positionV>
            <wp:extent cx="2400300" cy="615949"/>
            <wp:effectExtent l="0" t="0" r="0" b="0"/>
            <wp:wrapNone/>
            <wp:docPr id="906757568" name="Imagen 90675756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57568" name="Imagen 906757568"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t>Bogotá</w:t>
      </w:r>
      <w:r>
        <w:rPr>
          <w:spacing w:val="-4"/>
        </w:rPr>
        <w:t xml:space="preserve"> </w:t>
      </w:r>
      <w:r>
        <w:t>D.C.,</w:t>
      </w:r>
      <w:r>
        <w:rPr>
          <w:spacing w:val="-3"/>
        </w:rPr>
        <w:t xml:space="preserve"> </w:t>
      </w:r>
      <w:r>
        <w:t>08</w:t>
      </w:r>
      <w:r>
        <w:rPr>
          <w:spacing w:val="-3"/>
        </w:rPr>
        <w:t xml:space="preserve"> </w:t>
      </w:r>
      <w:r>
        <w:t>de</w:t>
      </w:r>
      <w:r>
        <w:rPr>
          <w:spacing w:val="-3"/>
        </w:rPr>
        <w:t xml:space="preserve"> </w:t>
      </w:r>
      <w:r>
        <w:t>Junio de</w:t>
      </w:r>
      <w:r>
        <w:rPr>
          <w:spacing w:val="-3"/>
        </w:rPr>
        <w:t xml:space="preserve"> </w:t>
      </w:r>
      <w:r>
        <w:t>2023</w:t>
      </w:r>
    </w:p>
    <w:p w14:paraId="3F206707" w14:textId="77777777" w:rsidR="00A7750F" w:rsidRDefault="00A7750F" w:rsidP="00A7750F">
      <w:pPr>
        <w:pStyle w:val="Textoindependiente"/>
        <w:rPr>
          <w:sz w:val="24"/>
        </w:rPr>
      </w:pPr>
    </w:p>
    <w:p w14:paraId="591D41DF" w14:textId="77777777" w:rsidR="00A7750F" w:rsidRDefault="00A7750F" w:rsidP="00A7750F">
      <w:pPr>
        <w:pStyle w:val="Textoindependiente"/>
        <w:spacing w:before="2"/>
        <w:rPr>
          <w:sz w:val="25"/>
        </w:rPr>
      </w:pPr>
    </w:p>
    <w:p w14:paraId="55DA46E6" w14:textId="77777777" w:rsidR="00BF394F" w:rsidRDefault="00BF394F" w:rsidP="00D43FFE">
      <w:pPr>
        <w:contextualSpacing/>
        <w:jc w:val="both"/>
        <w:rPr>
          <w:rFonts w:ascii="Arial" w:eastAsia="Calibri" w:hAnsi="Arial" w:cs="Arial"/>
          <w:lang w:eastAsia="es-ES_tradnl"/>
        </w:rPr>
      </w:pPr>
    </w:p>
    <w:p w14:paraId="73C87E1E" w14:textId="20AE32A9" w:rsidR="00D43FFE" w:rsidRDefault="00D43FFE" w:rsidP="00D43FFE">
      <w:pPr>
        <w:contextualSpacing/>
        <w:jc w:val="both"/>
        <w:rPr>
          <w:rFonts w:ascii="Arial" w:eastAsia="Calibri" w:hAnsi="Arial" w:cs="Arial"/>
          <w:lang w:eastAsia="es-ES_tradnl"/>
        </w:rPr>
      </w:pPr>
      <w:r w:rsidRPr="0006291B">
        <w:rPr>
          <w:rFonts w:ascii="Arial" w:eastAsia="Calibri" w:hAnsi="Arial" w:cs="Arial"/>
          <w:lang w:eastAsia="es-ES_tradnl"/>
        </w:rPr>
        <w:t>Señor</w:t>
      </w:r>
    </w:p>
    <w:p w14:paraId="6D9B4985" w14:textId="77777777" w:rsidR="00D43FFE" w:rsidRPr="00DD2C57" w:rsidRDefault="00D43FFE" w:rsidP="00D43FFE">
      <w:pPr>
        <w:contextualSpacing/>
        <w:jc w:val="both"/>
        <w:rPr>
          <w:rFonts w:ascii="Arial" w:eastAsia="Calibri" w:hAnsi="Arial" w:cs="Arial"/>
          <w:b/>
          <w:bCs/>
          <w:lang w:eastAsia="es-ES_tradnl"/>
        </w:rPr>
      </w:pPr>
      <w:r w:rsidRPr="00DD2C57">
        <w:rPr>
          <w:rFonts w:ascii="Arial" w:eastAsia="Calibri" w:hAnsi="Arial" w:cs="Arial"/>
          <w:b/>
          <w:bCs/>
          <w:lang w:eastAsia="es-ES_tradnl"/>
        </w:rPr>
        <w:t xml:space="preserve">Gian Carlo Suescún Sanabria </w:t>
      </w:r>
    </w:p>
    <w:p w14:paraId="796060A2" w14:textId="77777777" w:rsidR="00D43FFE" w:rsidRPr="0006291B" w:rsidRDefault="00D43FFE" w:rsidP="00D43FFE">
      <w:pPr>
        <w:contextualSpacing/>
        <w:jc w:val="both"/>
        <w:rPr>
          <w:rFonts w:ascii="Arial" w:eastAsia="Calibri" w:hAnsi="Arial" w:cs="Arial"/>
          <w:bCs/>
          <w:lang w:eastAsia="es-ES_tradnl"/>
        </w:rPr>
      </w:pPr>
      <w:r>
        <w:rPr>
          <w:rFonts w:ascii="Arial" w:eastAsia="Calibri" w:hAnsi="Arial" w:cs="Arial"/>
          <w:lang w:eastAsia="es-ES_tradnl"/>
        </w:rPr>
        <w:t>Ciudad</w:t>
      </w:r>
    </w:p>
    <w:p w14:paraId="016827A8" w14:textId="77777777" w:rsidR="00D43FFE" w:rsidRPr="00C046D8" w:rsidRDefault="00D43FFE" w:rsidP="00D43FFE">
      <w:pPr>
        <w:contextualSpacing/>
        <w:jc w:val="both"/>
        <w:rPr>
          <w:rFonts w:ascii="Arial" w:eastAsia="Calibri" w:hAnsi="Arial" w:cs="Arial"/>
          <w:lang w:val="es-ES_tradnl" w:eastAsia="es-ES_tradnl"/>
        </w:rPr>
      </w:pPr>
    </w:p>
    <w:p w14:paraId="13C614CD" w14:textId="77777777" w:rsidR="00D43FFE" w:rsidRPr="00C046D8" w:rsidRDefault="00D43FFE" w:rsidP="00D43FFE">
      <w:pPr>
        <w:contextualSpacing/>
        <w:rPr>
          <w:rFonts w:ascii="Arial" w:eastAsia="Calibri" w:hAnsi="Arial" w:cs="Arial"/>
          <w:b/>
          <w:bCs/>
          <w:lang w:val="es-ES_tradnl" w:eastAsia="es-ES_tradnl"/>
        </w:rPr>
      </w:pPr>
    </w:p>
    <w:p w14:paraId="3118BBDD" w14:textId="77777777" w:rsidR="00D43FFE" w:rsidRPr="00C046D8" w:rsidRDefault="00D43FFE" w:rsidP="00D43FFE">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185</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1CEBE5E4" w14:textId="77777777" w:rsidR="00D43FFE" w:rsidRPr="00C046D8" w:rsidRDefault="00D43FFE" w:rsidP="00D43FFE">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43FFE" w:rsidRPr="00C046D8" w14:paraId="2D8BFE3C" w14:textId="77777777">
        <w:tc>
          <w:tcPr>
            <w:tcW w:w="2689" w:type="dxa"/>
          </w:tcPr>
          <w:p w14:paraId="20DF1A6F" w14:textId="77777777" w:rsidR="00D43FFE" w:rsidRPr="00C046D8" w:rsidRDefault="00D43FFE">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2A05D1CE" w14:textId="77777777" w:rsidR="00D43FFE" w:rsidRDefault="00D43FFE">
            <w:pPr>
              <w:spacing w:after="120"/>
              <w:contextualSpacing/>
              <w:jc w:val="both"/>
              <w:rPr>
                <w:rFonts w:ascii="Arial" w:eastAsia="Calibri" w:hAnsi="Arial" w:cs="Arial"/>
                <w:bCs/>
                <w:lang w:val="es-MX" w:eastAsia="es-ES_tradnl"/>
              </w:rPr>
            </w:pPr>
            <w:r w:rsidRPr="0017568B">
              <w:rPr>
                <w:rFonts w:ascii="Arial" w:eastAsia="Calibri" w:hAnsi="Arial" w:cs="Arial"/>
                <w:bCs/>
                <w:lang w:val="es-MX" w:eastAsia="es-ES_tradnl"/>
              </w:rPr>
              <w:t xml:space="preserve">REGISTRO ÚNICO DE PROPONENTES – Concepto / RUP – Sujetos obligados </w:t>
            </w:r>
            <w:r w:rsidRPr="0017568B">
              <w:rPr>
                <w:rFonts w:ascii="Arial" w:eastAsia="Calibri" w:hAnsi="Arial" w:cs="Arial"/>
                <w:color w:val="000000"/>
                <w:lang w:val="es-ES_tradnl" w:eastAsia="es-ES_tradnl"/>
              </w:rPr>
              <w:t>CONCURSO DE MÉRITOS – Concepto – Modalidades / CONCURSO DE MÉRITOS – Decreto 1082 de 2015 – Artículo 2.2.1.2.1.3.2 – Suspensión provisional / CONCURSO DE MÉRITOS – Modificación – Decreto 399 de 2021 – Artículo 2 / SUBSANIBILIDAD DE LAS OFERTAS – Principio de selección objetiva – Ley 1882 de 2018 – Ámbito temporal.</w:t>
            </w:r>
          </w:p>
          <w:p w14:paraId="3C4E93E1" w14:textId="77777777" w:rsidR="00D43FFE" w:rsidRPr="0006291B" w:rsidRDefault="00D43FFE">
            <w:pPr>
              <w:spacing w:after="120"/>
              <w:contextualSpacing/>
              <w:jc w:val="both"/>
              <w:rPr>
                <w:rFonts w:ascii="Arial" w:eastAsia="Calibri" w:hAnsi="Arial" w:cs="Arial"/>
                <w:bCs/>
                <w:sz w:val="12"/>
                <w:szCs w:val="12"/>
                <w:lang w:val="es-ES_tradnl" w:eastAsia="es-ES_tradnl"/>
              </w:rPr>
            </w:pPr>
          </w:p>
        </w:tc>
      </w:tr>
      <w:tr w:rsidR="00D43FFE" w:rsidRPr="00C046D8" w14:paraId="563D92D2" w14:textId="77777777">
        <w:trPr>
          <w:trHeight w:val="227"/>
        </w:trPr>
        <w:tc>
          <w:tcPr>
            <w:tcW w:w="2689" w:type="dxa"/>
          </w:tcPr>
          <w:p w14:paraId="6EA51DB5" w14:textId="77777777" w:rsidR="00D43FFE" w:rsidRPr="00C046D8" w:rsidRDefault="00D43FFE">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4F71A7C2" w14:textId="77777777" w:rsidR="00D43FFE" w:rsidRPr="00C046D8" w:rsidRDefault="00D43FFE">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DD2C57">
              <w:rPr>
                <w:rFonts w:ascii="Arial" w:eastAsia="Calibri" w:hAnsi="Arial" w:cs="Arial"/>
                <w:lang w:val="es-ES_tradnl" w:eastAsia="es-ES_tradnl"/>
              </w:rPr>
              <w:t>P20230426003709</w:t>
            </w:r>
          </w:p>
        </w:tc>
      </w:tr>
    </w:tbl>
    <w:p w14:paraId="133657DC" w14:textId="77777777" w:rsidR="00D43FFE" w:rsidRPr="00C046D8" w:rsidRDefault="00D43FFE" w:rsidP="00D43FFE">
      <w:pPr>
        <w:contextualSpacing/>
        <w:jc w:val="both"/>
        <w:rPr>
          <w:rFonts w:ascii="Arial" w:eastAsia="Calibri" w:hAnsi="Arial" w:cs="Arial"/>
          <w:lang w:val="es-ES_tradnl" w:eastAsia="es-ES_tradnl"/>
        </w:rPr>
      </w:pPr>
    </w:p>
    <w:p w14:paraId="26D55709" w14:textId="77777777" w:rsidR="00D43FFE" w:rsidRPr="00C046D8" w:rsidRDefault="00D43FFE" w:rsidP="00D43FFE">
      <w:pPr>
        <w:contextualSpacing/>
        <w:jc w:val="both"/>
        <w:rPr>
          <w:rFonts w:ascii="Arial" w:eastAsia="Calibri" w:hAnsi="Arial" w:cs="Arial"/>
          <w:lang w:val="es-ES_tradnl" w:eastAsia="es-ES_tradnl"/>
        </w:rPr>
      </w:pPr>
    </w:p>
    <w:p w14:paraId="6178AC04" w14:textId="77777777" w:rsidR="00D43FFE" w:rsidRPr="00C046D8" w:rsidRDefault="00D43FFE" w:rsidP="00D43FFE">
      <w:pPr>
        <w:contextualSpacing/>
        <w:jc w:val="both"/>
        <w:rPr>
          <w:rFonts w:ascii="Arial" w:eastAsia="Calibri" w:hAnsi="Arial" w:cs="Arial"/>
          <w:lang w:val="es-ES" w:eastAsia="es-ES"/>
        </w:rPr>
      </w:pPr>
      <w:r w:rsidRPr="293D6149">
        <w:rPr>
          <w:rFonts w:ascii="Arial" w:eastAsia="Calibri" w:hAnsi="Arial" w:cs="Arial"/>
          <w:lang w:val="es-ES" w:eastAsia="es-ES"/>
        </w:rPr>
        <w:t>Respetad</w:t>
      </w:r>
      <w:r>
        <w:rPr>
          <w:rFonts w:ascii="Arial" w:eastAsia="Calibri" w:hAnsi="Arial" w:cs="Arial"/>
          <w:lang w:val="es-ES" w:eastAsia="es-ES"/>
        </w:rPr>
        <w:t>a</w:t>
      </w:r>
      <w:r w:rsidRPr="293D6149">
        <w:rPr>
          <w:rFonts w:ascii="Arial" w:eastAsia="Calibri" w:hAnsi="Arial" w:cs="Arial"/>
          <w:lang w:val="es-ES" w:eastAsia="es-ES"/>
        </w:rPr>
        <w:t xml:space="preserve"> señor</w:t>
      </w:r>
      <w:r>
        <w:rPr>
          <w:rFonts w:ascii="Arial" w:eastAsia="Calibri" w:hAnsi="Arial" w:cs="Arial"/>
          <w:lang w:val="es-ES" w:eastAsia="es-ES"/>
        </w:rPr>
        <w:t>a</w:t>
      </w:r>
      <w:r w:rsidRPr="293D6149">
        <w:rPr>
          <w:rFonts w:ascii="Arial" w:eastAsia="Calibri" w:hAnsi="Arial" w:cs="Arial"/>
          <w:lang w:val="es-ES" w:eastAsia="es-ES"/>
        </w:rPr>
        <w:t xml:space="preserve"> </w:t>
      </w:r>
      <w:r w:rsidRPr="00225C47">
        <w:rPr>
          <w:rFonts w:ascii="Arial" w:eastAsia="Calibri" w:hAnsi="Arial" w:cs="Arial"/>
          <w:lang w:val="es-ES" w:eastAsia="es-ES"/>
        </w:rPr>
        <w:t>Ascencio</w:t>
      </w:r>
      <w:r w:rsidRPr="293D6149">
        <w:rPr>
          <w:rFonts w:ascii="Arial" w:eastAsia="Calibri" w:hAnsi="Arial" w:cs="Arial"/>
          <w:lang w:val="es-ES" w:eastAsia="es-ES"/>
        </w:rPr>
        <w:t>:</w:t>
      </w:r>
      <w:r>
        <w:rPr>
          <w:rFonts w:ascii="Arial" w:eastAsia="Calibri" w:hAnsi="Arial" w:cs="Arial"/>
          <w:lang w:val="es-ES" w:eastAsia="es-ES"/>
        </w:rPr>
        <w:t xml:space="preserve"> </w:t>
      </w:r>
    </w:p>
    <w:p w14:paraId="6D6BF4AF" w14:textId="77777777" w:rsidR="00D43FFE" w:rsidRPr="00C046D8" w:rsidRDefault="00D43FFE" w:rsidP="00D43FFE">
      <w:pPr>
        <w:spacing w:line="276" w:lineRule="auto"/>
        <w:contextualSpacing/>
        <w:jc w:val="both"/>
        <w:rPr>
          <w:rFonts w:ascii="Arial" w:eastAsia="Calibri" w:hAnsi="Arial" w:cs="Arial"/>
          <w:szCs w:val="24"/>
          <w:lang w:val="es-ES_tradnl" w:eastAsia="es-ES_tradnl"/>
        </w:rPr>
      </w:pPr>
    </w:p>
    <w:bookmarkEnd w:id="0"/>
    <w:bookmarkEnd w:id="1"/>
    <w:p w14:paraId="6196D89B" w14:textId="77777777" w:rsidR="00D43FFE" w:rsidRPr="00504597" w:rsidRDefault="00D43FFE" w:rsidP="00D43FFE">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3" w:name="_Hlk99120496"/>
      <w:r w:rsidRPr="00E87A11">
        <w:rPr>
          <w:rFonts w:ascii="Arial MT" w:eastAsia="Arial MT" w:hAnsi="Arial MT" w:cs="Arial MT"/>
          <w:lang w:val="es-ES"/>
        </w:rPr>
        <w:t xml:space="preserve">, </w:t>
      </w:r>
      <w:bookmarkEnd w:id="3"/>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25 de abril de 2023</w:t>
      </w:r>
      <w:r w:rsidRPr="00504597">
        <w:rPr>
          <w:rFonts w:ascii="Arial" w:eastAsia="Calibri" w:hAnsi="Arial" w:cs="Arial"/>
          <w:color w:val="000000" w:themeColor="text1"/>
          <w:lang w:val="es-ES_tradnl"/>
        </w:rPr>
        <w:t>.</w:t>
      </w:r>
    </w:p>
    <w:p w14:paraId="73009609" w14:textId="77777777" w:rsidR="00D43FFE" w:rsidRPr="00504597" w:rsidRDefault="00D43FFE" w:rsidP="00D43FFE">
      <w:pPr>
        <w:spacing w:after="0" w:line="276" w:lineRule="auto"/>
        <w:jc w:val="both"/>
        <w:rPr>
          <w:rFonts w:ascii="Arial" w:eastAsia="Calibri" w:hAnsi="Arial" w:cs="Arial"/>
          <w:b/>
          <w:color w:val="000000" w:themeColor="text1"/>
          <w:lang w:val="es-ES_tradnl"/>
        </w:rPr>
      </w:pPr>
    </w:p>
    <w:p w14:paraId="7888CE67" w14:textId="77777777" w:rsidR="00D43FFE" w:rsidRPr="00504597" w:rsidRDefault="00D43FFE" w:rsidP="00D43FFE">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w:t>
      </w:r>
    </w:p>
    <w:p w14:paraId="33633E6E" w14:textId="77777777" w:rsidR="00D43FFE" w:rsidRPr="00504597" w:rsidRDefault="00D43FFE" w:rsidP="00D43FFE">
      <w:pPr>
        <w:tabs>
          <w:tab w:val="left" w:pos="426"/>
        </w:tabs>
        <w:spacing w:after="0" w:line="276" w:lineRule="auto"/>
        <w:jc w:val="both"/>
        <w:rPr>
          <w:rFonts w:ascii="Arial" w:eastAsia="Calibri" w:hAnsi="Arial" w:cs="Arial"/>
          <w:b/>
          <w:color w:val="000000" w:themeColor="text1"/>
          <w:lang w:val="es-ES_tradnl"/>
        </w:rPr>
      </w:pPr>
    </w:p>
    <w:p w14:paraId="015EC2EE" w14:textId="77777777" w:rsidR="00D43FFE" w:rsidRDefault="00D43FFE" w:rsidP="00D43FFE">
      <w:pPr>
        <w:spacing w:after="0" w:line="276" w:lineRule="auto"/>
        <w:jc w:val="both"/>
        <w:rPr>
          <w:rFonts w:ascii="Arial" w:hAnsi="Arial" w:cs="Arial"/>
          <w:color w:val="000000" w:themeColor="text1"/>
          <w:lang w:val="es-ES_tradnl"/>
        </w:rPr>
      </w:pPr>
      <w:r>
        <w:rPr>
          <w:rFonts w:ascii="Arial" w:hAnsi="Arial" w:cs="Arial"/>
          <w:color w:val="000000" w:themeColor="text1"/>
          <w:lang w:val="es-ES_tradnl"/>
        </w:rPr>
        <w:t>Usted realiza las siguientes preguntas</w:t>
      </w:r>
      <w:r w:rsidRPr="00504597">
        <w:rPr>
          <w:rFonts w:ascii="Arial" w:hAnsi="Arial" w:cs="Arial"/>
          <w:color w:val="000000" w:themeColor="text1"/>
          <w:lang w:val="es-ES_tradnl"/>
        </w:rPr>
        <w:t>:</w:t>
      </w:r>
    </w:p>
    <w:p w14:paraId="2B68C415" w14:textId="77777777" w:rsidR="00D43FFE" w:rsidRPr="00DD2C57" w:rsidRDefault="00D43FFE" w:rsidP="00D43FFE">
      <w:pPr>
        <w:spacing w:after="0" w:line="240" w:lineRule="auto"/>
        <w:ind w:left="567" w:right="615"/>
        <w:jc w:val="both"/>
        <w:rPr>
          <w:rFonts w:ascii="Arial" w:hAnsi="Arial" w:cs="Arial"/>
          <w:color w:val="000000" w:themeColor="text1"/>
          <w:sz w:val="21"/>
          <w:szCs w:val="21"/>
          <w:lang w:val="es-ES_tradnl"/>
        </w:rPr>
      </w:pPr>
    </w:p>
    <w:p w14:paraId="6D372621" w14:textId="77777777" w:rsidR="00D43FFE" w:rsidRPr="00DD2C57" w:rsidRDefault="00D43FFE" w:rsidP="00D43FFE">
      <w:pPr>
        <w:spacing w:after="0" w:line="240" w:lineRule="auto"/>
        <w:ind w:left="567" w:right="615"/>
        <w:jc w:val="both"/>
        <w:rPr>
          <w:rFonts w:ascii="Arial" w:hAnsi="Arial" w:cs="Arial"/>
          <w:color w:val="000000" w:themeColor="text1"/>
          <w:sz w:val="21"/>
          <w:szCs w:val="21"/>
        </w:rPr>
      </w:pPr>
      <w:r>
        <w:rPr>
          <w:rFonts w:ascii="Arial" w:hAnsi="Arial" w:cs="Arial"/>
          <w:color w:val="000000" w:themeColor="text1"/>
          <w:sz w:val="21"/>
          <w:szCs w:val="21"/>
        </w:rPr>
        <w:t>“</w:t>
      </w:r>
      <w:r w:rsidRPr="00DD2C57">
        <w:rPr>
          <w:rFonts w:ascii="Arial" w:hAnsi="Arial" w:cs="Arial"/>
          <w:color w:val="000000" w:themeColor="text1"/>
          <w:sz w:val="21"/>
          <w:szCs w:val="21"/>
        </w:rPr>
        <w:t xml:space="preserve">En un proceso para una consultoría de transporte, un proponente plural conformado por dos o más integrantes, con porcentajes de participación donde según lo establecido en el pliego tipo, todos requieren acreditar experiencia dentro de la propuesta, pero uno de ellos, aunque presenta en debida forma los documentos donde se evidencia que cumple con la experiencia requerida, aporta su RUP con fecha de expedición mayor a 30 días con respecto al momento del cierre del proceso; mientras los otros integrantes, aportan en debida forma, tanto los documentos para acreditar la experiencia, como su RUP se encuentra expedido dentro del plazo señalado en el pliego tipo. </w:t>
      </w:r>
    </w:p>
    <w:p w14:paraId="77BEB6C9" w14:textId="77777777" w:rsidR="00D43FFE" w:rsidRPr="00DD2C57" w:rsidRDefault="00D43FFE" w:rsidP="00D43FFE">
      <w:pPr>
        <w:spacing w:after="0" w:line="240" w:lineRule="auto"/>
        <w:ind w:left="567" w:right="615"/>
        <w:jc w:val="both"/>
        <w:rPr>
          <w:rFonts w:ascii="Arial" w:hAnsi="Arial" w:cs="Arial"/>
          <w:color w:val="000000" w:themeColor="text1"/>
          <w:sz w:val="21"/>
          <w:szCs w:val="21"/>
        </w:rPr>
      </w:pPr>
    </w:p>
    <w:p w14:paraId="6A7729BD" w14:textId="77777777" w:rsidR="00D43FFE" w:rsidRPr="00DD2C57" w:rsidRDefault="00D43FFE" w:rsidP="00D43FFE">
      <w:pPr>
        <w:spacing w:after="0" w:line="240" w:lineRule="auto"/>
        <w:ind w:left="567" w:right="615"/>
        <w:jc w:val="both"/>
        <w:rPr>
          <w:rFonts w:ascii="Arial" w:hAnsi="Arial" w:cs="Arial"/>
          <w:color w:val="000000" w:themeColor="text1"/>
          <w:sz w:val="21"/>
          <w:szCs w:val="21"/>
        </w:rPr>
      </w:pPr>
      <w:r w:rsidRPr="00DD2C57">
        <w:rPr>
          <w:rFonts w:ascii="Arial" w:hAnsi="Arial" w:cs="Arial"/>
          <w:color w:val="000000" w:themeColor="text1"/>
          <w:sz w:val="21"/>
          <w:szCs w:val="21"/>
        </w:rPr>
        <w:t>De acuerdo con lo anterior y teniendo en cuenta que uno de los integrantes de la figura plural debe subsanar su RUP, ¿implicaría esto que, no se le otorgue puntaje por concepto de FACTOR DE EXPERIENCIA al proponente plural, a pesar que, sus otros integrantes si cumplieron a cabalidad con todas las exigencias del pliego tipo?</w:t>
      </w:r>
    </w:p>
    <w:p w14:paraId="78892713" w14:textId="77777777" w:rsidR="00D43FFE" w:rsidRPr="00DD2C57" w:rsidRDefault="00D43FFE" w:rsidP="00D43FFE">
      <w:pPr>
        <w:spacing w:after="0" w:line="240" w:lineRule="auto"/>
        <w:ind w:left="567" w:right="615"/>
        <w:jc w:val="both"/>
        <w:rPr>
          <w:rFonts w:ascii="Arial" w:hAnsi="Arial" w:cs="Arial"/>
          <w:color w:val="000000" w:themeColor="text1"/>
          <w:sz w:val="21"/>
          <w:szCs w:val="21"/>
        </w:rPr>
      </w:pPr>
    </w:p>
    <w:p w14:paraId="40AD07ED" w14:textId="77777777" w:rsidR="00D43FFE" w:rsidRPr="00DD2C57" w:rsidRDefault="00D43FFE" w:rsidP="00D43FFE">
      <w:pPr>
        <w:spacing w:after="0" w:line="240" w:lineRule="auto"/>
        <w:ind w:left="567" w:right="615"/>
        <w:jc w:val="both"/>
        <w:rPr>
          <w:rFonts w:ascii="Arial" w:hAnsi="Arial" w:cs="Arial"/>
          <w:color w:val="000000" w:themeColor="text1"/>
          <w:sz w:val="21"/>
          <w:szCs w:val="21"/>
          <w:lang w:val="es-ES_tradnl"/>
        </w:rPr>
      </w:pPr>
      <w:r w:rsidRPr="00DD2C57">
        <w:rPr>
          <w:rFonts w:ascii="Arial" w:hAnsi="Arial" w:cs="Arial"/>
          <w:color w:val="000000" w:themeColor="text1"/>
          <w:sz w:val="21"/>
          <w:szCs w:val="21"/>
        </w:rPr>
        <w:t>O, por el contrario, ¿Es posible subsanar el RUP del integrante, y con ello acreditar la experiencia del mismo para efectos de habilitación de la propuesta, excluyendo la experiencia derivada del RUP subsanado del promedio de SMMLV objeto de ponderación de la experiencia? Es decir, para efectos de ponderación del FACTOR DE EXPERIENCIA de la propuesta, considerar únicamente la experiencia derivada de los integrantes que no tuvieron requerimiento alguno de subsanación respecto su experiencia</w:t>
      </w:r>
      <w:r>
        <w:rPr>
          <w:rFonts w:ascii="Arial" w:hAnsi="Arial" w:cs="Arial"/>
          <w:color w:val="000000" w:themeColor="text1"/>
          <w:sz w:val="21"/>
          <w:szCs w:val="21"/>
        </w:rPr>
        <w:t>”</w:t>
      </w:r>
      <w:r w:rsidRPr="00DD2C57">
        <w:rPr>
          <w:rFonts w:ascii="Arial" w:hAnsi="Arial" w:cs="Arial"/>
          <w:color w:val="000000" w:themeColor="text1"/>
          <w:sz w:val="21"/>
          <w:szCs w:val="21"/>
        </w:rPr>
        <w:t>.</w:t>
      </w:r>
    </w:p>
    <w:p w14:paraId="4915EB09" w14:textId="77777777" w:rsidR="00D43FFE" w:rsidRPr="00466C39" w:rsidRDefault="00D43FFE" w:rsidP="00D43FFE">
      <w:pPr>
        <w:spacing w:after="0" w:line="276" w:lineRule="auto"/>
        <w:ind w:right="709"/>
        <w:jc w:val="both"/>
        <w:rPr>
          <w:rFonts w:ascii="Arial" w:hAnsi="Arial" w:cs="Arial"/>
          <w:color w:val="000000" w:themeColor="text1"/>
        </w:rPr>
      </w:pPr>
    </w:p>
    <w:p w14:paraId="68E68D3C" w14:textId="77777777" w:rsidR="00D43FFE" w:rsidRPr="00504597" w:rsidRDefault="00D43FFE" w:rsidP="00D43FFE">
      <w:pPr>
        <w:pStyle w:val="Prrafodelista"/>
        <w:numPr>
          <w:ilvl w:val="0"/>
          <w:numId w:val="4"/>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Consideraciones</w:t>
      </w:r>
    </w:p>
    <w:p w14:paraId="6FC5363F" w14:textId="77777777" w:rsidR="00D43FFE" w:rsidRPr="00504597" w:rsidRDefault="00D43FFE" w:rsidP="00D43FFE">
      <w:pPr>
        <w:spacing w:after="0" w:line="276" w:lineRule="auto"/>
        <w:jc w:val="both"/>
        <w:rPr>
          <w:rFonts w:ascii="Arial" w:eastAsia="Calibri" w:hAnsi="Arial" w:cs="Arial"/>
          <w:color w:val="000000" w:themeColor="text1"/>
          <w:lang w:val="es-ES"/>
        </w:rPr>
      </w:pPr>
    </w:p>
    <w:p w14:paraId="7BBF0DF6" w14:textId="77777777" w:rsidR="00D43FFE" w:rsidRPr="00701DEE" w:rsidRDefault="00D43FFE" w:rsidP="00D43FFE">
      <w:pPr>
        <w:spacing w:after="0" w:line="276" w:lineRule="auto"/>
        <w:jc w:val="both"/>
        <w:rPr>
          <w:rFonts w:ascii="Arial" w:eastAsia="Calibri" w:hAnsi="Arial" w:cs="Arial"/>
          <w:color w:val="000000"/>
          <w:lang w:val="es-ES_tradnl" w:eastAsia="es-ES_tradnl"/>
        </w:rPr>
      </w:pPr>
      <w:r w:rsidRPr="00504597">
        <w:rPr>
          <w:rFonts w:ascii="Arial" w:eastAsia="Calibri" w:hAnsi="Arial" w:cs="Arial"/>
          <w:color w:val="000000" w:themeColor="text1"/>
        </w:rPr>
        <w:t xml:space="preserve">Para </w:t>
      </w:r>
      <w:r>
        <w:rPr>
          <w:rFonts w:ascii="Arial" w:eastAsia="Calibri" w:hAnsi="Arial" w:cs="Arial"/>
          <w:color w:val="000000" w:themeColor="text1"/>
        </w:rPr>
        <w:t>resolver</w:t>
      </w:r>
      <w:r w:rsidRPr="00504597">
        <w:rPr>
          <w:rFonts w:ascii="Arial" w:eastAsia="Calibri" w:hAnsi="Arial" w:cs="Arial"/>
          <w:color w:val="000000" w:themeColor="text1"/>
        </w:rPr>
        <w:t xml:space="preserve"> </w:t>
      </w:r>
      <w:r>
        <w:rPr>
          <w:rFonts w:ascii="Arial" w:eastAsia="Calibri" w:hAnsi="Arial" w:cs="Arial"/>
          <w:color w:val="000000" w:themeColor="text1"/>
        </w:rPr>
        <w:t>el problema planteado,</w:t>
      </w:r>
      <w:r w:rsidRPr="00504597">
        <w:rPr>
          <w:rFonts w:ascii="Arial" w:eastAsia="Calibri" w:hAnsi="Arial" w:cs="Arial"/>
          <w:color w:val="000000" w:themeColor="text1"/>
        </w:rPr>
        <w:t xml:space="preserve"> </w:t>
      </w:r>
      <w:r w:rsidRPr="00504597">
        <w:rPr>
          <w:rFonts w:ascii="Arial" w:eastAsia="Calibri" w:hAnsi="Arial" w:cs="Arial"/>
          <w:color w:val="000000" w:themeColor="text1"/>
          <w:lang w:val="es-ES"/>
        </w:rPr>
        <w:t xml:space="preserve">se </w:t>
      </w:r>
      <w:r>
        <w:rPr>
          <w:rFonts w:ascii="Arial" w:eastAsia="Calibri" w:hAnsi="Arial" w:cs="Arial"/>
          <w:color w:val="000000" w:themeColor="text1"/>
          <w:lang w:val="es-ES"/>
        </w:rPr>
        <w:t>abordarán</w:t>
      </w:r>
      <w:r w:rsidRPr="00504597">
        <w:rPr>
          <w:rFonts w:ascii="Arial" w:eastAsia="Calibri" w:hAnsi="Arial" w:cs="Arial"/>
          <w:color w:val="000000" w:themeColor="text1"/>
          <w:lang w:val="es-ES"/>
        </w:rPr>
        <w:t xml:space="preserve"> los siguientes temas</w:t>
      </w:r>
      <w:r w:rsidRPr="00504597">
        <w:rPr>
          <w:rFonts w:ascii="Arial" w:hAnsi="Arial" w:cs="Arial"/>
          <w:color w:val="000000" w:themeColor="text1"/>
          <w:lang w:val="es-ES"/>
        </w:rPr>
        <w:t xml:space="preserve">: </w:t>
      </w:r>
      <w:r w:rsidRPr="00504597">
        <w:rPr>
          <w:rFonts w:ascii="Arial" w:hAnsi="Arial" w:cs="Arial"/>
          <w:color w:val="000000" w:themeColor="text1"/>
          <w:lang w:val="es-ES_tradnl"/>
        </w:rPr>
        <w:t xml:space="preserve">i) </w:t>
      </w:r>
      <w:r>
        <w:rPr>
          <w:rFonts w:ascii="Arial" w:hAnsi="Arial" w:cs="Arial"/>
          <w:color w:val="000000" w:themeColor="text1"/>
          <w:lang w:val="es-ES_tradnl"/>
        </w:rPr>
        <w:t>o</w:t>
      </w:r>
      <w:r w:rsidRPr="00B35C0C">
        <w:rPr>
          <w:rFonts w:ascii="Arial" w:hAnsi="Arial" w:cs="Arial"/>
          <w:color w:val="000000" w:themeColor="text1"/>
          <w:lang w:val="es-ES_tradnl"/>
        </w:rPr>
        <w:t>bligatoriedad del Registro Único de Proponentes</w:t>
      </w:r>
      <w:r>
        <w:rPr>
          <w:rFonts w:ascii="Arial" w:hAnsi="Arial" w:cs="Arial"/>
          <w:color w:val="000000" w:themeColor="text1"/>
          <w:lang w:val="es-ES_tradnl"/>
        </w:rPr>
        <w:t>,</w:t>
      </w:r>
      <w:r w:rsidRPr="00504597">
        <w:rPr>
          <w:rFonts w:ascii="Arial" w:hAnsi="Arial" w:cs="Arial"/>
          <w:color w:val="000000" w:themeColor="text1"/>
          <w:lang w:val="es-ES"/>
        </w:rPr>
        <w:t xml:space="preserve"> </w:t>
      </w:r>
      <w:r>
        <w:rPr>
          <w:rFonts w:ascii="Arial" w:hAnsi="Arial" w:cs="Arial"/>
          <w:color w:val="000000" w:themeColor="text1"/>
          <w:lang w:val="es-ES"/>
        </w:rPr>
        <w:t>i</w:t>
      </w:r>
      <w:r w:rsidRPr="00482CF9">
        <w:rPr>
          <w:rFonts w:ascii="Arial" w:eastAsia="Calibri" w:hAnsi="Arial" w:cs="Arial"/>
          <w:color w:val="000000"/>
          <w:lang w:val="es-ES_tradnl"/>
        </w:rPr>
        <w:t>i) el procedimiento del concurso de méritos después de los autos de suspensión provisional del Consejo de Estado, i</w:t>
      </w:r>
      <w:r>
        <w:rPr>
          <w:rFonts w:ascii="Arial" w:eastAsia="Calibri" w:hAnsi="Arial" w:cs="Arial"/>
          <w:color w:val="000000"/>
          <w:lang w:val="es-ES_tradnl"/>
        </w:rPr>
        <w:t>i</w:t>
      </w:r>
      <w:r w:rsidRPr="00482CF9">
        <w:rPr>
          <w:rFonts w:ascii="Arial" w:eastAsia="Calibri" w:hAnsi="Arial" w:cs="Arial"/>
          <w:color w:val="000000"/>
          <w:lang w:val="es-ES_tradnl"/>
        </w:rPr>
        <w:t xml:space="preserve">i) la reglamentación de esta modalidad de selección en el Decreto 399 de 2021, </w:t>
      </w:r>
      <w:proofErr w:type="spellStart"/>
      <w:r>
        <w:rPr>
          <w:rFonts w:ascii="Arial" w:eastAsia="Calibri" w:hAnsi="Arial" w:cs="Arial"/>
          <w:color w:val="000000"/>
          <w:lang w:val="es-ES_tradnl"/>
        </w:rPr>
        <w:t>iv</w:t>
      </w:r>
      <w:proofErr w:type="spellEnd"/>
      <w:r w:rsidRPr="00482CF9">
        <w:rPr>
          <w:rFonts w:ascii="Arial" w:eastAsia="Calibri" w:hAnsi="Arial" w:cs="Arial"/>
          <w:color w:val="000000"/>
          <w:lang w:val="es-ES_tradnl"/>
        </w:rPr>
        <w:t xml:space="preserve">) la </w:t>
      </w:r>
      <w:proofErr w:type="spellStart"/>
      <w:r w:rsidRPr="00482CF9">
        <w:rPr>
          <w:rFonts w:ascii="Arial" w:eastAsia="Calibri" w:hAnsi="Arial" w:cs="Arial"/>
          <w:color w:val="000000"/>
          <w:lang w:val="es-ES_tradnl"/>
        </w:rPr>
        <w:t>subsanabilidad</w:t>
      </w:r>
      <w:proofErr w:type="spellEnd"/>
      <w:r w:rsidRPr="00482CF9">
        <w:rPr>
          <w:rFonts w:ascii="Arial" w:eastAsia="Calibri" w:hAnsi="Arial" w:cs="Arial"/>
          <w:color w:val="000000"/>
          <w:lang w:val="es-ES_tradnl"/>
        </w:rPr>
        <w:t xml:space="preserve"> de las ofertas en los procesos de selección del Estatuto General de la Contratación Pública</w:t>
      </w:r>
      <w:r>
        <w:rPr>
          <w:rFonts w:ascii="Arial" w:eastAsia="Calibri" w:hAnsi="Arial" w:cs="Arial"/>
          <w:color w:val="000000"/>
          <w:lang w:val="es-ES_tradnl"/>
        </w:rPr>
        <w:t xml:space="preserve"> y v</w:t>
      </w:r>
      <w:r w:rsidRPr="00701DEE">
        <w:rPr>
          <w:rFonts w:ascii="Arial" w:eastAsia="Calibri" w:hAnsi="Arial" w:cs="Arial"/>
          <w:color w:val="000000"/>
          <w:lang w:val="es-ES_tradnl" w:eastAsia="es-ES_tradnl"/>
        </w:rPr>
        <w:t>)</w:t>
      </w:r>
      <w:r w:rsidRPr="001D1C62">
        <w:rPr>
          <w:rFonts w:ascii="Arial" w:eastAsia="Calibri" w:hAnsi="Arial" w:cs="Arial"/>
          <w:color w:val="000000"/>
          <w:lang w:val="es-ES_tradnl" w:eastAsia="es-ES_tradnl"/>
        </w:rPr>
        <w:t xml:space="preserve"> modalidad de concurso de méritos para la contratación de la interventoría de obra pública de infraestructura de transporte, regulad</w:t>
      </w:r>
      <w:r>
        <w:rPr>
          <w:rFonts w:ascii="Arial" w:eastAsia="Calibri" w:hAnsi="Arial" w:cs="Arial"/>
          <w:color w:val="000000"/>
          <w:lang w:val="es-ES_tradnl" w:eastAsia="es-ES_tradnl"/>
        </w:rPr>
        <w:t>a</w:t>
      </w:r>
      <w:r w:rsidRPr="001D1C62">
        <w:rPr>
          <w:rFonts w:ascii="Arial" w:eastAsia="Calibri" w:hAnsi="Arial" w:cs="Arial"/>
          <w:color w:val="000000"/>
          <w:lang w:val="es-ES_tradnl" w:eastAsia="es-ES_tradnl"/>
        </w:rPr>
        <w:t xml:space="preserve"> en los documentos tipo vigentes</w:t>
      </w:r>
      <w:r>
        <w:rPr>
          <w:rFonts w:ascii="Arial" w:eastAsia="Calibri" w:hAnsi="Arial" w:cs="Arial"/>
          <w:color w:val="000000"/>
          <w:lang w:val="es-ES_tradnl" w:eastAsia="es-ES_tradnl"/>
        </w:rPr>
        <w:t>: el concurso de méritos abierto, sin precalificación</w:t>
      </w:r>
      <w:r w:rsidRPr="001D1C62">
        <w:rPr>
          <w:rFonts w:ascii="Arial" w:eastAsia="Calibri" w:hAnsi="Arial" w:cs="Arial"/>
          <w:color w:val="000000"/>
          <w:lang w:val="es-ES_tradnl" w:eastAsia="es-ES_tradnl"/>
        </w:rPr>
        <w:t>.</w:t>
      </w:r>
      <w:r>
        <w:rPr>
          <w:rFonts w:ascii="Arial" w:eastAsia="Calibri" w:hAnsi="Arial" w:cs="Arial"/>
          <w:color w:val="000000"/>
          <w:lang w:val="es-ES_tradnl" w:eastAsia="es-ES_tradnl"/>
        </w:rPr>
        <w:t xml:space="preserve">  </w:t>
      </w:r>
    </w:p>
    <w:p w14:paraId="6B8798F7" w14:textId="77777777" w:rsidR="00D43FFE" w:rsidRPr="0011000B" w:rsidRDefault="00D43FFE" w:rsidP="00D43FFE">
      <w:pPr>
        <w:spacing w:line="276" w:lineRule="auto"/>
        <w:jc w:val="both"/>
        <w:rPr>
          <w:rFonts w:ascii="Arial" w:eastAsia="Calibri" w:hAnsi="Arial" w:cs="Arial"/>
          <w:bCs/>
          <w:color w:val="000000" w:themeColor="text1"/>
          <w:lang w:val="es-ES_tradnl"/>
        </w:rPr>
      </w:pPr>
    </w:p>
    <w:p w14:paraId="4C042CA6" w14:textId="77777777" w:rsidR="00D43FFE" w:rsidRDefault="00D43FFE" w:rsidP="00D43FFE">
      <w:pPr>
        <w:spacing w:after="0" w:line="276" w:lineRule="auto"/>
        <w:jc w:val="both"/>
        <w:rPr>
          <w:rFonts w:ascii="Arial" w:hAnsi="Arial" w:cs="Arial"/>
          <w:bCs/>
          <w:color w:val="1A1A1A" w:themeColor="background1" w:themeShade="1A"/>
        </w:rPr>
      </w:pPr>
      <w:r>
        <w:rPr>
          <w:rFonts w:ascii="Arial" w:eastAsia="Calibri" w:hAnsi="Arial" w:cs="Arial"/>
          <w:bCs/>
          <w:color w:val="000000" w:themeColor="text1"/>
        </w:rPr>
        <w:tab/>
      </w:r>
      <w:r w:rsidRPr="00B31293">
        <w:rPr>
          <w:rFonts w:ascii="Arial" w:hAnsi="Arial" w:cs="Arial"/>
          <w:bCs/>
          <w:color w:val="1A1A1A" w:themeColor="background1" w:themeShade="1A"/>
        </w:rPr>
        <w:t xml:space="preserve">La Agencia Nacional de Contratación Pública ‒ Colombia Compra Eficiente, en los </w:t>
      </w:r>
      <w:r>
        <w:rPr>
          <w:rFonts w:ascii="Arial" w:hAnsi="Arial" w:cs="Arial"/>
          <w:bCs/>
          <w:color w:val="1A1A1A" w:themeColor="background1" w:themeShade="1A"/>
        </w:rPr>
        <w:t>C</w:t>
      </w:r>
      <w:r w:rsidRPr="00B31293">
        <w:rPr>
          <w:rFonts w:ascii="Arial" w:hAnsi="Arial" w:cs="Arial"/>
          <w:bCs/>
          <w:color w:val="1A1A1A" w:themeColor="background1" w:themeShade="1A"/>
        </w:rPr>
        <w:t xml:space="preserve">onceptos </w:t>
      </w:r>
      <w:r w:rsidRPr="002C2A21">
        <w:rPr>
          <w:rFonts w:ascii="Arial" w:hAnsi="Arial" w:cs="Arial"/>
          <w:bCs/>
          <w:color w:val="1A1A1A" w:themeColor="background1" w:themeShade="1A"/>
        </w:rPr>
        <w:t>4201912000004669 del 26 de agosto de 2019</w:t>
      </w:r>
      <w:r>
        <w:rPr>
          <w:rFonts w:ascii="Arial" w:hAnsi="Arial" w:cs="Arial"/>
          <w:bCs/>
          <w:color w:val="1A1A1A" w:themeColor="background1" w:themeShade="1A"/>
        </w:rPr>
        <w:t xml:space="preserve">, </w:t>
      </w:r>
      <w:r w:rsidRPr="002C2A21">
        <w:rPr>
          <w:rFonts w:ascii="Arial" w:hAnsi="Arial" w:cs="Arial"/>
          <w:bCs/>
          <w:color w:val="1A1A1A" w:themeColor="background1" w:themeShade="1A"/>
        </w:rPr>
        <w:t>4202013000000064 de 4 de enero de 2020</w:t>
      </w:r>
      <w:r>
        <w:rPr>
          <w:rFonts w:ascii="Arial" w:hAnsi="Arial" w:cs="Arial"/>
          <w:bCs/>
          <w:color w:val="1A1A1A" w:themeColor="background1" w:themeShade="1A"/>
        </w:rPr>
        <w:t>,</w:t>
      </w:r>
      <w:r w:rsidRPr="002C2A21">
        <w:rPr>
          <w:rFonts w:ascii="Arial" w:hAnsi="Arial" w:cs="Arial"/>
          <w:bCs/>
          <w:color w:val="1A1A1A" w:themeColor="background1" w:themeShade="1A"/>
        </w:rPr>
        <w:t xml:space="preserve"> </w:t>
      </w:r>
      <w:r>
        <w:rPr>
          <w:rFonts w:ascii="Arial" w:hAnsi="Arial" w:cs="Arial"/>
          <w:bCs/>
          <w:color w:val="1A1A1A" w:themeColor="background1" w:themeShade="1A"/>
        </w:rPr>
        <w:t xml:space="preserve">C-031 del 6 de febrero de 2020, </w:t>
      </w:r>
      <w:r>
        <w:rPr>
          <w:rStyle w:val="normaltextrun"/>
          <w:rFonts w:ascii="Arial" w:hAnsi="Arial" w:cs="Arial"/>
          <w:color w:val="000000"/>
          <w:shd w:val="clear" w:color="auto" w:fill="FFFFFF"/>
        </w:rPr>
        <w:t>C-051 del 2 de marzo de 2020</w:t>
      </w:r>
      <w:r>
        <w:rPr>
          <w:rFonts w:ascii="Arial" w:hAnsi="Arial" w:cs="Arial"/>
          <w:bCs/>
          <w:color w:val="1A1A1A" w:themeColor="background1" w:themeShade="1A"/>
        </w:rPr>
        <w:t xml:space="preserve">, C-096 del 17 de marzo de 2020, C-098 del 16 de marzo de 2020, </w:t>
      </w:r>
      <w:r>
        <w:rPr>
          <w:rStyle w:val="normaltextrun"/>
          <w:rFonts w:ascii="Arial" w:hAnsi="Arial" w:cs="Arial"/>
          <w:color w:val="000000"/>
          <w:shd w:val="clear" w:color="auto" w:fill="FFFFFF"/>
        </w:rPr>
        <w:t>C-113 del 25 de marzo de 2020,</w:t>
      </w:r>
      <w:r>
        <w:rPr>
          <w:rFonts w:ascii="Arial" w:hAnsi="Arial" w:cs="Arial"/>
          <w:bCs/>
          <w:color w:val="1A1A1A" w:themeColor="background1" w:themeShade="1A"/>
        </w:rPr>
        <w:t xml:space="preserve"> C-120 del 3 de marzo de 2020, C-152 del 16 de marzo de 2020, C-227 del 26 de mayo de 2020, C-400 del 30 de junio de 2020, </w:t>
      </w:r>
      <w:r w:rsidRPr="00866661">
        <w:rPr>
          <w:rFonts w:ascii="Arial" w:hAnsi="Arial" w:cs="Arial"/>
          <w:bCs/>
          <w:color w:val="1A1A1A" w:themeColor="background1" w:themeShade="1A"/>
        </w:rPr>
        <w:t>C</w:t>
      </w:r>
      <w:r>
        <w:rPr>
          <w:rFonts w:ascii="Arial" w:hAnsi="Arial" w:cs="Arial"/>
          <w:bCs/>
          <w:color w:val="1A1A1A" w:themeColor="background1" w:themeShade="1A"/>
        </w:rPr>
        <w:t>-</w:t>
      </w:r>
      <w:r w:rsidRPr="00866661">
        <w:rPr>
          <w:rFonts w:ascii="Arial" w:hAnsi="Arial" w:cs="Arial"/>
          <w:bCs/>
          <w:color w:val="1A1A1A" w:themeColor="background1" w:themeShade="1A"/>
        </w:rPr>
        <w:t>786 del 19 de enero de 2021, C-800 de 01 de febrero de 2021</w:t>
      </w:r>
      <w:r>
        <w:rPr>
          <w:rFonts w:ascii="Arial" w:hAnsi="Arial" w:cs="Arial"/>
          <w:bCs/>
          <w:color w:val="1A1A1A" w:themeColor="background1" w:themeShade="1A"/>
        </w:rPr>
        <w:t xml:space="preserve">, </w:t>
      </w:r>
      <w:r>
        <w:rPr>
          <w:rStyle w:val="normaltextrun"/>
          <w:rFonts w:ascii="Arial" w:hAnsi="Arial" w:cs="Arial"/>
          <w:color w:val="000000"/>
          <w:bdr w:val="none" w:sz="0" w:space="0" w:color="auto" w:frame="1"/>
          <w:lang w:val="es-ES"/>
        </w:rPr>
        <w:t xml:space="preserve">C-103 del 24 de marzo del 2021, C-140 del 9 de abril del 2021, </w:t>
      </w:r>
      <w:r>
        <w:rPr>
          <w:rStyle w:val="normaltextrun"/>
          <w:rFonts w:ascii="Arial" w:hAnsi="Arial" w:cs="Arial"/>
          <w:color w:val="000000"/>
          <w:shd w:val="clear" w:color="auto" w:fill="FFFFFF"/>
        </w:rPr>
        <w:t>C-237 del 26 de mayo de 2021, C- 133 del 7 de abril de 2021, C-318 del 29 de junio de 2021,</w:t>
      </w:r>
      <w:r>
        <w:rPr>
          <w:rFonts w:ascii="Arial" w:hAnsi="Arial" w:cs="Arial"/>
          <w:bCs/>
          <w:color w:val="1A1A1A" w:themeColor="background1" w:themeShade="1A"/>
        </w:rPr>
        <w:t xml:space="preserve"> </w:t>
      </w:r>
      <w:r w:rsidRPr="00866661">
        <w:rPr>
          <w:rFonts w:ascii="Arial" w:hAnsi="Arial" w:cs="Arial"/>
          <w:bCs/>
          <w:color w:val="1A1A1A" w:themeColor="background1" w:themeShade="1A"/>
        </w:rPr>
        <w:t>C-329 de 8 de julio de 2021</w:t>
      </w:r>
      <w:r>
        <w:rPr>
          <w:rFonts w:ascii="Arial" w:hAnsi="Arial" w:cs="Arial"/>
          <w:bCs/>
          <w:color w:val="1A1A1A" w:themeColor="background1" w:themeShade="1A"/>
        </w:rPr>
        <w:t xml:space="preserve">, </w:t>
      </w:r>
      <w:r>
        <w:rPr>
          <w:rStyle w:val="normaltextrun"/>
          <w:rFonts w:ascii="Arial" w:hAnsi="Arial" w:cs="Arial"/>
          <w:color w:val="000000"/>
          <w:bdr w:val="none" w:sz="0" w:space="0" w:color="auto" w:frame="1"/>
          <w:lang w:val="es-ES"/>
        </w:rPr>
        <w:t>C-406 del 13 de agosto de 2021</w:t>
      </w:r>
      <w:r>
        <w:rPr>
          <w:rFonts w:ascii="Arial" w:hAnsi="Arial" w:cs="Arial"/>
          <w:bCs/>
          <w:color w:val="1A1A1A" w:themeColor="background1" w:themeShade="1A"/>
        </w:rPr>
        <w:t xml:space="preserve">, C-407 del 25 de agosto de 2021, C-416 del 18 de agosto de 2021, C-538 del 27 de setiembre de 2021, C-560 del 22 de diciembre de 2021, C-142 del 30 de marzo de 2022, C-293 del 12 de abril de 2022, C-324 del 20 de mayo de 2022, C-395 del 17 de junio de 2022, C-401 del 30 de junio de 2022, C-426 del 5 de julio de 2022, C-490 del 21 de octubre de 2022, </w:t>
      </w:r>
      <w:r w:rsidRPr="00341683">
        <w:rPr>
          <w:rFonts w:ascii="Arial" w:hAnsi="Arial" w:cs="Arial"/>
          <w:bCs/>
          <w:color w:val="1A1A1A" w:themeColor="background1" w:themeShade="1A"/>
        </w:rPr>
        <w:t xml:space="preserve">se pronunció </w:t>
      </w:r>
      <w:r>
        <w:rPr>
          <w:rFonts w:ascii="Arial" w:hAnsi="Arial" w:cs="Arial"/>
          <w:bCs/>
          <w:color w:val="1A1A1A" w:themeColor="background1" w:themeShade="1A"/>
        </w:rPr>
        <w:t xml:space="preserve">sobre la obligatoriedad del Registro Único de Proponentes. </w:t>
      </w:r>
    </w:p>
    <w:p w14:paraId="5731ABF4" w14:textId="77777777" w:rsidR="00D43FFE" w:rsidRDefault="00D43FFE" w:rsidP="00D43FFE">
      <w:pPr>
        <w:spacing w:after="0" w:line="276" w:lineRule="auto"/>
        <w:jc w:val="both"/>
        <w:rPr>
          <w:rFonts w:ascii="Arial" w:hAnsi="Arial" w:cs="Arial"/>
          <w:bCs/>
          <w:color w:val="1A1A1A" w:themeColor="background1" w:themeShade="1A"/>
        </w:rPr>
      </w:pPr>
    </w:p>
    <w:p w14:paraId="279E8CB4" w14:textId="77777777" w:rsidR="00D43FFE" w:rsidRDefault="00D43FFE" w:rsidP="00D43FFE">
      <w:pPr>
        <w:spacing w:after="0" w:line="276" w:lineRule="auto"/>
        <w:ind w:firstLine="567"/>
        <w:jc w:val="both"/>
        <w:rPr>
          <w:rFonts w:ascii="Arial" w:hAnsi="Arial" w:cs="Arial"/>
          <w:bCs/>
          <w:color w:val="1A1A1A" w:themeColor="background1" w:themeShade="1A"/>
        </w:rPr>
      </w:pPr>
      <w:r>
        <w:rPr>
          <w:rFonts w:ascii="Arial" w:hAnsi="Arial" w:cs="Arial"/>
          <w:bCs/>
          <w:color w:val="1A1A1A" w:themeColor="background1" w:themeShade="1A"/>
        </w:rPr>
        <w:t>De igual forma,</w:t>
      </w:r>
      <w:r w:rsidRPr="00DE38AB">
        <w:rPr>
          <w:rFonts w:ascii="Arial" w:eastAsia="Calibri" w:hAnsi="Arial" w:cs="Arial"/>
          <w:color w:val="000000"/>
          <w:lang w:val="es-ES_tradnl" w:eastAsia="es-ES_tradnl"/>
        </w:rPr>
        <w:t xml:space="preserve"> </w:t>
      </w:r>
      <w:r w:rsidRPr="00DE38AB">
        <w:rPr>
          <w:rFonts w:ascii="Arial" w:eastAsia="Calibri" w:hAnsi="Arial" w:cs="Arial"/>
          <w:color w:val="000000"/>
          <w:szCs w:val="24"/>
          <w:lang w:val="es-ES_tradnl" w:eastAsia="es-ES_tradnl"/>
        </w:rPr>
        <w:t xml:space="preserve">expidió los conceptos C-124 del 25 de marzo de 2020, C-406 y C-477 del 13 de julio de 2020, C-612 del 2 de octubre de 2020, C-761 del 5 de enero de 2021, C- 297 del 17 de junio de 2021, C-339 del 14 de junio de 2021, C-367 del 26 de julio de 2021 y C-408 del 13 de agosto de 2021, </w:t>
      </w:r>
      <w:r>
        <w:rPr>
          <w:rFonts w:ascii="Arial" w:eastAsia="Calibri" w:hAnsi="Arial" w:cs="Arial"/>
          <w:color w:val="000000"/>
          <w:szCs w:val="24"/>
          <w:lang w:val="es-ES_tradnl" w:eastAsia="es-ES_tradnl"/>
        </w:rPr>
        <w:t xml:space="preserve">C-739 del 2 de febrero de 2022, C-043 del 1 de marzo de 2022, C-165 del 6 </w:t>
      </w:r>
      <w:r>
        <w:rPr>
          <w:rFonts w:ascii="Arial" w:eastAsia="Calibri" w:hAnsi="Arial" w:cs="Arial"/>
          <w:color w:val="000000"/>
          <w:szCs w:val="24"/>
          <w:lang w:val="es-ES_tradnl" w:eastAsia="es-ES_tradnl"/>
        </w:rPr>
        <w:lastRenderedPageBreak/>
        <w:t xml:space="preserve">de abril de 2022, C-629 del 26 de septiembre de 2022 C-082 del 19 de abril de 2023, entre otros, </w:t>
      </w:r>
      <w:r w:rsidRPr="00DE38AB">
        <w:rPr>
          <w:rFonts w:ascii="Arial" w:eastAsia="Calibri" w:hAnsi="Arial" w:cs="Arial"/>
          <w:color w:val="000000"/>
          <w:szCs w:val="24"/>
          <w:lang w:val="es-ES_tradnl" w:eastAsia="es-ES_tradnl"/>
        </w:rPr>
        <w:t>en los cuales analizó la forma como se debe desarrollar el concurso de méritos.</w:t>
      </w:r>
      <w:r>
        <w:rPr>
          <w:rFonts w:ascii="Arial" w:eastAsia="Calibri" w:hAnsi="Arial" w:cs="Arial"/>
          <w:color w:val="000000"/>
          <w:szCs w:val="24"/>
          <w:lang w:val="es-ES_tradnl" w:eastAsia="es-ES_tradnl"/>
        </w:rPr>
        <w:t xml:space="preserve"> Las tesis planteadas en dichas oportunidades se reiteran a continuación y se complementan en lo pertinente</w:t>
      </w:r>
    </w:p>
    <w:p w14:paraId="08889FCC" w14:textId="77777777" w:rsidR="00D43FFE" w:rsidRDefault="00D43FFE" w:rsidP="00D43FFE">
      <w:pPr>
        <w:spacing w:after="0" w:line="276" w:lineRule="auto"/>
        <w:jc w:val="both"/>
        <w:rPr>
          <w:rFonts w:ascii="Arial" w:hAnsi="Arial" w:cs="Arial"/>
          <w:bCs/>
          <w:color w:val="1A1A1A" w:themeColor="background1" w:themeShade="1A"/>
        </w:rPr>
      </w:pPr>
    </w:p>
    <w:p w14:paraId="7C6716BE" w14:textId="77777777" w:rsidR="00D43FFE" w:rsidRPr="0066787D" w:rsidRDefault="00D43FFE" w:rsidP="00D43FFE">
      <w:pPr>
        <w:spacing w:after="0" w:line="276" w:lineRule="auto"/>
        <w:contextualSpacing/>
        <w:jc w:val="both"/>
        <w:rPr>
          <w:rFonts w:ascii="Arial" w:eastAsia="Times New Roman" w:hAnsi="Arial" w:cs="Arial"/>
          <w:b/>
          <w:bCs/>
          <w:color w:val="000000"/>
          <w:szCs w:val="24"/>
          <w:lang w:val="es-ES_tradnl" w:eastAsia="es-ES_tradnl"/>
        </w:rPr>
      </w:pPr>
      <w:r w:rsidRPr="0066787D">
        <w:rPr>
          <w:rFonts w:ascii="Arial" w:eastAsia="Times New Roman" w:hAnsi="Arial" w:cs="Arial"/>
          <w:b/>
          <w:bCs/>
          <w:color w:val="000000"/>
          <w:szCs w:val="24"/>
          <w:lang w:val="es-ES_tradnl" w:eastAsia="es-ES_tradnl"/>
        </w:rPr>
        <w:t>2.1. Registro Único de Proponentes. Concepto y sujetos obligados</w:t>
      </w:r>
      <w:r>
        <w:rPr>
          <w:rFonts w:ascii="Arial" w:eastAsia="Times New Roman" w:hAnsi="Arial" w:cs="Arial"/>
          <w:b/>
          <w:bCs/>
          <w:color w:val="000000"/>
          <w:szCs w:val="24"/>
          <w:lang w:val="es-ES_tradnl" w:eastAsia="es-ES_tradnl"/>
        </w:rPr>
        <w:t xml:space="preserve"> a la inscripción </w:t>
      </w:r>
    </w:p>
    <w:p w14:paraId="19E07BB9" w14:textId="77777777" w:rsidR="00D43FFE" w:rsidRPr="004B5310" w:rsidRDefault="00D43FFE" w:rsidP="00D43FFE">
      <w:pPr>
        <w:spacing w:after="0" w:line="276" w:lineRule="auto"/>
        <w:contextualSpacing/>
        <w:jc w:val="both"/>
        <w:rPr>
          <w:rFonts w:ascii="Arial" w:eastAsia="Calibri" w:hAnsi="Arial" w:cs="Arial"/>
          <w:b/>
          <w:bCs/>
          <w:sz w:val="20"/>
          <w:szCs w:val="20"/>
          <w:lang w:val="es-ES_tradnl" w:eastAsia="es-ES_tradnl"/>
        </w:rPr>
      </w:pPr>
    </w:p>
    <w:p w14:paraId="53F7360E" w14:textId="77777777" w:rsidR="00D43FFE" w:rsidRPr="0066787D" w:rsidRDefault="00D43FFE" w:rsidP="00D43FFE">
      <w:pPr>
        <w:spacing w:after="0" w:line="276" w:lineRule="auto"/>
        <w:contextualSpacing/>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 xml:space="preserve">El Registro Único de Proponentes </w:t>
      </w:r>
      <w:r>
        <w:rPr>
          <w:rFonts w:ascii="Arial" w:eastAsia="Times New Roman" w:hAnsi="Arial" w:cs="Arial"/>
          <w:color w:val="000000"/>
          <w:szCs w:val="24"/>
          <w:lang w:eastAsia="es-ES_tradnl"/>
        </w:rPr>
        <w:t xml:space="preserve">–en adelante RUP– </w:t>
      </w:r>
      <w:r w:rsidRPr="0066787D">
        <w:rPr>
          <w:rFonts w:ascii="Arial" w:eastAsia="Times New Roman" w:hAnsi="Arial" w:cs="Arial"/>
          <w:color w:val="000000"/>
          <w:szCs w:val="24"/>
          <w:lang w:eastAsia="es-ES_tradnl"/>
        </w:rPr>
        <w:t>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14:paraId="4DE1ACB9" w14:textId="77777777" w:rsidR="00D43FFE" w:rsidRPr="0066787D" w:rsidRDefault="00D43FFE" w:rsidP="00D43FFE">
      <w:pPr>
        <w:spacing w:after="0" w:line="240" w:lineRule="auto"/>
        <w:ind w:right="426"/>
        <w:contextualSpacing/>
        <w:rPr>
          <w:rFonts w:ascii="Arial" w:eastAsia="Times New Roman" w:hAnsi="Arial" w:cs="Arial"/>
          <w:color w:val="000000"/>
          <w:szCs w:val="24"/>
          <w:lang w:eastAsia="es-ES_tradnl"/>
        </w:rPr>
      </w:pPr>
    </w:p>
    <w:p w14:paraId="65AC15CA" w14:textId="77777777" w:rsidR="00D43FFE" w:rsidRPr="0066787D" w:rsidRDefault="00D43FFE" w:rsidP="00D43FFE">
      <w:pPr>
        <w:tabs>
          <w:tab w:val="left" w:pos="8505"/>
        </w:tabs>
        <w:spacing w:after="0" w:line="240" w:lineRule="auto"/>
        <w:ind w:left="709" w:right="709"/>
        <w:contextualSpacing/>
        <w:jc w:val="both"/>
        <w:rPr>
          <w:rFonts w:ascii="Arial" w:eastAsia="Times New Roman" w:hAnsi="Arial" w:cs="Arial"/>
          <w:color w:val="000000"/>
          <w:sz w:val="21"/>
          <w:szCs w:val="21"/>
          <w:lang w:eastAsia="es-ES_tradnl"/>
        </w:rPr>
      </w:pPr>
      <w:r>
        <w:rPr>
          <w:rFonts w:ascii="Arial" w:eastAsia="Times New Roman" w:hAnsi="Arial" w:cs="Arial"/>
          <w:color w:val="000000"/>
          <w:sz w:val="21"/>
          <w:szCs w:val="21"/>
          <w:lang w:eastAsia="es-ES_tradnl"/>
        </w:rPr>
        <w:t>“</w:t>
      </w:r>
      <w:r w:rsidRPr="0066787D">
        <w:rPr>
          <w:rFonts w:ascii="Arial" w:eastAsia="Times New Roman" w:hAnsi="Arial" w:cs="Arial"/>
          <w:color w:val="000000"/>
          <w:sz w:val="21"/>
          <w:szCs w:val="21"/>
          <w:lang w:eastAsia="es-ES_tradnl"/>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Pr>
          <w:rFonts w:ascii="Arial" w:eastAsia="Times New Roman" w:hAnsi="Arial" w:cs="Arial"/>
          <w:color w:val="000000"/>
          <w:sz w:val="21"/>
          <w:szCs w:val="21"/>
          <w:lang w:eastAsia="es-ES_tradnl"/>
        </w:rPr>
        <w:t>”</w:t>
      </w:r>
      <w:r w:rsidRPr="0066787D">
        <w:rPr>
          <w:rFonts w:ascii="Arial" w:eastAsia="Times New Roman" w:hAnsi="Arial" w:cs="Arial"/>
          <w:color w:val="000000"/>
          <w:sz w:val="21"/>
          <w:szCs w:val="21"/>
          <w:vertAlign w:val="superscript"/>
          <w:lang w:eastAsia="es-ES_tradnl"/>
        </w:rPr>
        <w:footnoteReference w:id="2"/>
      </w:r>
      <w:r w:rsidRPr="0066787D">
        <w:rPr>
          <w:rFonts w:ascii="Arial" w:eastAsia="Times New Roman" w:hAnsi="Arial" w:cs="Arial"/>
          <w:color w:val="000000"/>
          <w:sz w:val="21"/>
          <w:szCs w:val="21"/>
          <w:lang w:eastAsia="es-ES_tradnl"/>
        </w:rPr>
        <w:t>.</w:t>
      </w:r>
    </w:p>
    <w:p w14:paraId="15CCC565" w14:textId="77777777" w:rsidR="00D43FFE" w:rsidRPr="000D3453" w:rsidRDefault="00D43FFE" w:rsidP="00D43FFE">
      <w:pPr>
        <w:spacing w:after="0" w:line="276" w:lineRule="auto"/>
        <w:contextualSpacing/>
        <w:jc w:val="both"/>
        <w:rPr>
          <w:rFonts w:ascii="Arial" w:eastAsia="Times New Roman" w:hAnsi="Arial" w:cs="Arial"/>
          <w:color w:val="000000"/>
          <w:lang w:eastAsia="es-ES_tradnl"/>
        </w:rPr>
      </w:pPr>
    </w:p>
    <w:p w14:paraId="6BBD7374" w14:textId="77777777" w:rsidR="00D43FFE" w:rsidRPr="0066787D" w:rsidRDefault="00D43FFE" w:rsidP="00D43FFE">
      <w:pPr>
        <w:spacing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 xml:space="preserve">El artículo 6.1 de la Ley 1150 de 2007 dispone que el </w:t>
      </w:r>
      <w:r>
        <w:rPr>
          <w:rFonts w:ascii="Arial" w:eastAsia="Times New Roman" w:hAnsi="Arial" w:cs="Arial"/>
          <w:color w:val="000000"/>
          <w:szCs w:val="24"/>
          <w:lang w:eastAsia="es-ES_tradnl"/>
        </w:rPr>
        <w:t>RUP</w:t>
      </w:r>
      <w:r w:rsidRPr="0066787D">
        <w:rPr>
          <w:rFonts w:ascii="Arial" w:eastAsia="Times New Roman" w:hAnsi="Arial" w:cs="Arial"/>
          <w:color w:val="000000"/>
          <w:szCs w:val="24"/>
          <w:lang w:eastAsia="es-ES_tradnl"/>
        </w:rPr>
        <w:t xml:space="preserve"> es plena prueba de la información que contiene</w:t>
      </w:r>
      <w:r w:rsidRPr="0066787D">
        <w:rPr>
          <w:rFonts w:ascii="Arial" w:eastAsia="Times New Roman" w:hAnsi="Arial" w:cs="Arial"/>
          <w:color w:val="000000"/>
          <w:szCs w:val="24"/>
          <w:vertAlign w:val="superscript"/>
          <w:lang w:eastAsia="es-ES_tradnl"/>
        </w:rPr>
        <w:footnoteReference w:id="3"/>
      </w:r>
      <w:r w:rsidRPr="0066787D">
        <w:rPr>
          <w:rFonts w:ascii="Arial" w:eastAsia="Times New Roman" w:hAnsi="Arial" w:cs="Arial"/>
          <w:color w:val="000000"/>
          <w:szCs w:val="24"/>
          <w:lang w:eastAsia="es-ES_tradnl"/>
        </w:rPr>
        <w:t xml:space="preserve">. Por su parte, el artículo 5.1, al fijar los criterios para garantizar la selección objetiva, dispone que las Cámaras de Comercio verificarán la información suministrada por las personas naturales o jurídicas para la inscripción en el registro. Esta información debe </w:t>
      </w:r>
      <w:r w:rsidRPr="0066787D">
        <w:rPr>
          <w:rFonts w:ascii="Arial" w:eastAsia="Times New Roman" w:hAnsi="Arial" w:cs="Arial"/>
          <w:color w:val="000000"/>
          <w:szCs w:val="24"/>
          <w:lang w:eastAsia="es-ES_tradnl"/>
        </w:rPr>
        <w:lastRenderedPageBreak/>
        <w:t>tenerse en cuenta por</w:t>
      </w:r>
      <w:r>
        <w:rPr>
          <w:rFonts w:ascii="Arial" w:eastAsia="Times New Roman" w:hAnsi="Arial" w:cs="Arial"/>
          <w:color w:val="000000"/>
          <w:szCs w:val="24"/>
          <w:lang w:eastAsia="es-ES_tradnl"/>
        </w:rPr>
        <w:t xml:space="preserve"> parte de</w:t>
      </w:r>
      <w:r w:rsidRPr="0066787D">
        <w:rPr>
          <w:rFonts w:ascii="Arial" w:eastAsia="Times New Roman" w:hAnsi="Arial" w:cs="Arial"/>
          <w:color w:val="000000"/>
          <w:szCs w:val="24"/>
          <w:lang w:eastAsia="es-ES_tradnl"/>
        </w:rPr>
        <w:t xml:space="preserve"> las entidades </w:t>
      </w:r>
      <w:r>
        <w:rPr>
          <w:rFonts w:ascii="Arial" w:eastAsia="Times New Roman" w:hAnsi="Arial" w:cs="Arial"/>
          <w:color w:val="000000"/>
          <w:szCs w:val="24"/>
          <w:lang w:eastAsia="es-ES_tradnl"/>
        </w:rPr>
        <w:t xml:space="preserve">estatales </w:t>
      </w:r>
      <w:r w:rsidRPr="0066787D">
        <w:rPr>
          <w:rFonts w:ascii="Arial" w:eastAsia="Times New Roman" w:hAnsi="Arial" w:cs="Arial"/>
          <w:color w:val="000000"/>
          <w:szCs w:val="24"/>
          <w:lang w:eastAsia="es-ES_tradnl"/>
        </w:rPr>
        <w:t>en los procedimientos de contratación en los que es exigible el RUP</w:t>
      </w:r>
      <w:r w:rsidRPr="0066787D">
        <w:rPr>
          <w:rFonts w:ascii="Arial" w:eastAsia="Times New Roman" w:hAnsi="Arial" w:cs="Arial"/>
          <w:color w:val="000000"/>
          <w:szCs w:val="24"/>
          <w:vertAlign w:val="superscript"/>
          <w:lang w:eastAsia="es-ES_tradnl"/>
        </w:rPr>
        <w:footnoteReference w:id="4"/>
      </w:r>
      <w:r w:rsidRPr="0066787D">
        <w:rPr>
          <w:rFonts w:ascii="Arial" w:eastAsia="Times New Roman" w:hAnsi="Arial" w:cs="Arial"/>
          <w:color w:val="000000"/>
          <w:szCs w:val="24"/>
          <w:lang w:eastAsia="es-ES_tradnl"/>
        </w:rPr>
        <w:t>. De esta forma, la capacidad jurídica y las condiciones de experiencia, capacidad financiera y de organización de los proponentes deberán verifica</w:t>
      </w:r>
      <w:r>
        <w:rPr>
          <w:rFonts w:ascii="Arial" w:eastAsia="Times New Roman" w:hAnsi="Arial" w:cs="Arial"/>
          <w:color w:val="000000"/>
          <w:szCs w:val="24"/>
          <w:lang w:eastAsia="es-ES_tradnl"/>
        </w:rPr>
        <w:t>rse</w:t>
      </w:r>
      <w:r w:rsidRPr="0066787D">
        <w:rPr>
          <w:rFonts w:ascii="Arial" w:eastAsia="Times New Roman" w:hAnsi="Arial" w:cs="Arial"/>
          <w:color w:val="000000"/>
          <w:szCs w:val="24"/>
          <w:lang w:eastAsia="es-ES_tradnl"/>
        </w:rPr>
        <w:t xml:space="preserve"> exclusivamente a través del </w:t>
      </w:r>
      <w:r>
        <w:rPr>
          <w:rFonts w:ascii="Arial" w:eastAsia="Times New Roman" w:hAnsi="Arial" w:cs="Arial"/>
          <w:color w:val="000000"/>
          <w:szCs w:val="24"/>
          <w:lang w:eastAsia="es-ES_tradnl"/>
        </w:rPr>
        <w:t>RUP</w:t>
      </w:r>
      <w:r w:rsidRPr="0066787D">
        <w:rPr>
          <w:rFonts w:ascii="Arial" w:eastAsia="Times New Roman" w:hAnsi="Arial" w:cs="Arial"/>
          <w:color w:val="000000"/>
          <w:szCs w:val="24"/>
          <w:lang w:eastAsia="es-ES_tradnl"/>
        </w:rPr>
        <w:t>, pues este documento es plena prueba de la información financiera, de experiencia y de capacidad acreditada por la persona natural o jurídica</w:t>
      </w:r>
      <w:r w:rsidRPr="0066787D">
        <w:rPr>
          <w:rFonts w:ascii="Arial" w:eastAsia="Times New Roman" w:hAnsi="Arial" w:cs="Arial"/>
          <w:color w:val="000000"/>
          <w:szCs w:val="24"/>
          <w:vertAlign w:val="superscript"/>
          <w:lang w:eastAsia="es-ES_tradnl"/>
        </w:rPr>
        <w:footnoteReference w:id="5"/>
      </w:r>
      <w:r w:rsidRPr="0066787D">
        <w:rPr>
          <w:rFonts w:ascii="Arial" w:eastAsia="Times New Roman" w:hAnsi="Arial" w:cs="Arial"/>
          <w:color w:val="000000"/>
          <w:szCs w:val="24"/>
          <w:lang w:eastAsia="es-ES_tradnl"/>
        </w:rPr>
        <w:t xml:space="preserve">. </w:t>
      </w:r>
    </w:p>
    <w:p w14:paraId="5E031915" w14:textId="77777777" w:rsidR="00D43FFE" w:rsidRPr="0066787D" w:rsidRDefault="00D43FFE" w:rsidP="00D43FFE">
      <w:pPr>
        <w:spacing w:before="120"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66787D">
        <w:rPr>
          <w:rFonts w:ascii="Arial" w:eastAsia="Times New Roman" w:hAnsi="Arial" w:cs="Arial"/>
          <w:color w:val="000000"/>
          <w:szCs w:val="24"/>
          <w:vertAlign w:val="superscript"/>
          <w:lang w:eastAsia="es-ES_tradnl"/>
        </w:rPr>
        <w:footnoteReference w:id="6"/>
      </w:r>
      <w:r w:rsidRPr="0066787D">
        <w:rPr>
          <w:rFonts w:ascii="Arial" w:eastAsia="Times New Roman" w:hAnsi="Arial" w:cs="Arial"/>
          <w:color w:val="000000"/>
          <w:szCs w:val="24"/>
          <w:lang w:eastAsia="es-ES_tradnl"/>
        </w:rPr>
        <w:t xml:space="preserve">. </w:t>
      </w:r>
      <w:r w:rsidRPr="0066787D">
        <w:rPr>
          <w:rFonts w:ascii="Arial" w:eastAsia="Times New Roman" w:hAnsi="Arial" w:cs="Arial"/>
          <w:szCs w:val="24"/>
          <w:lang w:val="es-ES_tradnl" w:eastAsia="es-ES_tradnl"/>
        </w:rPr>
        <w:t xml:space="preserve">Estas excepciones son taxativas y se rigen por 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w:t>
      </w:r>
      <w:r w:rsidRPr="0066787D">
        <w:rPr>
          <w:rFonts w:ascii="Arial" w:eastAsia="Times New Roman" w:hAnsi="Arial" w:cs="Arial"/>
          <w:color w:val="000000"/>
          <w:szCs w:val="24"/>
          <w:lang w:eastAsia="es-ES_tradnl"/>
        </w:rPr>
        <w:t xml:space="preserve">Adicionalmente, el numeral 6.1. del artículo 6 de la Ley 1150 de 2007 establece que cuando sea necesario verificar requisitos o información que no reposa en RUP, la entidad podrá solicitar información adicional –por ejemplo, longitudes </w:t>
      </w:r>
      <w:r w:rsidRPr="0066787D">
        <w:rPr>
          <w:rFonts w:ascii="Arial" w:eastAsia="Times New Roman" w:hAnsi="Arial" w:cs="Arial"/>
          <w:color w:val="000000"/>
          <w:szCs w:val="24"/>
          <w:lang w:eastAsia="es-ES_tradnl"/>
        </w:rPr>
        <w:lastRenderedPageBreak/>
        <w:t>de obra, especificaciones técnicas, etc.– solo para complementar la información contenida en el RUP</w:t>
      </w:r>
      <w:r w:rsidRPr="0066787D">
        <w:rPr>
          <w:rFonts w:ascii="Arial" w:eastAsia="Times New Roman" w:hAnsi="Arial" w:cs="Arial"/>
          <w:color w:val="000000"/>
          <w:szCs w:val="24"/>
          <w:vertAlign w:val="superscript"/>
          <w:lang w:eastAsia="es-ES_tradnl"/>
        </w:rPr>
        <w:footnoteReference w:id="7"/>
      </w:r>
      <w:r w:rsidRPr="0066787D">
        <w:rPr>
          <w:rFonts w:ascii="Arial" w:eastAsia="Times New Roman" w:hAnsi="Arial" w:cs="Arial"/>
          <w:color w:val="000000"/>
          <w:szCs w:val="24"/>
          <w:lang w:eastAsia="es-ES_tradnl"/>
        </w:rPr>
        <w:t>.</w:t>
      </w:r>
    </w:p>
    <w:p w14:paraId="37E622DB" w14:textId="77777777" w:rsidR="00D43FFE" w:rsidRPr="0066787D" w:rsidRDefault="00D43FFE" w:rsidP="00D43FFE">
      <w:pPr>
        <w:spacing w:before="120"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 xml:space="preserve">En la exposición de motivos de la Ley 1150 de 2007 se expresa la necesidad de establecer excepciones a la regla general de la exigencia del </w:t>
      </w:r>
      <w:r>
        <w:rPr>
          <w:rFonts w:ascii="Arial" w:eastAsia="Times New Roman" w:hAnsi="Arial" w:cs="Arial"/>
          <w:color w:val="000000"/>
          <w:szCs w:val="24"/>
          <w:lang w:eastAsia="es-ES_tradnl"/>
        </w:rPr>
        <w:t>RUP</w:t>
      </w:r>
      <w:r w:rsidRPr="0066787D">
        <w:rPr>
          <w:rFonts w:ascii="Arial" w:eastAsia="Times New Roman" w:hAnsi="Arial" w:cs="Arial"/>
          <w:color w:val="000000"/>
          <w:szCs w:val="24"/>
          <w:lang w:eastAsia="es-ES_tradnl"/>
        </w:rPr>
        <w:t xml:space="preserve"> a las personas naturales o jurídicas que deseen participar en los procedimientos de contratación de las entidades estatales. Dispone que la cámara de comercio fungirá como verificadora de la información habilitante, sin perjuicio de que las entidades estatales verifiquen la información contenida en el RUP en relación con los requisitos solicitados en el pliego de condiciones</w:t>
      </w:r>
      <w:r w:rsidRPr="0066787D">
        <w:rPr>
          <w:rFonts w:ascii="Arial" w:eastAsia="Times New Roman" w:hAnsi="Arial" w:cs="Arial"/>
          <w:color w:val="000000"/>
          <w:szCs w:val="24"/>
          <w:vertAlign w:val="superscript"/>
          <w:lang w:eastAsia="es-ES_tradnl"/>
        </w:rPr>
        <w:footnoteReference w:id="8"/>
      </w:r>
      <w:r w:rsidRPr="0066787D">
        <w:rPr>
          <w:rFonts w:ascii="Arial" w:eastAsia="Times New Roman" w:hAnsi="Arial" w:cs="Arial"/>
          <w:color w:val="000000"/>
          <w:szCs w:val="24"/>
          <w:lang w:eastAsia="es-ES_tradnl"/>
        </w:rPr>
        <w:t>.</w:t>
      </w:r>
    </w:p>
    <w:p w14:paraId="12D3F870" w14:textId="77777777" w:rsidR="00D43FFE" w:rsidRPr="0066787D" w:rsidRDefault="00D43FFE" w:rsidP="00D43FFE">
      <w:pPr>
        <w:spacing w:before="120"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ratificado por el Consejo de Estado cuando enumeró las excepciones en las cuales las entidades tienen la obligación de verificar los requisitos habilitantes de los proponentes</w:t>
      </w:r>
      <w:r w:rsidRPr="0066787D">
        <w:rPr>
          <w:rFonts w:ascii="Arial" w:eastAsia="Times New Roman" w:hAnsi="Arial" w:cs="Arial"/>
          <w:color w:val="000000"/>
          <w:szCs w:val="24"/>
          <w:vertAlign w:val="superscript"/>
          <w:lang w:eastAsia="es-ES_tradnl"/>
        </w:rPr>
        <w:footnoteReference w:id="9"/>
      </w:r>
      <w:r w:rsidRPr="0066787D">
        <w:rPr>
          <w:rFonts w:ascii="Arial" w:eastAsia="Times New Roman" w:hAnsi="Arial" w:cs="Arial"/>
          <w:color w:val="000000"/>
          <w:szCs w:val="24"/>
          <w:lang w:eastAsia="es-ES_tradnl"/>
        </w:rPr>
        <w:t xml:space="preserve">.  </w:t>
      </w:r>
    </w:p>
    <w:p w14:paraId="68EEA219" w14:textId="77777777" w:rsidR="00D43FFE" w:rsidRDefault="00D43FFE" w:rsidP="00D43FFE">
      <w:pPr>
        <w:spacing w:before="120" w:after="120" w:line="276" w:lineRule="auto"/>
        <w:ind w:firstLine="709"/>
        <w:jc w:val="both"/>
        <w:rPr>
          <w:rFonts w:ascii="Arial" w:eastAsia="Times New Roman" w:hAnsi="Arial" w:cs="Arial"/>
          <w:color w:val="000000"/>
          <w:szCs w:val="24"/>
          <w:lang w:eastAsia="es-ES_tradnl"/>
        </w:rPr>
      </w:pPr>
      <w:r w:rsidRPr="0066787D">
        <w:rPr>
          <w:rFonts w:ascii="Arial" w:eastAsia="Times New Roman" w:hAnsi="Arial" w:cs="Arial"/>
          <w:color w:val="000000"/>
          <w:szCs w:val="24"/>
          <w:lang w:eastAsia="es-ES_tradnl"/>
        </w:rPr>
        <w:t>Ahora bien, el inciso 1 del artículo 6 de la Ley 1150 de 2007</w:t>
      </w:r>
      <w:r w:rsidRPr="0066787D">
        <w:rPr>
          <w:rFonts w:ascii="Arial" w:eastAsia="Times New Roman" w:hAnsi="Arial" w:cs="Arial"/>
          <w:color w:val="000000"/>
          <w:szCs w:val="24"/>
          <w:vertAlign w:val="superscript"/>
          <w:lang w:eastAsia="es-ES_tradnl"/>
        </w:rPr>
        <w:footnoteReference w:id="10"/>
      </w:r>
      <w:r w:rsidRPr="0066787D">
        <w:rPr>
          <w:rFonts w:ascii="Arial" w:eastAsia="Times New Roman" w:hAnsi="Arial" w:cs="Arial"/>
          <w:color w:val="000000"/>
          <w:szCs w:val="24"/>
          <w:lang w:eastAsia="es-ES_tradnl"/>
        </w:rPr>
        <w:t xml:space="preserve">, </w:t>
      </w:r>
      <w:r>
        <w:rPr>
          <w:rFonts w:ascii="Arial" w:eastAsia="Times New Roman" w:hAnsi="Arial" w:cs="Arial"/>
          <w:color w:val="000000"/>
          <w:szCs w:val="24"/>
          <w:lang w:eastAsia="es-ES_tradnl"/>
        </w:rPr>
        <w:t xml:space="preserve">mediante el cual se </w:t>
      </w:r>
      <w:r w:rsidRPr="0066787D">
        <w:rPr>
          <w:rFonts w:ascii="Arial" w:eastAsia="Times New Roman" w:hAnsi="Arial" w:cs="Arial"/>
          <w:color w:val="000000"/>
          <w:szCs w:val="24"/>
          <w:lang w:eastAsia="es-ES_tradnl"/>
        </w:rPr>
        <w:t>regula</w:t>
      </w:r>
      <w:r>
        <w:rPr>
          <w:rFonts w:ascii="Arial" w:eastAsia="Times New Roman" w:hAnsi="Arial" w:cs="Arial"/>
          <w:color w:val="000000"/>
          <w:szCs w:val="24"/>
          <w:lang w:eastAsia="es-ES_tradnl"/>
        </w:rPr>
        <w:t>n</w:t>
      </w:r>
      <w:r w:rsidRPr="0066787D">
        <w:rPr>
          <w:rFonts w:ascii="Arial" w:eastAsia="Times New Roman" w:hAnsi="Arial" w:cs="Arial"/>
          <w:color w:val="000000"/>
          <w:szCs w:val="24"/>
          <w:lang w:eastAsia="es-ES_tradnl"/>
        </w:rPr>
        <w:t xml:space="preserve"> los sujetos que deben inscribirse en el RUP, señaló que deben hacerlo las personas, naturales o </w:t>
      </w:r>
      <w:r w:rsidRPr="0066787D">
        <w:rPr>
          <w:rFonts w:ascii="Arial" w:eastAsia="Times New Roman" w:hAnsi="Arial" w:cs="Arial"/>
          <w:color w:val="000000"/>
          <w:szCs w:val="24"/>
          <w:lang w:eastAsia="es-ES_tradnl"/>
        </w:rPr>
        <w:lastRenderedPageBreak/>
        <w:t xml:space="preserve">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 </w:t>
      </w:r>
    </w:p>
    <w:p w14:paraId="25CD88E1" w14:textId="77777777" w:rsidR="00D43FFE" w:rsidRPr="00AB316F" w:rsidRDefault="00D43FFE" w:rsidP="00D43FFE">
      <w:pPr>
        <w:spacing w:after="120" w:line="276" w:lineRule="auto"/>
        <w:ind w:firstLine="709"/>
        <w:jc w:val="both"/>
        <w:rPr>
          <w:rFonts w:ascii="Arial" w:eastAsia="Calibri" w:hAnsi="Arial" w:cs="Arial"/>
        </w:rPr>
      </w:pPr>
      <w:r>
        <w:rPr>
          <w:rFonts w:ascii="Arial" w:eastAsia="Calibri" w:hAnsi="Arial" w:cs="Arial"/>
        </w:rPr>
        <w:t xml:space="preserve">Bajo este contexto, </w:t>
      </w:r>
      <w:r w:rsidRPr="00AB316F">
        <w:rPr>
          <w:rFonts w:ascii="Arial" w:eastAsia="Calibri" w:hAnsi="Arial" w:cs="Arial"/>
        </w:rPr>
        <w:t xml:space="preserve">la capacidad jurídica, las condiciones de experiencia, la capacidad financiera y de organización de los proponentes deberán verificarse exclusivamente con el Registro Único de Proponentes, </w:t>
      </w:r>
      <w:r w:rsidRPr="00981AA7">
        <w:rPr>
          <w:rFonts w:ascii="Arial" w:eastAsia="Calibri" w:hAnsi="Arial" w:cs="Arial"/>
        </w:rPr>
        <w:t>pues constituye plena prueba de</w:t>
      </w:r>
      <w:r>
        <w:rPr>
          <w:rFonts w:ascii="Arial" w:eastAsia="Calibri" w:hAnsi="Arial" w:cs="Arial"/>
        </w:rPr>
        <w:t xml:space="preserve"> </w:t>
      </w:r>
      <w:r w:rsidRPr="00981AA7">
        <w:rPr>
          <w:rFonts w:ascii="Arial" w:eastAsia="Calibri" w:hAnsi="Arial" w:cs="Arial"/>
        </w:rPr>
        <w:t>la información</w:t>
      </w:r>
      <w:r>
        <w:rPr>
          <w:rFonts w:ascii="Arial" w:eastAsia="Calibri" w:hAnsi="Arial" w:cs="Arial"/>
        </w:rPr>
        <w:t xml:space="preserve"> </w:t>
      </w:r>
      <w:r w:rsidRPr="00981AA7">
        <w:rPr>
          <w:rFonts w:ascii="Arial" w:eastAsia="Calibri" w:hAnsi="Arial" w:cs="Arial"/>
        </w:rPr>
        <w:t>contenida</w:t>
      </w:r>
      <w:r w:rsidRPr="00B67FE8">
        <w:rPr>
          <w:rFonts w:ascii="Arial" w:eastAsia="Calibri" w:hAnsi="Arial" w:cs="Arial"/>
        </w:rPr>
        <w:t xml:space="preserve"> </w:t>
      </w:r>
      <w:r w:rsidRPr="00981AA7">
        <w:rPr>
          <w:rFonts w:ascii="Arial" w:eastAsia="Calibri" w:hAnsi="Arial" w:cs="Arial"/>
        </w:rPr>
        <w:t xml:space="preserve">en </w:t>
      </w:r>
      <w:r>
        <w:rPr>
          <w:rFonts w:ascii="Arial" w:eastAsia="Calibri" w:hAnsi="Arial" w:cs="Arial"/>
        </w:rPr>
        <w:t xml:space="preserve">él. </w:t>
      </w:r>
      <w:r w:rsidRPr="00AB316F">
        <w:rPr>
          <w:rFonts w:ascii="Arial" w:eastAsia="Calibri" w:hAnsi="Arial" w:cs="Arial"/>
        </w:rPr>
        <w:t>No obstante,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w:t>
      </w:r>
    </w:p>
    <w:p w14:paraId="5908D383" w14:textId="77777777" w:rsidR="00D43FFE" w:rsidRDefault="00D43FFE" w:rsidP="00D43FFE">
      <w:pPr>
        <w:spacing w:after="0" w:line="276" w:lineRule="auto"/>
        <w:ind w:firstLine="708"/>
        <w:jc w:val="both"/>
        <w:rPr>
          <w:rFonts w:ascii="Arial" w:eastAsia="Calibri" w:hAnsi="Arial" w:cs="Arial"/>
        </w:rPr>
      </w:pPr>
      <w:r w:rsidRPr="00AB316F">
        <w:rPr>
          <w:rFonts w:ascii="Arial" w:eastAsia="Calibri" w:hAnsi="Arial" w:cs="Arial"/>
        </w:rPr>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Pr>
          <w:rFonts w:ascii="Arial" w:eastAsia="Calibri" w:hAnsi="Arial" w:cs="Arial"/>
        </w:rPr>
        <w:t>:</w:t>
      </w:r>
    </w:p>
    <w:p w14:paraId="42A73623" w14:textId="77777777" w:rsidR="00D43FFE" w:rsidRPr="00AB316F" w:rsidRDefault="00D43FFE" w:rsidP="00D43FFE">
      <w:pPr>
        <w:spacing w:after="0" w:line="276" w:lineRule="auto"/>
        <w:ind w:firstLine="708"/>
        <w:jc w:val="both"/>
        <w:rPr>
          <w:rFonts w:ascii="Arial" w:eastAsia="Calibri" w:hAnsi="Arial" w:cs="Arial"/>
        </w:rPr>
      </w:pPr>
    </w:p>
    <w:p w14:paraId="23D4A59F" w14:textId="77777777" w:rsidR="00D43FFE" w:rsidRPr="00AB316F" w:rsidRDefault="00D43FFE" w:rsidP="00D43FFE">
      <w:pPr>
        <w:pStyle w:val="Prrafodelista"/>
        <w:numPr>
          <w:ilvl w:val="0"/>
          <w:numId w:val="5"/>
        </w:numPr>
        <w:spacing w:after="0" w:line="276" w:lineRule="auto"/>
        <w:jc w:val="both"/>
        <w:rPr>
          <w:rFonts w:ascii="Arial" w:eastAsia="Calibri" w:hAnsi="Arial" w:cs="Arial"/>
        </w:rPr>
      </w:pPr>
      <w:r w:rsidRPr="00AB316F">
        <w:rPr>
          <w:rFonts w:ascii="Arial" w:eastAsia="Calibri" w:hAnsi="Arial" w:cs="Arial"/>
        </w:rPr>
        <w:t>No se requiere el RUP respecto de los proponentes que pretenden celebrar los contratos enunciados en el inciso segundo del artículo 6 de la ley 1150, así como en los eventos de contratación directa.</w:t>
      </w:r>
    </w:p>
    <w:p w14:paraId="2FE2947D" w14:textId="77777777" w:rsidR="00D43FFE" w:rsidRPr="00AB316F" w:rsidRDefault="00D43FFE" w:rsidP="00D43FFE">
      <w:pPr>
        <w:pStyle w:val="Prrafodelista"/>
        <w:numPr>
          <w:ilvl w:val="0"/>
          <w:numId w:val="5"/>
        </w:numPr>
        <w:spacing w:before="240" w:after="0" w:line="276" w:lineRule="auto"/>
        <w:jc w:val="both"/>
        <w:rPr>
          <w:rFonts w:ascii="Arial" w:eastAsia="Calibri" w:hAnsi="Arial" w:cs="Arial"/>
        </w:rPr>
      </w:pPr>
      <w:r w:rsidRPr="00AB316F">
        <w:rPr>
          <w:rFonts w:ascii="Arial" w:eastAsia="Calibri" w:hAnsi="Arial" w:cs="Arial"/>
        </w:rPr>
        <w:t>Tratándose de personas naturales extranjeras sin domicilio en el país o de personas jurídicas extranjeras que no tengan sucursal en Colombia, o en aquellos casos en que el procedimiento de selección haya utilizado sistemas de precalificación.</w:t>
      </w:r>
    </w:p>
    <w:p w14:paraId="22673D14" w14:textId="77777777" w:rsidR="00D43FFE" w:rsidRPr="00AB316F" w:rsidRDefault="00D43FFE" w:rsidP="00D43FFE">
      <w:pPr>
        <w:pStyle w:val="Prrafodelista"/>
        <w:numPr>
          <w:ilvl w:val="0"/>
          <w:numId w:val="5"/>
        </w:numPr>
        <w:spacing w:after="0" w:line="276" w:lineRule="auto"/>
        <w:jc w:val="both"/>
        <w:rPr>
          <w:rFonts w:ascii="Arial" w:eastAsia="Calibri" w:hAnsi="Arial" w:cs="Arial"/>
        </w:rPr>
      </w:pPr>
      <w:r w:rsidRPr="00AB316F">
        <w:rPr>
          <w:rFonts w:ascii="Arial" w:eastAsia="Calibri" w:hAnsi="Arial" w:cs="Arial"/>
        </w:rPr>
        <w:t>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6D9EEE8C" w14:textId="77777777" w:rsidR="00D43FFE" w:rsidRDefault="00D43FFE" w:rsidP="00D43FFE">
      <w:pPr>
        <w:spacing w:after="0" w:line="276" w:lineRule="auto"/>
        <w:ind w:firstLine="708"/>
        <w:jc w:val="both"/>
        <w:rPr>
          <w:rFonts w:ascii="Arial" w:eastAsia="Calibri" w:hAnsi="Arial" w:cs="Arial"/>
        </w:rPr>
      </w:pPr>
    </w:p>
    <w:p w14:paraId="0532593D" w14:textId="77777777" w:rsidR="00D43FFE" w:rsidRPr="0066787D" w:rsidRDefault="00D43FFE" w:rsidP="00D43FFE">
      <w:pPr>
        <w:spacing w:after="120" w:line="276" w:lineRule="auto"/>
        <w:ind w:firstLine="709"/>
        <w:jc w:val="both"/>
        <w:rPr>
          <w:rFonts w:ascii="Arial" w:eastAsia="Times New Roman" w:hAnsi="Arial" w:cs="Arial"/>
          <w:color w:val="000000"/>
          <w:szCs w:val="24"/>
          <w:lang w:eastAsia="es-ES_tradnl"/>
        </w:rPr>
      </w:pPr>
      <w:r w:rsidRPr="00AB316F">
        <w:rPr>
          <w:rFonts w:ascii="Arial" w:eastAsia="Calibri" w:hAnsi="Arial" w:cs="Arial"/>
        </w:rPr>
        <w:t>Además de lo anterior, tampoco es un requisito obligatorio estar inscrito en el registro para celebrar los contratos con entidades privadas sin ánimo de lucro, con fundamento en el régimen establecido en el Decreto 092 de 2017, al igual que para participar en procedimientos de selección de entidades que no se rigen por el Estatuto General de Contratación de la Administración Pública, esto es, para celebrar contratos que tienen un régimen especial</w:t>
      </w:r>
      <w:r>
        <w:rPr>
          <w:rFonts w:ascii="Arial" w:eastAsia="Calibri" w:hAnsi="Arial" w:cs="Arial"/>
        </w:rPr>
        <w:t>.</w:t>
      </w:r>
    </w:p>
    <w:p w14:paraId="77962DAF" w14:textId="77777777" w:rsidR="00D43FFE" w:rsidRDefault="00D43FFE" w:rsidP="00D43FFE">
      <w:pPr>
        <w:spacing w:after="0" w:line="276" w:lineRule="auto"/>
        <w:ind w:firstLine="708"/>
        <w:jc w:val="both"/>
        <w:rPr>
          <w:rStyle w:val="eop"/>
          <w:rFonts w:ascii="Arial" w:hAnsi="Arial" w:cs="Arial"/>
          <w:color w:val="000000"/>
          <w:shd w:val="clear" w:color="auto" w:fill="FFFFFF"/>
        </w:rPr>
      </w:pPr>
      <w:r>
        <w:rPr>
          <w:rFonts w:ascii="Arial" w:eastAsia="Times New Roman" w:hAnsi="Arial" w:cs="Arial"/>
          <w:color w:val="000000"/>
          <w:szCs w:val="24"/>
          <w:lang w:eastAsia="es-ES_tradnl"/>
        </w:rPr>
        <w:lastRenderedPageBreak/>
        <w:t>Finalmente</w:t>
      </w:r>
      <w:r w:rsidRPr="0066787D">
        <w:rPr>
          <w:rFonts w:ascii="Arial" w:eastAsia="Times New Roman" w:hAnsi="Arial" w:cs="Arial"/>
          <w:color w:val="000000"/>
          <w:szCs w:val="24"/>
          <w:lang w:eastAsia="es-ES_tradnl"/>
        </w:rPr>
        <w:t>, el Decreto 1082 de 2015</w:t>
      </w:r>
      <w:r w:rsidRPr="0066787D">
        <w:rPr>
          <w:rFonts w:ascii="Arial" w:eastAsia="Times New Roman" w:hAnsi="Arial" w:cs="Arial"/>
          <w:color w:val="000000"/>
          <w:szCs w:val="24"/>
          <w:vertAlign w:val="superscript"/>
          <w:lang w:eastAsia="es-ES_tradnl"/>
        </w:rPr>
        <w:footnoteReference w:id="11"/>
      </w:r>
      <w:r w:rsidRPr="0066787D">
        <w:rPr>
          <w:rFonts w:ascii="Arial" w:eastAsia="Times New Roman" w:hAnsi="Arial" w:cs="Arial"/>
          <w:color w:val="000000"/>
          <w:szCs w:val="24"/>
          <w:lang w:eastAsia="es-ES_tradnl"/>
        </w:rPr>
        <w:t xml:space="preserve"> dispone quiénes deben inscribirse en el RUP, el momento de la renovación del registro, la información que puede actualizarse y la posibilidad de solicitar la cancelación de la inscripción, en cualquier momento ante la cámara de comercio correspondiente</w:t>
      </w:r>
      <w:r w:rsidRPr="0066787D">
        <w:rPr>
          <w:rFonts w:ascii="Arial" w:eastAsia="Times New Roman" w:hAnsi="Arial" w:cs="Arial"/>
          <w:color w:val="000000"/>
          <w:szCs w:val="24"/>
          <w:vertAlign w:val="superscript"/>
          <w:lang w:eastAsia="es-ES_tradnl"/>
        </w:rPr>
        <w:footnoteReference w:id="12"/>
      </w:r>
      <w:r w:rsidRPr="0066787D">
        <w:rPr>
          <w:rFonts w:ascii="Arial" w:eastAsia="Times New Roman" w:hAnsi="Arial" w:cs="Arial"/>
          <w:color w:val="000000"/>
          <w:szCs w:val="24"/>
          <w:lang w:eastAsia="es-ES_tradnl"/>
        </w:rPr>
        <w:t xml:space="preserve">. </w:t>
      </w:r>
      <w:r>
        <w:rPr>
          <w:rStyle w:val="normaltextrun"/>
          <w:rFonts w:ascii="Arial" w:hAnsi="Arial" w:cs="Arial"/>
          <w:color w:val="000000"/>
          <w:shd w:val="clear" w:color="auto" w:fill="FFFFFF"/>
          <w:lang w:val="es-ES"/>
        </w:rPr>
        <w:t>En este sentido, salvo las excepciones enunciadas, por regla general la capacidad jurídica, las condiciones de experiencia y la capacidad financiera y de organización de los proponentes deberán verificarse con el Registro Único de Proponentes, pues, de acuerdo con lo expuesto, este instrumento es plena prueba de la información que contiene, debiendo las entidades estatales efectuar su verificación, en aplicación de los principios que rigen la función administrativa, especialmente, los de selección objetiva y economía.</w:t>
      </w:r>
      <w:r>
        <w:rPr>
          <w:rStyle w:val="eop"/>
          <w:rFonts w:ascii="Arial" w:hAnsi="Arial" w:cs="Arial"/>
          <w:color w:val="000000"/>
          <w:shd w:val="clear" w:color="auto" w:fill="FFFFFF"/>
        </w:rPr>
        <w:t> </w:t>
      </w:r>
    </w:p>
    <w:p w14:paraId="57637913" w14:textId="77777777" w:rsidR="00D43FFE" w:rsidRDefault="00D43FFE" w:rsidP="00D43FFE">
      <w:pPr>
        <w:spacing w:after="0" w:line="276" w:lineRule="auto"/>
        <w:jc w:val="both"/>
        <w:rPr>
          <w:rStyle w:val="eop"/>
          <w:rFonts w:ascii="Arial" w:hAnsi="Arial" w:cs="Arial"/>
          <w:color w:val="000000"/>
          <w:shd w:val="clear" w:color="auto" w:fill="FFFFFF"/>
        </w:rPr>
      </w:pPr>
    </w:p>
    <w:p w14:paraId="1E28BA53" w14:textId="77777777" w:rsidR="00D43FFE" w:rsidRPr="00482CF9" w:rsidRDefault="00D43FFE" w:rsidP="00D43FFE">
      <w:pPr>
        <w:spacing w:after="0" w:line="276" w:lineRule="auto"/>
        <w:jc w:val="both"/>
        <w:rPr>
          <w:rFonts w:ascii="Arial" w:eastAsia="Calibri" w:hAnsi="Arial" w:cs="Arial"/>
          <w:b/>
          <w:bCs/>
          <w:color w:val="000000"/>
          <w:lang w:val="es-ES_tradnl"/>
        </w:rPr>
      </w:pPr>
      <w:r w:rsidRPr="00482CF9">
        <w:rPr>
          <w:rFonts w:ascii="Arial" w:eastAsia="Calibri" w:hAnsi="Arial" w:cs="Arial"/>
          <w:b/>
          <w:bCs/>
          <w:color w:val="000000"/>
          <w:lang w:val="es-ES_tradnl"/>
        </w:rPr>
        <w:t>2.</w:t>
      </w:r>
      <w:r>
        <w:rPr>
          <w:rFonts w:ascii="Arial" w:eastAsia="Calibri" w:hAnsi="Arial" w:cs="Arial"/>
          <w:b/>
          <w:bCs/>
          <w:color w:val="000000"/>
          <w:lang w:val="es-ES_tradnl"/>
        </w:rPr>
        <w:t>2</w:t>
      </w:r>
      <w:r w:rsidRPr="00482CF9">
        <w:rPr>
          <w:rFonts w:ascii="Arial" w:eastAsia="Calibri" w:hAnsi="Arial" w:cs="Arial"/>
          <w:b/>
          <w:bCs/>
          <w:color w:val="000000"/>
          <w:lang w:val="es-ES_tradnl"/>
        </w:rPr>
        <w:t>. Procedimiento del concurso de méritos después de los autos de suspensión provisional del Consejo de Estado</w:t>
      </w:r>
    </w:p>
    <w:p w14:paraId="1B80D5A0" w14:textId="77777777" w:rsidR="00D43FFE" w:rsidRPr="00482CF9" w:rsidRDefault="00D43FFE" w:rsidP="00D43FFE">
      <w:pPr>
        <w:spacing w:after="0" w:line="276" w:lineRule="auto"/>
        <w:jc w:val="both"/>
        <w:rPr>
          <w:rFonts w:ascii="Arial" w:eastAsia="Calibri" w:hAnsi="Arial" w:cs="Arial"/>
          <w:b/>
          <w:bCs/>
          <w:color w:val="000000"/>
          <w:lang w:val="es-ES_tradnl"/>
        </w:rPr>
      </w:pPr>
    </w:p>
    <w:p w14:paraId="38901BF0" w14:textId="77777777" w:rsidR="00D43FFE" w:rsidRPr="00482CF9" w:rsidRDefault="00D43FFE" w:rsidP="00D43FFE">
      <w:pPr>
        <w:spacing w:after="0" w:line="276" w:lineRule="auto"/>
        <w:jc w:val="both"/>
        <w:rPr>
          <w:rFonts w:ascii="Arial" w:eastAsia="Times New Roman" w:hAnsi="Arial" w:cs="Arial"/>
          <w:color w:val="000000"/>
          <w:szCs w:val="24"/>
          <w:lang w:val="es-ES_tradnl" w:eastAsia="es-ES_tradnl"/>
        </w:rPr>
      </w:pPr>
      <w:r w:rsidRPr="00482CF9">
        <w:rPr>
          <w:rFonts w:ascii="Arial" w:eastAsia="Calibri" w:hAnsi="Arial" w:cs="Arial"/>
          <w:color w:val="000000"/>
          <w:lang w:val="es-ES_tradnl"/>
        </w:rPr>
        <w:t xml:space="preserve">El </w:t>
      </w:r>
      <w:r w:rsidRPr="00482CF9">
        <w:rPr>
          <w:rFonts w:ascii="Arial" w:eastAsia="Calibri" w:hAnsi="Arial" w:cs="Arial"/>
          <w:i/>
          <w:iCs/>
          <w:color w:val="000000"/>
          <w:lang w:val="es-ES_tradnl"/>
        </w:rPr>
        <w:t xml:space="preserve">concurso de méritos </w:t>
      </w:r>
      <w:r w:rsidRPr="00482CF9">
        <w:rPr>
          <w:rFonts w:ascii="Arial" w:eastAsia="Calibri" w:hAnsi="Arial" w:cs="Arial"/>
          <w:color w:val="000000"/>
          <w:lang w:val="es-ES_tradnl"/>
        </w:rPr>
        <w:t xml:space="preserve">es un procedimiento de selección que deben realizar las entidades estales para escoger </w:t>
      </w:r>
      <w:r>
        <w:rPr>
          <w:rFonts w:ascii="Arial" w:hAnsi="Arial" w:cs="Arial"/>
          <w:color w:val="000000" w:themeColor="text1"/>
          <w:lang w:val="es-ES_tradnl"/>
        </w:rPr>
        <w:t>“</w:t>
      </w:r>
      <w:r w:rsidRPr="00482CF9">
        <w:rPr>
          <w:rFonts w:ascii="Arial" w:hAnsi="Arial" w:cs="Arial"/>
          <w:color w:val="000000" w:themeColor="text1"/>
          <w:lang w:val="es-ES_tradnl"/>
        </w:rPr>
        <w:t>consultores y proyectos</w:t>
      </w:r>
      <w:r>
        <w:rPr>
          <w:rFonts w:ascii="Arial" w:hAnsi="Arial" w:cs="Arial"/>
          <w:color w:val="000000" w:themeColor="text1"/>
          <w:lang w:val="es-ES_tradnl"/>
        </w:rPr>
        <w:t>”</w:t>
      </w:r>
      <w:r w:rsidRPr="00482CF9">
        <w:rPr>
          <w:rFonts w:ascii="Arial" w:hAnsi="Arial" w:cs="Arial"/>
          <w:color w:val="000000" w:themeColor="text1"/>
          <w:lang w:val="es-ES_tradnl"/>
        </w:rPr>
        <w:t xml:space="preserve">, es decir, para celebrar contratos de consultoría, entendidos estos últimos como aquellos </w:t>
      </w:r>
      <w:r>
        <w:rPr>
          <w:rFonts w:ascii="Arial" w:hAnsi="Arial" w:cs="Arial"/>
          <w:color w:val="000000" w:themeColor="text1"/>
          <w:lang w:val="es-ES_tradnl"/>
        </w:rPr>
        <w:t>“</w:t>
      </w:r>
      <w:r w:rsidRPr="00482CF9">
        <w:rPr>
          <w:rFonts w:ascii="Arial" w:hAnsi="Arial" w:cs="Arial"/>
          <w:color w:val="000000" w:themeColor="text1"/>
          <w:lang w:val="es-ES_tradnl"/>
        </w:rPr>
        <w:t>[…]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r>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 según lo dispuesto en el artículo 32, numeral 2, de la Ley 80 de 1993.</w:t>
      </w:r>
    </w:p>
    <w:p w14:paraId="0B8CA49A" w14:textId="77777777" w:rsidR="00D43FFE" w:rsidRPr="00482CF9" w:rsidRDefault="00D43FFE" w:rsidP="00D43FFE">
      <w:pPr>
        <w:spacing w:before="120" w:after="0" w:line="276" w:lineRule="auto"/>
        <w:jc w:val="both"/>
        <w:rPr>
          <w:rFonts w:ascii="Arial" w:eastAsia="Times New Roman" w:hAnsi="Arial" w:cs="Arial"/>
          <w:color w:val="000000"/>
          <w:szCs w:val="24"/>
          <w:lang w:val="es-ES_tradnl" w:eastAsia="es-ES_tradnl"/>
        </w:rPr>
      </w:pPr>
      <w:r w:rsidRPr="00482CF9">
        <w:rPr>
          <w:rFonts w:ascii="Arial" w:eastAsia="Times New Roman" w:hAnsi="Arial" w:cs="Arial"/>
          <w:color w:val="000000"/>
          <w:szCs w:val="24"/>
          <w:lang w:val="es-ES_tradnl" w:eastAsia="es-ES_tradnl"/>
        </w:rPr>
        <w:tab/>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 concurso de méritos </w:t>
      </w:r>
      <w:r>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para la selección de consultores de diseño, planos, anteproyectos y proyectos arquitectónicos</w:t>
      </w:r>
      <w:r>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 xml:space="preserve">. El primero está regulado en los artículos 2.2.1.2.1.3.1 y 2.2.1.2.1.3.2 </w:t>
      </w:r>
      <w:r w:rsidRPr="00482CF9">
        <w:rPr>
          <w:rFonts w:ascii="Arial" w:eastAsia="Times New Roman" w:hAnsi="Arial" w:cs="Arial"/>
          <w:i/>
          <w:iCs/>
          <w:color w:val="000000"/>
          <w:szCs w:val="24"/>
          <w:lang w:val="es-ES_tradnl" w:eastAsia="es-ES_tradnl"/>
        </w:rPr>
        <w:t xml:space="preserve">ibídem. </w:t>
      </w:r>
      <w:r w:rsidRPr="00482CF9">
        <w:rPr>
          <w:rFonts w:ascii="Arial" w:eastAsia="Times New Roman" w:hAnsi="Arial" w:cs="Arial"/>
          <w:color w:val="000000"/>
          <w:szCs w:val="24"/>
          <w:lang w:val="es-ES_tradnl" w:eastAsia="es-ES_tradnl"/>
        </w:rPr>
        <w:t xml:space="preserve">El segundo, además de los dos artículos anteriores, lo regulan los artículos 2.2.1.2.1.3.3 a 2.2.1.2.1.3.7 </w:t>
      </w:r>
      <w:proofErr w:type="spellStart"/>
      <w:r w:rsidRPr="00482CF9">
        <w:rPr>
          <w:rFonts w:ascii="Arial" w:eastAsia="Times New Roman" w:hAnsi="Arial" w:cs="Arial"/>
          <w:i/>
          <w:iCs/>
          <w:color w:val="000000"/>
          <w:szCs w:val="24"/>
          <w:lang w:val="es-ES_tradnl" w:eastAsia="es-ES_tradnl"/>
        </w:rPr>
        <w:t>ejusdem</w:t>
      </w:r>
      <w:proofErr w:type="spellEnd"/>
      <w:r w:rsidRPr="00482CF9">
        <w:rPr>
          <w:rFonts w:ascii="Arial" w:eastAsia="Times New Roman" w:hAnsi="Arial" w:cs="Arial"/>
          <w:i/>
          <w:iCs/>
          <w:color w:val="000000"/>
          <w:szCs w:val="24"/>
          <w:lang w:val="es-ES_tradnl" w:eastAsia="es-ES_tradnl"/>
        </w:rPr>
        <w:t xml:space="preserve">. </w:t>
      </w:r>
      <w:r w:rsidRPr="00482CF9">
        <w:rPr>
          <w:rFonts w:ascii="Arial" w:eastAsia="Times New Roman" w:hAnsi="Arial" w:cs="Arial"/>
          <w:color w:val="000000"/>
          <w:szCs w:val="24"/>
          <w:lang w:val="es-ES_tradnl" w:eastAsia="es-ES_tradnl"/>
        </w:rPr>
        <w:t>El tercero lo regulan los artículos 2.2.1.2.1.3.8 a 2.2.1.2.1.3.25 del mencionado Decreto.</w:t>
      </w:r>
    </w:p>
    <w:p w14:paraId="2D935654" w14:textId="77777777" w:rsidR="00D43FFE" w:rsidRPr="00482CF9" w:rsidRDefault="00D43FFE" w:rsidP="00D43FFE">
      <w:pPr>
        <w:spacing w:before="120" w:after="0" w:line="276" w:lineRule="auto"/>
        <w:jc w:val="both"/>
        <w:rPr>
          <w:rFonts w:ascii="Arial" w:eastAsia="Times New Roman" w:hAnsi="Arial" w:cs="Arial"/>
          <w:color w:val="000000"/>
          <w:szCs w:val="24"/>
          <w:lang w:val="es-ES_tradnl" w:eastAsia="es-ES_tradnl"/>
        </w:rPr>
      </w:pPr>
      <w:r w:rsidRPr="00482CF9">
        <w:rPr>
          <w:rFonts w:ascii="Arial" w:eastAsia="Times New Roman" w:hAnsi="Arial" w:cs="Arial"/>
          <w:color w:val="000000"/>
          <w:szCs w:val="24"/>
          <w:lang w:val="es-ES_tradnl" w:eastAsia="es-ES_tradnl"/>
        </w:rPr>
        <w:lastRenderedPageBreak/>
        <w:tab/>
        <w:t xml:space="preserve">Ahora bien, la Sección Tercera del Consejo de Estado, </w:t>
      </w:r>
      <w:r w:rsidRPr="00482CF9">
        <w:rPr>
          <w:rFonts w:ascii="Arial" w:eastAsia="Calibri" w:hAnsi="Arial" w:cs="Arial"/>
          <w:color w:val="000000"/>
          <w:lang w:val="es-ES_tradnl"/>
        </w:rPr>
        <w:t>en autos del 25 de julio de 2018</w:t>
      </w:r>
      <w:r w:rsidRPr="00482CF9">
        <w:rPr>
          <w:rFonts w:ascii="Arial" w:eastAsia="Times New Roman" w:hAnsi="Arial" w:cs="Arial"/>
          <w:color w:val="000000"/>
          <w:szCs w:val="24"/>
          <w:vertAlign w:val="superscript"/>
          <w:lang w:val="es-ES_tradnl" w:eastAsia="es-ES_tradnl"/>
        </w:rPr>
        <w:footnoteReference w:id="13"/>
      </w:r>
      <w:r w:rsidRPr="00482CF9">
        <w:rPr>
          <w:rFonts w:ascii="Arial" w:eastAsia="Times New Roman" w:hAnsi="Arial" w:cs="Arial"/>
          <w:color w:val="000000"/>
          <w:szCs w:val="24"/>
          <w:lang w:val="es-ES_tradnl" w:eastAsia="es-ES_tradnl"/>
        </w:rPr>
        <w:t xml:space="preserve"> y del 20 de febrero de 2019</w:t>
      </w:r>
      <w:r w:rsidRPr="00482CF9">
        <w:rPr>
          <w:rFonts w:ascii="Arial" w:eastAsia="Times New Roman" w:hAnsi="Arial" w:cs="Arial"/>
          <w:color w:val="000000"/>
          <w:szCs w:val="24"/>
          <w:vertAlign w:val="superscript"/>
          <w:lang w:val="es-ES_tradnl" w:eastAsia="es-ES_tradnl"/>
        </w:rPr>
        <w:footnoteReference w:id="14"/>
      </w:r>
      <w:r w:rsidRPr="00482CF9">
        <w:rPr>
          <w:rFonts w:ascii="Arial" w:eastAsia="Times New Roman" w:hAnsi="Arial" w:cs="Arial"/>
          <w:color w:val="000000"/>
          <w:szCs w:val="24"/>
          <w:lang w:val="es-ES_tradnl" w:eastAsia="es-ES_tradnl"/>
        </w:rPr>
        <w:t>,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 El texto de estos numerales disponía lo siguiente:</w:t>
      </w:r>
    </w:p>
    <w:p w14:paraId="086398B4" w14:textId="77777777" w:rsidR="00D43FFE" w:rsidRPr="00482CF9" w:rsidRDefault="00D43FFE" w:rsidP="00D43FFE">
      <w:pPr>
        <w:spacing w:before="120" w:after="0" w:line="276" w:lineRule="auto"/>
        <w:jc w:val="both"/>
        <w:rPr>
          <w:rFonts w:ascii="Arial" w:eastAsia="Times New Roman" w:hAnsi="Arial" w:cs="Arial"/>
          <w:color w:val="000000"/>
          <w:szCs w:val="24"/>
          <w:lang w:val="es-ES_tradnl" w:eastAsia="es-ES_tradnl"/>
        </w:rPr>
      </w:pPr>
    </w:p>
    <w:p w14:paraId="6FE5F01A" w14:textId="77777777" w:rsidR="00D43FFE" w:rsidRPr="00482CF9" w:rsidRDefault="00D43FFE" w:rsidP="00D43FFE">
      <w:pPr>
        <w:spacing w:after="12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633916EB" w14:textId="77777777" w:rsidR="00D43FFE" w:rsidRPr="00482CF9" w:rsidRDefault="00D43FFE" w:rsidP="00D43FFE">
      <w:pPr>
        <w:spacing w:after="12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203130C8" w14:textId="77777777" w:rsidR="00D43FFE" w:rsidRPr="00482CF9" w:rsidRDefault="00D43FFE" w:rsidP="00D43FFE">
      <w:pPr>
        <w:spacing w:after="12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t>2. La Entidad Estatal debe publicar durante tres (3) días hábiles el informe de evaluación, el cual debe contener la calificación técnica y el orden de elegibilidad.</w:t>
      </w:r>
    </w:p>
    <w:p w14:paraId="1A29225B" w14:textId="77777777" w:rsidR="00D43FFE" w:rsidRPr="00482CF9" w:rsidRDefault="00D43FFE" w:rsidP="00D43FFE">
      <w:pPr>
        <w:spacing w:after="120" w:line="240" w:lineRule="auto"/>
        <w:ind w:left="709" w:right="709"/>
        <w:jc w:val="both"/>
        <w:rPr>
          <w:rFonts w:ascii="Arial" w:eastAsia="Calibri" w:hAnsi="Arial" w:cs="Arial"/>
          <w:i/>
          <w:color w:val="000000"/>
          <w:sz w:val="21"/>
          <w:szCs w:val="21"/>
          <w:lang w:val="es-ES_tradnl"/>
        </w:rPr>
      </w:pPr>
      <w:r w:rsidRPr="00482CF9">
        <w:rPr>
          <w:rFonts w:ascii="Arial" w:eastAsia="Calibri" w:hAnsi="Arial" w:cs="Arial"/>
          <w:i/>
          <w:color w:val="000000"/>
          <w:sz w:val="21"/>
          <w:szCs w:val="21"/>
          <w:lang w:val="es-ES_tradnl"/>
        </w:rPr>
        <w:t>3. La Entidad Estatal debe revisar la oferta económica y verificar que está en el rango del valor estimado consignado en los documentos y estudios previos y del presupuesto asignado para el contrato.</w:t>
      </w:r>
    </w:p>
    <w:p w14:paraId="3717AB4A" w14:textId="77777777" w:rsidR="00D43FFE" w:rsidRPr="00482CF9" w:rsidRDefault="00D43FFE" w:rsidP="00D43FFE">
      <w:pPr>
        <w:spacing w:after="120" w:line="240" w:lineRule="auto"/>
        <w:ind w:left="709" w:right="709"/>
        <w:jc w:val="both"/>
        <w:rPr>
          <w:rFonts w:ascii="Arial" w:eastAsia="Calibri" w:hAnsi="Arial" w:cs="Arial"/>
          <w:i/>
          <w:color w:val="000000"/>
          <w:sz w:val="21"/>
          <w:szCs w:val="21"/>
          <w:lang w:val="es-ES_tradnl"/>
        </w:rPr>
      </w:pPr>
      <w:r w:rsidRPr="00482CF9">
        <w:rPr>
          <w:rFonts w:ascii="Arial" w:eastAsia="Calibri" w:hAnsi="Arial" w:cs="Arial"/>
          <w:i/>
          <w:color w:val="000000"/>
          <w:sz w:val="21"/>
          <w:szCs w:val="21"/>
          <w:lang w:val="es-ES_tradnl"/>
        </w:rPr>
        <w:t>4. La Entidad Estatal debe revisar con el oferente calificado en el primer lugar de elegibilidad la coherencia y consistencia entre: i) la necesidad identificada por la Entidad Estatal y el alcance de la oferta; ii) la consultoría ofrecida y el precio ofrecido, y iii) el precio ofrecido y la disponibilidad presupuestal del respectivo Proceso de Contratación. Si la Entidad Estatal y el oferente llegan a un acuerdo sobre el alcance y el valor del contrato, dejarán constancia del mismo y firmarán el contrato.</w:t>
      </w:r>
    </w:p>
    <w:p w14:paraId="2213127F" w14:textId="77777777" w:rsidR="00D43FFE" w:rsidRPr="00482CF9" w:rsidRDefault="00D43FFE" w:rsidP="00D43FFE">
      <w:pPr>
        <w:spacing w:after="120" w:line="240" w:lineRule="auto"/>
        <w:ind w:left="709" w:right="709"/>
        <w:jc w:val="both"/>
        <w:rPr>
          <w:rFonts w:ascii="Arial" w:eastAsia="Calibri" w:hAnsi="Arial" w:cs="Arial"/>
          <w:i/>
          <w:color w:val="000000"/>
          <w:sz w:val="21"/>
          <w:szCs w:val="21"/>
          <w:lang w:val="es-ES_tradnl"/>
        </w:rPr>
      </w:pPr>
      <w:r w:rsidRPr="00482CF9">
        <w:rPr>
          <w:rFonts w:ascii="Arial" w:eastAsia="Calibri" w:hAnsi="Arial" w:cs="Arial"/>
          <w:i/>
          <w:color w:val="000000"/>
          <w:sz w:val="21"/>
          <w:szCs w:val="21"/>
          <w:lang w:val="es-ES_tradnl"/>
        </w:rPr>
        <w:t>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14:paraId="50B95918" w14:textId="77777777" w:rsidR="00D43FFE" w:rsidRPr="00482CF9" w:rsidRDefault="00D43FFE" w:rsidP="00D43FFE">
      <w:pPr>
        <w:spacing w:after="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i/>
          <w:color w:val="000000"/>
          <w:sz w:val="21"/>
          <w:szCs w:val="21"/>
          <w:lang w:val="es-ES_tradnl"/>
        </w:rPr>
        <w:t>6. Si la Entidad Estatal y el oferente calificado en el segundo lugar de elegibilidad no llegan a un acuerdo, la Entidad Estatal debe declarar desierto el Proceso de Contratación</w:t>
      </w:r>
      <w:r w:rsidRPr="00482CF9">
        <w:rPr>
          <w:rFonts w:ascii="Arial" w:eastAsia="Calibri" w:hAnsi="Arial" w:cs="Arial"/>
          <w:color w:val="000000"/>
          <w:sz w:val="21"/>
          <w:szCs w:val="21"/>
          <w:lang w:val="es-ES_tradnl"/>
        </w:rPr>
        <w:t>. (Énfasis fuera de texto)</w:t>
      </w:r>
    </w:p>
    <w:p w14:paraId="719BC814" w14:textId="77777777" w:rsidR="00D43FFE" w:rsidRPr="00482CF9" w:rsidRDefault="00D43FFE" w:rsidP="00D43FFE">
      <w:pPr>
        <w:spacing w:before="120" w:after="0" w:line="276" w:lineRule="auto"/>
        <w:jc w:val="both"/>
        <w:rPr>
          <w:rFonts w:ascii="Arial" w:eastAsia="Calibri" w:hAnsi="Arial" w:cs="Arial"/>
          <w:color w:val="000000"/>
          <w:lang w:val="es-ES_tradnl"/>
        </w:rPr>
      </w:pPr>
    </w:p>
    <w:p w14:paraId="0057A9B8" w14:textId="77777777" w:rsidR="00D43FFE" w:rsidRPr="00482CF9" w:rsidRDefault="00D43FFE" w:rsidP="00D43FFE">
      <w:pPr>
        <w:spacing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lastRenderedPageBreak/>
        <w:tab/>
        <w:t>Los citados numerales 3, 4 y 5 disponían la verificación del precio. Por un lado, los numerales 3 y 4 exigían que estuviera dentro del presupuesto disponible y que este aspecto fuera 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que si no era posible llegar a un acuerdo con este, procedía la declaración de desierta.</w:t>
      </w:r>
    </w:p>
    <w:p w14:paraId="3E16B476" w14:textId="77777777" w:rsidR="00D43FFE" w:rsidRPr="00482CF9" w:rsidRDefault="00D43FFE" w:rsidP="00D43FFE">
      <w:pPr>
        <w:spacing w:before="120"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ab/>
        <w:t xml:space="preserve">El consejo de Estado consideró que los numerales 3,4 y 5 violarían el artículo 5, numeral 4, último inciso, de la Ley 1150 de 2007, pues señaló que: </w:t>
      </w:r>
      <w:r>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en ningún caso se podrá incluir el precio, como factor de escogencia para la selección de consultores</w:t>
      </w:r>
      <w:r>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 xml:space="preserve">, así como el artículo 25, numeral 2, de la Ley 80 de 1993 que dispone lo siguiente: </w:t>
      </w:r>
      <w:r>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 las normas de los procedimientos contractuales se interpretarán de tal manera que no den ocasión a seguir trámites distintos y adicionales a los expresamente previstos […]</w:t>
      </w:r>
      <w:r>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w:t>
      </w:r>
      <w:r w:rsidRPr="00482CF9">
        <w:rPr>
          <w:rFonts w:ascii="Arial" w:eastAsia="Times New Roman" w:hAnsi="Arial" w:cs="Arial"/>
          <w:color w:val="000000"/>
          <w:szCs w:val="24"/>
          <w:vertAlign w:val="superscript"/>
          <w:lang w:val="es-ES_tradnl" w:eastAsia="es-ES_tradnl"/>
        </w:rPr>
        <w:footnoteReference w:id="15"/>
      </w:r>
      <w:r w:rsidRPr="00482CF9">
        <w:rPr>
          <w:rFonts w:ascii="Arial" w:eastAsia="Times New Roman" w:hAnsi="Arial" w:cs="Arial"/>
          <w:color w:val="000000"/>
          <w:szCs w:val="24"/>
          <w:lang w:val="es-ES_tradnl" w:eastAsia="es-ES_tradnl"/>
        </w:rPr>
        <w:t>. En lo que respecta al artículo 6, este violaría especialmente el artículo 25.18 del Estatuto General y el artículo 5 de la Ley 1150 de 2007, pues la declaratoria de desierta solo procede cuando no es posible la selección objetiva del contratista</w:t>
      </w:r>
      <w:r w:rsidRPr="00482CF9">
        <w:rPr>
          <w:rFonts w:ascii="Arial" w:eastAsia="Times New Roman" w:hAnsi="Arial" w:cs="Arial"/>
          <w:color w:val="000000"/>
          <w:szCs w:val="24"/>
          <w:vertAlign w:val="superscript"/>
          <w:lang w:val="es-ES_tradnl" w:eastAsia="es-ES_tradnl"/>
        </w:rPr>
        <w:footnoteReference w:id="16"/>
      </w:r>
      <w:r w:rsidRPr="00482CF9">
        <w:rPr>
          <w:rFonts w:ascii="Arial" w:eastAsia="Times New Roman" w:hAnsi="Arial" w:cs="Arial"/>
          <w:color w:val="000000"/>
          <w:szCs w:val="24"/>
          <w:lang w:val="es-ES_tradnl" w:eastAsia="es-ES_tradnl"/>
        </w:rPr>
        <w:t>.</w:t>
      </w:r>
    </w:p>
    <w:p w14:paraId="0815EAB0" w14:textId="77777777" w:rsidR="00D43FFE" w:rsidRPr="00482CF9" w:rsidRDefault="00D43FFE" w:rsidP="00D43FFE">
      <w:pPr>
        <w:spacing w:before="120" w:after="0" w:line="276" w:lineRule="auto"/>
        <w:ind w:firstLine="709"/>
        <w:jc w:val="both"/>
        <w:rPr>
          <w:rFonts w:ascii="Arial" w:eastAsia="Calibri" w:hAnsi="Arial" w:cs="Arial"/>
          <w:color w:val="000000"/>
          <w:szCs w:val="24"/>
          <w:lang w:val="es-ES_tradnl" w:eastAsia="es-ES_tradnl"/>
        </w:rPr>
      </w:pPr>
      <w:bookmarkStart w:id="5" w:name="_Hlk43916091"/>
      <w:r w:rsidRPr="00482CF9">
        <w:rPr>
          <w:rFonts w:ascii="Arial" w:eastAsia="Times New Roman" w:hAnsi="Arial" w:cs="Arial"/>
          <w:color w:val="000000"/>
          <w:szCs w:val="24"/>
          <w:lang w:val="es-ES_tradnl" w:eastAsia="es-ES_tradnl"/>
        </w:rPr>
        <w:lastRenderedPageBreak/>
        <w:t xml:space="preserve">En consecuencia, </w:t>
      </w:r>
      <w:r w:rsidRPr="00482CF9">
        <w:rPr>
          <w:rFonts w:ascii="Arial" w:eastAsia="Calibri" w:hAnsi="Arial" w:cs="Arial"/>
          <w:color w:val="000000"/>
          <w:szCs w:val="24"/>
          <w:lang w:val="es-ES_tradnl" w:eastAsia="es-ES_tradnl"/>
        </w:rPr>
        <w:t>con los autos de suspensión provisional, el concurso de méritos abierto debía desarrollarse aplicando únicamente los numerales 1 y 2 del</w:t>
      </w:r>
      <w:r w:rsidRPr="00482CF9">
        <w:rPr>
          <w:rFonts w:ascii="Arial" w:eastAsia="Times New Roman" w:hAnsi="Arial" w:cs="Arial"/>
          <w:color w:val="000000"/>
          <w:szCs w:val="24"/>
          <w:lang w:val="es-ES_tradnl" w:eastAsia="es-ES_tradnl"/>
        </w:rPr>
        <w:t xml:space="preserve"> artículo 2.2.1.2.1.3.2 original del Decreto 1082 de 2015, esto es, antes de la modificación realizada por el Decreto 399 de 2021, al que se hará referencia en el numeral siguiente.</w:t>
      </w:r>
      <w:bookmarkEnd w:id="5"/>
      <w:r w:rsidRPr="00482CF9">
        <w:rPr>
          <w:rFonts w:ascii="Arial" w:eastAsia="Times New Roman" w:hAnsi="Arial" w:cs="Arial"/>
          <w:color w:val="000000"/>
          <w:szCs w:val="24"/>
          <w:lang w:val="es-ES_tradnl" w:eastAsia="es-ES_tradnl"/>
        </w:rPr>
        <w:t xml:space="preserve"> Por lo tanto, </w:t>
      </w:r>
      <w:r w:rsidRPr="00482CF9">
        <w:rPr>
          <w:rFonts w:ascii="Arial" w:eastAsia="Times New Roman" w:hAnsi="Arial" w:cs="Arial"/>
          <w:i/>
          <w:iCs/>
          <w:color w:val="000000"/>
          <w:szCs w:val="24"/>
          <w:lang w:val="es-ES_tradnl" w:eastAsia="es-ES_tradnl"/>
        </w:rPr>
        <w:t>siempre que estuviera dentro del presupuesto oficial</w:t>
      </w:r>
      <w:r w:rsidRPr="00482CF9">
        <w:rPr>
          <w:rFonts w:ascii="Arial" w:eastAsia="Times New Roman" w:hAnsi="Arial" w:cs="Arial"/>
          <w:color w:val="000000"/>
          <w:szCs w:val="24"/>
          <w:lang w:val="es-ES_tradnl" w:eastAsia="es-ES_tradnl"/>
        </w:rPr>
        <w:t>, la entidad estatal debía adjudicar el contrato al proponente que ocupara el primer puesto en el orden de elegibilidad, independientemente del valor ofrecido</w:t>
      </w:r>
      <w:r w:rsidRPr="00482CF9">
        <w:rPr>
          <w:rFonts w:ascii="Arial" w:eastAsia="Calibri" w:hAnsi="Arial" w:cs="Arial"/>
          <w:color w:val="000000"/>
          <w:szCs w:val="24"/>
          <w:lang w:val="es-ES_tradnl" w:eastAsia="es-ES_tradnl"/>
        </w:rPr>
        <w:t>.</w:t>
      </w:r>
    </w:p>
    <w:p w14:paraId="4BD91F4E" w14:textId="77777777" w:rsidR="00D43FFE" w:rsidRPr="00482CF9" w:rsidRDefault="00D43FFE" w:rsidP="00D43FFE">
      <w:pPr>
        <w:spacing w:after="0" w:line="276" w:lineRule="auto"/>
        <w:jc w:val="both"/>
        <w:rPr>
          <w:rFonts w:ascii="Arial" w:eastAsia="Calibri" w:hAnsi="Arial" w:cs="Arial"/>
          <w:color w:val="000000"/>
          <w:lang w:val="es-ES_tradnl"/>
        </w:rPr>
      </w:pPr>
    </w:p>
    <w:p w14:paraId="6392C41B" w14:textId="77777777" w:rsidR="00D43FFE" w:rsidRPr="00482CF9" w:rsidRDefault="00D43FFE" w:rsidP="00D43FFE">
      <w:pPr>
        <w:spacing w:after="0" w:line="276" w:lineRule="auto"/>
        <w:jc w:val="both"/>
        <w:rPr>
          <w:rFonts w:ascii="Arial" w:eastAsia="Calibri" w:hAnsi="Arial" w:cs="Arial"/>
          <w:b/>
          <w:bCs/>
          <w:color w:val="000000"/>
          <w:lang w:val="es-ES_tradnl"/>
        </w:rPr>
      </w:pPr>
      <w:r w:rsidRPr="00482CF9">
        <w:rPr>
          <w:rFonts w:ascii="Arial" w:eastAsia="Calibri" w:hAnsi="Arial" w:cs="Arial"/>
          <w:b/>
          <w:bCs/>
          <w:color w:val="000000"/>
          <w:lang w:val="es-ES_tradnl"/>
        </w:rPr>
        <w:t>2.</w:t>
      </w:r>
      <w:r>
        <w:rPr>
          <w:rFonts w:ascii="Arial" w:eastAsia="Calibri" w:hAnsi="Arial" w:cs="Arial"/>
          <w:b/>
          <w:bCs/>
          <w:color w:val="000000"/>
          <w:lang w:val="es-ES_tradnl"/>
        </w:rPr>
        <w:t>3</w:t>
      </w:r>
      <w:r w:rsidRPr="00482CF9">
        <w:rPr>
          <w:rFonts w:ascii="Arial" w:eastAsia="Calibri" w:hAnsi="Arial" w:cs="Arial"/>
          <w:b/>
          <w:bCs/>
          <w:color w:val="000000"/>
          <w:lang w:val="es-ES_tradnl"/>
        </w:rPr>
        <w:t>. Reglamentación del concurso de méritos abierto o con precalificación en el Decreto 399 de 2021</w:t>
      </w:r>
    </w:p>
    <w:p w14:paraId="107A38AC" w14:textId="77777777" w:rsidR="00D43FFE" w:rsidRPr="00482CF9" w:rsidRDefault="00D43FFE" w:rsidP="00D43FFE">
      <w:pPr>
        <w:spacing w:after="0" w:line="276" w:lineRule="auto"/>
        <w:jc w:val="both"/>
        <w:rPr>
          <w:rFonts w:ascii="Arial" w:eastAsia="Calibri" w:hAnsi="Arial" w:cs="Arial"/>
          <w:color w:val="000000"/>
          <w:lang w:val="es-ES_tradnl"/>
        </w:rPr>
      </w:pPr>
    </w:p>
    <w:p w14:paraId="3BDCD170" w14:textId="77777777" w:rsidR="00D43FFE" w:rsidRPr="00482CF9" w:rsidRDefault="00D43FFE" w:rsidP="00D43FFE">
      <w:pPr>
        <w:spacing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El artículo 2 del Decreto 399 de 2021 modificó el artículo 2.2.1.2.1.3.2 del Decreto 1082 de 2015, en los siguientes términos:</w:t>
      </w:r>
    </w:p>
    <w:p w14:paraId="215B7CF2" w14:textId="77777777" w:rsidR="00D43FFE" w:rsidRPr="00482CF9" w:rsidRDefault="00D43FFE" w:rsidP="00D43FFE">
      <w:pPr>
        <w:spacing w:after="0" w:line="276" w:lineRule="auto"/>
        <w:jc w:val="both"/>
        <w:rPr>
          <w:rFonts w:ascii="Arial" w:eastAsia="Calibri" w:hAnsi="Arial" w:cs="Arial"/>
          <w:color w:val="000000"/>
          <w:lang w:val="es-ES_tradnl"/>
        </w:rPr>
      </w:pPr>
    </w:p>
    <w:p w14:paraId="4DD51FC9" w14:textId="77777777" w:rsidR="00D43FFE" w:rsidRPr="00482CF9" w:rsidRDefault="00D43FFE" w:rsidP="00D43FFE">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Artículo 2. Modificación del artículo 2.2.1.2.1.3.2.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043153FD" w14:textId="77777777" w:rsidR="00D43FFE" w:rsidRPr="00482CF9" w:rsidRDefault="00D43FFE" w:rsidP="00D43FFE">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736FCEF3" w14:textId="77777777" w:rsidR="00D43FFE" w:rsidRPr="00482CF9" w:rsidRDefault="00D43FFE" w:rsidP="00D43FFE">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"Artículo 2.2.1.2.1.3.2. Procedimiento del concurso de méritos. Además de las reglas generales previstas en la ley y en el presente título, las siguientes reglas son aplicables al concurso de méritos abierto o con precalificación:</w:t>
      </w:r>
    </w:p>
    <w:p w14:paraId="23632967" w14:textId="77777777" w:rsidR="00D43FFE" w:rsidRPr="00482CF9" w:rsidRDefault="00D43FFE" w:rsidP="00D43FFE">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2E382844" w14:textId="77777777" w:rsidR="00D43FFE" w:rsidRPr="00482CF9" w:rsidRDefault="00D43FFE" w:rsidP="00D43FFE">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1. La Entidad Estatal en los pliegos de condiciones debe indicar la forma como calificará, entre otros, los siguientes criterios: a) la experiencia del interesado y del equipo de trabajo y b) la formación académica del equipo de trabajo.</w:t>
      </w:r>
    </w:p>
    <w:p w14:paraId="3B6D75FF" w14:textId="77777777" w:rsidR="00D43FFE" w:rsidRPr="00482CF9" w:rsidRDefault="00D43FFE" w:rsidP="00D43FFE">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71548170" w14:textId="77777777" w:rsidR="00D43FFE" w:rsidRPr="00482CF9" w:rsidRDefault="00D43FFE" w:rsidP="00D43FFE">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51F6A2AB" w14:textId="77777777" w:rsidR="00D43FFE" w:rsidRPr="00482CF9" w:rsidRDefault="00D43FFE" w:rsidP="00D43FFE">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7DCB530F" w14:textId="77777777" w:rsidR="00D43FFE" w:rsidRPr="00482CF9" w:rsidRDefault="00D43FFE" w:rsidP="00D43FFE">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14:paraId="7C3E5796" w14:textId="77777777" w:rsidR="00D43FFE" w:rsidRPr="00482CF9" w:rsidRDefault="00D43FFE" w:rsidP="00D43FFE">
      <w:pPr>
        <w:spacing w:after="0" w:line="276" w:lineRule="auto"/>
        <w:jc w:val="both"/>
        <w:rPr>
          <w:rFonts w:ascii="Arial" w:eastAsia="Calibri" w:hAnsi="Arial" w:cs="Arial"/>
          <w:color w:val="000000"/>
          <w:lang w:val="es-ES_tradnl"/>
        </w:rPr>
      </w:pPr>
    </w:p>
    <w:p w14:paraId="7EB3207B" w14:textId="77777777" w:rsidR="00D43FFE" w:rsidRPr="00482CF9" w:rsidRDefault="00D43FFE" w:rsidP="00D43FFE">
      <w:pPr>
        <w:spacing w:after="0" w:line="276" w:lineRule="auto"/>
        <w:jc w:val="both"/>
        <w:rPr>
          <w:rFonts w:ascii="Arial" w:eastAsia="Calibri" w:hAnsi="Arial" w:cs="Arial"/>
          <w:color w:val="000000"/>
          <w:szCs w:val="24"/>
          <w:lang w:val="es-ES_tradnl" w:eastAsia="es-ES_tradnl"/>
        </w:rPr>
      </w:pPr>
      <w:r w:rsidRPr="00482CF9">
        <w:rPr>
          <w:rFonts w:ascii="Arial" w:eastAsia="Calibri" w:hAnsi="Arial" w:cs="Arial"/>
          <w:color w:val="000000"/>
          <w:lang w:val="es-ES_tradnl"/>
        </w:rPr>
        <w:tab/>
        <w:t xml:space="preserve">Como se observa, el artículo 2 del Decreto 399 de 2021 reformó la reglamentación del concurso de méritos, para adecuarla a los pronunciamientos del Consejo de Estado que habían suspendido provisionalmente algunos numerales del artículo 2.2.1.2.1.3.2 del Decreto 1082 de </w:t>
      </w:r>
      <w:r w:rsidRPr="00482CF9">
        <w:rPr>
          <w:rFonts w:ascii="Arial" w:eastAsia="Calibri" w:hAnsi="Arial" w:cs="Arial"/>
          <w:color w:val="000000"/>
          <w:lang w:val="es-ES_tradnl"/>
        </w:rPr>
        <w:lastRenderedPageBreak/>
        <w:t>2015</w:t>
      </w:r>
      <w:r w:rsidRPr="00482CF9">
        <w:rPr>
          <w:rFonts w:ascii="Arial" w:eastAsia="Calibri" w:hAnsi="Arial" w:cs="Arial"/>
          <w:color w:val="000000"/>
          <w:szCs w:val="24"/>
          <w:vertAlign w:val="superscript"/>
          <w:lang w:val="es-ES_tradnl" w:eastAsia="es-ES_tradnl"/>
        </w:rPr>
        <w:footnoteReference w:id="17"/>
      </w:r>
      <w:r w:rsidRPr="00482CF9">
        <w:rPr>
          <w:rFonts w:ascii="Arial" w:eastAsia="Calibri" w:hAnsi="Arial" w:cs="Arial"/>
          <w:color w:val="000000"/>
          <w:szCs w:val="24"/>
          <w:lang w:val="es-ES_tradnl" w:eastAsia="es-ES_tradnl"/>
        </w:rPr>
        <w:t>. A diferencia de lo que establecía este artículo en su redacción inicial, con la entrada en vigencia del artículo 2 del Decreto 399 de 2021 se observan los siguientes cambios:</w:t>
      </w:r>
    </w:p>
    <w:p w14:paraId="38F20CCA" w14:textId="77777777" w:rsidR="00D43FFE" w:rsidRPr="00482CF9" w:rsidRDefault="00D43FFE" w:rsidP="00D43FFE">
      <w:pPr>
        <w:spacing w:before="120" w:after="0" w:line="276" w:lineRule="auto"/>
        <w:ind w:firstLine="630"/>
        <w:jc w:val="both"/>
        <w:rPr>
          <w:rFonts w:ascii="Arial" w:eastAsia="Calibri" w:hAnsi="Arial" w:cs="Arial"/>
          <w:color w:val="000000"/>
          <w:lang w:val="es-ES" w:eastAsia="es-ES"/>
        </w:rPr>
      </w:pPr>
      <w:r w:rsidRPr="7FDDD7E9">
        <w:rPr>
          <w:rFonts w:ascii="Arial" w:eastAsia="Calibri" w:hAnsi="Arial" w:cs="Arial"/>
          <w:color w:val="000000"/>
          <w:lang w:val="es-ES" w:eastAsia="es-ES"/>
        </w:rPr>
        <w:t xml:space="preserve">i) El informe de evaluación, que la entidad debe publicar durante tres (3) días hábiles, debe contener ya no solamente la calificación técnica y el orden de elegibilidad, sino </w:t>
      </w:r>
      <w:r>
        <w:rPr>
          <w:rFonts w:ascii="Arial" w:eastAsia="Calibri" w:hAnsi="Arial" w:cs="Arial"/>
          <w:color w:val="000000"/>
          <w:lang w:val="es-ES" w:eastAsia="es-ES"/>
        </w:rPr>
        <w:t>“</w:t>
      </w:r>
      <w:r w:rsidRPr="7FDDD7E9">
        <w:rPr>
          <w:rFonts w:ascii="Arial" w:eastAsia="Calibri" w:hAnsi="Arial" w:cs="Arial"/>
          <w:color w:val="000000"/>
          <w:lang w:val="es-ES" w:eastAsia="es-ES"/>
        </w:rPr>
        <w:t>[…] la evaluación de las ofertas frente a todos los requisitos exigidos en el pliego de condiciones, incluyendo los requisitos habilitantes y los de asignación de puntaje</w:t>
      </w:r>
      <w:r>
        <w:rPr>
          <w:rFonts w:ascii="Arial" w:eastAsia="Calibri" w:hAnsi="Arial" w:cs="Arial"/>
          <w:color w:val="000000"/>
          <w:lang w:val="es-ES" w:eastAsia="es-ES"/>
        </w:rPr>
        <w:t>”</w:t>
      </w:r>
      <w:r w:rsidRPr="7FDDD7E9">
        <w:rPr>
          <w:rFonts w:ascii="Arial" w:eastAsia="Calibri" w:hAnsi="Arial" w:cs="Arial"/>
          <w:color w:val="000000"/>
          <w:lang w:val="es-ES" w:eastAsia="es-ES"/>
        </w:rPr>
        <w:t>.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38E16FD5" w14:textId="77777777" w:rsidR="00D43FFE" w:rsidRPr="00482CF9" w:rsidRDefault="00D43FFE" w:rsidP="00D43FFE">
      <w:pPr>
        <w:spacing w:before="120" w:after="0" w:line="276" w:lineRule="auto"/>
        <w:ind w:firstLine="709"/>
        <w:jc w:val="both"/>
        <w:rPr>
          <w:rFonts w:ascii="Arial" w:eastAsia="Calibri" w:hAnsi="Arial" w:cs="Arial"/>
          <w:color w:val="000000"/>
          <w:lang w:val="es-ES" w:eastAsia="es-ES"/>
        </w:rPr>
      </w:pPr>
      <w:r w:rsidRPr="1548CBE8">
        <w:rPr>
          <w:rFonts w:ascii="Arial" w:eastAsia="Calibri" w:hAnsi="Arial" w:cs="Arial"/>
          <w:color w:val="000000" w:themeColor="text1"/>
          <w:lang w:val="es-ES" w:eastAsia="es-ES"/>
        </w:rPr>
        <w:t xml:space="preserve">ii)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w:t>
      </w:r>
      <w:r>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Una vez resueltas las observaciones al informe de evaluación, la entidad adjudicará el contrato mediante acto administrativo al oferente que haya cumplido todos los requisitos exigidos en el pliego de condiciones y haya obtenido el mayor puntaje</w:t>
      </w:r>
      <w:r>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 xml:space="preserv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w:t>
      </w:r>
      <w:r>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negociación</w:t>
      </w:r>
      <w:r>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 xml:space="preserve"> con el oferente calificado en primer lugar sobre el valor y alcance del contrato, sino que debe proceder a la adjudicación a quien haya presentado objetivamente la mejor oferta, teniendo en cuenta todos los requisitos exigidos en el pliego de condiciones.</w:t>
      </w:r>
    </w:p>
    <w:p w14:paraId="3B8C1F09" w14:textId="77777777" w:rsidR="00D43FFE" w:rsidRPr="00482CF9" w:rsidRDefault="00D43FFE" w:rsidP="00D43FFE">
      <w:pPr>
        <w:spacing w:before="120" w:after="0" w:line="276" w:lineRule="auto"/>
        <w:ind w:firstLine="709"/>
        <w:jc w:val="both"/>
        <w:rPr>
          <w:rFonts w:ascii="Arial" w:eastAsia="Calibri" w:hAnsi="Arial" w:cs="Arial"/>
          <w:color w:val="000000"/>
          <w:lang w:val="es-ES" w:eastAsia="es-ES"/>
        </w:rPr>
      </w:pPr>
      <w:r w:rsidRPr="1548CBE8">
        <w:rPr>
          <w:rFonts w:ascii="Arial" w:eastAsia="Calibri" w:hAnsi="Arial" w:cs="Arial"/>
          <w:color w:val="000000" w:themeColor="text1"/>
          <w:lang w:val="es-ES" w:eastAsia="es-ES"/>
        </w:rPr>
        <w:t xml:space="preserve">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tampoco debe intentar un acuerdo con el oferente calificado en el segundo orden de </w:t>
      </w:r>
      <w:r w:rsidRPr="1548CBE8">
        <w:rPr>
          <w:rFonts w:ascii="Arial" w:eastAsia="Calibri" w:hAnsi="Arial" w:cs="Arial"/>
          <w:color w:val="000000" w:themeColor="text1"/>
          <w:lang w:val="es-ES" w:eastAsia="es-ES"/>
        </w:rPr>
        <w:lastRenderedPageBreak/>
        <w:t>elegibilidad, ni puede ampararse en el carácter fallido de dicho acuerdo para declarar desierto el proceso de selección, en armonía con lo decidido en los Autos del Consejo de Estado antes señalados.</w:t>
      </w:r>
    </w:p>
    <w:p w14:paraId="098F8240" w14:textId="77777777" w:rsidR="00D43FFE" w:rsidRPr="00482CF9" w:rsidRDefault="00D43FFE" w:rsidP="00D43FFE">
      <w:pPr>
        <w:spacing w:before="120" w:after="0" w:line="276" w:lineRule="auto"/>
        <w:ind w:firstLine="709"/>
        <w:jc w:val="both"/>
        <w:rPr>
          <w:rFonts w:ascii="Arial" w:eastAsia="Calibri" w:hAnsi="Arial" w:cs="Arial"/>
          <w:color w:val="000000"/>
          <w:lang w:val="es-ES" w:eastAsia="es-ES"/>
        </w:rPr>
      </w:pPr>
      <w:r w:rsidRPr="1548CBE8">
        <w:rPr>
          <w:rFonts w:ascii="Arial" w:eastAsia="Calibri" w:hAnsi="Arial" w:cs="Arial"/>
          <w:color w:val="000000" w:themeColor="text1"/>
          <w:lang w:val="es-ES" w:eastAsia="es-ES"/>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w:t>
      </w:r>
      <w:r>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 publicar las variables utilizadas para calcular el valor estimado del contrato cuando la modalidad de selección del contratista sea en concurso de méritos</w:t>
      </w:r>
      <w:r>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 xml:space="preserve">.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61848CE4" w14:textId="77777777" w:rsidR="00D43FFE" w:rsidRPr="00482CF9" w:rsidRDefault="00D43FFE" w:rsidP="00D43FFE">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p>
    <w:p w14:paraId="351DF726" w14:textId="77777777" w:rsidR="00D43FFE" w:rsidRPr="00482CF9" w:rsidRDefault="00D43FFE" w:rsidP="00D43FFE">
      <w:pPr>
        <w:shd w:val="clear" w:color="auto" w:fill="FFFFFF" w:themeFill="background1"/>
        <w:spacing w:after="0" w:line="240" w:lineRule="auto"/>
        <w:ind w:left="709" w:right="709"/>
        <w:jc w:val="both"/>
        <w:rPr>
          <w:rFonts w:ascii="Arial" w:eastAsia="Times New Roman" w:hAnsi="Arial" w:cs="Arial"/>
          <w:color w:val="000000"/>
          <w:sz w:val="21"/>
          <w:szCs w:val="21"/>
          <w:lang w:val="es-ES" w:eastAsia="es-ES"/>
        </w:rPr>
      </w:pPr>
      <w:r>
        <w:rPr>
          <w:rFonts w:ascii="Arial" w:eastAsia="Times New Roman" w:hAnsi="Arial" w:cs="Arial"/>
          <w:color w:val="000000" w:themeColor="text1"/>
          <w:sz w:val="21"/>
          <w:szCs w:val="21"/>
          <w:lang w:val="es-ES" w:eastAsia="es-ES"/>
        </w:rPr>
        <w:t>“</w:t>
      </w:r>
      <w:r w:rsidRPr="1548CBE8">
        <w:rPr>
          <w:rFonts w:ascii="Arial" w:eastAsia="Times New Roman" w:hAnsi="Arial" w:cs="Arial"/>
          <w:color w:val="000000" w:themeColor="text1"/>
          <w:sz w:val="21"/>
          <w:szCs w:val="21"/>
          <w:lang w:val="es-ES" w:eastAsia="es-ES"/>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599F2AFE" w14:textId="77777777" w:rsidR="00D43FFE" w:rsidRPr="00482CF9" w:rsidRDefault="00D43FFE" w:rsidP="00D43FFE">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4A414956" w14:textId="77777777" w:rsidR="00D43FFE" w:rsidRPr="00482CF9" w:rsidRDefault="00D43FFE" w:rsidP="00D43FFE">
      <w:pPr>
        <w:shd w:val="clear" w:color="auto" w:fill="FFFFFF" w:themeFill="background1"/>
        <w:spacing w:after="0" w:line="240" w:lineRule="auto"/>
        <w:ind w:left="709" w:right="709"/>
        <w:jc w:val="both"/>
        <w:rPr>
          <w:rFonts w:ascii="Arial" w:eastAsia="Times New Roman" w:hAnsi="Arial" w:cs="Arial"/>
          <w:color w:val="000000"/>
          <w:sz w:val="21"/>
          <w:szCs w:val="21"/>
          <w:lang w:val="es-ES" w:eastAsia="es-ES"/>
        </w:rPr>
      </w:pPr>
      <w:r w:rsidRPr="1548CBE8">
        <w:rPr>
          <w:rFonts w:ascii="Arial" w:eastAsia="Times New Roman" w:hAnsi="Arial" w:cs="Arial"/>
          <w:color w:val="000000" w:themeColor="text1"/>
          <w:sz w:val="21"/>
          <w:szCs w:val="21"/>
          <w:lang w:val="es-ES" w:eastAsia="es-ES"/>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Pr>
          <w:rFonts w:ascii="Arial" w:eastAsia="Times New Roman" w:hAnsi="Arial" w:cs="Arial"/>
          <w:color w:val="000000" w:themeColor="text1"/>
          <w:sz w:val="21"/>
          <w:szCs w:val="21"/>
          <w:lang w:val="es-ES" w:eastAsia="es-ES"/>
        </w:rPr>
        <w:t>”</w:t>
      </w:r>
      <w:r w:rsidRPr="1548CBE8">
        <w:rPr>
          <w:rFonts w:ascii="Arial" w:eastAsia="Calibri" w:hAnsi="Arial" w:cs="Arial"/>
          <w:color w:val="000000" w:themeColor="text1"/>
          <w:lang w:val="es-ES" w:eastAsia="es-ES"/>
        </w:rPr>
        <w:t xml:space="preserve">  </w:t>
      </w:r>
    </w:p>
    <w:p w14:paraId="45A733C5" w14:textId="77777777" w:rsidR="00D43FFE" w:rsidRPr="00482CF9" w:rsidRDefault="00D43FFE" w:rsidP="00D43FFE">
      <w:pPr>
        <w:spacing w:after="0" w:line="276" w:lineRule="auto"/>
        <w:ind w:firstLine="709"/>
        <w:jc w:val="both"/>
        <w:rPr>
          <w:rFonts w:ascii="Arial" w:eastAsia="Calibri" w:hAnsi="Arial" w:cs="Arial"/>
          <w:color w:val="000000"/>
          <w:szCs w:val="24"/>
          <w:lang w:val="es-ES_tradnl" w:eastAsia="es-ES_tradnl"/>
        </w:rPr>
      </w:pPr>
    </w:p>
    <w:p w14:paraId="3A79EA01" w14:textId="77777777" w:rsidR="00D43FFE" w:rsidRPr="00482CF9" w:rsidRDefault="00D43FFE" w:rsidP="00D43FFE">
      <w:pPr>
        <w:spacing w:after="0" w:line="276" w:lineRule="auto"/>
        <w:ind w:firstLine="709"/>
        <w:jc w:val="both"/>
        <w:rPr>
          <w:rFonts w:ascii="Arial" w:eastAsia="Calibri" w:hAnsi="Arial" w:cs="Arial"/>
          <w:color w:val="000000"/>
          <w:lang w:val="es-ES" w:eastAsia="es-ES"/>
        </w:rPr>
      </w:pPr>
      <w:r w:rsidRPr="1548CBE8">
        <w:rPr>
          <w:rFonts w:ascii="Arial" w:eastAsia="Calibri" w:hAnsi="Arial" w:cs="Arial"/>
          <w:color w:val="000000" w:themeColor="text1"/>
          <w:lang w:val="es-ES" w:eastAsia="es-ES"/>
        </w:rPr>
        <w:t xml:space="preserve">Por lo tanto, a partir de la entrada en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w:t>
      </w:r>
      <w:r>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En los procesos para la selección de consultores se hará uso de factores de calificación destinados a valorar los aspectos técnicos de la oferta o proyecto […]</w:t>
      </w:r>
      <w:r>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 xml:space="preserve"> y que </w:t>
      </w:r>
      <w:r>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En ningún caso se podrá incluir el precio, como factor de escogencia para la selección de consultores</w:t>
      </w:r>
      <w:r>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 xml:space="preserve">. El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w:t>
      </w:r>
      <w:r w:rsidRPr="1548CBE8">
        <w:rPr>
          <w:rFonts w:ascii="Arial" w:eastAsia="Calibri" w:hAnsi="Arial" w:cs="Arial"/>
          <w:color w:val="000000" w:themeColor="text1"/>
          <w:lang w:val="es-ES" w:eastAsia="es-ES"/>
        </w:rPr>
        <w:lastRenderedPageBreak/>
        <w:t xml:space="preserve">que en el pliego de condiciones debe quedar claramente establecido el presupuesto oficial, así como la prohibición de superarlo como requisito habilitante dentro del concurso de méritos. </w:t>
      </w:r>
    </w:p>
    <w:p w14:paraId="7212EF3E" w14:textId="77777777" w:rsidR="00D43FFE" w:rsidRPr="00482CF9" w:rsidRDefault="00D43FFE" w:rsidP="00D43FFE">
      <w:pPr>
        <w:spacing w:before="120" w:after="0" w:line="276" w:lineRule="auto"/>
        <w:ind w:firstLine="709"/>
        <w:jc w:val="both"/>
        <w:rPr>
          <w:rFonts w:ascii="Arial" w:eastAsia="Calibri" w:hAnsi="Arial" w:cs="Arial"/>
          <w:color w:val="000000"/>
          <w:lang w:val="es-ES" w:eastAsia="es-ES"/>
        </w:rPr>
      </w:pPr>
    </w:p>
    <w:p w14:paraId="5B711748" w14:textId="77777777" w:rsidR="00D43FFE" w:rsidRPr="00482CF9" w:rsidRDefault="00D43FFE" w:rsidP="00D43FFE">
      <w:pPr>
        <w:spacing w:before="120" w:after="0" w:line="276" w:lineRule="auto"/>
        <w:ind w:firstLine="709"/>
        <w:jc w:val="both"/>
        <w:rPr>
          <w:rFonts w:ascii="Arial" w:eastAsia="Times New Roman" w:hAnsi="Arial" w:cs="Arial"/>
          <w:shd w:val="clear" w:color="auto" w:fill="FFFFFF"/>
          <w:lang w:eastAsia="es-ES_tradnl"/>
        </w:rPr>
      </w:pPr>
      <w:r w:rsidRPr="00482CF9">
        <w:rPr>
          <w:rFonts w:ascii="Arial" w:eastAsia="Calibri" w:hAnsi="Arial" w:cs="Arial"/>
          <w:szCs w:val="24"/>
          <w:lang w:val="es-ES_tradnl" w:eastAsia="es-ES_tradnl"/>
        </w:rPr>
        <w:t>De lo explicado previamente surge el siguiente interrogante: ¿el artículo 2 del Decreto 399 de 2021, normativa que modifica el artículo 2.2.1.2.1.3.2 del Decreto 1082, varía el momento en el cual las entidades estatales verifican las ofertas económicas? En la regulación inicialmente prevista por</w:t>
      </w:r>
      <w:r w:rsidRPr="00482CF9">
        <w:rPr>
          <w:rFonts w:ascii="Arial" w:eastAsia="Times New Roman" w:hAnsi="Arial" w:cs="Arial"/>
          <w:shd w:val="clear" w:color="auto" w:fill="FFFFFF"/>
          <w:lang w:eastAsia="es-ES_tradnl"/>
        </w:rPr>
        <w:t xml:space="preserve"> el Decreto 1082 de 201</w:t>
      </w:r>
      <w:r w:rsidRPr="00482CF9">
        <w:rPr>
          <w:rFonts w:ascii="Arial" w:eastAsia="Times New Roman" w:hAnsi="Arial" w:cs="Arial"/>
          <w:bCs/>
          <w:shd w:val="clear" w:color="auto" w:fill="FFFFFF"/>
          <w:lang w:eastAsia="es-ES_tradnl"/>
        </w:rPr>
        <w:t>5</w:t>
      </w:r>
      <w:r w:rsidRPr="00482CF9">
        <w:rPr>
          <w:rFonts w:ascii="Arial" w:eastAsia="Times New Roman" w:hAnsi="Arial" w:cs="Arial"/>
          <w:shd w:val="clear" w:color="auto" w:fill="FFFFFF"/>
          <w:lang w:eastAsia="es-ES_tradnl"/>
        </w:rPr>
        <w:t xml:space="preserve"> la revisión de las ofertas económicas se realizaba luego de publicar el informe de evaluación que contenía la calificación técnica y el orden de elegibilidad</w:t>
      </w:r>
      <w:r w:rsidRPr="00482CF9">
        <w:rPr>
          <w:rFonts w:ascii="Arial" w:eastAsia="Times New Roman" w:hAnsi="Arial" w:cs="Arial"/>
          <w:shd w:val="clear" w:color="auto" w:fill="FFFFFF"/>
          <w:vertAlign w:val="superscript"/>
          <w:lang w:eastAsia="es-ES_tradnl"/>
        </w:rPr>
        <w:footnoteReference w:id="18"/>
      </w:r>
      <w:r w:rsidRPr="00482CF9">
        <w:rPr>
          <w:rFonts w:ascii="Arial" w:eastAsia="Times New Roman" w:hAnsi="Arial" w:cs="Arial"/>
          <w:shd w:val="clear" w:color="auto" w:fill="FFFFFF"/>
          <w:lang w:eastAsia="es-ES_tradnl"/>
        </w:rPr>
        <w:t xml:space="preserve">. En este sentido, vencido el plazo de la fecha del cierre del proceso se evaluaban los documentos referidos a la calificación técnica, cuyo análisis y revisión quedaba contenido en el informe de evaluación. Publicado este informe en la plataforma del Sistema Electrónico de Contratación Pública –SECOP–, se procedía a revisar la oferta económica para determinar que el valor de esta estuviera acorde con el valor del presupuesto estimado por la Entidad. </w:t>
      </w:r>
    </w:p>
    <w:p w14:paraId="1C970571" w14:textId="77777777" w:rsidR="00D43FFE" w:rsidRPr="00482CF9" w:rsidRDefault="00D43FFE" w:rsidP="00D43FFE">
      <w:pPr>
        <w:spacing w:before="120" w:after="0" w:line="276" w:lineRule="auto"/>
        <w:ind w:firstLine="709"/>
        <w:jc w:val="both"/>
        <w:rPr>
          <w:rFonts w:ascii="Arial" w:eastAsia="Times New Roman" w:hAnsi="Arial" w:cs="Arial"/>
          <w:shd w:val="clear" w:color="auto" w:fill="FFFFFF"/>
          <w:lang w:eastAsia="es-ES"/>
        </w:rPr>
      </w:pPr>
      <w:r w:rsidRPr="1548CBE8">
        <w:rPr>
          <w:rFonts w:ascii="Arial" w:eastAsia="Times New Roman" w:hAnsi="Arial" w:cs="Arial"/>
          <w:shd w:val="clear" w:color="auto" w:fill="FFFFFF"/>
          <w:lang w:eastAsia="es-ES"/>
        </w:rPr>
        <w:t>Por su parte, con fundamento en el Decreto 399 de 2021, la apertura de las ofertas se realiza al momento del cierre del proceso, esto es, vencido el plazo para presentar las ofertas. Lo anterior, teniendo en cuenta que la Entidad Estatal debe evaluar en el informe respectivo los requisitos exigidos en el pliego de condiciones, incluidos los requisitos habilitantes y los de asignación de puntaje. Una vez resueltas las observaciones presentadas al informe, la entidad adjudicará el contrato mediante acto administrativo. Por tanto, se entiende que en este informe se evaluará el cumplimiento de todas las exigencias previstas en el pliego de condiciones, esto es, los requisitos habilitantes, los factores de evaluación y las ofertas económicas.</w:t>
      </w:r>
    </w:p>
    <w:p w14:paraId="68B8832F" w14:textId="77777777" w:rsidR="00D43FFE" w:rsidRPr="00482CF9" w:rsidRDefault="00D43FFE" w:rsidP="00D43FFE">
      <w:pPr>
        <w:tabs>
          <w:tab w:val="left" w:pos="284"/>
        </w:tabs>
        <w:spacing w:after="0" w:line="276" w:lineRule="auto"/>
        <w:contextualSpacing/>
        <w:jc w:val="both"/>
        <w:rPr>
          <w:rFonts w:ascii="Arial" w:eastAsia="Calibri" w:hAnsi="Arial" w:cs="Arial"/>
          <w:b/>
          <w:color w:val="000000"/>
          <w:lang w:val="es-ES_tradnl"/>
        </w:rPr>
      </w:pPr>
    </w:p>
    <w:p w14:paraId="098D98B0" w14:textId="77777777" w:rsidR="00D43FFE" w:rsidRPr="00482CF9" w:rsidRDefault="00D43FFE" w:rsidP="00D43FFE">
      <w:pPr>
        <w:tabs>
          <w:tab w:val="left" w:pos="284"/>
        </w:tabs>
        <w:spacing w:after="0" w:line="276" w:lineRule="auto"/>
        <w:contextualSpacing/>
        <w:jc w:val="both"/>
        <w:rPr>
          <w:rFonts w:ascii="Arial" w:eastAsia="Calibri" w:hAnsi="Arial" w:cs="Arial"/>
          <w:b/>
          <w:color w:val="000000"/>
          <w:lang w:val="es-ES_tradnl"/>
        </w:rPr>
      </w:pPr>
      <w:r w:rsidRPr="00482CF9">
        <w:rPr>
          <w:rFonts w:ascii="Arial" w:eastAsia="Calibri" w:hAnsi="Arial" w:cs="Arial"/>
          <w:b/>
          <w:color w:val="000000"/>
          <w:lang w:val="es-ES_tradnl"/>
        </w:rPr>
        <w:t>2.</w:t>
      </w:r>
      <w:r>
        <w:rPr>
          <w:rFonts w:ascii="Arial" w:eastAsia="Calibri" w:hAnsi="Arial" w:cs="Arial"/>
          <w:b/>
          <w:color w:val="000000"/>
          <w:lang w:val="es-ES_tradnl"/>
        </w:rPr>
        <w:t>4</w:t>
      </w:r>
      <w:r w:rsidRPr="00482CF9">
        <w:rPr>
          <w:rFonts w:ascii="Arial" w:eastAsia="Calibri" w:hAnsi="Arial" w:cs="Arial"/>
          <w:b/>
          <w:color w:val="000000"/>
          <w:lang w:val="es-ES_tradnl"/>
        </w:rPr>
        <w:t xml:space="preserve"> La </w:t>
      </w:r>
      <w:proofErr w:type="spellStart"/>
      <w:r w:rsidRPr="00482CF9">
        <w:rPr>
          <w:rFonts w:ascii="Arial" w:eastAsia="Calibri" w:hAnsi="Arial" w:cs="Arial"/>
          <w:b/>
          <w:color w:val="000000"/>
          <w:lang w:val="es-ES_tradnl"/>
        </w:rPr>
        <w:t>subsanabilidad</w:t>
      </w:r>
      <w:proofErr w:type="spellEnd"/>
      <w:r w:rsidRPr="00482CF9">
        <w:rPr>
          <w:rFonts w:ascii="Arial" w:eastAsia="Calibri" w:hAnsi="Arial" w:cs="Arial"/>
          <w:b/>
          <w:color w:val="000000"/>
          <w:lang w:val="es-ES_tradnl"/>
        </w:rPr>
        <w:t xml:space="preserve"> de las ofertas en los procesos de selección del Estatuto General de Contratación de la Administración Pública</w:t>
      </w:r>
      <w:r>
        <w:rPr>
          <w:rFonts w:ascii="Arial" w:eastAsia="Calibri" w:hAnsi="Arial" w:cs="Arial"/>
          <w:b/>
          <w:color w:val="000000"/>
          <w:lang w:val="es-ES_tradnl"/>
        </w:rPr>
        <w:t xml:space="preserve"> </w:t>
      </w:r>
    </w:p>
    <w:p w14:paraId="6C0E78FB" w14:textId="77777777" w:rsidR="00F906BB" w:rsidRDefault="00F906BB" w:rsidP="00D43FFE">
      <w:pPr>
        <w:spacing w:after="0" w:line="276" w:lineRule="auto"/>
        <w:contextualSpacing/>
        <w:jc w:val="both"/>
        <w:rPr>
          <w:rFonts w:ascii="Arial" w:eastAsia="Calibri" w:hAnsi="Arial" w:cs="Arial"/>
          <w:b/>
          <w:color w:val="000000"/>
          <w:lang w:val="es-ES_tradnl"/>
        </w:rPr>
      </w:pPr>
    </w:p>
    <w:p w14:paraId="1B15C509" w14:textId="71B29BC3" w:rsidR="00D43FFE" w:rsidRPr="00120E43" w:rsidRDefault="00D43FFE" w:rsidP="00D43FFE">
      <w:pPr>
        <w:spacing w:after="0" w:line="276" w:lineRule="auto"/>
        <w:contextualSpacing/>
        <w:jc w:val="both"/>
        <w:rPr>
          <w:rFonts w:ascii="Arial" w:eastAsia="Arial" w:hAnsi="Arial" w:cs="Arial"/>
          <w:lang w:val="es-ES"/>
        </w:rPr>
      </w:pPr>
      <w:r w:rsidRPr="1548CBE8">
        <w:rPr>
          <w:rFonts w:ascii="Arial" w:eastAsia="Arial" w:hAnsi="Arial" w:cs="Arial"/>
          <w:color w:val="000000" w:themeColor="text1"/>
          <w:lang w:val="es-MX"/>
        </w:rPr>
        <w:lastRenderedPageBreak/>
        <w:t xml:space="preserve">En el concepto CU — 060 de 16 de enero de 2020, se unificó el concepto de la Agencia Nacional de Contratación Pública – Colombia Compra Eficiente en torno al alcance de la regla de la </w:t>
      </w:r>
      <w:proofErr w:type="spellStart"/>
      <w:r w:rsidRPr="1548CBE8">
        <w:rPr>
          <w:rFonts w:ascii="Arial" w:eastAsia="Arial" w:hAnsi="Arial" w:cs="Arial"/>
          <w:color w:val="000000" w:themeColor="text1"/>
          <w:lang w:val="es-MX"/>
        </w:rPr>
        <w:t>subsanabilidad</w:t>
      </w:r>
      <w:proofErr w:type="spellEnd"/>
      <w:r w:rsidRPr="1548CBE8">
        <w:rPr>
          <w:rFonts w:ascii="Arial" w:eastAsia="Arial" w:hAnsi="Arial" w:cs="Arial"/>
          <w:color w:val="000000" w:themeColor="text1"/>
          <w:lang w:val="es-MX"/>
        </w:rPr>
        <w:t>, contenida actualmente en el artículo 5 de la Ley 1150 de 2007. En dicho concepto se unificó la tesis expuesta en los conceptos con radicado No. 4201913000006471 del 28 de octubre de 2019, 4201912000006711 del 12 de noviembre de 2019 y 4201912000006496 del 15 de noviembre de 2019, la cual fue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C-568 del 11 de octubre de 2021, C-728 del 25 de enero de 2022, C-140 del 28 de marzo de 2022, C-285 del 20 de mayo de 2022, C-416 del 30 de junio de 2022, C-431 del 7 de julio de 2022, C-470 del 25 de julio de 2022, C-505 de 8 de agosto de 2022 y C-681 de 19 de octubre de 2022.</w:t>
      </w:r>
    </w:p>
    <w:p w14:paraId="2D34AC6F" w14:textId="77777777" w:rsidR="00D43FFE" w:rsidRPr="00666155" w:rsidRDefault="00D43FFE" w:rsidP="00D43FFE">
      <w:pPr>
        <w:spacing w:before="120" w:after="200" w:line="276" w:lineRule="auto"/>
        <w:ind w:firstLine="708"/>
        <w:jc w:val="both"/>
        <w:rPr>
          <w:rFonts w:ascii="Arial" w:eastAsia="Arial" w:hAnsi="Arial" w:cs="Arial"/>
        </w:rPr>
      </w:pPr>
      <w:r w:rsidRPr="00F906BB">
        <w:rPr>
          <w:rFonts w:ascii="Arial" w:eastAsia="Arial" w:hAnsi="Arial" w:cs="Arial"/>
          <w:color w:val="000000" w:themeColor="text1"/>
          <w:lang w:val="es-ES"/>
        </w:rPr>
        <w:t xml:space="preserve">La referida postura indica que, por regla general, la falta de entrega y los defectos, en la acreditación de los requisitos habilitantes son aspectos subsanables. La excepción se encuentra en los casos, previstos en la ley, que limitan la </w:t>
      </w:r>
      <w:proofErr w:type="spellStart"/>
      <w:r w:rsidRPr="00F906BB">
        <w:rPr>
          <w:rFonts w:ascii="Arial" w:eastAsia="Arial" w:hAnsi="Arial" w:cs="Arial"/>
          <w:color w:val="000000" w:themeColor="text1"/>
          <w:lang w:val="es-ES"/>
        </w:rPr>
        <w:t>subsanabilidad</w:t>
      </w:r>
      <w:proofErr w:type="spellEnd"/>
      <w:r w:rsidRPr="00F906BB">
        <w:rPr>
          <w:rFonts w:ascii="Arial" w:eastAsia="Arial" w:hAnsi="Arial" w:cs="Arial"/>
          <w:color w:val="000000" w:themeColor="text1"/>
          <w:lang w:val="es-ES"/>
        </w:rPr>
        <w:t>, es decir, en la prohibición de permitir la entrega de la garantía de seriedad de la oferta que no fue aportada con la propuesta</w:t>
      </w:r>
      <w:r w:rsidRPr="00F906BB">
        <w:rPr>
          <w:rFonts w:ascii="Arial" w:eastAsia="Arial" w:hAnsi="Arial" w:cs="Arial"/>
          <w:color w:val="000000" w:themeColor="text1"/>
          <w:u w:val="single"/>
          <w:lang w:val="es-ES"/>
        </w:rPr>
        <w:t xml:space="preserve"> </w:t>
      </w:r>
      <w:r w:rsidRPr="00F906BB">
        <w:rPr>
          <w:rFonts w:ascii="Arial" w:eastAsia="Arial" w:hAnsi="Arial" w:cs="Arial"/>
          <w:color w:val="000000" w:themeColor="text1"/>
          <w:lang w:val="es-ES"/>
        </w:rPr>
        <w:t>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w:t>
      </w:r>
      <w:r w:rsidRPr="1548CBE8">
        <w:rPr>
          <w:rFonts w:ascii="Arial" w:eastAsia="Arial" w:hAnsi="Arial" w:cs="Arial"/>
          <w:color w:val="000000" w:themeColor="text1"/>
          <w:lang w:val="es-ES"/>
        </w:rPr>
        <w:t xml:space="preserve"> </w:t>
      </w:r>
      <w:r w:rsidRPr="1548CBE8">
        <w:rPr>
          <w:rFonts w:ascii="Arial" w:eastAsia="Arial" w:hAnsi="Arial" w:cs="Arial"/>
        </w:rPr>
        <w:t xml:space="preserve"> </w:t>
      </w:r>
    </w:p>
    <w:p w14:paraId="58C7E0B6" w14:textId="77777777" w:rsidR="00D43FFE" w:rsidRPr="00482CF9" w:rsidRDefault="00D43FFE" w:rsidP="00D43FFE">
      <w:pPr>
        <w:spacing w:before="120" w:after="0" w:line="276" w:lineRule="auto"/>
        <w:ind w:firstLine="709"/>
        <w:jc w:val="both"/>
        <w:rPr>
          <w:rFonts w:ascii="Arial" w:eastAsia="Times New Roman" w:hAnsi="Arial" w:cs="Arial"/>
          <w:shd w:val="clear" w:color="auto" w:fill="FFFFFF"/>
          <w:lang w:eastAsia="es-ES"/>
        </w:rPr>
      </w:pPr>
      <w:bookmarkStart w:id="6" w:name="_Hlk137117520"/>
      <w:r w:rsidRPr="7FDDD7E9">
        <w:rPr>
          <w:rFonts w:ascii="Arial" w:eastAsia="Times New Roman" w:hAnsi="Arial" w:cs="Arial"/>
          <w:shd w:val="clear" w:color="auto" w:fill="FFFFFF"/>
          <w:lang w:eastAsia="es-ES"/>
        </w:rPr>
        <w:t xml:space="preserve">En un </w:t>
      </w:r>
      <w:r w:rsidRPr="7FDDD7E9">
        <w:rPr>
          <w:rFonts w:ascii="Arial" w:eastAsia="Times New Roman" w:hAnsi="Arial" w:cs="Arial"/>
          <w:i/>
          <w:iCs/>
          <w:shd w:val="clear" w:color="auto" w:fill="FFFFFF"/>
          <w:lang w:eastAsia="es-ES"/>
        </w:rPr>
        <w:t xml:space="preserve">primer momento, </w:t>
      </w:r>
      <w:r w:rsidRPr="7FDDD7E9">
        <w:rPr>
          <w:rFonts w:ascii="Arial" w:eastAsia="Times New Roman" w:hAnsi="Arial" w:cs="Arial"/>
          <w:shd w:val="clear" w:color="auto" w:fill="FFFFFF"/>
          <w:lang w:eastAsia="es-ES"/>
        </w:rPr>
        <w:t xml:space="preserve">antes de la entrada en vigencia de la Constitución Política de 1991, el régimen jurídico de la </w:t>
      </w:r>
      <w:proofErr w:type="spellStart"/>
      <w:r w:rsidRPr="7FDDD7E9">
        <w:rPr>
          <w:rFonts w:ascii="Arial" w:eastAsia="Times New Roman" w:hAnsi="Arial" w:cs="Arial"/>
          <w:shd w:val="clear" w:color="auto" w:fill="FFFFFF"/>
          <w:lang w:eastAsia="es-ES"/>
        </w:rPr>
        <w:t>subsanabilidad</w:t>
      </w:r>
      <w:proofErr w:type="spellEnd"/>
      <w:r w:rsidRPr="7FDDD7E9">
        <w:rPr>
          <w:rFonts w:ascii="Arial" w:eastAsia="Times New Roman" w:hAnsi="Arial" w:cs="Arial"/>
          <w:shd w:val="clear" w:color="auto" w:fill="FFFFFF"/>
          <w:lang w:eastAsia="es-ES"/>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w:t>
      </w:r>
    </w:p>
    <w:p w14:paraId="07047D6A" w14:textId="77777777" w:rsidR="00D43FFE" w:rsidRDefault="00D43FFE" w:rsidP="00D43FFE">
      <w:pPr>
        <w:spacing w:before="120" w:after="0" w:line="276" w:lineRule="auto"/>
        <w:ind w:firstLine="709"/>
        <w:jc w:val="both"/>
        <w:rPr>
          <w:rFonts w:ascii="Arial" w:eastAsia="Times New Roman" w:hAnsi="Arial" w:cs="Arial"/>
          <w:lang w:eastAsia="es-ES"/>
        </w:rPr>
      </w:pPr>
    </w:p>
    <w:p w14:paraId="524BF012" w14:textId="77777777" w:rsidR="00D43FFE" w:rsidRPr="00482CF9" w:rsidRDefault="00D43FFE" w:rsidP="00D43FFE">
      <w:pPr>
        <w:spacing w:after="0" w:line="276" w:lineRule="auto"/>
        <w:ind w:firstLine="709"/>
        <w:jc w:val="both"/>
        <w:rPr>
          <w:rFonts w:ascii="Arial" w:eastAsia="Times New Roman" w:hAnsi="Arial" w:cs="Arial"/>
          <w:shd w:val="clear" w:color="auto" w:fill="FFFFFF"/>
          <w:lang w:eastAsia="es-ES_tradnl"/>
        </w:rPr>
      </w:pPr>
      <w:r w:rsidRPr="00482CF9">
        <w:rPr>
          <w:rFonts w:ascii="Arial" w:eastAsia="Times New Roman" w:hAnsi="Arial" w:cs="Arial"/>
          <w:shd w:val="clear" w:color="auto" w:fill="FFFFFF"/>
          <w:lang w:eastAsia="es-ES_tradnl"/>
        </w:rPr>
        <w:t xml:space="preserve">En un </w:t>
      </w:r>
      <w:r w:rsidRPr="00482CF9">
        <w:rPr>
          <w:rFonts w:ascii="Arial" w:eastAsia="Times New Roman" w:hAnsi="Arial" w:cs="Arial"/>
          <w:i/>
          <w:iCs/>
          <w:shd w:val="clear" w:color="auto" w:fill="FFFFFF"/>
          <w:lang w:eastAsia="es-ES_tradnl"/>
        </w:rPr>
        <w:t>segundo momento se</w:t>
      </w:r>
      <w:r w:rsidRPr="00482CF9">
        <w:rPr>
          <w:rFonts w:ascii="Arial" w:eastAsia="Times New Roman" w:hAnsi="Arial" w:cs="Arial"/>
          <w:shd w:val="clear" w:color="auto" w:fill="FFFFFF"/>
          <w:lang w:eastAsia="es-ES_tradnl"/>
        </w:rPr>
        <w:t xml:space="preserve"> expidió la Ley 80 de 1993, bajo el nuevo paradigma que supuso la Constitución de 1991, particularmente en la forma como se relaciona lo formal y lo sustancial en las actuaciones judiciales y administrativas, el cual quedó consignado en el artículo 228, que introdujo un principio de supremacía o prevalencia del derecho sustancial sobre lo procedimental. En este nuevo escenario constitucional, el numeral 15 del artículo 25 de la Ley 80 de 1993 dispuso lo siguiente: </w:t>
      </w:r>
    </w:p>
    <w:p w14:paraId="4645D4F4" w14:textId="77777777" w:rsidR="00D43FFE" w:rsidRPr="00482CF9" w:rsidRDefault="00D43FFE" w:rsidP="00D43FFE">
      <w:pPr>
        <w:spacing w:after="0" w:line="240" w:lineRule="auto"/>
        <w:ind w:left="709" w:right="709"/>
        <w:jc w:val="both"/>
        <w:rPr>
          <w:rFonts w:ascii="Arial" w:eastAsia="Calibri" w:hAnsi="Arial" w:cs="Arial"/>
          <w:sz w:val="21"/>
          <w:szCs w:val="21"/>
          <w:lang w:val="es-ES_tradnl"/>
        </w:rPr>
      </w:pPr>
    </w:p>
    <w:p w14:paraId="00077C7F" w14:textId="77777777" w:rsidR="00D43FFE" w:rsidRPr="00482CF9" w:rsidRDefault="00D43FFE" w:rsidP="00D43FFE">
      <w:pPr>
        <w:spacing w:after="0" w:line="240" w:lineRule="auto"/>
        <w:ind w:left="709" w:right="709"/>
        <w:jc w:val="both"/>
        <w:rPr>
          <w:rFonts w:ascii="Arial" w:eastAsia="Calibri" w:hAnsi="Arial" w:cs="Arial"/>
          <w:sz w:val="21"/>
          <w:szCs w:val="21"/>
          <w:lang w:val="es-ES"/>
        </w:rPr>
      </w:pPr>
      <w:r>
        <w:rPr>
          <w:rFonts w:ascii="Arial" w:eastAsia="Arial" w:hAnsi="Arial" w:cs="Arial"/>
          <w:color w:val="000000" w:themeColor="text1"/>
          <w:lang w:val="es-ES"/>
        </w:rPr>
        <w:t>“</w:t>
      </w:r>
      <w:r w:rsidRPr="1548CBE8">
        <w:rPr>
          <w:rFonts w:ascii="Arial" w:eastAsia="Arial" w:hAnsi="Arial" w:cs="Arial"/>
          <w:sz w:val="21"/>
          <w:szCs w:val="21"/>
          <w:lang w:val="es-ES"/>
        </w:rPr>
        <w:t xml:space="preserve"> </w:t>
      </w:r>
      <w:r w:rsidRPr="1548CBE8">
        <w:rPr>
          <w:rFonts w:ascii="Arial" w:eastAsia="Calibri" w:hAnsi="Arial" w:cs="Arial"/>
          <w:sz w:val="21"/>
          <w:szCs w:val="21"/>
          <w:lang w:val="es-ES"/>
        </w:rPr>
        <w:t xml:space="preserve">15. Las autoridades no exigirán sellos, autenticaciones, documentos originales o autenticados, reconocimientos de firmas, traducciones oficiales, ni cualquier otra clase </w:t>
      </w:r>
      <w:r w:rsidRPr="1548CBE8">
        <w:rPr>
          <w:rFonts w:ascii="Arial" w:eastAsia="Calibri" w:hAnsi="Arial" w:cs="Arial"/>
          <w:sz w:val="21"/>
          <w:szCs w:val="21"/>
          <w:lang w:val="es-ES"/>
        </w:rPr>
        <w:lastRenderedPageBreak/>
        <w:t xml:space="preserve">de formalidades o exigencias rituales, salvo cuando en forma perentoria y expresa lo exijan leyes especiales. </w:t>
      </w:r>
    </w:p>
    <w:p w14:paraId="3A3FBE2C" w14:textId="77777777" w:rsidR="00D43FFE" w:rsidRPr="00482CF9" w:rsidRDefault="00D43FFE" w:rsidP="00D43FFE">
      <w:pPr>
        <w:spacing w:before="240" w:after="0" w:line="240" w:lineRule="auto"/>
        <w:ind w:left="709" w:right="709"/>
        <w:jc w:val="both"/>
        <w:rPr>
          <w:rFonts w:ascii="Arial" w:eastAsia="Calibri" w:hAnsi="Arial" w:cs="Arial"/>
          <w:sz w:val="21"/>
          <w:szCs w:val="21"/>
          <w:lang w:val="es-ES"/>
        </w:rPr>
      </w:pPr>
      <w:r w:rsidRPr="1548CBE8">
        <w:rPr>
          <w:rFonts w:ascii="Arial" w:eastAsia="Calibri" w:hAnsi="Arial" w:cs="Arial"/>
          <w:sz w:val="21"/>
          <w:szCs w:val="21"/>
          <w:lang w:val="es-ES"/>
        </w:rPr>
        <w:t>La ausencia de requisitos o la falta de documentos referentes a la futura contratación o al proponente, no necesarios para la comparación de propuestas, no servirá de título suficiente para el rechazo de los ofrecimientos hechos.</w:t>
      </w:r>
      <w:r w:rsidRPr="1548CBE8">
        <w:rPr>
          <w:rFonts w:ascii="Arial" w:eastAsia="Arial" w:hAnsi="Arial" w:cs="Arial"/>
          <w:color w:val="000000" w:themeColor="text1"/>
          <w:lang w:val="es-ES"/>
        </w:rPr>
        <w:t xml:space="preserve"> </w:t>
      </w:r>
      <w:r>
        <w:rPr>
          <w:rFonts w:ascii="Arial" w:eastAsia="Arial" w:hAnsi="Arial" w:cs="Arial"/>
          <w:color w:val="000000" w:themeColor="text1"/>
          <w:lang w:val="es-ES"/>
        </w:rPr>
        <w:t>“</w:t>
      </w:r>
      <w:r w:rsidRPr="1548CBE8">
        <w:rPr>
          <w:rFonts w:ascii="Arial" w:eastAsia="Arial" w:hAnsi="Arial" w:cs="Arial"/>
          <w:color w:val="000000" w:themeColor="text1"/>
          <w:lang w:val="es-ES"/>
        </w:rPr>
        <w:t xml:space="preserve"> </w:t>
      </w:r>
      <w:r w:rsidRPr="1548CBE8">
        <w:rPr>
          <w:rFonts w:ascii="Arial" w:eastAsia="Arial" w:hAnsi="Arial" w:cs="Arial"/>
          <w:sz w:val="21"/>
          <w:szCs w:val="21"/>
          <w:lang w:val="es-ES"/>
        </w:rPr>
        <w:t xml:space="preserve"> </w:t>
      </w:r>
    </w:p>
    <w:p w14:paraId="3A6F7401" w14:textId="77777777" w:rsidR="00D43FFE" w:rsidRPr="00482CF9" w:rsidRDefault="00D43FFE" w:rsidP="00D43FFE">
      <w:pPr>
        <w:spacing w:after="0" w:line="276" w:lineRule="auto"/>
        <w:ind w:firstLine="709"/>
        <w:jc w:val="both"/>
        <w:rPr>
          <w:rFonts w:ascii="Arial" w:eastAsia="Calibri" w:hAnsi="Arial" w:cs="Arial"/>
          <w:lang w:val="es-ES_tradnl"/>
        </w:rPr>
      </w:pPr>
    </w:p>
    <w:p w14:paraId="60C21F8E" w14:textId="77777777" w:rsidR="00D43FFE" w:rsidRPr="00482CF9" w:rsidRDefault="00D43FFE" w:rsidP="00D43FFE">
      <w:pPr>
        <w:spacing w:after="0" w:line="276" w:lineRule="auto"/>
        <w:jc w:val="both"/>
        <w:rPr>
          <w:rFonts w:ascii="Arial" w:hAnsi="Arial" w:cs="Arial"/>
          <w:lang w:val="es-ES_tradnl"/>
        </w:rPr>
      </w:pPr>
      <w:r w:rsidRPr="00482CF9">
        <w:rPr>
          <w:rFonts w:ascii="Arial" w:eastAsia="Times New Roman" w:hAnsi="Arial" w:cs="Arial"/>
          <w:shd w:val="clear" w:color="auto" w:fill="FFFFFF"/>
          <w:lang w:eastAsia="es-ES_tradnl"/>
        </w:rPr>
        <w:tab/>
        <w:t xml:space="preserve">Bajo el amparo de esta norma, el régimen jurídico de </w:t>
      </w:r>
      <w:proofErr w:type="spellStart"/>
      <w:r w:rsidRPr="00482CF9">
        <w:rPr>
          <w:rFonts w:ascii="Arial" w:eastAsia="Times New Roman" w:hAnsi="Arial" w:cs="Arial"/>
          <w:shd w:val="clear" w:color="auto" w:fill="FFFFFF"/>
          <w:lang w:eastAsia="es-ES_tradnl"/>
        </w:rPr>
        <w:t>subsanabilidad</w:t>
      </w:r>
      <w:proofErr w:type="spellEnd"/>
      <w:r w:rsidRPr="00482CF9">
        <w:rPr>
          <w:rFonts w:ascii="Arial" w:eastAsia="Times New Roman" w:hAnsi="Arial" w:cs="Arial"/>
          <w:shd w:val="clear" w:color="auto" w:fill="FFFFFF"/>
          <w:lang w:eastAsia="es-ES_tradnl"/>
        </w:rPr>
        <w:t xml:space="preserve"> de las ofertas sufrió un cambio fundamental, pues ya no era posible rechazar las ofertas por falta de requisitos o documentos que no fueran </w:t>
      </w:r>
      <w:r>
        <w:rPr>
          <w:rFonts w:ascii="Arial" w:hAnsi="Arial" w:cs="Arial"/>
          <w:lang w:val="es-ES_tradnl"/>
        </w:rPr>
        <w:t>“</w:t>
      </w:r>
      <w:r w:rsidRPr="00482CF9">
        <w:rPr>
          <w:rFonts w:ascii="Arial" w:hAnsi="Arial" w:cs="Arial"/>
          <w:lang w:val="es-ES_tradnl"/>
        </w:rPr>
        <w:t>necesarios para la comparación de propuestas</w:t>
      </w:r>
      <w:r>
        <w:rPr>
          <w:rFonts w:ascii="Arial" w:hAnsi="Arial" w:cs="Arial"/>
          <w:lang w:val="es-ES_tradnl"/>
        </w:rPr>
        <w:t>”</w:t>
      </w:r>
      <w:r w:rsidRPr="00482CF9">
        <w:rPr>
          <w:rFonts w:ascii="Arial" w:hAnsi="Arial" w:cs="Arial"/>
          <w:lang w:val="es-ES_tradnl"/>
        </w:rPr>
        <w:t>. De esta manera, la ley introdujo un primer criterio jurídico, aunque indeterminado, que servía como punto de partida en la posibilidad de subsanar las ofertas, verificada la ausencia de un requisito o documento, previo al rechazo de la oferta, la Administración debía constatar si este era o no necesario para la comparación de las propuestas y de ese análisis surgía la decisión sobre su rechazo o la oportunidad de subsanar.</w:t>
      </w:r>
    </w:p>
    <w:p w14:paraId="12417895" w14:textId="77777777" w:rsidR="00D43FFE" w:rsidRPr="00482CF9" w:rsidRDefault="00D43FFE" w:rsidP="00D43FFE">
      <w:pPr>
        <w:spacing w:before="120" w:after="0" w:line="276" w:lineRule="auto"/>
        <w:jc w:val="both"/>
        <w:rPr>
          <w:rFonts w:ascii="Arial" w:hAnsi="Arial" w:cs="Arial"/>
          <w:lang w:val="es-ES_tradnl"/>
        </w:rPr>
      </w:pPr>
      <w:r w:rsidRPr="00482CF9">
        <w:rPr>
          <w:rFonts w:ascii="Arial" w:eastAsia="Times New Roman" w:hAnsi="Arial" w:cs="Arial"/>
          <w:shd w:val="clear" w:color="auto" w:fill="FFFFFF"/>
          <w:lang w:eastAsia="es-ES_tradnl"/>
        </w:rPr>
        <w:tab/>
      </w:r>
      <w:r w:rsidRPr="1548CBE8">
        <w:rPr>
          <w:rFonts w:ascii="Arial" w:eastAsia="Times New Roman" w:hAnsi="Arial" w:cs="Arial"/>
          <w:shd w:val="clear" w:color="auto" w:fill="FFFFFF"/>
          <w:lang w:eastAsia="es-ES"/>
        </w:rPr>
        <w:t>Esta norma debía leerse en conjunto con otras de la Ley 80 de 1993, particularmente el artículo 30.7</w:t>
      </w:r>
      <w:r w:rsidRPr="1548CBE8">
        <w:rPr>
          <w:rFonts w:ascii="Arial" w:hAnsi="Arial" w:cs="Arial"/>
          <w:vertAlign w:val="superscript"/>
          <w:lang w:val="es-ES"/>
        </w:rPr>
        <w:footnoteReference w:id="19"/>
      </w:r>
      <w:r w:rsidRPr="1548CBE8">
        <w:rPr>
          <w:rFonts w:ascii="Arial" w:hAnsi="Arial" w:cs="Arial"/>
          <w:lang w:val="es-ES"/>
        </w:rPr>
        <w:t>, que ordena a la entidad señalar un plazo razonable para evaluar las propuestas y para pedir a los proponentes, de ser necesario, que aclaren o expliquen aspectos que generen dudas y resulten indispensables para llevar a cabo la evaluación; y con el artículo 30.8</w:t>
      </w:r>
      <w:r w:rsidRPr="1548CBE8">
        <w:rPr>
          <w:rFonts w:ascii="Arial" w:hAnsi="Arial" w:cs="Arial"/>
          <w:vertAlign w:val="superscript"/>
          <w:lang w:val="es-ES"/>
        </w:rPr>
        <w:footnoteReference w:id="20"/>
      </w:r>
      <w:r w:rsidRPr="1548CBE8">
        <w:rPr>
          <w:rFonts w:ascii="Arial" w:hAnsi="Arial" w:cs="Arial"/>
          <w:lang w:val="es-ES"/>
        </w:rPr>
        <w:t>, que consagró el término de 5 días hábiles para que los oferentes presenten observaciones al informe de evaluación de las propuestas, sin que sea posible completar, adicionar, modificar  o mejorar su oferta.</w:t>
      </w:r>
    </w:p>
    <w:p w14:paraId="74BBB87A" w14:textId="77777777" w:rsidR="00D43FFE" w:rsidRPr="00482CF9" w:rsidRDefault="00D43FFE" w:rsidP="00D43FFE">
      <w:pPr>
        <w:spacing w:before="120" w:after="0" w:line="276" w:lineRule="auto"/>
        <w:jc w:val="both"/>
        <w:rPr>
          <w:rFonts w:ascii="Arial" w:hAnsi="Arial" w:cs="Arial"/>
          <w:lang w:val="es-ES_tradnl"/>
        </w:rPr>
      </w:pPr>
      <w:r w:rsidRPr="00482CF9">
        <w:rPr>
          <w:rFonts w:ascii="Arial" w:hAnsi="Arial" w:cs="Arial"/>
          <w:lang w:val="es-ES_tradnl"/>
        </w:rPr>
        <w:tab/>
        <w:t xml:space="preserve">En un </w:t>
      </w:r>
      <w:r w:rsidRPr="00482CF9">
        <w:rPr>
          <w:rFonts w:ascii="Arial" w:hAnsi="Arial" w:cs="Arial"/>
          <w:i/>
          <w:iCs/>
          <w:lang w:val="es-ES_tradnl"/>
        </w:rPr>
        <w:t xml:space="preserve">tercer momento, </w:t>
      </w:r>
      <w:r w:rsidRPr="00482CF9">
        <w:rPr>
          <w:rFonts w:ascii="Arial" w:hAnsi="Arial" w:cs="Arial"/>
          <w:lang w:val="es-ES_tradnl"/>
        </w:rPr>
        <w:t>siguiendo la línea trazada por la Ley 80 de 1993, el legislador expidió la Ley 1150 de 2007, que en el parágrafo 1° del artículo 5 determinó lo siguiente:</w:t>
      </w:r>
    </w:p>
    <w:p w14:paraId="60A1240B" w14:textId="77777777" w:rsidR="00D43FFE" w:rsidRPr="00482CF9" w:rsidRDefault="00D43FFE" w:rsidP="00D43FFE">
      <w:pPr>
        <w:spacing w:after="0" w:line="240" w:lineRule="auto"/>
        <w:ind w:left="709" w:right="709"/>
        <w:jc w:val="both"/>
        <w:rPr>
          <w:rFonts w:ascii="Arial" w:eastAsia="Calibri" w:hAnsi="Arial" w:cs="Arial"/>
          <w:sz w:val="21"/>
          <w:szCs w:val="21"/>
          <w:lang w:val="es-ES_tradnl"/>
        </w:rPr>
      </w:pPr>
    </w:p>
    <w:p w14:paraId="20F0A06D" w14:textId="77777777" w:rsidR="00D43FFE" w:rsidRPr="00482CF9" w:rsidRDefault="00D43FFE" w:rsidP="00D43FFE">
      <w:pPr>
        <w:spacing w:after="0" w:line="240" w:lineRule="auto"/>
        <w:ind w:left="709" w:right="709"/>
        <w:jc w:val="both"/>
        <w:rPr>
          <w:rFonts w:ascii="Arial" w:eastAsia="Arial" w:hAnsi="Arial" w:cs="Arial"/>
          <w:sz w:val="21"/>
          <w:szCs w:val="21"/>
          <w:lang w:val="es-ES"/>
        </w:rPr>
      </w:pPr>
      <w:r>
        <w:rPr>
          <w:rFonts w:ascii="Arial" w:eastAsia="Arial" w:hAnsi="Arial" w:cs="Arial"/>
          <w:color w:val="000000" w:themeColor="text1"/>
          <w:lang w:val="es-MX"/>
        </w:rPr>
        <w:t>“</w:t>
      </w:r>
      <w:r w:rsidRPr="1548CBE8">
        <w:rPr>
          <w:rFonts w:ascii="Arial" w:eastAsia="Calibri" w:hAnsi="Arial" w:cs="Arial"/>
          <w:sz w:val="21"/>
          <w:szCs w:val="21"/>
          <w:lang w:val="es-ES"/>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1548CBE8">
        <w:rPr>
          <w:rFonts w:ascii="Arial" w:eastAsia="Calibri" w:hAnsi="Arial" w:cs="Arial"/>
          <w:b/>
          <w:bCs/>
          <w:sz w:val="21"/>
          <w:szCs w:val="21"/>
          <w:lang w:val="es-ES"/>
        </w:rPr>
        <w:t xml:space="preserve">, </w:t>
      </w:r>
      <w:r w:rsidRPr="1548CBE8">
        <w:rPr>
          <w:rFonts w:ascii="Arial" w:eastAsia="Calibri" w:hAnsi="Arial" w:cs="Arial"/>
          <w:sz w:val="21"/>
          <w:szCs w:val="21"/>
          <w:lang w:val="es-ES"/>
        </w:rPr>
        <w:t>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r>
        <w:rPr>
          <w:rFonts w:ascii="Arial" w:eastAsia="Arial" w:hAnsi="Arial" w:cs="Arial"/>
          <w:color w:val="000000" w:themeColor="text1"/>
          <w:lang w:val="es-MX"/>
        </w:rPr>
        <w:t>”</w:t>
      </w:r>
      <w:r w:rsidRPr="1548CBE8">
        <w:rPr>
          <w:rFonts w:ascii="Arial" w:eastAsia="Arial" w:hAnsi="Arial" w:cs="Arial"/>
          <w:color w:val="000000" w:themeColor="text1"/>
          <w:sz w:val="21"/>
          <w:szCs w:val="21"/>
          <w:lang w:val="es-ES"/>
        </w:rPr>
        <w:t xml:space="preserve"> </w:t>
      </w:r>
      <w:r w:rsidRPr="1548CBE8">
        <w:rPr>
          <w:rFonts w:ascii="Arial" w:eastAsia="Arial" w:hAnsi="Arial" w:cs="Arial"/>
          <w:sz w:val="21"/>
          <w:szCs w:val="21"/>
          <w:lang w:val="es-ES"/>
        </w:rPr>
        <w:t xml:space="preserve"> </w:t>
      </w:r>
    </w:p>
    <w:p w14:paraId="4A4734B0" w14:textId="77777777" w:rsidR="00D43FFE" w:rsidRPr="00482CF9" w:rsidRDefault="00D43FFE" w:rsidP="00D43FFE">
      <w:pPr>
        <w:spacing w:after="0" w:line="276" w:lineRule="auto"/>
        <w:jc w:val="both"/>
        <w:rPr>
          <w:rFonts w:ascii="Arial" w:hAnsi="Arial" w:cs="Arial"/>
          <w:lang w:val="es-ES_tradnl"/>
        </w:rPr>
      </w:pPr>
    </w:p>
    <w:p w14:paraId="28BD1B88" w14:textId="77777777" w:rsidR="00D43FFE" w:rsidRPr="00482CF9" w:rsidRDefault="00D43FFE" w:rsidP="00D43FFE">
      <w:pPr>
        <w:spacing w:after="0" w:line="276" w:lineRule="auto"/>
        <w:jc w:val="both"/>
        <w:rPr>
          <w:rFonts w:ascii="Arial" w:hAnsi="Arial" w:cs="Arial"/>
          <w:lang w:val="es-ES_tradnl"/>
        </w:rPr>
      </w:pPr>
      <w:r w:rsidRPr="00482CF9">
        <w:rPr>
          <w:rFonts w:ascii="Arial" w:hAnsi="Arial" w:cs="Arial"/>
          <w:lang w:val="es-ES_tradnl"/>
        </w:rPr>
        <w:tab/>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w:t>
      </w:r>
    </w:p>
    <w:p w14:paraId="79D5F0D7" w14:textId="77777777" w:rsidR="00D43FFE" w:rsidRPr="00482CF9" w:rsidRDefault="00D43FFE" w:rsidP="00D43FFE">
      <w:pPr>
        <w:spacing w:before="120" w:after="0" w:line="276" w:lineRule="auto"/>
        <w:jc w:val="both"/>
        <w:rPr>
          <w:rFonts w:ascii="Arial" w:hAnsi="Arial" w:cs="Arial"/>
          <w:lang w:val="es-ES"/>
        </w:rPr>
      </w:pPr>
      <w:r w:rsidRPr="00482CF9">
        <w:rPr>
          <w:rFonts w:ascii="Arial" w:hAnsi="Arial" w:cs="Arial"/>
          <w:lang w:val="es-ES_tradnl"/>
        </w:rPr>
        <w:tab/>
      </w:r>
      <w:r w:rsidRPr="7FDDD7E9">
        <w:rPr>
          <w:rFonts w:ascii="Arial" w:hAnsi="Arial" w:cs="Arial"/>
          <w:lang w:val="es-ES"/>
        </w:rPr>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w:t>
      </w:r>
    </w:p>
    <w:p w14:paraId="1F857067" w14:textId="77777777" w:rsidR="00D43FFE" w:rsidRDefault="00D43FFE" w:rsidP="00D43FFE">
      <w:pPr>
        <w:spacing w:before="120" w:after="0" w:line="276" w:lineRule="auto"/>
        <w:jc w:val="both"/>
        <w:rPr>
          <w:rFonts w:ascii="Arial" w:hAnsi="Arial" w:cs="Arial"/>
          <w:lang w:val="es-ES"/>
        </w:rPr>
      </w:pPr>
    </w:p>
    <w:p w14:paraId="5D35E27A" w14:textId="77777777" w:rsidR="00D43FFE" w:rsidRPr="00482CF9" w:rsidRDefault="00D43FFE" w:rsidP="00D43FFE">
      <w:pPr>
        <w:spacing w:after="0" w:line="276" w:lineRule="auto"/>
        <w:jc w:val="both"/>
        <w:rPr>
          <w:rFonts w:ascii="Arial" w:hAnsi="Arial" w:cs="Arial"/>
          <w:lang w:val="es-ES_tradnl"/>
        </w:rPr>
      </w:pPr>
      <w:r w:rsidRPr="00482CF9">
        <w:rPr>
          <w:rFonts w:ascii="Arial" w:eastAsia="Times New Roman" w:hAnsi="Arial" w:cs="Arial"/>
          <w:shd w:val="clear" w:color="auto" w:fill="FFFFFF"/>
          <w:lang w:eastAsia="es-ES_tradnl"/>
        </w:rPr>
        <w:tab/>
        <w:t>El artículo 5 de la Ley 1150 de 2007, además de consagrar un criterio más claro, y de paso, reducir la discrecionalidad de la Administración, fijó un ámbito temporal para la subsanación de las ofertas</w:t>
      </w:r>
      <w:r w:rsidRPr="00482CF9">
        <w:rPr>
          <w:rFonts w:ascii="Arial" w:hAnsi="Arial" w:cs="Arial"/>
          <w:lang w:val="es-ES_tradnl"/>
        </w:rPr>
        <w:t xml:space="preserve">: </w:t>
      </w:r>
      <w:r>
        <w:rPr>
          <w:rFonts w:ascii="Arial" w:hAnsi="Arial" w:cs="Arial"/>
          <w:lang w:val="es-ES_tradnl"/>
        </w:rPr>
        <w:t>“</w:t>
      </w:r>
      <w:r w:rsidRPr="00482CF9">
        <w:rPr>
          <w:rFonts w:ascii="Arial" w:hAnsi="Arial" w:cs="Arial"/>
          <w:lang w:val="es-ES_tradnl"/>
        </w:rPr>
        <w:t>en cualquier momento, hasta la adjudicación</w:t>
      </w:r>
      <w:r>
        <w:rPr>
          <w:rFonts w:ascii="Arial" w:hAnsi="Arial" w:cs="Arial"/>
          <w:lang w:val="es-ES_tradnl"/>
        </w:rPr>
        <w:t>”</w:t>
      </w:r>
      <w:r w:rsidRPr="00482CF9">
        <w:rPr>
          <w:rFonts w:ascii="Arial" w:hAnsi="Arial" w:cs="Arial"/>
          <w:lang w:val="es-ES_tradnl"/>
        </w:rPr>
        <w:t>. El Consejo de Estado, con particular sindéresis, concluyó que a partir del parágrafo 1°del artículo 5 de la Ley 1150, la definición de lo que es subsanable y lo que no lo es, surge a partir del planteamiento de la pregunta sobre si el defecto asigna puntaje o no, en estos términos:</w:t>
      </w:r>
    </w:p>
    <w:p w14:paraId="773E51F6" w14:textId="77777777" w:rsidR="00D43FFE" w:rsidRPr="00482CF9" w:rsidRDefault="00D43FFE" w:rsidP="00D43FFE">
      <w:pPr>
        <w:spacing w:after="0"/>
        <w:ind w:left="709" w:right="709"/>
        <w:jc w:val="both"/>
        <w:rPr>
          <w:rFonts w:ascii="Arial" w:hAnsi="Arial" w:cs="Arial"/>
          <w:sz w:val="21"/>
          <w:szCs w:val="21"/>
          <w:lang w:val="es-ES_tradnl"/>
        </w:rPr>
      </w:pPr>
    </w:p>
    <w:p w14:paraId="2CDB3CEF" w14:textId="77777777" w:rsidR="00D43FFE" w:rsidRPr="007A37AF" w:rsidRDefault="00D43FFE" w:rsidP="00D43FFE">
      <w:pPr>
        <w:spacing w:after="0"/>
        <w:ind w:left="709" w:right="709"/>
        <w:jc w:val="both"/>
        <w:rPr>
          <w:rFonts w:ascii="Arial" w:eastAsia="Arial" w:hAnsi="Arial" w:cs="Arial"/>
          <w:sz w:val="21"/>
          <w:szCs w:val="21"/>
          <w:lang w:val="es-ES"/>
        </w:rPr>
      </w:pPr>
      <w:r>
        <w:rPr>
          <w:rFonts w:ascii="Arial" w:eastAsia="Arial" w:hAnsi="Arial" w:cs="Arial"/>
          <w:color w:val="000000" w:themeColor="text1"/>
          <w:lang w:val="es-MX"/>
        </w:rPr>
        <w:t>“</w:t>
      </w:r>
      <w:r w:rsidRPr="1548CBE8">
        <w:rPr>
          <w:rFonts w:ascii="Arial" w:hAnsi="Arial" w:cs="Arial"/>
          <w:sz w:val="21"/>
          <w:szCs w:val="21"/>
          <w:lang w:val="es-ES"/>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1548CBE8">
        <w:rPr>
          <w:rFonts w:ascii="Arial" w:hAnsi="Arial" w:cs="Arial"/>
          <w:sz w:val="21"/>
          <w:szCs w:val="21"/>
          <w:vertAlign w:val="superscript"/>
          <w:lang w:val="es-ES"/>
        </w:rPr>
        <w:footnoteReference w:id="21"/>
      </w:r>
      <w:r w:rsidRPr="1548CBE8">
        <w:rPr>
          <w:rFonts w:ascii="Arial" w:hAnsi="Arial" w:cs="Arial"/>
          <w:sz w:val="21"/>
          <w:szCs w:val="21"/>
          <w:lang w:val="es-ES"/>
        </w:rPr>
        <w:t>.</w:t>
      </w:r>
      <w:r>
        <w:rPr>
          <w:rFonts w:ascii="Arial" w:eastAsia="Arial" w:hAnsi="Arial" w:cs="Arial"/>
          <w:color w:val="000000" w:themeColor="text1"/>
          <w:lang w:val="es-MX"/>
        </w:rPr>
        <w:t>”</w:t>
      </w:r>
    </w:p>
    <w:p w14:paraId="71BD6C52" w14:textId="77777777" w:rsidR="00D43FFE" w:rsidRPr="007A37AF" w:rsidRDefault="00D43FFE" w:rsidP="00D43FFE">
      <w:pPr>
        <w:spacing w:before="120" w:after="0" w:line="276" w:lineRule="auto"/>
        <w:jc w:val="both"/>
        <w:rPr>
          <w:rFonts w:ascii="Arial" w:eastAsia="Times New Roman" w:hAnsi="Arial" w:cs="Arial"/>
          <w:shd w:val="clear" w:color="auto" w:fill="FFFFFF"/>
          <w:lang w:eastAsia="es-ES"/>
        </w:rPr>
      </w:pPr>
      <w:r w:rsidRPr="00482CF9">
        <w:rPr>
          <w:rFonts w:ascii="Arial" w:eastAsia="Times New Roman" w:hAnsi="Arial" w:cs="Arial"/>
          <w:shd w:val="clear" w:color="auto" w:fill="FFFFFF"/>
          <w:lang w:eastAsia="es-ES_tradnl"/>
        </w:rPr>
        <w:tab/>
      </w:r>
      <w:r w:rsidRPr="7FDDD7E9">
        <w:rPr>
          <w:rFonts w:ascii="Arial" w:eastAsia="Times New Roman" w:hAnsi="Arial" w:cs="Arial"/>
          <w:shd w:val="clear" w:color="auto" w:fill="FFFFFF"/>
          <w:lang w:eastAsia="es-ES"/>
        </w:rPr>
        <w:t>Esa interpretación fue compartida por la Agencia Nacional de Contratación Pública – Colombia Compra Eficiente,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0AF17B48" w14:textId="77777777" w:rsidR="00D43FFE" w:rsidRPr="00482CF9" w:rsidRDefault="00D43FFE" w:rsidP="00D43FFE">
      <w:pPr>
        <w:spacing w:after="0" w:line="276" w:lineRule="auto"/>
        <w:jc w:val="both"/>
        <w:rPr>
          <w:rFonts w:ascii="Arial" w:eastAsia="Times New Roman" w:hAnsi="Arial" w:cs="Arial"/>
          <w:shd w:val="clear" w:color="auto" w:fill="FFFFFF"/>
          <w:lang w:eastAsia="es-ES_tradnl"/>
        </w:rPr>
      </w:pPr>
      <w:r w:rsidRPr="00482CF9">
        <w:rPr>
          <w:rFonts w:ascii="Arial" w:eastAsia="Times New Roman" w:hAnsi="Arial" w:cs="Arial"/>
          <w:shd w:val="clear" w:color="auto" w:fill="FFFFFF"/>
          <w:lang w:eastAsia="es-ES_tradnl"/>
        </w:rPr>
        <w:lastRenderedPageBreak/>
        <w:tab/>
        <w:t xml:space="preserve">Finalmente, en un </w:t>
      </w:r>
      <w:r w:rsidRPr="00482CF9">
        <w:rPr>
          <w:rFonts w:ascii="Arial" w:eastAsia="Times New Roman" w:hAnsi="Arial" w:cs="Arial"/>
          <w:i/>
          <w:iCs/>
          <w:shd w:val="clear" w:color="auto" w:fill="FFFFFF"/>
          <w:lang w:eastAsia="es-ES_tradnl"/>
        </w:rPr>
        <w:t xml:space="preserve">cuarto momento, </w:t>
      </w:r>
      <w:r w:rsidRPr="00482CF9">
        <w:rPr>
          <w:rFonts w:ascii="Arial" w:eastAsia="Times New Roman" w:hAnsi="Arial" w:cs="Arial"/>
          <w:shd w:val="clear" w:color="auto" w:fill="FFFFFF"/>
          <w:lang w:eastAsia="es-ES_tradnl"/>
        </w:rPr>
        <w:t>el legislador expidió la Ley 1882 de 2018, con la finalidad de introducir cambios y ajustes para fortalecer la contratación pública. El artículo 5 modificó el parágrafo 1° y adicionó algunos otros, entre ellos el 4° del artículo 5 de la Ley 1150 de 2007:</w:t>
      </w:r>
    </w:p>
    <w:p w14:paraId="6D132570" w14:textId="77777777" w:rsidR="00D43FFE" w:rsidRPr="00482CF9" w:rsidRDefault="00D43FFE" w:rsidP="00D43FFE">
      <w:pPr>
        <w:spacing w:after="0" w:line="276" w:lineRule="auto"/>
        <w:jc w:val="both"/>
        <w:rPr>
          <w:rFonts w:ascii="Arial" w:eastAsia="Times New Roman" w:hAnsi="Arial" w:cs="Arial"/>
          <w:shd w:val="clear" w:color="auto" w:fill="FFFFFF"/>
          <w:lang w:eastAsia="es-ES_tradnl"/>
        </w:rPr>
      </w:pPr>
    </w:p>
    <w:p w14:paraId="129020F1" w14:textId="77777777" w:rsidR="00D43FFE" w:rsidRPr="00482CF9" w:rsidRDefault="00D43FFE" w:rsidP="00D43FFE">
      <w:pPr>
        <w:spacing w:after="0" w:line="240" w:lineRule="auto"/>
        <w:ind w:left="709" w:right="709"/>
        <w:jc w:val="both"/>
        <w:rPr>
          <w:rFonts w:ascii="Arial" w:eastAsia="Calibri" w:hAnsi="Arial" w:cs="Arial"/>
          <w:sz w:val="21"/>
          <w:szCs w:val="21"/>
          <w:lang w:val="es-ES"/>
        </w:rPr>
      </w:pPr>
      <w:r>
        <w:rPr>
          <w:rFonts w:ascii="Arial" w:eastAsia="Arial" w:hAnsi="Arial" w:cs="Arial"/>
          <w:color w:val="000000" w:themeColor="text1"/>
          <w:lang w:val="es-MX"/>
        </w:rPr>
        <w:t>“</w:t>
      </w:r>
      <w:r w:rsidRPr="1548CBE8">
        <w:rPr>
          <w:rFonts w:ascii="Arial" w:eastAsia="Arial" w:hAnsi="Arial" w:cs="Arial"/>
          <w:sz w:val="21"/>
          <w:szCs w:val="21"/>
          <w:lang w:val="es-ES"/>
        </w:rPr>
        <w:t xml:space="preserve"> </w:t>
      </w:r>
      <w:r w:rsidRPr="1548CBE8">
        <w:rPr>
          <w:rFonts w:ascii="Arial" w:eastAsia="Calibri" w:hAnsi="Arial" w:cs="Arial"/>
          <w:sz w:val="21"/>
          <w:szCs w:val="21"/>
          <w:lang w:val="es-ES"/>
        </w:rPr>
        <w:t xml:space="preserve">Artículo 5°. De la selección objetiva. </w:t>
      </w:r>
    </w:p>
    <w:p w14:paraId="3E4C7CB7" w14:textId="77777777" w:rsidR="00D43FFE" w:rsidRPr="00482CF9" w:rsidRDefault="00D43FFE" w:rsidP="00D43FFE">
      <w:pPr>
        <w:spacing w:before="240" w:after="0" w:line="240" w:lineRule="auto"/>
        <w:ind w:left="709" w:right="709"/>
        <w:jc w:val="both"/>
        <w:rPr>
          <w:rFonts w:ascii="Arial" w:eastAsia="Calibri" w:hAnsi="Arial" w:cs="Arial"/>
          <w:sz w:val="21"/>
          <w:szCs w:val="21"/>
          <w:lang w:val="es-ES_tradnl"/>
        </w:rPr>
      </w:pPr>
      <w:r w:rsidRPr="00482CF9">
        <w:rPr>
          <w:rFonts w:ascii="Arial" w:eastAsia="Calibri" w:hAnsi="Arial" w:cs="Arial"/>
          <w:sz w:val="21"/>
          <w:szCs w:val="21"/>
          <w:lang w:val="es-ES_tradnl"/>
        </w:rPr>
        <w:t>[... ]</w:t>
      </w:r>
    </w:p>
    <w:p w14:paraId="1759570B" w14:textId="77777777" w:rsidR="00D43FFE" w:rsidRPr="00482CF9" w:rsidRDefault="00D43FFE" w:rsidP="00D43FFE">
      <w:pPr>
        <w:spacing w:after="0" w:line="240" w:lineRule="auto"/>
        <w:ind w:left="709" w:right="709"/>
        <w:jc w:val="both"/>
        <w:rPr>
          <w:rFonts w:ascii="Arial" w:eastAsia="Calibri" w:hAnsi="Arial" w:cs="Arial"/>
          <w:sz w:val="21"/>
          <w:szCs w:val="21"/>
          <w:lang w:val="es-ES"/>
        </w:rPr>
      </w:pPr>
      <w:r w:rsidRPr="1548CBE8">
        <w:rPr>
          <w:rFonts w:ascii="Arial" w:eastAsia="Calibri" w:hAnsi="Arial" w:cs="Arial"/>
          <w:sz w:val="21"/>
          <w:szCs w:val="21"/>
          <w:lang w:val="es-ES"/>
        </w:rPr>
        <w:t>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Pr="1548CBE8">
        <w:rPr>
          <w:rFonts w:ascii="Arial" w:eastAsia="Arial" w:hAnsi="Arial" w:cs="Arial"/>
          <w:color w:val="000000" w:themeColor="text1"/>
          <w:lang w:val="es-ES"/>
        </w:rPr>
        <w:t xml:space="preserve"> </w:t>
      </w:r>
      <w:r>
        <w:rPr>
          <w:rFonts w:ascii="Arial" w:eastAsia="Arial" w:hAnsi="Arial" w:cs="Arial"/>
          <w:color w:val="000000" w:themeColor="text1"/>
          <w:lang w:val="es-ES"/>
        </w:rPr>
        <w:t>“</w:t>
      </w:r>
      <w:r w:rsidRPr="1548CBE8">
        <w:rPr>
          <w:rFonts w:ascii="Arial" w:eastAsia="Arial" w:hAnsi="Arial" w:cs="Arial"/>
          <w:color w:val="000000" w:themeColor="text1"/>
          <w:lang w:val="es-ES"/>
        </w:rPr>
        <w:t xml:space="preserve"> </w:t>
      </w:r>
      <w:r w:rsidRPr="1548CBE8">
        <w:rPr>
          <w:rFonts w:ascii="Arial" w:eastAsia="Arial" w:hAnsi="Arial" w:cs="Arial"/>
          <w:sz w:val="21"/>
          <w:szCs w:val="21"/>
          <w:lang w:val="es-ES"/>
        </w:rPr>
        <w:t xml:space="preserve"> </w:t>
      </w:r>
    </w:p>
    <w:p w14:paraId="596CFD50" w14:textId="77777777" w:rsidR="00D43FFE" w:rsidRPr="00482CF9" w:rsidRDefault="00D43FFE" w:rsidP="00D43FFE">
      <w:pPr>
        <w:spacing w:after="0" w:line="276" w:lineRule="auto"/>
        <w:jc w:val="both"/>
        <w:rPr>
          <w:rFonts w:ascii="Arial" w:eastAsia="Times New Roman" w:hAnsi="Arial" w:cs="Arial"/>
          <w:shd w:val="clear" w:color="auto" w:fill="FFFFFF"/>
          <w:lang w:eastAsia="es-ES"/>
        </w:rPr>
      </w:pPr>
    </w:p>
    <w:p w14:paraId="453EC85E" w14:textId="77777777" w:rsidR="00D43FFE" w:rsidRDefault="00D43FFE" w:rsidP="00D43FFE">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que se analizarán a continuación. </w:t>
      </w:r>
    </w:p>
    <w:p w14:paraId="1499A3FB" w14:textId="77777777" w:rsidR="00D43FFE" w:rsidRDefault="00D43FFE" w:rsidP="00D43FFE">
      <w:pPr>
        <w:spacing w:after="120" w:line="276" w:lineRule="auto"/>
        <w:ind w:right="51" w:firstLine="709"/>
        <w:jc w:val="both"/>
        <w:rPr>
          <w:rFonts w:ascii="Arial" w:eastAsia="Arial" w:hAnsi="Arial" w:cs="Arial"/>
          <w:color w:val="000000" w:themeColor="text1"/>
        </w:rPr>
      </w:pPr>
      <w:r w:rsidRPr="1548CBE8">
        <w:rPr>
          <w:rFonts w:ascii="Arial" w:eastAsia="Arial" w:hAnsi="Arial" w:cs="Arial"/>
          <w:i/>
          <w:iCs/>
          <w:color w:val="000000" w:themeColor="text1"/>
          <w:lang w:val="es-ES"/>
        </w:rPr>
        <w:t>El primero</w:t>
      </w:r>
      <w:r w:rsidRPr="1548CBE8">
        <w:rPr>
          <w:rFonts w:ascii="Arial" w:eastAsia="Arial" w:hAnsi="Arial" w:cs="Arial"/>
          <w:color w:val="000000" w:themeColor="text1"/>
          <w:lang w:val="es-ES"/>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1548CBE8">
        <w:rPr>
          <w:rFonts w:ascii="Arial" w:eastAsia="Arial" w:hAnsi="Arial" w:cs="Arial"/>
          <w:color w:val="000000" w:themeColor="text1"/>
          <w:vertAlign w:val="superscript"/>
          <w:lang w:val="es-ES"/>
        </w:rPr>
        <w:t>6</w:t>
      </w:r>
      <w:r w:rsidRPr="1548CBE8">
        <w:rPr>
          <w:rFonts w:ascii="Arial" w:eastAsia="Arial" w:hAnsi="Arial" w:cs="Arial"/>
          <w:color w:val="000000" w:themeColor="text1"/>
          <w:lang w:val="es-ES"/>
        </w:rPr>
        <w:t>;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1548CBE8">
        <w:rPr>
          <w:rFonts w:ascii="Arial" w:eastAsia="Arial" w:hAnsi="Arial" w:cs="Arial"/>
          <w:color w:val="000000" w:themeColor="text1"/>
          <w:vertAlign w:val="superscript"/>
          <w:lang w:val="es-ES"/>
        </w:rPr>
        <w:t>7</w:t>
      </w:r>
      <w:r w:rsidRPr="1548CBE8">
        <w:rPr>
          <w:rFonts w:ascii="Arial" w:eastAsia="Arial" w:hAnsi="Arial" w:cs="Arial"/>
          <w:color w:val="000000" w:themeColor="text1"/>
          <w:lang w:val="es-ES"/>
        </w:rPr>
        <w:t xml:space="preserve">. </w:t>
      </w:r>
    </w:p>
    <w:p w14:paraId="653481E3" w14:textId="77777777" w:rsidR="00D43FFE" w:rsidRDefault="00D43FFE" w:rsidP="00D43FFE">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lastRenderedPageBreak/>
        <w:t xml:space="preserve">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Pr>
          <w:rFonts w:ascii="Arial" w:eastAsia="Arial" w:hAnsi="Arial" w:cs="Arial"/>
          <w:color w:val="000000" w:themeColor="text1"/>
          <w:lang w:val="es-ES"/>
        </w:rPr>
        <w:t>“</w:t>
      </w:r>
      <w:r w:rsidRPr="1548CBE8">
        <w:rPr>
          <w:rFonts w:ascii="Arial" w:eastAsia="Arial" w:hAnsi="Arial" w:cs="Arial"/>
          <w:i/>
          <w:iCs/>
          <w:color w:val="000000" w:themeColor="text1"/>
          <w:lang w:val="es-ES"/>
        </w:rPr>
        <w:t>deberán ser solicitados por las entidades estatales y deberán ser entregados por los proponentes hasta el término de traslado del informe de evaluación que corresponda a cada modalidad de selección</w:t>
      </w:r>
      <w:r>
        <w:rPr>
          <w:rFonts w:ascii="Arial" w:eastAsia="Arial" w:hAnsi="Arial" w:cs="Arial"/>
          <w:i/>
          <w:iCs/>
          <w:color w:val="000000" w:themeColor="text1"/>
          <w:lang w:val="es-ES"/>
        </w:rPr>
        <w:t>”</w:t>
      </w:r>
      <w:r w:rsidRPr="1548CBE8">
        <w:rPr>
          <w:rFonts w:ascii="Arial" w:eastAsia="Arial" w:hAnsi="Arial" w:cs="Arial"/>
          <w:i/>
          <w:iCs/>
          <w:color w:val="000000" w:themeColor="text1"/>
          <w:lang w:val="es-ES"/>
        </w:rPr>
        <w:t>.</w:t>
      </w:r>
      <w:r w:rsidRPr="1548CBE8">
        <w:rPr>
          <w:rFonts w:ascii="Arial" w:eastAsia="Arial" w:hAnsi="Arial" w:cs="Arial"/>
          <w:color w:val="000000" w:themeColor="text1"/>
          <w:lang w:val="es-ES"/>
        </w:rPr>
        <w:t xml:space="preserve"> </w:t>
      </w:r>
    </w:p>
    <w:p w14:paraId="2A67DA07" w14:textId="77777777" w:rsidR="00D43FFE" w:rsidRDefault="00D43FFE" w:rsidP="00D43FFE">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No obstante, de la lectura de este aparte podrían, en la práctica, darse dos interpretaciones que dan lugar a dos formas de proceder en los procesos de selección, en lo que a la </w:t>
      </w:r>
      <w:proofErr w:type="spellStart"/>
      <w:r w:rsidRPr="1548CBE8">
        <w:rPr>
          <w:rFonts w:ascii="Arial" w:eastAsia="Arial" w:hAnsi="Arial" w:cs="Arial"/>
          <w:color w:val="000000" w:themeColor="text1"/>
          <w:lang w:val="es-ES"/>
        </w:rPr>
        <w:t>subsanabilidad</w:t>
      </w:r>
      <w:proofErr w:type="spellEnd"/>
      <w:r w:rsidRPr="1548CBE8">
        <w:rPr>
          <w:rFonts w:ascii="Arial" w:eastAsia="Arial" w:hAnsi="Arial" w:cs="Arial"/>
          <w:color w:val="000000" w:themeColor="text1"/>
          <w:lang w:val="es-ES"/>
        </w:rPr>
        <w:t xml:space="preserve">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1548CBE8">
        <w:rPr>
          <w:rFonts w:ascii="Arial" w:eastAsia="Arial" w:hAnsi="Arial" w:cs="Arial"/>
          <w:i/>
          <w:iCs/>
          <w:color w:val="000000" w:themeColor="text1"/>
          <w:lang w:val="es-ES"/>
        </w:rPr>
        <w:t>límite</w:t>
      </w:r>
      <w:r w:rsidRPr="1548CBE8">
        <w:rPr>
          <w:rFonts w:ascii="Arial" w:eastAsia="Arial" w:hAnsi="Arial" w:cs="Arial"/>
          <w:color w:val="000000" w:themeColor="text1"/>
          <w:lang w:val="es-ES"/>
        </w:rPr>
        <w:t xml:space="preserve"> para la subsanación de ofertas, pero no el único momento para hacerlo. </w:t>
      </w:r>
    </w:p>
    <w:p w14:paraId="6D23FBFB" w14:textId="77777777" w:rsidR="00D43FFE" w:rsidRDefault="00D43FFE" w:rsidP="00D43FFE">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1886CA4A" w14:textId="77777777" w:rsidR="00D43FFE" w:rsidRDefault="00D43FFE" w:rsidP="00D43FFE">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060B4756" w14:textId="77777777" w:rsidR="00D43FFE" w:rsidRDefault="00D43FFE" w:rsidP="00D43FFE">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El segundo cambio importante de la Ley 1882 de 2018 fue la introducción de un criterio material, directamente relacionado con los aspectos subsanables: </w:t>
      </w:r>
      <w:r>
        <w:rPr>
          <w:rFonts w:ascii="Arial" w:eastAsia="Arial" w:hAnsi="Arial" w:cs="Arial"/>
          <w:i/>
          <w:iCs/>
          <w:color w:val="000000" w:themeColor="text1"/>
          <w:lang w:val="es-ES"/>
        </w:rPr>
        <w:t>“</w:t>
      </w:r>
      <w:r w:rsidRPr="1548CBE8">
        <w:rPr>
          <w:rFonts w:ascii="Arial" w:eastAsia="Arial" w:hAnsi="Arial" w:cs="Arial"/>
          <w:i/>
          <w:iCs/>
          <w:color w:val="000000" w:themeColor="text1"/>
          <w:lang w:val="es-ES"/>
        </w:rPr>
        <w:t>los proponentes no podrán acreditar circunstancias ocurridas con posterioridad al cierre del proceso</w:t>
      </w:r>
      <w:r>
        <w:rPr>
          <w:rFonts w:ascii="Arial" w:eastAsia="Arial" w:hAnsi="Arial" w:cs="Arial"/>
          <w:i/>
          <w:iCs/>
          <w:color w:val="000000" w:themeColor="text1"/>
          <w:lang w:val="es-ES"/>
        </w:rPr>
        <w:t>”</w:t>
      </w:r>
      <w:r w:rsidRPr="1548CBE8">
        <w:rPr>
          <w:rFonts w:ascii="Arial" w:eastAsia="Arial" w:hAnsi="Arial" w:cs="Arial"/>
          <w:i/>
          <w:iCs/>
          <w:color w:val="000000" w:themeColor="text1"/>
          <w:lang w:val="es-ES"/>
        </w:rPr>
        <w:t>.</w:t>
      </w:r>
      <w:r w:rsidRPr="1548CBE8">
        <w:rPr>
          <w:rFonts w:ascii="Arial" w:eastAsia="Arial" w:hAnsi="Arial" w:cs="Arial"/>
          <w:color w:val="000000" w:themeColor="text1"/>
          <w:lang w:val="es-ES"/>
        </w:rPr>
        <w:t xml:space="preserve"> Lo anterior ofrece dos aspectos que merecen clarificación; primero, qué debe entenderse por circunstancias ocurridas con posterioridad; y segundo, qué es el cierre del proceso. </w:t>
      </w:r>
    </w:p>
    <w:p w14:paraId="79BC6889" w14:textId="77777777" w:rsidR="00D43FFE" w:rsidRDefault="00D43FFE" w:rsidP="00D43FFE">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1548CBE8">
        <w:rPr>
          <w:rFonts w:ascii="Arial" w:eastAsia="Arial" w:hAnsi="Arial" w:cs="Arial"/>
          <w:color w:val="000000" w:themeColor="text1"/>
          <w:vertAlign w:val="superscript"/>
          <w:lang w:val="es-ES"/>
        </w:rPr>
        <w:t>8</w:t>
      </w:r>
      <w:r w:rsidRPr="1548CBE8">
        <w:rPr>
          <w:rFonts w:ascii="Arial" w:eastAsia="Arial" w:hAnsi="Arial" w:cs="Arial"/>
          <w:color w:val="000000" w:themeColor="text1"/>
          <w:lang w:val="es-ES"/>
        </w:rPr>
        <w:t>.</w:t>
      </w:r>
    </w:p>
    <w:p w14:paraId="4C0335BF" w14:textId="77777777" w:rsidR="00D43FFE" w:rsidRDefault="00D43FFE" w:rsidP="00D43FFE">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lastRenderedPageBreak/>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w:t>
      </w:r>
      <w:r>
        <w:rPr>
          <w:rFonts w:ascii="Arial" w:eastAsia="Arial" w:hAnsi="Arial" w:cs="Arial"/>
          <w:color w:val="000000" w:themeColor="text1"/>
          <w:lang w:val="es-ES"/>
        </w:rPr>
        <w:t>“</w:t>
      </w:r>
      <w:r w:rsidRPr="1548CBE8">
        <w:rPr>
          <w:rFonts w:ascii="Arial" w:eastAsia="Arial" w:hAnsi="Arial" w:cs="Arial"/>
          <w:color w:val="000000" w:themeColor="text1"/>
          <w:lang w:val="es-ES"/>
        </w:rPr>
        <w:t>cierre del proceso</w:t>
      </w:r>
      <w:r>
        <w:rPr>
          <w:rFonts w:ascii="Arial" w:eastAsia="Arial" w:hAnsi="Arial" w:cs="Arial"/>
          <w:color w:val="000000" w:themeColor="text1"/>
          <w:lang w:val="es-ES"/>
        </w:rPr>
        <w:t>”</w:t>
      </w:r>
      <w:r w:rsidRPr="1548CBE8">
        <w:rPr>
          <w:rFonts w:ascii="Arial" w:eastAsia="Arial" w:hAnsi="Arial" w:cs="Arial"/>
          <w:color w:val="000000" w:themeColor="text1"/>
          <w:lang w:val="es-ES"/>
        </w:rPr>
        <w:t xml:space="preserve">.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3231C278" w14:textId="77777777" w:rsidR="00D43FFE" w:rsidRDefault="00D43FFE" w:rsidP="00D43FFE">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Un mejor entendimiento del significado de la expresión </w:t>
      </w:r>
      <w:r>
        <w:rPr>
          <w:rFonts w:ascii="Arial" w:eastAsia="Arial" w:hAnsi="Arial" w:cs="Arial"/>
          <w:i/>
          <w:iCs/>
          <w:color w:val="000000" w:themeColor="text1"/>
          <w:lang w:val="es-ES"/>
        </w:rPr>
        <w:t>“</w:t>
      </w:r>
      <w:r w:rsidRPr="1548CBE8">
        <w:rPr>
          <w:rFonts w:ascii="Arial" w:eastAsia="Arial" w:hAnsi="Arial" w:cs="Arial"/>
          <w:i/>
          <w:iCs/>
          <w:color w:val="000000" w:themeColor="text1"/>
          <w:lang w:val="es-ES"/>
        </w:rPr>
        <w:t>circunstancias ocurridas con posterioridad al cierre del proceso</w:t>
      </w:r>
      <w:r>
        <w:rPr>
          <w:rFonts w:ascii="Arial" w:eastAsia="Arial" w:hAnsi="Arial" w:cs="Arial"/>
          <w:i/>
          <w:iCs/>
          <w:color w:val="000000" w:themeColor="text1"/>
          <w:lang w:val="es-ES"/>
        </w:rPr>
        <w:t>”</w:t>
      </w:r>
      <w:r w:rsidRPr="1548CBE8">
        <w:rPr>
          <w:rFonts w:ascii="Arial" w:eastAsia="Arial" w:hAnsi="Arial" w:cs="Arial"/>
          <w:color w:val="000000" w:themeColor="text1"/>
          <w:lang w:val="es-ES"/>
        </w:rPr>
        <w:t xml:space="preserve"> implica distinguir entre la prueba de un hecho y el hecho mismo. En el caso de la </w:t>
      </w:r>
      <w:proofErr w:type="spellStart"/>
      <w:r w:rsidRPr="1548CBE8">
        <w:rPr>
          <w:rFonts w:ascii="Arial" w:eastAsia="Arial" w:hAnsi="Arial" w:cs="Arial"/>
          <w:color w:val="000000" w:themeColor="text1"/>
          <w:lang w:val="es-ES"/>
        </w:rPr>
        <w:t>subsanabilidad</w:t>
      </w:r>
      <w:proofErr w:type="spellEnd"/>
      <w:r w:rsidRPr="1548CBE8">
        <w:rPr>
          <w:rFonts w:ascii="Arial" w:eastAsia="Arial" w:hAnsi="Arial" w:cs="Arial"/>
          <w:color w:val="000000" w:themeColor="text1"/>
          <w:lang w:val="es-ES"/>
        </w:rPr>
        <w:t xml:space="preserve">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1548CBE8">
        <w:rPr>
          <w:rFonts w:ascii="Arial" w:eastAsia="Arial" w:hAnsi="Arial" w:cs="Arial"/>
          <w:color w:val="000000" w:themeColor="text1"/>
          <w:vertAlign w:val="superscript"/>
          <w:lang w:val="es-ES"/>
        </w:rPr>
        <w:t>9</w:t>
      </w:r>
      <w:r w:rsidRPr="1548CBE8">
        <w:rPr>
          <w:rFonts w:ascii="Arial" w:eastAsia="Arial" w:hAnsi="Arial" w:cs="Arial"/>
          <w:color w:val="000000" w:themeColor="text1"/>
          <w:lang w:val="es-ES"/>
        </w:rPr>
        <w:t xml:space="preserve">. </w:t>
      </w:r>
    </w:p>
    <w:p w14:paraId="39FE4684" w14:textId="77777777" w:rsidR="00D43FFE" w:rsidRDefault="00D43FFE" w:rsidP="00D43FFE">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1548CBE8">
        <w:rPr>
          <w:rFonts w:ascii="Arial" w:eastAsia="Arial" w:hAnsi="Arial" w:cs="Arial"/>
          <w:color w:val="000000" w:themeColor="text1"/>
          <w:vertAlign w:val="superscript"/>
          <w:lang w:val="es-ES"/>
        </w:rPr>
        <w:t>10</w:t>
      </w:r>
      <w:r w:rsidRPr="1548CBE8">
        <w:rPr>
          <w:rFonts w:ascii="Arial" w:eastAsia="Arial" w:hAnsi="Arial" w:cs="Arial"/>
          <w:color w:val="000000" w:themeColor="text1"/>
          <w:lang w:val="es-ES"/>
        </w:rPr>
        <w:t>; iii) si un oferente no anexó el Certificado de existencia y representación legal, el documento aportado con posterioridad debe dar cuenta de que la sociedad existía antes del cierre del proceso</w:t>
      </w:r>
      <w:r w:rsidRPr="1548CBE8">
        <w:rPr>
          <w:rFonts w:ascii="Arial" w:eastAsia="Arial" w:hAnsi="Arial" w:cs="Arial"/>
          <w:color w:val="000000" w:themeColor="text1"/>
          <w:vertAlign w:val="superscript"/>
          <w:lang w:val="es-ES"/>
        </w:rPr>
        <w:t>11</w:t>
      </w:r>
      <w:r w:rsidRPr="1548CBE8">
        <w:rPr>
          <w:rFonts w:ascii="Arial" w:eastAsia="Arial" w:hAnsi="Arial" w:cs="Arial"/>
          <w:color w:val="000000" w:themeColor="text1"/>
          <w:lang w:val="es-ES"/>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6AE41662" w14:textId="77777777" w:rsidR="00D43FFE" w:rsidRDefault="00D43FFE" w:rsidP="00D43FFE">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que el Consejo de Estado sostiene que </w:t>
      </w:r>
      <w:r>
        <w:rPr>
          <w:rFonts w:ascii="Arial" w:eastAsia="Arial" w:hAnsi="Arial" w:cs="Arial"/>
          <w:color w:val="000000" w:themeColor="text1"/>
          <w:lang w:val="es-ES"/>
        </w:rPr>
        <w:t>“</w:t>
      </w:r>
      <w:r w:rsidRPr="1548CBE8">
        <w:rPr>
          <w:rFonts w:ascii="Arial" w:eastAsia="Arial" w:hAnsi="Arial" w:cs="Arial"/>
          <w:i/>
          <w:iCs/>
          <w:color w:val="000000" w:themeColor="text1"/>
          <w:lang w:val="es-ES"/>
        </w:rPr>
        <w:t xml:space="preserve">lo que se subsana es la prueba y no la condición habilitante o un elemento de la propuesta [...] lo que se puede remediar es la prueba y no el requisito: La posibilidad debe recaer exclusivamente sobre circunstancias </w:t>
      </w:r>
      <w:r w:rsidRPr="1548CBE8">
        <w:rPr>
          <w:rFonts w:ascii="Arial" w:eastAsia="Arial" w:hAnsi="Arial" w:cs="Arial"/>
          <w:i/>
          <w:iCs/>
          <w:color w:val="000000" w:themeColor="text1"/>
          <w:lang w:val="es-ES"/>
        </w:rPr>
        <w:lastRenderedPageBreak/>
        <w:t>acaecidas antes del cierre del respectivo proceso, esto es, del vencimiento del plazo para presentar ofertas</w:t>
      </w:r>
      <w:r>
        <w:rPr>
          <w:rFonts w:ascii="Arial" w:eastAsia="Arial" w:hAnsi="Arial" w:cs="Arial"/>
          <w:i/>
          <w:iCs/>
          <w:color w:val="000000" w:themeColor="text1"/>
          <w:lang w:val="es-ES"/>
        </w:rPr>
        <w:t>”</w:t>
      </w:r>
      <w:r w:rsidRPr="1548CBE8">
        <w:rPr>
          <w:rFonts w:ascii="Arial" w:eastAsia="Arial" w:hAnsi="Arial" w:cs="Arial"/>
          <w:i/>
          <w:iCs/>
          <w:color w:val="000000" w:themeColor="text1"/>
          <w:vertAlign w:val="superscript"/>
          <w:lang w:val="es-ES"/>
        </w:rPr>
        <w:t>12</w:t>
      </w:r>
      <w:r w:rsidRPr="1548CBE8">
        <w:rPr>
          <w:rFonts w:ascii="Arial" w:eastAsia="Arial" w:hAnsi="Arial" w:cs="Arial"/>
          <w:i/>
          <w:iCs/>
          <w:color w:val="000000" w:themeColor="text1"/>
          <w:lang w:val="es-ES"/>
        </w:rPr>
        <w:t xml:space="preserve">. </w:t>
      </w:r>
    </w:p>
    <w:p w14:paraId="4B3BA509" w14:textId="77777777" w:rsidR="00D43FFE" w:rsidRDefault="00D43FFE" w:rsidP="00D43FFE">
      <w:pPr>
        <w:spacing w:before="120" w:after="20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 </w:t>
      </w:r>
    </w:p>
    <w:p w14:paraId="4A3738CA" w14:textId="77777777" w:rsidR="00D43FFE" w:rsidRDefault="00D43FFE" w:rsidP="00D43FFE">
      <w:pPr>
        <w:spacing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Ahora bien, la Agencia debe diferenciar entre la regla sobre subsanación de ofertas en los procedimientos de selección, que acaba de explicarse, por un lado, y por el otro lo referido a la </w:t>
      </w:r>
      <w:r w:rsidRPr="1548CBE8">
        <w:rPr>
          <w:rFonts w:ascii="Arial" w:eastAsia="Arial" w:hAnsi="Arial" w:cs="Arial"/>
          <w:i/>
          <w:iCs/>
          <w:color w:val="000000" w:themeColor="text1"/>
          <w:lang w:val="es-MX"/>
        </w:rPr>
        <w:t>aclaración de las ofertas</w:t>
      </w:r>
      <w:r w:rsidRPr="1548CBE8">
        <w:rPr>
          <w:rFonts w:ascii="Arial" w:eastAsia="Arial" w:hAnsi="Arial" w:cs="Arial"/>
          <w:color w:val="000000" w:themeColor="text1"/>
          <w:lang w:val="es-MX"/>
        </w:rPr>
        <w:t xml:space="preserve">, cuestiones que resultan ser distintas, sin perjuicio de que ambas puedan ser considerados como elementos propios del principio de selección objetiva. 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w:t>
      </w:r>
      <w:r>
        <w:rPr>
          <w:rFonts w:ascii="Arial" w:eastAsia="Arial" w:hAnsi="Arial" w:cs="Arial"/>
          <w:color w:val="000000" w:themeColor="text1"/>
          <w:lang w:val="es-MX"/>
        </w:rPr>
        <w:t>“</w:t>
      </w:r>
      <w:r w:rsidRPr="1548CBE8">
        <w:rPr>
          <w:rFonts w:ascii="Arial" w:eastAsia="Arial" w:hAnsi="Arial" w:cs="Arial"/>
          <w:i/>
          <w:iCs/>
          <w:color w:val="000000" w:themeColor="text1"/>
          <w:lang w:val="es-MX"/>
        </w:rPr>
        <w:t>plazo razonable dentro del cual la entidad deberá elaborar los estudios técnicos, económicos y jurídicos necesarios para la evaluación de las propuestas y para solicitar a los proponentes las aclaraciones y explicaciones que se estimen indispensables</w:t>
      </w:r>
      <w:r>
        <w:rPr>
          <w:rFonts w:ascii="Arial" w:eastAsia="Arial" w:hAnsi="Arial" w:cs="Arial"/>
          <w:i/>
          <w:iCs/>
          <w:color w:val="000000" w:themeColor="text1"/>
          <w:lang w:val="es-MX"/>
        </w:rPr>
        <w:t>”</w:t>
      </w:r>
      <w:r w:rsidRPr="1548CBE8">
        <w:rPr>
          <w:rFonts w:ascii="Arial" w:eastAsia="Arial" w:hAnsi="Arial" w:cs="Arial"/>
          <w:i/>
          <w:iCs/>
          <w:color w:val="000000" w:themeColor="text1"/>
          <w:lang w:val="es-MX"/>
        </w:rPr>
        <w:t>.</w:t>
      </w:r>
      <w:r w:rsidRPr="1548CBE8">
        <w:rPr>
          <w:rFonts w:ascii="Arial" w:eastAsia="Arial" w:hAnsi="Arial" w:cs="Arial"/>
          <w:color w:val="000000" w:themeColor="text1"/>
          <w:lang w:val="es-MX"/>
        </w:rPr>
        <w:t xml:space="preserve"> </w:t>
      </w:r>
    </w:p>
    <w:p w14:paraId="438A7426" w14:textId="77777777" w:rsidR="00D43FFE" w:rsidRDefault="00D43FFE" w:rsidP="00D43FFE">
      <w:pPr>
        <w:spacing w:before="120"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3196BCAF" w14:textId="77777777" w:rsidR="00D43FFE" w:rsidRDefault="00D43FFE" w:rsidP="00D43FFE">
      <w:pPr>
        <w:spacing w:before="120"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w:t>
      </w:r>
      <w:r w:rsidRPr="1548CBE8">
        <w:rPr>
          <w:rFonts w:ascii="Arial" w:eastAsia="Arial" w:hAnsi="Arial" w:cs="Arial"/>
          <w:color w:val="000000" w:themeColor="text1"/>
          <w:lang w:val="es-MX"/>
        </w:rPr>
        <w:lastRenderedPageBreak/>
        <w:t>que impliquen una mejora o alteración sustancial de la oferta, tal y como ha sido expresado por el Consejo de Estado.</w:t>
      </w:r>
    </w:p>
    <w:p w14:paraId="7ED1481B" w14:textId="77777777" w:rsidR="00D43FFE" w:rsidRDefault="00D43FFE" w:rsidP="00D43FFE">
      <w:pPr>
        <w:spacing w:before="120"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Ahora bien, lo anterior no impide que se puedan hacer aclaraciones a las propuestas bien porque la Entidad Estatal las solicite en la etapa de evaluación de las mismas, ora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3DC83F67" w14:textId="77777777" w:rsidR="00D43FFE" w:rsidRDefault="00D43FFE" w:rsidP="00D43FFE">
      <w:pPr>
        <w:spacing w:before="120"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La solicitud de aclaraciones permite que las entidades requieran a los proponentes esclarecer aspectos de sus propuestas que, en principio, resultan confusos para efectos de la evaluación, diferenciándose de la </w:t>
      </w:r>
      <w:proofErr w:type="spellStart"/>
      <w:r w:rsidRPr="1548CBE8">
        <w:rPr>
          <w:rFonts w:ascii="Arial" w:eastAsia="Arial" w:hAnsi="Arial" w:cs="Arial"/>
          <w:color w:val="000000" w:themeColor="text1"/>
          <w:lang w:val="es-MX"/>
        </w:rPr>
        <w:t>subsanabilidad</w:t>
      </w:r>
      <w:proofErr w:type="spellEnd"/>
      <w:r w:rsidRPr="1548CBE8">
        <w:rPr>
          <w:rFonts w:ascii="Arial" w:eastAsia="Arial" w:hAnsi="Arial" w:cs="Arial"/>
          <w:color w:val="000000" w:themeColor="text1"/>
          <w:lang w:val="es-MX"/>
        </w:rPr>
        <w:t xml:space="preserve">, pues no parte del supuesto de la ausencia de requisitos de la oferta sino de la existencia de dudas en la misma, cuya explicación se requiere para la evaluar la propuesta. Esta diferencia es importante, pues </w:t>
      </w:r>
      <w:r w:rsidRPr="1548CBE8">
        <w:rPr>
          <w:rFonts w:ascii="Arial" w:eastAsia="Arial" w:hAnsi="Arial" w:cs="Arial"/>
          <w:i/>
          <w:iCs/>
          <w:color w:val="000000" w:themeColor="text1"/>
          <w:lang w:val="es-MX"/>
        </w:rPr>
        <w:t>es posible aclarar los requisitos que asignan puntaje</w:t>
      </w:r>
      <w:r w:rsidRPr="1548CBE8">
        <w:rPr>
          <w:rFonts w:ascii="Arial" w:eastAsia="Arial" w:hAnsi="Arial" w:cs="Arial"/>
          <w:color w:val="000000" w:themeColor="text1"/>
          <w:lang w:val="es-MX"/>
        </w:rPr>
        <w:t>, tal como lo ha señalado la jurisprudencia en los siguientes términos:</w:t>
      </w:r>
    </w:p>
    <w:p w14:paraId="4635152E" w14:textId="77777777" w:rsidR="00D43FFE" w:rsidRDefault="00D43FFE" w:rsidP="00D43FFE">
      <w:pPr>
        <w:spacing w:after="0" w:line="276" w:lineRule="auto"/>
        <w:ind w:left="709" w:right="709"/>
        <w:jc w:val="both"/>
        <w:rPr>
          <w:rFonts w:ascii="Arial" w:eastAsia="Arial" w:hAnsi="Arial" w:cs="Arial"/>
          <w:color w:val="000000" w:themeColor="text1"/>
        </w:rPr>
      </w:pPr>
    </w:p>
    <w:p w14:paraId="7D7A597A" w14:textId="77777777" w:rsidR="00D43FFE" w:rsidRDefault="00D43FFE" w:rsidP="00D43FFE">
      <w:pPr>
        <w:spacing w:after="0" w:line="240" w:lineRule="auto"/>
        <w:ind w:left="709" w:right="709"/>
        <w:jc w:val="both"/>
        <w:rPr>
          <w:rFonts w:ascii="Arial" w:eastAsia="Arial" w:hAnsi="Arial" w:cs="Arial"/>
          <w:color w:val="000000" w:themeColor="text1"/>
        </w:rPr>
      </w:pPr>
      <w:r>
        <w:rPr>
          <w:rFonts w:ascii="Arial" w:eastAsia="Arial" w:hAnsi="Arial" w:cs="Arial"/>
          <w:color w:val="000000" w:themeColor="text1"/>
          <w:lang w:val="es-MX"/>
        </w:rPr>
        <w:t>“</w:t>
      </w:r>
      <w:r w:rsidRPr="1548CBE8">
        <w:rPr>
          <w:rFonts w:ascii="Arial" w:eastAsia="Arial" w:hAnsi="Arial" w:cs="Arial"/>
          <w:color w:val="000000" w:themeColor="text1"/>
          <w:lang w:val="es-MX"/>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w:t>
      </w:r>
      <w:proofErr w:type="spellStart"/>
      <w:r w:rsidRPr="1548CBE8">
        <w:rPr>
          <w:rFonts w:ascii="Arial" w:eastAsia="Arial" w:hAnsi="Arial" w:cs="Arial"/>
          <w:color w:val="000000" w:themeColor="text1"/>
          <w:lang w:val="es-MX"/>
        </w:rPr>
        <w:t>subsanabilidad</w:t>
      </w:r>
      <w:proofErr w:type="spellEnd"/>
      <w:r w:rsidRPr="1548CBE8">
        <w:rPr>
          <w:rFonts w:ascii="Arial" w:eastAsia="Arial" w:hAnsi="Arial" w:cs="Arial"/>
          <w:color w:val="000000" w:themeColor="text1"/>
          <w:lang w:val="es-MX"/>
        </w:rPr>
        <w:t xml:space="preserve">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diferentes.13</w:t>
      </w:r>
      <w:r>
        <w:rPr>
          <w:rFonts w:ascii="Arial" w:eastAsia="Arial" w:hAnsi="Arial" w:cs="Arial"/>
          <w:color w:val="000000" w:themeColor="text1"/>
          <w:lang w:val="es-MX"/>
        </w:rPr>
        <w:t>”</w:t>
      </w:r>
    </w:p>
    <w:p w14:paraId="59C7A05E" w14:textId="77777777" w:rsidR="00D43FFE" w:rsidRDefault="00D43FFE" w:rsidP="00D43FFE">
      <w:pPr>
        <w:spacing w:after="0" w:line="276" w:lineRule="auto"/>
        <w:ind w:left="709" w:right="709"/>
        <w:jc w:val="both"/>
        <w:rPr>
          <w:rFonts w:ascii="Arial" w:eastAsia="Arial" w:hAnsi="Arial" w:cs="Arial"/>
          <w:color w:val="000000" w:themeColor="text1"/>
          <w:sz w:val="21"/>
          <w:szCs w:val="21"/>
        </w:rPr>
      </w:pPr>
    </w:p>
    <w:p w14:paraId="5A602A83" w14:textId="77777777" w:rsidR="00D43FFE" w:rsidRDefault="00D43FFE" w:rsidP="00D43FFE">
      <w:pPr>
        <w:spacing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De tal forma que, tal y como lo expresó la alta Corporación, aclarar una oferta no puede implicar su alteración sustancial o mejoría de sus componentes, sino limitarse a disipar lo que </w:t>
      </w:r>
      <w:r w:rsidRPr="1548CBE8">
        <w:rPr>
          <w:rFonts w:ascii="Arial" w:eastAsia="Arial" w:hAnsi="Arial" w:cs="Arial"/>
          <w:color w:val="000000" w:themeColor="text1"/>
          <w:lang w:val="es-MX"/>
        </w:rPr>
        <w:lastRenderedPageBreak/>
        <w:t xml:space="preserve">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w:t>
      </w:r>
    </w:p>
    <w:p w14:paraId="364BC0CD" w14:textId="77777777" w:rsidR="00D43FFE" w:rsidRPr="00EB5ABF" w:rsidRDefault="00D43FFE" w:rsidP="00D43FFE">
      <w:pPr>
        <w:spacing w:before="120" w:after="0" w:line="276" w:lineRule="auto"/>
        <w:ind w:firstLine="709"/>
        <w:jc w:val="both"/>
        <w:rPr>
          <w:rFonts w:ascii="Arial" w:eastAsia="Arial" w:hAnsi="Arial" w:cs="Arial"/>
          <w:i/>
          <w:iCs/>
          <w:color w:val="000000" w:themeColor="text1"/>
          <w:vertAlign w:val="superscript"/>
          <w:lang w:val="es-MX"/>
        </w:rPr>
      </w:pPr>
      <w:r>
        <w:rPr>
          <w:rFonts w:ascii="Arial" w:eastAsia="Arial" w:hAnsi="Arial" w:cs="Arial"/>
          <w:color w:val="000000" w:themeColor="text1"/>
          <w:lang w:val="es-MX"/>
        </w:rPr>
        <w:t>Por otro lado</w:t>
      </w:r>
      <w:r w:rsidRPr="1548CBE8">
        <w:rPr>
          <w:rFonts w:ascii="Arial" w:eastAsia="Arial" w:hAnsi="Arial" w:cs="Arial"/>
          <w:color w:val="000000" w:themeColor="text1"/>
          <w:lang w:val="es-MX"/>
        </w:rPr>
        <w:t>, como dispone el artículo 30.7 de la Ley 80 de 1993, la aclaración de las propuestas se realiza durante la evaluación de estas, pues es necesario esclarecer los aspectos dudosos de las ofertas antes de la adjudicación</w:t>
      </w:r>
      <w:r w:rsidRPr="1548CBE8">
        <w:rPr>
          <w:rFonts w:ascii="Calibri" w:eastAsia="Calibri" w:hAnsi="Calibri" w:cs="Calibri"/>
          <w:color w:val="000000" w:themeColor="text1"/>
          <w:vertAlign w:val="superscript"/>
          <w:lang w:val="es-MX"/>
        </w:rPr>
        <w:t>14</w:t>
      </w:r>
      <w:r w:rsidRPr="1548CBE8">
        <w:rPr>
          <w:rFonts w:ascii="Arial" w:eastAsia="Arial" w:hAnsi="Arial" w:cs="Arial"/>
          <w:color w:val="000000" w:themeColor="text1"/>
          <w:lang w:val="es-MX"/>
        </w:rPr>
        <w:t xml:space="preserve">. Por ello, la jurisprudencia también explica que </w:t>
      </w:r>
      <w:r>
        <w:rPr>
          <w:rFonts w:ascii="Arial" w:eastAsia="Arial" w:hAnsi="Arial" w:cs="Arial"/>
          <w:i/>
          <w:iCs/>
          <w:color w:val="000000" w:themeColor="text1"/>
          <w:lang w:val="es-MX"/>
        </w:rPr>
        <w:t>“</w:t>
      </w:r>
      <w:r w:rsidRPr="1548CBE8">
        <w:rPr>
          <w:rFonts w:ascii="Arial" w:eastAsia="Arial" w:hAnsi="Arial" w:cs="Arial"/>
          <w:i/>
          <w:iCs/>
          <w:color w:val="000000" w:themeColor="text1"/>
          <w:lang w:val="es-MX"/>
        </w:rPr>
        <w:t>[…] el proponente debe acogerse al tiempo que le otorga la administración para subsanar o aclarar la oferta, lapso que la entidad no puede extender más allá de la adjudicación […]</w:t>
      </w:r>
      <w:r>
        <w:rPr>
          <w:rFonts w:ascii="Arial" w:eastAsia="Arial" w:hAnsi="Arial" w:cs="Arial"/>
          <w:i/>
          <w:iCs/>
          <w:color w:val="000000" w:themeColor="text1"/>
          <w:lang w:val="es-MX"/>
        </w:rPr>
        <w:t>”</w:t>
      </w:r>
      <w:r w:rsidRPr="1548CBE8">
        <w:rPr>
          <w:rFonts w:ascii="Arial" w:eastAsia="Arial" w:hAnsi="Arial" w:cs="Arial"/>
          <w:i/>
          <w:iCs/>
          <w:color w:val="000000" w:themeColor="text1"/>
          <w:vertAlign w:val="superscript"/>
          <w:lang w:val="es-MX"/>
        </w:rPr>
        <w:t>15</w:t>
      </w:r>
      <w:r w:rsidRPr="1548CBE8">
        <w:rPr>
          <w:rFonts w:ascii="Arial" w:eastAsia="Arial" w:hAnsi="Arial" w:cs="Arial"/>
          <w:i/>
          <w:iCs/>
          <w:color w:val="000000" w:themeColor="text1"/>
          <w:lang w:val="es-MX"/>
        </w:rPr>
        <w:t>.</w:t>
      </w:r>
      <w:r w:rsidRPr="1548CBE8">
        <w:rPr>
          <w:rFonts w:ascii="Arial" w:eastAsia="Arial" w:hAnsi="Arial" w:cs="Arial"/>
          <w:color w:val="000000" w:themeColor="text1"/>
          <w:lang w:val="es-MX"/>
        </w:rPr>
        <w:t xml:space="preserve"> De esta manera, </w:t>
      </w:r>
      <w:r>
        <w:rPr>
          <w:rFonts w:ascii="Arial" w:eastAsia="Arial" w:hAnsi="Arial" w:cs="Arial"/>
          <w:color w:val="000000" w:themeColor="text1"/>
          <w:lang w:val="es-MX"/>
        </w:rPr>
        <w:t>“</w:t>
      </w:r>
      <w:r w:rsidRPr="1548CBE8">
        <w:rPr>
          <w:rFonts w:ascii="Arial" w:eastAsia="Arial" w:hAnsi="Arial" w:cs="Arial"/>
          <w:i/>
          <w:iCs/>
          <w:color w:val="000000" w:themeColor="text1"/>
          <w:lang w:val="es-MX"/>
        </w:rPr>
        <w:t>lo ideal en un proceso de selección es que las aclaraciones y explicaciones se anticipen y soliciten durante la etapa de evaluación, lo más pronto posible, es decir, antes de que la entidad elabore el informe respectivo, de tal manera que las tenga en cuenta para producir ese acto administrativo</w:t>
      </w:r>
      <w:r>
        <w:rPr>
          <w:rFonts w:ascii="Arial" w:eastAsia="Arial" w:hAnsi="Arial" w:cs="Arial"/>
          <w:i/>
          <w:iCs/>
          <w:color w:val="000000" w:themeColor="text1"/>
          <w:lang w:val="es-MX"/>
        </w:rPr>
        <w:t>”</w:t>
      </w:r>
      <w:r w:rsidRPr="1548CBE8">
        <w:rPr>
          <w:rFonts w:ascii="Arial" w:eastAsia="Arial" w:hAnsi="Arial" w:cs="Arial"/>
          <w:i/>
          <w:iCs/>
          <w:color w:val="000000" w:themeColor="text1"/>
          <w:lang w:val="es-MX"/>
        </w:rPr>
        <w:t>.</w:t>
      </w:r>
      <w:r w:rsidRPr="1548CBE8">
        <w:rPr>
          <w:rFonts w:ascii="Arial" w:eastAsia="Arial" w:hAnsi="Arial" w:cs="Arial"/>
          <w:i/>
          <w:iCs/>
          <w:color w:val="000000" w:themeColor="text1"/>
          <w:vertAlign w:val="superscript"/>
          <w:lang w:val="es-MX"/>
        </w:rPr>
        <w:t>16</w:t>
      </w:r>
      <w:bookmarkEnd w:id="6"/>
    </w:p>
    <w:p w14:paraId="133050D1" w14:textId="77777777" w:rsidR="00D43FFE" w:rsidRPr="00701DEE" w:rsidRDefault="00D43FFE" w:rsidP="00D43FFE">
      <w:pPr>
        <w:spacing w:before="120" w:after="0" w:line="276" w:lineRule="auto"/>
        <w:jc w:val="both"/>
        <w:rPr>
          <w:rFonts w:ascii="Arial" w:eastAsia="Times New Roman" w:hAnsi="Arial" w:cs="Arial"/>
          <w:b/>
          <w:bCs/>
          <w:shd w:val="clear" w:color="auto" w:fill="FFFFFF"/>
          <w:lang w:val="es-ES_tradnl" w:eastAsia="es-ES_tradnl"/>
        </w:rPr>
      </w:pPr>
      <w:r w:rsidRPr="00701DEE">
        <w:rPr>
          <w:rFonts w:ascii="Arial" w:eastAsia="Times New Roman" w:hAnsi="Arial" w:cs="Arial"/>
          <w:b/>
          <w:bCs/>
          <w:shd w:val="clear" w:color="auto" w:fill="FFFFFF"/>
          <w:lang w:val="es-ES_tradnl" w:eastAsia="es-ES_tradnl"/>
        </w:rPr>
        <w:t>2.</w:t>
      </w:r>
      <w:r>
        <w:rPr>
          <w:rFonts w:ascii="Arial" w:eastAsia="Times New Roman" w:hAnsi="Arial" w:cs="Arial"/>
          <w:b/>
          <w:bCs/>
          <w:shd w:val="clear" w:color="auto" w:fill="FFFFFF"/>
          <w:lang w:val="es-ES_tradnl" w:eastAsia="es-ES_tradnl"/>
        </w:rPr>
        <w:t>5</w:t>
      </w:r>
      <w:r w:rsidRPr="00701DEE">
        <w:rPr>
          <w:rFonts w:ascii="Arial" w:eastAsia="Times New Roman" w:hAnsi="Arial" w:cs="Arial"/>
          <w:b/>
          <w:bCs/>
          <w:shd w:val="clear" w:color="auto" w:fill="FFFFFF"/>
          <w:lang w:val="es-ES_tradnl" w:eastAsia="es-ES_tradnl"/>
        </w:rPr>
        <w:t xml:space="preserve">. </w:t>
      </w:r>
      <w:r>
        <w:rPr>
          <w:rFonts w:ascii="Arial" w:eastAsia="Times New Roman" w:hAnsi="Arial" w:cs="Arial"/>
          <w:b/>
          <w:bCs/>
          <w:shd w:val="clear" w:color="auto" w:fill="FFFFFF"/>
          <w:lang w:val="es-ES_tradnl" w:eastAsia="es-ES_tradnl"/>
        </w:rPr>
        <w:t>M</w:t>
      </w:r>
      <w:r w:rsidRPr="001E43F5">
        <w:rPr>
          <w:rFonts w:ascii="Arial" w:eastAsia="Times New Roman" w:hAnsi="Arial" w:cs="Arial"/>
          <w:b/>
          <w:bCs/>
          <w:shd w:val="clear" w:color="auto" w:fill="FFFFFF"/>
          <w:lang w:val="es-ES_tradnl" w:eastAsia="es-ES_tradnl"/>
        </w:rPr>
        <w:t>odalidad de concurso de méritos para la contratación de la interventoría de obra pública de infraestructura de transporte, regulad</w:t>
      </w:r>
      <w:r>
        <w:rPr>
          <w:rFonts w:ascii="Arial" w:eastAsia="Times New Roman" w:hAnsi="Arial" w:cs="Arial"/>
          <w:b/>
          <w:bCs/>
          <w:shd w:val="clear" w:color="auto" w:fill="FFFFFF"/>
          <w:lang w:val="es-ES_tradnl" w:eastAsia="es-ES_tradnl"/>
        </w:rPr>
        <w:t>a</w:t>
      </w:r>
      <w:r w:rsidRPr="001E43F5">
        <w:rPr>
          <w:rFonts w:ascii="Arial" w:eastAsia="Times New Roman" w:hAnsi="Arial" w:cs="Arial"/>
          <w:b/>
          <w:bCs/>
          <w:shd w:val="clear" w:color="auto" w:fill="FFFFFF"/>
          <w:lang w:val="es-ES_tradnl" w:eastAsia="es-ES_tradnl"/>
        </w:rPr>
        <w:t xml:space="preserve"> en los documentos tipo vigentes</w:t>
      </w:r>
      <w:r>
        <w:rPr>
          <w:rFonts w:ascii="Arial" w:eastAsia="Times New Roman" w:hAnsi="Arial" w:cs="Arial"/>
          <w:b/>
          <w:bCs/>
          <w:shd w:val="clear" w:color="auto" w:fill="FFFFFF"/>
          <w:lang w:val="es-ES_tradnl" w:eastAsia="es-ES_tradnl"/>
        </w:rPr>
        <w:t>: el concurso de méritos abierto sin precalificación</w:t>
      </w:r>
    </w:p>
    <w:p w14:paraId="3F991B52" w14:textId="77777777" w:rsidR="00D43FFE" w:rsidRPr="00701DEE" w:rsidRDefault="00D43FFE" w:rsidP="00D43FFE">
      <w:pPr>
        <w:spacing w:after="0" w:line="276" w:lineRule="auto"/>
        <w:jc w:val="both"/>
        <w:rPr>
          <w:rFonts w:ascii="Arial" w:eastAsia="Times New Roman" w:hAnsi="Arial" w:cs="Arial"/>
          <w:szCs w:val="24"/>
          <w:lang w:val="es-ES_tradnl" w:eastAsia="es-ES_tradnl"/>
        </w:rPr>
      </w:pPr>
    </w:p>
    <w:p w14:paraId="6FB9F7DF" w14:textId="77777777" w:rsidR="00D43FFE" w:rsidRDefault="00D43FFE" w:rsidP="00D43FFE">
      <w:pPr>
        <w:spacing w:after="0" w:line="276" w:lineRule="auto"/>
        <w:jc w:val="both"/>
        <w:rPr>
          <w:rFonts w:ascii="Arial" w:eastAsia="Calibri" w:hAnsi="Arial" w:cs="Arial"/>
          <w:color w:val="000000"/>
          <w:lang w:val="es-ES_tradnl" w:eastAsia="es-ES"/>
        </w:rPr>
      </w:pPr>
      <w:r>
        <w:rPr>
          <w:rFonts w:ascii="Arial" w:eastAsia="Times New Roman" w:hAnsi="Arial" w:cs="Arial"/>
          <w:szCs w:val="24"/>
          <w:lang w:val="es-ES_tradnl" w:eastAsia="es-ES_tradnl"/>
        </w:rPr>
        <w:t>Como se indicó, e</w:t>
      </w:r>
      <w:r w:rsidRPr="00701DEE">
        <w:rPr>
          <w:rFonts w:ascii="Arial" w:eastAsia="Times New Roman" w:hAnsi="Arial" w:cs="Arial"/>
          <w:szCs w:val="24"/>
          <w:lang w:val="es-ES_tradnl" w:eastAsia="es-ES_tradnl"/>
        </w:rPr>
        <w:t>n ejercicio de la competencia del artículo 1 de la Ley 2022 de 2020, la Agencia Nacional de Contratación Pública – Colombia Compra Eficiente expidió la Resolución No. 256 del 11 de diciembre de 2020, «Por la cual se adoptan los documentos tipo para los procesos de selección de concurso de méritos, para contratar la interventoría de obras públicas de infraestructura de transporte». El artículo 5 de dicha Resolución dispuso que los documentos tipo que adoptó se deben aplicar «a los procedimientos de selección cuyo aviso de convocatoria se publique el 1 de enero de 2021 o en una fecha posterior».</w:t>
      </w:r>
      <w:r>
        <w:rPr>
          <w:rFonts w:ascii="Arial" w:eastAsia="Times New Roman" w:hAnsi="Arial" w:cs="Arial"/>
          <w:szCs w:val="24"/>
          <w:lang w:val="es-ES_tradnl" w:eastAsia="es-ES_tradnl"/>
        </w:rPr>
        <w:t xml:space="preserve"> </w:t>
      </w:r>
      <w:r>
        <w:rPr>
          <w:rFonts w:ascii="Arial" w:eastAsia="Calibri" w:hAnsi="Arial" w:cs="Arial"/>
          <w:color w:val="000000"/>
          <w:lang w:val="es-ES_tradnl" w:eastAsia="es-ES"/>
        </w:rPr>
        <w:t>Posteriormente, se profirió la Resolución No. 326 del 22 de julio de 2022, «Por la cual se actualizan los documentos tipo para los procesos de contratación de concurso de méritos para contratar la interventoría de obras públicas de infraestructura de transporte y se deroga la Resolución 256 de 2020».</w:t>
      </w:r>
    </w:p>
    <w:p w14:paraId="4C67131B" w14:textId="77777777" w:rsidR="00D43FFE" w:rsidRDefault="00D43FFE" w:rsidP="00D43FFE">
      <w:pPr>
        <w:spacing w:before="120" w:after="0" w:line="276" w:lineRule="auto"/>
        <w:ind w:firstLine="709"/>
        <w:jc w:val="both"/>
        <w:rPr>
          <w:rFonts w:ascii="Arial" w:eastAsia="Calibri" w:hAnsi="Arial" w:cs="Arial"/>
          <w:color w:val="000000"/>
          <w:lang w:val="es-ES_tradnl" w:eastAsia="es-ES"/>
        </w:rPr>
      </w:pPr>
      <w:r>
        <w:rPr>
          <w:rFonts w:ascii="Arial" w:eastAsia="Calibri" w:hAnsi="Arial" w:cs="Arial"/>
          <w:color w:val="000000"/>
          <w:lang w:val="es-ES_tradnl" w:eastAsia="es-ES"/>
        </w:rPr>
        <w:t>Ahora bien, en la consulta se pregunta si las entidades estatales pueden efectuar una precalificación cuando requieran contratar la interventoría para la obra pública de infraestructura de transporte mediante concurso de méritos; es decir, cuando el procedimiento de selección ingrese en el ámbito de aplicación de los documentos tipo vigentes en virtud de la Resolución No. 326 de 2022. Al respecto, conviene precisar que si bien los artículos</w:t>
      </w:r>
      <w:r w:rsidRPr="00C10E12">
        <w:t xml:space="preserve"> </w:t>
      </w:r>
      <w:r w:rsidRPr="00C10E12">
        <w:rPr>
          <w:rFonts w:ascii="Arial" w:eastAsia="Calibri" w:hAnsi="Arial" w:cs="Arial"/>
          <w:color w:val="000000"/>
          <w:lang w:val="es-ES_tradnl" w:eastAsia="es-ES"/>
        </w:rPr>
        <w:t>2.2.1.2.1.3.3.</w:t>
      </w:r>
      <w:r>
        <w:rPr>
          <w:rFonts w:ascii="Arial" w:eastAsia="Calibri" w:hAnsi="Arial" w:cs="Arial"/>
          <w:color w:val="000000"/>
          <w:lang w:val="es-ES_tradnl" w:eastAsia="es-ES"/>
        </w:rPr>
        <w:t xml:space="preserve"> al </w:t>
      </w:r>
      <w:r w:rsidRPr="00C10E12">
        <w:rPr>
          <w:rFonts w:ascii="Arial" w:eastAsia="Calibri" w:hAnsi="Arial" w:cs="Arial"/>
          <w:color w:val="000000"/>
          <w:lang w:val="es-ES_tradnl" w:eastAsia="es-ES"/>
        </w:rPr>
        <w:t>2.2.1.2.1.3.7.</w:t>
      </w:r>
      <w:r>
        <w:rPr>
          <w:rFonts w:ascii="Arial" w:eastAsia="Calibri" w:hAnsi="Arial" w:cs="Arial"/>
          <w:color w:val="000000"/>
          <w:lang w:val="es-ES_tradnl" w:eastAsia="es-ES"/>
        </w:rPr>
        <w:t xml:space="preserve"> del Decreto 1082 de 2015 permiten, </w:t>
      </w:r>
      <w:r w:rsidRPr="001B7663">
        <w:rPr>
          <w:rFonts w:ascii="Arial" w:eastAsia="Calibri" w:hAnsi="Arial" w:cs="Arial"/>
          <w:i/>
          <w:iCs/>
          <w:color w:val="000000"/>
          <w:lang w:val="es-ES_tradnl" w:eastAsia="es-ES"/>
        </w:rPr>
        <w:t>por regla general</w:t>
      </w:r>
      <w:r>
        <w:rPr>
          <w:rFonts w:ascii="Arial" w:eastAsia="Calibri" w:hAnsi="Arial" w:cs="Arial"/>
          <w:color w:val="000000"/>
          <w:lang w:val="es-ES_tradnl" w:eastAsia="es-ES"/>
        </w:rPr>
        <w:t xml:space="preserve">, que las entidades estatales efectúen una </w:t>
      </w:r>
      <w:r w:rsidRPr="001B7663">
        <w:rPr>
          <w:rFonts w:ascii="Arial" w:eastAsia="Calibri" w:hAnsi="Arial" w:cs="Arial"/>
          <w:i/>
          <w:iCs/>
          <w:color w:val="000000"/>
          <w:lang w:val="es-ES_tradnl" w:eastAsia="es-ES"/>
        </w:rPr>
        <w:t>precalificación</w:t>
      </w:r>
      <w:r>
        <w:rPr>
          <w:rFonts w:ascii="Arial" w:eastAsia="Calibri" w:hAnsi="Arial" w:cs="Arial"/>
          <w:color w:val="000000"/>
          <w:lang w:val="es-ES_tradnl" w:eastAsia="es-ES"/>
        </w:rPr>
        <w:t xml:space="preserve"> en la etapa de planeación del concurso de méritos, cuando lo consideren pertinente debido a la complejidad de la consultoría, los documentos tipo vigentes para contratar </w:t>
      </w:r>
      <w:r>
        <w:rPr>
          <w:rFonts w:ascii="Arial" w:eastAsia="Calibri" w:hAnsi="Arial" w:cs="Arial"/>
          <w:color w:val="000000"/>
          <w:lang w:val="es-ES_tradnl" w:eastAsia="es-ES"/>
        </w:rPr>
        <w:lastRenderedPageBreak/>
        <w:t xml:space="preserve">la interventoría de obras públicas de infraestructura de transporte </w:t>
      </w:r>
      <w:r>
        <w:rPr>
          <w:rFonts w:ascii="Arial" w:eastAsia="Calibri" w:hAnsi="Arial" w:cs="Arial"/>
          <w:i/>
          <w:iCs/>
          <w:color w:val="000000"/>
          <w:lang w:val="es-ES_tradnl" w:eastAsia="es-ES"/>
        </w:rPr>
        <w:t xml:space="preserve">solo </w:t>
      </w:r>
      <w:r>
        <w:rPr>
          <w:rFonts w:ascii="Arial" w:eastAsia="Calibri" w:hAnsi="Arial" w:cs="Arial"/>
          <w:color w:val="000000"/>
          <w:lang w:val="es-ES_tradnl" w:eastAsia="es-ES"/>
        </w:rPr>
        <w:t xml:space="preserve">permiten efectuar un concurso de méritos </w:t>
      </w:r>
      <w:r w:rsidRPr="008616AD">
        <w:rPr>
          <w:rFonts w:ascii="Arial" w:eastAsia="Calibri" w:hAnsi="Arial" w:cs="Arial"/>
          <w:i/>
          <w:iCs/>
          <w:color w:val="000000"/>
          <w:lang w:val="es-ES_tradnl" w:eastAsia="es-ES"/>
        </w:rPr>
        <w:t>abierto sin precalificación</w:t>
      </w:r>
      <w:r>
        <w:rPr>
          <w:rFonts w:ascii="Arial" w:eastAsia="Calibri" w:hAnsi="Arial" w:cs="Arial"/>
          <w:color w:val="000000"/>
          <w:lang w:val="es-ES_tradnl" w:eastAsia="es-ES"/>
        </w:rPr>
        <w:t xml:space="preserve">. </w:t>
      </w:r>
    </w:p>
    <w:p w14:paraId="2954DEA2" w14:textId="77777777" w:rsidR="00D43FFE" w:rsidRDefault="00D43FFE" w:rsidP="00D43FFE">
      <w:pPr>
        <w:spacing w:before="120" w:after="0" w:line="276" w:lineRule="auto"/>
        <w:ind w:firstLine="709"/>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En efecto, en la versión 2 de los documentos tipo para esta modalidad de selección adoptada mediante la Resolución No. 326 del 22 de julio de 2022, la Agencia Nacional de Contratación Pública – Colombia Compra Eficiente </w:t>
      </w:r>
      <w:r w:rsidRPr="00C27A93">
        <w:rPr>
          <w:rFonts w:ascii="Arial" w:eastAsia="Calibri" w:hAnsi="Arial" w:cs="Arial"/>
          <w:i/>
          <w:iCs/>
          <w:color w:val="000000"/>
          <w:lang w:val="es-ES_tradnl" w:eastAsia="es-ES"/>
        </w:rPr>
        <w:t>estandarizó</w:t>
      </w:r>
      <w:r>
        <w:rPr>
          <w:rFonts w:ascii="Arial" w:eastAsia="Calibri" w:hAnsi="Arial" w:cs="Arial"/>
          <w:color w:val="000000"/>
          <w:lang w:val="es-ES_tradnl" w:eastAsia="es-ES"/>
        </w:rPr>
        <w:t xml:space="preserve"> las condiciones para desarrollar el procedimiento del concurso de méritos abierto, sin incluir la precalificación. Si se observan las etapas, el cronograma, los requisitos habilitantes, la forma de evaluación, y, en general, la estructura de los documentos tipo para los procesos de contratación de concurso de méritos para contratar la interventoría de obras públicas de infraestructura de transporte, se puede advertir que la Agencia, en ejercicio de la competencia conferida por el artículo 1 de la Ley 2022 de 2022, optó por no contemplar dentro de este procedimiento de selección la etapa previa de la precalificación. Esto no obsta para que la Agencia, en desarrollos futuros de los documentos considere también incluir esta posibilidad. Pero hasta que ello suceda las entidades estatales deben adecuar el trámite de sus procedimientos de selección a lo que establecen los documentos tipo vigentes, cuando estos les resulten aplicables.</w:t>
      </w:r>
    </w:p>
    <w:p w14:paraId="37EDAEF0" w14:textId="77777777" w:rsidR="00D43FFE" w:rsidRDefault="00D43FFE" w:rsidP="00D43FFE">
      <w:pPr>
        <w:spacing w:before="120" w:after="0" w:line="276" w:lineRule="auto"/>
        <w:ind w:firstLine="709"/>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Lo anterior se deriva de la regla de la </w:t>
      </w:r>
      <w:r>
        <w:rPr>
          <w:rFonts w:ascii="Arial" w:eastAsia="Calibri" w:hAnsi="Arial" w:cs="Arial"/>
          <w:i/>
          <w:iCs/>
          <w:color w:val="000000"/>
          <w:lang w:val="es-ES_tradnl" w:eastAsia="es-ES"/>
        </w:rPr>
        <w:t>inalterabilidad</w:t>
      </w:r>
      <w:r>
        <w:rPr>
          <w:rFonts w:ascii="Arial" w:eastAsia="Calibri" w:hAnsi="Arial" w:cs="Arial"/>
          <w:color w:val="000000"/>
          <w:lang w:val="es-ES_tradnl" w:eastAsia="es-ES"/>
        </w:rPr>
        <w:t xml:space="preserve">, que, como se indicó, no solo tiene fundamento en la Ley 2022 de 2020, sino, además, en las resoluciones mediante las cuales se han adoptado los documentos tipo. Concretamente, tratándose de los documentos tipo para los procesos de contratación de concurso de méritos para contratar la interventoría de obras públicas de infraestructura de transporte, el artículo 2 de la Resolución No. 326 del 22 de julio de 2022 establece que «De conformidad con el artículo 1º de la Ley 2022 de 2020, los documentos tipo son obligatorios en la actividad contractual de las entidades estatales sometidas al Estatuto General de Contratación de la Administración Pública. En consecuencia, las entidades estatales al adelantar sus procesos de contratación </w:t>
      </w:r>
      <w:r w:rsidRPr="006000E9">
        <w:rPr>
          <w:rFonts w:ascii="Arial" w:eastAsia="Calibri" w:hAnsi="Arial" w:cs="Arial"/>
          <w:i/>
          <w:iCs/>
          <w:color w:val="000000"/>
          <w:lang w:val="es-ES_tradnl" w:eastAsia="es-ES"/>
        </w:rPr>
        <w:t>solo podrán modificar los aspectos que los documentos tipo lo permitan</w:t>
      </w:r>
      <w:r>
        <w:rPr>
          <w:rFonts w:ascii="Arial" w:eastAsia="Calibri" w:hAnsi="Arial" w:cs="Arial"/>
          <w:color w:val="000000"/>
          <w:lang w:val="es-ES_tradnl" w:eastAsia="es-ES"/>
        </w:rPr>
        <w:t>» (énfasis fuera de texto).</w:t>
      </w:r>
    </w:p>
    <w:p w14:paraId="345D0EF8" w14:textId="77777777" w:rsidR="00D43FFE" w:rsidRPr="0085777D" w:rsidRDefault="00D43FFE" w:rsidP="00D43FFE">
      <w:pPr>
        <w:spacing w:before="120" w:after="0" w:line="276" w:lineRule="auto"/>
        <w:ind w:firstLine="709"/>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Así pues, como los documentos tipo para los procesos de contratación de concurso de méritos para contratar la interventoría de obras públicas de infraestructura de transporte, adoptados por la Resolución No. 326 del 22 de julio de 2022, </w:t>
      </w:r>
      <w:r>
        <w:rPr>
          <w:rFonts w:ascii="Arial" w:eastAsia="Calibri" w:hAnsi="Arial" w:cs="Arial"/>
          <w:i/>
          <w:iCs/>
          <w:color w:val="000000"/>
          <w:lang w:val="es-ES_tradnl" w:eastAsia="es-ES"/>
        </w:rPr>
        <w:t>no permiten expresamente</w:t>
      </w:r>
      <w:r>
        <w:rPr>
          <w:rFonts w:ascii="Arial" w:eastAsia="Calibri" w:hAnsi="Arial" w:cs="Arial"/>
          <w:color w:val="000000"/>
          <w:lang w:val="es-ES_tradnl" w:eastAsia="es-ES"/>
        </w:rPr>
        <w:t xml:space="preserve"> que las entidades estatales modifiquen el procedimiento de selección allí estandarizado para introducir el trámite de la precalificación, debe aplicarse la regla de la inalterabilidad, para concluir que el concurso de méritos se debe efectuar de forma abierta, sin precalificación.</w:t>
      </w:r>
    </w:p>
    <w:p w14:paraId="71141B81" w14:textId="77777777" w:rsidR="00D43FFE" w:rsidRPr="0011000B" w:rsidRDefault="00D43FFE" w:rsidP="00D43FFE">
      <w:pPr>
        <w:widowControl w:val="0"/>
        <w:autoSpaceDE w:val="0"/>
        <w:autoSpaceDN w:val="0"/>
        <w:spacing w:after="0" w:line="276" w:lineRule="auto"/>
        <w:jc w:val="both"/>
        <w:rPr>
          <w:rFonts w:ascii="Arial" w:eastAsia="Arial" w:hAnsi="Arial" w:cs="Arial"/>
          <w:b/>
          <w:bCs/>
          <w:lang w:val="es-ES_tradnl" w:eastAsia="es-ES" w:bidi="es-ES"/>
        </w:rPr>
      </w:pPr>
    </w:p>
    <w:p w14:paraId="2B7014C8" w14:textId="77777777" w:rsidR="00D43FFE" w:rsidRDefault="00D43FFE" w:rsidP="00D43FFE">
      <w:pPr>
        <w:widowControl w:val="0"/>
        <w:autoSpaceDE w:val="0"/>
        <w:autoSpaceDN w:val="0"/>
        <w:spacing w:after="0" w:line="276" w:lineRule="auto"/>
        <w:jc w:val="both"/>
        <w:rPr>
          <w:rFonts w:ascii="Arial" w:eastAsia="Arial" w:hAnsi="Arial" w:cs="Arial"/>
          <w:b/>
          <w:bCs/>
          <w:lang w:eastAsia="es-ES" w:bidi="es-ES"/>
        </w:rPr>
      </w:pPr>
      <w:r>
        <w:rPr>
          <w:rFonts w:ascii="Arial" w:eastAsia="Arial" w:hAnsi="Arial" w:cs="Arial"/>
          <w:b/>
          <w:bCs/>
          <w:lang w:eastAsia="es-ES" w:bidi="es-ES"/>
        </w:rPr>
        <w:t>3.Respuesta</w:t>
      </w:r>
    </w:p>
    <w:p w14:paraId="05DA0C4F" w14:textId="77777777" w:rsidR="00D43FFE" w:rsidRDefault="00D43FFE" w:rsidP="00D43FFE">
      <w:pPr>
        <w:widowControl w:val="0"/>
        <w:autoSpaceDE w:val="0"/>
        <w:autoSpaceDN w:val="0"/>
        <w:spacing w:after="0" w:line="276" w:lineRule="auto"/>
        <w:jc w:val="both"/>
        <w:rPr>
          <w:rFonts w:ascii="Arial" w:eastAsia="Arial" w:hAnsi="Arial" w:cs="Arial"/>
          <w:b/>
          <w:bCs/>
          <w:lang w:eastAsia="es-ES" w:bidi="es-ES"/>
        </w:rPr>
      </w:pPr>
    </w:p>
    <w:p w14:paraId="1916E966" w14:textId="77777777" w:rsidR="00D43FFE" w:rsidRPr="00DD2C57" w:rsidRDefault="00D43FFE" w:rsidP="00D43FFE">
      <w:pPr>
        <w:spacing w:after="0" w:line="240" w:lineRule="auto"/>
        <w:ind w:left="567" w:right="615"/>
        <w:jc w:val="both"/>
        <w:rPr>
          <w:rFonts w:ascii="Arial" w:hAnsi="Arial" w:cs="Arial"/>
          <w:color w:val="000000" w:themeColor="text1"/>
          <w:sz w:val="21"/>
          <w:szCs w:val="21"/>
        </w:rPr>
      </w:pPr>
      <w:r>
        <w:rPr>
          <w:rFonts w:ascii="Arial" w:hAnsi="Arial" w:cs="Arial"/>
          <w:color w:val="000000" w:themeColor="text1"/>
          <w:sz w:val="21"/>
          <w:szCs w:val="21"/>
        </w:rPr>
        <w:t>“</w:t>
      </w:r>
      <w:r w:rsidRPr="00DD2C57">
        <w:rPr>
          <w:rFonts w:ascii="Arial" w:hAnsi="Arial" w:cs="Arial"/>
          <w:color w:val="000000" w:themeColor="text1"/>
          <w:sz w:val="21"/>
          <w:szCs w:val="21"/>
        </w:rPr>
        <w:t xml:space="preserve">En un proceso para una consultoría de transporte, un proponente plural conformado por dos o más integrantes, con porcentajes de participación donde según lo establecido en el pliego tipo, todos requieren acreditar experiencia dentro de la propuesta, pero uno de ellos, aunque presenta en debida forma los documentos donde se evidencia que cumple con la experiencia requerida, aporta su RUP con fecha de expedición mayor a 30 días </w:t>
      </w:r>
      <w:r w:rsidRPr="00DD2C57">
        <w:rPr>
          <w:rFonts w:ascii="Arial" w:hAnsi="Arial" w:cs="Arial"/>
          <w:color w:val="000000" w:themeColor="text1"/>
          <w:sz w:val="21"/>
          <w:szCs w:val="21"/>
        </w:rPr>
        <w:lastRenderedPageBreak/>
        <w:t xml:space="preserve">con respecto al momento del cierre del proceso; mientras los otros integrantes, aportan en debida forma, tanto los documentos para acreditar la experiencia, como su RUP se encuentra expedido dentro del plazo señalado en el pliego tipo. </w:t>
      </w:r>
    </w:p>
    <w:p w14:paraId="1F04B876" w14:textId="77777777" w:rsidR="00D43FFE" w:rsidRPr="00DD2C57" w:rsidRDefault="00D43FFE" w:rsidP="00D43FFE">
      <w:pPr>
        <w:spacing w:after="0" w:line="240" w:lineRule="auto"/>
        <w:ind w:left="567" w:right="615"/>
        <w:jc w:val="both"/>
        <w:rPr>
          <w:rFonts w:ascii="Arial" w:hAnsi="Arial" w:cs="Arial"/>
          <w:color w:val="000000" w:themeColor="text1"/>
          <w:sz w:val="21"/>
          <w:szCs w:val="21"/>
        </w:rPr>
      </w:pPr>
    </w:p>
    <w:p w14:paraId="13254882" w14:textId="77777777" w:rsidR="00D43FFE" w:rsidRPr="00DD2C57" w:rsidRDefault="00D43FFE" w:rsidP="00D43FFE">
      <w:pPr>
        <w:spacing w:after="0" w:line="240" w:lineRule="auto"/>
        <w:ind w:left="567" w:right="615"/>
        <w:jc w:val="both"/>
        <w:rPr>
          <w:rFonts w:ascii="Arial" w:hAnsi="Arial" w:cs="Arial"/>
          <w:color w:val="000000" w:themeColor="text1"/>
          <w:sz w:val="21"/>
          <w:szCs w:val="21"/>
        </w:rPr>
      </w:pPr>
      <w:r w:rsidRPr="00DD2C57">
        <w:rPr>
          <w:rFonts w:ascii="Arial" w:hAnsi="Arial" w:cs="Arial"/>
          <w:color w:val="000000" w:themeColor="text1"/>
          <w:sz w:val="21"/>
          <w:szCs w:val="21"/>
        </w:rPr>
        <w:t>De acuerdo con lo anterior y teniendo en cuenta que uno de los integrantes de la figura plural debe subsanar su RUP, ¿implicaría esto que, no se le otorgue puntaje por concepto de FACTOR DE EXPERIENCIA al proponente plural, a pesar que, sus otros integrantes si cumplieron a cabalidad con todas las exigencias del pliego tipo?</w:t>
      </w:r>
    </w:p>
    <w:p w14:paraId="185B5B33" w14:textId="77777777" w:rsidR="00D43FFE" w:rsidRPr="00DD2C57" w:rsidRDefault="00D43FFE" w:rsidP="00D43FFE">
      <w:pPr>
        <w:spacing w:after="0" w:line="240" w:lineRule="auto"/>
        <w:ind w:left="567" w:right="615"/>
        <w:jc w:val="both"/>
        <w:rPr>
          <w:rFonts w:ascii="Arial" w:hAnsi="Arial" w:cs="Arial"/>
          <w:color w:val="000000" w:themeColor="text1"/>
          <w:sz w:val="21"/>
          <w:szCs w:val="21"/>
        </w:rPr>
      </w:pPr>
    </w:p>
    <w:p w14:paraId="03C6814F" w14:textId="257179C9" w:rsidR="00D43FFE" w:rsidRPr="00DD2C57" w:rsidRDefault="00D43FFE" w:rsidP="00D43FFE">
      <w:pPr>
        <w:spacing w:after="0" w:line="240" w:lineRule="auto"/>
        <w:ind w:left="567" w:right="615"/>
        <w:jc w:val="both"/>
        <w:rPr>
          <w:rFonts w:ascii="Arial" w:hAnsi="Arial" w:cs="Arial"/>
          <w:color w:val="000000" w:themeColor="text1"/>
          <w:sz w:val="21"/>
          <w:szCs w:val="21"/>
          <w:lang w:val="es-ES_tradnl"/>
        </w:rPr>
      </w:pPr>
      <w:r w:rsidRPr="00DD2C57">
        <w:rPr>
          <w:rFonts w:ascii="Arial" w:hAnsi="Arial" w:cs="Arial"/>
          <w:color w:val="000000" w:themeColor="text1"/>
          <w:sz w:val="21"/>
          <w:szCs w:val="21"/>
        </w:rPr>
        <w:t>O, por el contrario, ¿Es posible subsanar el RUP del integrante, y con ello acreditar la experiencia del mismo para efectos de habilitación de la propuesta, excluyendo la experiencia derivada del RUP subsanado del promedio de SMMLV objeto de ponderación de la experiencia? Es decir, para efectos de ponderación del FACTOR DE EXPERIENCIA de la propuesta, considerar únicamente la experiencia derivada de los integrantes que no tuvieron requerimiento alguno de subsanación respecto su experiencia</w:t>
      </w:r>
      <w:r>
        <w:rPr>
          <w:rFonts w:ascii="Arial" w:hAnsi="Arial" w:cs="Arial"/>
          <w:color w:val="000000" w:themeColor="text1"/>
          <w:sz w:val="21"/>
          <w:szCs w:val="21"/>
        </w:rPr>
        <w:t>”</w:t>
      </w:r>
      <w:r w:rsidR="00F906BB">
        <w:rPr>
          <w:rFonts w:ascii="Arial" w:hAnsi="Arial" w:cs="Arial"/>
          <w:color w:val="000000" w:themeColor="text1"/>
          <w:sz w:val="21"/>
          <w:szCs w:val="21"/>
        </w:rPr>
        <w:t xml:space="preserve"> (sic).</w:t>
      </w:r>
    </w:p>
    <w:p w14:paraId="715B55A4" w14:textId="77777777" w:rsidR="00D43FFE" w:rsidRPr="0017568B" w:rsidRDefault="00D43FFE" w:rsidP="00D43FFE">
      <w:pPr>
        <w:widowControl w:val="0"/>
        <w:autoSpaceDE w:val="0"/>
        <w:autoSpaceDN w:val="0"/>
        <w:spacing w:after="0" w:line="276" w:lineRule="auto"/>
        <w:jc w:val="both"/>
        <w:rPr>
          <w:rFonts w:ascii="Arial" w:eastAsia="Arial" w:hAnsi="Arial" w:cs="Arial"/>
          <w:b/>
          <w:bCs/>
          <w:lang w:val="es-ES_tradnl" w:eastAsia="es-ES" w:bidi="es-ES"/>
        </w:rPr>
      </w:pPr>
    </w:p>
    <w:p w14:paraId="57F15948" w14:textId="77777777" w:rsidR="00D43FFE" w:rsidRDefault="00D43FFE" w:rsidP="00095B8A">
      <w:pPr>
        <w:spacing w:after="120" w:line="276" w:lineRule="auto"/>
        <w:contextualSpacing/>
        <w:jc w:val="both"/>
        <w:rPr>
          <w:rFonts w:ascii="Arial" w:eastAsia="Calibri" w:hAnsi="Arial" w:cs="Arial"/>
          <w:color w:val="000000" w:themeColor="text1"/>
          <w:lang w:val="es-ES"/>
        </w:rPr>
      </w:pPr>
      <w:r w:rsidRPr="1548CBE8">
        <w:rPr>
          <w:rFonts w:ascii="Arial" w:eastAsia="Calibri" w:hAnsi="Arial" w:cs="Arial"/>
          <w:color w:val="000000" w:themeColor="text1"/>
          <w:lang w:val="es-ES"/>
        </w:rPr>
        <w:t xml:space="preserve">De conformidad con lo expuesto en este concepto sobre la </w:t>
      </w:r>
      <w:proofErr w:type="spellStart"/>
      <w:r w:rsidRPr="1548CBE8">
        <w:rPr>
          <w:rFonts w:ascii="Arial" w:eastAsia="Calibri" w:hAnsi="Arial" w:cs="Arial"/>
          <w:color w:val="000000" w:themeColor="text1"/>
          <w:lang w:val="es-ES"/>
        </w:rPr>
        <w:t>subsanabilidad</w:t>
      </w:r>
      <w:proofErr w:type="spellEnd"/>
      <w:r w:rsidRPr="1548CBE8">
        <w:rPr>
          <w:rFonts w:ascii="Arial" w:eastAsia="Calibri" w:hAnsi="Arial" w:cs="Arial"/>
          <w:color w:val="000000" w:themeColor="text1"/>
          <w:lang w:val="es-ES"/>
        </w:rPr>
        <w:t xml:space="preserve"> de las ofertas y, teniendo en cuenta las reglas dispuestas en la Ley 1882 de 2018, se mantiene el criterio de la Ley 80 de 1993, relativo a que todo lo que no sea necesario para la comparación de propuestas no es argumento suficiente para su rechazo; y se sostiene el criterio aclaratorio de la Ley 1150 de 2007, según el cual todo lo que no afecte la asignación de puntaje puede subsanarse. Por ello, si los requisitos no afectan la asignación de puntaje y tienen el carácter de habilitantes para la participación en el proceso de contratación, se entiende que, en principio, pueden subsanarse, siempre que no se acrediten circunstancias ocurridas con posterioridad al cierre del proceso.</w:t>
      </w:r>
    </w:p>
    <w:p w14:paraId="4C5FFCAC" w14:textId="77777777" w:rsidR="00CC4487" w:rsidRPr="00482CF9" w:rsidRDefault="00CC4487" w:rsidP="00095B8A">
      <w:pPr>
        <w:spacing w:after="120" w:line="276" w:lineRule="auto"/>
        <w:contextualSpacing/>
        <w:jc w:val="both"/>
        <w:rPr>
          <w:rFonts w:ascii="Arial" w:eastAsia="Calibri" w:hAnsi="Arial" w:cs="Arial"/>
          <w:color w:val="000000"/>
          <w:lang w:val="es-ES"/>
        </w:rPr>
      </w:pPr>
    </w:p>
    <w:p w14:paraId="17E71809" w14:textId="4EA71DF7" w:rsidR="00D43FFE" w:rsidRPr="00056C66" w:rsidRDefault="00D43FFE" w:rsidP="00D43FFE">
      <w:pPr>
        <w:widowControl w:val="0"/>
        <w:autoSpaceDE w:val="0"/>
        <w:autoSpaceDN w:val="0"/>
        <w:spacing w:after="0" w:line="276" w:lineRule="auto"/>
        <w:ind w:firstLine="567"/>
        <w:jc w:val="both"/>
        <w:rPr>
          <w:rFonts w:ascii="Arial" w:eastAsia="Arial" w:hAnsi="Arial" w:cs="Arial"/>
          <w:lang w:val="es-MX" w:eastAsia="es-ES" w:bidi="es-ES"/>
        </w:rPr>
      </w:pPr>
      <w:r w:rsidRPr="3EA192D0">
        <w:rPr>
          <w:rFonts w:ascii="Arial" w:eastAsia="Arial" w:hAnsi="Arial" w:cs="Arial"/>
          <w:lang w:val="es-MX" w:eastAsia="es-ES" w:bidi="es-ES"/>
        </w:rPr>
        <w:t xml:space="preserve">De igual forma, se aclara que, en proceso de selección de concurso de méritos se permite la subsanación respecto a la experiencia mínima, pero esa subsanación implica que se otorguen 0 puntos por el factor evaluable de experiencia, por otro lado, en el caso de un proponente plural, se advierte que a ese proponente también debe dársele aplicación a dicha regla, es decir que en caso de subsanar no obtendrá puntaje, en la medida que la subsanación, si bien solo se refiere a las condiciones de experiencia de uno de los integrantes del proponente plural, lo cierto es que implica que se subsane la totalidad del RUP del proponente plural. Por lo tanto, esa evaluación tendrá que verse afectada por esa subsanación y en dicho caso, el proponente plural deberá tener cero (0) puntos, no </w:t>
      </w:r>
      <w:r w:rsidR="327E31DF" w:rsidRPr="3EA192D0">
        <w:rPr>
          <w:rFonts w:ascii="Arial" w:eastAsia="Arial" w:hAnsi="Arial" w:cs="Arial"/>
          <w:lang w:val="es-MX" w:eastAsia="es-ES" w:bidi="es-ES"/>
        </w:rPr>
        <w:t>obstante,</w:t>
      </w:r>
      <w:r w:rsidRPr="3EA192D0">
        <w:rPr>
          <w:rFonts w:ascii="Arial" w:eastAsia="Arial" w:hAnsi="Arial" w:cs="Arial"/>
          <w:lang w:val="es-MX" w:eastAsia="es-ES" w:bidi="es-ES"/>
        </w:rPr>
        <w:t xml:space="preserve"> la entidad deberá analizar al detalle cada caso concreto.</w:t>
      </w:r>
    </w:p>
    <w:p w14:paraId="1791C918" w14:textId="77777777" w:rsidR="00D43FFE" w:rsidRDefault="00D43FFE" w:rsidP="00D43FFE">
      <w:pPr>
        <w:widowControl w:val="0"/>
        <w:autoSpaceDE w:val="0"/>
        <w:autoSpaceDN w:val="0"/>
        <w:spacing w:after="0" w:line="276" w:lineRule="auto"/>
        <w:jc w:val="both"/>
        <w:rPr>
          <w:rFonts w:ascii="Arial" w:hAnsi="Arial" w:cs="Arial"/>
          <w:color w:val="000000" w:themeColor="text1"/>
          <w:lang w:val="es-ES_tradnl" w:bidi="es-ES"/>
        </w:rPr>
      </w:pPr>
    </w:p>
    <w:p w14:paraId="694130E0" w14:textId="77777777" w:rsidR="00F906BB" w:rsidRPr="00482CF9" w:rsidRDefault="00F906BB" w:rsidP="00F906BB">
      <w:pPr>
        <w:spacing w:after="0" w:line="276" w:lineRule="auto"/>
        <w:contextualSpacing/>
        <w:jc w:val="both"/>
        <w:rPr>
          <w:rFonts w:ascii="Arial" w:eastAsia="Times New Roman" w:hAnsi="Arial" w:cs="Arial"/>
          <w:color w:val="000000"/>
          <w:lang w:val="es-ES_tradnl" w:eastAsia="es-ES_tradnl"/>
        </w:rPr>
      </w:pPr>
      <w:r w:rsidRPr="00482CF9">
        <w:rPr>
          <w:rFonts w:ascii="Arial" w:eastAsia="Times New Roman" w:hAnsi="Arial" w:cs="Arial"/>
          <w:color w:val="000000"/>
          <w:lang w:val="es-ES_tradnl" w:eastAsia="es-ES_tradnl"/>
        </w:rPr>
        <w:t xml:space="preserve">Este concepto tiene el alcance previsto en el artículo 28 del Código de Procedimiento Administrativo y de lo Contencioso Administrativo y las expresiones aquí utilizadas con mayúscula inicial deben ser entendidas con el significado que les otorga el artículo </w:t>
      </w:r>
      <w:r w:rsidRPr="00482CF9">
        <w:rPr>
          <w:rFonts w:ascii="Arial" w:hAnsi="Arial" w:cs="Arial"/>
        </w:rPr>
        <w:t>2.2.1.1.1.3.1. del Decreto 1082 de 2015.</w:t>
      </w:r>
    </w:p>
    <w:p w14:paraId="37B2B880" w14:textId="77777777" w:rsidR="00F906BB" w:rsidRPr="00181816" w:rsidRDefault="00F906BB" w:rsidP="00D43FFE">
      <w:pPr>
        <w:widowControl w:val="0"/>
        <w:autoSpaceDE w:val="0"/>
        <w:autoSpaceDN w:val="0"/>
        <w:spacing w:after="0" w:line="276" w:lineRule="auto"/>
        <w:jc w:val="both"/>
        <w:rPr>
          <w:rFonts w:ascii="Arial" w:hAnsi="Arial" w:cs="Arial"/>
          <w:color w:val="000000" w:themeColor="text1"/>
          <w:lang w:val="es-ES_tradnl" w:bidi="es-ES"/>
        </w:rPr>
      </w:pPr>
    </w:p>
    <w:p w14:paraId="4EDC5D8F" w14:textId="77777777" w:rsidR="00D43FFE" w:rsidRPr="000F4A3A" w:rsidRDefault="00D43FFE" w:rsidP="00D43FFE">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76FE077E" w14:textId="3761DA87" w:rsidR="00D43FFE" w:rsidRDefault="00A7750F" w:rsidP="00D43FFE">
      <w:pPr>
        <w:jc w:val="center"/>
        <w:rPr>
          <w:rFonts w:ascii="Arial" w:eastAsia="Times New Roman" w:hAnsi="Arial" w:cs="Arial"/>
          <w:sz w:val="24"/>
          <w:szCs w:val="24"/>
          <w:lang w:eastAsia="es-CO"/>
        </w:rPr>
      </w:pPr>
      <w:r w:rsidRPr="00174A71">
        <w:rPr>
          <w:rFonts w:ascii="Arial" w:eastAsia="Calibri" w:hAnsi="Arial" w:cs="Arial"/>
          <w:noProof/>
          <w:lang w:val="es-ES"/>
        </w:rPr>
        <w:lastRenderedPageBreak/>
        <w:drawing>
          <wp:inline distT="0" distB="0" distL="0" distR="0" wp14:anchorId="4009332E" wp14:editId="3BFD36CA">
            <wp:extent cx="2775006" cy="1064730"/>
            <wp:effectExtent l="0" t="0" r="6350" b="2540"/>
            <wp:docPr id="12"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5D0032DF" w14:textId="77777777" w:rsidR="00D43FFE" w:rsidRPr="00D43FFE" w:rsidRDefault="00D43FFE" w:rsidP="00A7750F">
      <w:pPr>
        <w:rPr>
          <w:rFonts w:ascii="Arial" w:eastAsia="Times New Roman" w:hAnsi="Arial" w:cs="Arial"/>
          <w:sz w:val="24"/>
          <w:szCs w:val="2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085"/>
      </w:tblGrid>
      <w:tr w:rsidR="00D43FFE" w:rsidRPr="00D43FFE" w14:paraId="1365CBA4" w14:textId="77777777">
        <w:trPr>
          <w:trHeight w:val="139"/>
        </w:trPr>
        <w:tc>
          <w:tcPr>
            <w:tcW w:w="1022" w:type="dxa"/>
            <w:vAlign w:val="center"/>
            <w:hideMark/>
          </w:tcPr>
          <w:bookmarkEnd w:id="2"/>
          <w:p w14:paraId="0A727718" w14:textId="77777777" w:rsidR="00D43FFE" w:rsidRPr="00D43FFE" w:rsidRDefault="00D43FFE">
            <w:pPr>
              <w:jc w:val="both"/>
              <w:rPr>
                <w:rFonts w:ascii="Arial" w:hAnsi="Arial" w:cs="Arial"/>
                <w:sz w:val="16"/>
                <w:szCs w:val="16"/>
                <w:lang w:val="es-ES_tradnl" w:eastAsia="es-ES"/>
              </w:rPr>
            </w:pPr>
            <w:r w:rsidRPr="00D43FFE">
              <w:rPr>
                <w:rFonts w:ascii="Arial" w:hAnsi="Arial" w:cs="Arial"/>
                <w:sz w:val="16"/>
                <w:szCs w:val="16"/>
                <w:lang w:val="es-ES_tradnl" w:eastAsia="es-ES"/>
              </w:rPr>
              <w:t>Elaboró:</w:t>
            </w:r>
          </w:p>
        </w:tc>
        <w:tc>
          <w:tcPr>
            <w:tcW w:w="5085" w:type="dxa"/>
            <w:tcBorders>
              <w:top w:val="nil"/>
              <w:left w:val="nil"/>
              <w:bottom w:val="dotted" w:sz="4" w:space="0" w:color="7F7F7F" w:themeColor="text1" w:themeTint="80"/>
              <w:right w:val="nil"/>
            </w:tcBorders>
            <w:vAlign w:val="center"/>
            <w:hideMark/>
          </w:tcPr>
          <w:p w14:paraId="644F932E" w14:textId="77777777" w:rsidR="00D43FFE" w:rsidRPr="00D43FFE" w:rsidRDefault="00D43FFE">
            <w:pPr>
              <w:jc w:val="both"/>
              <w:rPr>
                <w:rFonts w:ascii="Arial" w:hAnsi="Arial" w:cs="Arial"/>
                <w:sz w:val="16"/>
                <w:szCs w:val="16"/>
                <w:lang w:val="es-ES_tradnl" w:eastAsia="es-ES"/>
              </w:rPr>
            </w:pPr>
            <w:r w:rsidRPr="00D43FFE">
              <w:rPr>
                <w:rFonts w:ascii="Arial" w:hAnsi="Arial" w:cs="Arial"/>
                <w:sz w:val="16"/>
                <w:szCs w:val="16"/>
                <w:lang w:val="es-ES_tradnl" w:eastAsia="es-ES"/>
              </w:rPr>
              <w:t>Melissa Fernández Reinoso</w:t>
            </w:r>
          </w:p>
          <w:p w14:paraId="5BCE4624" w14:textId="77777777" w:rsidR="00D43FFE" w:rsidRPr="00D43FFE" w:rsidRDefault="00D43FFE">
            <w:pPr>
              <w:jc w:val="both"/>
              <w:rPr>
                <w:rFonts w:ascii="Arial" w:hAnsi="Arial" w:cs="Arial"/>
                <w:sz w:val="16"/>
                <w:szCs w:val="16"/>
                <w:lang w:val="es-ES_tradnl" w:eastAsia="es-ES"/>
              </w:rPr>
            </w:pPr>
            <w:r w:rsidRPr="00D43FFE">
              <w:rPr>
                <w:rFonts w:ascii="Arial" w:hAnsi="Arial" w:cs="Arial"/>
                <w:sz w:val="16"/>
                <w:szCs w:val="16"/>
                <w:lang w:val="es-ES_tradnl" w:eastAsia="es-ES"/>
              </w:rPr>
              <w:t>Contratista de la Subdirección de Gestión Contractual</w:t>
            </w:r>
          </w:p>
        </w:tc>
      </w:tr>
      <w:tr w:rsidR="00D43FFE" w:rsidRPr="00D43FFE" w14:paraId="1761F4D8" w14:textId="77777777">
        <w:trPr>
          <w:trHeight w:val="287"/>
        </w:trPr>
        <w:tc>
          <w:tcPr>
            <w:tcW w:w="1022" w:type="dxa"/>
            <w:vAlign w:val="center"/>
            <w:hideMark/>
          </w:tcPr>
          <w:p w14:paraId="43421005" w14:textId="77777777" w:rsidR="00D43FFE" w:rsidRPr="00D43FFE" w:rsidRDefault="00D43FFE">
            <w:pPr>
              <w:jc w:val="both"/>
              <w:rPr>
                <w:rFonts w:ascii="Arial" w:hAnsi="Arial" w:cs="Arial"/>
                <w:sz w:val="16"/>
                <w:szCs w:val="16"/>
                <w:lang w:val="es-ES_tradnl" w:eastAsia="es-ES"/>
              </w:rPr>
            </w:pPr>
            <w:r w:rsidRPr="00D43FFE">
              <w:rPr>
                <w:rFonts w:ascii="Arial" w:hAnsi="Arial" w:cs="Arial"/>
                <w:sz w:val="16"/>
                <w:szCs w:val="16"/>
                <w:lang w:val="es-ES_tradnl" w:eastAsia="es-ES"/>
              </w:rPr>
              <w:t>Revisó: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586D678E" w14:textId="77777777" w:rsidR="00D43FFE" w:rsidRPr="00D43FFE" w:rsidRDefault="00D43FFE">
            <w:pPr>
              <w:jc w:val="both"/>
              <w:rPr>
                <w:rFonts w:ascii="Arial" w:hAnsi="Arial" w:cs="Arial"/>
                <w:sz w:val="16"/>
                <w:szCs w:val="16"/>
                <w:lang w:eastAsia="es-ES"/>
              </w:rPr>
            </w:pPr>
            <w:r w:rsidRPr="00D43FFE">
              <w:rPr>
                <w:rFonts w:ascii="Arial" w:hAnsi="Arial" w:cs="Arial"/>
                <w:sz w:val="16"/>
                <w:szCs w:val="16"/>
                <w:lang w:eastAsia="es-ES"/>
              </w:rPr>
              <w:t>Alejandro Sarmiento Cantillo</w:t>
            </w:r>
          </w:p>
          <w:p w14:paraId="782AA752" w14:textId="77777777" w:rsidR="00D43FFE" w:rsidRPr="00D43FFE" w:rsidRDefault="00D43FFE">
            <w:pPr>
              <w:jc w:val="both"/>
              <w:rPr>
                <w:rFonts w:ascii="Arial" w:hAnsi="Arial" w:cs="Arial"/>
                <w:sz w:val="16"/>
                <w:szCs w:val="16"/>
                <w:lang w:eastAsia="es-ES"/>
              </w:rPr>
            </w:pPr>
            <w:r w:rsidRPr="00D43FFE">
              <w:rPr>
                <w:rFonts w:ascii="Arial" w:hAnsi="Arial" w:cs="Arial"/>
                <w:sz w:val="16"/>
                <w:szCs w:val="16"/>
                <w:lang w:eastAsia="es-ES"/>
              </w:rPr>
              <w:t>Gestor T1-11 de la Subdirección de Gestión Contractual</w:t>
            </w:r>
          </w:p>
        </w:tc>
      </w:tr>
      <w:tr w:rsidR="00D43FFE" w:rsidRPr="00D43FFE" w14:paraId="05AA2589" w14:textId="77777777">
        <w:trPr>
          <w:trHeight w:val="261"/>
        </w:trPr>
        <w:tc>
          <w:tcPr>
            <w:tcW w:w="1022" w:type="dxa"/>
            <w:vAlign w:val="center"/>
            <w:hideMark/>
          </w:tcPr>
          <w:p w14:paraId="23FAC648" w14:textId="77777777" w:rsidR="00D43FFE" w:rsidRPr="00D43FFE" w:rsidRDefault="00D43FFE">
            <w:pPr>
              <w:jc w:val="both"/>
              <w:rPr>
                <w:rFonts w:ascii="Arial" w:hAnsi="Arial" w:cs="Arial"/>
                <w:sz w:val="16"/>
                <w:szCs w:val="16"/>
                <w:lang w:val="es-ES_tradnl" w:eastAsia="es-ES"/>
              </w:rPr>
            </w:pPr>
            <w:r w:rsidRPr="00D43FFE">
              <w:rPr>
                <w:rFonts w:ascii="Arial" w:hAnsi="Arial" w:cs="Arial"/>
                <w:sz w:val="16"/>
                <w:szCs w:val="16"/>
                <w:lang w:val="es-ES_tradnl" w:eastAsia="es-ES"/>
              </w:rPr>
              <w:t>Aprobó: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66957A64" w14:textId="77777777" w:rsidR="00D43FFE" w:rsidRPr="00D43FFE" w:rsidRDefault="00D43FFE">
            <w:pPr>
              <w:rPr>
                <w:rFonts w:ascii="Arial" w:hAnsi="Arial" w:cs="Arial"/>
                <w:sz w:val="16"/>
                <w:szCs w:val="16"/>
              </w:rPr>
            </w:pPr>
            <w:r w:rsidRPr="00D43FFE">
              <w:rPr>
                <w:rFonts w:ascii="Arial" w:eastAsia="Arial" w:hAnsi="Arial" w:cs="Arial"/>
                <w:sz w:val="16"/>
                <w:szCs w:val="16"/>
              </w:rPr>
              <w:t xml:space="preserve">Nohelia del Carmen </w:t>
            </w:r>
            <w:proofErr w:type="spellStart"/>
            <w:r w:rsidRPr="00D43FFE">
              <w:rPr>
                <w:rFonts w:ascii="Arial" w:eastAsia="Arial" w:hAnsi="Arial" w:cs="Arial"/>
                <w:sz w:val="16"/>
                <w:szCs w:val="16"/>
              </w:rPr>
              <w:t>Zawady</w:t>
            </w:r>
            <w:proofErr w:type="spellEnd"/>
            <w:r w:rsidRPr="00D43FFE">
              <w:rPr>
                <w:rFonts w:ascii="Arial" w:eastAsia="Arial" w:hAnsi="Arial" w:cs="Arial"/>
                <w:sz w:val="16"/>
                <w:szCs w:val="16"/>
              </w:rPr>
              <w:t xml:space="preserve"> Palacio</w:t>
            </w:r>
          </w:p>
          <w:p w14:paraId="0F853E0D" w14:textId="77777777" w:rsidR="00D43FFE" w:rsidRPr="00D43FFE" w:rsidRDefault="00D43FFE">
            <w:pPr>
              <w:jc w:val="both"/>
              <w:rPr>
                <w:rFonts w:ascii="Arial" w:eastAsia="Arial" w:hAnsi="Arial" w:cs="Arial"/>
                <w:sz w:val="16"/>
                <w:szCs w:val="16"/>
              </w:rPr>
            </w:pPr>
            <w:r w:rsidRPr="00D43FFE">
              <w:rPr>
                <w:rFonts w:ascii="Arial" w:eastAsia="Arial" w:hAnsi="Arial" w:cs="Arial"/>
                <w:sz w:val="16"/>
                <w:szCs w:val="16"/>
              </w:rPr>
              <w:t xml:space="preserve">Subdirectora de Gestión Contractual </w:t>
            </w:r>
          </w:p>
        </w:tc>
      </w:tr>
    </w:tbl>
    <w:p w14:paraId="6B6E9DB5" w14:textId="77777777" w:rsidR="00D43FFE" w:rsidRPr="00D43FFE" w:rsidRDefault="00D43FFE" w:rsidP="00D43FFE">
      <w:pPr>
        <w:rPr>
          <w:sz w:val="24"/>
          <w:szCs w:val="24"/>
        </w:rPr>
      </w:pPr>
    </w:p>
    <w:p w14:paraId="0DA517A7" w14:textId="77777777" w:rsidR="00D43FFE" w:rsidRPr="00D43FFE" w:rsidRDefault="00D43FFE" w:rsidP="00D43FFE">
      <w:pPr>
        <w:rPr>
          <w:sz w:val="24"/>
          <w:szCs w:val="24"/>
        </w:rPr>
      </w:pPr>
    </w:p>
    <w:p w14:paraId="0F293BF4" w14:textId="0F6FB6C1" w:rsidR="00127233" w:rsidRPr="00D43FFE" w:rsidRDefault="00127233"/>
    <w:sectPr w:rsidR="00127233" w:rsidRPr="00D43FFE"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7EA6" w14:textId="77777777" w:rsidR="003C6647" w:rsidRDefault="003C6647" w:rsidP="004A1847">
      <w:pPr>
        <w:spacing w:after="0" w:line="240" w:lineRule="auto"/>
      </w:pPr>
      <w:r>
        <w:separator/>
      </w:r>
    </w:p>
  </w:endnote>
  <w:endnote w:type="continuationSeparator" w:id="0">
    <w:p w14:paraId="1E14C449" w14:textId="77777777" w:rsidR="003C6647" w:rsidRDefault="003C6647" w:rsidP="004A1847">
      <w:pPr>
        <w:spacing w:after="0" w:line="240" w:lineRule="auto"/>
      </w:pPr>
      <w:r>
        <w:continuationSeparator/>
      </w:r>
    </w:p>
  </w:endnote>
  <w:endnote w:type="continuationNotice" w:id="1">
    <w:p w14:paraId="26198AFF" w14:textId="77777777" w:rsidR="003C6647" w:rsidRDefault="003C6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BE37" w14:textId="77777777" w:rsidR="003C6647" w:rsidRDefault="003C6647" w:rsidP="004A1847">
      <w:pPr>
        <w:spacing w:after="0" w:line="240" w:lineRule="auto"/>
      </w:pPr>
      <w:r>
        <w:separator/>
      </w:r>
    </w:p>
  </w:footnote>
  <w:footnote w:type="continuationSeparator" w:id="0">
    <w:p w14:paraId="1F018023" w14:textId="77777777" w:rsidR="003C6647" w:rsidRDefault="003C6647" w:rsidP="004A1847">
      <w:pPr>
        <w:spacing w:after="0" w:line="240" w:lineRule="auto"/>
      </w:pPr>
      <w:r>
        <w:continuationSeparator/>
      </w:r>
    </w:p>
  </w:footnote>
  <w:footnote w:type="continuationNotice" w:id="1">
    <w:p w14:paraId="12A20064" w14:textId="77777777" w:rsidR="003C6647" w:rsidRDefault="003C6647">
      <w:pPr>
        <w:spacing w:after="0" w:line="240" w:lineRule="auto"/>
      </w:pPr>
    </w:p>
  </w:footnote>
  <w:footnote w:id="2">
    <w:p w14:paraId="6679118B" w14:textId="77777777" w:rsidR="00D43FFE" w:rsidRPr="000D3453" w:rsidRDefault="00D43FFE" w:rsidP="00D43FFE">
      <w:pPr>
        <w:pStyle w:val="Textonotapie"/>
        <w:ind w:firstLine="708"/>
        <w:contextualSpacing/>
        <w:jc w:val="both"/>
        <w:rPr>
          <w:rFonts w:ascii="Arial" w:hAnsi="Arial" w:cs="Arial"/>
          <w:color w:val="000000"/>
          <w:sz w:val="19"/>
          <w:szCs w:val="19"/>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Consejo de Estado. Sección Tercera. Subsección B. Sentencia del 6 de junio de 2013. Exp. 25151. C.P. Stella Conto Díaz del Castillo.</w:t>
      </w:r>
    </w:p>
  </w:footnote>
  <w:footnote w:id="3">
    <w:p w14:paraId="4DA2FB7B" w14:textId="77777777" w:rsidR="00D43FFE" w:rsidRPr="000D3453" w:rsidRDefault="00D43FFE" w:rsidP="00D43FFE">
      <w:pPr>
        <w:pStyle w:val="Textonotapie"/>
        <w:ind w:firstLine="709"/>
        <w:contextualSpacing/>
        <w:jc w:val="both"/>
        <w:rPr>
          <w:rFonts w:ascii="Arial" w:hAnsi="Arial" w:cs="Arial"/>
          <w:color w:val="000000"/>
          <w:sz w:val="19"/>
          <w:szCs w:val="19"/>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Ley 1150 de 2007: </w:t>
      </w:r>
      <w:r>
        <w:rPr>
          <w:rFonts w:ascii="Arial" w:hAnsi="Arial" w:cs="Arial"/>
          <w:color w:val="000000"/>
          <w:sz w:val="19"/>
          <w:szCs w:val="19"/>
        </w:rPr>
        <w:t>“</w:t>
      </w:r>
      <w:r w:rsidRPr="000D3453">
        <w:rPr>
          <w:rFonts w:ascii="Arial" w:hAnsi="Arial" w:cs="Arial"/>
          <w:color w:val="000000"/>
          <w:sz w:val="19"/>
          <w:szCs w:val="19"/>
        </w:rPr>
        <w:t>Artículo 6. De la verificación de las condiciones de los proponentes.</w:t>
      </w:r>
    </w:p>
    <w:p w14:paraId="00966C70"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w:t>
      </w:r>
    </w:p>
    <w:p w14:paraId="25CAB47E"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6.1. […]</w:t>
      </w:r>
    </w:p>
    <w:p w14:paraId="6C7B1B44"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9D1EEB6"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15BF86AC" w14:textId="77777777" w:rsidR="00D43FFE" w:rsidRPr="00AA65B8" w:rsidRDefault="00D43FFE" w:rsidP="00D43FFE">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w:t>
      </w:r>
      <w:r>
        <w:rPr>
          <w:rFonts w:ascii="Arial" w:hAnsi="Arial" w:cs="Arial"/>
          <w:color w:val="000000"/>
          <w:sz w:val="19"/>
          <w:szCs w:val="19"/>
          <w:lang w:eastAsia="es-CO"/>
        </w:rPr>
        <w:t>”</w:t>
      </w:r>
      <w:r w:rsidRPr="000D3453">
        <w:rPr>
          <w:rFonts w:ascii="Arial" w:hAnsi="Arial" w:cs="Arial"/>
          <w:color w:val="000000"/>
          <w:sz w:val="19"/>
          <w:szCs w:val="19"/>
          <w:lang w:eastAsia="es-CO"/>
        </w:rPr>
        <w:t>.</w:t>
      </w:r>
    </w:p>
  </w:footnote>
  <w:footnote w:id="4">
    <w:p w14:paraId="6F9E440E"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Ley 1150 de 2007: </w:t>
      </w:r>
      <w:r>
        <w:rPr>
          <w:rFonts w:ascii="Arial" w:hAnsi="Arial" w:cs="Arial"/>
          <w:color w:val="000000"/>
          <w:sz w:val="19"/>
          <w:szCs w:val="19"/>
        </w:rPr>
        <w:t>“</w:t>
      </w:r>
      <w:r w:rsidRPr="000D3453">
        <w:rPr>
          <w:rFonts w:ascii="Arial" w:hAnsi="Arial" w:cs="Arial"/>
          <w:color w:val="000000"/>
          <w:sz w:val="19"/>
          <w:szCs w:val="19"/>
        </w:rPr>
        <w:t>Artículo 5. De la selección objetiva.</w:t>
      </w:r>
      <w:r w:rsidRPr="000D3453">
        <w:rPr>
          <w:rFonts w:ascii="Arial" w:hAnsi="Arial" w:cs="Arial"/>
          <w:color w:val="000000"/>
          <w:sz w:val="19"/>
          <w:szCs w:val="19"/>
          <w:lang w:eastAsia="es-CO"/>
        </w:rPr>
        <w:t xml:space="preserve"> </w:t>
      </w:r>
    </w:p>
    <w:p w14:paraId="25A5C98B"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w:t>
      </w:r>
    </w:p>
    <w:p w14:paraId="6431A818" w14:textId="77777777" w:rsidR="00D43FFE" w:rsidRPr="000D3453" w:rsidRDefault="00D43FFE" w:rsidP="00D43FFE">
      <w:pPr>
        <w:pStyle w:val="Textonotapie"/>
        <w:ind w:firstLine="709"/>
        <w:contextualSpacing/>
        <w:jc w:val="both"/>
        <w:rPr>
          <w:rFonts w:ascii="Arial" w:hAnsi="Arial" w:cs="Arial"/>
          <w:color w:val="000000"/>
          <w:sz w:val="19"/>
          <w:szCs w:val="19"/>
          <w:lang w:val="es-ES"/>
        </w:rPr>
      </w:pPr>
      <w:r w:rsidRPr="000D3453">
        <w:rPr>
          <w:rFonts w:ascii="Arial" w:hAnsi="Arial" w:cs="Arial"/>
          <w:color w:val="000000"/>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 […]</w:t>
      </w:r>
      <w:r>
        <w:rPr>
          <w:rFonts w:ascii="Arial" w:hAnsi="Arial" w:cs="Arial"/>
          <w:color w:val="000000"/>
          <w:sz w:val="19"/>
          <w:szCs w:val="19"/>
          <w:lang w:eastAsia="es-CO"/>
        </w:rPr>
        <w:t>”</w:t>
      </w:r>
      <w:r w:rsidRPr="000D3453">
        <w:rPr>
          <w:rFonts w:ascii="Arial" w:hAnsi="Arial" w:cs="Arial"/>
          <w:color w:val="000000"/>
          <w:sz w:val="19"/>
          <w:szCs w:val="19"/>
          <w:lang w:eastAsia="es-CO"/>
        </w:rPr>
        <w:t>.</w:t>
      </w:r>
    </w:p>
  </w:footnote>
  <w:footnote w:id="5">
    <w:p w14:paraId="600A8F50" w14:textId="77777777" w:rsidR="00D43FFE" w:rsidRPr="000D3453" w:rsidRDefault="00D43FFE" w:rsidP="00D43FFE">
      <w:pPr>
        <w:pStyle w:val="Textonotapie"/>
        <w:ind w:firstLine="709"/>
        <w:contextualSpacing/>
        <w:jc w:val="both"/>
        <w:rPr>
          <w:rFonts w:ascii="Arial" w:hAnsi="Arial" w:cs="Arial"/>
          <w:color w:val="000000"/>
          <w:sz w:val="19"/>
          <w:szCs w:val="19"/>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w:t>
      </w:r>
      <w:r w:rsidRPr="000D3453">
        <w:rPr>
          <w:rFonts w:ascii="Arial" w:hAnsi="Arial" w:cs="Arial"/>
          <w:color w:val="000000"/>
          <w:sz w:val="19"/>
          <w:szCs w:val="19"/>
          <w:lang w:eastAsia="es-CO"/>
        </w:rPr>
        <w:t xml:space="preserve">Consejo de Estado. Sección Tercera. Subsección A. Sentencia del 12 de febrero de 2014. Exp. 31.753. C.P. Mauricio Fajardo Gómez: </w:t>
      </w:r>
      <w:r>
        <w:rPr>
          <w:rFonts w:ascii="Arial" w:hAnsi="Arial" w:cs="Arial"/>
          <w:color w:val="000000"/>
          <w:sz w:val="19"/>
          <w:szCs w:val="19"/>
          <w:lang w:eastAsia="es-CO"/>
        </w:rPr>
        <w:t>“</w:t>
      </w:r>
      <w:r w:rsidRPr="000D3453">
        <w:rPr>
          <w:rFonts w:ascii="Arial" w:hAnsi="Arial" w:cs="Arial"/>
          <w:color w:val="000000"/>
          <w:sz w:val="19"/>
          <w:szCs w:val="19"/>
          <w:lang w:eastAsia="es-CO"/>
        </w:rPr>
        <w:t>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r>
        <w:rPr>
          <w:rFonts w:ascii="Arial" w:hAnsi="Arial" w:cs="Arial"/>
          <w:color w:val="000000"/>
          <w:sz w:val="19"/>
          <w:szCs w:val="19"/>
          <w:lang w:eastAsia="es-CO"/>
        </w:rPr>
        <w:t>”</w:t>
      </w:r>
      <w:r w:rsidRPr="000D3453">
        <w:rPr>
          <w:rFonts w:ascii="Arial" w:hAnsi="Arial" w:cs="Arial"/>
          <w:color w:val="000000"/>
          <w:sz w:val="19"/>
          <w:szCs w:val="19"/>
          <w:lang w:eastAsia="es-CO"/>
        </w:rPr>
        <w:t>.</w:t>
      </w:r>
    </w:p>
    <w:p w14:paraId="1028CDCD" w14:textId="77777777" w:rsidR="00D43FFE" w:rsidRPr="000D3453" w:rsidRDefault="00D43FFE" w:rsidP="00D43FFE">
      <w:pPr>
        <w:pStyle w:val="Textonotapie"/>
        <w:ind w:firstLine="709"/>
        <w:contextualSpacing/>
        <w:jc w:val="both"/>
        <w:rPr>
          <w:rFonts w:ascii="Arial" w:hAnsi="Arial" w:cs="Arial"/>
          <w:color w:val="000000"/>
          <w:sz w:val="19"/>
          <w:szCs w:val="19"/>
          <w:lang w:val="es-ES"/>
        </w:rPr>
      </w:pPr>
    </w:p>
  </w:footnote>
  <w:footnote w:id="6">
    <w:p w14:paraId="086BEDDE"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w:t>
      </w:r>
      <w:r w:rsidRPr="000D3453">
        <w:rPr>
          <w:rFonts w:ascii="Arial" w:hAnsi="Arial" w:cs="Arial"/>
          <w:color w:val="000000"/>
          <w:sz w:val="19"/>
          <w:szCs w:val="19"/>
          <w:lang w:eastAsia="es-CO"/>
        </w:rPr>
        <w:t xml:space="preserve">Ley 1150 de 2007: </w:t>
      </w:r>
      <w:r>
        <w:rPr>
          <w:rFonts w:ascii="Arial" w:hAnsi="Arial" w:cs="Arial"/>
          <w:color w:val="000000"/>
          <w:sz w:val="19"/>
          <w:szCs w:val="19"/>
          <w:lang w:eastAsia="es-CO"/>
        </w:rPr>
        <w:t>“</w:t>
      </w:r>
      <w:r w:rsidRPr="000D3453">
        <w:rPr>
          <w:rFonts w:ascii="Arial" w:hAnsi="Arial" w:cs="Arial"/>
          <w:color w:val="000000"/>
          <w:sz w:val="19"/>
          <w:szCs w:val="19"/>
          <w:lang w:eastAsia="es-CO"/>
        </w:rPr>
        <w:t xml:space="preserve">Artículo 6.  De la verificación de las condiciones de los proponentes. </w:t>
      </w:r>
    </w:p>
    <w:p w14:paraId="2F912090"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 xml:space="preserve">[...] </w:t>
      </w:r>
    </w:p>
    <w:p w14:paraId="6D9AEFA7"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BE8D479"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w:t>
      </w:r>
      <w:r>
        <w:rPr>
          <w:rFonts w:ascii="Arial" w:hAnsi="Arial" w:cs="Arial"/>
          <w:color w:val="000000"/>
          <w:sz w:val="19"/>
          <w:szCs w:val="19"/>
          <w:lang w:eastAsia="es-CO"/>
        </w:rPr>
        <w:t>”</w:t>
      </w:r>
      <w:r w:rsidRPr="000D3453">
        <w:rPr>
          <w:rFonts w:ascii="Arial" w:hAnsi="Arial" w:cs="Arial"/>
          <w:color w:val="000000"/>
          <w:sz w:val="19"/>
          <w:szCs w:val="19"/>
          <w:lang w:eastAsia="es-CO"/>
        </w:rPr>
        <w:t xml:space="preserve">. </w:t>
      </w:r>
    </w:p>
  </w:footnote>
  <w:footnote w:id="7">
    <w:p w14:paraId="5E2C1B12"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w:t>
      </w:r>
      <w:r w:rsidRPr="000D3453">
        <w:rPr>
          <w:rFonts w:ascii="Arial" w:hAnsi="Arial" w:cs="Arial"/>
          <w:color w:val="000000"/>
          <w:sz w:val="19"/>
          <w:szCs w:val="19"/>
          <w:lang w:eastAsia="es-CO"/>
        </w:rPr>
        <w:t xml:space="preserve"> </w:t>
      </w:r>
      <w:r>
        <w:rPr>
          <w:rFonts w:ascii="Arial" w:hAnsi="Arial" w:cs="Arial"/>
          <w:color w:val="000000"/>
          <w:sz w:val="19"/>
          <w:szCs w:val="19"/>
          <w:lang w:eastAsia="es-CO"/>
        </w:rPr>
        <w:t>“</w:t>
      </w:r>
      <w:r w:rsidRPr="000D3453">
        <w:rPr>
          <w:rFonts w:ascii="Arial" w:hAnsi="Arial" w:cs="Arial"/>
          <w:color w:val="000000"/>
          <w:sz w:val="19"/>
          <w:szCs w:val="19"/>
          <w:lang w:eastAsia="es-CO"/>
        </w:rPr>
        <w:t>6.1. [...] No obstante lo anterior, sólo en aquellos casos en que por las características del objeto a contratar se requiera la verificación de requisitos del proponente adicionales a los contenidos en el Registro, la entidad podrá hacer tal verificación en forma directa</w:t>
      </w:r>
      <w:r>
        <w:rPr>
          <w:rFonts w:ascii="Arial" w:hAnsi="Arial" w:cs="Arial"/>
          <w:color w:val="000000"/>
          <w:sz w:val="19"/>
          <w:szCs w:val="19"/>
          <w:lang w:eastAsia="es-CO"/>
        </w:rPr>
        <w:t>”</w:t>
      </w:r>
      <w:r w:rsidRPr="000D3453">
        <w:rPr>
          <w:rFonts w:ascii="Arial" w:hAnsi="Arial" w:cs="Arial"/>
          <w:color w:val="000000"/>
          <w:sz w:val="19"/>
          <w:szCs w:val="19"/>
          <w:lang w:eastAsia="es-CO"/>
        </w:rPr>
        <w:t>.</w:t>
      </w:r>
    </w:p>
  </w:footnote>
  <w:footnote w:id="8">
    <w:p w14:paraId="5D1757C8"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w:t>
      </w:r>
      <w:r>
        <w:rPr>
          <w:rFonts w:ascii="Arial" w:hAnsi="Arial" w:cs="Arial"/>
          <w:color w:val="000000"/>
          <w:sz w:val="19"/>
          <w:szCs w:val="19"/>
        </w:rPr>
        <w:t>“</w:t>
      </w:r>
      <w:r w:rsidRPr="000D3453">
        <w:rPr>
          <w:rFonts w:ascii="Arial" w:hAnsi="Arial" w:cs="Arial"/>
          <w:color w:val="000000"/>
          <w:sz w:val="19"/>
          <w:szCs w:val="19"/>
          <w:lang w:eastAsia="es-CO"/>
        </w:rPr>
        <w:t>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638F701E"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r>
        <w:rPr>
          <w:rFonts w:ascii="Arial" w:hAnsi="Arial" w:cs="Arial"/>
          <w:color w:val="000000"/>
          <w:sz w:val="19"/>
          <w:szCs w:val="19"/>
          <w:lang w:eastAsia="es-CO"/>
        </w:rPr>
        <w:t>”</w:t>
      </w:r>
      <w:r w:rsidRPr="000D3453">
        <w:rPr>
          <w:rFonts w:ascii="Arial" w:hAnsi="Arial" w:cs="Arial"/>
          <w:color w:val="000000"/>
          <w:sz w:val="19"/>
          <w:szCs w:val="19"/>
          <w:lang w:eastAsia="es-CO"/>
        </w:rPr>
        <w:t>.</w:t>
      </w:r>
    </w:p>
  </w:footnote>
  <w:footnote w:id="9">
    <w:p w14:paraId="10CD0E49" w14:textId="77777777" w:rsidR="00D43FFE" w:rsidRPr="000D3453" w:rsidRDefault="00D43FFE" w:rsidP="00D43FFE">
      <w:pPr>
        <w:pStyle w:val="Textonotapie"/>
        <w:ind w:firstLine="709"/>
        <w:contextualSpacing/>
        <w:jc w:val="both"/>
        <w:rPr>
          <w:rFonts w:ascii="Arial" w:hAnsi="Arial" w:cs="Arial"/>
          <w:color w:val="000000"/>
          <w:sz w:val="19"/>
          <w:szCs w:val="19"/>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w:t>
      </w:r>
      <w:r w:rsidRPr="000D3453">
        <w:rPr>
          <w:rFonts w:ascii="Arial" w:hAnsi="Arial" w:cs="Arial"/>
          <w:color w:val="000000"/>
          <w:sz w:val="19"/>
          <w:szCs w:val="19"/>
          <w:lang w:eastAsia="es-CO"/>
        </w:rPr>
        <w:t>Consejo de Estado. Sala de Consulta y Servicio Civil. Consulta del 20 de mayo de 2010. Exp.1992. C. P. Enrique José Arboleda Perdomo.</w:t>
      </w:r>
    </w:p>
  </w:footnote>
  <w:footnote w:id="10">
    <w:p w14:paraId="25A9C2C4"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Style w:val="Refdenotaalpie"/>
          <w:rFonts w:ascii="Arial" w:hAnsi="Arial" w:cs="Arial"/>
          <w:color w:val="000000"/>
          <w:sz w:val="19"/>
          <w:szCs w:val="19"/>
        </w:rPr>
        <w:footnoteRef/>
      </w:r>
      <w:r>
        <w:rPr>
          <w:rFonts w:ascii="Arial" w:hAnsi="Arial" w:cs="Arial"/>
          <w:color w:val="000000"/>
          <w:sz w:val="19"/>
          <w:szCs w:val="19"/>
          <w:lang w:eastAsia="es-CO"/>
        </w:rPr>
        <w:t xml:space="preserve"> </w:t>
      </w:r>
      <w:r w:rsidRPr="000D3453">
        <w:rPr>
          <w:rFonts w:ascii="Arial" w:hAnsi="Arial" w:cs="Arial"/>
          <w:color w:val="000000"/>
          <w:sz w:val="19"/>
          <w:szCs w:val="19"/>
          <w:lang w:eastAsia="es-CO"/>
        </w:rPr>
        <w:t xml:space="preserve">Ley 1150 de 2007: </w:t>
      </w:r>
      <w:r>
        <w:rPr>
          <w:rFonts w:ascii="Arial" w:hAnsi="Arial" w:cs="Arial"/>
          <w:color w:val="000000"/>
          <w:sz w:val="19"/>
          <w:szCs w:val="19"/>
          <w:lang w:eastAsia="es-CO"/>
        </w:rPr>
        <w:t>“</w:t>
      </w:r>
      <w:r w:rsidRPr="000D3453">
        <w:rPr>
          <w:rFonts w:ascii="Arial" w:hAnsi="Arial" w:cs="Arial"/>
          <w:color w:val="000000"/>
          <w:sz w:val="19"/>
          <w:szCs w:val="19"/>
          <w:lang w:eastAsia="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A18E2D" w14:textId="77777777" w:rsidR="00D43FFE" w:rsidRPr="00AA65B8" w:rsidRDefault="00D43FFE" w:rsidP="00D43FFE">
      <w:pPr>
        <w:pStyle w:val="Textonotapie"/>
        <w:ind w:firstLine="708"/>
        <w:contextualSpacing/>
        <w:jc w:val="both"/>
        <w:rPr>
          <w:rFonts w:ascii="Arial" w:hAnsi="Arial" w:cs="Arial"/>
          <w:color w:val="000000"/>
          <w:sz w:val="19"/>
          <w:szCs w:val="19"/>
        </w:rPr>
      </w:pPr>
      <w:r w:rsidRPr="000D3453">
        <w:rPr>
          <w:rFonts w:ascii="Arial" w:hAnsi="Arial" w:cs="Arial"/>
          <w:color w:val="000000"/>
          <w:sz w:val="19"/>
          <w:szCs w:val="19"/>
          <w:lang w:eastAsia="es-CO"/>
        </w:rPr>
        <w:t>[...]</w:t>
      </w:r>
      <w:r>
        <w:rPr>
          <w:rFonts w:ascii="Arial" w:hAnsi="Arial" w:cs="Arial"/>
          <w:color w:val="000000"/>
          <w:sz w:val="19"/>
          <w:szCs w:val="19"/>
          <w:lang w:eastAsia="es-CO"/>
        </w:rPr>
        <w:t>”</w:t>
      </w:r>
      <w:r w:rsidRPr="000D3453">
        <w:rPr>
          <w:rFonts w:ascii="Arial" w:hAnsi="Arial" w:cs="Arial"/>
          <w:color w:val="000000"/>
          <w:sz w:val="19"/>
          <w:szCs w:val="19"/>
          <w:lang w:eastAsia="es-CO"/>
        </w:rPr>
        <w:t xml:space="preserve">. </w:t>
      </w:r>
      <w:r w:rsidRPr="000D3453">
        <w:rPr>
          <w:rFonts w:ascii="Arial" w:hAnsi="Arial" w:cs="Arial"/>
          <w:color w:val="000000"/>
          <w:sz w:val="19"/>
          <w:szCs w:val="19"/>
        </w:rPr>
        <w:t xml:space="preserve"> </w:t>
      </w:r>
    </w:p>
  </w:footnote>
  <w:footnote w:id="11">
    <w:p w14:paraId="5CD83E4B" w14:textId="77777777" w:rsidR="00D43FFE" w:rsidRPr="0039015C" w:rsidRDefault="00D43FFE" w:rsidP="00D43FFE">
      <w:pPr>
        <w:pStyle w:val="Textonotapie"/>
        <w:ind w:firstLine="708"/>
        <w:contextualSpacing/>
        <w:jc w:val="both"/>
        <w:rPr>
          <w:rFonts w:ascii="Arial" w:hAnsi="Arial" w:cs="Arial"/>
          <w:color w:val="000000"/>
          <w:sz w:val="19"/>
          <w:szCs w:val="19"/>
          <w:shd w:val="clear" w:color="auto" w:fill="FFFFFF"/>
        </w:rPr>
      </w:pPr>
      <w:r w:rsidRPr="000D3453">
        <w:rPr>
          <w:rStyle w:val="Refdenotaalpie"/>
          <w:rFonts w:ascii="Arial" w:hAnsi="Arial" w:cs="Arial"/>
          <w:color w:val="000000"/>
          <w:sz w:val="19"/>
          <w:szCs w:val="19"/>
        </w:rPr>
        <w:footnoteRef/>
      </w:r>
      <w:r>
        <w:rPr>
          <w:rFonts w:ascii="Arial" w:hAnsi="Arial" w:cs="Arial"/>
          <w:color w:val="000000"/>
          <w:sz w:val="19"/>
          <w:szCs w:val="19"/>
          <w:lang w:eastAsia="es-CO"/>
        </w:rPr>
        <w:t xml:space="preserve"> “</w:t>
      </w:r>
      <w:r w:rsidRPr="00A34F71">
        <w:rPr>
          <w:rStyle w:val="Textoennegrita"/>
          <w:color w:val="000000"/>
          <w:sz w:val="19"/>
          <w:szCs w:val="19"/>
          <w:shd w:val="clear" w:color="auto" w:fill="FFFFFF"/>
        </w:rPr>
        <w:t>Artículo 2.2.1.1.1.5.1.</w:t>
      </w:r>
      <w:r w:rsidRPr="000D3453">
        <w:rPr>
          <w:rStyle w:val="Textoennegrita"/>
          <w:i/>
          <w:color w:val="000000"/>
          <w:sz w:val="19"/>
          <w:szCs w:val="19"/>
          <w:shd w:val="clear" w:color="auto" w:fill="FFFFFF"/>
        </w:rPr>
        <w:t> </w:t>
      </w:r>
      <w:r w:rsidRPr="000D3453">
        <w:rPr>
          <w:rStyle w:val="nfasis"/>
          <w:rFonts w:ascii="Arial" w:hAnsi="Arial" w:cs="Arial"/>
          <w:bCs/>
          <w:color w:val="000000"/>
          <w:sz w:val="19"/>
          <w:szCs w:val="19"/>
          <w:shd w:val="clear" w:color="auto" w:fill="FFFFFF"/>
        </w:rPr>
        <w:t>Inscripción, renovación, actualización y cancelación del RUP.</w:t>
      </w:r>
      <w:r w:rsidRPr="000D3453">
        <w:rPr>
          <w:rStyle w:val="nfasis"/>
          <w:rFonts w:ascii="Arial" w:hAnsi="Arial" w:cs="Arial"/>
          <w:color w:val="000000"/>
          <w:sz w:val="19"/>
          <w:szCs w:val="19"/>
          <w:shd w:val="clear" w:color="auto" w:fill="FFFFFF"/>
        </w:rPr>
        <w:t> </w:t>
      </w:r>
      <w:r w:rsidRPr="000D3453">
        <w:rPr>
          <w:rFonts w:ascii="Arial" w:hAnsi="Arial" w:cs="Arial"/>
          <w:color w:val="000000"/>
          <w:sz w:val="19"/>
          <w:szCs w:val="19"/>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Pr>
          <w:rFonts w:ascii="Arial" w:hAnsi="Arial" w:cs="Arial"/>
          <w:color w:val="000000"/>
          <w:sz w:val="19"/>
          <w:szCs w:val="19"/>
          <w:lang w:eastAsia="es-CO"/>
        </w:rPr>
        <w:t>”</w:t>
      </w:r>
      <w:r w:rsidRPr="000D3453">
        <w:rPr>
          <w:rFonts w:ascii="Arial" w:hAnsi="Arial" w:cs="Arial"/>
          <w:color w:val="000000"/>
          <w:sz w:val="19"/>
          <w:szCs w:val="19"/>
          <w:shd w:val="clear" w:color="auto" w:fill="FFFFFF"/>
        </w:rPr>
        <w:t>.</w:t>
      </w:r>
    </w:p>
  </w:footnote>
  <w:footnote w:id="12">
    <w:p w14:paraId="6EDABD74"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Style w:val="Refdenotaalpie"/>
          <w:rFonts w:ascii="Arial" w:hAnsi="Arial" w:cs="Arial"/>
          <w:color w:val="000000"/>
          <w:sz w:val="19"/>
          <w:szCs w:val="19"/>
        </w:rPr>
        <w:footnoteRef/>
      </w:r>
      <w:r w:rsidRPr="000D3453">
        <w:rPr>
          <w:rFonts w:ascii="Arial" w:hAnsi="Arial" w:cs="Arial"/>
          <w:color w:val="000000"/>
          <w:sz w:val="19"/>
          <w:szCs w:val="19"/>
        </w:rPr>
        <w:t xml:space="preserve"> </w:t>
      </w:r>
      <w:r w:rsidRPr="000D3453">
        <w:rPr>
          <w:rFonts w:ascii="Arial" w:hAnsi="Arial" w:cs="Arial"/>
          <w:color w:val="000000"/>
          <w:sz w:val="19"/>
          <w:szCs w:val="19"/>
          <w:lang w:eastAsia="es-CO"/>
        </w:rPr>
        <w:t>Decreto 1082 de 2015:</w:t>
      </w:r>
      <w:r w:rsidRPr="000D3453">
        <w:rPr>
          <w:rFonts w:ascii="Arial" w:hAnsi="Arial" w:cs="Arial"/>
          <w:color w:val="000000"/>
          <w:sz w:val="19"/>
          <w:szCs w:val="19"/>
        </w:rPr>
        <w:t xml:space="preserve"> </w:t>
      </w:r>
      <w:r>
        <w:rPr>
          <w:rFonts w:ascii="Arial" w:hAnsi="Arial" w:cs="Arial"/>
          <w:color w:val="000000"/>
          <w:sz w:val="19"/>
          <w:szCs w:val="19"/>
          <w:lang w:eastAsia="es-CO"/>
        </w:rPr>
        <w:t>“</w:t>
      </w:r>
      <w:r w:rsidRPr="000D3453">
        <w:rPr>
          <w:rFonts w:ascii="Arial" w:hAnsi="Arial" w:cs="Arial"/>
          <w:color w:val="000000"/>
          <w:sz w:val="19"/>
          <w:szCs w:val="19"/>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58A2EECB" w14:textId="77777777" w:rsidR="00D43FFE" w:rsidRPr="000D3453" w:rsidRDefault="00D43FFE" w:rsidP="00D43FFE">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7DAFD20F" w14:textId="77777777" w:rsidR="00D43FFE" w:rsidRPr="00AA65B8" w:rsidRDefault="00D43FFE" w:rsidP="00D43FFE">
      <w:pPr>
        <w:pStyle w:val="Textonotapie"/>
        <w:ind w:firstLine="709"/>
        <w:contextualSpacing/>
        <w:jc w:val="both"/>
        <w:rPr>
          <w:rFonts w:ascii="Arial" w:hAnsi="Arial" w:cs="Arial"/>
          <w:color w:val="000000"/>
          <w:sz w:val="19"/>
          <w:szCs w:val="19"/>
          <w:lang w:eastAsia="es-CO"/>
        </w:rPr>
      </w:pPr>
      <w:r w:rsidRPr="000D3453">
        <w:rPr>
          <w:rFonts w:ascii="Arial" w:hAnsi="Arial" w:cs="Arial"/>
          <w:color w:val="000000"/>
          <w:sz w:val="19"/>
          <w:szCs w:val="19"/>
          <w:lang w:eastAsia="es-CO"/>
        </w:rPr>
        <w:t>Los inscritos en el RUP pueden en cualquier momento solicitar a la cámara de comercio cancelar su inscripción</w:t>
      </w:r>
      <w:r>
        <w:rPr>
          <w:rFonts w:ascii="Arial" w:hAnsi="Arial" w:cs="Arial"/>
          <w:color w:val="000000"/>
          <w:sz w:val="19"/>
          <w:szCs w:val="19"/>
          <w:lang w:eastAsia="es-CO"/>
        </w:rPr>
        <w:t>”</w:t>
      </w:r>
      <w:r w:rsidRPr="000D3453">
        <w:rPr>
          <w:rFonts w:ascii="Arial" w:hAnsi="Arial" w:cs="Arial"/>
          <w:color w:val="000000"/>
          <w:sz w:val="19"/>
          <w:szCs w:val="19"/>
          <w:lang w:eastAsia="es-CO"/>
        </w:rPr>
        <w:t>.</w:t>
      </w:r>
      <w:r>
        <w:rPr>
          <w:rFonts w:ascii="Arial" w:hAnsi="Arial" w:cs="Arial"/>
          <w:color w:val="000000"/>
          <w:sz w:val="19"/>
          <w:szCs w:val="19"/>
          <w:lang w:eastAsia="es-CO"/>
        </w:rPr>
        <w:t xml:space="preserve"> </w:t>
      </w:r>
    </w:p>
  </w:footnote>
  <w:footnote w:id="13">
    <w:p w14:paraId="5D1A945D" w14:textId="77777777" w:rsidR="00D43FFE" w:rsidRPr="00A810DF" w:rsidRDefault="00D43FFE" w:rsidP="00D43FFE">
      <w:pPr>
        <w:pStyle w:val="Textonotapie"/>
        <w:ind w:firstLine="709"/>
        <w:jc w:val="both"/>
        <w:rPr>
          <w:rFonts w:ascii="Arial" w:hAnsi="Arial" w:cs="Arial"/>
          <w:color w:val="000000"/>
          <w:sz w:val="19"/>
          <w:szCs w:val="19"/>
        </w:rPr>
      </w:pPr>
    </w:p>
    <w:p w14:paraId="5FBAAAFF" w14:textId="77777777" w:rsidR="00D43FFE" w:rsidRPr="00A810DF" w:rsidRDefault="00D43FFE" w:rsidP="00D43FFE">
      <w:pPr>
        <w:pStyle w:val="Textonotapie"/>
        <w:ind w:firstLine="709"/>
        <w:jc w:val="both"/>
        <w:rPr>
          <w:rFonts w:ascii="Arial" w:hAnsi="Arial" w:cs="Arial"/>
          <w:color w:val="000000"/>
          <w:sz w:val="19"/>
          <w:szCs w:val="19"/>
        </w:rPr>
      </w:pPr>
      <w:r w:rsidRPr="00A810DF">
        <w:rPr>
          <w:rStyle w:val="Refdenotaalpie"/>
          <w:rFonts w:ascii="Arial" w:hAnsi="Arial" w:cs="Arial"/>
          <w:color w:val="000000"/>
          <w:sz w:val="19"/>
          <w:szCs w:val="19"/>
        </w:rPr>
        <w:footnoteRef/>
      </w:r>
      <w:r w:rsidRPr="00A810DF">
        <w:rPr>
          <w:rFonts w:ascii="Arial" w:hAnsi="Arial" w:cs="Arial"/>
          <w:color w:val="000000"/>
          <w:sz w:val="19"/>
          <w:szCs w:val="19"/>
        </w:rPr>
        <w:t xml:space="preserve"> CONSEJO DE ESTADO. Sección Tercera. Subsección A. Auto del 25 de julio de 2018. Rad. 56.165A. C.P. Marta Nubia Velásquez Rico. </w:t>
      </w:r>
    </w:p>
    <w:p w14:paraId="173ED21B" w14:textId="77777777" w:rsidR="00D43FFE" w:rsidRPr="00A810DF" w:rsidRDefault="00D43FFE" w:rsidP="00D43FFE">
      <w:pPr>
        <w:pStyle w:val="Textonotapie"/>
        <w:ind w:firstLine="709"/>
        <w:jc w:val="both"/>
        <w:rPr>
          <w:rFonts w:ascii="Arial" w:hAnsi="Arial" w:cs="Arial"/>
          <w:color w:val="000000"/>
          <w:sz w:val="19"/>
          <w:szCs w:val="19"/>
          <w:lang w:val="es-ES"/>
        </w:rPr>
      </w:pPr>
    </w:p>
  </w:footnote>
  <w:footnote w:id="14">
    <w:p w14:paraId="600F04A3" w14:textId="77777777" w:rsidR="00D43FFE" w:rsidRPr="00A810DF" w:rsidRDefault="00D43FFE" w:rsidP="00D43FFE">
      <w:pPr>
        <w:pStyle w:val="Textonotapie"/>
        <w:ind w:firstLine="709"/>
        <w:jc w:val="both"/>
        <w:rPr>
          <w:rFonts w:ascii="Arial" w:hAnsi="Arial" w:cs="Arial"/>
          <w:color w:val="000000"/>
          <w:sz w:val="19"/>
          <w:szCs w:val="19"/>
          <w:lang w:val="es-ES"/>
        </w:rPr>
      </w:pPr>
      <w:r w:rsidRPr="00A810DF">
        <w:rPr>
          <w:rStyle w:val="Refdenotaalpie"/>
          <w:rFonts w:ascii="Arial" w:hAnsi="Arial" w:cs="Arial"/>
          <w:color w:val="000000"/>
          <w:sz w:val="19"/>
          <w:szCs w:val="19"/>
        </w:rPr>
        <w:footnoteRef/>
      </w:r>
      <w:r w:rsidRPr="00A810DF">
        <w:rPr>
          <w:rFonts w:ascii="Arial" w:hAnsi="Arial" w:cs="Arial"/>
          <w:color w:val="000000"/>
          <w:sz w:val="19"/>
          <w:szCs w:val="19"/>
        </w:rPr>
        <w:t xml:space="preserve"> </w:t>
      </w:r>
      <w:bookmarkStart w:id="4" w:name="_Hlk43903111"/>
      <w:r w:rsidRPr="00A810DF">
        <w:rPr>
          <w:rFonts w:ascii="Arial" w:hAnsi="Arial" w:cs="Arial"/>
          <w:color w:val="000000"/>
          <w:sz w:val="19"/>
          <w:szCs w:val="19"/>
        </w:rPr>
        <w:t>CONSEJO DE ESTADO. Sección Tercera. Subsección A. Auto del 20 de febrero de 2019. Rad. 61.463. C.P. Carlos Alberto Zambrano Barrera.</w:t>
      </w:r>
      <w:bookmarkEnd w:id="4"/>
    </w:p>
  </w:footnote>
  <w:footnote w:id="15">
    <w:p w14:paraId="3B31CF36" w14:textId="77777777" w:rsidR="00D43FFE" w:rsidRPr="00A810DF" w:rsidRDefault="00D43FFE" w:rsidP="00D43FFE">
      <w:pPr>
        <w:pStyle w:val="Textonotapie"/>
        <w:ind w:firstLine="709"/>
        <w:jc w:val="both"/>
        <w:rPr>
          <w:rFonts w:ascii="Arial" w:hAnsi="Arial" w:cs="Arial"/>
          <w:sz w:val="19"/>
          <w:szCs w:val="19"/>
        </w:rPr>
      </w:pPr>
    </w:p>
    <w:p w14:paraId="00E716F9" w14:textId="77777777" w:rsidR="00D43FFE" w:rsidRPr="00A810DF" w:rsidRDefault="00D43FFE" w:rsidP="00D43FFE">
      <w:pPr>
        <w:pStyle w:val="Textonotapie"/>
        <w:ind w:firstLine="709"/>
        <w:jc w:val="both"/>
        <w:rPr>
          <w:rFonts w:ascii="Arial" w:hAnsi="Arial" w:cs="Arial"/>
          <w:sz w:val="19"/>
          <w:szCs w:val="19"/>
        </w:rPr>
      </w:pPr>
      <w:r w:rsidRPr="00A810DF">
        <w:rPr>
          <w:rStyle w:val="Refdenotaalpie"/>
          <w:rFonts w:ascii="Arial" w:hAnsi="Arial" w:cs="Arial"/>
          <w:sz w:val="19"/>
          <w:szCs w:val="19"/>
        </w:rPr>
        <w:footnoteRef/>
      </w:r>
      <w:r w:rsidRPr="00A810DF">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3C690574" w14:textId="77777777" w:rsidR="00D43FFE" w:rsidRPr="00A810DF" w:rsidRDefault="00D43FFE" w:rsidP="00D43FFE">
      <w:pPr>
        <w:pStyle w:val="Textonotapie"/>
        <w:ind w:firstLine="709"/>
        <w:jc w:val="both"/>
        <w:rPr>
          <w:rFonts w:ascii="Arial" w:hAnsi="Arial" w:cs="Arial"/>
          <w:sz w:val="19"/>
          <w:szCs w:val="19"/>
        </w:rPr>
      </w:pPr>
      <w:r w:rsidRPr="00A810DF">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2403196C" w14:textId="77777777" w:rsidR="00D43FFE" w:rsidRPr="00A810DF" w:rsidRDefault="00D43FFE" w:rsidP="00D43FFE">
      <w:pPr>
        <w:pStyle w:val="Textonotapie"/>
        <w:ind w:firstLine="709"/>
        <w:jc w:val="both"/>
        <w:rPr>
          <w:rFonts w:ascii="Arial" w:hAnsi="Arial" w:cs="Arial"/>
          <w:sz w:val="19"/>
          <w:szCs w:val="19"/>
          <w:lang w:val="es-ES"/>
        </w:rPr>
      </w:pPr>
    </w:p>
  </w:footnote>
  <w:footnote w:id="16">
    <w:p w14:paraId="25F300DA" w14:textId="77777777" w:rsidR="00D43FFE" w:rsidRPr="00A810DF" w:rsidRDefault="00D43FFE" w:rsidP="00D43FFE">
      <w:pPr>
        <w:pStyle w:val="Textonotapie"/>
        <w:ind w:firstLine="709"/>
        <w:jc w:val="both"/>
        <w:rPr>
          <w:rFonts w:ascii="Arial" w:hAnsi="Arial" w:cs="Arial"/>
          <w:color w:val="000000"/>
          <w:sz w:val="19"/>
          <w:szCs w:val="19"/>
        </w:rPr>
      </w:pPr>
      <w:r w:rsidRPr="00A810DF">
        <w:rPr>
          <w:rStyle w:val="Refdenotaalpie"/>
          <w:rFonts w:ascii="Arial" w:hAnsi="Arial" w:cs="Arial"/>
          <w:sz w:val="19"/>
          <w:szCs w:val="19"/>
        </w:rPr>
        <w:footnoteRef/>
      </w:r>
      <w:r w:rsidRPr="00A810DF">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A810DF">
        <w:rPr>
          <w:rFonts w:ascii="Arial" w:hAnsi="Arial" w:cs="Arial"/>
          <w:color w:val="000000"/>
          <w:sz w:val="19"/>
          <w:szCs w:val="19"/>
        </w:rPr>
        <w:t>CONSEJO DE ESTADO. Sección Tercera. Subsección A. Auto del 25 de julio de 2018. Rad. 56.165A. C.P. Marta Nubia Velásquez Rico)</w:t>
      </w:r>
      <w:r w:rsidRPr="00A810DF">
        <w:rPr>
          <w:rFonts w:ascii="Arial" w:hAnsi="Arial" w:cs="Arial"/>
          <w:sz w:val="19"/>
          <w:szCs w:val="19"/>
        </w:rPr>
        <w:t>.</w:t>
      </w:r>
    </w:p>
  </w:footnote>
  <w:footnote w:id="17">
    <w:p w14:paraId="76748302" w14:textId="77777777" w:rsidR="00D43FFE" w:rsidRPr="00A810DF" w:rsidRDefault="00D43FFE" w:rsidP="00D43FFE">
      <w:pPr>
        <w:spacing w:after="0" w:line="240" w:lineRule="auto"/>
        <w:ind w:firstLine="709"/>
        <w:jc w:val="both"/>
        <w:rPr>
          <w:rFonts w:ascii="Arial" w:hAnsi="Arial" w:cs="Arial"/>
          <w:sz w:val="19"/>
          <w:szCs w:val="19"/>
        </w:rPr>
      </w:pPr>
    </w:p>
    <w:p w14:paraId="6ED2DF6E" w14:textId="77777777" w:rsidR="00D43FFE" w:rsidRPr="00A810DF" w:rsidRDefault="00D43FFE" w:rsidP="00D43FFE">
      <w:pPr>
        <w:spacing w:after="0" w:line="240" w:lineRule="auto"/>
        <w:ind w:firstLine="709"/>
        <w:jc w:val="both"/>
        <w:rPr>
          <w:rFonts w:ascii="Arial" w:hAnsi="Arial" w:cs="Arial"/>
          <w:sz w:val="19"/>
          <w:szCs w:val="19"/>
          <w:lang w:val="es-ES"/>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ES"/>
        </w:rPr>
        <w:t>En efecto, dentro de las consideraciones que motivan el Decreto 399 de 2021 se lee la siguiente: «Que teniendo en cuenta que el Auto del 20 de febrero de 2019 Exp. 61.463 de la Subsección A de la Sección Tercera del Consejo de Estado suspendió provisionalmente los numerales 3, 4 y 5 del artículo 2.2.1.2.1.3.2. del Decreto 1082 de 2015, Único Reglamentario del Sector Administrativo de Planeación Nacional y que el Auto del 25 de julio de 2018 Exp.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2AD27AF8" w14:textId="77777777" w:rsidR="00D43FFE" w:rsidRPr="00A810DF" w:rsidRDefault="00D43FFE" w:rsidP="00D43FFE">
      <w:pPr>
        <w:pStyle w:val="Textonotapie"/>
        <w:ind w:firstLine="709"/>
        <w:jc w:val="both"/>
        <w:rPr>
          <w:rFonts w:ascii="Arial" w:hAnsi="Arial" w:cs="Arial"/>
          <w:sz w:val="19"/>
          <w:szCs w:val="19"/>
          <w:lang w:val="es-CO"/>
        </w:rPr>
      </w:pPr>
    </w:p>
  </w:footnote>
  <w:footnote w:id="18">
    <w:p w14:paraId="67C4473F" w14:textId="77777777" w:rsidR="00D43FFE" w:rsidRPr="00A810DF" w:rsidRDefault="00D43FFE" w:rsidP="00D43FFE">
      <w:pPr>
        <w:pStyle w:val="Textonotapie"/>
        <w:ind w:firstLine="709"/>
        <w:jc w:val="both"/>
        <w:rPr>
          <w:rFonts w:ascii="Arial" w:hAnsi="Arial" w:cs="Arial"/>
          <w:sz w:val="19"/>
          <w:szCs w:val="19"/>
        </w:rPr>
      </w:pPr>
    </w:p>
    <w:p w14:paraId="6FEE1CD7" w14:textId="77777777" w:rsidR="00D43FFE" w:rsidRPr="00A810DF" w:rsidRDefault="00D43FFE" w:rsidP="00D43FFE">
      <w:pPr>
        <w:pStyle w:val="Textonotapie"/>
        <w:ind w:firstLine="709"/>
        <w:jc w:val="both"/>
        <w:rPr>
          <w:rFonts w:ascii="Arial" w:hAnsi="Arial" w:cs="Arial"/>
          <w:sz w:val="19"/>
          <w:szCs w:val="19"/>
          <w:lang w:val="es-ES"/>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ES"/>
        </w:rPr>
        <w:t>Decreto 1082 de 2015. Artículo 2.2.1.2.1.3.2. Procedimiento de Concurso de méritos. […]</w:t>
      </w:r>
    </w:p>
    <w:p w14:paraId="1CD565F5" w14:textId="77777777" w:rsidR="00D43FFE" w:rsidRPr="00A810DF" w:rsidRDefault="00D43FFE" w:rsidP="00D43FFE">
      <w:pPr>
        <w:pStyle w:val="Textonotapie"/>
        <w:ind w:firstLine="709"/>
        <w:jc w:val="both"/>
        <w:rPr>
          <w:rFonts w:ascii="Arial" w:hAnsi="Arial" w:cs="Arial"/>
          <w:sz w:val="19"/>
          <w:szCs w:val="19"/>
          <w:lang w:val="es-ES"/>
        </w:rPr>
      </w:pPr>
      <w:r w:rsidRPr="00A810DF">
        <w:rPr>
          <w:rFonts w:ascii="Arial" w:hAnsi="Arial" w:cs="Arial"/>
          <w:sz w:val="19"/>
          <w:szCs w:val="19"/>
          <w:lang w:val="es-ES"/>
        </w:rPr>
        <w:t xml:space="preserve">«1. </w:t>
      </w:r>
      <w:r w:rsidRPr="00A810DF">
        <w:rPr>
          <w:rFonts w:ascii="Arial" w:hAnsi="Arial" w:cs="Arial"/>
          <w:sz w:val="19"/>
          <w:szCs w:val="19"/>
          <w:lang w:val="es-CO"/>
        </w:rPr>
        <w:t xml:space="preserve">La </w:t>
      </w:r>
      <w:r w:rsidRPr="00A810DF">
        <w:rPr>
          <w:rFonts w:ascii="Arial" w:hAnsi="Arial" w:cs="Arial"/>
          <w:sz w:val="19"/>
          <w:szCs w:val="19"/>
          <w:lang w:val="es-ES"/>
        </w:rPr>
        <w:t xml:space="preserve">Entidad Estatal en los pliegos de condiciones debe indicar la forma como calificará, entre otros, los siguientes criterios: (a) la experiencia del interesado y del equipo de trabajo; y (b) la formación académica y las publicaciones técnicas y científicas del equipo de trabajo. </w:t>
      </w:r>
    </w:p>
    <w:p w14:paraId="41B5399A" w14:textId="77777777" w:rsidR="00D43FFE" w:rsidRPr="00A810DF" w:rsidRDefault="00D43FFE" w:rsidP="00D43FFE">
      <w:pPr>
        <w:pStyle w:val="Textonotapie"/>
        <w:ind w:firstLine="709"/>
        <w:jc w:val="both"/>
        <w:rPr>
          <w:rFonts w:ascii="Arial" w:hAnsi="Arial" w:cs="Arial"/>
          <w:sz w:val="19"/>
          <w:szCs w:val="19"/>
          <w:lang w:val="es-ES"/>
        </w:rPr>
      </w:pPr>
      <w:r w:rsidRPr="00A810DF">
        <w:rPr>
          <w:rFonts w:ascii="Arial" w:hAnsi="Arial" w:cs="Arial"/>
          <w:sz w:val="19"/>
          <w:szCs w:val="19"/>
          <w:lang w:val="es-ES"/>
        </w:rPr>
        <w:t xml:space="preserve">»2. La Entidad Estatal debe publicar durante tres (3) días hábiles el informe de evaluación, el cual debe contener la calificación técnica y el orden de elegibilidad. </w:t>
      </w:r>
    </w:p>
    <w:p w14:paraId="606F9B5D" w14:textId="77777777" w:rsidR="00D43FFE" w:rsidRPr="00A810DF" w:rsidRDefault="00D43FFE" w:rsidP="00D43FFE">
      <w:pPr>
        <w:pStyle w:val="Textonotapie"/>
        <w:ind w:firstLine="709"/>
        <w:jc w:val="both"/>
        <w:rPr>
          <w:rFonts w:ascii="Arial" w:hAnsi="Arial" w:cs="Arial"/>
          <w:sz w:val="19"/>
          <w:szCs w:val="19"/>
          <w:lang w:val="es-ES"/>
        </w:rPr>
      </w:pPr>
      <w:r w:rsidRPr="00A810DF">
        <w:rPr>
          <w:rFonts w:ascii="Arial" w:hAnsi="Arial" w:cs="Arial"/>
          <w:sz w:val="19"/>
          <w:szCs w:val="19"/>
          <w:lang w:val="es-ES"/>
        </w:rPr>
        <w:t>»3. La Entidad Estatal debe revisar la oferta económica y verificar que está en el rango del valor estimado consignado en los documentos y estudios previos y del presupuesto asignado para el contrato.</w:t>
      </w:r>
    </w:p>
    <w:p w14:paraId="34A8377F" w14:textId="77777777" w:rsidR="00D43FFE" w:rsidRPr="00A810DF" w:rsidRDefault="00D43FFE" w:rsidP="00D43FFE">
      <w:pPr>
        <w:pStyle w:val="Textonotapie"/>
        <w:ind w:firstLine="709"/>
        <w:jc w:val="both"/>
        <w:rPr>
          <w:rFonts w:ascii="Arial" w:hAnsi="Arial" w:cs="Arial"/>
          <w:sz w:val="19"/>
          <w:szCs w:val="19"/>
          <w:lang w:val="es-ES"/>
        </w:rPr>
      </w:pPr>
      <w:r w:rsidRPr="00A810DF">
        <w:rPr>
          <w:rFonts w:ascii="Arial" w:hAnsi="Arial" w:cs="Arial"/>
          <w:sz w:val="19"/>
          <w:szCs w:val="19"/>
          <w:lang w:val="es-ES"/>
        </w:rPr>
        <w:t>»4. La Entidad Estatal debe revisar con el oferente calificado en el primer lugar de elegibilidad la coherencia y consistencia entre: (i) la necesidad identificada por la Entidad Estatal y el alcance de la oferta; (ii) la consultoría y el precio ofrecidos; y (iii) el precio ofrecido y la disponibilidad presupuestal del respectivo Proceso de Contratación. Si la Entidad Estatal y el oferente llegan a un acuerdo sobre el alcance y el valor del contrato, dejarán constancia de este y firmarán el contrato.</w:t>
      </w:r>
    </w:p>
    <w:p w14:paraId="3465CE84" w14:textId="77777777" w:rsidR="00D43FFE" w:rsidRPr="00A810DF" w:rsidRDefault="00D43FFE" w:rsidP="00D43FFE">
      <w:pPr>
        <w:pStyle w:val="Textonotapie"/>
        <w:ind w:firstLine="709"/>
        <w:jc w:val="both"/>
        <w:rPr>
          <w:rFonts w:ascii="Arial" w:hAnsi="Arial" w:cs="Arial"/>
          <w:sz w:val="19"/>
          <w:szCs w:val="19"/>
          <w:lang w:val="es-ES"/>
        </w:rPr>
      </w:pPr>
      <w:r w:rsidRPr="00A810DF">
        <w:rPr>
          <w:rFonts w:ascii="Arial" w:hAnsi="Arial" w:cs="Arial"/>
          <w:sz w:val="19"/>
          <w:szCs w:val="19"/>
          <w:lang w:val="es-ES"/>
        </w:rPr>
        <w:t>[…]»</w:t>
      </w:r>
    </w:p>
  </w:footnote>
  <w:footnote w:id="19">
    <w:p w14:paraId="40B06D74" w14:textId="77777777" w:rsidR="00D43FFE" w:rsidRPr="00BD5ED5" w:rsidRDefault="00D43FFE" w:rsidP="00D43FFE">
      <w:pPr>
        <w:pStyle w:val="Textonotapie"/>
        <w:ind w:firstLine="709"/>
        <w:rPr>
          <w:rFonts w:ascii="Arial" w:hAnsi="Arial" w:cs="Arial"/>
          <w:color w:val="000000" w:themeColor="text1"/>
          <w:sz w:val="19"/>
          <w:szCs w:val="19"/>
        </w:rPr>
      </w:pPr>
    </w:p>
    <w:p w14:paraId="4B63CA44" w14:textId="77777777" w:rsidR="00D43FFE" w:rsidRPr="00BD5ED5" w:rsidRDefault="00D43FFE" w:rsidP="00D43FFE">
      <w:pPr>
        <w:pStyle w:val="Textonotapie"/>
        <w:ind w:firstLine="709"/>
        <w:rPr>
          <w:rFonts w:ascii="Arial" w:hAnsi="Arial" w:cs="Arial"/>
          <w:color w:val="000000" w:themeColor="text1"/>
          <w:sz w:val="19"/>
          <w:szCs w:val="19"/>
        </w:rPr>
      </w:pPr>
      <w:r w:rsidRPr="00BD5ED5">
        <w:rPr>
          <w:rStyle w:val="Refdenotaalpie"/>
          <w:rFonts w:ascii="Arial" w:hAnsi="Arial" w:cs="Arial"/>
          <w:color w:val="000000" w:themeColor="text1"/>
          <w:sz w:val="19"/>
          <w:szCs w:val="19"/>
        </w:rPr>
        <w:footnoteRef/>
      </w:r>
      <w:r w:rsidRPr="00BD5ED5">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4E536559" w14:textId="77777777" w:rsidR="00D43FFE" w:rsidRPr="00BD5ED5" w:rsidRDefault="00D43FFE" w:rsidP="00D43FFE">
      <w:pPr>
        <w:pStyle w:val="Textonotapie"/>
        <w:ind w:firstLine="709"/>
        <w:rPr>
          <w:rFonts w:ascii="Arial" w:hAnsi="Arial" w:cs="Arial"/>
          <w:color w:val="000000" w:themeColor="text1"/>
          <w:sz w:val="19"/>
          <w:szCs w:val="19"/>
        </w:rPr>
      </w:pPr>
    </w:p>
  </w:footnote>
  <w:footnote w:id="20">
    <w:p w14:paraId="7063EE95" w14:textId="77777777" w:rsidR="00D43FFE" w:rsidRPr="00BD5ED5" w:rsidRDefault="00D43FFE" w:rsidP="00D43FFE">
      <w:pPr>
        <w:pStyle w:val="Textonotapie"/>
        <w:ind w:firstLine="709"/>
        <w:rPr>
          <w:rFonts w:ascii="Arial" w:hAnsi="Arial" w:cs="Arial"/>
          <w:color w:val="000000" w:themeColor="text1"/>
          <w:sz w:val="19"/>
          <w:szCs w:val="19"/>
        </w:rPr>
      </w:pPr>
      <w:r w:rsidRPr="00BD5ED5">
        <w:rPr>
          <w:rStyle w:val="Refdenotaalpie"/>
          <w:rFonts w:ascii="Arial" w:hAnsi="Arial" w:cs="Arial"/>
          <w:color w:val="000000" w:themeColor="text1"/>
          <w:sz w:val="19"/>
          <w:szCs w:val="19"/>
        </w:rPr>
        <w:footnoteRef/>
      </w:r>
      <w:r w:rsidRPr="00BD5ED5">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21">
    <w:p w14:paraId="44C4AF82" w14:textId="77777777" w:rsidR="00D43FFE" w:rsidRPr="00BD5ED5" w:rsidRDefault="00D43FFE" w:rsidP="00D43FFE">
      <w:pPr>
        <w:pStyle w:val="Textonotapie"/>
        <w:ind w:firstLine="709"/>
        <w:rPr>
          <w:rFonts w:ascii="Arial" w:hAnsi="Arial" w:cs="Arial"/>
          <w:color w:val="000000" w:themeColor="text1"/>
          <w:sz w:val="19"/>
          <w:szCs w:val="19"/>
        </w:rPr>
      </w:pPr>
    </w:p>
    <w:p w14:paraId="488DDEED" w14:textId="77777777" w:rsidR="00D43FFE" w:rsidRPr="00BD5ED5" w:rsidRDefault="00D43FFE" w:rsidP="00D43FFE">
      <w:pPr>
        <w:pStyle w:val="Textonotapie"/>
        <w:ind w:firstLine="709"/>
        <w:rPr>
          <w:rFonts w:ascii="Arial" w:hAnsi="Arial" w:cs="Arial"/>
          <w:color w:val="000000" w:themeColor="text1"/>
          <w:sz w:val="19"/>
          <w:szCs w:val="19"/>
        </w:rPr>
      </w:pPr>
      <w:r w:rsidRPr="00BD5ED5">
        <w:rPr>
          <w:rStyle w:val="Refdenotaalpie"/>
          <w:rFonts w:ascii="Arial" w:hAnsi="Arial" w:cs="Arial"/>
          <w:color w:val="000000" w:themeColor="text1"/>
          <w:sz w:val="19"/>
          <w:szCs w:val="19"/>
        </w:rPr>
        <w:footnoteRef/>
      </w:r>
      <w:r w:rsidRPr="00BD5ED5">
        <w:rPr>
          <w:rFonts w:ascii="Arial" w:hAnsi="Arial" w:cs="Arial"/>
          <w:color w:val="000000" w:themeColor="text1"/>
          <w:sz w:val="19"/>
          <w:szCs w:val="19"/>
        </w:rPr>
        <w:t xml:space="preserve"> Consejo de Estado. Sección Tercera. Subsección C. Sentencia del 26 de febrero de 2014. Expediente: 25.804. Consejero Ponente: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D43FFE" w:rsidRDefault="00906B3C" w:rsidP="008614E5">
    <w:pPr>
      <w:spacing w:after="0"/>
      <w:rPr>
        <w:rFonts w:ascii="Geomanist Light" w:hAnsi="Geomanist Light"/>
        <w:color w:val="002060"/>
        <w:sz w:val="16"/>
        <w:szCs w:val="16"/>
        <w:lang w:val="pt-PT"/>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D43FFE">
      <w:rPr>
        <w:rFonts w:ascii="Geomanist Light" w:hAnsi="Geomanist Light"/>
        <w:color w:val="002060"/>
        <w:sz w:val="16"/>
        <w:szCs w:val="16"/>
        <w:lang w:val="pt-PT"/>
      </w:rPr>
      <w:t>FORMATO PQRSD</w:t>
    </w:r>
  </w:p>
  <w:p w14:paraId="077278A1" w14:textId="2CAB5B77" w:rsidR="007566FE" w:rsidRPr="00D43F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val="pt-PT" w:eastAsia="es-CO"/>
      </w:rPr>
    </w:pPr>
    <w:r w:rsidRPr="00D43FFE">
      <w:rPr>
        <w:rFonts w:ascii="Geomanist Light" w:eastAsia="Geo" w:hAnsi="Geomanist Light" w:cs="Geo"/>
        <w:b/>
        <w:color w:val="000000"/>
        <w:sz w:val="16"/>
        <w:szCs w:val="16"/>
        <w:lang w:val="pt-PT" w:eastAsia="es-CO"/>
      </w:rPr>
      <w:t xml:space="preserve">Código: </w:t>
    </w:r>
    <w:r w:rsidRPr="00D43FFE">
      <w:rPr>
        <w:rFonts w:ascii="Geomanist Light" w:eastAsia="Geo" w:hAnsi="Geomanist Light" w:cs="Geo"/>
        <w:bCs/>
        <w:color w:val="000000"/>
        <w:sz w:val="16"/>
        <w:szCs w:val="16"/>
        <w:lang w:val="pt-PT"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51C0253"/>
    <w:multiLevelType w:val="hybridMultilevel"/>
    <w:tmpl w:val="BE9E2BB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567034888">
    <w:abstractNumId w:val="0"/>
  </w:num>
  <w:num w:numId="5" w16cid:durableId="1904174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95B8A"/>
    <w:rsid w:val="000A683E"/>
    <w:rsid w:val="0011595A"/>
    <w:rsid w:val="001220C5"/>
    <w:rsid w:val="001267F7"/>
    <w:rsid w:val="00127233"/>
    <w:rsid w:val="00130999"/>
    <w:rsid w:val="00164D81"/>
    <w:rsid w:val="001A1011"/>
    <w:rsid w:val="001A48D0"/>
    <w:rsid w:val="002653C1"/>
    <w:rsid w:val="0026611D"/>
    <w:rsid w:val="002951A0"/>
    <w:rsid w:val="002A64FD"/>
    <w:rsid w:val="002F0839"/>
    <w:rsid w:val="00301469"/>
    <w:rsid w:val="00306EE1"/>
    <w:rsid w:val="00310B9B"/>
    <w:rsid w:val="0036461C"/>
    <w:rsid w:val="00367884"/>
    <w:rsid w:val="0039439C"/>
    <w:rsid w:val="003B69E7"/>
    <w:rsid w:val="003C013B"/>
    <w:rsid w:val="003C6647"/>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6219F8"/>
    <w:rsid w:val="00681FDB"/>
    <w:rsid w:val="006A7DAD"/>
    <w:rsid w:val="006D70BA"/>
    <w:rsid w:val="00740DF7"/>
    <w:rsid w:val="007566FE"/>
    <w:rsid w:val="0076726F"/>
    <w:rsid w:val="0077144B"/>
    <w:rsid w:val="0078310D"/>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27746"/>
    <w:rsid w:val="0095342C"/>
    <w:rsid w:val="009F33F2"/>
    <w:rsid w:val="009F6C77"/>
    <w:rsid w:val="00A07532"/>
    <w:rsid w:val="00A1085C"/>
    <w:rsid w:val="00A309E2"/>
    <w:rsid w:val="00A7750F"/>
    <w:rsid w:val="00A8066E"/>
    <w:rsid w:val="00AA4B8A"/>
    <w:rsid w:val="00AA6BF7"/>
    <w:rsid w:val="00B01ED6"/>
    <w:rsid w:val="00B06D09"/>
    <w:rsid w:val="00B771A9"/>
    <w:rsid w:val="00B809BB"/>
    <w:rsid w:val="00B8248A"/>
    <w:rsid w:val="00BB7726"/>
    <w:rsid w:val="00BF394F"/>
    <w:rsid w:val="00C2329E"/>
    <w:rsid w:val="00C30461"/>
    <w:rsid w:val="00C56D61"/>
    <w:rsid w:val="00C754BE"/>
    <w:rsid w:val="00C87572"/>
    <w:rsid w:val="00C9405D"/>
    <w:rsid w:val="00CC1B26"/>
    <w:rsid w:val="00CC4487"/>
    <w:rsid w:val="00CD284F"/>
    <w:rsid w:val="00CF23AA"/>
    <w:rsid w:val="00D01921"/>
    <w:rsid w:val="00D43FFE"/>
    <w:rsid w:val="00D752B7"/>
    <w:rsid w:val="00DA1854"/>
    <w:rsid w:val="00DB0887"/>
    <w:rsid w:val="00DF1E43"/>
    <w:rsid w:val="00DF7473"/>
    <w:rsid w:val="00E20894"/>
    <w:rsid w:val="00E26B7C"/>
    <w:rsid w:val="00EA3003"/>
    <w:rsid w:val="00EB3C91"/>
    <w:rsid w:val="00EB66DA"/>
    <w:rsid w:val="00F605F2"/>
    <w:rsid w:val="00F76AFC"/>
    <w:rsid w:val="00F8319B"/>
    <w:rsid w:val="00F906BB"/>
    <w:rsid w:val="00FA5516"/>
    <w:rsid w:val="00FD6F73"/>
    <w:rsid w:val="1CC63BF5"/>
    <w:rsid w:val="2F9951DC"/>
    <w:rsid w:val="327E31DF"/>
    <w:rsid w:val="3EA192D0"/>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5BB660BE-3549-492E-9102-19825383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D43FF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43FFE"/>
    <w:rPr>
      <w:rFonts w:ascii="Geomanist Light" w:hAnsi="Geomanist Light"/>
      <w:lang w:val="es-ES"/>
    </w:rPr>
  </w:style>
  <w:style w:type="character" w:styleId="Textoennegrita">
    <w:name w:val="Strong"/>
    <w:basedOn w:val="Fuentedeprrafopredeter"/>
    <w:uiPriority w:val="22"/>
    <w:qFormat/>
    <w:rsid w:val="00D43FFE"/>
    <w:rPr>
      <w:b/>
      <w:bCs/>
    </w:rPr>
  </w:style>
  <w:style w:type="character" w:customStyle="1" w:styleId="eop">
    <w:name w:val="eop"/>
    <w:basedOn w:val="Fuentedeprrafopredeter"/>
    <w:rsid w:val="00D43FFE"/>
  </w:style>
  <w:style w:type="character" w:styleId="nfasis">
    <w:name w:val="Emphasis"/>
    <w:basedOn w:val="Fuentedeprrafopredeter"/>
    <w:uiPriority w:val="20"/>
    <w:qFormat/>
    <w:rsid w:val="00D43FFE"/>
    <w:rPr>
      <w:i/>
      <w:iCs/>
    </w:rPr>
  </w:style>
  <w:style w:type="paragraph" w:styleId="Textoindependiente">
    <w:name w:val="Body Text"/>
    <w:basedOn w:val="Normal"/>
    <w:link w:val="TextoindependienteCar"/>
    <w:uiPriority w:val="1"/>
    <w:qFormat/>
    <w:rsid w:val="00A7750F"/>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A7750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745AC8B3-D9AC-4BEF-86C8-2EFFBA06B123}"/>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11404</Words>
  <Characters>62723</Characters>
  <Application>Microsoft Office Word</Application>
  <DocSecurity>0</DocSecurity>
  <Lines>522</Lines>
  <Paragraphs>147</Paragraphs>
  <ScaleCrop>false</ScaleCrop>
  <Company/>
  <LinksUpToDate>false</LinksUpToDate>
  <CharactersWithSpaces>73980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Melissa Fernández Reinoso</cp:lastModifiedBy>
  <cp:revision>3</cp:revision>
  <dcterms:created xsi:type="dcterms:W3CDTF">2023-06-14T16:30:00Z</dcterms:created>
  <dcterms:modified xsi:type="dcterms:W3CDTF">2023-06-14T16:39:00Z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