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68411" w14:textId="77777777" w:rsidR="00016098" w:rsidRPr="000432CF" w:rsidRDefault="00016098" w:rsidP="009622EE">
      <w:pPr>
        <w:spacing w:line="276" w:lineRule="auto"/>
        <w:ind w:firstLine="708"/>
        <w:jc w:val="both"/>
        <w:rPr>
          <w:rFonts w:ascii="Arial" w:eastAsia="Calibri" w:hAnsi="Arial" w:cs="Arial"/>
          <w:b/>
          <w:sz w:val="21"/>
          <w:szCs w:val="21"/>
          <w:lang w:val="es-ES_tradnl"/>
        </w:rPr>
      </w:pPr>
      <w:bookmarkStart w:id="0" w:name="_Hlk106976282"/>
      <w:bookmarkStart w:id="1" w:name="_Hlk111627046"/>
      <w:r w:rsidRPr="000432CF">
        <w:rPr>
          <w:rFonts w:ascii="Arial" w:eastAsia="Calibri" w:hAnsi="Arial" w:cs="Arial"/>
          <w:b/>
          <w:sz w:val="21"/>
          <w:szCs w:val="21"/>
          <w:lang w:val="es-ES_tradnl"/>
        </w:rPr>
        <w:t xml:space="preserve">LEY DE EMPRENDIMIENTO – Ley 2069 de 2020 – Vigencia </w:t>
      </w:r>
    </w:p>
    <w:p w14:paraId="0C856B1A" w14:textId="77777777" w:rsidR="00016098" w:rsidRDefault="00016098" w:rsidP="00016098">
      <w:pPr>
        <w:jc w:val="both"/>
        <w:rPr>
          <w:rFonts w:ascii="Arial" w:eastAsia="Calibri" w:hAnsi="Arial" w:cs="Arial"/>
          <w:sz w:val="20"/>
          <w:szCs w:val="20"/>
          <w:lang w:val="es-ES_tradnl"/>
        </w:rPr>
      </w:pPr>
      <w:r w:rsidRPr="00BF1483">
        <w:rPr>
          <w:rFonts w:ascii="Arial" w:eastAsia="Calibri" w:hAnsi="Arial" w:cs="Arial"/>
          <w:sz w:val="20"/>
          <w:szCs w:val="20"/>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expidiera el decreto correspondiente que permitiera la cumplida ejecución de esta Ley, como, efectivamente, sucedió, según se indica más adelante.</w:t>
      </w:r>
    </w:p>
    <w:p w14:paraId="756A7FA3" w14:textId="77777777" w:rsidR="00016098" w:rsidRPr="00BF1483" w:rsidRDefault="00016098" w:rsidP="00016098">
      <w:pPr>
        <w:jc w:val="both"/>
        <w:rPr>
          <w:rFonts w:ascii="Arial" w:eastAsia="Calibri" w:hAnsi="Arial" w:cs="Arial"/>
          <w:sz w:val="20"/>
          <w:szCs w:val="20"/>
          <w:lang w:val="es-ES_tradnl"/>
        </w:rPr>
      </w:pPr>
    </w:p>
    <w:p w14:paraId="11AF7D17" w14:textId="77777777" w:rsidR="00016098" w:rsidRDefault="00016098" w:rsidP="00016098">
      <w:pPr>
        <w:jc w:val="both"/>
        <w:rPr>
          <w:rFonts w:ascii="Arial" w:eastAsia="Calibri" w:hAnsi="Arial" w:cs="Arial"/>
          <w:sz w:val="20"/>
          <w:szCs w:val="20"/>
          <w:lang w:val="es-ES_tradnl"/>
        </w:rPr>
      </w:pPr>
      <w:r w:rsidRPr="00BF1483">
        <w:rPr>
          <w:rFonts w:ascii="Arial" w:eastAsia="Calibri" w:hAnsi="Arial" w:cs="Arial"/>
          <w:sz w:val="20"/>
          <w:szCs w:val="20"/>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r>
        <w:rPr>
          <w:rFonts w:ascii="Arial" w:eastAsia="Calibri" w:hAnsi="Arial" w:cs="Arial"/>
          <w:sz w:val="20"/>
          <w:szCs w:val="20"/>
          <w:lang w:val="es-ES_tradnl"/>
        </w:rPr>
        <w:t>.</w:t>
      </w:r>
    </w:p>
    <w:p w14:paraId="145E8BFD" w14:textId="77777777" w:rsidR="00016098" w:rsidRPr="00BF1483" w:rsidRDefault="00016098" w:rsidP="00016098">
      <w:pPr>
        <w:jc w:val="both"/>
        <w:rPr>
          <w:rFonts w:ascii="Arial" w:eastAsia="Calibri" w:hAnsi="Arial" w:cs="Arial"/>
          <w:sz w:val="20"/>
          <w:szCs w:val="20"/>
          <w:lang w:val="es-ES_tradnl"/>
        </w:rPr>
      </w:pPr>
    </w:p>
    <w:p w14:paraId="0A2D17F8" w14:textId="77777777" w:rsidR="00016098" w:rsidRPr="000432CF" w:rsidRDefault="00016098" w:rsidP="00016098">
      <w:pPr>
        <w:spacing w:line="276" w:lineRule="auto"/>
        <w:jc w:val="both"/>
        <w:rPr>
          <w:rFonts w:ascii="Arial" w:eastAsia="Calibri" w:hAnsi="Arial" w:cs="Arial"/>
          <w:b/>
          <w:sz w:val="21"/>
          <w:szCs w:val="21"/>
          <w:lang w:val="es-ES_tradnl"/>
        </w:rPr>
      </w:pPr>
      <w:r w:rsidRPr="000432CF">
        <w:rPr>
          <w:rFonts w:ascii="Arial" w:eastAsia="Calibri" w:hAnsi="Arial" w:cs="Arial"/>
          <w:b/>
          <w:sz w:val="21"/>
          <w:szCs w:val="21"/>
          <w:lang w:val="es-ES_tradnl"/>
        </w:rPr>
        <w:t xml:space="preserve">MIPYMES – Artículo 34 de la Ley 2069 de 2020 </w:t>
      </w:r>
    </w:p>
    <w:p w14:paraId="7EFD3B43" w14:textId="77777777" w:rsidR="00016098" w:rsidRPr="00BF1483" w:rsidRDefault="00016098" w:rsidP="00016098">
      <w:pPr>
        <w:jc w:val="both"/>
        <w:rPr>
          <w:rFonts w:ascii="Arial" w:eastAsia="Calibri" w:hAnsi="Arial" w:cs="Arial"/>
          <w:sz w:val="20"/>
          <w:szCs w:val="20"/>
          <w:lang w:val="es-ES_tradnl"/>
        </w:rPr>
      </w:pPr>
      <w:r w:rsidRPr="00BF1483">
        <w:rPr>
          <w:rFonts w:ascii="Arial" w:eastAsia="Calibri" w:hAnsi="Arial" w:cs="Arial"/>
          <w:sz w:val="20"/>
          <w:szCs w:val="20"/>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 </w:t>
      </w:r>
    </w:p>
    <w:p w14:paraId="53D7860E" w14:textId="77777777" w:rsidR="00016098" w:rsidRPr="00BF1483" w:rsidRDefault="00016098" w:rsidP="00016098">
      <w:pPr>
        <w:jc w:val="both"/>
        <w:rPr>
          <w:rFonts w:ascii="Arial" w:eastAsia="Calibri" w:hAnsi="Arial" w:cs="Arial"/>
          <w:sz w:val="20"/>
          <w:szCs w:val="20"/>
          <w:lang w:val="es-ES_tradnl"/>
        </w:rPr>
      </w:pPr>
      <w:r w:rsidRPr="00BF1483">
        <w:rPr>
          <w:rFonts w:ascii="Arial" w:eastAsia="Calibri" w:hAnsi="Arial" w:cs="Arial"/>
          <w:sz w:val="20"/>
          <w:szCs w:val="20"/>
          <w:lang w:val="es-ES_tradnl"/>
        </w:rPr>
        <w:t>Lo anterior quedó reafirmado con la expedición del Decreto 1860 de 24 de diciembre de 2021, reglamento que modificó, entre otros aspectos, la Subsección 5 de la Sección 1 del Capítulo 2 del Título 1 de la Parte 2 del Libro 2 y los artículos 2.2.1.2.4.2.2. y 2.2.1.2.4.2.3. y siguientes del Decreto 1082 de 2015, Único Reglamentario del Sector Administrativo de Planeación Nacional. Esta modificación entró a regir a partir del 24 de marzo de 2022, pues el artículo 8 de la nueva norma reglamentaria sometió la vigencia de los cambios al transcurso del periodo de 3 meses siguientes a la expedición del decreto.</w:t>
      </w:r>
    </w:p>
    <w:p w14:paraId="0E3EA5B9" w14:textId="77777777" w:rsidR="00016098" w:rsidRPr="000432CF" w:rsidRDefault="00016098" w:rsidP="00016098">
      <w:pPr>
        <w:spacing w:line="276" w:lineRule="auto"/>
        <w:jc w:val="both"/>
        <w:rPr>
          <w:rFonts w:ascii="Arial" w:eastAsia="Calibri" w:hAnsi="Arial" w:cs="Arial"/>
          <w:sz w:val="21"/>
          <w:szCs w:val="21"/>
          <w:lang w:val="es-ES_tradnl"/>
        </w:rPr>
      </w:pPr>
    </w:p>
    <w:p w14:paraId="14686D7F" w14:textId="77777777" w:rsidR="00016098" w:rsidRPr="000432CF" w:rsidRDefault="00016098" w:rsidP="00016098">
      <w:pPr>
        <w:spacing w:line="276" w:lineRule="auto"/>
        <w:contextualSpacing/>
        <w:jc w:val="both"/>
        <w:rPr>
          <w:rFonts w:ascii="Arial" w:hAnsi="Arial" w:cs="Arial"/>
          <w:b/>
          <w:bCs/>
          <w:sz w:val="21"/>
          <w:szCs w:val="21"/>
          <w:lang w:val="es-ES_tradnl" w:eastAsia="es-MX"/>
        </w:rPr>
      </w:pPr>
      <w:r w:rsidRPr="000432CF">
        <w:rPr>
          <w:rFonts w:ascii="Arial" w:hAnsi="Arial" w:cs="Arial"/>
          <w:b/>
          <w:bCs/>
          <w:sz w:val="21"/>
          <w:szCs w:val="21"/>
          <w:lang w:val="es-ES_tradnl" w:eastAsia="es-MX"/>
        </w:rPr>
        <w:t xml:space="preserve">REQUISITOS HABILITANTES – Concepto </w:t>
      </w:r>
    </w:p>
    <w:p w14:paraId="053D58F6" w14:textId="77777777" w:rsidR="00016098" w:rsidRPr="00BF1483" w:rsidRDefault="00016098" w:rsidP="00016098">
      <w:pPr>
        <w:contextualSpacing/>
        <w:jc w:val="both"/>
        <w:rPr>
          <w:rFonts w:ascii="Arial" w:hAnsi="Arial" w:cs="Arial"/>
          <w:b/>
          <w:bCs/>
          <w:sz w:val="20"/>
          <w:szCs w:val="20"/>
          <w:lang w:val="es-ES_tradnl" w:eastAsia="es-MX"/>
        </w:rPr>
      </w:pPr>
    </w:p>
    <w:p w14:paraId="1D8A9535" w14:textId="77777777" w:rsidR="00016098" w:rsidRPr="00BF1483" w:rsidRDefault="00016098" w:rsidP="00016098">
      <w:pPr>
        <w:contextualSpacing/>
        <w:jc w:val="both"/>
        <w:rPr>
          <w:rFonts w:ascii="Arial" w:hAnsi="Arial" w:cs="Arial"/>
          <w:sz w:val="20"/>
          <w:szCs w:val="20"/>
        </w:rPr>
      </w:pPr>
      <w:r w:rsidRPr="00BF1483">
        <w:rPr>
          <w:rFonts w:ascii="Arial" w:hAnsi="Arial" w:cs="Arial"/>
          <w:sz w:val="20"/>
          <w:szCs w:val="20"/>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w:t>
      </w:r>
      <w:r w:rsidRPr="00BF1483">
        <w:rPr>
          <w:rFonts w:ascii="Arial" w:hAnsi="Arial" w:cs="Arial"/>
          <w:sz w:val="20"/>
          <w:szCs w:val="20"/>
        </w:rPr>
        <w:lastRenderedPageBreak/>
        <w:t xml:space="preserve">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688AE2CD" w14:textId="77777777" w:rsidR="00016098" w:rsidRPr="00BF1483" w:rsidRDefault="00016098" w:rsidP="00016098">
      <w:pPr>
        <w:contextualSpacing/>
        <w:jc w:val="both"/>
        <w:rPr>
          <w:rFonts w:ascii="Arial" w:hAnsi="Arial" w:cs="Arial"/>
          <w:sz w:val="20"/>
          <w:szCs w:val="20"/>
        </w:rPr>
      </w:pPr>
    </w:p>
    <w:p w14:paraId="332BB66E" w14:textId="77777777" w:rsidR="00016098" w:rsidRPr="00BF1483" w:rsidRDefault="00016098" w:rsidP="00016098">
      <w:pPr>
        <w:contextualSpacing/>
        <w:jc w:val="both"/>
        <w:rPr>
          <w:rFonts w:ascii="Arial" w:eastAsia="Calibri" w:hAnsi="Arial" w:cs="Arial"/>
          <w:sz w:val="20"/>
          <w:szCs w:val="20"/>
          <w:lang w:val="es-ES_tradnl" w:eastAsia="es-MX"/>
        </w:rPr>
      </w:pPr>
      <w:r w:rsidRPr="00BF1483">
        <w:rPr>
          <w:rFonts w:ascii="Arial" w:hAnsi="Arial" w:cs="Arial"/>
          <w:sz w:val="20"/>
          <w:szCs w:val="20"/>
        </w:rPr>
        <w:t xml:space="preserve">[…] </w:t>
      </w:r>
      <w:r w:rsidRPr="00BF1483">
        <w:rPr>
          <w:rFonts w:ascii="Arial" w:eastAsia="Calibri" w:hAnsi="Arial" w:cs="Arial"/>
          <w:sz w:val="20"/>
          <w:szCs w:val="20"/>
          <w:lang w:val="es-ES_tradnl" w:eastAsia="es-MX"/>
        </w:rPr>
        <w:t>Específicamente, el numeral 1º del artículo referido establece que en los procesos de selección de contratistas serán objeto de verificación, como requisitos habilitantes, entre otros, los siguientes: i) la capacidad jurídica; ii) la experiencia; iii) la capacidad financiera y iv) la capacidad de organización.</w:t>
      </w:r>
    </w:p>
    <w:p w14:paraId="2F025947" w14:textId="77777777" w:rsidR="00016098" w:rsidRPr="000432CF" w:rsidRDefault="00016098" w:rsidP="00016098">
      <w:pPr>
        <w:spacing w:line="276" w:lineRule="auto"/>
        <w:contextualSpacing/>
        <w:jc w:val="both"/>
        <w:rPr>
          <w:rFonts w:ascii="Arial" w:eastAsia="Calibri" w:hAnsi="Arial" w:cs="Arial"/>
          <w:sz w:val="21"/>
          <w:szCs w:val="21"/>
          <w:lang w:val="es-ES_tradnl" w:eastAsia="es-MX"/>
        </w:rPr>
      </w:pPr>
    </w:p>
    <w:p w14:paraId="0827BEEE" w14:textId="77777777" w:rsidR="00016098" w:rsidRPr="000432CF" w:rsidRDefault="00016098" w:rsidP="00016098">
      <w:pPr>
        <w:spacing w:line="276" w:lineRule="auto"/>
        <w:contextualSpacing/>
        <w:jc w:val="both"/>
        <w:rPr>
          <w:rFonts w:ascii="Arial" w:hAnsi="Arial" w:cs="Arial"/>
          <w:b/>
          <w:bCs/>
          <w:sz w:val="21"/>
          <w:szCs w:val="21"/>
          <w:lang w:val="es-ES_tradnl" w:eastAsia="es-MX"/>
        </w:rPr>
      </w:pPr>
      <w:r w:rsidRPr="000432CF">
        <w:rPr>
          <w:rFonts w:ascii="Arial" w:hAnsi="Arial" w:cs="Arial"/>
          <w:b/>
          <w:bCs/>
          <w:sz w:val="21"/>
          <w:szCs w:val="21"/>
          <w:lang w:val="es-ES_tradnl" w:eastAsia="es-MX"/>
        </w:rPr>
        <w:t>REQUISITOS HABILITANTES – Carácter enunciativo – Artículo 5 de la Ley 1150 de 2007</w:t>
      </w:r>
    </w:p>
    <w:p w14:paraId="77D46488" w14:textId="77777777" w:rsidR="00016098" w:rsidRPr="000432CF" w:rsidRDefault="00016098" w:rsidP="00016098">
      <w:pPr>
        <w:spacing w:line="276" w:lineRule="auto"/>
        <w:contextualSpacing/>
        <w:jc w:val="both"/>
        <w:rPr>
          <w:rFonts w:ascii="Arial" w:hAnsi="Arial" w:cs="Arial"/>
          <w:b/>
          <w:bCs/>
          <w:sz w:val="21"/>
          <w:szCs w:val="21"/>
          <w:lang w:val="es-ES_tradnl" w:eastAsia="es-MX"/>
        </w:rPr>
      </w:pPr>
    </w:p>
    <w:p w14:paraId="2A21BED4" w14:textId="77777777" w:rsidR="00016098" w:rsidRPr="00BF1483" w:rsidRDefault="00016098" w:rsidP="00016098">
      <w:pPr>
        <w:contextualSpacing/>
        <w:jc w:val="both"/>
        <w:rPr>
          <w:rFonts w:ascii="Arial" w:hAnsi="Arial" w:cs="Arial"/>
          <w:sz w:val="20"/>
          <w:szCs w:val="20"/>
        </w:rPr>
      </w:pPr>
      <w:r w:rsidRPr="00BF1483">
        <w:rPr>
          <w:rFonts w:ascii="Arial" w:hAnsi="Arial" w:cs="Arial"/>
          <w:sz w:val="20"/>
          <w:szCs w:val="20"/>
        </w:rPr>
        <w:t>La Agencia Nacional de Contratación Pública ha defendido el carácter 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6BA28396" w14:textId="77777777" w:rsidR="00016098" w:rsidRPr="00BF1483" w:rsidRDefault="00016098" w:rsidP="00016098">
      <w:pPr>
        <w:contextualSpacing/>
        <w:jc w:val="both"/>
        <w:rPr>
          <w:rFonts w:ascii="Arial" w:hAnsi="Arial" w:cs="Arial"/>
          <w:sz w:val="20"/>
          <w:szCs w:val="20"/>
        </w:rPr>
      </w:pPr>
    </w:p>
    <w:p w14:paraId="549EF0A6" w14:textId="77777777" w:rsidR="00016098" w:rsidRPr="00BF1483" w:rsidRDefault="00016098" w:rsidP="00016098">
      <w:pPr>
        <w:contextualSpacing/>
        <w:jc w:val="both"/>
        <w:rPr>
          <w:rFonts w:ascii="Arial" w:hAnsi="Arial" w:cs="Arial"/>
          <w:sz w:val="20"/>
          <w:szCs w:val="20"/>
        </w:rPr>
      </w:pPr>
      <w:r w:rsidRPr="00BF1483">
        <w:rPr>
          <w:rFonts w:ascii="Arial" w:hAnsi="Arial" w:cs="Arial"/>
          <w:sz w:val="20"/>
          <w:szCs w:val="20"/>
        </w:rPr>
        <w:t xml:space="preserve">En ese sentido, si bien la Ley 1150 de 2007 estableció unos requisitos habilitantes para los proponentes –la capacidad jurídica, las condiciones de experiencia, la capacidad financiera y la capacidad de organización–, estos no son taxativos. En consecuencia, corresponde a las Entidades Estatales, durante la etapa de planeación del contrato estatal, estudiar y determinar los requisitos habilitantes que establecerán en los pliegos de condiciones, los cuales deben fijarse de forma adecuada y proporcional. </w:t>
      </w:r>
    </w:p>
    <w:p w14:paraId="70830484" w14:textId="77777777" w:rsidR="00016098" w:rsidRPr="00BF1483" w:rsidRDefault="00016098" w:rsidP="00016098">
      <w:pPr>
        <w:contextualSpacing/>
        <w:jc w:val="both"/>
        <w:rPr>
          <w:rFonts w:ascii="Arial" w:hAnsi="Arial" w:cs="Arial"/>
          <w:sz w:val="20"/>
          <w:szCs w:val="20"/>
        </w:rPr>
      </w:pPr>
    </w:p>
    <w:p w14:paraId="6D513197" w14:textId="77777777" w:rsidR="00016098" w:rsidRPr="00BF1483" w:rsidRDefault="00016098" w:rsidP="00016098">
      <w:pPr>
        <w:contextualSpacing/>
        <w:jc w:val="both"/>
        <w:rPr>
          <w:rFonts w:ascii="Arial" w:hAnsi="Arial" w:cs="Arial"/>
          <w:sz w:val="20"/>
          <w:szCs w:val="20"/>
        </w:rPr>
      </w:pPr>
      <w:r w:rsidRPr="00BF1483">
        <w:rPr>
          <w:rFonts w:ascii="Arial" w:hAnsi="Arial" w:cs="Arial"/>
          <w:sz w:val="20"/>
          <w:szCs w:val="20"/>
        </w:rPr>
        <w:t xml:space="preserve">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w:t>
      </w:r>
    </w:p>
    <w:p w14:paraId="5EE84E96" w14:textId="77777777" w:rsidR="00016098" w:rsidRPr="000432CF" w:rsidRDefault="00016098" w:rsidP="00016098">
      <w:pPr>
        <w:spacing w:line="276" w:lineRule="auto"/>
        <w:jc w:val="both"/>
        <w:rPr>
          <w:rFonts w:ascii="Arial" w:eastAsia="Calibri" w:hAnsi="Arial" w:cs="Arial"/>
          <w:sz w:val="21"/>
          <w:szCs w:val="21"/>
          <w:lang w:val="es-ES_tradnl"/>
        </w:rPr>
      </w:pPr>
    </w:p>
    <w:p w14:paraId="111BBD84" w14:textId="77777777" w:rsidR="00016098" w:rsidRPr="000432CF" w:rsidRDefault="00016098" w:rsidP="00016098">
      <w:pPr>
        <w:spacing w:line="276" w:lineRule="auto"/>
        <w:jc w:val="both"/>
        <w:rPr>
          <w:rFonts w:ascii="Arial" w:eastAsia="Calibri" w:hAnsi="Arial" w:cs="Arial"/>
          <w:sz w:val="21"/>
          <w:szCs w:val="21"/>
          <w:lang w:val="es-ES_tradnl"/>
        </w:rPr>
      </w:pPr>
    </w:p>
    <w:p w14:paraId="70422F71" w14:textId="77777777" w:rsidR="00016098" w:rsidRPr="000432CF" w:rsidRDefault="00016098" w:rsidP="00016098">
      <w:pPr>
        <w:pStyle w:val="paragraph"/>
        <w:spacing w:before="0" w:beforeAutospacing="0" w:after="0" w:afterAutospacing="0" w:line="276" w:lineRule="auto"/>
        <w:jc w:val="both"/>
        <w:textAlignment w:val="baseline"/>
        <w:rPr>
          <w:rFonts w:ascii="Segoe UI" w:hAnsi="Segoe UI" w:cs="Segoe UI"/>
          <w:sz w:val="21"/>
          <w:szCs w:val="21"/>
        </w:rPr>
      </w:pPr>
      <w:r w:rsidRPr="000432CF">
        <w:rPr>
          <w:rStyle w:val="normaltextrun"/>
          <w:rFonts w:ascii="Arial" w:hAnsi="Arial" w:cs="Arial"/>
          <w:b/>
          <w:bCs/>
          <w:sz w:val="21"/>
          <w:szCs w:val="21"/>
          <w:lang w:val="es-ES"/>
        </w:rPr>
        <w:t xml:space="preserve">PRECIO ARTIFICIALMENTE BAJO </w:t>
      </w:r>
      <w:r w:rsidRPr="000432CF">
        <w:rPr>
          <w:rStyle w:val="normaltextrun"/>
          <w:rFonts w:ascii="Arial" w:hAnsi="Arial" w:cs="Arial"/>
          <w:b/>
          <w:bCs/>
          <w:color w:val="000000"/>
          <w:sz w:val="21"/>
          <w:szCs w:val="21"/>
          <w:lang w:val="es-ES"/>
        </w:rPr>
        <w:t>–</w:t>
      </w:r>
      <w:r w:rsidRPr="000432CF">
        <w:rPr>
          <w:rStyle w:val="normaltextrun"/>
          <w:rFonts w:ascii="Arial" w:hAnsi="Arial" w:cs="Arial"/>
          <w:b/>
          <w:bCs/>
          <w:sz w:val="21"/>
          <w:szCs w:val="21"/>
          <w:lang w:val="es-ES"/>
        </w:rPr>
        <w:t xml:space="preserve"> Concepto </w:t>
      </w:r>
      <w:r w:rsidRPr="000432CF">
        <w:rPr>
          <w:rStyle w:val="eop"/>
          <w:rFonts w:ascii="Arial" w:eastAsiaTheme="minorEastAsia" w:hAnsi="Arial" w:cs="Arial"/>
          <w:sz w:val="21"/>
          <w:szCs w:val="21"/>
        </w:rPr>
        <w:t> </w:t>
      </w:r>
    </w:p>
    <w:p w14:paraId="3622EE9F" w14:textId="77777777" w:rsidR="00016098" w:rsidRPr="000432CF" w:rsidRDefault="00016098" w:rsidP="00016098">
      <w:pPr>
        <w:pStyle w:val="paragraph"/>
        <w:spacing w:before="0" w:beforeAutospacing="0" w:after="0" w:afterAutospacing="0" w:line="276" w:lineRule="auto"/>
        <w:jc w:val="both"/>
        <w:textAlignment w:val="baseline"/>
        <w:rPr>
          <w:rFonts w:ascii="Segoe UI" w:hAnsi="Segoe UI" w:cs="Segoe UI"/>
          <w:sz w:val="21"/>
          <w:szCs w:val="21"/>
        </w:rPr>
      </w:pPr>
      <w:r w:rsidRPr="000432CF">
        <w:rPr>
          <w:rStyle w:val="eop"/>
          <w:rFonts w:ascii="Arial" w:eastAsiaTheme="minorEastAsia" w:hAnsi="Arial" w:cs="Arial"/>
          <w:sz w:val="21"/>
          <w:szCs w:val="21"/>
        </w:rPr>
        <w:t> </w:t>
      </w:r>
    </w:p>
    <w:p w14:paraId="75292B3E" w14:textId="77777777" w:rsidR="00016098" w:rsidRPr="000432CF" w:rsidRDefault="00016098" w:rsidP="00016098">
      <w:pPr>
        <w:pStyle w:val="paragraph"/>
        <w:spacing w:after="0"/>
        <w:jc w:val="both"/>
        <w:textAlignment w:val="baseline"/>
        <w:rPr>
          <w:rFonts w:ascii="Segoe UI" w:hAnsi="Segoe UI" w:cs="Segoe UI"/>
          <w:sz w:val="21"/>
          <w:szCs w:val="21"/>
        </w:rPr>
      </w:pPr>
      <w:r w:rsidRPr="000432CF">
        <w:rPr>
          <w:rStyle w:val="normaltextrun"/>
          <w:rFonts w:ascii="Arial" w:hAnsi="Arial" w:cs="Arial"/>
          <w:sz w:val="21"/>
          <w:szCs w:val="21"/>
          <w:lang w:val="es-ES"/>
        </w:rPr>
        <w:t>La “Guía para el manejo de ofertas artificialmente bajas en Procesos de Contratación”, por su parte, establece que una oferta es artificialmente baja cuando “a criterio de la Entidad Estatal, el precio no parece suficiente para garantizar una correcta ejecución del contrato, de acuerdo con la información recogida durante la etapa de planeación y particularmente durante el Estudio del Sector”. En este punto, es importante diferenciar las “ofertas artificialmente bajas” y las “ofertas competitivas”, entendiendo por estas últimas aquellas “que tienen en su estructura de costos economías de escala o economías de alcance, que permiten generar un bien o un servicio a menor costo que el [del] resto de proveedores en el mercado”, según lo establece la Guía antes mencionada. </w:t>
      </w:r>
      <w:r w:rsidRPr="000432CF">
        <w:rPr>
          <w:rStyle w:val="eop"/>
          <w:rFonts w:ascii="Arial" w:eastAsiaTheme="minorEastAsia" w:hAnsi="Arial" w:cs="Arial"/>
          <w:sz w:val="21"/>
          <w:szCs w:val="21"/>
        </w:rPr>
        <w:t> </w:t>
      </w:r>
    </w:p>
    <w:p w14:paraId="476CCF6D" w14:textId="77777777" w:rsidR="00016098" w:rsidRPr="000432CF" w:rsidRDefault="00016098" w:rsidP="00016098">
      <w:pPr>
        <w:pStyle w:val="paragraph"/>
        <w:spacing w:before="0" w:beforeAutospacing="0" w:after="0" w:afterAutospacing="0" w:line="276" w:lineRule="auto"/>
        <w:jc w:val="both"/>
        <w:textAlignment w:val="baseline"/>
        <w:rPr>
          <w:rFonts w:ascii="Segoe UI" w:hAnsi="Segoe UI" w:cs="Segoe UI"/>
          <w:sz w:val="21"/>
          <w:szCs w:val="21"/>
        </w:rPr>
      </w:pPr>
      <w:r w:rsidRPr="000432CF">
        <w:rPr>
          <w:rStyle w:val="eop"/>
          <w:rFonts w:ascii="Arial" w:eastAsiaTheme="minorEastAsia" w:hAnsi="Arial" w:cs="Arial"/>
          <w:sz w:val="21"/>
          <w:szCs w:val="21"/>
        </w:rPr>
        <w:t> </w:t>
      </w:r>
    </w:p>
    <w:p w14:paraId="345E63A3" w14:textId="77777777" w:rsidR="00016098" w:rsidRPr="000432CF" w:rsidRDefault="00016098" w:rsidP="00016098">
      <w:pPr>
        <w:pStyle w:val="paragraph"/>
        <w:spacing w:before="0" w:beforeAutospacing="0" w:after="0" w:afterAutospacing="0" w:line="276" w:lineRule="auto"/>
        <w:jc w:val="both"/>
        <w:textAlignment w:val="baseline"/>
        <w:rPr>
          <w:rFonts w:ascii="Segoe UI" w:hAnsi="Segoe UI" w:cs="Segoe UI"/>
          <w:sz w:val="21"/>
          <w:szCs w:val="21"/>
        </w:rPr>
      </w:pPr>
      <w:r w:rsidRPr="000432CF">
        <w:rPr>
          <w:rStyle w:val="normaltextrun"/>
          <w:rFonts w:ascii="Arial" w:hAnsi="Arial" w:cs="Arial"/>
          <w:b/>
          <w:bCs/>
          <w:color w:val="000000"/>
          <w:sz w:val="21"/>
          <w:szCs w:val="21"/>
          <w:lang w:val="es-ES"/>
        </w:rPr>
        <w:lastRenderedPageBreak/>
        <w:t>OFERTA CON VALOR ARTIFICALMENTE BAJO – Decreto 1082 de 2015 </w:t>
      </w:r>
      <w:r w:rsidRPr="000432CF">
        <w:rPr>
          <w:rStyle w:val="eop"/>
          <w:rFonts w:ascii="Arial" w:eastAsiaTheme="minorEastAsia" w:hAnsi="Arial" w:cs="Arial"/>
          <w:color w:val="000000"/>
          <w:sz w:val="21"/>
          <w:szCs w:val="21"/>
        </w:rPr>
        <w:t> </w:t>
      </w:r>
    </w:p>
    <w:p w14:paraId="2421324B" w14:textId="77777777" w:rsidR="00016098" w:rsidRPr="00BF1483" w:rsidRDefault="00016098" w:rsidP="00016098">
      <w:pPr>
        <w:pStyle w:val="paragraph"/>
        <w:spacing w:after="0"/>
        <w:jc w:val="both"/>
        <w:textAlignment w:val="baseline"/>
        <w:rPr>
          <w:rFonts w:ascii="Segoe UI" w:hAnsi="Segoe UI" w:cs="Segoe UI"/>
          <w:sz w:val="20"/>
          <w:szCs w:val="20"/>
        </w:rPr>
      </w:pPr>
      <w:r w:rsidRPr="00BF1483">
        <w:rPr>
          <w:rStyle w:val="eop"/>
          <w:rFonts w:ascii="Arial" w:eastAsiaTheme="minorEastAsia" w:hAnsi="Arial" w:cs="Arial"/>
          <w:color w:val="000000"/>
          <w:sz w:val="20"/>
          <w:szCs w:val="20"/>
        </w:rPr>
        <w:t> </w:t>
      </w:r>
    </w:p>
    <w:p w14:paraId="28932510" w14:textId="77777777" w:rsidR="00016098" w:rsidRPr="00BF1483" w:rsidRDefault="00016098" w:rsidP="00016098">
      <w:pPr>
        <w:pStyle w:val="paragraph"/>
        <w:spacing w:after="0"/>
        <w:jc w:val="both"/>
        <w:textAlignment w:val="baseline"/>
        <w:rPr>
          <w:rFonts w:ascii="Segoe UI" w:hAnsi="Segoe UI" w:cs="Segoe UI"/>
          <w:sz w:val="20"/>
          <w:szCs w:val="20"/>
        </w:rPr>
      </w:pPr>
      <w:r w:rsidRPr="00BF1483">
        <w:rPr>
          <w:rStyle w:val="normaltextrun"/>
          <w:rFonts w:ascii="Arial" w:hAnsi="Arial" w:cs="Arial"/>
          <w:sz w:val="20"/>
          <w:szCs w:val="20"/>
          <w:lang w:val="es-ES"/>
        </w:rPr>
        <w:t>De conformidad con el</w:t>
      </w:r>
      <w:r w:rsidRPr="00BF1483">
        <w:rPr>
          <w:rStyle w:val="normaltextrun"/>
          <w:rFonts w:ascii="Arial" w:hAnsi="Arial" w:cs="Arial"/>
          <w:b/>
          <w:bCs/>
          <w:color w:val="000000"/>
          <w:sz w:val="20"/>
          <w:szCs w:val="20"/>
          <w:lang w:val="es-MX"/>
        </w:rPr>
        <w:t xml:space="preserve"> </w:t>
      </w:r>
      <w:r w:rsidRPr="00BF1483">
        <w:rPr>
          <w:rStyle w:val="normaltextrun"/>
          <w:rFonts w:ascii="Arial" w:hAnsi="Arial" w:cs="Arial"/>
          <w:sz w:val="20"/>
          <w:szCs w:val="20"/>
          <w:lang w:val="es-ES"/>
        </w:rPr>
        <w:t>artículo 2.2.1.1.2.2.4. del Decreto 1082 de 2015, ante una propuesta artificialmente baja, la entidad estatal está obligada a realizar los siguientes pasos: (i) requerir al oferente para que explique las razones que sustentan el valor ofrecido, (ii) analizar las explicaciones y (iii) con base en lo anterior, rechazar la oferta o continuar con el análisis de la misma en la evaluación de las ofertas. Así, la entidad deberá, inicialmente, determinar si la propuesta es considerada artificialmente baja, de acuerdo con la información del análisis del sector y, posteriormente, realizar los pasos señalados. </w:t>
      </w:r>
      <w:r w:rsidRPr="00BF1483">
        <w:rPr>
          <w:rStyle w:val="eop"/>
          <w:rFonts w:ascii="Arial" w:eastAsiaTheme="minorEastAsia" w:hAnsi="Arial" w:cs="Arial"/>
          <w:sz w:val="20"/>
          <w:szCs w:val="20"/>
        </w:rPr>
        <w:t> </w:t>
      </w:r>
    </w:p>
    <w:p w14:paraId="3001AB08" w14:textId="77777777" w:rsidR="00016098" w:rsidRPr="00D95D28" w:rsidRDefault="00016098" w:rsidP="00016098">
      <w:pPr>
        <w:spacing w:line="276" w:lineRule="auto"/>
        <w:jc w:val="both"/>
        <w:rPr>
          <w:rFonts w:ascii="Arial" w:eastAsia="Calibri" w:hAnsi="Arial" w:cs="Arial"/>
          <w:lang w:val="es-ES_tradnl"/>
        </w:rPr>
      </w:pPr>
    </w:p>
    <w:p w14:paraId="4B0B320A" w14:textId="77777777" w:rsidR="00016098" w:rsidRPr="00392758" w:rsidRDefault="00016098" w:rsidP="00016098">
      <w:pPr>
        <w:jc w:val="both"/>
        <w:rPr>
          <w:rFonts w:ascii="Arial" w:eastAsia="Calibri" w:hAnsi="Arial" w:cs="Arial"/>
          <w:b/>
          <w:lang w:val="es-ES_tradnl"/>
        </w:rPr>
      </w:pPr>
    </w:p>
    <w:p w14:paraId="078B8533" w14:textId="77777777" w:rsidR="00016098" w:rsidRDefault="00016098" w:rsidP="00016098">
      <w:pPr>
        <w:jc w:val="both"/>
        <w:rPr>
          <w:rFonts w:ascii="Arial" w:eastAsia="Calibri" w:hAnsi="Arial" w:cs="Arial"/>
          <w:lang w:val="es-ES_tradnl"/>
        </w:rPr>
      </w:pPr>
      <w:bookmarkStart w:id="2" w:name="_Hlk68680938"/>
      <w:bookmarkEnd w:id="0"/>
      <w:bookmarkEnd w:id="1"/>
    </w:p>
    <w:p w14:paraId="0E81A7A8" w14:textId="77777777" w:rsidR="00016098" w:rsidRPr="00392758" w:rsidRDefault="00016098" w:rsidP="00016098">
      <w:pPr>
        <w:jc w:val="both"/>
        <w:rPr>
          <w:rFonts w:ascii="Arial" w:eastAsia="Calibri" w:hAnsi="Arial" w:cs="Arial"/>
          <w:lang w:val="es-ES_tradnl"/>
        </w:rPr>
      </w:pPr>
    </w:p>
    <w:p w14:paraId="1F099F5E" w14:textId="77777777" w:rsidR="00016098" w:rsidRDefault="00016098" w:rsidP="00016098">
      <w:pPr>
        <w:jc w:val="both"/>
        <w:rPr>
          <w:rFonts w:ascii="Arial" w:eastAsia="Calibri" w:hAnsi="Arial" w:cs="Arial"/>
          <w:lang w:val="es-ES_tradnl"/>
        </w:rPr>
      </w:pPr>
    </w:p>
    <w:p w14:paraId="4F3389A0" w14:textId="77777777" w:rsidR="00016098" w:rsidRDefault="00016098" w:rsidP="00016098">
      <w:pPr>
        <w:jc w:val="both"/>
        <w:rPr>
          <w:rFonts w:ascii="Arial" w:eastAsia="Calibri" w:hAnsi="Arial" w:cs="Arial"/>
          <w:lang w:val="es-ES_tradnl"/>
        </w:rPr>
      </w:pPr>
    </w:p>
    <w:p w14:paraId="0733ACF9" w14:textId="77777777" w:rsidR="00016098" w:rsidRDefault="00016098" w:rsidP="00016098">
      <w:pPr>
        <w:jc w:val="both"/>
        <w:rPr>
          <w:rFonts w:ascii="Arial" w:eastAsia="Calibri" w:hAnsi="Arial" w:cs="Arial"/>
          <w:lang w:val="es-ES_tradnl"/>
        </w:rPr>
      </w:pPr>
    </w:p>
    <w:p w14:paraId="647F8ADF" w14:textId="77777777" w:rsidR="00016098" w:rsidRDefault="00016098" w:rsidP="00016098">
      <w:pPr>
        <w:jc w:val="both"/>
        <w:rPr>
          <w:rFonts w:ascii="Arial" w:eastAsia="Calibri" w:hAnsi="Arial" w:cs="Arial"/>
          <w:lang w:val="es-ES_tradnl"/>
        </w:rPr>
      </w:pPr>
    </w:p>
    <w:p w14:paraId="0BFF729E" w14:textId="77777777" w:rsidR="00016098" w:rsidRDefault="00016098" w:rsidP="00016098">
      <w:pPr>
        <w:jc w:val="both"/>
        <w:rPr>
          <w:rFonts w:ascii="Arial" w:eastAsia="Calibri" w:hAnsi="Arial" w:cs="Arial"/>
          <w:lang w:val="es-ES_tradnl"/>
        </w:rPr>
      </w:pPr>
    </w:p>
    <w:p w14:paraId="61DCD690" w14:textId="77777777" w:rsidR="00016098" w:rsidRDefault="00016098" w:rsidP="00016098">
      <w:pPr>
        <w:spacing w:line="276" w:lineRule="auto"/>
        <w:rPr>
          <w:rFonts w:ascii="Arial" w:eastAsia="Geomanist Light" w:hAnsi="Arial" w:cs="Arial"/>
          <w:color w:val="000000" w:themeColor="text1"/>
          <w:lang w:val="es-MX"/>
        </w:rPr>
      </w:pPr>
    </w:p>
    <w:p w14:paraId="702030DF" w14:textId="77777777" w:rsidR="00016098" w:rsidRDefault="00016098" w:rsidP="00016098">
      <w:pPr>
        <w:spacing w:line="276" w:lineRule="auto"/>
        <w:rPr>
          <w:rFonts w:ascii="Arial" w:eastAsia="Geomanist Light" w:hAnsi="Arial" w:cs="Arial"/>
          <w:color w:val="000000" w:themeColor="text1"/>
          <w:lang w:val="es-MX"/>
        </w:rPr>
      </w:pPr>
    </w:p>
    <w:p w14:paraId="1DFFBDB2" w14:textId="77777777" w:rsidR="00016098" w:rsidRDefault="00016098" w:rsidP="00016098">
      <w:pPr>
        <w:spacing w:line="276" w:lineRule="auto"/>
        <w:rPr>
          <w:rFonts w:ascii="Arial" w:eastAsia="Geomanist Light" w:hAnsi="Arial" w:cs="Arial"/>
          <w:color w:val="000000" w:themeColor="text1"/>
          <w:lang w:val="es-MX"/>
        </w:rPr>
      </w:pPr>
    </w:p>
    <w:p w14:paraId="771D11AE" w14:textId="77777777" w:rsidR="00016098" w:rsidRDefault="00016098" w:rsidP="00016098">
      <w:pPr>
        <w:spacing w:line="276" w:lineRule="auto"/>
        <w:rPr>
          <w:rFonts w:ascii="Arial" w:eastAsia="Geomanist Light" w:hAnsi="Arial" w:cs="Arial"/>
          <w:color w:val="000000" w:themeColor="text1"/>
          <w:lang w:val="es-MX"/>
        </w:rPr>
      </w:pPr>
    </w:p>
    <w:p w14:paraId="313C2D02" w14:textId="77777777" w:rsidR="00016098" w:rsidRDefault="00016098" w:rsidP="00016098">
      <w:pPr>
        <w:spacing w:line="276" w:lineRule="auto"/>
        <w:rPr>
          <w:rFonts w:ascii="Arial" w:eastAsia="Geomanist Light" w:hAnsi="Arial" w:cs="Arial"/>
          <w:color w:val="000000" w:themeColor="text1"/>
          <w:lang w:val="es-MX"/>
        </w:rPr>
      </w:pPr>
    </w:p>
    <w:p w14:paraId="6C9775AC" w14:textId="77777777" w:rsidR="00016098" w:rsidRDefault="00016098" w:rsidP="00016098">
      <w:pPr>
        <w:spacing w:line="276" w:lineRule="auto"/>
        <w:rPr>
          <w:rFonts w:ascii="Arial" w:eastAsia="Geomanist Light" w:hAnsi="Arial" w:cs="Arial"/>
          <w:color w:val="000000" w:themeColor="text1"/>
          <w:lang w:val="es-MX"/>
        </w:rPr>
      </w:pPr>
    </w:p>
    <w:p w14:paraId="098A406C" w14:textId="77777777" w:rsidR="00016098" w:rsidRDefault="00016098" w:rsidP="00016098">
      <w:pPr>
        <w:spacing w:line="276" w:lineRule="auto"/>
        <w:rPr>
          <w:rFonts w:ascii="Arial" w:eastAsia="Geomanist Light" w:hAnsi="Arial" w:cs="Arial"/>
          <w:color w:val="000000" w:themeColor="text1"/>
          <w:lang w:val="es-MX"/>
        </w:rPr>
      </w:pPr>
    </w:p>
    <w:p w14:paraId="17D6294E" w14:textId="77777777" w:rsidR="00016098" w:rsidRDefault="00016098" w:rsidP="00016098">
      <w:pPr>
        <w:spacing w:line="276" w:lineRule="auto"/>
        <w:rPr>
          <w:rFonts w:ascii="Arial" w:eastAsia="Geomanist Light" w:hAnsi="Arial" w:cs="Arial"/>
          <w:color w:val="000000" w:themeColor="text1"/>
          <w:lang w:val="es-MX"/>
        </w:rPr>
      </w:pPr>
    </w:p>
    <w:p w14:paraId="0DFB6669" w14:textId="77777777" w:rsidR="00016098" w:rsidRDefault="00016098" w:rsidP="00016098">
      <w:pPr>
        <w:spacing w:line="276" w:lineRule="auto"/>
        <w:rPr>
          <w:rFonts w:ascii="Arial" w:eastAsia="Geomanist Light" w:hAnsi="Arial" w:cs="Arial"/>
          <w:color w:val="000000" w:themeColor="text1"/>
          <w:lang w:val="es-MX"/>
        </w:rPr>
      </w:pPr>
    </w:p>
    <w:p w14:paraId="00949228" w14:textId="77777777" w:rsidR="00016098" w:rsidRDefault="00016098" w:rsidP="00016098">
      <w:pPr>
        <w:spacing w:line="276" w:lineRule="auto"/>
        <w:rPr>
          <w:rFonts w:ascii="Arial" w:eastAsia="Geomanist Light" w:hAnsi="Arial" w:cs="Arial"/>
          <w:color w:val="000000" w:themeColor="text1"/>
          <w:lang w:val="es-MX"/>
        </w:rPr>
      </w:pPr>
    </w:p>
    <w:p w14:paraId="5EB7AAFF" w14:textId="77777777" w:rsidR="00016098" w:rsidRDefault="00016098" w:rsidP="00016098">
      <w:pPr>
        <w:spacing w:line="276" w:lineRule="auto"/>
        <w:rPr>
          <w:rFonts w:ascii="Arial" w:eastAsia="Geomanist Light" w:hAnsi="Arial" w:cs="Arial"/>
          <w:color w:val="000000" w:themeColor="text1"/>
          <w:lang w:val="es-MX"/>
        </w:rPr>
      </w:pPr>
    </w:p>
    <w:p w14:paraId="4727E7C2" w14:textId="77777777" w:rsidR="00016098" w:rsidRDefault="00016098" w:rsidP="00016098">
      <w:pPr>
        <w:spacing w:line="276" w:lineRule="auto"/>
        <w:rPr>
          <w:rFonts w:ascii="Arial" w:eastAsia="Geomanist Light" w:hAnsi="Arial" w:cs="Arial"/>
          <w:color w:val="000000" w:themeColor="text1"/>
          <w:lang w:val="es-MX"/>
        </w:rPr>
      </w:pPr>
    </w:p>
    <w:p w14:paraId="60F2CABA" w14:textId="77777777" w:rsidR="00016098" w:rsidRDefault="00016098" w:rsidP="00016098">
      <w:pPr>
        <w:spacing w:line="276" w:lineRule="auto"/>
        <w:rPr>
          <w:rFonts w:ascii="Arial" w:eastAsia="Geomanist Light" w:hAnsi="Arial" w:cs="Arial"/>
          <w:color w:val="000000" w:themeColor="text1"/>
          <w:lang w:val="es-MX"/>
        </w:rPr>
      </w:pPr>
    </w:p>
    <w:p w14:paraId="5D5825D3" w14:textId="77777777" w:rsidR="00016098" w:rsidRDefault="00016098" w:rsidP="00016098">
      <w:pPr>
        <w:spacing w:line="276" w:lineRule="auto"/>
        <w:rPr>
          <w:rFonts w:ascii="Arial" w:eastAsia="Geomanist Light" w:hAnsi="Arial" w:cs="Arial"/>
          <w:color w:val="000000" w:themeColor="text1"/>
          <w:lang w:val="es-MX"/>
        </w:rPr>
      </w:pPr>
    </w:p>
    <w:p w14:paraId="19AFEAD8" w14:textId="77777777" w:rsidR="00016098" w:rsidRDefault="00016098" w:rsidP="00016098">
      <w:pPr>
        <w:spacing w:line="276" w:lineRule="auto"/>
        <w:rPr>
          <w:rFonts w:ascii="Arial" w:eastAsia="Geomanist Light" w:hAnsi="Arial" w:cs="Arial"/>
          <w:color w:val="000000" w:themeColor="text1"/>
          <w:lang w:val="es-MX"/>
        </w:rPr>
      </w:pPr>
    </w:p>
    <w:p w14:paraId="0CD1161F" w14:textId="77777777" w:rsidR="00016098" w:rsidRDefault="00016098" w:rsidP="00016098">
      <w:pPr>
        <w:spacing w:line="276" w:lineRule="auto"/>
        <w:rPr>
          <w:rFonts w:ascii="Arial" w:eastAsia="Geomanist Light" w:hAnsi="Arial" w:cs="Arial"/>
          <w:color w:val="000000" w:themeColor="text1"/>
          <w:lang w:val="es-MX"/>
        </w:rPr>
      </w:pPr>
    </w:p>
    <w:p w14:paraId="4C4A58D6" w14:textId="77777777" w:rsidR="00016098" w:rsidRDefault="00016098" w:rsidP="00016098">
      <w:pPr>
        <w:spacing w:line="276" w:lineRule="auto"/>
        <w:rPr>
          <w:rFonts w:ascii="Arial" w:eastAsia="Geomanist Light" w:hAnsi="Arial" w:cs="Arial"/>
          <w:color w:val="000000" w:themeColor="text1"/>
          <w:lang w:val="es-MX"/>
        </w:rPr>
      </w:pPr>
    </w:p>
    <w:p w14:paraId="5B3EDEB6" w14:textId="77777777" w:rsidR="00016098" w:rsidRDefault="00016098" w:rsidP="00016098">
      <w:pPr>
        <w:spacing w:line="276" w:lineRule="auto"/>
        <w:rPr>
          <w:rFonts w:ascii="Arial" w:eastAsia="Geomanist Light" w:hAnsi="Arial" w:cs="Arial"/>
          <w:color w:val="000000" w:themeColor="text1"/>
          <w:lang w:val="es-MX"/>
        </w:rPr>
      </w:pPr>
    </w:p>
    <w:p w14:paraId="15F2C536" w14:textId="77777777" w:rsidR="00016098" w:rsidRDefault="00016098" w:rsidP="00016098">
      <w:pPr>
        <w:spacing w:line="276" w:lineRule="auto"/>
        <w:rPr>
          <w:rFonts w:ascii="Arial" w:eastAsia="Geomanist Light" w:hAnsi="Arial" w:cs="Arial"/>
          <w:color w:val="000000" w:themeColor="text1"/>
          <w:lang w:val="es-MX"/>
        </w:rPr>
      </w:pPr>
    </w:p>
    <w:p w14:paraId="1D845AF9" w14:textId="77777777" w:rsidR="00016098" w:rsidRDefault="00016098" w:rsidP="00016098">
      <w:pPr>
        <w:spacing w:line="276" w:lineRule="auto"/>
        <w:rPr>
          <w:rFonts w:ascii="Arial" w:eastAsia="Geomanist Light" w:hAnsi="Arial" w:cs="Arial"/>
          <w:color w:val="000000" w:themeColor="text1"/>
          <w:lang w:val="es-MX"/>
        </w:rPr>
      </w:pPr>
    </w:p>
    <w:p w14:paraId="79A2B854" w14:textId="77777777" w:rsidR="00016098" w:rsidRPr="00E94E87" w:rsidRDefault="00016098" w:rsidP="00016098">
      <w:pPr>
        <w:spacing w:line="276" w:lineRule="auto"/>
        <w:rPr>
          <w:rFonts w:ascii="Arial" w:eastAsia="Geomanist Light" w:hAnsi="Arial" w:cs="Arial"/>
          <w:color w:val="201F1E"/>
          <w:lang w:val="es-MX"/>
        </w:rPr>
      </w:pPr>
      <w:r w:rsidRPr="00E94E87">
        <w:rPr>
          <w:rFonts w:ascii="Arial" w:eastAsia="Geomanist Light" w:hAnsi="Arial" w:cs="Arial"/>
          <w:color w:val="000000" w:themeColor="text1"/>
          <w:lang w:val="es-MX"/>
        </w:rPr>
        <w:t>Bogotá D.C., </w:t>
      </w:r>
      <w:r w:rsidRPr="00E94E87">
        <w:rPr>
          <w:rFonts w:ascii="Arial" w:eastAsia="Geomanist Light" w:hAnsi="Arial" w:cs="Arial"/>
          <w:color w:val="201F1E"/>
          <w:lang w:val="es-MX"/>
        </w:rPr>
        <w:t>[Día] de [Mes.NombreCapitalizado] de [Año]</w:t>
      </w:r>
    </w:p>
    <w:p w14:paraId="72865F5B" w14:textId="77777777" w:rsidR="00016098" w:rsidRDefault="00016098" w:rsidP="00016098">
      <w:pPr>
        <w:jc w:val="both"/>
        <w:rPr>
          <w:rFonts w:ascii="Arial" w:eastAsia="Calibri" w:hAnsi="Arial" w:cs="Arial"/>
          <w:lang w:val="es-ES_tradnl"/>
        </w:rPr>
      </w:pPr>
    </w:p>
    <w:p w14:paraId="615D84EA" w14:textId="77777777" w:rsidR="00D66A88" w:rsidRDefault="00D66A88" w:rsidP="00016098">
      <w:pPr>
        <w:jc w:val="both"/>
        <w:rPr>
          <w:rFonts w:ascii="Arial" w:eastAsia="Calibri" w:hAnsi="Arial" w:cs="Arial"/>
          <w:lang w:val="es-ES_tradnl"/>
        </w:rPr>
      </w:pPr>
    </w:p>
    <w:p w14:paraId="13DE1DBA" w14:textId="452CA6EE" w:rsidR="00D66A88" w:rsidRDefault="00D66A88" w:rsidP="00D66A88">
      <w:pPr>
        <w:jc w:val="right"/>
        <w:rPr>
          <w:rFonts w:ascii="Arial" w:eastAsia="Calibri" w:hAnsi="Arial" w:cs="Arial"/>
          <w:lang w:val="es-ES_tradnl"/>
        </w:rPr>
      </w:pPr>
      <w:r>
        <w:rPr>
          <w:noProof/>
        </w:rPr>
        <w:drawing>
          <wp:inline distT="0" distB="0" distL="0" distR="0" wp14:anchorId="5D0CD585" wp14:editId="50684015">
            <wp:extent cx="3181350" cy="866775"/>
            <wp:effectExtent l="0" t="0" r="0" b="9525"/>
            <wp:docPr id="19144553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45533" name="Imagen 1" descr="Texto&#10;&#10;Descripción generada automáticamente"/>
                    <pic:cNvPicPr/>
                  </pic:nvPicPr>
                  <pic:blipFill>
                    <a:blip r:embed="rId11"/>
                    <a:stretch>
                      <a:fillRect/>
                    </a:stretch>
                  </pic:blipFill>
                  <pic:spPr>
                    <a:xfrm>
                      <a:off x="0" y="0"/>
                      <a:ext cx="3181350" cy="866775"/>
                    </a:xfrm>
                    <a:prstGeom prst="rect">
                      <a:avLst/>
                    </a:prstGeom>
                  </pic:spPr>
                </pic:pic>
              </a:graphicData>
            </a:graphic>
          </wp:inline>
        </w:drawing>
      </w:r>
    </w:p>
    <w:p w14:paraId="2805152E" w14:textId="77777777" w:rsidR="00016098" w:rsidRPr="00EF4F61" w:rsidRDefault="00016098" w:rsidP="00016098">
      <w:pPr>
        <w:jc w:val="both"/>
        <w:rPr>
          <w:rFonts w:ascii="Arial" w:eastAsia="Calibri" w:hAnsi="Arial" w:cs="Arial"/>
          <w:lang w:val="es-ES_tradnl"/>
        </w:rPr>
      </w:pPr>
      <w:r w:rsidRPr="00EF4F61">
        <w:rPr>
          <w:rFonts w:ascii="Arial" w:eastAsia="Calibri" w:hAnsi="Arial" w:cs="Arial"/>
          <w:lang w:val="es-ES_tradnl"/>
        </w:rPr>
        <w:t>Señor</w:t>
      </w:r>
    </w:p>
    <w:p w14:paraId="660A4792" w14:textId="77777777" w:rsidR="00016098" w:rsidRPr="00EF4F61" w:rsidRDefault="00016098" w:rsidP="00016098">
      <w:pPr>
        <w:jc w:val="both"/>
        <w:rPr>
          <w:rFonts w:ascii="Arial" w:hAnsi="Arial" w:cs="Arial"/>
          <w:b/>
          <w:bCs/>
        </w:rPr>
      </w:pPr>
      <w:r w:rsidRPr="00EF4F61">
        <w:rPr>
          <w:rFonts w:ascii="Arial" w:hAnsi="Arial" w:cs="Arial"/>
          <w:b/>
          <w:bCs/>
        </w:rPr>
        <w:t>Oscar Fernandez Barrios</w:t>
      </w:r>
    </w:p>
    <w:p w14:paraId="33689F48" w14:textId="77777777" w:rsidR="00016098" w:rsidRPr="00EF4F61" w:rsidRDefault="00016098" w:rsidP="00016098">
      <w:pPr>
        <w:jc w:val="both"/>
        <w:rPr>
          <w:rFonts w:ascii="Arial" w:hAnsi="Arial" w:cs="Arial"/>
        </w:rPr>
      </w:pPr>
      <w:r w:rsidRPr="00EF4F61">
        <w:rPr>
          <w:rFonts w:ascii="Arial" w:hAnsi="Arial" w:cs="Arial"/>
        </w:rPr>
        <w:t>Atlántico - Barranquilla</w:t>
      </w:r>
    </w:p>
    <w:p w14:paraId="4FB34E91" w14:textId="77777777" w:rsidR="00016098" w:rsidRPr="00D95D28" w:rsidRDefault="00016098" w:rsidP="00016098">
      <w:pPr>
        <w:jc w:val="both"/>
        <w:rPr>
          <w:rFonts w:ascii="Arial" w:eastAsia="Calibri" w:hAnsi="Arial" w:cs="Arial"/>
          <w:lang w:val="es-ES_tradnl"/>
        </w:rPr>
      </w:pPr>
    </w:p>
    <w:p w14:paraId="2CDA0078" w14:textId="398B584B" w:rsidR="00016098" w:rsidRPr="00D95D28" w:rsidRDefault="00016098" w:rsidP="00016098">
      <w:pPr>
        <w:jc w:val="center"/>
        <w:rPr>
          <w:rFonts w:ascii="Arial" w:eastAsia="Calibri" w:hAnsi="Arial" w:cs="Arial"/>
          <w:b/>
          <w:bCs/>
          <w:lang w:val="es-ES_tradnl"/>
        </w:rPr>
      </w:pPr>
      <w:r w:rsidRPr="00D95D28">
        <w:rPr>
          <w:rFonts w:ascii="Arial" w:eastAsia="Calibri" w:hAnsi="Arial" w:cs="Arial"/>
          <w:b/>
          <w:bCs/>
          <w:lang w:val="es-ES_tradnl"/>
        </w:rPr>
        <w:t xml:space="preserve">Concepto C ‒ </w:t>
      </w:r>
      <w:r>
        <w:rPr>
          <w:rFonts w:ascii="Arial" w:eastAsia="Calibri" w:hAnsi="Arial" w:cs="Arial"/>
          <w:b/>
          <w:bCs/>
          <w:lang w:val="es-ES_tradnl"/>
        </w:rPr>
        <w:t>1</w:t>
      </w:r>
      <w:r w:rsidR="006F492E">
        <w:rPr>
          <w:rFonts w:ascii="Arial" w:eastAsia="Calibri" w:hAnsi="Arial" w:cs="Arial"/>
          <w:b/>
          <w:bCs/>
          <w:lang w:val="es-ES_tradnl"/>
        </w:rPr>
        <w:t>6</w:t>
      </w:r>
      <w:r>
        <w:rPr>
          <w:rFonts w:ascii="Arial" w:eastAsia="Calibri" w:hAnsi="Arial" w:cs="Arial"/>
          <w:b/>
          <w:bCs/>
          <w:lang w:val="es-ES_tradnl"/>
        </w:rPr>
        <w:t>5</w:t>
      </w:r>
      <w:r w:rsidRPr="00D95D28">
        <w:rPr>
          <w:rFonts w:ascii="Arial" w:eastAsia="Calibri" w:hAnsi="Arial" w:cs="Arial"/>
          <w:b/>
          <w:bCs/>
          <w:lang w:val="es-ES_tradnl"/>
        </w:rPr>
        <w:t xml:space="preserve"> de 202</w:t>
      </w:r>
      <w:r>
        <w:rPr>
          <w:rFonts w:ascii="Arial" w:eastAsia="Calibri" w:hAnsi="Arial" w:cs="Arial"/>
          <w:b/>
          <w:bCs/>
          <w:lang w:val="es-ES_tradnl"/>
        </w:rPr>
        <w:t>3</w:t>
      </w:r>
    </w:p>
    <w:p w14:paraId="4250D5BC" w14:textId="77777777" w:rsidR="00016098" w:rsidRPr="00D95D28" w:rsidRDefault="00016098" w:rsidP="00016098">
      <w:pPr>
        <w:jc w:val="both"/>
        <w:rPr>
          <w:rFonts w:ascii="Arial" w:eastAsia="Calibri" w:hAnsi="Arial" w:cs="Arial"/>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16098" w:rsidRPr="00D95D28" w14:paraId="742E5F94" w14:textId="77777777" w:rsidTr="00BF1483">
        <w:tc>
          <w:tcPr>
            <w:tcW w:w="2689" w:type="dxa"/>
          </w:tcPr>
          <w:p w14:paraId="3224547B" w14:textId="77777777" w:rsidR="00016098" w:rsidRPr="00874FC8" w:rsidRDefault="00016098" w:rsidP="00BF1483">
            <w:pPr>
              <w:jc w:val="both"/>
              <w:rPr>
                <w:rStyle w:val="normaltextrun"/>
                <w:rFonts w:ascii="Arial" w:hAnsi="Arial" w:cs="Arial"/>
                <w:b/>
                <w:bCs/>
                <w:color w:val="000000"/>
                <w:shd w:val="clear" w:color="auto" w:fill="FFFFFF"/>
              </w:rPr>
            </w:pPr>
            <w:r w:rsidRPr="00874FC8">
              <w:rPr>
                <w:rStyle w:val="normaltextrun"/>
                <w:rFonts w:ascii="Arial" w:hAnsi="Arial" w:cs="Arial"/>
                <w:b/>
                <w:bCs/>
                <w:color w:val="000000"/>
                <w:shd w:val="clear" w:color="auto" w:fill="FFFFFF"/>
              </w:rPr>
              <w:t xml:space="preserve">Temas:                                      </w:t>
            </w:r>
          </w:p>
        </w:tc>
        <w:tc>
          <w:tcPr>
            <w:tcW w:w="6237" w:type="dxa"/>
          </w:tcPr>
          <w:p w14:paraId="36C9BB97" w14:textId="77777777" w:rsidR="00016098" w:rsidRPr="00BA6349" w:rsidRDefault="00016098" w:rsidP="00BF1483">
            <w:pPr>
              <w:jc w:val="both"/>
              <w:rPr>
                <w:rStyle w:val="normaltextrun"/>
                <w:rFonts w:ascii="Arial" w:hAnsi="Arial" w:cs="Arial"/>
                <w:color w:val="000000"/>
                <w:shd w:val="clear" w:color="auto" w:fill="FFFFFF"/>
              </w:rPr>
            </w:pPr>
            <w:r w:rsidRPr="00BA6349">
              <w:rPr>
                <w:rStyle w:val="normaltextrun"/>
                <w:rFonts w:ascii="Arial" w:hAnsi="Arial" w:cs="Arial"/>
                <w:color w:val="000000"/>
                <w:shd w:val="clear" w:color="auto" w:fill="FFFFFF"/>
              </w:rPr>
              <w:t>LEY DE EMPRENDIMIENTO – Ley 2069 de 2020 – Vigencia / MIPYMES – Artículo 34 de la Ley 2069 de 2020/ REQUISITOS HABILITANTES – Concepto / REQUISITOS HABILITANTES – Carácter enunciativo – Artículo 5 de la Ley 1150 de 2007 /PRECIO ARTIFICIALMENTE BAJO – Concepto / OFERTA CON VALOR ARTIFICALMENTE BAJO</w:t>
            </w:r>
          </w:p>
        </w:tc>
      </w:tr>
      <w:tr w:rsidR="00016098" w:rsidRPr="00D95D28" w14:paraId="1622F094" w14:textId="77777777" w:rsidTr="00BF1483">
        <w:tc>
          <w:tcPr>
            <w:tcW w:w="2689" w:type="dxa"/>
          </w:tcPr>
          <w:p w14:paraId="321594CC" w14:textId="77777777" w:rsidR="00016098" w:rsidRPr="00D95D28" w:rsidRDefault="00016098" w:rsidP="00BF1483">
            <w:pPr>
              <w:spacing w:before="120"/>
              <w:jc w:val="both"/>
              <w:rPr>
                <w:rFonts w:ascii="Arial" w:eastAsia="Calibri" w:hAnsi="Arial" w:cs="Arial"/>
                <w:b/>
                <w:lang w:val="es-ES_tradnl"/>
              </w:rPr>
            </w:pPr>
            <w:r w:rsidRPr="00D95D28">
              <w:rPr>
                <w:rFonts w:ascii="Arial" w:eastAsia="Calibri" w:hAnsi="Arial" w:cs="Arial"/>
                <w:b/>
                <w:lang w:val="es-ES_tradnl"/>
              </w:rPr>
              <w:t>Radicación:</w:t>
            </w:r>
            <w:r w:rsidRPr="00D95D28">
              <w:rPr>
                <w:rFonts w:ascii="Arial" w:eastAsia="Calibri" w:hAnsi="Arial" w:cs="Arial"/>
                <w:lang w:val="es-ES_tradnl"/>
              </w:rPr>
              <w:t xml:space="preserve">                              </w:t>
            </w:r>
          </w:p>
        </w:tc>
        <w:tc>
          <w:tcPr>
            <w:tcW w:w="6237" w:type="dxa"/>
          </w:tcPr>
          <w:p w14:paraId="00FA1C79" w14:textId="77777777" w:rsidR="00016098" w:rsidRPr="00D95D28" w:rsidRDefault="00016098" w:rsidP="00BF1483">
            <w:pPr>
              <w:spacing w:before="120"/>
              <w:jc w:val="both"/>
              <w:rPr>
                <w:rFonts w:ascii="Arial" w:eastAsia="Calibri" w:hAnsi="Arial" w:cs="Arial"/>
                <w:lang w:val="es-ES_tradnl"/>
              </w:rPr>
            </w:pPr>
            <w:r w:rsidRPr="00D95D28">
              <w:rPr>
                <w:rFonts w:ascii="Arial" w:eastAsia="Calibri" w:hAnsi="Arial" w:cs="Arial"/>
                <w:lang w:val="es-ES_tradnl"/>
              </w:rPr>
              <w:t xml:space="preserve">Respuesta a consulta </w:t>
            </w:r>
            <w:r>
              <w:rPr>
                <w:rFonts w:ascii="Arial" w:eastAsia="Calibri" w:hAnsi="Arial" w:cs="Arial"/>
                <w:lang w:val="es-ES_tradnl"/>
              </w:rPr>
              <w:t xml:space="preserve">Nro. </w:t>
            </w:r>
            <w:r w:rsidRPr="002A1371">
              <w:rPr>
                <w:rFonts w:ascii="Arial" w:eastAsia="Calibri" w:hAnsi="Arial" w:cs="Arial"/>
                <w:lang w:val="es-ES_tradnl"/>
              </w:rPr>
              <w:t>P20230419003497</w:t>
            </w:r>
          </w:p>
        </w:tc>
      </w:tr>
    </w:tbl>
    <w:p w14:paraId="55740E18" w14:textId="77777777" w:rsidR="00016098" w:rsidRPr="00392758" w:rsidRDefault="00016098" w:rsidP="00016098">
      <w:pPr>
        <w:jc w:val="both"/>
        <w:rPr>
          <w:rFonts w:ascii="Arial" w:eastAsia="Calibri" w:hAnsi="Arial" w:cs="Arial"/>
          <w:lang w:val="es-ES_tradnl"/>
        </w:rPr>
      </w:pPr>
    </w:p>
    <w:p w14:paraId="604D9A20" w14:textId="77777777" w:rsidR="00016098" w:rsidRPr="00392758" w:rsidRDefault="00016098" w:rsidP="00016098">
      <w:pPr>
        <w:jc w:val="both"/>
        <w:rPr>
          <w:rFonts w:ascii="Arial" w:eastAsia="Calibri" w:hAnsi="Arial" w:cs="Arial"/>
          <w:lang w:val="es-ES_tradnl"/>
        </w:rPr>
      </w:pPr>
    </w:p>
    <w:p w14:paraId="1C1EB942" w14:textId="77777777" w:rsidR="00016098" w:rsidRPr="00392758" w:rsidRDefault="00016098" w:rsidP="00016098">
      <w:pPr>
        <w:jc w:val="both"/>
        <w:rPr>
          <w:rFonts w:ascii="Arial" w:eastAsia="Calibri" w:hAnsi="Arial" w:cs="Arial"/>
          <w:lang w:val="es-ES_tradnl"/>
        </w:rPr>
      </w:pPr>
      <w:r w:rsidRPr="00392758">
        <w:rPr>
          <w:rFonts w:ascii="Arial" w:eastAsia="Calibri" w:hAnsi="Arial" w:cs="Arial"/>
          <w:lang w:val="es-ES_tradnl"/>
        </w:rPr>
        <w:t>Estimad</w:t>
      </w:r>
      <w:r>
        <w:rPr>
          <w:rFonts w:ascii="Arial" w:eastAsia="Calibri" w:hAnsi="Arial" w:cs="Arial"/>
          <w:lang w:val="es-ES_tradnl"/>
        </w:rPr>
        <w:t>o señor Fernández Barrios</w:t>
      </w:r>
      <w:r w:rsidRPr="00392758">
        <w:rPr>
          <w:rFonts w:ascii="Arial" w:eastAsia="Calibri" w:hAnsi="Arial" w:cs="Arial"/>
          <w:lang w:val="es-ES_tradnl"/>
        </w:rPr>
        <w:t>:</w:t>
      </w:r>
      <w:r>
        <w:rPr>
          <w:rFonts w:ascii="Arial" w:eastAsia="Calibri" w:hAnsi="Arial" w:cs="Arial"/>
          <w:lang w:val="es-ES_tradnl"/>
        </w:rPr>
        <w:t xml:space="preserve"> </w:t>
      </w:r>
    </w:p>
    <w:p w14:paraId="61B5E793" w14:textId="77777777" w:rsidR="00016098" w:rsidRPr="00392758" w:rsidRDefault="00016098" w:rsidP="00016098">
      <w:pPr>
        <w:spacing w:line="276" w:lineRule="auto"/>
        <w:jc w:val="both"/>
        <w:rPr>
          <w:rFonts w:ascii="Arial" w:eastAsia="Calibri" w:hAnsi="Arial" w:cs="Arial"/>
          <w:lang w:val="es-ES_tradnl"/>
        </w:rPr>
      </w:pPr>
      <w:r w:rsidRPr="00392758">
        <w:rPr>
          <w:rFonts w:ascii="Arial" w:eastAsia="Calibri" w:hAnsi="Arial" w:cs="Arial"/>
          <w:lang w:val="es-ES_tradnl"/>
        </w:rPr>
        <w:t>En ejercicio de la competencia otorgada por el numeral 8 del artículo 11 y el numeral 5 del artículo 3 del Decreto Ley 4170 de 2011, la Agencia Nacional de Contratación Pública ― Colombia Compra Eficiente responde su consulta del 1</w:t>
      </w:r>
      <w:r>
        <w:rPr>
          <w:rFonts w:ascii="Arial" w:eastAsia="Calibri" w:hAnsi="Arial" w:cs="Arial"/>
          <w:lang w:val="es-ES_tradnl"/>
        </w:rPr>
        <w:t>9</w:t>
      </w:r>
      <w:r w:rsidRPr="00392758">
        <w:rPr>
          <w:rFonts w:ascii="Arial" w:eastAsia="Calibri" w:hAnsi="Arial" w:cs="Arial"/>
          <w:lang w:val="es-ES_tradnl"/>
        </w:rPr>
        <w:t xml:space="preserve"> de </w:t>
      </w:r>
      <w:r>
        <w:rPr>
          <w:rFonts w:ascii="Arial" w:eastAsia="Calibri" w:hAnsi="Arial" w:cs="Arial"/>
          <w:lang w:val="es-ES_tradnl"/>
        </w:rPr>
        <w:t>abril</w:t>
      </w:r>
      <w:r w:rsidRPr="00392758">
        <w:rPr>
          <w:rFonts w:ascii="Arial" w:eastAsia="Calibri" w:hAnsi="Arial" w:cs="Arial"/>
          <w:lang w:val="es-ES_tradnl"/>
        </w:rPr>
        <w:t xml:space="preserve"> de 202</w:t>
      </w:r>
      <w:r>
        <w:rPr>
          <w:rFonts w:ascii="Arial" w:eastAsia="Calibri" w:hAnsi="Arial" w:cs="Arial"/>
          <w:lang w:val="es-ES_tradnl"/>
        </w:rPr>
        <w:t>3</w:t>
      </w:r>
      <w:r w:rsidRPr="00392758">
        <w:rPr>
          <w:rFonts w:ascii="Arial" w:eastAsia="Calibri" w:hAnsi="Arial" w:cs="Arial"/>
          <w:lang w:val="es-ES_tradnl"/>
        </w:rPr>
        <w:t xml:space="preserve">. </w:t>
      </w:r>
    </w:p>
    <w:p w14:paraId="1A81E100" w14:textId="77777777" w:rsidR="00016098" w:rsidRPr="00392758" w:rsidRDefault="00016098" w:rsidP="00016098">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lang w:val="es-ES_tradnl"/>
        </w:rPr>
      </w:pPr>
      <w:r w:rsidRPr="00392758">
        <w:rPr>
          <w:rFonts w:ascii="Arial" w:eastAsia="Calibri" w:hAnsi="Arial" w:cs="Arial"/>
          <w:b/>
          <w:lang w:val="es-ES_tradnl"/>
        </w:rPr>
        <w:t xml:space="preserve">Problema planteado </w:t>
      </w:r>
    </w:p>
    <w:p w14:paraId="03A17460" w14:textId="77777777" w:rsidR="00016098" w:rsidRDefault="00016098" w:rsidP="00016098">
      <w:pPr>
        <w:autoSpaceDE w:val="0"/>
        <w:autoSpaceDN w:val="0"/>
        <w:adjustRightInd w:val="0"/>
        <w:jc w:val="both"/>
        <w:rPr>
          <w:rFonts w:ascii="Arial" w:eastAsia="Calibri" w:hAnsi="Arial" w:cs="Arial"/>
          <w:lang w:val="es-ES_tradnl"/>
        </w:rPr>
      </w:pPr>
    </w:p>
    <w:p w14:paraId="63FA4344" w14:textId="77777777" w:rsidR="00016098" w:rsidRDefault="00016098" w:rsidP="00016098">
      <w:pPr>
        <w:autoSpaceDE w:val="0"/>
        <w:autoSpaceDN w:val="0"/>
        <w:adjustRightInd w:val="0"/>
        <w:jc w:val="both"/>
        <w:rPr>
          <w:rFonts w:ascii="Arial" w:eastAsia="Calibri" w:hAnsi="Arial" w:cs="Arial"/>
          <w:lang w:val="es-ES_tradnl"/>
        </w:rPr>
      </w:pPr>
      <w:r w:rsidRPr="00D95D28">
        <w:rPr>
          <w:rFonts w:ascii="Arial" w:eastAsia="Calibri" w:hAnsi="Arial" w:cs="Arial"/>
          <w:lang w:val="es-ES_tradnl"/>
        </w:rPr>
        <w:t>Usted realiza la siguiente consulta:</w:t>
      </w:r>
    </w:p>
    <w:p w14:paraId="12F370FB" w14:textId="77777777" w:rsidR="00016098" w:rsidRPr="00D95D28" w:rsidRDefault="00016098" w:rsidP="00016098">
      <w:pPr>
        <w:autoSpaceDE w:val="0"/>
        <w:autoSpaceDN w:val="0"/>
        <w:adjustRightInd w:val="0"/>
        <w:jc w:val="both"/>
        <w:rPr>
          <w:rFonts w:ascii="Arial" w:eastAsia="Calibri" w:hAnsi="Arial" w:cs="Arial"/>
          <w:lang w:val="es-ES_tradnl"/>
        </w:rPr>
      </w:pPr>
    </w:p>
    <w:p w14:paraId="20420887" w14:textId="77777777" w:rsidR="00016098" w:rsidRPr="00D95D28" w:rsidRDefault="00016098" w:rsidP="00016098">
      <w:pPr>
        <w:autoSpaceDE w:val="0"/>
        <w:autoSpaceDN w:val="0"/>
        <w:adjustRightInd w:val="0"/>
        <w:ind w:left="709" w:right="709"/>
        <w:jc w:val="both"/>
        <w:rPr>
          <w:rFonts w:ascii="Arial" w:hAnsi="Arial" w:cs="Arial"/>
          <w:sz w:val="21"/>
          <w:szCs w:val="21"/>
        </w:rPr>
      </w:pPr>
      <w:r w:rsidRPr="00D95D28">
        <w:rPr>
          <w:rFonts w:ascii="Arial" w:eastAsia="Calibri" w:hAnsi="Arial" w:cs="Arial"/>
          <w:sz w:val="21"/>
          <w:szCs w:val="21"/>
          <w:lang w:val="es-ES_tradnl"/>
        </w:rPr>
        <w:lastRenderedPageBreak/>
        <w:t xml:space="preserve"> “</w:t>
      </w:r>
      <w:r w:rsidRPr="00D95D28">
        <w:rPr>
          <w:rFonts w:ascii="Arial" w:hAnsi="Arial" w:cs="Arial"/>
          <w:sz w:val="21"/>
          <w:szCs w:val="21"/>
        </w:rPr>
        <w:t>1. Las entidades del estado bajo la normatividad de la contratación publica cualquier modalidad, pueden excluir de un proceso a una MiPymes basado en la antigüedad de su constitución como empresa ante la cámara de comercio y DIAN, aun si esta MiPymes cumpla con todos los demás requerimientos inclusive la experiencia</w:t>
      </w:r>
      <w:r>
        <w:rPr>
          <w:rFonts w:ascii="Arial" w:hAnsi="Arial" w:cs="Arial"/>
          <w:sz w:val="21"/>
          <w:szCs w:val="21"/>
        </w:rPr>
        <w:t xml:space="preserve"> </w:t>
      </w:r>
      <w:r w:rsidRPr="00D95D28">
        <w:rPr>
          <w:rFonts w:ascii="Arial" w:hAnsi="Arial" w:cs="Arial"/>
          <w:sz w:val="21"/>
          <w:szCs w:val="21"/>
        </w:rPr>
        <w:t>requerida por la entidad y el proceso?</w:t>
      </w:r>
    </w:p>
    <w:p w14:paraId="204DF77D" w14:textId="77777777" w:rsidR="00016098" w:rsidRDefault="00016098" w:rsidP="00016098">
      <w:pPr>
        <w:autoSpaceDE w:val="0"/>
        <w:autoSpaceDN w:val="0"/>
        <w:adjustRightInd w:val="0"/>
        <w:ind w:left="709" w:right="709"/>
        <w:jc w:val="both"/>
        <w:rPr>
          <w:rFonts w:ascii="Arial" w:hAnsi="Arial" w:cs="Arial"/>
          <w:sz w:val="21"/>
          <w:szCs w:val="21"/>
        </w:rPr>
      </w:pPr>
      <w:r w:rsidRPr="00D95D28">
        <w:rPr>
          <w:rFonts w:ascii="Arial" w:hAnsi="Arial" w:cs="Arial"/>
          <w:sz w:val="21"/>
          <w:szCs w:val="21"/>
        </w:rPr>
        <w:t>El cuestionamiento nace porque en algunos procesos ponen como condición para</w:t>
      </w:r>
      <w:r>
        <w:rPr>
          <w:rFonts w:ascii="Arial" w:hAnsi="Arial" w:cs="Arial"/>
          <w:sz w:val="21"/>
          <w:szCs w:val="21"/>
        </w:rPr>
        <w:t xml:space="preserve"> </w:t>
      </w:r>
      <w:r w:rsidRPr="00D95D28">
        <w:rPr>
          <w:rFonts w:ascii="Arial" w:hAnsi="Arial" w:cs="Arial"/>
          <w:sz w:val="21"/>
          <w:szCs w:val="21"/>
        </w:rPr>
        <w:t>participar tener mas de un año de constitución de la empresa, vulnerando la igualdad</w:t>
      </w:r>
      <w:r>
        <w:rPr>
          <w:rFonts w:ascii="Arial" w:hAnsi="Arial" w:cs="Arial"/>
          <w:sz w:val="21"/>
          <w:szCs w:val="21"/>
        </w:rPr>
        <w:t xml:space="preserve"> </w:t>
      </w:r>
      <w:r w:rsidRPr="00D95D28">
        <w:rPr>
          <w:rFonts w:ascii="Arial" w:hAnsi="Arial" w:cs="Arial"/>
          <w:sz w:val="21"/>
          <w:szCs w:val="21"/>
        </w:rPr>
        <w:t>de participación y no valiendo la experiencia que se tiene la cual puede ser mucho</w:t>
      </w:r>
      <w:r>
        <w:rPr>
          <w:rFonts w:ascii="Arial" w:hAnsi="Arial" w:cs="Arial"/>
          <w:sz w:val="21"/>
          <w:szCs w:val="21"/>
        </w:rPr>
        <w:t xml:space="preserve"> </w:t>
      </w:r>
      <w:r w:rsidRPr="00D95D28">
        <w:rPr>
          <w:rFonts w:ascii="Arial" w:hAnsi="Arial" w:cs="Arial"/>
          <w:sz w:val="21"/>
          <w:szCs w:val="21"/>
        </w:rPr>
        <w:t>mayor al tiempo de constitución ya que puede ser aportada por un socio de la empresa</w:t>
      </w:r>
      <w:r>
        <w:rPr>
          <w:rFonts w:ascii="Arial" w:hAnsi="Arial" w:cs="Arial"/>
          <w:sz w:val="21"/>
          <w:szCs w:val="21"/>
        </w:rPr>
        <w:t>.</w:t>
      </w:r>
    </w:p>
    <w:p w14:paraId="6A1C4515" w14:textId="77777777" w:rsidR="00016098" w:rsidRDefault="00016098" w:rsidP="00016098">
      <w:pPr>
        <w:autoSpaceDE w:val="0"/>
        <w:autoSpaceDN w:val="0"/>
        <w:adjustRightInd w:val="0"/>
        <w:ind w:left="709" w:right="709"/>
        <w:jc w:val="both"/>
        <w:rPr>
          <w:rFonts w:ascii="Arial" w:hAnsi="Arial" w:cs="Arial"/>
          <w:sz w:val="21"/>
          <w:szCs w:val="21"/>
        </w:rPr>
      </w:pPr>
    </w:p>
    <w:p w14:paraId="59932C31" w14:textId="77777777" w:rsidR="00016098" w:rsidRPr="00D95D28" w:rsidRDefault="00016098" w:rsidP="00016098">
      <w:pPr>
        <w:autoSpaceDE w:val="0"/>
        <w:autoSpaceDN w:val="0"/>
        <w:adjustRightInd w:val="0"/>
        <w:ind w:left="709" w:right="709"/>
        <w:jc w:val="both"/>
        <w:rPr>
          <w:rFonts w:ascii="Arial" w:hAnsi="Arial" w:cs="Arial"/>
          <w:sz w:val="21"/>
          <w:szCs w:val="21"/>
        </w:rPr>
      </w:pPr>
      <w:r w:rsidRPr="00D95D28">
        <w:rPr>
          <w:rFonts w:ascii="Arial" w:hAnsi="Arial" w:cs="Arial"/>
          <w:sz w:val="21"/>
          <w:szCs w:val="21"/>
        </w:rPr>
        <w:t>2. Si en un proceso de licitación cualquier sea su modalidad de esta, la entidad del</w:t>
      </w:r>
      <w:r>
        <w:rPr>
          <w:rFonts w:ascii="Arial" w:hAnsi="Arial" w:cs="Arial"/>
          <w:sz w:val="21"/>
          <w:szCs w:val="21"/>
        </w:rPr>
        <w:t xml:space="preserve"> </w:t>
      </w:r>
      <w:r w:rsidRPr="00D95D28">
        <w:rPr>
          <w:rFonts w:ascii="Arial" w:hAnsi="Arial" w:cs="Arial"/>
          <w:sz w:val="21"/>
          <w:szCs w:val="21"/>
        </w:rPr>
        <w:t>estado NO pide dentro de los requisitos habilitantes documentos o certificados que son de carácter obligatorio que se tengan (ejemplo: tarjeta profesional, RNT) la entidad puede adjudicar el proceso así no se cumpla con estos documentos?</w:t>
      </w:r>
      <w:r>
        <w:rPr>
          <w:rFonts w:ascii="Arial" w:hAnsi="Arial" w:cs="Arial"/>
          <w:sz w:val="21"/>
          <w:szCs w:val="21"/>
        </w:rPr>
        <w:t xml:space="preserve"> </w:t>
      </w:r>
      <w:r w:rsidRPr="00D95D28">
        <w:rPr>
          <w:rFonts w:ascii="Arial" w:hAnsi="Arial" w:cs="Arial"/>
          <w:sz w:val="21"/>
          <w:szCs w:val="21"/>
        </w:rPr>
        <w:t>Como proponente se pueden solicitar a la entidad que los requiera?</w:t>
      </w:r>
    </w:p>
    <w:p w14:paraId="7E132D69" w14:textId="77777777" w:rsidR="00016098" w:rsidRPr="00D95D28" w:rsidRDefault="00016098" w:rsidP="00016098">
      <w:pPr>
        <w:autoSpaceDE w:val="0"/>
        <w:autoSpaceDN w:val="0"/>
        <w:adjustRightInd w:val="0"/>
        <w:ind w:left="709" w:right="709"/>
        <w:jc w:val="both"/>
        <w:rPr>
          <w:rFonts w:ascii="Arial" w:hAnsi="Arial" w:cs="Arial"/>
          <w:sz w:val="21"/>
          <w:szCs w:val="21"/>
        </w:rPr>
      </w:pPr>
      <w:r w:rsidRPr="00D95D28">
        <w:rPr>
          <w:rFonts w:ascii="Arial" w:hAnsi="Arial" w:cs="Arial"/>
          <w:sz w:val="21"/>
          <w:szCs w:val="21"/>
        </w:rPr>
        <w:t>3. Si en un proceso de estudio de mercados las empresas o la empresa consultada cotiza con un valor determinado y al participar en el mismo proceso sus precios son diferentes de forma conveniente (mas bajos) llevando a la entidad a generar un error en la cuantía estipulada, es valida su participación en el proceso?</w:t>
      </w:r>
      <w:r>
        <w:rPr>
          <w:rFonts w:ascii="Arial" w:eastAsia="Calibri" w:hAnsi="Arial" w:cs="Arial"/>
          <w:lang w:val="es-ES_tradnl"/>
        </w:rPr>
        <w:t>”</w:t>
      </w:r>
      <w:r w:rsidRPr="00392758">
        <w:rPr>
          <w:rFonts w:ascii="Arial" w:eastAsia="Calibri" w:hAnsi="Arial" w:cs="Arial"/>
          <w:lang w:val="es-ES_tradnl"/>
        </w:rPr>
        <w:t xml:space="preserve"> (sic).</w:t>
      </w:r>
    </w:p>
    <w:p w14:paraId="40C21EA3" w14:textId="77777777" w:rsidR="00016098" w:rsidRPr="00392758" w:rsidRDefault="00016098" w:rsidP="00016098">
      <w:pPr>
        <w:spacing w:line="276" w:lineRule="auto"/>
        <w:ind w:left="709" w:right="709"/>
        <w:jc w:val="both"/>
        <w:rPr>
          <w:rFonts w:ascii="Arial" w:hAnsi="Arial" w:cs="Arial"/>
          <w:lang w:val="es-ES_tradnl"/>
        </w:rPr>
      </w:pPr>
    </w:p>
    <w:p w14:paraId="721E390A" w14:textId="77777777" w:rsidR="00016098" w:rsidRPr="00392758" w:rsidRDefault="00016098" w:rsidP="00016098">
      <w:pPr>
        <w:pStyle w:val="Prrafodelista"/>
        <w:numPr>
          <w:ilvl w:val="0"/>
          <w:numId w:val="8"/>
        </w:numPr>
        <w:tabs>
          <w:tab w:val="left" w:pos="0"/>
          <w:tab w:val="left" w:pos="284"/>
        </w:tabs>
        <w:ind w:left="0" w:firstLine="0"/>
        <w:jc w:val="both"/>
        <w:rPr>
          <w:rFonts w:ascii="Arial" w:eastAsia="Calibri" w:hAnsi="Arial" w:cs="Arial"/>
          <w:b/>
          <w:lang w:val="es-ES_tradnl"/>
        </w:rPr>
      </w:pPr>
      <w:r w:rsidRPr="00392758">
        <w:rPr>
          <w:rFonts w:ascii="Arial" w:eastAsia="Calibri" w:hAnsi="Arial" w:cs="Arial"/>
          <w:b/>
          <w:lang w:val="es-ES_tradnl"/>
        </w:rPr>
        <w:t>Consideraciones</w:t>
      </w:r>
    </w:p>
    <w:p w14:paraId="0C7F2F12" w14:textId="77777777" w:rsidR="00016098" w:rsidRPr="00392758" w:rsidRDefault="00016098" w:rsidP="00016098">
      <w:pPr>
        <w:jc w:val="both"/>
        <w:rPr>
          <w:rFonts w:ascii="Arial" w:eastAsia="Calibri" w:hAnsi="Arial" w:cs="Arial"/>
          <w:lang w:val="es-ES_tradnl"/>
        </w:rPr>
      </w:pPr>
    </w:p>
    <w:p w14:paraId="063D7187" w14:textId="77777777" w:rsidR="00016098" w:rsidRPr="007859D4" w:rsidRDefault="00016098" w:rsidP="00016098">
      <w:pPr>
        <w:tabs>
          <w:tab w:val="left" w:pos="0"/>
        </w:tabs>
        <w:spacing w:line="276" w:lineRule="auto"/>
        <w:jc w:val="both"/>
        <w:rPr>
          <w:rFonts w:ascii="Arial" w:eastAsia="Calibri" w:hAnsi="Arial" w:cs="Arial"/>
          <w:lang w:val="es-ES_tradnl"/>
        </w:rPr>
      </w:pPr>
      <w:r w:rsidRPr="003F653B">
        <w:rPr>
          <w:rFonts w:ascii="Arial" w:eastAsia="Calibri" w:hAnsi="Arial" w:cs="Arial"/>
          <w:lang w:val="es-ES_tradnl"/>
        </w:rPr>
        <w:t>La Subdirección de Gestión Contractual responderá la consulta, luego de analizar los siguientes temas: i) vigencia y ámbito de aplicación de la Ley 2069 de 2020, y ii) regulación de las convocatorias limitadas a mipymes en el ámbito territorial en el artículo 34 de la Ley 2069 de 2020 y el Decreto 18</w:t>
      </w:r>
      <w:r w:rsidRPr="007859D4">
        <w:rPr>
          <w:rFonts w:ascii="Arial" w:eastAsia="Calibri" w:hAnsi="Arial" w:cs="Arial"/>
          <w:lang w:val="es-ES_tradnl"/>
        </w:rPr>
        <w:t xml:space="preserve">60 de 2021, iii) </w:t>
      </w:r>
      <w:r w:rsidRPr="007859D4">
        <w:rPr>
          <w:rFonts w:ascii="Arial" w:hAnsi="Arial" w:cs="Arial"/>
          <w:lang w:val="es-ES_tradnl" w:eastAsia="es-MX"/>
        </w:rPr>
        <w:t>Determinación de los requisitos habilitantes en los procesos de contratación</w:t>
      </w:r>
      <w:r>
        <w:rPr>
          <w:rFonts w:ascii="Arial" w:eastAsia="Calibri" w:hAnsi="Arial" w:cs="Arial"/>
          <w:lang w:val="es-ES_tradnl"/>
        </w:rPr>
        <w:t xml:space="preserve">, </w:t>
      </w:r>
      <w:r w:rsidRPr="007859D4">
        <w:rPr>
          <w:rFonts w:ascii="Arial" w:eastAsia="Calibri" w:hAnsi="Arial" w:cs="Arial"/>
          <w:lang w:val="es-ES_tradnl"/>
        </w:rPr>
        <w:t xml:space="preserve">iv) </w:t>
      </w:r>
      <w:r w:rsidRPr="007859D4">
        <w:rPr>
          <w:rFonts w:ascii="Arial" w:eastAsia="Calibri" w:hAnsi="Arial" w:cs="Arial"/>
        </w:rPr>
        <w:t>Regulación de los “precios artificialmente bajos” en la contratación pública</w:t>
      </w:r>
      <w:r>
        <w:rPr>
          <w:rFonts w:ascii="Arial" w:eastAsia="Calibri" w:hAnsi="Arial" w:cs="Arial"/>
        </w:rPr>
        <w:t>.</w:t>
      </w:r>
      <w:r w:rsidRPr="007859D4">
        <w:rPr>
          <w:rFonts w:ascii="Arial" w:eastAsia="Calibri" w:hAnsi="Arial" w:cs="Arial"/>
        </w:rPr>
        <w:t xml:space="preserve"> </w:t>
      </w:r>
    </w:p>
    <w:p w14:paraId="7E38ED0E" w14:textId="77777777" w:rsidR="00016098" w:rsidRPr="00392758" w:rsidRDefault="00016098" w:rsidP="00016098">
      <w:pPr>
        <w:spacing w:line="276" w:lineRule="auto"/>
        <w:ind w:firstLine="708"/>
        <w:jc w:val="both"/>
        <w:rPr>
          <w:rFonts w:ascii="Arial" w:eastAsia="Calibri" w:hAnsi="Arial" w:cs="Arial"/>
          <w:lang w:val="es-ES_tradnl"/>
        </w:rPr>
      </w:pPr>
      <w:r>
        <w:rPr>
          <w:rFonts w:ascii="Arial" w:eastAsia="Calibri" w:hAnsi="Arial" w:cs="Arial"/>
          <w:lang w:val="es-ES_tradnl"/>
        </w:rPr>
        <w:t xml:space="preserve"> </w:t>
      </w:r>
      <w:r w:rsidRPr="003F653B">
        <w:rPr>
          <w:rFonts w:ascii="Arial" w:eastAsia="Calibri" w:hAnsi="Arial" w:cs="Arial"/>
          <w:lang w:val="es-ES_tradnl"/>
        </w:rPr>
        <w:t>La Agencia Nacional de Contratación Pública – Colombia Compra Eficiente se pronunció sobre la nueva regulación de la promoción del desarrollo en la contratación estatal contenida en el artículo 34 de la Ley 2069 de 2020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w:t>
      </w:r>
      <w:r w:rsidRPr="003F653B">
        <w:rPr>
          <w:rFonts w:ascii="Arial" w:eastAsia="Calibri" w:hAnsi="Arial" w:cs="Arial"/>
          <w:lang w:val="es-ES_tradnl"/>
        </w:rPr>
        <w:lastRenderedPageBreak/>
        <w:t xml:space="preserve">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 Sobre las limitaciones territoriales de convocatorias a mipyme se pronunció en el Concepto C-705 de 7 de diciembre de 2020, C-523 del 11 de agosto de 2020, C-438 de 27 de septiembre de 2021 y C-041 del 2 de marzo de 2022, entre otros, </w:t>
      </w:r>
      <w:r w:rsidRPr="003F653B">
        <w:rPr>
          <w:rFonts w:ascii="Arial" w:eastAsia="Calibri" w:hAnsi="Arial" w:cs="Arial"/>
          <w:lang w:val="es-ES_tradnl" w:eastAsia="es-MX"/>
        </w:rPr>
        <w:t>–</w:t>
      </w:r>
      <w:r w:rsidRPr="003F653B">
        <w:rPr>
          <w:rFonts w:ascii="Arial" w:eastAsia="Calibri" w:hAnsi="Arial" w:cs="Arial"/>
          <w:lang w:val="es-ES_tradnl"/>
        </w:rPr>
        <w:t xml:space="preserve">, así como en los conceptos C-120 del 3 de marzo de 2020, C-204 del 31 de marzo de 2020, C-099 del 6 de abril  de 2020, C-195 del 13 de abril de 2020, C-013 del 17 de abril de 2020, C-330 del 27 de mayo de 2020, C-396 de 16 de julio de 2020 y C–142 del 30 de marzo de 2022, analizó la naturaleza de los requisitos habilitantes y el carácter enunciativo de los mencionados en el artículo 5-1 de la Ley 1150 de 2007. </w:t>
      </w:r>
      <w:r w:rsidRPr="003F653B">
        <w:rPr>
          <w:rStyle w:val="normaltextrun"/>
          <w:rFonts w:ascii="Arial" w:hAnsi="Arial" w:cs="Arial"/>
          <w:color w:val="000000"/>
          <w:shd w:val="clear" w:color="auto" w:fill="FFFFFF"/>
          <w:lang w:val="es-MX"/>
        </w:rPr>
        <w:t xml:space="preserve">Así mismo Colombia Compra Eficiente analizó la noción y alcance de los “precios artificialmente bajos” en los conceptos 2201913000007853 </w:t>
      </w:r>
      <w:r w:rsidRPr="003F653B">
        <w:rPr>
          <w:rStyle w:val="normaltextrun"/>
          <w:rFonts w:ascii="Arial" w:hAnsi="Arial" w:cs="Arial"/>
          <w:color w:val="000000"/>
          <w:shd w:val="clear" w:color="auto" w:fill="FFFFFF"/>
          <w:lang w:val="es-ES"/>
        </w:rPr>
        <w:t>del 21 de octubre de 2019; 2201913000008058 del 28 de octubre de 2019; 2201913000008288 del 7 de noviembre de 2019; 2201913000009110 del 11 de diciembre de 2019; 2201913000009489 del 20 de diciembre de 2019; 2202013000000038 del 7 de enero de 2020, C–767 del 7 de enero de 2020, C–012 del 28 de enero de 2020, C–163 del 31 de marzo de 2020, C–200 del 14 de abril de 2020, C–011 del 17 de febrero de 2021 y el C–112 del 7 de abril de 2021- C-304-del 16 de mayo de 2022.</w:t>
      </w:r>
      <w:r w:rsidRPr="003F653B">
        <w:rPr>
          <w:rFonts w:ascii="Arial" w:eastAsia="Calibri" w:hAnsi="Arial" w:cs="Arial"/>
          <w:lang w:val="es-ES_tradnl"/>
        </w:rPr>
        <w:t xml:space="preserve"> Las consideraciones de estos conceptos se reiteran a continuación y se complementan en lo pertinente:</w:t>
      </w:r>
    </w:p>
    <w:p w14:paraId="68EB27F2" w14:textId="77777777" w:rsidR="00016098" w:rsidRPr="00392758" w:rsidRDefault="00016098" w:rsidP="00016098">
      <w:pPr>
        <w:spacing w:line="276" w:lineRule="auto"/>
        <w:jc w:val="both"/>
        <w:rPr>
          <w:rFonts w:ascii="Arial" w:eastAsia="Calibri" w:hAnsi="Arial" w:cs="Arial"/>
          <w:b/>
          <w:bCs/>
          <w:lang w:val="es-ES_tradnl"/>
        </w:rPr>
      </w:pPr>
      <w:r w:rsidRPr="00392758">
        <w:rPr>
          <w:rFonts w:ascii="Arial" w:eastAsia="Calibri" w:hAnsi="Arial" w:cs="Arial"/>
          <w:b/>
          <w:bCs/>
          <w:lang w:val="es-ES_tradnl"/>
        </w:rPr>
        <w:t>2.1. Vigencia y ámbito de aplicación de la Ley 2069 de 2020</w:t>
      </w:r>
    </w:p>
    <w:p w14:paraId="2068647B" w14:textId="77777777" w:rsidR="00016098" w:rsidRPr="00392758" w:rsidRDefault="00016098" w:rsidP="00016098">
      <w:pPr>
        <w:spacing w:line="276" w:lineRule="auto"/>
        <w:jc w:val="both"/>
        <w:rPr>
          <w:rFonts w:ascii="Arial" w:eastAsia="Calibri" w:hAnsi="Arial" w:cs="Arial"/>
          <w:lang w:val="es-ES_tradnl"/>
        </w:rPr>
      </w:pPr>
      <w:bookmarkStart w:id="3" w:name="_Hlk111627093"/>
      <w:r w:rsidRPr="00392758">
        <w:rPr>
          <w:rFonts w:ascii="Arial" w:eastAsia="Calibri" w:hAnsi="Arial" w:cs="Arial"/>
          <w:lang w:val="es-ES_tradnl"/>
        </w:rPr>
        <w:t xml:space="preserve">El 31 de diciembre de 2020 se promulgó la Ley 2069, </w:t>
      </w:r>
      <w:r>
        <w:rPr>
          <w:rFonts w:ascii="Arial" w:eastAsia="Calibri" w:hAnsi="Arial" w:cs="Arial"/>
          <w:lang w:val="es-ES_tradnl"/>
        </w:rPr>
        <w:t>“</w:t>
      </w:r>
      <w:r w:rsidRPr="00392758">
        <w:rPr>
          <w:rFonts w:ascii="Arial" w:eastAsia="Calibri" w:hAnsi="Arial" w:cs="Arial"/>
          <w:lang w:val="es-ES_tradnl"/>
        </w:rPr>
        <w:t>Por medio de la cual se impulsa el emprendimiento en Colombia</w:t>
      </w:r>
      <w:r>
        <w:rPr>
          <w:rFonts w:ascii="Arial" w:eastAsia="Calibri" w:hAnsi="Arial" w:cs="Arial"/>
          <w:lang w:val="es-ES_tradnl"/>
        </w:rPr>
        <w:t>”</w:t>
      </w:r>
      <w:r w:rsidRPr="00392758">
        <w:rPr>
          <w:rFonts w:ascii="Arial" w:eastAsia="Calibri" w:hAnsi="Arial" w:cs="Arial"/>
          <w:lang w:val="es-ES_tradnl"/>
        </w:rPr>
        <w:t xml:space="preserve">. De acuerdo con el artículo 84, </w:t>
      </w:r>
      <w:r>
        <w:rPr>
          <w:rFonts w:ascii="Arial" w:eastAsia="Calibri" w:hAnsi="Arial" w:cs="Arial"/>
          <w:lang w:val="es-ES_tradnl"/>
        </w:rPr>
        <w:t>“</w:t>
      </w:r>
      <w:r w:rsidRPr="00392758">
        <w:rPr>
          <w:rFonts w:ascii="Arial" w:eastAsia="Calibri" w:hAnsi="Arial" w:cs="Arial"/>
          <w:lang w:val="es-ES_tradnl"/>
        </w:rPr>
        <w:t>La presente Ley rige a partir del momento de su promulgación […]</w:t>
      </w:r>
      <w:r>
        <w:rPr>
          <w:rFonts w:ascii="Arial" w:eastAsia="Calibri" w:hAnsi="Arial" w:cs="Arial"/>
          <w:lang w:val="es-ES_tradnl"/>
        </w:rPr>
        <w:t>”</w:t>
      </w:r>
      <w:r w:rsidRPr="00392758">
        <w:rPr>
          <w:rFonts w:ascii="Arial" w:eastAsia="Calibri" w:hAnsi="Arial" w:cs="Arial"/>
          <w:lang w:val="es-ES_tradnl"/>
        </w:rPr>
        <w:t>, lo que significa que es obligatoria para sus destinatarios desde esa fecha. Lo anterior, sin perjuicio de la posibilidad de que el gobierno nacional, en ejercicio de la potestad reglamentaria que le confiere el artículo 189, numeral 11, de la Constitución Política, expidiera el decreto correspondiente que permitiera la cumplida ejecución de esta Ley, como, efectivamente, sucedió, según se indica más adelante.</w:t>
      </w:r>
    </w:p>
    <w:p w14:paraId="5FE375EF"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lastRenderedPageBreak/>
        <w:t xml:space="preserve">En cuando a su contenido, es importante señalar que, como dispone el artículo 1, aquella </w:t>
      </w:r>
      <w:r>
        <w:rPr>
          <w:rFonts w:ascii="Arial" w:eastAsia="Calibri" w:hAnsi="Arial" w:cs="Arial"/>
          <w:lang w:val="es-ES_tradnl"/>
        </w:rPr>
        <w:t>“</w:t>
      </w:r>
      <w:r w:rsidRPr="00392758">
        <w:rPr>
          <w:rFonts w:ascii="Arial" w:eastAsia="Calibri" w:hAnsi="Arial" w:cs="Arial"/>
          <w:lang w:val="es-ES_tradnl"/>
        </w:rPr>
        <w:t>tiene por objeto establecer un marco regulatorio que propicie el emprendimiento y el crecimiento, consolidación y sostenibilidad de las empresas, con el fin de aumentar el bienestar social y generar equidad</w:t>
      </w:r>
      <w:r>
        <w:rPr>
          <w:rFonts w:ascii="Arial" w:eastAsia="Calibri" w:hAnsi="Arial" w:cs="Arial"/>
          <w:lang w:val="es-ES_tradnl"/>
        </w:rPr>
        <w:t>”</w:t>
      </w:r>
      <w:r w:rsidRPr="00392758">
        <w:rPr>
          <w:rFonts w:ascii="Arial" w:eastAsia="Calibri" w:hAnsi="Arial" w:cs="Arial"/>
          <w:lang w:val="es-ES_tradnl"/>
        </w:rPr>
        <w:t xml:space="preserve">. Esto a partir de </w:t>
      </w:r>
      <w:r>
        <w:rPr>
          <w:rFonts w:ascii="Arial" w:eastAsia="Calibri" w:hAnsi="Arial" w:cs="Arial"/>
          <w:lang w:val="es-ES_tradnl"/>
        </w:rPr>
        <w:t>“</w:t>
      </w:r>
      <w:r w:rsidRPr="00392758">
        <w:rPr>
          <w:rFonts w:ascii="Arial" w:eastAsia="Calibri" w:hAnsi="Arial" w:cs="Arial"/>
          <w:lang w:val="es-ES_tradnl"/>
        </w:rPr>
        <w:t>[…] un enfoque regionalizado de acuerdo a las realidades socioeconómicas de cada región</w:t>
      </w:r>
      <w:r>
        <w:rPr>
          <w:rFonts w:ascii="Arial" w:eastAsia="Calibri" w:hAnsi="Arial" w:cs="Arial"/>
          <w:lang w:val="es-ES_tradnl"/>
        </w:rPr>
        <w:t>”</w:t>
      </w:r>
      <w:r w:rsidRPr="00392758">
        <w:rPr>
          <w:rFonts w:ascii="Arial" w:eastAsia="Calibri" w:hAnsi="Arial" w:cs="Arial"/>
          <w:lang w:val="es-ES_tradnl"/>
        </w:rPr>
        <w:t>. En desarrollo de esta finalidad, se establecen medidas de apoyo para las micro, pequeñas y medianas empresas –mipymes–, mediante la racionalización y simplificación de los trámites y tarifas</w:t>
      </w:r>
      <w:r w:rsidRPr="00392758">
        <w:rPr>
          <w:rStyle w:val="Refdenotaalpie"/>
          <w:rFonts w:ascii="Arial" w:eastAsia="Calibri" w:hAnsi="Arial" w:cs="Arial"/>
          <w:lang w:val="es-ES_tradnl"/>
        </w:rPr>
        <w:footnoteReference w:id="2"/>
      </w:r>
      <w:r w:rsidRPr="00392758">
        <w:rPr>
          <w:rFonts w:ascii="Arial" w:eastAsia="Calibri" w:hAnsi="Arial" w:cs="Arial"/>
          <w:lang w:val="es-ES_tradnl"/>
        </w:rPr>
        <w:t>, así como incentivos a favor de aquellas dentro del sistema de compras y contratación pública</w:t>
      </w:r>
      <w:r w:rsidRPr="00392758">
        <w:rPr>
          <w:rStyle w:val="Refdenotaalpie"/>
          <w:rFonts w:ascii="Arial" w:eastAsia="Calibri" w:hAnsi="Arial" w:cs="Arial"/>
          <w:lang w:val="es-ES_tradnl"/>
        </w:rPr>
        <w:footnoteReference w:id="3"/>
      </w:r>
      <w:r w:rsidRPr="00392758">
        <w:rPr>
          <w:rFonts w:ascii="Arial" w:eastAsia="Calibri" w:hAnsi="Arial" w:cs="Arial"/>
          <w:lang w:val="es-ES_tradnl"/>
        </w:rPr>
        <w:t>. También se consagran mecanismos de acceso al financiamiento</w:t>
      </w:r>
      <w:r w:rsidRPr="00392758">
        <w:rPr>
          <w:rStyle w:val="Refdenotaalpie"/>
          <w:rFonts w:ascii="Arial" w:eastAsia="Calibri" w:hAnsi="Arial" w:cs="Arial"/>
          <w:lang w:val="es-ES_tradnl"/>
        </w:rPr>
        <w:footnoteReference w:id="4"/>
      </w:r>
      <w:r w:rsidRPr="00392758">
        <w:rPr>
          <w:rFonts w:ascii="Arial" w:eastAsia="Calibri" w:hAnsi="Arial" w:cs="Arial"/>
          <w:lang w:val="es-ES_tradnl"/>
        </w:rPr>
        <w:t>, se unifican las fuentes de emprendimiento y de desarrollo empresarial, para fortalecer y promover los distintos sectores de la economía</w:t>
      </w:r>
      <w:r w:rsidRPr="00392758">
        <w:rPr>
          <w:rStyle w:val="Refdenotaalpie"/>
          <w:rFonts w:ascii="Arial" w:eastAsia="Calibri" w:hAnsi="Arial" w:cs="Arial"/>
          <w:lang w:val="es-ES_tradnl"/>
        </w:rPr>
        <w:footnoteReference w:id="5"/>
      </w:r>
      <w:r w:rsidRPr="00392758">
        <w:rPr>
          <w:rFonts w:ascii="Arial" w:eastAsia="Calibri" w:hAnsi="Arial" w:cs="Arial"/>
          <w:lang w:val="es-ES_tradnl"/>
        </w:rPr>
        <w:t xml:space="preserve"> y se prevén medidas de educación para el emprendimiento y la innovación</w:t>
      </w:r>
      <w:bookmarkEnd w:id="3"/>
      <w:r w:rsidRPr="00392758">
        <w:rPr>
          <w:rStyle w:val="Refdenotaalpie"/>
          <w:rFonts w:ascii="Arial" w:eastAsia="Calibri" w:hAnsi="Arial" w:cs="Arial"/>
          <w:lang w:val="es-ES_tradnl"/>
        </w:rPr>
        <w:footnoteReference w:id="6"/>
      </w:r>
      <w:r w:rsidRPr="00392758">
        <w:rPr>
          <w:rFonts w:ascii="Arial" w:eastAsia="Calibri" w:hAnsi="Arial" w:cs="Arial"/>
          <w:lang w:val="es-ES_tradnl"/>
        </w:rPr>
        <w:t>.</w:t>
      </w:r>
    </w:p>
    <w:p w14:paraId="343034F5"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 xml:space="preserve">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34 de la referida ley, a continuación, se estudiará el contenido y alcance de dichas normas.  </w:t>
      </w:r>
    </w:p>
    <w:p w14:paraId="386C5A65" w14:textId="77777777" w:rsidR="00016098" w:rsidRPr="00392758" w:rsidRDefault="00016098" w:rsidP="00016098">
      <w:pPr>
        <w:spacing w:line="276" w:lineRule="auto"/>
        <w:jc w:val="both"/>
        <w:rPr>
          <w:rFonts w:ascii="Arial" w:eastAsia="Calibri" w:hAnsi="Arial" w:cs="Arial"/>
          <w:lang w:val="es-ES_tradnl"/>
        </w:rPr>
      </w:pPr>
    </w:p>
    <w:p w14:paraId="2FD4A1CB" w14:textId="77777777" w:rsidR="00016098" w:rsidRPr="00392758" w:rsidRDefault="00016098" w:rsidP="00016098">
      <w:pPr>
        <w:spacing w:line="276" w:lineRule="auto"/>
        <w:jc w:val="both"/>
        <w:rPr>
          <w:rFonts w:ascii="Arial" w:eastAsia="Calibri" w:hAnsi="Arial" w:cs="Arial"/>
          <w:b/>
          <w:bCs/>
          <w:lang w:val="es-ES_tradnl"/>
        </w:rPr>
      </w:pPr>
      <w:r w:rsidRPr="00392758">
        <w:rPr>
          <w:rFonts w:ascii="Arial" w:eastAsia="Calibri" w:hAnsi="Arial" w:cs="Arial"/>
          <w:b/>
          <w:bCs/>
          <w:lang w:val="es-ES_tradnl"/>
        </w:rPr>
        <w:t xml:space="preserve">2.2. Regulación de las convocatorias limitadas a mipymes en el artículo 34 de la Ley 2069 de 2020 y el Decreto 1860 de 2021 </w:t>
      </w:r>
    </w:p>
    <w:p w14:paraId="0B4FBF11" w14:textId="77777777" w:rsidR="00016098" w:rsidRPr="00392758" w:rsidRDefault="00016098" w:rsidP="00016098">
      <w:pPr>
        <w:spacing w:line="276" w:lineRule="auto"/>
        <w:jc w:val="both"/>
        <w:rPr>
          <w:rFonts w:ascii="Arial" w:eastAsia="Calibri" w:hAnsi="Arial" w:cs="Arial"/>
          <w:lang w:val="es-ES_tradnl"/>
        </w:rPr>
      </w:pPr>
    </w:p>
    <w:p w14:paraId="0D61AC3F" w14:textId="77777777" w:rsidR="00016098" w:rsidRPr="00392758" w:rsidRDefault="00016098" w:rsidP="00016098">
      <w:pPr>
        <w:spacing w:line="276" w:lineRule="auto"/>
        <w:jc w:val="both"/>
        <w:rPr>
          <w:rFonts w:ascii="Arial" w:eastAsia="Calibri" w:hAnsi="Arial" w:cs="Arial"/>
          <w:lang w:val="es-ES_tradnl"/>
        </w:rPr>
      </w:pPr>
      <w:r w:rsidRPr="00392758">
        <w:rPr>
          <w:rFonts w:ascii="Arial" w:eastAsia="Calibri" w:hAnsi="Arial" w:cs="Arial"/>
          <w:lang w:val="es-ES_tradnl"/>
        </w:rPr>
        <w:t>El artículo 34 de la Ley 2069 de 2020 establece nuevas reglas sobre la promoción al desarrollo en la contratación estatal. Concretamente, modifica el contenido del artículo 12 de la Ley 1150 de 2007</w:t>
      </w:r>
      <w:r w:rsidRPr="00392758">
        <w:rPr>
          <w:rStyle w:val="Refdenotaalpie"/>
          <w:rFonts w:ascii="Arial" w:eastAsia="Calibri" w:hAnsi="Arial" w:cs="Arial"/>
          <w:lang w:val="es-ES_tradnl"/>
        </w:rPr>
        <w:footnoteReference w:id="7"/>
      </w:r>
      <w:r w:rsidRPr="00392758">
        <w:rPr>
          <w:rFonts w:ascii="Arial" w:eastAsia="Calibri" w:hAnsi="Arial" w:cs="Arial"/>
          <w:lang w:val="es-ES_tradnl"/>
        </w:rPr>
        <w:t>, prescribiendo lo que se indica a continuación:</w:t>
      </w:r>
    </w:p>
    <w:p w14:paraId="7719A1C8"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Y agrega que estas convocatorias se </w:t>
      </w:r>
      <w:r w:rsidRPr="00392758">
        <w:rPr>
          <w:rFonts w:ascii="Arial" w:eastAsia="Calibri" w:hAnsi="Arial" w:cs="Arial"/>
          <w:lang w:val="es-ES_tradnl"/>
        </w:rPr>
        <w:lastRenderedPageBreak/>
        <w:t xml:space="preserve">pueden realizar también en el ámbito municipal o departamental en el que se ejecute el contrato. </w:t>
      </w:r>
    </w:p>
    <w:p w14:paraId="2D607F00"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ii) Indica que dichas convocatorias se deben efectuar siempre y cuando, antes del acto administrativo de apertura del proceso de selección, por lo menos dos (2) mipymes hayan manifestado su interés.</w:t>
      </w:r>
    </w:p>
    <w:p w14:paraId="69F4FAE3"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7649D923"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iv) Establece que, en el reglamento, el gobierno nacional podría establecer condiciones preferenciales para los bienes y servicios producidos por las mipymes, sin contrariar los compromisos internacionales vigentes.</w:t>
      </w:r>
    </w:p>
    <w:p w14:paraId="0A1C0B87"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v)  Aclara que tanto las convocatorias limitadas a mipymes, como las condiciones preferenciales a favor de los bienes y servicios producidos por estas, no es óbice para que deban cumplir las exigencias técnicas y económicas del proceso de selección.</w:t>
      </w:r>
    </w:p>
    <w:p w14:paraId="70F2FE9A"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vi) Señala que el reglamento a cargo del gobierno nacional, además de las convocatorias limitadas a mipymes, deberá contener disposiciones normativas que permitan la provisión de bienes y servicios, a través de la celebración de contratos estatales con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351E3B81"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vii) Precisa que la posibilidad de participar en convocatorias limitadas a mipymes se encuentra condicionada a que estas acrediten como mínimo un año de existencia, con el certificado expedido por la cámara de comercio respectiva o por la autoridad que sea competente para ello.</w:t>
      </w:r>
    </w:p>
    <w:p w14:paraId="63DD8A85"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 xml:space="preserve">viii) Hace obligatorio el cumplimiento de lo dispuesto en los artículos 90 a 95 de la Ley 418 de 1997 –normas que establecen la obligación de declarar la caducidad y la liquidación unilateral cuando el contratista beneficie grupos armados </w:t>
      </w:r>
      <w:r w:rsidRPr="00392758">
        <w:rPr>
          <w:rFonts w:ascii="Arial" w:eastAsia="Calibri" w:hAnsi="Arial" w:cs="Arial"/>
          <w:lang w:val="es-ES_tradnl"/>
        </w:rPr>
        <w:lastRenderedPageBreak/>
        <w:t>organizados al margen de la ley– en la ejecución de los contratos celebrados en virtud del artículo 34 de la Ley 2069 de 2020.</w:t>
      </w:r>
    </w:p>
    <w:p w14:paraId="4517F52B"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 xml:space="preserve">A partir de lo anterior, el artículo 34 de la Ley 2069 de 2020 sustituyó íntegramente el contenido del artículo 12 de la Ley 1150 de 2007. En este sentido, frente a esta última norma se produjo el fenómeno de la subrogación, el cual explica la Corte Constitucional en los siguientes términos: </w:t>
      </w:r>
    </w:p>
    <w:p w14:paraId="43255F31" w14:textId="77777777" w:rsidR="00016098" w:rsidRPr="00392758" w:rsidRDefault="00016098" w:rsidP="00016098">
      <w:pPr>
        <w:spacing w:line="276" w:lineRule="auto"/>
        <w:ind w:left="709" w:right="709"/>
        <w:jc w:val="both"/>
        <w:rPr>
          <w:rFonts w:ascii="Arial" w:eastAsia="Calibri" w:hAnsi="Arial" w:cs="Arial"/>
          <w:sz w:val="21"/>
          <w:szCs w:val="21"/>
          <w:lang w:val="es-ES_tradnl"/>
        </w:rPr>
      </w:pPr>
    </w:p>
    <w:p w14:paraId="0BC1BC36" w14:textId="77777777" w:rsidR="00016098" w:rsidRPr="00392758" w:rsidRDefault="00016098" w:rsidP="00016098">
      <w:pPr>
        <w:ind w:left="709" w:right="709"/>
        <w:jc w:val="both"/>
        <w:rPr>
          <w:rFonts w:ascii="Arial" w:eastAsia="Calibri" w:hAnsi="Arial" w:cs="Arial"/>
          <w:sz w:val="21"/>
          <w:szCs w:val="21"/>
          <w:lang w:val="es-ES_tradnl"/>
        </w:rPr>
      </w:pPr>
      <w:r>
        <w:rPr>
          <w:rFonts w:ascii="Arial" w:eastAsia="Calibri" w:hAnsi="Arial" w:cs="Arial"/>
          <w:sz w:val="21"/>
          <w:szCs w:val="21"/>
          <w:lang w:val="es-ES_tradnl"/>
        </w:rPr>
        <w:t>“</w:t>
      </w:r>
      <w:r w:rsidRPr="00392758">
        <w:rPr>
          <w:rFonts w:ascii="Arial" w:eastAsia="Calibri" w:hAnsi="Arial" w:cs="Arial"/>
          <w:sz w:val="21"/>
          <w:szCs w:val="21"/>
          <w:lang w:val="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Pr>
          <w:rFonts w:ascii="Arial" w:eastAsia="Calibri" w:hAnsi="Arial" w:cs="Arial"/>
          <w:sz w:val="21"/>
          <w:szCs w:val="21"/>
          <w:lang w:val="es-ES_tradnl"/>
        </w:rPr>
        <w:t>”</w:t>
      </w:r>
      <w:r w:rsidRPr="00392758">
        <w:rPr>
          <w:rStyle w:val="Refdenotaalpie"/>
          <w:rFonts w:ascii="Arial" w:eastAsia="Calibri" w:hAnsi="Arial" w:cs="Arial"/>
          <w:sz w:val="21"/>
          <w:szCs w:val="21"/>
          <w:lang w:val="es-ES_tradnl"/>
        </w:rPr>
        <w:footnoteReference w:id="8"/>
      </w:r>
      <w:r w:rsidRPr="00392758">
        <w:rPr>
          <w:rFonts w:ascii="Arial" w:eastAsia="Calibri" w:hAnsi="Arial" w:cs="Arial"/>
          <w:sz w:val="21"/>
          <w:szCs w:val="21"/>
          <w:lang w:val="es-ES_tradnl"/>
        </w:rPr>
        <w:t>.</w:t>
      </w:r>
    </w:p>
    <w:p w14:paraId="225E1C31" w14:textId="77777777" w:rsidR="00016098" w:rsidRPr="00392758" w:rsidRDefault="00016098" w:rsidP="00016098">
      <w:pPr>
        <w:spacing w:line="276" w:lineRule="auto"/>
        <w:ind w:firstLine="709"/>
        <w:jc w:val="both"/>
        <w:rPr>
          <w:rFonts w:ascii="Arial" w:eastAsia="Calibri" w:hAnsi="Arial" w:cs="Arial"/>
          <w:lang w:val="es-ES_tradnl"/>
        </w:rPr>
      </w:pPr>
      <w:r w:rsidRPr="00392758">
        <w:rPr>
          <w:rFonts w:ascii="Arial" w:eastAsia="Calibri" w:hAnsi="Arial" w:cs="Arial"/>
          <w:lang w:val="es-ES_tradnl"/>
        </w:rPr>
        <w:t>La subrogación es, entonces, una forma de derogación de los actos normativos, que consiste en el reemplazo de su contenido por un enunciado normativo nuevo. Se distingue de la derogación simple en que en este último 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w:t>
      </w:r>
    </w:p>
    <w:p w14:paraId="0F6C3C9A" w14:textId="77777777" w:rsidR="00016098" w:rsidRPr="00392758" w:rsidRDefault="00016098" w:rsidP="00016098">
      <w:pPr>
        <w:spacing w:before="120" w:line="276" w:lineRule="auto"/>
        <w:ind w:firstLine="709"/>
        <w:jc w:val="both"/>
        <w:rPr>
          <w:rFonts w:ascii="Arial" w:eastAsia="Calibri" w:hAnsi="Arial" w:cs="Arial"/>
          <w:lang w:val="es-ES_tradnl"/>
        </w:rPr>
      </w:pPr>
      <w:bookmarkStart w:id="4" w:name="_Hlk111627181"/>
      <w:r w:rsidRPr="00392758">
        <w:rPr>
          <w:rFonts w:ascii="Arial" w:eastAsia="Calibri" w:hAnsi="Arial" w:cs="Arial"/>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w:t>
      </w:r>
      <w:r w:rsidRPr="00392758">
        <w:rPr>
          <w:rFonts w:ascii="Arial" w:eastAsia="Calibri" w:hAnsi="Arial" w:cs="Arial"/>
          <w:lang w:val="es-ES_tradnl"/>
        </w:rPr>
        <w:lastRenderedPageBreak/>
        <w:t xml:space="preserve">de 2011, que establece que los actos administrativos –categoría que, como es sabido, incluye los decretos reglamentarios– dejan de ser obligatorios o decaen </w:t>
      </w:r>
      <w:r>
        <w:rPr>
          <w:rFonts w:ascii="Arial" w:eastAsia="Calibri" w:hAnsi="Arial" w:cs="Arial"/>
          <w:lang w:val="es-ES_tradnl"/>
        </w:rPr>
        <w:t>“</w:t>
      </w:r>
      <w:r w:rsidRPr="00392758">
        <w:rPr>
          <w:rFonts w:ascii="Arial" w:eastAsia="Calibri" w:hAnsi="Arial" w:cs="Arial"/>
          <w:lang w:val="es-ES_tradnl"/>
        </w:rPr>
        <w:t>Cuando desaparezcan sus fundamentos de hecho o de derecho</w:t>
      </w:r>
      <w:r>
        <w:rPr>
          <w:rFonts w:ascii="Arial" w:eastAsia="Calibri" w:hAnsi="Arial" w:cs="Arial"/>
          <w:lang w:val="es-ES_tradnl"/>
        </w:rPr>
        <w:t>”</w:t>
      </w:r>
      <w:r w:rsidRPr="00392758">
        <w:rPr>
          <w:rFonts w:ascii="Arial" w:eastAsia="Calibri" w:hAnsi="Arial" w:cs="Arial"/>
          <w:lang w:val="es-ES_tradnl"/>
        </w:rPr>
        <w:t xml:space="preserve">. </w:t>
      </w:r>
    </w:p>
    <w:p w14:paraId="465D8748"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Lo anterior quedó reafirmado con la expedición del Decreto 1860 de 24 de diciembre de 2021, reglamento que modificó, entre otros aspectos, la Subsección 5 de la Sección 1 del Capítulo 2 del Título 1 de la Parte 2 del Libro 2 y los artículos 2.2.1.2.4.2.2. y 2.2.1.2.4.2.3. y siguientes del Decreto 1082 de 2015, Único Reglamentario del Sector Administrativo de Planeación Nacional. Esta modificación entró a regir a partir del 24 de marzo de 2022, pues el artículo 8 de la nueva norma reglamentaria sometió la vigencia de los cambios al transcurso del periodo de 3 meses siguientes a la expedición del decreto.</w:t>
      </w:r>
    </w:p>
    <w:bookmarkEnd w:id="4"/>
    <w:p w14:paraId="0D1BBCDC" w14:textId="77777777" w:rsidR="00016098" w:rsidRPr="00392758" w:rsidRDefault="00016098" w:rsidP="00016098">
      <w:pPr>
        <w:spacing w:before="120" w:line="276" w:lineRule="auto"/>
        <w:ind w:firstLine="709"/>
        <w:jc w:val="both"/>
        <w:rPr>
          <w:rFonts w:ascii="Arial" w:eastAsia="Calibri" w:hAnsi="Arial" w:cs="Arial"/>
          <w:lang w:val="es-ES_tradnl"/>
        </w:rPr>
      </w:pPr>
      <w:r w:rsidRPr="00392758">
        <w:rPr>
          <w:rFonts w:ascii="Arial" w:eastAsia="Calibri" w:hAnsi="Arial" w:cs="Arial"/>
          <w:lang w:val="es-ES_tradnl"/>
        </w:rPr>
        <w:t>Por otro lado, en cuanto a lo dispuesto por el antiguo artículo 2.2.1.2.4.2.3 del Decreto 1082 de 2015</w:t>
      </w:r>
      <w:r w:rsidRPr="00392758">
        <w:rPr>
          <w:rStyle w:val="Refdenotaalpie"/>
          <w:rFonts w:ascii="Arial" w:eastAsia="Calibri" w:hAnsi="Arial" w:cs="Arial"/>
          <w:lang w:val="es-ES_tradnl"/>
        </w:rPr>
        <w:footnoteReference w:id="9"/>
      </w:r>
      <w:r w:rsidRPr="00392758">
        <w:rPr>
          <w:rFonts w:ascii="Arial" w:eastAsia="Calibri" w:hAnsi="Arial" w:cs="Arial"/>
          <w:lang w:val="es-ES_tradnl"/>
        </w:rPr>
        <w:t xml:space="preserve">, que regulaba la posibilidad de limitar convocatorias a mipymes domiciliadas en un determinado ámbito territorial, se estima que este, al igual que el artículo 2.2.1.2.4.2.2, también se afectó por el fenómeno del decaimiento y hoy quedó sustituido por lo dispuesto en el Decreto 1860 de 2021. </w:t>
      </w:r>
    </w:p>
    <w:p w14:paraId="7C290661" w14:textId="77777777" w:rsidR="00016098" w:rsidRPr="00D1722B" w:rsidRDefault="00016098" w:rsidP="00016098">
      <w:pPr>
        <w:spacing w:line="276" w:lineRule="auto"/>
        <w:contextualSpacing/>
        <w:jc w:val="both"/>
        <w:rPr>
          <w:rFonts w:ascii="Arial" w:hAnsi="Arial" w:cs="Arial"/>
          <w:b/>
          <w:bCs/>
          <w:lang w:val="es-ES_tradnl" w:eastAsia="es-MX"/>
        </w:rPr>
      </w:pPr>
      <w:r w:rsidRPr="00D1722B">
        <w:rPr>
          <w:rFonts w:ascii="Arial" w:hAnsi="Arial" w:cs="Arial"/>
          <w:b/>
          <w:bCs/>
          <w:lang w:val="es-ES_tradnl" w:eastAsia="es-MX"/>
        </w:rPr>
        <w:t>2.3. Determinación de los requisitos habilitantes en los procesos de contratación</w:t>
      </w:r>
    </w:p>
    <w:p w14:paraId="4CE6BBDC" w14:textId="77777777" w:rsidR="00016098" w:rsidRPr="00D1722B" w:rsidRDefault="00016098" w:rsidP="00016098">
      <w:pPr>
        <w:spacing w:line="276" w:lineRule="auto"/>
        <w:contextualSpacing/>
        <w:jc w:val="both"/>
        <w:rPr>
          <w:rFonts w:ascii="Arial" w:hAnsi="Arial" w:cs="Arial"/>
          <w:b/>
          <w:bCs/>
          <w:lang w:val="es-ES_tradnl" w:eastAsia="es-MX"/>
        </w:rPr>
      </w:pPr>
    </w:p>
    <w:p w14:paraId="4AC1D43E" w14:textId="77777777" w:rsidR="00016098" w:rsidRPr="00D1722B" w:rsidRDefault="00016098" w:rsidP="00016098">
      <w:pPr>
        <w:spacing w:after="120" w:line="276" w:lineRule="auto"/>
        <w:jc w:val="both"/>
        <w:rPr>
          <w:rFonts w:ascii="Arial" w:eastAsia="Calibri" w:hAnsi="Arial" w:cs="Arial"/>
          <w:lang w:val="es-ES_tradnl" w:eastAsia="es-MX"/>
        </w:rPr>
      </w:pPr>
      <w:bookmarkStart w:id="5" w:name="_Hlk99546562"/>
      <w:r w:rsidRPr="00D1722B">
        <w:rPr>
          <w:rFonts w:ascii="Arial" w:eastAsia="Calibri" w:hAnsi="Arial" w:cs="Arial"/>
          <w:lang w:val="es-ES_tradnl" w:eastAsia="es-MX"/>
        </w:rPr>
        <w:t xml:space="preserve">Los </w:t>
      </w:r>
      <w:r w:rsidRPr="00D1722B">
        <w:rPr>
          <w:rFonts w:ascii="Arial" w:eastAsia="Calibri" w:hAnsi="Arial" w:cs="Arial"/>
          <w:i/>
          <w:iCs/>
          <w:lang w:val="es-ES_tradnl" w:eastAsia="es-MX"/>
        </w:rPr>
        <w:t>requisitos habilitantes</w:t>
      </w:r>
      <w:r w:rsidRPr="00D1722B">
        <w:rPr>
          <w:rFonts w:ascii="Arial" w:eastAsia="Calibri" w:hAnsi="Arial" w:cs="Arial"/>
          <w:lang w:val="es-ES_tradnl"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w:t>
      </w:r>
      <w:r w:rsidRPr="00D1722B">
        <w:rPr>
          <w:rFonts w:ascii="Arial" w:eastAsia="Calibri" w:hAnsi="Arial" w:cs="Arial"/>
          <w:i/>
          <w:iCs/>
          <w:lang w:val="es-ES_tradnl" w:eastAsia="es-MX"/>
        </w:rPr>
        <w:t>criterios de evaluación</w:t>
      </w:r>
      <w:r w:rsidRPr="00D1722B">
        <w:rPr>
          <w:rFonts w:ascii="Arial" w:eastAsia="Calibri" w:hAnsi="Arial" w:cs="Arial"/>
          <w:lang w:val="es-ES_tradnl" w:eastAsia="es-MX"/>
        </w:rPr>
        <w:t xml:space="preserve">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bookmarkEnd w:id="5"/>
    <w:p w14:paraId="08F828E4" w14:textId="77777777" w:rsidR="00016098" w:rsidRPr="00D1722B" w:rsidRDefault="00016098" w:rsidP="00016098">
      <w:pPr>
        <w:spacing w:after="120" w:line="276" w:lineRule="auto"/>
        <w:ind w:firstLine="708"/>
        <w:jc w:val="both"/>
        <w:rPr>
          <w:rFonts w:ascii="Arial" w:eastAsia="Calibri" w:hAnsi="Arial" w:cs="Arial"/>
          <w:lang w:val="es-ES_tradnl" w:eastAsia="es-MX"/>
        </w:rPr>
      </w:pPr>
      <w:r w:rsidRPr="00D1722B">
        <w:rPr>
          <w:rFonts w:ascii="Arial" w:eastAsia="Calibri" w:hAnsi="Arial" w:cs="Arial"/>
          <w:lang w:val="es-ES_tradnl" w:eastAsia="es-MX"/>
        </w:rPr>
        <w:lastRenderedPageBreak/>
        <w:t>Los requisitos habilitantes constituyen los requerimientos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5º, de la Ley 1150 de 2007.</w:t>
      </w:r>
    </w:p>
    <w:p w14:paraId="3345688E" w14:textId="77777777" w:rsidR="00016098" w:rsidRPr="00D1722B" w:rsidRDefault="00016098" w:rsidP="00016098">
      <w:pPr>
        <w:spacing w:after="120" w:line="276" w:lineRule="auto"/>
        <w:ind w:firstLine="708"/>
        <w:jc w:val="both"/>
        <w:rPr>
          <w:rFonts w:ascii="Arial" w:eastAsia="Calibri" w:hAnsi="Arial" w:cs="Arial"/>
          <w:lang w:val="es-ES_tradnl" w:eastAsia="es-MX"/>
        </w:rPr>
      </w:pPr>
      <w:r w:rsidRPr="00D1722B">
        <w:rPr>
          <w:rFonts w:ascii="Arial" w:eastAsia="Calibri" w:hAnsi="Arial" w:cs="Arial"/>
          <w:lang w:val="es-ES_tradnl" w:eastAsia="es-MX"/>
        </w:rPr>
        <w:t xml:space="preserve">El mencionado artículo dispone que se considera </w:t>
      </w:r>
      <w:r>
        <w:rPr>
          <w:rFonts w:ascii="Arial" w:eastAsia="Calibri" w:hAnsi="Arial" w:cs="Arial"/>
          <w:i/>
          <w:iCs/>
          <w:lang w:val="es-ES_tradnl" w:eastAsia="es-MX"/>
        </w:rPr>
        <w:t>“</w:t>
      </w:r>
      <w:r w:rsidRPr="00D1722B">
        <w:rPr>
          <w:rFonts w:ascii="Arial" w:eastAsia="Calibri" w:hAnsi="Arial" w:cs="Arial"/>
          <w:i/>
          <w:iCs/>
          <w:lang w:val="es-ES_tradnl" w:eastAsia="es-MX"/>
        </w:rPr>
        <w:t>[…] objetiva la selección en la cual la escogencia se haga al ofrecimiento más favorable a la entidad y a los fines que ella busca, sin tener en consideración factores de afecto o de interés y, en general, cualquier clase de motivación subjetiva</w:t>
      </w:r>
      <w:r>
        <w:rPr>
          <w:rFonts w:ascii="Arial" w:eastAsia="Calibri" w:hAnsi="Arial" w:cs="Arial"/>
          <w:i/>
          <w:iCs/>
          <w:lang w:val="es-ES_tradnl" w:eastAsia="es-MX"/>
        </w:rPr>
        <w:t>”</w:t>
      </w:r>
      <w:r w:rsidRPr="00D1722B">
        <w:rPr>
          <w:rFonts w:ascii="Arial" w:eastAsia="Calibri" w:hAnsi="Arial" w:cs="Arial"/>
          <w:i/>
          <w:iCs/>
          <w:lang w:val="es-ES_tradnl" w:eastAsia="es-MX"/>
        </w:rPr>
        <w:t>.</w:t>
      </w:r>
      <w:r w:rsidRPr="00D1722B">
        <w:rPr>
          <w:rFonts w:ascii="Arial" w:eastAsia="Calibri" w:hAnsi="Arial" w:cs="Arial"/>
          <w:lang w:val="es-ES_tradnl" w:eastAsia="es-MX"/>
        </w:rPr>
        <w:t xml:space="preserve"> En ese contexto, los factores de escogencia y calificación que establezcan las entidades en los pliegos de condiciones o sus documentos equivalentes deberán tener en cuenta, entre otras cuestiones, los criterios establecidos en dicha disposición. </w:t>
      </w:r>
    </w:p>
    <w:p w14:paraId="08C8CC22" w14:textId="77777777" w:rsidR="00016098" w:rsidRPr="00D1722B" w:rsidRDefault="00016098" w:rsidP="00016098">
      <w:pPr>
        <w:spacing w:line="276" w:lineRule="auto"/>
        <w:ind w:firstLine="709"/>
        <w:contextualSpacing/>
        <w:jc w:val="both"/>
        <w:rPr>
          <w:rFonts w:ascii="Arial" w:eastAsia="Calibri" w:hAnsi="Arial" w:cs="Arial"/>
          <w:lang w:val="es-ES_tradnl" w:eastAsia="es-MX"/>
        </w:rPr>
      </w:pPr>
      <w:r w:rsidRPr="00D1722B">
        <w:rPr>
          <w:rFonts w:ascii="Arial" w:eastAsia="Calibri" w:hAnsi="Arial" w:cs="Arial"/>
          <w:lang w:val="es-ES_tradnl" w:eastAsia="es-MX"/>
        </w:rPr>
        <w:t xml:space="preserve">Específicamente, el numeral 1º del artículo referido establece que en los procesos de selección de contratistas serán objeto de verificación, como requisitos habilitantes, entre otros, los siguientes: i) la capacidad jurídica; ii) la experiencia; iii) la capacidad financiera y iv) la capacidad de organización. En efecto, la normativa citada dispone: </w:t>
      </w:r>
    </w:p>
    <w:p w14:paraId="1A4BDED7" w14:textId="77777777" w:rsidR="00016098" w:rsidRPr="00D1722B" w:rsidRDefault="00016098" w:rsidP="00016098">
      <w:pPr>
        <w:spacing w:line="276" w:lineRule="auto"/>
        <w:ind w:firstLine="709"/>
        <w:contextualSpacing/>
        <w:jc w:val="both"/>
        <w:rPr>
          <w:rFonts w:ascii="Arial" w:eastAsia="Calibri" w:hAnsi="Arial" w:cs="Arial"/>
          <w:lang w:val="es-ES_tradnl" w:eastAsia="es-MX"/>
        </w:rPr>
      </w:pPr>
    </w:p>
    <w:p w14:paraId="6BB09134" w14:textId="77777777" w:rsidR="00016098" w:rsidRPr="00BF1483" w:rsidRDefault="00016098" w:rsidP="00016098">
      <w:pPr>
        <w:ind w:left="709" w:right="709"/>
        <w:contextualSpacing/>
        <w:jc w:val="both"/>
        <w:rPr>
          <w:rFonts w:ascii="Arial" w:eastAsia="Calibri" w:hAnsi="Arial" w:cs="Arial"/>
          <w:sz w:val="20"/>
          <w:szCs w:val="20"/>
          <w:lang w:val="es-ES_tradnl" w:eastAsia="es-MX"/>
        </w:rPr>
      </w:pPr>
      <w:r w:rsidRPr="00BF1483">
        <w:rPr>
          <w:rFonts w:ascii="Arial" w:eastAsia="Calibri" w:hAnsi="Arial" w:cs="Arial"/>
          <w:sz w:val="20"/>
          <w:szCs w:val="20"/>
          <w:lang w:val="es-ES_tradnl" w:eastAsia="es-MX"/>
        </w:rPr>
        <w:t xml:space="preserve">“Artículo 5. De la Selección Objetiva. </w:t>
      </w:r>
    </w:p>
    <w:p w14:paraId="6FBF7372" w14:textId="77777777" w:rsidR="00016098" w:rsidRPr="00BF1483" w:rsidRDefault="00016098" w:rsidP="00016098">
      <w:pPr>
        <w:ind w:left="709" w:right="709"/>
        <w:contextualSpacing/>
        <w:jc w:val="both"/>
        <w:rPr>
          <w:rFonts w:ascii="Arial" w:eastAsia="Calibri" w:hAnsi="Arial" w:cs="Arial"/>
          <w:sz w:val="20"/>
          <w:szCs w:val="20"/>
          <w:lang w:val="es-ES_tradnl" w:eastAsia="es-MX"/>
        </w:rPr>
      </w:pPr>
    </w:p>
    <w:p w14:paraId="1EBCCA7C" w14:textId="77777777" w:rsidR="00016098" w:rsidRPr="00BF1483" w:rsidRDefault="00016098" w:rsidP="00016098">
      <w:pPr>
        <w:ind w:left="709" w:right="709"/>
        <w:contextualSpacing/>
        <w:jc w:val="both"/>
        <w:rPr>
          <w:rFonts w:ascii="Arial" w:eastAsia="Calibri" w:hAnsi="Arial" w:cs="Arial"/>
          <w:sz w:val="20"/>
          <w:szCs w:val="20"/>
          <w:lang w:val="es-ES_tradnl" w:eastAsia="es-MX"/>
        </w:rPr>
      </w:pPr>
      <w:r w:rsidRPr="00BF1483">
        <w:rPr>
          <w:rFonts w:ascii="Arial" w:eastAsia="Calibri" w:hAnsi="Arial" w:cs="Arial"/>
          <w:sz w:val="20"/>
          <w:szCs w:val="20"/>
          <w:lang w:val="es-ES_tradnl" w:eastAsia="es-MX"/>
        </w:rPr>
        <w:t>[…]</w:t>
      </w:r>
    </w:p>
    <w:p w14:paraId="4BB0CA71" w14:textId="77777777" w:rsidR="00016098" w:rsidRPr="00BF1483" w:rsidRDefault="00016098" w:rsidP="00016098">
      <w:pPr>
        <w:ind w:left="709" w:right="709"/>
        <w:contextualSpacing/>
        <w:jc w:val="both"/>
        <w:rPr>
          <w:rFonts w:ascii="Arial" w:eastAsia="Calibri" w:hAnsi="Arial" w:cs="Arial"/>
          <w:sz w:val="20"/>
          <w:szCs w:val="20"/>
          <w:lang w:val="es-ES_tradnl"/>
        </w:rPr>
      </w:pPr>
    </w:p>
    <w:p w14:paraId="58533142" w14:textId="77777777" w:rsidR="00016098" w:rsidRPr="00BF1483" w:rsidRDefault="00016098" w:rsidP="00016098">
      <w:pPr>
        <w:ind w:left="709" w:right="709"/>
        <w:contextualSpacing/>
        <w:jc w:val="both"/>
        <w:rPr>
          <w:rFonts w:ascii="Arial" w:eastAsia="Calibri" w:hAnsi="Arial" w:cs="Arial"/>
          <w:sz w:val="20"/>
          <w:szCs w:val="20"/>
          <w:lang w:val="es-ES_tradnl"/>
        </w:rPr>
      </w:pPr>
      <w:r w:rsidRPr="00BF1483">
        <w:rPr>
          <w:rFonts w:ascii="Arial" w:eastAsia="Calibri" w:hAnsi="Arial" w:cs="Arial"/>
          <w:sz w:val="20"/>
          <w:szCs w:val="20"/>
          <w:lang w:val="es-ES_tradnl"/>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0A959383" w14:textId="77777777" w:rsidR="00016098" w:rsidRPr="00D1722B" w:rsidRDefault="00016098" w:rsidP="00016098">
      <w:pPr>
        <w:spacing w:line="276" w:lineRule="auto"/>
        <w:ind w:left="709" w:right="709"/>
        <w:contextualSpacing/>
        <w:jc w:val="both"/>
        <w:rPr>
          <w:rFonts w:ascii="Arial" w:eastAsia="Calibri" w:hAnsi="Arial" w:cs="Arial"/>
          <w:lang w:val="es-ES_tradnl"/>
        </w:rPr>
      </w:pPr>
    </w:p>
    <w:p w14:paraId="2748B699" w14:textId="77777777" w:rsidR="00016098" w:rsidRPr="00D1722B" w:rsidRDefault="00016098" w:rsidP="00016098">
      <w:pPr>
        <w:spacing w:after="120" w:line="276" w:lineRule="auto"/>
        <w:ind w:firstLine="708"/>
        <w:jc w:val="both"/>
        <w:rPr>
          <w:rFonts w:ascii="Arial" w:hAnsi="Arial" w:cs="Arial"/>
          <w:lang w:val="es-ES_tradnl" w:eastAsia="es-MX"/>
        </w:rPr>
      </w:pPr>
      <w:bookmarkStart w:id="6" w:name="_Hlk99547809"/>
      <w:bookmarkStart w:id="7" w:name="_Hlk99546625"/>
      <w:r w:rsidRPr="00D1722B">
        <w:rPr>
          <w:rFonts w:ascii="Arial" w:hAnsi="Arial" w:cs="Arial"/>
          <w:lang w:val="es-ES_tradnl" w:eastAsia="es-MX"/>
        </w:rPr>
        <w:lastRenderedPageBreak/>
        <w:t xml:space="preserve">La Agencia Nacional de Contratación Pública ha defendido el carácter </w:t>
      </w:r>
      <w:bookmarkStart w:id="8" w:name="_Hlk99547799"/>
      <w:r w:rsidRPr="00D1722B">
        <w:rPr>
          <w:rFonts w:ascii="Arial" w:hAnsi="Arial" w:cs="Arial"/>
          <w:lang w:val="es-ES_tradnl" w:eastAsia="es-MX"/>
        </w:rPr>
        <w:t xml:space="preserve">enunciativo del listado de los requisitos habilitantes contenidos en el numeral 1 del artículo 5 de la Ley 1150 de 2007, en la medida en que la referida disposición, al referirse a los requisitos habilitantes, no contiene una expresión como </w:t>
      </w:r>
      <w:r>
        <w:rPr>
          <w:rFonts w:ascii="Arial" w:hAnsi="Arial" w:cs="Arial"/>
          <w:lang w:val="es-ES_tradnl" w:eastAsia="es-MX"/>
        </w:rPr>
        <w:t>“</w:t>
      </w:r>
      <w:r w:rsidRPr="00D1722B">
        <w:rPr>
          <w:rFonts w:ascii="Arial" w:hAnsi="Arial" w:cs="Arial"/>
          <w:lang w:val="es-ES_tradnl" w:eastAsia="es-MX"/>
        </w:rPr>
        <w:t>únicamente</w:t>
      </w:r>
      <w:r>
        <w:rPr>
          <w:rFonts w:ascii="Arial" w:hAnsi="Arial" w:cs="Arial"/>
          <w:lang w:val="es-ES_tradnl" w:eastAsia="es-MX"/>
        </w:rPr>
        <w:t>”</w:t>
      </w:r>
      <w:r w:rsidRPr="00D1722B">
        <w:rPr>
          <w:rFonts w:ascii="Arial" w:hAnsi="Arial" w:cs="Arial"/>
          <w:lang w:val="es-ES_tradnl" w:eastAsia="es-MX"/>
        </w:rPr>
        <w:t xml:space="preserve"> o </w:t>
      </w:r>
      <w:r>
        <w:rPr>
          <w:rFonts w:ascii="Arial" w:hAnsi="Arial" w:cs="Arial"/>
          <w:lang w:val="es-ES_tradnl" w:eastAsia="es-MX"/>
        </w:rPr>
        <w:t>“</w:t>
      </w:r>
      <w:r w:rsidRPr="00D1722B">
        <w:rPr>
          <w:rFonts w:ascii="Arial" w:hAnsi="Arial" w:cs="Arial"/>
          <w:lang w:val="es-ES_tradnl" w:eastAsia="es-MX"/>
        </w:rPr>
        <w:t>solo</w:t>
      </w:r>
      <w:r>
        <w:rPr>
          <w:rFonts w:ascii="Arial" w:hAnsi="Arial" w:cs="Arial"/>
          <w:lang w:val="es-ES_tradnl" w:eastAsia="es-MX"/>
        </w:rPr>
        <w:t>”</w:t>
      </w:r>
      <w:r w:rsidRPr="00D1722B">
        <w:rPr>
          <w:rFonts w:ascii="Arial" w:hAnsi="Arial" w:cs="Arial"/>
          <w:lang w:val="es-ES_tradnl" w:eastAsia="es-MX"/>
        </w:rPr>
        <w:t xml:space="preserve">, de la que pueda colegirse la taxatividad de los requisitos mencionados. </w:t>
      </w:r>
      <w:bookmarkEnd w:id="6"/>
      <w:bookmarkEnd w:id="8"/>
      <w:r w:rsidRPr="00D1722B">
        <w:rPr>
          <w:rFonts w:ascii="Arial" w:hAnsi="Arial"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7"/>
      <w:r w:rsidRPr="00D1722B">
        <w:rPr>
          <w:rFonts w:ascii="Arial" w:hAnsi="Arial" w:cs="Arial"/>
          <w:vertAlign w:val="superscript"/>
          <w:lang w:val="es-ES_tradnl" w:eastAsia="es-MX"/>
        </w:rPr>
        <w:footnoteReference w:id="10"/>
      </w:r>
      <w:r w:rsidRPr="00D1722B">
        <w:rPr>
          <w:rFonts w:ascii="Arial" w:hAnsi="Arial" w:cs="Arial"/>
          <w:lang w:val="es-ES_tradnl" w:eastAsia="es-MX"/>
        </w:rPr>
        <w:t xml:space="preserve">. </w:t>
      </w:r>
    </w:p>
    <w:p w14:paraId="2B91D34A" w14:textId="77777777" w:rsidR="00016098" w:rsidRPr="00D1722B" w:rsidRDefault="00016098" w:rsidP="00016098">
      <w:pPr>
        <w:spacing w:before="120" w:after="120" w:line="276" w:lineRule="auto"/>
        <w:ind w:firstLine="709"/>
        <w:jc w:val="both"/>
        <w:rPr>
          <w:rFonts w:ascii="Arial" w:hAnsi="Arial" w:cs="Arial"/>
          <w:lang w:val="es-ES_tradnl" w:eastAsia="es-MX"/>
        </w:rPr>
      </w:pPr>
      <w:r w:rsidRPr="00D1722B">
        <w:rPr>
          <w:rFonts w:ascii="Arial" w:hAnsi="Arial" w:cs="Arial"/>
          <w:lang w:val="es-ES_tradnl" w:eastAsia="es-MX"/>
        </w:rPr>
        <w:t xml:space="preserve">Por otro lado, en el </w:t>
      </w:r>
      <w:r>
        <w:rPr>
          <w:rFonts w:ascii="Arial" w:hAnsi="Arial" w:cs="Arial"/>
          <w:i/>
          <w:iCs/>
          <w:lang w:val="es-ES_tradnl" w:eastAsia="es-MX"/>
        </w:rPr>
        <w:t>“</w:t>
      </w:r>
      <w:r w:rsidRPr="00D1722B">
        <w:rPr>
          <w:rFonts w:ascii="Arial" w:hAnsi="Arial" w:cs="Arial"/>
          <w:i/>
          <w:iCs/>
          <w:lang w:val="es-ES_tradnl" w:eastAsia="es-MX"/>
        </w:rPr>
        <w:t>Manual para determinar y verificar los requisitos habilitantes en los Procesos de Contratación</w:t>
      </w:r>
      <w:r>
        <w:rPr>
          <w:rFonts w:ascii="Arial" w:hAnsi="Arial" w:cs="Arial"/>
          <w:i/>
          <w:iCs/>
          <w:lang w:val="es-ES_tradnl" w:eastAsia="es-MX"/>
        </w:rPr>
        <w:t>”</w:t>
      </w:r>
      <w:r w:rsidRPr="00D1722B">
        <w:rPr>
          <w:rFonts w:ascii="Arial" w:eastAsia="Calibri" w:hAnsi="Arial" w:cs="Arial"/>
          <w:lang w:val="es-ES_tradnl" w:eastAsia="es-MX"/>
        </w:rPr>
        <w:t>,</w:t>
      </w:r>
      <w:r w:rsidRPr="00D1722B">
        <w:rPr>
          <w:rFonts w:ascii="Arial" w:hAnsi="Arial" w:cs="Arial"/>
          <w:lang w:val="es-ES_tradnl" w:eastAsia="es-MX"/>
        </w:rPr>
        <w:t xml:space="preserve"> expedido por la </w:t>
      </w:r>
      <w:r w:rsidRPr="00D1722B">
        <w:rPr>
          <w:rFonts w:ascii="Arial" w:eastAsia="Calibri" w:hAnsi="Arial" w:cs="Arial"/>
          <w:lang w:val="es-ES_tradnl" w:eastAsia="es-MX"/>
        </w:rPr>
        <w:t>Agencia Nacional de Contratación Pública – Colombia Compra Eficiente,</w:t>
      </w:r>
      <w:r w:rsidRPr="00D1722B">
        <w:rPr>
          <w:rFonts w:ascii="Arial" w:hAnsi="Arial" w:cs="Arial"/>
          <w:lang w:val="es-ES_tradnl" w:eastAsia="es-MX"/>
        </w:rPr>
        <w:t xml:space="preserve"> se determinaron los parámetros para establecer, acreditar y subsanar los requisitos habilitantes. Allí también se precisó que estos tienen como fin primordial medir </w:t>
      </w:r>
      <w:r>
        <w:rPr>
          <w:rFonts w:ascii="Arial" w:hAnsi="Arial" w:cs="Arial"/>
          <w:i/>
          <w:iCs/>
          <w:lang w:val="es-ES_tradnl" w:eastAsia="es-MX"/>
        </w:rPr>
        <w:t>“</w:t>
      </w:r>
      <w:r w:rsidRPr="00D1722B">
        <w:rPr>
          <w:rFonts w:ascii="Arial" w:hAnsi="Arial" w:cs="Arial"/>
          <w:i/>
          <w:iCs/>
          <w:lang w:val="es-ES_tradnl" w:eastAsia="es-MX"/>
        </w:rPr>
        <w:t>la aptitud del proponente para participar en un Proceso de Contratación como oferente y están referidos a su capacidad jurídica, financiera, organizacional y su experiencia</w:t>
      </w:r>
      <w:r>
        <w:rPr>
          <w:rFonts w:ascii="Arial" w:hAnsi="Arial" w:cs="Arial"/>
          <w:i/>
          <w:iCs/>
          <w:lang w:val="es-ES_tradnl" w:eastAsia="es-MX"/>
        </w:rPr>
        <w:t>”</w:t>
      </w:r>
      <w:r w:rsidRPr="00D1722B">
        <w:rPr>
          <w:rFonts w:ascii="Arial" w:hAnsi="Arial" w:cs="Arial"/>
          <w:i/>
          <w:iCs/>
          <w:lang w:val="es-ES_tradnl" w:eastAsia="es-MX"/>
        </w:rPr>
        <w:t>.</w:t>
      </w:r>
      <w:r w:rsidRPr="00D1722B">
        <w:rPr>
          <w:rFonts w:ascii="Arial" w:hAnsi="Arial" w:cs="Arial"/>
          <w:lang w:val="es-ES_tradnl" w:eastAsia="es-MX"/>
        </w:rPr>
        <w:t xml:space="preserve"> De acuerdo con el Manual, su propósito consiste en </w:t>
      </w:r>
      <w:r>
        <w:rPr>
          <w:rFonts w:ascii="Arial" w:hAnsi="Arial" w:cs="Arial"/>
          <w:i/>
          <w:iCs/>
          <w:lang w:val="es-ES_tradnl" w:eastAsia="es-MX"/>
        </w:rPr>
        <w:t>“</w:t>
      </w:r>
      <w:r w:rsidRPr="00D1722B">
        <w:rPr>
          <w:rFonts w:ascii="Arial" w:hAnsi="Arial" w:cs="Arial"/>
          <w:i/>
          <w:iCs/>
          <w:lang w:val="es-ES_tradnl" w:eastAsia="es-MX"/>
        </w:rPr>
        <w:t>establecer unas condiciones mínimas para los proponentes de tal manera que la Entidad Estatal sólo evalúe las ofertas de aquellos que están en condiciones de cumplir con el objeto del Proceso de Contratación</w:t>
      </w:r>
      <w:r>
        <w:rPr>
          <w:rFonts w:ascii="Arial" w:hAnsi="Arial" w:cs="Arial"/>
          <w:lang w:val="es-ES_tradnl" w:eastAsia="es-MX"/>
        </w:rPr>
        <w:t>”</w:t>
      </w:r>
      <w:r w:rsidRPr="00D1722B">
        <w:rPr>
          <w:rFonts w:ascii="Arial" w:hAnsi="Arial" w:cs="Arial"/>
          <w:lang w:val="es-ES_tradnl" w:eastAsia="es-MX"/>
        </w:rPr>
        <w:t>.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14639135" w14:textId="77777777" w:rsidR="00016098" w:rsidRPr="00D1722B" w:rsidRDefault="00016098" w:rsidP="00016098">
      <w:pPr>
        <w:spacing w:before="120" w:after="120" w:line="276" w:lineRule="auto"/>
        <w:ind w:firstLine="709"/>
        <w:jc w:val="both"/>
        <w:rPr>
          <w:rFonts w:ascii="Arial" w:hAnsi="Arial" w:cs="Arial"/>
          <w:lang w:val="es-ES_tradnl" w:eastAsia="es-MX"/>
        </w:rPr>
      </w:pPr>
      <w:r w:rsidRPr="00D1722B">
        <w:rPr>
          <w:rFonts w:ascii="Arial" w:hAnsi="Arial" w:cs="Arial"/>
          <w:lang w:val="es-ES_tradnl" w:eastAsia="es-MX"/>
        </w:rPr>
        <w:lastRenderedPageBreak/>
        <w:t xml:space="preserve">Al respecto, en la Sentencia C-004 de 2017, la Corte Constitucional señaló que </w:t>
      </w:r>
      <w:r>
        <w:rPr>
          <w:rFonts w:ascii="Arial" w:hAnsi="Arial" w:cs="Arial"/>
          <w:b/>
          <w:bCs/>
          <w:i/>
          <w:iCs/>
          <w:lang w:val="es-ES_tradnl" w:eastAsia="es-MX"/>
        </w:rPr>
        <w:t>“</w:t>
      </w:r>
      <w:r w:rsidRPr="00D1722B">
        <w:rPr>
          <w:rFonts w:ascii="Arial" w:hAnsi="Arial" w:cs="Arial"/>
          <w:b/>
          <w:bCs/>
          <w:i/>
          <w:iCs/>
          <w:lang w:val="es-ES_tradnl" w:eastAsia="es-MX"/>
        </w:rPr>
        <w:t>[l]a determinación de dichas condiciones habilitantes para participar, es competencia de la entidad que planee la celebración del contrato</w:t>
      </w:r>
      <w:r w:rsidRPr="00D1722B">
        <w:rPr>
          <w:rFonts w:ascii="Arial" w:hAnsi="Arial" w:cs="Arial"/>
          <w:i/>
          <w:iCs/>
          <w:lang w:val="es-ES_tradnl" w:eastAsia="es-MX"/>
        </w:rPr>
        <w:t>, a través de la valoración en concreto de las características mínimas de idoneidad, experiencia, capacidad jurídica y financiera para que la realización del objeto contractual resulte eficiente y eficaz frente a la necesidad identificada</w:t>
      </w:r>
      <w:r>
        <w:rPr>
          <w:rFonts w:ascii="Arial" w:hAnsi="Arial" w:cs="Arial"/>
          <w:i/>
          <w:iCs/>
          <w:lang w:val="es-ES_tradnl" w:eastAsia="es-MX"/>
        </w:rPr>
        <w:t>”</w:t>
      </w:r>
      <w:r w:rsidRPr="00D1722B">
        <w:rPr>
          <w:rFonts w:ascii="Arial" w:hAnsi="Arial" w:cs="Arial"/>
          <w:i/>
          <w:iCs/>
          <w:lang w:val="es-ES_tradnl" w:eastAsia="es-MX"/>
        </w:rPr>
        <w:t>. (</w:t>
      </w:r>
      <w:r w:rsidRPr="00D1722B">
        <w:rPr>
          <w:rFonts w:ascii="Arial" w:hAnsi="Arial" w:cs="Arial"/>
          <w:lang w:val="es-ES_tradnl" w:eastAsia="es-MX"/>
        </w:rPr>
        <w:t>negrilla fuera de texto)</w:t>
      </w:r>
    </w:p>
    <w:p w14:paraId="4AC65121" w14:textId="77777777" w:rsidR="00016098" w:rsidRPr="00D1722B" w:rsidRDefault="00016098" w:rsidP="00016098">
      <w:pPr>
        <w:tabs>
          <w:tab w:val="left" w:pos="426"/>
        </w:tabs>
        <w:spacing w:before="120" w:after="120" w:line="276" w:lineRule="auto"/>
        <w:ind w:firstLine="709"/>
        <w:jc w:val="both"/>
        <w:rPr>
          <w:rFonts w:ascii="Arial" w:hAnsi="Arial" w:cs="Arial"/>
          <w:lang w:val="es-ES_tradnl" w:eastAsia="es-MX"/>
        </w:rPr>
      </w:pPr>
      <w:bookmarkStart w:id="9" w:name="_Hlk99548027"/>
      <w:r w:rsidRPr="00D1722B">
        <w:rPr>
          <w:rFonts w:ascii="Arial" w:hAnsi="Arial" w:cs="Arial"/>
          <w:lang w:val="es-ES_tradnl" w:eastAsia="es-MX"/>
        </w:rPr>
        <w:t xml:space="preserve">En ese sentido, si bien </w:t>
      </w:r>
      <w:r w:rsidRPr="00D1722B">
        <w:rPr>
          <w:rFonts w:ascii="Arial" w:eastAsia="Calibri" w:hAnsi="Arial"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10" w:name="_Hlk34917473"/>
      <w:r w:rsidRPr="00D1722B">
        <w:rPr>
          <w:rFonts w:ascii="Arial" w:hAnsi="Arial" w:cs="Arial"/>
          <w:lang w:val="es-ES_tradnl" w:eastAsia="es-MX"/>
        </w:rPr>
        <w:t xml:space="preserve">En consecuencia, corresponde a las Entidades Estatales, durante la etapa de planeación del contrato estatal, estudiar y </w:t>
      </w:r>
      <w:r w:rsidRPr="00D1722B">
        <w:rPr>
          <w:rFonts w:ascii="Arial" w:hAnsi="Arial" w:cs="Arial"/>
          <w:bCs/>
          <w:iCs/>
          <w:lang w:val="es-ES_tradnl" w:eastAsia="es-MX"/>
        </w:rPr>
        <w:t>determinar</w:t>
      </w:r>
      <w:r w:rsidRPr="00D1722B">
        <w:rPr>
          <w:rFonts w:ascii="Arial" w:hAnsi="Arial" w:cs="Arial"/>
          <w:lang w:val="es-ES_tradnl" w:eastAsia="es-MX"/>
        </w:rPr>
        <w:t xml:space="preserve"> los requisitos habilitantes que establecerán en los pliegos de condiciones, los cuales deben fijarse de forma adecuada y proporcional. </w:t>
      </w:r>
    </w:p>
    <w:bookmarkEnd w:id="9"/>
    <w:p w14:paraId="352345A4" w14:textId="77777777" w:rsidR="00016098" w:rsidRPr="00D1722B" w:rsidRDefault="00016098" w:rsidP="00016098">
      <w:pPr>
        <w:tabs>
          <w:tab w:val="left" w:pos="426"/>
        </w:tabs>
        <w:spacing w:before="120" w:after="120" w:line="276" w:lineRule="auto"/>
        <w:ind w:firstLine="709"/>
        <w:jc w:val="both"/>
        <w:rPr>
          <w:rFonts w:ascii="Arial" w:hAnsi="Arial" w:cs="Arial"/>
          <w:lang w:val="es-ES_tradnl" w:eastAsia="es-MX"/>
        </w:rPr>
      </w:pPr>
      <w:r w:rsidRPr="00D1722B">
        <w:rPr>
          <w:rFonts w:ascii="Arial" w:hAnsi="Arial" w:cs="Arial"/>
          <w:lang w:val="es-ES_tradnl" w:eastAsia="es-MX"/>
        </w:rPr>
        <w:t>El Decreto 1082 de 2015 en su artículo 2.2.1.1.1.6.2 reglamenta los requisitos habilitantes, estableciendo que estos deben ser señalados en los pliegos de condiciones o en la invitación</w:t>
      </w:r>
      <w:r w:rsidRPr="00D1722B">
        <w:rPr>
          <w:rStyle w:val="Refdenotaalpie"/>
          <w:rFonts w:ascii="Arial" w:hAnsi="Arial" w:cs="Arial"/>
          <w:lang w:val="es-ES_tradnl" w:eastAsia="es-MX"/>
        </w:rPr>
        <w:footnoteReference w:id="11"/>
      </w:r>
      <w:r w:rsidRPr="00D1722B">
        <w:rPr>
          <w:rFonts w:ascii="Arial" w:hAnsi="Arial" w:cs="Arial"/>
          <w:lang w:val="es-ES_tradnl" w:eastAsia="es-MX"/>
        </w:rPr>
        <w:t xml:space="preserve">, lo cual es concordante con el numeral 5 del artículo </w:t>
      </w:r>
      <w:r w:rsidRPr="00D1722B">
        <w:rPr>
          <w:rFonts w:ascii="Arial" w:hAnsi="Arial" w:cs="Arial"/>
          <w:lang w:val="es-ES_tradnl" w:eastAsia="es-MX"/>
        </w:rPr>
        <w:lastRenderedPageBreak/>
        <w:t>2.2.1.1.2.1.3, en el que se establece como uno de los componentes mínimos de los pliegos de condiciones</w:t>
      </w:r>
      <w:r w:rsidRPr="00D1722B">
        <w:rPr>
          <w:rFonts w:ascii="Arial" w:hAnsi="Arial" w:cs="Arial"/>
          <w:color w:val="000000"/>
        </w:rPr>
        <w:t xml:space="preserve"> a las reglas aplicables a la presentación y evaluación de las ofertas, entre las que se inscriben las relativas a la acreditación de las condiciones habilitantes. </w:t>
      </w:r>
      <w:r w:rsidRPr="00D1722B">
        <w:rPr>
          <w:rFonts w:ascii="Arial" w:hAnsi="Arial"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25337893" w14:textId="77777777" w:rsidR="00016098" w:rsidRPr="00D1722B" w:rsidRDefault="00016098" w:rsidP="00016098">
      <w:pPr>
        <w:tabs>
          <w:tab w:val="left" w:pos="426"/>
        </w:tabs>
        <w:spacing w:before="120" w:line="276" w:lineRule="auto"/>
        <w:ind w:firstLine="709"/>
        <w:jc w:val="both"/>
        <w:rPr>
          <w:rFonts w:ascii="Arial" w:hAnsi="Arial" w:cs="Arial"/>
          <w:lang w:val="es-ES_tradnl" w:eastAsia="es-MX"/>
        </w:rPr>
      </w:pPr>
      <w:r w:rsidRPr="00D1722B">
        <w:rPr>
          <w:rFonts w:ascii="Arial" w:hAnsi="Arial" w:cs="Arial"/>
          <w:lang w:val="es-ES_tradnl" w:eastAsia="es-MX"/>
        </w:rPr>
        <w:t xml:space="preserve">Los mencionados criterios deben ser aplicados de manera tal que de la ponderación de estos resulten requisitos que permitan medir la aptitud de los oferentes para cumplir con el contrato, y que, además de ser proporcionales y adecuados al objeto del contrato, no limiten la participación en el proceso de selección. </w:t>
      </w:r>
      <w:r w:rsidRPr="00BF1483">
        <w:rPr>
          <w:rFonts w:ascii="Arial" w:hAnsi="Arial" w:cs="Arial"/>
          <w:lang w:val="es-ES_tradnl" w:eastAsia="es-MX"/>
        </w:rPr>
        <w:t>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w:t>
      </w:r>
      <w:r w:rsidRPr="00D1722B">
        <w:rPr>
          <w:rFonts w:ascii="Arial" w:hAnsi="Arial" w:cs="Arial"/>
          <w:lang w:val="es-ES_tradnl" w:eastAsia="es-MX"/>
        </w:rPr>
        <w:t xml:space="preserve">.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42A56AA1" w14:textId="77777777" w:rsidR="00016098" w:rsidRDefault="00016098" w:rsidP="00016098">
      <w:pPr>
        <w:tabs>
          <w:tab w:val="left" w:pos="426"/>
        </w:tabs>
        <w:spacing w:before="120" w:line="276" w:lineRule="auto"/>
        <w:ind w:firstLine="709"/>
        <w:jc w:val="both"/>
        <w:rPr>
          <w:rFonts w:ascii="Arial" w:hAnsi="Arial" w:cs="Arial"/>
          <w:lang w:val="es-ES_tradnl" w:eastAsia="es-MX"/>
        </w:rPr>
      </w:pPr>
      <w:bookmarkStart w:id="11" w:name="_Hlk99547936"/>
      <w:r w:rsidRPr="00D1722B">
        <w:rPr>
          <w:rFonts w:ascii="Arial" w:hAnsi="Arial" w:cs="Arial"/>
          <w:lang w:val="es-ES_tradnl" w:eastAsia="es-MX"/>
        </w:rPr>
        <w:t>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w:t>
      </w:r>
      <w:r w:rsidRPr="00D51F9C">
        <w:rPr>
          <w:rFonts w:ascii="Arial" w:hAnsi="Arial" w:cs="Arial"/>
          <w:lang w:val="es-ES_tradnl" w:eastAsia="es-MX"/>
        </w:rPr>
        <w:t xml:space="preserve"> </w:t>
      </w:r>
    </w:p>
    <w:p w14:paraId="5EF88A6A" w14:textId="77777777" w:rsidR="00016098" w:rsidRDefault="00016098" w:rsidP="00016098">
      <w:pPr>
        <w:tabs>
          <w:tab w:val="left" w:pos="0"/>
        </w:tabs>
        <w:spacing w:line="276" w:lineRule="auto"/>
        <w:jc w:val="both"/>
        <w:rPr>
          <w:rFonts w:ascii="Arial" w:eastAsia="Calibri" w:hAnsi="Arial" w:cs="Arial"/>
          <w:color w:val="000000"/>
          <w:lang w:val="es-MX"/>
        </w:rPr>
      </w:pPr>
      <w:r>
        <w:rPr>
          <w:rFonts w:ascii="Arial" w:eastAsia="Calibri" w:hAnsi="Arial" w:cs="Arial"/>
          <w:b/>
        </w:rPr>
        <w:t xml:space="preserve">2.4. </w:t>
      </w:r>
      <w:r w:rsidRPr="004930D7">
        <w:rPr>
          <w:rFonts w:ascii="Arial" w:eastAsia="Calibri" w:hAnsi="Arial" w:cs="Arial"/>
          <w:b/>
        </w:rPr>
        <w:t xml:space="preserve">Regulación de los </w:t>
      </w:r>
      <w:r>
        <w:rPr>
          <w:rFonts w:ascii="Arial" w:eastAsia="Calibri" w:hAnsi="Arial" w:cs="Arial"/>
          <w:b/>
        </w:rPr>
        <w:t>“</w:t>
      </w:r>
      <w:r w:rsidRPr="004930D7">
        <w:rPr>
          <w:rFonts w:ascii="Arial" w:eastAsia="Calibri" w:hAnsi="Arial" w:cs="Arial"/>
          <w:b/>
        </w:rPr>
        <w:t>precios artificialmente bajos</w:t>
      </w:r>
      <w:r>
        <w:rPr>
          <w:rFonts w:ascii="Arial" w:eastAsia="Calibri" w:hAnsi="Arial" w:cs="Arial"/>
          <w:b/>
        </w:rPr>
        <w:t>”</w:t>
      </w:r>
      <w:r w:rsidRPr="004930D7">
        <w:rPr>
          <w:rFonts w:ascii="Arial" w:eastAsia="Calibri" w:hAnsi="Arial" w:cs="Arial"/>
          <w:b/>
        </w:rPr>
        <w:t xml:space="preserve"> en la contratación pública</w:t>
      </w:r>
      <w:r>
        <w:rPr>
          <w:rFonts w:ascii="Arial" w:eastAsia="Calibri" w:hAnsi="Arial" w:cs="Arial"/>
          <w:b/>
        </w:rPr>
        <w:t xml:space="preserve"> </w:t>
      </w:r>
    </w:p>
    <w:p w14:paraId="7FE2DBDF" w14:textId="77777777" w:rsidR="00016098" w:rsidRPr="00853515" w:rsidRDefault="00016098" w:rsidP="00016098">
      <w:pPr>
        <w:tabs>
          <w:tab w:val="left" w:pos="0"/>
        </w:tabs>
        <w:spacing w:line="276" w:lineRule="auto"/>
        <w:jc w:val="both"/>
        <w:rPr>
          <w:rFonts w:ascii="Arial" w:eastAsia="Calibri" w:hAnsi="Arial" w:cs="Arial"/>
          <w:color w:val="000000"/>
          <w:lang w:val="es-MX"/>
        </w:rPr>
      </w:pPr>
      <w:r w:rsidRPr="00853515">
        <w:rPr>
          <w:rFonts w:ascii="Arial" w:eastAsia="Calibri" w:hAnsi="Arial" w:cs="Arial"/>
          <w:color w:val="000000"/>
          <w:lang w:val="es-MX"/>
        </w:rPr>
        <w:lastRenderedPageBreak/>
        <w:t>Según el artículo 26.6 de la Ley 80 de 1993, los contratistas responderán cuando presenten ofertas que resulten artificialmente bajas con el propósito de obtener la adjudicación del contrato.</w:t>
      </w:r>
      <w:r w:rsidRPr="00853515">
        <w:rPr>
          <w:rFonts w:ascii="Arial" w:eastAsia="Calibri" w:hAnsi="Arial" w:cs="Arial"/>
          <w:color w:val="000000"/>
          <w:lang w:val="es-ES"/>
        </w:rPr>
        <w:t xml:space="preserve"> El precio artificialmente bajo es definido como aquel que, además de ser muy reducido, no encuentra fundamento en el tráfico comercial. En este sentido, la entidad estaría imposibilitada para aceptar la propuesta artificialmente baja, so pena de la infracción de los principios de la contratación pública</w:t>
      </w:r>
      <w:r w:rsidRPr="00853515">
        <w:rPr>
          <w:rFonts w:ascii="Arial" w:eastAsia="Calibri" w:hAnsi="Arial" w:cs="Arial"/>
          <w:color w:val="000000"/>
          <w:lang w:val="es-MX"/>
        </w:rPr>
        <w:t>. Así lo señalo el Consejo de Estado en sentencia del 4 de junio de 2008, en los siguientes términos</w:t>
      </w:r>
      <w:r w:rsidRPr="00853515">
        <w:rPr>
          <w:rFonts w:ascii="Arial" w:eastAsia="Calibri" w:hAnsi="Arial" w:cs="Arial"/>
          <w:color w:val="000000"/>
          <w:vertAlign w:val="superscript"/>
          <w:lang w:val="es-MX"/>
        </w:rPr>
        <w:footnoteReference w:id="12"/>
      </w:r>
      <w:r w:rsidRPr="00853515">
        <w:rPr>
          <w:rFonts w:ascii="Arial" w:eastAsia="Calibri" w:hAnsi="Arial" w:cs="Arial"/>
          <w:color w:val="000000"/>
          <w:lang w:val="es-MX"/>
        </w:rPr>
        <w:t>:</w:t>
      </w:r>
    </w:p>
    <w:p w14:paraId="3D19F246" w14:textId="77777777" w:rsidR="00016098" w:rsidRDefault="00016098" w:rsidP="00016098">
      <w:pPr>
        <w:ind w:left="708" w:right="709"/>
        <w:jc w:val="both"/>
        <w:rPr>
          <w:rFonts w:ascii="Arial" w:eastAsia="Calibri" w:hAnsi="Arial" w:cs="Arial"/>
          <w:color w:val="000000"/>
          <w:sz w:val="21"/>
          <w:szCs w:val="21"/>
          <w:lang w:val="es-MX"/>
        </w:rPr>
      </w:pPr>
      <w:r>
        <w:rPr>
          <w:rFonts w:ascii="Arial" w:eastAsia="Calibri" w:hAnsi="Arial" w:cs="Arial"/>
          <w:color w:val="000000"/>
          <w:sz w:val="21"/>
          <w:szCs w:val="21"/>
          <w:lang w:val="es-MX"/>
        </w:rPr>
        <w:t>“</w:t>
      </w:r>
      <w:r w:rsidRPr="00853515">
        <w:rPr>
          <w:rFonts w:ascii="Arial" w:eastAsia="Calibri" w:hAnsi="Arial" w:cs="Arial"/>
          <w:color w:val="000000"/>
          <w:sz w:val="21"/>
          <w:szCs w:val="21"/>
          <w:lang w:val="es-MX"/>
        </w:rPr>
        <w:t xml:space="preserve">El denominado </w:t>
      </w:r>
      <w:r>
        <w:rPr>
          <w:rFonts w:ascii="Arial" w:eastAsia="Calibri" w:hAnsi="Arial" w:cs="Arial"/>
          <w:color w:val="000000"/>
          <w:sz w:val="21"/>
          <w:szCs w:val="21"/>
          <w:lang w:val="es-MX"/>
        </w:rPr>
        <w:t>“</w:t>
      </w:r>
      <w:r w:rsidRPr="00853515">
        <w:rPr>
          <w:rFonts w:ascii="Arial" w:eastAsia="Calibri" w:hAnsi="Arial" w:cs="Arial"/>
          <w:color w:val="000000"/>
          <w:sz w:val="21"/>
          <w:szCs w:val="21"/>
          <w:lang w:val="es-MX"/>
        </w:rPr>
        <w:t>precio artificialmente bajo</w:t>
      </w:r>
      <w:r>
        <w:rPr>
          <w:rFonts w:ascii="Arial" w:eastAsia="Calibri" w:hAnsi="Arial" w:cs="Arial"/>
          <w:color w:val="000000"/>
          <w:sz w:val="21"/>
          <w:szCs w:val="21"/>
          <w:lang w:val="es-MX"/>
        </w:rPr>
        <w:t>”</w:t>
      </w:r>
      <w:r w:rsidRPr="00853515">
        <w:rPr>
          <w:rFonts w:ascii="Arial" w:eastAsia="Calibri" w:hAnsi="Arial" w:cs="Arial"/>
          <w:color w:val="000000"/>
          <w:sz w:val="21"/>
          <w:szCs w:val="21"/>
          <w:lang w:val="es-MX"/>
        </w:rPr>
        <w:t xml:space="preserve">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r>
        <w:rPr>
          <w:rFonts w:ascii="Arial" w:eastAsia="Calibri" w:hAnsi="Arial" w:cs="Arial"/>
          <w:color w:val="000000"/>
          <w:sz w:val="21"/>
          <w:szCs w:val="21"/>
          <w:lang w:val="es-MX"/>
        </w:rPr>
        <w:t>”</w:t>
      </w:r>
    </w:p>
    <w:p w14:paraId="27702F70" w14:textId="77777777" w:rsidR="00016098" w:rsidRPr="00853515" w:rsidRDefault="00016098" w:rsidP="00016098">
      <w:pPr>
        <w:spacing w:line="276" w:lineRule="auto"/>
        <w:ind w:firstLine="709"/>
        <w:jc w:val="both"/>
        <w:rPr>
          <w:rFonts w:ascii="Arial" w:eastAsia="Calibri" w:hAnsi="Arial" w:cs="Arial"/>
          <w:color w:val="000000"/>
          <w:lang w:val="es-MX"/>
        </w:rPr>
      </w:pPr>
      <w:r w:rsidRPr="00853515">
        <w:rPr>
          <w:rFonts w:ascii="Arial" w:eastAsia="Calibri" w:hAnsi="Arial" w:cs="Arial"/>
          <w:color w:val="000000"/>
          <w:lang w:val="es-MX"/>
        </w:rPr>
        <w:t xml:space="preserve">Por su parte, la </w:t>
      </w:r>
      <w:r>
        <w:rPr>
          <w:rFonts w:ascii="Arial" w:eastAsia="Calibri" w:hAnsi="Arial" w:cs="Arial"/>
          <w:color w:val="000000"/>
          <w:lang w:val="es-MX"/>
        </w:rPr>
        <w:t>“</w:t>
      </w:r>
      <w:r w:rsidRPr="00853515">
        <w:rPr>
          <w:rFonts w:ascii="Arial" w:eastAsia="Calibri" w:hAnsi="Arial" w:cs="Arial"/>
          <w:color w:val="000000"/>
          <w:lang w:val="es-MX"/>
        </w:rPr>
        <w:t>Guía para el manejo de ofertas artificialmente bajas en Procesos de Contratación</w:t>
      </w:r>
      <w:r>
        <w:rPr>
          <w:rFonts w:ascii="Arial" w:eastAsia="Calibri" w:hAnsi="Arial" w:cs="Arial"/>
          <w:color w:val="000000"/>
          <w:lang w:val="es-MX"/>
        </w:rPr>
        <w:t>”</w:t>
      </w:r>
      <w:r w:rsidRPr="00853515">
        <w:rPr>
          <w:rFonts w:ascii="Arial" w:eastAsia="Calibri" w:hAnsi="Arial" w:cs="Arial"/>
          <w:color w:val="000000"/>
          <w:lang w:val="es-MX"/>
        </w:rPr>
        <w:t xml:space="preserve">, establece que una oferta es artificialmente baja cuando, </w:t>
      </w:r>
      <w:r>
        <w:rPr>
          <w:rFonts w:ascii="Arial" w:eastAsia="Calibri" w:hAnsi="Arial" w:cs="Arial"/>
          <w:color w:val="000000"/>
          <w:lang w:val="es-MX"/>
        </w:rPr>
        <w:t>“</w:t>
      </w:r>
      <w:r w:rsidRPr="00853515">
        <w:rPr>
          <w:rFonts w:ascii="Arial" w:eastAsia="Calibri" w:hAnsi="Arial" w:cs="Arial"/>
          <w:color w:val="000000"/>
          <w:lang w:val="es-MX"/>
        </w:rPr>
        <w:t>a criterio de la Entidad Estatal, el precio no parece suficiente para garantizar una correcta ejecución del contrato, de acuerdo con la información recogida durante la etapa de planeación y particularmente durante el Estudio del Sector</w:t>
      </w:r>
      <w:r>
        <w:rPr>
          <w:rFonts w:ascii="Arial" w:eastAsia="Calibri" w:hAnsi="Arial" w:cs="Arial"/>
          <w:color w:val="000000"/>
          <w:lang w:val="es-MX"/>
        </w:rPr>
        <w:t>”</w:t>
      </w:r>
      <w:r w:rsidRPr="00853515">
        <w:rPr>
          <w:rFonts w:ascii="Arial" w:eastAsia="Calibri" w:hAnsi="Arial" w:cs="Arial"/>
          <w:color w:val="000000"/>
          <w:lang w:val="es-MX"/>
        </w:rPr>
        <w:t xml:space="preserve">. En este punto, es importante diferenciar las </w:t>
      </w:r>
      <w:r>
        <w:rPr>
          <w:rFonts w:ascii="Arial" w:eastAsia="Calibri" w:hAnsi="Arial" w:cs="Arial"/>
          <w:color w:val="000000"/>
          <w:lang w:val="es-MX"/>
        </w:rPr>
        <w:t>“</w:t>
      </w:r>
      <w:r w:rsidRPr="00853515">
        <w:rPr>
          <w:rFonts w:ascii="Arial" w:eastAsia="Calibri" w:hAnsi="Arial" w:cs="Arial"/>
          <w:color w:val="000000"/>
          <w:lang w:val="es-MX"/>
        </w:rPr>
        <w:t>ofertas artificialmente bajas</w:t>
      </w:r>
      <w:r>
        <w:rPr>
          <w:rFonts w:ascii="Arial" w:eastAsia="Calibri" w:hAnsi="Arial" w:cs="Arial"/>
          <w:color w:val="000000"/>
          <w:lang w:val="es-MX"/>
        </w:rPr>
        <w:t>”</w:t>
      </w:r>
      <w:r w:rsidRPr="00853515">
        <w:rPr>
          <w:rFonts w:ascii="Arial" w:eastAsia="Calibri" w:hAnsi="Arial" w:cs="Arial"/>
          <w:color w:val="000000"/>
          <w:lang w:val="es-MX"/>
        </w:rPr>
        <w:t xml:space="preserve"> y las </w:t>
      </w:r>
      <w:r>
        <w:rPr>
          <w:rFonts w:ascii="Arial" w:eastAsia="Calibri" w:hAnsi="Arial" w:cs="Arial"/>
          <w:color w:val="000000"/>
          <w:lang w:val="es-MX"/>
        </w:rPr>
        <w:t>“</w:t>
      </w:r>
      <w:r w:rsidRPr="00853515">
        <w:rPr>
          <w:rFonts w:ascii="Arial" w:eastAsia="Calibri" w:hAnsi="Arial" w:cs="Arial"/>
          <w:color w:val="000000"/>
          <w:lang w:val="es-MX"/>
        </w:rPr>
        <w:t>ofertas competitivas</w:t>
      </w:r>
      <w:r>
        <w:rPr>
          <w:rFonts w:ascii="Arial" w:eastAsia="Calibri" w:hAnsi="Arial" w:cs="Arial"/>
          <w:color w:val="000000"/>
          <w:lang w:val="es-MX"/>
        </w:rPr>
        <w:t>”</w:t>
      </w:r>
      <w:r w:rsidRPr="00853515">
        <w:rPr>
          <w:rFonts w:ascii="Arial" w:eastAsia="Calibri" w:hAnsi="Arial" w:cs="Arial"/>
          <w:color w:val="000000"/>
          <w:lang w:val="es-MX"/>
        </w:rPr>
        <w:t xml:space="preserve">, entendiendo por estas últimas aquellas </w:t>
      </w:r>
      <w:r>
        <w:rPr>
          <w:rFonts w:ascii="Arial" w:eastAsia="Calibri" w:hAnsi="Arial" w:cs="Arial"/>
          <w:color w:val="000000"/>
          <w:lang w:val="es-MX"/>
        </w:rPr>
        <w:t>“</w:t>
      </w:r>
      <w:r w:rsidRPr="00853515">
        <w:rPr>
          <w:rFonts w:ascii="Arial" w:eastAsia="Calibri" w:hAnsi="Arial" w:cs="Arial"/>
          <w:color w:val="000000"/>
          <w:lang w:val="es-MX"/>
        </w:rPr>
        <w:t>que tienen en su estructura de costos economías de escala o economías de alcance, que permiten generar un bien o un servicio a menor costo que el resto de proveedores en el mercado</w:t>
      </w:r>
      <w:r>
        <w:rPr>
          <w:rFonts w:ascii="Arial" w:eastAsia="Calibri" w:hAnsi="Arial" w:cs="Arial"/>
          <w:color w:val="000000"/>
          <w:lang w:val="es-MX"/>
        </w:rPr>
        <w:t>”</w:t>
      </w:r>
      <w:r w:rsidRPr="00853515">
        <w:rPr>
          <w:rFonts w:ascii="Arial" w:eastAsia="Calibri" w:hAnsi="Arial" w:cs="Arial"/>
          <w:color w:val="000000"/>
          <w:lang w:val="es-MX"/>
        </w:rPr>
        <w:t>, según lo establece la guía antes mencionada.</w:t>
      </w:r>
    </w:p>
    <w:p w14:paraId="15D8A485" w14:textId="77777777" w:rsidR="00016098" w:rsidRPr="00853515"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De otro lado, el artículo 2.2.1.1.2.2.4. del Decreto 1082 de 2015 regula el procedimiento a seguir en los eventos en que se presenten propuestas con valor artificialmente bajo: </w:t>
      </w:r>
    </w:p>
    <w:p w14:paraId="332C4B13" w14:textId="77777777" w:rsidR="00016098" w:rsidRPr="00BF1483" w:rsidRDefault="00016098" w:rsidP="00016098">
      <w:pPr>
        <w:spacing w:after="120"/>
        <w:ind w:left="709" w:right="709"/>
        <w:jc w:val="both"/>
        <w:rPr>
          <w:rFonts w:ascii="Arial" w:eastAsia="Calibri" w:hAnsi="Arial" w:cs="Arial"/>
          <w:color w:val="000000"/>
          <w:sz w:val="20"/>
          <w:szCs w:val="20"/>
          <w:lang w:val="es-MX"/>
        </w:rPr>
      </w:pPr>
      <w:r w:rsidRPr="00BF1483">
        <w:rPr>
          <w:rFonts w:ascii="Arial" w:eastAsia="Calibri" w:hAnsi="Arial" w:cs="Arial"/>
          <w:color w:val="000000"/>
          <w:sz w:val="20"/>
          <w:szCs w:val="20"/>
          <w:lang w:val="es-MX"/>
        </w:rPr>
        <w:t xml:space="preserve">“Si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w:t>
      </w:r>
      <w:r w:rsidRPr="00BF1483">
        <w:rPr>
          <w:rFonts w:ascii="Arial" w:eastAsia="Calibri" w:hAnsi="Arial" w:cs="Arial"/>
          <w:color w:val="000000"/>
          <w:sz w:val="20"/>
          <w:szCs w:val="20"/>
          <w:lang w:val="es-MX"/>
        </w:rPr>
        <w:lastRenderedPageBreak/>
        <w:t>evaluación de las ofertas, debe recomendar rechazar la oferta o continuar con el análisis de la misma en la evaluación de las ofertas.</w:t>
      </w:r>
    </w:p>
    <w:p w14:paraId="4548D9B0" w14:textId="77777777" w:rsidR="00016098" w:rsidRPr="00BF1483" w:rsidRDefault="00016098" w:rsidP="00016098">
      <w:pPr>
        <w:spacing w:after="120"/>
        <w:ind w:left="709" w:right="709"/>
        <w:jc w:val="both"/>
        <w:rPr>
          <w:rFonts w:ascii="Arial" w:eastAsia="Calibri" w:hAnsi="Arial" w:cs="Arial"/>
          <w:color w:val="000000"/>
          <w:sz w:val="20"/>
          <w:szCs w:val="20"/>
          <w:lang w:val="es-MX"/>
        </w:rPr>
      </w:pPr>
      <w:r w:rsidRPr="00BF1483">
        <w:rPr>
          <w:rFonts w:ascii="Arial" w:eastAsia="Calibri" w:hAnsi="Arial" w:cs="Arial"/>
          <w:color w:val="000000"/>
          <w:sz w:val="20"/>
          <w:szCs w:val="20"/>
          <w:lang w:val="es-MX"/>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16D42136" w14:textId="77777777" w:rsidR="00016098" w:rsidRPr="00BF1483" w:rsidRDefault="00016098" w:rsidP="00016098">
      <w:pPr>
        <w:ind w:left="708" w:right="709"/>
        <w:jc w:val="both"/>
        <w:rPr>
          <w:rFonts w:ascii="Arial" w:eastAsia="Calibri" w:hAnsi="Arial" w:cs="Arial"/>
          <w:color w:val="000000"/>
          <w:sz w:val="20"/>
          <w:szCs w:val="20"/>
          <w:lang w:val="es-MX"/>
        </w:rPr>
      </w:pPr>
      <w:r w:rsidRPr="00BF1483">
        <w:rPr>
          <w:rFonts w:ascii="Arial" w:eastAsia="Calibri" w:hAnsi="Arial" w:cs="Arial"/>
          <w:color w:val="000000"/>
          <w:sz w:val="20"/>
          <w:szCs w:val="20"/>
          <w:lang w:val="es-MX"/>
        </w:rPr>
        <w:t>En la subasta inversa esta disposición es aplicable sobre el precio obtenido al final de la misma".</w:t>
      </w:r>
    </w:p>
    <w:p w14:paraId="630ADA26" w14:textId="77777777" w:rsidR="00016098" w:rsidRDefault="00016098" w:rsidP="00016098">
      <w:pPr>
        <w:ind w:firstLine="708"/>
        <w:jc w:val="both"/>
        <w:rPr>
          <w:rFonts w:ascii="Arial" w:eastAsia="Calibri" w:hAnsi="Arial" w:cs="Arial"/>
          <w:color w:val="000000"/>
          <w:lang w:val="es-MX"/>
        </w:rPr>
      </w:pPr>
    </w:p>
    <w:p w14:paraId="325FD339" w14:textId="77777777" w:rsidR="00016098" w:rsidRPr="00853515" w:rsidRDefault="00016098" w:rsidP="00016098">
      <w:pPr>
        <w:spacing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De lo expuesto se desprende que, ante una propuesta artificialmente baja, la entidad estatal está obligada a: i) requerir al oferente para que explique las razones que sustentan el valor ofrecido; ii) analizar las explicaciones; y iii) con base en lo anterior, rechazar la oferta o continuar con su análisis en la fase de evaluación. Así, la entidad deberá, inicialmente, determinar si la propuesta es considerada artificialmente baja, de acuerdo con la información del análisis del sector y, posteriormente, agotar el procedimiento indicado. </w:t>
      </w:r>
    </w:p>
    <w:p w14:paraId="21370F5F" w14:textId="77777777" w:rsidR="00016098" w:rsidRPr="00853515"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Por su parte, la </w:t>
      </w:r>
      <w:r>
        <w:rPr>
          <w:rFonts w:ascii="Arial" w:eastAsia="Calibri" w:hAnsi="Arial" w:cs="Arial"/>
          <w:color w:val="000000"/>
          <w:lang w:val="es-MX"/>
        </w:rPr>
        <w:t>“</w:t>
      </w:r>
      <w:r w:rsidRPr="00853515">
        <w:rPr>
          <w:rFonts w:ascii="Arial" w:eastAsia="Calibri" w:hAnsi="Arial" w:cs="Arial"/>
          <w:color w:val="000000"/>
          <w:lang w:val="es-MX"/>
        </w:rPr>
        <w:t>Guía para el manejo de ofertas artificialmente bajas en Procesos de Contratación</w:t>
      </w:r>
      <w:r>
        <w:rPr>
          <w:rFonts w:ascii="Arial" w:eastAsia="Calibri" w:hAnsi="Arial" w:cs="Arial"/>
          <w:color w:val="000000"/>
          <w:lang w:val="es-MX"/>
        </w:rPr>
        <w:t>”</w:t>
      </w:r>
      <w:r w:rsidRPr="00853515">
        <w:rPr>
          <w:rFonts w:ascii="Arial" w:eastAsia="Calibri" w:hAnsi="Arial" w:cs="Arial"/>
          <w:color w:val="000000"/>
          <w:lang w:val="es-MX"/>
        </w:rPr>
        <w:t xml:space="preserve"> recomienda a las entidades estatales tener en cuenta la siguiente información: i) promedio del valor de las ofertas; ii) mediana del valor las ofertas; iii) desviación estándar del valor de las ofertas; iv)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vii) la información histórica de ofertas y contratos del objeto del proceso de contratación. </w:t>
      </w:r>
    </w:p>
    <w:p w14:paraId="585564EF" w14:textId="77777777" w:rsidR="00016098" w:rsidRPr="00853515" w:rsidRDefault="00016098" w:rsidP="00016098">
      <w:pPr>
        <w:spacing w:before="120" w:after="120" w:line="276" w:lineRule="auto"/>
        <w:ind w:firstLine="709"/>
        <w:jc w:val="both"/>
        <w:rPr>
          <w:rFonts w:ascii="Arial" w:eastAsia="Calibri" w:hAnsi="Arial" w:cs="Arial"/>
          <w:color w:val="000000"/>
          <w:lang w:val="es-MX"/>
        </w:rPr>
      </w:pPr>
      <w:r w:rsidRPr="00853515">
        <w:rPr>
          <w:rFonts w:ascii="Arial" w:eastAsia="Calibri" w:hAnsi="Arial" w:cs="Arial"/>
          <w:color w:val="000000"/>
          <w:lang w:val="es-MX"/>
        </w:rPr>
        <w:t xml:space="preserve">Con estos datos, la entidad puede emplear herramientas para identificar ofertas que pueden ser artíficamente bajas, tales como la comparación absoluta o la comparación relativa. La comparación absoluta consiste en contrastar cada oferta con el costo estimado del bien o servicio, de acuerdo con el estudio del sector. En este caso, si se reciben menos de cinco (5) ofertas, se debe solicitar aclaración a los proponentes cuyas ofertas sean menores en un 20%, o un mayor porcentaje en relación con el costo estimado por la entidad estatal. La comparación relativa consiste en comparar cada oferta con las demás presentadas. </w:t>
      </w:r>
    </w:p>
    <w:p w14:paraId="5F0E1238" w14:textId="77777777" w:rsidR="00016098" w:rsidRPr="00110B67" w:rsidRDefault="00016098" w:rsidP="00016098">
      <w:pPr>
        <w:spacing w:after="120" w:line="276" w:lineRule="auto"/>
        <w:ind w:firstLine="709"/>
        <w:jc w:val="both"/>
        <w:rPr>
          <w:rFonts w:ascii="Arial" w:eastAsia="Calibri" w:hAnsi="Arial" w:cs="Arial"/>
          <w:color w:val="000000"/>
          <w:lang w:val="es-MX"/>
        </w:rPr>
      </w:pPr>
      <w:r w:rsidRPr="00337970">
        <w:rPr>
          <w:rFonts w:ascii="Arial" w:eastAsia="Calibri" w:hAnsi="Arial" w:cs="Arial"/>
          <w:color w:val="000000"/>
          <w:shd w:val="clear" w:color="auto" w:fill="FFFFFF"/>
          <w:lang w:val="es-MX"/>
        </w:rPr>
        <w:lastRenderedPageBreak/>
        <w:t xml:space="preserve">Esta Agencia ha sugerido a las entidades aplicar la siguiente metodología para identificar ofertas con </w:t>
      </w:r>
      <w:r>
        <w:rPr>
          <w:rFonts w:ascii="Arial" w:eastAsia="Calibri" w:hAnsi="Arial" w:cs="Arial"/>
          <w:color w:val="000000"/>
          <w:shd w:val="clear" w:color="auto" w:fill="FFFFFF"/>
          <w:lang w:val="es-MX"/>
        </w:rPr>
        <w:t>“</w:t>
      </w:r>
      <w:r w:rsidRPr="00337970">
        <w:rPr>
          <w:rFonts w:ascii="Arial" w:eastAsia="Calibri" w:hAnsi="Arial" w:cs="Arial"/>
          <w:color w:val="000000"/>
          <w:shd w:val="clear" w:color="auto" w:fill="FFFFFF"/>
          <w:lang w:val="es-MX"/>
        </w:rPr>
        <w:t>precios artificialmente bajos</w:t>
      </w:r>
      <w:r>
        <w:rPr>
          <w:rFonts w:ascii="Arial" w:eastAsia="Calibri" w:hAnsi="Arial" w:cs="Arial"/>
          <w:color w:val="000000"/>
          <w:shd w:val="clear" w:color="auto" w:fill="FFFFFF"/>
          <w:lang w:val="es-MX"/>
        </w:rPr>
        <w:t>”</w:t>
      </w:r>
      <w:r w:rsidRPr="00337970">
        <w:rPr>
          <w:rFonts w:ascii="Arial" w:eastAsia="Calibri" w:hAnsi="Arial" w:cs="Arial"/>
          <w:color w:val="000000"/>
          <w:shd w:val="clear" w:color="auto" w:fill="FFFFFF"/>
          <w:lang w:val="es-MX"/>
        </w:rPr>
        <w:t>, en aquellos procesos en los que hay cinco (5) o más ofertas</w:t>
      </w:r>
      <w:r w:rsidRPr="00337970">
        <w:rPr>
          <w:rFonts w:ascii="Arial" w:eastAsia="Calibri" w:hAnsi="Arial" w:cs="Arial"/>
          <w:color w:val="000000"/>
          <w:lang w:val="es-MX"/>
        </w:rPr>
        <w:t xml:space="preserve">: </w:t>
      </w:r>
      <w:r w:rsidRPr="00110B67">
        <w:rPr>
          <w:rFonts w:ascii="Arial" w:eastAsia="Calibri" w:hAnsi="Arial" w:cs="Arial"/>
          <w:color w:val="000000"/>
          <w:lang w:val="es-MX"/>
        </w:rPr>
        <w:t>i) Tomar el conjunto de ofertas a evaluar, ii) calcular la mediana, o dependiendo de la dispersión de los datos el promedio, del valor de cada oferta o de cada ítem dentro de la oferta, iii) calcular la desviación estándar del conjunto y iv) determinar el valor mínimo aceptable.</w:t>
      </w:r>
      <w:r w:rsidRPr="00110B67">
        <w:rPr>
          <w:rFonts w:ascii="Arial" w:eastAsia="Calibri" w:hAnsi="Arial" w:cs="Arial"/>
          <w:color w:val="000000"/>
          <w:vertAlign w:val="superscript"/>
          <w:lang w:val="es-MX"/>
        </w:rPr>
        <w:footnoteReference w:id="13"/>
      </w:r>
    </w:p>
    <w:p w14:paraId="39DDCFAD" w14:textId="77777777" w:rsidR="00016098" w:rsidRPr="00853515" w:rsidRDefault="00016098" w:rsidP="00016098">
      <w:pPr>
        <w:spacing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La </w:t>
      </w:r>
      <w:r w:rsidRPr="00853515">
        <w:rPr>
          <w:rFonts w:ascii="Arial" w:eastAsia="Calibri" w:hAnsi="Arial" w:cs="Arial"/>
          <w:i/>
          <w:iCs/>
          <w:color w:val="000000"/>
          <w:lang w:val="es-MX"/>
        </w:rPr>
        <w:t>mediana</w:t>
      </w:r>
      <w:r w:rsidRPr="00853515">
        <w:rPr>
          <w:rFonts w:ascii="Arial" w:eastAsia="Calibri" w:hAnsi="Arial" w:cs="Arial"/>
          <w:color w:val="000000"/>
          <w:lang w:val="es-MX"/>
        </w:rPr>
        <w:t xml:space="preserve"> se debe calcular ordenando los valores de mayor a menor y tomando el valor de la oferta en la mitad de la lista. Si el número de ofertas es par, caso en el cual no habrá una oferta </w:t>
      </w:r>
      <w:r>
        <w:rPr>
          <w:rFonts w:ascii="Arial" w:eastAsia="Calibri" w:hAnsi="Arial" w:cs="Arial"/>
          <w:color w:val="000000"/>
          <w:lang w:val="es-MX"/>
        </w:rPr>
        <w:t>“</w:t>
      </w:r>
      <w:r w:rsidRPr="00853515">
        <w:rPr>
          <w:rFonts w:ascii="Arial" w:eastAsia="Calibri" w:hAnsi="Arial" w:cs="Arial"/>
          <w:color w:val="000000"/>
          <w:lang w:val="es-MX"/>
        </w:rPr>
        <w:t>en la mitad</w:t>
      </w:r>
      <w:r>
        <w:rPr>
          <w:rFonts w:ascii="Arial" w:eastAsia="Calibri" w:hAnsi="Arial" w:cs="Arial"/>
          <w:color w:val="000000"/>
          <w:lang w:val="es-MX"/>
        </w:rPr>
        <w:t>”</w:t>
      </w:r>
      <w:r w:rsidRPr="00853515">
        <w:rPr>
          <w:rFonts w:ascii="Arial" w:eastAsia="Calibri" w:hAnsi="Arial" w:cs="Arial"/>
          <w:color w:val="000000"/>
          <w:lang w:val="es-MX"/>
        </w:rPr>
        <w:t xml:space="preserve">, debe tomarse los dos valores del medio, se suman y dividen en dos. Posteriormente, es necesario calcular la </w:t>
      </w:r>
      <w:r w:rsidRPr="00853515">
        <w:rPr>
          <w:rFonts w:ascii="Arial" w:eastAsia="Calibri" w:hAnsi="Arial" w:cs="Arial"/>
          <w:i/>
          <w:iCs/>
          <w:color w:val="000000"/>
          <w:lang w:val="es-MX"/>
        </w:rPr>
        <w:t>desviación estándar</w:t>
      </w:r>
      <w:r w:rsidRPr="00853515">
        <w:rPr>
          <w:rFonts w:ascii="Arial" w:eastAsia="Calibri" w:hAnsi="Arial" w:cs="Arial"/>
          <w:color w:val="000000"/>
          <w:lang w:val="es-MX"/>
        </w:rPr>
        <w:t xml:space="preserve">, utilizando la siguiente fórmula, en la que el </w:t>
      </w:r>
      <w:r w:rsidRPr="00853515">
        <w:rPr>
          <w:rFonts w:ascii="Arial" w:eastAsia="Calibri" w:hAnsi="Arial" w:cs="Arial"/>
          <w:color w:val="000000"/>
          <w:lang w:val="es-ES"/>
        </w:rPr>
        <w:t xml:space="preserve">valor </w:t>
      </w:r>
      <w:r w:rsidRPr="00853515">
        <w:rPr>
          <w:rFonts w:ascii="Arial" w:eastAsia="Calibri" w:hAnsi="Arial" w:cs="Arial"/>
          <w:i/>
          <w:color w:val="000000"/>
          <w:lang w:val="es-ES"/>
        </w:rPr>
        <w:t>n</w:t>
      </w:r>
      <w:r w:rsidRPr="00853515">
        <w:rPr>
          <w:rFonts w:ascii="Arial" w:eastAsia="Calibri" w:hAnsi="Arial" w:cs="Arial"/>
          <w:color w:val="000000"/>
          <w:lang w:val="es-ES"/>
        </w:rPr>
        <w:t xml:space="preserve"> es el número de ofertas</w:t>
      </w:r>
      <w:r w:rsidRPr="00853515">
        <w:rPr>
          <w:rFonts w:ascii="Arial" w:eastAsia="Calibri" w:hAnsi="Arial" w:cs="Arial"/>
          <w:color w:val="000000"/>
          <w:lang w:val="es-MX"/>
        </w:rPr>
        <w:t xml:space="preserve">: </w:t>
      </w:r>
    </w:p>
    <w:p w14:paraId="0D74F7D1" w14:textId="77777777" w:rsidR="00016098" w:rsidRPr="00853515" w:rsidRDefault="00016098" w:rsidP="00016098">
      <w:pPr>
        <w:spacing w:line="276" w:lineRule="auto"/>
        <w:ind w:firstLine="708"/>
        <w:jc w:val="both"/>
        <w:rPr>
          <w:rFonts w:ascii="Arial" w:eastAsia="Calibri" w:hAnsi="Arial" w:cs="Arial"/>
          <w:color w:val="000000"/>
          <w:lang w:val="es-MX"/>
        </w:rPr>
      </w:pPr>
    </w:p>
    <w:p w14:paraId="5B53C9D7" w14:textId="77777777" w:rsidR="00016098" w:rsidRPr="00853515" w:rsidRDefault="00016098" w:rsidP="00016098">
      <w:pPr>
        <w:spacing w:line="276" w:lineRule="auto"/>
        <w:jc w:val="center"/>
        <w:rPr>
          <w:rFonts w:ascii="Arial" w:eastAsia="Calibri" w:hAnsi="Arial" w:cs="Arial"/>
          <w:color w:val="000000"/>
          <w:lang w:val="es-MX"/>
        </w:rPr>
      </w:pPr>
      <w:r w:rsidRPr="00853515">
        <w:rPr>
          <w:rFonts w:ascii="Arial" w:eastAsia="Calibri" w:hAnsi="Arial" w:cs="Arial"/>
          <w:noProof/>
          <w:color w:val="000000"/>
          <w:lang w:eastAsia="es-CO"/>
        </w:rPr>
        <w:drawing>
          <wp:inline distT="0" distB="0" distL="0" distR="0" wp14:anchorId="5DE5B308" wp14:editId="50122FB1">
            <wp:extent cx="4967416" cy="460709"/>
            <wp:effectExtent l="0" t="0" r="5080" b="0"/>
            <wp:docPr id="1321143819" name="Picture 1321143819"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8764" t="35856" r="28678" b="57127"/>
                    <a:stretch/>
                  </pic:blipFill>
                  <pic:spPr bwMode="auto">
                    <a:xfrm>
                      <a:off x="0" y="0"/>
                      <a:ext cx="5180439" cy="480466"/>
                    </a:xfrm>
                    <a:prstGeom prst="rect">
                      <a:avLst/>
                    </a:prstGeom>
                    <a:ln>
                      <a:noFill/>
                    </a:ln>
                    <a:extLst>
                      <a:ext uri="{53640926-AAD7-44D8-BBD7-CCE9431645EC}">
                        <a14:shadowObscured xmlns:a14="http://schemas.microsoft.com/office/drawing/2010/main"/>
                      </a:ext>
                    </a:extLst>
                  </pic:spPr>
                </pic:pic>
              </a:graphicData>
            </a:graphic>
          </wp:inline>
        </w:drawing>
      </w:r>
    </w:p>
    <w:p w14:paraId="387330CC" w14:textId="77777777" w:rsidR="00016098" w:rsidRPr="00853515" w:rsidRDefault="00016098" w:rsidP="00016098">
      <w:pPr>
        <w:spacing w:line="276" w:lineRule="auto"/>
        <w:jc w:val="both"/>
        <w:rPr>
          <w:rFonts w:ascii="Arial" w:eastAsia="Calibri" w:hAnsi="Arial" w:cs="Arial"/>
          <w:color w:val="000000"/>
          <w:lang w:val="es-MX"/>
        </w:rPr>
      </w:pPr>
    </w:p>
    <w:p w14:paraId="3623C6F8" w14:textId="77777777" w:rsidR="00016098" w:rsidRPr="00853515" w:rsidRDefault="00016098" w:rsidP="00016098">
      <w:pPr>
        <w:spacing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Por último, el </w:t>
      </w:r>
      <w:r w:rsidRPr="00853515">
        <w:rPr>
          <w:rFonts w:ascii="Arial" w:eastAsia="Calibri" w:hAnsi="Arial" w:cs="Arial"/>
          <w:i/>
          <w:iCs/>
          <w:color w:val="000000"/>
          <w:lang w:val="es-MX"/>
        </w:rPr>
        <w:t>valor mínimo aceptable</w:t>
      </w:r>
      <w:r w:rsidRPr="00853515">
        <w:rPr>
          <w:rFonts w:ascii="Arial" w:eastAsia="Calibri" w:hAnsi="Arial" w:cs="Arial"/>
          <w:color w:val="000000"/>
          <w:lang w:val="es-MX"/>
        </w:rPr>
        <w:t xml:space="preserve">, será igual a la </w:t>
      </w:r>
      <w:r w:rsidRPr="00853515">
        <w:rPr>
          <w:rFonts w:ascii="Arial" w:eastAsia="Calibri" w:hAnsi="Arial" w:cs="Arial"/>
          <w:i/>
          <w:iCs/>
          <w:color w:val="000000"/>
          <w:lang w:val="es-MX"/>
        </w:rPr>
        <w:t>mediana</w:t>
      </w:r>
      <w:r w:rsidRPr="00853515">
        <w:rPr>
          <w:rFonts w:ascii="Arial" w:eastAsia="Calibri" w:hAnsi="Arial" w:cs="Arial"/>
          <w:color w:val="000000"/>
          <w:lang w:val="es-MX"/>
        </w:rPr>
        <w:t xml:space="preserve"> menos la </w:t>
      </w:r>
      <w:r w:rsidRPr="00853515">
        <w:rPr>
          <w:rFonts w:ascii="Arial" w:eastAsia="Calibri" w:hAnsi="Arial" w:cs="Arial"/>
          <w:i/>
          <w:iCs/>
          <w:color w:val="000000"/>
          <w:lang w:val="es-MX"/>
        </w:rPr>
        <w:t>desviación estándar</w:t>
      </w:r>
      <w:r w:rsidRPr="00853515">
        <w:rPr>
          <w:rFonts w:ascii="Arial" w:eastAsia="Calibri" w:hAnsi="Arial" w:cs="Arial"/>
          <w:color w:val="000000"/>
          <w:lang w:val="es-MX"/>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w:t>
      </w:r>
      <w:r w:rsidRPr="00853515">
        <w:rPr>
          <w:rFonts w:ascii="Arial" w:eastAsia="Calibri" w:hAnsi="Arial" w:cs="Arial"/>
          <w:color w:val="000000"/>
          <w:shd w:val="clear" w:color="auto" w:fill="FFFFFF"/>
          <w:lang w:val="es-MX"/>
        </w:rPr>
        <w:t>Esto es así porque l</w:t>
      </w:r>
      <w:r w:rsidRPr="00853515">
        <w:rPr>
          <w:rFonts w:ascii="Arial" w:eastAsia="Calibri" w:hAnsi="Arial" w:cs="Arial"/>
          <w:color w:val="000000"/>
          <w:shd w:val="clear" w:color="auto" w:fill="FFFFFF"/>
          <w:lang w:val="es-ES"/>
        </w:rPr>
        <w:t>as entidades pueden o no acoger la metodología explicada, toda vez que la Guía no es de obligatorio cumplimiento para las entidades, pues sólo constituye una orientación o lineamiento para sus procesos de contratación</w:t>
      </w:r>
      <w:r w:rsidRPr="00853515">
        <w:rPr>
          <w:rFonts w:ascii="Arial" w:eastAsia="Calibri" w:hAnsi="Arial" w:cs="Arial"/>
          <w:color w:val="000000"/>
          <w:lang w:val="es-ES"/>
        </w:rPr>
        <w:t>.</w:t>
      </w:r>
    </w:p>
    <w:p w14:paraId="1594EF2A" w14:textId="77777777" w:rsidR="00016098" w:rsidRPr="00853515" w:rsidRDefault="00016098" w:rsidP="00016098">
      <w:pPr>
        <w:spacing w:before="120" w:line="276" w:lineRule="auto"/>
        <w:ind w:firstLine="708"/>
        <w:jc w:val="both"/>
        <w:rPr>
          <w:rFonts w:ascii="Arial" w:eastAsia="Calibri" w:hAnsi="Arial" w:cs="Arial"/>
          <w:color w:val="000000"/>
          <w:lang w:val="es-ES"/>
        </w:rPr>
      </w:pPr>
      <w:r w:rsidRPr="00853515">
        <w:rPr>
          <w:rFonts w:ascii="Arial" w:eastAsia="Calibri" w:hAnsi="Arial" w:cs="Arial"/>
          <w:color w:val="000000"/>
          <w:lang w:val="es-ES"/>
        </w:rPr>
        <w:t xml:space="preserve">La Guía también contempla los casos en los que el contratista se selecciona a través de </w:t>
      </w:r>
      <w:r w:rsidRPr="00853515">
        <w:rPr>
          <w:rFonts w:ascii="Arial" w:eastAsia="Calibri" w:hAnsi="Arial" w:cs="Arial"/>
          <w:i/>
          <w:iCs/>
          <w:color w:val="000000"/>
          <w:lang w:val="es-ES"/>
        </w:rPr>
        <w:t>subasta inversa</w:t>
      </w:r>
      <w:r w:rsidRPr="00853515">
        <w:rPr>
          <w:rFonts w:ascii="Arial" w:eastAsia="Calibri" w:hAnsi="Arial" w:cs="Arial"/>
          <w:color w:val="000000"/>
          <w:lang w:val="es-ES"/>
        </w:rPr>
        <w:t xml:space="preserve">, en los cuales el criterio de evaluación es el precio. En este evento, la Agencia recomienda tener especial cuidado, ya que es común que ofertas competitivas puedan parecer artificialmente bajas en el desarrollo de la subasta inversa. </w:t>
      </w:r>
    </w:p>
    <w:p w14:paraId="0DA7D449" w14:textId="77777777" w:rsidR="00016098" w:rsidRPr="00853515" w:rsidRDefault="00016098" w:rsidP="00016098">
      <w:pPr>
        <w:spacing w:before="120" w:line="276" w:lineRule="auto"/>
        <w:ind w:firstLine="708"/>
        <w:jc w:val="both"/>
        <w:rPr>
          <w:rFonts w:ascii="Arial" w:eastAsia="Calibri" w:hAnsi="Arial" w:cs="Arial"/>
          <w:color w:val="000000"/>
          <w:lang w:val="es-ES"/>
        </w:rPr>
      </w:pPr>
      <w:r w:rsidRPr="00853515">
        <w:rPr>
          <w:rFonts w:ascii="Arial" w:eastAsia="Calibri" w:hAnsi="Arial" w:cs="Arial"/>
          <w:color w:val="000000"/>
          <w:lang w:val="es-ES"/>
        </w:rPr>
        <w:lastRenderedPageBreak/>
        <w:t xml:space="preserve">En todo caso, la Guía sugiere llevar a cabo las siguientes actuaciones: i) comparar el valor de cada oferta con el costo estimado de la provisión del bien o servicio, de acuerdo con el estudio del sector que elaboró la entidad. De todos modos, la verificación de las ofertas artificialmente bajas se puede sustentar en información adicional, como, por ejemplo, los precios de fabricantes y otros factores económicos relevantes. ii) Solicitar explicaciones a los proponentes cuyas ofertas sean menores en un 20% o más en relación con el precio estimado por la Entidad Estatal. Para tales fines, se sugiere acudir al método de </w:t>
      </w:r>
      <w:r w:rsidRPr="00853515">
        <w:rPr>
          <w:rFonts w:ascii="Arial" w:eastAsia="Calibri" w:hAnsi="Arial" w:cs="Arial"/>
          <w:i/>
          <w:iCs/>
          <w:color w:val="000000"/>
          <w:lang w:val="es-ES"/>
        </w:rPr>
        <w:t>comparación absoluta</w:t>
      </w:r>
      <w:r w:rsidRPr="00853515">
        <w:rPr>
          <w:rFonts w:ascii="Arial" w:eastAsia="Calibri" w:hAnsi="Arial" w:cs="Arial"/>
          <w:color w:val="000000"/>
          <w:lang w:val="es-ES"/>
        </w:rPr>
        <w:t xml:space="preserve">, previamente explicado. Por último, iii) analizar la información remitida por el proponente requerido y, con fundamento en esta, considerar el rechazo de las ofertas por la configuración de alguno de los eventos señalados en la Sección VII de la mencionada Guía. </w:t>
      </w:r>
      <w:r w:rsidRPr="00853515">
        <w:rPr>
          <w:rFonts w:ascii="Arial" w:eastAsia="Calibri" w:hAnsi="Arial"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por una unidad de medida diferente a la solicitada por la Entidad Estatal; u ofreció condiciones técnicas o de ejecución del contrato que no se ajustan a las especificaciones requeridas por la Entidad.</w:t>
      </w:r>
      <w:r w:rsidRPr="00853515">
        <w:rPr>
          <w:rFonts w:ascii="Arial" w:eastAsia="Calibri" w:hAnsi="Arial" w:cs="Arial"/>
          <w:color w:val="000000"/>
          <w:shd w:val="clear" w:color="auto" w:fill="FFFFFF"/>
          <w:lang w:val="es-MX"/>
        </w:rPr>
        <w:t> </w:t>
      </w:r>
      <w:r w:rsidRPr="00853515">
        <w:rPr>
          <w:rFonts w:ascii="Arial" w:eastAsia="Calibri" w:hAnsi="Arial" w:cs="Arial"/>
          <w:color w:val="000000"/>
          <w:lang w:val="es-ES"/>
        </w:rPr>
        <w:t xml:space="preserve"> </w:t>
      </w:r>
    </w:p>
    <w:p w14:paraId="7A87A692" w14:textId="77777777" w:rsidR="00016098" w:rsidRPr="00853515" w:rsidRDefault="00016098" w:rsidP="00016098">
      <w:pPr>
        <w:spacing w:before="120" w:line="276" w:lineRule="auto"/>
        <w:ind w:firstLine="708"/>
        <w:jc w:val="both"/>
        <w:rPr>
          <w:rFonts w:ascii="Arial" w:eastAsia="Calibri" w:hAnsi="Arial" w:cs="Arial"/>
          <w:color w:val="000000"/>
          <w:lang w:val="es-MX"/>
        </w:rPr>
      </w:pPr>
      <w:r>
        <w:rPr>
          <w:rFonts w:ascii="Arial" w:eastAsia="Calibri" w:hAnsi="Arial" w:cs="Arial"/>
          <w:color w:val="000000"/>
          <w:lang w:val="es-MX"/>
        </w:rPr>
        <w:t>Una</w:t>
      </w:r>
      <w:r w:rsidRPr="00853515">
        <w:rPr>
          <w:rFonts w:ascii="Arial" w:eastAsia="Calibri" w:hAnsi="Arial" w:cs="Arial"/>
          <w:color w:val="000000"/>
          <w:lang w:val="es-MX"/>
        </w:rPr>
        <w:t xml:space="preserve"> vez que la entidad haya surtido su proceso de determinación de una propuesta como artificialmente baja y considerando que la oferta se encuentra inmersa en esta circunstancia, es necesario requerir al oferente para que explique las razones que sustentan el valor ofrecido. Posteriormente, el comité evaluador analizará las explicaciones y decidirá si rechaza la oferta o continúa con el análisis de la misma en el proceso de evaluación de ofertas. </w:t>
      </w:r>
    </w:p>
    <w:p w14:paraId="410E15C4" w14:textId="77777777" w:rsidR="00016098" w:rsidRPr="00853515" w:rsidRDefault="00016098" w:rsidP="00016098">
      <w:pPr>
        <w:spacing w:before="120" w:line="276" w:lineRule="auto"/>
        <w:ind w:firstLine="709"/>
        <w:jc w:val="both"/>
        <w:rPr>
          <w:rFonts w:ascii="Arial" w:eastAsia="Calibri" w:hAnsi="Arial" w:cs="Arial"/>
          <w:color w:val="000000"/>
          <w:lang w:val="es-MX"/>
        </w:rPr>
      </w:pPr>
      <w:r>
        <w:rPr>
          <w:rFonts w:ascii="Arial" w:eastAsia="Calibri" w:hAnsi="Arial" w:cs="Arial"/>
          <w:color w:val="000000"/>
          <w:lang w:val="es-MX"/>
        </w:rPr>
        <w:t xml:space="preserve">Ahora bien, ciertamente, no existen normas legales o reglamentarias que </w:t>
      </w:r>
      <w:r w:rsidRPr="00853515">
        <w:rPr>
          <w:rFonts w:ascii="Arial" w:eastAsia="Calibri" w:hAnsi="Arial" w:cs="Arial"/>
          <w:color w:val="000000"/>
          <w:lang w:val="es-MX"/>
        </w:rPr>
        <w:t>determin</w:t>
      </w:r>
      <w:r>
        <w:rPr>
          <w:rFonts w:ascii="Arial" w:eastAsia="Calibri" w:hAnsi="Arial" w:cs="Arial"/>
          <w:color w:val="000000"/>
          <w:lang w:val="es-MX"/>
        </w:rPr>
        <w:t>e</w:t>
      </w:r>
      <w:r w:rsidRPr="00853515">
        <w:rPr>
          <w:rFonts w:ascii="Arial" w:eastAsia="Calibri" w:hAnsi="Arial" w:cs="Arial"/>
          <w:color w:val="000000"/>
          <w:lang w:val="es-MX"/>
        </w:rPr>
        <w:t xml:space="preserve">n la forma </w:t>
      </w:r>
      <w:r>
        <w:rPr>
          <w:rFonts w:ascii="Arial" w:eastAsia="Calibri" w:hAnsi="Arial" w:cs="Arial"/>
          <w:color w:val="000000"/>
          <w:lang w:val="es-MX"/>
        </w:rPr>
        <w:t xml:space="preserve">y </w:t>
      </w:r>
      <w:r w:rsidRPr="00853515">
        <w:rPr>
          <w:rFonts w:ascii="Arial" w:eastAsia="Calibri" w:hAnsi="Arial" w:cs="Arial"/>
          <w:color w:val="000000"/>
          <w:lang w:val="es-MX"/>
        </w:rPr>
        <w:t>el momento para requerir a los proponentes para que justifiquen el precio ofertado. Por tanto, la determinación de tales asuntos es facultativa para cada entidad pública, para lo cual debe tener presentes las particularidades de cada modalidad de selección de contratistas, partiendo de la base de que la entidad solo podrá pedir explicaciones al proponente cuando conozca su oferta económica.</w:t>
      </w:r>
    </w:p>
    <w:p w14:paraId="5465DB3D" w14:textId="77777777" w:rsidR="00016098" w:rsidRPr="00853515"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En el evento en que el proponente no allegue información una vez se haya requerido, se tratará de una omisión que el comité evaluador deberá analizar. De </w:t>
      </w:r>
      <w:r w:rsidRPr="00853515">
        <w:rPr>
          <w:rFonts w:ascii="Arial" w:eastAsia="Calibri" w:hAnsi="Arial" w:cs="Arial"/>
          <w:color w:val="000000"/>
          <w:lang w:val="es-MX"/>
        </w:rPr>
        <w:lastRenderedPageBreak/>
        <w:t xml:space="preserve">ser el caso, podrá rechazar la oferta si la duda que tiene es de tal magnitud que no tomar la decisión podría eventualmente comprometer la legalidad del proceso.   </w:t>
      </w:r>
    </w:p>
    <w:p w14:paraId="6298A799" w14:textId="77777777" w:rsidR="00016098" w:rsidRPr="00853515"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El requerimiento debe comunicarse al proponente por el medio que la entidad considere más eficaz e idóneo, de acuerdo con el caso y las circunstancias particulares de la información objeto de requerimiento. Puede acudir a mensajes electrónicos y otros de similar informalidad. En relación con este aspecto, en el concepto del 7 de noviembre de 2019 –radicado No. 2201913000008288–, esta Agencia avaló en abstracto la idoneidad de una llamada telefónica para comunicar el requerimiento al oferente. La entidad estatal, entonces, no tiene la obligación de notificar dicho requerimiento al proponente, pues el mismo es un acto de trámite y no uno definitivo</w:t>
      </w:r>
      <w:r w:rsidRPr="00853515">
        <w:rPr>
          <w:rFonts w:ascii="Arial" w:eastAsia="Calibri" w:hAnsi="Arial" w:cs="Arial"/>
          <w:color w:val="000000"/>
          <w:vertAlign w:val="superscript"/>
          <w:lang w:val="es-MX"/>
        </w:rPr>
        <w:footnoteReference w:id="14"/>
      </w:r>
      <w:r w:rsidRPr="00853515">
        <w:rPr>
          <w:rFonts w:ascii="Arial" w:eastAsia="Calibri" w:hAnsi="Arial" w:cs="Arial"/>
          <w:color w:val="000000"/>
          <w:lang w:val="es-MX"/>
        </w:rPr>
        <w:t>.</w:t>
      </w:r>
    </w:p>
    <w:p w14:paraId="15627CC4" w14:textId="77777777" w:rsidR="00016098" w:rsidRPr="00853515"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En cuanto al término que se debe otorgar a los proponentes para que expliquen el precio ofertado, es preciso indicar que es un asunto que también queda a la discrecionalidad de la entidad. Sin embargo, la discrecionalidad debe ejercerse de manera sensata, con buen criterio y de forma prudente. Así lo explicó la Sección Quinta del Consejo de Estado en la sentencia del 10 de junio de 1992, en la que resaltó que </w:t>
      </w:r>
      <w:r>
        <w:rPr>
          <w:rFonts w:ascii="Arial" w:eastAsia="Calibri" w:hAnsi="Arial" w:cs="Arial"/>
          <w:color w:val="000000"/>
          <w:lang w:val="es-MX"/>
        </w:rPr>
        <w:t>“</w:t>
      </w:r>
      <w:r w:rsidRPr="00853515">
        <w:rPr>
          <w:rFonts w:ascii="Arial" w:eastAsia="Calibri" w:hAnsi="Arial" w:cs="Arial"/>
          <w:color w:val="000000"/>
          <w:lang w:val="es-MX"/>
        </w:rPr>
        <w:t>los (actos)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w:t>
      </w:r>
      <w:r>
        <w:rPr>
          <w:rFonts w:ascii="Arial" w:eastAsia="Calibri" w:hAnsi="Arial" w:cs="Arial"/>
          <w:color w:val="000000"/>
          <w:lang w:val="es-MX"/>
        </w:rPr>
        <w:t>”</w:t>
      </w:r>
      <w:r w:rsidRPr="00853515">
        <w:rPr>
          <w:rFonts w:ascii="Arial" w:eastAsia="Calibri" w:hAnsi="Arial" w:cs="Arial"/>
          <w:color w:val="000000"/>
          <w:vertAlign w:val="superscript"/>
          <w:lang w:val="es-MX"/>
        </w:rPr>
        <w:footnoteReference w:id="15"/>
      </w:r>
      <w:r w:rsidRPr="00853515">
        <w:rPr>
          <w:rFonts w:ascii="Arial" w:eastAsia="Calibri" w:hAnsi="Arial" w:cs="Arial"/>
          <w:color w:val="000000"/>
          <w:lang w:val="es-MX"/>
        </w:rPr>
        <w:t xml:space="preserve">. </w:t>
      </w:r>
    </w:p>
    <w:p w14:paraId="7E59190E" w14:textId="77777777" w:rsidR="00016098" w:rsidRPr="00853515"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La doctrina foránea se ha pronunciado en similar sentido, al argumentar que la discrecionalidad administrativa tiene dos limitantes: una, el respeto a la finalidad jurídica que justifica, que no es nada distinto a satisfacer el interés general; y otra, que el uso de la discrecionalidad sea necesario para cumplir el interés jurídico que </w:t>
      </w:r>
      <w:r w:rsidRPr="00853515">
        <w:rPr>
          <w:rFonts w:ascii="Arial" w:eastAsia="Calibri" w:hAnsi="Arial" w:cs="Arial"/>
          <w:color w:val="000000"/>
          <w:lang w:val="es-MX"/>
        </w:rPr>
        <w:lastRenderedPageBreak/>
        <w:t>se tutela. En estos términos, la entidad deberá adoptar una medida que esté acorde con el interés general</w:t>
      </w:r>
      <w:r w:rsidRPr="00853515">
        <w:rPr>
          <w:rFonts w:ascii="Arial" w:eastAsia="Calibri" w:hAnsi="Arial" w:cs="Arial"/>
          <w:color w:val="000000"/>
          <w:vertAlign w:val="superscript"/>
          <w:lang w:val="es-MX"/>
        </w:rPr>
        <w:footnoteReference w:id="16"/>
      </w:r>
      <w:r w:rsidRPr="00853515">
        <w:rPr>
          <w:rFonts w:ascii="Arial" w:eastAsia="Calibri" w:hAnsi="Arial" w:cs="Arial"/>
          <w:color w:val="000000"/>
          <w:lang w:val="es-MX"/>
        </w:rPr>
        <w:t>.</w:t>
      </w:r>
    </w:p>
    <w:p w14:paraId="3B233495" w14:textId="77777777" w:rsidR="00016098" w:rsidRDefault="00016098" w:rsidP="00016098">
      <w:pPr>
        <w:spacing w:before="120" w:line="276" w:lineRule="auto"/>
        <w:ind w:firstLine="708"/>
        <w:jc w:val="both"/>
        <w:rPr>
          <w:rFonts w:ascii="Arial" w:eastAsia="Calibri" w:hAnsi="Arial" w:cs="Arial"/>
          <w:color w:val="000000"/>
          <w:lang w:val="es-MX"/>
        </w:rPr>
      </w:pPr>
      <w:r w:rsidRPr="00853515">
        <w:rPr>
          <w:rFonts w:ascii="Arial" w:eastAsia="Calibri" w:hAnsi="Arial" w:cs="Arial"/>
          <w:color w:val="000000"/>
          <w:lang w:val="es-MX"/>
        </w:rPr>
        <w:t xml:space="preserve">La entidad tiene entonces la facultad de definir el término mínimo que otorgará a los proponentes para aclarar el precio artificialmente bajo. No obstante, dicho término debe estar acorde, por un lado, con el interés general y, por el otro, con los principios de proporcionalidad y razonabilidad, así como también con los principios del Estatuto General de Contratación de la Administración Pública. </w:t>
      </w:r>
    </w:p>
    <w:p w14:paraId="50A513C4" w14:textId="77777777" w:rsidR="00016098" w:rsidRDefault="00016098" w:rsidP="00016098">
      <w:pPr>
        <w:spacing w:before="120" w:line="276" w:lineRule="auto"/>
        <w:ind w:firstLine="708"/>
        <w:jc w:val="both"/>
        <w:rPr>
          <w:rFonts w:ascii="Arial" w:eastAsia="Calibri" w:hAnsi="Arial" w:cs="Arial"/>
          <w:color w:val="000000"/>
          <w:lang w:val="es-ES_tradnl" w:eastAsia="en-GB"/>
        </w:rPr>
      </w:pPr>
      <w:r w:rsidRPr="009A6999">
        <w:rPr>
          <w:rFonts w:ascii="Arial" w:eastAsia="Calibri" w:hAnsi="Arial" w:cs="Arial"/>
          <w:color w:val="000000"/>
          <w:lang w:val="es-MX"/>
        </w:rPr>
        <w:t>Por otro lado,</w:t>
      </w:r>
      <w:r>
        <w:rPr>
          <w:rFonts w:ascii="Arial" w:eastAsia="Calibri" w:hAnsi="Arial" w:cs="Arial"/>
          <w:color w:val="000000"/>
          <w:lang w:val="es-MX"/>
        </w:rPr>
        <w:t xml:space="preserve"> respecto a la solicitud de aclaración prevista en el artículo </w:t>
      </w:r>
      <w:r w:rsidRPr="0012495C">
        <w:rPr>
          <w:rFonts w:ascii="Arial" w:eastAsia="Calibri" w:hAnsi="Arial" w:cs="Arial"/>
          <w:color w:val="000000"/>
          <w:lang w:val="es-MX"/>
        </w:rPr>
        <w:t>2.2.1.1.2.2.4</w:t>
      </w:r>
      <w:r>
        <w:rPr>
          <w:rFonts w:ascii="Arial" w:eastAsia="Calibri" w:hAnsi="Arial" w:cs="Arial"/>
          <w:color w:val="000000"/>
          <w:lang w:val="es-MX"/>
        </w:rPr>
        <w:t xml:space="preserve"> del Decreto 1082 de 2015, esta Agencia a recomendado </w:t>
      </w:r>
      <w:r w:rsidRPr="00DD553A">
        <w:rPr>
          <w:rFonts w:ascii="Arial" w:eastAsia="Calibri" w:hAnsi="Arial" w:cs="Arial"/>
          <w:color w:val="000000"/>
          <w:lang w:val="es-ES_tradnl" w:eastAsia="en-GB"/>
        </w:rPr>
        <w:t>–</w:t>
      </w:r>
      <w:r>
        <w:rPr>
          <w:rFonts w:ascii="Arial" w:eastAsia="Calibri" w:hAnsi="Arial" w:cs="Arial"/>
          <w:color w:val="000000"/>
          <w:lang w:val="es-ES_tradnl" w:eastAsia="en-GB"/>
        </w:rPr>
        <w:t xml:space="preserve">a través de la </w:t>
      </w:r>
      <w:r w:rsidRPr="00853515">
        <w:rPr>
          <w:rFonts w:ascii="Arial" w:eastAsia="Calibri" w:hAnsi="Arial" w:cs="Arial"/>
          <w:color w:val="000000"/>
          <w:lang w:val="es-ES"/>
        </w:rPr>
        <w:t>Guía para el manejo de ofertas artificialmente bajas en Procesos de Contratación</w:t>
      </w:r>
      <w:r w:rsidRPr="00DD553A">
        <w:rPr>
          <w:rFonts w:ascii="Arial" w:eastAsia="Calibri" w:hAnsi="Arial" w:cs="Arial"/>
          <w:color w:val="000000"/>
          <w:lang w:val="es-ES_tradnl" w:eastAsia="en-GB"/>
        </w:rPr>
        <w:t>–</w:t>
      </w:r>
      <w:r>
        <w:rPr>
          <w:rFonts w:ascii="Arial" w:eastAsia="Calibri" w:hAnsi="Arial" w:cs="Arial"/>
          <w:color w:val="000000"/>
          <w:lang w:val="es-ES_tradnl" w:eastAsia="en-GB"/>
        </w:rPr>
        <w:t xml:space="preserve"> </w:t>
      </w:r>
      <w:r w:rsidRPr="00D03DC8">
        <w:rPr>
          <w:rFonts w:ascii="Arial" w:eastAsia="Calibri" w:hAnsi="Arial" w:cs="Arial"/>
          <w:color w:val="000000"/>
          <w:lang w:val="es-ES_tradnl" w:eastAsia="en-GB"/>
        </w:rPr>
        <w:t>incluir en la solicitud de aclaración de la oferta la siguiente</w:t>
      </w:r>
      <w:r>
        <w:rPr>
          <w:rFonts w:ascii="Arial" w:eastAsia="Calibri" w:hAnsi="Arial" w:cs="Arial"/>
          <w:color w:val="000000"/>
          <w:lang w:val="es-ES_tradnl" w:eastAsia="en-GB"/>
        </w:rPr>
        <w:t xml:space="preserve"> </w:t>
      </w:r>
      <w:r w:rsidRPr="00D03DC8">
        <w:rPr>
          <w:rFonts w:ascii="Arial" w:eastAsia="Calibri" w:hAnsi="Arial" w:cs="Arial"/>
          <w:color w:val="000000"/>
          <w:lang w:val="es-ES_tradnl" w:eastAsia="en-GB"/>
        </w:rPr>
        <w:t>desagregación de su precio:</w:t>
      </w:r>
    </w:p>
    <w:p w14:paraId="67F425A9" w14:textId="77777777" w:rsidR="00016098" w:rsidRDefault="00016098" w:rsidP="00016098">
      <w:pPr>
        <w:spacing w:before="120" w:line="276" w:lineRule="auto"/>
        <w:ind w:firstLine="708"/>
        <w:jc w:val="both"/>
        <w:rPr>
          <w:rFonts w:ascii="Arial" w:eastAsia="Calibri" w:hAnsi="Arial" w:cs="Arial"/>
          <w:color w:val="000000"/>
          <w:lang w:val="es-ES_tradnl" w:eastAsia="en-GB"/>
        </w:rPr>
      </w:pPr>
    </w:p>
    <w:p w14:paraId="1C55ADF9" w14:textId="77777777" w:rsidR="00016098" w:rsidRDefault="00016098" w:rsidP="00016098">
      <w:pPr>
        <w:autoSpaceDE w:val="0"/>
        <w:autoSpaceDN w:val="0"/>
        <w:adjustRightInd w:val="0"/>
        <w:jc w:val="center"/>
        <w:rPr>
          <w:rFonts w:ascii="HelveticaNeueLTPro-It" w:hAnsi="HelveticaNeueLTPro-It" w:cs="HelveticaNeueLTPro-It"/>
          <w:i/>
          <w:iCs/>
          <w:color w:val="58595B"/>
          <w:sz w:val="20"/>
          <w:szCs w:val="20"/>
        </w:rPr>
      </w:pPr>
      <w:r>
        <w:rPr>
          <w:rFonts w:ascii="HelveticaNeueLTPro-It" w:hAnsi="HelveticaNeueLTPro-It" w:cs="HelveticaNeueLTPro-It"/>
          <w:i/>
          <w:iCs/>
          <w:color w:val="58595B"/>
          <w:sz w:val="20"/>
          <w:szCs w:val="20"/>
        </w:rPr>
        <w:t>Oferta = Costo del bien, servicio u obra (insumos, equipos, personal) +</w:t>
      </w:r>
    </w:p>
    <w:p w14:paraId="1DFFDA50" w14:textId="77777777" w:rsidR="00016098" w:rsidRDefault="00016098" w:rsidP="00016098">
      <w:pPr>
        <w:spacing w:before="120" w:line="276" w:lineRule="auto"/>
        <w:ind w:firstLine="708"/>
        <w:jc w:val="center"/>
        <w:rPr>
          <w:rFonts w:ascii="Arial" w:eastAsia="Calibri" w:hAnsi="Arial" w:cs="Arial"/>
          <w:color w:val="000000"/>
          <w:lang w:val="es-ES_tradnl" w:eastAsia="en-GB"/>
        </w:rPr>
      </w:pPr>
      <w:r>
        <w:rPr>
          <w:rFonts w:ascii="HelveticaNeueLTPro-It" w:hAnsi="HelveticaNeueLTPro-It" w:cs="HelveticaNeueLTPro-It"/>
          <w:i/>
          <w:iCs/>
          <w:color w:val="58595B"/>
          <w:sz w:val="20"/>
          <w:szCs w:val="20"/>
        </w:rPr>
        <w:t>gastos generales + imprevistos + utilidad</w:t>
      </w:r>
    </w:p>
    <w:p w14:paraId="7B66F305" w14:textId="77777777" w:rsidR="00016098" w:rsidRDefault="00016098" w:rsidP="00016098">
      <w:pPr>
        <w:spacing w:before="120" w:line="276" w:lineRule="auto"/>
        <w:ind w:firstLine="708"/>
        <w:jc w:val="center"/>
        <w:rPr>
          <w:rFonts w:ascii="Arial" w:eastAsia="Calibri" w:hAnsi="Arial" w:cs="Arial"/>
          <w:color w:val="000000"/>
          <w:lang w:val="es-ES_tradnl" w:eastAsia="en-GB"/>
        </w:rPr>
      </w:pPr>
    </w:p>
    <w:p w14:paraId="3785FD5B" w14:textId="77777777" w:rsidR="00016098" w:rsidRPr="00505A31" w:rsidRDefault="00016098" w:rsidP="00016098">
      <w:pPr>
        <w:spacing w:before="120" w:line="276" w:lineRule="auto"/>
        <w:ind w:firstLine="708"/>
        <w:jc w:val="both"/>
        <w:rPr>
          <w:rFonts w:ascii="Arial" w:eastAsia="Calibri" w:hAnsi="Arial" w:cs="Arial"/>
          <w:color w:val="000000"/>
          <w:lang w:val="es-ES"/>
        </w:rPr>
      </w:pPr>
      <w:r>
        <w:rPr>
          <w:rFonts w:ascii="Arial" w:eastAsia="Calibri" w:hAnsi="Arial" w:cs="Arial"/>
          <w:color w:val="000000"/>
          <w:lang w:val="es-ES_tradnl" w:eastAsia="en-GB"/>
        </w:rPr>
        <w:t xml:space="preserve">La guía recomienda a las entidades estatales </w:t>
      </w:r>
      <w:r>
        <w:rPr>
          <w:rFonts w:ascii="Arial" w:eastAsia="Calibri" w:hAnsi="Arial" w:cs="Arial"/>
          <w:color w:val="000000"/>
          <w:sz w:val="21"/>
          <w:szCs w:val="21"/>
          <w:lang w:val="es-ES"/>
        </w:rPr>
        <w:t>“</w:t>
      </w:r>
      <w:r w:rsidRPr="00505A31">
        <w:rPr>
          <w:rFonts w:ascii="Arial" w:eastAsia="Calibri" w:hAnsi="Arial" w:cs="Arial"/>
          <w:color w:val="000000"/>
          <w:sz w:val="21"/>
          <w:szCs w:val="21"/>
          <w:lang w:val="es-ES"/>
        </w:rPr>
        <w:t>indagar por el costo marginal de las unidades ofrecidas por el proponente</w:t>
      </w:r>
      <w:r>
        <w:rPr>
          <w:rFonts w:ascii="Arial" w:eastAsia="Calibri" w:hAnsi="Arial" w:cs="Arial"/>
          <w:color w:val="000000"/>
          <w:sz w:val="21"/>
          <w:szCs w:val="21"/>
          <w:lang w:val="es-ES"/>
        </w:rPr>
        <w:t>”</w:t>
      </w:r>
      <w:r>
        <w:rPr>
          <w:rFonts w:ascii="Arial" w:eastAsia="Calibri" w:hAnsi="Arial" w:cs="Arial"/>
          <w:color w:val="000000"/>
          <w:lang w:val="es-ES"/>
        </w:rPr>
        <w:t xml:space="preserve"> y </w:t>
      </w:r>
      <w:r>
        <w:rPr>
          <w:rFonts w:ascii="Arial" w:eastAsia="Calibri" w:hAnsi="Arial" w:cs="Arial"/>
          <w:color w:val="000000"/>
          <w:sz w:val="21"/>
          <w:szCs w:val="21"/>
          <w:lang w:val="es-ES"/>
        </w:rPr>
        <w:t>“</w:t>
      </w:r>
      <w:r w:rsidRPr="00505A31">
        <w:rPr>
          <w:rFonts w:ascii="Arial" w:eastAsia="Calibri" w:hAnsi="Arial" w:cs="Arial"/>
          <w:color w:val="000000"/>
          <w:sz w:val="21"/>
          <w:szCs w:val="21"/>
          <w:lang w:val="es-ES"/>
        </w:rPr>
        <w:t>[…] analizar la desagregación de precio con base en el Estudio del Sector y la información del mercado disponible</w:t>
      </w:r>
      <w:r>
        <w:rPr>
          <w:rFonts w:ascii="Arial" w:eastAsia="Calibri" w:hAnsi="Arial" w:cs="Arial"/>
          <w:color w:val="000000"/>
          <w:sz w:val="21"/>
          <w:szCs w:val="21"/>
          <w:lang w:val="es-ES"/>
        </w:rPr>
        <w:t>”</w:t>
      </w:r>
      <w:r>
        <w:rPr>
          <w:rFonts w:ascii="Arial" w:eastAsia="Calibri" w:hAnsi="Arial" w:cs="Arial"/>
          <w:color w:val="000000"/>
          <w:lang w:val="es-ES"/>
        </w:rPr>
        <w:t>. La Entidad Estatal, d</w:t>
      </w:r>
      <w:r w:rsidRPr="001832EF">
        <w:rPr>
          <w:rFonts w:ascii="Arial" w:eastAsia="Calibri" w:hAnsi="Arial" w:cs="Arial"/>
          <w:color w:val="000000"/>
          <w:lang w:val="es-ES"/>
        </w:rPr>
        <w:t>e ser necesario</w:t>
      </w:r>
      <w:r>
        <w:rPr>
          <w:rFonts w:ascii="Arial" w:eastAsia="Calibri" w:hAnsi="Arial" w:cs="Arial"/>
          <w:color w:val="000000"/>
          <w:lang w:val="es-ES"/>
        </w:rPr>
        <w:t>,</w:t>
      </w:r>
      <w:r w:rsidRPr="001832EF">
        <w:rPr>
          <w:rFonts w:ascii="Arial" w:eastAsia="Calibri" w:hAnsi="Arial" w:cs="Arial"/>
          <w:color w:val="000000"/>
          <w:lang w:val="es-ES"/>
        </w:rPr>
        <w:t xml:space="preserve"> debe pedir los mismos datos a los otros proponentes para poder contrastarlos</w:t>
      </w:r>
      <w:r>
        <w:rPr>
          <w:rFonts w:ascii="Arial" w:eastAsia="Calibri" w:hAnsi="Arial" w:cs="Arial"/>
          <w:color w:val="000000"/>
          <w:lang w:val="es-ES"/>
        </w:rPr>
        <w:t xml:space="preserve">, de igual forma </w:t>
      </w:r>
      <w:r w:rsidRPr="001832EF">
        <w:rPr>
          <w:rFonts w:ascii="Arial" w:eastAsia="Calibri" w:hAnsi="Arial" w:cs="Arial"/>
          <w:color w:val="000000"/>
          <w:lang w:val="es-ES"/>
        </w:rPr>
        <w:t xml:space="preserve">puede solicitar aclaraciones tantas veces como lo considere necesario y debe dejar tiempo suficiente a los proponentes para responder. Ese tiempo debe ser proporcional a la complejidad del objeto contratado en términos de administración del riesgo y las características de especificidad del objeto. </w:t>
      </w:r>
    </w:p>
    <w:p w14:paraId="2A554D53" w14:textId="77777777" w:rsidR="00016098" w:rsidRDefault="00016098" w:rsidP="00016098">
      <w:pPr>
        <w:spacing w:before="120" w:line="276" w:lineRule="auto"/>
        <w:ind w:firstLine="708"/>
        <w:jc w:val="both"/>
        <w:rPr>
          <w:rFonts w:ascii="Arial" w:eastAsia="Calibri" w:hAnsi="Arial" w:cs="Arial"/>
          <w:color w:val="000000"/>
          <w:lang w:val="es-ES"/>
        </w:rPr>
      </w:pPr>
      <w:r w:rsidRPr="00853515">
        <w:rPr>
          <w:rFonts w:ascii="Arial" w:eastAsia="Calibri" w:hAnsi="Arial" w:cs="Arial"/>
          <w:color w:val="000000"/>
          <w:lang w:val="es-ES"/>
        </w:rPr>
        <w:lastRenderedPageBreak/>
        <w:t xml:space="preserve"> </w:t>
      </w:r>
      <w:r>
        <w:rPr>
          <w:rFonts w:ascii="Arial" w:eastAsia="Calibri" w:hAnsi="Arial" w:cs="Arial"/>
          <w:color w:val="000000"/>
          <w:lang w:val="es-ES"/>
        </w:rPr>
        <w:t>V</w:t>
      </w:r>
      <w:r w:rsidRPr="00853515">
        <w:rPr>
          <w:rFonts w:ascii="Arial" w:eastAsia="Calibri" w:hAnsi="Arial" w:cs="Arial"/>
          <w:color w:val="000000"/>
          <w:lang w:val="es-ES"/>
        </w:rPr>
        <w:t xml:space="preserve">erificada la información remitida por el proponente, la entidad debe definir si rechaza o no la oferta. En la </w:t>
      </w:r>
      <w:r>
        <w:rPr>
          <w:rFonts w:ascii="Arial" w:eastAsia="Calibri" w:hAnsi="Arial" w:cs="Arial"/>
          <w:color w:val="000000"/>
          <w:lang w:val="es-ES"/>
        </w:rPr>
        <w:t>“</w:t>
      </w:r>
      <w:bookmarkStart w:id="12" w:name="_Hlk103099057"/>
      <w:r w:rsidRPr="00853515">
        <w:rPr>
          <w:rFonts w:ascii="Arial" w:eastAsia="Calibri" w:hAnsi="Arial" w:cs="Arial"/>
          <w:color w:val="000000"/>
          <w:lang w:val="es-ES"/>
        </w:rPr>
        <w:t>Guía para el manejo de ofertas artificialmente bajas en Procesos de Contratación</w:t>
      </w:r>
      <w:bookmarkEnd w:id="12"/>
      <w:r>
        <w:rPr>
          <w:rFonts w:ascii="Arial" w:eastAsia="Calibri" w:hAnsi="Arial" w:cs="Arial"/>
          <w:color w:val="000000"/>
          <w:lang w:val="es-ES"/>
        </w:rPr>
        <w:t>”</w:t>
      </w:r>
      <w:r w:rsidRPr="00853515">
        <w:rPr>
          <w:rFonts w:ascii="Arial" w:eastAsia="Calibri" w:hAnsi="Arial" w:cs="Arial"/>
          <w:color w:val="000000"/>
          <w:lang w:val="es-ES"/>
        </w:rPr>
        <w:t xml:space="preserve">, la </w:t>
      </w:r>
      <w:r w:rsidRPr="00853515">
        <w:rPr>
          <w:rFonts w:ascii="Arial" w:hAnsi="Arial" w:cs="Arial"/>
          <w:color w:val="000000"/>
          <w:lang w:val="es-US"/>
        </w:rPr>
        <w:t xml:space="preserve">Agencia Nacional de Contratación Pública </w:t>
      </w:r>
      <w:r w:rsidRPr="00853515">
        <w:rPr>
          <w:rFonts w:ascii="Arial" w:eastAsia="Calibri" w:hAnsi="Arial" w:cs="Arial"/>
          <w:color w:val="000000"/>
          <w:lang w:val="es-ES"/>
        </w:rPr>
        <w:t xml:space="preserve">precisó que se debe rechazar la propuesta en los siguientes eventos: i) </w:t>
      </w:r>
      <w:r>
        <w:rPr>
          <w:rFonts w:ascii="Arial" w:eastAsia="Calibri" w:hAnsi="Arial" w:cs="Arial"/>
          <w:color w:val="000000"/>
          <w:lang w:val="es-ES"/>
        </w:rPr>
        <w:t>“</w:t>
      </w:r>
      <w:r w:rsidRPr="00853515">
        <w:rPr>
          <w:rFonts w:ascii="Arial" w:eastAsia="Calibri" w:hAnsi="Arial" w:cs="Arial"/>
          <w:color w:val="000000"/>
          <w:lang w:val="es-ES"/>
        </w:rPr>
        <w:t>el proponente no presenta por escrito a la entidad estatal la aclaración de la oferta</w:t>
      </w:r>
      <w:r>
        <w:rPr>
          <w:rFonts w:ascii="Arial" w:eastAsia="Calibri" w:hAnsi="Arial" w:cs="Arial"/>
          <w:color w:val="000000"/>
          <w:lang w:val="es-ES"/>
        </w:rPr>
        <w:t>”</w:t>
      </w:r>
      <w:r w:rsidRPr="00853515">
        <w:rPr>
          <w:rFonts w:ascii="Arial" w:eastAsia="Calibri" w:hAnsi="Arial" w:cs="Arial"/>
          <w:color w:val="000000"/>
          <w:lang w:val="es-ES"/>
        </w:rPr>
        <w:t xml:space="preserve">, ii) </w:t>
      </w:r>
      <w:r>
        <w:rPr>
          <w:rFonts w:ascii="Arial" w:eastAsia="Calibri" w:hAnsi="Arial" w:cs="Arial"/>
          <w:color w:val="000000"/>
          <w:lang w:val="es-ES"/>
        </w:rPr>
        <w:t>“</w:t>
      </w:r>
      <w:r w:rsidRPr="00853515">
        <w:rPr>
          <w:rFonts w:ascii="Arial" w:eastAsia="Calibri" w:hAnsi="Arial" w:cs="Arial"/>
          <w:color w:val="000000"/>
          <w:lang w:val="es-ES"/>
        </w:rPr>
        <w:t>el proponente no envía parte o la totalidad de la información solicitada por la entidad estatal</w:t>
      </w:r>
      <w:r>
        <w:rPr>
          <w:rFonts w:ascii="Arial" w:eastAsia="Calibri" w:hAnsi="Arial" w:cs="Arial"/>
          <w:color w:val="000000"/>
          <w:lang w:val="es-ES"/>
        </w:rPr>
        <w:t>”</w:t>
      </w:r>
      <w:r w:rsidRPr="00853515">
        <w:rPr>
          <w:rFonts w:ascii="Arial" w:eastAsia="Calibri" w:hAnsi="Arial" w:cs="Arial"/>
          <w:color w:val="000000"/>
          <w:lang w:val="es-ES"/>
        </w:rPr>
        <w:t xml:space="preserve">, iii) </w:t>
      </w:r>
      <w:r>
        <w:rPr>
          <w:rFonts w:ascii="Arial" w:eastAsia="Calibri" w:hAnsi="Arial" w:cs="Arial"/>
          <w:color w:val="000000"/>
          <w:lang w:val="es-ES"/>
        </w:rPr>
        <w:t>“</w:t>
      </w:r>
      <w:r w:rsidRPr="00853515">
        <w:rPr>
          <w:rFonts w:ascii="Arial" w:eastAsia="Calibri" w:hAnsi="Arial" w:cs="Arial"/>
          <w:color w:val="000000"/>
          <w:lang w:val="es-ES"/>
        </w:rPr>
        <w:t>las aclaraciones del proponente no son satisfactorias para garantizar la sostenibilidad de la oferta durante la ejecución del contrato</w:t>
      </w:r>
      <w:r>
        <w:rPr>
          <w:rFonts w:ascii="Arial" w:eastAsia="Calibri" w:hAnsi="Arial" w:cs="Arial"/>
          <w:color w:val="000000"/>
          <w:lang w:val="es-ES"/>
        </w:rPr>
        <w:t>”</w:t>
      </w:r>
      <w:r w:rsidRPr="00853515">
        <w:rPr>
          <w:rFonts w:ascii="Arial" w:eastAsia="Calibri" w:hAnsi="Arial" w:cs="Arial"/>
          <w:color w:val="000000"/>
          <w:lang w:val="es-ES"/>
        </w:rPr>
        <w:t xml:space="preserve"> y iv) </w:t>
      </w:r>
      <w:r>
        <w:rPr>
          <w:rFonts w:ascii="Arial" w:eastAsia="Calibri" w:hAnsi="Arial" w:cs="Arial"/>
          <w:color w:val="000000"/>
          <w:lang w:val="es-ES"/>
        </w:rPr>
        <w:t>“</w:t>
      </w:r>
      <w:r w:rsidRPr="00853515">
        <w:rPr>
          <w:rFonts w:ascii="Arial" w:eastAsia="Calibri" w:hAnsi="Arial" w:cs="Arial"/>
          <w:color w:val="000000"/>
          <w:lang w:val="es-ES"/>
        </w:rPr>
        <w:t>las aclaraciones del proponente no desvirtúan la teoría de que está utilizando su oferta como parte de una estrategia colusoria o […] anticompetitiva durante el proceso de selección</w:t>
      </w:r>
      <w:r>
        <w:rPr>
          <w:rFonts w:ascii="Arial" w:eastAsia="Calibri" w:hAnsi="Arial" w:cs="Arial"/>
          <w:color w:val="000000"/>
          <w:lang w:val="es-ES"/>
        </w:rPr>
        <w:t>”</w:t>
      </w:r>
      <w:r w:rsidRPr="00853515">
        <w:rPr>
          <w:rFonts w:ascii="Arial" w:eastAsia="Calibri" w:hAnsi="Arial" w:cs="Arial"/>
          <w:color w:val="000000"/>
          <w:lang w:val="es-ES"/>
        </w:rPr>
        <w:t xml:space="preserve">. Lo anterior, sin perjuicio de los eventos señalados en la Sección VII de la </w:t>
      </w:r>
      <w:r>
        <w:rPr>
          <w:rFonts w:ascii="Arial" w:eastAsia="Calibri" w:hAnsi="Arial" w:cs="Arial"/>
          <w:color w:val="000000"/>
          <w:lang w:val="es-ES"/>
        </w:rPr>
        <w:t>“</w:t>
      </w:r>
      <w:r w:rsidRPr="00853515">
        <w:rPr>
          <w:rFonts w:ascii="Arial" w:eastAsia="Calibri" w:hAnsi="Arial" w:cs="Arial"/>
          <w:color w:val="000000"/>
          <w:lang w:val="es-ES"/>
        </w:rPr>
        <w:t>Guía para el manejo de ofertas artificialmente bajas en Procesos de Contratación de Colombia Compra Eficiente</w:t>
      </w:r>
      <w:r>
        <w:rPr>
          <w:rFonts w:ascii="Arial" w:eastAsia="Calibri" w:hAnsi="Arial" w:cs="Arial"/>
          <w:color w:val="000000"/>
          <w:lang w:val="es-ES"/>
        </w:rPr>
        <w:t>”</w:t>
      </w:r>
      <w:r w:rsidRPr="00853515">
        <w:rPr>
          <w:rFonts w:ascii="Arial" w:eastAsia="Calibri" w:hAnsi="Arial" w:cs="Arial"/>
          <w:color w:val="000000"/>
          <w:lang w:val="es-ES"/>
        </w:rPr>
        <w:t xml:space="preserve">, los cuales, debe advertirse, son criterios orientadores para las entidades públicas y no </w:t>
      </w:r>
      <w:r>
        <w:rPr>
          <w:rFonts w:ascii="Arial" w:eastAsia="Calibri" w:hAnsi="Arial" w:cs="Arial"/>
          <w:color w:val="000000"/>
          <w:lang w:val="es-ES"/>
        </w:rPr>
        <w:t>“</w:t>
      </w:r>
      <w:r w:rsidRPr="00853515">
        <w:rPr>
          <w:rFonts w:ascii="Arial" w:eastAsia="Calibri" w:hAnsi="Arial" w:cs="Arial"/>
          <w:color w:val="000000"/>
          <w:lang w:val="es-ES"/>
        </w:rPr>
        <w:t>causales de rechazo</w:t>
      </w:r>
      <w:r>
        <w:rPr>
          <w:rFonts w:ascii="Arial" w:eastAsia="Calibri" w:hAnsi="Arial" w:cs="Arial"/>
          <w:color w:val="000000"/>
          <w:lang w:val="es-ES"/>
        </w:rPr>
        <w:t>”</w:t>
      </w:r>
      <w:r w:rsidRPr="00853515">
        <w:rPr>
          <w:rFonts w:ascii="Arial" w:eastAsia="Calibri" w:hAnsi="Arial" w:cs="Arial"/>
          <w:color w:val="000000"/>
          <w:lang w:val="es-ES"/>
        </w:rPr>
        <w:t xml:space="preserve"> en estricto sentido.</w:t>
      </w:r>
    </w:p>
    <w:p w14:paraId="258424A6" w14:textId="77777777" w:rsidR="00016098" w:rsidRDefault="00016098" w:rsidP="00016098">
      <w:pPr>
        <w:spacing w:before="120" w:line="276" w:lineRule="auto"/>
        <w:ind w:firstLine="708"/>
        <w:jc w:val="both"/>
        <w:rPr>
          <w:rFonts w:ascii="Arial" w:eastAsia="Calibri" w:hAnsi="Arial" w:cs="Arial"/>
          <w:color w:val="000000"/>
          <w:lang w:val="es-ES_tradnl" w:eastAsia="en-GB"/>
        </w:rPr>
      </w:pPr>
      <w:r>
        <w:rPr>
          <w:rFonts w:ascii="Arial" w:eastAsia="Calibri" w:hAnsi="Arial" w:cs="Arial"/>
          <w:color w:val="000000"/>
          <w:lang w:val="es-ES_tradnl" w:eastAsia="en-GB"/>
        </w:rPr>
        <w:t xml:space="preserve">En lo relativo a los valores de la oferta relacionados con la contratación de personal, la guía no establece una regulación en concreto, ni una metodología específicamente dirigida a verificar que los componentes del precio ofrecido con relación al personal estén ajustados a la realidad del mercado. Sin embargo, en la formula arriba transcrita si se considera al personal como uno de los costos en los que se incurre para el suministro de un bien, la realización de una obra o la prestación de un servicio, razón por la que se recomienda requerir a los proponentes, en las solicitudes de aclaración, la desagregación de los costos de personal, al igual al de los insumos u equipos requeridos. </w:t>
      </w:r>
    </w:p>
    <w:p w14:paraId="597EB052" w14:textId="77777777" w:rsidR="00016098" w:rsidRDefault="00016098" w:rsidP="00016098">
      <w:pPr>
        <w:spacing w:before="120" w:line="276" w:lineRule="auto"/>
        <w:ind w:firstLine="708"/>
        <w:jc w:val="both"/>
        <w:rPr>
          <w:rFonts w:ascii="Arial" w:eastAsia="Calibri" w:hAnsi="Arial" w:cs="Arial"/>
          <w:color w:val="000000"/>
          <w:lang w:val="es-ES_tradnl" w:eastAsia="en-GB"/>
        </w:rPr>
      </w:pPr>
      <w:r>
        <w:rPr>
          <w:rFonts w:ascii="Arial" w:eastAsia="Calibri" w:hAnsi="Arial" w:cs="Arial"/>
          <w:color w:val="000000"/>
          <w:lang w:val="es-ES_tradnl" w:eastAsia="en-GB"/>
        </w:rPr>
        <w:t xml:space="preserve">La guía tampoco indica un método en particular para solicitar o analizar la desagregación de los costos asociados al personal, en ese sentido, dentro de lo contemplado en la guía no se hace referencia a los valores del salario mínimo legal mensual vigente–SMMLV–, o de la carga prestacional correspondiente, como criterios para verificar precios artificialmente bajos en materia laboral. Sin embargo, claramente, el SMMLV y las prestaciones sociales que corresponde pagar a los empleadores son cargas económicas que tienen origen normativo en atención al cual tienen una repercusión en el mercado, y condicionan los costos mínimos en los que se incurre para la contratación de la fuerza laboral requerida para desarrollo de un objeto contractual. </w:t>
      </w:r>
    </w:p>
    <w:p w14:paraId="6C3F2695" w14:textId="77777777" w:rsidR="00016098" w:rsidRDefault="00016098" w:rsidP="00016098">
      <w:pPr>
        <w:spacing w:before="120" w:after="120" w:line="276" w:lineRule="auto"/>
        <w:ind w:firstLine="709"/>
        <w:jc w:val="both"/>
        <w:rPr>
          <w:rFonts w:ascii="Arial" w:hAnsi="Arial" w:cs="Arial"/>
          <w:color w:val="000000"/>
          <w:shd w:val="clear" w:color="auto" w:fill="FFFFFF"/>
          <w:lang w:val="es-US"/>
        </w:rPr>
      </w:pPr>
      <w:r>
        <w:rPr>
          <w:rFonts w:ascii="Arial" w:eastAsia="Calibri" w:hAnsi="Arial" w:cs="Arial"/>
          <w:color w:val="000000"/>
          <w:lang w:val="es-ES_tradnl" w:eastAsia="en-GB"/>
        </w:rPr>
        <w:lastRenderedPageBreak/>
        <w:t>En ese sentido, si bien la guía no se refiere de manera expresa al valor del SMMLV y las prestaciones sociales como criterios a considerar para la constatación de los precios artificialmente bajos, ello no quiere decir que las entidades estatales no puedan considerarlos para realizar los análisis que les corresponden en el marco de los procesos de contratación correspondientes, particularmente, al momento de solicitar aclaraciones.</w:t>
      </w:r>
      <w:r>
        <w:rPr>
          <w:rFonts w:ascii="Arial" w:hAnsi="Arial" w:cs="Arial"/>
          <w:color w:val="000000"/>
          <w:shd w:val="clear" w:color="auto" w:fill="FFFFFF"/>
          <w:lang w:val="es-US"/>
        </w:rPr>
        <w:t xml:space="preserve"> </w:t>
      </w:r>
      <w:r w:rsidRPr="00853515">
        <w:rPr>
          <w:rFonts w:ascii="Arial" w:hAnsi="Arial" w:cs="Arial"/>
          <w:color w:val="000000"/>
          <w:shd w:val="clear" w:color="auto" w:fill="FFFFFF"/>
          <w:lang w:val="es-US"/>
        </w:rPr>
        <w:t xml:space="preserve">Todo lo anterior, teniendo en cuenta que la referida Guía contiene criterios orientadores para las entidades públicas, los cuales, en consecuencia, no son vinculantes ni de obligatorio acatamiento. </w:t>
      </w:r>
    </w:p>
    <w:p w14:paraId="4DB81871" w14:textId="77777777" w:rsidR="00016098" w:rsidRDefault="00016098" w:rsidP="00016098">
      <w:pPr>
        <w:spacing w:before="120" w:after="120" w:line="276" w:lineRule="auto"/>
        <w:ind w:firstLine="709"/>
        <w:jc w:val="both"/>
        <w:rPr>
          <w:rFonts w:ascii="Arial" w:hAnsi="Arial" w:cs="Arial"/>
          <w:color w:val="000000"/>
          <w:shd w:val="clear" w:color="auto" w:fill="FFFFFF"/>
          <w:lang w:val="es-US"/>
        </w:rPr>
      </w:pPr>
      <w:r>
        <w:rPr>
          <w:rFonts w:ascii="Arial" w:hAnsi="Arial" w:cs="Arial"/>
          <w:color w:val="000000"/>
          <w:shd w:val="clear" w:color="auto" w:fill="FFFFFF"/>
          <w:lang w:val="es-US"/>
        </w:rPr>
        <w:t xml:space="preserve">En todo caso, conforme surge de lo aquí expuesto, debe advertirse que la regulación de los precios artificialmente bajos tiene por propósito evitar que se contrate a proponentes que, con el fin de que se les adjudiquen los contratos, realicen ofrecimientos que no correspondan con la realidad del mercado, lo que se justifica en los eventuales efectos nocivos que de ello pudieran derivar para el cumplimiento de los fines del contrato. En ese sentido, evitar que en las ofertas se omita los valores que en la práctica representan costos reales que debe asumir los eventuales contratistas para el desarrollo del objeto contractual –como, por ejemplo, los costos del personal– es precisamente el propósito de la regulación de los precios artificialmente bajos.   </w:t>
      </w:r>
    </w:p>
    <w:p w14:paraId="2A8E79B3" w14:textId="77777777" w:rsidR="00016098" w:rsidRPr="00E66278" w:rsidRDefault="00016098" w:rsidP="00016098">
      <w:pPr>
        <w:spacing w:before="120" w:line="276" w:lineRule="auto"/>
        <w:ind w:firstLine="709"/>
        <w:jc w:val="both"/>
        <w:rPr>
          <w:rFonts w:ascii="Arial" w:eastAsia="Calibri" w:hAnsi="Arial" w:cs="Arial"/>
          <w:color w:val="000000"/>
          <w:lang w:val="es-ES"/>
        </w:rPr>
      </w:pPr>
      <w:r>
        <w:rPr>
          <w:rFonts w:ascii="Arial" w:hAnsi="Arial" w:cs="Arial"/>
          <w:color w:val="000000"/>
          <w:shd w:val="clear" w:color="auto" w:fill="FFFFFF"/>
          <w:lang w:val="es-US"/>
        </w:rPr>
        <w:t>De cualquier modo</w:t>
      </w:r>
      <w:r w:rsidRPr="00853515">
        <w:rPr>
          <w:rFonts w:ascii="Arial" w:hAnsi="Arial" w:cs="Arial"/>
          <w:color w:val="000000"/>
          <w:shd w:val="clear" w:color="auto" w:fill="FFFFFF"/>
          <w:lang w:val="es-US"/>
        </w:rPr>
        <w:t>, las entidades están facultadas para aplicar los criterios contenidos en la Guía o acudir, si</w:t>
      </w:r>
      <w:r>
        <w:rPr>
          <w:rFonts w:ascii="Arial" w:hAnsi="Arial" w:cs="Arial"/>
          <w:color w:val="000000"/>
          <w:shd w:val="clear" w:color="auto" w:fill="FFFFFF"/>
          <w:lang w:val="es-US"/>
        </w:rPr>
        <w:t xml:space="preserve"> a</w:t>
      </w:r>
      <w:r w:rsidRPr="00853515">
        <w:rPr>
          <w:rFonts w:ascii="Arial" w:hAnsi="Arial" w:cs="Arial"/>
          <w:color w:val="000000"/>
          <w:shd w:val="clear" w:color="auto" w:fill="FFFFFF"/>
          <w:lang w:val="es-US"/>
        </w:rPr>
        <w:t xml:space="preserve"> bien lo tienen, a otro tipo de criterios que consideren más apropiados para cada proceso de contratación</w:t>
      </w:r>
      <w:r w:rsidRPr="00853515">
        <w:rPr>
          <w:rFonts w:ascii="Arial" w:eastAsia="Calibri" w:hAnsi="Arial" w:cs="Arial"/>
          <w:color w:val="000000"/>
          <w:lang w:val="es-ES"/>
        </w:rPr>
        <w:t>.</w:t>
      </w:r>
      <w:r>
        <w:rPr>
          <w:rFonts w:ascii="Arial" w:eastAsia="Calibri" w:hAnsi="Arial" w:cs="Arial"/>
          <w:color w:val="000000"/>
          <w:lang w:val="es-ES"/>
        </w:rPr>
        <w:t xml:space="preserve"> Dicho esto, no está de más aclarar que las anteriores consideraciones se hacen en el marco de la ejercicio de la función consultiva, por lo que corresponden a una interpretación de las normas generales referidas supra, por lo que, de ningún modo, constituyen un pronunciamiento o juicio de valor respecto de las actuaciones realizadas en el proceso contractual referido en su petición.  </w:t>
      </w:r>
      <w:bookmarkEnd w:id="10"/>
      <w:bookmarkEnd w:id="11"/>
    </w:p>
    <w:p w14:paraId="36DF88EB" w14:textId="77777777" w:rsidR="00016098" w:rsidRDefault="00016098" w:rsidP="00016098">
      <w:pPr>
        <w:tabs>
          <w:tab w:val="left" w:pos="0"/>
        </w:tabs>
        <w:spacing w:line="276" w:lineRule="auto"/>
        <w:jc w:val="both"/>
        <w:rPr>
          <w:rFonts w:ascii="Arial" w:eastAsia="Calibri" w:hAnsi="Arial" w:cs="Arial"/>
          <w:b/>
          <w:lang w:val="es-ES_tradnl"/>
        </w:rPr>
      </w:pPr>
      <w:r w:rsidRPr="00392758">
        <w:rPr>
          <w:rFonts w:ascii="Arial" w:eastAsia="Calibri" w:hAnsi="Arial" w:cs="Arial"/>
          <w:b/>
          <w:lang w:val="es-ES_tradnl"/>
        </w:rPr>
        <w:t>3. Respuestas</w:t>
      </w:r>
    </w:p>
    <w:p w14:paraId="38945E63" w14:textId="77777777" w:rsidR="00016098" w:rsidRPr="00D95D28" w:rsidRDefault="00016098" w:rsidP="00016098">
      <w:pPr>
        <w:autoSpaceDE w:val="0"/>
        <w:autoSpaceDN w:val="0"/>
        <w:adjustRightInd w:val="0"/>
        <w:ind w:left="709" w:right="709"/>
        <w:jc w:val="both"/>
        <w:rPr>
          <w:rFonts w:ascii="Arial" w:hAnsi="Arial" w:cs="Arial"/>
          <w:sz w:val="21"/>
          <w:szCs w:val="21"/>
        </w:rPr>
      </w:pPr>
      <w:r w:rsidRPr="00D95D28">
        <w:rPr>
          <w:rFonts w:ascii="Arial" w:eastAsia="Calibri" w:hAnsi="Arial" w:cs="Arial"/>
          <w:sz w:val="21"/>
          <w:szCs w:val="21"/>
          <w:lang w:val="es-ES_tradnl"/>
        </w:rPr>
        <w:t>“</w:t>
      </w:r>
      <w:r w:rsidRPr="00D95D28">
        <w:rPr>
          <w:rFonts w:ascii="Arial" w:hAnsi="Arial" w:cs="Arial"/>
          <w:sz w:val="21"/>
          <w:szCs w:val="21"/>
        </w:rPr>
        <w:t>1. Las entidades del estado bajo la normatividad de la contratación publica cualquier modalidad, pueden excluir de un proceso a una MiPymes basado en la antigüedad de su constitución como empresa ante la cámara de comercio y DIAN, aun si esta MiPymes cumpla con todos los demás requerimientos inclusive la experiencia</w:t>
      </w:r>
      <w:r>
        <w:rPr>
          <w:rFonts w:ascii="Arial" w:hAnsi="Arial" w:cs="Arial"/>
          <w:sz w:val="21"/>
          <w:szCs w:val="21"/>
        </w:rPr>
        <w:t xml:space="preserve"> </w:t>
      </w:r>
      <w:r w:rsidRPr="00D95D28">
        <w:rPr>
          <w:rFonts w:ascii="Arial" w:hAnsi="Arial" w:cs="Arial"/>
          <w:sz w:val="21"/>
          <w:szCs w:val="21"/>
        </w:rPr>
        <w:t>requerida por la entidad y el proceso?</w:t>
      </w:r>
    </w:p>
    <w:p w14:paraId="2EF5CC97" w14:textId="77777777" w:rsidR="00016098" w:rsidRDefault="00016098" w:rsidP="00016098">
      <w:pPr>
        <w:autoSpaceDE w:val="0"/>
        <w:autoSpaceDN w:val="0"/>
        <w:adjustRightInd w:val="0"/>
        <w:ind w:left="709" w:right="709"/>
        <w:jc w:val="both"/>
        <w:rPr>
          <w:rFonts w:ascii="Arial" w:hAnsi="Arial" w:cs="Arial"/>
          <w:sz w:val="21"/>
          <w:szCs w:val="21"/>
        </w:rPr>
      </w:pPr>
      <w:r w:rsidRPr="00D95D28">
        <w:rPr>
          <w:rFonts w:ascii="Arial" w:hAnsi="Arial" w:cs="Arial"/>
          <w:sz w:val="21"/>
          <w:szCs w:val="21"/>
        </w:rPr>
        <w:t>El cuestionamiento nace porque en algunos procesos ponen como condición para</w:t>
      </w:r>
      <w:r>
        <w:rPr>
          <w:rFonts w:ascii="Arial" w:hAnsi="Arial" w:cs="Arial"/>
          <w:sz w:val="21"/>
          <w:szCs w:val="21"/>
        </w:rPr>
        <w:t xml:space="preserve"> </w:t>
      </w:r>
      <w:r w:rsidRPr="00D95D28">
        <w:rPr>
          <w:rFonts w:ascii="Arial" w:hAnsi="Arial" w:cs="Arial"/>
          <w:sz w:val="21"/>
          <w:szCs w:val="21"/>
        </w:rPr>
        <w:t>participar tener mas de un año de constitución de la empresa, vulnerando la igualdad</w:t>
      </w:r>
      <w:r>
        <w:rPr>
          <w:rFonts w:ascii="Arial" w:hAnsi="Arial" w:cs="Arial"/>
          <w:sz w:val="21"/>
          <w:szCs w:val="21"/>
        </w:rPr>
        <w:t xml:space="preserve"> </w:t>
      </w:r>
      <w:r w:rsidRPr="00D95D28">
        <w:rPr>
          <w:rFonts w:ascii="Arial" w:hAnsi="Arial" w:cs="Arial"/>
          <w:sz w:val="21"/>
          <w:szCs w:val="21"/>
        </w:rPr>
        <w:t xml:space="preserve">de participación y no valiendo la experiencia que se tiene la cual </w:t>
      </w:r>
      <w:r w:rsidRPr="00D95D28">
        <w:rPr>
          <w:rFonts w:ascii="Arial" w:hAnsi="Arial" w:cs="Arial"/>
          <w:sz w:val="21"/>
          <w:szCs w:val="21"/>
        </w:rPr>
        <w:lastRenderedPageBreak/>
        <w:t>puede ser mucho</w:t>
      </w:r>
      <w:r>
        <w:rPr>
          <w:rFonts w:ascii="Arial" w:hAnsi="Arial" w:cs="Arial"/>
          <w:sz w:val="21"/>
          <w:szCs w:val="21"/>
        </w:rPr>
        <w:t xml:space="preserve"> </w:t>
      </w:r>
      <w:r w:rsidRPr="00D95D28">
        <w:rPr>
          <w:rFonts w:ascii="Arial" w:hAnsi="Arial" w:cs="Arial"/>
          <w:sz w:val="21"/>
          <w:szCs w:val="21"/>
        </w:rPr>
        <w:t>mayor al tiempo de constitución ya que puede ser aportada por un socio de la empresa</w:t>
      </w:r>
      <w:r>
        <w:rPr>
          <w:rFonts w:ascii="Arial" w:hAnsi="Arial" w:cs="Arial"/>
          <w:sz w:val="21"/>
          <w:szCs w:val="21"/>
        </w:rPr>
        <w:t>”.</w:t>
      </w:r>
    </w:p>
    <w:p w14:paraId="26B6816B" w14:textId="77777777" w:rsidR="00016098" w:rsidRDefault="00016098" w:rsidP="00016098">
      <w:pPr>
        <w:spacing w:line="276" w:lineRule="auto"/>
        <w:jc w:val="both"/>
        <w:rPr>
          <w:rFonts w:ascii="Arial" w:eastAsia="Calibri" w:hAnsi="Arial" w:cs="Arial"/>
          <w:lang w:val="es-ES_tradnl"/>
        </w:rPr>
      </w:pPr>
      <w:r>
        <w:rPr>
          <w:rFonts w:ascii="Arial" w:eastAsia="Calibri" w:hAnsi="Arial" w:cs="Arial"/>
          <w:lang w:val="es-ES_tradnl"/>
        </w:rPr>
        <w:t>Conforme a lo expuesto, que e</w:t>
      </w:r>
      <w:r w:rsidRPr="00392758">
        <w:rPr>
          <w:rFonts w:ascii="Arial" w:eastAsia="Calibri" w:hAnsi="Arial" w:cs="Arial"/>
          <w:lang w:val="es-ES_tradnl"/>
        </w:rPr>
        <w:t>l artículo 34 de la Ley 2069 de 2020 establece nuevas reglas sobre la promoción al desarrollo en la contratación estatal</w:t>
      </w:r>
      <w:r>
        <w:rPr>
          <w:rFonts w:ascii="Arial" w:eastAsia="Calibri" w:hAnsi="Arial" w:cs="Arial"/>
          <w:lang w:val="es-ES_tradnl"/>
        </w:rPr>
        <w:t>,</w:t>
      </w:r>
      <w:r w:rsidRPr="00392758">
        <w:rPr>
          <w:rFonts w:ascii="Arial" w:eastAsia="Calibri" w:hAnsi="Arial" w:cs="Arial"/>
          <w:lang w:val="es-ES_tradnl"/>
        </w:rPr>
        <w:t xml:space="preserve"> modifica</w:t>
      </w:r>
      <w:r>
        <w:rPr>
          <w:rFonts w:ascii="Arial" w:eastAsia="Calibri" w:hAnsi="Arial" w:cs="Arial"/>
          <w:lang w:val="es-ES_tradnl"/>
        </w:rPr>
        <w:t>ndo</w:t>
      </w:r>
      <w:r w:rsidRPr="00392758">
        <w:rPr>
          <w:rFonts w:ascii="Arial" w:eastAsia="Calibri" w:hAnsi="Arial" w:cs="Arial"/>
          <w:lang w:val="es-ES_tradnl"/>
        </w:rPr>
        <w:t xml:space="preserve"> el contenido del artículo 12 de la Ley 1150 de 2007</w:t>
      </w:r>
      <w:r>
        <w:rPr>
          <w:rFonts w:ascii="Arial" w:eastAsia="Calibri" w:hAnsi="Arial" w:cs="Arial"/>
          <w:lang w:val="es-ES_tradnl"/>
        </w:rPr>
        <w:t>. El parágrafo segundo de esta norma actualmente indica que: “</w:t>
      </w:r>
      <w:r w:rsidRPr="00BB6361">
        <w:rPr>
          <w:rFonts w:ascii="Arial" w:eastAsia="Calibri" w:hAnsi="Arial" w:cs="Arial"/>
          <w:lang w:val="es-ES_tradnl"/>
        </w:rPr>
        <w:t xml:space="preserve">Sin perjuicio de lo dispuesto en los artículos 5 y 6 de la Ley 1150 de 2007, para que </w:t>
      </w:r>
      <w:r w:rsidRPr="00BF1483">
        <w:rPr>
          <w:rFonts w:ascii="Arial" w:eastAsia="Calibri" w:hAnsi="Arial" w:cs="Arial"/>
          <w:i/>
          <w:iCs/>
          <w:lang w:val="es-ES_tradnl"/>
        </w:rPr>
        <w:t>las Mipymes puedan participar en las convocatorias a las que se refiere este artículo, deberán acreditar como mínimo un año de existencia</w:t>
      </w:r>
      <w:r w:rsidRPr="00BB6361">
        <w:rPr>
          <w:rFonts w:ascii="Arial" w:eastAsia="Calibri" w:hAnsi="Arial" w:cs="Arial"/>
          <w:lang w:val="es-ES_tradnl"/>
        </w:rPr>
        <w:t>, para lo cual deberán presentar el certificado expedido por la cámara de comercio o por la autoridad que sea competente para dicha acreditación</w:t>
      </w:r>
      <w:r>
        <w:rPr>
          <w:rFonts w:ascii="Arial" w:eastAsia="Calibri" w:hAnsi="Arial" w:cs="Arial"/>
          <w:lang w:val="es-ES_tradnl"/>
        </w:rPr>
        <w:t>”</w:t>
      </w:r>
      <w:r w:rsidRPr="00BB6361">
        <w:rPr>
          <w:rFonts w:ascii="Arial" w:eastAsia="Calibri" w:hAnsi="Arial" w:cs="Arial"/>
          <w:lang w:val="es-ES_tradnl"/>
        </w:rPr>
        <w:t>.</w:t>
      </w:r>
      <w:r w:rsidRPr="00392758">
        <w:rPr>
          <w:rFonts w:ascii="Arial" w:eastAsia="Calibri" w:hAnsi="Arial" w:cs="Arial"/>
          <w:lang w:val="es-ES_tradnl"/>
        </w:rPr>
        <w:t xml:space="preserve"> </w:t>
      </w:r>
      <w:r>
        <w:rPr>
          <w:rFonts w:ascii="Arial" w:eastAsia="Calibri" w:hAnsi="Arial" w:cs="Arial"/>
          <w:lang w:val="es-ES_tradnl"/>
        </w:rPr>
        <w:t xml:space="preserve">(Énfasis fuera de texto). En atención a esta regla, independientemente de que la mipyme acredite la experiencia de sus socios conforme lo permite el numeral 2.5 del artículo </w:t>
      </w:r>
      <w:r w:rsidRPr="00972483">
        <w:rPr>
          <w:rFonts w:ascii="Arial" w:eastAsia="Calibri" w:hAnsi="Arial" w:cs="Arial"/>
          <w:lang w:val="es-ES_tradnl"/>
        </w:rPr>
        <w:t>2.2.1.1.1.5.2.</w:t>
      </w:r>
      <w:r>
        <w:rPr>
          <w:rFonts w:ascii="Arial" w:eastAsia="Calibri" w:hAnsi="Arial" w:cs="Arial"/>
          <w:lang w:val="es-ES_tradnl"/>
        </w:rPr>
        <w:t xml:space="preserve"> del Decreto 1082 de 2015, estando la convocatoria limitada solo podrá participar si la mipyme propiamente cuenta con un mínimo de un año de constitución.</w:t>
      </w:r>
    </w:p>
    <w:p w14:paraId="428FA111" w14:textId="77777777" w:rsidR="00016098" w:rsidRDefault="00016098" w:rsidP="00016098">
      <w:pPr>
        <w:autoSpaceDE w:val="0"/>
        <w:autoSpaceDN w:val="0"/>
        <w:adjustRightInd w:val="0"/>
        <w:ind w:left="709" w:right="709"/>
        <w:jc w:val="both"/>
        <w:rPr>
          <w:rFonts w:ascii="Arial" w:hAnsi="Arial" w:cs="Arial"/>
          <w:sz w:val="21"/>
          <w:szCs w:val="21"/>
        </w:rPr>
      </w:pPr>
      <w:r>
        <w:rPr>
          <w:rFonts w:ascii="Arial" w:hAnsi="Arial" w:cs="Arial"/>
          <w:sz w:val="21"/>
          <w:szCs w:val="21"/>
        </w:rPr>
        <w:t>“</w:t>
      </w:r>
      <w:r w:rsidRPr="00D95D28">
        <w:rPr>
          <w:rFonts w:ascii="Arial" w:hAnsi="Arial" w:cs="Arial"/>
          <w:sz w:val="21"/>
          <w:szCs w:val="21"/>
        </w:rPr>
        <w:t>2. Si en un proceso de licitación cualquier sea su modalidad de esta, la entidad del</w:t>
      </w:r>
      <w:r>
        <w:rPr>
          <w:rFonts w:ascii="Arial" w:hAnsi="Arial" w:cs="Arial"/>
          <w:sz w:val="21"/>
          <w:szCs w:val="21"/>
        </w:rPr>
        <w:t xml:space="preserve"> </w:t>
      </w:r>
      <w:r w:rsidRPr="00D95D28">
        <w:rPr>
          <w:rFonts w:ascii="Arial" w:hAnsi="Arial" w:cs="Arial"/>
          <w:sz w:val="21"/>
          <w:szCs w:val="21"/>
        </w:rPr>
        <w:t>estado NO pide dentro de los requisitos habilitantes documentos o certificados que son de carácter obligatorio que se tengan (ejemplo: tarjeta profesional, RNT) la entidad puede adjudicar el proceso así no se cumpla con estos documentos?</w:t>
      </w:r>
      <w:r>
        <w:rPr>
          <w:rFonts w:ascii="Arial" w:hAnsi="Arial" w:cs="Arial"/>
          <w:sz w:val="21"/>
          <w:szCs w:val="21"/>
        </w:rPr>
        <w:t xml:space="preserve"> </w:t>
      </w:r>
      <w:r w:rsidRPr="00D95D28">
        <w:rPr>
          <w:rFonts w:ascii="Arial" w:hAnsi="Arial" w:cs="Arial"/>
          <w:sz w:val="21"/>
          <w:szCs w:val="21"/>
        </w:rPr>
        <w:t>Como proponente se pueden solicitar a la entidad que los requiera?</w:t>
      </w:r>
      <w:r>
        <w:rPr>
          <w:rFonts w:ascii="Arial" w:hAnsi="Arial" w:cs="Arial"/>
          <w:sz w:val="21"/>
          <w:szCs w:val="21"/>
        </w:rPr>
        <w:t>”</w:t>
      </w:r>
    </w:p>
    <w:p w14:paraId="1B22CFB0" w14:textId="77777777" w:rsidR="00016098" w:rsidRDefault="00016098" w:rsidP="00016098">
      <w:pPr>
        <w:autoSpaceDE w:val="0"/>
        <w:autoSpaceDN w:val="0"/>
        <w:adjustRightInd w:val="0"/>
        <w:ind w:left="709" w:right="709"/>
        <w:jc w:val="both"/>
        <w:rPr>
          <w:rFonts w:ascii="Arial" w:hAnsi="Arial" w:cs="Arial"/>
          <w:sz w:val="21"/>
          <w:szCs w:val="21"/>
        </w:rPr>
      </w:pPr>
    </w:p>
    <w:p w14:paraId="2186437E" w14:textId="77777777" w:rsidR="00016098" w:rsidRDefault="00016098" w:rsidP="00016098">
      <w:pPr>
        <w:autoSpaceDE w:val="0"/>
        <w:autoSpaceDN w:val="0"/>
        <w:adjustRightInd w:val="0"/>
        <w:spacing w:line="276" w:lineRule="auto"/>
        <w:ind w:right="48" w:firstLine="708"/>
        <w:jc w:val="both"/>
        <w:rPr>
          <w:rFonts w:ascii="Arial" w:hAnsi="Arial" w:cs="Arial"/>
          <w:lang w:val="es-ES_tradnl" w:eastAsia="es-MX"/>
        </w:rPr>
      </w:pPr>
      <w:r>
        <w:rPr>
          <w:rFonts w:ascii="Arial" w:eastAsia="Calibri" w:hAnsi="Arial" w:cs="Arial"/>
          <w:lang w:val="es-ES_tradnl" w:eastAsia="es-MX"/>
        </w:rPr>
        <w:t xml:space="preserve">De acuerdo con lo explicado </w:t>
      </w:r>
      <w:r w:rsidRPr="00BF1483">
        <w:rPr>
          <w:rFonts w:ascii="Arial" w:eastAsia="Calibri" w:hAnsi="Arial" w:cs="Arial"/>
          <w:i/>
          <w:iCs/>
          <w:lang w:val="es-ES_tradnl" w:eastAsia="es-MX"/>
        </w:rPr>
        <w:t>supra</w:t>
      </w:r>
      <w:r>
        <w:rPr>
          <w:rFonts w:ascii="Arial" w:eastAsia="Calibri" w:hAnsi="Arial" w:cs="Arial"/>
          <w:lang w:val="es-ES_tradnl" w:eastAsia="es-MX"/>
        </w:rPr>
        <w:t>, l</w:t>
      </w:r>
      <w:r w:rsidRPr="00D1722B">
        <w:rPr>
          <w:rFonts w:ascii="Arial" w:eastAsia="Calibri" w:hAnsi="Arial" w:cs="Arial"/>
          <w:lang w:val="es-ES_tradnl" w:eastAsia="es-MX"/>
        </w:rPr>
        <w:t>os requisitos habilitantes constituyen los requerimientos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w:t>
      </w:r>
      <w:r>
        <w:rPr>
          <w:rFonts w:ascii="Arial" w:eastAsia="Calibri" w:hAnsi="Arial" w:cs="Arial"/>
          <w:lang w:val="es-ES_tradnl" w:eastAsia="es-MX"/>
        </w:rPr>
        <w:t xml:space="preserve">. Sin embargo, cabe mencionar que </w:t>
      </w:r>
      <w:r w:rsidRPr="003A7F76">
        <w:rPr>
          <w:rFonts w:ascii="Arial" w:hAnsi="Arial" w:cs="Arial"/>
          <w:lang w:val="es-ES_tradnl" w:eastAsia="es-MX"/>
        </w:rPr>
        <w:t>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w:t>
      </w:r>
      <w:r>
        <w:rPr>
          <w:rFonts w:ascii="Arial" w:hAnsi="Arial" w:cs="Arial"/>
          <w:lang w:val="es-ES_tradnl" w:eastAsia="es-MX"/>
        </w:rPr>
        <w:t>.</w:t>
      </w:r>
    </w:p>
    <w:p w14:paraId="36D80739" w14:textId="77777777" w:rsidR="00016098" w:rsidRDefault="00016098" w:rsidP="00016098">
      <w:pPr>
        <w:autoSpaceDE w:val="0"/>
        <w:autoSpaceDN w:val="0"/>
        <w:adjustRightInd w:val="0"/>
        <w:spacing w:line="276" w:lineRule="auto"/>
        <w:ind w:right="48" w:firstLine="708"/>
        <w:jc w:val="both"/>
        <w:rPr>
          <w:rFonts w:ascii="Arial" w:hAnsi="Arial" w:cs="Arial"/>
          <w:lang w:val="es-ES_tradnl" w:eastAsia="es-MX"/>
        </w:rPr>
      </w:pPr>
      <w:r>
        <w:rPr>
          <w:rFonts w:ascii="Arial" w:hAnsi="Arial" w:cs="Arial"/>
          <w:lang w:val="es-ES_tradnl" w:eastAsia="es-MX"/>
        </w:rPr>
        <w:t xml:space="preserve"> En el marco de tal autonomía y discrecionalidad, corresponde a las entidades estatales definir en los pliegos de condiciones los documentos o medios de acreditación de las diferentes requisitos habilitantes o de participación. En la </w:t>
      </w:r>
      <w:r>
        <w:rPr>
          <w:rFonts w:ascii="Arial" w:hAnsi="Arial" w:cs="Arial"/>
          <w:lang w:val="es-ES_tradnl" w:eastAsia="es-MX"/>
        </w:rPr>
        <w:lastRenderedPageBreak/>
        <w:t xml:space="preserve">etapa de evaluación la entidad deberá aplicar las reglas que haya previamente definido en pliego, las cuales tratándose de contratos con objetos cuya ejecución requieren título de idoneidad –v.g. el de ingeniero respecto de consultoría para obras–, han debido regular la acreditación y verificación de hechos como la expedición y vigencia de la tarjeta profesional. </w:t>
      </w:r>
    </w:p>
    <w:p w14:paraId="1899F65E" w14:textId="77777777" w:rsidR="00016098" w:rsidRDefault="00016098" w:rsidP="00016098">
      <w:pPr>
        <w:autoSpaceDE w:val="0"/>
        <w:autoSpaceDN w:val="0"/>
        <w:adjustRightInd w:val="0"/>
        <w:spacing w:line="276" w:lineRule="auto"/>
        <w:ind w:right="48" w:firstLine="708"/>
        <w:jc w:val="both"/>
        <w:rPr>
          <w:rFonts w:ascii="Arial" w:hAnsi="Arial" w:cs="Arial"/>
          <w:lang w:val="es-ES_tradnl" w:eastAsia="es-MX"/>
        </w:rPr>
      </w:pPr>
      <w:r>
        <w:rPr>
          <w:rFonts w:ascii="Arial" w:hAnsi="Arial" w:cs="Arial"/>
          <w:lang w:val="es-ES_tradnl" w:eastAsia="es-MX"/>
        </w:rPr>
        <w:t>En todo caso, la decisión de adjudicar un contrato en ausencia de estos documentos es un asunto que compete a cada entidad estatal de acuerdo con las circunstancias específicas del proceso de contratación. No obstante, conviene recordar que de conformidad con regla de subsanabilidad establecida en el parágrafo del artículo 5 de la Ley 1150 de 2007, la ausencia o defectos en la acreditación de circunstancias no determinantes para la comparación de ofertas son susceptibles de ser subsanadas hasta el término de traslado del informe de evaluación.</w:t>
      </w:r>
    </w:p>
    <w:p w14:paraId="658D33C3" w14:textId="77777777" w:rsidR="00016098" w:rsidRDefault="00016098" w:rsidP="00016098">
      <w:pPr>
        <w:autoSpaceDE w:val="0"/>
        <w:autoSpaceDN w:val="0"/>
        <w:adjustRightInd w:val="0"/>
        <w:ind w:left="709" w:right="709"/>
        <w:jc w:val="both"/>
        <w:rPr>
          <w:rFonts w:ascii="Arial" w:eastAsia="Calibri" w:hAnsi="Arial" w:cs="Arial"/>
          <w:lang w:val="es-ES_tradnl"/>
        </w:rPr>
      </w:pPr>
      <w:r>
        <w:rPr>
          <w:rFonts w:ascii="Arial" w:hAnsi="Arial" w:cs="Arial"/>
          <w:sz w:val="21"/>
          <w:szCs w:val="21"/>
        </w:rPr>
        <w:t>“</w:t>
      </w:r>
      <w:r w:rsidRPr="00D95D28">
        <w:rPr>
          <w:rFonts w:ascii="Arial" w:hAnsi="Arial" w:cs="Arial"/>
          <w:sz w:val="21"/>
          <w:szCs w:val="21"/>
        </w:rPr>
        <w:t>3. Si en un proceso de estudio de mercados las empresas o la empresa consultada cotiza con un valor determinado y al participar en el mismo proceso sus precios son diferentes de forma conveniente (mas bajos) llevando a la entidad a generar un error en la cuantía estipulada, es valida su participación en el proceso?</w:t>
      </w:r>
      <w:r>
        <w:rPr>
          <w:rFonts w:ascii="Arial" w:eastAsia="Calibri" w:hAnsi="Arial" w:cs="Arial"/>
          <w:lang w:val="es-ES_tradnl"/>
        </w:rPr>
        <w:t>”</w:t>
      </w:r>
      <w:r w:rsidRPr="00392758">
        <w:rPr>
          <w:rFonts w:ascii="Arial" w:eastAsia="Calibri" w:hAnsi="Arial" w:cs="Arial"/>
          <w:lang w:val="es-ES_tradnl"/>
        </w:rPr>
        <w:t xml:space="preserve"> (sic).</w:t>
      </w:r>
    </w:p>
    <w:p w14:paraId="7507A1D8" w14:textId="77777777" w:rsidR="00016098" w:rsidRDefault="00016098" w:rsidP="00016098">
      <w:pPr>
        <w:pStyle w:val="paragraph"/>
        <w:spacing w:before="0" w:beforeAutospacing="0" w:after="0" w:afterAutospacing="0" w:line="276" w:lineRule="auto"/>
        <w:ind w:firstLine="708"/>
        <w:jc w:val="both"/>
        <w:textAlignment w:val="baseline"/>
        <w:rPr>
          <w:rStyle w:val="normaltextrun"/>
          <w:rFonts w:ascii="Arial" w:hAnsi="Arial" w:cs="Arial"/>
          <w:sz w:val="22"/>
          <w:szCs w:val="22"/>
          <w:lang w:val="es-ES"/>
        </w:rPr>
      </w:pPr>
    </w:p>
    <w:p w14:paraId="40D8CBC9" w14:textId="77777777" w:rsidR="00016098" w:rsidRDefault="00016098" w:rsidP="00016098">
      <w:pPr>
        <w:pStyle w:val="paragraph"/>
        <w:spacing w:before="0" w:beforeAutospacing="0" w:after="0" w:afterAutospacing="0" w:line="276" w:lineRule="auto"/>
        <w:ind w:firstLine="708"/>
        <w:jc w:val="both"/>
        <w:textAlignment w:val="baseline"/>
        <w:rPr>
          <w:rStyle w:val="eop"/>
          <w:rFonts w:ascii="Arial" w:eastAsiaTheme="minorEastAsia" w:hAnsi="Arial" w:cs="Arial"/>
          <w:sz w:val="22"/>
          <w:szCs w:val="22"/>
        </w:rPr>
      </w:pPr>
      <w:r>
        <w:rPr>
          <w:rStyle w:val="normaltextrun"/>
          <w:rFonts w:ascii="Arial" w:hAnsi="Arial" w:cs="Arial"/>
          <w:sz w:val="22"/>
          <w:szCs w:val="22"/>
          <w:lang w:val="es-ES"/>
        </w:rPr>
        <w:t xml:space="preserve">Frente  al particular se advierte que </w:t>
      </w:r>
      <w:r w:rsidRPr="00835590">
        <w:rPr>
          <w:rStyle w:val="normaltextrun"/>
          <w:rFonts w:ascii="Arial" w:hAnsi="Arial" w:cs="Arial"/>
          <w:sz w:val="22"/>
          <w:szCs w:val="22"/>
          <w:lang w:val="es-ES"/>
        </w:rPr>
        <w:t>de acuerdo con el</w:t>
      </w:r>
      <w:r w:rsidRPr="00835590">
        <w:rPr>
          <w:rStyle w:val="normaltextrun"/>
          <w:rFonts w:ascii="Arial" w:hAnsi="Arial" w:cs="Arial"/>
          <w:b/>
          <w:bCs/>
          <w:color w:val="000000"/>
          <w:sz w:val="22"/>
          <w:szCs w:val="22"/>
          <w:lang w:val="es-MX"/>
        </w:rPr>
        <w:t xml:space="preserve"> </w:t>
      </w:r>
      <w:r w:rsidRPr="00835590">
        <w:rPr>
          <w:rStyle w:val="normaltextrun"/>
          <w:rFonts w:ascii="Arial" w:hAnsi="Arial" w:cs="Arial"/>
          <w:sz w:val="22"/>
          <w:szCs w:val="22"/>
          <w:lang w:val="es-ES"/>
        </w:rPr>
        <w:t>artículo 2.2.1.1.2.2.4. del Decreto 1082 de 2015, ante una propuesta artificialmente baja, la entidad estatal está obligada a realizar los siguientes pasos: (i) requerir al oferente para que explique las razones que sustentan el valor ofrecido, (ii) analizar las explicaciones y (iii) con base en lo anterior, rechazar la oferta o continuar con el análisis de la misma en la evaluación de las ofertas. Así, la entidad deberá, inicialmente, determinar si la propuesta es considerada artificialmente baja, de acuerdo con la información del análisis del sector y, posteriormente, realizar los pasos señalados. </w:t>
      </w:r>
      <w:r w:rsidRPr="00835590">
        <w:rPr>
          <w:rStyle w:val="eop"/>
          <w:rFonts w:ascii="Arial" w:eastAsiaTheme="minorEastAsia" w:hAnsi="Arial" w:cs="Arial"/>
          <w:sz w:val="22"/>
          <w:szCs w:val="22"/>
        </w:rPr>
        <w:t> </w:t>
      </w:r>
    </w:p>
    <w:p w14:paraId="580EC2A6" w14:textId="77777777" w:rsidR="00016098" w:rsidRPr="00D3299B" w:rsidRDefault="00016098" w:rsidP="00016098">
      <w:pPr>
        <w:pStyle w:val="paragraph"/>
        <w:spacing w:before="0" w:beforeAutospacing="0" w:after="0" w:afterAutospacing="0" w:line="276" w:lineRule="auto"/>
        <w:ind w:firstLine="708"/>
        <w:jc w:val="both"/>
        <w:textAlignment w:val="baseline"/>
        <w:rPr>
          <w:rFonts w:ascii="Segoe UI" w:hAnsi="Segoe UI" w:cs="Segoe UI"/>
          <w:sz w:val="22"/>
          <w:szCs w:val="22"/>
        </w:rPr>
      </w:pPr>
    </w:p>
    <w:p w14:paraId="494E31F8" w14:textId="77777777" w:rsidR="00016098" w:rsidRPr="00392758" w:rsidRDefault="00016098" w:rsidP="00016098">
      <w:pPr>
        <w:spacing w:after="120" w:line="276" w:lineRule="auto"/>
        <w:jc w:val="both"/>
        <w:rPr>
          <w:rFonts w:ascii="Arial" w:hAnsi="Arial" w:cs="Arial"/>
          <w:lang w:val="es-ES_tradnl"/>
        </w:rPr>
      </w:pPr>
      <w:r w:rsidRPr="00392758">
        <w:rPr>
          <w:rFonts w:ascii="Arial" w:hAnsi="Arial" w:cs="Arial"/>
          <w:lang w:val="es-ES_tradnl"/>
        </w:rPr>
        <w:t>Este concepto tiene el alcance previsto en el artículo 28 del Código de Procedimiento Administrativo y de lo Contencioso Administrativo.</w:t>
      </w:r>
    </w:p>
    <w:p w14:paraId="57DFE4DD" w14:textId="77777777" w:rsidR="00016098" w:rsidRPr="00392758" w:rsidRDefault="00016098" w:rsidP="00016098">
      <w:pPr>
        <w:spacing w:line="276" w:lineRule="auto"/>
        <w:rPr>
          <w:rFonts w:ascii="Arial" w:hAnsi="Arial" w:cs="Arial"/>
          <w:lang w:eastAsia="es-CO"/>
        </w:rPr>
      </w:pPr>
    </w:p>
    <w:p w14:paraId="435BD018" w14:textId="77777777" w:rsidR="00016098" w:rsidRPr="00392758" w:rsidRDefault="00016098" w:rsidP="00016098">
      <w:pPr>
        <w:spacing w:line="276" w:lineRule="auto"/>
        <w:rPr>
          <w:rFonts w:ascii="Arial" w:hAnsi="Arial" w:cs="Arial"/>
        </w:rPr>
      </w:pPr>
      <w:r w:rsidRPr="00392758">
        <w:rPr>
          <w:rFonts w:ascii="Arial" w:hAnsi="Arial" w:cs="Arial"/>
          <w:lang w:eastAsia="es-CO"/>
        </w:rPr>
        <w:t>Atentamente,</w:t>
      </w:r>
    </w:p>
    <w:bookmarkEnd w:id="2"/>
    <w:p w14:paraId="344B1272" w14:textId="77777777" w:rsidR="00016098" w:rsidRPr="00D3299B" w:rsidRDefault="00016098" w:rsidP="00016098">
      <w:pPr>
        <w:spacing w:line="276" w:lineRule="auto"/>
      </w:pPr>
    </w:p>
    <w:p w14:paraId="3F0F5E34" w14:textId="27A7CE79" w:rsidR="00016098" w:rsidRPr="008A6B08" w:rsidRDefault="00C1213E" w:rsidP="00016098">
      <w:pPr>
        <w:spacing w:line="276" w:lineRule="auto"/>
        <w:jc w:val="center"/>
        <w:rPr>
          <w:rFonts w:ascii="Arial" w:hAnsi="Arial" w:cs="Arial"/>
          <w:lang w:eastAsia="es-CO"/>
        </w:rPr>
      </w:pPr>
      <w:r>
        <w:rPr>
          <w:noProof/>
        </w:rPr>
        <w:lastRenderedPageBreak/>
        <w:drawing>
          <wp:inline distT="0" distB="0" distL="0" distR="0" wp14:anchorId="6BA8C1E9" wp14:editId="4423EC33">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3"/>
                    <a:stretch>
                      <a:fillRect/>
                    </a:stretch>
                  </pic:blipFill>
                  <pic:spPr>
                    <a:xfrm>
                      <a:off x="0" y="0"/>
                      <a:ext cx="2785707" cy="1068836"/>
                    </a:xfrm>
                    <a:prstGeom prst="rect">
                      <a:avLst/>
                    </a:prstGeom>
                  </pic:spPr>
                </pic:pic>
              </a:graphicData>
            </a:graphic>
          </wp:inline>
        </w:drawing>
      </w:r>
    </w:p>
    <w:p w14:paraId="4B9DD2F9" w14:textId="77777777" w:rsidR="00016098" w:rsidRPr="008A6B08" w:rsidRDefault="00016098" w:rsidP="00016098">
      <w:pPr>
        <w:spacing w:line="276" w:lineRule="auto"/>
        <w:jc w:val="center"/>
        <w:rPr>
          <w:rFonts w:ascii="Arial" w:hAnsi="Arial" w:cs="Arial"/>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016098" w:rsidRPr="008A6B08" w14:paraId="6EB4A47E" w14:textId="77777777" w:rsidTr="00BF1483">
        <w:trPr>
          <w:trHeight w:val="315"/>
        </w:trPr>
        <w:tc>
          <w:tcPr>
            <w:tcW w:w="812" w:type="dxa"/>
            <w:vAlign w:val="center"/>
          </w:tcPr>
          <w:p w14:paraId="00B36B62" w14:textId="77777777" w:rsidR="00016098" w:rsidRPr="008A6B08" w:rsidRDefault="00016098" w:rsidP="00BF1483">
            <w:pPr>
              <w:spacing w:line="276" w:lineRule="auto"/>
              <w:rPr>
                <w:rFonts w:ascii="Arial" w:hAnsi="Arial" w:cs="Arial"/>
                <w:sz w:val="16"/>
                <w:szCs w:val="16"/>
                <w:lang w:eastAsia="es-ES"/>
              </w:rPr>
            </w:pPr>
            <w:r w:rsidRPr="008A6B08">
              <w:rPr>
                <w:rFonts w:ascii="Arial" w:hAnsi="Arial" w:cs="Arial"/>
                <w:sz w:val="16"/>
                <w:szCs w:val="16"/>
                <w:lang w:eastAsia="es-ES"/>
              </w:rPr>
              <w:t>Elaboró:</w:t>
            </w:r>
          </w:p>
        </w:tc>
        <w:tc>
          <w:tcPr>
            <w:tcW w:w="4413" w:type="dxa"/>
            <w:tcBorders>
              <w:bottom w:val="dotted" w:sz="4" w:space="0" w:color="7F7F7F" w:themeColor="text1" w:themeTint="80"/>
            </w:tcBorders>
            <w:vAlign w:val="center"/>
          </w:tcPr>
          <w:p w14:paraId="7E2B48AB" w14:textId="77777777" w:rsidR="00016098" w:rsidRPr="008A6B08" w:rsidRDefault="00016098" w:rsidP="00BF1483">
            <w:pPr>
              <w:spacing w:line="276" w:lineRule="auto"/>
              <w:rPr>
                <w:rFonts w:ascii="Arial" w:hAnsi="Arial" w:cs="Arial"/>
                <w:color w:val="000000" w:themeColor="text1"/>
                <w:sz w:val="16"/>
                <w:szCs w:val="16"/>
                <w:lang w:val="es-ES_tradnl" w:eastAsia="es-ES"/>
              </w:rPr>
            </w:pPr>
            <w:r w:rsidRPr="008A6B08">
              <w:rPr>
                <w:rFonts w:ascii="Arial" w:hAnsi="Arial" w:cs="Arial"/>
                <w:color w:val="000000" w:themeColor="text1"/>
                <w:sz w:val="16"/>
                <w:szCs w:val="16"/>
                <w:lang w:val="es-ES_tradnl" w:eastAsia="es-ES"/>
              </w:rPr>
              <w:t xml:space="preserve">María Valeska Medellín Mora </w:t>
            </w:r>
          </w:p>
          <w:p w14:paraId="5D8FBF8E" w14:textId="77777777" w:rsidR="00016098" w:rsidRPr="008A6B08" w:rsidRDefault="00016098" w:rsidP="00BF1483">
            <w:pPr>
              <w:spacing w:line="276" w:lineRule="auto"/>
              <w:rPr>
                <w:rFonts w:ascii="Arial" w:hAnsi="Arial" w:cs="Arial"/>
                <w:sz w:val="16"/>
                <w:szCs w:val="16"/>
                <w:lang w:eastAsia="es-ES"/>
              </w:rPr>
            </w:pPr>
            <w:r w:rsidRPr="008A6B08">
              <w:rPr>
                <w:rFonts w:ascii="Arial" w:hAnsi="Arial" w:cs="Arial"/>
                <w:color w:val="000000" w:themeColor="text1"/>
                <w:sz w:val="16"/>
                <w:szCs w:val="16"/>
                <w:lang w:val="es-ES_tradnl" w:eastAsia="es-ES"/>
              </w:rPr>
              <w:t>Gestor T1-15 de la Subdirección de Gestión Contractual</w:t>
            </w:r>
          </w:p>
        </w:tc>
      </w:tr>
      <w:tr w:rsidR="00016098" w:rsidRPr="008A6B08" w14:paraId="10912C67" w14:textId="77777777" w:rsidTr="00BF1483">
        <w:trPr>
          <w:trHeight w:val="330"/>
        </w:trPr>
        <w:tc>
          <w:tcPr>
            <w:tcW w:w="812" w:type="dxa"/>
            <w:vAlign w:val="center"/>
          </w:tcPr>
          <w:p w14:paraId="231763EC" w14:textId="77777777" w:rsidR="00016098" w:rsidRPr="008A6B08" w:rsidRDefault="00016098" w:rsidP="00BF1483">
            <w:pPr>
              <w:spacing w:line="276" w:lineRule="auto"/>
              <w:rPr>
                <w:rFonts w:ascii="Arial" w:hAnsi="Arial" w:cs="Arial"/>
                <w:sz w:val="16"/>
                <w:szCs w:val="16"/>
                <w:lang w:eastAsia="es-ES"/>
              </w:rPr>
            </w:pPr>
            <w:r w:rsidRPr="008A6B08">
              <w:rPr>
                <w:rFonts w:ascii="Arial" w:hAnsi="Arial"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536108CF" w14:textId="77777777" w:rsidR="00016098" w:rsidRPr="008A6B08" w:rsidRDefault="00016098" w:rsidP="00BF1483">
            <w:pPr>
              <w:spacing w:line="276" w:lineRule="auto"/>
              <w:rPr>
                <w:rFonts w:ascii="Arial" w:hAnsi="Arial" w:cs="Arial"/>
                <w:sz w:val="16"/>
                <w:szCs w:val="16"/>
                <w:lang w:eastAsia="es-ES"/>
              </w:rPr>
            </w:pPr>
            <w:r w:rsidRPr="008A6B08">
              <w:rPr>
                <w:rFonts w:ascii="Arial" w:hAnsi="Arial" w:cs="Arial"/>
                <w:sz w:val="16"/>
                <w:szCs w:val="16"/>
                <w:lang w:eastAsia="es-ES"/>
              </w:rPr>
              <w:t>Alejandro Sarmiento Cantillo</w:t>
            </w:r>
          </w:p>
          <w:p w14:paraId="4C9BD041" w14:textId="77777777" w:rsidR="00016098" w:rsidRPr="008A6B08" w:rsidRDefault="00016098" w:rsidP="00BF1483">
            <w:pPr>
              <w:spacing w:line="276" w:lineRule="auto"/>
              <w:rPr>
                <w:rFonts w:ascii="Arial" w:hAnsi="Arial" w:cs="Arial"/>
                <w:sz w:val="16"/>
                <w:szCs w:val="16"/>
                <w:lang w:eastAsia="es-ES"/>
              </w:rPr>
            </w:pPr>
            <w:r w:rsidRPr="008A6B08">
              <w:rPr>
                <w:rFonts w:ascii="Arial" w:hAnsi="Arial" w:cs="Arial"/>
                <w:color w:val="000000" w:themeColor="text1"/>
                <w:sz w:val="16"/>
                <w:szCs w:val="16"/>
                <w:lang w:val="es-ES_tradnl" w:eastAsia="es-ES"/>
              </w:rPr>
              <w:t>Gestor T1-15 de la Subdirección de Gestión Contractual</w:t>
            </w:r>
          </w:p>
        </w:tc>
      </w:tr>
      <w:tr w:rsidR="00016098" w:rsidRPr="008A6B08" w14:paraId="4BACB6C1" w14:textId="77777777" w:rsidTr="00BF1483">
        <w:trPr>
          <w:trHeight w:val="300"/>
        </w:trPr>
        <w:tc>
          <w:tcPr>
            <w:tcW w:w="812" w:type="dxa"/>
            <w:vAlign w:val="center"/>
          </w:tcPr>
          <w:p w14:paraId="2C611647" w14:textId="77777777" w:rsidR="00016098" w:rsidRPr="008A6B08" w:rsidRDefault="00016098" w:rsidP="00BF1483">
            <w:pPr>
              <w:spacing w:line="276" w:lineRule="auto"/>
              <w:rPr>
                <w:rFonts w:ascii="Arial" w:hAnsi="Arial" w:cs="Arial"/>
                <w:sz w:val="16"/>
                <w:szCs w:val="16"/>
                <w:lang w:eastAsia="es-ES"/>
              </w:rPr>
            </w:pPr>
            <w:r w:rsidRPr="008A6B08">
              <w:rPr>
                <w:rFonts w:ascii="Arial" w:hAnsi="Arial"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23A077BD" w14:textId="77777777" w:rsidR="00016098" w:rsidRPr="008A6B08" w:rsidRDefault="00016098" w:rsidP="00BF1483">
            <w:pPr>
              <w:spacing w:line="276" w:lineRule="auto"/>
              <w:rPr>
                <w:rFonts w:ascii="Arial" w:eastAsia="Calibri" w:hAnsi="Arial" w:cs="Arial"/>
                <w:sz w:val="16"/>
                <w:szCs w:val="16"/>
                <w:lang w:val="pt-BR" w:eastAsia="es-ES"/>
              </w:rPr>
            </w:pPr>
            <w:r w:rsidRPr="008A6B08">
              <w:rPr>
                <w:rFonts w:ascii="Arial" w:eastAsia="Calibri" w:hAnsi="Arial" w:cs="Arial"/>
                <w:sz w:val="16"/>
                <w:szCs w:val="16"/>
                <w:lang w:val="pt-BR" w:eastAsia="es-ES"/>
              </w:rPr>
              <w:t>Nohelia Del Carmen Zawady Palacio</w:t>
            </w:r>
          </w:p>
          <w:p w14:paraId="5E1E4E3F" w14:textId="77777777" w:rsidR="00016098" w:rsidRPr="008A6B08" w:rsidRDefault="00016098" w:rsidP="00BF1483">
            <w:pPr>
              <w:spacing w:line="276" w:lineRule="auto"/>
              <w:rPr>
                <w:rFonts w:ascii="Arial" w:hAnsi="Arial" w:cs="Arial"/>
                <w:sz w:val="16"/>
                <w:szCs w:val="16"/>
                <w:lang w:eastAsia="es-ES"/>
              </w:rPr>
            </w:pPr>
            <w:r w:rsidRPr="008A6B08">
              <w:rPr>
                <w:rFonts w:ascii="Arial" w:eastAsia="Calibri" w:hAnsi="Arial" w:cs="Arial"/>
                <w:sz w:val="16"/>
                <w:szCs w:val="16"/>
                <w:lang w:eastAsia="es-ES"/>
              </w:rPr>
              <w:t xml:space="preserve">Subdirectora de Gestión Contractual </w:t>
            </w:r>
          </w:p>
        </w:tc>
      </w:tr>
    </w:tbl>
    <w:p w14:paraId="3BEBEB39" w14:textId="77777777" w:rsidR="00016098" w:rsidRPr="002873D0" w:rsidRDefault="00016098" w:rsidP="00016098">
      <w:pPr>
        <w:spacing w:line="276" w:lineRule="auto"/>
        <w:rPr>
          <w:lang w:val="pt-BR"/>
        </w:rPr>
      </w:pPr>
    </w:p>
    <w:p w14:paraId="64ABACC4" w14:textId="77777777" w:rsidR="00016098" w:rsidRPr="009F0084" w:rsidRDefault="00016098" w:rsidP="00016098">
      <w:pPr>
        <w:spacing w:line="276" w:lineRule="auto"/>
        <w:jc w:val="both"/>
        <w:rPr>
          <w:rFonts w:ascii="Arial" w:hAnsi="Arial" w:cs="Arial"/>
          <w:lang w:val="es-ES_tradnl"/>
        </w:rPr>
      </w:pPr>
    </w:p>
    <w:p w14:paraId="290FCAD9" w14:textId="77777777" w:rsidR="00016098" w:rsidRPr="000432CF" w:rsidRDefault="00016098" w:rsidP="00016098"/>
    <w:p w14:paraId="35B56F46" w14:textId="68D0B3F1" w:rsidR="00746E08" w:rsidRPr="00016098" w:rsidRDefault="00746E08" w:rsidP="00016098"/>
    <w:sectPr w:rsidR="00746E08" w:rsidRPr="00016098" w:rsidSect="005D791B">
      <w:headerReference w:type="even" r:id="rId14"/>
      <w:headerReference w:type="default" r:id="rId15"/>
      <w:footerReference w:type="even" r:id="rId16"/>
      <w:footerReference w:type="default" r:id="rId17"/>
      <w:headerReference w:type="first" r:id="rId18"/>
      <w:footerReference w:type="first" r:id="rId19"/>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C02FC" w14:textId="77777777" w:rsidR="00E859E1" w:rsidRDefault="00E859E1">
      <w:r>
        <w:separator/>
      </w:r>
    </w:p>
  </w:endnote>
  <w:endnote w:type="continuationSeparator" w:id="0">
    <w:p w14:paraId="1FEDC00D" w14:textId="77777777" w:rsidR="00E859E1" w:rsidRDefault="00E859E1">
      <w:r>
        <w:continuationSeparator/>
      </w:r>
    </w:p>
  </w:endnote>
  <w:endnote w:type="continuationNotice" w:id="1">
    <w:p w14:paraId="794A8C96" w14:textId="77777777" w:rsidR="00E859E1" w:rsidRDefault="00E859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HelveticaNeueLTPro-It">
    <w:altName w:val="Arial"/>
    <w:panose1 w:val="00000000000000000000"/>
    <w:charset w:val="00"/>
    <w:family w:val="swiss"/>
    <w:notTrueType/>
    <w:pitch w:val="default"/>
    <w:sig w:usb0="00000003" w:usb1="00000000" w:usb2="00000000" w:usb3="00000000" w:csb0="00000001" w:csb1="00000000"/>
  </w:font>
  <w:font w:name="Arial Nova">
    <w:altName w:val="Arial"/>
    <w:charset w:val="00"/>
    <w:family w:val="swiss"/>
    <w:pitch w:val="variable"/>
    <w:sig w:usb0="2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panose1 w:val="020005030000000200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74F11" w14:textId="77777777" w:rsidR="00C02E08" w:rsidRDefault="00C02E0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2A34" w14:textId="77777777" w:rsidR="008F4163" w:rsidRDefault="008F4163" w:rsidP="00322937">
    <w:pPr>
      <w:pStyle w:val="Sinespaciado"/>
      <w:jc w:val="right"/>
      <w:rPr>
        <w:rFonts w:ascii="Arial" w:hAnsi="Arial" w:cs="Arial"/>
        <w:sz w:val="18"/>
        <w:szCs w:val="18"/>
      </w:rPr>
    </w:pPr>
  </w:p>
  <w:p w14:paraId="2CD20B76" w14:textId="77777777" w:rsidR="00E62052" w:rsidRDefault="00E62052" w:rsidP="00E62052">
    <w:pPr>
      <w:pStyle w:val="Piedepgina"/>
    </w:pPr>
    <w:r>
      <w:rPr>
        <w:noProof/>
        <w:lang w:val="en-US"/>
      </w:rPr>
      <w:drawing>
        <wp:inline distT="0" distB="0" distL="0" distR="0" wp14:anchorId="7B031DB1" wp14:editId="41970F6E">
          <wp:extent cx="5742143" cy="892175"/>
          <wp:effectExtent l="0" t="0" r="0" b="3175"/>
          <wp:docPr id="11" name="Imagen 11"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E62052" w:rsidRPr="00080DA3" w14:paraId="696FA468" w14:textId="77777777" w:rsidTr="00B95607">
      <w:trPr>
        <w:trHeight w:val="274"/>
        <w:jc w:val="center"/>
      </w:trPr>
      <w:tc>
        <w:tcPr>
          <w:tcW w:w="838"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110E7282" w14:textId="77777777" w:rsidR="00E62052" w:rsidRPr="00080DA3" w:rsidRDefault="00E62052" w:rsidP="00E6205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724B8C86" w14:textId="77777777" w:rsidR="00E62052" w:rsidRPr="00080DA3" w:rsidRDefault="00E62052" w:rsidP="00E62052">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575AE814" w14:textId="77777777" w:rsidR="00E62052" w:rsidRPr="00080DA3" w:rsidRDefault="00E62052" w:rsidP="00E6205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vAlign w:val="center"/>
        </w:tcPr>
        <w:p w14:paraId="55861F01" w14:textId="77777777" w:rsidR="00E62052" w:rsidRPr="004B6B0E" w:rsidRDefault="00E62052" w:rsidP="00E6205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15605E1B" w14:textId="77777777" w:rsidR="00E62052" w:rsidRPr="00080DA3" w:rsidRDefault="00E62052" w:rsidP="00E6205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2D06E523" w14:textId="77777777" w:rsidR="00E62052" w:rsidRPr="00080DA3" w:rsidRDefault="00E62052" w:rsidP="00E62052">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6D6D6D" w:themeColor="background1" w:themeShade="80"/>
            <w:left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7C913372" w14:textId="77777777" w:rsidR="00E62052" w:rsidRPr="00080DA3" w:rsidRDefault="00E62052" w:rsidP="00E6205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23</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23</w:t>
          </w:r>
          <w:r w:rsidRPr="00080DA3">
            <w:rPr>
              <w:rFonts w:ascii="Geomanist Light" w:hAnsi="Geomanist Light"/>
              <w:b/>
              <w:bCs/>
              <w:sz w:val="18"/>
              <w:szCs w:val="18"/>
            </w:rPr>
            <w:fldChar w:fldCharType="end"/>
          </w:r>
        </w:p>
      </w:tc>
    </w:tr>
  </w:tbl>
  <w:p w14:paraId="48FC6A04" w14:textId="00CBFDBE" w:rsidR="008F4163" w:rsidRDefault="008F4163" w:rsidP="00E62052">
    <w:pPr>
      <w:pStyle w:val="Piedepgina"/>
      <w:jc w:val="right"/>
      <w:rPr>
        <w:lang w:val="es-ES"/>
      </w:rPr>
    </w:pP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A2EFC" w14:textId="77777777" w:rsidR="00C02E08" w:rsidRDefault="00C02E0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CB3B9" w14:textId="77777777" w:rsidR="00E859E1" w:rsidRDefault="00E859E1">
      <w:r>
        <w:separator/>
      </w:r>
    </w:p>
  </w:footnote>
  <w:footnote w:type="continuationSeparator" w:id="0">
    <w:p w14:paraId="02144889" w14:textId="77777777" w:rsidR="00E859E1" w:rsidRDefault="00E859E1">
      <w:r>
        <w:continuationSeparator/>
      </w:r>
    </w:p>
  </w:footnote>
  <w:footnote w:type="continuationNotice" w:id="1">
    <w:p w14:paraId="369AC999" w14:textId="77777777" w:rsidR="00E859E1" w:rsidRDefault="00E859E1"/>
  </w:footnote>
  <w:footnote w:id="2">
    <w:p w14:paraId="0E92B1F7" w14:textId="77777777" w:rsidR="00016098" w:rsidRPr="00BF1483" w:rsidRDefault="00016098" w:rsidP="00016098">
      <w:pPr>
        <w:pStyle w:val="Textonotapie"/>
        <w:ind w:firstLine="709"/>
        <w:jc w:val="both"/>
        <w:rPr>
          <w:rFonts w:ascii="Arial" w:hAnsi="Arial" w:cs="Arial"/>
          <w:sz w:val="18"/>
          <w:szCs w:val="18"/>
          <w:lang w:val="es-ES"/>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Artículos 2 al 29.</w:t>
      </w:r>
    </w:p>
    <w:p w14:paraId="2CC21345" w14:textId="77777777" w:rsidR="00016098" w:rsidRPr="00BF1483" w:rsidRDefault="00016098" w:rsidP="00016098">
      <w:pPr>
        <w:pStyle w:val="Textonotapie"/>
        <w:ind w:firstLine="709"/>
        <w:jc w:val="both"/>
        <w:rPr>
          <w:rFonts w:ascii="Arial" w:hAnsi="Arial" w:cs="Arial"/>
          <w:sz w:val="18"/>
          <w:szCs w:val="18"/>
          <w:lang w:val="es-ES"/>
        </w:rPr>
      </w:pPr>
    </w:p>
  </w:footnote>
  <w:footnote w:id="3">
    <w:p w14:paraId="2C69FCEF" w14:textId="77777777" w:rsidR="00016098" w:rsidRPr="00BF1483" w:rsidRDefault="00016098" w:rsidP="00016098">
      <w:pPr>
        <w:pStyle w:val="Textonotapie"/>
        <w:ind w:firstLine="709"/>
        <w:jc w:val="both"/>
        <w:rPr>
          <w:rFonts w:ascii="Arial" w:hAnsi="Arial" w:cs="Arial"/>
          <w:sz w:val="18"/>
          <w:szCs w:val="18"/>
          <w:lang w:val="es-ES"/>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Artículos 30 al 36.</w:t>
      </w:r>
    </w:p>
    <w:p w14:paraId="79191F82" w14:textId="77777777" w:rsidR="00016098" w:rsidRPr="00BF1483" w:rsidRDefault="00016098" w:rsidP="00016098">
      <w:pPr>
        <w:pStyle w:val="Textonotapie"/>
        <w:ind w:firstLine="709"/>
        <w:jc w:val="both"/>
        <w:rPr>
          <w:rFonts w:ascii="Arial" w:hAnsi="Arial" w:cs="Arial"/>
          <w:sz w:val="18"/>
          <w:szCs w:val="18"/>
          <w:lang w:val="es-ES"/>
        </w:rPr>
      </w:pPr>
    </w:p>
  </w:footnote>
  <w:footnote w:id="4">
    <w:p w14:paraId="53DAB164" w14:textId="77777777" w:rsidR="00016098" w:rsidRPr="00BF1483" w:rsidRDefault="00016098" w:rsidP="00016098">
      <w:pPr>
        <w:pStyle w:val="Textonotapie"/>
        <w:ind w:firstLine="709"/>
        <w:jc w:val="both"/>
        <w:rPr>
          <w:rFonts w:ascii="Arial" w:hAnsi="Arial" w:cs="Arial"/>
          <w:sz w:val="18"/>
          <w:szCs w:val="18"/>
          <w:lang w:val="es-ES"/>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Artículos 37 al 45.</w:t>
      </w:r>
    </w:p>
    <w:p w14:paraId="07D42A37" w14:textId="77777777" w:rsidR="00016098" w:rsidRPr="00BF1483" w:rsidRDefault="00016098" w:rsidP="00016098">
      <w:pPr>
        <w:pStyle w:val="Textonotapie"/>
        <w:ind w:firstLine="709"/>
        <w:jc w:val="both"/>
        <w:rPr>
          <w:rFonts w:ascii="Arial" w:hAnsi="Arial" w:cs="Arial"/>
          <w:sz w:val="18"/>
          <w:szCs w:val="18"/>
          <w:lang w:val="es-ES"/>
        </w:rPr>
      </w:pPr>
    </w:p>
  </w:footnote>
  <w:footnote w:id="5">
    <w:p w14:paraId="71642E22" w14:textId="77777777" w:rsidR="00016098" w:rsidRPr="00BF1483" w:rsidRDefault="00016098" w:rsidP="00016098">
      <w:pPr>
        <w:pStyle w:val="Textonotapie"/>
        <w:ind w:firstLine="709"/>
        <w:jc w:val="both"/>
        <w:rPr>
          <w:rFonts w:ascii="Arial" w:hAnsi="Arial" w:cs="Arial"/>
          <w:sz w:val="18"/>
          <w:szCs w:val="18"/>
          <w:lang w:val="es-ES"/>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Artículos 46 al 73.</w:t>
      </w:r>
    </w:p>
    <w:p w14:paraId="2B4ACA5C" w14:textId="77777777" w:rsidR="00016098" w:rsidRPr="00BF1483" w:rsidRDefault="00016098" w:rsidP="00016098">
      <w:pPr>
        <w:pStyle w:val="Textonotapie"/>
        <w:ind w:firstLine="709"/>
        <w:jc w:val="both"/>
        <w:rPr>
          <w:rFonts w:ascii="Arial" w:hAnsi="Arial" w:cs="Arial"/>
          <w:sz w:val="18"/>
          <w:szCs w:val="18"/>
          <w:lang w:val="es-ES"/>
        </w:rPr>
      </w:pPr>
    </w:p>
  </w:footnote>
  <w:footnote w:id="6">
    <w:p w14:paraId="6F41F693" w14:textId="77777777" w:rsidR="00016098" w:rsidRPr="00BF1483" w:rsidRDefault="00016098" w:rsidP="00016098">
      <w:pPr>
        <w:pStyle w:val="Textonotapie"/>
        <w:ind w:firstLine="709"/>
        <w:jc w:val="both"/>
        <w:rPr>
          <w:rFonts w:ascii="Arial" w:hAnsi="Arial" w:cs="Arial"/>
          <w:sz w:val="18"/>
          <w:szCs w:val="18"/>
          <w:lang w:val="es-ES"/>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Artículos 74 al 83.</w:t>
      </w:r>
    </w:p>
  </w:footnote>
  <w:footnote w:id="7">
    <w:p w14:paraId="509D465C" w14:textId="77777777" w:rsidR="00016098" w:rsidRPr="00BF1483" w:rsidRDefault="00016098" w:rsidP="00016098">
      <w:pPr>
        <w:ind w:firstLine="709"/>
        <w:jc w:val="both"/>
        <w:rPr>
          <w:rFonts w:ascii="Arial" w:hAnsi="Arial" w:cs="Arial"/>
          <w:sz w:val="18"/>
          <w:szCs w:val="18"/>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En efecto, el artículo 34 de la Ley 2069 de 2020 establece: «</w:t>
      </w:r>
      <w:r w:rsidRPr="00BF1483">
        <w:rPr>
          <w:rFonts w:ascii="Arial" w:hAnsi="Arial" w:cs="Arial"/>
          <w:sz w:val="18"/>
          <w:szCs w:val="18"/>
        </w:rPr>
        <w:t xml:space="preserve">Modifíquese el artículo 12 de la Ley 1150 de 2007, el cual quedará así: </w:t>
      </w:r>
    </w:p>
    <w:p w14:paraId="3CA1130F"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rPr>
        <w:t>»</w:t>
      </w:r>
      <w:r w:rsidRPr="00BF1483">
        <w:rPr>
          <w:rFonts w:ascii="Arial" w:eastAsia="Calibri" w:hAnsi="Arial" w:cs="Arial"/>
          <w:color w:val="000000" w:themeColor="text1"/>
          <w:sz w:val="18"/>
          <w:szCs w:val="18"/>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0A6505E9"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60A07EDB"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lang w:val="es-ES_tradnl"/>
        </w:rPr>
        <w:t>»En todo caso, se deberá garantizar la satisfacción de las condiciones técnicas y económicas requeridas en el Proceso de Contratación.</w:t>
      </w:r>
    </w:p>
    <w:p w14:paraId="082F6EC7"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1EB98C41"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4F4669C9"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5B552B7F" w14:textId="77777777" w:rsidR="00016098" w:rsidRPr="00BF1483" w:rsidRDefault="00016098" w:rsidP="00016098">
      <w:pPr>
        <w:ind w:firstLine="709"/>
        <w:jc w:val="both"/>
        <w:rPr>
          <w:rFonts w:ascii="Arial" w:eastAsia="Calibri" w:hAnsi="Arial" w:cs="Arial"/>
          <w:color w:val="000000" w:themeColor="text1"/>
          <w:sz w:val="18"/>
          <w:szCs w:val="18"/>
          <w:lang w:val="es-ES_tradnl"/>
        </w:rPr>
      </w:pPr>
      <w:r w:rsidRPr="00BF1483">
        <w:rPr>
          <w:rFonts w:ascii="Arial" w:eastAsia="Calibri" w:hAnsi="Arial" w:cs="Arial"/>
          <w:color w:val="000000" w:themeColor="text1"/>
          <w:sz w:val="18"/>
          <w:szCs w:val="18"/>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6D727B0E" w14:textId="77777777" w:rsidR="00016098" w:rsidRPr="00BF1483" w:rsidRDefault="00016098" w:rsidP="00016098">
      <w:pPr>
        <w:pStyle w:val="Textonotapie"/>
        <w:ind w:firstLine="709"/>
        <w:jc w:val="both"/>
        <w:rPr>
          <w:rFonts w:ascii="Arial" w:hAnsi="Arial" w:cs="Arial"/>
          <w:sz w:val="18"/>
          <w:szCs w:val="18"/>
          <w:lang w:val="es-ES_tradnl"/>
        </w:rPr>
      </w:pPr>
    </w:p>
  </w:footnote>
  <w:footnote w:id="8">
    <w:p w14:paraId="5BE7B2B5" w14:textId="77777777" w:rsidR="00016098" w:rsidRPr="00BF1483" w:rsidRDefault="00016098" w:rsidP="00016098">
      <w:pPr>
        <w:ind w:firstLine="709"/>
        <w:jc w:val="both"/>
        <w:rPr>
          <w:rFonts w:ascii="Arial" w:hAnsi="Arial" w:cs="Arial"/>
          <w:sz w:val="18"/>
          <w:szCs w:val="18"/>
          <w:lang w:val="es-ES"/>
        </w:rPr>
      </w:pPr>
      <w:r w:rsidRPr="00BF1483">
        <w:rPr>
          <w:rStyle w:val="Refdenotaalpie"/>
          <w:rFonts w:ascii="Arial" w:hAnsi="Arial" w:cs="Arial"/>
          <w:sz w:val="18"/>
          <w:szCs w:val="18"/>
        </w:rPr>
        <w:footnoteRef/>
      </w:r>
      <w:r w:rsidRPr="00BF1483">
        <w:rPr>
          <w:rFonts w:ascii="Arial" w:hAnsi="Arial" w:cs="Arial"/>
          <w:sz w:val="18"/>
          <w:szCs w:val="18"/>
        </w:rPr>
        <w:t xml:space="preserve"> </w:t>
      </w:r>
      <w:r w:rsidRPr="00BF1483">
        <w:rPr>
          <w:rFonts w:ascii="Arial" w:hAnsi="Arial" w:cs="Arial"/>
          <w:sz w:val="18"/>
          <w:szCs w:val="18"/>
          <w:lang w:val="es-ES"/>
        </w:rPr>
        <w:t>Corte Constitucional. Sentencia C-502 de 2012. Magistrada Ponente: Adriana María Guillén Arango.</w:t>
      </w:r>
    </w:p>
    <w:p w14:paraId="62BFB5E0" w14:textId="77777777" w:rsidR="00016098" w:rsidRPr="00BF1483" w:rsidRDefault="00016098" w:rsidP="00016098">
      <w:pPr>
        <w:pStyle w:val="Textonotapie"/>
        <w:ind w:firstLine="709"/>
        <w:jc w:val="both"/>
        <w:rPr>
          <w:rFonts w:ascii="Arial" w:hAnsi="Arial" w:cs="Arial"/>
          <w:sz w:val="18"/>
          <w:szCs w:val="18"/>
          <w:lang w:val="es-ES"/>
        </w:rPr>
      </w:pPr>
      <w:r w:rsidRPr="00BF1483">
        <w:rPr>
          <w:rFonts w:ascii="Arial" w:hAnsi="Arial" w:cs="Arial"/>
          <w:sz w:val="18"/>
          <w:szCs w:val="18"/>
          <w:lang w:val="es-ES"/>
        </w:rPr>
        <w:t xml:space="preserve"> </w:t>
      </w:r>
    </w:p>
  </w:footnote>
  <w:footnote w:id="9">
    <w:p w14:paraId="6FB13055" w14:textId="77777777" w:rsidR="00016098" w:rsidRPr="00BF1483" w:rsidRDefault="00016098" w:rsidP="00016098">
      <w:pPr>
        <w:pStyle w:val="Textonotapie"/>
        <w:ind w:firstLine="709"/>
        <w:jc w:val="both"/>
        <w:rPr>
          <w:rFonts w:ascii="Arial" w:hAnsi="Arial" w:cs="Arial"/>
          <w:sz w:val="18"/>
          <w:szCs w:val="18"/>
          <w:lang w:val="es-CO"/>
        </w:rPr>
      </w:pPr>
      <w:r w:rsidRPr="00BF1483">
        <w:rPr>
          <w:rStyle w:val="Refdenotaalpie"/>
          <w:rFonts w:ascii="Arial" w:hAnsi="Arial" w:cs="Arial"/>
          <w:sz w:val="18"/>
          <w:szCs w:val="18"/>
        </w:rPr>
        <w:footnoteRef/>
      </w:r>
      <w:r w:rsidRPr="00BF1483">
        <w:rPr>
          <w:rFonts w:ascii="Arial" w:hAnsi="Arial" w:cs="Arial"/>
          <w:sz w:val="18"/>
          <w:szCs w:val="18"/>
        </w:rPr>
        <w:t xml:space="preserve"> Dicho artículo indica que «</w:t>
      </w:r>
      <w:r w:rsidRPr="00BF1483">
        <w:rPr>
          <w:rFonts w:ascii="Arial" w:hAnsi="Arial" w:cs="Arial"/>
          <w:color w:val="000000"/>
          <w:sz w:val="18"/>
          <w:szCs w:val="18"/>
        </w:rPr>
        <w:t>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 </w:t>
      </w:r>
      <w:r w:rsidRPr="00BF1483">
        <w:rPr>
          <w:rFonts w:ascii="Arial" w:hAnsi="Arial" w:cs="Arial"/>
          <w:sz w:val="18"/>
          <w:szCs w:val="18"/>
        </w:rPr>
        <w:t xml:space="preserve"> </w:t>
      </w:r>
    </w:p>
  </w:footnote>
  <w:footnote w:id="10">
    <w:p w14:paraId="7B982489" w14:textId="77777777" w:rsidR="00016098" w:rsidRPr="002D1DED" w:rsidRDefault="00016098" w:rsidP="00016098">
      <w:pPr>
        <w:pStyle w:val="NormalWeb"/>
        <w:ind w:firstLine="709"/>
        <w:rPr>
          <w:rFonts w:ascii="Arial" w:hAnsi="Arial" w:cs="Arial"/>
          <w:sz w:val="18"/>
          <w:szCs w:val="18"/>
        </w:rPr>
      </w:pPr>
      <w:r w:rsidRPr="002D1DED">
        <w:rPr>
          <w:rStyle w:val="Refdenotaalpie"/>
          <w:rFonts w:ascii="Arial" w:hAnsi="Arial" w:cs="Arial"/>
          <w:sz w:val="18"/>
          <w:szCs w:val="18"/>
        </w:rPr>
        <w:footnoteRef/>
      </w:r>
      <w:r w:rsidRPr="002D1DED">
        <w:rPr>
          <w:rFonts w:ascii="Arial" w:hAnsi="Arial" w:cs="Arial"/>
          <w:sz w:val="18"/>
          <w:szCs w:val="18"/>
        </w:rPr>
        <w:t xml:space="preserve"> </w:t>
      </w:r>
      <w:r w:rsidRPr="002D1DED">
        <w:rPr>
          <w:rFonts w:ascii="Arial" w:hAnsi="Arial" w:cs="Arial"/>
          <w:sz w:val="18"/>
          <w:szCs w:val="18"/>
          <w:lang w:val="es-ES"/>
        </w:rPr>
        <w:t>“</w:t>
      </w:r>
      <w:r w:rsidRPr="002D1DED">
        <w:rPr>
          <w:rFonts w:ascii="Arial" w:hAnsi="Arial" w:cs="Arial"/>
          <w:sz w:val="18"/>
          <w:szCs w:val="18"/>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16BE9F1F" w14:textId="77777777" w:rsidR="00016098" w:rsidRPr="002D1DED" w:rsidRDefault="00016098" w:rsidP="00016098">
      <w:pPr>
        <w:ind w:firstLine="709"/>
        <w:jc w:val="both"/>
        <w:rPr>
          <w:rFonts w:ascii="Arial" w:hAnsi="Arial" w:cs="Arial"/>
          <w:sz w:val="18"/>
          <w:szCs w:val="18"/>
        </w:rPr>
      </w:pPr>
      <w:r w:rsidRPr="002D1DED">
        <w:rPr>
          <w:rFonts w:ascii="Arial" w:hAnsi="Arial" w:cs="Arial"/>
          <w:sz w:val="18"/>
          <w:szCs w:val="18"/>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11">
    <w:p w14:paraId="29EB2BC6" w14:textId="77777777" w:rsidR="00016098" w:rsidRPr="002D1DED" w:rsidRDefault="00016098" w:rsidP="00016098">
      <w:pPr>
        <w:pStyle w:val="NormalWeb"/>
        <w:ind w:firstLine="709"/>
        <w:rPr>
          <w:rFonts w:ascii="Arial" w:hAnsi="Arial" w:cs="Arial"/>
          <w:sz w:val="18"/>
          <w:szCs w:val="18"/>
          <w:lang w:val="es-ES"/>
        </w:rPr>
      </w:pPr>
      <w:r w:rsidRPr="002D1DED">
        <w:rPr>
          <w:rStyle w:val="Refdenotaalpie"/>
          <w:rFonts w:ascii="Arial" w:hAnsi="Arial" w:cs="Arial"/>
          <w:sz w:val="18"/>
          <w:szCs w:val="18"/>
        </w:rPr>
        <w:footnoteRef/>
      </w:r>
      <w:r w:rsidRPr="002D1DED">
        <w:rPr>
          <w:rStyle w:val="Refdenotaalpie"/>
          <w:rFonts w:ascii="Arial" w:hAnsi="Arial" w:cs="Arial"/>
          <w:sz w:val="18"/>
          <w:szCs w:val="18"/>
        </w:rPr>
        <w:t xml:space="preserve"> «</w:t>
      </w:r>
      <w:r w:rsidRPr="002D1DED">
        <w:rPr>
          <w:rFonts w:ascii="Arial" w:hAnsi="Arial" w:cs="Arial"/>
          <w:sz w:val="18"/>
          <w:szCs w:val="18"/>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3DFB17A8" w14:textId="77777777" w:rsidR="00016098" w:rsidRPr="002D1DED" w:rsidRDefault="00016098" w:rsidP="00016098">
      <w:pPr>
        <w:pStyle w:val="NormalWeb"/>
        <w:ind w:firstLine="709"/>
        <w:rPr>
          <w:rFonts w:ascii="Arial" w:hAnsi="Arial" w:cs="Arial"/>
          <w:sz w:val="18"/>
          <w:szCs w:val="18"/>
          <w:lang w:val="es-ES"/>
        </w:rPr>
      </w:pPr>
      <w:r w:rsidRPr="002D1DED">
        <w:rPr>
          <w:rFonts w:ascii="Arial" w:hAnsi="Arial" w:cs="Arial"/>
          <w:sz w:val="18"/>
          <w:szCs w:val="18"/>
          <w:lang w:val="es-ES"/>
        </w:rPr>
        <w:t>» Parágrafo Transitorio. </w:t>
      </w:r>
      <w:hyperlink r:id="rId1" w:tgtFrame="_blank" w:history="1">
        <w:r w:rsidRPr="00BF1483">
          <w:rPr>
            <w:sz w:val="18"/>
            <w:szCs w:val="18"/>
          </w:rPr>
          <w:t>https://colaboracion.dnp.gov.co/CDT/Normatividad/DECRETO 579 DEL 31 DE MAYO DE 2021.pdf</w:t>
        </w:r>
      </w:hyperlink>
      <w:r w:rsidRPr="002D1DED">
        <w:rPr>
          <w:rFonts w:ascii="Arial" w:hAnsi="Arial" w:cs="Arial"/>
          <w:sz w:val="18"/>
          <w:szCs w:val="18"/>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  </w:t>
      </w:r>
    </w:p>
    <w:p w14:paraId="64C761DE" w14:textId="77777777" w:rsidR="00016098" w:rsidRPr="002D1DED" w:rsidRDefault="00016098" w:rsidP="00016098">
      <w:pPr>
        <w:pStyle w:val="NormalWeb"/>
        <w:ind w:firstLine="709"/>
        <w:rPr>
          <w:rFonts w:ascii="Arial" w:hAnsi="Arial" w:cs="Arial"/>
          <w:sz w:val="18"/>
          <w:szCs w:val="18"/>
          <w:lang w:val="es-ES"/>
        </w:rPr>
      </w:pPr>
      <w:r w:rsidRPr="002D1DED">
        <w:rPr>
          <w:rFonts w:ascii="Arial" w:hAnsi="Arial" w:cs="Arial"/>
          <w:sz w:val="18"/>
          <w:szCs w:val="18"/>
          <w:lang w:val="es-ES"/>
        </w:rPr>
        <w:t>» 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registro de cada proponente​».</w:t>
      </w:r>
    </w:p>
    <w:p w14:paraId="500279AF" w14:textId="77777777" w:rsidR="00016098" w:rsidRPr="002D1DED" w:rsidRDefault="00016098" w:rsidP="00016098">
      <w:pPr>
        <w:pStyle w:val="NormalWeb"/>
        <w:ind w:firstLine="709"/>
        <w:rPr>
          <w:rStyle w:val="Refdenotaalpie"/>
          <w:rFonts w:ascii="Arial" w:hAnsi="Arial" w:cs="Arial"/>
          <w:sz w:val="18"/>
          <w:szCs w:val="18"/>
        </w:rPr>
      </w:pPr>
    </w:p>
  </w:footnote>
  <w:footnote w:id="12">
    <w:p w14:paraId="0A0307F8" w14:textId="77777777" w:rsidR="00016098" w:rsidRPr="00BF1483" w:rsidRDefault="00016098" w:rsidP="00016098">
      <w:pPr>
        <w:pStyle w:val="Textonotapie"/>
        <w:ind w:firstLine="709"/>
        <w:jc w:val="both"/>
        <w:rPr>
          <w:rFonts w:ascii="Arial" w:hAnsi="Arial" w:cs="Arial"/>
          <w:color w:val="000000"/>
          <w:sz w:val="18"/>
          <w:szCs w:val="18"/>
          <w:lang w:val="es-ES"/>
        </w:rPr>
      </w:pPr>
      <w:r w:rsidRPr="00BF1483">
        <w:rPr>
          <w:rStyle w:val="Refdenotaalpie"/>
          <w:rFonts w:ascii="Arial" w:hAnsi="Arial" w:cs="Arial"/>
          <w:color w:val="000000"/>
          <w:sz w:val="18"/>
          <w:szCs w:val="18"/>
        </w:rPr>
        <w:footnoteRef/>
      </w:r>
      <w:r w:rsidRPr="00BF1483">
        <w:rPr>
          <w:rFonts w:ascii="Arial" w:hAnsi="Arial" w:cs="Arial"/>
          <w:color w:val="000000"/>
          <w:sz w:val="18"/>
          <w:szCs w:val="18"/>
        </w:rPr>
        <w:t xml:space="preserve"> Consejo de Estado. Sección Tercera. Sentencia del 4 de junio de 2008. Exp. No. 17.783. C.P. Myriam Guerrero de Escobar.</w:t>
      </w:r>
    </w:p>
  </w:footnote>
  <w:footnote w:id="13">
    <w:p w14:paraId="31555CF5" w14:textId="77777777" w:rsidR="00016098" w:rsidRPr="00BF1483" w:rsidRDefault="00016098" w:rsidP="00016098">
      <w:pPr>
        <w:pStyle w:val="Textonotapie"/>
        <w:ind w:firstLine="709"/>
        <w:jc w:val="both"/>
        <w:rPr>
          <w:rFonts w:ascii="Arial" w:hAnsi="Arial" w:cs="Arial"/>
          <w:color w:val="000000"/>
          <w:sz w:val="18"/>
          <w:szCs w:val="18"/>
          <w:lang w:val="es-ES"/>
        </w:rPr>
      </w:pPr>
      <w:r w:rsidRPr="00BF1483">
        <w:rPr>
          <w:rStyle w:val="Refdenotaalpie"/>
          <w:rFonts w:ascii="Arial" w:hAnsi="Arial" w:cs="Arial"/>
          <w:color w:val="000000"/>
          <w:sz w:val="18"/>
          <w:szCs w:val="18"/>
        </w:rPr>
        <w:footnoteRef/>
      </w:r>
      <w:r w:rsidRPr="00BF1483">
        <w:rPr>
          <w:rFonts w:ascii="Arial" w:hAnsi="Arial" w:cs="Arial"/>
          <w:color w:val="000000"/>
          <w:sz w:val="18"/>
          <w:szCs w:val="18"/>
        </w:rPr>
        <w:t xml:space="preserve"> Guía para el manejo de ofertas artificialmente bajas en Procesos de Contratación. p. 5.</w:t>
      </w:r>
    </w:p>
  </w:footnote>
  <w:footnote w:id="14">
    <w:p w14:paraId="32DBEEC2" w14:textId="77777777" w:rsidR="00016098" w:rsidRPr="00BF1483" w:rsidRDefault="00016098" w:rsidP="00016098">
      <w:pPr>
        <w:pStyle w:val="Textonotapie"/>
        <w:ind w:firstLine="709"/>
        <w:jc w:val="both"/>
        <w:rPr>
          <w:rFonts w:ascii="Arial" w:hAnsi="Arial" w:cs="Arial"/>
          <w:color w:val="000000"/>
          <w:sz w:val="18"/>
          <w:szCs w:val="18"/>
        </w:rPr>
      </w:pPr>
      <w:r w:rsidRPr="00BF1483">
        <w:rPr>
          <w:rStyle w:val="Refdenotaalpie"/>
          <w:rFonts w:ascii="Arial" w:hAnsi="Arial" w:cs="Arial"/>
          <w:color w:val="000000"/>
          <w:sz w:val="18"/>
          <w:szCs w:val="18"/>
        </w:rPr>
        <w:footnoteRef/>
      </w:r>
      <w:r w:rsidRPr="00BF1483">
        <w:rPr>
          <w:rFonts w:ascii="Arial" w:hAnsi="Arial" w:cs="Arial"/>
          <w:color w:val="000000"/>
          <w:sz w:val="18"/>
          <w:szCs w:val="18"/>
        </w:rPr>
        <w:t xml:space="preserve"> De acuerdo con el Consejo de Estado, Sección Quinta, sentencia del 22 de octubre de 2009. C.P.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p w14:paraId="3A635474" w14:textId="77777777" w:rsidR="00016098" w:rsidRPr="00BF1483" w:rsidRDefault="00016098" w:rsidP="00016098">
      <w:pPr>
        <w:pStyle w:val="Textonotapie"/>
        <w:ind w:firstLine="709"/>
        <w:jc w:val="both"/>
        <w:rPr>
          <w:rFonts w:ascii="Arial" w:hAnsi="Arial" w:cs="Arial"/>
          <w:color w:val="000000"/>
          <w:sz w:val="18"/>
          <w:szCs w:val="18"/>
          <w:lang w:val="es-ES"/>
        </w:rPr>
      </w:pPr>
    </w:p>
  </w:footnote>
  <w:footnote w:id="15">
    <w:p w14:paraId="0FABC707" w14:textId="77777777" w:rsidR="00016098" w:rsidRPr="00BF1483" w:rsidRDefault="00016098" w:rsidP="00016098">
      <w:pPr>
        <w:pStyle w:val="Textonotapie"/>
        <w:ind w:firstLine="709"/>
        <w:jc w:val="both"/>
        <w:rPr>
          <w:rFonts w:ascii="Arial" w:hAnsi="Arial" w:cs="Arial"/>
          <w:color w:val="000000"/>
          <w:sz w:val="18"/>
          <w:szCs w:val="18"/>
          <w:lang w:val="es-ES"/>
        </w:rPr>
      </w:pPr>
      <w:r w:rsidRPr="00BF1483">
        <w:rPr>
          <w:rStyle w:val="Refdenotaalpie"/>
          <w:rFonts w:ascii="Arial" w:hAnsi="Arial" w:cs="Arial"/>
          <w:color w:val="000000"/>
          <w:sz w:val="18"/>
          <w:szCs w:val="18"/>
        </w:rPr>
        <w:footnoteRef/>
      </w:r>
      <w:r w:rsidRPr="00BF1483">
        <w:rPr>
          <w:rFonts w:ascii="Arial" w:hAnsi="Arial" w:cs="Arial"/>
          <w:color w:val="000000"/>
          <w:sz w:val="18"/>
          <w:szCs w:val="18"/>
        </w:rPr>
        <w:t xml:space="preserve"> </w:t>
      </w:r>
      <w:r w:rsidRPr="00BF1483">
        <w:rPr>
          <w:rFonts w:ascii="Arial" w:hAnsi="Arial" w:cs="Arial"/>
          <w:color w:val="000000"/>
          <w:sz w:val="18"/>
          <w:szCs w:val="18"/>
          <w:lang w:val="es-ES"/>
        </w:rPr>
        <w:t>Consejo de Estado. Sección Segunda. Sentencia del 10 de junio de 1992. Exp. No. 4.249. C.P. Álvaro Lecompte Luna.</w:t>
      </w:r>
    </w:p>
    <w:p w14:paraId="4BFF05B3" w14:textId="77777777" w:rsidR="00016098" w:rsidRPr="00BF1483" w:rsidRDefault="00016098" w:rsidP="00016098">
      <w:pPr>
        <w:pStyle w:val="Textonotapie"/>
        <w:ind w:firstLine="709"/>
        <w:jc w:val="both"/>
        <w:rPr>
          <w:rFonts w:ascii="Arial" w:hAnsi="Arial" w:cs="Arial"/>
          <w:color w:val="000000"/>
          <w:sz w:val="18"/>
          <w:szCs w:val="18"/>
          <w:lang w:val="es-ES"/>
        </w:rPr>
      </w:pPr>
    </w:p>
  </w:footnote>
  <w:footnote w:id="16">
    <w:p w14:paraId="118A79AC" w14:textId="77777777" w:rsidR="00016098" w:rsidRPr="00BF1483" w:rsidRDefault="00016098" w:rsidP="00016098">
      <w:pPr>
        <w:pStyle w:val="Textonotapie"/>
        <w:ind w:firstLine="709"/>
        <w:jc w:val="both"/>
        <w:rPr>
          <w:rFonts w:ascii="Arial" w:hAnsi="Arial" w:cs="Arial"/>
          <w:color w:val="000000"/>
          <w:sz w:val="18"/>
          <w:szCs w:val="18"/>
        </w:rPr>
      </w:pPr>
      <w:r w:rsidRPr="00BF1483">
        <w:rPr>
          <w:rStyle w:val="Refdenotaalpie"/>
          <w:rFonts w:ascii="Arial" w:hAnsi="Arial" w:cs="Arial"/>
          <w:color w:val="000000"/>
          <w:sz w:val="18"/>
          <w:szCs w:val="18"/>
        </w:rPr>
        <w:footnoteRef/>
      </w:r>
      <w:r w:rsidRPr="00BF1483">
        <w:rPr>
          <w:rFonts w:ascii="Arial" w:hAnsi="Arial" w:cs="Arial"/>
          <w:color w:val="000000"/>
          <w:sz w:val="18"/>
          <w:szCs w:val="18"/>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De ahí que si la finalidad que justifica cierta decisión discrecional es la de satisfacer adecuadamente el interés público, sólo él puede servir como criterio para la adopción de la medida».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8BCCB" w14:textId="77777777" w:rsidR="00C02E08" w:rsidRDefault="00C02E0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95E8D" w14:textId="77777777" w:rsidR="00C02E08" w:rsidRPr="007566FE" w:rsidRDefault="00C02E08" w:rsidP="00C02E08">
    <w:pPr>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9264" behindDoc="1" locked="0" layoutInCell="1" hidden="0" allowOverlap="1" wp14:anchorId="0404E2C0" wp14:editId="4A7B9194">
          <wp:simplePos x="0" y="0"/>
          <wp:positionH relativeFrom="margin">
            <wp:align>right</wp:align>
          </wp:positionH>
          <wp:positionV relativeFrom="paragraph">
            <wp:posOffset>-80564</wp:posOffset>
          </wp:positionV>
          <wp:extent cx="1657350" cy="676275"/>
          <wp:effectExtent l="0" t="0" r="0" b="9525"/>
          <wp:wrapNone/>
          <wp:docPr id="25" name="Imagen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hAnsi="Geomanist Light"/>
        <w:color w:val="002060"/>
        <w:sz w:val="16"/>
        <w:szCs w:val="16"/>
      </w:rPr>
      <w:t>FORMATO PQRSD</w:t>
    </w:r>
  </w:p>
  <w:p w14:paraId="08FD1B5F" w14:textId="77777777" w:rsidR="00C02E08" w:rsidRPr="007566FE" w:rsidRDefault="00C02E08" w:rsidP="00C02E08">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10FBE4F" w14:textId="77777777" w:rsidR="00C02E08" w:rsidRDefault="00C02E08" w:rsidP="00C02E08">
    <w:pPr>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0288" behindDoc="1" locked="0" layoutInCell="1" allowOverlap="1" wp14:anchorId="018CAC97" wp14:editId="0CC5DDD2">
          <wp:simplePos x="0" y="0"/>
          <wp:positionH relativeFrom="margin">
            <wp:align>left</wp:align>
          </wp:positionH>
          <wp:positionV relativeFrom="paragraph">
            <wp:posOffset>141605</wp:posOffset>
          </wp:positionV>
          <wp:extent cx="3238500" cy="76200"/>
          <wp:effectExtent l="0" t="0" r="0" b="0"/>
          <wp:wrapNone/>
          <wp:docPr id="26" name="Imagen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eastAsia="Geo" w:hAnsi="Geomanist Light" w:cs="Geo"/>
        <w:b/>
        <w:color w:val="000000"/>
        <w:sz w:val="16"/>
        <w:szCs w:val="16"/>
        <w:lang w:eastAsia="es-CO"/>
      </w:rPr>
      <w:t>Versión</w:t>
    </w:r>
    <w:r w:rsidRPr="007566FE">
      <w:rPr>
        <w:rFonts w:ascii="Geomanist Light" w:eastAsia="Arial Nova" w:hAnsi="Geomanist Light" w:cs="Arial Nova"/>
        <w:b/>
        <w:color w:val="000000"/>
        <w:sz w:val="16"/>
        <w:szCs w:val="16"/>
        <w:lang w:eastAsia="es-CO"/>
      </w:rPr>
      <w:t xml:space="preserve">: </w:t>
    </w:r>
    <w:r w:rsidRPr="007566FE">
      <w:rPr>
        <w:rFonts w:ascii="Geomanist Light" w:eastAsia="Geo" w:hAnsi="Geomanist Light" w:cs="Geo"/>
        <w:sz w:val="16"/>
        <w:szCs w:val="16"/>
        <w:lang w:eastAsia="es-CO"/>
      </w:rPr>
      <w:t>0</w:t>
    </w:r>
    <w:r>
      <w:rPr>
        <w:rFonts w:ascii="Geomanist Light" w:eastAsia="Geo" w:hAnsi="Geomanist Light" w:cs="Geo"/>
        <w:sz w:val="16"/>
        <w:szCs w:val="16"/>
        <w:lang w:eastAsia="es-CO"/>
      </w:rPr>
      <w:t>2</w:t>
    </w:r>
    <w:r w:rsidRPr="007566FE">
      <w:rPr>
        <w:rFonts w:ascii="Geomanist Light" w:eastAsia="Geo" w:hAnsi="Geomanist Light" w:cs="Geo"/>
        <w:sz w:val="16"/>
        <w:szCs w:val="16"/>
        <w:lang w:eastAsia="es-CO"/>
      </w:rPr>
      <w:t xml:space="preserve"> DEL </w:t>
    </w:r>
    <w:r>
      <w:rPr>
        <w:rFonts w:ascii="Geomanist Light" w:eastAsia="Geo" w:hAnsi="Geomanist Light" w:cs="Geo"/>
        <w:sz w:val="16"/>
        <w:szCs w:val="16"/>
        <w:lang w:eastAsia="es-CO"/>
      </w:rPr>
      <w:t>28</w:t>
    </w:r>
    <w:r w:rsidRPr="007566FE">
      <w:rPr>
        <w:rFonts w:ascii="Geomanist Light" w:eastAsia="Geo" w:hAnsi="Geomanist Light" w:cs="Geo"/>
        <w:sz w:val="16"/>
        <w:szCs w:val="16"/>
        <w:lang w:eastAsia="es-CO"/>
      </w:rPr>
      <w:t xml:space="preserve"> DE </w:t>
    </w:r>
    <w:r>
      <w:rPr>
        <w:rFonts w:ascii="Geomanist Light" w:eastAsia="Geo" w:hAnsi="Geomanist Light" w:cs="Geo"/>
        <w:sz w:val="16"/>
        <w:szCs w:val="16"/>
        <w:lang w:eastAsia="es-CO"/>
      </w:rPr>
      <w:t>SEPTIEMBRE</w:t>
    </w:r>
    <w:r w:rsidRPr="007566FE">
      <w:rPr>
        <w:rFonts w:ascii="Geomanist Light" w:eastAsia="Geo" w:hAnsi="Geomanist Light" w:cs="Geo"/>
        <w:sz w:val="16"/>
        <w:szCs w:val="16"/>
        <w:lang w:eastAsia="es-CO"/>
      </w:rPr>
      <w:t xml:space="preserve"> DE 2022</w:t>
    </w:r>
  </w:p>
  <w:p w14:paraId="7E24A207" w14:textId="77777777" w:rsidR="00C02E08" w:rsidRDefault="00C02E08">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B6BA4" w14:textId="77777777" w:rsidR="00C02E08" w:rsidRDefault="00C02E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CED44512">
      <w:start w:val="1"/>
      <w:numFmt w:val="decimal"/>
      <w:lvlText w:val="%1."/>
      <w:lvlJc w:val="left"/>
      <w:pPr>
        <w:tabs>
          <w:tab w:val="num" w:pos="720"/>
        </w:tabs>
        <w:ind w:left="720" w:hanging="360"/>
      </w:pPr>
    </w:lvl>
    <w:lvl w:ilvl="1" w:tplc="2DB862AE" w:tentative="1">
      <w:start w:val="1"/>
      <w:numFmt w:val="decimal"/>
      <w:lvlText w:val="%2."/>
      <w:lvlJc w:val="left"/>
      <w:pPr>
        <w:tabs>
          <w:tab w:val="num" w:pos="1440"/>
        </w:tabs>
        <w:ind w:left="1440" w:hanging="360"/>
      </w:pPr>
    </w:lvl>
    <w:lvl w:ilvl="2" w:tplc="03AC466C" w:tentative="1">
      <w:start w:val="1"/>
      <w:numFmt w:val="decimal"/>
      <w:lvlText w:val="%3."/>
      <w:lvlJc w:val="left"/>
      <w:pPr>
        <w:tabs>
          <w:tab w:val="num" w:pos="2160"/>
        </w:tabs>
        <w:ind w:left="2160" w:hanging="360"/>
      </w:pPr>
    </w:lvl>
    <w:lvl w:ilvl="3" w:tplc="1820C460" w:tentative="1">
      <w:start w:val="1"/>
      <w:numFmt w:val="decimal"/>
      <w:lvlText w:val="%4."/>
      <w:lvlJc w:val="left"/>
      <w:pPr>
        <w:tabs>
          <w:tab w:val="num" w:pos="2880"/>
        </w:tabs>
        <w:ind w:left="2880" w:hanging="360"/>
      </w:pPr>
    </w:lvl>
    <w:lvl w:ilvl="4" w:tplc="3294A48C" w:tentative="1">
      <w:start w:val="1"/>
      <w:numFmt w:val="decimal"/>
      <w:lvlText w:val="%5."/>
      <w:lvlJc w:val="left"/>
      <w:pPr>
        <w:tabs>
          <w:tab w:val="num" w:pos="3600"/>
        </w:tabs>
        <w:ind w:left="3600" w:hanging="360"/>
      </w:pPr>
    </w:lvl>
    <w:lvl w:ilvl="5" w:tplc="F77A9290" w:tentative="1">
      <w:start w:val="1"/>
      <w:numFmt w:val="decimal"/>
      <w:lvlText w:val="%6."/>
      <w:lvlJc w:val="left"/>
      <w:pPr>
        <w:tabs>
          <w:tab w:val="num" w:pos="4320"/>
        </w:tabs>
        <w:ind w:left="4320" w:hanging="360"/>
      </w:pPr>
    </w:lvl>
    <w:lvl w:ilvl="6" w:tplc="303A9F5E" w:tentative="1">
      <w:start w:val="1"/>
      <w:numFmt w:val="decimal"/>
      <w:lvlText w:val="%7."/>
      <w:lvlJc w:val="left"/>
      <w:pPr>
        <w:tabs>
          <w:tab w:val="num" w:pos="5040"/>
        </w:tabs>
        <w:ind w:left="5040" w:hanging="360"/>
      </w:pPr>
    </w:lvl>
    <w:lvl w:ilvl="7" w:tplc="895C1678" w:tentative="1">
      <w:start w:val="1"/>
      <w:numFmt w:val="decimal"/>
      <w:lvlText w:val="%8."/>
      <w:lvlJc w:val="left"/>
      <w:pPr>
        <w:tabs>
          <w:tab w:val="num" w:pos="5760"/>
        </w:tabs>
        <w:ind w:left="5760" w:hanging="360"/>
      </w:pPr>
    </w:lvl>
    <w:lvl w:ilvl="8" w:tplc="665C70BC"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138497978">
    <w:abstractNumId w:val="9"/>
  </w:num>
  <w:num w:numId="2" w16cid:durableId="1862937802">
    <w:abstractNumId w:val="7"/>
  </w:num>
  <w:num w:numId="3" w16cid:durableId="661617218">
    <w:abstractNumId w:val="12"/>
  </w:num>
  <w:num w:numId="4" w16cid:durableId="270088365">
    <w:abstractNumId w:val="15"/>
  </w:num>
  <w:num w:numId="5" w16cid:durableId="1109083193">
    <w:abstractNumId w:val="19"/>
  </w:num>
  <w:num w:numId="6" w16cid:durableId="147895938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05697582">
    <w:abstractNumId w:val="17"/>
  </w:num>
  <w:num w:numId="8" w16cid:durableId="688339927">
    <w:abstractNumId w:val="0"/>
  </w:num>
  <w:num w:numId="9" w16cid:durableId="682711256">
    <w:abstractNumId w:val="3"/>
  </w:num>
  <w:num w:numId="10" w16cid:durableId="20623605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8047499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93994396">
    <w:abstractNumId w:val="8"/>
  </w:num>
  <w:num w:numId="13" w16cid:durableId="1225483277">
    <w:abstractNumId w:val="11"/>
  </w:num>
  <w:num w:numId="14" w16cid:durableId="1640501136">
    <w:abstractNumId w:val="6"/>
  </w:num>
  <w:num w:numId="15" w16cid:durableId="1037201729">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7533089">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5649572">
    <w:abstractNumId w:val="21"/>
  </w:num>
  <w:num w:numId="18" w16cid:durableId="1148398496">
    <w:abstractNumId w:val="13"/>
  </w:num>
  <w:num w:numId="19" w16cid:durableId="2071149073">
    <w:abstractNumId w:val="2"/>
  </w:num>
  <w:num w:numId="20" w16cid:durableId="609163206">
    <w:abstractNumId w:val="22"/>
  </w:num>
  <w:num w:numId="21" w16cid:durableId="1783113320">
    <w:abstractNumId w:val="14"/>
  </w:num>
  <w:num w:numId="22" w16cid:durableId="1926500301">
    <w:abstractNumId w:val="5"/>
  </w:num>
  <w:num w:numId="23" w16cid:durableId="919606479">
    <w:abstractNumId w:val="4"/>
  </w:num>
  <w:num w:numId="24" w16cid:durableId="110827902">
    <w:abstractNumId w:val="20"/>
  </w:num>
  <w:num w:numId="25" w16cid:durableId="226965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0559"/>
    <w:rsid w:val="00000A27"/>
    <w:rsid w:val="0000162E"/>
    <w:rsid w:val="00001A1C"/>
    <w:rsid w:val="00001FFD"/>
    <w:rsid w:val="00002027"/>
    <w:rsid w:val="000020FE"/>
    <w:rsid w:val="00002173"/>
    <w:rsid w:val="000031A8"/>
    <w:rsid w:val="00003C5C"/>
    <w:rsid w:val="00003D39"/>
    <w:rsid w:val="000040D7"/>
    <w:rsid w:val="0000433C"/>
    <w:rsid w:val="00004556"/>
    <w:rsid w:val="000051AF"/>
    <w:rsid w:val="000059D3"/>
    <w:rsid w:val="00005B6D"/>
    <w:rsid w:val="0000600A"/>
    <w:rsid w:val="00006081"/>
    <w:rsid w:val="00007750"/>
    <w:rsid w:val="000077FD"/>
    <w:rsid w:val="00007E37"/>
    <w:rsid w:val="00010C40"/>
    <w:rsid w:val="000112B4"/>
    <w:rsid w:val="00011DCC"/>
    <w:rsid w:val="00011EA4"/>
    <w:rsid w:val="00012532"/>
    <w:rsid w:val="00012B9E"/>
    <w:rsid w:val="00012F37"/>
    <w:rsid w:val="00012FBA"/>
    <w:rsid w:val="00013C6B"/>
    <w:rsid w:val="0001406B"/>
    <w:rsid w:val="000140E5"/>
    <w:rsid w:val="000143F8"/>
    <w:rsid w:val="00014624"/>
    <w:rsid w:val="00015126"/>
    <w:rsid w:val="00015B44"/>
    <w:rsid w:val="00016081"/>
    <w:rsid w:val="00016098"/>
    <w:rsid w:val="000165AC"/>
    <w:rsid w:val="00016651"/>
    <w:rsid w:val="000171A2"/>
    <w:rsid w:val="000179B3"/>
    <w:rsid w:val="00017B65"/>
    <w:rsid w:val="00020158"/>
    <w:rsid w:val="00020739"/>
    <w:rsid w:val="000207E0"/>
    <w:rsid w:val="000209E2"/>
    <w:rsid w:val="00020F8F"/>
    <w:rsid w:val="00021A95"/>
    <w:rsid w:val="00021C8A"/>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23C6"/>
    <w:rsid w:val="00032689"/>
    <w:rsid w:val="0003339A"/>
    <w:rsid w:val="000335B4"/>
    <w:rsid w:val="000341F2"/>
    <w:rsid w:val="00035046"/>
    <w:rsid w:val="000351F2"/>
    <w:rsid w:val="0003535C"/>
    <w:rsid w:val="00035768"/>
    <w:rsid w:val="00036D03"/>
    <w:rsid w:val="00036E03"/>
    <w:rsid w:val="000406DB"/>
    <w:rsid w:val="0004094D"/>
    <w:rsid w:val="00041029"/>
    <w:rsid w:val="00041357"/>
    <w:rsid w:val="0004149B"/>
    <w:rsid w:val="00041FC6"/>
    <w:rsid w:val="00042961"/>
    <w:rsid w:val="00042C25"/>
    <w:rsid w:val="00042D03"/>
    <w:rsid w:val="00043086"/>
    <w:rsid w:val="000430A0"/>
    <w:rsid w:val="00043652"/>
    <w:rsid w:val="00043D3B"/>
    <w:rsid w:val="0004418C"/>
    <w:rsid w:val="00044204"/>
    <w:rsid w:val="0004477A"/>
    <w:rsid w:val="000449D4"/>
    <w:rsid w:val="0004600D"/>
    <w:rsid w:val="000463B5"/>
    <w:rsid w:val="00046717"/>
    <w:rsid w:val="00046A63"/>
    <w:rsid w:val="00046C09"/>
    <w:rsid w:val="0004716A"/>
    <w:rsid w:val="00047385"/>
    <w:rsid w:val="000473E8"/>
    <w:rsid w:val="000504DE"/>
    <w:rsid w:val="00051074"/>
    <w:rsid w:val="000526F0"/>
    <w:rsid w:val="0005273D"/>
    <w:rsid w:val="00052B79"/>
    <w:rsid w:val="00052E4B"/>
    <w:rsid w:val="00052EA0"/>
    <w:rsid w:val="000536A7"/>
    <w:rsid w:val="000536E3"/>
    <w:rsid w:val="00053896"/>
    <w:rsid w:val="00053A00"/>
    <w:rsid w:val="00053DBC"/>
    <w:rsid w:val="0005474D"/>
    <w:rsid w:val="00055CB9"/>
    <w:rsid w:val="00056F66"/>
    <w:rsid w:val="0005702F"/>
    <w:rsid w:val="000578FF"/>
    <w:rsid w:val="00061010"/>
    <w:rsid w:val="00061D06"/>
    <w:rsid w:val="00062CDD"/>
    <w:rsid w:val="00062DB3"/>
    <w:rsid w:val="00063472"/>
    <w:rsid w:val="000640AF"/>
    <w:rsid w:val="00064940"/>
    <w:rsid w:val="00064CAE"/>
    <w:rsid w:val="00064DB7"/>
    <w:rsid w:val="00064FA7"/>
    <w:rsid w:val="00065195"/>
    <w:rsid w:val="0006536C"/>
    <w:rsid w:val="0006626E"/>
    <w:rsid w:val="00066A7F"/>
    <w:rsid w:val="00070AF1"/>
    <w:rsid w:val="000714DE"/>
    <w:rsid w:val="0007254F"/>
    <w:rsid w:val="0007324F"/>
    <w:rsid w:val="0007357C"/>
    <w:rsid w:val="00073C30"/>
    <w:rsid w:val="00074305"/>
    <w:rsid w:val="000744D0"/>
    <w:rsid w:val="00074B2A"/>
    <w:rsid w:val="00074EEE"/>
    <w:rsid w:val="000753D5"/>
    <w:rsid w:val="00075B3E"/>
    <w:rsid w:val="00076456"/>
    <w:rsid w:val="0007779B"/>
    <w:rsid w:val="000777E7"/>
    <w:rsid w:val="0007790A"/>
    <w:rsid w:val="000779F2"/>
    <w:rsid w:val="0008017B"/>
    <w:rsid w:val="00080ACD"/>
    <w:rsid w:val="000811ED"/>
    <w:rsid w:val="00081D62"/>
    <w:rsid w:val="00082B74"/>
    <w:rsid w:val="00083099"/>
    <w:rsid w:val="00083EDC"/>
    <w:rsid w:val="00084B97"/>
    <w:rsid w:val="00084F87"/>
    <w:rsid w:val="00085033"/>
    <w:rsid w:val="0008510E"/>
    <w:rsid w:val="000856DE"/>
    <w:rsid w:val="00085F17"/>
    <w:rsid w:val="00085FB0"/>
    <w:rsid w:val="00085FB3"/>
    <w:rsid w:val="0008686B"/>
    <w:rsid w:val="00086B2A"/>
    <w:rsid w:val="00086ED2"/>
    <w:rsid w:val="00087A64"/>
    <w:rsid w:val="0009006B"/>
    <w:rsid w:val="0009082C"/>
    <w:rsid w:val="00090C39"/>
    <w:rsid w:val="000914D6"/>
    <w:rsid w:val="00091569"/>
    <w:rsid w:val="0009216B"/>
    <w:rsid w:val="00092CDB"/>
    <w:rsid w:val="00092DCA"/>
    <w:rsid w:val="00093851"/>
    <w:rsid w:val="000942EB"/>
    <w:rsid w:val="00095B70"/>
    <w:rsid w:val="0009617E"/>
    <w:rsid w:val="0009628D"/>
    <w:rsid w:val="0009670F"/>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6FE"/>
    <w:rsid w:val="000A47E6"/>
    <w:rsid w:val="000A52C0"/>
    <w:rsid w:val="000A5AAF"/>
    <w:rsid w:val="000A5ACE"/>
    <w:rsid w:val="000A5F97"/>
    <w:rsid w:val="000A648E"/>
    <w:rsid w:val="000A7268"/>
    <w:rsid w:val="000A73BB"/>
    <w:rsid w:val="000A73E8"/>
    <w:rsid w:val="000A7EF4"/>
    <w:rsid w:val="000B03A7"/>
    <w:rsid w:val="000B046C"/>
    <w:rsid w:val="000B0A15"/>
    <w:rsid w:val="000B103F"/>
    <w:rsid w:val="000B1437"/>
    <w:rsid w:val="000B1470"/>
    <w:rsid w:val="000B244D"/>
    <w:rsid w:val="000B2A1A"/>
    <w:rsid w:val="000B2B86"/>
    <w:rsid w:val="000B3051"/>
    <w:rsid w:val="000B419B"/>
    <w:rsid w:val="000B56F9"/>
    <w:rsid w:val="000B5781"/>
    <w:rsid w:val="000B5CB1"/>
    <w:rsid w:val="000B75F4"/>
    <w:rsid w:val="000C0185"/>
    <w:rsid w:val="000C084E"/>
    <w:rsid w:val="000C0F81"/>
    <w:rsid w:val="000C128D"/>
    <w:rsid w:val="000C1506"/>
    <w:rsid w:val="000C17A3"/>
    <w:rsid w:val="000C1D4B"/>
    <w:rsid w:val="000C2DC4"/>
    <w:rsid w:val="000C3260"/>
    <w:rsid w:val="000C3B77"/>
    <w:rsid w:val="000C3F6D"/>
    <w:rsid w:val="000C47E0"/>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65E6"/>
    <w:rsid w:val="000D6C10"/>
    <w:rsid w:val="000D728B"/>
    <w:rsid w:val="000D7541"/>
    <w:rsid w:val="000D75E1"/>
    <w:rsid w:val="000E05E2"/>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7D"/>
    <w:rsid w:val="000E7E0B"/>
    <w:rsid w:val="000F0136"/>
    <w:rsid w:val="000F078A"/>
    <w:rsid w:val="000F122D"/>
    <w:rsid w:val="000F1450"/>
    <w:rsid w:val="000F14E8"/>
    <w:rsid w:val="000F1BBD"/>
    <w:rsid w:val="000F290F"/>
    <w:rsid w:val="000F4403"/>
    <w:rsid w:val="000F480B"/>
    <w:rsid w:val="000F4A7F"/>
    <w:rsid w:val="000F4E17"/>
    <w:rsid w:val="000F55A8"/>
    <w:rsid w:val="000F5615"/>
    <w:rsid w:val="000F6578"/>
    <w:rsid w:val="000F6F92"/>
    <w:rsid w:val="000F7E8F"/>
    <w:rsid w:val="000F7FBB"/>
    <w:rsid w:val="001000FB"/>
    <w:rsid w:val="00100A9E"/>
    <w:rsid w:val="00100F6A"/>
    <w:rsid w:val="00102605"/>
    <w:rsid w:val="00102686"/>
    <w:rsid w:val="00102745"/>
    <w:rsid w:val="00103795"/>
    <w:rsid w:val="00103915"/>
    <w:rsid w:val="001039AA"/>
    <w:rsid w:val="00103EA0"/>
    <w:rsid w:val="0010405A"/>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18E"/>
    <w:rsid w:val="0011359A"/>
    <w:rsid w:val="00113705"/>
    <w:rsid w:val="00113975"/>
    <w:rsid w:val="00113CFC"/>
    <w:rsid w:val="00113FEA"/>
    <w:rsid w:val="00114A22"/>
    <w:rsid w:val="00114E9D"/>
    <w:rsid w:val="0011507B"/>
    <w:rsid w:val="001156A7"/>
    <w:rsid w:val="00115C37"/>
    <w:rsid w:val="00116328"/>
    <w:rsid w:val="001163CF"/>
    <w:rsid w:val="00116EC5"/>
    <w:rsid w:val="001174C9"/>
    <w:rsid w:val="001177FE"/>
    <w:rsid w:val="00117E69"/>
    <w:rsid w:val="00120427"/>
    <w:rsid w:val="00121103"/>
    <w:rsid w:val="00121B78"/>
    <w:rsid w:val="00121BAB"/>
    <w:rsid w:val="00121E3C"/>
    <w:rsid w:val="00122B23"/>
    <w:rsid w:val="00122B7E"/>
    <w:rsid w:val="00123E27"/>
    <w:rsid w:val="00123FB5"/>
    <w:rsid w:val="0012400F"/>
    <w:rsid w:val="001249DC"/>
    <w:rsid w:val="00124CF2"/>
    <w:rsid w:val="0012572D"/>
    <w:rsid w:val="00125BED"/>
    <w:rsid w:val="00125C59"/>
    <w:rsid w:val="00125D4F"/>
    <w:rsid w:val="00127004"/>
    <w:rsid w:val="0012770B"/>
    <w:rsid w:val="00127AF2"/>
    <w:rsid w:val="00127EDC"/>
    <w:rsid w:val="00127F42"/>
    <w:rsid w:val="00127F6D"/>
    <w:rsid w:val="00130355"/>
    <w:rsid w:val="00130365"/>
    <w:rsid w:val="00130413"/>
    <w:rsid w:val="001304E5"/>
    <w:rsid w:val="00131B5A"/>
    <w:rsid w:val="001329BC"/>
    <w:rsid w:val="00132C30"/>
    <w:rsid w:val="00132EFD"/>
    <w:rsid w:val="00133AED"/>
    <w:rsid w:val="00134BCD"/>
    <w:rsid w:val="00134E09"/>
    <w:rsid w:val="001350AB"/>
    <w:rsid w:val="00135DB9"/>
    <w:rsid w:val="00135E5D"/>
    <w:rsid w:val="0013695C"/>
    <w:rsid w:val="00136BF7"/>
    <w:rsid w:val="00136C78"/>
    <w:rsid w:val="00137440"/>
    <w:rsid w:val="001378B9"/>
    <w:rsid w:val="00137FFA"/>
    <w:rsid w:val="00140109"/>
    <w:rsid w:val="0014029B"/>
    <w:rsid w:val="00140464"/>
    <w:rsid w:val="00140A4F"/>
    <w:rsid w:val="001413AB"/>
    <w:rsid w:val="00141641"/>
    <w:rsid w:val="00141690"/>
    <w:rsid w:val="00141DBF"/>
    <w:rsid w:val="001429B2"/>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4B68"/>
    <w:rsid w:val="00155BED"/>
    <w:rsid w:val="00155D08"/>
    <w:rsid w:val="0015623B"/>
    <w:rsid w:val="00156BE5"/>
    <w:rsid w:val="00157232"/>
    <w:rsid w:val="00160401"/>
    <w:rsid w:val="00160C01"/>
    <w:rsid w:val="00160D4E"/>
    <w:rsid w:val="00161DDA"/>
    <w:rsid w:val="00161E62"/>
    <w:rsid w:val="00161F1C"/>
    <w:rsid w:val="0016200B"/>
    <w:rsid w:val="0016204B"/>
    <w:rsid w:val="00162348"/>
    <w:rsid w:val="001630BF"/>
    <w:rsid w:val="00163D7A"/>
    <w:rsid w:val="00164281"/>
    <w:rsid w:val="00165703"/>
    <w:rsid w:val="00165E5C"/>
    <w:rsid w:val="00166204"/>
    <w:rsid w:val="00166797"/>
    <w:rsid w:val="0016685F"/>
    <w:rsid w:val="0016712F"/>
    <w:rsid w:val="00167503"/>
    <w:rsid w:val="0016767E"/>
    <w:rsid w:val="001676A9"/>
    <w:rsid w:val="00167A15"/>
    <w:rsid w:val="00167A50"/>
    <w:rsid w:val="00167D1A"/>
    <w:rsid w:val="00167DF5"/>
    <w:rsid w:val="00170001"/>
    <w:rsid w:val="00172198"/>
    <w:rsid w:val="00172612"/>
    <w:rsid w:val="00172817"/>
    <w:rsid w:val="001734E3"/>
    <w:rsid w:val="001742BF"/>
    <w:rsid w:val="001742E1"/>
    <w:rsid w:val="00175E49"/>
    <w:rsid w:val="0017649F"/>
    <w:rsid w:val="0017655B"/>
    <w:rsid w:val="00177EAA"/>
    <w:rsid w:val="001805C1"/>
    <w:rsid w:val="00180A2E"/>
    <w:rsid w:val="00180F75"/>
    <w:rsid w:val="001813AF"/>
    <w:rsid w:val="001826C9"/>
    <w:rsid w:val="001829CD"/>
    <w:rsid w:val="00182F01"/>
    <w:rsid w:val="00183B5D"/>
    <w:rsid w:val="00184219"/>
    <w:rsid w:val="00184F27"/>
    <w:rsid w:val="0018519B"/>
    <w:rsid w:val="001858C9"/>
    <w:rsid w:val="00185966"/>
    <w:rsid w:val="00185A2D"/>
    <w:rsid w:val="00185AFE"/>
    <w:rsid w:val="00185E78"/>
    <w:rsid w:val="001868D9"/>
    <w:rsid w:val="00187177"/>
    <w:rsid w:val="00187ABD"/>
    <w:rsid w:val="001904E3"/>
    <w:rsid w:val="0019087A"/>
    <w:rsid w:val="00191C5A"/>
    <w:rsid w:val="00191CEB"/>
    <w:rsid w:val="00191E63"/>
    <w:rsid w:val="00192D68"/>
    <w:rsid w:val="0019388B"/>
    <w:rsid w:val="00193ADE"/>
    <w:rsid w:val="00193B9A"/>
    <w:rsid w:val="001940ED"/>
    <w:rsid w:val="001946AE"/>
    <w:rsid w:val="001946D5"/>
    <w:rsid w:val="00194E8C"/>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3011"/>
    <w:rsid w:val="001A3078"/>
    <w:rsid w:val="001A4314"/>
    <w:rsid w:val="001A4894"/>
    <w:rsid w:val="001A4A9B"/>
    <w:rsid w:val="001A4B32"/>
    <w:rsid w:val="001A4DAF"/>
    <w:rsid w:val="001A54CD"/>
    <w:rsid w:val="001A611F"/>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3B25"/>
    <w:rsid w:val="001B449C"/>
    <w:rsid w:val="001B4AA2"/>
    <w:rsid w:val="001B4ADE"/>
    <w:rsid w:val="001B5530"/>
    <w:rsid w:val="001B5EF8"/>
    <w:rsid w:val="001B71E8"/>
    <w:rsid w:val="001C033E"/>
    <w:rsid w:val="001C07C6"/>
    <w:rsid w:val="001C120D"/>
    <w:rsid w:val="001C16DA"/>
    <w:rsid w:val="001C19CD"/>
    <w:rsid w:val="001C2119"/>
    <w:rsid w:val="001C22D5"/>
    <w:rsid w:val="001C2515"/>
    <w:rsid w:val="001C26FB"/>
    <w:rsid w:val="001C33C1"/>
    <w:rsid w:val="001C3E30"/>
    <w:rsid w:val="001C3E5C"/>
    <w:rsid w:val="001C5005"/>
    <w:rsid w:val="001C5072"/>
    <w:rsid w:val="001C5B2A"/>
    <w:rsid w:val="001C600B"/>
    <w:rsid w:val="001C6898"/>
    <w:rsid w:val="001C6DD8"/>
    <w:rsid w:val="001C76FA"/>
    <w:rsid w:val="001C79A4"/>
    <w:rsid w:val="001C7C7B"/>
    <w:rsid w:val="001D068D"/>
    <w:rsid w:val="001D09DB"/>
    <w:rsid w:val="001D12D1"/>
    <w:rsid w:val="001D15DF"/>
    <w:rsid w:val="001D2552"/>
    <w:rsid w:val="001D2EEE"/>
    <w:rsid w:val="001D30F3"/>
    <w:rsid w:val="001D31A0"/>
    <w:rsid w:val="001D338E"/>
    <w:rsid w:val="001D4562"/>
    <w:rsid w:val="001D56E9"/>
    <w:rsid w:val="001D6944"/>
    <w:rsid w:val="001D6CD2"/>
    <w:rsid w:val="001D796A"/>
    <w:rsid w:val="001D7A84"/>
    <w:rsid w:val="001D7C79"/>
    <w:rsid w:val="001E003B"/>
    <w:rsid w:val="001E04B9"/>
    <w:rsid w:val="001E1CC4"/>
    <w:rsid w:val="001E1D38"/>
    <w:rsid w:val="001E28A0"/>
    <w:rsid w:val="001E3FFE"/>
    <w:rsid w:val="001E4258"/>
    <w:rsid w:val="001E5140"/>
    <w:rsid w:val="001E5D6A"/>
    <w:rsid w:val="001E6A94"/>
    <w:rsid w:val="001E6D8D"/>
    <w:rsid w:val="001E70FB"/>
    <w:rsid w:val="001E780A"/>
    <w:rsid w:val="001F0325"/>
    <w:rsid w:val="001F0806"/>
    <w:rsid w:val="001F0D15"/>
    <w:rsid w:val="001F0FA0"/>
    <w:rsid w:val="001F1349"/>
    <w:rsid w:val="001F1863"/>
    <w:rsid w:val="001F2356"/>
    <w:rsid w:val="001F2462"/>
    <w:rsid w:val="001F2868"/>
    <w:rsid w:val="001F2A68"/>
    <w:rsid w:val="001F2C47"/>
    <w:rsid w:val="001F3BAE"/>
    <w:rsid w:val="001F4773"/>
    <w:rsid w:val="001F5008"/>
    <w:rsid w:val="001F56AA"/>
    <w:rsid w:val="001F57EB"/>
    <w:rsid w:val="001F58AA"/>
    <w:rsid w:val="001F5A4E"/>
    <w:rsid w:val="001F5D34"/>
    <w:rsid w:val="001F5EF6"/>
    <w:rsid w:val="001F657F"/>
    <w:rsid w:val="001F6FB6"/>
    <w:rsid w:val="001F7144"/>
    <w:rsid w:val="001F72BB"/>
    <w:rsid w:val="001F792A"/>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6F4D"/>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2FB"/>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0062"/>
    <w:rsid w:val="0023146B"/>
    <w:rsid w:val="002315A0"/>
    <w:rsid w:val="00231748"/>
    <w:rsid w:val="00231A18"/>
    <w:rsid w:val="00231DCC"/>
    <w:rsid w:val="00231EC7"/>
    <w:rsid w:val="00232E15"/>
    <w:rsid w:val="00233079"/>
    <w:rsid w:val="002334E0"/>
    <w:rsid w:val="0023382C"/>
    <w:rsid w:val="00233977"/>
    <w:rsid w:val="00233C58"/>
    <w:rsid w:val="00233C71"/>
    <w:rsid w:val="002345B6"/>
    <w:rsid w:val="002347A6"/>
    <w:rsid w:val="00234B84"/>
    <w:rsid w:val="00236016"/>
    <w:rsid w:val="0023663D"/>
    <w:rsid w:val="00237065"/>
    <w:rsid w:val="00237589"/>
    <w:rsid w:val="0023758D"/>
    <w:rsid w:val="002375A7"/>
    <w:rsid w:val="0024019A"/>
    <w:rsid w:val="00240DA2"/>
    <w:rsid w:val="00240EC1"/>
    <w:rsid w:val="0024120F"/>
    <w:rsid w:val="0024131D"/>
    <w:rsid w:val="002415B8"/>
    <w:rsid w:val="00241B82"/>
    <w:rsid w:val="002420B3"/>
    <w:rsid w:val="00242D5F"/>
    <w:rsid w:val="00242D62"/>
    <w:rsid w:val="002430D0"/>
    <w:rsid w:val="002431D7"/>
    <w:rsid w:val="00244058"/>
    <w:rsid w:val="00244FC3"/>
    <w:rsid w:val="00245718"/>
    <w:rsid w:val="002457E9"/>
    <w:rsid w:val="00245E07"/>
    <w:rsid w:val="0024665E"/>
    <w:rsid w:val="00247712"/>
    <w:rsid w:val="00250A9E"/>
    <w:rsid w:val="00250EC6"/>
    <w:rsid w:val="002515C7"/>
    <w:rsid w:val="00251866"/>
    <w:rsid w:val="00251A9F"/>
    <w:rsid w:val="00252492"/>
    <w:rsid w:val="00252B35"/>
    <w:rsid w:val="00253070"/>
    <w:rsid w:val="0025316D"/>
    <w:rsid w:val="00253723"/>
    <w:rsid w:val="00253A02"/>
    <w:rsid w:val="00253B81"/>
    <w:rsid w:val="00254AE9"/>
    <w:rsid w:val="002554DE"/>
    <w:rsid w:val="00255575"/>
    <w:rsid w:val="00255AD7"/>
    <w:rsid w:val="00255E11"/>
    <w:rsid w:val="002564B7"/>
    <w:rsid w:val="00256835"/>
    <w:rsid w:val="002569F0"/>
    <w:rsid w:val="00256C01"/>
    <w:rsid w:val="00256E1A"/>
    <w:rsid w:val="00256ECF"/>
    <w:rsid w:val="00257730"/>
    <w:rsid w:val="00257999"/>
    <w:rsid w:val="002604AA"/>
    <w:rsid w:val="00260523"/>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0797"/>
    <w:rsid w:val="002711A4"/>
    <w:rsid w:val="00271230"/>
    <w:rsid w:val="00271F13"/>
    <w:rsid w:val="00272945"/>
    <w:rsid w:val="00272BB6"/>
    <w:rsid w:val="00272E89"/>
    <w:rsid w:val="002742D0"/>
    <w:rsid w:val="0027482E"/>
    <w:rsid w:val="002748F1"/>
    <w:rsid w:val="00274DB5"/>
    <w:rsid w:val="00275BB1"/>
    <w:rsid w:val="00276EF7"/>
    <w:rsid w:val="0027770B"/>
    <w:rsid w:val="00277933"/>
    <w:rsid w:val="00277F8D"/>
    <w:rsid w:val="00277FA7"/>
    <w:rsid w:val="00280046"/>
    <w:rsid w:val="002809B4"/>
    <w:rsid w:val="00280B4F"/>
    <w:rsid w:val="00280F3D"/>
    <w:rsid w:val="0028106A"/>
    <w:rsid w:val="00281451"/>
    <w:rsid w:val="00281EB4"/>
    <w:rsid w:val="00282E03"/>
    <w:rsid w:val="00282F7D"/>
    <w:rsid w:val="0028308E"/>
    <w:rsid w:val="002834E9"/>
    <w:rsid w:val="002837BA"/>
    <w:rsid w:val="00283A52"/>
    <w:rsid w:val="00283C5E"/>
    <w:rsid w:val="00283E26"/>
    <w:rsid w:val="0028428F"/>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2A27"/>
    <w:rsid w:val="0029358B"/>
    <w:rsid w:val="00294368"/>
    <w:rsid w:val="00294B78"/>
    <w:rsid w:val="00295416"/>
    <w:rsid w:val="00295949"/>
    <w:rsid w:val="00295D7C"/>
    <w:rsid w:val="0029624A"/>
    <w:rsid w:val="00296922"/>
    <w:rsid w:val="00297098"/>
    <w:rsid w:val="002A05D4"/>
    <w:rsid w:val="002A06DB"/>
    <w:rsid w:val="002A09FF"/>
    <w:rsid w:val="002A0E60"/>
    <w:rsid w:val="002A1371"/>
    <w:rsid w:val="002A1A58"/>
    <w:rsid w:val="002A1B02"/>
    <w:rsid w:val="002A1C53"/>
    <w:rsid w:val="002A1F84"/>
    <w:rsid w:val="002A244B"/>
    <w:rsid w:val="002A28FC"/>
    <w:rsid w:val="002A2B44"/>
    <w:rsid w:val="002A2EA5"/>
    <w:rsid w:val="002A301E"/>
    <w:rsid w:val="002A3555"/>
    <w:rsid w:val="002A3D94"/>
    <w:rsid w:val="002A3F66"/>
    <w:rsid w:val="002A4736"/>
    <w:rsid w:val="002A4B1C"/>
    <w:rsid w:val="002A55FE"/>
    <w:rsid w:val="002A625C"/>
    <w:rsid w:val="002A6AFB"/>
    <w:rsid w:val="002A733D"/>
    <w:rsid w:val="002A774A"/>
    <w:rsid w:val="002A7840"/>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0589"/>
    <w:rsid w:val="002C24B4"/>
    <w:rsid w:val="002C2B3A"/>
    <w:rsid w:val="002C2B87"/>
    <w:rsid w:val="002C3CF4"/>
    <w:rsid w:val="002C441A"/>
    <w:rsid w:val="002C4A2B"/>
    <w:rsid w:val="002C4A73"/>
    <w:rsid w:val="002C4B84"/>
    <w:rsid w:val="002C4C0C"/>
    <w:rsid w:val="002C5016"/>
    <w:rsid w:val="002C5C2F"/>
    <w:rsid w:val="002C5D0F"/>
    <w:rsid w:val="002C60B9"/>
    <w:rsid w:val="002C6F77"/>
    <w:rsid w:val="002C704D"/>
    <w:rsid w:val="002D07F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931"/>
    <w:rsid w:val="002E39AD"/>
    <w:rsid w:val="002E3D76"/>
    <w:rsid w:val="002E40A1"/>
    <w:rsid w:val="002E48EC"/>
    <w:rsid w:val="002E4B44"/>
    <w:rsid w:val="002E4ECB"/>
    <w:rsid w:val="002E4F23"/>
    <w:rsid w:val="002E515D"/>
    <w:rsid w:val="002E635A"/>
    <w:rsid w:val="002E6D68"/>
    <w:rsid w:val="002E7847"/>
    <w:rsid w:val="002F0073"/>
    <w:rsid w:val="002F1B27"/>
    <w:rsid w:val="002F1C67"/>
    <w:rsid w:val="002F240B"/>
    <w:rsid w:val="002F24DA"/>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C19"/>
    <w:rsid w:val="003043A3"/>
    <w:rsid w:val="0030462D"/>
    <w:rsid w:val="00304BD4"/>
    <w:rsid w:val="00304F54"/>
    <w:rsid w:val="0030500A"/>
    <w:rsid w:val="003052EB"/>
    <w:rsid w:val="00305FCB"/>
    <w:rsid w:val="003063C3"/>
    <w:rsid w:val="003069DC"/>
    <w:rsid w:val="00306A13"/>
    <w:rsid w:val="00306B44"/>
    <w:rsid w:val="00306BD3"/>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5707"/>
    <w:rsid w:val="00315A72"/>
    <w:rsid w:val="00315FFB"/>
    <w:rsid w:val="003161A4"/>
    <w:rsid w:val="00316955"/>
    <w:rsid w:val="0031713F"/>
    <w:rsid w:val="0031720A"/>
    <w:rsid w:val="00317236"/>
    <w:rsid w:val="0031749B"/>
    <w:rsid w:val="003174E5"/>
    <w:rsid w:val="00317C9D"/>
    <w:rsid w:val="00317CD2"/>
    <w:rsid w:val="00317D99"/>
    <w:rsid w:val="0032078D"/>
    <w:rsid w:val="00320ADF"/>
    <w:rsid w:val="0032137B"/>
    <w:rsid w:val="00321A70"/>
    <w:rsid w:val="00321BD6"/>
    <w:rsid w:val="00321FA3"/>
    <w:rsid w:val="003226CD"/>
    <w:rsid w:val="003227D3"/>
    <w:rsid w:val="00322937"/>
    <w:rsid w:val="00323881"/>
    <w:rsid w:val="00324885"/>
    <w:rsid w:val="003251A8"/>
    <w:rsid w:val="003254B1"/>
    <w:rsid w:val="00325AD9"/>
    <w:rsid w:val="00325D79"/>
    <w:rsid w:val="00325D98"/>
    <w:rsid w:val="0032682A"/>
    <w:rsid w:val="00327A5C"/>
    <w:rsid w:val="003305BD"/>
    <w:rsid w:val="0033092C"/>
    <w:rsid w:val="0033122A"/>
    <w:rsid w:val="003315AC"/>
    <w:rsid w:val="00331932"/>
    <w:rsid w:val="00331F74"/>
    <w:rsid w:val="00332382"/>
    <w:rsid w:val="00332453"/>
    <w:rsid w:val="0033251B"/>
    <w:rsid w:val="00333A88"/>
    <w:rsid w:val="003351FF"/>
    <w:rsid w:val="00335B15"/>
    <w:rsid w:val="00335B21"/>
    <w:rsid w:val="00335D3F"/>
    <w:rsid w:val="00336104"/>
    <w:rsid w:val="00336729"/>
    <w:rsid w:val="00336CD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5965"/>
    <w:rsid w:val="0034680A"/>
    <w:rsid w:val="00346C62"/>
    <w:rsid w:val="00346DCE"/>
    <w:rsid w:val="0034713F"/>
    <w:rsid w:val="00347202"/>
    <w:rsid w:val="0034778E"/>
    <w:rsid w:val="00347A5A"/>
    <w:rsid w:val="003501E2"/>
    <w:rsid w:val="003514B8"/>
    <w:rsid w:val="00351E10"/>
    <w:rsid w:val="003533F4"/>
    <w:rsid w:val="003536F6"/>
    <w:rsid w:val="00353DD5"/>
    <w:rsid w:val="00353F36"/>
    <w:rsid w:val="00355131"/>
    <w:rsid w:val="00355F74"/>
    <w:rsid w:val="003560DB"/>
    <w:rsid w:val="003564DB"/>
    <w:rsid w:val="00356F87"/>
    <w:rsid w:val="00357E83"/>
    <w:rsid w:val="00360CF3"/>
    <w:rsid w:val="00361A59"/>
    <w:rsid w:val="00363348"/>
    <w:rsid w:val="00363857"/>
    <w:rsid w:val="00363D59"/>
    <w:rsid w:val="00363F08"/>
    <w:rsid w:val="003640F7"/>
    <w:rsid w:val="0036594A"/>
    <w:rsid w:val="00365AE5"/>
    <w:rsid w:val="00365D3A"/>
    <w:rsid w:val="003664FF"/>
    <w:rsid w:val="00366BD2"/>
    <w:rsid w:val="003670B8"/>
    <w:rsid w:val="003704A3"/>
    <w:rsid w:val="003706F2"/>
    <w:rsid w:val="003709E8"/>
    <w:rsid w:val="00371056"/>
    <w:rsid w:val="0037124F"/>
    <w:rsid w:val="00373827"/>
    <w:rsid w:val="0037401C"/>
    <w:rsid w:val="0037507B"/>
    <w:rsid w:val="00375C7C"/>
    <w:rsid w:val="00377027"/>
    <w:rsid w:val="00377135"/>
    <w:rsid w:val="00377D8E"/>
    <w:rsid w:val="00380272"/>
    <w:rsid w:val="003805DB"/>
    <w:rsid w:val="00381510"/>
    <w:rsid w:val="0038152A"/>
    <w:rsid w:val="0038245D"/>
    <w:rsid w:val="003825D2"/>
    <w:rsid w:val="00382BAD"/>
    <w:rsid w:val="003835FD"/>
    <w:rsid w:val="00383DE4"/>
    <w:rsid w:val="00383EDF"/>
    <w:rsid w:val="00384494"/>
    <w:rsid w:val="00384C5E"/>
    <w:rsid w:val="00384DF1"/>
    <w:rsid w:val="00384FF3"/>
    <w:rsid w:val="00386006"/>
    <w:rsid w:val="00386456"/>
    <w:rsid w:val="003865A9"/>
    <w:rsid w:val="0039047D"/>
    <w:rsid w:val="003906FD"/>
    <w:rsid w:val="0039092B"/>
    <w:rsid w:val="00390BD9"/>
    <w:rsid w:val="00390F32"/>
    <w:rsid w:val="0039135E"/>
    <w:rsid w:val="00391867"/>
    <w:rsid w:val="00392758"/>
    <w:rsid w:val="0039285D"/>
    <w:rsid w:val="0039319C"/>
    <w:rsid w:val="00393577"/>
    <w:rsid w:val="00393CAE"/>
    <w:rsid w:val="003945F4"/>
    <w:rsid w:val="00394EB5"/>
    <w:rsid w:val="003953B4"/>
    <w:rsid w:val="00395558"/>
    <w:rsid w:val="0039615F"/>
    <w:rsid w:val="003966A0"/>
    <w:rsid w:val="00396A29"/>
    <w:rsid w:val="00397FF0"/>
    <w:rsid w:val="003A058E"/>
    <w:rsid w:val="003A0878"/>
    <w:rsid w:val="003A1561"/>
    <w:rsid w:val="003A1D25"/>
    <w:rsid w:val="003A22A2"/>
    <w:rsid w:val="003A2447"/>
    <w:rsid w:val="003A2AA1"/>
    <w:rsid w:val="003A2C57"/>
    <w:rsid w:val="003A31A5"/>
    <w:rsid w:val="003A329A"/>
    <w:rsid w:val="003A3603"/>
    <w:rsid w:val="003A3851"/>
    <w:rsid w:val="003A3898"/>
    <w:rsid w:val="003A39DD"/>
    <w:rsid w:val="003A40DB"/>
    <w:rsid w:val="003A4199"/>
    <w:rsid w:val="003A41C5"/>
    <w:rsid w:val="003A4A8E"/>
    <w:rsid w:val="003A4C7B"/>
    <w:rsid w:val="003A563C"/>
    <w:rsid w:val="003A581E"/>
    <w:rsid w:val="003A5E7E"/>
    <w:rsid w:val="003A6160"/>
    <w:rsid w:val="003A65A5"/>
    <w:rsid w:val="003A65AC"/>
    <w:rsid w:val="003A72F5"/>
    <w:rsid w:val="003A78E5"/>
    <w:rsid w:val="003A7F76"/>
    <w:rsid w:val="003B0341"/>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2F3"/>
    <w:rsid w:val="003D050B"/>
    <w:rsid w:val="003D0B98"/>
    <w:rsid w:val="003D0C3C"/>
    <w:rsid w:val="003D0DE5"/>
    <w:rsid w:val="003D1351"/>
    <w:rsid w:val="003D1A65"/>
    <w:rsid w:val="003D1BCE"/>
    <w:rsid w:val="003D21C1"/>
    <w:rsid w:val="003D2B44"/>
    <w:rsid w:val="003D3B15"/>
    <w:rsid w:val="003D3B2E"/>
    <w:rsid w:val="003D3F28"/>
    <w:rsid w:val="003D4101"/>
    <w:rsid w:val="003D484D"/>
    <w:rsid w:val="003D49CB"/>
    <w:rsid w:val="003D4F41"/>
    <w:rsid w:val="003D5499"/>
    <w:rsid w:val="003D5F10"/>
    <w:rsid w:val="003D65E0"/>
    <w:rsid w:val="003D6B8F"/>
    <w:rsid w:val="003D7566"/>
    <w:rsid w:val="003E0224"/>
    <w:rsid w:val="003E09BB"/>
    <w:rsid w:val="003E13D2"/>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2A2"/>
    <w:rsid w:val="003F060E"/>
    <w:rsid w:val="003F0F7F"/>
    <w:rsid w:val="003F115C"/>
    <w:rsid w:val="003F153A"/>
    <w:rsid w:val="003F300D"/>
    <w:rsid w:val="003F3532"/>
    <w:rsid w:val="003F391F"/>
    <w:rsid w:val="003F4599"/>
    <w:rsid w:val="003F45E1"/>
    <w:rsid w:val="003F4F6C"/>
    <w:rsid w:val="003F559E"/>
    <w:rsid w:val="003F6181"/>
    <w:rsid w:val="003F653B"/>
    <w:rsid w:val="003F6BFC"/>
    <w:rsid w:val="003F7343"/>
    <w:rsid w:val="00400002"/>
    <w:rsid w:val="00400054"/>
    <w:rsid w:val="00400A1B"/>
    <w:rsid w:val="00400E06"/>
    <w:rsid w:val="00401533"/>
    <w:rsid w:val="004016A3"/>
    <w:rsid w:val="00401B31"/>
    <w:rsid w:val="00401E9E"/>
    <w:rsid w:val="0040202B"/>
    <w:rsid w:val="0040219D"/>
    <w:rsid w:val="00402DE1"/>
    <w:rsid w:val="00402EEB"/>
    <w:rsid w:val="00402FAF"/>
    <w:rsid w:val="004037C2"/>
    <w:rsid w:val="00404041"/>
    <w:rsid w:val="004040D4"/>
    <w:rsid w:val="00404B43"/>
    <w:rsid w:val="00404C61"/>
    <w:rsid w:val="00405487"/>
    <w:rsid w:val="00405B8A"/>
    <w:rsid w:val="0040602B"/>
    <w:rsid w:val="0040606C"/>
    <w:rsid w:val="004060DC"/>
    <w:rsid w:val="00406DF5"/>
    <w:rsid w:val="00406F35"/>
    <w:rsid w:val="004077D0"/>
    <w:rsid w:val="00407937"/>
    <w:rsid w:val="00407A7A"/>
    <w:rsid w:val="00407ABC"/>
    <w:rsid w:val="00407F1E"/>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7F3"/>
    <w:rsid w:val="004209D2"/>
    <w:rsid w:val="00420BBA"/>
    <w:rsid w:val="00420D6E"/>
    <w:rsid w:val="00420F50"/>
    <w:rsid w:val="0042158C"/>
    <w:rsid w:val="00421617"/>
    <w:rsid w:val="004217A7"/>
    <w:rsid w:val="00421BD2"/>
    <w:rsid w:val="00421E00"/>
    <w:rsid w:val="00421FCB"/>
    <w:rsid w:val="0042226E"/>
    <w:rsid w:val="00422DCA"/>
    <w:rsid w:val="00423D04"/>
    <w:rsid w:val="00423F9F"/>
    <w:rsid w:val="00425B2E"/>
    <w:rsid w:val="00425C43"/>
    <w:rsid w:val="004273FA"/>
    <w:rsid w:val="004275A7"/>
    <w:rsid w:val="004278D8"/>
    <w:rsid w:val="00430186"/>
    <w:rsid w:val="00430D44"/>
    <w:rsid w:val="00430DD2"/>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3741B"/>
    <w:rsid w:val="00440096"/>
    <w:rsid w:val="004403DD"/>
    <w:rsid w:val="00440CF3"/>
    <w:rsid w:val="00440DB0"/>
    <w:rsid w:val="00440DDC"/>
    <w:rsid w:val="00440FAD"/>
    <w:rsid w:val="00441291"/>
    <w:rsid w:val="00441E04"/>
    <w:rsid w:val="004420AB"/>
    <w:rsid w:val="004422D6"/>
    <w:rsid w:val="004427AC"/>
    <w:rsid w:val="00442C7D"/>
    <w:rsid w:val="00442D13"/>
    <w:rsid w:val="00442D4D"/>
    <w:rsid w:val="0044361F"/>
    <w:rsid w:val="0044374D"/>
    <w:rsid w:val="00443B55"/>
    <w:rsid w:val="00443C25"/>
    <w:rsid w:val="00443D27"/>
    <w:rsid w:val="00444D7D"/>
    <w:rsid w:val="0044500B"/>
    <w:rsid w:val="004451C5"/>
    <w:rsid w:val="00445D85"/>
    <w:rsid w:val="00446037"/>
    <w:rsid w:val="00446270"/>
    <w:rsid w:val="0044642F"/>
    <w:rsid w:val="00446709"/>
    <w:rsid w:val="00446922"/>
    <w:rsid w:val="0044772C"/>
    <w:rsid w:val="00450846"/>
    <w:rsid w:val="00451A52"/>
    <w:rsid w:val="0045271D"/>
    <w:rsid w:val="00452755"/>
    <w:rsid w:val="00452803"/>
    <w:rsid w:val="004529C6"/>
    <w:rsid w:val="00452A7C"/>
    <w:rsid w:val="00452EAD"/>
    <w:rsid w:val="004531DF"/>
    <w:rsid w:val="004533D1"/>
    <w:rsid w:val="004534D1"/>
    <w:rsid w:val="004540B8"/>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4030"/>
    <w:rsid w:val="004647F8"/>
    <w:rsid w:val="004647FB"/>
    <w:rsid w:val="00465347"/>
    <w:rsid w:val="00465677"/>
    <w:rsid w:val="00466616"/>
    <w:rsid w:val="00466A0C"/>
    <w:rsid w:val="00466A53"/>
    <w:rsid w:val="00470A6A"/>
    <w:rsid w:val="00470D73"/>
    <w:rsid w:val="00470D92"/>
    <w:rsid w:val="00471DF7"/>
    <w:rsid w:val="004727B1"/>
    <w:rsid w:val="004734CF"/>
    <w:rsid w:val="00473F33"/>
    <w:rsid w:val="0047480D"/>
    <w:rsid w:val="0047586C"/>
    <w:rsid w:val="00475C5A"/>
    <w:rsid w:val="00475C9C"/>
    <w:rsid w:val="0047676B"/>
    <w:rsid w:val="00476A5C"/>
    <w:rsid w:val="004774C3"/>
    <w:rsid w:val="0047773C"/>
    <w:rsid w:val="00477C5F"/>
    <w:rsid w:val="00480050"/>
    <w:rsid w:val="0048011C"/>
    <w:rsid w:val="004808DE"/>
    <w:rsid w:val="00480F9A"/>
    <w:rsid w:val="00481912"/>
    <w:rsid w:val="00481AC4"/>
    <w:rsid w:val="00481DC1"/>
    <w:rsid w:val="00482507"/>
    <w:rsid w:val="0048268A"/>
    <w:rsid w:val="00482A64"/>
    <w:rsid w:val="004835CA"/>
    <w:rsid w:val="004836F8"/>
    <w:rsid w:val="004836FE"/>
    <w:rsid w:val="00484A39"/>
    <w:rsid w:val="00484F0F"/>
    <w:rsid w:val="00484F40"/>
    <w:rsid w:val="0048540C"/>
    <w:rsid w:val="004854C4"/>
    <w:rsid w:val="004861B4"/>
    <w:rsid w:val="00486226"/>
    <w:rsid w:val="004862CD"/>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41CD"/>
    <w:rsid w:val="004948C5"/>
    <w:rsid w:val="0049530F"/>
    <w:rsid w:val="00496664"/>
    <w:rsid w:val="00496786"/>
    <w:rsid w:val="0049695B"/>
    <w:rsid w:val="00496AC4"/>
    <w:rsid w:val="00496D8F"/>
    <w:rsid w:val="00497463"/>
    <w:rsid w:val="004A054C"/>
    <w:rsid w:val="004A08D1"/>
    <w:rsid w:val="004A0A60"/>
    <w:rsid w:val="004A16C1"/>
    <w:rsid w:val="004A1CE2"/>
    <w:rsid w:val="004A34D2"/>
    <w:rsid w:val="004A3E4A"/>
    <w:rsid w:val="004A4301"/>
    <w:rsid w:val="004A4D93"/>
    <w:rsid w:val="004A546E"/>
    <w:rsid w:val="004A58EE"/>
    <w:rsid w:val="004A59B7"/>
    <w:rsid w:val="004A6051"/>
    <w:rsid w:val="004A623B"/>
    <w:rsid w:val="004A6A04"/>
    <w:rsid w:val="004A6A52"/>
    <w:rsid w:val="004B0A44"/>
    <w:rsid w:val="004B0EED"/>
    <w:rsid w:val="004B0F0B"/>
    <w:rsid w:val="004B205A"/>
    <w:rsid w:val="004B2197"/>
    <w:rsid w:val="004B25D8"/>
    <w:rsid w:val="004B298A"/>
    <w:rsid w:val="004B2BB8"/>
    <w:rsid w:val="004B50CB"/>
    <w:rsid w:val="004B578D"/>
    <w:rsid w:val="004B5BE7"/>
    <w:rsid w:val="004B5E2D"/>
    <w:rsid w:val="004B65D9"/>
    <w:rsid w:val="004B6C07"/>
    <w:rsid w:val="004B74D3"/>
    <w:rsid w:val="004B755E"/>
    <w:rsid w:val="004B788E"/>
    <w:rsid w:val="004B7E5D"/>
    <w:rsid w:val="004C1198"/>
    <w:rsid w:val="004C22F7"/>
    <w:rsid w:val="004C2B27"/>
    <w:rsid w:val="004C3929"/>
    <w:rsid w:val="004C3FAA"/>
    <w:rsid w:val="004C4160"/>
    <w:rsid w:val="004C5212"/>
    <w:rsid w:val="004C5EF0"/>
    <w:rsid w:val="004C64C9"/>
    <w:rsid w:val="004C6DE8"/>
    <w:rsid w:val="004C7226"/>
    <w:rsid w:val="004C74C9"/>
    <w:rsid w:val="004C7915"/>
    <w:rsid w:val="004C7D70"/>
    <w:rsid w:val="004D02F9"/>
    <w:rsid w:val="004D03FE"/>
    <w:rsid w:val="004D0446"/>
    <w:rsid w:val="004D06A3"/>
    <w:rsid w:val="004D0CA6"/>
    <w:rsid w:val="004D0F95"/>
    <w:rsid w:val="004D106A"/>
    <w:rsid w:val="004D1C7E"/>
    <w:rsid w:val="004D245A"/>
    <w:rsid w:val="004D31EE"/>
    <w:rsid w:val="004D36AF"/>
    <w:rsid w:val="004D3AA9"/>
    <w:rsid w:val="004D3BD1"/>
    <w:rsid w:val="004D4BA1"/>
    <w:rsid w:val="004D584D"/>
    <w:rsid w:val="004D5A7E"/>
    <w:rsid w:val="004D6120"/>
    <w:rsid w:val="004D6826"/>
    <w:rsid w:val="004D7497"/>
    <w:rsid w:val="004D74B5"/>
    <w:rsid w:val="004E023F"/>
    <w:rsid w:val="004E0546"/>
    <w:rsid w:val="004E0556"/>
    <w:rsid w:val="004E0742"/>
    <w:rsid w:val="004E0C64"/>
    <w:rsid w:val="004E0F6B"/>
    <w:rsid w:val="004E1545"/>
    <w:rsid w:val="004E1F1C"/>
    <w:rsid w:val="004E242F"/>
    <w:rsid w:val="004E2A35"/>
    <w:rsid w:val="004E2CCF"/>
    <w:rsid w:val="004E3B71"/>
    <w:rsid w:val="004E40CE"/>
    <w:rsid w:val="004E5736"/>
    <w:rsid w:val="004E5A3C"/>
    <w:rsid w:val="004E5B36"/>
    <w:rsid w:val="004E5D5D"/>
    <w:rsid w:val="004E6045"/>
    <w:rsid w:val="004E6F43"/>
    <w:rsid w:val="004E71B7"/>
    <w:rsid w:val="004E7200"/>
    <w:rsid w:val="004E787E"/>
    <w:rsid w:val="004E7AA1"/>
    <w:rsid w:val="004F0805"/>
    <w:rsid w:val="004F0960"/>
    <w:rsid w:val="004F0A5C"/>
    <w:rsid w:val="004F1596"/>
    <w:rsid w:val="004F163F"/>
    <w:rsid w:val="004F18A0"/>
    <w:rsid w:val="004F1A08"/>
    <w:rsid w:val="004F1D0F"/>
    <w:rsid w:val="004F2364"/>
    <w:rsid w:val="004F26C7"/>
    <w:rsid w:val="004F2B64"/>
    <w:rsid w:val="004F31B8"/>
    <w:rsid w:val="004F375E"/>
    <w:rsid w:val="004F3764"/>
    <w:rsid w:val="004F3EEF"/>
    <w:rsid w:val="004F5180"/>
    <w:rsid w:val="004F542F"/>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534"/>
    <w:rsid w:val="00503A17"/>
    <w:rsid w:val="005042E8"/>
    <w:rsid w:val="00505892"/>
    <w:rsid w:val="00505DCB"/>
    <w:rsid w:val="0050674C"/>
    <w:rsid w:val="00507066"/>
    <w:rsid w:val="00507167"/>
    <w:rsid w:val="005075CA"/>
    <w:rsid w:val="00507B06"/>
    <w:rsid w:val="00507BF1"/>
    <w:rsid w:val="0051074C"/>
    <w:rsid w:val="00510DE9"/>
    <w:rsid w:val="005111E2"/>
    <w:rsid w:val="00511231"/>
    <w:rsid w:val="00511741"/>
    <w:rsid w:val="00512C4F"/>
    <w:rsid w:val="00513042"/>
    <w:rsid w:val="0051334F"/>
    <w:rsid w:val="00513399"/>
    <w:rsid w:val="00513AF2"/>
    <w:rsid w:val="00514575"/>
    <w:rsid w:val="00514C03"/>
    <w:rsid w:val="00514D67"/>
    <w:rsid w:val="0051522A"/>
    <w:rsid w:val="00515515"/>
    <w:rsid w:val="0051635C"/>
    <w:rsid w:val="00516C5B"/>
    <w:rsid w:val="00517612"/>
    <w:rsid w:val="00517AC6"/>
    <w:rsid w:val="00517CFB"/>
    <w:rsid w:val="00517F85"/>
    <w:rsid w:val="0052002F"/>
    <w:rsid w:val="00520235"/>
    <w:rsid w:val="00520899"/>
    <w:rsid w:val="00520922"/>
    <w:rsid w:val="005209FC"/>
    <w:rsid w:val="00520C09"/>
    <w:rsid w:val="00520EC1"/>
    <w:rsid w:val="005215D6"/>
    <w:rsid w:val="00521A30"/>
    <w:rsid w:val="00521D7C"/>
    <w:rsid w:val="00521EA7"/>
    <w:rsid w:val="005224E5"/>
    <w:rsid w:val="0052311A"/>
    <w:rsid w:val="00523903"/>
    <w:rsid w:val="005239B6"/>
    <w:rsid w:val="00523C45"/>
    <w:rsid w:val="00523F41"/>
    <w:rsid w:val="00524165"/>
    <w:rsid w:val="005244FC"/>
    <w:rsid w:val="005246E7"/>
    <w:rsid w:val="00524B08"/>
    <w:rsid w:val="00524C38"/>
    <w:rsid w:val="00524EC6"/>
    <w:rsid w:val="00524FD2"/>
    <w:rsid w:val="00525621"/>
    <w:rsid w:val="00526431"/>
    <w:rsid w:val="00527532"/>
    <w:rsid w:val="00527DEB"/>
    <w:rsid w:val="00527E57"/>
    <w:rsid w:val="00527F2C"/>
    <w:rsid w:val="00530405"/>
    <w:rsid w:val="00530458"/>
    <w:rsid w:val="00530522"/>
    <w:rsid w:val="00530530"/>
    <w:rsid w:val="005305E5"/>
    <w:rsid w:val="0053086F"/>
    <w:rsid w:val="00530CBA"/>
    <w:rsid w:val="00530F38"/>
    <w:rsid w:val="00531F26"/>
    <w:rsid w:val="00532501"/>
    <w:rsid w:val="0053277C"/>
    <w:rsid w:val="005327C0"/>
    <w:rsid w:val="00533101"/>
    <w:rsid w:val="00533CA9"/>
    <w:rsid w:val="00533FF0"/>
    <w:rsid w:val="005346AD"/>
    <w:rsid w:val="00534EFB"/>
    <w:rsid w:val="00534F60"/>
    <w:rsid w:val="005357F1"/>
    <w:rsid w:val="00535C73"/>
    <w:rsid w:val="00535D15"/>
    <w:rsid w:val="00536053"/>
    <w:rsid w:val="005363C6"/>
    <w:rsid w:val="005367B6"/>
    <w:rsid w:val="005369E6"/>
    <w:rsid w:val="005371AC"/>
    <w:rsid w:val="00537672"/>
    <w:rsid w:val="005376B5"/>
    <w:rsid w:val="0053772F"/>
    <w:rsid w:val="00537A70"/>
    <w:rsid w:val="00537B64"/>
    <w:rsid w:val="00537B77"/>
    <w:rsid w:val="00540C4C"/>
    <w:rsid w:val="00541469"/>
    <w:rsid w:val="00541571"/>
    <w:rsid w:val="005419DA"/>
    <w:rsid w:val="00541B1F"/>
    <w:rsid w:val="0054275A"/>
    <w:rsid w:val="005428B8"/>
    <w:rsid w:val="005428BE"/>
    <w:rsid w:val="00542BD7"/>
    <w:rsid w:val="00543084"/>
    <w:rsid w:val="00543584"/>
    <w:rsid w:val="00543A9E"/>
    <w:rsid w:val="0054413A"/>
    <w:rsid w:val="00544288"/>
    <w:rsid w:val="005446BB"/>
    <w:rsid w:val="00544DA5"/>
    <w:rsid w:val="00544F43"/>
    <w:rsid w:val="00545997"/>
    <w:rsid w:val="00545E30"/>
    <w:rsid w:val="00545EA3"/>
    <w:rsid w:val="00546C9B"/>
    <w:rsid w:val="00547378"/>
    <w:rsid w:val="00547778"/>
    <w:rsid w:val="00547BF6"/>
    <w:rsid w:val="00547FB3"/>
    <w:rsid w:val="00551098"/>
    <w:rsid w:val="00551598"/>
    <w:rsid w:val="0055162B"/>
    <w:rsid w:val="00551A56"/>
    <w:rsid w:val="00551BFF"/>
    <w:rsid w:val="00551D68"/>
    <w:rsid w:val="00551DFF"/>
    <w:rsid w:val="005525C9"/>
    <w:rsid w:val="00552B3E"/>
    <w:rsid w:val="00553A23"/>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BD1"/>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6B5"/>
    <w:rsid w:val="00574708"/>
    <w:rsid w:val="00574D81"/>
    <w:rsid w:val="005756AA"/>
    <w:rsid w:val="0057696F"/>
    <w:rsid w:val="00576C8A"/>
    <w:rsid w:val="005774FE"/>
    <w:rsid w:val="0058040C"/>
    <w:rsid w:val="00580D6D"/>
    <w:rsid w:val="00580FD8"/>
    <w:rsid w:val="005813DE"/>
    <w:rsid w:val="00581796"/>
    <w:rsid w:val="0058195C"/>
    <w:rsid w:val="00581B45"/>
    <w:rsid w:val="00582480"/>
    <w:rsid w:val="00582805"/>
    <w:rsid w:val="0058290E"/>
    <w:rsid w:val="00582C8C"/>
    <w:rsid w:val="00582CAB"/>
    <w:rsid w:val="00582DCD"/>
    <w:rsid w:val="00582FA6"/>
    <w:rsid w:val="005836D5"/>
    <w:rsid w:val="0058375E"/>
    <w:rsid w:val="0058394B"/>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97D"/>
    <w:rsid w:val="00593EA2"/>
    <w:rsid w:val="00593F75"/>
    <w:rsid w:val="005940A0"/>
    <w:rsid w:val="0059429A"/>
    <w:rsid w:val="00594CBE"/>
    <w:rsid w:val="00595561"/>
    <w:rsid w:val="00596AF7"/>
    <w:rsid w:val="00596CCE"/>
    <w:rsid w:val="00597516"/>
    <w:rsid w:val="005A0B53"/>
    <w:rsid w:val="005A1976"/>
    <w:rsid w:val="005A1F51"/>
    <w:rsid w:val="005A2120"/>
    <w:rsid w:val="005A21F0"/>
    <w:rsid w:val="005A2501"/>
    <w:rsid w:val="005A2C80"/>
    <w:rsid w:val="005A3066"/>
    <w:rsid w:val="005A3B35"/>
    <w:rsid w:val="005A3C4B"/>
    <w:rsid w:val="005A3E5A"/>
    <w:rsid w:val="005A43F3"/>
    <w:rsid w:val="005A496F"/>
    <w:rsid w:val="005A4A56"/>
    <w:rsid w:val="005A547E"/>
    <w:rsid w:val="005A5608"/>
    <w:rsid w:val="005A5A3D"/>
    <w:rsid w:val="005A6035"/>
    <w:rsid w:val="005A6B75"/>
    <w:rsid w:val="005A6E00"/>
    <w:rsid w:val="005A718A"/>
    <w:rsid w:val="005A72DD"/>
    <w:rsid w:val="005A7885"/>
    <w:rsid w:val="005B12B2"/>
    <w:rsid w:val="005B143B"/>
    <w:rsid w:val="005B19BD"/>
    <w:rsid w:val="005B1E45"/>
    <w:rsid w:val="005B21C4"/>
    <w:rsid w:val="005B2A28"/>
    <w:rsid w:val="005B35AB"/>
    <w:rsid w:val="005B3621"/>
    <w:rsid w:val="005B3EBE"/>
    <w:rsid w:val="005B4948"/>
    <w:rsid w:val="005B501D"/>
    <w:rsid w:val="005B54CC"/>
    <w:rsid w:val="005B71BB"/>
    <w:rsid w:val="005B741C"/>
    <w:rsid w:val="005B74AD"/>
    <w:rsid w:val="005B7E96"/>
    <w:rsid w:val="005C0429"/>
    <w:rsid w:val="005C06A5"/>
    <w:rsid w:val="005C084F"/>
    <w:rsid w:val="005C0EE9"/>
    <w:rsid w:val="005C169F"/>
    <w:rsid w:val="005C16A8"/>
    <w:rsid w:val="005C1716"/>
    <w:rsid w:val="005C1954"/>
    <w:rsid w:val="005C1C0B"/>
    <w:rsid w:val="005C2011"/>
    <w:rsid w:val="005C3EA3"/>
    <w:rsid w:val="005C44DE"/>
    <w:rsid w:val="005C5011"/>
    <w:rsid w:val="005C506F"/>
    <w:rsid w:val="005C5241"/>
    <w:rsid w:val="005C529E"/>
    <w:rsid w:val="005C57BA"/>
    <w:rsid w:val="005C5C52"/>
    <w:rsid w:val="005C5D3D"/>
    <w:rsid w:val="005C5F05"/>
    <w:rsid w:val="005C6186"/>
    <w:rsid w:val="005C6397"/>
    <w:rsid w:val="005C6CF7"/>
    <w:rsid w:val="005C6D19"/>
    <w:rsid w:val="005C721D"/>
    <w:rsid w:val="005C7E45"/>
    <w:rsid w:val="005C7F3E"/>
    <w:rsid w:val="005D06D3"/>
    <w:rsid w:val="005D0C3B"/>
    <w:rsid w:val="005D103E"/>
    <w:rsid w:val="005D1051"/>
    <w:rsid w:val="005D1606"/>
    <w:rsid w:val="005D1D10"/>
    <w:rsid w:val="005D2044"/>
    <w:rsid w:val="005D209E"/>
    <w:rsid w:val="005D2917"/>
    <w:rsid w:val="005D2EB2"/>
    <w:rsid w:val="005D2F48"/>
    <w:rsid w:val="005D3B32"/>
    <w:rsid w:val="005D464B"/>
    <w:rsid w:val="005D466F"/>
    <w:rsid w:val="005D4789"/>
    <w:rsid w:val="005D49F0"/>
    <w:rsid w:val="005D51F7"/>
    <w:rsid w:val="005D51FA"/>
    <w:rsid w:val="005D53E8"/>
    <w:rsid w:val="005D5A9D"/>
    <w:rsid w:val="005D5D15"/>
    <w:rsid w:val="005D6651"/>
    <w:rsid w:val="005D691D"/>
    <w:rsid w:val="005D6A39"/>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665F"/>
    <w:rsid w:val="005E781C"/>
    <w:rsid w:val="005F0B10"/>
    <w:rsid w:val="005F2D8B"/>
    <w:rsid w:val="005F2DD0"/>
    <w:rsid w:val="005F305B"/>
    <w:rsid w:val="005F3361"/>
    <w:rsid w:val="005F361A"/>
    <w:rsid w:val="005F3B47"/>
    <w:rsid w:val="005F4481"/>
    <w:rsid w:val="005F47AC"/>
    <w:rsid w:val="005F49AF"/>
    <w:rsid w:val="005F4A58"/>
    <w:rsid w:val="005F54DF"/>
    <w:rsid w:val="005F5888"/>
    <w:rsid w:val="005F5984"/>
    <w:rsid w:val="005F5EAB"/>
    <w:rsid w:val="005F6CE2"/>
    <w:rsid w:val="005F6EC8"/>
    <w:rsid w:val="005F6F24"/>
    <w:rsid w:val="005F72E9"/>
    <w:rsid w:val="005F780B"/>
    <w:rsid w:val="005F7DE2"/>
    <w:rsid w:val="0060009C"/>
    <w:rsid w:val="00600473"/>
    <w:rsid w:val="0060139A"/>
    <w:rsid w:val="006013C9"/>
    <w:rsid w:val="00602065"/>
    <w:rsid w:val="00602931"/>
    <w:rsid w:val="00602B45"/>
    <w:rsid w:val="00603499"/>
    <w:rsid w:val="006035F5"/>
    <w:rsid w:val="00603CC2"/>
    <w:rsid w:val="006047D1"/>
    <w:rsid w:val="006048A4"/>
    <w:rsid w:val="00604A55"/>
    <w:rsid w:val="00604D4E"/>
    <w:rsid w:val="00604E3E"/>
    <w:rsid w:val="00605AC3"/>
    <w:rsid w:val="00606908"/>
    <w:rsid w:val="00607860"/>
    <w:rsid w:val="00607996"/>
    <w:rsid w:val="00607A37"/>
    <w:rsid w:val="00607E9F"/>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31B"/>
    <w:rsid w:val="00621D0C"/>
    <w:rsid w:val="00622229"/>
    <w:rsid w:val="00622470"/>
    <w:rsid w:val="0062267E"/>
    <w:rsid w:val="00622725"/>
    <w:rsid w:val="00622785"/>
    <w:rsid w:val="0062293F"/>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247E"/>
    <w:rsid w:val="00632CE0"/>
    <w:rsid w:val="00633DBF"/>
    <w:rsid w:val="00634122"/>
    <w:rsid w:val="0063444B"/>
    <w:rsid w:val="00634BEF"/>
    <w:rsid w:val="00635E32"/>
    <w:rsid w:val="006360FC"/>
    <w:rsid w:val="006361C9"/>
    <w:rsid w:val="00636405"/>
    <w:rsid w:val="006365DE"/>
    <w:rsid w:val="00636BE4"/>
    <w:rsid w:val="00636C0C"/>
    <w:rsid w:val="00636F88"/>
    <w:rsid w:val="0063732C"/>
    <w:rsid w:val="00637802"/>
    <w:rsid w:val="00637836"/>
    <w:rsid w:val="00637C26"/>
    <w:rsid w:val="00637F44"/>
    <w:rsid w:val="0064036E"/>
    <w:rsid w:val="00641078"/>
    <w:rsid w:val="00641242"/>
    <w:rsid w:val="00641761"/>
    <w:rsid w:val="00641899"/>
    <w:rsid w:val="00642126"/>
    <w:rsid w:val="00642A32"/>
    <w:rsid w:val="00642B8E"/>
    <w:rsid w:val="00642F7C"/>
    <w:rsid w:val="006433D5"/>
    <w:rsid w:val="00643412"/>
    <w:rsid w:val="00643CF5"/>
    <w:rsid w:val="00645844"/>
    <w:rsid w:val="00645CEB"/>
    <w:rsid w:val="00645E63"/>
    <w:rsid w:val="00646B20"/>
    <w:rsid w:val="00646D0F"/>
    <w:rsid w:val="00647A36"/>
    <w:rsid w:val="00647DCC"/>
    <w:rsid w:val="00647E8E"/>
    <w:rsid w:val="00647EFA"/>
    <w:rsid w:val="00647F14"/>
    <w:rsid w:val="00650027"/>
    <w:rsid w:val="00650E89"/>
    <w:rsid w:val="006516E6"/>
    <w:rsid w:val="00651B9C"/>
    <w:rsid w:val="00651C47"/>
    <w:rsid w:val="00652E70"/>
    <w:rsid w:val="0065339A"/>
    <w:rsid w:val="00653469"/>
    <w:rsid w:val="006543C8"/>
    <w:rsid w:val="0065443A"/>
    <w:rsid w:val="00654A38"/>
    <w:rsid w:val="00655301"/>
    <w:rsid w:val="00655371"/>
    <w:rsid w:val="00655507"/>
    <w:rsid w:val="006562C2"/>
    <w:rsid w:val="006564A5"/>
    <w:rsid w:val="00656C4B"/>
    <w:rsid w:val="006572A7"/>
    <w:rsid w:val="006573EA"/>
    <w:rsid w:val="006577C9"/>
    <w:rsid w:val="006606A4"/>
    <w:rsid w:val="00661029"/>
    <w:rsid w:val="006610C3"/>
    <w:rsid w:val="0066135A"/>
    <w:rsid w:val="00661A38"/>
    <w:rsid w:val="0066272D"/>
    <w:rsid w:val="00662E58"/>
    <w:rsid w:val="00662F39"/>
    <w:rsid w:val="0066352A"/>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E80"/>
    <w:rsid w:val="0067333F"/>
    <w:rsid w:val="006739E4"/>
    <w:rsid w:val="00673ECF"/>
    <w:rsid w:val="0067426B"/>
    <w:rsid w:val="00674A1B"/>
    <w:rsid w:val="00674D08"/>
    <w:rsid w:val="00674F1C"/>
    <w:rsid w:val="006754F8"/>
    <w:rsid w:val="00676127"/>
    <w:rsid w:val="00676AED"/>
    <w:rsid w:val="00676E78"/>
    <w:rsid w:val="00677212"/>
    <w:rsid w:val="00677F26"/>
    <w:rsid w:val="006800EE"/>
    <w:rsid w:val="006802A7"/>
    <w:rsid w:val="00680A86"/>
    <w:rsid w:val="00680FBE"/>
    <w:rsid w:val="006811C9"/>
    <w:rsid w:val="006812CE"/>
    <w:rsid w:val="006826C1"/>
    <w:rsid w:val="00682C89"/>
    <w:rsid w:val="006832B8"/>
    <w:rsid w:val="00683329"/>
    <w:rsid w:val="006837B2"/>
    <w:rsid w:val="00683800"/>
    <w:rsid w:val="0068420B"/>
    <w:rsid w:val="00684462"/>
    <w:rsid w:val="00684C0D"/>
    <w:rsid w:val="00684C8A"/>
    <w:rsid w:val="00684CF5"/>
    <w:rsid w:val="0068553E"/>
    <w:rsid w:val="00685D37"/>
    <w:rsid w:val="00685E7B"/>
    <w:rsid w:val="00685F20"/>
    <w:rsid w:val="00686551"/>
    <w:rsid w:val="00686CAB"/>
    <w:rsid w:val="0068717F"/>
    <w:rsid w:val="0068730C"/>
    <w:rsid w:val="00687504"/>
    <w:rsid w:val="00687A14"/>
    <w:rsid w:val="00687A8C"/>
    <w:rsid w:val="0069069B"/>
    <w:rsid w:val="00690839"/>
    <w:rsid w:val="006908DB"/>
    <w:rsid w:val="00690DE9"/>
    <w:rsid w:val="00691563"/>
    <w:rsid w:val="00691DE9"/>
    <w:rsid w:val="00691EAA"/>
    <w:rsid w:val="00692245"/>
    <w:rsid w:val="00692745"/>
    <w:rsid w:val="00692FFA"/>
    <w:rsid w:val="00693772"/>
    <w:rsid w:val="006937EA"/>
    <w:rsid w:val="00693984"/>
    <w:rsid w:val="00693B77"/>
    <w:rsid w:val="00694156"/>
    <w:rsid w:val="00694160"/>
    <w:rsid w:val="00694E8B"/>
    <w:rsid w:val="006959A5"/>
    <w:rsid w:val="00695C0C"/>
    <w:rsid w:val="00696736"/>
    <w:rsid w:val="00696A05"/>
    <w:rsid w:val="00697665"/>
    <w:rsid w:val="00697C9A"/>
    <w:rsid w:val="00697E68"/>
    <w:rsid w:val="00697FC1"/>
    <w:rsid w:val="006A0274"/>
    <w:rsid w:val="006A27BC"/>
    <w:rsid w:val="006A2A43"/>
    <w:rsid w:val="006A2BF1"/>
    <w:rsid w:val="006A2F9A"/>
    <w:rsid w:val="006A34E4"/>
    <w:rsid w:val="006A35AC"/>
    <w:rsid w:val="006A3A5A"/>
    <w:rsid w:val="006A4249"/>
    <w:rsid w:val="006A44CF"/>
    <w:rsid w:val="006A457D"/>
    <w:rsid w:val="006A4B5A"/>
    <w:rsid w:val="006A4C06"/>
    <w:rsid w:val="006A55EE"/>
    <w:rsid w:val="006A575B"/>
    <w:rsid w:val="006A59DE"/>
    <w:rsid w:val="006A64C6"/>
    <w:rsid w:val="006A6655"/>
    <w:rsid w:val="006A6BF9"/>
    <w:rsid w:val="006A6D7B"/>
    <w:rsid w:val="006A7AB8"/>
    <w:rsid w:val="006A7CB5"/>
    <w:rsid w:val="006A7FD0"/>
    <w:rsid w:val="006B025C"/>
    <w:rsid w:val="006B04DB"/>
    <w:rsid w:val="006B08ED"/>
    <w:rsid w:val="006B2170"/>
    <w:rsid w:val="006B2534"/>
    <w:rsid w:val="006B2CB2"/>
    <w:rsid w:val="006B347D"/>
    <w:rsid w:val="006B3E19"/>
    <w:rsid w:val="006B4488"/>
    <w:rsid w:val="006B4D5D"/>
    <w:rsid w:val="006B50C4"/>
    <w:rsid w:val="006B5211"/>
    <w:rsid w:val="006B53AE"/>
    <w:rsid w:val="006B58B4"/>
    <w:rsid w:val="006B67AC"/>
    <w:rsid w:val="006B786A"/>
    <w:rsid w:val="006B7E4E"/>
    <w:rsid w:val="006C003A"/>
    <w:rsid w:val="006C0694"/>
    <w:rsid w:val="006C107C"/>
    <w:rsid w:val="006C189C"/>
    <w:rsid w:val="006C2454"/>
    <w:rsid w:val="006C2551"/>
    <w:rsid w:val="006C27B9"/>
    <w:rsid w:val="006C2CC0"/>
    <w:rsid w:val="006C37CA"/>
    <w:rsid w:val="006C39AE"/>
    <w:rsid w:val="006C40D2"/>
    <w:rsid w:val="006C4B85"/>
    <w:rsid w:val="006C4BBD"/>
    <w:rsid w:val="006C551E"/>
    <w:rsid w:val="006C5B15"/>
    <w:rsid w:val="006C5D32"/>
    <w:rsid w:val="006C5DCB"/>
    <w:rsid w:val="006C6475"/>
    <w:rsid w:val="006C70C4"/>
    <w:rsid w:val="006C741F"/>
    <w:rsid w:val="006D0444"/>
    <w:rsid w:val="006D04DA"/>
    <w:rsid w:val="006D10F6"/>
    <w:rsid w:val="006D1544"/>
    <w:rsid w:val="006D1688"/>
    <w:rsid w:val="006D1BE1"/>
    <w:rsid w:val="006D1DD3"/>
    <w:rsid w:val="006D1FF3"/>
    <w:rsid w:val="006D2C65"/>
    <w:rsid w:val="006D32C6"/>
    <w:rsid w:val="006D360E"/>
    <w:rsid w:val="006D3697"/>
    <w:rsid w:val="006D39D2"/>
    <w:rsid w:val="006D3A94"/>
    <w:rsid w:val="006D3F2A"/>
    <w:rsid w:val="006D4370"/>
    <w:rsid w:val="006D46A3"/>
    <w:rsid w:val="006D5DCB"/>
    <w:rsid w:val="006D62E0"/>
    <w:rsid w:val="006D62EA"/>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D5B"/>
    <w:rsid w:val="006E602F"/>
    <w:rsid w:val="006E6720"/>
    <w:rsid w:val="006E7275"/>
    <w:rsid w:val="006E77B8"/>
    <w:rsid w:val="006E7AAF"/>
    <w:rsid w:val="006F0F74"/>
    <w:rsid w:val="006F13BA"/>
    <w:rsid w:val="006F15CC"/>
    <w:rsid w:val="006F15F6"/>
    <w:rsid w:val="006F36EA"/>
    <w:rsid w:val="006F4147"/>
    <w:rsid w:val="006F4315"/>
    <w:rsid w:val="006F47A7"/>
    <w:rsid w:val="006F492E"/>
    <w:rsid w:val="006F4CB0"/>
    <w:rsid w:val="006F4F78"/>
    <w:rsid w:val="006F50C2"/>
    <w:rsid w:val="006F5389"/>
    <w:rsid w:val="006F547E"/>
    <w:rsid w:val="006F5CCF"/>
    <w:rsid w:val="006F6F04"/>
    <w:rsid w:val="006F71F5"/>
    <w:rsid w:val="006F72A8"/>
    <w:rsid w:val="006F79BB"/>
    <w:rsid w:val="007000A6"/>
    <w:rsid w:val="00700610"/>
    <w:rsid w:val="0070138A"/>
    <w:rsid w:val="0070157E"/>
    <w:rsid w:val="007025AA"/>
    <w:rsid w:val="007030D4"/>
    <w:rsid w:val="00703279"/>
    <w:rsid w:val="007034D9"/>
    <w:rsid w:val="00703B61"/>
    <w:rsid w:val="00703E11"/>
    <w:rsid w:val="00704102"/>
    <w:rsid w:val="0070437C"/>
    <w:rsid w:val="0070461C"/>
    <w:rsid w:val="00704F37"/>
    <w:rsid w:val="00705631"/>
    <w:rsid w:val="00705818"/>
    <w:rsid w:val="00705F62"/>
    <w:rsid w:val="00706813"/>
    <w:rsid w:val="0070773F"/>
    <w:rsid w:val="00707A2E"/>
    <w:rsid w:val="00707ED3"/>
    <w:rsid w:val="007101B7"/>
    <w:rsid w:val="00710668"/>
    <w:rsid w:val="00711019"/>
    <w:rsid w:val="007110F4"/>
    <w:rsid w:val="007112B1"/>
    <w:rsid w:val="0071130F"/>
    <w:rsid w:val="00711E93"/>
    <w:rsid w:val="00712044"/>
    <w:rsid w:val="00712507"/>
    <w:rsid w:val="00712714"/>
    <w:rsid w:val="007129AB"/>
    <w:rsid w:val="00712B63"/>
    <w:rsid w:val="00712E5F"/>
    <w:rsid w:val="00713526"/>
    <w:rsid w:val="00713FC5"/>
    <w:rsid w:val="00714BB9"/>
    <w:rsid w:val="00714DCA"/>
    <w:rsid w:val="007150F3"/>
    <w:rsid w:val="00715BBF"/>
    <w:rsid w:val="00715C29"/>
    <w:rsid w:val="00715CBD"/>
    <w:rsid w:val="00715EAA"/>
    <w:rsid w:val="00716119"/>
    <w:rsid w:val="00716630"/>
    <w:rsid w:val="00716BB0"/>
    <w:rsid w:val="00716CAD"/>
    <w:rsid w:val="00716CD3"/>
    <w:rsid w:val="00716F18"/>
    <w:rsid w:val="00717363"/>
    <w:rsid w:val="00717786"/>
    <w:rsid w:val="00717ACB"/>
    <w:rsid w:val="00717F8F"/>
    <w:rsid w:val="0072138B"/>
    <w:rsid w:val="00721BFF"/>
    <w:rsid w:val="007227EB"/>
    <w:rsid w:val="007232EE"/>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C4B"/>
    <w:rsid w:val="00732EBC"/>
    <w:rsid w:val="00734952"/>
    <w:rsid w:val="00734987"/>
    <w:rsid w:val="00734990"/>
    <w:rsid w:val="00734FF5"/>
    <w:rsid w:val="00735B78"/>
    <w:rsid w:val="00735CA5"/>
    <w:rsid w:val="00735DA7"/>
    <w:rsid w:val="00736700"/>
    <w:rsid w:val="007368B4"/>
    <w:rsid w:val="007378E0"/>
    <w:rsid w:val="0074040E"/>
    <w:rsid w:val="00740529"/>
    <w:rsid w:val="00740876"/>
    <w:rsid w:val="00741358"/>
    <w:rsid w:val="00741626"/>
    <w:rsid w:val="00741B0C"/>
    <w:rsid w:val="00742332"/>
    <w:rsid w:val="00742886"/>
    <w:rsid w:val="00742A3A"/>
    <w:rsid w:val="00742DD2"/>
    <w:rsid w:val="007437C6"/>
    <w:rsid w:val="007441A2"/>
    <w:rsid w:val="00744273"/>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2F"/>
    <w:rsid w:val="007502EC"/>
    <w:rsid w:val="00750382"/>
    <w:rsid w:val="0075094E"/>
    <w:rsid w:val="00750FA8"/>
    <w:rsid w:val="00750FB5"/>
    <w:rsid w:val="00751FD4"/>
    <w:rsid w:val="007520F0"/>
    <w:rsid w:val="0075226F"/>
    <w:rsid w:val="007522E8"/>
    <w:rsid w:val="007529DB"/>
    <w:rsid w:val="007534AD"/>
    <w:rsid w:val="00753BAC"/>
    <w:rsid w:val="00753E86"/>
    <w:rsid w:val="00754A0B"/>
    <w:rsid w:val="00755229"/>
    <w:rsid w:val="007552DB"/>
    <w:rsid w:val="0075549F"/>
    <w:rsid w:val="00755B08"/>
    <w:rsid w:val="00755DD0"/>
    <w:rsid w:val="0075647A"/>
    <w:rsid w:val="007569B8"/>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A13"/>
    <w:rsid w:val="00762E60"/>
    <w:rsid w:val="00762E6C"/>
    <w:rsid w:val="00762F54"/>
    <w:rsid w:val="007634AD"/>
    <w:rsid w:val="0076445F"/>
    <w:rsid w:val="00764EC5"/>
    <w:rsid w:val="007651EF"/>
    <w:rsid w:val="00766D49"/>
    <w:rsid w:val="00766ECC"/>
    <w:rsid w:val="007672F3"/>
    <w:rsid w:val="007677B5"/>
    <w:rsid w:val="007678B1"/>
    <w:rsid w:val="007708A8"/>
    <w:rsid w:val="00772100"/>
    <w:rsid w:val="00772275"/>
    <w:rsid w:val="00772AAF"/>
    <w:rsid w:val="00772C9A"/>
    <w:rsid w:val="00772E2A"/>
    <w:rsid w:val="00773131"/>
    <w:rsid w:val="007732A4"/>
    <w:rsid w:val="007734E4"/>
    <w:rsid w:val="0077380D"/>
    <w:rsid w:val="00773BC8"/>
    <w:rsid w:val="00774337"/>
    <w:rsid w:val="00774549"/>
    <w:rsid w:val="0077466F"/>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049"/>
    <w:rsid w:val="0078122E"/>
    <w:rsid w:val="00781939"/>
    <w:rsid w:val="00781D29"/>
    <w:rsid w:val="007825EF"/>
    <w:rsid w:val="0078286B"/>
    <w:rsid w:val="00782D2C"/>
    <w:rsid w:val="00782FC2"/>
    <w:rsid w:val="0078347A"/>
    <w:rsid w:val="0078410A"/>
    <w:rsid w:val="00784938"/>
    <w:rsid w:val="00784FC4"/>
    <w:rsid w:val="007859D4"/>
    <w:rsid w:val="00785BBB"/>
    <w:rsid w:val="00785FB2"/>
    <w:rsid w:val="00786937"/>
    <w:rsid w:val="00786FAD"/>
    <w:rsid w:val="00787B1B"/>
    <w:rsid w:val="00787CCC"/>
    <w:rsid w:val="00787D90"/>
    <w:rsid w:val="00787F5E"/>
    <w:rsid w:val="00790164"/>
    <w:rsid w:val="0079041B"/>
    <w:rsid w:val="007905C6"/>
    <w:rsid w:val="00790A24"/>
    <w:rsid w:val="00790A37"/>
    <w:rsid w:val="00790A60"/>
    <w:rsid w:val="0079131A"/>
    <w:rsid w:val="0079146D"/>
    <w:rsid w:val="00791C32"/>
    <w:rsid w:val="00791FF0"/>
    <w:rsid w:val="007923D0"/>
    <w:rsid w:val="007930D3"/>
    <w:rsid w:val="007936E2"/>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A7775"/>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926"/>
    <w:rsid w:val="007B6C64"/>
    <w:rsid w:val="007B6EC8"/>
    <w:rsid w:val="007B6F81"/>
    <w:rsid w:val="007B7EA2"/>
    <w:rsid w:val="007C097D"/>
    <w:rsid w:val="007C0AF2"/>
    <w:rsid w:val="007C1672"/>
    <w:rsid w:val="007C17AE"/>
    <w:rsid w:val="007C21E1"/>
    <w:rsid w:val="007C227C"/>
    <w:rsid w:val="007C24EE"/>
    <w:rsid w:val="007C312A"/>
    <w:rsid w:val="007C3538"/>
    <w:rsid w:val="007C3570"/>
    <w:rsid w:val="007C3F3B"/>
    <w:rsid w:val="007C4097"/>
    <w:rsid w:val="007C4241"/>
    <w:rsid w:val="007C425E"/>
    <w:rsid w:val="007C4A6E"/>
    <w:rsid w:val="007C55FF"/>
    <w:rsid w:val="007C5A67"/>
    <w:rsid w:val="007C5EF9"/>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59D"/>
    <w:rsid w:val="007D481A"/>
    <w:rsid w:val="007D4B96"/>
    <w:rsid w:val="007D4ED0"/>
    <w:rsid w:val="007D5648"/>
    <w:rsid w:val="007D58C5"/>
    <w:rsid w:val="007D5DE8"/>
    <w:rsid w:val="007D7CFC"/>
    <w:rsid w:val="007E0812"/>
    <w:rsid w:val="007E0825"/>
    <w:rsid w:val="007E18DF"/>
    <w:rsid w:val="007E214A"/>
    <w:rsid w:val="007E238D"/>
    <w:rsid w:val="007E2C36"/>
    <w:rsid w:val="007E350D"/>
    <w:rsid w:val="007E3ACA"/>
    <w:rsid w:val="007E3F4A"/>
    <w:rsid w:val="007E47D1"/>
    <w:rsid w:val="007E564D"/>
    <w:rsid w:val="007E5C4A"/>
    <w:rsid w:val="007E64D4"/>
    <w:rsid w:val="007E66E9"/>
    <w:rsid w:val="007E69F2"/>
    <w:rsid w:val="007E6D82"/>
    <w:rsid w:val="007E7091"/>
    <w:rsid w:val="007E7432"/>
    <w:rsid w:val="007E74BF"/>
    <w:rsid w:val="007E7657"/>
    <w:rsid w:val="007E7B55"/>
    <w:rsid w:val="007E7D2E"/>
    <w:rsid w:val="007E7E80"/>
    <w:rsid w:val="007F14D3"/>
    <w:rsid w:val="007F1814"/>
    <w:rsid w:val="007F1A13"/>
    <w:rsid w:val="007F1D9D"/>
    <w:rsid w:val="007F1E28"/>
    <w:rsid w:val="007F1F63"/>
    <w:rsid w:val="007F22A0"/>
    <w:rsid w:val="007F25F0"/>
    <w:rsid w:val="007F2902"/>
    <w:rsid w:val="007F2903"/>
    <w:rsid w:val="007F296E"/>
    <w:rsid w:val="007F2F90"/>
    <w:rsid w:val="007F3320"/>
    <w:rsid w:val="007F3AC1"/>
    <w:rsid w:val="007F4976"/>
    <w:rsid w:val="007F4B40"/>
    <w:rsid w:val="007F5A56"/>
    <w:rsid w:val="007F5D42"/>
    <w:rsid w:val="007F616E"/>
    <w:rsid w:val="007F6B46"/>
    <w:rsid w:val="007F6D29"/>
    <w:rsid w:val="007F72CB"/>
    <w:rsid w:val="007F736A"/>
    <w:rsid w:val="007F7635"/>
    <w:rsid w:val="007F785F"/>
    <w:rsid w:val="007F7961"/>
    <w:rsid w:val="007F7AF6"/>
    <w:rsid w:val="007F7E36"/>
    <w:rsid w:val="00800E34"/>
    <w:rsid w:val="00800E6D"/>
    <w:rsid w:val="008014D9"/>
    <w:rsid w:val="0080150F"/>
    <w:rsid w:val="0080153A"/>
    <w:rsid w:val="00801626"/>
    <w:rsid w:val="00801A2A"/>
    <w:rsid w:val="00802041"/>
    <w:rsid w:val="008022C9"/>
    <w:rsid w:val="00802605"/>
    <w:rsid w:val="00802F9E"/>
    <w:rsid w:val="00803566"/>
    <w:rsid w:val="00803700"/>
    <w:rsid w:val="0080376A"/>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479F"/>
    <w:rsid w:val="0081513E"/>
    <w:rsid w:val="00815DA5"/>
    <w:rsid w:val="00816221"/>
    <w:rsid w:val="0081749A"/>
    <w:rsid w:val="008174F3"/>
    <w:rsid w:val="0081766B"/>
    <w:rsid w:val="008201DE"/>
    <w:rsid w:val="0082042E"/>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3FFF"/>
    <w:rsid w:val="008241CE"/>
    <w:rsid w:val="0082520B"/>
    <w:rsid w:val="00825240"/>
    <w:rsid w:val="00825B43"/>
    <w:rsid w:val="00826F71"/>
    <w:rsid w:val="00827CC0"/>
    <w:rsid w:val="008306AB"/>
    <w:rsid w:val="00831026"/>
    <w:rsid w:val="0083119B"/>
    <w:rsid w:val="00831BAE"/>
    <w:rsid w:val="00832216"/>
    <w:rsid w:val="00832513"/>
    <w:rsid w:val="00832CD0"/>
    <w:rsid w:val="00833430"/>
    <w:rsid w:val="008339C4"/>
    <w:rsid w:val="00833ADA"/>
    <w:rsid w:val="00834128"/>
    <w:rsid w:val="0083417F"/>
    <w:rsid w:val="00835143"/>
    <w:rsid w:val="00835590"/>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4F5"/>
    <w:rsid w:val="00844D4F"/>
    <w:rsid w:val="00844F38"/>
    <w:rsid w:val="008459C5"/>
    <w:rsid w:val="00845AE3"/>
    <w:rsid w:val="008466A0"/>
    <w:rsid w:val="00847535"/>
    <w:rsid w:val="00847B6D"/>
    <w:rsid w:val="00847F34"/>
    <w:rsid w:val="0085092D"/>
    <w:rsid w:val="008509A5"/>
    <w:rsid w:val="00850C79"/>
    <w:rsid w:val="00850D82"/>
    <w:rsid w:val="00850F79"/>
    <w:rsid w:val="0085100B"/>
    <w:rsid w:val="008510A1"/>
    <w:rsid w:val="0085304C"/>
    <w:rsid w:val="008536BB"/>
    <w:rsid w:val="00853A3C"/>
    <w:rsid w:val="008540A3"/>
    <w:rsid w:val="008548CA"/>
    <w:rsid w:val="00854A1C"/>
    <w:rsid w:val="008563B0"/>
    <w:rsid w:val="00856C06"/>
    <w:rsid w:val="00857638"/>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5AA"/>
    <w:rsid w:val="0086468A"/>
    <w:rsid w:val="008650BE"/>
    <w:rsid w:val="00865EAF"/>
    <w:rsid w:val="0086633B"/>
    <w:rsid w:val="00866495"/>
    <w:rsid w:val="00866881"/>
    <w:rsid w:val="00866931"/>
    <w:rsid w:val="008673AE"/>
    <w:rsid w:val="00867512"/>
    <w:rsid w:val="008678A3"/>
    <w:rsid w:val="00867C13"/>
    <w:rsid w:val="00867C1D"/>
    <w:rsid w:val="0087033C"/>
    <w:rsid w:val="008715ED"/>
    <w:rsid w:val="008717D8"/>
    <w:rsid w:val="00871E3C"/>
    <w:rsid w:val="00872F97"/>
    <w:rsid w:val="00873D22"/>
    <w:rsid w:val="00874607"/>
    <w:rsid w:val="008747E9"/>
    <w:rsid w:val="00874915"/>
    <w:rsid w:val="00874B89"/>
    <w:rsid w:val="00875403"/>
    <w:rsid w:val="00875434"/>
    <w:rsid w:val="00875C1F"/>
    <w:rsid w:val="00875DCB"/>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08DC"/>
    <w:rsid w:val="0089107B"/>
    <w:rsid w:val="008913CC"/>
    <w:rsid w:val="008914AE"/>
    <w:rsid w:val="008919CF"/>
    <w:rsid w:val="00891F84"/>
    <w:rsid w:val="00891FC3"/>
    <w:rsid w:val="008926C2"/>
    <w:rsid w:val="008928EC"/>
    <w:rsid w:val="00892A15"/>
    <w:rsid w:val="00892E5D"/>
    <w:rsid w:val="008935CF"/>
    <w:rsid w:val="0089436B"/>
    <w:rsid w:val="00894436"/>
    <w:rsid w:val="00894BB1"/>
    <w:rsid w:val="00894EE8"/>
    <w:rsid w:val="008951D0"/>
    <w:rsid w:val="00895442"/>
    <w:rsid w:val="0089582D"/>
    <w:rsid w:val="008959C6"/>
    <w:rsid w:val="0089606D"/>
    <w:rsid w:val="00896129"/>
    <w:rsid w:val="00896316"/>
    <w:rsid w:val="0089774F"/>
    <w:rsid w:val="00897875"/>
    <w:rsid w:val="00897B8F"/>
    <w:rsid w:val="008A00D9"/>
    <w:rsid w:val="008A07D5"/>
    <w:rsid w:val="008A1C96"/>
    <w:rsid w:val="008A1F65"/>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1CF"/>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918"/>
    <w:rsid w:val="008C1DBA"/>
    <w:rsid w:val="008C24E7"/>
    <w:rsid w:val="008C2500"/>
    <w:rsid w:val="008C2CAC"/>
    <w:rsid w:val="008C3C57"/>
    <w:rsid w:val="008C3E2A"/>
    <w:rsid w:val="008C45BD"/>
    <w:rsid w:val="008C4B19"/>
    <w:rsid w:val="008C5983"/>
    <w:rsid w:val="008C62D4"/>
    <w:rsid w:val="008C6B89"/>
    <w:rsid w:val="008C6B97"/>
    <w:rsid w:val="008C7EF7"/>
    <w:rsid w:val="008C7F13"/>
    <w:rsid w:val="008D094D"/>
    <w:rsid w:val="008D0ECE"/>
    <w:rsid w:val="008D18AA"/>
    <w:rsid w:val="008D1A2A"/>
    <w:rsid w:val="008D1ADE"/>
    <w:rsid w:val="008D3199"/>
    <w:rsid w:val="008D35D9"/>
    <w:rsid w:val="008D3B36"/>
    <w:rsid w:val="008D3B85"/>
    <w:rsid w:val="008D42D2"/>
    <w:rsid w:val="008D4596"/>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BE6"/>
    <w:rsid w:val="008E30C4"/>
    <w:rsid w:val="008E38B4"/>
    <w:rsid w:val="008E3BA4"/>
    <w:rsid w:val="008E3F17"/>
    <w:rsid w:val="008E44AB"/>
    <w:rsid w:val="008E4CAE"/>
    <w:rsid w:val="008E5179"/>
    <w:rsid w:val="008E57FE"/>
    <w:rsid w:val="008E6598"/>
    <w:rsid w:val="008E710F"/>
    <w:rsid w:val="008E7214"/>
    <w:rsid w:val="008E7471"/>
    <w:rsid w:val="008E7497"/>
    <w:rsid w:val="008E7884"/>
    <w:rsid w:val="008E7D6E"/>
    <w:rsid w:val="008F1056"/>
    <w:rsid w:val="008F2E8D"/>
    <w:rsid w:val="008F361D"/>
    <w:rsid w:val="008F387B"/>
    <w:rsid w:val="008F3DD9"/>
    <w:rsid w:val="008F40DC"/>
    <w:rsid w:val="008F4163"/>
    <w:rsid w:val="008F4814"/>
    <w:rsid w:val="008F4B18"/>
    <w:rsid w:val="008F4DA6"/>
    <w:rsid w:val="008F538E"/>
    <w:rsid w:val="008F5A20"/>
    <w:rsid w:val="008F5ABA"/>
    <w:rsid w:val="008F6157"/>
    <w:rsid w:val="008F71AB"/>
    <w:rsid w:val="008F7905"/>
    <w:rsid w:val="008F7989"/>
    <w:rsid w:val="00900912"/>
    <w:rsid w:val="009013B8"/>
    <w:rsid w:val="00901F1D"/>
    <w:rsid w:val="009028E8"/>
    <w:rsid w:val="00902E5C"/>
    <w:rsid w:val="0090363E"/>
    <w:rsid w:val="00903788"/>
    <w:rsid w:val="00903C57"/>
    <w:rsid w:val="009046E5"/>
    <w:rsid w:val="009047C5"/>
    <w:rsid w:val="009100A1"/>
    <w:rsid w:val="00910683"/>
    <w:rsid w:val="00910E00"/>
    <w:rsid w:val="00910E04"/>
    <w:rsid w:val="009116CE"/>
    <w:rsid w:val="00911714"/>
    <w:rsid w:val="00911969"/>
    <w:rsid w:val="00911D04"/>
    <w:rsid w:val="00911EFF"/>
    <w:rsid w:val="0091310F"/>
    <w:rsid w:val="009136D4"/>
    <w:rsid w:val="00914921"/>
    <w:rsid w:val="00914B9A"/>
    <w:rsid w:val="00914C3F"/>
    <w:rsid w:val="00914F33"/>
    <w:rsid w:val="00915EFE"/>
    <w:rsid w:val="00915FCE"/>
    <w:rsid w:val="00916907"/>
    <w:rsid w:val="00916AFE"/>
    <w:rsid w:val="00916FC8"/>
    <w:rsid w:val="009170D3"/>
    <w:rsid w:val="0091759C"/>
    <w:rsid w:val="00917CBE"/>
    <w:rsid w:val="00920026"/>
    <w:rsid w:val="009203E2"/>
    <w:rsid w:val="00920BF5"/>
    <w:rsid w:val="00920F61"/>
    <w:rsid w:val="00921304"/>
    <w:rsid w:val="00921395"/>
    <w:rsid w:val="00921805"/>
    <w:rsid w:val="00921E63"/>
    <w:rsid w:val="009220F6"/>
    <w:rsid w:val="00923396"/>
    <w:rsid w:val="00923F56"/>
    <w:rsid w:val="009242A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47A"/>
    <w:rsid w:val="009346C8"/>
    <w:rsid w:val="00934CEC"/>
    <w:rsid w:val="00934E69"/>
    <w:rsid w:val="0093576F"/>
    <w:rsid w:val="00935E70"/>
    <w:rsid w:val="0093609A"/>
    <w:rsid w:val="00937401"/>
    <w:rsid w:val="009376FB"/>
    <w:rsid w:val="00937D6B"/>
    <w:rsid w:val="00940207"/>
    <w:rsid w:val="00940477"/>
    <w:rsid w:val="00940876"/>
    <w:rsid w:val="00940A53"/>
    <w:rsid w:val="00940F3C"/>
    <w:rsid w:val="009410E0"/>
    <w:rsid w:val="00941FA9"/>
    <w:rsid w:val="00942EB0"/>
    <w:rsid w:val="009439B6"/>
    <w:rsid w:val="009444B4"/>
    <w:rsid w:val="00944644"/>
    <w:rsid w:val="00946A24"/>
    <w:rsid w:val="009470D4"/>
    <w:rsid w:val="00947337"/>
    <w:rsid w:val="009477BD"/>
    <w:rsid w:val="00947E6E"/>
    <w:rsid w:val="00950864"/>
    <w:rsid w:val="009512FA"/>
    <w:rsid w:val="009516A9"/>
    <w:rsid w:val="00951E57"/>
    <w:rsid w:val="00952350"/>
    <w:rsid w:val="00952505"/>
    <w:rsid w:val="00953018"/>
    <w:rsid w:val="009533E2"/>
    <w:rsid w:val="00953554"/>
    <w:rsid w:val="0095385A"/>
    <w:rsid w:val="00954F3A"/>
    <w:rsid w:val="00955541"/>
    <w:rsid w:val="00955DFD"/>
    <w:rsid w:val="00956032"/>
    <w:rsid w:val="0095674F"/>
    <w:rsid w:val="0095780A"/>
    <w:rsid w:val="009578C3"/>
    <w:rsid w:val="009579E4"/>
    <w:rsid w:val="00957AA4"/>
    <w:rsid w:val="00957ACB"/>
    <w:rsid w:val="00957F27"/>
    <w:rsid w:val="00960BDB"/>
    <w:rsid w:val="0096105C"/>
    <w:rsid w:val="0096147D"/>
    <w:rsid w:val="00961791"/>
    <w:rsid w:val="00961C14"/>
    <w:rsid w:val="00961D53"/>
    <w:rsid w:val="00961E5F"/>
    <w:rsid w:val="009622EE"/>
    <w:rsid w:val="009625C6"/>
    <w:rsid w:val="009629B5"/>
    <w:rsid w:val="00962A50"/>
    <w:rsid w:val="00962C93"/>
    <w:rsid w:val="00963550"/>
    <w:rsid w:val="00964138"/>
    <w:rsid w:val="009648D6"/>
    <w:rsid w:val="00964B3F"/>
    <w:rsid w:val="00964C98"/>
    <w:rsid w:val="0096769E"/>
    <w:rsid w:val="00971441"/>
    <w:rsid w:val="00971555"/>
    <w:rsid w:val="009715D4"/>
    <w:rsid w:val="009715E1"/>
    <w:rsid w:val="0097179A"/>
    <w:rsid w:val="00971B0A"/>
    <w:rsid w:val="009731F4"/>
    <w:rsid w:val="009732A4"/>
    <w:rsid w:val="00973AB3"/>
    <w:rsid w:val="00973C05"/>
    <w:rsid w:val="0097494E"/>
    <w:rsid w:val="00974999"/>
    <w:rsid w:val="00974B58"/>
    <w:rsid w:val="00974CBD"/>
    <w:rsid w:val="00975445"/>
    <w:rsid w:val="009761ED"/>
    <w:rsid w:val="00977F52"/>
    <w:rsid w:val="0098022F"/>
    <w:rsid w:val="009810DE"/>
    <w:rsid w:val="00981B91"/>
    <w:rsid w:val="009822D7"/>
    <w:rsid w:val="009827E6"/>
    <w:rsid w:val="00982F84"/>
    <w:rsid w:val="009831C3"/>
    <w:rsid w:val="009838C1"/>
    <w:rsid w:val="00983E17"/>
    <w:rsid w:val="0098427D"/>
    <w:rsid w:val="00984447"/>
    <w:rsid w:val="00984567"/>
    <w:rsid w:val="00985102"/>
    <w:rsid w:val="009854BC"/>
    <w:rsid w:val="00985A66"/>
    <w:rsid w:val="0098606C"/>
    <w:rsid w:val="009865D5"/>
    <w:rsid w:val="009866A4"/>
    <w:rsid w:val="00986CD7"/>
    <w:rsid w:val="009876F2"/>
    <w:rsid w:val="00987C77"/>
    <w:rsid w:val="00987FED"/>
    <w:rsid w:val="00990345"/>
    <w:rsid w:val="00990701"/>
    <w:rsid w:val="0099119C"/>
    <w:rsid w:val="0099137A"/>
    <w:rsid w:val="0099211C"/>
    <w:rsid w:val="00993013"/>
    <w:rsid w:val="009930AB"/>
    <w:rsid w:val="00993125"/>
    <w:rsid w:val="00993B78"/>
    <w:rsid w:val="00994F3F"/>
    <w:rsid w:val="00995119"/>
    <w:rsid w:val="0099531F"/>
    <w:rsid w:val="009953AD"/>
    <w:rsid w:val="009957D7"/>
    <w:rsid w:val="0099583D"/>
    <w:rsid w:val="00995842"/>
    <w:rsid w:val="00996020"/>
    <w:rsid w:val="0099629E"/>
    <w:rsid w:val="00996992"/>
    <w:rsid w:val="00996E1E"/>
    <w:rsid w:val="00997148"/>
    <w:rsid w:val="00997392"/>
    <w:rsid w:val="0099747C"/>
    <w:rsid w:val="0099771C"/>
    <w:rsid w:val="009A01E4"/>
    <w:rsid w:val="009A0721"/>
    <w:rsid w:val="009A0917"/>
    <w:rsid w:val="009A0A33"/>
    <w:rsid w:val="009A10B2"/>
    <w:rsid w:val="009A1351"/>
    <w:rsid w:val="009A1458"/>
    <w:rsid w:val="009A2041"/>
    <w:rsid w:val="009A2435"/>
    <w:rsid w:val="009A2B60"/>
    <w:rsid w:val="009A35DC"/>
    <w:rsid w:val="009A38AB"/>
    <w:rsid w:val="009A39EE"/>
    <w:rsid w:val="009A3A33"/>
    <w:rsid w:val="009A3D47"/>
    <w:rsid w:val="009A4D63"/>
    <w:rsid w:val="009A5356"/>
    <w:rsid w:val="009A5468"/>
    <w:rsid w:val="009A55D8"/>
    <w:rsid w:val="009A5D99"/>
    <w:rsid w:val="009A608C"/>
    <w:rsid w:val="009A6FDF"/>
    <w:rsid w:val="009A706F"/>
    <w:rsid w:val="009A715F"/>
    <w:rsid w:val="009A76D6"/>
    <w:rsid w:val="009B03F1"/>
    <w:rsid w:val="009B2374"/>
    <w:rsid w:val="009B28D6"/>
    <w:rsid w:val="009B2E29"/>
    <w:rsid w:val="009B3163"/>
    <w:rsid w:val="009B422F"/>
    <w:rsid w:val="009B46BC"/>
    <w:rsid w:val="009B4D1A"/>
    <w:rsid w:val="009B519D"/>
    <w:rsid w:val="009B558B"/>
    <w:rsid w:val="009B663F"/>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FDE"/>
    <w:rsid w:val="009C523F"/>
    <w:rsid w:val="009C59BF"/>
    <w:rsid w:val="009C5D02"/>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604F"/>
    <w:rsid w:val="009D61BB"/>
    <w:rsid w:val="009D6410"/>
    <w:rsid w:val="009D68BB"/>
    <w:rsid w:val="009D6909"/>
    <w:rsid w:val="009D700F"/>
    <w:rsid w:val="009D70C2"/>
    <w:rsid w:val="009D7244"/>
    <w:rsid w:val="009D7ADB"/>
    <w:rsid w:val="009D7B33"/>
    <w:rsid w:val="009E0490"/>
    <w:rsid w:val="009E06C3"/>
    <w:rsid w:val="009E0703"/>
    <w:rsid w:val="009E0B07"/>
    <w:rsid w:val="009E1035"/>
    <w:rsid w:val="009E13D2"/>
    <w:rsid w:val="009E16DA"/>
    <w:rsid w:val="009E1CD4"/>
    <w:rsid w:val="009E2391"/>
    <w:rsid w:val="009E2A11"/>
    <w:rsid w:val="009E476A"/>
    <w:rsid w:val="009E4A16"/>
    <w:rsid w:val="009E4E05"/>
    <w:rsid w:val="009E56FF"/>
    <w:rsid w:val="009E5CB1"/>
    <w:rsid w:val="009E5E56"/>
    <w:rsid w:val="009E61EA"/>
    <w:rsid w:val="009E6990"/>
    <w:rsid w:val="009E6D67"/>
    <w:rsid w:val="009E6FEE"/>
    <w:rsid w:val="009E7068"/>
    <w:rsid w:val="009F0084"/>
    <w:rsid w:val="009F00B9"/>
    <w:rsid w:val="009F060F"/>
    <w:rsid w:val="009F0781"/>
    <w:rsid w:val="009F0850"/>
    <w:rsid w:val="009F15A8"/>
    <w:rsid w:val="009F1950"/>
    <w:rsid w:val="009F1BDF"/>
    <w:rsid w:val="009F1EAE"/>
    <w:rsid w:val="009F210A"/>
    <w:rsid w:val="009F2732"/>
    <w:rsid w:val="009F2848"/>
    <w:rsid w:val="009F369D"/>
    <w:rsid w:val="009F36FE"/>
    <w:rsid w:val="009F4990"/>
    <w:rsid w:val="009F4F25"/>
    <w:rsid w:val="009F59C2"/>
    <w:rsid w:val="009F62A3"/>
    <w:rsid w:val="009F7263"/>
    <w:rsid w:val="009F76EA"/>
    <w:rsid w:val="009F78EB"/>
    <w:rsid w:val="009F7DB2"/>
    <w:rsid w:val="009F7F32"/>
    <w:rsid w:val="009F7FEB"/>
    <w:rsid w:val="00A003D5"/>
    <w:rsid w:val="00A0056C"/>
    <w:rsid w:val="00A00F5E"/>
    <w:rsid w:val="00A0120D"/>
    <w:rsid w:val="00A012BA"/>
    <w:rsid w:val="00A01852"/>
    <w:rsid w:val="00A0188B"/>
    <w:rsid w:val="00A01C35"/>
    <w:rsid w:val="00A01E73"/>
    <w:rsid w:val="00A023E7"/>
    <w:rsid w:val="00A026CC"/>
    <w:rsid w:val="00A02B88"/>
    <w:rsid w:val="00A02EF9"/>
    <w:rsid w:val="00A03160"/>
    <w:rsid w:val="00A036AC"/>
    <w:rsid w:val="00A03C54"/>
    <w:rsid w:val="00A03DE5"/>
    <w:rsid w:val="00A041BC"/>
    <w:rsid w:val="00A0447F"/>
    <w:rsid w:val="00A04532"/>
    <w:rsid w:val="00A046D2"/>
    <w:rsid w:val="00A04A54"/>
    <w:rsid w:val="00A058B8"/>
    <w:rsid w:val="00A05B4B"/>
    <w:rsid w:val="00A066C3"/>
    <w:rsid w:val="00A06754"/>
    <w:rsid w:val="00A069E0"/>
    <w:rsid w:val="00A06E4A"/>
    <w:rsid w:val="00A06EB6"/>
    <w:rsid w:val="00A070E9"/>
    <w:rsid w:val="00A078FB"/>
    <w:rsid w:val="00A10209"/>
    <w:rsid w:val="00A1036D"/>
    <w:rsid w:val="00A1069F"/>
    <w:rsid w:val="00A10ACA"/>
    <w:rsid w:val="00A10D08"/>
    <w:rsid w:val="00A11720"/>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35E1"/>
    <w:rsid w:val="00A24560"/>
    <w:rsid w:val="00A25B0F"/>
    <w:rsid w:val="00A25BBB"/>
    <w:rsid w:val="00A27E77"/>
    <w:rsid w:val="00A27FB6"/>
    <w:rsid w:val="00A30121"/>
    <w:rsid w:val="00A30368"/>
    <w:rsid w:val="00A3043A"/>
    <w:rsid w:val="00A30E02"/>
    <w:rsid w:val="00A30F6A"/>
    <w:rsid w:val="00A31060"/>
    <w:rsid w:val="00A31C3E"/>
    <w:rsid w:val="00A34538"/>
    <w:rsid w:val="00A34677"/>
    <w:rsid w:val="00A3540F"/>
    <w:rsid w:val="00A35630"/>
    <w:rsid w:val="00A35914"/>
    <w:rsid w:val="00A36189"/>
    <w:rsid w:val="00A3677A"/>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CAC"/>
    <w:rsid w:val="00A45F9B"/>
    <w:rsid w:val="00A46574"/>
    <w:rsid w:val="00A46A5F"/>
    <w:rsid w:val="00A47701"/>
    <w:rsid w:val="00A47849"/>
    <w:rsid w:val="00A500B1"/>
    <w:rsid w:val="00A51D65"/>
    <w:rsid w:val="00A52A53"/>
    <w:rsid w:val="00A52EE5"/>
    <w:rsid w:val="00A53037"/>
    <w:rsid w:val="00A532B9"/>
    <w:rsid w:val="00A5351D"/>
    <w:rsid w:val="00A53E79"/>
    <w:rsid w:val="00A5402C"/>
    <w:rsid w:val="00A54031"/>
    <w:rsid w:val="00A5426D"/>
    <w:rsid w:val="00A54FC2"/>
    <w:rsid w:val="00A55122"/>
    <w:rsid w:val="00A55806"/>
    <w:rsid w:val="00A55CEA"/>
    <w:rsid w:val="00A560A9"/>
    <w:rsid w:val="00A56DE7"/>
    <w:rsid w:val="00A57EB2"/>
    <w:rsid w:val="00A6009E"/>
    <w:rsid w:val="00A60265"/>
    <w:rsid w:val="00A60540"/>
    <w:rsid w:val="00A60B1F"/>
    <w:rsid w:val="00A611B1"/>
    <w:rsid w:val="00A6144B"/>
    <w:rsid w:val="00A6149F"/>
    <w:rsid w:val="00A61C60"/>
    <w:rsid w:val="00A62589"/>
    <w:rsid w:val="00A62AD0"/>
    <w:rsid w:val="00A62C3A"/>
    <w:rsid w:val="00A6319C"/>
    <w:rsid w:val="00A63812"/>
    <w:rsid w:val="00A63DF7"/>
    <w:rsid w:val="00A6454D"/>
    <w:rsid w:val="00A64742"/>
    <w:rsid w:val="00A64767"/>
    <w:rsid w:val="00A64F2F"/>
    <w:rsid w:val="00A6611E"/>
    <w:rsid w:val="00A6662C"/>
    <w:rsid w:val="00A668BA"/>
    <w:rsid w:val="00A66FA7"/>
    <w:rsid w:val="00A67035"/>
    <w:rsid w:val="00A67170"/>
    <w:rsid w:val="00A67AE8"/>
    <w:rsid w:val="00A67E16"/>
    <w:rsid w:val="00A67EB1"/>
    <w:rsid w:val="00A67F1C"/>
    <w:rsid w:val="00A703CC"/>
    <w:rsid w:val="00A70C5C"/>
    <w:rsid w:val="00A710A2"/>
    <w:rsid w:val="00A71EA7"/>
    <w:rsid w:val="00A730AD"/>
    <w:rsid w:val="00A73855"/>
    <w:rsid w:val="00A73D64"/>
    <w:rsid w:val="00A74216"/>
    <w:rsid w:val="00A74360"/>
    <w:rsid w:val="00A744B4"/>
    <w:rsid w:val="00A746CF"/>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13"/>
    <w:rsid w:val="00A820CB"/>
    <w:rsid w:val="00A82342"/>
    <w:rsid w:val="00A8236F"/>
    <w:rsid w:val="00A82D06"/>
    <w:rsid w:val="00A83BEF"/>
    <w:rsid w:val="00A84443"/>
    <w:rsid w:val="00A8487F"/>
    <w:rsid w:val="00A84935"/>
    <w:rsid w:val="00A849A3"/>
    <w:rsid w:val="00A84A0E"/>
    <w:rsid w:val="00A84C22"/>
    <w:rsid w:val="00A8575D"/>
    <w:rsid w:val="00A861F4"/>
    <w:rsid w:val="00A86E0B"/>
    <w:rsid w:val="00A90F12"/>
    <w:rsid w:val="00A91DAA"/>
    <w:rsid w:val="00A93101"/>
    <w:rsid w:val="00A93239"/>
    <w:rsid w:val="00A9413E"/>
    <w:rsid w:val="00A94293"/>
    <w:rsid w:val="00A9496E"/>
    <w:rsid w:val="00A949F0"/>
    <w:rsid w:val="00A94BDE"/>
    <w:rsid w:val="00A94E76"/>
    <w:rsid w:val="00A94FCA"/>
    <w:rsid w:val="00A95E4C"/>
    <w:rsid w:val="00A96C60"/>
    <w:rsid w:val="00A9740B"/>
    <w:rsid w:val="00A9766C"/>
    <w:rsid w:val="00A977F8"/>
    <w:rsid w:val="00A979DB"/>
    <w:rsid w:val="00A97A40"/>
    <w:rsid w:val="00A97C93"/>
    <w:rsid w:val="00AA06C6"/>
    <w:rsid w:val="00AA08E7"/>
    <w:rsid w:val="00AA0A06"/>
    <w:rsid w:val="00AA1351"/>
    <w:rsid w:val="00AA184C"/>
    <w:rsid w:val="00AA1AF4"/>
    <w:rsid w:val="00AA1C84"/>
    <w:rsid w:val="00AA31C5"/>
    <w:rsid w:val="00AA3D7B"/>
    <w:rsid w:val="00AA42A0"/>
    <w:rsid w:val="00AA442B"/>
    <w:rsid w:val="00AA46A4"/>
    <w:rsid w:val="00AA47FA"/>
    <w:rsid w:val="00AA5779"/>
    <w:rsid w:val="00AA58A1"/>
    <w:rsid w:val="00AA59FD"/>
    <w:rsid w:val="00AA61C7"/>
    <w:rsid w:val="00AA669D"/>
    <w:rsid w:val="00AA66ED"/>
    <w:rsid w:val="00AA6B44"/>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267"/>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861"/>
    <w:rsid w:val="00AD09F7"/>
    <w:rsid w:val="00AD1EFA"/>
    <w:rsid w:val="00AD2072"/>
    <w:rsid w:val="00AD2DBD"/>
    <w:rsid w:val="00AD2FBF"/>
    <w:rsid w:val="00AD30DB"/>
    <w:rsid w:val="00AD33A1"/>
    <w:rsid w:val="00AD340E"/>
    <w:rsid w:val="00AD455D"/>
    <w:rsid w:val="00AD463C"/>
    <w:rsid w:val="00AD4F60"/>
    <w:rsid w:val="00AD5044"/>
    <w:rsid w:val="00AD5114"/>
    <w:rsid w:val="00AD5740"/>
    <w:rsid w:val="00AD6236"/>
    <w:rsid w:val="00AD69D5"/>
    <w:rsid w:val="00AD7619"/>
    <w:rsid w:val="00AD7770"/>
    <w:rsid w:val="00AE1713"/>
    <w:rsid w:val="00AE1772"/>
    <w:rsid w:val="00AE1990"/>
    <w:rsid w:val="00AE25E8"/>
    <w:rsid w:val="00AE2AD4"/>
    <w:rsid w:val="00AE2CA7"/>
    <w:rsid w:val="00AE2F1D"/>
    <w:rsid w:val="00AE4C81"/>
    <w:rsid w:val="00AE586F"/>
    <w:rsid w:val="00AE62FE"/>
    <w:rsid w:val="00AE6582"/>
    <w:rsid w:val="00AE6DC5"/>
    <w:rsid w:val="00AE7686"/>
    <w:rsid w:val="00AE799A"/>
    <w:rsid w:val="00AE7C9F"/>
    <w:rsid w:val="00AF0B8E"/>
    <w:rsid w:val="00AF0E81"/>
    <w:rsid w:val="00AF117A"/>
    <w:rsid w:val="00AF134E"/>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DEC"/>
    <w:rsid w:val="00AF6EB6"/>
    <w:rsid w:val="00AF7796"/>
    <w:rsid w:val="00AF7E8F"/>
    <w:rsid w:val="00B011A9"/>
    <w:rsid w:val="00B01BAF"/>
    <w:rsid w:val="00B024ED"/>
    <w:rsid w:val="00B025FE"/>
    <w:rsid w:val="00B026B8"/>
    <w:rsid w:val="00B02EB3"/>
    <w:rsid w:val="00B02F7C"/>
    <w:rsid w:val="00B02FCB"/>
    <w:rsid w:val="00B033F8"/>
    <w:rsid w:val="00B0343B"/>
    <w:rsid w:val="00B03C1E"/>
    <w:rsid w:val="00B04400"/>
    <w:rsid w:val="00B04835"/>
    <w:rsid w:val="00B05A55"/>
    <w:rsid w:val="00B05DE1"/>
    <w:rsid w:val="00B06595"/>
    <w:rsid w:val="00B06862"/>
    <w:rsid w:val="00B10109"/>
    <w:rsid w:val="00B1017C"/>
    <w:rsid w:val="00B1085E"/>
    <w:rsid w:val="00B10F18"/>
    <w:rsid w:val="00B10FD1"/>
    <w:rsid w:val="00B112D5"/>
    <w:rsid w:val="00B11378"/>
    <w:rsid w:val="00B1219D"/>
    <w:rsid w:val="00B12735"/>
    <w:rsid w:val="00B12F44"/>
    <w:rsid w:val="00B12FBB"/>
    <w:rsid w:val="00B13C48"/>
    <w:rsid w:val="00B13E35"/>
    <w:rsid w:val="00B13EC0"/>
    <w:rsid w:val="00B14102"/>
    <w:rsid w:val="00B14D32"/>
    <w:rsid w:val="00B1507C"/>
    <w:rsid w:val="00B15105"/>
    <w:rsid w:val="00B1557C"/>
    <w:rsid w:val="00B155DC"/>
    <w:rsid w:val="00B15766"/>
    <w:rsid w:val="00B15E4A"/>
    <w:rsid w:val="00B1666A"/>
    <w:rsid w:val="00B167C8"/>
    <w:rsid w:val="00B1686D"/>
    <w:rsid w:val="00B16BC6"/>
    <w:rsid w:val="00B16BF7"/>
    <w:rsid w:val="00B17129"/>
    <w:rsid w:val="00B1741D"/>
    <w:rsid w:val="00B17447"/>
    <w:rsid w:val="00B17719"/>
    <w:rsid w:val="00B1771D"/>
    <w:rsid w:val="00B17B91"/>
    <w:rsid w:val="00B20209"/>
    <w:rsid w:val="00B203C9"/>
    <w:rsid w:val="00B2088D"/>
    <w:rsid w:val="00B208FF"/>
    <w:rsid w:val="00B20B23"/>
    <w:rsid w:val="00B21271"/>
    <w:rsid w:val="00B22E22"/>
    <w:rsid w:val="00B22F5F"/>
    <w:rsid w:val="00B23353"/>
    <w:rsid w:val="00B237E6"/>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413"/>
    <w:rsid w:val="00B32DC0"/>
    <w:rsid w:val="00B32E31"/>
    <w:rsid w:val="00B3346C"/>
    <w:rsid w:val="00B335E4"/>
    <w:rsid w:val="00B33C23"/>
    <w:rsid w:val="00B345B4"/>
    <w:rsid w:val="00B348B1"/>
    <w:rsid w:val="00B34A28"/>
    <w:rsid w:val="00B35046"/>
    <w:rsid w:val="00B357F4"/>
    <w:rsid w:val="00B35B6A"/>
    <w:rsid w:val="00B3692A"/>
    <w:rsid w:val="00B36D2B"/>
    <w:rsid w:val="00B37657"/>
    <w:rsid w:val="00B37AFD"/>
    <w:rsid w:val="00B37B07"/>
    <w:rsid w:val="00B4046F"/>
    <w:rsid w:val="00B406B3"/>
    <w:rsid w:val="00B40A36"/>
    <w:rsid w:val="00B41BCA"/>
    <w:rsid w:val="00B41D39"/>
    <w:rsid w:val="00B422C0"/>
    <w:rsid w:val="00B426CA"/>
    <w:rsid w:val="00B426E1"/>
    <w:rsid w:val="00B434C1"/>
    <w:rsid w:val="00B43718"/>
    <w:rsid w:val="00B4387A"/>
    <w:rsid w:val="00B44746"/>
    <w:rsid w:val="00B44854"/>
    <w:rsid w:val="00B44BA5"/>
    <w:rsid w:val="00B458D0"/>
    <w:rsid w:val="00B467FB"/>
    <w:rsid w:val="00B4792C"/>
    <w:rsid w:val="00B50CAE"/>
    <w:rsid w:val="00B512AD"/>
    <w:rsid w:val="00B5196C"/>
    <w:rsid w:val="00B525CB"/>
    <w:rsid w:val="00B52697"/>
    <w:rsid w:val="00B53D1A"/>
    <w:rsid w:val="00B54215"/>
    <w:rsid w:val="00B54D8F"/>
    <w:rsid w:val="00B55857"/>
    <w:rsid w:val="00B55C69"/>
    <w:rsid w:val="00B56851"/>
    <w:rsid w:val="00B56D6E"/>
    <w:rsid w:val="00B572F7"/>
    <w:rsid w:val="00B57B9D"/>
    <w:rsid w:val="00B57DAF"/>
    <w:rsid w:val="00B60094"/>
    <w:rsid w:val="00B6022C"/>
    <w:rsid w:val="00B6040C"/>
    <w:rsid w:val="00B607CE"/>
    <w:rsid w:val="00B614F8"/>
    <w:rsid w:val="00B61994"/>
    <w:rsid w:val="00B61B18"/>
    <w:rsid w:val="00B61FD4"/>
    <w:rsid w:val="00B6235B"/>
    <w:rsid w:val="00B62880"/>
    <w:rsid w:val="00B63872"/>
    <w:rsid w:val="00B63CB2"/>
    <w:rsid w:val="00B64246"/>
    <w:rsid w:val="00B646F3"/>
    <w:rsid w:val="00B64EDB"/>
    <w:rsid w:val="00B65938"/>
    <w:rsid w:val="00B65C8A"/>
    <w:rsid w:val="00B65CE2"/>
    <w:rsid w:val="00B660AD"/>
    <w:rsid w:val="00B66109"/>
    <w:rsid w:val="00B66349"/>
    <w:rsid w:val="00B669B3"/>
    <w:rsid w:val="00B67FBF"/>
    <w:rsid w:val="00B70832"/>
    <w:rsid w:val="00B71376"/>
    <w:rsid w:val="00B716D7"/>
    <w:rsid w:val="00B719EA"/>
    <w:rsid w:val="00B72110"/>
    <w:rsid w:val="00B726B0"/>
    <w:rsid w:val="00B72B91"/>
    <w:rsid w:val="00B72E44"/>
    <w:rsid w:val="00B73019"/>
    <w:rsid w:val="00B7315F"/>
    <w:rsid w:val="00B7323A"/>
    <w:rsid w:val="00B7353B"/>
    <w:rsid w:val="00B737FB"/>
    <w:rsid w:val="00B73E5D"/>
    <w:rsid w:val="00B73EF3"/>
    <w:rsid w:val="00B7423D"/>
    <w:rsid w:val="00B74D05"/>
    <w:rsid w:val="00B74EF8"/>
    <w:rsid w:val="00B75893"/>
    <w:rsid w:val="00B771F4"/>
    <w:rsid w:val="00B7762A"/>
    <w:rsid w:val="00B777FA"/>
    <w:rsid w:val="00B77850"/>
    <w:rsid w:val="00B7796B"/>
    <w:rsid w:val="00B80C72"/>
    <w:rsid w:val="00B8101E"/>
    <w:rsid w:val="00B81964"/>
    <w:rsid w:val="00B81E6F"/>
    <w:rsid w:val="00B82123"/>
    <w:rsid w:val="00B8225B"/>
    <w:rsid w:val="00B82BB5"/>
    <w:rsid w:val="00B83182"/>
    <w:rsid w:val="00B839F0"/>
    <w:rsid w:val="00B851E4"/>
    <w:rsid w:val="00B8535C"/>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42A"/>
    <w:rsid w:val="00B9691F"/>
    <w:rsid w:val="00B96944"/>
    <w:rsid w:val="00B96EEC"/>
    <w:rsid w:val="00B97232"/>
    <w:rsid w:val="00B97392"/>
    <w:rsid w:val="00B976C7"/>
    <w:rsid w:val="00B97A73"/>
    <w:rsid w:val="00BA0C54"/>
    <w:rsid w:val="00BA1382"/>
    <w:rsid w:val="00BA15E3"/>
    <w:rsid w:val="00BA1A85"/>
    <w:rsid w:val="00BA1A8C"/>
    <w:rsid w:val="00BA1D07"/>
    <w:rsid w:val="00BA20B6"/>
    <w:rsid w:val="00BA20D8"/>
    <w:rsid w:val="00BA22FC"/>
    <w:rsid w:val="00BA2C2A"/>
    <w:rsid w:val="00BA2F30"/>
    <w:rsid w:val="00BA3524"/>
    <w:rsid w:val="00BA3982"/>
    <w:rsid w:val="00BA405F"/>
    <w:rsid w:val="00BA4771"/>
    <w:rsid w:val="00BA482B"/>
    <w:rsid w:val="00BA5027"/>
    <w:rsid w:val="00BA55E0"/>
    <w:rsid w:val="00BA5B88"/>
    <w:rsid w:val="00BA6349"/>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324"/>
    <w:rsid w:val="00BB57ED"/>
    <w:rsid w:val="00BB5A2D"/>
    <w:rsid w:val="00BB606C"/>
    <w:rsid w:val="00BB65C3"/>
    <w:rsid w:val="00BB662E"/>
    <w:rsid w:val="00BB67A9"/>
    <w:rsid w:val="00BB6A74"/>
    <w:rsid w:val="00BB6C01"/>
    <w:rsid w:val="00BB7942"/>
    <w:rsid w:val="00BB7B13"/>
    <w:rsid w:val="00BB7CD1"/>
    <w:rsid w:val="00BC0DB3"/>
    <w:rsid w:val="00BC0F33"/>
    <w:rsid w:val="00BC14A7"/>
    <w:rsid w:val="00BC17CC"/>
    <w:rsid w:val="00BC209F"/>
    <w:rsid w:val="00BC24AD"/>
    <w:rsid w:val="00BC2898"/>
    <w:rsid w:val="00BC2928"/>
    <w:rsid w:val="00BC29BD"/>
    <w:rsid w:val="00BC2BB1"/>
    <w:rsid w:val="00BC30B3"/>
    <w:rsid w:val="00BC34A3"/>
    <w:rsid w:val="00BC3DD4"/>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81"/>
    <w:rsid w:val="00BE48C7"/>
    <w:rsid w:val="00BE4F66"/>
    <w:rsid w:val="00BE4FBF"/>
    <w:rsid w:val="00BE5238"/>
    <w:rsid w:val="00BE5742"/>
    <w:rsid w:val="00BE6074"/>
    <w:rsid w:val="00BE69E2"/>
    <w:rsid w:val="00BE6D73"/>
    <w:rsid w:val="00BE7257"/>
    <w:rsid w:val="00BF020D"/>
    <w:rsid w:val="00BF0532"/>
    <w:rsid w:val="00BF0609"/>
    <w:rsid w:val="00BF0B32"/>
    <w:rsid w:val="00BF0EE8"/>
    <w:rsid w:val="00BF10ED"/>
    <w:rsid w:val="00BF1DD2"/>
    <w:rsid w:val="00BF23A3"/>
    <w:rsid w:val="00BF2A7E"/>
    <w:rsid w:val="00BF3331"/>
    <w:rsid w:val="00BF3A45"/>
    <w:rsid w:val="00BF436F"/>
    <w:rsid w:val="00BF5C05"/>
    <w:rsid w:val="00BF6A12"/>
    <w:rsid w:val="00BF6FC6"/>
    <w:rsid w:val="00BF775D"/>
    <w:rsid w:val="00BF7C52"/>
    <w:rsid w:val="00BF7F99"/>
    <w:rsid w:val="00C00713"/>
    <w:rsid w:val="00C009A0"/>
    <w:rsid w:val="00C01F74"/>
    <w:rsid w:val="00C020C1"/>
    <w:rsid w:val="00C02558"/>
    <w:rsid w:val="00C025FE"/>
    <w:rsid w:val="00C0285F"/>
    <w:rsid w:val="00C028F5"/>
    <w:rsid w:val="00C02E08"/>
    <w:rsid w:val="00C02F35"/>
    <w:rsid w:val="00C03305"/>
    <w:rsid w:val="00C03515"/>
    <w:rsid w:val="00C03738"/>
    <w:rsid w:val="00C037A6"/>
    <w:rsid w:val="00C04221"/>
    <w:rsid w:val="00C043F5"/>
    <w:rsid w:val="00C044E3"/>
    <w:rsid w:val="00C04596"/>
    <w:rsid w:val="00C04607"/>
    <w:rsid w:val="00C04BDB"/>
    <w:rsid w:val="00C04F1B"/>
    <w:rsid w:val="00C052C6"/>
    <w:rsid w:val="00C05A61"/>
    <w:rsid w:val="00C05FBA"/>
    <w:rsid w:val="00C05FEE"/>
    <w:rsid w:val="00C066B4"/>
    <w:rsid w:val="00C06CCF"/>
    <w:rsid w:val="00C06F8E"/>
    <w:rsid w:val="00C0794D"/>
    <w:rsid w:val="00C10E78"/>
    <w:rsid w:val="00C1159D"/>
    <w:rsid w:val="00C1213E"/>
    <w:rsid w:val="00C1233E"/>
    <w:rsid w:val="00C1276C"/>
    <w:rsid w:val="00C12FB3"/>
    <w:rsid w:val="00C13686"/>
    <w:rsid w:val="00C138BC"/>
    <w:rsid w:val="00C13D85"/>
    <w:rsid w:val="00C14575"/>
    <w:rsid w:val="00C14639"/>
    <w:rsid w:val="00C14E82"/>
    <w:rsid w:val="00C14FF6"/>
    <w:rsid w:val="00C15A85"/>
    <w:rsid w:val="00C1637C"/>
    <w:rsid w:val="00C1641B"/>
    <w:rsid w:val="00C165FC"/>
    <w:rsid w:val="00C167F7"/>
    <w:rsid w:val="00C16DCE"/>
    <w:rsid w:val="00C176D5"/>
    <w:rsid w:val="00C17D24"/>
    <w:rsid w:val="00C2082C"/>
    <w:rsid w:val="00C20EB0"/>
    <w:rsid w:val="00C21004"/>
    <w:rsid w:val="00C21005"/>
    <w:rsid w:val="00C2186B"/>
    <w:rsid w:val="00C218DF"/>
    <w:rsid w:val="00C21F0C"/>
    <w:rsid w:val="00C220B6"/>
    <w:rsid w:val="00C22D7C"/>
    <w:rsid w:val="00C22DDE"/>
    <w:rsid w:val="00C22F15"/>
    <w:rsid w:val="00C2338B"/>
    <w:rsid w:val="00C233CE"/>
    <w:rsid w:val="00C237DD"/>
    <w:rsid w:val="00C238F4"/>
    <w:rsid w:val="00C2393A"/>
    <w:rsid w:val="00C23A99"/>
    <w:rsid w:val="00C23AB5"/>
    <w:rsid w:val="00C245EC"/>
    <w:rsid w:val="00C245EE"/>
    <w:rsid w:val="00C24AE1"/>
    <w:rsid w:val="00C24B8D"/>
    <w:rsid w:val="00C24BD7"/>
    <w:rsid w:val="00C24F7A"/>
    <w:rsid w:val="00C25813"/>
    <w:rsid w:val="00C26C71"/>
    <w:rsid w:val="00C27143"/>
    <w:rsid w:val="00C27490"/>
    <w:rsid w:val="00C27D37"/>
    <w:rsid w:val="00C309E8"/>
    <w:rsid w:val="00C30C6E"/>
    <w:rsid w:val="00C32017"/>
    <w:rsid w:val="00C32571"/>
    <w:rsid w:val="00C325CD"/>
    <w:rsid w:val="00C3322E"/>
    <w:rsid w:val="00C337F5"/>
    <w:rsid w:val="00C3383E"/>
    <w:rsid w:val="00C33B90"/>
    <w:rsid w:val="00C3412F"/>
    <w:rsid w:val="00C34161"/>
    <w:rsid w:val="00C34B5F"/>
    <w:rsid w:val="00C358D4"/>
    <w:rsid w:val="00C365C6"/>
    <w:rsid w:val="00C366F4"/>
    <w:rsid w:val="00C36785"/>
    <w:rsid w:val="00C3711C"/>
    <w:rsid w:val="00C37256"/>
    <w:rsid w:val="00C37A7B"/>
    <w:rsid w:val="00C37DC1"/>
    <w:rsid w:val="00C37EF4"/>
    <w:rsid w:val="00C37FFE"/>
    <w:rsid w:val="00C40B50"/>
    <w:rsid w:val="00C4141D"/>
    <w:rsid w:val="00C419E3"/>
    <w:rsid w:val="00C419F4"/>
    <w:rsid w:val="00C41E6A"/>
    <w:rsid w:val="00C42247"/>
    <w:rsid w:val="00C428E7"/>
    <w:rsid w:val="00C4317B"/>
    <w:rsid w:val="00C438A2"/>
    <w:rsid w:val="00C439BE"/>
    <w:rsid w:val="00C43E53"/>
    <w:rsid w:val="00C451B2"/>
    <w:rsid w:val="00C4539B"/>
    <w:rsid w:val="00C45466"/>
    <w:rsid w:val="00C455C1"/>
    <w:rsid w:val="00C4581D"/>
    <w:rsid w:val="00C47472"/>
    <w:rsid w:val="00C47F18"/>
    <w:rsid w:val="00C500F0"/>
    <w:rsid w:val="00C504A7"/>
    <w:rsid w:val="00C506C9"/>
    <w:rsid w:val="00C50A16"/>
    <w:rsid w:val="00C51C9A"/>
    <w:rsid w:val="00C52C68"/>
    <w:rsid w:val="00C52D98"/>
    <w:rsid w:val="00C52DA1"/>
    <w:rsid w:val="00C53D24"/>
    <w:rsid w:val="00C53ED1"/>
    <w:rsid w:val="00C54640"/>
    <w:rsid w:val="00C547A6"/>
    <w:rsid w:val="00C54A3A"/>
    <w:rsid w:val="00C55C32"/>
    <w:rsid w:val="00C56A67"/>
    <w:rsid w:val="00C56CC2"/>
    <w:rsid w:val="00C56D8D"/>
    <w:rsid w:val="00C57498"/>
    <w:rsid w:val="00C5763C"/>
    <w:rsid w:val="00C5780C"/>
    <w:rsid w:val="00C5796B"/>
    <w:rsid w:val="00C57C64"/>
    <w:rsid w:val="00C6031F"/>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891"/>
    <w:rsid w:val="00C71E2A"/>
    <w:rsid w:val="00C733BA"/>
    <w:rsid w:val="00C742F6"/>
    <w:rsid w:val="00C75BE7"/>
    <w:rsid w:val="00C760DC"/>
    <w:rsid w:val="00C77777"/>
    <w:rsid w:val="00C77BAB"/>
    <w:rsid w:val="00C77EE7"/>
    <w:rsid w:val="00C8082B"/>
    <w:rsid w:val="00C80C6B"/>
    <w:rsid w:val="00C81A88"/>
    <w:rsid w:val="00C81D46"/>
    <w:rsid w:val="00C82298"/>
    <w:rsid w:val="00C82DC7"/>
    <w:rsid w:val="00C8331F"/>
    <w:rsid w:val="00C833B4"/>
    <w:rsid w:val="00C84284"/>
    <w:rsid w:val="00C844DE"/>
    <w:rsid w:val="00C84A39"/>
    <w:rsid w:val="00C84E33"/>
    <w:rsid w:val="00C85528"/>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065"/>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D17"/>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5A5"/>
    <w:rsid w:val="00CC4CB4"/>
    <w:rsid w:val="00CC4E5D"/>
    <w:rsid w:val="00CC4EF4"/>
    <w:rsid w:val="00CC50AE"/>
    <w:rsid w:val="00CC5FFE"/>
    <w:rsid w:val="00CC61B7"/>
    <w:rsid w:val="00CC61CA"/>
    <w:rsid w:val="00CC69EC"/>
    <w:rsid w:val="00CC71D3"/>
    <w:rsid w:val="00CC743D"/>
    <w:rsid w:val="00CD02ED"/>
    <w:rsid w:val="00CD050A"/>
    <w:rsid w:val="00CD1017"/>
    <w:rsid w:val="00CD205D"/>
    <w:rsid w:val="00CD2691"/>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4F3C"/>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80A"/>
    <w:rsid w:val="00D04B9F"/>
    <w:rsid w:val="00D04D43"/>
    <w:rsid w:val="00D04FFB"/>
    <w:rsid w:val="00D055FE"/>
    <w:rsid w:val="00D058E9"/>
    <w:rsid w:val="00D0612A"/>
    <w:rsid w:val="00D1060D"/>
    <w:rsid w:val="00D10D14"/>
    <w:rsid w:val="00D10E7C"/>
    <w:rsid w:val="00D11182"/>
    <w:rsid w:val="00D1137B"/>
    <w:rsid w:val="00D11508"/>
    <w:rsid w:val="00D11687"/>
    <w:rsid w:val="00D11807"/>
    <w:rsid w:val="00D11DB3"/>
    <w:rsid w:val="00D12D82"/>
    <w:rsid w:val="00D12F77"/>
    <w:rsid w:val="00D1306E"/>
    <w:rsid w:val="00D130B7"/>
    <w:rsid w:val="00D134CD"/>
    <w:rsid w:val="00D1401E"/>
    <w:rsid w:val="00D14B5F"/>
    <w:rsid w:val="00D14E13"/>
    <w:rsid w:val="00D14F23"/>
    <w:rsid w:val="00D160F6"/>
    <w:rsid w:val="00D165EE"/>
    <w:rsid w:val="00D16740"/>
    <w:rsid w:val="00D16A8B"/>
    <w:rsid w:val="00D16E39"/>
    <w:rsid w:val="00D171DE"/>
    <w:rsid w:val="00D1722B"/>
    <w:rsid w:val="00D172A4"/>
    <w:rsid w:val="00D175B2"/>
    <w:rsid w:val="00D17951"/>
    <w:rsid w:val="00D17AD8"/>
    <w:rsid w:val="00D2104A"/>
    <w:rsid w:val="00D21A58"/>
    <w:rsid w:val="00D21BB5"/>
    <w:rsid w:val="00D21FFC"/>
    <w:rsid w:val="00D223B6"/>
    <w:rsid w:val="00D223E8"/>
    <w:rsid w:val="00D224E1"/>
    <w:rsid w:val="00D22B0F"/>
    <w:rsid w:val="00D22BDD"/>
    <w:rsid w:val="00D22DC8"/>
    <w:rsid w:val="00D2477B"/>
    <w:rsid w:val="00D2522A"/>
    <w:rsid w:val="00D2531C"/>
    <w:rsid w:val="00D25428"/>
    <w:rsid w:val="00D2553E"/>
    <w:rsid w:val="00D2587F"/>
    <w:rsid w:val="00D26DE7"/>
    <w:rsid w:val="00D2742F"/>
    <w:rsid w:val="00D2754F"/>
    <w:rsid w:val="00D277C5"/>
    <w:rsid w:val="00D279D9"/>
    <w:rsid w:val="00D312DC"/>
    <w:rsid w:val="00D31B84"/>
    <w:rsid w:val="00D31C6A"/>
    <w:rsid w:val="00D31EDF"/>
    <w:rsid w:val="00D31FF9"/>
    <w:rsid w:val="00D32149"/>
    <w:rsid w:val="00D32256"/>
    <w:rsid w:val="00D32A27"/>
    <w:rsid w:val="00D32ABC"/>
    <w:rsid w:val="00D33FA4"/>
    <w:rsid w:val="00D34B25"/>
    <w:rsid w:val="00D34C7F"/>
    <w:rsid w:val="00D34F4E"/>
    <w:rsid w:val="00D3557A"/>
    <w:rsid w:val="00D357F3"/>
    <w:rsid w:val="00D35C0E"/>
    <w:rsid w:val="00D36FBF"/>
    <w:rsid w:val="00D373A8"/>
    <w:rsid w:val="00D379A5"/>
    <w:rsid w:val="00D37BB3"/>
    <w:rsid w:val="00D401BE"/>
    <w:rsid w:val="00D4043A"/>
    <w:rsid w:val="00D40DB0"/>
    <w:rsid w:val="00D41093"/>
    <w:rsid w:val="00D41858"/>
    <w:rsid w:val="00D41E24"/>
    <w:rsid w:val="00D41EEB"/>
    <w:rsid w:val="00D422DB"/>
    <w:rsid w:val="00D4236A"/>
    <w:rsid w:val="00D42AC2"/>
    <w:rsid w:val="00D4498E"/>
    <w:rsid w:val="00D4515F"/>
    <w:rsid w:val="00D451E8"/>
    <w:rsid w:val="00D466C9"/>
    <w:rsid w:val="00D47275"/>
    <w:rsid w:val="00D500ED"/>
    <w:rsid w:val="00D50DB9"/>
    <w:rsid w:val="00D517F6"/>
    <w:rsid w:val="00D51AB7"/>
    <w:rsid w:val="00D51E15"/>
    <w:rsid w:val="00D52B7E"/>
    <w:rsid w:val="00D52E2F"/>
    <w:rsid w:val="00D52F59"/>
    <w:rsid w:val="00D53445"/>
    <w:rsid w:val="00D53D9C"/>
    <w:rsid w:val="00D53E3E"/>
    <w:rsid w:val="00D5411D"/>
    <w:rsid w:val="00D54620"/>
    <w:rsid w:val="00D55904"/>
    <w:rsid w:val="00D55C4C"/>
    <w:rsid w:val="00D55DFF"/>
    <w:rsid w:val="00D5614E"/>
    <w:rsid w:val="00D5616F"/>
    <w:rsid w:val="00D57940"/>
    <w:rsid w:val="00D60327"/>
    <w:rsid w:val="00D61384"/>
    <w:rsid w:val="00D61526"/>
    <w:rsid w:val="00D61C39"/>
    <w:rsid w:val="00D61F81"/>
    <w:rsid w:val="00D620A6"/>
    <w:rsid w:val="00D62157"/>
    <w:rsid w:val="00D623C0"/>
    <w:rsid w:val="00D62BE6"/>
    <w:rsid w:val="00D63359"/>
    <w:rsid w:val="00D63766"/>
    <w:rsid w:val="00D63912"/>
    <w:rsid w:val="00D63923"/>
    <w:rsid w:val="00D63A56"/>
    <w:rsid w:val="00D6451B"/>
    <w:rsid w:val="00D64B57"/>
    <w:rsid w:val="00D64FF1"/>
    <w:rsid w:val="00D651A1"/>
    <w:rsid w:val="00D65DEA"/>
    <w:rsid w:val="00D6650F"/>
    <w:rsid w:val="00D66579"/>
    <w:rsid w:val="00D66968"/>
    <w:rsid w:val="00D66A88"/>
    <w:rsid w:val="00D66CF2"/>
    <w:rsid w:val="00D66D48"/>
    <w:rsid w:val="00D676D3"/>
    <w:rsid w:val="00D67B06"/>
    <w:rsid w:val="00D67BC7"/>
    <w:rsid w:val="00D67C3B"/>
    <w:rsid w:val="00D701F1"/>
    <w:rsid w:val="00D705D3"/>
    <w:rsid w:val="00D70E00"/>
    <w:rsid w:val="00D70F7C"/>
    <w:rsid w:val="00D715AC"/>
    <w:rsid w:val="00D71851"/>
    <w:rsid w:val="00D718CF"/>
    <w:rsid w:val="00D71B68"/>
    <w:rsid w:val="00D720BE"/>
    <w:rsid w:val="00D728F5"/>
    <w:rsid w:val="00D72E9D"/>
    <w:rsid w:val="00D73249"/>
    <w:rsid w:val="00D73419"/>
    <w:rsid w:val="00D73881"/>
    <w:rsid w:val="00D73CA9"/>
    <w:rsid w:val="00D751B7"/>
    <w:rsid w:val="00D7524B"/>
    <w:rsid w:val="00D75396"/>
    <w:rsid w:val="00D755C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A7D"/>
    <w:rsid w:val="00D82B57"/>
    <w:rsid w:val="00D82CE5"/>
    <w:rsid w:val="00D831E3"/>
    <w:rsid w:val="00D8342C"/>
    <w:rsid w:val="00D83D08"/>
    <w:rsid w:val="00D84983"/>
    <w:rsid w:val="00D84C00"/>
    <w:rsid w:val="00D85494"/>
    <w:rsid w:val="00D8582C"/>
    <w:rsid w:val="00D85D61"/>
    <w:rsid w:val="00D86015"/>
    <w:rsid w:val="00D8616D"/>
    <w:rsid w:val="00D8711B"/>
    <w:rsid w:val="00D87384"/>
    <w:rsid w:val="00D9006C"/>
    <w:rsid w:val="00D9015D"/>
    <w:rsid w:val="00D90683"/>
    <w:rsid w:val="00D90B2A"/>
    <w:rsid w:val="00D91483"/>
    <w:rsid w:val="00D914B4"/>
    <w:rsid w:val="00D915C8"/>
    <w:rsid w:val="00D9310B"/>
    <w:rsid w:val="00D931F3"/>
    <w:rsid w:val="00D93726"/>
    <w:rsid w:val="00D93F3E"/>
    <w:rsid w:val="00D9405B"/>
    <w:rsid w:val="00D94942"/>
    <w:rsid w:val="00D95145"/>
    <w:rsid w:val="00D95D28"/>
    <w:rsid w:val="00D96594"/>
    <w:rsid w:val="00D967CB"/>
    <w:rsid w:val="00D968D4"/>
    <w:rsid w:val="00D96E12"/>
    <w:rsid w:val="00D96EE0"/>
    <w:rsid w:val="00D97260"/>
    <w:rsid w:val="00D97BD1"/>
    <w:rsid w:val="00D97EF0"/>
    <w:rsid w:val="00DA00C3"/>
    <w:rsid w:val="00DA01E9"/>
    <w:rsid w:val="00DA06B8"/>
    <w:rsid w:val="00DA14A9"/>
    <w:rsid w:val="00DA1CB3"/>
    <w:rsid w:val="00DA286D"/>
    <w:rsid w:val="00DA2969"/>
    <w:rsid w:val="00DA29B7"/>
    <w:rsid w:val="00DA2E5F"/>
    <w:rsid w:val="00DA337C"/>
    <w:rsid w:val="00DA36B3"/>
    <w:rsid w:val="00DA40C1"/>
    <w:rsid w:val="00DA422F"/>
    <w:rsid w:val="00DA4842"/>
    <w:rsid w:val="00DA4C97"/>
    <w:rsid w:val="00DA5989"/>
    <w:rsid w:val="00DA5AB1"/>
    <w:rsid w:val="00DA5F9D"/>
    <w:rsid w:val="00DA6719"/>
    <w:rsid w:val="00DA69B2"/>
    <w:rsid w:val="00DA71D7"/>
    <w:rsid w:val="00DA7462"/>
    <w:rsid w:val="00DA7AD0"/>
    <w:rsid w:val="00DB02D7"/>
    <w:rsid w:val="00DB03CC"/>
    <w:rsid w:val="00DB03F3"/>
    <w:rsid w:val="00DB12D4"/>
    <w:rsid w:val="00DB14F0"/>
    <w:rsid w:val="00DB1745"/>
    <w:rsid w:val="00DB19BB"/>
    <w:rsid w:val="00DB1A00"/>
    <w:rsid w:val="00DB1AFF"/>
    <w:rsid w:val="00DB219A"/>
    <w:rsid w:val="00DB244C"/>
    <w:rsid w:val="00DB3024"/>
    <w:rsid w:val="00DB3165"/>
    <w:rsid w:val="00DB387B"/>
    <w:rsid w:val="00DB4292"/>
    <w:rsid w:val="00DB4DF0"/>
    <w:rsid w:val="00DB5023"/>
    <w:rsid w:val="00DB5957"/>
    <w:rsid w:val="00DB66D4"/>
    <w:rsid w:val="00DB6E46"/>
    <w:rsid w:val="00DB7117"/>
    <w:rsid w:val="00DB7760"/>
    <w:rsid w:val="00DB7DD4"/>
    <w:rsid w:val="00DC00B4"/>
    <w:rsid w:val="00DC0954"/>
    <w:rsid w:val="00DC0DF8"/>
    <w:rsid w:val="00DC15BA"/>
    <w:rsid w:val="00DC18CD"/>
    <w:rsid w:val="00DC1A68"/>
    <w:rsid w:val="00DC30B8"/>
    <w:rsid w:val="00DC478F"/>
    <w:rsid w:val="00DC50AA"/>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1FF6"/>
    <w:rsid w:val="00DD2A62"/>
    <w:rsid w:val="00DD2F2F"/>
    <w:rsid w:val="00DD2F7A"/>
    <w:rsid w:val="00DD36D2"/>
    <w:rsid w:val="00DD37C4"/>
    <w:rsid w:val="00DD3885"/>
    <w:rsid w:val="00DD3FDB"/>
    <w:rsid w:val="00DD5808"/>
    <w:rsid w:val="00DD5946"/>
    <w:rsid w:val="00DD5B04"/>
    <w:rsid w:val="00DD5DAE"/>
    <w:rsid w:val="00DD5EC6"/>
    <w:rsid w:val="00DD605F"/>
    <w:rsid w:val="00DD6A79"/>
    <w:rsid w:val="00DD72A0"/>
    <w:rsid w:val="00DD735D"/>
    <w:rsid w:val="00DD7F7D"/>
    <w:rsid w:val="00DD7FBE"/>
    <w:rsid w:val="00DE0159"/>
    <w:rsid w:val="00DE064A"/>
    <w:rsid w:val="00DE082D"/>
    <w:rsid w:val="00DE1410"/>
    <w:rsid w:val="00DE20C6"/>
    <w:rsid w:val="00DE3119"/>
    <w:rsid w:val="00DE3C24"/>
    <w:rsid w:val="00DE3FF0"/>
    <w:rsid w:val="00DE4105"/>
    <w:rsid w:val="00DE4BEA"/>
    <w:rsid w:val="00DE4E67"/>
    <w:rsid w:val="00DE5189"/>
    <w:rsid w:val="00DE55F5"/>
    <w:rsid w:val="00DE7108"/>
    <w:rsid w:val="00DE78D1"/>
    <w:rsid w:val="00DE78FF"/>
    <w:rsid w:val="00DE7C6E"/>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1677"/>
    <w:rsid w:val="00E02186"/>
    <w:rsid w:val="00E025C2"/>
    <w:rsid w:val="00E026BB"/>
    <w:rsid w:val="00E027C5"/>
    <w:rsid w:val="00E03124"/>
    <w:rsid w:val="00E031C3"/>
    <w:rsid w:val="00E03951"/>
    <w:rsid w:val="00E03DB8"/>
    <w:rsid w:val="00E03F17"/>
    <w:rsid w:val="00E0420C"/>
    <w:rsid w:val="00E04EDD"/>
    <w:rsid w:val="00E05E70"/>
    <w:rsid w:val="00E064BC"/>
    <w:rsid w:val="00E070C1"/>
    <w:rsid w:val="00E07225"/>
    <w:rsid w:val="00E076B4"/>
    <w:rsid w:val="00E07B55"/>
    <w:rsid w:val="00E10579"/>
    <w:rsid w:val="00E109DD"/>
    <w:rsid w:val="00E11229"/>
    <w:rsid w:val="00E114CA"/>
    <w:rsid w:val="00E127D1"/>
    <w:rsid w:val="00E13867"/>
    <w:rsid w:val="00E1397F"/>
    <w:rsid w:val="00E13AB8"/>
    <w:rsid w:val="00E1482E"/>
    <w:rsid w:val="00E16382"/>
    <w:rsid w:val="00E1699C"/>
    <w:rsid w:val="00E16E75"/>
    <w:rsid w:val="00E1746D"/>
    <w:rsid w:val="00E17CAC"/>
    <w:rsid w:val="00E2012A"/>
    <w:rsid w:val="00E205A2"/>
    <w:rsid w:val="00E20BA4"/>
    <w:rsid w:val="00E2108E"/>
    <w:rsid w:val="00E210D0"/>
    <w:rsid w:val="00E21887"/>
    <w:rsid w:val="00E21CC0"/>
    <w:rsid w:val="00E23137"/>
    <w:rsid w:val="00E23980"/>
    <w:rsid w:val="00E23AB0"/>
    <w:rsid w:val="00E23D6F"/>
    <w:rsid w:val="00E241E9"/>
    <w:rsid w:val="00E257C3"/>
    <w:rsid w:val="00E25CB3"/>
    <w:rsid w:val="00E25DA4"/>
    <w:rsid w:val="00E26237"/>
    <w:rsid w:val="00E26CB8"/>
    <w:rsid w:val="00E26D16"/>
    <w:rsid w:val="00E26FCF"/>
    <w:rsid w:val="00E27165"/>
    <w:rsid w:val="00E275D9"/>
    <w:rsid w:val="00E3044A"/>
    <w:rsid w:val="00E30E49"/>
    <w:rsid w:val="00E31A4A"/>
    <w:rsid w:val="00E3212A"/>
    <w:rsid w:val="00E3344A"/>
    <w:rsid w:val="00E33B29"/>
    <w:rsid w:val="00E33B62"/>
    <w:rsid w:val="00E3403D"/>
    <w:rsid w:val="00E344BD"/>
    <w:rsid w:val="00E34548"/>
    <w:rsid w:val="00E34E6C"/>
    <w:rsid w:val="00E353E2"/>
    <w:rsid w:val="00E36345"/>
    <w:rsid w:val="00E36C86"/>
    <w:rsid w:val="00E36CEB"/>
    <w:rsid w:val="00E37A28"/>
    <w:rsid w:val="00E400C7"/>
    <w:rsid w:val="00E40430"/>
    <w:rsid w:val="00E40690"/>
    <w:rsid w:val="00E40AEB"/>
    <w:rsid w:val="00E40E82"/>
    <w:rsid w:val="00E40FB8"/>
    <w:rsid w:val="00E41141"/>
    <w:rsid w:val="00E4143A"/>
    <w:rsid w:val="00E420B7"/>
    <w:rsid w:val="00E424C8"/>
    <w:rsid w:val="00E4251D"/>
    <w:rsid w:val="00E427EF"/>
    <w:rsid w:val="00E43D00"/>
    <w:rsid w:val="00E443B4"/>
    <w:rsid w:val="00E445E4"/>
    <w:rsid w:val="00E457CB"/>
    <w:rsid w:val="00E45D47"/>
    <w:rsid w:val="00E45DE4"/>
    <w:rsid w:val="00E45E63"/>
    <w:rsid w:val="00E4680C"/>
    <w:rsid w:val="00E4759C"/>
    <w:rsid w:val="00E476CC"/>
    <w:rsid w:val="00E50A7B"/>
    <w:rsid w:val="00E50B0B"/>
    <w:rsid w:val="00E50C57"/>
    <w:rsid w:val="00E510FE"/>
    <w:rsid w:val="00E514BA"/>
    <w:rsid w:val="00E51513"/>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68D"/>
    <w:rsid w:val="00E57811"/>
    <w:rsid w:val="00E57FB0"/>
    <w:rsid w:val="00E601BE"/>
    <w:rsid w:val="00E60A44"/>
    <w:rsid w:val="00E60B5F"/>
    <w:rsid w:val="00E613AE"/>
    <w:rsid w:val="00E61429"/>
    <w:rsid w:val="00E61ABB"/>
    <w:rsid w:val="00E61FD7"/>
    <w:rsid w:val="00E62052"/>
    <w:rsid w:val="00E623E6"/>
    <w:rsid w:val="00E62BBF"/>
    <w:rsid w:val="00E62C76"/>
    <w:rsid w:val="00E630A2"/>
    <w:rsid w:val="00E630C0"/>
    <w:rsid w:val="00E63107"/>
    <w:rsid w:val="00E6312C"/>
    <w:rsid w:val="00E634E6"/>
    <w:rsid w:val="00E63DCE"/>
    <w:rsid w:val="00E642EF"/>
    <w:rsid w:val="00E645CF"/>
    <w:rsid w:val="00E64700"/>
    <w:rsid w:val="00E65074"/>
    <w:rsid w:val="00E65857"/>
    <w:rsid w:val="00E65E70"/>
    <w:rsid w:val="00E66087"/>
    <w:rsid w:val="00E66278"/>
    <w:rsid w:val="00E66D79"/>
    <w:rsid w:val="00E66FF9"/>
    <w:rsid w:val="00E6706F"/>
    <w:rsid w:val="00E673A2"/>
    <w:rsid w:val="00E67856"/>
    <w:rsid w:val="00E679C8"/>
    <w:rsid w:val="00E70314"/>
    <w:rsid w:val="00E724E7"/>
    <w:rsid w:val="00E72B41"/>
    <w:rsid w:val="00E7347B"/>
    <w:rsid w:val="00E73792"/>
    <w:rsid w:val="00E73BA4"/>
    <w:rsid w:val="00E73D03"/>
    <w:rsid w:val="00E7471C"/>
    <w:rsid w:val="00E7498A"/>
    <w:rsid w:val="00E7514E"/>
    <w:rsid w:val="00E76537"/>
    <w:rsid w:val="00E77784"/>
    <w:rsid w:val="00E77AF5"/>
    <w:rsid w:val="00E8035B"/>
    <w:rsid w:val="00E80985"/>
    <w:rsid w:val="00E820F4"/>
    <w:rsid w:val="00E82263"/>
    <w:rsid w:val="00E823F9"/>
    <w:rsid w:val="00E82C1F"/>
    <w:rsid w:val="00E83671"/>
    <w:rsid w:val="00E83D1E"/>
    <w:rsid w:val="00E840EE"/>
    <w:rsid w:val="00E84314"/>
    <w:rsid w:val="00E849CA"/>
    <w:rsid w:val="00E84A71"/>
    <w:rsid w:val="00E853F3"/>
    <w:rsid w:val="00E8556F"/>
    <w:rsid w:val="00E859E1"/>
    <w:rsid w:val="00E86556"/>
    <w:rsid w:val="00E86D35"/>
    <w:rsid w:val="00E86DC2"/>
    <w:rsid w:val="00E86E32"/>
    <w:rsid w:val="00E86F2E"/>
    <w:rsid w:val="00E8732E"/>
    <w:rsid w:val="00E879C7"/>
    <w:rsid w:val="00E90067"/>
    <w:rsid w:val="00E9011F"/>
    <w:rsid w:val="00E906EB"/>
    <w:rsid w:val="00E90CE2"/>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455"/>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C0487"/>
    <w:rsid w:val="00EC04F7"/>
    <w:rsid w:val="00EC05E2"/>
    <w:rsid w:val="00EC0E84"/>
    <w:rsid w:val="00EC16E2"/>
    <w:rsid w:val="00EC1CE7"/>
    <w:rsid w:val="00EC1DAE"/>
    <w:rsid w:val="00EC224E"/>
    <w:rsid w:val="00EC26F1"/>
    <w:rsid w:val="00EC2CAB"/>
    <w:rsid w:val="00EC33A8"/>
    <w:rsid w:val="00EC3ABE"/>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881"/>
    <w:rsid w:val="00ED2D27"/>
    <w:rsid w:val="00ED319C"/>
    <w:rsid w:val="00ED3347"/>
    <w:rsid w:val="00ED3441"/>
    <w:rsid w:val="00ED3860"/>
    <w:rsid w:val="00ED3954"/>
    <w:rsid w:val="00ED39AC"/>
    <w:rsid w:val="00ED43A2"/>
    <w:rsid w:val="00ED4967"/>
    <w:rsid w:val="00ED5140"/>
    <w:rsid w:val="00ED538C"/>
    <w:rsid w:val="00ED572F"/>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3DC"/>
    <w:rsid w:val="00EE24E2"/>
    <w:rsid w:val="00EE2A20"/>
    <w:rsid w:val="00EE366D"/>
    <w:rsid w:val="00EE40A4"/>
    <w:rsid w:val="00EE41AA"/>
    <w:rsid w:val="00EE5454"/>
    <w:rsid w:val="00EE59B5"/>
    <w:rsid w:val="00EE5FB7"/>
    <w:rsid w:val="00EE6783"/>
    <w:rsid w:val="00EE678B"/>
    <w:rsid w:val="00EE7813"/>
    <w:rsid w:val="00EE7B54"/>
    <w:rsid w:val="00EE7C47"/>
    <w:rsid w:val="00EE7C88"/>
    <w:rsid w:val="00EE7C8B"/>
    <w:rsid w:val="00EF0209"/>
    <w:rsid w:val="00EF0EA4"/>
    <w:rsid w:val="00EF19A5"/>
    <w:rsid w:val="00EF1E97"/>
    <w:rsid w:val="00EF2436"/>
    <w:rsid w:val="00EF2547"/>
    <w:rsid w:val="00EF26F4"/>
    <w:rsid w:val="00EF28D8"/>
    <w:rsid w:val="00EF2B2B"/>
    <w:rsid w:val="00EF2E1C"/>
    <w:rsid w:val="00EF2FD6"/>
    <w:rsid w:val="00EF326A"/>
    <w:rsid w:val="00EF397D"/>
    <w:rsid w:val="00EF427A"/>
    <w:rsid w:val="00EF45DF"/>
    <w:rsid w:val="00EF4944"/>
    <w:rsid w:val="00EF4952"/>
    <w:rsid w:val="00EF498F"/>
    <w:rsid w:val="00EF4A42"/>
    <w:rsid w:val="00EF4F61"/>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986"/>
    <w:rsid w:val="00F04ECA"/>
    <w:rsid w:val="00F04F8B"/>
    <w:rsid w:val="00F06CA4"/>
    <w:rsid w:val="00F06E19"/>
    <w:rsid w:val="00F06F84"/>
    <w:rsid w:val="00F0749E"/>
    <w:rsid w:val="00F076E7"/>
    <w:rsid w:val="00F07A86"/>
    <w:rsid w:val="00F07AA1"/>
    <w:rsid w:val="00F105AE"/>
    <w:rsid w:val="00F10618"/>
    <w:rsid w:val="00F10E7D"/>
    <w:rsid w:val="00F1108B"/>
    <w:rsid w:val="00F114FA"/>
    <w:rsid w:val="00F11768"/>
    <w:rsid w:val="00F11951"/>
    <w:rsid w:val="00F12262"/>
    <w:rsid w:val="00F12564"/>
    <w:rsid w:val="00F128D9"/>
    <w:rsid w:val="00F12AF8"/>
    <w:rsid w:val="00F12C52"/>
    <w:rsid w:val="00F13381"/>
    <w:rsid w:val="00F13828"/>
    <w:rsid w:val="00F13E62"/>
    <w:rsid w:val="00F13F51"/>
    <w:rsid w:val="00F148B7"/>
    <w:rsid w:val="00F14EA9"/>
    <w:rsid w:val="00F15505"/>
    <w:rsid w:val="00F15BFF"/>
    <w:rsid w:val="00F1634B"/>
    <w:rsid w:val="00F16E4F"/>
    <w:rsid w:val="00F171B2"/>
    <w:rsid w:val="00F17244"/>
    <w:rsid w:val="00F20918"/>
    <w:rsid w:val="00F20931"/>
    <w:rsid w:val="00F20ECE"/>
    <w:rsid w:val="00F213A0"/>
    <w:rsid w:val="00F21D54"/>
    <w:rsid w:val="00F21EF4"/>
    <w:rsid w:val="00F221A2"/>
    <w:rsid w:val="00F23113"/>
    <w:rsid w:val="00F23255"/>
    <w:rsid w:val="00F23393"/>
    <w:rsid w:val="00F23759"/>
    <w:rsid w:val="00F24644"/>
    <w:rsid w:val="00F24BB1"/>
    <w:rsid w:val="00F25947"/>
    <w:rsid w:val="00F262D6"/>
    <w:rsid w:val="00F26F33"/>
    <w:rsid w:val="00F273D5"/>
    <w:rsid w:val="00F2748A"/>
    <w:rsid w:val="00F2786C"/>
    <w:rsid w:val="00F27886"/>
    <w:rsid w:val="00F300A8"/>
    <w:rsid w:val="00F302C6"/>
    <w:rsid w:val="00F30400"/>
    <w:rsid w:val="00F3079E"/>
    <w:rsid w:val="00F31289"/>
    <w:rsid w:val="00F3232D"/>
    <w:rsid w:val="00F32356"/>
    <w:rsid w:val="00F32F80"/>
    <w:rsid w:val="00F3399B"/>
    <w:rsid w:val="00F33F4B"/>
    <w:rsid w:val="00F346ED"/>
    <w:rsid w:val="00F34945"/>
    <w:rsid w:val="00F34E1E"/>
    <w:rsid w:val="00F3570C"/>
    <w:rsid w:val="00F363A4"/>
    <w:rsid w:val="00F36765"/>
    <w:rsid w:val="00F368FF"/>
    <w:rsid w:val="00F37068"/>
    <w:rsid w:val="00F373BF"/>
    <w:rsid w:val="00F37E5F"/>
    <w:rsid w:val="00F37F3F"/>
    <w:rsid w:val="00F40190"/>
    <w:rsid w:val="00F40992"/>
    <w:rsid w:val="00F40F72"/>
    <w:rsid w:val="00F41094"/>
    <w:rsid w:val="00F41596"/>
    <w:rsid w:val="00F41D8B"/>
    <w:rsid w:val="00F42121"/>
    <w:rsid w:val="00F424B3"/>
    <w:rsid w:val="00F428B1"/>
    <w:rsid w:val="00F428B4"/>
    <w:rsid w:val="00F4345D"/>
    <w:rsid w:val="00F4387B"/>
    <w:rsid w:val="00F45921"/>
    <w:rsid w:val="00F45B91"/>
    <w:rsid w:val="00F46639"/>
    <w:rsid w:val="00F47026"/>
    <w:rsid w:val="00F476FD"/>
    <w:rsid w:val="00F50183"/>
    <w:rsid w:val="00F50D92"/>
    <w:rsid w:val="00F51765"/>
    <w:rsid w:val="00F51A51"/>
    <w:rsid w:val="00F51BC6"/>
    <w:rsid w:val="00F51CB4"/>
    <w:rsid w:val="00F52200"/>
    <w:rsid w:val="00F52324"/>
    <w:rsid w:val="00F52950"/>
    <w:rsid w:val="00F52C9D"/>
    <w:rsid w:val="00F533F1"/>
    <w:rsid w:val="00F53F4F"/>
    <w:rsid w:val="00F54CBC"/>
    <w:rsid w:val="00F55185"/>
    <w:rsid w:val="00F55679"/>
    <w:rsid w:val="00F55C2A"/>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49F"/>
    <w:rsid w:val="00F67AF1"/>
    <w:rsid w:val="00F67D8B"/>
    <w:rsid w:val="00F700CD"/>
    <w:rsid w:val="00F701C5"/>
    <w:rsid w:val="00F70961"/>
    <w:rsid w:val="00F70A8F"/>
    <w:rsid w:val="00F71397"/>
    <w:rsid w:val="00F72389"/>
    <w:rsid w:val="00F72516"/>
    <w:rsid w:val="00F72FB4"/>
    <w:rsid w:val="00F732CF"/>
    <w:rsid w:val="00F735E5"/>
    <w:rsid w:val="00F73958"/>
    <w:rsid w:val="00F73B82"/>
    <w:rsid w:val="00F73E80"/>
    <w:rsid w:val="00F7469C"/>
    <w:rsid w:val="00F7492E"/>
    <w:rsid w:val="00F74945"/>
    <w:rsid w:val="00F749A3"/>
    <w:rsid w:val="00F74AE8"/>
    <w:rsid w:val="00F76768"/>
    <w:rsid w:val="00F76C11"/>
    <w:rsid w:val="00F77021"/>
    <w:rsid w:val="00F770AB"/>
    <w:rsid w:val="00F77E61"/>
    <w:rsid w:val="00F80221"/>
    <w:rsid w:val="00F802B0"/>
    <w:rsid w:val="00F80A0A"/>
    <w:rsid w:val="00F80C81"/>
    <w:rsid w:val="00F815AC"/>
    <w:rsid w:val="00F82E28"/>
    <w:rsid w:val="00F83B33"/>
    <w:rsid w:val="00F83CAE"/>
    <w:rsid w:val="00F840BF"/>
    <w:rsid w:val="00F8427A"/>
    <w:rsid w:val="00F843DF"/>
    <w:rsid w:val="00F84646"/>
    <w:rsid w:val="00F84899"/>
    <w:rsid w:val="00F84D4E"/>
    <w:rsid w:val="00F85585"/>
    <w:rsid w:val="00F859F0"/>
    <w:rsid w:val="00F85CC1"/>
    <w:rsid w:val="00F86B5D"/>
    <w:rsid w:val="00F87634"/>
    <w:rsid w:val="00F87C13"/>
    <w:rsid w:val="00F87C5A"/>
    <w:rsid w:val="00F87E29"/>
    <w:rsid w:val="00F87F18"/>
    <w:rsid w:val="00F87F37"/>
    <w:rsid w:val="00F87F68"/>
    <w:rsid w:val="00F90C4D"/>
    <w:rsid w:val="00F9165C"/>
    <w:rsid w:val="00F9167D"/>
    <w:rsid w:val="00F91CB2"/>
    <w:rsid w:val="00F927E8"/>
    <w:rsid w:val="00F9289C"/>
    <w:rsid w:val="00F92FC1"/>
    <w:rsid w:val="00F932D1"/>
    <w:rsid w:val="00F93DBC"/>
    <w:rsid w:val="00F93DCA"/>
    <w:rsid w:val="00F93E41"/>
    <w:rsid w:val="00F94644"/>
    <w:rsid w:val="00F952E4"/>
    <w:rsid w:val="00F9537B"/>
    <w:rsid w:val="00F96079"/>
    <w:rsid w:val="00F963FC"/>
    <w:rsid w:val="00F97CF1"/>
    <w:rsid w:val="00FA015F"/>
    <w:rsid w:val="00FA0FAC"/>
    <w:rsid w:val="00FA10F7"/>
    <w:rsid w:val="00FA1817"/>
    <w:rsid w:val="00FA1DA2"/>
    <w:rsid w:val="00FA313F"/>
    <w:rsid w:val="00FA3414"/>
    <w:rsid w:val="00FA347A"/>
    <w:rsid w:val="00FA3CDE"/>
    <w:rsid w:val="00FA48C4"/>
    <w:rsid w:val="00FA49B7"/>
    <w:rsid w:val="00FA5043"/>
    <w:rsid w:val="00FA60C1"/>
    <w:rsid w:val="00FA63DD"/>
    <w:rsid w:val="00FA65A3"/>
    <w:rsid w:val="00FA66F9"/>
    <w:rsid w:val="00FA6BCA"/>
    <w:rsid w:val="00FA6F8B"/>
    <w:rsid w:val="00FA727C"/>
    <w:rsid w:val="00FA7A30"/>
    <w:rsid w:val="00FB033F"/>
    <w:rsid w:val="00FB0880"/>
    <w:rsid w:val="00FB12E3"/>
    <w:rsid w:val="00FB1570"/>
    <w:rsid w:val="00FB193B"/>
    <w:rsid w:val="00FB1FBC"/>
    <w:rsid w:val="00FB27B7"/>
    <w:rsid w:val="00FB35E3"/>
    <w:rsid w:val="00FB4743"/>
    <w:rsid w:val="00FB4C98"/>
    <w:rsid w:val="00FB4CE3"/>
    <w:rsid w:val="00FB583C"/>
    <w:rsid w:val="00FB620F"/>
    <w:rsid w:val="00FB630E"/>
    <w:rsid w:val="00FB6738"/>
    <w:rsid w:val="00FB691B"/>
    <w:rsid w:val="00FB6BE6"/>
    <w:rsid w:val="00FB731C"/>
    <w:rsid w:val="00FB7628"/>
    <w:rsid w:val="00FC0363"/>
    <w:rsid w:val="00FC05A0"/>
    <w:rsid w:val="00FC0811"/>
    <w:rsid w:val="00FC09B3"/>
    <w:rsid w:val="00FC1196"/>
    <w:rsid w:val="00FC15EB"/>
    <w:rsid w:val="00FC162C"/>
    <w:rsid w:val="00FC18DC"/>
    <w:rsid w:val="00FC2477"/>
    <w:rsid w:val="00FC2AC4"/>
    <w:rsid w:val="00FC2BC1"/>
    <w:rsid w:val="00FC2D17"/>
    <w:rsid w:val="00FC2F73"/>
    <w:rsid w:val="00FC3A9B"/>
    <w:rsid w:val="00FC3AE1"/>
    <w:rsid w:val="00FC3DFC"/>
    <w:rsid w:val="00FC3EF4"/>
    <w:rsid w:val="00FC431B"/>
    <w:rsid w:val="00FC434C"/>
    <w:rsid w:val="00FC472C"/>
    <w:rsid w:val="00FC4FDF"/>
    <w:rsid w:val="00FC5CF4"/>
    <w:rsid w:val="00FC5D64"/>
    <w:rsid w:val="00FC61D6"/>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1E8C"/>
    <w:rsid w:val="00FE24F4"/>
    <w:rsid w:val="00FE2560"/>
    <w:rsid w:val="00FE35D0"/>
    <w:rsid w:val="00FE42ED"/>
    <w:rsid w:val="00FE4E06"/>
    <w:rsid w:val="00FE55A7"/>
    <w:rsid w:val="00FE5C5A"/>
    <w:rsid w:val="00FE601E"/>
    <w:rsid w:val="00FE6432"/>
    <w:rsid w:val="00FE72A0"/>
    <w:rsid w:val="00FF0050"/>
    <w:rsid w:val="00FF045F"/>
    <w:rsid w:val="00FF0816"/>
    <w:rsid w:val="00FF13D4"/>
    <w:rsid w:val="00FF2053"/>
    <w:rsid w:val="00FF2389"/>
    <w:rsid w:val="00FF3B37"/>
    <w:rsid w:val="00FF3CC7"/>
    <w:rsid w:val="00FF3D6F"/>
    <w:rsid w:val="00FF441A"/>
    <w:rsid w:val="00FF44D7"/>
    <w:rsid w:val="00FF4BD8"/>
    <w:rsid w:val="00FF4D11"/>
    <w:rsid w:val="00FF5214"/>
    <w:rsid w:val="00FF596E"/>
    <w:rsid w:val="00FF5B59"/>
    <w:rsid w:val="00FF5BFD"/>
    <w:rsid w:val="00FF6095"/>
    <w:rsid w:val="00FF62FE"/>
    <w:rsid w:val="00FF6553"/>
    <w:rsid w:val="00FF70BD"/>
    <w:rsid w:val="00FF7124"/>
    <w:rsid w:val="00FF7A39"/>
    <w:rsid w:val="029BC757"/>
    <w:rsid w:val="3569F5A8"/>
    <w:rsid w:val="5854394F"/>
    <w:rsid w:val="69BBF09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8E3B5CD8-1094-4A0C-AD80-0964A00BE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qFormat/>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 w:type="paragraph" w:styleId="Revisin">
    <w:name w:val="Revision"/>
    <w:hidden/>
    <w:uiPriority w:val="99"/>
    <w:semiHidden/>
    <w:rsid w:val="00B20B23"/>
    <w:pPr>
      <w:spacing w:after="0"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826938">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10173570">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15430727">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15189678">
      <w:bodyDiv w:val="1"/>
      <w:marLeft w:val="0"/>
      <w:marRight w:val="0"/>
      <w:marTop w:val="0"/>
      <w:marBottom w:val="0"/>
      <w:divBdr>
        <w:top w:val="none" w:sz="0" w:space="0" w:color="auto"/>
        <w:left w:val="none" w:sz="0" w:space="0" w:color="auto"/>
        <w:bottom w:val="none" w:sz="0" w:space="0" w:color="auto"/>
        <w:right w:val="none" w:sz="0" w:space="0" w:color="auto"/>
      </w:divBdr>
      <w:divsChild>
        <w:div w:id="2026321612">
          <w:marLeft w:val="0"/>
          <w:marRight w:val="0"/>
          <w:marTop w:val="0"/>
          <w:marBottom w:val="0"/>
          <w:divBdr>
            <w:top w:val="none" w:sz="0" w:space="0" w:color="auto"/>
            <w:left w:val="none" w:sz="0" w:space="0" w:color="auto"/>
            <w:bottom w:val="none" w:sz="0" w:space="0" w:color="auto"/>
            <w:right w:val="none" w:sz="0" w:space="0" w:color="auto"/>
          </w:divBdr>
        </w:div>
        <w:div w:id="1349137643">
          <w:marLeft w:val="0"/>
          <w:marRight w:val="0"/>
          <w:marTop w:val="0"/>
          <w:marBottom w:val="0"/>
          <w:divBdr>
            <w:top w:val="none" w:sz="0" w:space="0" w:color="auto"/>
            <w:left w:val="none" w:sz="0" w:space="0" w:color="auto"/>
            <w:bottom w:val="none" w:sz="0" w:space="0" w:color="auto"/>
            <w:right w:val="none" w:sz="0" w:space="0" w:color="auto"/>
          </w:divBdr>
        </w:div>
        <w:div w:id="673846448">
          <w:marLeft w:val="0"/>
          <w:marRight w:val="0"/>
          <w:marTop w:val="0"/>
          <w:marBottom w:val="0"/>
          <w:divBdr>
            <w:top w:val="none" w:sz="0" w:space="0" w:color="auto"/>
            <w:left w:val="none" w:sz="0" w:space="0" w:color="auto"/>
            <w:bottom w:val="none" w:sz="0" w:space="0" w:color="auto"/>
            <w:right w:val="none" w:sz="0" w:space="0" w:color="auto"/>
          </w:divBdr>
        </w:div>
        <w:div w:id="908150563">
          <w:marLeft w:val="0"/>
          <w:marRight w:val="0"/>
          <w:marTop w:val="0"/>
          <w:marBottom w:val="0"/>
          <w:divBdr>
            <w:top w:val="none" w:sz="0" w:space="0" w:color="auto"/>
            <w:left w:val="none" w:sz="0" w:space="0" w:color="auto"/>
            <w:bottom w:val="none" w:sz="0" w:space="0" w:color="auto"/>
            <w:right w:val="none" w:sz="0" w:space="0" w:color="auto"/>
          </w:divBdr>
        </w:div>
        <w:div w:id="395513989">
          <w:marLeft w:val="0"/>
          <w:marRight w:val="0"/>
          <w:marTop w:val="0"/>
          <w:marBottom w:val="0"/>
          <w:divBdr>
            <w:top w:val="none" w:sz="0" w:space="0" w:color="auto"/>
            <w:left w:val="none" w:sz="0" w:space="0" w:color="auto"/>
            <w:bottom w:val="none" w:sz="0" w:space="0" w:color="auto"/>
            <w:right w:val="none" w:sz="0" w:space="0" w:color="auto"/>
          </w:divBdr>
        </w:div>
        <w:div w:id="1461459050">
          <w:marLeft w:val="0"/>
          <w:marRight w:val="0"/>
          <w:marTop w:val="0"/>
          <w:marBottom w:val="0"/>
          <w:divBdr>
            <w:top w:val="none" w:sz="0" w:space="0" w:color="auto"/>
            <w:left w:val="none" w:sz="0" w:space="0" w:color="auto"/>
            <w:bottom w:val="none" w:sz="0" w:space="0" w:color="auto"/>
            <w:right w:val="none" w:sz="0" w:space="0" w:color="auto"/>
          </w:divBdr>
        </w:div>
        <w:div w:id="460928144">
          <w:marLeft w:val="0"/>
          <w:marRight w:val="0"/>
          <w:marTop w:val="0"/>
          <w:marBottom w:val="0"/>
          <w:divBdr>
            <w:top w:val="none" w:sz="0" w:space="0" w:color="auto"/>
            <w:left w:val="none" w:sz="0" w:space="0" w:color="auto"/>
            <w:bottom w:val="none" w:sz="0" w:space="0" w:color="auto"/>
            <w:right w:val="none" w:sz="0" w:space="0" w:color="auto"/>
          </w:divBdr>
        </w:div>
      </w:divsChild>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14295">
      <w:bodyDiv w:val="1"/>
      <w:marLeft w:val="0"/>
      <w:marRight w:val="0"/>
      <w:marTop w:val="0"/>
      <w:marBottom w:val="0"/>
      <w:divBdr>
        <w:top w:val="none" w:sz="0" w:space="0" w:color="auto"/>
        <w:left w:val="none" w:sz="0" w:space="0" w:color="auto"/>
        <w:bottom w:val="none" w:sz="0" w:space="0" w:color="auto"/>
        <w:right w:val="none" w:sz="0" w:space="0" w:color="auto"/>
      </w:divBdr>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6786160">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0311404">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709385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3345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6343">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3372197">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158097">
      <w:bodyDiv w:val="1"/>
      <w:marLeft w:val="0"/>
      <w:marRight w:val="0"/>
      <w:marTop w:val="0"/>
      <w:marBottom w:val="0"/>
      <w:divBdr>
        <w:top w:val="none" w:sz="0" w:space="0" w:color="auto"/>
        <w:left w:val="none" w:sz="0" w:space="0" w:color="auto"/>
        <w:bottom w:val="none" w:sz="0" w:space="0" w:color="auto"/>
        <w:right w:val="none" w:sz="0" w:space="0" w:color="auto"/>
      </w:divBdr>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1393228">
      <w:bodyDiv w:val="1"/>
      <w:marLeft w:val="0"/>
      <w:marRight w:val="0"/>
      <w:marTop w:val="0"/>
      <w:marBottom w:val="0"/>
      <w:divBdr>
        <w:top w:val="none" w:sz="0" w:space="0" w:color="auto"/>
        <w:left w:val="none" w:sz="0" w:space="0" w:color="auto"/>
        <w:bottom w:val="none" w:sz="0" w:space="0" w:color="auto"/>
        <w:right w:val="none" w:sz="0" w:space="0" w:color="auto"/>
      </w:divBdr>
      <w:divsChild>
        <w:div w:id="1693536321">
          <w:marLeft w:val="0"/>
          <w:marRight w:val="0"/>
          <w:marTop w:val="0"/>
          <w:marBottom w:val="0"/>
          <w:divBdr>
            <w:top w:val="none" w:sz="0" w:space="0" w:color="auto"/>
            <w:left w:val="none" w:sz="0" w:space="0" w:color="auto"/>
            <w:bottom w:val="none" w:sz="0" w:space="0" w:color="auto"/>
            <w:right w:val="none" w:sz="0" w:space="0" w:color="auto"/>
          </w:divBdr>
        </w:div>
      </w:divsChild>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6.jpg"/></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SharedWithUsers xmlns="a6cb9e4b-f1d1-4245-83ec-6cad768d538a">
      <UserInfo>
        <DisplayName>Diana Lucia Saavedra</DisplayName>
        <AccountId>981</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DA16B1A2-ABBA-472D-99A1-03FCF9EC2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301</TotalTime>
  <Pages>26</Pages>
  <Words>8173</Words>
  <Characters>44957</Characters>
  <Application>Microsoft Office Word</Application>
  <DocSecurity>0</DocSecurity>
  <Lines>374</Lines>
  <Paragraphs>106</Paragraphs>
  <ScaleCrop>false</ScaleCrop>
  <Company/>
  <LinksUpToDate>false</LinksUpToDate>
  <CharactersWithSpaces>53024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Maria Valeska Medellín Mora</cp:lastModifiedBy>
  <cp:revision>80</cp:revision>
  <cp:lastPrinted>2020-01-30T15:05:00Z</cp:lastPrinted>
  <dcterms:created xsi:type="dcterms:W3CDTF">2023-05-11T20:58:00Z</dcterms:created>
  <dcterms:modified xsi:type="dcterms:W3CDTF">2023-06-06T16:32:00Z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