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DDA3" w14:textId="77777777" w:rsidR="009C33F5" w:rsidRPr="00AD4370" w:rsidRDefault="009C33F5" w:rsidP="009C33F5">
      <w:pPr>
        <w:spacing w:after="0" w:line="240" w:lineRule="auto"/>
        <w:jc w:val="both"/>
        <w:rPr>
          <w:rFonts w:ascii="Arial" w:eastAsia="Calibri" w:hAnsi="Arial" w:cs="Arial"/>
          <w:b/>
          <w:bCs/>
          <w:lang w:eastAsia="es-ES_tradnl"/>
        </w:rPr>
      </w:pPr>
      <w:bookmarkStart w:id="0" w:name="_Hlk96417464"/>
      <w:r w:rsidRPr="00AD4370">
        <w:rPr>
          <w:rFonts w:ascii="Arial" w:eastAsia="Calibri" w:hAnsi="Arial" w:cs="Arial"/>
          <w:b/>
          <w:bCs/>
          <w:lang w:eastAsia="es-ES_tradnl"/>
        </w:rPr>
        <w:t xml:space="preserve">CONVENIOS Y/O CONTRATOS CON ORGANISMOS INTERNACIONALES – Artículo 20 </w:t>
      </w:r>
      <w:r w:rsidRPr="00AD4370">
        <w:rPr>
          <w:rFonts w:ascii="Arial" w:eastAsia="Arial" w:hAnsi="Arial" w:cs="Arial"/>
          <w:b/>
          <w:bCs/>
          <w:lang w:val="es-MX" w:eastAsia="es-ES_tradnl"/>
        </w:rPr>
        <w:t>–</w:t>
      </w:r>
      <w:r w:rsidRPr="00AD4370">
        <w:rPr>
          <w:rFonts w:ascii="Arial" w:eastAsia="Calibri" w:hAnsi="Arial" w:cs="Arial"/>
          <w:b/>
          <w:bCs/>
          <w:lang w:eastAsia="es-ES_tradnl"/>
        </w:rPr>
        <w:t xml:space="preserve"> Ley 1150 de 2007– Régimen aplicable – Libertad de elección</w:t>
      </w:r>
    </w:p>
    <w:p w14:paraId="75FF7AEC" w14:textId="77777777" w:rsidR="009C33F5" w:rsidRPr="00AD4370" w:rsidRDefault="009C33F5" w:rsidP="009C33F5">
      <w:pPr>
        <w:spacing w:after="0" w:line="240" w:lineRule="auto"/>
        <w:jc w:val="both"/>
        <w:rPr>
          <w:rFonts w:ascii="Arial" w:eastAsia="Calibri" w:hAnsi="Arial" w:cs="Arial"/>
          <w:sz w:val="20"/>
          <w:szCs w:val="20"/>
          <w:lang w:eastAsia="es-ES_tradnl"/>
        </w:rPr>
      </w:pPr>
    </w:p>
    <w:p w14:paraId="651B9F3A" w14:textId="77777777" w:rsidR="009C33F5" w:rsidRPr="00AD4370" w:rsidRDefault="009C33F5" w:rsidP="009C33F5">
      <w:pPr>
        <w:spacing w:after="0" w:line="240" w:lineRule="auto"/>
        <w:jc w:val="both"/>
        <w:rPr>
          <w:rFonts w:ascii="Arial" w:eastAsia="Times New Roman" w:hAnsi="Arial" w:cs="Arial"/>
          <w:sz w:val="20"/>
          <w:szCs w:val="20"/>
          <w:lang w:val="es-ES" w:eastAsia="es-ES_tradnl"/>
        </w:rPr>
      </w:pPr>
      <w:r w:rsidRPr="00AD4370">
        <w:rPr>
          <w:rFonts w:ascii="Arial" w:eastAsia="Times New Roman" w:hAnsi="Arial" w:cs="Arial"/>
          <w:sz w:val="20"/>
          <w:szCs w:val="20"/>
          <w:lang w:val="es-ES" w:eastAsia="es-ES_tradnl"/>
        </w:rPr>
        <w:t xml:space="preserve">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inciso primero,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Por otro lado, la norma establece un segundo criterio, en el inciso segundo, para determinar la posibilidad de aplicar los reglamentos de los organismos internacionales. Este segundo criterio depende del objeto del convenio o contrato a celebrar, de manera que en dichos casos se puede pactar el sometimiento a los reglamentos de estas entidades. </w:t>
      </w:r>
    </w:p>
    <w:p w14:paraId="6FB858B2" w14:textId="77777777" w:rsidR="009C33F5" w:rsidRPr="00AD4370" w:rsidRDefault="009C33F5" w:rsidP="009C33F5">
      <w:pPr>
        <w:spacing w:after="0" w:line="240" w:lineRule="auto"/>
        <w:jc w:val="both"/>
        <w:rPr>
          <w:rFonts w:ascii="Arial" w:eastAsia="Calibri" w:hAnsi="Arial" w:cs="Arial"/>
          <w:b/>
          <w:bCs/>
          <w:lang w:eastAsia="es-ES_tradnl"/>
        </w:rPr>
      </w:pPr>
    </w:p>
    <w:p w14:paraId="0E2FA2B2" w14:textId="77777777" w:rsidR="009C33F5" w:rsidRPr="00AD4370" w:rsidRDefault="009C33F5" w:rsidP="009C33F5">
      <w:pPr>
        <w:spacing w:after="0" w:line="240" w:lineRule="auto"/>
        <w:jc w:val="both"/>
        <w:rPr>
          <w:rFonts w:ascii="Arial" w:eastAsia="Times New Roman" w:hAnsi="Arial" w:cs="Arial"/>
          <w:bCs/>
          <w:sz w:val="20"/>
          <w:szCs w:val="20"/>
          <w:lang w:val="es-MX" w:eastAsia="x-none"/>
        </w:rPr>
      </w:pPr>
      <w:r w:rsidRPr="00AD4370">
        <w:rPr>
          <w:rFonts w:ascii="Arial" w:eastAsia="Calibri" w:hAnsi="Arial" w:cs="Arial"/>
          <w:b/>
          <w:bCs/>
          <w:lang w:eastAsia="es-ES_tradnl"/>
        </w:rPr>
        <w:t xml:space="preserve">FONDOS DE ORGANISMOS INTERNACIONALES – Definición – Alcance – Materia contractual  </w:t>
      </w:r>
    </w:p>
    <w:p w14:paraId="54814E38" w14:textId="77777777" w:rsidR="009C33F5" w:rsidRPr="00AD4370" w:rsidRDefault="009C33F5" w:rsidP="009C33F5">
      <w:pPr>
        <w:tabs>
          <w:tab w:val="left" w:pos="3374"/>
        </w:tabs>
        <w:spacing w:after="0" w:line="240" w:lineRule="auto"/>
        <w:jc w:val="both"/>
        <w:rPr>
          <w:rFonts w:ascii="Arial" w:eastAsia="Times New Roman" w:hAnsi="Arial" w:cs="Arial"/>
          <w:b/>
          <w:bCs/>
          <w:szCs w:val="24"/>
          <w:lang w:val="es-ES_tradnl" w:eastAsia="es-ES_tradnl"/>
        </w:rPr>
      </w:pPr>
    </w:p>
    <w:p w14:paraId="7FA2A616" w14:textId="77777777" w:rsidR="009C33F5" w:rsidRPr="00AD4370" w:rsidRDefault="009C33F5" w:rsidP="009C33F5">
      <w:pPr>
        <w:tabs>
          <w:tab w:val="left" w:pos="3374"/>
        </w:tabs>
        <w:spacing w:after="0" w:line="240" w:lineRule="auto"/>
        <w:jc w:val="both"/>
        <w:rPr>
          <w:rFonts w:ascii="Arial" w:eastAsia="Calibri" w:hAnsi="Arial" w:cs="Arial"/>
          <w:sz w:val="20"/>
          <w:szCs w:val="20"/>
          <w:lang w:val="es-ES" w:eastAsia="es-ES_tradnl"/>
        </w:rPr>
      </w:pPr>
      <w:r w:rsidRPr="00AD4370">
        <w:rPr>
          <w:rFonts w:ascii="Arial" w:eastAsia="Calibri" w:hAnsi="Arial" w:cs="Arial"/>
          <w:sz w:val="20"/>
          <w:szCs w:val="20"/>
          <w:lang w:val="es-ES" w:eastAsia="es-ES_tradnl"/>
        </w:rPr>
        <w:t xml:space="preserve">Teniendo en cuenta lo anterior, partiendo de la aplicación del artículo 27 del Código Civil,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para los fines de la consulta, vale la pena resaltar que la definición se refiere a un “conjunto de bienes” o “conjunto de recursos”, lo que permite inferir que los fondos se componen por una universalidad o pluralidad de bienes, y en relación con la composición del conjunto de bienes, la definición es genérica pues no establece ninguna particularidad en relación con la naturaleza de </w:t>
      </w:r>
      <w:proofErr w:type="gramStart"/>
      <w:r w:rsidRPr="00AD4370">
        <w:rPr>
          <w:rFonts w:ascii="Arial" w:eastAsia="Calibri" w:hAnsi="Arial" w:cs="Arial"/>
          <w:sz w:val="20"/>
          <w:szCs w:val="20"/>
          <w:lang w:val="es-ES" w:eastAsia="es-ES_tradnl"/>
        </w:rPr>
        <w:t>los mismos</w:t>
      </w:r>
      <w:proofErr w:type="gramEnd"/>
      <w:r w:rsidRPr="00AD4370">
        <w:rPr>
          <w:rFonts w:ascii="Arial" w:eastAsia="Calibri" w:hAnsi="Arial" w:cs="Arial"/>
          <w:sz w:val="20"/>
          <w:szCs w:val="20"/>
          <w:lang w:val="es-ES" w:eastAsia="es-ES_tradnl"/>
        </w:rPr>
        <w:t xml:space="preserve">. De manera que, para efectos del artículo 20 de la Ley 1150 de 2007, esta Agencia considera que los fondos de organismos internacionales son el conjunto de bienes o recursos de titularidad de estos organismos.  </w:t>
      </w:r>
    </w:p>
    <w:p w14:paraId="1DCAA1D7" w14:textId="77777777" w:rsidR="009C33F5" w:rsidRPr="00AD4370" w:rsidRDefault="009C33F5" w:rsidP="009C33F5">
      <w:pPr>
        <w:spacing w:after="0" w:line="240" w:lineRule="auto"/>
        <w:jc w:val="both"/>
        <w:rPr>
          <w:rFonts w:ascii="Arial" w:eastAsia="Calibri" w:hAnsi="Arial" w:cs="Arial"/>
          <w:b/>
          <w:bCs/>
          <w:lang w:val="es-MX"/>
        </w:rPr>
      </w:pPr>
    </w:p>
    <w:p w14:paraId="01AF74B9" w14:textId="77777777" w:rsidR="009C33F5" w:rsidRPr="00AD4370" w:rsidRDefault="009C33F5" w:rsidP="009C33F5">
      <w:pPr>
        <w:spacing w:after="0" w:line="240" w:lineRule="auto"/>
        <w:jc w:val="both"/>
        <w:rPr>
          <w:rFonts w:ascii="Arial" w:eastAsia="Calibri" w:hAnsi="Arial" w:cs="Arial"/>
          <w:b/>
          <w:bCs/>
          <w:lang w:val="es-MX"/>
        </w:rPr>
      </w:pPr>
      <w:r w:rsidRPr="00AD4370">
        <w:rPr>
          <w:rFonts w:ascii="Arial" w:eastAsia="Calibri" w:hAnsi="Arial" w:cs="Arial"/>
          <w:b/>
          <w:bCs/>
          <w:lang w:val="es-MX"/>
        </w:rPr>
        <w:t xml:space="preserve">CONVENIOS Y/O CONTRATOS </w:t>
      </w:r>
      <w:r w:rsidRPr="00AD4370">
        <w:rPr>
          <w:rFonts w:ascii="Arial" w:eastAsia="Calibri" w:hAnsi="Arial" w:cs="Arial"/>
          <w:b/>
          <w:bCs/>
          <w:lang w:eastAsia="es-ES_tradnl"/>
        </w:rPr>
        <w:t>CON ORGANISMOS INTERNACIONALES</w:t>
      </w:r>
      <w:r w:rsidRPr="00AD4370">
        <w:rPr>
          <w:rFonts w:ascii="Arial" w:eastAsia="Calibri" w:hAnsi="Arial" w:cs="Arial"/>
          <w:b/>
          <w:bCs/>
          <w:lang w:val="es-MX"/>
        </w:rPr>
        <w:t xml:space="preserve"> – Financiación – Recursos de personas extranjeras de derecho público – Naturaleza jurídica</w:t>
      </w:r>
    </w:p>
    <w:p w14:paraId="431D98DA" w14:textId="77777777" w:rsidR="009C33F5" w:rsidRPr="00AD4370" w:rsidRDefault="009C33F5" w:rsidP="009C33F5">
      <w:pPr>
        <w:spacing w:after="0" w:line="240" w:lineRule="auto"/>
        <w:jc w:val="both"/>
        <w:rPr>
          <w:rFonts w:ascii="Arial" w:eastAsia="Calibri" w:hAnsi="Arial" w:cs="Arial"/>
          <w:b/>
          <w:bCs/>
          <w:lang w:val="es-MX"/>
        </w:rPr>
      </w:pPr>
    </w:p>
    <w:p w14:paraId="617DAD26" w14:textId="77777777" w:rsidR="009C33F5" w:rsidRPr="00AD4370" w:rsidRDefault="009C33F5" w:rsidP="009C33F5">
      <w:pPr>
        <w:spacing w:after="120" w:line="240" w:lineRule="auto"/>
        <w:jc w:val="both"/>
        <w:rPr>
          <w:rFonts w:ascii="Arial" w:eastAsia="Calibri" w:hAnsi="Arial" w:cs="Arial"/>
          <w:sz w:val="20"/>
          <w:szCs w:val="20"/>
          <w:lang w:val="es-ES_tradnl" w:eastAsia="es-ES_tradnl"/>
        </w:rPr>
      </w:pPr>
      <w:r w:rsidRPr="00AD4370">
        <w:rPr>
          <w:rFonts w:ascii="Arial" w:eastAsia="Calibri" w:hAnsi="Arial" w:cs="Arial"/>
          <w:sz w:val="20"/>
          <w:szCs w:val="20"/>
          <w:lang w:val="es-ES_tradnl" w:eastAsia="es-ES_tradnl"/>
        </w:rPr>
        <w:t xml:space="preserve">[…]respecto de la reglamentación que efectuó el artículo 2.2.1.2.4.4.1 del Decreto 1082 de 2015 al artículo 20 de la Ley 1150 de 2007, resulta pertinente aclarar que este no limitó la naturaleza de “internacional” a los convenios y/o contratos que se financien con recursos de los entes gubernamentales extranjeros o con los de personas extranjeras de derecho público, pero sí señaló su </w:t>
      </w:r>
      <w:r w:rsidRPr="00AD4370">
        <w:rPr>
          <w:rFonts w:ascii="Arial" w:eastAsia="Calibri" w:hAnsi="Arial" w:cs="Arial"/>
          <w:sz w:val="20"/>
          <w:szCs w:val="20"/>
          <w:lang w:val="es-ES" w:eastAsia="es-MX"/>
        </w:rPr>
        <w:t xml:space="preserve">respectivo </w:t>
      </w:r>
      <w:r w:rsidRPr="00AD4370">
        <w:rPr>
          <w:rFonts w:ascii="Arial" w:eastAsia="Calibri" w:hAnsi="Arial" w:cs="Arial"/>
          <w:sz w:val="20"/>
          <w:szCs w:val="20"/>
          <w:lang w:val="es-ES_tradnl" w:eastAsia="es-ES_tradnl"/>
        </w:rPr>
        <w:t>régimen contractual aplicable.</w:t>
      </w:r>
      <w:r w:rsidRPr="00AD4370">
        <w:rPr>
          <w:rFonts w:ascii="Arial" w:eastAsia="Calibri" w:hAnsi="Arial" w:cs="Arial"/>
          <w:sz w:val="20"/>
          <w:szCs w:val="20"/>
          <w:lang w:val="es-ES" w:eastAsia="es-MX"/>
        </w:rPr>
        <w:t xml:space="preserve"> Estableciendo así, para el caso de los primeros, que su ejecución se adelantará con base en lo dispuesto en los tratados internacionales marco y complementarios, y en los convenios celebrados o sus reglamentos. Y, respecto de los segundos, que su celebración y ejecución se efectuará según se acuerde entre las partes.</w:t>
      </w:r>
    </w:p>
    <w:p w14:paraId="557F422F" w14:textId="77777777" w:rsidR="00E206F5" w:rsidRDefault="00E206F5" w:rsidP="00364313">
      <w:pPr>
        <w:tabs>
          <w:tab w:val="left" w:pos="142"/>
        </w:tabs>
        <w:spacing w:after="0"/>
        <w:rPr>
          <w:rFonts w:ascii="Geomanist Light" w:eastAsia="Geomanist Light" w:hAnsi="Geomanist Light" w:cs="Geomanist Light"/>
          <w:color w:val="000000" w:themeColor="text1"/>
          <w:lang w:val="es-MX"/>
        </w:rPr>
      </w:pPr>
    </w:p>
    <w:p w14:paraId="1149C155" w14:textId="77777777" w:rsidR="00787EB2" w:rsidRDefault="00787EB2" w:rsidP="00364313">
      <w:pPr>
        <w:tabs>
          <w:tab w:val="left" w:pos="142"/>
        </w:tabs>
        <w:spacing w:after="0"/>
        <w:rPr>
          <w:rFonts w:ascii="Geomanist Light" w:eastAsia="Geomanist Light" w:hAnsi="Geomanist Light" w:cs="Geomanist Light"/>
          <w:color w:val="000000" w:themeColor="text1"/>
          <w:lang w:val="es-MX"/>
        </w:rPr>
      </w:pPr>
    </w:p>
    <w:p w14:paraId="431DC289" w14:textId="77777777" w:rsidR="00787EB2" w:rsidRDefault="00787EB2" w:rsidP="00364313">
      <w:pPr>
        <w:tabs>
          <w:tab w:val="left" w:pos="142"/>
        </w:tabs>
        <w:spacing w:after="0"/>
        <w:rPr>
          <w:rFonts w:ascii="Geomanist Light" w:eastAsia="Geomanist Light" w:hAnsi="Geomanist Light" w:cs="Geomanist Light"/>
          <w:color w:val="000000" w:themeColor="text1"/>
          <w:lang w:val="es-MX"/>
        </w:rPr>
      </w:pPr>
    </w:p>
    <w:p w14:paraId="53E2BA1A" w14:textId="77777777" w:rsidR="00787EB2" w:rsidRDefault="00787EB2" w:rsidP="00364313">
      <w:pPr>
        <w:tabs>
          <w:tab w:val="left" w:pos="142"/>
        </w:tabs>
        <w:spacing w:after="0"/>
        <w:rPr>
          <w:rFonts w:ascii="Geomanist Light" w:eastAsia="Geomanist Light" w:hAnsi="Geomanist Light" w:cs="Geomanist Light"/>
          <w:color w:val="000000" w:themeColor="text1"/>
          <w:lang w:val="es-MX"/>
        </w:rPr>
      </w:pPr>
    </w:p>
    <w:p w14:paraId="72B4F100" w14:textId="77777777" w:rsidR="00787EB2" w:rsidRDefault="00787EB2" w:rsidP="00364313">
      <w:pPr>
        <w:tabs>
          <w:tab w:val="left" w:pos="142"/>
        </w:tabs>
        <w:spacing w:after="0"/>
        <w:rPr>
          <w:rFonts w:ascii="Geomanist Light" w:eastAsia="Geomanist Light" w:hAnsi="Geomanist Light" w:cs="Geomanist Light"/>
          <w:color w:val="000000" w:themeColor="text1"/>
          <w:lang w:val="es-MX"/>
        </w:rPr>
      </w:pPr>
    </w:p>
    <w:p w14:paraId="2BD0E8F0" w14:textId="721949A8" w:rsidR="00AD4370" w:rsidRDefault="00AD4370" w:rsidP="00364313">
      <w:pPr>
        <w:tabs>
          <w:tab w:val="left" w:pos="142"/>
        </w:tabs>
        <w:spacing w:after="0"/>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t>Bogotá D.C., </w:t>
      </w:r>
      <w:r w:rsidR="00A33481">
        <w:rPr>
          <w:rFonts w:ascii="Geomanist Light" w:eastAsia="Geomanist Light" w:hAnsi="Geomanist Light" w:cs="Geomanist Light"/>
          <w:color w:val="000000" w:themeColor="text1"/>
          <w:lang w:val="es-MX"/>
        </w:rPr>
        <w:t xml:space="preserve">29 </w:t>
      </w:r>
      <w:r w:rsidR="00A2066F">
        <w:rPr>
          <w:rFonts w:ascii="Geomanist Light" w:eastAsia="Geomanist Light" w:hAnsi="Geomanist Light" w:cs="Geomanist Light"/>
          <w:color w:val="000000" w:themeColor="text1"/>
          <w:lang w:val="es-MX"/>
        </w:rPr>
        <w:t xml:space="preserve">de </w:t>
      </w:r>
      <w:proofErr w:type="gramStart"/>
      <w:r w:rsidR="00A2066F">
        <w:rPr>
          <w:rFonts w:ascii="Geomanist Light" w:eastAsia="Geomanist Light" w:hAnsi="Geomanist Light" w:cs="Geomanist Light"/>
          <w:color w:val="000000" w:themeColor="text1"/>
          <w:lang w:val="es-MX"/>
        </w:rPr>
        <w:t>Marzo</w:t>
      </w:r>
      <w:proofErr w:type="gramEnd"/>
      <w:r w:rsidR="00A2066F">
        <w:rPr>
          <w:rFonts w:ascii="Geomanist Light" w:eastAsia="Geomanist Light" w:hAnsi="Geomanist Light" w:cs="Geomanist Light"/>
          <w:color w:val="000000" w:themeColor="text1"/>
          <w:lang w:val="es-MX"/>
        </w:rPr>
        <w:t xml:space="preserve"> del 2023</w:t>
      </w:r>
    </w:p>
    <w:p w14:paraId="038DCE42" w14:textId="77777777" w:rsidR="00787EB2" w:rsidRPr="007566FE" w:rsidRDefault="00787EB2" w:rsidP="00364313">
      <w:pPr>
        <w:tabs>
          <w:tab w:val="left" w:pos="142"/>
        </w:tabs>
        <w:spacing w:after="0"/>
        <w:rPr>
          <w:rFonts w:ascii="Geomanist Light" w:eastAsia="Geomanist Light" w:hAnsi="Geomanist Light" w:cs="Geomanist Light"/>
          <w:color w:val="201F1E"/>
          <w:lang w:val="es-MX"/>
        </w:rPr>
      </w:pPr>
    </w:p>
    <w:p w14:paraId="3FA8A020" w14:textId="3723C1D7" w:rsidR="00AD4370" w:rsidRPr="00AD4370" w:rsidRDefault="00787EB2" w:rsidP="00787EB2">
      <w:pPr>
        <w:spacing w:after="0" w:line="240" w:lineRule="auto"/>
        <w:jc w:val="right"/>
        <w:rPr>
          <w:rFonts w:ascii="Arial" w:eastAsia="Calibri" w:hAnsi="Arial" w:cs="Arial"/>
          <w:lang w:val="es-MX"/>
        </w:rPr>
      </w:pPr>
      <w:r w:rsidRPr="00787EB2">
        <w:rPr>
          <w:rFonts w:ascii="Arial" w:eastAsia="Calibri" w:hAnsi="Arial" w:cs="Arial"/>
          <w:noProof/>
          <w:lang w:val="es-MX"/>
        </w:rPr>
        <w:drawing>
          <wp:inline distT="0" distB="0" distL="0" distR="0" wp14:anchorId="71D02D12" wp14:editId="5A5DEED1">
            <wp:extent cx="2534004" cy="704948"/>
            <wp:effectExtent l="0" t="0" r="0" b="0"/>
            <wp:docPr id="158183656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36566" name="Imagen 1" descr="Texto&#10;&#10;Descripción generada automáticamente"/>
                    <pic:cNvPicPr/>
                  </pic:nvPicPr>
                  <pic:blipFill>
                    <a:blip r:embed="rId11"/>
                    <a:stretch>
                      <a:fillRect/>
                    </a:stretch>
                  </pic:blipFill>
                  <pic:spPr>
                    <a:xfrm>
                      <a:off x="0" y="0"/>
                      <a:ext cx="2534004" cy="704948"/>
                    </a:xfrm>
                    <a:prstGeom prst="rect">
                      <a:avLst/>
                    </a:prstGeom>
                  </pic:spPr>
                </pic:pic>
              </a:graphicData>
            </a:graphic>
          </wp:inline>
        </w:drawing>
      </w:r>
    </w:p>
    <w:p w14:paraId="4313B907" w14:textId="77777777" w:rsidR="00AD4370" w:rsidRPr="001F4970" w:rsidRDefault="00AD4370" w:rsidP="00AD4370">
      <w:pPr>
        <w:spacing w:after="0" w:line="240" w:lineRule="auto"/>
        <w:jc w:val="both"/>
        <w:rPr>
          <w:rFonts w:ascii="Arial" w:eastAsia="Calibri" w:hAnsi="Arial" w:cs="Arial"/>
          <w:sz w:val="23"/>
          <w:szCs w:val="23"/>
          <w:lang w:val="es-MX"/>
        </w:rPr>
      </w:pPr>
      <w:r w:rsidRPr="001F4970">
        <w:rPr>
          <w:rFonts w:ascii="Arial" w:eastAsia="Calibri" w:hAnsi="Arial" w:cs="Arial"/>
          <w:sz w:val="23"/>
          <w:szCs w:val="23"/>
          <w:lang w:val="es-MX"/>
        </w:rPr>
        <w:t>Señor</w:t>
      </w:r>
    </w:p>
    <w:p w14:paraId="66AE0D5E" w14:textId="77777777" w:rsidR="00AD4370" w:rsidRPr="001F4970" w:rsidRDefault="00AD4370" w:rsidP="00AD4370">
      <w:pPr>
        <w:spacing w:after="0" w:line="240" w:lineRule="auto"/>
        <w:jc w:val="both"/>
        <w:rPr>
          <w:rFonts w:ascii="Arial" w:eastAsia="Calibri" w:hAnsi="Arial" w:cs="Arial"/>
          <w:b/>
          <w:bCs/>
          <w:sz w:val="23"/>
          <w:szCs w:val="23"/>
          <w:lang w:val="es-MX"/>
        </w:rPr>
      </w:pPr>
      <w:r w:rsidRPr="001F4970">
        <w:rPr>
          <w:rFonts w:ascii="Arial" w:eastAsia="Calibri" w:hAnsi="Arial" w:cs="Arial"/>
          <w:b/>
          <w:bCs/>
          <w:sz w:val="23"/>
          <w:szCs w:val="23"/>
          <w:lang w:val="es-MX"/>
        </w:rPr>
        <w:t>Daniel Octavio Morales Velásquez</w:t>
      </w:r>
    </w:p>
    <w:p w14:paraId="3E43C875" w14:textId="77777777" w:rsidR="00AD4370" w:rsidRPr="001F4970" w:rsidRDefault="00000000" w:rsidP="00AD4370">
      <w:pPr>
        <w:spacing w:after="0" w:line="240" w:lineRule="auto"/>
        <w:jc w:val="both"/>
        <w:rPr>
          <w:rFonts w:ascii="Arial" w:eastAsia="Calibri" w:hAnsi="Arial" w:cs="Arial"/>
          <w:sz w:val="23"/>
          <w:szCs w:val="23"/>
          <w:lang w:val="es-MX"/>
        </w:rPr>
      </w:pPr>
      <w:hyperlink r:id="rId12" w:history="1">
        <w:r w:rsidR="00AD4370" w:rsidRPr="001F4970">
          <w:rPr>
            <w:rFonts w:ascii="Arial" w:eastAsia="Calibri" w:hAnsi="Arial" w:cs="Arial"/>
            <w:color w:val="0563C1" w:themeColor="hyperlink"/>
            <w:sz w:val="23"/>
            <w:szCs w:val="23"/>
            <w:u w:val="single"/>
            <w:lang w:val="es-MX"/>
          </w:rPr>
          <w:t>moralesv.abogado@hotmail.com</w:t>
        </w:r>
      </w:hyperlink>
      <w:r w:rsidR="00AD4370" w:rsidRPr="001F4970">
        <w:rPr>
          <w:rFonts w:ascii="Arial" w:eastAsia="Calibri" w:hAnsi="Arial" w:cs="Arial"/>
          <w:sz w:val="23"/>
          <w:szCs w:val="23"/>
          <w:lang w:val="es-MX"/>
        </w:rPr>
        <w:t xml:space="preserve"> </w:t>
      </w:r>
    </w:p>
    <w:p w14:paraId="496E0D44" w14:textId="77777777" w:rsidR="00AD4370" w:rsidRPr="001F4970" w:rsidRDefault="00AD4370" w:rsidP="00AD4370">
      <w:pPr>
        <w:spacing w:after="0" w:line="240" w:lineRule="auto"/>
        <w:jc w:val="both"/>
        <w:rPr>
          <w:rFonts w:ascii="Arial" w:eastAsia="Calibri" w:hAnsi="Arial" w:cs="Arial"/>
          <w:sz w:val="23"/>
          <w:szCs w:val="23"/>
          <w:lang w:val="es-MX"/>
        </w:rPr>
      </w:pPr>
      <w:r w:rsidRPr="001F4970">
        <w:rPr>
          <w:rFonts w:ascii="Arial" w:eastAsia="Calibri" w:hAnsi="Arial" w:cs="Arial"/>
          <w:sz w:val="23"/>
          <w:szCs w:val="23"/>
          <w:lang w:val="es-MX"/>
        </w:rPr>
        <w:t>Bogotá D.C.</w:t>
      </w:r>
    </w:p>
    <w:p w14:paraId="6490673A" w14:textId="77777777" w:rsidR="00AD4370" w:rsidRPr="001F4970" w:rsidRDefault="00AD4370" w:rsidP="00AD4370">
      <w:pPr>
        <w:spacing w:after="0" w:line="240" w:lineRule="auto"/>
        <w:jc w:val="both"/>
        <w:rPr>
          <w:rFonts w:ascii="Arial" w:eastAsia="Calibri" w:hAnsi="Arial" w:cs="Arial"/>
          <w:sz w:val="23"/>
          <w:szCs w:val="23"/>
          <w:lang w:val="es-MX"/>
        </w:rPr>
      </w:pPr>
    </w:p>
    <w:p w14:paraId="12D4F803" w14:textId="77777777" w:rsidR="00AD4370" w:rsidRPr="001F4970" w:rsidRDefault="00AD4370" w:rsidP="00AD4370">
      <w:pPr>
        <w:spacing w:after="0" w:line="240" w:lineRule="auto"/>
        <w:jc w:val="both"/>
        <w:rPr>
          <w:rFonts w:ascii="Arial" w:hAnsi="Arial" w:cs="Arial"/>
          <w:sz w:val="23"/>
          <w:szCs w:val="23"/>
          <w:lang w:val="es-MX"/>
        </w:rPr>
      </w:pPr>
      <w:r w:rsidRPr="001F4970">
        <w:rPr>
          <w:rFonts w:ascii="Arial" w:eastAsia="Calibri" w:hAnsi="Arial" w:cs="Arial"/>
          <w:sz w:val="23"/>
          <w:szCs w:val="23"/>
          <w:lang w:val="es-MX"/>
        </w:rPr>
        <w:t xml:space="preserve">                                            </w:t>
      </w:r>
      <w:r w:rsidRPr="001F4970">
        <w:rPr>
          <w:rFonts w:ascii="Arial" w:eastAsia="Calibri" w:hAnsi="Arial" w:cs="Arial"/>
          <w:b/>
          <w:sz w:val="23"/>
          <w:szCs w:val="23"/>
          <w:lang w:val="es-MX"/>
        </w:rPr>
        <w:t>Concepto – 039 de 2023</w:t>
      </w:r>
    </w:p>
    <w:p w14:paraId="0F3B39B3" w14:textId="77777777" w:rsidR="00AD4370" w:rsidRPr="001F4970" w:rsidRDefault="00AD4370" w:rsidP="00AD4370">
      <w:pPr>
        <w:spacing w:after="0" w:line="240" w:lineRule="auto"/>
        <w:jc w:val="both"/>
        <w:rPr>
          <w:rFonts w:ascii="Arial" w:hAnsi="Arial" w:cs="Arial"/>
          <w:sz w:val="23"/>
          <w:szCs w:val="23"/>
          <w:lang w:val="es-MX"/>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D4370" w:rsidRPr="001F4970" w14:paraId="69A80B17" w14:textId="77777777" w:rsidTr="002600CB">
        <w:trPr>
          <w:trHeight w:val="485"/>
        </w:trPr>
        <w:tc>
          <w:tcPr>
            <w:tcW w:w="2689" w:type="dxa"/>
            <w:hideMark/>
          </w:tcPr>
          <w:p w14:paraId="0BD7D6D5" w14:textId="77777777" w:rsidR="00AD4370" w:rsidRPr="001F4970" w:rsidRDefault="00AD4370" w:rsidP="0087551D">
            <w:pPr>
              <w:spacing w:line="276" w:lineRule="auto"/>
              <w:contextualSpacing/>
              <w:jc w:val="both"/>
              <w:rPr>
                <w:rFonts w:ascii="Arial" w:eastAsia="Calibri" w:hAnsi="Arial" w:cs="Arial"/>
                <w:noProof/>
                <w:sz w:val="23"/>
                <w:szCs w:val="23"/>
                <w:highlight w:val="yellow"/>
                <w:lang w:val="es-ES_tradnl"/>
              </w:rPr>
            </w:pPr>
            <w:r w:rsidRPr="001F4970">
              <w:rPr>
                <w:rFonts w:ascii="Arial" w:eastAsia="Calibri" w:hAnsi="Arial" w:cs="Arial"/>
                <w:b/>
                <w:noProof/>
                <w:sz w:val="23"/>
                <w:szCs w:val="23"/>
                <w:lang w:val="es-ES_tradnl"/>
              </w:rPr>
              <w:t>Temas:</w:t>
            </w:r>
            <w:r w:rsidRPr="001F4970">
              <w:rPr>
                <w:rFonts w:ascii="Arial" w:eastAsia="Calibri" w:hAnsi="Arial" w:cs="Arial"/>
                <w:noProof/>
                <w:sz w:val="23"/>
                <w:szCs w:val="23"/>
                <w:lang w:val="es-ES_tradnl"/>
              </w:rPr>
              <w:t xml:space="preserve">        </w:t>
            </w:r>
          </w:p>
        </w:tc>
        <w:tc>
          <w:tcPr>
            <w:tcW w:w="6237" w:type="dxa"/>
            <w:hideMark/>
          </w:tcPr>
          <w:p w14:paraId="771D4E03" w14:textId="77777777" w:rsidR="00AD4370" w:rsidRPr="001F4970" w:rsidRDefault="00AD4370" w:rsidP="0087551D">
            <w:pPr>
              <w:spacing w:line="276" w:lineRule="auto"/>
              <w:ind w:right="703"/>
              <w:jc w:val="both"/>
              <w:rPr>
                <w:rFonts w:ascii="Arial" w:eastAsia="Calibri" w:hAnsi="Arial" w:cs="Arial"/>
                <w:bCs/>
                <w:sz w:val="23"/>
                <w:szCs w:val="23"/>
                <w:lang w:val="es-MX"/>
              </w:rPr>
            </w:pPr>
            <w:r w:rsidRPr="001F4970">
              <w:rPr>
                <w:rFonts w:ascii="Arial" w:eastAsia="Calibri" w:hAnsi="Arial" w:cs="Arial"/>
                <w:bCs/>
                <w:sz w:val="23"/>
                <w:szCs w:val="23"/>
                <w:lang w:val="es-MX"/>
              </w:rPr>
              <w:t>CONVENIOS Y/O CONTRATOS CON ORGANISMOS INTERNACIONALES – Artículo 20 – Ley 1150 de 2007– Régimen aplicable – Libertad de elección / FONDOS DE ORGANISMOS INTERNACIONALES – Definición – Alcance – Materia contractual / CONVENIOS Y/O CONTRATOS CON ORGANISMOS INTERNACIONALES – Financiación – Recursos de personas extranjeras de derecho público – Naturaleza jurídica</w:t>
            </w:r>
          </w:p>
          <w:p w14:paraId="207A3A71" w14:textId="77777777" w:rsidR="002E0C18" w:rsidRPr="001F4970" w:rsidRDefault="002E0C18" w:rsidP="0087551D">
            <w:pPr>
              <w:spacing w:line="276" w:lineRule="auto"/>
              <w:ind w:right="703"/>
              <w:jc w:val="both"/>
              <w:rPr>
                <w:rFonts w:ascii="Arial" w:eastAsia="Calibri" w:hAnsi="Arial" w:cs="Arial"/>
                <w:bCs/>
                <w:sz w:val="23"/>
                <w:szCs w:val="23"/>
                <w:lang w:val="es-MX"/>
              </w:rPr>
            </w:pPr>
          </w:p>
          <w:p w14:paraId="72595F40" w14:textId="17F155EE" w:rsidR="00364313" w:rsidRPr="001F4970" w:rsidRDefault="00364313" w:rsidP="0087551D">
            <w:pPr>
              <w:spacing w:line="276" w:lineRule="auto"/>
              <w:ind w:right="703"/>
              <w:jc w:val="both"/>
              <w:rPr>
                <w:rFonts w:ascii="Arial" w:eastAsia="Calibri" w:hAnsi="Arial" w:cs="Arial"/>
                <w:bCs/>
                <w:sz w:val="23"/>
                <w:szCs w:val="23"/>
                <w:lang w:val="es-MX"/>
              </w:rPr>
            </w:pPr>
          </w:p>
        </w:tc>
      </w:tr>
      <w:tr w:rsidR="00AD4370" w:rsidRPr="001F4970" w14:paraId="1AC1DABC" w14:textId="77777777" w:rsidTr="002600CB">
        <w:tc>
          <w:tcPr>
            <w:tcW w:w="2689" w:type="dxa"/>
          </w:tcPr>
          <w:p w14:paraId="25887CE8" w14:textId="77777777" w:rsidR="00AD4370" w:rsidRPr="001F4970" w:rsidRDefault="00AD4370" w:rsidP="00AD4370">
            <w:pPr>
              <w:spacing w:after="200" w:line="276" w:lineRule="auto"/>
              <w:contextualSpacing/>
              <w:jc w:val="both"/>
              <w:rPr>
                <w:rFonts w:ascii="Arial" w:eastAsia="Calibri" w:hAnsi="Arial" w:cs="Arial"/>
                <w:b/>
                <w:noProof/>
                <w:sz w:val="23"/>
                <w:szCs w:val="23"/>
                <w:lang w:val="es-ES_tradnl"/>
              </w:rPr>
            </w:pPr>
            <w:r w:rsidRPr="001F4970">
              <w:rPr>
                <w:rFonts w:ascii="Arial" w:eastAsia="Calibri" w:hAnsi="Arial" w:cs="Arial"/>
                <w:b/>
                <w:noProof/>
                <w:sz w:val="23"/>
                <w:szCs w:val="23"/>
                <w:lang w:val="es-ES_tradnl"/>
              </w:rPr>
              <w:t>Radicación:</w:t>
            </w:r>
            <w:r w:rsidRPr="001F4970">
              <w:rPr>
                <w:rFonts w:ascii="Arial" w:eastAsia="Calibri" w:hAnsi="Arial" w:cs="Arial"/>
                <w:noProof/>
                <w:sz w:val="23"/>
                <w:szCs w:val="23"/>
                <w:lang w:val="es-ES_tradnl"/>
              </w:rPr>
              <w:t xml:space="preserve">                              </w:t>
            </w:r>
          </w:p>
        </w:tc>
        <w:tc>
          <w:tcPr>
            <w:tcW w:w="6237" w:type="dxa"/>
          </w:tcPr>
          <w:p w14:paraId="002C9119" w14:textId="77777777" w:rsidR="00AD4370" w:rsidRPr="001F4970" w:rsidRDefault="00AD4370" w:rsidP="00AD4370">
            <w:pPr>
              <w:spacing w:after="200" w:line="276" w:lineRule="auto"/>
              <w:contextualSpacing/>
              <w:jc w:val="both"/>
              <w:rPr>
                <w:rFonts w:ascii="Arial" w:eastAsia="Calibri" w:hAnsi="Arial" w:cs="Arial"/>
                <w:sz w:val="23"/>
                <w:szCs w:val="23"/>
                <w:lang w:val="es-ES"/>
              </w:rPr>
            </w:pPr>
            <w:r w:rsidRPr="001F4970">
              <w:rPr>
                <w:rFonts w:ascii="Arial" w:eastAsia="Calibri" w:hAnsi="Arial" w:cs="Arial"/>
                <w:sz w:val="23"/>
                <w:szCs w:val="23"/>
                <w:lang w:val="es-ES"/>
              </w:rPr>
              <w:t>Respuesta a consulta P20230222001648</w:t>
            </w:r>
            <w:r w:rsidRPr="001F4970">
              <w:rPr>
                <w:rFonts w:ascii="Arial" w:eastAsia="Calibri" w:hAnsi="Arial" w:cs="Arial"/>
                <w:sz w:val="23"/>
                <w:szCs w:val="23"/>
                <w:lang w:val="es-ES"/>
              </w:rPr>
              <w:tab/>
            </w:r>
            <w:r w:rsidRPr="001F4970">
              <w:rPr>
                <w:rFonts w:ascii="Arial" w:hAnsi="Arial" w:cs="Arial"/>
                <w:sz w:val="23"/>
                <w:szCs w:val="23"/>
                <w:lang w:val="es-MX"/>
              </w:rPr>
              <w:tab/>
            </w:r>
          </w:p>
          <w:p w14:paraId="48C72421" w14:textId="77777777" w:rsidR="00AD4370" w:rsidRPr="001F4970" w:rsidRDefault="00AD4370" w:rsidP="00AD4370">
            <w:pPr>
              <w:spacing w:after="200" w:line="276" w:lineRule="auto"/>
              <w:contextualSpacing/>
              <w:jc w:val="both"/>
              <w:rPr>
                <w:rFonts w:ascii="Arial" w:eastAsia="Calibri" w:hAnsi="Arial" w:cs="Arial"/>
                <w:noProof/>
                <w:sz w:val="23"/>
                <w:szCs w:val="23"/>
                <w:lang w:val="es-ES_tradnl"/>
              </w:rPr>
            </w:pPr>
            <w:r w:rsidRPr="001F4970">
              <w:rPr>
                <w:rFonts w:ascii="Arial" w:eastAsia="Calibri" w:hAnsi="Arial" w:cs="Arial"/>
                <w:noProof/>
                <w:sz w:val="23"/>
                <w:szCs w:val="23"/>
                <w:lang w:val="es-ES_tradnl"/>
              </w:rPr>
              <w:t xml:space="preserve">                                    </w:t>
            </w:r>
          </w:p>
        </w:tc>
      </w:tr>
    </w:tbl>
    <w:p w14:paraId="19F130DF" w14:textId="77777777" w:rsidR="00AD4370" w:rsidRPr="001F4970" w:rsidRDefault="00AD4370" w:rsidP="00AD4370">
      <w:pPr>
        <w:spacing w:after="0" w:line="240" w:lineRule="auto"/>
        <w:jc w:val="both"/>
        <w:rPr>
          <w:rFonts w:ascii="Arial" w:eastAsia="Calibri" w:hAnsi="Arial" w:cs="Arial"/>
          <w:sz w:val="23"/>
          <w:szCs w:val="23"/>
          <w:lang w:val="es-MX"/>
        </w:rPr>
      </w:pPr>
    </w:p>
    <w:p w14:paraId="62D655DF" w14:textId="77777777" w:rsidR="00364313" w:rsidRPr="001F4970" w:rsidRDefault="00364313" w:rsidP="00AD4370">
      <w:pPr>
        <w:spacing w:after="0" w:line="240" w:lineRule="auto"/>
        <w:jc w:val="both"/>
        <w:rPr>
          <w:rFonts w:ascii="Arial" w:eastAsia="Calibri" w:hAnsi="Arial" w:cs="Arial"/>
          <w:sz w:val="23"/>
          <w:szCs w:val="23"/>
          <w:lang w:val="es-MX"/>
        </w:rPr>
      </w:pPr>
    </w:p>
    <w:p w14:paraId="54EC94EE" w14:textId="77777777" w:rsidR="00AD4370" w:rsidRPr="001F4970" w:rsidRDefault="00AD4370" w:rsidP="00AD4370">
      <w:pPr>
        <w:spacing w:after="0" w:line="276" w:lineRule="auto"/>
        <w:jc w:val="both"/>
        <w:rPr>
          <w:rFonts w:ascii="Arial" w:eastAsia="Calibri" w:hAnsi="Arial" w:cs="Arial"/>
          <w:sz w:val="23"/>
          <w:szCs w:val="23"/>
          <w:lang w:val="es-MX"/>
        </w:rPr>
      </w:pPr>
      <w:r w:rsidRPr="001F4970">
        <w:rPr>
          <w:rFonts w:ascii="Arial" w:eastAsia="Calibri" w:hAnsi="Arial" w:cs="Arial"/>
          <w:sz w:val="23"/>
          <w:szCs w:val="23"/>
          <w:lang w:val="es-MX"/>
        </w:rPr>
        <w:t xml:space="preserve">Estimado Señor Morales: </w:t>
      </w:r>
    </w:p>
    <w:p w14:paraId="131A57F7" w14:textId="77777777" w:rsidR="00AD4370" w:rsidRPr="001F4970" w:rsidRDefault="00AD4370" w:rsidP="00AD4370">
      <w:pPr>
        <w:spacing w:after="0" w:line="276" w:lineRule="auto"/>
        <w:jc w:val="both"/>
        <w:rPr>
          <w:rFonts w:ascii="Arial" w:eastAsia="Calibri" w:hAnsi="Arial" w:cs="Arial"/>
          <w:sz w:val="23"/>
          <w:szCs w:val="23"/>
          <w:lang w:val="es-MX"/>
        </w:rPr>
      </w:pPr>
    </w:p>
    <w:p w14:paraId="74AD489D" w14:textId="77777777" w:rsidR="00AD4370" w:rsidRPr="001F4970" w:rsidRDefault="00AD4370" w:rsidP="00AD4370">
      <w:pPr>
        <w:spacing w:after="0" w:line="276" w:lineRule="auto"/>
        <w:ind w:right="51"/>
        <w:jc w:val="both"/>
        <w:rPr>
          <w:rFonts w:ascii="Arial" w:eastAsia="Calibri" w:hAnsi="Arial" w:cs="Arial"/>
          <w:sz w:val="23"/>
          <w:szCs w:val="23"/>
          <w:lang w:val="es-MX"/>
        </w:rPr>
      </w:pPr>
      <w:r w:rsidRPr="001F4970">
        <w:rPr>
          <w:rFonts w:ascii="Arial" w:eastAsia="Calibri" w:hAnsi="Arial" w:cs="Arial"/>
          <w:sz w:val="23"/>
          <w:szCs w:val="23"/>
          <w:lang w:val="es-MX"/>
        </w:rPr>
        <w:t>En ejercicio de la competencia otorgada por el numeral 8 del artículo 11 y el numeral 5 del artículo 3 del Decreto Ley 4170 de 2011, la Agencia Nacional de Contratación Pública – Colombia Compra Eficiente responde su consulta del 22 de febrero de 2023, que fue remitida por el Ministerio de Relaciones Exteriores mediante oficio con radicado No. SOAJI-23-003666 del mismo mes y año.</w:t>
      </w:r>
    </w:p>
    <w:p w14:paraId="36C79D7B" w14:textId="77777777" w:rsidR="00AD4370" w:rsidRPr="001F4970" w:rsidRDefault="00AD4370" w:rsidP="00AD4370">
      <w:pPr>
        <w:spacing w:after="0" w:line="276" w:lineRule="auto"/>
        <w:ind w:right="51"/>
        <w:jc w:val="both"/>
        <w:rPr>
          <w:rFonts w:ascii="Arial" w:eastAsia="Calibri" w:hAnsi="Arial" w:cs="Arial"/>
          <w:sz w:val="23"/>
          <w:szCs w:val="23"/>
          <w:lang w:val="es-MX"/>
        </w:rPr>
      </w:pPr>
    </w:p>
    <w:p w14:paraId="22F147A2" w14:textId="77777777" w:rsidR="00AD4370" w:rsidRPr="001F4970" w:rsidRDefault="00AD4370" w:rsidP="00AD4370">
      <w:pPr>
        <w:numPr>
          <w:ilvl w:val="0"/>
          <w:numId w:val="4"/>
        </w:numPr>
        <w:tabs>
          <w:tab w:val="left" w:pos="284"/>
        </w:tabs>
        <w:spacing w:after="0" w:line="240" w:lineRule="auto"/>
        <w:ind w:left="426" w:hanging="501"/>
        <w:contextualSpacing/>
        <w:jc w:val="both"/>
        <w:rPr>
          <w:rFonts w:ascii="Arial" w:eastAsia="Calibri" w:hAnsi="Arial" w:cs="Arial"/>
          <w:b/>
          <w:sz w:val="23"/>
          <w:szCs w:val="23"/>
          <w:lang w:val="es-MX"/>
        </w:rPr>
      </w:pPr>
      <w:r w:rsidRPr="001F4970">
        <w:rPr>
          <w:rFonts w:ascii="Arial" w:eastAsia="Calibri" w:hAnsi="Arial" w:cs="Arial"/>
          <w:b/>
          <w:sz w:val="23"/>
          <w:szCs w:val="23"/>
          <w:lang w:val="es-MX"/>
        </w:rPr>
        <w:t xml:space="preserve">Problema planteado </w:t>
      </w:r>
    </w:p>
    <w:p w14:paraId="1D55E46D" w14:textId="77777777" w:rsidR="00AD4370" w:rsidRPr="001F4970" w:rsidRDefault="00AD4370" w:rsidP="00AD4370">
      <w:pPr>
        <w:tabs>
          <w:tab w:val="left" w:pos="284"/>
        </w:tabs>
        <w:spacing w:after="0" w:line="240" w:lineRule="auto"/>
        <w:ind w:left="426"/>
        <w:contextualSpacing/>
        <w:jc w:val="both"/>
        <w:rPr>
          <w:rFonts w:ascii="Arial" w:eastAsia="Calibri" w:hAnsi="Arial" w:cs="Arial"/>
          <w:b/>
          <w:sz w:val="23"/>
          <w:szCs w:val="23"/>
          <w:lang w:val="es-MX"/>
        </w:rPr>
      </w:pPr>
    </w:p>
    <w:p w14:paraId="0328E385" w14:textId="77777777" w:rsidR="00AD4370" w:rsidRPr="001F4970" w:rsidRDefault="00AD4370" w:rsidP="00AD4370">
      <w:pPr>
        <w:tabs>
          <w:tab w:val="left" w:pos="284"/>
        </w:tabs>
        <w:spacing w:after="0" w:line="276" w:lineRule="auto"/>
        <w:jc w:val="both"/>
        <w:rPr>
          <w:rFonts w:ascii="Arial" w:eastAsia="Calibri" w:hAnsi="Arial" w:cs="Arial"/>
          <w:bCs/>
          <w:sz w:val="23"/>
          <w:szCs w:val="23"/>
          <w:lang w:val="es-MX"/>
        </w:rPr>
      </w:pPr>
      <w:r w:rsidRPr="001F4970">
        <w:rPr>
          <w:rFonts w:ascii="Arial" w:eastAsia="Calibri" w:hAnsi="Arial" w:cs="Arial"/>
          <w:bCs/>
          <w:sz w:val="23"/>
          <w:szCs w:val="23"/>
          <w:lang w:val="es-MX"/>
        </w:rPr>
        <w:t>En relación con el Concepto No. 16863 de 2017 y la Guía Jurídica de Tratados del Ministerio de Relaciones Exteriores, usted formula solicitud de consulta en los siguientes términos:</w:t>
      </w:r>
    </w:p>
    <w:p w14:paraId="52AD2874" w14:textId="77777777" w:rsidR="00AD4370" w:rsidRPr="00AD4370" w:rsidRDefault="00AD4370" w:rsidP="00AD4370">
      <w:pPr>
        <w:tabs>
          <w:tab w:val="left" w:pos="284"/>
        </w:tabs>
        <w:spacing w:after="0" w:line="276" w:lineRule="auto"/>
        <w:jc w:val="both"/>
        <w:rPr>
          <w:rFonts w:ascii="Arial" w:eastAsia="Calibri" w:hAnsi="Arial" w:cs="Arial"/>
          <w:bCs/>
          <w:sz w:val="24"/>
          <w:lang w:val="es-MX"/>
        </w:rPr>
      </w:pPr>
    </w:p>
    <w:p w14:paraId="57F5BA64" w14:textId="1EEAA1DD" w:rsidR="00AD4370" w:rsidRPr="00AD4370" w:rsidRDefault="00AD4370" w:rsidP="00AD4370">
      <w:pPr>
        <w:tabs>
          <w:tab w:val="left" w:pos="284"/>
        </w:tabs>
        <w:spacing w:after="0" w:line="276" w:lineRule="auto"/>
        <w:ind w:left="709" w:right="709"/>
        <w:jc w:val="both"/>
        <w:rPr>
          <w:rFonts w:ascii="Arial" w:eastAsia="Calibri" w:hAnsi="Arial" w:cs="Arial"/>
          <w:bCs/>
          <w:sz w:val="21"/>
          <w:szCs w:val="21"/>
          <w:lang w:val="es-MX"/>
        </w:rPr>
      </w:pPr>
      <w:bookmarkStart w:id="1" w:name="_Hlk125450339"/>
      <w:r w:rsidRPr="00AD4370">
        <w:rPr>
          <w:rFonts w:ascii="Arial" w:eastAsia="Calibri" w:hAnsi="Arial" w:cs="Arial"/>
          <w:bCs/>
          <w:sz w:val="21"/>
          <w:szCs w:val="21"/>
          <w:lang w:val="es-MX"/>
        </w:rPr>
        <w:t xml:space="preserve">“[…] ¿ostentaría la naturaleza jurídica de convenio internacional aquél que sea i) suscrito entre entidades colombianas de derecho público y un organismo de derecho público extranjero internacional; y </w:t>
      </w:r>
      <w:proofErr w:type="spellStart"/>
      <w:r w:rsidRPr="00AD4370">
        <w:rPr>
          <w:rFonts w:ascii="Arial" w:eastAsia="Calibri" w:hAnsi="Arial" w:cs="Arial"/>
          <w:bCs/>
          <w:sz w:val="21"/>
          <w:szCs w:val="21"/>
          <w:lang w:val="es-MX"/>
        </w:rPr>
        <w:t>ii</w:t>
      </w:r>
      <w:proofErr w:type="spellEnd"/>
      <w:r w:rsidRPr="00AD4370">
        <w:rPr>
          <w:rFonts w:ascii="Arial" w:eastAsia="Calibri" w:hAnsi="Arial" w:cs="Arial"/>
          <w:bCs/>
          <w:sz w:val="21"/>
          <w:szCs w:val="21"/>
          <w:lang w:val="es-MX"/>
        </w:rPr>
        <w:t>) en el cual dicho organismo extranjero hace una donación del 100% de recursos para adelantar labores de cooperación y utilidad común dentro de Colombia?</w:t>
      </w:r>
      <w:r w:rsidR="009F6663">
        <w:rPr>
          <w:rFonts w:ascii="Arial" w:eastAsia="Calibri" w:hAnsi="Arial" w:cs="Arial"/>
          <w:bCs/>
          <w:sz w:val="21"/>
          <w:szCs w:val="21"/>
          <w:lang w:val="es-MX"/>
        </w:rPr>
        <w:t>”</w:t>
      </w:r>
      <w:r w:rsidR="002636A4">
        <w:rPr>
          <w:rFonts w:ascii="Arial" w:eastAsia="Calibri" w:hAnsi="Arial" w:cs="Arial"/>
          <w:bCs/>
          <w:sz w:val="21"/>
          <w:szCs w:val="21"/>
          <w:lang w:val="es-MX"/>
        </w:rPr>
        <w:t xml:space="preserve"> </w:t>
      </w:r>
      <w:r w:rsidRPr="00AD4370">
        <w:rPr>
          <w:rFonts w:ascii="Arial" w:eastAsia="Calibri" w:hAnsi="Arial" w:cs="Arial"/>
          <w:bCs/>
          <w:sz w:val="21"/>
          <w:szCs w:val="21"/>
          <w:lang w:val="es-MX"/>
        </w:rPr>
        <w:t>[sic]</w:t>
      </w:r>
    </w:p>
    <w:bookmarkEnd w:id="1"/>
    <w:p w14:paraId="08FC6D6A" w14:textId="77777777" w:rsidR="00AD4370" w:rsidRPr="00AD4370" w:rsidRDefault="00AD4370" w:rsidP="00AD4370">
      <w:pPr>
        <w:tabs>
          <w:tab w:val="left" w:pos="284"/>
        </w:tabs>
        <w:spacing w:after="0" w:line="276" w:lineRule="auto"/>
        <w:jc w:val="both"/>
        <w:rPr>
          <w:rFonts w:ascii="Arial" w:eastAsia="Calibri" w:hAnsi="Arial" w:cs="Arial"/>
          <w:bCs/>
          <w:sz w:val="24"/>
          <w:lang w:val="es-MX"/>
        </w:rPr>
      </w:pPr>
    </w:p>
    <w:p w14:paraId="56FE423D" w14:textId="77777777" w:rsidR="00AD4370" w:rsidRPr="001F4970" w:rsidRDefault="00AD4370" w:rsidP="00AD4370">
      <w:pPr>
        <w:spacing w:after="0" w:line="276" w:lineRule="auto"/>
        <w:jc w:val="both"/>
        <w:rPr>
          <w:rFonts w:ascii="Arial" w:eastAsia="Calibri" w:hAnsi="Arial" w:cs="Arial"/>
          <w:bCs/>
          <w:sz w:val="23"/>
          <w:szCs w:val="23"/>
          <w:lang w:val="es-MX"/>
        </w:rPr>
      </w:pPr>
      <w:r w:rsidRPr="001F4970">
        <w:rPr>
          <w:rFonts w:ascii="Arial" w:eastAsia="Calibri" w:hAnsi="Arial" w:cs="Arial"/>
          <w:b/>
          <w:sz w:val="23"/>
          <w:szCs w:val="23"/>
          <w:lang w:val="es-MX"/>
        </w:rPr>
        <w:t>2. Consideraciones</w:t>
      </w:r>
      <w:r w:rsidRPr="001F4970">
        <w:rPr>
          <w:rFonts w:ascii="Arial" w:eastAsia="Calibri" w:hAnsi="Arial" w:cs="Arial"/>
          <w:bCs/>
          <w:sz w:val="23"/>
          <w:szCs w:val="23"/>
          <w:lang w:val="es-MX"/>
        </w:rPr>
        <w:t xml:space="preserve"> </w:t>
      </w:r>
    </w:p>
    <w:p w14:paraId="734009FB" w14:textId="77777777" w:rsidR="00AD4370" w:rsidRPr="001F4970" w:rsidRDefault="00AD4370" w:rsidP="00AD4370">
      <w:pPr>
        <w:spacing w:after="0" w:line="276" w:lineRule="auto"/>
        <w:jc w:val="both"/>
        <w:rPr>
          <w:rFonts w:ascii="Arial" w:eastAsia="Calibri" w:hAnsi="Arial" w:cs="Arial"/>
          <w:bCs/>
          <w:sz w:val="23"/>
          <w:szCs w:val="23"/>
          <w:lang w:val="es-MX"/>
        </w:rPr>
      </w:pPr>
    </w:p>
    <w:p w14:paraId="7ACBCAA1" w14:textId="77777777" w:rsidR="00AD4370" w:rsidRPr="001F4970" w:rsidRDefault="00AD4370" w:rsidP="00AD4370">
      <w:pPr>
        <w:spacing w:after="0" w:line="276" w:lineRule="auto"/>
        <w:jc w:val="both"/>
        <w:rPr>
          <w:rFonts w:ascii="Arial" w:eastAsia="Calibri" w:hAnsi="Arial" w:cs="Arial"/>
          <w:bCs/>
          <w:sz w:val="23"/>
          <w:szCs w:val="23"/>
          <w:lang w:val="es-MX"/>
        </w:rPr>
      </w:pPr>
      <w:r w:rsidRPr="001F4970">
        <w:rPr>
          <w:rFonts w:ascii="Arial" w:eastAsia="Calibri" w:hAnsi="Arial" w:cs="Arial"/>
          <w:bCs/>
          <w:sz w:val="23"/>
          <w:szCs w:val="23"/>
          <w:lang w:val="es-MX"/>
        </w:rPr>
        <w:t xml:space="preserve">En ejercicio de las competencias establecidas en los artículos 3.5 y 11.8 del Decreto 4170 de 2011, la Agencia Nacional de Contratación Pública – Colombia Compra Eficiente resuelve consultas sobre los asuntos de su competencia, esto es, sobre temáticas de la contratación estatal y compras públicas relacionadas en los artículos citados. </w:t>
      </w:r>
      <w:r w:rsidRPr="001F4970">
        <w:rPr>
          <w:rFonts w:ascii="Arial" w:eastAsia="Calibri" w:hAnsi="Arial" w:cs="Arial"/>
          <w:sz w:val="23"/>
          <w:szCs w:val="23"/>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7298AC8" w14:textId="77777777" w:rsidR="00AD4370" w:rsidRPr="001F4970" w:rsidRDefault="00AD4370" w:rsidP="00AD4370">
      <w:pPr>
        <w:spacing w:before="120" w:after="0" w:line="276" w:lineRule="auto"/>
        <w:ind w:firstLine="709"/>
        <w:jc w:val="both"/>
        <w:rPr>
          <w:rFonts w:ascii="Arial" w:eastAsia="Calibri" w:hAnsi="Arial" w:cs="Arial"/>
          <w:sz w:val="23"/>
          <w:szCs w:val="23"/>
          <w:lang w:val="es-ES"/>
        </w:rPr>
      </w:pPr>
      <w:r w:rsidRPr="001F4970">
        <w:rPr>
          <w:rFonts w:ascii="Arial" w:eastAsia="Calibri" w:hAnsi="Arial" w:cs="Arial"/>
          <w:sz w:val="23"/>
          <w:szCs w:val="23"/>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p>
    <w:p w14:paraId="0FBE0415" w14:textId="77777777" w:rsidR="00AD4370" w:rsidRPr="001F4970" w:rsidRDefault="00AD4370" w:rsidP="0087551D">
      <w:pPr>
        <w:spacing w:before="120" w:after="120" w:line="276" w:lineRule="auto"/>
        <w:ind w:firstLine="709"/>
        <w:jc w:val="both"/>
        <w:rPr>
          <w:rFonts w:ascii="Arial" w:eastAsia="Calibri" w:hAnsi="Arial" w:cs="Arial"/>
          <w:sz w:val="23"/>
          <w:szCs w:val="23"/>
          <w:lang w:val="es-ES"/>
        </w:rPr>
      </w:pPr>
      <w:r w:rsidRPr="001F4970">
        <w:rPr>
          <w:rFonts w:ascii="Arial" w:eastAsia="Calibri" w:hAnsi="Arial" w:cs="Arial"/>
          <w:sz w:val="23"/>
          <w:szCs w:val="23"/>
          <w:lang w:val="es-ES"/>
        </w:rPr>
        <w:t>En este contexto, la Subdirección de Gestión Contractual dentro de los límites de sus atribuciones, resolverá la consulta conforme a las normas generales en materia de contratación estatal</w:t>
      </w:r>
      <w:r w:rsidRPr="001F4970">
        <w:rPr>
          <w:rFonts w:ascii="Arial" w:eastAsia="Calibri" w:hAnsi="Arial" w:cs="Arial"/>
          <w:bCs/>
          <w:sz w:val="23"/>
          <w:szCs w:val="23"/>
          <w:lang w:val="es-ES"/>
        </w:rPr>
        <w:t xml:space="preserve">. </w:t>
      </w:r>
      <w:r w:rsidRPr="001F4970">
        <w:rPr>
          <w:rFonts w:ascii="Arial" w:eastAsia="Calibri" w:hAnsi="Arial" w:cs="Arial"/>
          <w:bCs/>
          <w:sz w:val="23"/>
          <w:szCs w:val="23"/>
          <w:lang w:val="es-MX"/>
        </w:rPr>
        <w:t>Para estos efectos</w:t>
      </w:r>
      <w:bookmarkStart w:id="2" w:name="_Hlk122096831"/>
      <w:r w:rsidRPr="001F4970">
        <w:rPr>
          <w:rFonts w:ascii="Arial" w:eastAsia="Calibri" w:hAnsi="Arial" w:cs="Arial"/>
          <w:bCs/>
          <w:sz w:val="23"/>
          <w:szCs w:val="23"/>
          <w:lang w:val="es-MX"/>
        </w:rPr>
        <w:t xml:space="preserve">, analizará a continuación, la suscripción de contratos y/o convenios con organismos internacionales. </w:t>
      </w:r>
      <w:bookmarkEnd w:id="2"/>
    </w:p>
    <w:p w14:paraId="07AF62FD" w14:textId="77777777" w:rsidR="00AD4370" w:rsidRPr="001F4970" w:rsidRDefault="00AD4370" w:rsidP="0087551D">
      <w:pPr>
        <w:spacing w:after="120" w:line="276" w:lineRule="auto"/>
        <w:ind w:firstLine="709"/>
        <w:jc w:val="both"/>
        <w:rPr>
          <w:rFonts w:ascii="Arial" w:eastAsia="Calibri" w:hAnsi="Arial" w:cs="Arial"/>
          <w:sz w:val="23"/>
          <w:szCs w:val="23"/>
          <w:lang w:val="es-ES_tradnl"/>
        </w:rPr>
      </w:pPr>
      <w:r w:rsidRPr="001F4970">
        <w:rPr>
          <w:rFonts w:ascii="Arial" w:eastAsia="Calibri" w:hAnsi="Arial" w:cs="Arial"/>
          <w:sz w:val="23"/>
          <w:szCs w:val="23"/>
          <w:lang w:val="es-ES_tradnl"/>
        </w:rPr>
        <w:t>La Agencia Nacional de Contratación Pública – Colombia Compra Eficiente en los conceptos C-049 del 08 de marzo de 2021, C-296 del 22 de junio de 2021, C-781 del 19 de enero de 2021,</w:t>
      </w:r>
      <w:r w:rsidRPr="001F4970">
        <w:rPr>
          <w:sz w:val="23"/>
          <w:szCs w:val="23"/>
          <w:lang w:val="es-MX"/>
        </w:rPr>
        <w:t xml:space="preserve"> </w:t>
      </w:r>
      <w:r w:rsidRPr="001F4970">
        <w:rPr>
          <w:rFonts w:ascii="Arial" w:eastAsia="Calibri" w:hAnsi="Arial" w:cs="Arial"/>
          <w:sz w:val="23"/>
          <w:szCs w:val="23"/>
          <w:lang w:val="es-ES_tradnl"/>
        </w:rPr>
        <w:t>C-134 del 01 de abril de 2022, C-184 del 02 de mayo de 2022, C-367 del 07 de junio de 2022 y C-461 del 19 de julio de 2022, estudió los contratos y/o convenios suscritos con organismos internacionales. Algunas de las consideraciones de estos conceptos se reiteran a continuación y se complementan en lo pertinente.</w:t>
      </w:r>
    </w:p>
    <w:p w14:paraId="36D0A65C" w14:textId="77777777" w:rsidR="00AD4370" w:rsidRPr="001F4970" w:rsidRDefault="00AD4370" w:rsidP="0087551D">
      <w:pPr>
        <w:spacing w:after="0" w:line="276" w:lineRule="auto"/>
        <w:ind w:firstLine="708"/>
        <w:jc w:val="both"/>
        <w:rPr>
          <w:rFonts w:ascii="Arial" w:eastAsia="Calibri" w:hAnsi="Arial" w:cs="Arial"/>
          <w:sz w:val="23"/>
          <w:szCs w:val="23"/>
          <w:lang w:val="es-ES_tradnl" w:eastAsia="es-ES_tradnl"/>
        </w:rPr>
      </w:pPr>
      <w:r w:rsidRPr="001F4970">
        <w:rPr>
          <w:rFonts w:ascii="Arial" w:eastAsia="Calibri" w:hAnsi="Arial" w:cs="Arial"/>
          <w:sz w:val="23"/>
          <w:szCs w:val="23"/>
          <w:lang w:val="es-ES_tradnl" w:eastAsia="es-ES_tradnl"/>
        </w:rPr>
        <w:lastRenderedPageBreak/>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1F4970">
        <w:rPr>
          <w:rFonts w:ascii="Arial" w:hAnsi="Arial" w:cs="Arial"/>
          <w:color w:val="000000" w:themeColor="text1"/>
          <w:sz w:val="23"/>
          <w:szCs w:val="23"/>
          <w:vertAlign w:val="superscript"/>
          <w:lang w:val="es-ES_tradnl"/>
        </w:rPr>
        <w:footnoteReference w:id="2"/>
      </w:r>
      <w:r w:rsidRPr="001F4970">
        <w:rPr>
          <w:rFonts w:ascii="Arial" w:hAnsi="Arial" w:cs="Arial"/>
          <w:color w:val="000000" w:themeColor="text1"/>
          <w:sz w:val="23"/>
          <w:szCs w:val="23"/>
          <w:lang w:val="es-ES_tradnl"/>
        </w:rPr>
        <w:t>,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w:t>
      </w:r>
    </w:p>
    <w:p w14:paraId="7D8AE592" w14:textId="77777777" w:rsidR="00AD4370" w:rsidRPr="001F4970" w:rsidRDefault="00AD4370" w:rsidP="00AD4370">
      <w:pPr>
        <w:spacing w:before="120" w:after="0" w:line="276" w:lineRule="auto"/>
        <w:jc w:val="both"/>
        <w:rPr>
          <w:rFonts w:ascii="Arial" w:eastAsia="Calibri" w:hAnsi="Arial" w:cs="Arial"/>
          <w:color w:val="000000" w:themeColor="text1"/>
          <w:sz w:val="23"/>
          <w:szCs w:val="23"/>
          <w:lang w:val="es-ES_tradnl"/>
        </w:rPr>
      </w:pPr>
      <w:r w:rsidRPr="001F4970">
        <w:rPr>
          <w:rFonts w:ascii="Arial" w:eastAsia="Calibri" w:hAnsi="Arial" w:cs="Arial"/>
          <w:sz w:val="23"/>
          <w:szCs w:val="23"/>
          <w:lang w:val="es-ES_tradnl" w:eastAsia="es-ES_tradnl"/>
        </w:rPr>
        <w:tab/>
        <w:t xml:space="preserve">El artículo 13 de la Ley 80 de 1993, regula de forma general el régimen aplicable a los contratos que celebren las entidades referidas en el artículo 2 </w:t>
      </w:r>
      <w:r w:rsidRPr="001F4970">
        <w:rPr>
          <w:rFonts w:ascii="Arial" w:eastAsia="Calibri" w:hAnsi="Arial" w:cs="Arial"/>
          <w:i/>
          <w:iCs/>
          <w:sz w:val="23"/>
          <w:szCs w:val="23"/>
          <w:lang w:val="es-ES_tradnl" w:eastAsia="es-ES_tradnl"/>
        </w:rPr>
        <w:t>ibídem</w:t>
      </w:r>
      <w:r w:rsidRPr="001F4970">
        <w:rPr>
          <w:rFonts w:ascii="Arial" w:eastAsia="Calibri" w:hAnsi="Arial" w:cs="Arial"/>
          <w:color w:val="000000" w:themeColor="text1"/>
          <w:sz w:val="23"/>
          <w:szCs w:val="23"/>
          <w:vertAlign w:val="superscript"/>
          <w:lang w:val="es-ES_tradnl"/>
        </w:rPr>
        <w:footnoteReference w:id="3"/>
      </w:r>
      <w:r w:rsidRPr="001F4970">
        <w:rPr>
          <w:rFonts w:ascii="Arial" w:eastAsia="Calibri" w:hAnsi="Arial" w:cs="Arial"/>
          <w:color w:val="000000" w:themeColor="text1"/>
          <w:sz w:val="23"/>
          <w:szCs w:val="23"/>
          <w:lang w:val="es-ES_tradnl"/>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inciso segundo,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ejecutare o cumplirse en el extranjero, se sometan a la ley extranjera. </w:t>
      </w:r>
    </w:p>
    <w:p w14:paraId="5495FD30" w14:textId="77777777" w:rsidR="00AD4370" w:rsidRPr="001F4970" w:rsidRDefault="00AD4370" w:rsidP="00AD4370">
      <w:pPr>
        <w:spacing w:before="120" w:after="0" w:line="276" w:lineRule="auto"/>
        <w:jc w:val="both"/>
        <w:rPr>
          <w:rFonts w:ascii="Arial" w:eastAsia="Calibri" w:hAnsi="Arial" w:cs="Arial"/>
          <w:color w:val="000000" w:themeColor="text1"/>
          <w:sz w:val="23"/>
          <w:szCs w:val="23"/>
          <w:lang w:val="es-ES_tradnl"/>
        </w:rPr>
      </w:pPr>
      <w:r w:rsidRPr="001F4970">
        <w:rPr>
          <w:rFonts w:ascii="Arial" w:eastAsia="Calibri" w:hAnsi="Arial" w:cs="Arial"/>
          <w:color w:val="000000" w:themeColor="text1"/>
          <w:sz w:val="23"/>
          <w:szCs w:val="23"/>
          <w:lang w:val="es-ES_tradnl"/>
        </w:rPr>
        <w:tab/>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191EEAB0" w14:textId="77777777" w:rsidR="00AD4370" w:rsidRPr="00AD4370" w:rsidRDefault="00AD4370" w:rsidP="00CA5CB2">
      <w:pPr>
        <w:spacing w:after="0" w:line="276" w:lineRule="auto"/>
        <w:ind w:left="709" w:right="709"/>
        <w:jc w:val="both"/>
        <w:rPr>
          <w:rFonts w:ascii="Arial" w:eastAsia="Calibri" w:hAnsi="Arial" w:cs="Arial"/>
          <w:lang w:val="es-ES_tradnl" w:eastAsia="es-ES_tradnl"/>
        </w:rPr>
      </w:pPr>
    </w:p>
    <w:p w14:paraId="521E2A05" w14:textId="77777777" w:rsidR="00AD4370" w:rsidRPr="00AD4370" w:rsidRDefault="00AD4370" w:rsidP="00CA5CB2">
      <w:pPr>
        <w:spacing w:after="0" w:line="240" w:lineRule="auto"/>
        <w:ind w:left="709" w:right="709"/>
        <w:jc w:val="both"/>
        <w:rPr>
          <w:rFonts w:ascii="Arial" w:eastAsia="Calibri" w:hAnsi="Arial" w:cs="Arial"/>
          <w:sz w:val="21"/>
          <w:szCs w:val="21"/>
          <w:lang w:val="es-ES_tradnl" w:eastAsia="es-ES_tradnl"/>
        </w:rPr>
      </w:pPr>
      <w:r w:rsidRPr="00AD4370">
        <w:rPr>
          <w:rFonts w:ascii="Arial" w:eastAsia="Calibri" w:hAnsi="Arial" w:cs="Arial"/>
          <w:sz w:val="21"/>
          <w:szCs w:val="21"/>
          <w:lang w:val="es-ES_tradnl" w:eastAsia="es-ES_tradnl"/>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AD4370">
        <w:rPr>
          <w:rFonts w:ascii="Arial" w:eastAsia="Calibri" w:hAnsi="Arial" w:cs="Arial"/>
          <w:sz w:val="21"/>
          <w:szCs w:val="21"/>
          <w:lang w:val="es-ES_tradnl" w:eastAsia="es-ES_tradnl"/>
        </w:rPr>
        <w:t>ii</w:t>
      </w:r>
      <w:proofErr w:type="spellEnd"/>
      <w:r w:rsidRPr="00AD4370">
        <w:rPr>
          <w:rFonts w:ascii="Arial" w:eastAsia="Calibri" w:hAnsi="Arial" w:cs="Arial"/>
          <w:sz w:val="21"/>
          <w:szCs w:val="21"/>
          <w:lang w:val="es-ES_tradnl" w:eastAsia="es-ES_tradnl"/>
        </w:rPr>
        <w:t xml:space="preserve">) Contratos celebrados en territorio colombiano que deben ejecutarse o cumplirse en el extranjero, en tal caso podrá regirse en Colombia, la cual se regirá por el derecho nacional, </w:t>
      </w:r>
      <w:proofErr w:type="spellStart"/>
      <w:r w:rsidRPr="00AD4370">
        <w:rPr>
          <w:rFonts w:ascii="Arial" w:eastAsia="Calibri" w:hAnsi="Arial" w:cs="Arial"/>
          <w:sz w:val="21"/>
          <w:szCs w:val="21"/>
          <w:lang w:val="es-ES_tradnl" w:eastAsia="es-ES_tradnl"/>
        </w:rPr>
        <w:t>iii</w:t>
      </w:r>
      <w:proofErr w:type="spellEnd"/>
      <w:r w:rsidRPr="00AD4370">
        <w:rPr>
          <w:rFonts w:ascii="Arial" w:eastAsia="Calibri" w:hAnsi="Arial" w:cs="Arial"/>
          <w:sz w:val="21"/>
          <w:szCs w:val="21"/>
          <w:lang w:val="es-ES_tradnl" w:eastAsia="es-ES_tradnl"/>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AD4370">
        <w:rPr>
          <w:rFonts w:ascii="Arial" w:eastAsia="MS Mincho" w:hAnsi="Arial" w:cs="Arial"/>
          <w:color w:val="000000" w:themeColor="text1"/>
          <w:sz w:val="21"/>
          <w:szCs w:val="21"/>
          <w:vertAlign w:val="superscript"/>
          <w:lang w:val="es-ES_tradnl" w:eastAsia="es-ES"/>
        </w:rPr>
        <w:footnoteReference w:id="4"/>
      </w:r>
      <w:r w:rsidRPr="00AD4370">
        <w:rPr>
          <w:rFonts w:ascii="Arial" w:eastAsia="MS Mincho" w:hAnsi="Arial" w:cs="Arial"/>
          <w:color w:val="000000" w:themeColor="text1"/>
          <w:sz w:val="21"/>
          <w:szCs w:val="21"/>
          <w:shd w:val="clear" w:color="auto" w:fill="E1DFDD"/>
          <w:lang w:val="es-ES_tradnl" w:eastAsia="es-ES"/>
        </w:rPr>
        <w:t>”.</w:t>
      </w:r>
    </w:p>
    <w:p w14:paraId="6A3ED19D" w14:textId="77777777" w:rsidR="00AD4370" w:rsidRPr="00AD4370" w:rsidRDefault="00AD4370" w:rsidP="00AD4370">
      <w:pPr>
        <w:spacing w:after="0" w:line="276" w:lineRule="auto"/>
        <w:jc w:val="both"/>
        <w:rPr>
          <w:rFonts w:ascii="Arial" w:eastAsia="Calibri" w:hAnsi="Arial" w:cs="Arial"/>
          <w:lang w:val="es-ES_tradnl" w:eastAsia="es-ES_tradnl"/>
        </w:rPr>
      </w:pPr>
    </w:p>
    <w:p w14:paraId="06FC5F09" w14:textId="77777777" w:rsidR="00AD4370" w:rsidRPr="001F4970" w:rsidRDefault="00AD4370" w:rsidP="00AD4370">
      <w:pPr>
        <w:spacing w:after="0" w:line="276" w:lineRule="auto"/>
        <w:jc w:val="both"/>
        <w:rPr>
          <w:rFonts w:ascii="Arial" w:eastAsia="Calibri" w:hAnsi="Arial" w:cs="Arial"/>
          <w:color w:val="000000" w:themeColor="text1"/>
          <w:sz w:val="23"/>
          <w:szCs w:val="23"/>
          <w:lang w:val="es-ES_tradnl"/>
        </w:rPr>
      </w:pPr>
      <w:r w:rsidRPr="00AD4370">
        <w:rPr>
          <w:rFonts w:ascii="Arial" w:eastAsia="Calibri" w:hAnsi="Arial" w:cs="Arial"/>
          <w:sz w:val="24"/>
          <w:lang w:val="es-MX"/>
        </w:rPr>
        <w:tab/>
      </w:r>
      <w:r w:rsidRPr="001F4970">
        <w:rPr>
          <w:rFonts w:ascii="Arial" w:eastAsia="Calibri" w:hAnsi="Arial" w:cs="Arial"/>
          <w:sz w:val="23"/>
          <w:szCs w:val="23"/>
          <w:lang w:val="es-MX"/>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Pública, en adelanta EGCAP</w:t>
      </w:r>
      <w:r w:rsidRPr="001F4970">
        <w:rPr>
          <w:rFonts w:ascii="Arial" w:eastAsia="Calibri" w:hAnsi="Arial" w:cs="Arial"/>
          <w:color w:val="000000" w:themeColor="text1"/>
          <w:sz w:val="23"/>
          <w:szCs w:val="23"/>
          <w:vertAlign w:val="superscript"/>
          <w:lang w:val="es-ES_tradnl"/>
        </w:rPr>
        <w:footnoteReference w:id="5"/>
      </w:r>
      <w:r w:rsidRPr="001F4970">
        <w:rPr>
          <w:rFonts w:ascii="Arial" w:eastAsia="Calibri" w:hAnsi="Arial" w:cs="Arial"/>
          <w:color w:val="000000" w:themeColor="text1"/>
          <w:sz w:val="23"/>
          <w:szCs w:val="23"/>
          <w:lang w:val="es-ES_tradnl"/>
        </w:rPr>
        <w:t xml:space="preserve">. Sin embargo, el artículo 20 de la Ley 1150 de 2007 modificó el régimen contractual aplicable a los contratos o convenios celebrados con organismos internacionales, estableciendo, para algunos casos, la posible definición del régimen contractual dependiendo del porcentaje de participación que el organismo internacional en torno a la elección del régimen contractual aplicable. Así, el artículo 20 de la citada norma señala que “podrán” ser sometidos a los reglamentos de tales entidades, en lo que tiene que ver con el inciso primero de dicho artículo. </w:t>
      </w:r>
    </w:p>
    <w:p w14:paraId="1AD69E6F" w14:textId="77777777" w:rsidR="00AD4370" w:rsidRPr="001F4970" w:rsidRDefault="00AD4370" w:rsidP="00AD4370">
      <w:pPr>
        <w:spacing w:before="120" w:after="0" w:line="276" w:lineRule="auto"/>
        <w:jc w:val="both"/>
        <w:rPr>
          <w:sz w:val="23"/>
          <w:szCs w:val="23"/>
          <w:lang w:val="es-MX"/>
        </w:rPr>
      </w:pPr>
      <w:r w:rsidRPr="001F4970">
        <w:rPr>
          <w:rFonts w:ascii="Arial" w:eastAsia="Calibri" w:hAnsi="Arial" w:cs="Arial"/>
          <w:color w:val="000000" w:themeColor="text1"/>
          <w:sz w:val="23"/>
          <w:szCs w:val="23"/>
          <w:lang w:val="es-ES_tradnl"/>
        </w:rPr>
        <w:tab/>
        <w:t>Para comprender el alcance del régimen aplicable a los contratos o convenios que se suscriban con organismos internacionales, de acuerdo con la financiación de estos, resulta necesario analizar el artículo 20 de la Ley 1150 de 2007</w:t>
      </w:r>
      <w:r w:rsidRPr="001F4970">
        <w:rPr>
          <w:rFonts w:ascii="Arial" w:eastAsia="Calibri" w:hAnsi="Arial" w:cs="Arial"/>
          <w:color w:val="000000" w:themeColor="text1"/>
          <w:sz w:val="23"/>
          <w:szCs w:val="23"/>
          <w:vertAlign w:val="superscript"/>
          <w:lang w:val="es-ES_tradnl"/>
        </w:rPr>
        <w:footnoteReference w:id="6"/>
      </w:r>
      <w:r w:rsidRPr="001F4970">
        <w:rPr>
          <w:rFonts w:ascii="Arial" w:eastAsia="Calibri" w:hAnsi="Arial" w:cs="Arial"/>
          <w:color w:val="000000" w:themeColor="text1"/>
          <w:sz w:val="23"/>
          <w:szCs w:val="23"/>
          <w:lang w:val="es-ES_tradnl"/>
        </w:rPr>
        <w:t xml:space="preserve">. De conformidad con dicho artículo, en lo que tiene que ver con el </w:t>
      </w:r>
      <w:r w:rsidRPr="001F4970">
        <w:rPr>
          <w:rFonts w:ascii="Arial" w:eastAsia="Calibri" w:hAnsi="Arial" w:cs="Arial"/>
          <w:i/>
          <w:iCs/>
          <w:color w:val="000000" w:themeColor="text1"/>
          <w:sz w:val="23"/>
          <w:szCs w:val="23"/>
          <w:lang w:val="es-ES_tradnl"/>
        </w:rPr>
        <w:t>inciso primero,</w:t>
      </w:r>
      <w:r w:rsidRPr="001F4970">
        <w:rPr>
          <w:i/>
          <w:iCs/>
          <w:sz w:val="23"/>
          <w:szCs w:val="23"/>
          <w:lang w:val="es-MX"/>
        </w:rPr>
        <w:t xml:space="preserve"> </w:t>
      </w:r>
      <w:r w:rsidRPr="001F4970">
        <w:rPr>
          <w:rFonts w:ascii="Arial" w:hAnsi="Arial" w:cs="Arial"/>
          <w:sz w:val="23"/>
          <w:szCs w:val="23"/>
          <w:lang w:val="es-MX"/>
        </w:rPr>
        <w:t>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 al EGCAP. En línea con lo anterior, el artículo 2.2.1.2.4.4.1 del Decreto 1082 de 2015 reglamentó el artículo 20 de la Ley 1150 de 2007, en el que se dispuso lo siguiente:</w:t>
      </w:r>
    </w:p>
    <w:p w14:paraId="3688CAB6" w14:textId="77777777" w:rsidR="00AD4370" w:rsidRPr="001F4970" w:rsidRDefault="00AD4370" w:rsidP="00AD4370">
      <w:pPr>
        <w:spacing w:after="0" w:line="276" w:lineRule="auto"/>
        <w:jc w:val="both"/>
        <w:rPr>
          <w:rFonts w:ascii="Arial" w:eastAsia="Calibri" w:hAnsi="Arial" w:cs="Arial"/>
          <w:color w:val="000000" w:themeColor="text1"/>
          <w:sz w:val="23"/>
          <w:szCs w:val="23"/>
          <w:lang w:val="es-ES_tradnl"/>
        </w:rPr>
      </w:pPr>
    </w:p>
    <w:p w14:paraId="38D57F69" w14:textId="77777777" w:rsidR="00AD4370" w:rsidRPr="00AD4370" w:rsidRDefault="00AD4370" w:rsidP="00AD4370">
      <w:pPr>
        <w:spacing w:after="0" w:line="240" w:lineRule="auto"/>
        <w:ind w:left="709" w:right="709"/>
        <w:jc w:val="both"/>
        <w:rPr>
          <w:rFonts w:ascii="Arial" w:eastAsia="Calibri" w:hAnsi="Arial" w:cs="Arial"/>
          <w:color w:val="000000" w:themeColor="text1"/>
          <w:sz w:val="21"/>
          <w:szCs w:val="21"/>
          <w:lang w:val="es-ES_tradnl"/>
        </w:rPr>
      </w:pPr>
      <w:r w:rsidRPr="00AD4370">
        <w:rPr>
          <w:rFonts w:ascii="Arial" w:eastAsia="Calibri" w:hAnsi="Arial" w:cs="Arial"/>
          <w:color w:val="000000" w:themeColor="text1"/>
          <w:sz w:val="21"/>
          <w:szCs w:val="21"/>
          <w:lang w:val="es-ES_tradnl"/>
        </w:rPr>
        <w:t>“</w:t>
      </w:r>
      <w:r w:rsidRPr="00AD4370">
        <w:rPr>
          <w:rFonts w:ascii="Arial" w:eastAsia="Calibri" w:hAnsi="Arial" w:cs="Arial"/>
          <w:b/>
          <w:bCs/>
          <w:color w:val="000000" w:themeColor="text1"/>
          <w:sz w:val="21"/>
          <w:szCs w:val="21"/>
          <w:lang w:val="es-ES_tradnl"/>
        </w:rPr>
        <w:t xml:space="preserve">Artículo 2.2.1.2.4.4.1. </w:t>
      </w:r>
      <w:r w:rsidRPr="00AD4370">
        <w:rPr>
          <w:rFonts w:ascii="Arial" w:eastAsia="Calibri" w:hAnsi="Arial" w:cs="Arial"/>
          <w:b/>
          <w:bCs/>
          <w:i/>
          <w:iCs/>
          <w:color w:val="000000" w:themeColor="text1"/>
          <w:sz w:val="21"/>
          <w:szCs w:val="21"/>
          <w:lang w:val="es-ES_tradnl"/>
        </w:rPr>
        <w:t xml:space="preserve">Régimen aplicable a los contratos o convenios de cooperación Internacional. </w:t>
      </w:r>
      <w:r w:rsidRPr="00AD4370">
        <w:rPr>
          <w:rFonts w:ascii="Arial" w:eastAsia="Calibri" w:hAnsi="Arial" w:cs="Arial"/>
          <w:color w:val="000000" w:themeColor="text1"/>
          <w:sz w:val="21"/>
          <w:szCs w:val="21"/>
          <w:lang w:val="es-ES_tradnl"/>
        </w:rPr>
        <w:t xml:space="preserve">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w:t>
      </w:r>
      <w:r w:rsidRPr="00AD4370">
        <w:rPr>
          <w:rFonts w:ascii="Arial" w:eastAsia="Calibri" w:hAnsi="Arial" w:cs="Arial"/>
          <w:color w:val="000000" w:themeColor="text1"/>
          <w:sz w:val="21"/>
          <w:szCs w:val="21"/>
          <w:lang w:val="es-ES_tradnl"/>
        </w:rPr>
        <w:lastRenderedPageBreak/>
        <w:t>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7185AA12" w14:textId="77777777" w:rsidR="00AD4370" w:rsidRPr="00AD4370" w:rsidRDefault="00AD4370" w:rsidP="00AD4370">
      <w:pPr>
        <w:spacing w:before="120" w:after="0" w:line="240" w:lineRule="auto"/>
        <w:ind w:left="709" w:right="709"/>
        <w:jc w:val="both"/>
        <w:rPr>
          <w:rFonts w:ascii="Arial" w:eastAsia="Calibri" w:hAnsi="Arial" w:cs="Arial"/>
          <w:color w:val="000000" w:themeColor="text1"/>
          <w:sz w:val="21"/>
          <w:szCs w:val="21"/>
          <w:lang w:val="es-ES_tradnl"/>
        </w:rPr>
      </w:pPr>
      <w:r w:rsidRPr="00AD4370">
        <w:rPr>
          <w:rFonts w:ascii="Arial" w:eastAsia="Calibri" w:hAnsi="Arial" w:cs="Arial"/>
          <w:color w:val="000000" w:themeColor="text1"/>
          <w:sz w:val="21"/>
          <w:szCs w:val="21"/>
          <w:lang w:val="es-ES_tradnl"/>
        </w:rPr>
        <w:t xml:space="preserve">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 </w:t>
      </w:r>
    </w:p>
    <w:p w14:paraId="2FDA66F5" w14:textId="77777777" w:rsidR="00AD4370" w:rsidRPr="00AD4370" w:rsidRDefault="00AD4370" w:rsidP="00AD4370">
      <w:pPr>
        <w:spacing w:before="120" w:after="0" w:line="240" w:lineRule="auto"/>
        <w:ind w:left="709" w:right="709"/>
        <w:jc w:val="both"/>
        <w:rPr>
          <w:rFonts w:ascii="Arial" w:eastAsia="Calibri" w:hAnsi="Arial" w:cs="Arial"/>
          <w:color w:val="000000" w:themeColor="text1"/>
          <w:sz w:val="21"/>
          <w:szCs w:val="21"/>
          <w:lang w:val="es-ES_tradnl"/>
        </w:rPr>
      </w:pPr>
      <w:r w:rsidRPr="00AD4370">
        <w:rPr>
          <w:rFonts w:ascii="Arial" w:eastAsia="Calibri" w:hAnsi="Arial" w:cs="Arial"/>
          <w:color w:val="000000" w:themeColor="text1"/>
          <w:sz w:val="21"/>
          <w:szCs w:val="21"/>
          <w:lang w:val="es-ES_tradnl"/>
        </w:rPr>
        <w:t xml:space="preserve">Cuando la variación de la participación de los aportes de las partes es consecuencia de las fluctuaciones de la tasa de camio de la moneda pactada en el convenio o contrato de cooperación internacional, este seguirá sometido a las reglas establecidas en el momento de su suscripción. </w:t>
      </w:r>
    </w:p>
    <w:p w14:paraId="68AC8690" w14:textId="77777777" w:rsidR="00AD4370" w:rsidRPr="00AD4370" w:rsidRDefault="00AD4370" w:rsidP="00AD4370">
      <w:pPr>
        <w:spacing w:before="120" w:after="0" w:line="240" w:lineRule="auto"/>
        <w:ind w:left="709" w:right="709"/>
        <w:jc w:val="both"/>
        <w:rPr>
          <w:rFonts w:ascii="Arial" w:eastAsia="Calibri" w:hAnsi="Arial" w:cs="Arial"/>
          <w:color w:val="000000" w:themeColor="text1"/>
          <w:lang w:val="es-ES_tradnl"/>
        </w:rPr>
      </w:pPr>
      <w:r w:rsidRPr="00AD4370">
        <w:rPr>
          <w:rFonts w:ascii="Arial" w:eastAsia="Calibri" w:hAnsi="Arial" w:cs="Arial"/>
          <w:color w:val="000000" w:themeColor="text1"/>
          <w:sz w:val="21"/>
          <w:szCs w:val="21"/>
          <w:lang w:val="es-ES_tradnl"/>
        </w:rPr>
        <w:t>Los recursos generados en desarrollo de los contratos o convenios financiados con fondos de los organismos de cooperación, asistencia o ayudas</w:t>
      </w:r>
      <w:r w:rsidRPr="00AD4370">
        <w:rPr>
          <w:rFonts w:ascii="Arial" w:eastAsia="Calibri" w:hAnsi="Arial" w:cs="Arial"/>
          <w:color w:val="000000" w:themeColor="text1"/>
          <w:lang w:val="es-ES_tradnl"/>
        </w:rPr>
        <w:t xml:space="preserve"> internacionales no deben ser tenidos en cuenta para determinar los porcentajes de los aportes de las partes.</w:t>
      </w:r>
    </w:p>
    <w:p w14:paraId="3DB3400B" w14:textId="77777777" w:rsidR="00AD4370" w:rsidRPr="00AD4370" w:rsidRDefault="00AD4370" w:rsidP="00AD4370">
      <w:pPr>
        <w:spacing w:before="120" w:after="0" w:line="240" w:lineRule="auto"/>
        <w:ind w:left="709" w:right="709"/>
        <w:jc w:val="both"/>
        <w:rPr>
          <w:rFonts w:ascii="Arial" w:eastAsia="Calibri" w:hAnsi="Arial" w:cs="Arial"/>
          <w:color w:val="000000" w:themeColor="text1"/>
          <w:lang w:val="es-ES_tradnl"/>
        </w:rPr>
      </w:pPr>
      <w:r w:rsidRPr="00AD4370">
        <w:rPr>
          <w:rFonts w:ascii="Arial" w:eastAsia="Calibri" w:hAnsi="Arial" w:cs="Arial"/>
          <w:i/>
          <w:iCs/>
          <w:color w:val="000000" w:themeColor="text1"/>
          <w:u w:val="single"/>
          <w:lang w:val="es-ES_tradnl"/>
        </w:rPr>
        <w:t>Los contratos o convenios financiados con fondos de los organismos multilaterales de crédito, entes gubernamentales extranjeros o personas extranjeras de derecho público</w:t>
      </w:r>
      <w:r w:rsidRPr="00AD4370">
        <w:rPr>
          <w:rFonts w:ascii="Arial" w:eastAsia="Calibri" w:hAnsi="Arial" w:cs="Arial"/>
          <w:color w:val="000000" w:themeColor="text1"/>
          <w:lang w:val="es-ES_tradnl"/>
        </w:rPr>
        <w:t xml:space="preserve">, así como aquellos a los que se refiere el inciso 2 del artículo 20 de la Ley 1150 de 2007, </w:t>
      </w:r>
      <w:r w:rsidRPr="00AD4370">
        <w:rPr>
          <w:rFonts w:ascii="Arial" w:eastAsia="Calibri" w:hAnsi="Arial" w:cs="Arial"/>
          <w:i/>
          <w:iCs/>
          <w:color w:val="000000" w:themeColor="text1"/>
          <w:u w:val="single"/>
          <w:lang w:val="es-ES_tradnl"/>
        </w:rPr>
        <w:t>se ejecutarán de conformidad con lo establecido en los tratados internacionales marco y complementarios, y en los convenios celebrados, o sus reglamentos</w:t>
      </w:r>
      <w:r w:rsidRPr="00AD4370">
        <w:rPr>
          <w:rFonts w:ascii="Arial" w:eastAsia="Calibri" w:hAnsi="Arial" w:cs="Arial"/>
          <w:color w:val="000000" w:themeColor="text1"/>
          <w:lang w:val="es-ES_tradnl"/>
        </w:rPr>
        <w:t>, según sea el caso, incluidos los recursos de aporte de fuente nacional o sus equivalentes vinculados a tales operaciones en dichos documentos, sin que a ellos le sea aplicable el porcentaje señalado en el inciso primero del artículo 20 de la Ley 1150 de 2007.</w:t>
      </w:r>
    </w:p>
    <w:p w14:paraId="20ACB7E5" w14:textId="77777777" w:rsidR="00AD4370" w:rsidRPr="00AD4370" w:rsidRDefault="00AD4370" w:rsidP="00AD4370">
      <w:pPr>
        <w:spacing w:before="120" w:after="0" w:line="240" w:lineRule="auto"/>
        <w:ind w:left="709" w:right="709"/>
        <w:jc w:val="both"/>
        <w:rPr>
          <w:rFonts w:ascii="Arial" w:eastAsia="Calibri" w:hAnsi="Arial" w:cs="Arial"/>
          <w:color w:val="000000" w:themeColor="text1"/>
          <w:lang w:val="es-ES_tradnl"/>
        </w:rPr>
      </w:pPr>
      <w:r w:rsidRPr="00AD4370">
        <w:rPr>
          <w:rFonts w:ascii="Arial" w:eastAsia="Calibri" w:hAnsi="Arial" w:cs="Arial"/>
          <w:i/>
          <w:iCs/>
          <w:color w:val="000000" w:themeColor="text1"/>
          <w:u w:val="single"/>
          <w:lang w:val="es-ES_tradnl"/>
        </w:rPr>
        <w:t>Los contratos con personas extranjeras de derecho público se deben celebrar y ejecutar según se acuerde entre las partes</w:t>
      </w:r>
      <w:r w:rsidRPr="00AD4370">
        <w:rPr>
          <w:rFonts w:ascii="Arial" w:eastAsia="Calibri" w:hAnsi="Arial" w:cs="Arial"/>
          <w:color w:val="000000" w:themeColor="text1"/>
          <w:lang w:val="es-ES_tradnl"/>
        </w:rPr>
        <w:t>”. [Énfasis fuera de texto]</w:t>
      </w:r>
    </w:p>
    <w:p w14:paraId="1D179420" w14:textId="77777777" w:rsidR="00AD4370" w:rsidRPr="00AD4370" w:rsidRDefault="00AD4370" w:rsidP="00AD4370">
      <w:pPr>
        <w:spacing w:after="0" w:line="276" w:lineRule="auto"/>
        <w:jc w:val="both"/>
        <w:rPr>
          <w:rFonts w:ascii="Arial" w:eastAsia="Calibri" w:hAnsi="Arial" w:cs="Arial"/>
          <w:color w:val="000000" w:themeColor="text1"/>
          <w:lang w:val="es-ES_tradnl"/>
        </w:rPr>
      </w:pPr>
    </w:p>
    <w:p w14:paraId="2C9A517D" w14:textId="77777777" w:rsidR="00AD4370" w:rsidRPr="001F4970" w:rsidRDefault="00AD4370" w:rsidP="00AD4370">
      <w:pPr>
        <w:spacing w:after="0" w:line="276" w:lineRule="auto"/>
        <w:jc w:val="both"/>
        <w:rPr>
          <w:rFonts w:ascii="Arial" w:eastAsia="Calibri" w:hAnsi="Arial" w:cs="Arial"/>
          <w:color w:val="000000" w:themeColor="text1"/>
          <w:sz w:val="23"/>
          <w:szCs w:val="23"/>
          <w:lang w:val="es-ES_tradnl"/>
        </w:rPr>
      </w:pPr>
      <w:r w:rsidRPr="00AD4370">
        <w:rPr>
          <w:rFonts w:ascii="Arial" w:eastAsia="Calibri" w:hAnsi="Arial" w:cs="Arial"/>
          <w:color w:val="000000" w:themeColor="text1"/>
          <w:lang w:val="es-ES_tradnl"/>
        </w:rPr>
        <w:tab/>
      </w:r>
      <w:r w:rsidRPr="001F4970">
        <w:rPr>
          <w:rFonts w:ascii="Arial" w:eastAsia="Calibri" w:hAnsi="Arial" w:cs="Arial"/>
          <w:color w:val="000000" w:themeColor="text1"/>
          <w:sz w:val="23"/>
          <w:szCs w:val="23"/>
          <w:lang w:val="es-ES_tradnl"/>
        </w:rPr>
        <w:t xml:space="preserve">Se observa que la norma transcrita, en armonía con el inciso primero del artículo 20 de la Ley 1150 de 2007, estableció una posible exclusión de la aplicación de la Ley 80 de 1993 en relación con contratos financiados con recursos de organismos de cooperación, asistencia o ayudas internacionales, cuando se financien totalmente o en más del 50% con fondos del organismo correspondiente. El criterio que permite establecer la procedencia de la aplicación de las reglas contractuales de los organismos internacionales es el porcentaje de financiación de la fuente de recursos de los organismos internacionales. Sin embargo, aunque esta redacción parece clara, al momento de aplicar la regla precedente surge un interrogante en relación con el alcance del término “fondo” que se emplea como criterio para habilitar la posible aplicación de las normas de los organismos referidos, pues el artículo 20 </w:t>
      </w:r>
      <w:r w:rsidRPr="001F4970">
        <w:rPr>
          <w:rFonts w:ascii="Arial" w:eastAsia="Calibri" w:hAnsi="Arial" w:cs="Arial"/>
          <w:color w:val="000000" w:themeColor="text1"/>
          <w:sz w:val="23"/>
          <w:szCs w:val="23"/>
          <w:lang w:val="es-ES_tradnl"/>
        </w:rPr>
        <w:lastRenderedPageBreak/>
        <w:t>de la Ley 1150 de 2015 ni el artículo 2.2.1.2.4.4.1 del Decreto 1082 de 2015, definen de forma clara qué entender por fondos y qué tipo de bienes lo conforman.</w:t>
      </w:r>
    </w:p>
    <w:p w14:paraId="3734F54A" w14:textId="77777777" w:rsidR="00AD4370" w:rsidRPr="001F4970" w:rsidRDefault="00AD4370" w:rsidP="00AD4370">
      <w:pPr>
        <w:spacing w:before="120" w:after="0" w:line="276" w:lineRule="auto"/>
        <w:jc w:val="both"/>
        <w:rPr>
          <w:rFonts w:ascii="Arial" w:eastAsia="Calibri" w:hAnsi="Arial" w:cs="Arial"/>
          <w:sz w:val="23"/>
          <w:szCs w:val="23"/>
          <w:lang w:val="es-ES_tradnl"/>
        </w:rPr>
      </w:pPr>
      <w:r w:rsidRPr="001F4970">
        <w:rPr>
          <w:rFonts w:ascii="Arial" w:eastAsia="Calibri" w:hAnsi="Arial" w:cs="Arial"/>
          <w:sz w:val="23"/>
          <w:szCs w:val="23"/>
          <w:lang w:val="es-ES_tradnl"/>
        </w:rPr>
        <w:tab/>
        <w:t>Teniendo en cuenta lo anterior, partiendo de la aplicación del artículo 27 del Código Civil</w:t>
      </w:r>
      <w:r w:rsidRPr="001F4970">
        <w:rPr>
          <w:rFonts w:ascii="Arial" w:eastAsia="Calibri" w:hAnsi="Arial" w:cs="Arial"/>
          <w:sz w:val="23"/>
          <w:szCs w:val="23"/>
          <w:vertAlign w:val="superscript"/>
          <w:lang w:val="es-ES"/>
        </w:rPr>
        <w:footnoteReference w:id="7"/>
      </w:r>
      <w:r w:rsidRPr="001F4970">
        <w:rPr>
          <w:rFonts w:ascii="Arial" w:eastAsia="Calibri" w:hAnsi="Arial" w:cs="Arial"/>
          <w:sz w:val="23"/>
          <w:szCs w:val="23"/>
          <w:lang w:val="es-ES_tradnl"/>
        </w:rPr>
        <w:t xml:space="preserve">,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para los fines de la consulta, vale la pena resaltar que la definición se refiere a un </w:t>
      </w:r>
      <w:r w:rsidRPr="001F4970">
        <w:rPr>
          <w:rFonts w:ascii="Arial" w:eastAsia="Calibri" w:hAnsi="Arial" w:cs="Arial"/>
          <w:i/>
          <w:iCs/>
          <w:sz w:val="23"/>
          <w:szCs w:val="23"/>
          <w:lang w:val="es-ES_tradnl"/>
        </w:rPr>
        <w:t xml:space="preserve">“conjunto de bienes” </w:t>
      </w:r>
      <w:r w:rsidRPr="001F4970">
        <w:rPr>
          <w:rFonts w:ascii="Arial" w:eastAsia="Calibri" w:hAnsi="Arial" w:cs="Arial"/>
          <w:sz w:val="23"/>
          <w:szCs w:val="23"/>
          <w:lang w:val="es-ES_tradnl"/>
        </w:rPr>
        <w:t xml:space="preserve">o </w:t>
      </w:r>
      <w:r w:rsidRPr="001F4970">
        <w:rPr>
          <w:rFonts w:ascii="Arial" w:eastAsia="Calibri" w:hAnsi="Arial" w:cs="Arial"/>
          <w:i/>
          <w:iCs/>
          <w:sz w:val="23"/>
          <w:szCs w:val="23"/>
          <w:lang w:val="es-ES_tradnl"/>
        </w:rPr>
        <w:t>“conjunto de recursos”,</w:t>
      </w:r>
      <w:r w:rsidRPr="001F4970">
        <w:rPr>
          <w:rFonts w:ascii="Arial" w:eastAsia="Calibri" w:hAnsi="Arial" w:cs="Arial"/>
          <w:sz w:val="23"/>
          <w:szCs w:val="23"/>
          <w:lang w:val="es-ES_tradnl"/>
        </w:rPr>
        <w:t xml:space="preserve"> lo que permite inferir que los fondos se componen por una universalidad o pluralidad de bienes, y en relación con la composición del conjunto de bienes, la definición es genérica pues no establece ninguna particularidad en relación con la naturaleza de </w:t>
      </w:r>
      <w:proofErr w:type="gramStart"/>
      <w:r w:rsidRPr="001F4970">
        <w:rPr>
          <w:rFonts w:ascii="Arial" w:eastAsia="Calibri" w:hAnsi="Arial" w:cs="Arial"/>
          <w:sz w:val="23"/>
          <w:szCs w:val="23"/>
          <w:lang w:val="es-ES_tradnl"/>
        </w:rPr>
        <w:t>los mismos</w:t>
      </w:r>
      <w:proofErr w:type="gramEnd"/>
      <w:r w:rsidRPr="001F4970">
        <w:rPr>
          <w:rFonts w:ascii="Arial" w:eastAsia="Calibri" w:hAnsi="Arial" w:cs="Arial"/>
          <w:sz w:val="23"/>
          <w:szCs w:val="23"/>
          <w:lang w:val="es-ES_tradnl"/>
        </w:rPr>
        <w:t>. De manera que, para efectos del artículo 20 de Ley 1150 de 2007, esta Agencia considera que los fondos de organismos internacionales son el conjunto de bienes o recursos de titularidad de estos.</w:t>
      </w:r>
    </w:p>
    <w:p w14:paraId="05B2D94D" w14:textId="77777777" w:rsidR="00AD4370" w:rsidRPr="001F4970" w:rsidRDefault="00AD4370" w:rsidP="00AD4370">
      <w:pPr>
        <w:spacing w:before="120" w:after="120" w:line="276" w:lineRule="auto"/>
        <w:jc w:val="both"/>
        <w:rPr>
          <w:rFonts w:ascii="Arial" w:eastAsia="Calibri" w:hAnsi="Arial" w:cs="Arial"/>
          <w:sz w:val="23"/>
          <w:szCs w:val="23"/>
          <w:lang w:val="es-ES_tradnl" w:eastAsia="es-ES_tradnl"/>
        </w:rPr>
      </w:pPr>
      <w:r w:rsidRPr="001F4970">
        <w:rPr>
          <w:rFonts w:ascii="Arial" w:eastAsia="Calibri" w:hAnsi="Arial" w:cs="Arial"/>
          <w:sz w:val="23"/>
          <w:szCs w:val="23"/>
          <w:lang w:val="es-ES_tradnl" w:eastAsia="es-ES_tradnl"/>
        </w:rPr>
        <w:tab/>
        <w:t xml:space="preserve">Ahora bien, respecto de la reglamentación que efectuó el artículo 2.2.1.2.4.4.1 del Decreto 1082 de 2015 al artículo 20 de la Ley 1150 de 2007, resulta pertinente aclarar que este no limitó la naturaleza de “internacional” a los convenios y/o contratos que se financien con recursos de los entes gubernamentales extranjeros o con los de personas extranjeras de derecho público, pero sí señaló su </w:t>
      </w:r>
      <w:r w:rsidRPr="001F4970">
        <w:rPr>
          <w:rFonts w:ascii="Arial" w:eastAsia="Calibri" w:hAnsi="Arial" w:cs="Arial"/>
          <w:sz w:val="23"/>
          <w:szCs w:val="23"/>
          <w:lang w:val="es-ES" w:eastAsia="es-MX"/>
        </w:rPr>
        <w:t xml:space="preserve">respectivo </w:t>
      </w:r>
      <w:r w:rsidRPr="001F4970">
        <w:rPr>
          <w:rFonts w:ascii="Arial" w:eastAsia="Calibri" w:hAnsi="Arial" w:cs="Arial"/>
          <w:sz w:val="23"/>
          <w:szCs w:val="23"/>
          <w:lang w:val="es-ES_tradnl" w:eastAsia="es-ES_tradnl"/>
        </w:rPr>
        <w:t>régimen contractual aplicable.</w:t>
      </w:r>
      <w:r w:rsidRPr="001F4970">
        <w:rPr>
          <w:rFonts w:ascii="Arial" w:eastAsia="Calibri" w:hAnsi="Arial" w:cs="Arial"/>
          <w:sz w:val="23"/>
          <w:szCs w:val="23"/>
          <w:lang w:val="es-ES" w:eastAsia="es-MX"/>
        </w:rPr>
        <w:t xml:space="preserve"> Estableciendo así, para el caso de los primeros, que su ejecución se adelantará con base en lo dispuesto en los tratados internacionales marco y complementarios, y en los convenios celebrados o sus reglamentos. Y, respecto de los segundos, que su celebración y ejecución se efectuará según se acuerde entre las partes.</w:t>
      </w:r>
    </w:p>
    <w:p w14:paraId="3947020A" w14:textId="77777777" w:rsidR="00AD4370" w:rsidRPr="001F4970" w:rsidRDefault="00AD4370" w:rsidP="00AD4370">
      <w:pPr>
        <w:spacing w:before="120" w:after="200" w:line="276" w:lineRule="auto"/>
        <w:ind w:firstLine="709"/>
        <w:jc w:val="both"/>
        <w:rPr>
          <w:rFonts w:ascii="Arial" w:eastAsia="Times New Roman" w:hAnsi="Arial" w:cs="Arial"/>
          <w:color w:val="4472C4" w:themeColor="accent1"/>
          <w:sz w:val="23"/>
          <w:szCs w:val="23"/>
          <w:lang w:eastAsia="es-ES_tradnl"/>
        </w:rPr>
      </w:pPr>
      <w:r w:rsidRPr="001F4970">
        <w:rPr>
          <w:rFonts w:ascii="Arial" w:eastAsia="Times New Roman" w:hAnsi="Arial" w:cs="Arial"/>
          <w:sz w:val="23"/>
          <w:szCs w:val="23"/>
          <w:shd w:val="clear" w:color="auto" w:fill="FFFFFF"/>
          <w:lang w:val="es-ES" w:eastAsia="es-ES_tradnl"/>
        </w:rPr>
        <w:t>En virtud de lo expuesto, se concluye</w:t>
      </w:r>
      <w:r w:rsidRPr="001F4970">
        <w:rPr>
          <w:rFonts w:ascii="Arial" w:eastAsia="Calibri" w:hAnsi="Arial" w:cs="Arial"/>
          <w:sz w:val="23"/>
          <w:szCs w:val="23"/>
          <w:lang w:val="es-ES"/>
        </w:rPr>
        <w:t xml:space="preserve"> que los contratos o convenios que son financiados en su totalidad o en sumas iguales o superiores al cincuenta por ciento (50%) con fondos de los organismos de cooperación, asistencia o ayudas internacionales, pueden someterse a los reglamentos de tales entidades y en consecuencia sustraerse de aplicación del EGCAP. No obstante, es importante señalar que la posibilidad de inaplicar las normas nacionales de contratación pública frente a los contratos financiados con recursos provenientes de entes gubernamentales extranjeros o de personas extranjeras de derecho público, es de naturaleza excepcional y, por tanto, de aplicación restrictiva. </w:t>
      </w:r>
    </w:p>
    <w:p w14:paraId="73D15A1C" w14:textId="77777777" w:rsidR="00AD4370" w:rsidRPr="001F4970" w:rsidRDefault="00AD4370" w:rsidP="00AD4370">
      <w:pPr>
        <w:spacing w:after="0" w:line="276" w:lineRule="auto"/>
        <w:jc w:val="both"/>
        <w:rPr>
          <w:rFonts w:ascii="Arial" w:eastAsia="Calibri" w:hAnsi="Arial" w:cs="Arial"/>
          <w:b/>
          <w:sz w:val="23"/>
          <w:szCs w:val="23"/>
          <w:lang w:val="es-MX" w:eastAsia="es-CO"/>
        </w:rPr>
      </w:pPr>
      <w:bookmarkStart w:id="5" w:name="_Hlk113872595"/>
      <w:r w:rsidRPr="001F4970">
        <w:rPr>
          <w:rFonts w:ascii="Arial" w:eastAsia="Calibri" w:hAnsi="Arial" w:cs="Arial"/>
          <w:b/>
          <w:sz w:val="23"/>
          <w:szCs w:val="23"/>
          <w:lang w:val="es-MX" w:eastAsia="es-CO"/>
        </w:rPr>
        <w:t>3. Respuesta</w:t>
      </w:r>
    </w:p>
    <w:p w14:paraId="417AD397" w14:textId="77777777" w:rsidR="00AD4370" w:rsidRPr="00AD4370" w:rsidRDefault="00AD4370" w:rsidP="00AD4370">
      <w:pPr>
        <w:spacing w:after="0" w:line="276" w:lineRule="auto"/>
        <w:ind w:firstLine="709"/>
        <w:jc w:val="both"/>
        <w:rPr>
          <w:rFonts w:ascii="Arial" w:eastAsia="Calibri" w:hAnsi="Arial" w:cs="Arial"/>
          <w:bCs/>
          <w:sz w:val="24"/>
          <w:lang w:val="es-MX"/>
        </w:rPr>
      </w:pPr>
    </w:p>
    <w:p w14:paraId="20142598" w14:textId="77777777" w:rsidR="00AD4370" w:rsidRPr="00AD4370" w:rsidRDefault="00AD4370" w:rsidP="00AD4370">
      <w:pPr>
        <w:tabs>
          <w:tab w:val="left" w:pos="284"/>
        </w:tabs>
        <w:spacing w:after="0" w:line="276" w:lineRule="auto"/>
        <w:ind w:left="709" w:right="709"/>
        <w:jc w:val="both"/>
        <w:rPr>
          <w:rFonts w:ascii="Arial" w:eastAsia="Calibri" w:hAnsi="Arial" w:cs="Arial"/>
          <w:bCs/>
          <w:sz w:val="21"/>
          <w:szCs w:val="21"/>
          <w:lang w:val="es-MX"/>
        </w:rPr>
      </w:pPr>
      <w:r w:rsidRPr="00AD4370">
        <w:rPr>
          <w:rFonts w:ascii="Arial" w:eastAsia="Calibri" w:hAnsi="Arial" w:cs="Arial"/>
          <w:bCs/>
          <w:sz w:val="21"/>
          <w:szCs w:val="21"/>
          <w:lang w:val="es-MX"/>
        </w:rPr>
        <w:t xml:space="preserve">“[.:.] ¿ostentaría la naturaleza jurídica de convenio internacional aquél que sea i) suscrito entre entidades colombianas de derecho público y un organismo de derecho público extranjero internacional; y </w:t>
      </w:r>
      <w:proofErr w:type="spellStart"/>
      <w:r w:rsidRPr="00AD4370">
        <w:rPr>
          <w:rFonts w:ascii="Arial" w:eastAsia="Calibri" w:hAnsi="Arial" w:cs="Arial"/>
          <w:bCs/>
          <w:sz w:val="21"/>
          <w:szCs w:val="21"/>
          <w:lang w:val="es-MX"/>
        </w:rPr>
        <w:t>ii</w:t>
      </w:r>
      <w:proofErr w:type="spellEnd"/>
      <w:r w:rsidRPr="00AD4370">
        <w:rPr>
          <w:rFonts w:ascii="Arial" w:eastAsia="Calibri" w:hAnsi="Arial" w:cs="Arial"/>
          <w:bCs/>
          <w:sz w:val="21"/>
          <w:szCs w:val="21"/>
          <w:lang w:val="es-MX"/>
        </w:rPr>
        <w:t>) en el cual dicho organismo extranjero hace una donación del 100% de recursos para adelantar labores de cooperación y utilidad común dentro de Colombia? [sic]”</w:t>
      </w:r>
    </w:p>
    <w:p w14:paraId="3FF2F49C" w14:textId="77777777" w:rsidR="00AD4370" w:rsidRPr="00AD4370" w:rsidRDefault="00AD4370" w:rsidP="00AD4370">
      <w:pPr>
        <w:spacing w:after="0" w:line="276" w:lineRule="auto"/>
        <w:jc w:val="both"/>
        <w:rPr>
          <w:rFonts w:ascii="Arial" w:eastAsia="Calibri" w:hAnsi="Arial" w:cs="Arial"/>
          <w:lang w:val="es-ES" w:eastAsia="es-MX"/>
        </w:rPr>
      </w:pPr>
    </w:p>
    <w:p w14:paraId="669EEDF2" w14:textId="77777777" w:rsidR="00AD4370" w:rsidRPr="001F4970" w:rsidRDefault="00AD4370" w:rsidP="00AD4370">
      <w:pPr>
        <w:spacing w:after="0" w:line="276" w:lineRule="auto"/>
        <w:jc w:val="both"/>
        <w:rPr>
          <w:rFonts w:ascii="Arial" w:eastAsia="Calibri" w:hAnsi="Arial" w:cs="Arial"/>
          <w:sz w:val="23"/>
          <w:szCs w:val="23"/>
          <w:lang w:val="es-ES" w:eastAsia="es-MX"/>
        </w:rPr>
      </w:pPr>
      <w:r w:rsidRPr="001F4970">
        <w:rPr>
          <w:rFonts w:ascii="Arial" w:eastAsia="Calibri" w:hAnsi="Arial" w:cs="Arial"/>
          <w:sz w:val="23"/>
          <w:szCs w:val="23"/>
          <w:lang w:val="es-ES" w:eastAsia="es-MX"/>
        </w:rPr>
        <w:t>De conformidad con lo señalado en este concepto, se resalta que los organismos internacionales son aquellas organizaciones, grupos o asociaciones que se entienden más allá de las fronteras de un Estado y cuentan con órganos gubernamentales permanentes distintos e independientes de los Estados miembros de la organización que garantizan su vigencia y operatividad, con el propósito de cumplir objetivos comunes entre los Estados miembros. Conforme a su naturaleza, los organismos internacionales están facultados para suscribir contratos o convenios con los Estados, lo que supone un incidente frente a la aplicabilidad de los regímenes de los Estados contratantes como de los organismos en su celebración.</w:t>
      </w:r>
    </w:p>
    <w:p w14:paraId="7A1B3E9E" w14:textId="46FD43FB" w:rsidR="00AD4370" w:rsidRPr="001F4970" w:rsidRDefault="00AD4370" w:rsidP="00AD4370">
      <w:pPr>
        <w:spacing w:before="120" w:after="0" w:line="276" w:lineRule="auto"/>
        <w:jc w:val="both"/>
        <w:rPr>
          <w:rFonts w:ascii="Arial" w:eastAsia="Calibri" w:hAnsi="Arial" w:cs="Arial"/>
          <w:color w:val="4472C4" w:themeColor="accent1"/>
          <w:sz w:val="23"/>
          <w:szCs w:val="23"/>
          <w:lang w:val="es-ES" w:eastAsia="es-MX"/>
        </w:rPr>
      </w:pPr>
      <w:r w:rsidRPr="001F4970">
        <w:rPr>
          <w:rFonts w:ascii="Arial" w:eastAsia="Calibri" w:hAnsi="Arial" w:cs="Arial"/>
          <w:sz w:val="23"/>
          <w:szCs w:val="23"/>
          <w:lang w:val="es-ES" w:eastAsia="es-MX"/>
        </w:rPr>
        <w:tab/>
        <w:t xml:space="preserve">En ese orden, el artículo 20 de la Ley 1150 de 2007 en su inciso primero, enfatizó que únicamente procederá la aplicación de los reglamentos de estas entidades y, por lo tanto, es facultativo dejar de aplicar el EGCAP cuando los contratos o convenios sean financiados en su totalidad o en sumas iguales o superiores al 50% con fondos de organismos de cooperación, asistencia o ayudas internacionales. Cuando la entidad contratante determine o establezca que los aportes del organismo internacional son inferiores al porcentaje señalado, el contrato o convenio debe someterse al EGCAP. Situación, que como se indicó en el </w:t>
      </w:r>
      <w:proofErr w:type="gramStart"/>
      <w:r w:rsidRPr="001F4970">
        <w:rPr>
          <w:rFonts w:ascii="Arial" w:eastAsia="Calibri" w:hAnsi="Arial" w:cs="Arial"/>
          <w:sz w:val="23"/>
          <w:szCs w:val="23"/>
          <w:lang w:val="es-ES" w:eastAsia="es-MX"/>
        </w:rPr>
        <w:t>considerando ,</w:t>
      </w:r>
      <w:proofErr w:type="gramEnd"/>
      <w:r w:rsidRPr="001F4970">
        <w:rPr>
          <w:rFonts w:ascii="Arial" w:eastAsia="Calibri" w:hAnsi="Arial" w:cs="Arial"/>
          <w:sz w:val="23"/>
          <w:szCs w:val="23"/>
          <w:lang w:val="es-ES" w:eastAsia="es-MX"/>
        </w:rPr>
        <w:t xml:space="preserve"> fue reglamentada por el artículo 2.2.1.2.4.4.1 del Decreto 1082 de 2015.</w:t>
      </w:r>
    </w:p>
    <w:p w14:paraId="023E2E36" w14:textId="77777777" w:rsidR="00AD4370" w:rsidRPr="001F4970" w:rsidRDefault="00AD4370" w:rsidP="00AD4370">
      <w:pPr>
        <w:spacing w:before="120" w:after="0" w:line="276" w:lineRule="auto"/>
        <w:ind w:firstLine="708"/>
        <w:jc w:val="both"/>
        <w:rPr>
          <w:rFonts w:ascii="Arial" w:eastAsia="Calibri" w:hAnsi="Arial" w:cs="Arial"/>
          <w:sz w:val="23"/>
          <w:szCs w:val="23"/>
          <w:lang w:val="es-ES" w:eastAsia="es-MX"/>
        </w:rPr>
      </w:pPr>
      <w:r w:rsidRPr="001F4970">
        <w:rPr>
          <w:rFonts w:ascii="Arial" w:eastAsia="Calibri" w:hAnsi="Arial" w:cs="Arial"/>
          <w:sz w:val="23"/>
          <w:szCs w:val="23"/>
          <w:lang w:val="es-ES" w:eastAsia="es-MX"/>
        </w:rPr>
        <w:t>Finalmente, teniendo en cuenta lo dispuesto en los incisos cinco y seis del artículo 2.2.2.1.2.4.4.1 del Decreto 1082 de 2015, se aclara que este no limitó la naturaleza de “internacional” a los convenios y/o contratos que se financien con recursos de los entes gubernamentales extranjeros o con los de personas extranjeras de derecho público, pero sí señaló su respectivo régimen contractual aplicable. Estableciendo así, para el caso de los primeros, que su ejecución se adelantará con base en lo dispuesto en los tratados internacionales marco y complementarios, y en los convenios celebrados o sus reglamentos. Y, respecto de los segundos, que su celebración y ejecución se efectuará según se acuerde entre las partes.</w:t>
      </w:r>
    </w:p>
    <w:p w14:paraId="267F7601" w14:textId="77777777" w:rsidR="00AD4370" w:rsidRPr="001F4970" w:rsidRDefault="00AD4370" w:rsidP="00AD4370">
      <w:pPr>
        <w:spacing w:after="0" w:line="276" w:lineRule="auto"/>
        <w:jc w:val="both"/>
        <w:rPr>
          <w:rFonts w:ascii="Arial" w:eastAsia="Calibri" w:hAnsi="Arial" w:cs="Arial"/>
          <w:sz w:val="23"/>
          <w:szCs w:val="23"/>
          <w:lang w:val="es-ES" w:eastAsia="es-MX"/>
        </w:rPr>
      </w:pPr>
    </w:p>
    <w:bookmarkEnd w:id="5"/>
    <w:p w14:paraId="02DEDA8A" w14:textId="77777777" w:rsidR="00AD4370" w:rsidRPr="001F4970" w:rsidRDefault="00AD4370" w:rsidP="00AD4370">
      <w:pPr>
        <w:widowControl w:val="0"/>
        <w:autoSpaceDE w:val="0"/>
        <w:autoSpaceDN w:val="0"/>
        <w:spacing w:after="0" w:line="276" w:lineRule="auto"/>
        <w:contextualSpacing/>
        <w:jc w:val="both"/>
        <w:rPr>
          <w:rFonts w:ascii="Arial" w:eastAsia="Calibri" w:hAnsi="Arial" w:cs="Arial"/>
          <w:sz w:val="23"/>
          <w:szCs w:val="23"/>
          <w:lang w:val="es-MX"/>
        </w:rPr>
      </w:pPr>
      <w:r w:rsidRPr="001F4970">
        <w:rPr>
          <w:rFonts w:ascii="Arial" w:hAnsi="Arial" w:cs="Arial"/>
          <w:color w:val="000000"/>
          <w:sz w:val="23"/>
          <w:szCs w:val="23"/>
          <w:shd w:val="clear" w:color="auto" w:fill="FFFFFF"/>
          <w:lang w:val="es-ES"/>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r w:rsidRPr="001F4970">
        <w:rPr>
          <w:rFonts w:ascii="Arial" w:hAnsi="Arial" w:cs="Arial"/>
          <w:color w:val="000000"/>
          <w:sz w:val="23"/>
          <w:szCs w:val="23"/>
          <w:shd w:val="clear" w:color="auto" w:fill="FFFFFF"/>
          <w:lang w:val="es-MX"/>
        </w:rPr>
        <w:lastRenderedPageBreak/>
        <w:t>2.2.1.1.1.3.1. del Decreto 1082 de 2015. </w:t>
      </w:r>
    </w:p>
    <w:p w14:paraId="3A727FE7" w14:textId="77777777" w:rsidR="00AD4370" w:rsidRPr="001F4970" w:rsidRDefault="00AD4370" w:rsidP="00AD4370">
      <w:pPr>
        <w:spacing w:after="0" w:line="240" w:lineRule="auto"/>
        <w:jc w:val="both"/>
        <w:rPr>
          <w:rFonts w:ascii="Arial" w:eastAsia="Calibri" w:hAnsi="Arial" w:cs="Arial"/>
          <w:sz w:val="23"/>
          <w:szCs w:val="23"/>
          <w:lang w:val="es-ES" w:eastAsia="es-MX"/>
        </w:rPr>
      </w:pPr>
    </w:p>
    <w:p w14:paraId="55A19B5C" w14:textId="77777777" w:rsidR="00AD4370" w:rsidRPr="001F4970" w:rsidRDefault="00AD4370" w:rsidP="00AD4370">
      <w:pPr>
        <w:spacing w:after="0" w:line="240" w:lineRule="auto"/>
        <w:jc w:val="both"/>
        <w:rPr>
          <w:rFonts w:ascii="Arial" w:eastAsia="Times New Roman" w:hAnsi="Arial" w:cs="Arial"/>
          <w:sz w:val="23"/>
          <w:szCs w:val="23"/>
          <w:lang w:val="es-ES" w:eastAsia="es-CO"/>
        </w:rPr>
      </w:pPr>
      <w:r w:rsidRPr="001F4970">
        <w:rPr>
          <w:rFonts w:ascii="Arial" w:eastAsia="Times New Roman" w:hAnsi="Arial" w:cs="Arial"/>
          <w:sz w:val="23"/>
          <w:szCs w:val="23"/>
          <w:lang w:val="es-ES" w:eastAsia="es-CO"/>
        </w:rPr>
        <w:t>Atentamente,</w:t>
      </w:r>
    </w:p>
    <w:p w14:paraId="175C109F" w14:textId="4E4F6A70" w:rsidR="00AD4370" w:rsidRPr="00AD4370" w:rsidRDefault="008D27D1" w:rsidP="00AD4370">
      <w:pPr>
        <w:spacing w:after="0" w:line="240" w:lineRule="auto"/>
        <w:jc w:val="center"/>
        <w:rPr>
          <w:rFonts w:ascii="Arial" w:eastAsia="Times New Roman" w:hAnsi="Arial" w:cs="Arial"/>
          <w:sz w:val="24"/>
          <w:lang w:val="es-ES" w:eastAsia="es-CO"/>
        </w:rPr>
      </w:pPr>
      <w:r>
        <w:rPr>
          <w:rFonts w:ascii="Calibri" w:hAnsi="Calibri" w:cs="Calibri"/>
          <w:noProof/>
          <w:shd w:val="clear" w:color="auto" w:fill="FFFFFF"/>
          <w:lang w:val="es-MX"/>
        </w:rPr>
        <w:drawing>
          <wp:inline distT="0" distB="0" distL="0" distR="0" wp14:anchorId="2BD46953" wp14:editId="39B776A5">
            <wp:extent cx="3152775" cy="1207135"/>
            <wp:effectExtent l="0" t="0" r="9525" b="0"/>
            <wp:docPr id="15909894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9443" name="Imagen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rPr>
        <w:br/>
      </w:r>
      <w:r w:rsidR="00AD4370" w:rsidRPr="00AD4370">
        <w:rPr>
          <w:rFonts w:ascii="Calibri" w:hAnsi="Calibri" w:cs="Calibri"/>
          <w:sz w:val="24"/>
          <w:shd w:val="clear" w:color="auto" w:fill="FFFFFF"/>
          <w:lang w:val="es-MX"/>
        </w:rPr>
        <w:br/>
      </w:r>
    </w:p>
    <w:p w14:paraId="41F64F72" w14:textId="77777777" w:rsidR="00AD4370" w:rsidRPr="00AD4370" w:rsidRDefault="00AD4370" w:rsidP="00AD4370">
      <w:pPr>
        <w:spacing w:after="0" w:line="276" w:lineRule="auto"/>
        <w:jc w:val="both"/>
        <w:rPr>
          <w:rFonts w:ascii="Times New Roman" w:eastAsia="Times New Roman" w:hAnsi="Times New Roman" w:cs="Times New Roman"/>
          <w:sz w:val="24"/>
          <w:lang w:val="es-MX" w:eastAsia="es-MX"/>
        </w:rPr>
      </w:pPr>
    </w:p>
    <w:tbl>
      <w:tblPr>
        <w:tblW w:w="49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4155"/>
      </w:tblGrid>
      <w:tr w:rsidR="00AD4370" w:rsidRPr="00AD4370" w14:paraId="24539420" w14:textId="77777777" w:rsidTr="009F6663">
        <w:trPr>
          <w:trHeight w:val="227"/>
        </w:trPr>
        <w:tc>
          <w:tcPr>
            <w:tcW w:w="762" w:type="dxa"/>
            <w:tcBorders>
              <w:top w:val="nil"/>
              <w:left w:val="nil"/>
              <w:bottom w:val="nil"/>
              <w:right w:val="nil"/>
            </w:tcBorders>
            <w:shd w:val="clear" w:color="auto" w:fill="auto"/>
            <w:vAlign w:val="center"/>
            <w:hideMark/>
          </w:tcPr>
          <w:p w14:paraId="21529E49"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ES" w:eastAsia="es-CO"/>
              </w:rPr>
              <w:t>Elaboró:</w:t>
            </w:r>
            <w:r w:rsidRPr="00AD4370">
              <w:rPr>
                <w:rFonts w:ascii="Arial" w:eastAsia="Times New Roman" w:hAnsi="Arial" w:cs="Arial"/>
                <w:sz w:val="16"/>
                <w:szCs w:val="16"/>
                <w:lang w:val="es-MX" w:eastAsia="es-CO"/>
              </w:rPr>
              <w:t> </w:t>
            </w:r>
          </w:p>
        </w:tc>
        <w:tc>
          <w:tcPr>
            <w:tcW w:w="4155" w:type="dxa"/>
            <w:tcBorders>
              <w:top w:val="nil"/>
              <w:left w:val="nil"/>
              <w:bottom w:val="dotted" w:sz="6" w:space="0" w:color="7F7F7F" w:themeColor="text1" w:themeTint="80"/>
              <w:right w:val="nil"/>
            </w:tcBorders>
            <w:shd w:val="clear" w:color="auto" w:fill="auto"/>
            <w:vAlign w:val="center"/>
            <w:hideMark/>
          </w:tcPr>
          <w:p w14:paraId="798F1023"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MX" w:eastAsia="es-CO"/>
              </w:rPr>
              <w:t>Nasly Yeana Mosquera Rivas </w:t>
            </w:r>
          </w:p>
          <w:p w14:paraId="006B02B5"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ES" w:eastAsia="es-CO"/>
              </w:rPr>
              <w:t>Analista T2 – 06 de la Subdirección de Gestión Contractual</w:t>
            </w:r>
            <w:r w:rsidRPr="00AD4370">
              <w:rPr>
                <w:rFonts w:ascii="Arial" w:eastAsia="Times New Roman" w:hAnsi="Arial" w:cs="Arial"/>
                <w:sz w:val="16"/>
                <w:szCs w:val="16"/>
                <w:lang w:val="es-MX" w:eastAsia="es-CO"/>
              </w:rPr>
              <w:t> </w:t>
            </w:r>
          </w:p>
        </w:tc>
      </w:tr>
      <w:tr w:rsidR="00AD4370" w:rsidRPr="00AD4370" w14:paraId="3444ACF7" w14:textId="77777777" w:rsidTr="009F6663">
        <w:trPr>
          <w:trHeight w:val="227"/>
        </w:trPr>
        <w:tc>
          <w:tcPr>
            <w:tcW w:w="762" w:type="dxa"/>
            <w:tcBorders>
              <w:top w:val="nil"/>
              <w:left w:val="nil"/>
              <w:bottom w:val="nil"/>
              <w:right w:val="nil"/>
            </w:tcBorders>
            <w:shd w:val="clear" w:color="auto" w:fill="auto"/>
            <w:vAlign w:val="center"/>
            <w:hideMark/>
          </w:tcPr>
          <w:p w14:paraId="35665636"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ES" w:eastAsia="es-CO"/>
              </w:rPr>
              <w:t>Revisó:</w:t>
            </w:r>
            <w:r w:rsidRPr="00AD4370">
              <w:rPr>
                <w:rFonts w:ascii="Arial" w:eastAsia="Times New Roman" w:hAnsi="Arial" w:cs="Arial"/>
                <w:sz w:val="16"/>
                <w:szCs w:val="16"/>
                <w:lang w:val="es-MX" w:eastAsia="es-CO"/>
              </w:rPr>
              <w:t> </w:t>
            </w:r>
          </w:p>
        </w:tc>
        <w:tc>
          <w:tcPr>
            <w:tcW w:w="415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20618A4"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ES" w:eastAsia="es-CO"/>
              </w:rPr>
              <w:t>Alejandro Sarmiento Cantillo</w:t>
            </w:r>
          </w:p>
          <w:p w14:paraId="2EEC2498" w14:textId="77777777" w:rsidR="00AD4370" w:rsidRPr="00AD4370" w:rsidRDefault="00AD4370" w:rsidP="00AD4370">
            <w:pPr>
              <w:spacing w:after="0" w:line="240" w:lineRule="auto"/>
              <w:jc w:val="both"/>
              <w:textAlignment w:val="baseline"/>
              <w:rPr>
                <w:rFonts w:ascii="Arial" w:eastAsia="Times New Roman" w:hAnsi="Arial" w:cs="Arial"/>
                <w:sz w:val="16"/>
                <w:szCs w:val="16"/>
                <w:lang w:val="es-ES" w:eastAsia="es-CO"/>
              </w:rPr>
            </w:pPr>
            <w:r w:rsidRPr="00AD4370">
              <w:rPr>
                <w:rFonts w:ascii="Arial" w:eastAsia="Times New Roman" w:hAnsi="Arial" w:cs="Arial"/>
                <w:sz w:val="16"/>
                <w:szCs w:val="16"/>
                <w:lang w:val="es-ES" w:eastAsia="es-CO"/>
              </w:rPr>
              <w:t>Gestor T1 – 15 de la Subdirección de Gestión Contractual</w:t>
            </w:r>
            <w:r w:rsidRPr="00AD4370">
              <w:rPr>
                <w:rFonts w:ascii="Arial" w:eastAsia="Times New Roman" w:hAnsi="Arial" w:cs="Arial"/>
                <w:sz w:val="16"/>
                <w:szCs w:val="16"/>
                <w:lang w:val="es-MX" w:eastAsia="es-CO"/>
              </w:rPr>
              <w:t> </w:t>
            </w:r>
          </w:p>
        </w:tc>
      </w:tr>
      <w:tr w:rsidR="00AD4370" w:rsidRPr="00AD4370" w14:paraId="36CA4D18" w14:textId="77777777" w:rsidTr="009F6663">
        <w:trPr>
          <w:trHeight w:val="216"/>
        </w:trPr>
        <w:tc>
          <w:tcPr>
            <w:tcW w:w="762" w:type="dxa"/>
            <w:tcBorders>
              <w:top w:val="nil"/>
              <w:left w:val="nil"/>
              <w:bottom w:val="nil"/>
              <w:right w:val="nil"/>
            </w:tcBorders>
            <w:shd w:val="clear" w:color="auto" w:fill="auto"/>
            <w:vAlign w:val="center"/>
            <w:hideMark/>
          </w:tcPr>
          <w:p w14:paraId="49AC6017"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ES" w:eastAsia="es-CO"/>
              </w:rPr>
              <w:t>Aprobó:</w:t>
            </w:r>
            <w:r w:rsidRPr="00AD4370">
              <w:rPr>
                <w:rFonts w:ascii="Arial" w:eastAsia="Times New Roman" w:hAnsi="Arial" w:cs="Arial"/>
                <w:sz w:val="16"/>
                <w:szCs w:val="16"/>
                <w:lang w:val="es-MX" w:eastAsia="es-CO"/>
              </w:rPr>
              <w:t> </w:t>
            </w:r>
          </w:p>
        </w:tc>
        <w:tc>
          <w:tcPr>
            <w:tcW w:w="415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4EF1C75"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MX" w:eastAsia="es-CO"/>
              </w:rPr>
              <w:t>Nohelia del Carmen Zawady Palacio </w:t>
            </w:r>
          </w:p>
          <w:p w14:paraId="1423A6FF" w14:textId="77777777" w:rsidR="00AD4370" w:rsidRPr="00AD4370" w:rsidRDefault="00AD4370" w:rsidP="00AD4370">
            <w:pPr>
              <w:spacing w:after="0" w:line="240" w:lineRule="auto"/>
              <w:jc w:val="both"/>
              <w:textAlignment w:val="baseline"/>
              <w:rPr>
                <w:rFonts w:ascii="Arial" w:eastAsia="Times New Roman" w:hAnsi="Arial" w:cs="Arial"/>
                <w:sz w:val="18"/>
                <w:szCs w:val="18"/>
                <w:lang w:val="es-MX" w:eastAsia="es-CO"/>
              </w:rPr>
            </w:pPr>
            <w:r w:rsidRPr="00AD4370">
              <w:rPr>
                <w:rFonts w:ascii="Arial" w:eastAsia="Times New Roman" w:hAnsi="Arial" w:cs="Arial"/>
                <w:sz w:val="16"/>
                <w:szCs w:val="16"/>
                <w:lang w:val="es-MX" w:eastAsia="es-CO"/>
              </w:rPr>
              <w:t>Subdirectora de Gestión Contractual    </w:t>
            </w:r>
          </w:p>
        </w:tc>
      </w:tr>
      <w:bookmarkEnd w:id="0"/>
    </w:tbl>
    <w:p w14:paraId="420B58B1" w14:textId="77777777" w:rsidR="00AD4370" w:rsidRPr="00AD4370" w:rsidRDefault="00AD4370" w:rsidP="00AD4370">
      <w:pPr>
        <w:spacing w:after="200" w:line="276" w:lineRule="auto"/>
        <w:jc w:val="both"/>
        <w:rPr>
          <w:sz w:val="24"/>
          <w:lang w:val="es-MX"/>
        </w:rPr>
      </w:pPr>
    </w:p>
    <w:sectPr w:rsidR="00AD4370" w:rsidRPr="00AD4370"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35C7" w14:textId="77777777" w:rsidR="005679E7" w:rsidRDefault="005679E7" w:rsidP="004A1847">
      <w:pPr>
        <w:spacing w:after="0" w:line="240" w:lineRule="auto"/>
      </w:pPr>
      <w:r>
        <w:separator/>
      </w:r>
    </w:p>
  </w:endnote>
  <w:endnote w:type="continuationSeparator" w:id="0">
    <w:p w14:paraId="484E2633" w14:textId="77777777" w:rsidR="005679E7" w:rsidRDefault="005679E7" w:rsidP="004A1847">
      <w:pPr>
        <w:spacing w:after="0" w:line="240" w:lineRule="auto"/>
      </w:pPr>
      <w:r>
        <w:continuationSeparator/>
      </w:r>
    </w:p>
  </w:endnote>
  <w:endnote w:type="continuationNotice" w:id="1">
    <w:p w14:paraId="4EDB361C" w14:textId="77777777" w:rsidR="005679E7" w:rsidRDefault="00567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4D35" w14:textId="77777777" w:rsidR="005679E7" w:rsidRDefault="005679E7" w:rsidP="004A1847">
      <w:pPr>
        <w:spacing w:after="0" w:line="240" w:lineRule="auto"/>
      </w:pPr>
      <w:r>
        <w:separator/>
      </w:r>
    </w:p>
  </w:footnote>
  <w:footnote w:type="continuationSeparator" w:id="0">
    <w:p w14:paraId="31227B37" w14:textId="77777777" w:rsidR="005679E7" w:rsidRDefault="005679E7" w:rsidP="004A1847">
      <w:pPr>
        <w:spacing w:after="0" w:line="240" w:lineRule="auto"/>
      </w:pPr>
      <w:r>
        <w:continuationSeparator/>
      </w:r>
    </w:p>
  </w:footnote>
  <w:footnote w:type="continuationNotice" w:id="1">
    <w:p w14:paraId="5FCE0738" w14:textId="77777777" w:rsidR="005679E7" w:rsidRDefault="005679E7">
      <w:pPr>
        <w:spacing w:after="0" w:line="240" w:lineRule="auto"/>
      </w:pPr>
    </w:p>
  </w:footnote>
  <w:footnote w:id="2">
    <w:p w14:paraId="0C7CDD42" w14:textId="77777777" w:rsidR="00AD4370" w:rsidRPr="0020698A" w:rsidRDefault="00AD4370" w:rsidP="00CA5CB2">
      <w:pPr>
        <w:pStyle w:val="Textonotapie"/>
        <w:ind w:firstLine="709"/>
        <w:jc w:val="both"/>
        <w:rPr>
          <w:rFonts w:ascii="Arial" w:hAnsi="Arial" w:cs="Arial"/>
          <w:sz w:val="10"/>
          <w:szCs w:val="10"/>
          <w:lang w:val="es-CO"/>
        </w:rPr>
      </w:pPr>
      <w:r w:rsidRPr="0020698A">
        <w:rPr>
          <w:rStyle w:val="Refdenotaalpie"/>
          <w:rFonts w:ascii="Arial" w:hAnsi="Arial" w:cs="Arial"/>
          <w:sz w:val="10"/>
          <w:szCs w:val="10"/>
        </w:rPr>
        <w:footnoteRef/>
      </w:r>
      <w:r w:rsidRPr="0020698A">
        <w:rPr>
          <w:rFonts w:ascii="Arial" w:hAnsi="Arial" w:cs="Arial"/>
          <w:sz w:val="10"/>
          <w:szCs w:val="10"/>
          <w:lang w:val="es-CO"/>
        </w:rPr>
        <w:t xml:space="preserve"> FIGUEROA U. Organismos internacionales. 2ª edición. Santiago de Chile: Editorial RIL editores, 2010.</w:t>
      </w:r>
    </w:p>
  </w:footnote>
  <w:footnote w:id="3">
    <w:p w14:paraId="2D40DE0E" w14:textId="77777777" w:rsidR="00AD4370" w:rsidRPr="0020698A" w:rsidRDefault="00AD4370" w:rsidP="00CA5CB2">
      <w:pPr>
        <w:pStyle w:val="NormalWeb"/>
        <w:spacing w:after="0"/>
        <w:ind w:firstLine="709"/>
        <w:jc w:val="both"/>
        <w:rPr>
          <w:rFonts w:ascii="Arial" w:hAnsi="Arial" w:cs="Arial"/>
          <w:sz w:val="10"/>
          <w:szCs w:val="10"/>
        </w:rPr>
      </w:pPr>
      <w:r w:rsidRPr="0020698A">
        <w:rPr>
          <w:rStyle w:val="Refdenotaalpie"/>
          <w:rFonts w:ascii="Arial" w:hAnsi="Arial" w:cs="Arial"/>
          <w:sz w:val="10"/>
          <w:szCs w:val="10"/>
        </w:rPr>
        <w:footnoteRef/>
      </w:r>
      <w:r w:rsidRPr="0020698A">
        <w:rPr>
          <w:rFonts w:ascii="Arial" w:hAnsi="Arial" w:cs="Arial"/>
          <w:sz w:val="10"/>
          <w:szCs w:val="10"/>
        </w:rPr>
        <w:t xml:space="preserve"> Ley 80 de 1993: </w:t>
      </w:r>
      <w:r w:rsidRPr="0020698A">
        <w:rPr>
          <w:rFonts w:ascii="Arial" w:hAnsi="Arial" w:cs="Arial"/>
          <w:color w:val="000000" w:themeColor="text1"/>
          <w:sz w:val="10"/>
          <w:szCs w:val="10"/>
        </w:rPr>
        <w:t>“</w:t>
      </w:r>
      <w:r w:rsidRPr="0020698A">
        <w:rPr>
          <w:rFonts w:ascii="Arial" w:hAnsi="Arial" w:cs="Arial"/>
          <w:sz w:val="10"/>
          <w:szCs w:val="10"/>
        </w:rPr>
        <w:t>Artículo 13. De la normatividad aplicable a los contratos estatales. Los contratos que celebren las entidades a que se refiere el artículo </w:t>
      </w:r>
      <w:hyperlink r:id="rId1" w:anchor="2" w:history="1">
        <w:r w:rsidRPr="0020698A">
          <w:rPr>
            <w:rStyle w:val="Hipervnculo"/>
            <w:rFonts w:ascii="Arial" w:hAnsi="Arial" w:cs="Arial"/>
            <w:sz w:val="10"/>
            <w:szCs w:val="10"/>
          </w:rPr>
          <w:t>2</w:t>
        </w:r>
      </w:hyperlink>
      <w:r w:rsidRPr="0020698A">
        <w:rPr>
          <w:rFonts w:ascii="Arial" w:hAnsi="Arial" w:cs="Arial"/>
          <w:sz w:val="10"/>
          <w:szCs w:val="10"/>
        </w:rPr>
        <w:t>o. del presente estatuto se regirán por las disposiciones comerciales y civiles pertinentes, salvo en las materias particularmente reguladas en esta ley.</w:t>
      </w:r>
    </w:p>
    <w:p w14:paraId="2C9397F4" w14:textId="77777777" w:rsidR="00AD4370" w:rsidRPr="0020698A" w:rsidRDefault="00AD4370" w:rsidP="00CA5CB2">
      <w:pPr>
        <w:pStyle w:val="NormalWeb"/>
        <w:spacing w:before="120" w:after="0"/>
        <w:ind w:firstLine="709"/>
        <w:jc w:val="both"/>
        <w:rPr>
          <w:rFonts w:ascii="Arial" w:hAnsi="Arial" w:cs="Arial"/>
          <w:color w:val="000000" w:themeColor="text1"/>
          <w:sz w:val="10"/>
          <w:szCs w:val="10"/>
        </w:rPr>
      </w:pPr>
      <w:r w:rsidRPr="0020698A">
        <w:rPr>
          <w:rFonts w:ascii="Arial" w:hAnsi="Arial" w:cs="Arial"/>
          <w:sz w:val="10"/>
          <w:szCs w:val="10"/>
        </w:rPr>
        <w:t>Los contratos celebrados en el exterior se podrán regir en su ejecución por las reglas del país en donde se hayan suscrito, a menos que deban cumplirse en Colombia</w:t>
      </w:r>
      <w:r w:rsidRPr="0020698A">
        <w:rPr>
          <w:rFonts w:ascii="Arial" w:hAnsi="Arial" w:cs="Arial"/>
          <w:color w:val="000000" w:themeColor="text1"/>
          <w:sz w:val="10"/>
          <w:szCs w:val="10"/>
        </w:rPr>
        <w:t>»</w:t>
      </w:r>
    </w:p>
    <w:p w14:paraId="35392F74" w14:textId="77777777" w:rsidR="00AD4370" w:rsidRPr="0020698A" w:rsidRDefault="00AD4370" w:rsidP="00CA5CB2">
      <w:pPr>
        <w:pStyle w:val="NormalWeb"/>
        <w:spacing w:before="120" w:after="0"/>
        <w:ind w:firstLine="709"/>
        <w:jc w:val="both"/>
        <w:rPr>
          <w:rFonts w:ascii="Arial" w:hAnsi="Arial" w:cs="Arial"/>
          <w:sz w:val="10"/>
          <w:szCs w:val="10"/>
        </w:rPr>
      </w:pPr>
      <w:r w:rsidRPr="0020698A">
        <w:rPr>
          <w:rFonts w:ascii="Arial" w:hAnsi="Arial" w:cs="Arial"/>
          <w:color w:val="000000"/>
          <w:sz w:val="10"/>
          <w:szCs w:val="10"/>
        </w:rPr>
        <w:t>Los contratos que se celebren en Colombia y deban ejecutarse o cumplirse en el extranjero, podrán someterse a la ley extranjera”</w:t>
      </w:r>
      <w:r w:rsidRPr="0020698A">
        <w:rPr>
          <w:rFonts w:ascii="Arial" w:hAnsi="Arial" w:cs="Arial"/>
          <w:sz w:val="10"/>
          <w:szCs w:val="10"/>
        </w:rPr>
        <w:t>.</w:t>
      </w:r>
    </w:p>
    <w:p w14:paraId="6DDE3760" w14:textId="77777777" w:rsidR="00AD4370" w:rsidRPr="0020698A" w:rsidRDefault="00AD4370" w:rsidP="00CA5CB2">
      <w:pPr>
        <w:pStyle w:val="Textonotapie"/>
        <w:ind w:firstLine="709"/>
        <w:jc w:val="both"/>
        <w:rPr>
          <w:rFonts w:ascii="Arial" w:hAnsi="Arial" w:cs="Arial"/>
          <w:sz w:val="10"/>
          <w:szCs w:val="10"/>
        </w:rPr>
      </w:pPr>
    </w:p>
  </w:footnote>
  <w:footnote w:id="4">
    <w:p w14:paraId="00FF4D99" w14:textId="77777777" w:rsidR="00AD4370" w:rsidRPr="0020698A" w:rsidRDefault="00AD4370" w:rsidP="00CA5CB2">
      <w:pPr>
        <w:pStyle w:val="Textonotapie"/>
        <w:ind w:firstLine="709"/>
        <w:jc w:val="both"/>
        <w:rPr>
          <w:rFonts w:ascii="Arial" w:hAnsi="Arial" w:cs="Arial"/>
          <w:sz w:val="10"/>
          <w:szCs w:val="10"/>
          <w:lang w:val="es-ES_tradnl"/>
        </w:rPr>
      </w:pPr>
      <w:r w:rsidRPr="0020698A">
        <w:rPr>
          <w:rStyle w:val="Refdenotaalpie"/>
          <w:rFonts w:ascii="Arial" w:hAnsi="Arial" w:cs="Arial"/>
          <w:sz w:val="10"/>
          <w:szCs w:val="10"/>
        </w:rPr>
        <w:footnoteRef/>
      </w:r>
      <w:r w:rsidRPr="0020698A">
        <w:rPr>
          <w:rFonts w:ascii="Arial" w:hAnsi="Arial" w:cs="Arial"/>
          <w:sz w:val="10"/>
          <w:szCs w:val="10"/>
        </w:rPr>
        <w:t xml:space="preserve"> Consejo de Estado. Sección Tercera, Subsección C. Sentencia del 26 de noviembre de 2015. </w:t>
      </w:r>
      <w:r w:rsidRPr="0020698A">
        <w:rPr>
          <w:rFonts w:ascii="Arial" w:hAnsi="Arial" w:cs="Arial"/>
          <w:sz w:val="10"/>
          <w:szCs w:val="10"/>
          <w:lang w:val="es-ES_tradnl"/>
        </w:rPr>
        <w:t xml:space="preserve">Exp. </w:t>
      </w:r>
      <w:r w:rsidRPr="0020698A">
        <w:rPr>
          <w:rFonts w:ascii="Arial" w:hAnsi="Arial" w:cs="Arial"/>
          <w:sz w:val="10"/>
          <w:szCs w:val="10"/>
          <w:lang w:val="es-CO"/>
        </w:rPr>
        <w:t xml:space="preserve">54.069. C.P Jaime Orlando Santofimio Gamboa. </w:t>
      </w:r>
    </w:p>
  </w:footnote>
  <w:footnote w:id="5">
    <w:p w14:paraId="5D509376" w14:textId="77777777" w:rsidR="00AD4370" w:rsidRPr="0020698A" w:rsidRDefault="00AD4370" w:rsidP="00CA5CB2">
      <w:pPr>
        <w:pStyle w:val="Textonotapie"/>
        <w:ind w:firstLine="709"/>
        <w:jc w:val="both"/>
        <w:rPr>
          <w:rFonts w:ascii="Arial" w:hAnsi="Arial" w:cs="Arial"/>
          <w:sz w:val="10"/>
          <w:szCs w:val="10"/>
        </w:rPr>
      </w:pPr>
    </w:p>
    <w:p w14:paraId="77360E80" w14:textId="77777777" w:rsidR="00AD4370" w:rsidRPr="0020698A" w:rsidRDefault="00AD4370" w:rsidP="00CA5CB2">
      <w:pPr>
        <w:pStyle w:val="Textonotapie"/>
        <w:ind w:firstLine="709"/>
        <w:jc w:val="both"/>
        <w:rPr>
          <w:rFonts w:ascii="Arial" w:hAnsi="Arial" w:cs="Arial"/>
          <w:sz w:val="10"/>
          <w:szCs w:val="10"/>
          <w:lang w:eastAsia="es-CO"/>
        </w:rPr>
      </w:pPr>
      <w:r w:rsidRPr="0020698A">
        <w:rPr>
          <w:rStyle w:val="Refdenotaalpie"/>
          <w:rFonts w:ascii="Arial" w:hAnsi="Arial" w:cs="Arial"/>
          <w:sz w:val="10"/>
          <w:szCs w:val="10"/>
        </w:rPr>
        <w:footnoteRef/>
      </w:r>
      <w:r w:rsidRPr="0020698A">
        <w:rPr>
          <w:rFonts w:ascii="Arial" w:hAnsi="Arial" w:cs="Arial"/>
          <w:sz w:val="10"/>
          <w:szCs w:val="10"/>
        </w:rPr>
        <w:t xml:space="preserve"> </w:t>
      </w:r>
      <w:r w:rsidRPr="0020698A">
        <w:rPr>
          <w:rFonts w:ascii="Arial" w:hAnsi="Arial" w:cs="Arial"/>
          <w:sz w:val="10"/>
          <w:szCs w:val="10"/>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p w14:paraId="6FD73ABC" w14:textId="77777777" w:rsidR="00AD4370" w:rsidRPr="0020698A" w:rsidRDefault="00AD4370" w:rsidP="00CA5CB2">
      <w:pPr>
        <w:pStyle w:val="Textonotapie"/>
        <w:ind w:firstLine="709"/>
        <w:jc w:val="both"/>
        <w:rPr>
          <w:rFonts w:ascii="Arial" w:hAnsi="Arial" w:cs="Arial"/>
          <w:sz w:val="10"/>
          <w:szCs w:val="10"/>
          <w:lang w:val="es-CO"/>
        </w:rPr>
      </w:pPr>
    </w:p>
  </w:footnote>
  <w:footnote w:id="6">
    <w:p w14:paraId="2EF5306A" w14:textId="77777777" w:rsidR="00AD4370" w:rsidRPr="0020698A" w:rsidRDefault="00AD4370" w:rsidP="00CA5CB2">
      <w:pPr>
        <w:pStyle w:val="NormalWeb"/>
        <w:spacing w:after="0"/>
        <w:ind w:firstLine="709"/>
        <w:jc w:val="both"/>
        <w:rPr>
          <w:rFonts w:ascii="Arial" w:hAnsi="Arial" w:cs="Arial"/>
          <w:sz w:val="10"/>
          <w:szCs w:val="10"/>
        </w:rPr>
      </w:pPr>
      <w:r w:rsidRPr="0020698A">
        <w:rPr>
          <w:rStyle w:val="Refdenotaalpie"/>
          <w:rFonts w:ascii="Arial" w:hAnsi="Arial" w:cs="Arial"/>
          <w:sz w:val="10"/>
          <w:szCs w:val="10"/>
        </w:rPr>
        <w:footnoteRef/>
      </w:r>
      <w:r w:rsidRPr="0020698A">
        <w:rPr>
          <w:rFonts w:ascii="Arial" w:hAnsi="Arial" w:cs="Arial"/>
          <w:sz w:val="10"/>
          <w:szCs w:val="10"/>
        </w:rPr>
        <w:t xml:space="preserve"> Ley 1150 de 2007. </w:t>
      </w:r>
      <w:r w:rsidRPr="0020698A">
        <w:rPr>
          <w:rFonts w:ascii="Arial" w:hAnsi="Arial" w:cs="Arial"/>
          <w:color w:val="000000" w:themeColor="text1"/>
          <w:sz w:val="10"/>
          <w:szCs w:val="10"/>
        </w:rPr>
        <w:t>“</w:t>
      </w:r>
      <w:r w:rsidRPr="0020698A">
        <w:rPr>
          <w:rFonts w:ascii="Arial" w:hAnsi="Arial" w:cs="Arial"/>
          <w:sz w:val="10"/>
          <w:szCs w:val="10"/>
        </w:rPr>
        <w:t>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w:t>
      </w:r>
      <w:hyperlink r:id="rId2" w:anchor="1" w:history="1">
        <w:r w:rsidRPr="0020698A">
          <w:rPr>
            <w:rStyle w:val="Hipervnculo"/>
            <w:rFonts w:ascii="Arial" w:hAnsi="Arial" w:cs="Arial"/>
            <w:sz w:val="10"/>
            <w:szCs w:val="10"/>
          </w:rPr>
          <w:t>80</w:t>
        </w:r>
      </w:hyperlink>
      <w:r w:rsidRPr="0020698A">
        <w:rPr>
          <w:rFonts w:ascii="Arial" w:hAnsi="Arial" w:cs="Arial"/>
          <w:sz w:val="10"/>
          <w:szCs w:val="10"/>
        </w:rPr>
        <w:t> de 1993. Los recursos de contrapartida vinculados a estas operaciones podrán tener el mismo tratamiento.</w:t>
      </w:r>
    </w:p>
    <w:p w14:paraId="0F4F1E90" w14:textId="77777777" w:rsidR="00AD4370" w:rsidRPr="0020698A" w:rsidRDefault="00AD4370" w:rsidP="00CA5CB2">
      <w:pPr>
        <w:pStyle w:val="NormalWeb"/>
        <w:spacing w:before="120" w:after="0"/>
        <w:ind w:firstLine="709"/>
        <w:jc w:val="both"/>
        <w:rPr>
          <w:rFonts w:ascii="Arial" w:hAnsi="Arial" w:cs="Arial"/>
          <w:sz w:val="10"/>
          <w:szCs w:val="10"/>
        </w:rPr>
      </w:pPr>
      <w:r w:rsidRPr="0020698A">
        <w:rPr>
          <w:rFonts w:ascii="Arial" w:hAnsi="Arial" w:cs="Arial"/>
          <w:sz w:val="10"/>
          <w:szCs w:val="10"/>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69543BCC" w14:textId="77777777" w:rsidR="00AD4370" w:rsidRPr="0020698A" w:rsidRDefault="00AD4370" w:rsidP="00CA5CB2">
      <w:pPr>
        <w:pStyle w:val="NormalWeb"/>
        <w:spacing w:before="120" w:after="0"/>
        <w:ind w:firstLine="709"/>
        <w:jc w:val="both"/>
        <w:rPr>
          <w:rFonts w:ascii="Arial" w:hAnsi="Arial" w:cs="Arial"/>
          <w:sz w:val="10"/>
          <w:szCs w:val="10"/>
        </w:rPr>
      </w:pPr>
      <w:bookmarkStart w:id="3" w:name="_Hlk54346001"/>
      <w:r w:rsidRPr="0020698A">
        <w:rPr>
          <w:rFonts w:ascii="Arial" w:hAnsi="Arial" w:cs="Arial"/>
          <w:sz w:val="10"/>
          <w:szCs w:val="10"/>
        </w:rPr>
        <w:t>Las entidades estatales no podrán celebrar contratos o convenios para la administración o gerencia de sus recursos propios o de aquellos que les asignen los presupuestos públicos, con organismos de cooperación, asistencia o ayuda internacional.</w:t>
      </w:r>
    </w:p>
    <w:bookmarkEnd w:id="3"/>
    <w:p w14:paraId="5F86F7DE" w14:textId="77777777" w:rsidR="00AD4370" w:rsidRPr="0020698A" w:rsidRDefault="00AD4370" w:rsidP="00CA5CB2">
      <w:pPr>
        <w:pStyle w:val="NormalWeb"/>
        <w:spacing w:before="120" w:after="0"/>
        <w:ind w:firstLine="709"/>
        <w:jc w:val="both"/>
        <w:rPr>
          <w:rFonts w:ascii="Arial" w:hAnsi="Arial" w:cs="Arial"/>
          <w:sz w:val="10"/>
          <w:szCs w:val="10"/>
        </w:rPr>
      </w:pPr>
      <w:r w:rsidRPr="0020698A">
        <w:rPr>
          <w:rStyle w:val="baj"/>
          <w:rFonts w:ascii="Arial" w:hAnsi="Arial" w:cs="Arial"/>
          <w:sz w:val="10"/>
          <w:szCs w:val="10"/>
        </w:rPr>
        <w:t>PARÁGRAFO 1o.</w:t>
      </w:r>
      <w:r w:rsidRPr="0020698A">
        <w:rPr>
          <w:rFonts w:ascii="Arial" w:hAnsi="Arial" w:cs="Arial"/>
          <w:sz w:val="10"/>
          <w:szCs w:val="10"/>
        </w:rPr>
        <w:t> Los contratos o acuerdos celebrados con personas extranjeras de derecho público, podrán someterse a las reglas de tales organismos.</w:t>
      </w:r>
    </w:p>
    <w:p w14:paraId="57DFFC07" w14:textId="77777777" w:rsidR="00AD4370" w:rsidRPr="0020698A" w:rsidRDefault="00AD4370" w:rsidP="00CA5CB2">
      <w:pPr>
        <w:pStyle w:val="NormalWeb"/>
        <w:spacing w:before="120" w:after="0"/>
        <w:ind w:firstLine="709"/>
        <w:jc w:val="both"/>
        <w:rPr>
          <w:rFonts w:ascii="Arial" w:hAnsi="Arial" w:cs="Arial"/>
          <w:sz w:val="10"/>
          <w:szCs w:val="10"/>
        </w:rPr>
      </w:pPr>
      <w:r w:rsidRPr="0020698A">
        <w:rPr>
          <w:rStyle w:val="baj"/>
          <w:rFonts w:ascii="Arial" w:hAnsi="Arial" w:cs="Arial"/>
          <w:sz w:val="10"/>
          <w:szCs w:val="10"/>
        </w:rPr>
        <w:t>PARÁGRAFO 2o.</w:t>
      </w:r>
      <w:r w:rsidRPr="0020698A">
        <w:rPr>
          <w:rFonts w:ascii="Arial" w:hAnsi="Arial" w:cs="Arial"/>
          <w:sz w:val="10"/>
          <w:szCs w:val="10"/>
        </w:rPr>
        <w:t xml:space="preserve"> Las entidades estatales tendrán la obligación de reportar la información a los organismos de control y al </w:t>
      </w:r>
      <w:r w:rsidRPr="0020698A">
        <w:rPr>
          <w:rFonts w:ascii="Arial" w:hAnsi="Arial" w:cs="Arial"/>
          <w:sz w:val="10"/>
          <w:szCs w:val="10"/>
        </w:rPr>
        <w:t>Secop relativa a la ejecución de los contratos a los que se refiere el presente artículo.</w:t>
      </w:r>
    </w:p>
    <w:p w14:paraId="46D48676" w14:textId="77777777" w:rsidR="00AD4370" w:rsidRPr="0020698A" w:rsidRDefault="00AD4370" w:rsidP="00CA5CB2">
      <w:pPr>
        <w:pStyle w:val="NormalWeb"/>
        <w:spacing w:before="120" w:after="0"/>
        <w:ind w:firstLine="709"/>
        <w:jc w:val="both"/>
        <w:rPr>
          <w:rFonts w:ascii="Arial" w:hAnsi="Arial" w:cs="Arial"/>
          <w:sz w:val="10"/>
          <w:szCs w:val="10"/>
        </w:rPr>
      </w:pPr>
      <w:r w:rsidRPr="0020698A">
        <w:rPr>
          <w:rStyle w:val="baj"/>
          <w:rFonts w:ascii="Arial" w:hAnsi="Arial" w:cs="Arial"/>
          <w:sz w:val="10"/>
          <w:szCs w:val="10"/>
        </w:rPr>
        <w:t>PARÁGRAFO 3o.</w:t>
      </w:r>
      <w:r w:rsidRPr="0020698A">
        <w:rPr>
          <w:rFonts w:ascii="Arial" w:hAnsi="Arial" w:cs="Arial"/>
          <w:sz w:val="10"/>
          <w:szCs w:val="10"/>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r w:rsidRPr="0020698A">
        <w:rPr>
          <w:rFonts w:ascii="Arial" w:hAnsi="Arial" w:cs="Arial"/>
          <w:color w:val="000000" w:themeColor="text1"/>
          <w:sz w:val="10"/>
          <w:szCs w:val="10"/>
        </w:rPr>
        <w:t>”</w:t>
      </w:r>
      <w:r w:rsidRPr="0020698A">
        <w:rPr>
          <w:rFonts w:ascii="Arial" w:hAnsi="Arial" w:cs="Arial"/>
          <w:sz w:val="10"/>
          <w:szCs w:val="10"/>
        </w:rPr>
        <w:t>.</w:t>
      </w:r>
    </w:p>
    <w:p w14:paraId="6237489D" w14:textId="77777777" w:rsidR="00AD4370" w:rsidRPr="0020698A" w:rsidRDefault="00AD4370" w:rsidP="00CA5CB2">
      <w:pPr>
        <w:pStyle w:val="Textonotapie"/>
        <w:ind w:firstLine="709"/>
        <w:jc w:val="both"/>
        <w:rPr>
          <w:rFonts w:ascii="Arial" w:hAnsi="Arial" w:cs="Arial"/>
          <w:sz w:val="10"/>
          <w:szCs w:val="10"/>
        </w:rPr>
      </w:pPr>
    </w:p>
  </w:footnote>
  <w:footnote w:id="7">
    <w:p w14:paraId="7DE99083" w14:textId="77777777" w:rsidR="00AD4370" w:rsidRPr="0020698A" w:rsidRDefault="00AD4370" w:rsidP="00CA5CB2">
      <w:pPr>
        <w:pStyle w:val="NormalWeb"/>
        <w:spacing w:after="0"/>
        <w:ind w:firstLine="709"/>
        <w:jc w:val="both"/>
        <w:rPr>
          <w:rFonts w:ascii="Arial" w:hAnsi="Arial" w:cs="Arial"/>
          <w:color w:val="000000" w:themeColor="text1"/>
          <w:sz w:val="10"/>
          <w:szCs w:val="10"/>
        </w:rPr>
      </w:pPr>
      <w:r w:rsidRPr="0020698A">
        <w:rPr>
          <w:rFonts w:ascii="Arial" w:hAnsi="Arial" w:cs="Arial"/>
          <w:color w:val="000000" w:themeColor="text1"/>
          <w:sz w:val="10"/>
          <w:szCs w:val="10"/>
          <w:vertAlign w:val="superscript"/>
        </w:rPr>
        <w:footnoteRef/>
      </w:r>
      <w:r w:rsidRPr="0020698A">
        <w:rPr>
          <w:rFonts w:ascii="Arial" w:hAnsi="Arial" w:cs="Arial"/>
          <w:color w:val="000000" w:themeColor="text1"/>
          <w:sz w:val="10"/>
          <w:szCs w:val="10"/>
        </w:rPr>
        <w:t xml:space="preserve">Código Civil </w:t>
      </w:r>
      <w:bookmarkStart w:id="4" w:name="27"/>
      <w:r w:rsidRPr="0020698A">
        <w:rPr>
          <w:rFonts w:ascii="Arial" w:hAnsi="Arial" w:cs="Arial"/>
          <w:color w:val="000000" w:themeColor="text1"/>
          <w:sz w:val="10"/>
          <w:szCs w:val="10"/>
        </w:rPr>
        <w:t>“Artículo 27. [Interpretación gramatical].</w:t>
      </w:r>
      <w:bookmarkEnd w:id="4"/>
      <w:r w:rsidRPr="0020698A">
        <w:rPr>
          <w:rFonts w:ascii="Arial" w:hAnsi="Arial" w:cs="Arial"/>
          <w:color w:val="000000" w:themeColor="text1"/>
          <w:sz w:val="10"/>
          <w:szCs w:val="10"/>
        </w:rPr>
        <w:t> Cuando el sentido de la ley sea claro, no se desatenderá su tenor literal a pretexto de consultar su espíritu.</w:t>
      </w:r>
    </w:p>
    <w:p w14:paraId="0459FDDC" w14:textId="77777777" w:rsidR="00AD4370" w:rsidRPr="0020698A" w:rsidRDefault="00AD4370" w:rsidP="00CA5CB2">
      <w:pPr>
        <w:pStyle w:val="NormalWeb"/>
        <w:spacing w:before="120" w:after="0"/>
        <w:ind w:firstLine="709"/>
        <w:jc w:val="both"/>
        <w:rPr>
          <w:rFonts w:ascii="Arial" w:hAnsi="Arial" w:cs="Arial"/>
          <w:color w:val="000000" w:themeColor="text1"/>
          <w:sz w:val="10"/>
          <w:szCs w:val="10"/>
        </w:rPr>
      </w:pPr>
      <w:r w:rsidRPr="0020698A">
        <w:rPr>
          <w:rFonts w:ascii="Arial" w:hAnsi="Arial" w:cs="Arial"/>
          <w:color w:val="000000" w:themeColor="text1"/>
          <w:sz w:val="10"/>
          <w:szCs w:val="10"/>
        </w:rPr>
        <w:t>Pero bien se puede, para interpretar una expresión oscura de la ley, recurrir a su intención o espíritu, claramente manifestados en ella misma o en la historia fidedigna de su establecimiento”.</w:t>
      </w:r>
    </w:p>
    <w:p w14:paraId="0B6C959A" w14:textId="77777777" w:rsidR="00AD4370" w:rsidRPr="00D875E0" w:rsidRDefault="00AD4370" w:rsidP="00AD4370">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F488C"/>
    <w:multiLevelType w:val="hybridMultilevel"/>
    <w:tmpl w:val="3E128A9E"/>
    <w:lvl w:ilvl="0" w:tplc="64EC13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 w:numId="4" w16cid:durableId="1080441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5421"/>
    <w:rsid w:val="00083334"/>
    <w:rsid w:val="000956CF"/>
    <w:rsid w:val="000A683E"/>
    <w:rsid w:val="000C6DB9"/>
    <w:rsid w:val="0011595A"/>
    <w:rsid w:val="001220C5"/>
    <w:rsid w:val="001267F7"/>
    <w:rsid w:val="00127233"/>
    <w:rsid w:val="00130999"/>
    <w:rsid w:val="00164D81"/>
    <w:rsid w:val="001A1011"/>
    <w:rsid w:val="001A48D0"/>
    <w:rsid w:val="001B361C"/>
    <w:rsid w:val="001F4970"/>
    <w:rsid w:val="0020698A"/>
    <w:rsid w:val="002636A4"/>
    <w:rsid w:val="002653C1"/>
    <w:rsid w:val="0026611D"/>
    <w:rsid w:val="002951A0"/>
    <w:rsid w:val="002A64FD"/>
    <w:rsid w:val="002E0C18"/>
    <w:rsid w:val="002F0839"/>
    <w:rsid w:val="00301469"/>
    <w:rsid w:val="00306EE1"/>
    <w:rsid w:val="00310B9B"/>
    <w:rsid w:val="00364313"/>
    <w:rsid w:val="0036461C"/>
    <w:rsid w:val="00367884"/>
    <w:rsid w:val="0039439C"/>
    <w:rsid w:val="003B69E7"/>
    <w:rsid w:val="003C013B"/>
    <w:rsid w:val="003D0F4D"/>
    <w:rsid w:val="003F58A1"/>
    <w:rsid w:val="00406E69"/>
    <w:rsid w:val="00410DD6"/>
    <w:rsid w:val="004134C9"/>
    <w:rsid w:val="0043138C"/>
    <w:rsid w:val="00462A59"/>
    <w:rsid w:val="004A1847"/>
    <w:rsid w:val="004B6B0E"/>
    <w:rsid w:val="004C07AE"/>
    <w:rsid w:val="004C5C81"/>
    <w:rsid w:val="004D25B3"/>
    <w:rsid w:val="00511405"/>
    <w:rsid w:val="00526E9D"/>
    <w:rsid w:val="00547856"/>
    <w:rsid w:val="00547A74"/>
    <w:rsid w:val="005566E8"/>
    <w:rsid w:val="005679E7"/>
    <w:rsid w:val="00572294"/>
    <w:rsid w:val="005746AB"/>
    <w:rsid w:val="0059357F"/>
    <w:rsid w:val="005A1130"/>
    <w:rsid w:val="005D65C8"/>
    <w:rsid w:val="00600FD8"/>
    <w:rsid w:val="006219F8"/>
    <w:rsid w:val="006423E1"/>
    <w:rsid w:val="00681FDB"/>
    <w:rsid w:val="006A7DAD"/>
    <w:rsid w:val="006D70BA"/>
    <w:rsid w:val="007468EF"/>
    <w:rsid w:val="007566FE"/>
    <w:rsid w:val="0076726F"/>
    <w:rsid w:val="0077144B"/>
    <w:rsid w:val="00787EB2"/>
    <w:rsid w:val="00793403"/>
    <w:rsid w:val="007C0CDF"/>
    <w:rsid w:val="007E2A2F"/>
    <w:rsid w:val="007F2B7C"/>
    <w:rsid w:val="00811651"/>
    <w:rsid w:val="00820F5B"/>
    <w:rsid w:val="00833452"/>
    <w:rsid w:val="008614E5"/>
    <w:rsid w:val="008678EB"/>
    <w:rsid w:val="0087551D"/>
    <w:rsid w:val="00875894"/>
    <w:rsid w:val="00881C10"/>
    <w:rsid w:val="00890411"/>
    <w:rsid w:val="008D27D1"/>
    <w:rsid w:val="008D5C70"/>
    <w:rsid w:val="009025AF"/>
    <w:rsid w:val="00904F23"/>
    <w:rsid w:val="00906B3C"/>
    <w:rsid w:val="0095342C"/>
    <w:rsid w:val="009C33F5"/>
    <w:rsid w:val="009F33F2"/>
    <w:rsid w:val="009F6663"/>
    <w:rsid w:val="009F6C77"/>
    <w:rsid w:val="00A07532"/>
    <w:rsid w:val="00A1085C"/>
    <w:rsid w:val="00A2066F"/>
    <w:rsid w:val="00A309E2"/>
    <w:rsid w:val="00A33481"/>
    <w:rsid w:val="00A8066E"/>
    <w:rsid w:val="00AA0EB0"/>
    <w:rsid w:val="00AA4B8A"/>
    <w:rsid w:val="00AA6BF7"/>
    <w:rsid w:val="00AD4370"/>
    <w:rsid w:val="00B01ED6"/>
    <w:rsid w:val="00B06D09"/>
    <w:rsid w:val="00B771A9"/>
    <w:rsid w:val="00B809BB"/>
    <w:rsid w:val="00B8248A"/>
    <w:rsid w:val="00BB7726"/>
    <w:rsid w:val="00C1432A"/>
    <w:rsid w:val="00C2329E"/>
    <w:rsid w:val="00C30461"/>
    <w:rsid w:val="00C754BE"/>
    <w:rsid w:val="00C87572"/>
    <w:rsid w:val="00C9405D"/>
    <w:rsid w:val="00CA5CB2"/>
    <w:rsid w:val="00CC1B26"/>
    <w:rsid w:val="00CD284F"/>
    <w:rsid w:val="00CF23AA"/>
    <w:rsid w:val="00D01921"/>
    <w:rsid w:val="00D752B7"/>
    <w:rsid w:val="00DA1854"/>
    <w:rsid w:val="00DB0887"/>
    <w:rsid w:val="00DF1E43"/>
    <w:rsid w:val="00E206F5"/>
    <w:rsid w:val="00E20894"/>
    <w:rsid w:val="00E26B7C"/>
    <w:rsid w:val="00E744B8"/>
    <w:rsid w:val="00EA3003"/>
    <w:rsid w:val="00EB3C91"/>
    <w:rsid w:val="00EB66DA"/>
    <w:rsid w:val="00EF5D45"/>
    <w:rsid w:val="00F073F8"/>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AD4370"/>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AD4370"/>
    <w:pPr>
      <w:spacing w:line="240" w:lineRule="exact"/>
      <w:jc w:val="both"/>
    </w:pPr>
    <w:rPr>
      <w:vertAlign w:val="superscript"/>
    </w:rPr>
  </w:style>
  <w:style w:type="character" w:styleId="Hipervnculo">
    <w:name w:val="Hyperlink"/>
    <w:basedOn w:val="Fuentedeprrafopredeter"/>
    <w:uiPriority w:val="99"/>
    <w:unhideWhenUsed/>
    <w:rsid w:val="00AD4370"/>
    <w:rPr>
      <w:color w:val="0563C1" w:themeColor="hyperlink"/>
      <w:u w:val="single"/>
    </w:rPr>
  </w:style>
  <w:style w:type="table" w:customStyle="1" w:styleId="Tablaconcuadrcula11">
    <w:name w:val="Tabla con cuadrícula11"/>
    <w:basedOn w:val="Tablanormal"/>
    <w:next w:val="Tablaconcuadrcula"/>
    <w:uiPriority w:val="39"/>
    <w:rsid w:val="00AD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AD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ralesv.abogado@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D48B299-3472-4B79-9C91-79E15D31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3321</Words>
  <Characters>18269</Characters>
  <Application>Microsoft Office Word</Application>
  <DocSecurity>0</DocSecurity>
  <Lines>152</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Diego German Revelo Bolívar</cp:lastModifiedBy>
  <cp:revision>6</cp:revision>
  <dcterms:created xsi:type="dcterms:W3CDTF">2023-03-29T14:37:00Z</dcterms:created>
  <dcterms:modified xsi:type="dcterms:W3CDTF">2023-04-14T18:22:00Z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