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D492B" w:rsidP="00BD492B" w:rsidRDefault="00BD492B" w14:paraId="6BA8332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CONTRATO D EPRESTACIÓN DE SERVICIOS – Concepto – Características</w:t>
      </w:r>
      <w:r>
        <w:rPr>
          <w:rStyle w:val="eop"/>
          <w:rFonts w:ascii="Arial" w:hAnsi="Arial" w:cs="Arial"/>
          <w:sz w:val="22"/>
          <w:szCs w:val="22"/>
        </w:rPr>
        <w:t> </w:t>
      </w:r>
    </w:p>
    <w:p w:rsidR="00BD492B" w:rsidP="00BD492B" w:rsidRDefault="00BD492B" w14:paraId="2EBE72C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BD492B" w:rsidP="00BD492B" w:rsidRDefault="00BD492B" w14:paraId="5B44E9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w:t>
      </w:r>
      <w:r>
        <w:rPr>
          <w:rStyle w:val="normaltextrun"/>
          <w:rFonts w:ascii="Calibri" w:hAnsi="Calibri" w:cs="Calibri"/>
          <w:sz w:val="22"/>
          <w:szCs w:val="22"/>
        </w:rPr>
        <w:t xml:space="preserve"> </w:t>
      </w:r>
      <w:r>
        <w:rPr>
          <w:rStyle w:val="normaltextrun"/>
          <w:rFonts w:ascii="Arial" w:hAnsi="Arial" w:cs="Arial"/>
          <w:sz w:val="20"/>
          <w:szCs w:val="20"/>
        </w:rPr>
        <w:t>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w:t>
      </w:r>
      <w:r>
        <w:rPr>
          <w:rStyle w:val="eop"/>
          <w:rFonts w:ascii="Arial" w:hAnsi="Arial" w:cs="Arial"/>
        </w:rPr>
        <w:t> </w:t>
      </w:r>
    </w:p>
    <w:p w:rsidR="00BD492B" w:rsidP="00BD492B" w:rsidRDefault="00BD492B" w14:paraId="7DC52E9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t>
      </w:r>
      <w:r>
        <w:rPr>
          <w:rStyle w:val="eop"/>
          <w:rFonts w:ascii="Arial" w:hAnsi="Arial" w:cs="Arial"/>
        </w:rPr>
        <w:t> </w:t>
      </w:r>
    </w:p>
    <w:p w:rsidR="00BD492B" w:rsidP="00BD492B" w:rsidRDefault="00BD492B" w14:paraId="109A5A0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de la reciente Sentencia de Unificación Jurisprudencial del 9 de septiembre de 2021, proferida por el Consejo de Estado, es posible señalar las siguientes características del contrato de prestación de servicios: i) Solo puede celebrarse para realizar «actividades relacionadas con la administración o funcionamiento de la entidad» […]. </w:t>
      </w:r>
      <w:proofErr w:type="spellStart"/>
      <w:r>
        <w:rPr>
          <w:rStyle w:val="normaltextrun"/>
          <w:rFonts w:ascii="Arial" w:hAnsi="Arial" w:cs="Arial"/>
          <w:sz w:val="20"/>
          <w:szCs w:val="20"/>
        </w:rPr>
        <w:t>ii</w:t>
      </w:r>
      <w:proofErr w:type="spellEnd"/>
      <w:r>
        <w:rPr>
          <w:rStyle w:val="normaltextrun"/>
          <w:rFonts w:ascii="Arial" w:hAnsi="Arial" w:cs="Arial"/>
          <w:sz w:val="20"/>
          <w:szCs w:val="20"/>
        </w:rPr>
        <w:t xml:space="preserve">) Respecto del tipo de personas que pueden ser contratadas, admite que se suscriba con personas naturales o jurídicas. </w:t>
      </w:r>
      <w:proofErr w:type="spellStart"/>
      <w:r>
        <w:rPr>
          <w:rStyle w:val="normaltextrun"/>
          <w:rFonts w:ascii="Arial" w:hAnsi="Arial" w:cs="Arial"/>
          <w:sz w:val="20"/>
          <w:szCs w:val="20"/>
        </w:rPr>
        <w:t>iii</w:t>
      </w:r>
      <w:proofErr w:type="spellEnd"/>
      <w:r>
        <w:rPr>
          <w:rStyle w:val="normaltextrun"/>
          <w:rFonts w:ascii="Arial" w:hAnsi="Arial" w:cs="Arial"/>
          <w:sz w:val="20"/>
          <w:szCs w:val="20"/>
        </w:rPr>
        <w:t xml:space="preserve">) Si bien se celebran para obtener la prestación personal de un servicio, se diferencian del contrato de trabajo en que quien celebra el contrato de prestación de servicios debe mantener autonomía e independencia en la ejecución de la labor […]; </w:t>
      </w:r>
      <w:proofErr w:type="spellStart"/>
      <w:r>
        <w:rPr>
          <w:rStyle w:val="normaltextrun"/>
          <w:rFonts w:ascii="Arial" w:hAnsi="Arial" w:cs="Arial"/>
          <w:sz w:val="20"/>
          <w:szCs w:val="20"/>
        </w:rPr>
        <w:t>iv</w:t>
      </w:r>
      <w:proofErr w:type="spellEnd"/>
      <w:r>
        <w:rPr>
          <w:rStyle w:val="normaltextrun"/>
          <w:rFonts w:ascii="Arial" w:hAnsi="Arial" w:cs="Arial"/>
          <w:sz w:val="20"/>
          <w:szCs w:val="20"/>
        </w:rPr>
        <w:t xml:space="preserve">) Deben ser temporales. v) Se celebran a través de la modalidad de contratación directa, independientemente de la cuantía y del tipo de servicio profesional, siempre que su objeto no sea la consultoría. vi) Para su celebración no se requiere expedir un acto administrativo de justificación de la contratación directa. </w:t>
      </w:r>
      <w:proofErr w:type="spellStart"/>
      <w:r>
        <w:rPr>
          <w:rStyle w:val="normaltextrun"/>
          <w:rFonts w:ascii="Arial" w:hAnsi="Arial" w:cs="Arial"/>
          <w:sz w:val="20"/>
          <w:szCs w:val="20"/>
        </w:rPr>
        <w:t>vii</w:t>
      </w:r>
      <w:proofErr w:type="spellEnd"/>
      <w:r>
        <w:rPr>
          <w:rStyle w:val="normaltextrun"/>
          <w:rFonts w:ascii="Arial" w:hAnsi="Arial" w:cs="Arial"/>
          <w:sz w:val="20"/>
          <w:szCs w:val="20"/>
        </w:rPr>
        <w:t xml:space="preserve">) El contrato admite la inclusión de cláusulas excepcionales. </w:t>
      </w:r>
      <w:proofErr w:type="spellStart"/>
      <w:r>
        <w:rPr>
          <w:rStyle w:val="normaltextrun"/>
          <w:rFonts w:ascii="Arial" w:hAnsi="Arial" w:cs="Arial"/>
          <w:sz w:val="20"/>
          <w:szCs w:val="20"/>
        </w:rPr>
        <w:t>viii</w:t>
      </w:r>
      <w:proofErr w:type="spellEnd"/>
      <w:r>
        <w:rPr>
          <w:rStyle w:val="normaltextrun"/>
          <w:rFonts w:ascii="Arial" w:hAnsi="Arial" w:cs="Arial"/>
          <w:sz w:val="20"/>
          <w:szCs w:val="20"/>
        </w:rPr>
        <w:t xml:space="preserve">) No es obligatoria la liquidación de estos contratos, como lo establece el artículo 217 del Decreto 019 de 2012, que modificó el artículo 60 de la Ley 80 de 1993. </w:t>
      </w:r>
      <w:proofErr w:type="spellStart"/>
      <w:r>
        <w:rPr>
          <w:rStyle w:val="normaltextrun"/>
          <w:rFonts w:ascii="Arial" w:hAnsi="Arial" w:cs="Arial"/>
          <w:sz w:val="20"/>
          <w:szCs w:val="20"/>
        </w:rPr>
        <w:t>ix</w:t>
      </w:r>
      <w:proofErr w:type="spellEnd"/>
      <w:r>
        <w:rPr>
          <w:rStyle w:val="normaltextrun"/>
          <w:rFonts w:ascii="Arial" w:hAnsi="Arial" w:cs="Arial"/>
          <w:sz w:val="20"/>
          <w:szCs w:val="20"/>
        </w:rPr>
        <w:t xml:space="preserve">) Para su celebración el contratista no requiere estar inscrito en el Registro Único de Proponentes –RUP–, como lo señala el artículo 6 de la Ley 1150 de 2007. x) No es obligatoria la exigencia de garantías. xi) Como los demás contratos estatales, se trata de un contrato solemne que debe constar por escrito y debe ser publicado en el SECOP. </w:t>
      </w:r>
      <w:proofErr w:type="spellStart"/>
      <w:r>
        <w:rPr>
          <w:rStyle w:val="normaltextrun"/>
          <w:rFonts w:ascii="Arial" w:hAnsi="Arial" w:cs="Arial"/>
          <w:sz w:val="20"/>
          <w:szCs w:val="20"/>
        </w:rPr>
        <w:t>xii</w:t>
      </w:r>
      <w:proofErr w:type="spellEnd"/>
      <w:r>
        <w:rPr>
          <w:rStyle w:val="normaltextrun"/>
          <w:rFonts w:ascii="Arial" w:hAnsi="Arial" w:cs="Arial"/>
          <w:sz w:val="20"/>
          <w:szCs w:val="20"/>
        </w:rPr>
        <w:t>) Como especies del género prestación de servicios, se incluyen los contratos de prestación de servicios profesionales, los contratos de prestación de servicios de apoyo a la gestión y los contratos de prestación de servicios artísticos que solo pueden encomendarse a determinadas personas naturales.</w:t>
      </w:r>
      <w:r>
        <w:rPr>
          <w:rStyle w:val="eop"/>
          <w:rFonts w:ascii="Arial" w:hAnsi="Arial" w:cs="Arial"/>
        </w:rPr>
        <w:t> </w:t>
      </w:r>
    </w:p>
    <w:p w:rsidR="00BD492B" w:rsidP="00BD492B" w:rsidRDefault="00BD492B" w14:paraId="0C7BED4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BD492B" w:rsidP="00BD492B" w:rsidRDefault="00BD492B" w14:paraId="094960A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CONTRATOS DE PRESTACIÓN DE SERVICIOS – Fijación de honorarios – Tablas de honorarios – Inclusión de impuestos</w:t>
      </w:r>
      <w:r>
        <w:rPr>
          <w:rStyle w:val="eop"/>
          <w:rFonts w:ascii="Arial" w:hAnsi="Arial" w:cs="Arial"/>
          <w:sz w:val="22"/>
          <w:szCs w:val="22"/>
        </w:rPr>
        <w:t> </w:t>
      </w:r>
    </w:p>
    <w:p w:rsidR="00BD492B" w:rsidP="00BD492B" w:rsidRDefault="00BD492B" w14:paraId="5F0DCD8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BD492B" w:rsidP="00BD492B" w:rsidRDefault="00BD492B" w14:paraId="2F93366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las entidades públicas determinan el monto de los honorarios de los contratos de prestación de servicios profesionales, de apoyo a la gestión y trabajos artísticos de conformidad con lo establecido en el análisis del sector y en los documentos o estudios previos. Así pues, cabe resaltar, que en la Ley 80 de 1993, Ley 1150 de 2007 y en el Decreto 1082 de 2015 no se encuentran disposiciones que establezcan la obligatoriedad de implementar tablas de honorarios o estandarizar perfiles para los contratos de prestación de servicios, pero, lo anterior, no significa que las entidades no puedan hacerlo.</w:t>
      </w:r>
      <w:r>
        <w:rPr>
          <w:rStyle w:val="eop"/>
          <w:rFonts w:ascii="Arial" w:hAnsi="Arial" w:cs="Arial"/>
        </w:rPr>
        <w:t> </w:t>
      </w:r>
    </w:p>
    <w:p w:rsidR="00BD492B" w:rsidP="00BD492B" w:rsidRDefault="00BD492B" w14:paraId="3D9AA5E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BD492B" w:rsidP="00BD492B" w:rsidRDefault="00BD492B" w14:paraId="70DC116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la fijación de honorarios incluye impuestos y otros costos que se generen para el contratista con ocasión de la ejecución del contrato y, concretamente del IVA, […]. La ejecución de un contrato de prestación de servicios puede involucrar múltiples tributos –impuestos (v. gr. Renta, IVA, ICA), tasas y contribuciones– para las partes del contrato, de ahí que, la Entidad Estatal al establecer el valor estimado del contrato debe incluir el impuesto al valor agregado (IVA) siempre que las actividades derivadas de su ejecución o dependiendo del régimen tributario del contratista, estén gravadas con este impuesto, de lo contrario no debe incluirlo.</w:t>
      </w:r>
      <w:r>
        <w:rPr>
          <w:rStyle w:val="eop"/>
          <w:rFonts w:ascii="Arial" w:hAnsi="Arial" w:cs="Arial"/>
        </w:rPr>
        <w:t> </w:t>
      </w:r>
    </w:p>
    <w:p w:rsidR="00BD492B" w:rsidP="00380DD4" w:rsidRDefault="00BD492B" w14:paraId="1483D2D4" w14:textId="77777777">
      <w:pPr>
        <w:spacing w:after="0"/>
        <w:jc w:val="both"/>
        <w:rPr>
          <w:rFonts w:ascii="Arial" w:hAnsi="Arial" w:cs="Arial"/>
        </w:rPr>
      </w:pPr>
    </w:p>
    <w:p w:rsidR="00BD492B" w:rsidP="00380DD4" w:rsidRDefault="00BD492B" w14:paraId="308CE2D8" w14:textId="77777777" w14:noSpellErr="1">
      <w:pPr>
        <w:spacing w:after="0"/>
        <w:jc w:val="both"/>
        <w:rPr>
          <w:rFonts w:ascii="Arial" w:hAnsi="Arial" w:cs="Arial"/>
        </w:rPr>
      </w:pPr>
    </w:p>
    <w:p w:rsidR="4080CB4F" w:rsidP="4080CB4F" w:rsidRDefault="4080CB4F" w14:paraId="1D73E7FA" w14:textId="4405C8FF">
      <w:pPr>
        <w:pStyle w:val="Normal"/>
        <w:spacing w:after="0"/>
        <w:jc w:val="both"/>
        <w:rPr>
          <w:rFonts w:ascii="Arial" w:hAnsi="Arial" w:cs="Arial"/>
        </w:rPr>
      </w:pPr>
    </w:p>
    <w:p w:rsidR="4080CB4F" w:rsidP="4080CB4F" w:rsidRDefault="4080CB4F" w14:paraId="7290228D" w14:textId="10E74088">
      <w:pPr>
        <w:pStyle w:val="Normal"/>
        <w:spacing w:after="0"/>
        <w:jc w:val="both"/>
        <w:rPr>
          <w:rFonts w:ascii="Arial" w:hAnsi="Arial" w:cs="Arial"/>
        </w:rPr>
      </w:pPr>
    </w:p>
    <w:p w:rsidR="4080CB4F" w:rsidP="4080CB4F" w:rsidRDefault="4080CB4F" w14:paraId="771C178D" w14:textId="15B819FB">
      <w:pPr>
        <w:pStyle w:val="Normal"/>
        <w:spacing w:after="0"/>
        <w:jc w:val="both"/>
        <w:rPr>
          <w:rFonts w:ascii="Arial" w:hAnsi="Arial" w:cs="Arial"/>
        </w:rPr>
      </w:pPr>
    </w:p>
    <w:p w:rsidR="4080CB4F" w:rsidP="4080CB4F" w:rsidRDefault="4080CB4F" w14:paraId="69B88C03" w14:textId="1321E2CF">
      <w:pPr>
        <w:pStyle w:val="Normal"/>
        <w:spacing w:after="0"/>
        <w:jc w:val="both"/>
        <w:rPr>
          <w:rFonts w:ascii="Arial" w:hAnsi="Arial" w:cs="Arial"/>
        </w:rPr>
      </w:pPr>
    </w:p>
    <w:p w:rsidR="00BD492B" w:rsidP="00380DD4" w:rsidRDefault="00BD492B" w14:paraId="6B9628B0" w14:textId="77777777">
      <w:pPr>
        <w:spacing w:after="0"/>
        <w:jc w:val="both"/>
        <w:rPr>
          <w:rFonts w:ascii="Arial" w:hAnsi="Arial" w:cs="Arial"/>
        </w:rPr>
      </w:pPr>
    </w:p>
    <w:p w:rsidRPr="00380DD4" w:rsidR="009157E3" w:rsidP="00380DD4" w:rsidRDefault="00380DD4" w14:paraId="2C973238" w14:textId="27E732D7">
      <w:pPr>
        <w:spacing w:after="0"/>
        <w:jc w:val="both"/>
        <w:rPr>
          <w:rFonts w:ascii="Arial" w:hAnsi="Arial" w:eastAsia="Geomanist Light" w:cs="Arial"/>
          <w:color w:val="201F1E"/>
          <w:lang w:val="es-MX"/>
        </w:rPr>
      </w:pPr>
      <w:r w:rsidRPr="00380DD4">
        <w:rPr>
          <w:rFonts w:ascii="Arial" w:hAnsi="Arial" w:cs="Arial"/>
        </w:rPr>
        <w:t>B</w:t>
      </w:r>
      <w:proofErr w:type="spellStart"/>
      <w:r w:rsidRPr="00380DD4" w:rsidR="009157E3">
        <w:rPr>
          <w:rFonts w:ascii="Arial" w:hAnsi="Arial" w:eastAsia="Geomanist Light" w:cs="Arial"/>
          <w:color w:val="000000" w:themeColor="text1"/>
          <w:lang w:val="es-MX"/>
        </w:rPr>
        <w:t>ogotá</w:t>
      </w:r>
      <w:proofErr w:type="spellEnd"/>
      <w:r w:rsidRPr="00380DD4" w:rsidR="009157E3">
        <w:rPr>
          <w:rFonts w:ascii="Arial" w:hAnsi="Arial" w:eastAsia="Geomanist Light" w:cs="Arial"/>
          <w:color w:val="000000" w:themeColor="text1"/>
          <w:lang w:val="es-MX"/>
        </w:rPr>
        <w:t xml:space="preserve"> D.C., </w:t>
      </w:r>
      <w:r w:rsidRPr="00380DD4">
        <w:rPr>
          <w:rFonts w:ascii="Arial" w:hAnsi="Arial" w:eastAsia="Geomanist Light" w:cs="Arial"/>
          <w:color w:val="201F1E"/>
          <w:lang w:val="es-MX"/>
        </w:rPr>
        <w:t>04 de Mayo de 2023</w:t>
      </w:r>
    </w:p>
    <w:p w:rsidRPr="00CA71FB" w:rsidR="009157E3" w:rsidP="009157E3" w:rsidRDefault="009157E3" w14:paraId="3F6E50E1" w14:textId="77777777">
      <w:pPr>
        <w:spacing w:after="0" w:line="240" w:lineRule="auto"/>
        <w:rPr>
          <w:rFonts w:ascii="Arial" w:hAnsi="Arial" w:eastAsia="Calibri" w:cs="Arial"/>
          <w:lang w:val="es-ES_tradnl"/>
        </w:rPr>
      </w:pPr>
    </w:p>
    <w:p w:rsidRPr="00CA71FB" w:rsidR="009157E3" w:rsidP="009157E3" w:rsidRDefault="009157E3" w14:paraId="0621ACF8" w14:textId="77777777">
      <w:pPr>
        <w:spacing w:after="0" w:line="240" w:lineRule="auto"/>
        <w:rPr>
          <w:rFonts w:ascii="Arial" w:hAnsi="Arial" w:eastAsia="Calibri" w:cs="Arial"/>
          <w:lang w:val="es-ES_tradnl"/>
        </w:rPr>
      </w:pPr>
    </w:p>
    <w:p w:rsidRPr="00CA71FB" w:rsidR="009157E3" w:rsidP="009157E3" w:rsidRDefault="009157E3" w14:paraId="54F568C7" w14:textId="0A2953EE">
      <w:pPr>
        <w:spacing w:after="0" w:line="240" w:lineRule="auto"/>
        <w:rPr>
          <w:rFonts w:ascii="Arial" w:hAnsi="Arial" w:eastAsia="Calibri" w:cs="Arial"/>
          <w:lang w:val="es-ES_tradnl"/>
        </w:rPr>
      </w:pPr>
      <w:r w:rsidRPr="00CA71FB">
        <w:rPr>
          <w:rFonts w:ascii="Arial" w:hAnsi="Arial" w:eastAsia="Calibri" w:cs="Arial"/>
          <w:lang w:val="es-ES_tradnl"/>
        </w:rPr>
        <w:t>Señor</w:t>
      </w:r>
    </w:p>
    <w:p w:rsidRPr="00CA71FB" w:rsidR="009157E3" w:rsidP="009157E3" w:rsidRDefault="00F17003" w14:paraId="65C18D75" w14:textId="64870913">
      <w:pPr>
        <w:spacing w:after="0" w:line="240" w:lineRule="auto"/>
        <w:rPr>
          <w:rFonts w:ascii="Arial" w:hAnsi="Arial" w:eastAsia="Calibri" w:cs="Arial"/>
          <w:b/>
          <w:lang w:val="es-ES_tradnl"/>
        </w:rPr>
      </w:pPr>
      <w:r>
        <w:rPr>
          <w:rFonts w:ascii="Arial" w:hAnsi="Arial" w:eastAsia="Calibri" w:cs="Arial"/>
          <w:b/>
          <w:lang w:val="es-ES_tradnl"/>
        </w:rPr>
        <w:t>Esteban Sanabria</w:t>
      </w:r>
    </w:p>
    <w:p w:rsidRPr="00F17003" w:rsidR="00F17003" w:rsidP="009157E3" w:rsidRDefault="00E849BD" w14:paraId="3F90AC90" w14:textId="77777777">
      <w:pPr>
        <w:spacing w:after="0" w:line="240" w:lineRule="auto"/>
        <w:rPr>
          <w:rFonts w:ascii="Arial" w:hAnsi="Arial" w:cs="Arial"/>
        </w:rPr>
      </w:pPr>
      <w:hyperlink w:history="1" r:id="rId9">
        <w:r w:rsidRPr="00F17003" w:rsidR="00F17003">
          <w:rPr>
            <w:rStyle w:val="Hipervnculo"/>
            <w:rFonts w:ascii="Arial" w:hAnsi="Arial" w:cs="Arial"/>
          </w:rPr>
          <w:t>esteban1sanabria@gmail.com</w:t>
        </w:r>
      </w:hyperlink>
      <w:r w:rsidRPr="00F17003" w:rsidR="00F17003">
        <w:rPr>
          <w:rFonts w:ascii="Arial" w:hAnsi="Arial" w:cs="Arial"/>
        </w:rPr>
        <w:t xml:space="preserve"> </w:t>
      </w:r>
    </w:p>
    <w:p w:rsidRPr="00CA71FB" w:rsidR="009157E3" w:rsidP="009157E3" w:rsidRDefault="00F17003" w14:paraId="75CBA49C" w14:textId="52472AF6">
      <w:pPr>
        <w:spacing w:after="0" w:line="240" w:lineRule="auto"/>
        <w:rPr>
          <w:rFonts w:ascii="Arial" w:hAnsi="Arial" w:eastAsia="Calibri" w:cs="Arial"/>
          <w:lang w:val="es-ES_tradnl"/>
        </w:rPr>
      </w:pPr>
      <w:r>
        <w:rPr>
          <w:rFonts w:ascii="Arial" w:hAnsi="Arial" w:eastAsia="Calibri" w:cs="Arial"/>
          <w:noProof/>
          <w:color w:val="000000"/>
          <w:lang w:val="es-ES_tradnl"/>
        </w:rPr>
        <w:t>Ciudad</w:t>
      </w:r>
    </w:p>
    <w:p w:rsidRPr="00CA71FB" w:rsidR="009157E3" w:rsidP="009157E3" w:rsidRDefault="009157E3" w14:paraId="2076F4CD" w14:textId="77777777">
      <w:pPr>
        <w:spacing w:after="0" w:line="240" w:lineRule="auto"/>
        <w:rPr>
          <w:rFonts w:ascii="Arial" w:hAnsi="Arial" w:eastAsia="Calibri" w:cs="Arial"/>
          <w:lang w:val="es-ES_tradnl"/>
        </w:rPr>
      </w:pPr>
    </w:p>
    <w:p w:rsidRPr="00CA71FB" w:rsidR="009157E3" w:rsidP="009157E3" w:rsidRDefault="009157E3" w14:paraId="0E9A2754" w14:textId="77777777">
      <w:pPr>
        <w:spacing w:after="0" w:line="240" w:lineRule="auto"/>
        <w:rPr>
          <w:rFonts w:ascii="Arial" w:hAnsi="Arial" w:eastAsia="Calibri" w:cs="Arial"/>
          <w:lang w:val="es-ES_tradnl"/>
        </w:rPr>
      </w:pPr>
    </w:p>
    <w:p w:rsidRPr="00CA71FB" w:rsidR="009157E3" w:rsidP="009157E3" w:rsidRDefault="009157E3" w14:paraId="4AE38699" w14:textId="3570591F">
      <w:pPr>
        <w:spacing w:after="0" w:line="240" w:lineRule="auto"/>
        <w:rPr>
          <w:rFonts w:ascii="Arial" w:hAnsi="Arial" w:eastAsia="Calibri" w:cs="Arial"/>
          <w:b/>
          <w:lang w:val="es-ES_tradnl"/>
        </w:rPr>
      </w:pPr>
      <w:r w:rsidRPr="00CA71FB">
        <w:rPr>
          <w:rFonts w:ascii="Arial" w:hAnsi="Arial" w:eastAsia="Calibri" w:cs="Arial"/>
          <w:b/>
          <w:lang w:val="es-ES_tradnl"/>
        </w:rPr>
        <w:t xml:space="preserve">                                            </w:t>
      </w:r>
      <w:r w:rsidRPr="00CA71FB">
        <w:rPr>
          <w:rFonts w:ascii="Arial" w:hAnsi="Arial" w:eastAsia="Calibri" w:cs="Arial"/>
          <w:b/>
          <w:lang w:val="es-ES_tradnl"/>
        </w:rPr>
        <w:tab/>
      </w:r>
      <w:r w:rsidRPr="00CA71FB">
        <w:rPr>
          <w:rFonts w:ascii="Arial" w:hAnsi="Arial" w:eastAsia="Calibri" w:cs="Arial"/>
          <w:b/>
          <w:lang w:val="es-ES_tradnl"/>
        </w:rPr>
        <w:t>Concepto C-</w:t>
      </w:r>
      <w:r w:rsidR="00F17003">
        <w:rPr>
          <w:rFonts w:ascii="Arial" w:hAnsi="Arial" w:eastAsia="Calibri" w:cs="Arial"/>
          <w:b/>
          <w:lang w:val="es-ES_tradnl"/>
        </w:rPr>
        <w:t>102</w:t>
      </w:r>
      <w:r w:rsidRPr="00CA71FB">
        <w:rPr>
          <w:rFonts w:ascii="Arial" w:hAnsi="Arial" w:eastAsia="Calibri" w:cs="Arial"/>
          <w:b/>
          <w:lang w:val="es-ES_tradnl"/>
        </w:rPr>
        <w:t xml:space="preserve"> de 2023</w:t>
      </w:r>
    </w:p>
    <w:p w:rsidRPr="00CA71FB" w:rsidR="009157E3" w:rsidP="009157E3" w:rsidRDefault="009157E3" w14:paraId="15AF878E" w14:textId="77777777">
      <w:pPr>
        <w:spacing w:after="0" w:line="240" w:lineRule="auto"/>
        <w:rPr>
          <w:rFonts w:ascii="Arial" w:hAnsi="Arial" w:eastAsia="Calibri" w:cs="Arial"/>
          <w:b/>
          <w:lang w:val="es-ES_tradnl"/>
        </w:rPr>
      </w:pPr>
    </w:p>
    <w:p w:rsidRPr="00CA71FB" w:rsidR="009157E3" w:rsidP="009157E3" w:rsidRDefault="009157E3" w14:paraId="09F0229D" w14:textId="77777777">
      <w:pPr>
        <w:spacing w:after="0" w:line="240" w:lineRule="auto"/>
        <w:rPr>
          <w:rFonts w:ascii="Arial" w:hAnsi="Arial" w:eastAsia="Calibri" w:cs="Arial"/>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A71FB" w:rsidR="009157E3" w:rsidTr="0062443E" w14:paraId="0AD6D84C" w14:textId="77777777">
        <w:tc>
          <w:tcPr>
            <w:tcW w:w="2689" w:type="dxa"/>
            <w:hideMark/>
          </w:tcPr>
          <w:p w:rsidRPr="00380DD4" w:rsidR="009157E3" w:rsidP="0062443E" w:rsidRDefault="009157E3" w14:paraId="5C6C9436" w14:textId="77777777">
            <w:pPr>
              <w:rPr>
                <w:rFonts w:ascii="Arial" w:hAnsi="Arial" w:eastAsia="Calibri" w:cs="Arial"/>
                <w:lang w:val="es-ES_tradnl"/>
              </w:rPr>
            </w:pPr>
            <w:r w:rsidRPr="00380DD4">
              <w:rPr>
                <w:rFonts w:ascii="Arial" w:hAnsi="Arial" w:eastAsia="Calibri" w:cs="Arial"/>
                <w:b/>
                <w:lang w:val="es-ES_tradnl"/>
              </w:rPr>
              <w:t>Temas:</w:t>
            </w:r>
            <w:r w:rsidRPr="00380DD4">
              <w:rPr>
                <w:rFonts w:ascii="Arial" w:hAnsi="Arial" w:eastAsia="Calibri" w:cs="Arial"/>
                <w:lang w:val="es-ES_tradnl"/>
              </w:rPr>
              <w:t xml:space="preserve">           </w:t>
            </w:r>
          </w:p>
          <w:p w:rsidRPr="00380DD4" w:rsidR="009157E3" w:rsidP="0062443E" w:rsidRDefault="009157E3" w14:paraId="4C7EB7C7" w14:textId="77777777">
            <w:pPr>
              <w:rPr>
                <w:rFonts w:ascii="Arial" w:hAnsi="Arial" w:eastAsia="Calibri" w:cs="Arial"/>
                <w:lang w:val="es-ES_tradnl"/>
              </w:rPr>
            </w:pPr>
            <w:r w:rsidRPr="00380DD4">
              <w:rPr>
                <w:rFonts w:ascii="Arial" w:hAnsi="Arial" w:eastAsia="Calibri" w:cs="Arial"/>
                <w:lang w:val="es-ES_tradnl"/>
              </w:rPr>
              <w:t xml:space="preserve">                           </w:t>
            </w:r>
          </w:p>
        </w:tc>
        <w:tc>
          <w:tcPr>
            <w:tcW w:w="6237" w:type="dxa"/>
            <w:hideMark/>
          </w:tcPr>
          <w:p w:rsidRPr="00380DD4" w:rsidR="00AF2ED0" w:rsidP="0062443E" w:rsidRDefault="00413926" w14:paraId="2F86AAF4" w14:textId="61D5F5D5">
            <w:pPr>
              <w:jc w:val="both"/>
              <w:rPr>
                <w:rFonts w:ascii="Arial" w:hAnsi="Arial" w:eastAsia="Calibri" w:cs="Arial"/>
                <w:bCs/>
                <w:color w:val="000000"/>
                <w:lang w:val="es-ES_tradnl"/>
              </w:rPr>
            </w:pPr>
            <w:r w:rsidRPr="00380DD4">
              <w:rPr>
                <w:rFonts w:ascii="Arial" w:hAnsi="Arial" w:eastAsia="Calibri" w:cs="Arial"/>
                <w:bCs/>
                <w:color w:val="000000"/>
                <w:lang w:val="es-ES_tradnl"/>
              </w:rPr>
              <w:t xml:space="preserve">CONTRATO DE PRESTACIÓN DE SERVICIOS </w:t>
            </w:r>
            <w:r w:rsidRPr="00380DD4" w:rsidR="00E3502B">
              <w:rPr>
                <w:rFonts w:ascii="Arial" w:hAnsi="Arial" w:eastAsia="Calibri" w:cs="Arial"/>
                <w:bCs/>
                <w:color w:val="000000"/>
                <w:lang w:val="es-ES_tradnl"/>
              </w:rPr>
              <w:t>–</w:t>
            </w:r>
            <w:r w:rsidRPr="00380DD4">
              <w:rPr>
                <w:rFonts w:ascii="Arial" w:hAnsi="Arial" w:eastAsia="Calibri" w:cs="Arial"/>
                <w:bCs/>
                <w:color w:val="000000"/>
                <w:lang w:val="es-ES_tradnl"/>
              </w:rPr>
              <w:t xml:space="preserve"> </w:t>
            </w:r>
            <w:r w:rsidRPr="00380DD4" w:rsidR="00E3502B">
              <w:rPr>
                <w:rFonts w:ascii="Arial" w:hAnsi="Arial" w:eastAsia="Calibri" w:cs="Arial"/>
                <w:bCs/>
                <w:color w:val="000000"/>
                <w:lang w:val="es-ES_tradnl"/>
              </w:rPr>
              <w:t xml:space="preserve">Concepto </w:t>
            </w:r>
            <w:r w:rsidRPr="00380DD4" w:rsidR="008A50BB">
              <w:rPr>
                <w:rFonts w:ascii="Arial" w:hAnsi="Arial" w:eastAsia="Calibri" w:cs="Arial"/>
                <w:bCs/>
                <w:color w:val="000000"/>
                <w:lang w:val="es-ES_tradnl"/>
              </w:rPr>
              <w:t xml:space="preserve">/ Características </w:t>
            </w:r>
            <w:r w:rsidRPr="00380DD4" w:rsidR="00A741D5">
              <w:rPr>
                <w:rFonts w:ascii="Arial" w:hAnsi="Arial" w:eastAsia="Calibri" w:cs="Arial"/>
                <w:bCs/>
                <w:color w:val="000000"/>
                <w:lang w:val="es-ES_tradnl"/>
              </w:rPr>
              <w:t xml:space="preserve">/ </w:t>
            </w:r>
            <w:r w:rsidRPr="00380DD4" w:rsidR="00D80836">
              <w:rPr>
                <w:rFonts w:ascii="Arial" w:hAnsi="Arial" w:eastAsia="Calibri" w:cs="Arial"/>
                <w:bCs/>
                <w:color w:val="000000"/>
                <w:lang w:val="es-ES_tradnl"/>
              </w:rPr>
              <w:t xml:space="preserve">CONTRATOS DE PRESTACIÓN DE SERVICIOS </w:t>
            </w:r>
            <w:r w:rsidRPr="00380DD4" w:rsidR="002E77EE">
              <w:rPr>
                <w:rFonts w:ascii="Arial" w:hAnsi="Arial" w:eastAsia="Calibri" w:cs="Arial"/>
                <w:bCs/>
                <w:color w:val="000000"/>
                <w:lang w:val="es-ES_tradnl"/>
              </w:rPr>
              <w:t>–</w:t>
            </w:r>
            <w:r w:rsidRPr="00380DD4" w:rsidR="00D80836">
              <w:rPr>
                <w:rFonts w:ascii="Arial" w:hAnsi="Arial" w:eastAsia="Calibri" w:cs="Arial"/>
                <w:bCs/>
                <w:color w:val="000000"/>
                <w:lang w:val="es-ES_tradnl"/>
              </w:rPr>
              <w:t xml:space="preserve"> </w:t>
            </w:r>
            <w:r w:rsidRPr="00380DD4" w:rsidR="002E2EAC">
              <w:rPr>
                <w:rFonts w:ascii="Arial" w:hAnsi="Arial" w:eastAsia="Calibri" w:cs="Arial"/>
                <w:bCs/>
                <w:color w:val="000000"/>
                <w:lang w:val="es-ES_tradnl"/>
              </w:rPr>
              <w:t>Fij</w:t>
            </w:r>
            <w:r w:rsidRPr="00380DD4" w:rsidR="002E77EE">
              <w:rPr>
                <w:rFonts w:ascii="Arial" w:hAnsi="Arial" w:eastAsia="Calibri" w:cs="Arial"/>
                <w:bCs/>
                <w:color w:val="000000"/>
                <w:lang w:val="es-ES_tradnl"/>
              </w:rPr>
              <w:t>ación de honorarios –</w:t>
            </w:r>
            <w:r w:rsidRPr="00380DD4" w:rsidR="00AF2ED0">
              <w:rPr>
                <w:rFonts w:ascii="Arial" w:hAnsi="Arial" w:eastAsia="Calibri" w:cs="Arial"/>
                <w:bCs/>
                <w:color w:val="000000"/>
                <w:lang w:val="es-ES_tradnl"/>
              </w:rPr>
              <w:t xml:space="preserve"> Tablas de honorarios –</w:t>
            </w:r>
          </w:p>
          <w:p w:rsidRPr="00380DD4" w:rsidR="009157E3" w:rsidP="0062443E" w:rsidRDefault="002E77EE" w14:paraId="345D372B" w14:textId="6844CBFC">
            <w:pPr>
              <w:jc w:val="both"/>
              <w:rPr>
                <w:rFonts w:ascii="Arial" w:hAnsi="Arial" w:eastAsia="Calibri" w:cs="Arial"/>
                <w:bCs/>
                <w:color w:val="000000"/>
                <w:lang w:val="es-ES_tradnl"/>
              </w:rPr>
            </w:pPr>
            <w:r w:rsidRPr="00380DD4">
              <w:rPr>
                <w:rFonts w:ascii="Arial" w:hAnsi="Arial" w:eastAsia="Calibri" w:cs="Arial"/>
                <w:bCs/>
                <w:color w:val="000000"/>
                <w:lang w:val="es-ES_tradnl"/>
              </w:rPr>
              <w:t xml:space="preserve"> Inclusión de impuestos</w:t>
            </w:r>
          </w:p>
          <w:p w:rsidRPr="00380DD4" w:rsidR="009157E3" w:rsidP="0062443E" w:rsidRDefault="009157E3" w14:paraId="771A3958" w14:textId="77777777">
            <w:pPr>
              <w:jc w:val="both"/>
              <w:rPr>
                <w:rFonts w:ascii="Arial" w:hAnsi="Arial" w:eastAsia="Calibri" w:cs="Arial"/>
                <w:bCs/>
                <w:color w:val="000000"/>
                <w:lang w:val="es-ES_tradnl"/>
              </w:rPr>
            </w:pPr>
          </w:p>
          <w:p w:rsidRPr="00380DD4" w:rsidR="009157E3" w:rsidP="0062443E" w:rsidRDefault="009157E3" w14:paraId="4416E52C" w14:textId="77777777">
            <w:pPr>
              <w:jc w:val="both"/>
              <w:rPr>
                <w:rFonts w:ascii="Arial" w:hAnsi="Arial" w:eastAsia="Calibri" w:cs="Arial"/>
                <w:bCs/>
                <w:color w:val="000000"/>
                <w:lang w:val="es-ES_tradnl"/>
              </w:rPr>
            </w:pPr>
          </w:p>
          <w:p w:rsidRPr="00380DD4" w:rsidR="009157E3" w:rsidP="0062443E" w:rsidRDefault="009157E3" w14:paraId="3D629ABB" w14:textId="77777777">
            <w:pPr>
              <w:jc w:val="both"/>
              <w:rPr>
                <w:rFonts w:ascii="Arial" w:hAnsi="Arial" w:eastAsia="Calibri" w:cs="Arial"/>
              </w:rPr>
            </w:pPr>
          </w:p>
        </w:tc>
      </w:tr>
      <w:tr w:rsidRPr="00CA71FB" w:rsidR="009157E3" w:rsidTr="0062443E" w14:paraId="2D63461C" w14:textId="77777777">
        <w:trPr>
          <w:trHeight w:val="239"/>
        </w:trPr>
        <w:tc>
          <w:tcPr>
            <w:tcW w:w="2689" w:type="dxa"/>
          </w:tcPr>
          <w:p w:rsidRPr="00CA71FB" w:rsidR="009157E3" w:rsidP="0062443E" w:rsidRDefault="009157E3" w14:paraId="6F347F59" w14:textId="77777777">
            <w:pPr>
              <w:rPr>
                <w:rFonts w:ascii="Arial" w:hAnsi="Arial" w:eastAsia="Calibri" w:cs="Arial"/>
                <w:b/>
                <w:lang w:val="es-ES_tradnl"/>
              </w:rPr>
            </w:pPr>
            <w:r w:rsidRPr="00CA71FB">
              <w:rPr>
                <w:rFonts w:ascii="Arial" w:hAnsi="Arial" w:eastAsia="Calibri" w:cs="Arial"/>
                <w:b/>
                <w:lang w:val="es-ES_tradnl"/>
              </w:rPr>
              <w:t>Radicación:</w:t>
            </w:r>
            <w:r w:rsidRPr="00CA71FB">
              <w:rPr>
                <w:rFonts w:ascii="Arial" w:hAnsi="Arial" w:eastAsia="Calibri" w:cs="Arial"/>
                <w:lang w:val="es-ES_tradnl"/>
              </w:rPr>
              <w:t xml:space="preserve">                              </w:t>
            </w:r>
          </w:p>
        </w:tc>
        <w:tc>
          <w:tcPr>
            <w:tcW w:w="6237" w:type="dxa"/>
          </w:tcPr>
          <w:p w:rsidRPr="00CA71FB" w:rsidR="009157E3" w:rsidP="0062443E" w:rsidRDefault="009157E3" w14:paraId="4C066BD2" w14:textId="115B10D1">
            <w:pPr>
              <w:jc w:val="both"/>
              <w:rPr>
                <w:rFonts w:ascii="Arial" w:hAnsi="Arial" w:eastAsia="Calibri" w:cs="Arial"/>
                <w:lang w:val="es-ES"/>
              </w:rPr>
            </w:pPr>
            <w:r w:rsidRPr="00CA71FB">
              <w:rPr>
                <w:rFonts w:ascii="Arial" w:hAnsi="Arial" w:eastAsia="Calibri" w:cs="Arial"/>
                <w:lang w:val="es-ES"/>
              </w:rPr>
              <w:t xml:space="preserve">Respuesta a consulta No. </w:t>
            </w:r>
            <w:r w:rsidRPr="00F17003" w:rsidR="00F17003">
              <w:rPr>
                <w:rFonts w:ascii="Arial" w:hAnsi="Arial" w:eastAsia="Calibri" w:cs="Arial"/>
                <w:lang w:val="es-ES"/>
              </w:rPr>
              <w:t>P20230321002615</w:t>
            </w:r>
            <w:r w:rsidRPr="00CA71FB">
              <w:rPr>
                <w:rFonts w:ascii="Arial" w:hAnsi="Arial" w:eastAsia="Calibri" w:cs="Arial"/>
              </w:rPr>
              <w:tab/>
            </w:r>
          </w:p>
        </w:tc>
      </w:tr>
    </w:tbl>
    <w:p w:rsidRPr="00CA71FB" w:rsidR="009157E3" w:rsidP="009157E3" w:rsidRDefault="009157E3" w14:paraId="54856C73" w14:textId="77777777">
      <w:pPr>
        <w:spacing w:after="0" w:line="240" w:lineRule="auto"/>
        <w:contextualSpacing/>
        <w:jc w:val="both"/>
        <w:rPr>
          <w:rFonts w:ascii="Arial" w:hAnsi="Arial" w:eastAsia="Calibri" w:cs="Arial"/>
          <w:lang w:val="es-ES_tradnl"/>
        </w:rPr>
      </w:pPr>
    </w:p>
    <w:p w:rsidRPr="00CA71FB" w:rsidR="009157E3" w:rsidP="009157E3" w:rsidRDefault="009157E3" w14:paraId="1D9E4E2C" w14:textId="77777777">
      <w:pPr>
        <w:spacing w:after="0" w:line="240" w:lineRule="auto"/>
        <w:contextualSpacing/>
        <w:rPr>
          <w:rFonts w:ascii="Arial" w:hAnsi="Arial" w:eastAsia="Calibri" w:cs="Arial"/>
          <w:lang w:val="es-ES_tradnl"/>
        </w:rPr>
      </w:pPr>
    </w:p>
    <w:p w:rsidRPr="00CA71FB" w:rsidR="009157E3" w:rsidP="009157E3" w:rsidRDefault="00F17003" w14:paraId="5D29B205" w14:textId="3F15B38D">
      <w:pPr>
        <w:spacing w:after="0" w:line="276" w:lineRule="auto"/>
        <w:contextualSpacing/>
        <w:rPr>
          <w:rFonts w:ascii="Arial" w:hAnsi="Arial" w:eastAsia="Calibri" w:cs="Arial"/>
          <w:lang w:val="es-ES_tradnl"/>
        </w:rPr>
      </w:pPr>
      <w:r>
        <w:rPr>
          <w:rFonts w:ascii="Arial" w:hAnsi="Arial" w:eastAsia="Calibri" w:cs="Arial"/>
          <w:lang w:val="es-ES_tradnl"/>
        </w:rPr>
        <w:t>Estimado señor Sanabria</w:t>
      </w:r>
      <w:r w:rsidRPr="00CA71FB" w:rsidR="009157E3">
        <w:rPr>
          <w:rFonts w:ascii="Arial" w:hAnsi="Arial" w:eastAsia="Calibri" w:cs="Arial"/>
          <w:lang w:val="es-ES_tradnl"/>
        </w:rPr>
        <w:t>:</w:t>
      </w:r>
    </w:p>
    <w:p w:rsidRPr="00CA71FB" w:rsidR="009157E3" w:rsidP="009157E3" w:rsidRDefault="009157E3" w14:paraId="239F40F6" w14:textId="77777777">
      <w:pPr>
        <w:spacing w:after="0" w:line="240" w:lineRule="auto"/>
        <w:jc w:val="both"/>
        <w:rPr>
          <w:rFonts w:ascii="Arial" w:hAnsi="Arial" w:eastAsia="Calibri" w:cs="Arial"/>
          <w:lang w:val="es-ES_tradnl"/>
        </w:rPr>
      </w:pPr>
    </w:p>
    <w:p w:rsidRPr="00CA71FB" w:rsidR="009157E3" w:rsidP="009157E3" w:rsidRDefault="009157E3" w14:paraId="2F8BDA5C" w14:textId="6767AD6D">
      <w:pPr>
        <w:spacing w:after="0" w:line="276" w:lineRule="auto"/>
        <w:ind w:right="51"/>
        <w:contextualSpacing/>
        <w:jc w:val="both"/>
        <w:rPr>
          <w:rFonts w:ascii="Arial" w:hAnsi="Arial" w:eastAsia="Calibri" w:cs="Arial"/>
          <w:lang w:val="es-ES_tradnl"/>
        </w:rPr>
      </w:pPr>
      <w:r w:rsidRPr="00CA71FB">
        <w:rPr>
          <w:rFonts w:ascii="Arial" w:hAnsi="Arial" w:eastAsia="Calibri" w:cs="Arial"/>
          <w:lang w:val="es-ES_tradnl"/>
        </w:rPr>
        <w:t>En ejercicio de la competencia otorgada por el numeral 8 del artículo 11 y el numeral 5 del artículo 3 del Decreto Ley 4170 de 2011</w:t>
      </w:r>
      <w:r w:rsidRPr="00CA71FB">
        <w:rPr>
          <w:rFonts w:ascii="Arial" w:hAnsi="Arial" w:eastAsia="Arial MT" w:cs="Arial"/>
          <w:lang w:val="es-ES"/>
        </w:rPr>
        <w:t>,</w:t>
      </w:r>
      <w:r w:rsidRPr="00CA71FB">
        <w:rPr>
          <w:rFonts w:ascii="Arial" w:hAnsi="Arial" w:eastAsia="Arial MT" w:cs="Arial"/>
          <w:spacing w:val="-7"/>
          <w:lang w:val="es-ES"/>
        </w:rPr>
        <w:t xml:space="preserve"> </w:t>
      </w:r>
      <w:r w:rsidRPr="00CA71FB">
        <w:rPr>
          <w:rFonts w:ascii="Arial" w:hAnsi="Arial" w:eastAsia="Arial MT" w:cs="Arial"/>
          <w:lang w:val="es-ES"/>
        </w:rPr>
        <w:t>y</w:t>
      </w:r>
      <w:r w:rsidRPr="00CA71FB">
        <w:rPr>
          <w:rFonts w:ascii="Arial" w:hAnsi="Arial" w:eastAsia="Arial MT" w:cs="Arial"/>
          <w:spacing w:val="-7"/>
          <w:lang w:val="es-ES"/>
        </w:rPr>
        <w:t xml:space="preserve"> </w:t>
      </w:r>
      <w:r w:rsidRPr="00CA71FB">
        <w:rPr>
          <w:rFonts w:ascii="Arial" w:hAnsi="Arial" w:eastAsia="Arial MT" w:cs="Arial"/>
          <w:lang w:val="es-ES"/>
        </w:rPr>
        <w:t>dentro</w:t>
      </w:r>
      <w:r w:rsidRPr="00CA71FB">
        <w:rPr>
          <w:rFonts w:ascii="Arial" w:hAnsi="Arial" w:eastAsia="Arial MT" w:cs="Arial"/>
          <w:spacing w:val="-7"/>
          <w:lang w:val="es-ES"/>
        </w:rPr>
        <w:t xml:space="preserve"> </w:t>
      </w:r>
      <w:r w:rsidRPr="00CA71FB">
        <w:rPr>
          <w:rFonts w:ascii="Arial" w:hAnsi="Arial" w:eastAsia="Arial MT" w:cs="Arial"/>
          <w:lang w:val="es-ES"/>
        </w:rPr>
        <w:t>de</w:t>
      </w:r>
      <w:r w:rsidRPr="00CA71FB">
        <w:rPr>
          <w:rFonts w:ascii="Arial" w:hAnsi="Arial" w:eastAsia="Arial MT" w:cs="Arial"/>
          <w:spacing w:val="-8"/>
          <w:lang w:val="es-ES"/>
        </w:rPr>
        <w:t xml:space="preserve"> </w:t>
      </w:r>
      <w:r w:rsidRPr="00CA71FB">
        <w:rPr>
          <w:rFonts w:ascii="Arial" w:hAnsi="Arial" w:eastAsia="Arial MT" w:cs="Arial"/>
          <w:lang w:val="es-ES"/>
        </w:rPr>
        <w:t>los</w:t>
      </w:r>
      <w:r w:rsidRPr="00CA71FB">
        <w:rPr>
          <w:rFonts w:ascii="Arial" w:hAnsi="Arial" w:eastAsia="Arial MT" w:cs="Arial"/>
          <w:spacing w:val="-7"/>
          <w:lang w:val="es-ES"/>
        </w:rPr>
        <w:t xml:space="preserve"> </w:t>
      </w:r>
      <w:r w:rsidRPr="00CA71FB">
        <w:rPr>
          <w:rFonts w:ascii="Arial" w:hAnsi="Arial" w:eastAsia="Arial MT" w:cs="Arial"/>
          <w:lang w:val="es-ES"/>
        </w:rPr>
        <w:t>términos</w:t>
      </w:r>
      <w:r w:rsidRPr="00CA71FB">
        <w:rPr>
          <w:rFonts w:ascii="Arial" w:hAnsi="Arial" w:eastAsia="Arial MT" w:cs="Arial"/>
          <w:spacing w:val="-6"/>
          <w:lang w:val="es-ES"/>
        </w:rPr>
        <w:t xml:space="preserve"> </w:t>
      </w:r>
      <w:r w:rsidRPr="00CA71FB">
        <w:rPr>
          <w:rFonts w:ascii="Arial" w:hAnsi="Arial" w:eastAsia="Arial MT" w:cs="Arial"/>
          <w:lang w:val="es-ES"/>
        </w:rPr>
        <w:t>establecidos</w:t>
      </w:r>
      <w:r w:rsidRPr="00CA71FB">
        <w:rPr>
          <w:rFonts w:ascii="Arial" w:hAnsi="Arial" w:eastAsia="Arial MT" w:cs="Arial"/>
          <w:spacing w:val="-8"/>
          <w:lang w:val="es-ES"/>
        </w:rPr>
        <w:t xml:space="preserve"> </w:t>
      </w:r>
      <w:r w:rsidRPr="00CA71FB">
        <w:rPr>
          <w:rFonts w:ascii="Arial" w:hAnsi="Arial" w:eastAsia="Arial MT" w:cs="Arial"/>
          <w:lang w:val="es-ES"/>
        </w:rPr>
        <w:t>en</w:t>
      </w:r>
      <w:r w:rsidRPr="00CA71FB">
        <w:rPr>
          <w:rFonts w:ascii="Arial" w:hAnsi="Arial" w:eastAsia="Arial MT" w:cs="Arial"/>
          <w:spacing w:val="-7"/>
          <w:lang w:val="es-ES"/>
        </w:rPr>
        <w:t xml:space="preserve"> </w:t>
      </w:r>
      <w:r w:rsidRPr="00CA71FB">
        <w:rPr>
          <w:rFonts w:ascii="Arial" w:hAnsi="Arial" w:eastAsia="Arial MT" w:cs="Arial"/>
          <w:lang w:val="es-ES"/>
        </w:rPr>
        <w:t>el artículo</w:t>
      </w:r>
      <w:r w:rsidRPr="00CA71FB">
        <w:rPr>
          <w:rFonts w:ascii="Arial" w:hAnsi="Arial" w:eastAsia="Arial MT" w:cs="Arial"/>
          <w:spacing w:val="-7"/>
          <w:lang w:val="es-ES"/>
        </w:rPr>
        <w:t xml:space="preserve"> </w:t>
      </w:r>
      <w:r w:rsidRPr="00CA71FB">
        <w:rPr>
          <w:rFonts w:ascii="Arial" w:hAnsi="Arial" w:eastAsia="Arial MT" w:cs="Arial"/>
          <w:lang w:val="es-ES"/>
        </w:rPr>
        <w:t>14</w:t>
      </w:r>
      <w:r w:rsidRPr="00CA71FB">
        <w:rPr>
          <w:rFonts w:ascii="Arial" w:hAnsi="Arial" w:eastAsia="Arial MT" w:cs="Arial"/>
          <w:spacing w:val="-6"/>
          <w:lang w:val="es-ES"/>
        </w:rPr>
        <w:t xml:space="preserve"> </w:t>
      </w:r>
      <w:r w:rsidRPr="00CA71FB">
        <w:rPr>
          <w:rFonts w:ascii="Arial" w:hAnsi="Arial" w:eastAsia="Arial MT" w:cs="Arial"/>
          <w:lang w:val="es-ES"/>
        </w:rPr>
        <w:t>de</w:t>
      </w:r>
      <w:r w:rsidRPr="00CA71FB">
        <w:rPr>
          <w:rFonts w:ascii="Arial" w:hAnsi="Arial" w:eastAsia="Arial MT" w:cs="Arial"/>
          <w:spacing w:val="-6"/>
          <w:lang w:val="es-ES"/>
        </w:rPr>
        <w:t xml:space="preserve"> </w:t>
      </w:r>
      <w:r w:rsidRPr="00CA71FB">
        <w:rPr>
          <w:rFonts w:ascii="Arial" w:hAnsi="Arial" w:eastAsia="Arial MT" w:cs="Arial"/>
          <w:lang w:val="es-ES"/>
        </w:rPr>
        <w:t>la</w:t>
      </w:r>
      <w:r w:rsidRPr="00CA71FB">
        <w:rPr>
          <w:rFonts w:ascii="Arial" w:hAnsi="Arial" w:eastAsia="Arial MT" w:cs="Arial"/>
          <w:spacing w:val="-6"/>
          <w:lang w:val="es-ES"/>
        </w:rPr>
        <w:t xml:space="preserve"> </w:t>
      </w:r>
      <w:r w:rsidRPr="00CA71FB">
        <w:rPr>
          <w:rFonts w:ascii="Arial" w:hAnsi="Arial" w:eastAsia="Arial MT" w:cs="Arial"/>
          <w:lang w:val="es-ES"/>
        </w:rPr>
        <w:t>Ley</w:t>
      </w:r>
      <w:r w:rsidRPr="00CA71FB">
        <w:rPr>
          <w:rFonts w:ascii="Arial" w:hAnsi="Arial" w:eastAsia="Arial MT" w:cs="Arial"/>
          <w:spacing w:val="-6"/>
          <w:lang w:val="es-ES"/>
        </w:rPr>
        <w:t xml:space="preserve"> </w:t>
      </w:r>
      <w:r w:rsidRPr="00CA71FB">
        <w:rPr>
          <w:rFonts w:ascii="Arial" w:hAnsi="Arial" w:eastAsia="Arial MT" w:cs="Arial"/>
          <w:lang w:val="es-ES"/>
        </w:rPr>
        <w:t>1437</w:t>
      </w:r>
      <w:r w:rsidRPr="00CA71FB">
        <w:rPr>
          <w:rFonts w:ascii="Arial" w:hAnsi="Arial" w:eastAsia="Arial MT" w:cs="Arial"/>
          <w:spacing w:val="-6"/>
          <w:lang w:val="es-ES"/>
        </w:rPr>
        <w:t xml:space="preserve"> </w:t>
      </w:r>
      <w:r w:rsidRPr="00CA71FB">
        <w:rPr>
          <w:rFonts w:ascii="Arial" w:hAnsi="Arial" w:eastAsia="Arial MT" w:cs="Arial"/>
          <w:lang w:val="es-ES"/>
        </w:rPr>
        <w:t>de</w:t>
      </w:r>
      <w:r w:rsidRPr="00CA71FB">
        <w:rPr>
          <w:rFonts w:ascii="Arial" w:hAnsi="Arial" w:eastAsia="Arial MT" w:cs="Arial"/>
          <w:spacing w:val="-6"/>
          <w:lang w:val="es-ES"/>
        </w:rPr>
        <w:t xml:space="preserve"> </w:t>
      </w:r>
      <w:r w:rsidRPr="00CA71FB">
        <w:rPr>
          <w:rFonts w:ascii="Arial" w:hAnsi="Arial" w:eastAsia="Arial MT" w:cs="Arial"/>
          <w:lang w:val="es-ES"/>
        </w:rPr>
        <w:t>2011,</w:t>
      </w:r>
      <w:r w:rsidRPr="00CA71FB">
        <w:rPr>
          <w:rFonts w:ascii="Arial" w:hAnsi="Arial" w:eastAsia="Arial MT" w:cs="Arial"/>
          <w:spacing w:val="-6"/>
          <w:lang w:val="es-ES"/>
        </w:rPr>
        <w:t xml:space="preserve"> </w:t>
      </w:r>
      <w:r w:rsidRPr="00CA71FB">
        <w:rPr>
          <w:rFonts w:ascii="Arial" w:hAnsi="Arial" w:eastAsia="Arial MT" w:cs="Arial"/>
          <w:lang w:val="es-ES"/>
        </w:rPr>
        <w:t>modificados</w:t>
      </w:r>
      <w:r w:rsidRPr="00CA71FB">
        <w:rPr>
          <w:rFonts w:ascii="Arial" w:hAnsi="Arial" w:eastAsia="Arial MT" w:cs="Arial"/>
          <w:spacing w:val="-6"/>
          <w:lang w:val="es-ES"/>
        </w:rPr>
        <w:t xml:space="preserve"> </w:t>
      </w:r>
      <w:r w:rsidRPr="00CA71FB">
        <w:rPr>
          <w:rFonts w:ascii="Arial" w:hAnsi="Arial" w:eastAsia="Arial MT" w:cs="Arial"/>
          <w:lang w:val="es-ES"/>
        </w:rPr>
        <w:t>por</w:t>
      </w:r>
      <w:r w:rsidRPr="00CA71FB">
        <w:rPr>
          <w:rFonts w:ascii="Arial" w:hAnsi="Arial" w:eastAsia="Arial MT" w:cs="Arial"/>
          <w:spacing w:val="-6"/>
          <w:lang w:val="es-ES"/>
        </w:rPr>
        <w:t xml:space="preserve"> </w:t>
      </w:r>
      <w:r w:rsidRPr="00CA71FB">
        <w:rPr>
          <w:rFonts w:ascii="Arial" w:hAnsi="Arial" w:eastAsia="Arial MT" w:cs="Arial"/>
          <w:lang w:val="es-ES"/>
        </w:rPr>
        <w:t>el</w:t>
      </w:r>
      <w:r w:rsidRPr="00CA71FB">
        <w:rPr>
          <w:rFonts w:ascii="Arial" w:hAnsi="Arial" w:eastAsia="Arial MT" w:cs="Arial"/>
          <w:spacing w:val="-6"/>
          <w:lang w:val="es-ES"/>
        </w:rPr>
        <w:t xml:space="preserve"> </w:t>
      </w:r>
      <w:r w:rsidRPr="00CA71FB">
        <w:rPr>
          <w:rFonts w:ascii="Arial" w:hAnsi="Arial" w:eastAsia="Arial MT" w:cs="Arial"/>
          <w:lang w:val="es-ES"/>
        </w:rPr>
        <w:t>artículo</w:t>
      </w:r>
      <w:r w:rsidRPr="00CA71FB">
        <w:rPr>
          <w:rFonts w:ascii="Arial" w:hAnsi="Arial" w:eastAsia="Arial MT" w:cs="Arial"/>
          <w:spacing w:val="-7"/>
          <w:lang w:val="es-ES"/>
        </w:rPr>
        <w:t xml:space="preserve"> </w:t>
      </w:r>
      <w:r w:rsidRPr="00CA71FB">
        <w:rPr>
          <w:rFonts w:ascii="Arial" w:hAnsi="Arial" w:eastAsia="Arial MT" w:cs="Arial"/>
          <w:lang w:val="es-ES"/>
        </w:rPr>
        <w:t>5</w:t>
      </w:r>
      <w:r w:rsidRPr="00CA71FB">
        <w:rPr>
          <w:rFonts w:ascii="Arial" w:hAnsi="Arial" w:eastAsia="Arial MT" w:cs="Arial"/>
          <w:spacing w:val="-6"/>
          <w:lang w:val="es-ES"/>
        </w:rPr>
        <w:t xml:space="preserve"> </w:t>
      </w:r>
      <w:r w:rsidRPr="00CA71FB">
        <w:rPr>
          <w:rFonts w:ascii="Arial" w:hAnsi="Arial" w:eastAsia="Arial MT" w:cs="Arial"/>
          <w:lang w:val="es-ES"/>
        </w:rPr>
        <w:t>del</w:t>
      </w:r>
      <w:r w:rsidRPr="00CA71FB">
        <w:rPr>
          <w:rFonts w:ascii="Arial" w:hAnsi="Arial" w:eastAsia="Arial MT" w:cs="Arial"/>
          <w:spacing w:val="-6"/>
          <w:lang w:val="es-ES"/>
        </w:rPr>
        <w:t xml:space="preserve"> </w:t>
      </w:r>
      <w:r w:rsidRPr="00CA71FB">
        <w:rPr>
          <w:rFonts w:ascii="Arial" w:hAnsi="Arial" w:eastAsia="Arial MT" w:cs="Arial"/>
          <w:lang w:val="es-ES"/>
        </w:rPr>
        <w:t>Decreto</w:t>
      </w:r>
      <w:r w:rsidRPr="00CA71FB">
        <w:rPr>
          <w:rFonts w:ascii="Arial" w:hAnsi="Arial" w:eastAsia="Arial MT" w:cs="Arial"/>
          <w:spacing w:val="-6"/>
          <w:lang w:val="es-ES"/>
        </w:rPr>
        <w:t xml:space="preserve"> </w:t>
      </w:r>
      <w:r w:rsidRPr="00CA71FB">
        <w:rPr>
          <w:rFonts w:ascii="Arial" w:hAnsi="Arial" w:eastAsia="Arial MT" w:cs="Arial"/>
          <w:lang w:val="es-ES"/>
        </w:rPr>
        <w:t>Legislativo 491 del 28 de marzo de 2020, l</w:t>
      </w:r>
      <w:r w:rsidRPr="00CA71FB">
        <w:rPr>
          <w:rFonts w:ascii="Arial" w:hAnsi="Arial" w:eastAsia="Calibri" w:cs="Arial"/>
          <w:lang w:val="es-ES_tradnl"/>
        </w:rPr>
        <w:t xml:space="preserve">a Agencia Nacional de Contratación Pública – Colombia Compra Eficiente responde su consulta recibida el </w:t>
      </w:r>
      <w:r w:rsidR="00F17003">
        <w:rPr>
          <w:rFonts w:ascii="Arial" w:hAnsi="Arial" w:eastAsia="Calibri" w:cs="Arial"/>
          <w:lang w:val="es-ES_tradnl"/>
        </w:rPr>
        <w:t>21</w:t>
      </w:r>
      <w:r w:rsidRPr="00CA71FB">
        <w:rPr>
          <w:rFonts w:ascii="Arial" w:hAnsi="Arial" w:eastAsia="Calibri" w:cs="Arial"/>
          <w:lang w:val="es-ES_tradnl"/>
        </w:rPr>
        <w:t xml:space="preserve"> de marzo de 2023.</w:t>
      </w:r>
    </w:p>
    <w:p w:rsidRPr="00CA71FB" w:rsidR="009157E3" w:rsidP="009157E3" w:rsidRDefault="009157E3" w14:paraId="2344CFB8" w14:textId="77777777">
      <w:pPr>
        <w:tabs>
          <w:tab w:val="left" w:pos="284"/>
        </w:tabs>
        <w:spacing w:after="0" w:line="276" w:lineRule="auto"/>
        <w:contextualSpacing/>
        <w:jc w:val="both"/>
        <w:rPr>
          <w:rFonts w:ascii="Arial" w:hAnsi="Arial" w:eastAsia="Calibri" w:cs="Arial"/>
          <w:lang w:val="es-ES_tradnl"/>
        </w:rPr>
      </w:pPr>
    </w:p>
    <w:p w:rsidRPr="00CA71FB" w:rsidR="009157E3" w:rsidP="009157E3" w:rsidRDefault="009157E3" w14:paraId="21E18695" w14:textId="77777777">
      <w:pPr>
        <w:tabs>
          <w:tab w:val="left" w:pos="284"/>
        </w:tabs>
        <w:spacing w:after="0" w:line="276" w:lineRule="auto"/>
        <w:contextualSpacing/>
        <w:jc w:val="both"/>
        <w:rPr>
          <w:rFonts w:ascii="Arial" w:hAnsi="Arial" w:eastAsia="Calibri" w:cs="Arial"/>
          <w:b/>
          <w:lang w:val="es-ES_tradnl"/>
        </w:rPr>
      </w:pPr>
      <w:r w:rsidRPr="00CA71FB">
        <w:rPr>
          <w:rFonts w:ascii="Arial" w:hAnsi="Arial" w:eastAsia="Calibri" w:cs="Arial"/>
          <w:b/>
          <w:lang w:val="es-ES_tradnl"/>
        </w:rPr>
        <w:t>1.</w:t>
      </w:r>
      <w:r w:rsidRPr="00CA71FB">
        <w:rPr>
          <w:rFonts w:ascii="Arial" w:hAnsi="Arial" w:eastAsia="Calibri" w:cs="Arial"/>
          <w:lang w:val="es-ES_tradnl"/>
        </w:rPr>
        <w:t xml:space="preserve"> </w:t>
      </w:r>
      <w:r w:rsidRPr="00CA71FB">
        <w:rPr>
          <w:rFonts w:ascii="Arial" w:hAnsi="Arial" w:eastAsia="Calibri" w:cs="Arial"/>
          <w:b/>
          <w:lang w:val="es-ES_tradnl"/>
        </w:rPr>
        <w:t xml:space="preserve">Problema planteado </w:t>
      </w:r>
    </w:p>
    <w:p w:rsidRPr="00CA71FB" w:rsidR="009157E3" w:rsidP="009157E3" w:rsidRDefault="009157E3" w14:paraId="63F4D991" w14:textId="77777777">
      <w:pPr>
        <w:tabs>
          <w:tab w:val="left" w:pos="284"/>
        </w:tabs>
        <w:spacing w:after="0" w:line="276" w:lineRule="auto"/>
        <w:contextualSpacing/>
        <w:jc w:val="both"/>
        <w:rPr>
          <w:rFonts w:ascii="Arial" w:hAnsi="Arial" w:eastAsia="Calibri" w:cs="Arial"/>
          <w:b/>
          <w:lang w:val="es-ES_tradnl"/>
        </w:rPr>
      </w:pPr>
    </w:p>
    <w:p w:rsidR="005B7B3A" w:rsidP="009157E3" w:rsidRDefault="009157E3" w14:paraId="5298DBC2" w14:textId="77777777">
      <w:pPr>
        <w:tabs>
          <w:tab w:val="left" w:pos="284"/>
        </w:tabs>
        <w:spacing w:after="0" w:line="276" w:lineRule="auto"/>
        <w:contextualSpacing/>
        <w:jc w:val="both"/>
        <w:rPr>
          <w:rFonts w:ascii="Arial" w:hAnsi="Arial" w:eastAsia="Calibri" w:cs="Arial"/>
          <w:bCs/>
          <w:lang w:val="es-ES_tradnl"/>
        </w:rPr>
      </w:pPr>
      <w:r w:rsidRPr="00CA71FB">
        <w:rPr>
          <w:rFonts w:ascii="Arial" w:hAnsi="Arial" w:eastAsia="Calibri" w:cs="Arial"/>
          <w:bCs/>
          <w:lang w:val="es-ES_tradnl"/>
        </w:rPr>
        <w:t xml:space="preserve">Usted realiza la siguiente petición de consulta: </w:t>
      </w:r>
    </w:p>
    <w:p w:rsidR="005B7B3A" w:rsidP="009157E3" w:rsidRDefault="005B7B3A" w14:paraId="4E30A004" w14:textId="77777777">
      <w:pPr>
        <w:tabs>
          <w:tab w:val="left" w:pos="284"/>
        </w:tabs>
        <w:spacing w:after="0" w:line="276" w:lineRule="auto"/>
        <w:contextualSpacing/>
        <w:jc w:val="both"/>
        <w:rPr>
          <w:rFonts w:ascii="Arial" w:hAnsi="Arial" w:eastAsia="Calibri" w:cs="Arial"/>
          <w:bCs/>
          <w:lang w:val="es-ES_tradnl"/>
        </w:rPr>
      </w:pPr>
    </w:p>
    <w:p w:rsidRPr="00131E11" w:rsidR="00A613B3" w:rsidP="00131E11" w:rsidRDefault="009157E3" w14:paraId="5021AFAC" w14:textId="30066829">
      <w:pPr>
        <w:tabs>
          <w:tab w:val="left" w:pos="284"/>
        </w:tabs>
        <w:spacing w:after="0" w:line="240" w:lineRule="auto"/>
        <w:ind w:left="709" w:right="709"/>
        <w:contextualSpacing/>
        <w:jc w:val="both"/>
        <w:rPr>
          <w:rFonts w:ascii="Arial" w:hAnsi="Arial" w:eastAsia="Calibri" w:cs="Arial"/>
          <w:bCs/>
          <w:sz w:val="21"/>
          <w:szCs w:val="21"/>
          <w:lang w:val="es-ES_tradnl"/>
        </w:rPr>
      </w:pPr>
      <w:bookmarkStart w:name="_Hlk132965427" w:id="0"/>
      <w:r w:rsidRPr="00131E11">
        <w:rPr>
          <w:rFonts w:ascii="Arial" w:hAnsi="Arial" w:eastAsia="Calibri" w:cs="Arial"/>
          <w:bCs/>
          <w:sz w:val="21"/>
          <w:szCs w:val="21"/>
          <w:lang w:val="es-ES_tradnl"/>
        </w:rPr>
        <w:t>“</w:t>
      </w:r>
      <w:r w:rsidRPr="00131E11" w:rsidR="00E05BA1">
        <w:rPr>
          <w:rFonts w:ascii="Arial" w:hAnsi="Arial" w:eastAsia="Calibri" w:cs="Arial"/>
          <w:bCs/>
          <w:sz w:val="21"/>
          <w:szCs w:val="21"/>
          <w:lang w:val="es-ES_tradnl"/>
        </w:rPr>
        <w:t xml:space="preserve">Si una entidad fija </w:t>
      </w:r>
      <w:r w:rsidRPr="00131E11" w:rsidR="006D77CA">
        <w:rPr>
          <w:rFonts w:ascii="Arial" w:hAnsi="Arial" w:eastAsia="Calibri" w:cs="Arial"/>
          <w:bCs/>
          <w:sz w:val="21"/>
          <w:szCs w:val="21"/>
          <w:lang w:val="es-ES_tradnl"/>
        </w:rPr>
        <w:t>el valor de la remuneración de los contratistas que prestan servici</w:t>
      </w:r>
      <w:r w:rsidRPr="00131E11" w:rsidR="00450613">
        <w:rPr>
          <w:rFonts w:ascii="Arial" w:hAnsi="Arial" w:eastAsia="Calibri" w:cs="Arial"/>
          <w:bCs/>
          <w:sz w:val="21"/>
          <w:szCs w:val="21"/>
          <w:lang w:val="es-ES_tradnl"/>
        </w:rPr>
        <w:t>os profesionales de acuerdo con una tabl</w:t>
      </w:r>
      <w:r w:rsidR="005D70C7">
        <w:rPr>
          <w:rFonts w:ascii="Arial" w:hAnsi="Arial" w:eastAsia="Calibri" w:cs="Arial"/>
          <w:bCs/>
          <w:sz w:val="21"/>
          <w:szCs w:val="21"/>
          <w:lang w:val="es-ES_tradnl"/>
        </w:rPr>
        <w:t xml:space="preserve">a </w:t>
      </w:r>
      <w:r w:rsidRPr="00131E11" w:rsidR="00450613">
        <w:rPr>
          <w:rFonts w:ascii="Arial" w:hAnsi="Arial" w:eastAsia="Calibri" w:cs="Arial"/>
          <w:bCs/>
          <w:sz w:val="21"/>
          <w:szCs w:val="21"/>
          <w:lang w:val="es-ES_tradnl"/>
        </w:rPr>
        <w:t xml:space="preserve">interna de Honorarios, y el contratista es responsable de IVA, ¿el valor </w:t>
      </w:r>
      <w:r w:rsidRPr="00131E11" w:rsidR="00A503A6">
        <w:rPr>
          <w:rFonts w:ascii="Arial" w:hAnsi="Arial" w:eastAsia="Calibri" w:cs="Arial"/>
          <w:bCs/>
          <w:sz w:val="21"/>
          <w:szCs w:val="21"/>
          <w:lang w:val="es-ES_tradnl"/>
        </w:rPr>
        <w:t>fijado en la tabla de honorarios incluye el valor del IVA, o dicho impuesto debe sumarse al valor establecido de la tabla de honorarios?</w:t>
      </w:r>
    </w:p>
    <w:p w:rsidRPr="00131E11" w:rsidR="009157E3" w:rsidP="00131E11" w:rsidRDefault="00D42D87" w14:paraId="434B8EE7" w14:textId="515CBCB7">
      <w:pPr>
        <w:spacing w:before="120" w:after="120" w:line="240" w:lineRule="auto"/>
        <w:ind w:left="709" w:right="709"/>
        <w:jc w:val="both"/>
        <w:rPr>
          <w:rFonts w:ascii="Arial" w:hAnsi="Arial" w:eastAsia="Calibri" w:cs="Arial"/>
          <w:bCs/>
          <w:sz w:val="21"/>
          <w:szCs w:val="21"/>
          <w:lang w:val="es-ES_tradnl"/>
        </w:rPr>
      </w:pPr>
      <w:r w:rsidRPr="00131E11">
        <w:rPr>
          <w:rFonts w:ascii="Arial" w:hAnsi="Arial" w:eastAsia="Calibri" w:cs="Arial"/>
          <w:bCs/>
          <w:sz w:val="21"/>
          <w:szCs w:val="21"/>
          <w:lang w:val="es-ES_tradnl"/>
        </w:rPr>
        <w:t>Si la entidad pública decide incluir el IVA del valor establecido en la tabla de honorarios y en consecuencia es el contratista quien asume el IVA, y se desagre</w:t>
      </w:r>
      <w:r w:rsidRPr="00131E11" w:rsidR="00245D95">
        <w:rPr>
          <w:rFonts w:ascii="Arial" w:hAnsi="Arial" w:eastAsia="Calibri" w:cs="Arial"/>
          <w:bCs/>
          <w:sz w:val="21"/>
          <w:szCs w:val="21"/>
          <w:lang w:val="es-ES_tradnl"/>
        </w:rPr>
        <w:t>ga el valor de los honorarios y del IVA en la cláusula de pago del contrato estableciendo la cuantía de cada uno, y en ejecución del contrato el contratista deja de ser responsable de IVA, ¿ese valor del IVA pasa a ser de propiedad de la entidad pública y debe liberarse presupuestalmente? ¿debe disminuir</w:t>
      </w:r>
      <w:r w:rsidRPr="00131E11" w:rsidR="00BB24FC">
        <w:rPr>
          <w:rFonts w:ascii="Arial" w:hAnsi="Arial" w:eastAsia="Calibri" w:cs="Arial"/>
          <w:bCs/>
          <w:sz w:val="21"/>
          <w:szCs w:val="21"/>
          <w:lang w:val="es-ES_tradnl"/>
        </w:rPr>
        <w:t>se el valor del contrato? o por el contrario ¿ese valor debe pagarse al contratista como honorarios?</w:t>
      </w:r>
      <w:r w:rsidRPr="00131E11" w:rsidR="009157E3">
        <w:rPr>
          <w:rFonts w:ascii="Arial" w:hAnsi="Arial" w:eastAsia="Calibri" w:cs="Arial"/>
          <w:bCs/>
          <w:sz w:val="21"/>
          <w:szCs w:val="21"/>
          <w:lang w:val="es-ES_tradnl"/>
        </w:rPr>
        <w:t xml:space="preserve"> [</w:t>
      </w:r>
      <w:r w:rsidRPr="00131E11" w:rsidR="009157E3">
        <w:rPr>
          <w:rFonts w:ascii="Arial" w:hAnsi="Arial" w:eastAsia="Calibri" w:cs="Arial"/>
          <w:bCs/>
          <w:sz w:val="21"/>
          <w:szCs w:val="21"/>
          <w:lang w:val="es-MX"/>
        </w:rPr>
        <w:t>sic</w:t>
      </w:r>
      <w:r w:rsidRPr="00131E11" w:rsidR="009157E3">
        <w:rPr>
          <w:rFonts w:ascii="Arial" w:hAnsi="Arial" w:eastAsia="Calibri" w:cs="Arial"/>
          <w:bCs/>
          <w:sz w:val="21"/>
          <w:szCs w:val="21"/>
          <w:lang w:val="es-ES_tradnl"/>
        </w:rPr>
        <w:t>]”</w:t>
      </w:r>
    </w:p>
    <w:p w:rsidRPr="00CA71FB" w:rsidR="009157E3" w:rsidP="009157E3" w:rsidRDefault="009157E3" w14:paraId="44B61E17" w14:textId="77777777">
      <w:pPr>
        <w:spacing w:after="0" w:line="276" w:lineRule="auto"/>
        <w:jc w:val="both"/>
        <w:rPr>
          <w:rFonts w:ascii="Arial" w:hAnsi="Arial" w:eastAsia="Calibri" w:cs="Arial"/>
          <w:lang w:val="es-ES_tradnl"/>
        </w:rPr>
      </w:pPr>
    </w:p>
    <w:bookmarkEnd w:id="0"/>
    <w:p w:rsidRPr="00CA71FB" w:rsidR="009157E3" w:rsidP="009157E3" w:rsidRDefault="009157E3" w14:paraId="19AD40F5" w14:textId="77777777">
      <w:pPr>
        <w:tabs>
          <w:tab w:val="left" w:pos="426"/>
        </w:tabs>
        <w:spacing w:after="0" w:line="276" w:lineRule="auto"/>
        <w:jc w:val="both"/>
        <w:rPr>
          <w:rFonts w:ascii="Arial" w:hAnsi="Arial" w:eastAsia="Calibri" w:cs="Arial"/>
          <w:b/>
          <w:lang w:val="es-ES_tradnl"/>
        </w:rPr>
      </w:pPr>
      <w:r w:rsidRPr="00CA71FB">
        <w:rPr>
          <w:rFonts w:ascii="Arial" w:hAnsi="Arial" w:eastAsia="Calibri" w:cs="Arial"/>
          <w:b/>
          <w:lang w:val="es-ES_tradnl"/>
        </w:rPr>
        <w:t>2.</w:t>
      </w:r>
      <w:r w:rsidRPr="00CA71FB">
        <w:rPr>
          <w:rFonts w:ascii="Arial" w:hAnsi="Arial" w:eastAsia="Calibri" w:cs="Arial"/>
          <w:lang w:val="es-ES_tradnl"/>
        </w:rPr>
        <w:t xml:space="preserve"> </w:t>
      </w:r>
      <w:r w:rsidRPr="00CA71FB">
        <w:rPr>
          <w:rFonts w:ascii="Arial" w:hAnsi="Arial" w:eastAsia="Calibri" w:cs="Arial"/>
          <w:b/>
          <w:lang w:val="es-ES_tradnl"/>
        </w:rPr>
        <w:t>Consideraciones</w:t>
      </w:r>
    </w:p>
    <w:p w:rsidRPr="00CA71FB" w:rsidR="009157E3" w:rsidP="009157E3" w:rsidRDefault="009157E3" w14:paraId="26A1C05C" w14:textId="77777777">
      <w:pPr>
        <w:spacing w:after="0" w:line="276" w:lineRule="auto"/>
        <w:jc w:val="both"/>
        <w:rPr>
          <w:rFonts w:ascii="Arial" w:hAnsi="Arial" w:eastAsia="Calibri" w:cs="Arial"/>
          <w:color w:val="000000"/>
          <w:lang w:val="es-ES_tradnl"/>
        </w:rPr>
      </w:pPr>
    </w:p>
    <w:p w:rsidR="0021371F" w:rsidP="0021371F" w:rsidRDefault="009157E3" w14:paraId="398AC098" w14:textId="77777777">
      <w:pPr>
        <w:pStyle w:val="paragraph"/>
        <w:spacing w:before="0" w:beforeAutospacing="0" w:after="0" w:afterAutospacing="0"/>
        <w:jc w:val="both"/>
        <w:textAlignment w:val="baseline"/>
        <w:rPr>
          <w:rFonts w:ascii="Segoe UI" w:hAnsi="Segoe UI" w:cs="Segoe UI"/>
          <w:sz w:val="18"/>
          <w:szCs w:val="18"/>
        </w:rPr>
      </w:pPr>
      <w:r w:rsidRPr="00CA71FB">
        <w:rPr>
          <w:rFonts w:ascii="Arial" w:hAnsi="Arial" w:eastAsia="Calibri" w:cs="Arial"/>
          <w:bCs/>
          <w:lang w:val="es-MX"/>
        </w:rPr>
        <w:t xml:space="preserve">En ejercicio de las competencias establecidas en los artículos 3.5 y 11.8 del Decreto 4170 de </w:t>
      </w:r>
      <w:r w:rsidR="0021371F">
        <w:rPr>
          <w:rStyle w:val="normaltextrun"/>
          <w:rFonts w:ascii="Arial" w:hAnsi="Arial" w:cs="Arial"/>
          <w:sz w:val="22"/>
          <w:szCs w:val="22"/>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0021371F">
        <w:rPr>
          <w:rStyle w:val="normaltextrun"/>
          <w:rFonts w:ascii="Arial" w:hAnsi="Arial" w:cs="Arial"/>
          <w:sz w:val="22"/>
          <w:szCs w:val="22"/>
          <w:lang w:val="es-ES"/>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21371F">
        <w:rPr>
          <w:rStyle w:val="normaltextrun"/>
          <w:rFonts w:ascii="Arial" w:hAnsi="Arial" w:cs="Arial"/>
          <w:sz w:val="22"/>
          <w:szCs w:val="22"/>
          <w:lang w:val="es-MX"/>
        </w:rPr>
        <w:t xml:space="preserve"> de todos los partícipes de la contratación estatal.</w:t>
      </w:r>
      <w:r w:rsidR="0021371F">
        <w:rPr>
          <w:rStyle w:val="eop"/>
          <w:rFonts w:ascii="Arial" w:hAnsi="Arial" w:cs="Arial"/>
          <w:sz w:val="22"/>
          <w:szCs w:val="22"/>
        </w:rPr>
        <w:t> </w:t>
      </w:r>
    </w:p>
    <w:p w:rsidR="0021371F" w:rsidP="0021371F" w:rsidRDefault="0021371F" w14:paraId="1B0B622F" w14:textId="01F78A6A">
      <w:pPr>
        <w:pStyle w:val="paragraph"/>
        <w:spacing w:before="120" w:beforeAutospacing="0" w:after="0" w:afterAutospacing="0"/>
        <w:ind w:firstLine="703"/>
        <w:jc w:val="both"/>
        <w:textAlignment w:val="baseline"/>
        <w:rPr>
          <w:rFonts w:ascii="Segoe UI" w:hAnsi="Segoe UI" w:cs="Segoe UI"/>
          <w:sz w:val="18"/>
          <w:szCs w:val="18"/>
        </w:rPr>
      </w:pPr>
      <w:r>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superscript"/>
          <w:rFonts w:ascii="Arial" w:hAnsi="Arial" w:cs="Arial"/>
          <w:sz w:val="17"/>
          <w:szCs w:val="17"/>
          <w:vertAlign w:val="superscript"/>
          <w:lang w:val="es-ES"/>
        </w:rPr>
        <w:t>1</w:t>
      </w:r>
      <w:r>
        <w:rPr>
          <w:rStyle w:val="normaltextrun"/>
          <w:rFonts w:ascii="Arial" w:hAnsi="Arial" w:cs="Arial"/>
          <w:sz w:val="22"/>
          <w:szCs w:val="22"/>
          <w:lang w:val="es-ES"/>
        </w:rPr>
        <w:t>. Esta competencia de interpretación de normas generales, por definición, no puede extenderse a la resolución de controversias, ni a brindar asesorías sobre casos puntuales.</w:t>
      </w:r>
      <w:r>
        <w:rPr>
          <w:rStyle w:val="eop"/>
          <w:rFonts w:ascii="Arial" w:hAnsi="Arial" w:cs="Arial"/>
          <w:sz w:val="22"/>
          <w:szCs w:val="22"/>
        </w:rPr>
        <w:t> </w:t>
      </w:r>
    </w:p>
    <w:p w:rsidR="0021371F" w:rsidP="0021371F" w:rsidRDefault="0021371F" w14:paraId="1EC26C2F" w14:textId="046486C0">
      <w:pPr>
        <w:pStyle w:val="paragraph"/>
        <w:spacing w:before="120" w:beforeAutospacing="0" w:after="0" w:afterAutospacing="0"/>
        <w:ind w:firstLine="703"/>
        <w:jc w:val="both"/>
        <w:textAlignment w:val="baseline"/>
        <w:rPr>
          <w:rFonts w:ascii="Segoe UI" w:hAnsi="Segoe UI" w:cs="Segoe UI"/>
          <w:sz w:val="18"/>
          <w:szCs w:val="18"/>
        </w:rPr>
      </w:pPr>
      <w:r>
        <w:rPr>
          <w:rStyle w:val="normaltextrun"/>
          <w:rFonts w:ascii="Arial" w:hAnsi="Arial" w:cs="Arial"/>
          <w:sz w:val="22"/>
          <w:szCs w:val="22"/>
          <w:lang w:val="es-MX"/>
        </w:rPr>
        <w:t xml:space="preserve">Sin perjuicio de lo anterior, </w:t>
      </w:r>
      <w:r>
        <w:rPr>
          <w:rStyle w:val="normaltextrun"/>
          <w:rFonts w:ascii="Arial" w:hAnsi="Arial" w:cs="Arial"/>
          <w:sz w:val="22"/>
          <w:szCs w:val="22"/>
          <w:lang w:val="es-ES"/>
        </w:rPr>
        <w:t xml:space="preserve">la Subdirección de Gestión Contractual –dentro de los límites de sus atribuciones, esto es, haciendo abstracción del caso particular expuesto por </w:t>
      </w:r>
      <w:r w:rsidR="00A362E6">
        <w:rPr>
          <w:rStyle w:val="normaltextrun"/>
          <w:rFonts w:ascii="Arial" w:hAnsi="Arial" w:cs="Arial"/>
          <w:sz w:val="22"/>
          <w:szCs w:val="22"/>
          <w:lang w:val="es-ES"/>
        </w:rPr>
        <w:t>el</w:t>
      </w:r>
      <w:r>
        <w:rPr>
          <w:rStyle w:val="normaltextrun"/>
          <w:rFonts w:ascii="Arial" w:hAnsi="Arial" w:cs="Arial"/>
          <w:sz w:val="22"/>
          <w:szCs w:val="22"/>
          <w:lang w:val="es-ES"/>
        </w:rPr>
        <w:t xml:space="preserve"> peticionari</w:t>
      </w:r>
      <w:r w:rsidR="009F386E">
        <w:rPr>
          <w:rStyle w:val="normaltextrun"/>
          <w:rFonts w:ascii="Arial" w:hAnsi="Arial" w:cs="Arial"/>
          <w:sz w:val="22"/>
          <w:szCs w:val="22"/>
          <w:lang w:val="es-ES"/>
        </w:rPr>
        <w:t>o</w:t>
      </w:r>
      <w:r>
        <w:rPr>
          <w:rStyle w:val="normaltextrun"/>
          <w:rFonts w:ascii="Arial" w:hAnsi="Arial" w:cs="Arial"/>
          <w:sz w:val="22"/>
          <w:szCs w:val="22"/>
          <w:lang w:val="es-ES"/>
        </w:rPr>
        <w:t>– resolverá la consulta conforme a las normas generales en materia de contratación estatal. Con este objetivo, se analizará</w:t>
      </w:r>
      <w:r w:rsidR="008F7F7A">
        <w:rPr>
          <w:rStyle w:val="normaltextrun"/>
          <w:rFonts w:ascii="Arial" w:hAnsi="Arial" w:cs="Arial"/>
          <w:sz w:val="22"/>
          <w:szCs w:val="22"/>
          <w:lang w:val="es-ES"/>
        </w:rPr>
        <w:t xml:space="preserve"> i) </w:t>
      </w:r>
      <w:r w:rsidR="00A34213">
        <w:rPr>
          <w:rStyle w:val="normaltextrun"/>
          <w:rFonts w:ascii="Arial" w:hAnsi="Arial" w:cs="Arial"/>
          <w:sz w:val="22"/>
          <w:szCs w:val="22"/>
          <w:lang w:val="es-ES"/>
        </w:rPr>
        <w:t>Características generales del contrato de prestación de servicios</w:t>
      </w:r>
      <w:r w:rsidR="0012569D">
        <w:rPr>
          <w:rStyle w:val="normaltextrun"/>
          <w:rFonts w:ascii="Arial" w:hAnsi="Arial" w:cs="Arial"/>
          <w:sz w:val="22"/>
          <w:szCs w:val="22"/>
          <w:lang w:val="es-ES"/>
        </w:rPr>
        <w:t xml:space="preserve"> y</w:t>
      </w:r>
      <w:r w:rsidR="00113A00">
        <w:rPr>
          <w:rStyle w:val="normaltextrun"/>
          <w:rFonts w:ascii="Arial" w:hAnsi="Arial" w:cs="Arial"/>
          <w:sz w:val="22"/>
          <w:szCs w:val="22"/>
          <w:lang w:val="es-ES"/>
        </w:rPr>
        <w:t xml:space="preserve"> </w:t>
      </w:r>
      <w:proofErr w:type="spellStart"/>
      <w:r w:rsidR="00113A00">
        <w:rPr>
          <w:rStyle w:val="normaltextrun"/>
          <w:rFonts w:ascii="Arial" w:hAnsi="Arial" w:cs="Arial"/>
          <w:sz w:val="22"/>
          <w:szCs w:val="22"/>
          <w:lang w:val="es-ES"/>
        </w:rPr>
        <w:t>ii</w:t>
      </w:r>
      <w:proofErr w:type="spellEnd"/>
      <w:r w:rsidR="00113A00">
        <w:rPr>
          <w:rStyle w:val="normaltextrun"/>
          <w:rFonts w:ascii="Arial" w:hAnsi="Arial" w:cs="Arial"/>
          <w:sz w:val="22"/>
          <w:szCs w:val="22"/>
          <w:lang w:val="es-ES"/>
        </w:rPr>
        <w:t>) la fijación de honorarios</w:t>
      </w:r>
      <w:r w:rsidR="008C7EC6">
        <w:rPr>
          <w:rStyle w:val="normaltextrun"/>
          <w:rFonts w:ascii="Arial" w:hAnsi="Arial" w:cs="Arial"/>
          <w:sz w:val="22"/>
          <w:szCs w:val="22"/>
          <w:lang w:val="es-ES"/>
        </w:rPr>
        <w:t xml:space="preserve"> en los contratos de prestación de servicios</w:t>
      </w:r>
      <w:r w:rsidR="000E7C14">
        <w:rPr>
          <w:rStyle w:val="normaltextrun"/>
          <w:rFonts w:ascii="Arial" w:hAnsi="Arial" w:cs="Arial"/>
          <w:sz w:val="22"/>
          <w:szCs w:val="22"/>
          <w:lang w:val="es-ES"/>
        </w:rPr>
        <w:t>.</w:t>
      </w:r>
    </w:p>
    <w:p w:rsidRPr="002421CC" w:rsidR="009157E3" w:rsidP="0012569D" w:rsidRDefault="000A76CC" w14:paraId="09776DA3" w14:textId="5841B608">
      <w:pPr>
        <w:spacing w:before="120" w:after="0" w:line="276" w:lineRule="auto"/>
        <w:ind w:firstLine="703"/>
        <w:jc w:val="both"/>
        <w:rPr>
          <w:rFonts w:ascii="Arial" w:hAnsi="Arial" w:eastAsia="Calibri" w:cs="Arial"/>
          <w:bCs/>
          <w:lang w:val="es-MX"/>
        </w:rPr>
      </w:pPr>
      <w:r w:rsidRPr="000A76CC">
        <w:rPr>
          <w:rFonts w:ascii="Arial" w:hAnsi="Arial" w:eastAsia="Calibri" w:cs="Arial"/>
          <w:bCs/>
          <w:lang w:val="es-MX"/>
        </w:rPr>
        <w:t>La Agencia Nacional de Contratación Pública – Colombia Compra Eficiente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w:t>
      </w:r>
      <w:r w:rsidRPr="00CA71FB" w:rsidR="009157E3">
        <w:rPr>
          <w:rFonts w:ascii="Arial" w:hAnsi="Arial" w:eastAsia="Calibri" w:cs="Arial"/>
          <w:lang w:val="es-ES_tradnl" w:eastAsia="es-MX"/>
        </w:rPr>
        <w:t xml:space="preserve">, </w:t>
      </w:r>
      <w:r w:rsidRPr="00CA71FB" w:rsidR="009157E3">
        <w:rPr>
          <w:rFonts w:ascii="Arial" w:hAnsi="Arial" w:eastAsia="Calibri" w:cs="Arial"/>
          <w:color w:val="000000"/>
          <w:lang w:val="es-MX" w:eastAsia="es-MX"/>
        </w:rPr>
        <w:t>entre otros</w:t>
      </w:r>
      <w:r w:rsidRPr="00CA71FB" w:rsidR="009157E3">
        <w:rPr>
          <w:rFonts w:ascii="Arial" w:hAnsi="Arial" w:eastAsia="Times New Roman" w:cs="Arial"/>
          <w:szCs w:val="24"/>
          <w:lang w:val="es-ES_tradnl" w:eastAsia="es-ES_tradnl"/>
        </w:rPr>
        <w:t xml:space="preserve">. </w:t>
      </w:r>
      <w:r w:rsidRPr="00CA71FB" w:rsidR="009157E3">
        <w:rPr>
          <w:rFonts w:ascii="Arial" w:hAnsi="Arial" w:eastAsia="Calibri" w:cs="Arial"/>
          <w:lang w:val="es-ES_tradnl" w:eastAsia="es-ES_tradnl"/>
        </w:rPr>
        <w:t>Algunas de las consideraciones de estos conceptos se reiteran y se complementan en lo pertinente, teniendo en cuenta lo consultado.</w:t>
      </w:r>
    </w:p>
    <w:p w:rsidRPr="00CA71FB" w:rsidR="009157E3" w:rsidP="0012569D" w:rsidRDefault="009157E3" w14:paraId="45B5AB3B" w14:textId="77777777">
      <w:pPr>
        <w:spacing w:after="0" w:line="276" w:lineRule="auto"/>
        <w:ind w:firstLine="709"/>
        <w:jc w:val="both"/>
        <w:rPr>
          <w:rFonts w:ascii="Arial" w:hAnsi="Arial" w:eastAsia="Calibri" w:cs="Arial"/>
          <w:bCs/>
          <w:lang w:val="es-MX"/>
        </w:rPr>
      </w:pPr>
    </w:p>
    <w:p w:rsidR="009157E3" w:rsidP="002421CC" w:rsidRDefault="009157E3" w14:paraId="01F0B54F" w14:textId="70E71A00">
      <w:pPr>
        <w:spacing w:after="0" w:line="276" w:lineRule="auto"/>
        <w:contextualSpacing/>
        <w:jc w:val="both"/>
        <w:rPr>
          <w:rFonts w:ascii="Arial" w:hAnsi="Arial" w:eastAsia="Calibri" w:cs="Arial"/>
          <w:b/>
          <w:lang w:val="es-MX"/>
        </w:rPr>
      </w:pPr>
      <w:r w:rsidRPr="00CA71FB">
        <w:rPr>
          <w:rFonts w:ascii="Arial" w:hAnsi="Arial" w:eastAsia="Calibri" w:cs="Arial"/>
          <w:b/>
          <w:lang w:val="es-MX"/>
        </w:rPr>
        <w:t xml:space="preserve">2.1. </w:t>
      </w:r>
      <w:r w:rsidR="00A34213">
        <w:rPr>
          <w:rFonts w:ascii="Arial" w:hAnsi="Arial" w:eastAsia="Calibri" w:cs="Arial"/>
          <w:b/>
          <w:lang w:val="es-MX"/>
        </w:rPr>
        <w:t>Características generales</w:t>
      </w:r>
      <w:r w:rsidR="00C80D53">
        <w:rPr>
          <w:rFonts w:ascii="Arial" w:hAnsi="Arial" w:eastAsia="Calibri" w:cs="Arial"/>
          <w:b/>
          <w:lang w:val="es-MX"/>
        </w:rPr>
        <w:t xml:space="preserve"> del</w:t>
      </w:r>
      <w:r w:rsidR="006C5C2E">
        <w:rPr>
          <w:rFonts w:ascii="Arial" w:hAnsi="Arial" w:eastAsia="Calibri" w:cs="Arial"/>
          <w:b/>
          <w:lang w:val="es-MX"/>
        </w:rPr>
        <w:t xml:space="preserve"> contrato de prestación de servicios. Reiteración de línea</w:t>
      </w:r>
    </w:p>
    <w:p w:rsidR="002B0231" w:rsidP="002421CC" w:rsidRDefault="002B0231" w14:paraId="655801A0" w14:textId="77777777">
      <w:pPr>
        <w:spacing w:after="0" w:line="276" w:lineRule="auto"/>
        <w:contextualSpacing/>
        <w:jc w:val="both"/>
        <w:rPr>
          <w:rFonts w:ascii="Arial" w:hAnsi="Arial" w:eastAsia="Calibri" w:cs="Arial"/>
          <w:b/>
          <w:lang w:val="es-MX"/>
        </w:rPr>
      </w:pPr>
      <w:bookmarkStart w:name="_Hlk133214950" w:id="1"/>
    </w:p>
    <w:p w:rsidRPr="003B420E" w:rsidR="003B420E" w:rsidP="00802394" w:rsidRDefault="009F386E" w14:paraId="795B5A7F" w14:textId="79412327">
      <w:pPr>
        <w:tabs>
          <w:tab w:val="left" w:pos="0"/>
        </w:tabs>
        <w:spacing w:after="120" w:line="276" w:lineRule="auto"/>
        <w:jc w:val="both"/>
        <w:rPr>
          <w:rFonts w:ascii="Arial" w:hAnsi="Arial" w:eastAsia="Calibri" w:cs="Arial"/>
          <w:color w:val="000000"/>
          <w:lang w:val="es-ES_tradnl"/>
        </w:rPr>
      </w:pPr>
      <w:r>
        <w:rPr>
          <w:rFonts w:ascii="Arial" w:hAnsi="Arial" w:eastAsia="Calibri" w:cs="Arial"/>
          <w:bCs/>
          <w:lang w:val="es-MX"/>
        </w:rPr>
        <w:t xml:space="preserve">El contrato de prestación de servicios es un contrato estatal </w:t>
      </w:r>
      <w:r w:rsidR="000E6B82">
        <w:rPr>
          <w:rFonts w:ascii="Arial" w:hAnsi="Arial" w:eastAsia="Calibri" w:cs="Arial"/>
          <w:bCs/>
          <w:lang w:val="es-MX"/>
        </w:rPr>
        <w:t>típico regulado en el</w:t>
      </w:r>
      <w:r w:rsidRPr="008514FE" w:rsidR="008514FE">
        <w:rPr>
          <w:rFonts w:ascii="Arial" w:hAnsi="Arial" w:eastAsia="Calibri" w:cs="Arial"/>
          <w:bCs/>
        </w:rPr>
        <w:t xml:space="preserve">el numeral 3 del artículo 32 </w:t>
      </w:r>
      <w:r w:rsidRPr="003B420E" w:rsidR="003B420E">
        <w:rPr>
          <w:rFonts w:ascii="Arial" w:hAnsi="Arial" w:eastAsia="Calibri" w:cs="Arial"/>
          <w:color w:val="000000"/>
        </w:rPr>
        <w:t>de la Ley 80 de 1993. Es definido como aquel que “celebren las entidades estatales para desarrollar actividades relacionadas con la administración o funcionamiento de la entidad.</w:t>
      </w:r>
      <w:bookmarkEnd w:id="1"/>
      <w:r w:rsidRPr="003B420E" w:rsidR="003B420E">
        <w:rPr>
          <w:rFonts w:ascii="Arial" w:hAnsi="Arial" w:eastAsia="Calibri" w:cs="Arial"/>
          <w:color w:val="000000"/>
        </w:rPr>
        <w:t xml:space="preserve">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3B420E" w:rsidR="003B420E">
        <w:rPr>
          <w:rFonts w:ascii="Arial" w:hAnsi="Arial" w:eastAsia="Calibri" w:cs="Arial"/>
          <w:color w:val="000000"/>
          <w:lang w:val="es-ES_tradnl"/>
        </w:rPr>
        <w:t xml:space="preserve"> </w:t>
      </w:r>
    </w:p>
    <w:p w:rsidRPr="003B420E" w:rsidR="003B420E" w:rsidP="00802394" w:rsidRDefault="003B420E" w14:paraId="40ABA98E" w14:textId="77777777">
      <w:pPr>
        <w:tabs>
          <w:tab w:val="left" w:pos="0"/>
        </w:tabs>
        <w:spacing w:after="0" w:line="276" w:lineRule="auto"/>
        <w:jc w:val="both"/>
        <w:rPr>
          <w:rFonts w:ascii="Arial" w:hAnsi="Arial" w:eastAsia="Calibri" w:cs="Arial"/>
          <w:color w:val="000000"/>
          <w:lang w:val="es-ES_tradnl"/>
        </w:rPr>
      </w:pPr>
      <w:r w:rsidRPr="003B420E">
        <w:rPr>
          <w:rFonts w:ascii="Arial" w:hAnsi="Arial" w:eastAsia="Calibri" w:cs="Arial"/>
          <w:color w:val="000000"/>
          <w:lang w:val="es-ES_tradnl"/>
        </w:rPr>
        <w:tab/>
      </w:r>
      <w:r w:rsidRPr="003B420E">
        <w:rPr>
          <w:rFonts w:ascii="Arial" w:hAnsi="Arial" w:eastAsia="Calibri" w:cs="Arial"/>
          <w:color w:val="000000"/>
          <w:lang w:val="es-ES_tradnl"/>
        </w:rPr>
        <w:t>La celebración de dicho contrato debe efectuarse a través de la modalidad de contratación directa. Así lo dispone el artículo 2, numeral 4º, literal h), de la Ley 1150 de 2007:</w:t>
      </w:r>
    </w:p>
    <w:p w:rsidRPr="003B420E" w:rsidR="003B420E" w:rsidP="00802394" w:rsidRDefault="003B420E" w14:paraId="14948A53" w14:textId="77777777">
      <w:pPr>
        <w:tabs>
          <w:tab w:val="left" w:pos="0"/>
        </w:tabs>
        <w:spacing w:after="0" w:line="276" w:lineRule="auto"/>
        <w:jc w:val="both"/>
        <w:rPr>
          <w:rFonts w:ascii="Arial" w:hAnsi="Arial" w:eastAsia="Calibri" w:cs="Arial"/>
          <w:color w:val="000000"/>
          <w:lang w:val="es-ES_tradnl"/>
        </w:rPr>
      </w:pPr>
    </w:p>
    <w:p w:rsidRPr="003B420E" w:rsidR="003B420E" w:rsidP="00802394" w:rsidRDefault="003B420E" w14:paraId="218B4E8C" w14:textId="77777777">
      <w:pPr>
        <w:spacing w:after="0" w:line="276" w:lineRule="auto"/>
        <w:ind w:left="709" w:right="709"/>
        <w:jc w:val="both"/>
        <w:rPr>
          <w:rFonts w:ascii="Arial" w:hAnsi="Arial" w:eastAsia="Calibri" w:cs="Arial"/>
          <w:color w:val="000000"/>
          <w:sz w:val="21"/>
          <w:szCs w:val="21"/>
        </w:rPr>
      </w:pPr>
      <w:r w:rsidRPr="003B420E">
        <w:rPr>
          <w:rFonts w:ascii="Arial" w:hAnsi="Arial" w:eastAsia="Calibri" w:cs="Arial"/>
          <w:color w:val="000000"/>
          <w:sz w:val="21"/>
          <w:szCs w:val="21"/>
        </w:rPr>
        <w:t>“La escogencia del contratista se efectuará con arreglo a las modalidades de selección de licitación pública, selección abreviada, concurso de méritos y contratación directa, con base en las siguientes reglas:</w:t>
      </w:r>
    </w:p>
    <w:p w:rsidRPr="003B420E" w:rsidR="003B420E" w:rsidP="00802394" w:rsidRDefault="003B420E" w14:paraId="785113C4" w14:textId="77777777">
      <w:pPr>
        <w:spacing w:after="0" w:line="276" w:lineRule="auto"/>
        <w:ind w:left="709" w:right="709"/>
        <w:jc w:val="both"/>
        <w:rPr>
          <w:rFonts w:ascii="Arial" w:hAnsi="Arial" w:eastAsia="Calibri" w:cs="Arial"/>
          <w:color w:val="000000"/>
          <w:sz w:val="21"/>
          <w:szCs w:val="21"/>
        </w:rPr>
      </w:pPr>
    </w:p>
    <w:p w:rsidRPr="003B420E" w:rsidR="003B420E" w:rsidP="00802394" w:rsidRDefault="003B420E" w14:paraId="59704E46" w14:textId="77777777">
      <w:pPr>
        <w:spacing w:after="0" w:line="276" w:lineRule="auto"/>
        <w:ind w:left="709" w:right="709"/>
        <w:jc w:val="both"/>
        <w:rPr>
          <w:rFonts w:ascii="Arial" w:hAnsi="Arial" w:eastAsia="Calibri" w:cs="Arial"/>
          <w:color w:val="000000"/>
          <w:sz w:val="21"/>
          <w:szCs w:val="21"/>
        </w:rPr>
      </w:pPr>
      <w:r w:rsidRPr="003B420E">
        <w:rPr>
          <w:rFonts w:ascii="Arial" w:hAnsi="Arial" w:eastAsia="Calibri" w:cs="Arial"/>
          <w:color w:val="000000"/>
          <w:sz w:val="21"/>
          <w:szCs w:val="21"/>
        </w:rPr>
        <w:t>[…]</w:t>
      </w:r>
    </w:p>
    <w:p w:rsidRPr="003B420E" w:rsidR="003B420E" w:rsidP="00802394" w:rsidRDefault="003B420E" w14:paraId="4477A7E0" w14:textId="77777777">
      <w:pPr>
        <w:spacing w:after="0" w:line="276" w:lineRule="auto"/>
        <w:ind w:left="709" w:right="709"/>
        <w:jc w:val="both"/>
        <w:rPr>
          <w:rFonts w:ascii="Arial" w:hAnsi="Arial" w:eastAsia="Calibri" w:cs="Arial"/>
          <w:color w:val="000000"/>
          <w:sz w:val="21"/>
          <w:szCs w:val="21"/>
        </w:rPr>
      </w:pPr>
    </w:p>
    <w:p w:rsidRPr="003B420E" w:rsidR="003B420E" w:rsidP="00802394" w:rsidRDefault="003B420E" w14:paraId="3D700B0D" w14:textId="77777777">
      <w:pPr>
        <w:spacing w:after="0" w:line="276" w:lineRule="auto"/>
        <w:ind w:left="709" w:right="709"/>
        <w:jc w:val="both"/>
        <w:rPr>
          <w:rFonts w:ascii="Arial" w:hAnsi="Arial" w:eastAsia="Calibri" w:cs="Arial"/>
          <w:color w:val="000000"/>
          <w:sz w:val="21"/>
          <w:szCs w:val="21"/>
        </w:rPr>
      </w:pPr>
      <w:r w:rsidRPr="003B420E">
        <w:rPr>
          <w:rFonts w:ascii="Arial" w:hAnsi="Arial" w:eastAsia="Calibri" w:cs="Arial"/>
          <w:color w:val="000000"/>
          <w:sz w:val="21"/>
          <w:szCs w:val="21"/>
        </w:rPr>
        <w:t>4. Contratación directa. La modalidad de selección de contratación directa solamente procederá en los siguientes casos:</w:t>
      </w:r>
    </w:p>
    <w:p w:rsidRPr="003B420E" w:rsidR="003B420E" w:rsidP="00802394" w:rsidRDefault="003B420E" w14:paraId="0E64C0ED" w14:textId="77777777">
      <w:pPr>
        <w:spacing w:after="0" w:line="276" w:lineRule="auto"/>
        <w:ind w:left="709" w:right="709"/>
        <w:jc w:val="both"/>
        <w:rPr>
          <w:rFonts w:ascii="Arial" w:hAnsi="Arial" w:eastAsia="Calibri" w:cs="Arial"/>
          <w:color w:val="000000"/>
          <w:sz w:val="21"/>
          <w:szCs w:val="21"/>
        </w:rPr>
      </w:pPr>
    </w:p>
    <w:p w:rsidRPr="003B420E" w:rsidR="003B420E" w:rsidP="00802394" w:rsidRDefault="003B420E" w14:paraId="4A49F759" w14:textId="77777777">
      <w:pPr>
        <w:spacing w:after="0" w:line="276" w:lineRule="auto"/>
        <w:ind w:left="709" w:right="709"/>
        <w:jc w:val="both"/>
        <w:rPr>
          <w:rFonts w:ascii="Arial" w:hAnsi="Arial" w:eastAsia="Calibri" w:cs="Arial"/>
          <w:color w:val="000000"/>
          <w:sz w:val="21"/>
          <w:szCs w:val="21"/>
        </w:rPr>
      </w:pPr>
      <w:r w:rsidRPr="003B420E">
        <w:rPr>
          <w:rFonts w:ascii="Arial" w:hAnsi="Arial" w:eastAsia="Calibri" w:cs="Arial"/>
          <w:color w:val="000000"/>
          <w:sz w:val="21"/>
          <w:szCs w:val="21"/>
        </w:rPr>
        <w:t>[…]</w:t>
      </w:r>
    </w:p>
    <w:p w:rsidRPr="003B420E" w:rsidR="003B420E" w:rsidP="00802394" w:rsidRDefault="003B420E" w14:paraId="12A2F477" w14:textId="77777777">
      <w:pPr>
        <w:spacing w:after="0" w:line="276" w:lineRule="auto"/>
        <w:ind w:left="709" w:right="709"/>
        <w:jc w:val="both"/>
        <w:rPr>
          <w:rFonts w:ascii="Arial" w:hAnsi="Arial" w:eastAsia="Calibri" w:cs="Arial"/>
          <w:color w:val="000000"/>
          <w:sz w:val="21"/>
          <w:szCs w:val="21"/>
        </w:rPr>
      </w:pPr>
    </w:p>
    <w:p w:rsidRPr="003B420E" w:rsidR="003B420E" w:rsidP="00802394" w:rsidRDefault="003B420E" w14:paraId="1089389F" w14:textId="77777777">
      <w:pPr>
        <w:spacing w:after="0" w:line="276" w:lineRule="auto"/>
        <w:ind w:left="709" w:right="709"/>
        <w:jc w:val="both"/>
        <w:rPr>
          <w:rFonts w:ascii="Arial" w:hAnsi="Arial" w:eastAsia="Calibri" w:cs="Arial"/>
          <w:color w:val="000000"/>
          <w:sz w:val="21"/>
          <w:szCs w:val="21"/>
        </w:rPr>
      </w:pPr>
      <w:r w:rsidRPr="003B420E">
        <w:rPr>
          <w:rFonts w:ascii="Arial" w:hAnsi="Arial" w:eastAsia="Calibri" w:cs="Arial"/>
          <w:color w:val="000000"/>
          <w:sz w:val="21"/>
          <w:szCs w:val="21"/>
        </w:rPr>
        <w:t>h) Para la prestación de servicios profesionales y de apoyo a la gestión, o para la ejecución de trabajos artísticos que sólo puedan encomendarse a determinadas personas naturales”.</w:t>
      </w:r>
    </w:p>
    <w:p w:rsidRPr="003B420E" w:rsidR="003B420E" w:rsidP="00802394" w:rsidRDefault="003B420E" w14:paraId="7B4DF8DC" w14:textId="77777777">
      <w:pPr>
        <w:spacing w:after="0" w:line="276" w:lineRule="auto"/>
        <w:ind w:left="709" w:right="709"/>
        <w:jc w:val="both"/>
        <w:rPr>
          <w:rFonts w:ascii="Arial" w:hAnsi="Arial" w:eastAsia="Calibri" w:cs="Arial"/>
          <w:color w:val="000000"/>
        </w:rPr>
      </w:pPr>
    </w:p>
    <w:p w:rsidRPr="003B420E" w:rsidR="003B420E" w:rsidP="00802394" w:rsidRDefault="003B420E" w14:paraId="79510C99" w14:textId="77777777">
      <w:pPr>
        <w:tabs>
          <w:tab w:val="left" w:pos="0"/>
        </w:tabs>
        <w:spacing w:after="120" w:line="276" w:lineRule="auto"/>
        <w:jc w:val="both"/>
        <w:rPr>
          <w:rFonts w:ascii="Arial" w:hAnsi="Arial" w:eastAsia="Calibri" w:cs="Arial"/>
          <w:noProof/>
          <w:lang w:val="es-ES_tradnl"/>
        </w:rPr>
      </w:pPr>
      <w:r w:rsidRPr="003B420E">
        <w:rPr>
          <w:rFonts w:ascii="Arial" w:hAnsi="Arial" w:eastAsia="Calibri" w:cs="Arial"/>
          <w:noProof/>
          <w:lang w:val="es-ES_tradnl"/>
        </w:rPr>
        <w:tab/>
      </w:r>
      <w:r w:rsidRPr="003B420E">
        <w:rPr>
          <w:rFonts w:ascii="Arial" w:hAnsi="Arial" w:eastAsia="Calibri" w:cs="Arial"/>
          <w:color w:val="000000"/>
          <w:lang w:val="es-ES_tradnl"/>
        </w:rPr>
        <w:t>A partir de las disposiciones normativas citadas y de los pronunciamientos judiciales más destacados sobre el tema, es posible señalar las siguientes características del contrato de prestación de servicios</w:t>
      </w:r>
      <w:r w:rsidRPr="003B420E">
        <w:rPr>
          <w:rFonts w:ascii="Arial" w:hAnsi="Arial" w:eastAsia="Calibri" w:cs="Arial"/>
          <w:noProof/>
          <w:lang w:val="es-ES_tradnl"/>
        </w:rPr>
        <w:t>:</w:t>
      </w:r>
    </w:p>
    <w:p w:rsidRPr="003B420E" w:rsidR="003B420E" w:rsidP="00802394" w:rsidRDefault="003B420E" w14:paraId="355D5360"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i) Solo puede celebrarse para realizar “actividades relacionadas con la administración o funcionamiento de la entidad”, es decir, que hagan parte de su giro ordinario o quehacer cotidiano.</w:t>
      </w:r>
    </w:p>
    <w:p w:rsidRPr="003B420E" w:rsidR="003B420E" w:rsidP="00802394" w:rsidRDefault="003B420E" w14:paraId="58546536"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 xml:space="preserve">ii) Admite que se suscriba tanto con personas naturales como con personas jurídicas. Sin embargo, cuando se celebre con personas naturales,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w:t>
      </w:r>
      <w:r w:rsidRPr="003B420E">
        <w:rPr>
          <w:rFonts w:ascii="Arial" w:hAnsi="Arial" w:eastAsia="Calibri" w:cs="Arial"/>
          <w:noProof/>
          <w:lang w:val="es-ES_tradnl"/>
        </w:rPr>
        <w:t>especializado, razón por la cual es necesario contratar los servicios de una persona natural que tenga el conocimiento y la experiencia en el tema.</w:t>
      </w:r>
    </w:p>
    <w:p w:rsidRPr="003B420E" w:rsidR="003B420E" w:rsidP="00802394" w:rsidRDefault="003B420E" w14:paraId="38BBB291"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3B420E">
        <w:rPr>
          <w:rFonts w:ascii="Arial" w:hAnsi="Arial" w:eastAsia="Calibri" w:cs="Arial"/>
          <w:i/>
          <w:noProof/>
          <w:lang w:val="es-ES_tradnl"/>
        </w:rPr>
        <w:t xml:space="preserve">subordinación </w:t>
      </w:r>
      <w:r w:rsidRPr="003B420E">
        <w:rPr>
          <w:rFonts w:ascii="Arial" w:hAnsi="Arial" w:eastAsia="Calibri" w:cs="Arial"/>
          <w:iCs/>
          <w:noProof/>
          <w:lang w:val="es-ES_tradnl"/>
        </w:rPr>
        <w:t>ni</w:t>
      </w:r>
      <w:r w:rsidRPr="003B420E">
        <w:rPr>
          <w:rFonts w:ascii="Arial" w:hAnsi="Arial" w:eastAsia="Calibri" w:cs="Arial"/>
          <w:i/>
          <w:noProof/>
          <w:lang w:val="es-ES_tradnl"/>
        </w:rPr>
        <w:t xml:space="preserve"> dependencia</w:t>
      </w:r>
      <w:r w:rsidRPr="003B420E">
        <w:rPr>
          <w:rFonts w:ascii="Arial" w:hAnsi="Arial" w:eastAsia="Calibri" w:cs="Arial"/>
          <w:iCs/>
          <w:noProof/>
          <w:lang w:val="es-ES_tradnl"/>
        </w:rPr>
        <w:t>,</w:t>
      </w:r>
      <w:r w:rsidRPr="003B420E">
        <w:rPr>
          <w:rFonts w:ascii="Arial" w:hAnsi="Arial" w:eastAsia="Calibri" w:cs="Arial"/>
          <w:noProof/>
          <w:lang w:val="es-ES_tradnl"/>
        </w:rPr>
        <w:t xml:space="preserve"> que es uno de los elementos constitutivos del vínculo laboral</w:t>
      </w:r>
      <w:r w:rsidRPr="003B420E">
        <w:rPr>
          <w:rFonts w:ascii="Arial" w:hAnsi="Arial" w:eastAsia="Calibri" w:cs="Arial"/>
          <w:noProof/>
          <w:vertAlign w:val="superscript"/>
          <w:lang w:val="es-ES_tradnl"/>
        </w:rPr>
        <w:footnoteReference w:id="1"/>
      </w:r>
      <w:r w:rsidRPr="003B420E">
        <w:rPr>
          <w:rFonts w:ascii="Arial" w:hAnsi="Arial" w:eastAsia="Calibri"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3B420E">
        <w:rPr>
          <w:rFonts w:ascii="Arial" w:hAnsi="Arial" w:eastAsia="Calibri" w:cs="Arial"/>
          <w:i/>
          <w:noProof/>
          <w:lang w:val="es-ES_tradnl"/>
        </w:rPr>
        <w:t>no pueden</w:t>
      </w:r>
      <w:r w:rsidRPr="003B420E">
        <w:rPr>
          <w:rFonts w:ascii="Arial" w:hAnsi="Arial" w:eastAsia="Calibri"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3B420E">
        <w:rPr>
          <w:rFonts w:ascii="Arial" w:hAnsi="Arial" w:eastAsia="Calibri" w:cs="Arial"/>
          <w:noProof/>
          <w:vertAlign w:val="superscript"/>
          <w:lang w:val="es-ES_tradnl"/>
        </w:rPr>
        <w:footnoteReference w:id="2"/>
      </w:r>
      <w:r w:rsidRPr="003B420E">
        <w:rPr>
          <w:rFonts w:ascii="Arial" w:hAnsi="Arial" w:eastAsia="Calibri" w:cs="Arial"/>
          <w:noProof/>
          <w:lang w:val="es-ES_tradnl"/>
        </w:rPr>
        <w:t xml:space="preserve">. </w:t>
      </w:r>
    </w:p>
    <w:p w:rsidRPr="003B420E" w:rsidR="003B420E" w:rsidP="00802394" w:rsidRDefault="003B420E" w14:paraId="13BE3860"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 xml:space="preserve">A pesar de este mandato deontológico, es posible que en la práctica se configure una relación laboral, pues el contrato de trabajo es </w:t>
      </w:r>
      <w:r w:rsidRPr="003B420E">
        <w:rPr>
          <w:rFonts w:ascii="Arial" w:hAnsi="Arial" w:eastAsia="Calibri" w:cs="Arial"/>
          <w:i/>
          <w:iCs/>
          <w:noProof/>
          <w:lang w:val="es-ES_tradnl"/>
        </w:rPr>
        <w:t xml:space="preserve">de </w:t>
      </w:r>
      <w:r w:rsidRPr="003B420E">
        <w:rPr>
          <w:rFonts w:ascii="Arial" w:hAnsi="Arial" w:eastAsia="Calibri" w:cs="Arial"/>
          <w:i/>
          <w:noProof/>
          <w:lang w:val="es-ES_tradnl"/>
        </w:rPr>
        <w:t>realidad</w:t>
      </w:r>
      <w:r w:rsidRPr="003B420E">
        <w:rPr>
          <w:rFonts w:ascii="Arial" w:hAnsi="Arial" w:eastAsia="Calibri" w:cs="Arial"/>
          <w:noProof/>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3B420E">
        <w:rPr>
          <w:rFonts w:ascii="Arial" w:hAnsi="Arial" w:eastAsia="Calibri" w:cs="Arial"/>
          <w:noProof/>
          <w:vertAlign w:val="superscript"/>
          <w:lang w:val="es-ES_tradnl"/>
        </w:rPr>
        <w:footnoteReference w:id="3"/>
      </w:r>
      <w:r w:rsidRPr="003B420E">
        <w:rPr>
          <w:rFonts w:ascii="Arial" w:hAnsi="Arial" w:eastAsia="Calibri" w:cs="Arial"/>
          <w:noProof/>
          <w:lang w:val="es-ES_tradnl"/>
        </w:rPr>
        <w:t>.</w:t>
      </w:r>
    </w:p>
    <w:p w:rsidRPr="003B420E" w:rsidR="003B420E" w:rsidP="00802394" w:rsidRDefault="003B420E" w14:paraId="03856A3C" w14:textId="77777777">
      <w:pPr>
        <w:spacing w:after="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 xml:space="preserve">iv) Deben ser temporales. Así lo consideró la Corte Constitucional en la misma providencia a la que se aludió antes, expresando que: </w:t>
      </w:r>
    </w:p>
    <w:p w:rsidRPr="003B420E" w:rsidR="003B420E" w:rsidP="00802394" w:rsidRDefault="003B420E" w14:paraId="30492B7B" w14:textId="77777777">
      <w:pPr>
        <w:spacing w:after="0" w:line="276" w:lineRule="auto"/>
        <w:ind w:firstLine="709"/>
        <w:jc w:val="both"/>
        <w:rPr>
          <w:rFonts w:ascii="Arial" w:hAnsi="Arial" w:eastAsia="Calibri" w:cs="Arial"/>
          <w:noProof/>
          <w:lang w:val="es-ES_tradnl"/>
        </w:rPr>
      </w:pPr>
    </w:p>
    <w:p w:rsidRPr="003B420E" w:rsidR="003B420E" w:rsidP="003B420E" w:rsidRDefault="003B420E" w14:paraId="0215E38E" w14:textId="77777777">
      <w:pPr>
        <w:spacing w:after="0" w:line="240" w:lineRule="auto"/>
        <w:ind w:left="709" w:right="709"/>
        <w:jc w:val="both"/>
        <w:rPr>
          <w:rFonts w:ascii="Arial" w:hAnsi="Arial" w:eastAsia="Calibri" w:cs="Arial"/>
          <w:noProof/>
          <w:sz w:val="21"/>
          <w:szCs w:val="21"/>
          <w:lang w:val="es-ES_tradnl"/>
        </w:rPr>
      </w:pPr>
      <w:r w:rsidRPr="003B420E">
        <w:rPr>
          <w:rFonts w:ascii="Arial" w:hAnsi="Arial" w:eastAsia="Calibri" w:cs="Arial"/>
          <w:noProof/>
          <w:sz w:val="21"/>
          <w:szCs w:val="21"/>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w:t>
      </w:r>
      <w:r w:rsidRPr="003B420E">
        <w:rPr>
          <w:rFonts w:ascii="Arial" w:hAnsi="Arial" w:eastAsia="Calibri" w:cs="Arial"/>
          <w:noProof/>
          <w:sz w:val="21"/>
          <w:szCs w:val="21"/>
          <w:lang w:val="es-ES_tradnl"/>
        </w:rPr>
        <w:t>122 de la Carta Política, según el cual se requiere que el empleo público quede contemplado en la respectiva planta y previstos sus emolumentos en el presupuesto correspondiente»</w:t>
      </w:r>
      <w:r w:rsidRPr="003B420E">
        <w:rPr>
          <w:rFonts w:ascii="Arial" w:hAnsi="Arial" w:eastAsia="Calibri" w:cs="Arial"/>
          <w:noProof/>
          <w:sz w:val="21"/>
          <w:szCs w:val="21"/>
          <w:vertAlign w:val="superscript"/>
          <w:lang w:val="es-ES_tradnl"/>
        </w:rPr>
        <w:footnoteReference w:id="4"/>
      </w:r>
      <w:r w:rsidRPr="003B420E">
        <w:rPr>
          <w:rFonts w:ascii="Arial" w:hAnsi="Arial" w:eastAsia="Calibri" w:cs="Arial"/>
          <w:noProof/>
          <w:sz w:val="21"/>
          <w:szCs w:val="21"/>
          <w:lang w:val="es-ES_tradnl"/>
        </w:rPr>
        <w:t>.</w:t>
      </w:r>
    </w:p>
    <w:p w:rsidRPr="003B420E" w:rsidR="003B420E" w:rsidP="003B420E" w:rsidRDefault="003B420E" w14:paraId="1CC77835" w14:textId="77777777">
      <w:pPr>
        <w:spacing w:after="0" w:line="276" w:lineRule="auto"/>
        <w:ind w:left="709" w:right="709" w:firstLine="709"/>
        <w:jc w:val="both"/>
        <w:rPr>
          <w:rFonts w:ascii="Arial" w:hAnsi="Arial" w:eastAsia="Calibri" w:cs="Arial"/>
          <w:noProof/>
          <w:lang w:val="es-ES_tradnl"/>
        </w:rPr>
      </w:pPr>
    </w:p>
    <w:p w:rsidRPr="003B420E" w:rsidR="003B420E" w:rsidP="003B420E" w:rsidRDefault="003B420E" w14:paraId="2B5B56E2" w14:textId="77777777">
      <w:pPr>
        <w:spacing w:after="0" w:line="276" w:lineRule="auto"/>
        <w:ind w:firstLine="709"/>
        <w:jc w:val="both"/>
        <w:rPr>
          <w:rFonts w:ascii="Arial" w:hAnsi="Arial" w:eastAsia="Calibri" w:cs="Arial"/>
          <w:color w:val="000000"/>
          <w:lang w:val="es-ES_tradnl"/>
        </w:rPr>
      </w:pPr>
      <w:r w:rsidRPr="003B420E">
        <w:rPr>
          <w:rFonts w:ascii="Arial" w:hAnsi="Arial" w:eastAsia="Calibri" w:cs="Arial"/>
          <w:noProof/>
          <w:lang w:val="es-ES_tradnl"/>
        </w:rPr>
        <w:t xml:space="preserve">v) </w:t>
      </w:r>
      <w:r w:rsidRPr="003B420E">
        <w:rPr>
          <w:rFonts w:ascii="Arial" w:hAnsi="Arial" w:eastAsia="Calibri" w:cs="Arial"/>
          <w:color w:val="000000"/>
          <w:lang w:val="es-ES_tradnl"/>
        </w:rPr>
        <w:t xml:space="preserve">Los contratos de prestación de servicios constituyen un </w:t>
      </w:r>
      <w:r w:rsidRPr="003B420E">
        <w:rPr>
          <w:rFonts w:ascii="Arial" w:hAnsi="Arial" w:eastAsia="Calibri" w:cs="Arial"/>
          <w:i/>
          <w:iCs/>
          <w:color w:val="000000"/>
          <w:lang w:val="es-ES_tradnl"/>
        </w:rPr>
        <w:t>género</w:t>
      </w:r>
      <w:r w:rsidRPr="003B420E">
        <w:rPr>
          <w:rFonts w:ascii="Arial" w:hAnsi="Arial" w:eastAsia="Calibri" w:cs="Arial"/>
          <w:color w:val="000000"/>
          <w:lang w:val="es-ES_tradnl"/>
        </w:rPr>
        <w:t xml:space="preserve"> que incluye, como </w:t>
      </w:r>
      <w:r w:rsidRPr="003B420E">
        <w:rPr>
          <w:rFonts w:ascii="Arial" w:hAnsi="Arial" w:eastAsia="Calibri" w:cs="Arial"/>
          <w:i/>
          <w:iCs/>
          <w:color w:val="000000"/>
          <w:lang w:val="es-ES_tradnl"/>
        </w:rPr>
        <w:t>especies</w:t>
      </w:r>
      <w:r w:rsidRPr="003B420E">
        <w:rPr>
          <w:rFonts w:ascii="Arial" w:hAnsi="Arial" w:eastAsia="Calibri"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3B420E">
        <w:rPr>
          <w:rFonts w:ascii="Arial" w:hAnsi="Arial" w:eastAsia="Calibri" w:cs="Arial"/>
          <w:color w:val="000000"/>
          <w:vertAlign w:val="superscript"/>
          <w:lang w:val="es-ES_tradnl"/>
        </w:rPr>
        <w:footnoteReference w:id="5"/>
      </w:r>
      <w:r w:rsidRPr="003B420E">
        <w:rPr>
          <w:rFonts w:ascii="Arial" w:hAnsi="Arial" w:eastAsia="Calibri" w:cs="Arial"/>
          <w:color w:val="000000"/>
          <w:lang w:val="es-ES_tradnl"/>
        </w:rPr>
        <w:t xml:space="preserve">. La diferencia entre el contrato de prestación de servicios </w:t>
      </w:r>
      <w:r w:rsidRPr="003B420E">
        <w:rPr>
          <w:rFonts w:ascii="Arial" w:hAnsi="Arial" w:eastAsia="Calibri" w:cs="Arial"/>
          <w:i/>
          <w:color w:val="000000"/>
          <w:lang w:val="es-ES_tradnl"/>
        </w:rPr>
        <w:t>profesionales</w:t>
      </w:r>
      <w:r w:rsidRPr="003B420E">
        <w:rPr>
          <w:rFonts w:ascii="Arial" w:hAnsi="Arial" w:eastAsia="Calibri" w:cs="Arial"/>
          <w:color w:val="000000"/>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rsidRPr="003B420E" w:rsidR="003B420E" w:rsidP="003B420E" w:rsidRDefault="003B420E" w14:paraId="6A20ED79" w14:textId="77777777">
      <w:pPr>
        <w:spacing w:after="0" w:line="276" w:lineRule="auto"/>
        <w:ind w:firstLine="709"/>
        <w:jc w:val="both"/>
        <w:rPr>
          <w:rFonts w:ascii="Arial" w:hAnsi="Arial" w:eastAsia="Calibri" w:cs="Arial"/>
          <w:color w:val="000000"/>
          <w:lang w:val="es-ES_tradnl"/>
        </w:rPr>
      </w:pPr>
    </w:p>
    <w:p w:rsidRPr="003B420E" w:rsidR="003B420E" w:rsidP="003B420E" w:rsidRDefault="003B420E" w14:paraId="0C431ED7" w14:textId="77777777">
      <w:pPr>
        <w:spacing w:after="0" w:line="240" w:lineRule="auto"/>
        <w:ind w:left="709" w:right="709"/>
        <w:jc w:val="both"/>
        <w:rPr>
          <w:rFonts w:ascii="Arial" w:hAnsi="Arial" w:eastAsia="Calibri" w:cs="Arial"/>
          <w:color w:val="000000"/>
          <w:sz w:val="21"/>
          <w:szCs w:val="21"/>
          <w:lang w:val="es-ES"/>
        </w:rPr>
      </w:pPr>
      <w:r w:rsidRPr="003B420E">
        <w:rPr>
          <w:rFonts w:ascii="Arial" w:hAnsi="Arial" w:eastAsia="Calibri" w:cs="Arial"/>
          <w:color w:val="000000"/>
          <w:sz w:val="21"/>
          <w:szCs w:val="21"/>
          <w:lang w:val="es-E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B420E">
        <w:rPr>
          <w:rFonts w:ascii="Arial" w:hAnsi="Arial" w:eastAsia="Calibri" w:cs="Arial"/>
          <w:color w:val="000000"/>
          <w:sz w:val="21"/>
          <w:szCs w:val="21"/>
          <w:vertAlign w:val="superscript"/>
          <w:lang w:val="es-ES"/>
        </w:rPr>
        <w:footnoteReference w:id="6"/>
      </w:r>
    </w:p>
    <w:p w:rsidRPr="003B420E" w:rsidR="003B420E" w:rsidP="003B420E" w:rsidRDefault="003B420E" w14:paraId="0602D675" w14:textId="77777777">
      <w:pPr>
        <w:spacing w:after="0" w:line="276" w:lineRule="auto"/>
        <w:ind w:firstLine="709"/>
        <w:jc w:val="both"/>
        <w:rPr>
          <w:rFonts w:ascii="Arial" w:hAnsi="Arial" w:eastAsia="Calibri" w:cs="Arial"/>
          <w:color w:val="000000"/>
          <w:lang w:val="es-ES_tradnl"/>
        </w:rPr>
      </w:pPr>
    </w:p>
    <w:p w:rsidRPr="003B420E" w:rsidR="003B420E" w:rsidP="00802394" w:rsidRDefault="003B420E" w14:paraId="35E9EA65" w14:textId="77777777">
      <w:pPr>
        <w:spacing w:after="0" w:line="276" w:lineRule="auto"/>
        <w:ind w:firstLine="709"/>
        <w:jc w:val="both"/>
        <w:rPr>
          <w:rFonts w:ascii="Arial" w:hAnsi="Arial" w:eastAsia="Calibri" w:cs="Arial"/>
          <w:color w:val="000000"/>
          <w:lang w:val="es-ES_tradnl"/>
        </w:rPr>
      </w:pPr>
      <w:r w:rsidRPr="003B420E">
        <w:rPr>
          <w:rFonts w:ascii="Arial" w:hAnsi="Arial" w:eastAsia="Calibri" w:cs="Arial"/>
          <w:color w:val="000000"/>
          <w:lang w:val="es-ES_tradnl"/>
        </w:rPr>
        <w:t>Objeto que, según la sentencia que se cita, se diferencia del objeto del contrato de prestación de servicios de apoyo a la gestión, porque en este:</w:t>
      </w:r>
    </w:p>
    <w:p w:rsidRPr="003B420E" w:rsidR="003B420E" w:rsidP="00802394" w:rsidRDefault="003B420E" w14:paraId="69D1FEC1" w14:textId="77777777">
      <w:pPr>
        <w:spacing w:after="0" w:line="276" w:lineRule="auto"/>
        <w:ind w:firstLine="709"/>
        <w:jc w:val="both"/>
        <w:rPr>
          <w:rFonts w:ascii="Arial" w:hAnsi="Arial" w:eastAsia="Calibri" w:cs="Arial"/>
          <w:color w:val="000000"/>
          <w:lang w:val="es-ES_tradnl"/>
        </w:rPr>
      </w:pPr>
    </w:p>
    <w:p w:rsidRPr="003B420E" w:rsidR="003B420E" w:rsidP="00802394" w:rsidRDefault="003B420E" w14:paraId="382718B1" w14:textId="77777777">
      <w:pPr>
        <w:spacing w:after="0" w:line="276" w:lineRule="auto"/>
        <w:ind w:left="709" w:right="709"/>
        <w:jc w:val="both"/>
        <w:rPr>
          <w:rFonts w:ascii="Arial" w:hAnsi="Arial" w:eastAsia="Calibri" w:cs="Arial"/>
          <w:color w:val="000000"/>
          <w:sz w:val="21"/>
          <w:szCs w:val="21"/>
          <w:lang w:val="es-ES_tradnl"/>
        </w:rPr>
      </w:pPr>
      <w:r w:rsidRPr="003B420E">
        <w:rPr>
          <w:rFonts w:ascii="Arial" w:hAnsi="Arial" w:eastAsia="Calibri"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3B420E" w:rsidR="003B420E" w:rsidP="00802394" w:rsidRDefault="003B420E" w14:paraId="4EEB0B54" w14:textId="77777777">
      <w:pPr>
        <w:spacing w:after="0" w:line="276" w:lineRule="auto"/>
        <w:ind w:left="709" w:right="709"/>
        <w:jc w:val="both"/>
        <w:rPr>
          <w:rFonts w:ascii="Arial" w:hAnsi="Arial" w:eastAsia="Calibri" w:cs="Arial"/>
          <w:color w:val="000000"/>
          <w:sz w:val="21"/>
          <w:szCs w:val="21"/>
          <w:lang w:val="es-ES_tradnl"/>
        </w:rPr>
      </w:pPr>
    </w:p>
    <w:p w:rsidRPr="003B420E" w:rsidR="003B420E" w:rsidP="00802394" w:rsidRDefault="003B420E" w14:paraId="2A1E64DE" w14:textId="77777777">
      <w:pPr>
        <w:spacing w:after="0" w:line="276" w:lineRule="auto"/>
        <w:ind w:left="709" w:right="709"/>
        <w:jc w:val="both"/>
        <w:rPr>
          <w:rFonts w:ascii="Arial" w:hAnsi="Arial" w:eastAsia="Calibri" w:cs="Arial"/>
          <w:color w:val="000000"/>
          <w:sz w:val="21"/>
          <w:szCs w:val="21"/>
          <w:lang w:val="es-ES_tradnl"/>
        </w:rPr>
      </w:pPr>
      <w:r w:rsidRPr="003B420E">
        <w:rPr>
          <w:rFonts w:ascii="Arial" w:hAnsi="Arial" w:eastAsia="Calibri" w:cs="Arial"/>
          <w:color w:val="000000"/>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rsidRPr="003B420E" w:rsidR="003B420E" w:rsidP="00802394" w:rsidRDefault="003B420E" w14:paraId="6B1059D5" w14:textId="77777777">
      <w:pPr>
        <w:spacing w:after="0" w:line="276" w:lineRule="auto"/>
        <w:ind w:left="709" w:right="709"/>
        <w:jc w:val="both"/>
        <w:rPr>
          <w:rFonts w:ascii="Arial" w:hAnsi="Arial" w:eastAsia="Calibri" w:cs="Arial"/>
          <w:color w:val="000000"/>
          <w:sz w:val="21"/>
          <w:szCs w:val="21"/>
          <w:lang w:val="es-ES_tradnl"/>
        </w:rPr>
      </w:pPr>
    </w:p>
    <w:p w:rsidRPr="003B420E" w:rsidR="003B420E" w:rsidP="00802394" w:rsidRDefault="003B420E" w14:paraId="6D5341A1" w14:textId="77777777">
      <w:pPr>
        <w:spacing w:after="0" w:line="276" w:lineRule="auto"/>
        <w:ind w:left="709" w:right="709"/>
        <w:jc w:val="both"/>
        <w:rPr>
          <w:rFonts w:ascii="Arial" w:hAnsi="Arial" w:eastAsia="Calibri" w:cs="Arial"/>
          <w:color w:val="000000"/>
          <w:sz w:val="21"/>
          <w:szCs w:val="21"/>
          <w:lang w:val="es-ES_tradnl"/>
        </w:rPr>
      </w:pPr>
      <w:r w:rsidRPr="003B420E">
        <w:rPr>
          <w:rFonts w:ascii="Arial" w:hAnsi="Arial" w:eastAsia="Calibri"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B420E">
        <w:rPr>
          <w:rFonts w:ascii="Arial" w:hAnsi="Arial" w:eastAsia="Calibri" w:cs="Arial"/>
          <w:color w:val="000000"/>
          <w:sz w:val="21"/>
          <w:szCs w:val="21"/>
          <w:vertAlign w:val="superscript"/>
          <w:lang w:val="es-ES_tradnl"/>
        </w:rPr>
        <w:footnoteReference w:id="7"/>
      </w:r>
      <w:r w:rsidRPr="003B420E">
        <w:rPr>
          <w:rFonts w:ascii="Arial" w:hAnsi="Arial" w:eastAsia="Calibri" w:cs="Arial"/>
          <w:color w:val="000000"/>
          <w:sz w:val="21"/>
          <w:szCs w:val="21"/>
          <w:lang w:val="es-ES_tradnl"/>
        </w:rPr>
        <w:t>.</w:t>
      </w:r>
    </w:p>
    <w:p w:rsidRPr="003B420E" w:rsidR="003B420E" w:rsidP="00802394" w:rsidRDefault="003B420E" w14:paraId="2E09A411" w14:textId="77777777">
      <w:pPr>
        <w:spacing w:after="0" w:line="276" w:lineRule="auto"/>
        <w:ind w:firstLine="709"/>
        <w:jc w:val="both"/>
        <w:rPr>
          <w:rFonts w:ascii="Arial" w:hAnsi="Arial" w:eastAsia="Calibri" w:cs="Arial"/>
          <w:color w:val="000000"/>
          <w:lang w:val="es-ES_tradnl"/>
        </w:rPr>
      </w:pPr>
    </w:p>
    <w:p w:rsidRPr="003B420E" w:rsidR="003B420E" w:rsidP="00802394" w:rsidRDefault="003B420E" w14:paraId="42E7ED47" w14:textId="77777777">
      <w:pPr>
        <w:spacing w:after="0" w:line="276" w:lineRule="auto"/>
        <w:ind w:firstLine="709"/>
        <w:jc w:val="both"/>
        <w:rPr>
          <w:rFonts w:ascii="Arial" w:hAnsi="Arial" w:eastAsia="Calibri" w:cs="Arial"/>
          <w:color w:val="000000"/>
          <w:lang w:val="es-ES_tradnl"/>
        </w:rPr>
      </w:pPr>
      <w:r w:rsidRPr="003B420E">
        <w:rPr>
          <w:rFonts w:ascii="Arial" w:hAnsi="Arial" w:eastAsia="Calibri" w:cs="Arial"/>
          <w:color w:val="000000"/>
          <w:lang w:val="es-ES_tradnl"/>
        </w:rPr>
        <w:t>En relación con el contrato de prestación de servicios artísticos que solo pueden encomendarse a determinadas personas naturales, señala el mencionado fallo que:</w:t>
      </w:r>
    </w:p>
    <w:p w:rsidRPr="003B420E" w:rsidR="003B420E" w:rsidP="003B420E" w:rsidRDefault="003B420E" w14:paraId="5686931C" w14:textId="77777777">
      <w:pPr>
        <w:spacing w:after="0" w:line="276" w:lineRule="auto"/>
        <w:ind w:left="709" w:right="709"/>
        <w:jc w:val="both"/>
        <w:rPr>
          <w:rFonts w:ascii="Arial" w:hAnsi="Arial" w:eastAsia="Calibri" w:cs="Arial"/>
          <w:color w:val="000000"/>
          <w:sz w:val="21"/>
          <w:szCs w:val="21"/>
          <w:lang w:val="es-ES_tradnl"/>
        </w:rPr>
      </w:pPr>
    </w:p>
    <w:p w:rsidRPr="003B420E" w:rsidR="003B420E" w:rsidP="003B420E" w:rsidRDefault="003B420E" w14:paraId="03C67C9B" w14:textId="5E6B04FD">
      <w:pPr>
        <w:spacing w:after="0" w:line="240" w:lineRule="auto"/>
        <w:ind w:left="709" w:right="709"/>
        <w:jc w:val="both"/>
        <w:rPr>
          <w:rFonts w:ascii="Arial" w:hAnsi="Arial" w:eastAsia="Calibri" w:cs="Arial"/>
          <w:color w:val="000000"/>
          <w:sz w:val="21"/>
          <w:szCs w:val="21"/>
          <w:lang w:val="es-ES_tradnl"/>
        </w:rPr>
      </w:pPr>
      <w:r w:rsidRPr="003B420E">
        <w:rPr>
          <w:rFonts w:ascii="Arial" w:hAnsi="Arial" w:eastAsia="Calibri" w:cs="Arial"/>
          <w:color w:val="000000"/>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3B420E">
        <w:rPr>
          <w:rFonts w:ascii="Arial" w:hAnsi="Arial" w:eastAsia="Calibri" w:cs="Arial"/>
          <w:color w:val="000000"/>
          <w:sz w:val="21"/>
          <w:szCs w:val="21"/>
          <w:vertAlign w:val="superscript"/>
          <w:lang w:val="es-ES_tradnl"/>
        </w:rPr>
        <w:footnoteReference w:id="8"/>
      </w:r>
      <w:r w:rsidRPr="003B420E">
        <w:rPr>
          <w:rFonts w:ascii="Arial" w:hAnsi="Arial" w:eastAsia="Calibri" w:cs="Arial"/>
          <w:color w:val="000000"/>
          <w:sz w:val="21"/>
          <w:szCs w:val="21"/>
          <w:lang w:val="es-ES_tradnl"/>
        </w:rPr>
        <w:t>.</w:t>
      </w:r>
    </w:p>
    <w:p w:rsidRPr="003B420E" w:rsidR="003B420E" w:rsidP="00111E41" w:rsidRDefault="003B420E" w14:paraId="70A6FB35" w14:textId="77777777">
      <w:pPr>
        <w:spacing w:after="0" w:line="276" w:lineRule="auto"/>
        <w:ind w:firstLine="709"/>
        <w:jc w:val="both"/>
        <w:rPr>
          <w:rFonts w:ascii="Arial" w:hAnsi="Arial" w:eastAsia="Calibri" w:cs="Arial"/>
          <w:noProof/>
          <w:lang w:val="es-ES_tradnl"/>
        </w:rPr>
      </w:pPr>
    </w:p>
    <w:p w:rsidRPr="003B420E" w:rsidR="003B420E" w:rsidP="00111E41" w:rsidRDefault="003B420E" w14:paraId="5100033C"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vi)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sidRPr="003B420E">
        <w:rPr>
          <w:rFonts w:ascii="Arial" w:hAnsi="Arial" w:eastAsia="Calibri" w:cs="Arial"/>
          <w:noProof/>
          <w:vertAlign w:val="superscript"/>
          <w:lang w:val="es-ES_tradnl"/>
        </w:rPr>
        <w:footnoteReference w:id="9"/>
      </w:r>
      <w:r w:rsidRPr="003B420E">
        <w:rPr>
          <w:rFonts w:ascii="Arial" w:hAnsi="Arial" w:eastAsia="Calibri" w:cs="Arial"/>
          <w:noProof/>
          <w:lang w:val="es-ES_tradnl"/>
        </w:rPr>
        <w:t>. Debe aclararse que no debe suscribirse un contrato de prestación de servicios profesionales para ejecutar actividades que se enmarcan en los otros contratos tipificados en el artículo 32 de la Ley 80 de 1993, como, por ejemplo, la construcción de una obra.</w:t>
      </w:r>
    </w:p>
    <w:p w:rsidRPr="003B420E" w:rsidR="003B420E" w:rsidP="00111E41" w:rsidRDefault="003B420E" w14:paraId="0888ECB1"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vi) Para celebrarlo no se requiere en algunos casos expedir un acto administrativo de justificación de la contratación directa</w:t>
      </w:r>
      <w:r w:rsidRPr="003B420E">
        <w:rPr>
          <w:rFonts w:ascii="Arial" w:hAnsi="Arial" w:eastAsia="Calibri" w:cs="Arial"/>
          <w:noProof/>
          <w:vertAlign w:val="superscript"/>
          <w:lang w:val="es-ES_tradnl"/>
        </w:rPr>
        <w:footnoteReference w:id="10"/>
      </w:r>
      <w:r w:rsidRPr="003B420E">
        <w:rPr>
          <w:rFonts w:ascii="Arial" w:hAnsi="Arial" w:eastAsia="Calibri" w:cs="Arial"/>
          <w:noProof/>
          <w:lang w:val="es-ES_tradnl"/>
        </w:rPr>
        <w:t>.</w:t>
      </w:r>
    </w:p>
    <w:p w:rsidRPr="003B420E" w:rsidR="003B420E" w:rsidP="00111E41" w:rsidRDefault="003B420E" w14:paraId="07ECF841"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3B420E">
        <w:rPr>
          <w:rFonts w:ascii="Arial" w:hAnsi="Arial" w:eastAsia="Calibri" w:cs="Arial"/>
          <w:noProof/>
          <w:vertAlign w:val="superscript"/>
          <w:lang w:val="es-ES_tradnl"/>
        </w:rPr>
        <w:footnoteReference w:id="11"/>
      </w:r>
      <w:r w:rsidRPr="003B420E">
        <w:rPr>
          <w:rFonts w:ascii="Arial" w:hAnsi="Arial" w:eastAsia="Calibri" w:cs="Arial"/>
          <w:noProof/>
          <w:lang w:val="es-ES_tradnl"/>
        </w:rPr>
        <w:t>.</w:t>
      </w:r>
    </w:p>
    <w:p w:rsidRPr="003B420E" w:rsidR="003B420E" w:rsidP="00111E41" w:rsidRDefault="003B420E" w14:paraId="28FC80B3"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viii) No es obligatorio liquidar estos contratos, como lo establece el artículo 217 del Decreto 019 de 2012, que modificó el artículo 60 de la Ley 80 de 1993, refiriendose a los contratos de prestacion de servicios y de paoyo a la gestión</w:t>
      </w:r>
      <w:r w:rsidRPr="003B420E">
        <w:rPr>
          <w:rFonts w:ascii="Arial" w:hAnsi="Arial" w:eastAsia="Calibri" w:cs="Arial"/>
          <w:noProof/>
          <w:vertAlign w:val="superscript"/>
          <w:lang w:val="es-ES_tradnl"/>
        </w:rPr>
        <w:footnoteReference w:id="12"/>
      </w:r>
      <w:r w:rsidRPr="003B420E">
        <w:rPr>
          <w:rFonts w:ascii="Arial" w:hAnsi="Arial" w:eastAsia="Calibri" w:cs="Arial"/>
          <w:noProof/>
          <w:lang w:val="es-ES_tradnl"/>
        </w:rPr>
        <w:t>.</w:t>
      </w:r>
    </w:p>
    <w:p w:rsidRPr="003B420E" w:rsidR="003B420E" w:rsidP="00111E41" w:rsidRDefault="003B420E" w14:paraId="79E21782" w14:textId="77777777">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ix) Para celebrarlos no se requiere estar inscrito en el Registro Único de Proponentes –RUP–, como lo señala el artículo 6 de la Ley 1150 de 2007</w:t>
      </w:r>
      <w:r w:rsidRPr="003B420E">
        <w:rPr>
          <w:rFonts w:ascii="Arial" w:hAnsi="Arial" w:eastAsia="Calibri" w:cs="Arial"/>
          <w:noProof/>
          <w:vertAlign w:val="superscript"/>
          <w:lang w:val="es-ES_tradnl"/>
        </w:rPr>
        <w:footnoteReference w:id="13"/>
      </w:r>
      <w:r w:rsidRPr="003B420E">
        <w:rPr>
          <w:rFonts w:ascii="Arial" w:hAnsi="Arial" w:eastAsia="Calibri" w:cs="Arial"/>
          <w:noProof/>
          <w:lang w:val="es-ES_tradnl"/>
        </w:rPr>
        <w:t>.</w:t>
      </w:r>
    </w:p>
    <w:p w:rsidRPr="003B420E" w:rsidR="003B420E" w:rsidP="00896F85" w:rsidRDefault="003B420E" w14:paraId="0EC7CA6B" w14:textId="1A88813C">
      <w:pPr>
        <w:spacing w:after="120" w:line="276" w:lineRule="auto"/>
        <w:ind w:firstLine="709"/>
        <w:jc w:val="both"/>
        <w:rPr>
          <w:rFonts w:ascii="Arial" w:hAnsi="Arial" w:eastAsia="Calibri" w:cs="Arial"/>
          <w:noProof/>
          <w:lang w:val="es-ES_tradnl"/>
        </w:rPr>
      </w:pPr>
      <w:r w:rsidRPr="003B420E">
        <w:rPr>
          <w:rFonts w:ascii="Arial" w:hAnsi="Arial" w:eastAsia="Calibri" w:cs="Arial"/>
          <w:noProof/>
          <w:lang w:val="es-ES_tradnl"/>
        </w:rPr>
        <w:t>x) No es necesario que el Estado exija garantías</w:t>
      </w:r>
      <w:r w:rsidRPr="003B420E">
        <w:rPr>
          <w:rFonts w:ascii="Arial" w:hAnsi="Arial" w:eastAsia="Calibri" w:cs="Arial"/>
          <w:noProof/>
          <w:vertAlign w:val="superscript"/>
          <w:lang w:val="es-ES_tradnl"/>
        </w:rPr>
        <w:footnoteReference w:id="14"/>
      </w:r>
      <w:r w:rsidRPr="003B420E">
        <w:rPr>
          <w:rFonts w:ascii="Arial" w:hAnsi="Arial" w:eastAsia="Calibri" w:cs="Arial"/>
          <w:noProof/>
          <w:lang w:val="es-ES_tradnl"/>
        </w:rPr>
        <w:t>.</w:t>
      </w:r>
      <w:r w:rsidRPr="003B420E">
        <w:rPr>
          <w:rFonts w:ascii="Arial" w:hAnsi="Arial" w:eastAsia="Calibri" w:cs="Arial"/>
          <w:color w:val="000000"/>
          <w:lang w:val="es-ES_tradnl"/>
        </w:rPr>
        <w:t xml:space="preserve">. </w:t>
      </w:r>
    </w:p>
    <w:p w:rsidR="005811D1" w:rsidP="005811D1" w:rsidRDefault="005811D1" w14:paraId="097D5EB8"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22"/>
          <w:szCs w:val="22"/>
          <w:lang w:val="es-ES"/>
        </w:rPr>
        <w:t>xi) Como los demás contratos estatales, se trata de un contrato solemne que debe constar por escrito y debe ser publicado en el SECOP.</w:t>
      </w:r>
      <w:r>
        <w:rPr>
          <w:rStyle w:val="eop"/>
          <w:rFonts w:ascii="Arial" w:hAnsi="Arial" w:cs="Arial"/>
          <w:sz w:val="22"/>
          <w:szCs w:val="22"/>
        </w:rPr>
        <w:t> </w:t>
      </w:r>
    </w:p>
    <w:p w:rsidR="005811D1" w:rsidP="00896F85" w:rsidRDefault="005811D1" w14:paraId="29A75BB0" w14:textId="77777777">
      <w:pPr>
        <w:pStyle w:val="paragraph"/>
        <w:spacing w:before="120" w:beforeAutospacing="0" w:after="0" w:afterAutospacing="0"/>
        <w:ind w:firstLine="703"/>
        <w:jc w:val="both"/>
        <w:textAlignment w:val="baseline"/>
        <w:rPr>
          <w:rFonts w:ascii="Segoe UI" w:hAnsi="Segoe UI" w:cs="Segoe UI"/>
          <w:sz w:val="18"/>
          <w:szCs w:val="18"/>
        </w:rPr>
      </w:pPr>
      <w:proofErr w:type="spellStart"/>
      <w:r>
        <w:rPr>
          <w:rStyle w:val="normaltextrun"/>
          <w:rFonts w:ascii="Arial" w:hAnsi="Arial" w:cs="Arial"/>
          <w:color w:val="000000"/>
          <w:sz w:val="22"/>
          <w:szCs w:val="22"/>
          <w:lang w:val="es-ES"/>
        </w:rPr>
        <w:t>xii</w:t>
      </w:r>
      <w:proofErr w:type="spellEnd"/>
      <w:r>
        <w:rPr>
          <w:rStyle w:val="normaltextrun"/>
          <w:rFonts w:ascii="Arial" w:hAnsi="Arial" w:cs="Arial"/>
          <w:color w:val="000000"/>
          <w:sz w:val="22"/>
          <w:szCs w:val="22"/>
          <w:lang w:val="es-ES"/>
        </w:rPr>
        <w:t>) C</w:t>
      </w:r>
      <w:proofErr w:type="spellStart"/>
      <w:r>
        <w:rPr>
          <w:rStyle w:val="normaltextrun"/>
          <w:rFonts w:ascii="Arial" w:hAnsi="Arial" w:cs="Arial"/>
          <w:color w:val="000000"/>
          <w:sz w:val="22"/>
          <w:szCs w:val="22"/>
          <w:lang w:val="es-MX"/>
        </w:rPr>
        <w:t>omo</w:t>
      </w:r>
      <w:proofErr w:type="spellEnd"/>
      <w:r>
        <w:rPr>
          <w:rStyle w:val="normaltextrun"/>
          <w:rFonts w:ascii="Arial" w:hAnsi="Arial" w:cs="Arial"/>
          <w:color w:val="000000"/>
          <w:sz w:val="22"/>
          <w:szCs w:val="22"/>
          <w:lang w:val="es-MX"/>
        </w:rPr>
        <w:t xml:space="preserve"> especies del género </w:t>
      </w:r>
      <w:r>
        <w:rPr>
          <w:rStyle w:val="normaltextrun"/>
          <w:rFonts w:ascii="Arial" w:hAnsi="Arial" w:cs="Arial"/>
          <w:i/>
          <w:iCs/>
          <w:color w:val="000000"/>
          <w:sz w:val="22"/>
          <w:szCs w:val="22"/>
          <w:lang w:val="es-MX"/>
        </w:rPr>
        <w:t>prestación de servicios,</w:t>
      </w:r>
      <w:r>
        <w:rPr>
          <w:rStyle w:val="normaltextrun"/>
          <w:rFonts w:ascii="Arial" w:hAnsi="Arial" w:cs="Arial"/>
          <w:color w:val="000000"/>
          <w:sz w:val="22"/>
          <w:szCs w:val="22"/>
          <w:lang w:val="es-MX"/>
        </w:rPr>
        <w:t xml:space="preserve"> se incluyen </w:t>
      </w:r>
      <w:r>
        <w:rPr>
          <w:rStyle w:val="normaltextrun"/>
          <w:rFonts w:ascii="Arial" w:hAnsi="Arial" w:cs="Arial"/>
          <w:color w:val="000000"/>
          <w:sz w:val="22"/>
          <w:szCs w:val="22"/>
          <w:lang w:val="es-ES"/>
        </w:rPr>
        <w:t xml:space="preserve">los </w:t>
      </w:r>
      <w:r>
        <w:rPr>
          <w:rStyle w:val="normaltextrun"/>
          <w:rFonts w:ascii="Arial" w:hAnsi="Arial" w:cs="Arial"/>
          <w:i/>
          <w:iCs/>
          <w:color w:val="000000"/>
          <w:sz w:val="22"/>
          <w:szCs w:val="22"/>
          <w:lang w:val="es-ES"/>
        </w:rPr>
        <w:t>contratos de prestación de servicios profesionales, los contratos de prestación de servicios de apoyo a la gestión</w:t>
      </w:r>
      <w:r>
        <w:rPr>
          <w:rStyle w:val="normaltextrun"/>
          <w:rFonts w:ascii="Arial" w:hAnsi="Arial" w:cs="Arial"/>
          <w:color w:val="000000"/>
          <w:sz w:val="22"/>
          <w:szCs w:val="22"/>
          <w:lang w:val="es-ES"/>
        </w:rPr>
        <w:t xml:space="preserve"> y los </w:t>
      </w:r>
      <w:r>
        <w:rPr>
          <w:rStyle w:val="normaltextrun"/>
          <w:rFonts w:ascii="Arial" w:hAnsi="Arial" w:cs="Arial"/>
          <w:i/>
          <w:iCs/>
          <w:color w:val="000000"/>
          <w:sz w:val="22"/>
          <w:szCs w:val="22"/>
          <w:lang w:val="es-ES"/>
        </w:rPr>
        <w:t>contratos de prestación de servicios artísticos que solo pueden encomendarse a determinadas personas naturales</w:t>
      </w:r>
      <w:r>
        <w:rPr>
          <w:rStyle w:val="superscript"/>
          <w:rFonts w:ascii="Arial" w:hAnsi="Arial" w:cs="Arial"/>
          <w:color w:val="000000"/>
          <w:sz w:val="17"/>
          <w:szCs w:val="17"/>
          <w:vertAlign w:val="superscript"/>
          <w:lang w:val="es-ES"/>
        </w:rPr>
        <w:t>13</w:t>
      </w:r>
      <w:r>
        <w:rPr>
          <w:rStyle w:val="normaltextrun"/>
          <w:rFonts w:ascii="Arial" w:hAnsi="Arial" w:cs="Arial"/>
          <w:color w:val="000000"/>
          <w:sz w:val="22"/>
          <w:szCs w:val="22"/>
          <w:lang w:val="es-MX"/>
        </w:rPr>
        <w:t xml:space="preserve">. </w:t>
      </w:r>
      <w:r>
        <w:rPr>
          <w:rStyle w:val="normaltextrun"/>
          <w:rFonts w:ascii="Arial" w:hAnsi="Arial" w:cs="Arial"/>
          <w:color w:val="000000"/>
          <w:sz w:val="22"/>
          <w:szCs w:val="22"/>
          <w:lang w:val="es-ES"/>
        </w:rPr>
        <w:t xml:space="preserve">La diferencia entre el contrato de prestación de servicios </w:t>
      </w:r>
      <w:r>
        <w:rPr>
          <w:rStyle w:val="normaltextrun"/>
          <w:rFonts w:ascii="Arial" w:hAnsi="Arial" w:cs="Arial"/>
          <w:i/>
          <w:iCs/>
          <w:color w:val="000000"/>
          <w:sz w:val="22"/>
          <w:szCs w:val="22"/>
          <w:lang w:val="es-ES"/>
        </w:rPr>
        <w:t>profesionales</w:t>
      </w:r>
      <w:r>
        <w:rPr>
          <w:rStyle w:val="normaltextrun"/>
          <w:rFonts w:ascii="Arial" w:hAnsi="Arial" w:cs="Arial"/>
          <w:color w:val="000000"/>
          <w:sz w:val="22"/>
          <w:szCs w:val="22"/>
          <w:lang w:val="es-ES"/>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r>
        <w:rPr>
          <w:rStyle w:val="eop"/>
          <w:rFonts w:ascii="Arial" w:hAnsi="Arial" w:cs="Arial"/>
          <w:color w:val="000000"/>
          <w:sz w:val="22"/>
          <w:szCs w:val="22"/>
        </w:rPr>
        <w:t> </w:t>
      </w:r>
    </w:p>
    <w:p w:rsidR="005811D1" w:rsidP="005811D1" w:rsidRDefault="005811D1" w14:paraId="1475342D"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color w:val="000000"/>
          <w:sz w:val="22"/>
          <w:szCs w:val="22"/>
        </w:rPr>
        <w:t> </w:t>
      </w:r>
    </w:p>
    <w:p w:rsidR="005811D1" w:rsidP="005811D1" w:rsidRDefault="005811D1" w14:paraId="6F5F4F87" w14:textId="77777777">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color w:val="000000"/>
          <w:sz w:val="21"/>
          <w:szCs w:val="21"/>
          <w:lang w:val="es-E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Style w:val="superscript"/>
          <w:rFonts w:ascii="Arial" w:hAnsi="Arial" w:cs="Arial"/>
          <w:color w:val="000000"/>
          <w:sz w:val="16"/>
          <w:szCs w:val="16"/>
          <w:vertAlign w:val="superscript"/>
          <w:lang w:val="es-ES"/>
        </w:rPr>
        <w:t>14</w:t>
      </w:r>
      <w:r>
        <w:rPr>
          <w:rStyle w:val="normaltextrun"/>
          <w:rFonts w:ascii="Arial" w:hAnsi="Arial" w:cs="Arial"/>
          <w:color w:val="000000"/>
          <w:sz w:val="21"/>
          <w:szCs w:val="21"/>
          <w:lang w:val="es-ES"/>
        </w:rPr>
        <w:t>.</w:t>
      </w:r>
      <w:r>
        <w:rPr>
          <w:rStyle w:val="eop"/>
          <w:rFonts w:ascii="Arial" w:hAnsi="Arial" w:cs="Arial"/>
          <w:color w:val="000000"/>
          <w:sz w:val="21"/>
          <w:szCs w:val="21"/>
        </w:rPr>
        <w:t> </w:t>
      </w:r>
    </w:p>
    <w:p w:rsidR="005811D1" w:rsidP="005811D1" w:rsidRDefault="005811D1" w14:paraId="05F1C69E" w14:textId="6A736D4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color w:val="000000"/>
          <w:sz w:val="22"/>
          <w:szCs w:val="22"/>
        </w:rPr>
        <w:t> </w:t>
      </w:r>
    </w:p>
    <w:p w:rsidR="005811D1" w:rsidP="00380DD4" w:rsidRDefault="005811D1" w14:paraId="7CECD052" w14:textId="465C0535">
      <w:pPr>
        <w:pStyle w:val="paragraph"/>
        <w:spacing w:before="0" w:beforeAutospacing="0" w:after="0" w:afterAutospacing="0"/>
        <w:ind w:left="705" w:right="705"/>
        <w:jc w:val="both"/>
        <w:textAlignment w:val="baseline"/>
        <w:rPr>
          <w:rFonts w:ascii="Segoe UI" w:hAnsi="Segoe UI" w:cs="Segoe UI"/>
          <w:sz w:val="18"/>
          <w:szCs w:val="18"/>
        </w:rPr>
      </w:pPr>
      <w:r>
        <w:rPr>
          <w:rStyle w:val="eop"/>
          <w:rFonts w:ascii="Arial" w:hAnsi="Arial" w:cs="Arial"/>
          <w:color w:val="000000"/>
          <w:sz w:val="22"/>
          <w:szCs w:val="22"/>
        </w:rPr>
        <w:t> </w:t>
      </w:r>
      <w:r>
        <w:rPr>
          <w:rStyle w:val="normaltextrun"/>
          <w:rFonts w:ascii="Arial" w:hAnsi="Arial" w:cs="Arial"/>
          <w:color w:val="000000"/>
          <w:sz w:val="22"/>
          <w:szCs w:val="22"/>
          <w:lang w:val="es-ES"/>
        </w:rPr>
        <w:t xml:space="preserve">En este sentido, el contrato de prestación de servicios </w:t>
      </w:r>
      <w:r>
        <w:rPr>
          <w:rStyle w:val="normaltextrun"/>
          <w:rFonts w:ascii="Arial" w:hAnsi="Arial" w:cs="Arial"/>
          <w:i/>
          <w:iCs/>
          <w:color w:val="000000"/>
          <w:sz w:val="22"/>
          <w:szCs w:val="22"/>
          <w:lang w:val="es-ES"/>
        </w:rPr>
        <w:t>profesionales</w:t>
      </w:r>
      <w:r>
        <w:rPr>
          <w:rStyle w:val="normaltextrun"/>
          <w:rFonts w:ascii="Arial" w:hAnsi="Arial" w:cs="Arial"/>
          <w:color w:val="000000"/>
          <w:sz w:val="22"/>
          <w:szCs w:val="22"/>
          <w:lang w:val="es-ES"/>
        </w:rPr>
        <w:t xml:space="preserve"> se caracteriza porque su objeto guarda relación con el desarrollo de actividades que demandan competencias y habilidades profesionales o especializadas de la persona natural o jurídica a contratar, de manera que se trata de un </w:t>
      </w:r>
      <w:r>
        <w:rPr>
          <w:rStyle w:val="normaltextrun"/>
          <w:rFonts w:ascii="Arial" w:hAnsi="Arial" w:cs="Arial"/>
          <w:i/>
          <w:iCs/>
          <w:color w:val="000000"/>
          <w:sz w:val="22"/>
          <w:szCs w:val="22"/>
          <w:lang w:val="es-ES"/>
        </w:rPr>
        <w:t>saber intelectivo cualificado.</w:t>
      </w:r>
      <w:r>
        <w:rPr>
          <w:rStyle w:val="normaltextrun"/>
          <w:rFonts w:ascii="Arial" w:hAnsi="Arial" w:cs="Arial"/>
          <w:color w:val="000000"/>
          <w:sz w:val="22"/>
          <w:szCs w:val="22"/>
          <w:lang w:val="es-ES"/>
        </w:rPr>
        <w:t xml:space="preserve"> En cambio, los contratos de prestación de servicios de </w:t>
      </w:r>
      <w:r>
        <w:rPr>
          <w:rStyle w:val="normaltextrun"/>
          <w:rFonts w:ascii="Arial" w:hAnsi="Arial" w:cs="Arial"/>
          <w:i/>
          <w:iCs/>
          <w:color w:val="000000"/>
          <w:sz w:val="22"/>
          <w:szCs w:val="22"/>
          <w:lang w:val="es-ES"/>
        </w:rPr>
        <w:t>apoyo a la gestión</w:t>
      </w:r>
      <w:r>
        <w:rPr>
          <w:rStyle w:val="normaltextrun"/>
          <w:rFonts w:ascii="Arial" w:hAnsi="Arial" w:cs="Arial"/>
          <w:color w:val="000000"/>
          <w:sz w:val="22"/>
          <w:szCs w:val="22"/>
          <w:lang w:val="es-ES"/>
        </w:rPr>
        <w:t xml:space="preserve"> y de </w:t>
      </w:r>
      <w:r>
        <w:rPr>
          <w:rStyle w:val="normaltextrun"/>
          <w:rFonts w:ascii="Arial" w:hAnsi="Arial" w:cs="Arial"/>
          <w:i/>
          <w:iCs/>
          <w:color w:val="000000"/>
          <w:sz w:val="22"/>
          <w:szCs w:val="22"/>
          <w:lang w:val="es-ES"/>
        </w:rPr>
        <w:t>servicios artísticos</w:t>
      </w:r>
      <w:r>
        <w:rPr>
          <w:rStyle w:val="normaltextrun"/>
          <w:rFonts w:ascii="Arial" w:hAnsi="Arial" w:cs="Arial"/>
          <w:color w:val="000000"/>
          <w:sz w:val="22"/>
          <w:szCs w:val="22"/>
          <w:lang w:val="es-ES"/>
        </w:rPr>
        <w:t xml:space="preserve"> no involucran ese conocimiento profesional </w:t>
      </w:r>
      <w:r>
        <w:rPr>
          <w:rStyle w:val="normaltextrun"/>
          <w:rFonts w:ascii="Arial" w:hAnsi="Arial" w:cs="Arial"/>
          <w:color w:val="000000"/>
          <w:sz w:val="22"/>
          <w:szCs w:val="22"/>
          <w:lang w:val="es-MX"/>
        </w:rPr>
        <w:t xml:space="preserve">o especializados para su ejecución. En los contratos de apoyo a la gestión </w:t>
      </w:r>
      <w:r>
        <w:rPr>
          <w:rStyle w:val="normaltextrun"/>
          <w:rFonts w:ascii="Arial" w:hAnsi="Arial" w:cs="Arial"/>
          <w:color w:val="000000"/>
          <w:sz w:val="22"/>
          <w:szCs w:val="22"/>
          <w:lang w:val="es-ES"/>
        </w:rPr>
        <w:t xml:space="preserve">el contratista desempeña un esfuerzo o actividad de apoyo, acompañamiento, o soporte, </w:t>
      </w:r>
      <w:r>
        <w:rPr>
          <w:rStyle w:val="normaltextrun"/>
          <w:rFonts w:ascii="Arial" w:hAnsi="Arial" w:cs="Arial"/>
          <w:color w:val="000000"/>
          <w:sz w:val="22"/>
          <w:szCs w:val="22"/>
          <w:lang w:val="es-MX"/>
        </w:rPr>
        <w:t xml:space="preserve">donde </w:t>
      </w:r>
      <w:r>
        <w:rPr>
          <w:rStyle w:val="normaltextrun"/>
          <w:rFonts w:ascii="Arial" w:hAnsi="Arial" w:cs="Arial"/>
          <w:color w:val="000000"/>
          <w:sz w:val="22"/>
          <w:szCs w:val="22"/>
          <w:lang w:val="es-ES"/>
        </w:rPr>
        <w:t xml:space="preserve">“lo predominante es el actuar como ejecutor, con el propósito y finalidad de satisfacer necesidades de las Entidades Estatales en lo relacionado con la gestión </w:t>
      </w:r>
      <w:r>
        <w:rPr>
          <w:rStyle w:val="normaltextrun"/>
          <w:rFonts w:ascii="Arial" w:hAnsi="Arial" w:cs="Arial"/>
          <w:color w:val="000000"/>
          <w:sz w:val="22"/>
          <w:szCs w:val="22"/>
          <w:lang w:val="es-ES"/>
        </w:rPr>
        <w:t>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para lo cual es indiferente el carácter de profesional.</w:t>
      </w:r>
      <w:r>
        <w:rPr>
          <w:rStyle w:val="eop"/>
          <w:rFonts w:ascii="Arial" w:hAnsi="Arial" w:cs="Arial"/>
          <w:color w:val="000000"/>
          <w:sz w:val="22"/>
          <w:szCs w:val="22"/>
        </w:rPr>
        <w:t> </w:t>
      </w:r>
    </w:p>
    <w:p w:rsidR="00380DD4" w:rsidP="00380DD4" w:rsidRDefault="00380DD4" w14:paraId="1013F3EF" w14:textId="77777777">
      <w:pPr>
        <w:pStyle w:val="paragraph"/>
        <w:spacing w:before="0" w:beforeAutospacing="0" w:after="0" w:afterAutospacing="0"/>
        <w:ind w:firstLine="703"/>
        <w:jc w:val="both"/>
        <w:textAlignment w:val="baseline"/>
        <w:rPr>
          <w:rStyle w:val="normaltextrun"/>
          <w:rFonts w:ascii="Arial" w:hAnsi="Arial" w:cs="Arial"/>
          <w:color w:val="000000"/>
          <w:sz w:val="22"/>
          <w:szCs w:val="22"/>
          <w:lang w:val="es-ES"/>
        </w:rPr>
      </w:pPr>
    </w:p>
    <w:p w:rsidR="005811D1" w:rsidP="00380DD4" w:rsidRDefault="005811D1" w14:paraId="2400D6EC" w14:textId="67F72A05">
      <w:pPr>
        <w:pStyle w:val="paragraph"/>
        <w:spacing w:before="0" w:beforeAutospacing="0" w:after="0" w:afterAutospacing="0"/>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Ahora bien, teniendo en cuenta que para la celebración de este tipo contractual las entidades están en la obligación de aplicar el principio de planeación, esta Agencia analizará a continuación, la importancia de la elaboración de estudios previos y del sector en la contratación estatal, según lo dispuesto en el Estatuto General de Contratación de la Administración Pública –Ley 80 de 1993, Ley 1150 de 2007, y demás normas complementarias–.</w:t>
      </w:r>
      <w:r>
        <w:rPr>
          <w:rStyle w:val="eop"/>
          <w:rFonts w:ascii="Arial" w:hAnsi="Arial" w:cs="Arial"/>
          <w:color w:val="000000"/>
          <w:sz w:val="22"/>
          <w:szCs w:val="22"/>
        </w:rPr>
        <w:t> </w:t>
      </w:r>
    </w:p>
    <w:p w:rsidRPr="003B420E" w:rsidR="003B420E" w:rsidP="003B420E" w:rsidRDefault="003B420E" w14:paraId="21AD2218" w14:textId="77777777">
      <w:pPr>
        <w:spacing w:after="0" w:line="276" w:lineRule="auto"/>
        <w:ind w:firstLine="709"/>
        <w:jc w:val="both"/>
        <w:rPr>
          <w:rFonts w:ascii="Arial" w:hAnsi="Arial" w:eastAsia="Calibri" w:cs="Arial"/>
          <w:color w:val="000000"/>
          <w:lang w:val="es-ES_tradnl"/>
        </w:rPr>
      </w:pPr>
    </w:p>
    <w:p w:rsidR="002B0231" w:rsidP="002421CC" w:rsidRDefault="003B420E" w14:paraId="38DCC3DA" w14:textId="7D311A2F">
      <w:pPr>
        <w:spacing w:after="0" w:line="276" w:lineRule="auto"/>
        <w:contextualSpacing/>
        <w:jc w:val="both"/>
        <w:rPr>
          <w:rFonts w:ascii="Arial" w:hAnsi="Arial" w:eastAsia="Calibri" w:cs="Arial"/>
          <w:b/>
          <w:color w:val="000000"/>
          <w:kern w:val="2"/>
          <w14:ligatures w14:val="standardContextual"/>
        </w:rPr>
      </w:pPr>
      <w:r>
        <w:rPr>
          <w:rFonts w:ascii="Arial" w:hAnsi="Arial" w:eastAsia="Calibri" w:cs="Arial"/>
          <w:b/>
          <w:color w:val="000000"/>
          <w:kern w:val="2"/>
          <w14:ligatures w14:val="standardContextual"/>
        </w:rPr>
        <w:t>2.2.</w:t>
      </w:r>
      <w:r w:rsidR="008F622E">
        <w:rPr>
          <w:rFonts w:ascii="Arial" w:hAnsi="Arial" w:eastAsia="Calibri" w:cs="Arial"/>
          <w:b/>
          <w:color w:val="000000"/>
          <w:kern w:val="2"/>
          <w14:ligatures w14:val="standardContextual"/>
        </w:rPr>
        <w:t xml:space="preserve"> Fijación</w:t>
      </w:r>
      <w:r w:rsidR="00E47491">
        <w:rPr>
          <w:rFonts w:ascii="Arial" w:hAnsi="Arial" w:eastAsia="Calibri" w:cs="Arial"/>
          <w:b/>
          <w:color w:val="000000"/>
          <w:kern w:val="2"/>
          <w14:ligatures w14:val="standardContextual"/>
        </w:rPr>
        <w:t xml:space="preserve"> de honorarios </w:t>
      </w:r>
      <w:r w:rsidR="00111E41">
        <w:rPr>
          <w:rFonts w:ascii="Arial" w:hAnsi="Arial" w:eastAsia="Calibri" w:cs="Arial"/>
          <w:b/>
          <w:color w:val="000000"/>
          <w:kern w:val="2"/>
          <w14:ligatures w14:val="standardContextual"/>
        </w:rPr>
        <w:t>en</w:t>
      </w:r>
      <w:r w:rsidR="00E47491">
        <w:rPr>
          <w:rFonts w:ascii="Arial" w:hAnsi="Arial" w:eastAsia="Calibri" w:cs="Arial"/>
          <w:b/>
          <w:color w:val="000000"/>
          <w:kern w:val="2"/>
          <w14:ligatures w14:val="standardContextual"/>
        </w:rPr>
        <w:t xml:space="preserve"> los contratos de prestación de servicios</w:t>
      </w:r>
    </w:p>
    <w:p w:rsidR="00E47491" w:rsidP="00262637" w:rsidRDefault="00E47491" w14:paraId="5915FF72" w14:textId="77777777">
      <w:pPr>
        <w:spacing w:before="120" w:after="0" w:line="276" w:lineRule="auto"/>
        <w:contextualSpacing/>
        <w:jc w:val="both"/>
        <w:rPr>
          <w:rFonts w:ascii="Arial" w:hAnsi="Arial" w:eastAsia="Calibri" w:cs="Arial"/>
          <w:b/>
          <w:color w:val="000000"/>
          <w:kern w:val="2"/>
          <w14:ligatures w14:val="standardContextual"/>
        </w:rPr>
      </w:pPr>
    </w:p>
    <w:p w:rsidR="00E47491" w:rsidP="002421CC" w:rsidRDefault="00E47491" w14:paraId="59F816C1" w14:textId="4AAC7F77">
      <w:pPr>
        <w:spacing w:after="0" w:line="276" w:lineRule="auto"/>
        <w:contextualSpacing/>
        <w:jc w:val="both"/>
        <w:rPr>
          <w:rFonts w:ascii="Arial" w:hAnsi="Arial" w:eastAsia="Calibri" w:cs="Arial"/>
          <w:bCs/>
          <w:color w:val="000000"/>
          <w:kern w:val="2"/>
          <w14:ligatures w14:val="standardContextual"/>
        </w:rPr>
      </w:pPr>
      <w:r>
        <w:rPr>
          <w:rFonts w:ascii="Arial" w:hAnsi="Arial" w:eastAsia="Calibri" w:cs="Arial"/>
          <w:bCs/>
          <w:color w:val="000000"/>
          <w:kern w:val="2"/>
          <w14:ligatures w14:val="standardContextual"/>
        </w:rPr>
        <w:t>En relación</w:t>
      </w:r>
      <w:r w:rsidR="005D645B">
        <w:rPr>
          <w:rFonts w:ascii="Arial" w:hAnsi="Arial" w:eastAsia="Calibri" w:cs="Arial"/>
          <w:bCs/>
          <w:color w:val="000000"/>
          <w:kern w:val="2"/>
          <w14:ligatures w14:val="standardContextual"/>
        </w:rPr>
        <w:t xml:space="preserve"> con el objeto bajo consulta, es </w:t>
      </w:r>
      <w:r w:rsidRPr="00A80116" w:rsidR="005D645B">
        <w:rPr>
          <w:rFonts w:ascii="Arial" w:hAnsi="Arial" w:eastAsia="Calibri" w:cs="Arial"/>
          <w:bCs/>
          <w:color w:val="000000"/>
          <w:kern w:val="2"/>
          <w14:ligatures w14:val="standardContextual"/>
        </w:rPr>
        <w:t xml:space="preserve">pertinente precisar que no existe en el sistema de compra y contratación pública una disposición que establezca la forma en la que </w:t>
      </w:r>
      <w:r w:rsidRPr="00A80116" w:rsidR="005C44E4">
        <w:rPr>
          <w:rFonts w:ascii="Arial" w:hAnsi="Arial" w:eastAsia="Calibri" w:cs="Arial"/>
          <w:bCs/>
          <w:color w:val="000000"/>
          <w:kern w:val="2"/>
          <w14:ligatures w14:val="standardContextual"/>
        </w:rPr>
        <w:t>deberían fijarse los honorarios de los contratistas de prestación de servi</w:t>
      </w:r>
      <w:r w:rsidRPr="00A80116" w:rsidR="00D52453">
        <w:rPr>
          <w:rFonts w:ascii="Arial" w:hAnsi="Arial" w:eastAsia="Calibri" w:cs="Arial"/>
          <w:bCs/>
          <w:color w:val="000000"/>
          <w:kern w:val="2"/>
          <w14:ligatures w14:val="standardContextual"/>
        </w:rPr>
        <w:t>cios profesionales, de apoyo a la gestión y de trabajas artísticos, pues en virtud del principio de autonomía de la voluntad, las partes pueden determinar el contenido de los contratos estatales</w:t>
      </w:r>
      <w:r w:rsidR="00D52453">
        <w:rPr>
          <w:rFonts w:ascii="Arial" w:hAnsi="Arial" w:eastAsia="Calibri" w:cs="Arial"/>
          <w:bCs/>
          <w:color w:val="000000"/>
          <w:kern w:val="2"/>
          <w14:ligatures w14:val="standardContextual"/>
        </w:rPr>
        <w:t xml:space="preserve"> e incluir las condiciones, cláusulas o estipulaciones que consideren necesarias para desarrollar el objeto contractual, siempre que no sean contrarias a la Constitución Política, la ley y el orden público</w:t>
      </w:r>
      <w:r w:rsidR="00262637">
        <w:rPr>
          <w:rFonts w:ascii="Arial" w:hAnsi="Arial" w:eastAsia="Calibri" w:cs="Arial"/>
          <w:bCs/>
          <w:color w:val="000000"/>
          <w:kern w:val="2"/>
          <w14:ligatures w14:val="standardContextual"/>
        </w:rPr>
        <w:t>.</w:t>
      </w:r>
    </w:p>
    <w:p w:rsidR="00262637" w:rsidP="00262637" w:rsidRDefault="00CD4B57" w14:paraId="3D87838D" w14:textId="3C50EA69">
      <w:pPr>
        <w:spacing w:before="120" w:after="120" w:line="276" w:lineRule="auto"/>
        <w:ind w:firstLine="709"/>
        <w:jc w:val="both"/>
        <w:rPr>
          <w:rFonts w:ascii="Arial" w:hAnsi="Arial" w:eastAsia="Calibri" w:cs="Arial"/>
          <w:bCs/>
          <w:color w:val="000000"/>
          <w:kern w:val="2"/>
          <w14:ligatures w14:val="standardContextual"/>
        </w:rPr>
      </w:pPr>
      <w:r>
        <w:rPr>
          <w:rFonts w:ascii="Arial" w:hAnsi="Arial" w:eastAsia="Calibri" w:cs="Arial"/>
          <w:bCs/>
          <w:color w:val="000000"/>
          <w:kern w:val="2"/>
          <w14:ligatures w14:val="standardContextual"/>
        </w:rPr>
        <w:t>Los entes estatales</w:t>
      </w:r>
      <w:r w:rsidR="00795E69">
        <w:rPr>
          <w:rFonts w:ascii="Arial" w:hAnsi="Arial" w:eastAsia="Calibri" w:cs="Arial"/>
          <w:bCs/>
          <w:color w:val="000000"/>
          <w:kern w:val="2"/>
          <w14:ligatures w14:val="standardContextual"/>
        </w:rPr>
        <w:t xml:space="preserve"> durante la etapa de planeación, tiene</w:t>
      </w:r>
      <w:r>
        <w:rPr>
          <w:rFonts w:ascii="Arial" w:hAnsi="Arial" w:eastAsia="Calibri" w:cs="Arial"/>
          <w:bCs/>
          <w:color w:val="000000"/>
          <w:kern w:val="2"/>
          <w14:ligatures w14:val="standardContextual"/>
        </w:rPr>
        <w:t>n</w:t>
      </w:r>
      <w:r w:rsidR="00795E69">
        <w:rPr>
          <w:rFonts w:ascii="Arial" w:hAnsi="Arial" w:eastAsia="Calibri" w:cs="Arial"/>
          <w:bCs/>
          <w:color w:val="000000"/>
          <w:kern w:val="2"/>
          <w14:ligatures w14:val="standardContextual"/>
        </w:rPr>
        <w:t xml:space="preserve"> el deber de realizar el análisis del sector y justificar la modalidad de contratación en los documentos del proceso, que para el caso de los procesos que impliquen una contratación directa y en lo concerniente a los contratos de prestación de servicios profesionales, de apoyo a la gestión y de trabajos artís</w:t>
      </w:r>
      <w:r w:rsidR="00F56F89">
        <w:rPr>
          <w:rFonts w:ascii="Arial" w:hAnsi="Arial" w:eastAsia="Calibri" w:cs="Arial"/>
          <w:bCs/>
          <w:color w:val="000000"/>
          <w:kern w:val="2"/>
          <w14:ligatures w14:val="standardContextual"/>
        </w:rPr>
        <w:t>ticos, se constata en los estudios y documentos previos, los cuales deben indicar, entre otras, las condiciones mínimas exigidas para s</w:t>
      </w:r>
      <w:r w:rsidR="00443E0F">
        <w:rPr>
          <w:rFonts w:ascii="Arial" w:hAnsi="Arial" w:eastAsia="Calibri" w:cs="Arial"/>
          <w:bCs/>
          <w:color w:val="000000"/>
          <w:kern w:val="2"/>
          <w14:ligatures w14:val="standardContextual"/>
        </w:rPr>
        <w:t>uplir la necesidad de la entidad así como los requisitos que debe acreditar el futuro contratista para el cumplimiento del objeto contractual.</w:t>
      </w:r>
    </w:p>
    <w:p w:rsidRPr="00F64F89" w:rsidR="00443E0F" w:rsidP="00262637" w:rsidRDefault="00443E0F" w14:paraId="39F51B76" w14:textId="52B47C55">
      <w:pPr>
        <w:spacing w:before="120" w:after="120" w:line="276" w:lineRule="auto"/>
        <w:ind w:firstLine="709"/>
        <w:jc w:val="both"/>
        <w:rPr>
          <w:rFonts w:ascii="Arial" w:hAnsi="Arial" w:eastAsia="Calibri" w:cs="Arial"/>
          <w:bCs/>
          <w:color w:val="000000"/>
          <w:kern w:val="2"/>
          <w14:ligatures w14:val="standardContextual"/>
        </w:rPr>
      </w:pPr>
      <w:r>
        <w:rPr>
          <w:rFonts w:ascii="Arial" w:hAnsi="Arial" w:eastAsia="Calibri" w:cs="Arial"/>
          <w:bCs/>
          <w:color w:val="000000"/>
          <w:kern w:val="2"/>
          <w14:ligatures w14:val="standardContextual"/>
        </w:rPr>
        <w:t>En ese sentido, las entidades públicas determinan el monto de los honorarios de los contratos de prestación</w:t>
      </w:r>
      <w:r w:rsidR="003C7991">
        <w:rPr>
          <w:rFonts w:ascii="Arial" w:hAnsi="Arial" w:eastAsia="Calibri" w:cs="Arial"/>
          <w:bCs/>
          <w:color w:val="000000"/>
          <w:kern w:val="2"/>
          <w14:ligatures w14:val="standardContextual"/>
        </w:rPr>
        <w:t xml:space="preserve"> de servicios</w:t>
      </w:r>
      <w:r w:rsidR="00922D6D">
        <w:rPr>
          <w:rFonts w:ascii="Arial" w:hAnsi="Arial" w:eastAsia="Calibri" w:cs="Arial"/>
          <w:bCs/>
          <w:color w:val="000000"/>
          <w:kern w:val="2"/>
          <w14:ligatures w14:val="standardContextual"/>
        </w:rPr>
        <w:t xml:space="preserve"> profesionales, de apoyo a la gestión y trabajos artísticos de conformidad con lo establecido en el análisis del sector y en los documentos o estudios previos. </w:t>
      </w:r>
      <w:r w:rsidR="00782188">
        <w:rPr>
          <w:rFonts w:ascii="Arial" w:hAnsi="Arial" w:eastAsia="Calibri" w:cs="Arial"/>
          <w:bCs/>
          <w:color w:val="000000"/>
          <w:kern w:val="2"/>
          <w14:ligatures w14:val="standardContextual"/>
        </w:rPr>
        <w:t>Así pues</w:t>
      </w:r>
      <w:r w:rsidR="003C7991">
        <w:rPr>
          <w:rFonts w:ascii="Arial" w:hAnsi="Arial" w:eastAsia="Calibri" w:cs="Arial"/>
          <w:bCs/>
          <w:color w:val="000000"/>
          <w:kern w:val="2"/>
          <w14:ligatures w14:val="standardContextual"/>
        </w:rPr>
        <w:t>,</w:t>
      </w:r>
      <w:r w:rsidR="00782188">
        <w:rPr>
          <w:rFonts w:ascii="Arial" w:hAnsi="Arial" w:eastAsia="Calibri" w:cs="Arial"/>
          <w:bCs/>
          <w:color w:val="000000"/>
          <w:kern w:val="2"/>
          <w14:ligatures w14:val="standardContextual"/>
        </w:rPr>
        <w:t xml:space="preserve"> cabe resaltar, que en la Ley 80 de 1993, Ley 1150 de 2007</w:t>
      </w:r>
      <w:r w:rsidR="000A6E69">
        <w:rPr>
          <w:rFonts w:ascii="Arial" w:hAnsi="Arial" w:eastAsia="Calibri" w:cs="Arial"/>
          <w:bCs/>
          <w:color w:val="000000"/>
          <w:kern w:val="2"/>
          <w14:ligatures w14:val="standardContextual"/>
        </w:rPr>
        <w:t xml:space="preserve"> y en el Decreto 1082 de 2015 no se encuentra</w:t>
      </w:r>
      <w:r w:rsidR="003C7991">
        <w:rPr>
          <w:rFonts w:ascii="Arial" w:hAnsi="Arial" w:eastAsia="Calibri" w:cs="Arial"/>
          <w:bCs/>
          <w:color w:val="000000"/>
          <w:kern w:val="2"/>
          <w14:ligatures w14:val="standardContextual"/>
        </w:rPr>
        <w:t>n</w:t>
      </w:r>
      <w:r w:rsidR="000A6E69">
        <w:rPr>
          <w:rFonts w:ascii="Arial" w:hAnsi="Arial" w:eastAsia="Calibri" w:cs="Arial"/>
          <w:bCs/>
          <w:color w:val="000000"/>
          <w:kern w:val="2"/>
          <w14:ligatures w14:val="standardContextual"/>
        </w:rPr>
        <w:t xml:space="preserve"> disposici</w:t>
      </w:r>
      <w:r w:rsidR="003C7991">
        <w:rPr>
          <w:rFonts w:ascii="Arial" w:hAnsi="Arial" w:eastAsia="Calibri" w:cs="Arial"/>
          <w:bCs/>
          <w:color w:val="000000"/>
          <w:kern w:val="2"/>
          <w14:ligatures w14:val="standardContextual"/>
        </w:rPr>
        <w:t>ones</w:t>
      </w:r>
      <w:r w:rsidR="000A6E69">
        <w:rPr>
          <w:rFonts w:ascii="Arial" w:hAnsi="Arial" w:eastAsia="Calibri" w:cs="Arial"/>
          <w:bCs/>
          <w:color w:val="000000"/>
          <w:kern w:val="2"/>
          <w14:ligatures w14:val="standardContextual"/>
        </w:rPr>
        <w:t xml:space="preserve"> que establezca</w:t>
      </w:r>
      <w:r w:rsidR="00315230">
        <w:rPr>
          <w:rFonts w:ascii="Arial" w:hAnsi="Arial" w:eastAsia="Calibri" w:cs="Arial"/>
          <w:bCs/>
          <w:color w:val="000000"/>
          <w:kern w:val="2"/>
          <w14:ligatures w14:val="standardContextual"/>
        </w:rPr>
        <w:t>n</w:t>
      </w:r>
      <w:r w:rsidR="00E35F9D">
        <w:rPr>
          <w:rFonts w:ascii="Arial" w:hAnsi="Arial" w:eastAsia="Calibri" w:cs="Arial"/>
          <w:bCs/>
          <w:color w:val="000000"/>
          <w:kern w:val="2"/>
          <w14:ligatures w14:val="standardContextual"/>
        </w:rPr>
        <w:t xml:space="preserve"> la obligatoriedad de implementar tablas de honorarios o estandarizar perfiles para los contratos de prestación de servicios, pero, lo ante</w:t>
      </w:r>
      <w:r w:rsidR="00DB51B6">
        <w:rPr>
          <w:rFonts w:ascii="Arial" w:hAnsi="Arial" w:eastAsia="Calibri" w:cs="Arial"/>
          <w:bCs/>
          <w:color w:val="000000"/>
          <w:kern w:val="2"/>
          <w14:ligatures w14:val="standardContextual"/>
        </w:rPr>
        <w:t xml:space="preserve">rior, no significa que las </w:t>
      </w:r>
      <w:r w:rsidRPr="00F64F89" w:rsidR="00DB51B6">
        <w:rPr>
          <w:rFonts w:ascii="Arial" w:hAnsi="Arial" w:eastAsia="Calibri" w:cs="Arial"/>
          <w:bCs/>
          <w:color w:val="000000"/>
          <w:kern w:val="2"/>
          <w14:ligatures w14:val="standardContextual"/>
        </w:rPr>
        <w:t>entidades no puedan hacerlo.</w:t>
      </w:r>
    </w:p>
    <w:p w:rsidRPr="00F64F89" w:rsidR="00E824B1" w:rsidP="00BF3D39" w:rsidRDefault="009F03AD" w14:paraId="1749E58A" w14:textId="77777777">
      <w:pPr>
        <w:spacing w:before="120" w:after="120" w:line="276" w:lineRule="auto"/>
        <w:ind w:firstLine="709"/>
        <w:jc w:val="both"/>
        <w:rPr>
          <w:rFonts w:ascii="Arial" w:hAnsi="Arial" w:eastAsia="Calibri" w:cs="Arial"/>
          <w:bCs/>
          <w:color w:val="000000"/>
          <w:kern w:val="2"/>
          <w14:ligatures w14:val="standardContextual"/>
        </w:rPr>
      </w:pPr>
      <w:r w:rsidRPr="00F64F89">
        <w:rPr>
          <w:rFonts w:ascii="Arial" w:hAnsi="Arial" w:eastAsia="Calibri" w:cs="Arial"/>
          <w:bCs/>
          <w:color w:val="000000"/>
          <w:kern w:val="2"/>
          <w14:ligatures w14:val="standardContextual"/>
        </w:rPr>
        <w:t>Ahora bien,</w:t>
      </w:r>
      <w:r w:rsidRPr="00F64F89" w:rsidR="00697EFA">
        <w:rPr>
          <w:rFonts w:ascii="Arial" w:hAnsi="Arial" w:eastAsia="Calibri" w:cs="Arial"/>
          <w:bCs/>
          <w:color w:val="000000"/>
          <w:kern w:val="2"/>
          <w14:ligatures w14:val="standardContextual"/>
        </w:rPr>
        <w:t xml:space="preserve"> teniendo en cuenta lo consultado por el peticionario, se aclara que </w:t>
      </w:r>
      <w:r w:rsidRPr="00F64F89" w:rsidR="004B3F1E">
        <w:rPr>
          <w:rFonts w:ascii="Arial" w:hAnsi="Arial" w:eastAsia="Calibri" w:cs="Arial"/>
          <w:bCs/>
          <w:color w:val="000000"/>
          <w:kern w:val="2"/>
          <w14:ligatures w14:val="standardContextual"/>
        </w:rPr>
        <w:t>la fijación de honorarios incluye impuestos y otros costos que se generen para el contratista con ocasión de la ejecución del contrato</w:t>
      </w:r>
      <w:r w:rsidRPr="00F64F89" w:rsidR="009657BE">
        <w:rPr>
          <w:rFonts w:ascii="Arial" w:hAnsi="Arial" w:eastAsia="Calibri" w:cs="Arial"/>
          <w:bCs/>
          <w:color w:val="000000"/>
          <w:kern w:val="2"/>
          <w14:ligatures w14:val="standardContextual"/>
        </w:rPr>
        <w:t xml:space="preserve"> y, concretamente del IVA, por las siguientes razones:</w:t>
      </w:r>
    </w:p>
    <w:p w:rsidR="00BF3D39" w:rsidP="00BF3D39" w:rsidRDefault="009657BE" w14:paraId="59896700" w14:textId="537E386D">
      <w:pPr>
        <w:spacing w:before="120" w:after="120" w:line="276" w:lineRule="auto"/>
        <w:ind w:firstLine="709"/>
        <w:jc w:val="both"/>
        <w:rPr>
          <w:rFonts w:ascii="Arial" w:hAnsi="Arial" w:eastAsia="Calibri" w:cs="Arial"/>
          <w:bCs/>
          <w:color w:val="000000"/>
          <w:kern w:val="2"/>
          <w14:ligatures w14:val="standardContextual"/>
        </w:rPr>
      </w:pPr>
      <w:r w:rsidRPr="00F64F89">
        <w:rPr>
          <w:rFonts w:ascii="Arial" w:hAnsi="Arial" w:eastAsia="Calibri" w:cs="Arial"/>
          <w:bCs/>
          <w:color w:val="000000"/>
          <w:kern w:val="2"/>
          <w14:ligatures w14:val="standardContextual"/>
        </w:rPr>
        <w:t xml:space="preserve">i) </w:t>
      </w:r>
      <w:r w:rsidRPr="00F64F89" w:rsidR="00246E69">
        <w:rPr>
          <w:rFonts w:ascii="Arial" w:hAnsi="Arial" w:eastAsia="Calibri" w:cs="Arial"/>
          <w:bCs/>
          <w:color w:val="000000"/>
          <w:kern w:val="2"/>
          <w14:ligatures w14:val="standardContextual"/>
        </w:rPr>
        <w:t>S</w:t>
      </w:r>
      <w:r w:rsidRPr="00F64F89">
        <w:rPr>
          <w:rFonts w:ascii="Arial" w:hAnsi="Arial" w:eastAsia="Calibri" w:cs="Arial"/>
          <w:bCs/>
          <w:color w:val="000000"/>
          <w:kern w:val="2"/>
          <w14:ligatures w14:val="standardContextual"/>
        </w:rPr>
        <w:t xml:space="preserve">e entiende por honorarios el pago o la retribución </w:t>
      </w:r>
      <w:r w:rsidRPr="00F64F89" w:rsidR="00BF3D39">
        <w:rPr>
          <w:rFonts w:ascii="Arial" w:hAnsi="Arial" w:eastAsia="Calibri" w:cs="Arial"/>
          <w:bCs/>
          <w:color w:val="000000"/>
          <w:kern w:val="2"/>
          <w14:ligatures w14:val="standardContextual"/>
        </w:rPr>
        <w:t>económica –contraprestación– efectuada en favor de quien realiza en forma independiente una actividad, en</w:t>
      </w:r>
      <w:r w:rsidR="00BF3D39">
        <w:rPr>
          <w:rFonts w:ascii="Arial" w:hAnsi="Arial" w:eastAsia="Calibri" w:cs="Arial"/>
          <w:bCs/>
          <w:color w:val="000000"/>
          <w:kern w:val="2"/>
          <w14:ligatures w14:val="standardContextual"/>
        </w:rPr>
        <w:t xml:space="preserve"> este caso, mediante un contrato de prestación de servicios, es </w:t>
      </w:r>
      <w:r w:rsidR="00321346">
        <w:rPr>
          <w:rFonts w:ascii="Arial" w:hAnsi="Arial" w:eastAsia="Calibri" w:cs="Arial"/>
          <w:bCs/>
          <w:color w:val="000000"/>
          <w:kern w:val="2"/>
          <w14:ligatures w14:val="standardContextual"/>
        </w:rPr>
        <w:t>preciso indicar que el precio o el valor que se da por el objeto del contrato, generalmente en dinero, debe ser determinado o determinable, en los términos de los artículos 1864 y 1865 del Código Civil y, de manera general, está compuesto por dos elementos esenciales</w:t>
      </w:r>
      <w:r w:rsidR="00AA0913">
        <w:rPr>
          <w:rFonts w:ascii="Arial" w:hAnsi="Arial" w:eastAsia="Calibri" w:cs="Arial"/>
          <w:bCs/>
          <w:color w:val="000000"/>
          <w:kern w:val="2"/>
          <w14:ligatures w14:val="standardContextual"/>
        </w:rPr>
        <w:t xml:space="preserve">, a) </w:t>
      </w:r>
      <w:r w:rsidRPr="001930B8" w:rsidR="00AA0913">
        <w:rPr>
          <w:rFonts w:ascii="Arial" w:hAnsi="Arial" w:eastAsia="Calibri" w:cs="Arial"/>
          <w:bCs/>
          <w:i/>
          <w:iCs/>
          <w:color w:val="000000"/>
          <w:kern w:val="2"/>
          <w14:ligatures w14:val="standardContextual"/>
        </w:rPr>
        <w:t>los costos</w:t>
      </w:r>
      <w:r w:rsidR="00AA0913">
        <w:rPr>
          <w:rFonts w:ascii="Arial" w:hAnsi="Arial" w:eastAsia="Calibri" w:cs="Arial"/>
          <w:bCs/>
          <w:color w:val="000000"/>
          <w:kern w:val="2"/>
          <w14:ligatures w14:val="standardContextual"/>
        </w:rPr>
        <w:t xml:space="preserve"> y b) </w:t>
      </w:r>
      <w:r w:rsidRPr="001930B8" w:rsidR="00AA0913">
        <w:rPr>
          <w:rFonts w:ascii="Arial" w:hAnsi="Arial" w:eastAsia="Calibri" w:cs="Arial"/>
          <w:bCs/>
          <w:i/>
          <w:iCs/>
          <w:color w:val="000000"/>
          <w:kern w:val="2"/>
          <w14:ligatures w14:val="standardContextual"/>
        </w:rPr>
        <w:t>la utilidad</w:t>
      </w:r>
      <w:r w:rsidR="00AA0913">
        <w:rPr>
          <w:rFonts w:ascii="Arial" w:hAnsi="Arial" w:eastAsia="Calibri" w:cs="Arial"/>
          <w:bCs/>
          <w:color w:val="000000"/>
          <w:kern w:val="2"/>
          <w14:ligatures w14:val="standardContextual"/>
        </w:rPr>
        <w:t>, cuya estructuración interna depende de las condiciones</w:t>
      </w:r>
      <w:r w:rsidR="00E824B1">
        <w:rPr>
          <w:rFonts w:ascii="Arial" w:hAnsi="Arial" w:eastAsia="Calibri" w:cs="Arial"/>
          <w:bCs/>
          <w:color w:val="000000"/>
          <w:kern w:val="2"/>
          <w14:ligatures w14:val="standardContextual"/>
        </w:rPr>
        <w:t xml:space="preserve"> técnicas, financieras, regulatorias, etc. de ca</w:t>
      </w:r>
      <w:r w:rsidR="00C701EE">
        <w:rPr>
          <w:rFonts w:ascii="Arial" w:hAnsi="Arial" w:eastAsia="Calibri" w:cs="Arial"/>
          <w:bCs/>
          <w:color w:val="000000"/>
          <w:kern w:val="2"/>
          <w14:ligatures w14:val="standardContextual"/>
        </w:rPr>
        <w:t>da contrato</w:t>
      </w:r>
      <w:r w:rsidR="00260E25">
        <w:rPr>
          <w:rFonts w:ascii="Arial" w:hAnsi="Arial" w:eastAsia="Calibri" w:cs="Arial"/>
          <w:bCs/>
          <w:color w:val="000000"/>
          <w:kern w:val="2"/>
          <w14:ligatures w14:val="standardContextual"/>
        </w:rPr>
        <w:t>.</w:t>
      </w:r>
      <w:r w:rsidR="00C701EE">
        <w:rPr>
          <w:rFonts w:ascii="Arial" w:hAnsi="Arial" w:eastAsia="Calibri" w:cs="Arial"/>
          <w:bCs/>
          <w:color w:val="000000"/>
          <w:kern w:val="2"/>
          <w14:ligatures w14:val="standardContextual"/>
        </w:rPr>
        <w:t xml:space="preserve"> </w:t>
      </w:r>
      <w:r w:rsidR="00260E25">
        <w:rPr>
          <w:rFonts w:ascii="Arial" w:hAnsi="Arial" w:eastAsia="Calibri" w:cs="Arial"/>
          <w:bCs/>
          <w:color w:val="000000"/>
          <w:kern w:val="2"/>
          <w14:ligatures w14:val="standardContextual"/>
        </w:rPr>
        <w:t>P</w:t>
      </w:r>
      <w:r w:rsidR="00C701EE">
        <w:rPr>
          <w:rFonts w:ascii="Arial" w:hAnsi="Arial" w:eastAsia="Calibri" w:cs="Arial"/>
          <w:bCs/>
          <w:color w:val="000000"/>
          <w:kern w:val="2"/>
          <w14:ligatures w14:val="standardContextual"/>
        </w:rPr>
        <w:t>or tanto, se puede afirmar que el precio</w:t>
      </w:r>
      <w:r w:rsidR="00246E69">
        <w:rPr>
          <w:rFonts w:ascii="Arial" w:hAnsi="Arial" w:eastAsia="Calibri" w:cs="Arial"/>
          <w:bCs/>
          <w:color w:val="000000"/>
          <w:kern w:val="2"/>
          <w14:ligatures w14:val="standardContextual"/>
        </w:rPr>
        <w:t>, contraprestación o remuneración es el total del valor que paga el comprador por un bien o servicio, y eso incluye impuestos.</w:t>
      </w:r>
    </w:p>
    <w:p w:rsidR="00117732" w:rsidP="00117732" w:rsidRDefault="00246E69" w14:paraId="223ECF16" w14:textId="2A13402A">
      <w:pPr>
        <w:spacing w:before="120" w:after="120" w:line="276" w:lineRule="auto"/>
        <w:ind w:firstLine="709"/>
        <w:jc w:val="both"/>
        <w:rPr>
          <w:rFonts w:ascii="Arial" w:hAnsi="Arial" w:eastAsia="Calibri" w:cs="Arial"/>
          <w:bCs/>
          <w:color w:val="000000"/>
          <w:kern w:val="2"/>
          <w14:ligatures w14:val="standardContextual"/>
        </w:rPr>
      </w:pPr>
      <w:proofErr w:type="spellStart"/>
      <w:r>
        <w:rPr>
          <w:rFonts w:ascii="Arial" w:hAnsi="Arial" w:eastAsia="Calibri" w:cs="Arial"/>
          <w:bCs/>
          <w:color w:val="000000"/>
          <w:kern w:val="2"/>
          <w14:ligatures w14:val="standardContextual"/>
        </w:rPr>
        <w:t>ii</w:t>
      </w:r>
      <w:proofErr w:type="spellEnd"/>
      <w:r>
        <w:rPr>
          <w:rFonts w:ascii="Arial" w:hAnsi="Arial" w:eastAsia="Calibri" w:cs="Arial"/>
          <w:bCs/>
          <w:color w:val="000000"/>
          <w:kern w:val="2"/>
          <w14:ligatures w14:val="standardContextual"/>
        </w:rPr>
        <w:t>) La ejecución de un contrato</w:t>
      </w:r>
      <w:r w:rsidR="004B7F58">
        <w:rPr>
          <w:rFonts w:ascii="Arial" w:hAnsi="Arial" w:eastAsia="Calibri" w:cs="Arial"/>
          <w:bCs/>
          <w:color w:val="000000"/>
          <w:kern w:val="2"/>
          <w14:ligatures w14:val="standardContextual"/>
        </w:rPr>
        <w:t xml:space="preserve"> de prestación de servicios puede involucrar múltiples tributos –</w:t>
      </w:r>
      <w:r w:rsidR="00C03F44">
        <w:rPr>
          <w:rFonts w:ascii="Arial" w:hAnsi="Arial" w:eastAsia="Calibri" w:cs="Arial"/>
          <w:bCs/>
          <w:color w:val="000000"/>
          <w:kern w:val="2"/>
          <w14:ligatures w14:val="standardContextual"/>
        </w:rPr>
        <w:t xml:space="preserve">impuestos (v. gr. Renta, IVA, ICA), tasas y contribuciones– para las partes del contrato, </w:t>
      </w:r>
      <w:r w:rsidR="006C1B75">
        <w:rPr>
          <w:rFonts w:ascii="Arial" w:hAnsi="Arial" w:eastAsia="Calibri" w:cs="Arial"/>
          <w:bCs/>
          <w:color w:val="000000"/>
          <w:kern w:val="2"/>
          <w14:ligatures w14:val="standardContextual"/>
        </w:rPr>
        <w:t>de ahí que</w:t>
      </w:r>
      <w:r w:rsidR="00C03F44">
        <w:rPr>
          <w:rFonts w:ascii="Arial" w:hAnsi="Arial" w:eastAsia="Calibri" w:cs="Arial"/>
          <w:bCs/>
          <w:color w:val="000000"/>
          <w:kern w:val="2"/>
          <w14:ligatures w14:val="standardContextual"/>
        </w:rPr>
        <w:t>, la Entidad Estatal al establecer el valor del contrato debe incluir el impuest</w:t>
      </w:r>
      <w:r w:rsidR="00D562B8">
        <w:rPr>
          <w:rFonts w:ascii="Arial" w:hAnsi="Arial" w:eastAsia="Calibri" w:cs="Arial"/>
          <w:bCs/>
          <w:color w:val="000000"/>
          <w:kern w:val="2"/>
          <w14:ligatures w14:val="standardContextual"/>
        </w:rPr>
        <w:t>o al valor agregado (IVA) siempre que las actividades derivadas de su ejecución o dependiendo del régimen tribu</w:t>
      </w:r>
      <w:r w:rsidR="001A6B42">
        <w:rPr>
          <w:rFonts w:ascii="Arial" w:hAnsi="Arial" w:eastAsia="Calibri" w:cs="Arial"/>
          <w:bCs/>
          <w:color w:val="000000"/>
          <w:kern w:val="2"/>
          <w14:ligatures w14:val="standardContextual"/>
        </w:rPr>
        <w:t>tario del contratista, estén gravadas</w:t>
      </w:r>
      <w:r w:rsidR="00117732">
        <w:rPr>
          <w:rFonts w:ascii="Arial" w:hAnsi="Arial" w:eastAsia="Calibri" w:cs="Arial"/>
          <w:bCs/>
          <w:color w:val="000000"/>
          <w:kern w:val="2"/>
          <w14:ligatures w14:val="standardContextual"/>
        </w:rPr>
        <w:t xml:space="preserve"> con este impuesto, de lo contrario no debe incluirlo.</w:t>
      </w:r>
    </w:p>
    <w:p w:rsidR="001D0DB8" w:rsidP="001D0DB8" w:rsidRDefault="00117732" w14:paraId="240203BC" w14:textId="283B7B04">
      <w:pPr>
        <w:spacing w:before="120" w:after="120" w:line="276" w:lineRule="auto"/>
        <w:ind w:firstLine="709"/>
        <w:jc w:val="both"/>
        <w:rPr>
          <w:rFonts w:ascii="Arial" w:hAnsi="Arial" w:eastAsia="Calibri" w:cs="Arial"/>
          <w:bCs/>
          <w:color w:val="000000"/>
          <w:kern w:val="2"/>
          <w14:ligatures w14:val="standardContextual"/>
        </w:rPr>
      </w:pPr>
      <w:proofErr w:type="spellStart"/>
      <w:r>
        <w:rPr>
          <w:rFonts w:ascii="Arial" w:hAnsi="Arial" w:eastAsia="Calibri" w:cs="Arial"/>
          <w:bCs/>
          <w:color w:val="000000"/>
          <w:kern w:val="2"/>
          <w14:ligatures w14:val="standardContextual"/>
        </w:rPr>
        <w:t>iii</w:t>
      </w:r>
      <w:proofErr w:type="spellEnd"/>
      <w:r>
        <w:rPr>
          <w:rFonts w:ascii="Arial" w:hAnsi="Arial" w:eastAsia="Calibri" w:cs="Arial"/>
          <w:bCs/>
          <w:color w:val="000000"/>
          <w:kern w:val="2"/>
          <w14:ligatures w14:val="standardContextual"/>
        </w:rPr>
        <w:t>) De conformidad con la noción de honora</w:t>
      </w:r>
      <w:r w:rsidR="00BD76EB">
        <w:rPr>
          <w:rFonts w:ascii="Arial" w:hAnsi="Arial" w:eastAsia="Calibri" w:cs="Arial"/>
          <w:bCs/>
          <w:color w:val="000000"/>
          <w:kern w:val="2"/>
          <w14:ligatures w14:val="standardContextual"/>
        </w:rPr>
        <w:t>rios establecido en el Diccionario de la Lengua Española –DEL</w:t>
      </w:r>
      <w:r w:rsidR="007921EF">
        <w:rPr>
          <w:rFonts w:ascii="Arial" w:hAnsi="Arial" w:eastAsia="Calibri" w:cs="Arial"/>
          <w:bCs/>
          <w:color w:val="000000"/>
          <w:kern w:val="2"/>
          <w14:ligatures w14:val="standardContextual"/>
        </w:rPr>
        <w:t>–, que es concepto utilizado en las limitaciones analizadas, este término se define como: “</w:t>
      </w:r>
      <w:r w:rsidR="001D0DB8">
        <w:rPr>
          <w:rFonts w:ascii="Arial" w:hAnsi="Arial" w:eastAsia="Calibri" w:cs="Arial"/>
          <w:bCs/>
          <w:color w:val="000000"/>
          <w:kern w:val="2"/>
          <w14:ligatures w14:val="standardContextual"/>
        </w:rPr>
        <w:t>5. m. pl. Importe de los servicios de algunas profesiones liberales”, adicionalmente, la palabra</w:t>
      </w:r>
      <w:r w:rsidR="00DC29D8">
        <w:rPr>
          <w:rFonts w:ascii="Arial" w:hAnsi="Arial" w:eastAsia="Calibri" w:cs="Arial"/>
          <w:bCs/>
          <w:color w:val="000000"/>
          <w:kern w:val="2"/>
          <w14:ligatures w14:val="standardContextual"/>
        </w:rPr>
        <w:t xml:space="preserve"> importe se define como: “1. </w:t>
      </w:r>
      <w:r w:rsidR="00F838FE">
        <w:rPr>
          <w:rFonts w:ascii="Arial" w:hAnsi="Arial" w:eastAsia="Calibri" w:cs="Arial"/>
          <w:bCs/>
          <w:color w:val="000000"/>
          <w:kern w:val="2"/>
          <w14:ligatures w14:val="standardContextual"/>
        </w:rPr>
        <w:t>m. Cuantía de un precio, crédito, deuda o saldo “.</w:t>
      </w:r>
    </w:p>
    <w:p w:rsidR="00262637" w:rsidP="00EE6D5C" w:rsidRDefault="007878C3" w14:paraId="6692436B" w14:textId="57B1B049">
      <w:pPr>
        <w:spacing w:before="120" w:after="120" w:line="276" w:lineRule="auto"/>
        <w:ind w:firstLine="709"/>
        <w:jc w:val="both"/>
        <w:rPr>
          <w:rFonts w:ascii="Arial" w:hAnsi="Arial" w:eastAsia="Calibri" w:cs="Arial"/>
          <w:bCs/>
          <w:color w:val="000000"/>
          <w:kern w:val="2"/>
          <w14:ligatures w14:val="standardContextual"/>
        </w:rPr>
      </w:pPr>
      <w:r>
        <w:rPr>
          <w:rFonts w:ascii="Arial" w:hAnsi="Arial" w:eastAsia="Calibri" w:cs="Arial"/>
          <w:bCs/>
          <w:color w:val="000000"/>
          <w:kern w:val="2"/>
          <w14:ligatures w14:val="standardContextual"/>
        </w:rPr>
        <w:t>Corolario de lo anterior</w:t>
      </w:r>
      <w:r w:rsidR="00255DF1">
        <w:rPr>
          <w:rFonts w:ascii="Arial" w:hAnsi="Arial" w:eastAsia="Calibri" w:cs="Arial"/>
          <w:bCs/>
          <w:color w:val="000000"/>
          <w:kern w:val="2"/>
          <w14:ligatures w14:val="standardContextual"/>
        </w:rPr>
        <w:t xml:space="preserve">, debe entenderse </w:t>
      </w:r>
      <w:r>
        <w:rPr>
          <w:rFonts w:ascii="Arial" w:hAnsi="Arial" w:eastAsia="Calibri" w:cs="Arial"/>
          <w:bCs/>
          <w:color w:val="000000"/>
          <w:kern w:val="2"/>
          <w14:ligatures w14:val="standardContextual"/>
        </w:rPr>
        <w:t xml:space="preserve">entonces, </w:t>
      </w:r>
      <w:r w:rsidR="00255DF1">
        <w:rPr>
          <w:rFonts w:ascii="Arial" w:hAnsi="Arial" w:eastAsia="Calibri" w:cs="Arial"/>
          <w:bCs/>
          <w:color w:val="000000"/>
          <w:kern w:val="2"/>
          <w14:ligatures w14:val="standardContextual"/>
        </w:rPr>
        <w:t xml:space="preserve">que dentro del valor de los honorarios </w:t>
      </w:r>
      <w:r>
        <w:rPr>
          <w:rFonts w:ascii="Arial" w:hAnsi="Arial" w:eastAsia="Calibri" w:cs="Arial"/>
          <w:bCs/>
          <w:color w:val="000000"/>
          <w:kern w:val="2"/>
          <w14:ligatures w14:val="standardContextual"/>
        </w:rPr>
        <w:t xml:space="preserve">fijados en los contratos de prestación de servicios sin distinción de su especie, </w:t>
      </w:r>
      <w:r w:rsidR="00255DF1">
        <w:rPr>
          <w:rFonts w:ascii="Arial" w:hAnsi="Arial" w:eastAsia="Calibri" w:cs="Arial"/>
          <w:bCs/>
          <w:color w:val="000000"/>
          <w:kern w:val="2"/>
          <w14:ligatures w14:val="standardContextual"/>
        </w:rPr>
        <w:t>están incluidos los costos e impuestos generados con ocasión</w:t>
      </w:r>
      <w:r>
        <w:rPr>
          <w:rFonts w:ascii="Arial" w:hAnsi="Arial" w:eastAsia="Calibri" w:cs="Arial"/>
          <w:bCs/>
          <w:color w:val="000000"/>
          <w:kern w:val="2"/>
          <w14:ligatures w14:val="standardContextual"/>
        </w:rPr>
        <w:t xml:space="preserve"> a </w:t>
      </w:r>
      <w:r w:rsidR="00255DF1">
        <w:rPr>
          <w:rFonts w:ascii="Arial" w:hAnsi="Arial" w:eastAsia="Calibri" w:cs="Arial"/>
          <w:bCs/>
          <w:color w:val="000000"/>
          <w:kern w:val="2"/>
          <w14:ligatures w14:val="standardContextual"/>
        </w:rPr>
        <w:t xml:space="preserve">la ejecución </w:t>
      </w:r>
      <w:r w:rsidR="00705270">
        <w:rPr>
          <w:rFonts w:ascii="Arial" w:hAnsi="Arial" w:eastAsia="Calibri" w:cs="Arial"/>
          <w:bCs/>
          <w:color w:val="000000"/>
          <w:kern w:val="2"/>
          <w14:ligatures w14:val="standardContextual"/>
        </w:rPr>
        <w:t>del contrato</w:t>
      </w:r>
      <w:r w:rsidR="00255DF1">
        <w:rPr>
          <w:rFonts w:ascii="Arial" w:hAnsi="Arial" w:eastAsia="Calibri" w:cs="Arial"/>
          <w:bCs/>
          <w:color w:val="000000"/>
          <w:kern w:val="2"/>
          <w14:ligatures w14:val="standardContextual"/>
        </w:rPr>
        <w:t>, por hacer parte del precio</w:t>
      </w:r>
      <w:r w:rsidR="00802394">
        <w:rPr>
          <w:rFonts w:ascii="Arial" w:hAnsi="Arial" w:eastAsia="Calibri" w:cs="Arial"/>
          <w:bCs/>
          <w:color w:val="000000"/>
          <w:kern w:val="2"/>
          <w14:ligatures w14:val="standardContextual"/>
        </w:rPr>
        <w:t>.</w:t>
      </w:r>
    </w:p>
    <w:p w:rsidRPr="00CA71FB" w:rsidR="009157E3" w:rsidP="009157E3" w:rsidRDefault="009157E3" w14:paraId="0A685093" w14:textId="77777777">
      <w:pPr>
        <w:spacing w:before="120" w:after="0" w:line="276" w:lineRule="auto"/>
        <w:jc w:val="both"/>
        <w:rPr>
          <w:rFonts w:ascii="Arial" w:hAnsi="Arial" w:eastAsia="Calibri" w:cs="Arial"/>
          <w:bCs/>
          <w:lang w:val="es-MX"/>
        </w:rPr>
      </w:pPr>
      <w:r w:rsidRPr="00CA71FB">
        <w:rPr>
          <w:rFonts w:ascii="Arial" w:hAnsi="Arial" w:eastAsia="Calibri" w:cs="Arial"/>
          <w:color w:val="000000"/>
          <w:kern w:val="2"/>
          <w14:ligatures w14:val="standardContextual"/>
        </w:rPr>
        <w:tab/>
      </w:r>
    </w:p>
    <w:p w:rsidRPr="00CA71FB" w:rsidR="009157E3" w:rsidP="009157E3" w:rsidRDefault="009157E3" w14:paraId="5EE7DCB4" w14:textId="77777777">
      <w:pPr>
        <w:tabs>
          <w:tab w:val="left" w:pos="284"/>
        </w:tabs>
        <w:spacing w:after="0" w:line="276" w:lineRule="auto"/>
        <w:contextualSpacing/>
        <w:jc w:val="both"/>
        <w:rPr>
          <w:rFonts w:ascii="Arial" w:hAnsi="Arial" w:eastAsia="Calibri" w:cs="Arial"/>
          <w:b/>
          <w:lang w:val="es-MX"/>
        </w:rPr>
      </w:pPr>
      <w:r w:rsidRPr="00000A37">
        <w:rPr>
          <w:rFonts w:ascii="Arial" w:hAnsi="Arial" w:eastAsia="Calibri" w:cs="Arial"/>
          <w:b/>
          <w:lang w:val="es-MX"/>
        </w:rPr>
        <w:t>3. Respuesta</w:t>
      </w:r>
    </w:p>
    <w:p w:rsidRPr="00CA71FB" w:rsidR="009157E3" w:rsidP="009157E3" w:rsidRDefault="009157E3" w14:paraId="000ADEA6" w14:textId="77777777">
      <w:pPr>
        <w:spacing w:after="0" w:line="276" w:lineRule="auto"/>
        <w:jc w:val="both"/>
        <w:rPr>
          <w:rFonts w:ascii="Arial" w:hAnsi="Arial" w:eastAsia="Calibri" w:cs="Arial"/>
          <w:bCs/>
          <w:lang w:val="es-MX"/>
        </w:rPr>
      </w:pPr>
    </w:p>
    <w:p w:rsidRPr="00131E11" w:rsidR="00705270" w:rsidP="00705270" w:rsidRDefault="00705270" w14:paraId="2E67391D" w14:textId="77777777">
      <w:pPr>
        <w:tabs>
          <w:tab w:val="left" w:pos="284"/>
        </w:tabs>
        <w:spacing w:after="0" w:line="240" w:lineRule="auto"/>
        <w:ind w:left="709" w:right="709"/>
        <w:contextualSpacing/>
        <w:jc w:val="both"/>
        <w:rPr>
          <w:rFonts w:ascii="Arial" w:hAnsi="Arial" w:eastAsia="Calibri" w:cs="Arial"/>
          <w:bCs/>
          <w:sz w:val="21"/>
          <w:szCs w:val="21"/>
          <w:lang w:val="es-ES_tradnl"/>
        </w:rPr>
      </w:pPr>
      <w:r w:rsidRPr="00131E11">
        <w:rPr>
          <w:rFonts w:ascii="Arial" w:hAnsi="Arial" w:eastAsia="Calibri" w:cs="Arial"/>
          <w:bCs/>
          <w:sz w:val="21"/>
          <w:szCs w:val="21"/>
          <w:lang w:val="es-ES_tradnl"/>
        </w:rPr>
        <w:t>“Si una entidad fija el valor de la remuneración de los contratistas que prestan servicios profesionales de acuerdo con una tabl</w:t>
      </w:r>
      <w:r>
        <w:rPr>
          <w:rFonts w:ascii="Arial" w:hAnsi="Arial" w:eastAsia="Calibri" w:cs="Arial"/>
          <w:bCs/>
          <w:sz w:val="21"/>
          <w:szCs w:val="21"/>
          <w:lang w:val="es-ES_tradnl"/>
        </w:rPr>
        <w:t xml:space="preserve">a </w:t>
      </w:r>
      <w:r w:rsidRPr="00131E11">
        <w:rPr>
          <w:rFonts w:ascii="Arial" w:hAnsi="Arial" w:eastAsia="Calibri" w:cs="Arial"/>
          <w:bCs/>
          <w:sz w:val="21"/>
          <w:szCs w:val="21"/>
          <w:lang w:val="es-ES_tradnl"/>
        </w:rPr>
        <w:t>interna de Honorarios, y el contratista es responsable de IVA, ¿el valor fijado en la tabla de honorarios incluye el valor del IVA, o dicho impuesto debe sumarse al valor establecido de la tabla de honorarios?</w:t>
      </w:r>
    </w:p>
    <w:p w:rsidRPr="00131E11" w:rsidR="00705270" w:rsidP="00705270" w:rsidRDefault="00705270" w14:paraId="4906D744" w14:textId="77777777">
      <w:pPr>
        <w:spacing w:before="120" w:after="120" w:line="240" w:lineRule="auto"/>
        <w:ind w:left="709" w:right="709"/>
        <w:jc w:val="both"/>
        <w:rPr>
          <w:rFonts w:ascii="Arial" w:hAnsi="Arial" w:eastAsia="Calibri" w:cs="Arial"/>
          <w:bCs/>
          <w:sz w:val="21"/>
          <w:szCs w:val="21"/>
          <w:lang w:val="es-ES_tradnl"/>
        </w:rPr>
      </w:pPr>
      <w:r w:rsidRPr="00131E11">
        <w:rPr>
          <w:rFonts w:ascii="Arial" w:hAnsi="Arial" w:eastAsia="Calibri" w:cs="Arial"/>
          <w:bCs/>
          <w:sz w:val="21"/>
          <w:szCs w:val="21"/>
          <w:lang w:val="es-ES_tradnl"/>
        </w:rPr>
        <w:t>Si la entidad pública decide incluir el IVA del valor establecido en la tabla de honorarios y en consecuencia es el contratista quien asume el IVA, y se desagrega el valor de los honorarios y del IVA en la cláusula de pago del contrato estableciendo la cuantía de cada uno, y en ejecución del contrato el contratista deja de ser responsable de IVA, ¿ese valor del IVA pasa a ser de propiedad de la entidad pública y debe liberarse presupuestalmente? ¿debe disminuirse el valor del contrato? o por el contrario ¿ese valor debe pagarse al contratista como honorarios? [</w:t>
      </w:r>
      <w:r w:rsidRPr="00131E11">
        <w:rPr>
          <w:rFonts w:ascii="Arial" w:hAnsi="Arial" w:eastAsia="Calibri" w:cs="Arial"/>
          <w:bCs/>
          <w:sz w:val="21"/>
          <w:szCs w:val="21"/>
          <w:lang w:val="es-MX"/>
        </w:rPr>
        <w:t>sic</w:t>
      </w:r>
      <w:r w:rsidRPr="00131E11">
        <w:rPr>
          <w:rFonts w:ascii="Arial" w:hAnsi="Arial" w:eastAsia="Calibri" w:cs="Arial"/>
          <w:bCs/>
          <w:sz w:val="21"/>
          <w:szCs w:val="21"/>
          <w:lang w:val="es-ES_tradnl"/>
        </w:rPr>
        <w:t>]”</w:t>
      </w:r>
    </w:p>
    <w:p w:rsidRPr="00CA71FB" w:rsidR="00705270" w:rsidP="00705270" w:rsidRDefault="00705270" w14:paraId="267D1B5B" w14:textId="77777777">
      <w:pPr>
        <w:spacing w:after="0" w:line="276" w:lineRule="auto"/>
        <w:jc w:val="both"/>
        <w:rPr>
          <w:rFonts w:ascii="Arial" w:hAnsi="Arial" w:eastAsia="Calibri" w:cs="Arial"/>
          <w:lang w:val="es-ES_tradnl"/>
        </w:rPr>
      </w:pPr>
    </w:p>
    <w:p w:rsidR="00705270" w:rsidP="009157E3" w:rsidRDefault="007822C6" w14:paraId="46C17FA6" w14:textId="0B58CB3C">
      <w:pPr>
        <w:spacing w:after="0" w:line="276" w:lineRule="auto"/>
        <w:jc w:val="both"/>
        <w:rPr>
          <w:rFonts w:ascii="Arial" w:hAnsi="Arial" w:eastAsia="Calibri" w:cs="Arial"/>
          <w:color w:val="000000"/>
          <w:kern w:val="2"/>
          <w14:ligatures w14:val="standardContextual"/>
        </w:rPr>
      </w:pPr>
      <w:r>
        <w:rPr>
          <w:rStyle w:val="normaltextrun"/>
          <w:rFonts w:ascii="Arial" w:hAnsi="Arial" w:cs="Arial"/>
          <w:color w:val="000000"/>
          <w:shd w:val="clear" w:color="auto" w:fill="FFFFFF"/>
        </w:rPr>
        <w:t xml:space="preserve">De manera preliminar, es necesario tener en cuenta que esta entidad sólo es competente para responder solicitudes sobre la aplicación de normas de carácter general en materia de compras y contratación pública. En ese sentido, resolver casos particulares desborda las atribuciones </w:t>
      </w:r>
      <w:r>
        <w:rPr>
          <w:rStyle w:val="normaltextrun"/>
          <w:rFonts w:ascii="Arial" w:hAnsi="Arial" w:cs="Arial"/>
          <w:color w:val="000000"/>
          <w:shd w:val="clear" w:color="auto" w:fill="FFFFFF"/>
        </w:rPr>
        <w:t>asignadas por el legislador extraordinario, que no concibió a Colombia Compra Eficiente como una autoridad para solucionar problemas jurídicos particulares de todos los participantes de la contratación estatal. Por ello, esta competencia de interpretación de normas generales, por definición, no puede extenderse a la resolución de controversias, ni a brindar asesorías sobre casos puntuales.</w:t>
      </w:r>
      <w:r>
        <w:rPr>
          <w:rStyle w:val="eop"/>
          <w:rFonts w:ascii="Arial" w:hAnsi="Arial" w:cs="Arial"/>
          <w:color w:val="000000"/>
          <w:shd w:val="clear" w:color="auto" w:fill="FFFFFF"/>
        </w:rPr>
        <w:t> </w:t>
      </w:r>
    </w:p>
    <w:p w:rsidRPr="00000A37" w:rsidR="00000A37" w:rsidP="00000A37" w:rsidRDefault="00000A37" w14:paraId="5FCFA771" w14:textId="77777777">
      <w:pPr>
        <w:widowControl w:val="0"/>
        <w:autoSpaceDE w:val="0"/>
        <w:autoSpaceDN w:val="0"/>
        <w:spacing w:before="120" w:after="120" w:line="276" w:lineRule="auto"/>
        <w:ind w:firstLine="709"/>
        <w:jc w:val="both"/>
        <w:rPr>
          <w:rFonts w:ascii="Arial" w:hAnsi="Arial" w:eastAsia="Calibri" w:cs="Arial"/>
          <w:bCs/>
          <w:color w:val="000000"/>
          <w:kern w:val="2"/>
          <w:lang w:val="es-ES"/>
          <w14:ligatures w14:val="standardContextual"/>
        </w:rPr>
      </w:pPr>
      <w:r w:rsidRPr="00000A37">
        <w:rPr>
          <w:rFonts w:ascii="Arial MT" w:hAnsi="Arial MT" w:eastAsia="Arial MT" w:cs="Arial MT"/>
          <w:lang w:val="es-ES"/>
        </w:rPr>
        <w:t xml:space="preserve">Como se expresó en el considerando 2.2 de este concepto, </w:t>
      </w:r>
      <w:r w:rsidRPr="00000A37">
        <w:rPr>
          <w:rFonts w:ascii="Arial" w:hAnsi="Arial" w:eastAsia="Calibri" w:cs="Arial"/>
          <w:bCs/>
          <w:color w:val="000000"/>
          <w:kern w:val="2"/>
          <w:lang w:val="es-ES"/>
          <w14:ligatures w14:val="standardContextual"/>
        </w:rPr>
        <w:t>las entidades públicas determinan el monto de los honorarios de los contratos de prestación de servicios profesionales, de apoyo a la gestión y trabajos artísticos de conformidad con lo establecido en el análisis del sector y en los documentos o estudios previos. Así pues, cabe resaltar, que en la Ley 80 de 1993, Ley 1150 de 2007 y en el Decreto 1082 de 2015 no se encuentran disposiciones que establezcan la obligatoriedad de implementar tablas de honorarios o estandarizar perfiles para los contratos de prestación de servicios, pero, lo anterior, no significa que las entidades no puedan hacerlo.</w:t>
      </w:r>
    </w:p>
    <w:p w:rsidRPr="00000A37" w:rsidR="00000A37" w:rsidP="00000A37" w:rsidRDefault="00000A37" w14:paraId="3C57868C" w14:textId="3F915AFA">
      <w:pPr>
        <w:widowControl w:val="0"/>
        <w:autoSpaceDE w:val="0"/>
        <w:autoSpaceDN w:val="0"/>
        <w:spacing w:before="120" w:after="120" w:line="276" w:lineRule="auto"/>
        <w:ind w:firstLine="709"/>
        <w:jc w:val="both"/>
        <w:rPr>
          <w:rFonts w:ascii="Arial" w:hAnsi="Arial" w:eastAsia="Calibri" w:cs="Arial"/>
          <w:bCs/>
          <w:color w:val="000000"/>
          <w:kern w:val="2"/>
          <w:lang w:val="es-ES"/>
          <w14:ligatures w14:val="standardContextual"/>
        </w:rPr>
      </w:pPr>
      <w:r w:rsidRPr="00000A37">
        <w:rPr>
          <w:rFonts w:ascii="Arial" w:hAnsi="Arial" w:eastAsia="Calibri" w:cs="Arial"/>
          <w:bCs/>
          <w:color w:val="000000"/>
          <w:kern w:val="2"/>
          <w:lang w:val="es-ES"/>
          <w14:ligatures w14:val="standardContextual"/>
        </w:rPr>
        <w:t>Finalmente se aclara, que en la fijación de honorarios se incluyen impuestos y otros costos que se generen para el contratista con ocasión de la ejecución del contrato y, concretamente del IVA. Esto en razón a que, la ejecución de un contrato de prestación de servicios puede involucrar múltiples tributos –impuestos (v. gr. Renta, IVA, ICA), tasas y contribuciones– para las partes del contrato, de ahí que, la Entidad Estatal al establecer el valor estimado del contrato debe incluir el impuesto al valor agregado (IVA) siempre que las actividades derivadas de su ejecución o dependiendo del régimen tributario del contratista, estén gravadas con este impuesto, de lo contrario no debe incluirlo</w:t>
      </w:r>
      <w:r w:rsidR="00BD65D6">
        <w:rPr>
          <w:rFonts w:ascii="Arial" w:hAnsi="Arial" w:eastAsia="Calibri" w:cs="Arial"/>
          <w:bCs/>
          <w:color w:val="000000"/>
          <w:kern w:val="2"/>
          <w:lang w:val="es-ES"/>
          <w14:ligatures w14:val="standardContextual"/>
        </w:rPr>
        <w:t>, en todo caso cada entidad deberá analizar y determinar las con</w:t>
      </w:r>
      <w:r w:rsidR="00511794">
        <w:rPr>
          <w:rFonts w:ascii="Arial" w:hAnsi="Arial" w:eastAsia="Calibri" w:cs="Arial"/>
          <w:bCs/>
          <w:color w:val="000000"/>
          <w:kern w:val="2"/>
          <w:lang w:val="es-ES"/>
          <w14:ligatures w14:val="standardContextual"/>
        </w:rPr>
        <w:t xml:space="preserve">diciones a estipular en el contrato para su debida ejecución contractual, lo anterior, </w:t>
      </w:r>
      <w:r w:rsidR="00BD65D6">
        <w:rPr>
          <w:rFonts w:ascii="Arial" w:hAnsi="Arial" w:eastAsia="Calibri" w:cs="Arial"/>
          <w:bCs/>
          <w:color w:val="000000"/>
          <w:kern w:val="2"/>
          <w:lang w:val="es-ES"/>
          <w14:ligatures w14:val="standardContextual"/>
        </w:rPr>
        <w:t>bajo</w:t>
      </w:r>
      <w:r w:rsidR="00511794">
        <w:rPr>
          <w:rFonts w:ascii="Arial" w:hAnsi="Arial" w:eastAsia="Calibri" w:cs="Arial"/>
          <w:bCs/>
          <w:color w:val="000000"/>
          <w:kern w:val="2"/>
          <w:lang w:val="es-ES"/>
          <w14:ligatures w14:val="standardContextual"/>
        </w:rPr>
        <w:t xml:space="preserve"> la facultad discrecional de la cual gozan las Entidades Estatales.</w:t>
      </w:r>
    </w:p>
    <w:p w:rsidR="00705270" w:rsidP="007822C6" w:rsidRDefault="00705270" w14:paraId="39E1F3D3" w14:textId="77777777">
      <w:pPr>
        <w:spacing w:before="120" w:after="0" w:line="276" w:lineRule="auto"/>
        <w:jc w:val="both"/>
        <w:rPr>
          <w:rFonts w:ascii="Arial" w:hAnsi="Arial" w:eastAsia="Calibri" w:cs="Arial"/>
          <w:color w:val="000000"/>
          <w:kern w:val="2"/>
          <w14:ligatures w14:val="standardContextual"/>
        </w:rPr>
      </w:pPr>
    </w:p>
    <w:p w:rsidRPr="00CA71FB" w:rsidR="009157E3" w:rsidP="009157E3" w:rsidRDefault="009157E3" w14:paraId="52BCCD03" w14:textId="74F38FCA">
      <w:pPr>
        <w:spacing w:after="0" w:line="276" w:lineRule="auto"/>
        <w:jc w:val="both"/>
        <w:rPr>
          <w:rFonts w:ascii="Arial" w:hAnsi="Arial" w:eastAsia="Calibri" w:cs="Arial"/>
          <w:color w:val="000000"/>
          <w:kern w:val="2"/>
          <w14:ligatures w14:val="standardContextual"/>
        </w:rPr>
      </w:pPr>
      <w:r w:rsidRPr="00CA71FB">
        <w:rPr>
          <w:rFonts w:ascii="Arial" w:hAnsi="Arial" w:eastAsia="Calibri" w:cs="Arial"/>
          <w:color w:val="000000"/>
          <w:kern w:val="2"/>
          <w14:ligatures w14:val="standardContextu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CA71FB" w:rsidR="009157E3" w:rsidP="009157E3" w:rsidRDefault="009157E3" w14:paraId="3011BD77" w14:textId="77777777">
      <w:pPr>
        <w:spacing w:after="0" w:line="276" w:lineRule="auto"/>
        <w:jc w:val="both"/>
        <w:rPr>
          <w:rFonts w:ascii="Arial" w:hAnsi="Arial" w:eastAsia="Calibri" w:cs="Arial"/>
          <w:color w:val="000000"/>
          <w:kern w:val="2"/>
          <w14:ligatures w14:val="standardContextual"/>
        </w:rPr>
      </w:pPr>
    </w:p>
    <w:p w:rsidRPr="00CA71FB" w:rsidR="009157E3" w:rsidP="009157E3" w:rsidRDefault="009157E3" w14:paraId="339E3BBF" w14:textId="77777777">
      <w:pPr>
        <w:spacing w:after="0" w:line="240" w:lineRule="auto"/>
        <w:rPr>
          <w:rFonts w:ascii="Arial" w:hAnsi="Arial" w:eastAsia="Calibri" w:cs="Arial"/>
          <w:bCs/>
          <w:lang w:val="es-MX"/>
        </w:rPr>
      </w:pPr>
      <w:r w:rsidRPr="00CA71FB">
        <w:rPr>
          <w:rFonts w:ascii="Arial" w:hAnsi="Arial" w:eastAsia="Calibri" w:cs="Arial"/>
          <w:bCs/>
          <w:lang w:val="es-MX"/>
        </w:rPr>
        <w:t>Atentamente,</w:t>
      </w:r>
    </w:p>
    <w:p w:rsidRPr="00CA71FB" w:rsidR="009157E3" w:rsidP="009157E3" w:rsidRDefault="009157E3" w14:paraId="5866ED18" w14:textId="77777777">
      <w:pPr>
        <w:spacing w:after="0" w:line="240" w:lineRule="auto"/>
        <w:rPr>
          <w:rFonts w:ascii="Arial" w:hAnsi="Arial" w:eastAsia="Calibri" w:cs="Arial"/>
          <w:bCs/>
          <w:lang w:val="es-MX"/>
        </w:rPr>
      </w:pPr>
    </w:p>
    <w:p w:rsidRPr="00CA71FB" w:rsidR="009157E3" w:rsidP="009157E3" w:rsidRDefault="00E849BD" w14:paraId="7FA2A255" w14:textId="148A47FB">
      <w:pPr>
        <w:spacing w:after="0" w:line="240" w:lineRule="auto"/>
        <w:jc w:val="center"/>
        <w:rPr>
          <w:rFonts w:ascii="Arial" w:hAnsi="Arial" w:eastAsia="Times New Roman" w:cs="Arial"/>
          <w:lang w:val="es-MX" w:eastAsia="es-CO"/>
        </w:rPr>
      </w:pPr>
      <w:r>
        <w:rPr>
          <w:rFonts w:ascii="Arial" w:hAnsi="Arial" w:eastAsia="Calibri" w:cs="Arial"/>
          <w:noProof/>
          <w:color w:val="3B3838"/>
          <w:shd w:val="clear" w:color="auto" w:fill="FFFFFF"/>
          <w:lang w:val="es-ES"/>
        </w:rPr>
        <w:drawing>
          <wp:inline distT="0" distB="0" distL="0" distR="0" wp14:anchorId="1601A40E" wp14:editId="09D6E7E1">
            <wp:extent cx="3152775" cy="1209675"/>
            <wp:effectExtent l="0" t="0" r="9525" b="9525"/>
            <wp:docPr id="9240379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3796" name="Imagen 2"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Calibri" w:hAnsi="Calibri" w:cs="Calibri"/>
          <w:color w:val="000000"/>
          <w:shd w:val="clear" w:color="auto" w:fill="FFFFFF"/>
        </w:rPr>
        <w:br/>
      </w:r>
      <w:r w:rsidRPr="00CA71FB" w:rsidR="009157E3">
        <w:rPr>
          <w:rFonts w:ascii="Arial" w:hAnsi="Arial" w:eastAsia="Calibri" w:cs="Arial"/>
          <w:color w:val="3B3838"/>
          <w:shd w:val="clear" w:color="auto" w:fill="FFFFFF"/>
          <w:lang w:val="es-ES"/>
        </w:rPr>
        <w:br/>
      </w:r>
      <w:r w:rsidRPr="00CA71FB" w:rsidR="009157E3">
        <w:rPr>
          <w:rFonts w:ascii="Arial" w:hAnsi="Arial" w:eastAsia="Calibri" w:cs="Arial"/>
          <w:color w:val="000000"/>
          <w:shd w:val="clear" w:color="auto" w:fill="FFFFFF"/>
          <w:lang w:val="es-MX"/>
        </w:rPr>
        <w:br/>
      </w:r>
    </w:p>
    <w:tbl>
      <w:tblPr>
        <w:tblStyle w:val="Tablaconcuadrcula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21"/>
        <w:gridCol w:w="5206"/>
      </w:tblGrid>
      <w:tr w:rsidRPr="00CA71FB" w:rsidR="009157E3" w:rsidTr="0062443E" w14:paraId="0F94002D" w14:textId="77777777">
        <w:trPr>
          <w:trHeight w:val="287"/>
        </w:trPr>
        <w:tc>
          <w:tcPr>
            <w:tcW w:w="1221" w:type="dxa"/>
            <w:vAlign w:val="center"/>
            <w:hideMark/>
          </w:tcPr>
          <w:p w:rsidRPr="00CA71FB" w:rsidR="009157E3" w:rsidP="0062443E" w:rsidRDefault="009157E3" w14:paraId="1D3A974F"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Elaboró:</w:t>
            </w:r>
          </w:p>
        </w:tc>
        <w:tc>
          <w:tcPr>
            <w:tcW w:w="5206" w:type="dxa"/>
            <w:tcBorders>
              <w:top w:val="nil"/>
              <w:left w:val="nil"/>
              <w:bottom w:val="dotted" w:color="7F7F7F" w:sz="4" w:space="0"/>
              <w:right w:val="nil"/>
            </w:tcBorders>
            <w:vAlign w:val="center"/>
            <w:hideMark/>
          </w:tcPr>
          <w:p w:rsidRPr="00CA71FB" w:rsidR="009157E3" w:rsidP="0062443E" w:rsidRDefault="009157E3" w14:paraId="6BCB720F" w14:textId="77777777">
            <w:pPr>
              <w:rPr>
                <w:rFonts w:ascii="Arial" w:hAnsi="Arial" w:eastAsia="Calibri" w:cs="Arial"/>
                <w:sz w:val="18"/>
                <w:szCs w:val="18"/>
                <w:lang w:val="es-MX" w:eastAsia="es-ES"/>
              </w:rPr>
            </w:pPr>
          </w:p>
          <w:p w:rsidRPr="00CA71FB" w:rsidR="009157E3" w:rsidP="0062443E" w:rsidRDefault="009157E3" w14:paraId="76E3AAC6"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Nasly Yeana Mosquera Rivas</w:t>
            </w:r>
          </w:p>
          <w:p w:rsidRPr="00CA71FB" w:rsidR="009157E3" w:rsidP="0062443E" w:rsidRDefault="009157E3" w14:paraId="171B5B8D"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Analista T2–06 de la Subdirección de Gestión Contractual</w:t>
            </w:r>
          </w:p>
        </w:tc>
      </w:tr>
      <w:tr w:rsidRPr="00CA71FB" w:rsidR="009157E3" w:rsidTr="0062443E" w14:paraId="474DE90E" w14:textId="77777777">
        <w:trPr>
          <w:trHeight w:val="300"/>
        </w:trPr>
        <w:tc>
          <w:tcPr>
            <w:tcW w:w="1221" w:type="dxa"/>
            <w:vAlign w:val="center"/>
            <w:hideMark/>
          </w:tcPr>
          <w:p w:rsidRPr="00CA71FB" w:rsidR="009157E3" w:rsidP="0062443E" w:rsidRDefault="009157E3" w14:paraId="3BD76A8E"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Revisó:</w:t>
            </w:r>
          </w:p>
        </w:tc>
        <w:tc>
          <w:tcPr>
            <w:tcW w:w="5206" w:type="dxa"/>
            <w:tcBorders>
              <w:top w:val="dotted" w:color="7F7F7F" w:sz="4" w:space="0"/>
              <w:left w:val="nil"/>
              <w:bottom w:val="dotted" w:color="7F7F7F" w:sz="4" w:space="0"/>
              <w:right w:val="nil"/>
            </w:tcBorders>
            <w:vAlign w:val="center"/>
            <w:hideMark/>
          </w:tcPr>
          <w:p w:rsidRPr="00CA71FB" w:rsidR="009157E3" w:rsidP="0062443E" w:rsidRDefault="009157E3" w14:paraId="521FA9DE" w14:textId="77777777">
            <w:pPr>
              <w:jc w:val="both"/>
              <w:rPr>
                <w:rFonts w:ascii="Arial" w:hAnsi="Arial" w:eastAsia="Calibri" w:cs="Arial"/>
                <w:sz w:val="18"/>
                <w:szCs w:val="18"/>
                <w:lang w:val="es-MX" w:eastAsia="es-ES"/>
              </w:rPr>
            </w:pPr>
            <w:r w:rsidRPr="00CA71FB">
              <w:rPr>
                <w:rFonts w:ascii="Arial" w:hAnsi="Arial" w:eastAsia="Calibri" w:cs="Arial"/>
                <w:sz w:val="18"/>
                <w:szCs w:val="18"/>
                <w:lang w:val="es-MX" w:eastAsia="es-ES"/>
              </w:rPr>
              <w:t>Diana Carolina Armenta Celis</w:t>
            </w:r>
          </w:p>
          <w:p w:rsidRPr="00CA71FB" w:rsidR="009157E3" w:rsidP="0062443E" w:rsidRDefault="009157E3" w14:paraId="23C49326"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Contratista de la Subdirección de Contractual</w:t>
            </w:r>
          </w:p>
        </w:tc>
      </w:tr>
      <w:tr w:rsidRPr="00CA71FB" w:rsidR="009157E3" w:rsidTr="0062443E" w14:paraId="024C1B2D" w14:textId="77777777">
        <w:trPr>
          <w:trHeight w:val="273"/>
        </w:trPr>
        <w:tc>
          <w:tcPr>
            <w:tcW w:w="1221" w:type="dxa"/>
            <w:vAlign w:val="center"/>
            <w:hideMark/>
          </w:tcPr>
          <w:p w:rsidRPr="00CA71FB" w:rsidR="009157E3" w:rsidP="0062443E" w:rsidRDefault="009157E3" w14:paraId="12F2862C"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Aprobó:</w:t>
            </w:r>
          </w:p>
        </w:tc>
        <w:tc>
          <w:tcPr>
            <w:tcW w:w="5206" w:type="dxa"/>
            <w:tcBorders>
              <w:top w:val="dotted" w:color="7F7F7F" w:sz="4" w:space="0"/>
              <w:left w:val="nil"/>
              <w:bottom w:val="dotted" w:color="7F7F7F" w:sz="4" w:space="0"/>
              <w:right w:val="nil"/>
            </w:tcBorders>
            <w:vAlign w:val="center"/>
            <w:hideMark/>
          </w:tcPr>
          <w:p w:rsidRPr="00CA71FB" w:rsidR="009157E3" w:rsidP="0062443E" w:rsidRDefault="009157E3" w14:paraId="7D11EF6B"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 xml:space="preserve">Nohelia del Carmen </w:t>
            </w:r>
            <w:proofErr w:type="spellStart"/>
            <w:r w:rsidRPr="00CA71FB">
              <w:rPr>
                <w:rFonts w:ascii="Arial" w:hAnsi="Arial" w:eastAsia="Calibri" w:cs="Arial"/>
                <w:sz w:val="18"/>
                <w:szCs w:val="18"/>
                <w:lang w:val="es-MX" w:eastAsia="es-ES"/>
              </w:rPr>
              <w:t>Zawady</w:t>
            </w:r>
            <w:proofErr w:type="spellEnd"/>
            <w:r w:rsidRPr="00CA71FB">
              <w:rPr>
                <w:rFonts w:ascii="Arial" w:hAnsi="Arial" w:eastAsia="Calibri" w:cs="Arial"/>
                <w:sz w:val="18"/>
                <w:szCs w:val="18"/>
                <w:lang w:val="es-MX" w:eastAsia="es-ES"/>
              </w:rPr>
              <w:t xml:space="preserve"> Palacio</w:t>
            </w:r>
          </w:p>
          <w:p w:rsidRPr="00CA71FB" w:rsidR="009157E3" w:rsidP="0062443E" w:rsidRDefault="009157E3" w14:paraId="341AC6DF" w14:textId="77777777">
            <w:pPr>
              <w:rPr>
                <w:rFonts w:ascii="Arial" w:hAnsi="Arial" w:eastAsia="Calibri" w:cs="Arial"/>
                <w:sz w:val="18"/>
                <w:szCs w:val="18"/>
                <w:lang w:val="es-MX" w:eastAsia="es-ES"/>
              </w:rPr>
            </w:pPr>
            <w:r w:rsidRPr="00CA71FB">
              <w:rPr>
                <w:rFonts w:ascii="Arial" w:hAnsi="Arial" w:eastAsia="Calibri" w:cs="Arial"/>
                <w:sz w:val="18"/>
                <w:szCs w:val="18"/>
                <w:lang w:val="es-MX" w:eastAsia="es-ES"/>
              </w:rPr>
              <w:t>Subdirectora de Gestión Contractual ANCP – CCE</w:t>
            </w:r>
          </w:p>
        </w:tc>
      </w:tr>
    </w:tbl>
    <w:p w:rsidRPr="00CA71FB" w:rsidR="009157E3" w:rsidP="009157E3" w:rsidRDefault="009157E3" w14:paraId="3CBB4FBC" w14:textId="77777777">
      <w:pPr>
        <w:spacing w:after="0" w:line="240" w:lineRule="auto"/>
        <w:jc w:val="center"/>
        <w:rPr>
          <w:rFonts w:ascii="Arial" w:hAnsi="Arial" w:eastAsia="Calibri" w:cs="Arial"/>
          <w:sz w:val="18"/>
          <w:szCs w:val="18"/>
          <w:lang w:val="es-MX" w:eastAsia="es-CO"/>
        </w:rPr>
      </w:pPr>
    </w:p>
    <w:p w:rsidRPr="00CA71FB" w:rsidR="009157E3" w:rsidP="009157E3" w:rsidRDefault="009157E3" w14:paraId="78EEB696" w14:textId="77777777">
      <w:pPr>
        <w:spacing w:after="0" w:line="240" w:lineRule="auto"/>
        <w:jc w:val="center"/>
        <w:rPr>
          <w:rFonts w:ascii="Arial" w:hAnsi="Arial" w:eastAsia="Calibri" w:cs="Arial"/>
          <w:lang w:val="es-ES_tradnl" w:eastAsia="es-CO"/>
        </w:rPr>
      </w:pPr>
    </w:p>
    <w:p w:rsidR="009157E3" w:rsidP="009157E3" w:rsidRDefault="009157E3" w14:paraId="78DFA0C9" w14:textId="77777777">
      <w:pPr>
        <w:spacing w:after="0"/>
        <w:rPr>
          <w:rFonts w:ascii="Arial Nova" w:hAnsi="Arial Nova"/>
          <w:color w:val="000000" w:themeColor="text1"/>
        </w:rPr>
      </w:pPr>
    </w:p>
    <w:p w:rsidRPr="007566FE" w:rsidR="009157E3" w:rsidP="009157E3" w:rsidRDefault="009157E3" w14:paraId="36282872" w14:textId="77777777">
      <w:pPr>
        <w:spacing w:after="0"/>
        <w:rPr>
          <w:rFonts w:ascii="Arial Nova" w:hAnsi="Arial Nova"/>
          <w:color w:val="000000" w:themeColor="text1"/>
        </w:rPr>
      </w:pPr>
    </w:p>
    <w:p w:rsidR="008E5C2E" w:rsidRDefault="008E5C2E" w14:paraId="1F206453" w14:textId="77777777"/>
    <w:sectPr w:rsidR="008E5C2E" w:rsidSect="0039439C">
      <w:headerReference w:type="default" r:id="rId11"/>
      <w:footerReference w:type="default" r:id="rId12"/>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0EE" w:rsidP="009157E3" w:rsidRDefault="002630EE" w14:paraId="02F86734" w14:textId="77777777">
      <w:pPr>
        <w:spacing w:after="0" w:line="240" w:lineRule="auto"/>
      </w:pPr>
      <w:r>
        <w:separator/>
      </w:r>
    </w:p>
  </w:endnote>
  <w:endnote w:type="continuationSeparator" w:id="0">
    <w:p w:rsidR="002630EE" w:rsidP="009157E3" w:rsidRDefault="002630EE" w14:paraId="0B40F0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9157E3" w14:paraId="5DA48649" w14:textId="77777777">
    <w:pPr>
      <w:pStyle w:val="Piedepgina"/>
    </w:pPr>
    <w:r>
      <w:rPr>
        <w:noProof/>
      </w:rPr>
      <w:drawing>
        <wp:inline distT="0" distB="0" distL="0" distR="0" wp14:anchorId="765EDAE5" wp14:editId="3000707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292D7B55"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9157E3" w14:paraId="0BC079A3"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9157E3" w14:paraId="720710E4"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9157E3" w14:paraId="14200141"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9157E3" w14:paraId="2ADCC8FF"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9157E3" w14:paraId="7317A2D2"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9157E3" w14:paraId="6CCE375D" w14:textId="77777777">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9157E3" w14:paraId="3E2EEC56"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E849BD" w14:paraId="50E1286C"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0EE" w:rsidP="009157E3" w:rsidRDefault="002630EE" w14:paraId="5DFC1CE2" w14:textId="77777777">
      <w:pPr>
        <w:spacing w:after="0" w:line="240" w:lineRule="auto"/>
      </w:pPr>
      <w:r>
        <w:separator/>
      </w:r>
    </w:p>
  </w:footnote>
  <w:footnote w:type="continuationSeparator" w:id="0">
    <w:p w:rsidR="002630EE" w:rsidP="009157E3" w:rsidRDefault="002630EE" w14:paraId="3E5DF345" w14:textId="77777777">
      <w:pPr>
        <w:spacing w:after="0" w:line="240" w:lineRule="auto"/>
      </w:pPr>
      <w:r>
        <w:continuationSeparator/>
      </w:r>
    </w:p>
  </w:footnote>
  <w:footnote w:id="1">
    <w:p w:rsidRPr="007322CB" w:rsidR="003B420E" w:rsidP="003B420E" w:rsidRDefault="003B420E" w14:paraId="0150C44A"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rsidRPr="007322CB" w:rsidR="003B420E" w:rsidP="003B420E" w:rsidRDefault="003B420E" w14:paraId="1287057B" w14:textId="77777777">
      <w:pPr>
        <w:pStyle w:val="Textonotapie"/>
        <w:ind w:firstLine="709"/>
        <w:contextualSpacing/>
        <w:jc w:val="both"/>
        <w:rPr>
          <w:rFonts w:ascii="Arial" w:hAnsi="Arial" w:cs="Arial"/>
          <w:sz w:val="10"/>
          <w:szCs w:val="10"/>
          <w:lang w:val="es-ES"/>
        </w:rPr>
      </w:pPr>
    </w:p>
  </w:footnote>
  <w:footnote w:id="2">
    <w:p w:rsidRPr="007322CB" w:rsidR="003B420E" w:rsidP="003B420E" w:rsidRDefault="003B420E" w14:paraId="60E9F4CF"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7322CB" w:rsidR="003B420E" w:rsidP="003B420E" w:rsidRDefault="003B420E" w14:paraId="0A61863A"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7322CB" w:rsidR="003B420E" w:rsidP="003B420E" w:rsidRDefault="003B420E" w14:paraId="5A6712C5"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El Gobierno nacional reglamentará el mecanismo para realizar la mensualización de que trata el presente artículo.</w:t>
      </w:r>
    </w:p>
    <w:p w:rsidRPr="007322CB" w:rsidR="003B420E" w:rsidP="003B420E" w:rsidRDefault="003B420E" w14:paraId="3F47F625" w14:textId="77777777">
      <w:pPr>
        <w:pStyle w:val="Textonotapie"/>
        <w:ind w:firstLine="709"/>
        <w:contextualSpacing/>
        <w:jc w:val="both"/>
        <w:rPr>
          <w:rFonts w:ascii="Arial" w:hAnsi="Arial" w:cs="Arial"/>
          <w:sz w:val="10"/>
          <w:szCs w:val="10"/>
          <w:lang w:val="pt-BR"/>
        </w:rPr>
      </w:pPr>
      <w:r w:rsidRPr="007322CB">
        <w:rPr>
          <w:rFonts w:ascii="Arial" w:hAnsi="Arial" w:cs="Arial"/>
          <w:sz w:val="10"/>
          <w:szCs w:val="10"/>
          <w:lang w:val="pt-BR"/>
        </w:rPr>
        <w:t>[…]».</w:t>
      </w:r>
    </w:p>
    <w:p w:rsidRPr="007322CB" w:rsidR="003B420E" w:rsidP="003B420E" w:rsidRDefault="003B420E" w14:paraId="46BAB678" w14:textId="77777777">
      <w:pPr>
        <w:pStyle w:val="Textonotapie"/>
        <w:ind w:firstLine="709"/>
        <w:contextualSpacing/>
        <w:jc w:val="both"/>
        <w:rPr>
          <w:rFonts w:ascii="Arial" w:hAnsi="Arial" w:cs="Arial"/>
          <w:sz w:val="10"/>
          <w:szCs w:val="10"/>
          <w:lang w:val="pt-BR"/>
        </w:rPr>
      </w:pPr>
    </w:p>
  </w:footnote>
  <w:footnote w:id="3">
    <w:p w:rsidRPr="007322CB" w:rsidR="003B420E" w:rsidP="003B420E" w:rsidRDefault="003B420E" w14:paraId="03F6E8F2"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lang w:val="pt-BR"/>
        </w:rPr>
        <w:t xml:space="preserve"> Corte Constitucional. Sentencia C-154 de 1997. </w:t>
      </w:r>
      <w:r w:rsidRPr="007322CB">
        <w:rPr>
          <w:rFonts w:ascii="Arial" w:hAnsi="Arial" w:cs="Arial"/>
          <w:sz w:val="10"/>
          <w:szCs w:val="10"/>
          <w:lang w:val="es-ES"/>
        </w:rPr>
        <w:t>MP: Hernando Herrera Vergara.</w:t>
      </w:r>
    </w:p>
    <w:p w:rsidRPr="007322CB" w:rsidR="003B420E" w:rsidP="003B420E" w:rsidRDefault="003B420E" w14:paraId="32534D1A" w14:textId="77777777">
      <w:pPr>
        <w:pStyle w:val="Textonotapie"/>
        <w:ind w:firstLine="709"/>
        <w:contextualSpacing/>
        <w:jc w:val="both"/>
        <w:rPr>
          <w:rFonts w:ascii="Arial" w:hAnsi="Arial" w:cs="Arial"/>
          <w:sz w:val="10"/>
          <w:szCs w:val="10"/>
          <w:lang w:val="es-ES"/>
        </w:rPr>
      </w:pPr>
    </w:p>
  </w:footnote>
  <w:footnote w:id="4">
    <w:p w:rsidRPr="007322CB" w:rsidR="003B420E" w:rsidP="003B420E" w:rsidRDefault="003B420E" w14:paraId="40C1B955"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proofErr w:type="spellStart"/>
      <w:r w:rsidRPr="007322CB">
        <w:rPr>
          <w:rFonts w:ascii="Arial" w:hAnsi="Arial" w:cs="Arial"/>
          <w:sz w:val="10"/>
          <w:szCs w:val="10"/>
          <w:lang w:val="es-ES"/>
        </w:rPr>
        <w:t>Ibíd</w:t>
      </w:r>
      <w:proofErr w:type="spellEnd"/>
      <w:r w:rsidRPr="007322CB">
        <w:rPr>
          <w:rFonts w:ascii="Arial" w:hAnsi="Arial" w:cs="Arial"/>
          <w:sz w:val="10"/>
          <w:szCs w:val="10"/>
          <w:lang w:val="es-ES"/>
        </w:rPr>
        <w:t>.</w:t>
      </w:r>
    </w:p>
    <w:p w:rsidRPr="007322CB" w:rsidR="003B420E" w:rsidP="003B420E" w:rsidRDefault="003B420E" w14:paraId="62EFD861" w14:textId="77777777">
      <w:pPr>
        <w:pStyle w:val="Textonotapie"/>
        <w:ind w:firstLine="709"/>
        <w:contextualSpacing/>
        <w:jc w:val="both"/>
        <w:rPr>
          <w:rFonts w:ascii="Arial" w:hAnsi="Arial" w:cs="Arial"/>
          <w:sz w:val="10"/>
          <w:szCs w:val="10"/>
          <w:lang w:val="es-ES"/>
        </w:rPr>
      </w:pPr>
    </w:p>
  </w:footnote>
  <w:footnote w:id="5">
    <w:p w:rsidRPr="007322CB" w:rsidR="003B420E" w:rsidP="003B420E" w:rsidRDefault="003B420E" w14:paraId="264CEDA9"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7322CB" w:rsidR="003B420E" w:rsidP="003B420E" w:rsidRDefault="003B420E" w14:paraId="70463FDD" w14:textId="77777777">
      <w:pPr>
        <w:pStyle w:val="Textonotapie"/>
        <w:ind w:firstLine="709"/>
        <w:contextualSpacing/>
        <w:jc w:val="both"/>
        <w:rPr>
          <w:rFonts w:ascii="Arial" w:hAnsi="Arial" w:cs="Arial"/>
          <w:color w:val="000000"/>
          <w:sz w:val="10"/>
          <w:szCs w:val="10"/>
          <w:lang w:val="es-ES"/>
        </w:rPr>
      </w:pPr>
      <w:r w:rsidRPr="007322CB">
        <w:rPr>
          <w:rFonts w:ascii="Arial" w:hAnsi="Arial" w:cs="Arial"/>
          <w:color w:val="000000"/>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7322CB" w:rsidR="003B420E" w:rsidP="003B420E" w:rsidRDefault="003B420E" w14:paraId="520CE876" w14:textId="77777777">
      <w:pPr>
        <w:pStyle w:val="Textonotapie"/>
        <w:ind w:firstLine="709"/>
        <w:contextualSpacing/>
        <w:jc w:val="both"/>
        <w:rPr>
          <w:rFonts w:ascii="Arial" w:hAnsi="Arial" w:cs="Arial"/>
          <w:color w:val="000000"/>
          <w:sz w:val="10"/>
          <w:szCs w:val="10"/>
          <w:lang w:val="es-ES"/>
        </w:rPr>
      </w:pPr>
      <w:r w:rsidRPr="007322CB">
        <w:rPr>
          <w:rFonts w:ascii="Arial" w:hAnsi="Arial" w:cs="Arial"/>
          <w:color w:val="000000"/>
          <w:sz w:val="10"/>
          <w:szCs w:val="10"/>
          <w:lang w:val="es-ES"/>
        </w:rPr>
        <w:t>»La Entidad Estatal, para la contratación de trabajos artísticos que solamente puedan en­comendarse a determinadas personas naturales, debe justificar esta situación en los estudios y documentos previos».</w:t>
      </w:r>
    </w:p>
  </w:footnote>
  <w:footnote w:id="6">
    <w:p w:rsidRPr="007322CB" w:rsidR="003B420E" w:rsidP="003B420E" w:rsidRDefault="003B420E" w14:paraId="543ED55A"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r w:rsidRPr="007322CB">
        <w:rPr>
          <w:rFonts w:ascii="Arial" w:hAnsi="Arial" w:cs="Arial"/>
          <w:color w:val="000000"/>
          <w:sz w:val="10"/>
          <w:szCs w:val="10"/>
          <w:lang w:val="es-ES"/>
        </w:rPr>
        <w:t xml:space="preserve">CONSEJO DE ESTADO. Sección Tercera. Subsección C. Sentencia del 2 de diciembre de 2013. </w:t>
      </w:r>
      <w:proofErr w:type="spellStart"/>
      <w:r w:rsidRPr="007322CB">
        <w:rPr>
          <w:rFonts w:ascii="Arial" w:hAnsi="Arial" w:cs="Arial"/>
          <w:color w:val="000000"/>
          <w:sz w:val="10"/>
          <w:szCs w:val="10"/>
          <w:lang w:val="es-ES"/>
        </w:rPr>
        <w:t>Exp</w:t>
      </w:r>
      <w:proofErr w:type="spellEnd"/>
      <w:r w:rsidRPr="007322CB">
        <w:rPr>
          <w:rFonts w:ascii="Arial" w:hAnsi="Arial" w:cs="Arial"/>
          <w:color w:val="000000"/>
          <w:sz w:val="10"/>
          <w:szCs w:val="10"/>
          <w:lang w:val="es-ES"/>
        </w:rPr>
        <w:t>. 41719. Consejero Ponente: Jaime Orlando Santofimio Gamboa.</w:t>
      </w:r>
    </w:p>
  </w:footnote>
  <w:footnote w:id="7">
    <w:p w:rsidRPr="007322CB" w:rsidR="003B420E" w:rsidP="003B420E" w:rsidRDefault="003B420E" w14:paraId="098BB969"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proofErr w:type="spellStart"/>
      <w:r w:rsidRPr="007322CB">
        <w:rPr>
          <w:rFonts w:ascii="Arial" w:hAnsi="Arial" w:cs="Arial"/>
          <w:color w:val="000000"/>
          <w:sz w:val="10"/>
          <w:szCs w:val="10"/>
          <w:lang w:val="es-ES"/>
        </w:rPr>
        <w:t>Ibíd</w:t>
      </w:r>
      <w:proofErr w:type="spellEnd"/>
      <w:r w:rsidRPr="007322CB">
        <w:rPr>
          <w:rFonts w:ascii="Arial" w:hAnsi="Arial" w:cs="Arial"/>
          <w:color w:val="000000"/>
          <w:sz w:val="10"/>
          <w:szCs w:val="10"/>
          <w:lang w:val="es-ES"/>
        </w:rPr>
        <w:t>.</w:t>
      </w:r>
    </w:p>
  </w:footnote>
  <w:footnote w:id="8">
    <w:p w:rsidRPr="007322CB" w:rsidR="003B420E" w:rsidP="003B420E" w:rsidRDefault="003B420E" w14:paraId="5054B135" w14:textId="77777777">
      <w:pPr>
        <w:pStyle w:val="Textonotapie"/>
        <w:ind w:firstLine="709"/>
        <w:contextualSpacing/>
        <w:jc w:val="both"/>
        <w:rPr>
          <w:rFonts w:ascii="Arial" w:hAnsi="Arial" w:cs="Arial"/>
          <w:color w:val="000000"/>
          <w:sz w:val="10"/>
          <w:szCs w:val="10"/>
          <w:lang w:val="es-ES"/>
        </w:rPr>
      </w:pPr>
      <w:r w:rsidRPr="007322CB">
        <w:rPr>
          <w:rStyle w:val="Refdenotaalpie"/>
          <w:rFonts w:ascii="Arial" w:hAnsi="Arial" w:cs="Arial"/>
          <w:color w:val="000000"/>
          <w:sz w:val="10"/>
          <w:szCs w:val="10"/>
        </w:rPr>
        <w:footnoteRef/>
      </w:r>
      <w:r w:rsidRPr="007322CB">
        <w:rPr>
          <w:rFonts w:ascii="Arial" w:hAnsi="Arial" w:cs="Arial"/>
          <w:color w:val="000000"/>
          <w:sz w:val="10"/>
          <w:szCs w:val="10"/>
        </w:rPr>
        <w:t xml:space="preserve"> </w:t>
      </w:r>
      <w:proofErr w:type="spellStart"/>
      <w:r w:rsidRPr="007322CB">
        <w:rPr>
          <w:rFonts w:ascii="Arial" w:hAnsi="Arial" w:cs="Arial"/>
          <w:color w:val="000000"/>
          <w:sz w:val="10"/>
          <w:szCs w:val="10"/>
          <w:lang w:val="es-ES"/>
        </w:rPr>
        <w:t>Ibíd</w:t>
      </w:r>
      <w:proofErr w:type="spellEnd"/>
      <w:r w:rsidRPr="007322CB">
        <w:rPr>
          <w:rFonts w:ascii="Arial" w:hAnsi="Arial" w:cs="Arial"/>
          <w:color w:val="000000"/>
          <w:sz w:val="10"/>
          <w:szCs w:val="10"/>
          <w:lang w:val="es-ES"/>
        </w:rPr>
        <w:t>.</w:t>
      </w:r>
    </w:p>
  </w:footnote>
  <w:footnote w:id="9">
    <w:p w:rsidRPr="007322CB" w:rsidR="003B420E" w:rsidP="003B420E" w:rsidRDefault="003B420E" w14:paraId="5C1F23B5"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proofErr w:type="spellStart"/>
      <w:r w:rsidRPr="007322CB">
        <w:rPr>
          <w:rFonts w:ascii="Arial" w:hAnsi="Arial" w:cs="Arial"/>
          <w:sz w:val="10"/>
          <w:szCs w:val="10"/>
          <w:lang w:val="es-ES"/>
        </w:rPr>
        <w:t>Ibíd</w:t>
      </w:r>
      <w:proofErr w:type="spellEnd"/>
      <w:r w:rsidRPr="007322CB">
        <w:rPr>
          <w:rFonts w:ascii="Arial" w:hAnsi="Arial" w:cs="Arial"/>
          <w:sz w:val="10"/>
          <w:szCs w:val="10"/>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7322CB" w:rsidR="003B420E" w:rsidP="003B420E" w:rsidRDefault="003B420E" w14:paraId="31A9AE59"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»Son también contratos de consultoría los que tienen por objeto la interventoría, asesoría, gerencia de obra o de proyectos, dirección, programación y la ejecución de diseños, planos, anteproyectos y proyectos.</w:t>
      </w:r>
    </w:p>
    <w:p w:rsidRPr="007322CB" w:rsidR="003B420E" w:rsidP="003B420E" w:rsidRDefault="003B420E" w14:paraId="55924CC5"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»Ninguna orden del interventor de una obra podrá darse verbalmente. Es obligatorio para el interventor entregar por escrito sus órdenes o sugerencias y ellas deben enmarcarse dentro de los términos del respectivo contrato».</w:t>
      </w:r>
    </w:p>
  </w:footnote>
  <w:footnote w:id="10">
    <w:p w:rsidRPr="007322CB" w:rsidR="003B420E" w:rsidP="003B420E" w:rsidRDefault="003B420E" w14:paraId="6898037F"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Así lo dispone el artículo 2.2.1.2.1.4.1. del Decreto 1082 de 2015: «La Entidad Estatal debe señalar en un acto administrativo la justificación para contratar bajo la modalidad de contratación directa, el cual debe contener:</w:t>
      </w:r>
    </w:p>
    <w:p w:rsidRPr="007322CB" w:rsidR="003B420E" w:rsidP="003B420E" w:rsidRDefault="003B420E" w14:paraId="2ACB087D"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»1. La causal que invoca para contratar directamente.</w:t>
      </w:r>
    </w:p>
    <w:p w:rsidRPr="007322CB" w:rsidR="003B420E" w:rsidP="003B420E" w:rsidRDefault="003B420E" w14:paraId="4A1165B9"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»2. El objeto del contrato.</w:t>
      </w:r>
    </w:p>
    <w:p w:rsidRPr="007322CB" w:rsidR="003B420E" w:rsidP="003B420E" w:rsidRDefault="003B420E" w14:paraId="18783A88"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»3. El presupuesto para la contratación y las condiciones que exigirá al contratista.</w:t>
      </w:r>
    </w:p>
    <w:p w:rsidRPr="007322CB" w:rsidR="003B420E" w:rsidP="003B420E" w:rsidRDefault="003B420E" w14:paraId="576A4274"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»4. El lugar en el cual los interesados pueden consultar los estudios y documentos previos.</w:t>
      </w:r>
    </w:p>
    <w:p w:rsidRPr="007322CB" w:rsidR="003B420E" w:rsidP="003B420E" w:rsidRDefault="003B420E" w14:paraId="22844E2F"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rsidRPr="007322CB" w:rsidR="003B420E" w:rsidP="003B420E" w:rsidRDefault="003B420E" w14:paraId="48B82615" w14:textId="77777777">
      <w:pPr>
        <w:pStyle w:val="Textonotapie"/>
        <w:contextualSpacing/>
        <w:jc w:val="both"/>
        <w:rPr>
          <w:rFonts w:ascii="Arial" w:hAnsi="Arial" w:cs="Arial"/>
          <w:sz w:val="10"/>
          <w:szCs w:val="10"/>
        </w:rPr>
      </w:pPr>
    </w:p>
    <w:p w:rsidRPr="007322CB" w:rsidR="003B420E" w:rsidP="003B420E" w:rsidRDefault="003B420E" w14:paraId="5B99D8A2"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 xml:space="preserve">La norma expresa: «Art. 14. </w:t>
      </w:r>
      <w:r w:rsidRPr="007322CB">
        <w:rPr>
          <w:rFonts w:ascii="Arial" w:hAnsi="Arial" w:cs="Arial"/>
          <w:sz w:val="10"/>
          <w:szCs w:val="10"/>
        </w:rPr>
        <w:t>P</w:t>
      </w:r>
      <w:r w:rsidRPr="007322CB">
        <w:rPr>
          <w:rFonts w:ascii="Arial" w:hAnsi="Arial" w:cs="Arial"/>
          <w:sz w:val="10"/>
          <w:szCs w:val="10"/>
          <w:lang w:val="es-ES"/>
        </w:rPr>
        <w:t>ara el cumplimiento de los fines de la contratación, las entidades estatales al celebrar un contrato:</w:t>
      </w:r>
    </w:p>
    <w:p w:rsidRPr="007322CB" w:rsidR="003B420E" w:rsidP="003B420E" w:rsidRDefault="003B420E" w14:paraId="381892FF"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w:t>
      </w:r>
    </w:p>
    <w:p w:rsidRPr="007322CB" w:rsidR="003B420E" w:rsidP="003B420E" w:rsidRDefault="003B420E" w14:paraId="21CC19CE"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7322CB" w:rsidR="003B420E" w:rsidP="003B420E" w:rsidRDefault="003B420E" w14:paraId="2E06AD28"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Las entidades estatales podrán pactar estas cláusulas en los contratos de suministro y de prestación de servicios.</w:t>
      </w:r>
    </w:p>
    <w:p w:rsidRPr="007322CB" w:rsidR="003B420E" w:rsidP="003B420E" w:rsidRDefault="003B420E" w14:paraId="512DAFA5"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lang w:val="es-ES"/>
        </w:rPr>
        <w:t>[…]».</w:t>
      </w:r>
    </w:p>
    <w:p w:rsidRPr="007322CB" w:rsidR="003B420E" w:rsidP="003B420E" w:rsidRDefault="003B420E" w14:paraId="60B83E28" w14:textId="77777777">
      <w:pPr>
        <w:pStyle w:val="Textonotapie"/>
        <w:ind w:firstLine="709"/>
        <w:contextualSpacing/>
        <w:jc w:val="both"/>
        <w:rPr>
          <w:rFonts w:ascii="Arial" w:hAnsi="Arial" w:cs="Arial"/>
          <w:sz w:val="10"/>
          <w:szCs w:val="10"/>
          <w:lang w:val="es-ES"/>
        </w:rPr>
      </w:pPr>
    </w:p>
  </w:footnote>
  <w:footnote w:id="12">
    <w:p w:rsidRPr="007322CB" w:rsidR="003B420E" w:rsidP="003B420E" w:rsidRDefault="003B420E" w14:paraId="17356FFB"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La norma dispone: «La liquidación a que se refiere el presente artículo no será obligatoria en los contratos de prestación de servicios profesionales y de apoyo a la gestión».</w:t>
      </w:r>
    </w:p>
  </w:footnote>
  <w:footnote w:id="13">
    <w:p w:rsidRPr="007322CB" w:rsidR="003B420E" w:rsidP="003B420E" w:rsidRDefault="003B420E" w14:paraId="7815B5CA" w14:textId="77777777">
      <w:pPr>
        <w:pStyle w:val="Textonotapie"/>
        <w:ind w:firstLine="709"/>
        <w:contextualSpacing/>
        <w:jc w:val="both"/>
        <w:rPr>
          <w:rFonts w:ascii="Arial" w:hAnsi="Arial" w:cs="Arial"/>
          <w:sz w:val="10"/>
          <w:szCs w:val="10"/>
        </w:rPr>
      </w:pPr>
    </w:p>
    <w:p w:rsidRPr="007322CB" w:rsidR="003B420E" w:rsidP="003B420E" w:rsidRDefault="003B420E" w14:paraId="73EBFCC4" w14:textId="77777777">
      <w:pPr>
        <w:pStyle w:val="Textonotapie"/>
        <w:ind w:firstLine="709"/>
        <w:contextualSpacing/>
        <w:jc w:val="both"/>
        <w:rPr>
          <w:rFonts w:ascii="Arial" w:hAnsi="Arial" w:cs="Arial"/>
          <w:sz w:val="10"/>
          <w:szCs w:val="10"/>
        </w:rPr>
      </w:pPr>
      <w:r w:rsidRPr="007322CB">
        <w:rPr>
          <w:rStyle w:val="Refdenotaalpie"/>
          <w:rFonts w:ascii="Arial" w:hAnsi="Arial" w:cs="Arial"/>
          <w:sz w:val="10"/>
          <w:szCs w:val="10"/>
        </w:rPr>
        <w:footnoteRef/>
      </w:r>
      <w:r w:rsidRPr="007322CB">
        <w:rPr>
          <w:rFonts w:ascii="Arial" w:hAnsi="Arial" w:cs="Arial"/>
          <w:sz w:val="10"/>
          <w:szCs w:val="10"/>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7322CB" w:rsidR="003B420E" w:rsidP="003B420E" w:rsidRDefault="003B420E" w14:paraId="3F4CEB1B" w14:textId="77777777">
      <w:pPr>
        <w:pStyle w:val="Textonotapie"/>
        <w:ind w:firstLine="709"/>
        <w:contextualSpacing/>
        <w:jc w:val="both"/>
        <w:rPr>
          <w:rFonts w:ascii="Arial" w:hAnsi="Arial" w:cs="Arial"/>
          <w:sz w:val="10"/>
          <w:szCs w:val="10"/>
        </w:rPr>
      </w:pPr>
      <w:r w:rsidRPr="007322CB">
        <w:rPr>
          <w:rFonts w:ascii="Arial" w:hAnsi="Arial" w:cs="Arial"/>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7322CB" w:rsidR="003B420E" w:rsidP="003B420E" w:rsidRDefault="003B420E" w14:paraId="04E4470D" w14:textId="77777777">
      <w:pPr>
        <w:pStyle w:val="Textonotapie"/>
        <w:ind w:firstLine="709"/>
        <w:contextualSpacing/>
        <w:jc w:val="both"/>
        <w:rPr>
          <w:rFonts w:ascii="Arial" w:hAnsi="Arial" w:cs="Arial"/>
          <w:sz w:val="10"/>
          <w:szCs w:val="10"/>
          <w:lang w:val="es-ES"/>
        </w:rPr>
      </w:pPr>
      <w:r w:rsidRPr="007322CB">
        <w:rPr>
          <w:rFonts w:ascii="Arial" w:hAnsi="Arial" w:cs="Arial"/>
          <w:sz w:val="10"/>
          <w:szCs w:val="10"/>
        </w:rPr>
        <w:t>[…]».</w:t>
      </w:r>
    </w:p>
  </w:footnote>
  <w:footnote w:id="14">
    <w:p w:rsidRPr="007322CB" w:rsidR="003B420E" w:rsidP="003B420E" w:rsidRDefault="003B420E" w14:paraId="448661D7" w14:textId="77777777">
      <w:pPr>
        <w:pStyle w:val="Textonotapie"/>
        <w:ind w:firstLine="709"/>
        <w:contextualSpacing/>
        <w:jc w:val="both"/>
        <w:rPr>
          <w:rFonts w:ascii="Arial" w:hAnsi="Arial" w:cs="Arial"/>
          <w:sz w:val="10"/>
          <w:szCs w:val="10"/>
        </w:rPr>
      </w:pPr>
    </w:p>
    <w:p w:rsidRPr="007322CB" w:rsidR="003B420E" w:rsidP="003B420E" w:rsidRDefault="003B420E" w14:paraId="72643DB5" w14:textId="77777777">
      <w:pPr>
        <w:pStyle w:val="Textonotapie"/>
        <w:ind w:firstLine="709"/>
        <w:contextualSpacing/>
        <w:jc w:val="both"/>
        <w:rPr>
          <w:rFonts w:ascii="Arial" w:hAnsi="Arial" w:cs="Arial"/>
          <w:sz w:val="10"/>
          <w:szCs w:val="10"/>
          <w:lang w:val="es-ES"/>
        </w:rPr>
      </w:pPr>
      <w:r w:rsidRPr="007322CB">
        <w:rPr>
          <w:rStyle w:val="Refdenotaalpie"/>
          <w:rFonts w:ascii="Arial" w:hAnsi="Arial" w:cs="Arial"/>
          <w:sz w:val="10"/>
          <w:szCs w:val="10"/>
        </w:rPr>
        <w:footnoteRef/>
      </w:r>
      <w:r w:rsidRPr="007322CB">
        <w:rPr>
          <w:rFonts w:ascii="Arial" w:hAnsi="Arial" w:cs="Arial"/>
          <w:sz w:val="10"/>
          <w:szCs w:val="10"/>
        </w:rPr>
        <w:t xml:space="preserve"> </w:t>
      </w:r>
      <w:r w:rsidRPr="007322CB">
        <w:rPr>
          <w:rFonts w:ascii="Arial" w:hAnsi="Arial" w:cs="Arial"/>
          <w:sz w:val="10"/>
          <w:szCs w:val="10"/>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rsidRPr="007322CB" w:rsidR="003B420E" w:rsidP="003B420E" w:rsidRDefault="003B420E" w14:paraId="0AA04956" w14:textId="77777777">
      <w:pPr>
        <w:pStyle w:val="Textonotapie"/>
        <w:ind w:firstLine="709"/>
        <w:contextualSpacing/>
        <w:jc w:val="both"/>
        <w:rPr>
          <w:rFonts w:ascii="Arial" w:hAnsi="Arial" w:cs="Arial"/>
          <w:sz w:val="10"/>
          <w:szCs w:val="10"/>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66FE" w:rsidR="00906B3C" w:rsidP="008614E5" w:rsidRDefault="009157E3" w14:paraId="255525A7" w14:textId="77777777">
    <w:pPr>
      <w:spacing w:after="0"/>
      <w:rPr>
        <w:rFonts w:ascii="Geomanist Light" w:hAnsi="Geomanist Light"/>
        <w:color w:val="002060"/>
        <w:sz w:val="16"/>
        <w:szCs w:val="16"/>
      </w:rPr>
    </w:pPr>
    <w:r w:rsidRPr="007566FE">
      <w:rPr>
        <w:rFonts w:ascii="Geomanist Light" w:hAnsi="Geomanist Light" w:eastAsia="Arial Nova" w:cs="Arial Nova"/>
        <w:noProof/>
        <w:sz w:val="16"/>
        <w:szCs w:val="16"/>
        <w:lang w:eastAsia="es-CO"/>
      </w:rPr>
      <w:drawing>
        <wp:anchor distT="0" distB="0" distL="0" distR="0" simplePos="0" relativeHeight="251659264" behindDoc="1" locked="0" layoutInCell="1" hidden="0" allowOverlap="1" wp14:anchorId="55E96718" wp14:editId="7624D8E9">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Pr="007566FE" w:rsidR="007566FE" w:rsidP="00793403" w:rsidRDefault="009157E3" w14:paraId="4E9234BC" w14:textId="777777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eastAsia="es-CO"/>
      </w:rPr>
    </w:pPr>
    <w:r w:rsidRPr="007566FE">
      <w:rPr>
        <w:rFonts w:ascii="Geomanist Light" w:hAnsi="Geomanist Light" w:eastAsia="Geo" w:cs="Geo"/>
        <w:b/>
        <w:color w:val="000000"/>
        <w:sz w:val="16"/>
        <w:szCs w:val="16"/>
        <w:lang w:eastAsia="es-CO"/>
      </w:rPr>
      <w:t xml:space="preserve">Código: </w:t>
    </w:r>
    <w:r w:rsidRPr="007566FE">
      <w:rPr>
        <w:rFonts w:ascii="Geomanist Light" w:hAnsi="Geomanist Light" w:eastAsia="Geo" w:cs="Geo"/>
        <w:bCs/>
        <w:color w:val="000000"/>
        <w:sz w:val="16"/>
        <w:szCs w:val="16"/>
        <w:lang w:eastAsia="es-CO"/>
      </w:rPr>
      <w:t>CCE-PQRSD-FM-08</w:t>
    </w:r>
  </w:p>
  <w:p w:rsidR="00793403" w:rsidP="008614E5" w:rsidRDefault="009157E3" w14:paraId="59FDEB8F" w14:textId="77777777">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EA250A3" wp14:editId="33FC6FEE">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793403" w:rsidP="008614E5" w:rsidRDefault="00E849BD" w14:paraId="7D42AFED" w14:textId="77777777">
    <w:pPr>
      <w:spacing w:after="0"/>
      <w:rPr>
        <w:rFonts w:ascii="Geomanist Light" w:hAnsi="Geomanist Light"/>
        <w:color w:val="002060"/>
        <w:sz w:val="16"/>
        <w:szCs w:val="16"/>
      </w:rPr>
    </w:pPr>
  </w:p>
  <w:p w:rsidRPr="00906B3C" w:rsidR="004A1847" w:rsidP="00906B3C" w:rsidRDefault="00E849BD" w14:paraId="02641548" w14:textId="77777777">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3"/>
    <w:rsid w:val="00000A37"/>
    <w:rsid w:val="000034AE"/>
    <w:rsid w:val="0007151D"/>
    <w:rsid w:val="000A6E69"/>
    <w:rsid w:val="000A76CC"/>
    <w:rsid w:val="000E6B82"/>
    <w:rsid w:val="000E7C14"/>
    <w:rsid w:val="00111E41"/>
    <w:rsid w:val="00113A00"/>
    <w:rsid w:val="00117732"/>
    <w:rsid w:val="0012569D"/>
    <w:rsid w:val="00131E11"/>
    <w:rsid w:val="001930B8"/>
    <w:rsid w:val="001A6B42"/>
    <w:rsid w:val="001D0DB8"/>
    <w:rsid w:val="0021371F"/>
    <w:rsid w:val="002421CC"/>
    <w:rsid w:val="00245D95"/>
    <w:rsid w:val="00246E69"/>
    <w:rsid w:val="00255DF1"/>
    <w:rsid w:val="00260E25"/>
    <w:rsid w:val="00262637"/>
    <w:rsid w:val="002630EE"/>
    <w:rsid w:val="002B0231"/>
    <w:rsid w:val="002E2EAC"/>
    <w:rsid w:val="002E77EE"/>
    <w:rsid w:val="00315230"/>
    <w:rsid w:val="00321346"/>
    <w:rsid w:val="00380DD4"/>
    <w:rsid w:val="003B420E"/>
    <w:rsid w:val="003C7991"/>
    <w:rsid w:val="00413926"/>
    <w:rsid w:val="00443E0F"/>
    <w:rsid w:val="00450613"/>
    <w:rsid w:val="004B3F1E"/>
    <w:rsid w:val="004B7F58"/>
    <w:rsid w:val="004C1B3B"/>
    <w:rsid w:val="00511794"/>
    <w:rsid w:val="005811D1"/>
    <w:rsid w:val="005818E2"/>
    <w:rsid w:val="005914B7"/>
    <w:rsid w:val="005B7B3A"/>
    <w:rsid w:val="005C44E4"/>
    <w:rsid w:val="005D645B"/>
    <w:rsid w:val="005D70C7"/>
    <w:rsid w:val="00600574"/>
    <w:rsid w:val="00697EFA"/>
    <w:rsid w:val="006C1B75"/>
    <w:rsid w:val="006C5C2E"/>
    <w:rsid w:val="006D77CA"/>
    <w:rsid w:val="00705270"/>
    <w:rsid w:val="00782188"/>
    <w:rsid w:val="007822C6"/>
    <w:rsid w:val="007878C3"/>
    <w:rsid w:val="007921EF"/>
    <w:rsid w:val="00795E69"/>
    <w:rsid w:val="00802394"/>
    <w:rsid w:val="008514FE"/>
    <w:rsid w:val="00896F85"/>
    <w:rsid w:val="008A50BB"/>
    <w:rsid w:val="008C7EC6"/>
    <w:rsid w:val="008E5C2E"/>
    <w:rsid w:val="008F622E"/>
    <w:rsid w:val="008F7F7A"/>
    <w:rsid w:val="009157E3"/>
    <w:rsid w:val="00922D6D"/>
    <w:rsid w:val="00962A4B"/>
    <w:rsid w:val="009657BE"/>
    <w:rsid w:val="009F03AD"/>
    <w:rsid w:val="009F386E"/>
    <w:rsid w:val="00A34213"/>
    <w:rsid w:val="00A362E6"/>
    <w:rsid w:val="00A503A6"/>
    <w:rsid w:val="00A613B3"/>
    <w:rsid w:val="00A741D5"/>
    <w:rsid w:val="00A80116"/>
    <w:rsid w:val="00AA0913"/>
    <w:rsid w:val="00AB0B49"/>
    <w:rsid w:val="00AF2ED0"/>
    <w:rsid w:val="00BB24FC"/>
    <w:rsid w:val="00BD492B"/>
    <w:rsid w:val="00BD65D6"/>
    <w:rsid w:val="00BD76EB"/>
    <w:rsid w:val="00BF3D39"/>
    <w:rsid w:val="00C03F44"/>
    <w:rsid w:val="00C44284"/>
    <w:rsid w:val="00C701EE"/>
    <w:rsid w:val="00C80D53"/>
    <w:rsid w:val="00CD4B57"/>
    <w:rsid w:val="00D42D87"/>
    <w:rsid w:val="00D52453"/>
    <w:rsid w:val="00D562B8"/>
    <w:rsid w:val="00D6062B"/>
    <w:rsid w:val="00D80836"/>
    <w:rsid w:val="00DB51B6"/>
    <w:rsid w:val="00DC29D8"/>
    <w:rsid w:val="00DD07E1"/>
    <w:rsid w:val="00DD5458"/>
    <w:rsid w:val="00DF759B"/>
    <w:rsid w:val="00E05BA1"/>
    <w:rsid w:val="00E3502B"/>
    <w:rsid w:val="00E35F9D"/>
    <w:rsid w:val="00E47491"/>
    <w:rsid w:val="00E824B1"/>
    <w:rsid w:val="00E849BD"/>
    <w:rsid w:val="00EE6D5C"/>
    <w:rsid w:val="00F17003"/>
    <w:rsid w:val="00F35CE8"/>
    <w:rsid w:val="00F56F89"/>
    <w:rsid w:val="00F64F89"/>
    <w:rsid w:val="00F838FE"/>
    <w:rsid w:val="4080CB4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BC47"/>
  <w15:chartTrackingRefBased/>
  <w15:docId w15:val="{989998BB-75FD-403C-AC7C-1734CB11F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57E3"/>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157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157E3"/>
    <w:rPr>
      <w:kern w:val="0"/>
      <w14:ligatures w14:val="none"/>
    </w:rPr>
  </w:style>
  <w:style w:type="paragraph" w:styleId="Piedepgina">
    <w:name w:val="footer"/>
    <w:basedOn w:val="Normal"/>
    <w:link w:val="PiedepginaCar"/>
    <w:uiPriority w:val="99"/>
    <w:unhideWhenUsed/>
    <w:rsid w:val="009157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157E3"/>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7E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157E3"/>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9157E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157E3"/>
    <w:rPr>
      <w:vertAlign w:val="superscript"/>
    </w:rPr>
  </w:style>
  <w:style w:type="table" w:styleId="Tablaconcuadrcula">
    <w:name w:val="Table Grid"/>
    <w:basedOn w:val="Tablanormal"/>
    <w:uiPriority w:val="59"/>
    <w:rsid w:val="009157E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9157E3"/>
    <w:rPr>
      <w:rFonts w:ascii="Times New Roman" w:hAnsi="Times New Roman" w:cs="Times New Roman"/>
      <w:sz w:val="24"/>
      <w:szCs w:val="24"/>
    </w:rPr>
  </w:style>
  <w:style w:type="character" w:styleId="Hipervnculo1" w:customStyle="1">
    <w:name w:val="Hipervínculo1"/>
    <w:basedOn w:val="Fuentedeprrafopredeter"/>
    <w:uiPriority w:val="99"/>
    <w:unhideWhenUsed/>
    <w:rsid w:val="009157E3"/>
    <w:rPr>
      <w:color w:val="F2F2F2"/>
      <w:u w:val="single"/>
    </w:rPr>
  </w:style>
  <w:style w:type="character" w:styleId="Textoennegrita">
    <w:name w:val="Strong"/>
    <w:basedOn w:val="Fuentedeprrafopredeter"/>
    <w:uiPriority w:val="22"/>
    <w:qFormat/>
    <w:rsid w:val="009157E3"/>
    <w:rPr>
      <w:b/>
      <w:bCs/>
    </w:rPr>
  </w:style>
  <w:style w:type="character" w:styleId="nfasis">
    <w:name w:val="Emphasis"/>
    <w:basedOn w:val="Fuentedeprrafopredeter"/>
    <w:uiPriority w:val="20"/>
    <w:qFormat/>
    <w:rsid w:val="009157E3"/>
    <w:rPr>
      <w:i/>
      <w:iCs/>
    </w:rPr>
  </w:style>
  <w:style w:type="paragraph" w:styleId="Appelnotedebasde" w:customStyle="1">
    <w:name w:val="Appel note de bas de..."/>
    <w:basedOn w:val="Normal"/>
    <w:link w:val="Refdenotaalpie"/>
    <w:uiPriority w:val="99"/>
    <w:rsid w:val="009157E3"/>
    <w:pPr>
      <w:spacing w:line="240" w:lineRule="exact"/>
    </w:pPr>
    <w:rPr>
      <w:kern w:val="2"/>
      <w:vertAlign w:val="superscript"/>
      <w14:ligatures w14:val="standardContextual"/>
    </w:rPr>
  </w:style>
  <w:style w:type="table" w:styleId="Tablaconcuadrcula21" w:customStyle="1">
    <w:name w:val="Tabla con cuadrícula21"/>
    <w:basedOn w:val="Tablanormal"/>
    <w:next w:val="Tablaconcuadrcula"/>
    <w:uiPriority w:val="59"/>
    <w:rsid w:val="009157E3"/>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17003"/>
    <w:rPr>
      <w:color w:val="0563C1" w:themeColor="hyperlink"/>
      <w:u w:val="single"/>
    </w:rPr>
  </w:style>
  <w:style w:type="character" w:styleId="Mencinsinresolver">
    <w:name w:val="Unresolved Mention"/>
    <w:basedOn w:val="Fuentedeprrafopredeter"/>
    <w:uiPriority w:val="99"/>
    <w:semiHidden/>
    <w:unhideWhenUsed/>
    <w:rsid w:val="00F17003"/>
    <w:rPr>
      <w:color w:val="605E5C"/>
      <w:shd w:val="clear" w:color="auto" w:fill="E1DFDD"/>
    </w:rPr>
  </w:style>
  <w:style w:type="paragraph" w:styleId="paragraph" w:customStyle="1">
    <w:name w:val="paragraph"/>
    <w:basedOn w:val="Normal"/>
    <w:rsid w:val="0021371F"/>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21371F"/>
  </w:style>
  <w:style w:type="character" w:styleId="eop" w:customStyle="1">
    <w:name w:val="eop"/>
    <w:basedOn w:val="Fuentedeprrafopredeter"/>
    <w:rsid w:val="0021371F"/>
  </w:style>
  <w:style w:type="character" w:styleId="superscript" w:customStyle="1">
    <w:name w:val="superscript"/>
    <w:basedOn w:val="Fuentedeprrafopredeter"/>
    <w:rsid w:val="0021371F"/>
  </w:style>
  <w:style w:type="paragraph" w:styleId="Revisin">
    <w:name w:val="Revision"/>
    <w:hidden/>
    <w:uiPriority w:val="99"/>
    <w:semiHidden/>
    <w:rsid w:val="008514FE"/>
    <w:pPr>
      <w:spacing w:after="0" w:line="240" w:lineRule="auto"/>
    </w:pPr>
    <w:rPr>
      <w:kern w:val="0"/>
      <w14:ligatures w14:val="none"/>
    </w:rPr>
  </w:style>
  <w:style w:type="character" w:styleId="Refdecomentario">
    <w:name w:val="annotation reference"/>
    <w:basedOn w:val="Fuentedeprrafopredeter"/>
    <w:uiPriority w:val="99"/>
    <w:semiHidden/>
    <w:unhideWhenUsed/>
    <w:rsid w:val="008514FE"/>
    <w:rPr>
      <w:sz w:val="16"/>
      <w:szCs w:val="16"/>
    </w:rPr>
  </w:style>
  <w:style w:type="paragraph" w:styleId="Textocomentario">
    <w:name w:val="annotation text"/>
    <w:basedOn w:val="Normal"/>
    <w:link w:val="TextocomentarioCar"/>
    <w:uiPriority w:val="99"/>
    <w:unhideWhenUsed/>
    <w:rsid w:val="008514FE"/>
    <w:pPr>
      <w:spacing w:line="240" w:lineRule="auto"/>
    </w:pPr>
    <w:rPr>
      <w:sz w:val="20"/>
      <w:szCs w:val="20"/>
    </w:rPr>
  </w:style>
  <w:style w:type="character" w:styleId="TextocomentarioCar" w:customStyle="1">
    <w:name w:val="Texto comentario Car"/>
    <w:basedOn w:val="Fuentedeprrafopredeter"/>
    <w:link w:val="Textocomentario"/>
    <w:uiPriority w:val="99"/>
    <w:rsid w:val="008514FE"/>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8514FE"/>
    <w:rPr>
      <w:b/>
      <w:bCs/>
    </w:rPr>
  </w:style>
  <w:style w:type="character" w:styleId="AsuntodelcomentarioCar" w:customStyle="1">
    <w:name w:val="Asunto del comentario Car"/>
    <w:basedOn w:val="TextocomentarioCar"/>
    <w:link w:val="Asuntodelcomentario"/>
    <w:uiPriority w:val="99"/>
    <w:semiHidden/>
    <w:rsid w:val="008514F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4352">
      <w:bodyDiv w:val="1"/>
      <w:marLeft w:val="0"/>
      <w:marRight w:val="0"/>
      <w:marTop w:val="0"/>
      <w:marBottom w:val="0"/>
      <w:divBdr>
        <w:top w:val="none" w:sz="0" w:space="0" w:color="auto"/>
        <w:left w:val="none" w:sz="0" w:space="0" w:color="auto"/>
        <w:bottom w:val="none" w:sz="0" w:space="0" w:color="auto"/>
        <w:right w:val="none" w:sz="0" w:space="0" w:color="auto"/>
      </w:divBdr>
      <w:divsChild>
        <w:div w:id="1894654370">
          <w:marLeft w:val="0"/>
          <w:marRight w:val="0"/>
          <w:marTop w:val="0"/>
          <w:marBottom w:val="0"/>
          <w:divBdr>
            <w:top w:val="none" w:sz="0" w:space="0" w:color="auto"/>
            <w:left w:val="none" w:sz="0" w:space="0" w:color="auto"/>
            <w:bottom w:val="none" w:sz="0" w:space="0" w:color="auto"/>
            <w:right w:val="none" w:sz="0" w:space="0" w:color="auto"/>
          </w:divBdr>
        </w:div>
        <w:div w:id="1719816329">
          <w:marLeft w:val="0"/>
          <w:marRight w:val="0"/>
          <w:marTop w:val="0"/>
          <w:marBottom w:val="0"/>
          <w:divBdr>
            <w:top w:val="none" w:sz="0" w:space="0" w:color="auto"/>
            <w:left w:val="none" w:sz="0" w:space="0" w:color="auto"/>
            <w:bottom w:val="none" w:sz="0" w:space="0" w:color="auto"/>
            <w:right w:val="none" w:sz="0" w:space="0" w:color="auto"/>
          </w:divBdr>
        </w:div>
        <w:div w:id="1244338992">
          <w:marLeft w:val="0"/>
          <w:marRight w:val="0"/>
          <w:marTop w:val="0"/>
          <w:marBottom w:val="0"/>
          <w:divBdr>
            <w:top w:val="none" w:sz="0" w:space="0" w:color="auto"/>
            <w:left w:val="none" w:sz="0" w:space="0" w:color="auto"/>
            <w:bottom w:val="none" w:sz="0" w:space="0" w:color="auto"/>
            <w:right w:val="none" w:sz="0" w:space="0" w:color="auto"/>
          </w:divBdr>
        </w:div>
        <w:div w:id="194779101">
          <w:marLeft w:val="0"/>
          <w:marRight w:val="0"/>
          <w:marTop w:val="0"/>
          <w:marBottom w:val="0"/>
          <w:divBdr>
            <w:top w:val="none" w:sz="0" w:space="0" w:color="auto"/>
            <w:left w:val="none" w:sz="0" w:space="0" w:color="auto"/>
            <w:bottom w:val="none" w:sz="0" w:space="0" w:color="auto"/>
            <w:right w:val="none" w:sz="0" w:space="0" w:color="auto"/>
          </w:divBdr>
        </w:div>
        <w:div w:id="1932320">
          <w:marLeft w:val="0"/>
          <w:marRight w:val="0"/>
          <w:marTop w:val="0"/>
          <w:marBottom w:val="0"/>
          <w:divBdr>
            <w:top w:val="none" w:sz="0" w:space="0" w:color="auto"/>
            <w:left w:val="none" w:sz="0" w:space="0" w:color="auto"/>
            <w:bottom w:val="none" w:sz="0" w:space="0" w:color="auto"/>
            <w:right w:val="none" w:sz="0" w:space="0" w:color="auto"/>
          </w:divBdr>
        </w:div>
        <w:div w:id="70197457">
          <w:marLeft w:val="0"/>
          <w:marRight w:val="0"/>
          <w:marTop w:val="0"/>
          <w:marBottom w:val="0"/>
          <w:divBdr>
            <w:top w:val="none" w:sz="0" w:space="0" w:color="auto"/>
            <w:left w:val="none" w:sz="0" w:space="0" w:color="auto"/>
            <w:bottom w:val="none" w:sz="0" w:space="0" w:color="auto"/>
            <w:right w:val="none" w:sz="0" w:space="0" w:color="auto"/>
          </w:divBdr>
        </w:div>
        <w:div w:id="190195156">
          <w:marLeft w:val="0"/>
          <w:marRight w:val="0"/>
          <w:marTop w:val="0"/>
          <w:marBottom w:val="0"/>
          <w:divBdr>
            <w:top w:val="none" w:sz="0" w:space="0" w:color="auto"/>
            <w:left w:val="none" w:sz="0" w:space="0" w:color="auto"/>
            <w:bottom w:val="none" w:sz="0" w:space="0" w:color="auto"/>
            <w:right w:val="none" w:sz="0" w:space="0" w:color="auto"/>
          </w:divBdr>
        </w:div>
        <w:div w:id="930312932">
          <w:marLeft w:val="0"/>
          <w:marRight w:val="0"/>
          <w:marTop w:val="0"/>
          <w:marBottom w:val="0"/>
          <w:divBdr>
            <w:top w:val="none" w:sz="0" w:space="0" w:color="auto"/>
            <w:left w:val="none" w:sz="0" w:space="0" w:color="auto"/>
            <w:bottom w:val="none" w:sz="0" w:space="0" w:color="auto"/>
            <w:right w:val="none" w:sz="0" w:space="0" w:color="auto"/>
          </w:divBdr>
        </w:div>
        <w:div w:id="1174957442">
          <w:marLeft w:val="0"/>
          <w:marRight w:val="0"/>
          <w:marTop w:val="0"/>
          <w:marBottom w:val="0"/>
          <w:divBdr>
            <w:top w:val="none" w:sz="0" w:space="0" w:color="auto"/>
            <w:left w:val="none" w:sz="0" w:space="0" w:color="auto"/>
            <w:bottom w:val="none" w:sz="0" w:space="0" w:color="auto"/>
            <w:right w:val="none" w:sz="0" w:space="0" w:color="auto"/>
          </w:divBdr>
        </w:div>
        <w:div w:id="1043940920">
          <w:marLeft w:val="0"/>
          <w:marRight w:val="0"/>
          <w:marTop w:val="0"/>
          <w:marBottom w:val="0"/>
          <w:divBdr>
            <w:top w:val="none" w:sz="0" w:space="0" w:color="auto"/>
            <w:left w:val="none" w:sz="0" w:space="0" w:color="auto"/>
            <w:bottom w:val="none" w:sz="0" w:space="0" w:color="auto"/>
            <w:right w:val="none" w:sz="0" w:space="0" w:color="auto"/>
          </w:divBdr>
        </w:div>
        <w:div w:id="2086146662">
          <w:marLeft w:val="0"/>
          <w:marRight w:val="0"/>
          <w:marTop w:val="0"/>
          <w:marBottom w:val="0"/>
          <w:divBdr>
            <w:top w:val="none" w:sz="0" w:space="0" w:color="auto"/>
            <w:left w:val="none" w:sz="0" w:space="0" w:color="auto"/>
            <w:bottom w:val="none" w:sz="0" w:space="0" w:color="auto"/>
            <w:right w:val="none" w:sz="0" w:space="0" w:color="auto"/>
          </w:divBdr>
        </w:div>
        <w:div w:id="1642734791">
          <w:marLeft w:val="0"/>
          <w:marRight w:val="0"/>
          <w:marTop w:val="0"/>
          <w:marBottom w:val="0"/>
          <w:divBdr>
            <w:top w:val="none" w:sz="0" w:space="0" w:color="auto"/>
            <w:left w:val="none" w:sz="0" w:space="0" w:color="auto"/>
            <w:bottom w:val="none" w:sz="0" w:space="0" w:color="auto"/>
            <w:right w:val="none" w:sz="0" w:space="0" w:color="auto"/>
          </w:divBdr>
        </w:div>
        <w:div w:id="1852992599">
          <w:marLeft w:val="0"/>
          <w:marRight w:val="0"/>
          <w:marTop w:val="0"/>
          <w:marBottom w:val="0"/>
          <w:divBdr>
            <w:top w:val="none" w:sz="0" w:space="0" w:color="auto"/>
            <w:left w:val="none" w:sz="0" w:space="0" w:color="auto"/>
            <w:bottom w:val="none" w:sz="0" w:space="0" w:color="auto"/>
            <w:right w:val="none" w:sz="0" w:space="0" w:color="auto"/>
          </w:divBdr>
        </w:div>
        <w:div w:id="1836801655">
          <w:marLeft w:val="0"/>
          <w:marRight w:val="0"/>
          <w:marTop w:val="0"/>
          <w:marBottom w:val="0"/>
          <w:divBdr>
            <w:top w:val="none" w:sz="0" w:space="0" w:color="auto"/>
            <w:left w:val="none" w:sz="0" w:space="0" w:color="auto"/>
            <w:bottom w:val="none" w:sz="0" w:space="0" w:color="auto"/>
            <w:right w:val="none" w:sz="0" w:space="0" w:color="auto"/>
          </w:divBdr>
        </w:div>
        <w:div w:id="684750907">
          <w:marLeft w:val="0"/>
          <w:marRight w:val="0"/>
          <w:marTop w:val="0"/>
          <w:marBottom w:val="0"/>
          <w:divBdr>
            <w:top w:val="none" w:sz="0" w:space="0" w:color="auto"/>
            <w:left w:val="none" w:sz="0" w:space="0" w:color="auto"/>
            <w:bottom w:val="none" w:sz="0" w:space="0" w:color="auto"/>
            <w:right w:val="none" w:sz="0" w:space="0" w:color="auto"/>
          </w:divBdr>
        </w:div>
        <w:div w:id="574046974">
          <w:marLeft w:val="0"/>
          <w:marRight w:val="0"/>
          <w:marTop w:val="0"/>
          <w:marBottom w:val="0"/>
          <w:divBdr>
            <w:top w:val="none" w:sz="0" w:space="0" w:color="auto"/>
            <w:left w:val="none" w:sz="0" w:space="0" w:color="auto"/>
            <w:bottom w:val="none" w:sz="0" w:space="0" w:color="auto"/>
            <w:right w:val="none" w:sz="0" w:space="0" w:color="auto"/>
          </w:divBdr>
        </w:div>
        <w:div w:id="770010602">
          <w:marLeft w:val="0"/>
          <w:marRight w:val="0"/>
          <w:marTop w:val="0"/>
          <w:marBottom w:val="0"/>
          <w:divBdr>
            <w:top w:val="none" w:sz="0" w:space="0" w:color="auto"/>
            <w:left w:val="none" w:sz="0" w:space="0" w:color="auto"/>
            <w:bottom w:val="none" w:sz="0" w:space="0" w:color="auto"/>
            <w:right w:val="none" w:sz="0" w:space="0" w:color="auto"/>
          </w:divBdr>
        </w:div>
        <w:div w:id="1689018567">
          <w:marLeft w:val="0"/>
          <w:marRight w:val="0"/>
          <w:marTop w:val="0"/>
          <w:marBottom w:val="0"/>
          <w:divBdr>
            <w:top w:val="none" w:sz="0" w:space="0" w:color="auto"/>
            <w:left w:val="none" w:sz="0" w:space="0" w:color="auto"/>
            <w:bottom w:val="none" w:sz="0" w:space="0" w:color="auto"/>
            <w:right w:val="none" w:sz="0" w:space="0" w:color="auto"/>
          </w:divBdr>
        </w:div>
        <w:div w:id="1177185772">
          <w:marLeft w:val="0"/>
          <w:marRight w:val="0"/>
          <w:marTop w:val="0"/>
          <w:marBottom w:val="0"/>
          <w:divBdr>
            <w:top w:val="none" w:sz="0" w:space="0" w:color="auto"/>
            <w:left w:val="none" w:sz="0" w:space="0" w:color="auto"/>
            <w:bottom w:val="none" w:sz="0" w:space="0" w:color="auto"/>
            <w:right w:val="none" w:sz="0" w:space="0" w:color="auto"/>
          </w:divBdr>
        </w:div>
      </w:divsChild>
    </w:div>
    <w:div w:id="389158762">
      <w:bodyDiv w:val="1"/>
      <w:marLeft w:val="0"/>
      <w:marRight w:val="0"/>
      <w:marTop w:val="0"/>
      <w:marBottom w:val="0"/>
      <w:divBdr>
        <w:top w:val="none" w:sz="0" w:space="0" w:color="auto"/>
        <w:left w:val="none" w:sz="0" w:space="0" w:color="auto"/>
        <w:bottom w:val="none" w:sz="0" w:space="0" w:color="auto"/>
        <w:right w:val="none" w:sz="0" w:space="0" w:color="auto"/>
      </w:divBdr>
      <w:divsChild>
        <w:div w:id="1255819170">
          <w:marLeft w:val="0"/>
          <w:marRight w:val="0"/>
          <w:marTop w:val="0"/>
          <w:marBottom w:val="0"/>
          <w:divBdr>
            <w:top w:val="none" w:sz="0" w:space="0" w:color="auto"/>
            <w:left w:val="none" w:sz="0" w:space="0" w:color="auto"/>
            <w:bottom w:val="none" w:sz="0" w:space="0" w:color="auto"/>
            <w:right w:val="none" w:sz="0" w:space="0" w:color="auto"/>
          </w:divBdr>
        </w:div>
        <w:div w:id="1058630165">
          <w:marLeft w:val="0"/>
          <w:marRight w:val="0"/>
          <w:marTop w:val="0"/>
          <w:marBottom w:val="0"/>
          <w:divBdr>
            <w:top w:val="none" w:sz="0" w:space="0" w:color="auto"/>
            <w:left w:val="none" w:sz="0" w:space="0" w:color="auto"/>
            <w:bottom w:val="none" w:sz="0" w:space="0" w:color="auto"/>
            <w:right w:val="none" w:sz="0" w:space="0" w:color="auto"/>
          </w:divBdr>
        </w:div>
        <w:div w:id="1298419164">
          <w:marLeft w:val="0"/>
          <w:marRight w:val="0"/>
          <w:marTop w:val="0"/>
          <w:marBottom w:val="0"/>
          <w:divBdr>
            <w:top w:val="none" w:sz="0" w:space="0" w:color="auto"/>
            <w:left w:val="none" w:sz="0" w:space="0" w:color="auto"/>
            <w:bottom w:val="none" w:sz="0" w:space="0" w:color="auto"/>
            <w:right w:val="none" w:sz="0" w:space="0" w:color="auto"/>
          </w:divBdr>
        </w:div>
      </w:divsChild>
    </w:div>
    <w:div w:id="1122309213">
      <w:bodyDiv w:val="1"/>
      <w:marLeft w:val="0"/>
      <w:marRight w:val="0"/>
      <w:marTop w:val="0"/>
      <w:marBottom w:val="0"/>
      <w:divBdr>
        <w:top w:val="none" w:sz="0" w:space="0" w:color="auto"/>
        <w:left w:val="none" w:sz="0" w:space="0" w:color="auto"/>
        <w:bottom w:val="none" w:sz="0" w:space="0" w:color="auto"/>
        <w:right w:val="none" w:sz="0" w:space="0" w:color="auto"/>
      </w:divBdr>
      <w:divsChild>
        <w:div w:id="1054810956">
          <w:marLeft w:val="0"/>
          <w:marRight w:val="0"/>
          <w:marTop w:val="0"/>
          <w:marBottom w:val="0"/>
          <w:divBdr>
            <w:top w:val="none" w:sz="0" w:space="0" w:color="auto"/>
            <w:left w:val="none" w:sz="0" w:space="0" w:color="auto"/>
            <w:bottom w:val="none" w:sz="0" w:space="0" w:color="auto"/>
            <w:right w:val="none" w:sz="0" w:space="0" w:color="auto"/>
          </w:divBdr>
        </w:div>
        <w:div w:id="1012487190">
          <w:marLeft w:val="0"/>
          <w:marRight w:val="0"/>
          <w:marTop w:val="0"/>
          <w:marBottom w:val="0"/>
          <w:divBdr>
            <w:top w:val="none" w:sz="0" w:space="0" w:color="auto"/>
            <w:left w:val="none" w:sz="0" w:space="0" w:color="auto"/>
            <w:bottom w:val="none" w:sz="0" w:space="0" w:color="auto"/>
            <w:right w:val="none" w:sz="0" w:space="0" w:color="auto"/>
          </w:divBdr>
        </w:div>
        <w:div w:id="1675112910">
          <w:marLeft w:val="0"/>
          <w:marRight w:val="0"/>
          <w:marTop w:val="0"/>
          <w:marBottom w:val="0"/>
          <w:divBdr>
            <w:top w:val="none" w:sz="0" w:space="0" w:color="auto"/>
            <w:left w:val="none" w:sz="0" w:space="0" w:color="auto"/>
            <w:bottom w:val="none" w:sz="0" w:space="0" w:color="auto"/>
            <w:right w:val="none" w:sz="0" w:space="0" w:color="auto"/>
          </w:divBdr>
        </w:div>
        <w:div w:id="906110194">
          <w:marLeft w:val="0"/>
          <w:marRight w:val="0"/>
          <w:marTop w:val="0"/>
          <w:marBottom w:val="0"/>
          <w:divBdr>
            <w:top w:val="none" w:sz="0" w:space="0" w:color="auto"/>
            <w:left w:val="none" w:sz="0" w:space="0" w:color="auto"/>
            <w:bottom w:val="none" w:sz="0" w:space="0" w:color="auto"/>
            <w:right w:val="none" w:sz="0" w:space="0" w:color="auto"/>
          </w:divBdr>
        </w:div>
        <w:div w:id="1839534071">
          <w:marLeft w:val="0"/>
          <w:marRight w:val="0"/>
          <w:marTop w:val="0"/>
          <w:marBottom w:val="0"/>
          <w:divBdr>
            <w:top w:val="none" w:sz="0" w:space="0" w:color="auto"/>
            <w:left w:val="none" w:sz="0" w:space="0" w:color="auto"/>
            <w:bottom w:val="none" w:sz="0" w:space="0" w:color="auto"/>
            <w:right w:val="none" w:sz="0" w:space="0" w:color="auto"/>
          </w:divBdr>
        </w:div>
        <w:div w:id="1972784194">
          <w:marLeft w:val="0"/>
          <w:marRight w:val="0"/>
          <w:marTop w:val="0"/>
          <w:marBottom w:val="0"/>
          <w:divBdr>
            <w:top w:val="none" w:sz="0" w:space="0" w:color="auto"/>
            <w:left w:val="none" w:sz="0" w:space="0" w:color="auto"/>
            <w:bottom w:val="none" w:sz="0" w:space="0" w:color="auto"/>
            <w:right w:val="none" w:sz="0" w:space="0" w:color="auto"/>
          </w:divBdr>
        </w:div>
        <w:div w:id="730353315">
          <w:marLeft w:val="0"/>
          <w:marRight w:val="0"/>
          <w:marTop w:val="0"/>
          <w:marBottom w:val="0"/>
          <w:divBdr>
            <w:top w:val="none" w:sz="0" w:space="0" w:color="auto"/>
            <w:left w:val="none" w:sz="0" w:space="0" w:color="auto"/>
            <w:bottom w:val="none" w:sz="0" w:space="0" w:color="auto"/>
            <w:right w:val="none" w:sz="0" w:space="0" w:color="auto"/>
          </w:divBdr>
        </w:div>
        <w:div w:id="1890409253">
          <w:marLeft w:val="0"/>
          <w:marRight w:val="0"/>
          <w:marTop w:val="0"/>
          <w:marBottom w:val="0"/>
          <w:divBdr>
            <w:top w:val="none" w:sz="0" w:space="0" w:color="auto"/>
            <w:left w:val="none" w:sz="0" w:space="0" w:color="auto"/>
            <w:bottom w:val="none" w:sz="0" w:space="0" w:color="auto"/>
            <w:right w:val="none" w:sz="0" w:space="0" w:color="auto"/>
          </w:divBdr>
        </w:div>
        <w:div w:id="1322923714">
          <w:marLeft w:val="0"/>
          <w:marRight w:val="0"/>
          <w:marTop w:val="0"/>
          <w:marBottom w:val="0"/>
          <w:divBdr>
            <w:top w:val="none" w:sz="0" w:space="0" w:color="auto"/>
            <w:left w:val="none" w:sz="0" w:space="0" w:color="auto"/>
            <w:bottom w:val="none" w:sz="0" w:space="0" w:color="auto"/>
            <w:right w:val="none" w:sz="0" w:space="0" w:color="auto"/>
          </w:divBdr>
        </w:div>
        <w:div w:id="1433435343">
          <w:marLeft w:val="0"/>
          <w:marRight w:val="0"/>
          <w:marTop w:val="0"/>
          <w:marBottom w:val="0"/>
          <w:divBdr>
            <w:top w:val="none" w:sz="0" w:space="0" w:color="auto"/>
            <w:left w:val="none" w:sz="0" w:space="0" w:color="auto"/>
            <w:bottom w:val="none" w:sz="0" w:space="0" w:color="auto"/>
            <w:right w:val="none" w:sz="0" w:space="0" w:color="auto"/>
          </w:divBdr>
        </w:div>
        <w:div w:id="73597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mailto:esteban1sanabria@gmail.com"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A6315-0D1E-45E5-BAE9-230613325948}"/>
</file>

<file path=customXml/itemProps2.xml><?xml version="1.0" encoding="utf-8"?>
<ds:datastoreItem xmlns:ds="http://schemas.openxmlformats.org/officeDocument/2006/customXml" ds:itemID="{65B2C663-D947-4B2C-9D89-92288F869CB8}">
  <ds:schemaRefs>
    <ds:schemaRef ds:uri="http://purl.org/dc/dcmitype/"/>
    <ds:schemaRef ds:uri="53ac67a5-92a3-4296-a7d6-6eec8633cc35"/>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ba381f48-515a-4490-81c9-88db732c087d"/>
    <ds:schemaRef ds:uri="http://purl.org/dc/terms/"/>
  </ds:schemaRefs>
</ds:datastoreItem>
</file>

<file path=customXml/itemProps3.xml><?xml version="1.0" encoding="utf-8"?>
<ds:datastoreItem xmlns:ds="http://schemas.openxmlformats.org/officeDocument/2006/customXml" ds:itemID="{F985CD62-8C06-4F82-B33B-2A21F377B1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dc:creator>
  <cp:keywords/>
  <dc:description/>
  <cp:lastModifiedBy>Oscar David Mórelo Pedroza</cp:lastModifiedBy>
  <cp:revision>4</cp:revision>
  <cp:lastPrinted>2023-05-04T19:27:00Z</cp:lastPrinted>
  <dcterms:created xsi:type="dcterms:W3CDTF">2023-05-04T19:33:00Z</dcterms:created>
  <dcterms:modified xsi:type="dcterms:W3CDTF">2023-07-21T14:58:37Z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