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63EE"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bookmarkStart w:id="0" w:name="_Hlk96417464"/>
      <w:bookmarkStart w:id="1" w:name="_Hlk120036210"/>
      <w:bookmarkStart w:id="2" w:name="_Hlk98867631"/>
      <w:bookmarkStart w:id="3" w:name="_Hlk99546921"/>
      <w:bookmarkStart w:id="4" w:name="_Hlk34951122"/>
      <w:r>
        <w:rPr>
          <w:rStyle w:val="normaltextrun"/>
          <w:rFonts w:ascii="Arial" w:hAnsi="Arial" w:cs="Arial"/>
          <w:b/>
          <w:bCs/>
          <w:sz w:val="22"/>
          <w:szCs w:val="22"/>
          <w:lang w:val="es-ES"/>
        </w:rPr>
        <w:t>LEY DE GARANTÍAS ELECTORALES – Definición – Finalidad </w:t>
      </w:r>
      <w:r>
        <w:rPr>
          <w:rStyle w:val="eop"/>
          <w:rFonts w:ascii="Arial" w:hAnsi="Arial" w:cs="Arial"/>
          <w:sz w:val="22"/>
          <w:szCs w:val="22"/>
        </w:rPr>
        <w:t> </w:t>
      </w:r>
    </w:p>
    <w:p w14:paraId="312F6E57"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03A8C106"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lang w:val="es-ES"/>
        </w:rPr>
        <w:t xml:space="preserve">[…] </w:t>
      </w:r>
      <w:r>
        <w:rPr>
          <w:rStyle w:val="normaltextrun"/>
          <w:rFonts w:ascii="Arial" w:hAnsi="Arial" w:cs="Arial"/>
          <w:sz w:val="21"/>
          <w:szCs w:val="21"/>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Pr>
          <w:rStyle w:val="normaltextrun"/>
          <w:rFonts w:ascii="Arial" w:hAnsi="Arial" w:cs="Arial"/>
          <w:sz w:val="21"/>
          <w:szCs w:val="21"/>
          <w:lang w:val="es-ES"/>
        </w:rPr>
        <w:t xml:space="preserve"> […]</w:t>
      </w:r>
      <w:r>
        <w:rPr>
          <w:rStyle w:val="eop"/>
          <w:rFonts w:ascii="Arial" w:hAnsi="Arial" w:cs="Arial"/>
          <w:sz w:val="21"/>
          <w:szCs w:val="21"/>
        </w:rPr>
        <w:t> </w:t>
      </w:r>
    </w:p>
    <w:p w14:paraId="7C01A63E"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66539906"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Pr>
          <w:rStyle w:val="eop"/>
          <w:rFonts w:ascii="Arial" w:hAnsi="Arial" w:cs="Arial"/>
          <w:sz w:val="21"/>
          <w:szCs w:val="21"/>
        </w:rPr>
        <w:t> </w:t>
      </w:r>
    </w:p>
    <w:p w14:paraId="302268CD"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331B5059"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LEY DE GARANTÍAS ELECTORALES ‒ Prohibición por elección de cargos populares – Convenios y contratos interadministrativos – Parágrafo del artículo 38</w:t>
      </w:r>
      <w:r>
        <w:rPr>
          <w:rStyle w:val="eop"/>
          <w:rFonts w:ascii="Arial" w:hAnsi="Arial" w:cs="Arial"/>
          <w:sz w:val="22"/>
          <w:szCs w:val="22"/>
        </w:rPr>
        <w:t> </w:t>
      </w:r>
    </w:p>
    <w:p w14:paraId="39E631EF"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4F16823A"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Pr>
          <w:rStyle w:val="eop"/>
          <w:rFonts w:ascii="Arial" w:hAnsi="Arial" w:cs="Arial"/>
          <w:sz w:val="21"/>
          <w:szCs w:val="21"/>
        </w:rPr>
        <w:t> </w:t>
      </w:r>
    </w:p>
    <w:p w14:paraId="2D8ED432"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6F55EF"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lang w:val="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r>
        <w:rPr>
          <w:rStyle w:val="eop"/>
          <w:rFonts w:ascii="Arial" w:hAnsi="Arial" w:cs="Arial"/>
          <w:sz w:val="21"/>
          <w:szCs w:val="21"/>
        </w:rPr>
        <w:t> </w:t>
      </w:r>
    </w:p>
    <w:p w14:paraId="59408E82"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t>
      </w:r>
      <w:r>
        <w:rPr>
          <w:rStyle w:val="eop"/>
          <w:rFonts w:ascii="Arial" w:hAnsi="Arial" w:cs="Arial"/>
        </w:rPr>
        <w:t> </w:t>
      </w:r>
    </w:p>
    <w:p w14:paraId="1CA80585"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 </w:t>
      </w:r>
      <w:r>
        <w:rPr>
          <w:rStyle w:val="normaltextrun"/>
          <w:rFonts w:ascii="Arial" w:hAnsi="Arial" w:cs="Arial"/>
          <w:sz w:val="20"/>
          <w:szCs w:val="20"/>
          <w:lang w:val="es-ES"/>
        </w:rPr>
        <w:t>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w:t>
      </w:r>
      <w:r>
        <w:rPr>
          <w:rStyle w:val="eop"/>
          <w:rFonts w:ascii="Arial" w:hAnsi="Arial" w:cs="Arial"/>
        </w:rPr>
        <w:t> </w:t>
      </w:r>
    </w:p>
    <w:p w14:paraId="74E86F31"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13FEADA1" w14:textId="77777777" w:rsidR="00394818" w:rsidRDefault="00394818" w:rsidP="003948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 las restricciones contractuales establecidas en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ibidem,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r>
        <w:rPr>
          <w:rStyle w:val="eop"/>
          <w:rFonts w:ascii="Arial" w:hAnsi="Arial" w:cs="Arial"/>
          <w:sz w:val="21"/>
          <w:szCs w:val="21"/>
        </w:rPr>
        <w:t> </w:t>
      </w:r>
    </w:p>
    <w:p w14:paraId="5DCCB6E2" w14:textId="77777777" w:rsidR="00325C2F" w:rsidRDefault="00325C2F" w:rsidP="00325C2F">
      <w:pPr>
        <w:spacing w:after="0" w:line="240" w:lineRule="auto"/>
        <w:contextualSpacing/>
        <w:jc w:val="both"/>
        <w:rPr>
          <w:rFonts w:ascii="Arial" w:eastAsia="Calibri" w:hAnsi="Arial" w:cs="Arial"/>
        </w:rPr>
      </w:pPr>
    </w:p>
    <w:p w14:paraId="2B14E7E4" w14:textId="77777777" w:rsidR="00DE1D65" w:rsidRDefault="00DE1D65" w:rsidP="00325C2F">
      <w:pPr>
        <w:spacing w:after="0" w:line="240" w:lineRule="auto"/>
        <w:contextualSpacing/>
        <w:jc w:val="both"/>
        <w:rPr>
          <w:rFonts w:ascii="Arial" w:eastAsia="Calibri" w:hAnsi="Arial" w:cs="Arial"/>
        </w:rPr>
      </w:pPr>
    </w:p>
    <w:p w14:paraId="0DC20796" w14:textId="019E59A7" w:rsidR="00DE1D65" w:rsidRPr="00574963" w:rsidRDefault="00DE1D65" w:rsidP="00DE1D65">
      <w:pPr>
        <w:spacing w:after="0" w:line="240" w:lineRule="auto"/>
        <w:contextualSpacing/>
        <w:jc w:val="right"/>
        <w:rPr>
          <w:rFonts w:ascii="Arial" w:eastAsia="Calibri" w:hAnsi="Arial" w:cs="Arial"/>
        </w:rPr>
      </w:pPr>
      <w:r>
        <w:rPr>
          <w:noProof/>
          <w14:ligatures w14:val="standardContextual"/>
        </w:rPr>
        <w:drawing>
          <wp:inline distT="0" distB="0" distL="0" distR="0" wp14:anchorId="32E2063A" wp14:editId="4E575DDF">
            <wp:extent cx="1943100" cy="571500"/>
            <wp:effectExtent l="0" t="0" r="0" b="0"/>
            <wp:docPr id="11468909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90953" name="Imagen 1" descr="Texto&#10;&#10;Descripción generada automáticamente"/>
                    <pic:cNvPicPr/>
                  </pic:nvPicPr>
                  <pic:blipFill>
                    <a:blip r:embed="rId6"/>
                    <a:stretch>
                      <a:fillRect/>
                    </a:stretch>
                  </pic:blipFill>
                  <pic:spPr>
                    <a:xfrm>
                      <a:off x="0" y="0"/>
                      <a:ext cx="1943100" cy="571500"/>
                    </a:xfrm>
                    <a:prstGeom prst="rect">
                      <a:avLst/>
                    </a:prstGeom>
                  </pic:spPr>
                </pic:pic>
              </a:graphicData>
            </a:graphic>
          </wp:inline>
        </w:drawing>
      </w:r>
    </w:p>
    <w:p w14:paraId="2798B06B" w14:textId="77777777" w:rsidR="00DE1D65" w:rsidRDefault="00DE1D65" w:rsidP="00325C2F">
      <w:pPr>
        <w:rPr>
          <w:rFonts w:ascii="Arial" w:eastAsia="Geomanist Light" w:hAnsi="Arial" w:cs="Arial"/>
          <w:color w:val="000000" w:themeColor="text1"/>
          <w:lang w:val="es-MX"/>
        </w:rPr>
      </w:pPr>
    </w:p>
    <w:p w14:paraId="5B1C0ECB" w14:textId="77777777" w:rsidR="00DE1D65" w:rsidRDefault="00DE1D65" w:rsidP="00325C2F">
      <w:pPr>
        <w:rPr>
          <w:rFonts w:ascii="Arial" w:eastAsia="Geomanist Light" w:hAnsi="Arial" w:cs="Arial"/>
          <w:color w:val="000000" w:themeColor="text1"/>
          <w:lang w:val="es-MX"/>
        </w:rPr>
      </w:pPr>
    </w:p>
    <w:p w14:paraId="19988298" w14:textId="77777777" w:rsidR="00DE1D65" w:rsidRDefault="00DE1D65" w:rsidP="00325C2F">
      <w:pPr>
        <w:rPr>
          <w:rFonts w:ascii="Arial" w:eastAsia="Geomanist Light" w:hAnsi="Arial" w:cs="Arial"/>
          <w:color w:val="000000" w:themeColor="text1"/>
          <w:lang w:val="es-MX"/>
        </w:rPr>
      </w:pPr>
    </w:p>
    <w:p w14:paraId="1190D38C" w14:textId="5E7069D2" w:rsidR="00325C2F" w:rsidRPr="00574963" w:rsidRDefault="00325C2F" w:rsidP="00325C2F">
      <w:pPr>
        <w:rPr>
          <w:rFonts w:ascii="Arial" w:eastAsia="Geomanist Light" w:hAnsi="Arial" w:cs="Arial"/>
          <w:color w:val="201F1E"/>
          <w:lang w:val="es-MX"/>
        </w:rPr>
      </w:pPr>
      <w:r w:rsidRPr="00574963">
        <w:rPr>
          <w:rFonts w:ascii="Arial" w:eastAsia="Geomanist Light" w:hAnsi="Arial" w:cs="Arial"/>
          <w:color w:val="000000" w:themeColor="text1"/>
          <w:lang w:val="es-MX"/>
        </w:rPr>
        <w:t>Bogotá D.C., </w:t>
      </w:r>
      <w:r w:rsidRPr="00574963">
        <w:rPr>
          <w:rFonts w:ascii="Arial" w:eastAsia="Geomanist Light" w:hAnsi="Arial" w:cs="Arial"/>
          <w:color w:val="201F1E"/>
          <w:lang w:val="es-MX"/>
        </w:rPr>
        <w:t>[Día] de [</w:t>
      </w:r>
      <w:proofErr w:type="spellStart"/>
      <w:r w:rsidRPr="00574963">
        <w:rPr>
          <w:rFonts w:ascii="Arial" w:eastAsia="Geomanist Light" w:hAnsi="Arial" w:cs="Arial"/>
          <w:color w:val="201F1E"/>
          <w:lang w:val="es-MX"/>
        </w:rPr>
        <w:t>Mes.NombreCapitalizado</w:t>
      </w:r>
      <w:proofErr w:type="spellEnd"/>
      <w:r w:rsidRPr="00574963">
        <w:rPr>
          <w:rFonts w:ascii="Arial" w:eastAsia="Geomanist Light" w:hAnsi="Arial" w:cs="Arial"/>
          <w:color w:val="201F1E"/>
          <w:lang w:val="es-MX"/>
        </w:rPr>
        <w:t>] de [Año]</w:t>
      </w:r>
    </w:p>
    <w:p w14:paraId="7C10545C" w14:textId="77777777" w:rsidR="00325C2F" w:rsidRPr="00574963" w:rsidRDefault="00325C2F" w:rsidP="00325C2F">
      <w:pPr>
        <w:spacing w:after="0" w:line="240" w:lineRule="auto"/>
        <w:contextualSpacing/>
        <w:jc w:val="both"/>
        <w:rPr>
          <w:rFonts w:ascii="Arial" w:eastAsia="Calibri" w:hAnsi="Arial" w:cs="Arial"/>
        </w:rPr>
      </w:pPr>
    </w:p>
    <w:p w14:paraId="19813799" w14:textId="77777777" w:rsidR="00325C2F" w:rsidRPr="00574963" w:rsidRDefault="00325C2F" w:rsidP="00325C2F">
      <w:pPr>
        <w:spacing w:after="0" w:line="276" w:lineRule="auto"/>
        <w:contextualSpacing/>
        <w:jc w:val="both"/>
        <w:rPr>
          <w:rFonts w:ascii="Arial" w:eastAsia="Calibri" w:hAnsi="Arial" w:cs="Arial"/>
        </w:rPr>
      </w:pPr>
      <w:r w:rsidRPr="00574963">
        <w:rPr>
          <w:rFonts w:ascii="Arial" w:eastAsia="Calibri" w:hAnsi="Arial" w:cs="Arial"/>
        </w:rPr>
        <w:t>Señor</w:t>
      </w:r>
    </w:p>
    <w:p w14:paraId="0D3EAAE6" w14:textId="77777777" w:rsidR="00325C2F" w:rsidRPr="00574963" w:rsidRDefault="00325C2F" w:rsidP="00325C2F">
      <w:pPr>
        <w:spacing w:after="0" w:line="276" w:lineRule="auto"/>
        <w:contextualSpacing/>
        <w:jc w:val="both"/>
        <w:rPr>
          <w:rFonts w:ascii="Arial" w:eastAsia="Calibri" w:hAnsi="Arial" w:cs="Arial"/>
          <w:b/>
          <w:bCs/>
        </w:rPr>
      </w:pPr>
      <w:r w:rsidRPr="00574963">
        <w:rPr>
          <w:rFonts w:ascii="Arial" w:eastAsia="Calibri" w:hAnsi="Arial" w:cs="Arial"/>
          <w:b/>
          <w:bCs/>
        </w:rPr>
        <w:t>Julián Andrés Santiago Villareal Solano</w:t>
      </w:r>
    </w:p>
    <w:p w14:paraId="382EE384" w14:textId="77777777" w:rsidR="00325C2F" w:rsidRPr="00574963" w:rsidRDefault="00325C2F" w:rsidP="00325C2F">
      <w:pPr>
        <w:spacing w:after="0" w:line="276" w:lineRule="auto"/>
        <w:contextualSpacing/>
        <w:jc w:val="both"/>
        <w:rPr>
          <w:rFonts w:ascii="Arial" w:eastAsia="Calibri" w:hAnsi="Arial" w:cs="Arial"/>
        </w:rPr>
      </w:pPr>
      <w:r w:rsidRPr="00574963">
        <w:rPr>
          <w:rFonts w:ascii="Arial" w:eastAsia="Calibri" w:hAnsi="Arial" w:cs="Arial"/>
        </w:rPr>
        <w:t>Departamento Nacional de Planeación</w:t>
      </w:r>
    </w:p>
    <w:p w14:paraId="79DB0E00" w14:textId="77777777" w:rsidR="00325C2F" w:rsidRPr="00574963" w:rsidRDefault="00325C2F" w:rsidP="00325C2F">
      <w:pPr>
        <w:spacing w:after="0" w:line="276" w:lineRule="auto"/>
        <w:contextualSpacing/>
        <w:jc w:val="both"/>
        <w:rPr>
          <w:rFonts w:ascii="Arial" w:eastAsia="Calibri" w:hAnsi="Arial" w:cs="Arial"/>
        </w:rPr>
      </w:pPr>
      <w:r w:rsidRPr="00574963">
        <w:rPr>
          <w:rFonts w:ascii="Arial" w:eastAsia="Calibri" w:hAnsi="Arial" w:cs="Arial"/>
        </w:rPr>
        <w:t>Bogotá D.C.</w:t>
      </w:r>
    </w:p>
    <w:p w14:paraId="63B5080A" w14:textId="77777777" w:rsidR="00325C2F" w:rsidRPr="00574963" w:rsidRDefault="00325C2F" w:rsidP="00325C2F">
      <w:pPr>
        <w:spacing w:after="0" w:line="240" w:lineRule="auto"/>
        <w:contextualSpacing/>
        <w:jc w:val="both"/>
        <w:rPr>
          <w:rFonts w:ascii="Arial" w:eastAsia="Calibri" w:hAnsi="Arial" w:cs="Arial"/>
        </w:rPr>
      </w:pPr>
    </w:p>
    <w:p w14:paraId="33025328" w14:textId="77777777" w:rsidR="00325C2F" w:rsidRPr="00574963" w:rsidRDefault="00325C2F" w:rsidP="00325C2F">
      <w:pPr>
        <w:spacing w:after="0" w:line="240" w:lineRule="auto"/>
        <w:contextualSpacing/>
        <w:jc w:val="both"/>
        <w:rPr>
          <w:rFonts w:ascii="Arial" w:eastAsia="Calibri" w:hAnsi="Arial" w:cs="Arial"/>
        </w:rPr>
      </w:pPr>
      <w:r w:rsidRPr="00574963">
        <w:rPr>
          <w:rFonts w:ascii="Arial" w:eastAsia="Calibri" w:hAnsi="Arial" w:cs="Arial"/>
        </w:rPr>
        <w:t xml:space="preserve">                                            </w:t>
      </w:r>
      <w:r w:rsidRPr="00574963">
        <w:rPr>
          <w:rFonts w:ascii="Arial" w:eastAsia="Calibri" w:hAnsi="Arial" w:cs="Arial"/>
          <w:b/>
        </w:rPr>
        <w:t>Concepto C–149 de 2023</w:t>
      </w:r>
    </w:p>
    <w:p w14:paraId="7B3CF21B" w14:textId="77777777" w:rsidR="00325C2F" w:rsidRPr="00574963" w:rsidRDefault="00325C2F" w:rsidP="00325C2F">
      <w:pPr>
        <w:spacing w:after="0" w:line="240" w:lineRule="auto"/>
        <w:contextualSpacing/>
        <w:jc w:val="both"/>
        <w:rPr>
          <w:rFonts w:ascii="Arial" w:eastAsia="Calibri" w:hAnsi="Arial" w:cs="Arial"/>
          <w:b/>
        </w:rPr>
      </w:pPr>
    </w:p>
    <w:p w14:paraId="6C20E812" w14:textId="77777777" w:rsidR="00325C2F" w:rsidRPr="00574963" w:rsidRDefault="00325C2F" w:rsidP="00325C2F">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25C2F" w:rsidRPr="00574963" w14:paraId="153474C2" w14:textId="77777777" w:rsidTr="00606B61">
        <w:trPr>
          <w:trHeight w:val="485"/>
        </w:trPr>
        <w:tc>
          <w:tcPr>
            <w:tcW w:w="2689" w:type="dxa"/>
            <w:hideMark/>
          </w:tcPr>
          <w:p w14:paraId="4573FAE4" w14:textId="77777777" w:rsidR="00325C2F" w:rsidRPr="00574963" w:rsidRDefault="00325C2F" w:rsidP="00606B61">
            <w:pPr>
              <w:rPr>
                <w:rFonts w:ascii="Arial" w:eastAsia="Calibri" w:hAnsi="Arial" w:cs="Arial"/>
                <w:noProof/>
                <w:lang w:val="es-ES_tradnl"/>
              </w:rPr>
            </w:pPr>
            <w:r w:rsidRPr="00574963">
              <w:rPr>
                <w:rFonts w:ascii="Arial" w:eastAsia="Calibri" w:hAnsi="Arial" w:cs="Arial"/>
                <w:b/>
                <w:noProof/>
                <w:lang w:val="es-ES_tradnl"/>
              </w:rPr>
              <w:t>Temas:</w:t>
            </w:r>
            <w:r w:rsidRPr="00574963">
              <w:rPr>
                <w:rFonts w:ascii="Arial" w:eastAsia="Calibri" w:hAnsi="Arial" w:cs="Arial"/>
                <w:noProof/>
                <w:lang w:val="es-ES_tradnl"/>
              </w:rPr>
              <w:t xml:space="preserve">        </w:t>
            </w:r>
          </w:p>
        </w:tc>
        <w:tc>
          <w:tcPr>
            <w:tcW w:w="6237" w:type="dxa"/>
            <w:hideMark/>
          </w:tcPr>
          <w:p w14:paraId="0D6CDC84" w14:textId="77777777" w:rsidR="00325C2F" w:rsidRPr="00574963" w:rsidRDefault="00325C2F" w:rsidP="00606B61">
            <w:pPr>
              <w:spacing w:line="276" w:lineRule="auto"/>
              <w:jc w:val="both"/>
              <w:rPr>
                <w:rFonts w:ascii="Arial" w:eastAsia="Times New Roman" w:hAnsi="Arial" w:cs="Arial"/>
                <w:lang w:val="es-ES_tradnl" w:eastAsia="es-ES_tradnl"/>
              </w:rPr>
            </w:pPr>
            <w:r w:rsidRPr="00574963">
              <w:rPr>
                <w:rFonts w:ascii="Arial" w:eastAsia="Times New Roman" w:hAnsi="Arial" w:cs="Arial"/>
                <w:lang w:val="es-ES_tradnl" w:eastAsia="es-ES_tradnl"/>
              </w:rPr>
              <w:t>LEY DE GARABTÍAS ELECTORALES – Definición – Finalidad / LEY DE GARANTÍAS ELECTORALES – Prohibición por elección de cargos populares – Convenios y contratos interadministrativos – Parágrafo del artículo 38</w:t>
            </w:r>
          </w:p>
          <w:p w14:paraId="245465B5" w14:textId="77777777" w:rsidR="00325C2F" w:rsidRPr="00574963" w:rsidRDefault="00325C2F" w:rsidP="00606B61">
            <w:pPr>
              <w:jc w:val="both"/>
              <w:rPr>
                <w:rFonts w:ascii="Arial" w:eastAsia="Calibri" w:hAnsi="Arial" w:cs="Arial"/>
                <w:b/>
                <w:bCs/>
                <w:lang w:val="es-MX"/>
              </w:rPr>
            </w:pPr>
          </w:p>
          <w:p w14:paraId="54CE9B9B" w14:textId="77777777" w:rsidR="00325C2F" w:rsidRPr="00574963" w:rsidRDefault="00325C2F" w:rsidP="00606B61">
            <w:pPr>
              <w:ind w:right="703"/>
              <w:jc w:val="both"/>
              <w:rPr>
                <w:rFonts w:ascii="Arial" w:eastAsia="Calibri" w:hAnsi="Arial" w:cs="Arial"/>
                <w:bCs/>
                <w:lang w:val="es-MX"/>
              </w:rPr>
            </w:pPr>
          </w:p>
        </w:tc>
      </w:tr>
      <w:tr w:rsidR="00325C2F" w:rsidRPr="00574963" w14:paraId="35087AFE" w14:textId="77777777" w:rsidTr="00606B61">
        <w:tc>
          <w:tcPr>
            <w:tcW w:w="2689" w:type="dxa"/>
          </w:tcPr>
          <w:p w14:paraId="186FFC16" w14:textId="77777777" w:rsidR="00325C2F" w:rsidRPr="00574963" w:rsidRDefault="00325C2F" w:rsidP="00606B61">
            <w:pPr>
              <w:rPr>
                <w:rFonts w:ascii="Arial" w:eastAsia="Calibri" w:hAnsi="Arial" w:cs="Arial"/>
                <w:b/>
                <w:noProof/>
                <w:lang w:val="es-ES_tradnl"/>
              </w:rPr>
            </w:pPr>
            <w:r w:rsidRPr="00574963">
              <w:rPr>
                <w:rFonts w:ascii="Arial" w:eastAsia="Calibri" w:hAnsi="Arial" w:cs="Arial"/>
                <w:b/>
                <w:noProof/>
                <w:lang w:val="es-ES_tradnl"/>
              </w:rPr>
              <w:t>Radicación:</w:t>
            </w:r>
            <w:r w:rsidRPr="00574963">
              <w:rPr>
                <w:rFonts w:ascii="Arial" w:eastAsia="Calibri" w:hAnsi="Arial" w:cs="Arial"/>
                <w:noProof/>
                <w:lang w:val="es-ES_tradnl"/>
              </w:rPr>
              <w:t xml:space="preserve">                              </w:t>
            </w:r>
          </w:p>
        </w:tc>
        <w:tc>
          <w:tcPr>
            <w:tcW w:w="6237" w:type="dxa"/>
          </w:tcPr>
          <w:p w14:paraId="1B26A805" w14:textId="77777777" w:rsidR="00325C2F" w:rsidRPr="00574963" w:rsidRDefault="00325C2F" w:rsidP="00606B61">
            <w:pPr>
              <w:jc w:val="both"/>
              <w:rPr>
                <w:rFonts w:ascii="Arial" w:eastAsia="Calibri" w:hAnsi="Arial" w:cs="Arial"/>
                <w:noProof/>
                <w:lang w:val="es-ES_tradnl"/>
              </w:rPr>
            </w:pPr>
            <w:r w:rsidRPr="00574963">
              <w:rPr>
                <w:rFonts w:ascii="Arial" w:eastAsia="Calibri" w:hAnsi="Arial" w:cs="Arial"/>
                <w:noProof/>
                <w:lang w:val="es-ES_tradnl"/>
              </w:rPr>
              <w:t>Respuesta a consulta P20230418003411</w:t>
            </w:r>
            <w:r w:rsidRPr="00574963">
              <w:rPr>
                <w:rFonts w:ascii="Arial" w:eastAsia="Calibri" w:hAnsi="Arial" w:cs="Arial"/>
                <w:noProof/>
                <w:lang w:val="es-ES_tradnl"/>
              </w:rPr>
              <w:tab/>
            </w:r>
            <w:r w:rsidRPr="00574963">
              <w:rPr>
                <w:rFonts w:ascii="Arial" w:eastAsia="Calibri" w:hAnsi="Arial" w:cs="Arial"/>
                <w:noProof/>
                <w:lang w:val="es-ES_tradnl"/>
              </w:rPr>
              <w:tab/>
            </w:r>
          </w:p>
        </w:tc>
      </w:tr>
    </w:tbl>
    <w:p w14:paraId="21633E70" w14:textId="77777777" w:rsidR="00325C2F" w:rsidRPr="00574963" w:rsidRDefault="00325C2F" w:rsidP="00325C2F">
      <w:pPr>
        <w:spacing w:after="0" w:line="240" w:lineRule="auto"/>
        <w:contextualSpacing/>
        <w:jc w:val="both"/>
        <w:rPr>
          <w:rFonts w:ascii="Arial" w:eastAsia="Calibri" w:hAnsi="Arial" w:cs="Arial"/>
        </w:rPr>
      </w:pPr>
    </w:p>
    <w:p w14:paraId="775F1232" w14:textId="77777777" w:rsidR="00325C2F" w:rsidRPr="00574963" w:rsidRDefault="00325C2F" w:rsidP="00325C2F">
      <w:pPr>
        <w:spacing w:after="0" w:line="240" w:lineRule="auto"/>
        <w:contextualSpacing/>
        <w:jc w:val="both"/>
        <w:rPr>
          <w:rFonts w:ascii="Arial" w:eastAsia="Calibri" w:hAnsi="Arial" w:cs="Arial"/>
        </w:rPr>
      </w:pPr>
    </w:p>
    <w:p w14:paraId="1549FB42" w14:textId="77777777" w:rsidR="00325C2F" w:rsidRPr="00574963" w:rsidRDefault="00325C2F" w:rsidP="00325C2F">
      <w:pPr>
        <w:spacing w:after="0" w:line="276" w:lineRule="auto"/>
        <w:contextualSpacing/>
        <w:jc w:val="both"/>
        <w:rPr>
          <w:rFonts w:ascii="Arial" w:eastAsia="Calibri" w:hAnsi="Arial" w:cs="Arial"/>
        </w:rPr>
      </w:pPr>
      <w:r w:rsidRPr="00574963">
        <w:rPr>
          <w:rFonts w:ascii="Arial" w:eastAsia="Calibri" w:hAnsi="Arial" w:cs="Arial"/>
        </w:rPr>
        <w:t>Estimado señor Villareal:</w:t>
      </w:r>
    </w:p>
    <w:p w14:paraId="5238C674" w14:textId="77777777" w:rsidR="00325C2F" w:rsidRPr="00574963" w:rsidRDefault="00325C2F" w:rsidP="00325C2F">
      <w:pPr>
        <w:spacing w:after="0" w:line="276" w:lineRule="auto"/>
        <w:ind w:firstLine="709"/>
        <w:contextualSpacing/>
        <w:jc w:val="both"/>
        <w:rPr>
          <w:rFonts w:ascii="Arial" w:eastAsia="Calibri" w:hAnsi="Arial" w:cs="Arial"/>
        </w:rPr>
      </w:pPr>
    </w:p>
    <w:p w14:paraId="672221CF" w14:textId="77777777" w:rsidR="00325C2F" w:rsidRPr="00574963" w:rsidRDefault="00325C2F" w:rsidP="00325C2F">
      <w:pPr>
        <w:spacing w:after="0" w:line="276" w:lineRule="auto"/>
        <w:contextualSpacing/>
        <w:jc w:val="both"/>
        <w:rPr>
          <w:rFonts w:ascii="Arial" w:eastAsia="Calibri" w:hAnsi="Arial" w:cs="Arial"/>
        </w:rPr>
      </w:pPr>
      <w:r w:rsidRPr="00574963">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18 de abril de 2023.</w:t>
      </w:r>
    </w:p>
    <w:p w14:paraId="237801F4" w14:textId="77777777" w:rsidR="00325C2F" w:rsidRPr="00574963" w:rsidRDefault="00325C2F" w:rsidP="00325C2F">
      <w:pPr>
        <w:spacing w:after="0" w:line="276" w:lineRule="auto"/>
        <w:contextualSpacing/>
        <w:jc w:val="both"/>
        <w:rPr>
          <w:rFonts w:ascii="Arial" w:eastAsia="Calibri" w:hAnsi="Arial" w:cs="Arial"/>
        </w:rPr>
      </w:pPr>
    </w:p>
    <w:p w14:paraId="4DEFBBDE" w14:textId="77777777" w:rsidR="00325C2F" w:rsidRPr="00574963" w:rsidRDefault="00325C2F" w:rsidP="00325C2F">
      <w:pPr>
        <w:tabs>
          <w:tab w:val="left" w:pos="284"/>
        </w:tabs>
        <w:spacing w:after="0" w:line="276" w:lineRule="auto"/>
        <w:contextualSpacing/>
        <w:jc w:val="both"/>
        <w:rPr>
          <w:rFonts w:ascii="Arial" w:eastAsia="Calibri" w:hAnsi="Arial" w:cs="Arial"/>
          <w:b/>
        </w:rPr>
      </w:pPr>
      <w:r w:rsidRPr="00574963">
        <w:rPr>
          <w:rFonts w:ascii="Arial" w:eastAsia="Calibri" w:hAnsi="Arial" w:cs="Arial"/>
          <w:b/>
        </w:rPr>
        <w:t xml:space="preserve">1. Problema planteado </w:t>
      </w:r>
    </w:p>
    <w:p w14:paraId="0106FF68" w14:textId="77777777" w:rsidR="00325C2F" w:rsidRPr="00574963" w:rsidRDefault="00325C2F" w:rsidP="00325C2F">
      <w:pPr>
        <w:tabs>
          <w:tab w:val="left" w:pos="284"/>
        </w:tabs>
        <w:spacing w:after="0" w:line="276" w:lineRule="auto"/>
        <w:ind w:firstLine="709"/>
        <w:contextualSpacing/>
        <w:jc w:val="both"/>
        <w:rPr>
          <w:rFonts w:ascii="Arial" w:eastAsia="Calibri" w:hAnsi="Arial" w:cs="Arial"/>
          <w:b/>
        </w:rPr>
      </w:pPr>
    </w:p>
    <w:p w14:paraId="0480DE66" w14:textId="77777777" w:rsidR="00325C2F" w:rsidRPr="00574963" w:rsidRDefault="00325C2F" w:rsidP="00325C2F">
      <w:pPr>
        <w:spacing w:after="0" w:line="276" w:lineRule="auto"/>
        <w:contextualSpacing/>
        <w:jc w:val="both"/>
        <w:rPr>
          <w:rFonts w:ascii="Arial" w:eastAsia="Calibri" w:hAnsi="Arial" w:cs="Arial"/>
        </w:rPr>
      </w:pPr>
      <w:bookmarkStart w:id="5" w:name="_Hlk58917991"/>
      <w:bookmarkStart w:id="6" w:name="_Hlk56103000"/>
      <w:r w:rsidRPr="00574963">
        <w:rPr>
          <w:rFonts w:ascii="Arial" w:eastAsia="Calibri" w:hAnsi="Arial" w:cs="Arial"/>
        </w:rPr>
        <w:t xml:space="preserve">Usted plantea la siguiente consulta: </w:t>
      </w:r>
      <w:bookmarkStart w:id="7" w:name="_Hlk116284008"/>
    </w:p>
    <w:p w14:paraId="5EE0A993" w14:textId="77777777" w:rsidR="00325C2F" w:rsidRPr="00574963" w:rsidRDefault="00325C2F" w:rsidP="00325C2F">
      <w:pPr>
        <w:spacing w:after="0" w:line="276" w:lineRule="auto"/>
        <w:contextualSpacing/>
        <w:jc w:val="both"/>
        <w:rPr>
          <w:rFonts w:ascii="Arial" w:eastAsia="Calibri" w:hAnsi="Arial" w:cs="Arial"/>
        </w:rPr>
      </w:pPr>
    </w:p>
    <w:p w14:paraId="6BD64C6A" w14:textId="77777777" w:rsidR="00325C2F" w:rsidRPr="00574963" w:rsidRDefault="00325C2F" w:rsidP="00325C2F">
      <w:pPr>
        <w:spacing w:before="120" w:after="0" w:line="240" w:lineRule="auto"/>
        <w:ind w:left="709" w:right="709"/>
        <w:contextualSpacing/>
        <w:jc w:val="both"/>
        <w:rPr>
          <w:rFonts w:ascii="Arial" w:eastAsia="Calibri" w:hAnsi="Arial" w:cs="Arial"/>
          <w:sz w:val="21"/>
          <w:szCs w:val="21"/>
          <w:lang w:val="es-MX"/>
        </w:rPr>
      </w:pPr>
      <w:bookmarkStart w:id="8" w:name="_Hlk133573383"/>
      <w:r w:rsidRPr="00574963">
        <w:rPr>
          <w:rFonts w:ascii="Arial" w:eastAsia="Calibri" w:hAnsi="Arial" w:cs="Arial"/>
          <w:sz w:val="21"/>
          <w:szCs w:val="21"/>
          <w:lang w:val="es-MX"/>
        </w:rPr>
        <w:t xml:space="preserve">“1. ¿Se aplica la ley de garantías a los contratos de administración que se suscriben entre la entidad territorial y el representante legal designado por las autoridades </w:t>
      </w:r>
      <w:r w:rsidRPr="00574963">
        <w:rPr>
          <w:rFonts w:ascii="Arial" w:eastAsia="Calibri" w:hAnsi="Arial" w:cs="Arial"/>
          <w:sz w:val="21"/>
          <w:szCs w:val="21"/>
          <w:lang w:val="es-MX"/>
        </w:rPr>
        <w:lastRenderedPageBreak/>
        <w:t>propias para la ejecución de los recursos de la Asignación Especial del Sistema General de Participaciones-AESGPRI, en el marco de lo previsto en el artículo 34 del Decreto 1953 de 2014?</w:t>
      </w:r>
    </w:p>
    <w:p w14:paraId="173E818F" w14:textId="77777777" w:rsidR="00325C2F" w:rsidRDefault="00325C2F" w:rsidP="00325C2F">
      <w:pPr>
        <w:spacing w:before="120" w:after="0" w:line="276" w:lineRule="auto"/>
        <w:ind w:left="709" w:right="709"/>
        <w:jc w:val="both"/>
        <w:rPr>
          <w:rFonts w:ascii="Arial" w:eastAsia="Calibri" w:hAnsi="Arial" w:cs="Arial"/>
          <w:sz w:val="21"/>
          <w:szCs w:val="21"/>
          <w:lang w:val="es-MX"/>
        </w:rPr>
      </w:pPr>
      <w:r w:rsidRPr="00574963">
        <w:rPr>
          <w:rFonts w:ascii="Arial" w:eastAsia="Calibri" w:hAnsi="Arial" w:cs="Arial"/>
          <w:sz w:val="21"/>
          <w:szCs w:val="21"/>
          <w:lang w:val="es-MX"/>
        </w:rPr>
        <w:t>2. ¿Se aplica la ley de garantías a los contratos de ejecución que se derivan de la suscripción del contrato de administración para la ejecución de los recursos de la Asignación Especial del Sistema General de Participaciones-AESGPRI?” [sic]</w:t>
      </w:r>
    </w:p>
    <w:p w14:paraId="53FD18F3" w14:textId="77777777" w:rsidR="00325C2F" w:rsidRDefault="00325C2F" w:rsidP="00325C2F">
      <w:pPr>
        <w:spacing w:before="120" w:after="0" w:line="276" w:lineRule="auto"/>
        <w:ind w:left="709" w:right="709"/>
        <w:jc w:val="both"/>
        <w:rPr>
          <w:rFonts w:ascii="Arial" w:eastAsia="Calibri" w:hAnsi="Arial" w:cs="Arial"/>
          <w:sz w:val="21"/>
          <w:szCs w:val="21"/>
          <w:lang w:val="es-MX"/>
        </w:rPr>
      </w:pPr>
    </w:p>
    <w:p w14:paraId="2FB2FF7D" w14:textId="77777777" w:rsidR="00325C2F" w:rsidRPr="00574963" w:rsidRDefault="00325C2F" w:rsidP="00325C2F">
      <w:pPr>
        <w:spacing w:before="120" w:after="0" w:line="276" w:lineRule="auto"/>
        <w:ind w:left="709" w:right="709"/>
        <w:jc w:val="both"/>
        <w:rPr>
          <w:rFonts w:ascii="Arial" w:eastAsia="Calibri" w:hAnsi="Arial" w:cs="Arial"/>
          <w:sz w:val="21"/>
          <w:szCs w:val="21"/>
          <w:lang w:val="es-MX"/>
        </w:rPr>
      </w:pPr>
    </w:p>
    <w:p w14:paraId="010036C1" w14:textId="77777777" w:rsidR="00325C2F" w:rsidRPr="00574963" w:rsidRDefault="00325C2F" w:rsidP="00325C2F">
      <w:pPr>
        <w:spacing w:after="0" w:line="276" w:lineRule="auto"/>
        <w:ind w:left="709" w:right="709"/>
        <w:jc w:val="both"/>
        <w:rPr>
          <w:rFonts w:ascii="Arial" w:eastAsia="Calibri" w:hAnsi="Arial" w:cs="Arial"/>
          <w:lang w:val="es-ES"/>
        </w:rPr>
      </w:pPr>
    </w:p>
    <w:bookmarkEnd w:id="5"/>
    <w:bookmarkEnd w:id="6"/>
    <w:bookmarkEnd w:id="7"/>
    <w:bookmarkEnd w:id="8"/>
    <w:p w14:paraId="00414383" w14:textId="77777777" w:rsidR="00325C2F" w:rsidRPr="00574963" w:rsidRDefault="00325C2F" w:rsidP="00325C2F">
      <w:pPr>
        <w:tabs>
          <w:tab w:val="left" w:pos="284"/>
        </w:tabs>
        <w:spacing w:after="0" w:line="276" w:lineRule="auto"/>
        <w:contextualSpacing/>
        <w:jc w:val="both"/>
        <w:rPr>
          <w:rFonts w:ascii="Arial" w:eastAsia="Calibri" w:hAnsi="Arial" w:cs="Arial"/>
          <w:b/>
        </w:rPr>
      </w:pPr>
      <w:r w:rsidRPr="00574963">
        <w:rPr>
          <w:rFonts w:ascii="Arial" w:eastAsia="Calibri" w:hAnsi="Arial" w:cs="Arial"/>
          <w:b/>
        </w:rPr>
        <w:t>2. Consideraciones</w:t>
      </w:r>
    </w:p>
    <w:p w14:paraId="62C7B14F" w14:textId="77777777" w:rsidR="00325C2F" w:rsidRPr="00574963" w:rsidRDefault="00325C2F" w:rsidP="00325C2F">
      <w:pPr>
        <w:tabs>
          <w:tab w:val="left" w:pos="284"/>
        </w:tabs>
        <w:spacing w:after="0" w:line="276" w:lineRule="auto"/>
        <w:contextualSpacing/>
        <w:jc w:val="both"/>
        <w:rPr>
          <w:rFonts w:ascii="Arial" w:eastAsia="Calibri" w:hAnsi="Arial" w:cs="Arial"/>
          <w:b/>
        </w:rPr>
      </w:pPr>
    </w:p>
    <w:p w14:paraId="21EA1C4C" w14:textId="77777777" w:rsidR="00325C2F" w:rsidRPr="00574963" w:rsidRDefault="00325C2F" w:rsidP="00325C2F">
      <w:pPr>
        <w:spacing w:after="120" w:line="276" w:lineRule="auto"/>
        <w:jc w:val="both"/>
        <w:rPr>
          <w:rFonts w:ascii="Arial" w:eastAsia="Calibri" w:hAnsi="Arial" w:cs="Arial"/>
          <w:lang w:val="es-ES"/>
        </w:rPr>
      </w:pPr>
      <w:r w:rsidRPr="00574963">
        <w:rPr>
          <w:rFonts w:ascii="Arial" w:eastAsia="Calibri" w:hAnsi="Arial"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574963">
        <w:rPr>
          <w:rFonts w:ascii="Arial" w:eastAsia="Calibri" w:hAnsi="Arial" w:cs="Arial"/>
          <w:lang w:val="es-ES"/>
        </w:rPr>
        <w:t xml:space="preserve"> </w:t>
      </w:r>
      <w:bookmarkStart w:id="9" w:name="_Hlk61701014"/>
      <w:bookmarkStart w:id="10" w:name="_Hlk62136649"/>
      <w:r w:rsidRPr="00574963">
        <w:rPr>
          <w:rFonts w:ascii="Arial" w:eastAsia="Calibri" w:hAnsi="Arial" w:cs="Arial"/>
          <w:lang w:val="es-ES"/>
        </w:rPr>
        <w:t xml:space="preserve">Es necesario tener en cuenta que </w:t>
      </w:r>
      <w:bookmarkStart w:id="11" w:name="_Hlk61026958"/>
      <w:r w:rsidRPr="00574963">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74963">
        <w:rPr>
          <w:rFonts w:ascii="Arial" w:eastAsia="Calibri" w:hAnsi="Arial" w:cs="Arial"/>
          <w:bCs/>
          <w:lang w:val="es-MX"/>
        </w:rPr>
        <w:t xml:space="preserve"> de todos los partícipes de la contratación estatal.</w:t>
      </w:r>
    </w:p>
    <w:p w14:paraId="2D4C4F99" w14:textId="77777777" w:rsidR="00325C2F" w:rsidRPr="00574963" w:rsidRDefault="00325C2F" w:rsidP="00325C2F">
      <w:pPr>
        <w:spacing w:after="120" w:line="276" w:lineRule="auto"/>
        <w:ind w:firstLine="708"/>
        <w:jc w:val="both"/>
        <w:rPr>
          <w:rFonts w:ascii="Arial" w:eastAsia="Calibri" w:hAnsi="Arial" w:cs="Arial"/>
          <w:lang w:val="es-ES"/>
        </w:rPr>
      </w:pPr>
      <w:r w:rsidRPr="00574963">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74963">
        <w:rPr>
          <w:rFonts w:ascii="Arial" w:eastAsia="Calibri" w:hAnsi="Arial" w:cs="Arial"/>
          <w:vertAlign w:val="superscript"/>
          <w:lang w:val="es-ES"/>
        </w:rPr>
        <w:footnoteReference w:id="1"/>
      </w:r>
      <w:r w:rsidRPr="00574963">
        <w:rPr>
          <w:rFonts w:ascii="Arial" w:eastAsia="Calibri" w:hAnsi="Arial" w:cs="Arial"/>
          <w:lang w:val="es-ES"/>
        </w:rPr>
        <w:t>. Esta competencia de interpretación de normas generales, por definición, no puede extenderse a la resolución de controversias, ni a brindar asesorías sobre casos puntuales.</w:t>
      </w:r>
      <w:bookmarkEnd w:id="9"/>
      <w:bookmarkEnd w:id="11"/>
    </w:p>
    <w:bookmarkEnd w:id="10"/>
    <w:p w14:paraId="63967F11" w14:textId="77777777" w:rsidR="00325C2F" w:rsidRPr="00574963" w:rsidRDefault="00325C2F" w:rsidP="00325C2F">
      <w:pPr>
        <w:spacing w:before="120" w:after="120" w:line="276" w:lineRule="auto"/>
        <w:ind w:firstLine="709"/>
        <w:jc w:val="both"/>
        <w:rPr>
          <w:rFonts w:ascii="Arial" w:eastAsia="Calibri" w:hAnsi="Arial" w:cs="Arial"/>
          <w:highlight w:val="yellow"/>
          <w:lang w:val="es-ES_tradnl" w:eastAsia="es-MX"/>
        </w:rPr>
      </w:pPr>
      <w:r w:rsidRPr="00574963">
        <w:rPr>
          <w:rFonts w:ascii="Arial" w:eastAsia="Calibri" w:hAnsi="Arial" w:cs="Arial"/>
          <w:lang w:val="es-MX"/>
        </w:rPr>
        <w:t xml:space="preserve">Sin perjuicio de lo anterior, </w:t>
      </w:r>
      <w:r w:rsidRPr="00574963">
        <w:rPr>
          <w:rFonts w:ascii="Arial" w:eastAsia="Calibri" w:hAnsi="Arial" w:cs="Arial"/>
          <w:lang w:val="es-ES"/>
        </w:rPr>
        <w:t>la Subdirección de Gestión Contractual dentro de los límites de sus atribuciones, resolverá la consulta conforme a las normas generales en materia de contratación estatal</w:t>
      </w:r>
      <w:r w:rsidRPr="00574963">
        <w:rPr>
          <w:rFonts w:ascii="Arial" w:eastAsia="Calibri" w:hAnsi="Arial" w:cs="Arial"/>
          <w:lang w:val="es-ES_tradnl" w:eastAsia="es-MX"/>
        </w:rPr>
        <w:t xml:space="preserve">. Con este objetivo, se analizarán los siguientes temas: i) definición y finalidad de la Ley de Garantías Electorales, </w:t>
      </w:r>
      <w:proofErr w:type="spellStart"/>
      <w:r w:rsidRPr="00574963">
        <w:rPr>
          <w:rFonts w:ascii="Arial" w:eastAsia="Calibri" w:hAnsi="Arial" w:cs="Arial"/>
          <w:lang w:val="es-ES_tradnl" w:eastAsia="es-MX"/>
        </w:rPr>
        <w:t>ii</w:t>
      </w:r>
      <w:proofErr w:type="spellEnd"/>
      <w:r w:rsidRPr="00574963">
        <w:rPr>
          <w:rFonts w:ascii="Arial" w:eastAsia="Calibri" w:hAnsi="Arial" w:cs="Arial"/>
          <w:lang w:val="es-ES_tradnl" w:eastAsia="es-MX"/>
        </w:rPr>
        <w:t xml:space="preserve">) </w:t>
      </w:r>
      <w:r w:rsidRPr="00574963">
        <w:rPr>
          <w:rFonts w:ascii="Arial" w:hAnsi="Arial" w:cs="Arial"/>
          <w:bCs/>
        </w:rPr>
        <w:t>restricciones para elecciones presidenciales</w:t>
      </w:r>
      <w:r w:rsidRPr="00574963">
        <w:rPr>
          <w:rFonts w:ascii="Arial" w:eastAsia="Calibri" w:hAnsi="Arial" w:cs="Arial"/>
          <w:lang w:val="es-ES_tradnl" w:eastAsia="es-MX"/>
        </w:rPr>
        <w:t xml:space="preserve"> y, </w:t>
      </w:r>
      <w:proofErr w:type="spellStart"/>
      <w:r w:rsidRPr="00574963">
        <w:rPr>
          <w:rFonts w:ascii="Arial" w:eastAsia="Calibri" w:hAnsi="Arial" w:cs="Arial"/>
          <w:lang w:val="es-ES_tradnl" w:eastAsia="es-MX"/>
        </w:rPr>
        <w:t>iii</w:t>
      </w:r>
      <w:proofErr w:type="spellEnd"/>
      <w:r w:rsidRPr="00574963">
        <w:rPr>
          <w:rFonts w:ascii="Arial" w:eastAsia="Calibri" w:hAnsi="Arial" w:cs="Arial"/>
          <w:lang w:val="es-ES_tradnl" w:eastAsia="es-MX"/>
        </w:rPr>
        <w:t>) restricciones para la celebración de contratos y convenios interadministrativos en los comicios para cargos de elección popular.</w:t>
      </w:r>
    </w:p>
    <w:p w14:paraId="1F958AE4" w14:textId="77777777" w:rsidR="00325C2F" w:rsidRPr="00574963" w:rsidRDefault="00325C2F" w:rsidP="00325C2F">
      <w:pPr>
        <w:spacing w:after="0" w:line="276" w:lineRule="auto"/>
        <w:ind w:firstLine="709"/>
        <w:jc w:val="both"/>
        <w:rPr>
          <w:rFonts w:ascii="Arial" w:eastAsia="Arial" w:hAnsi="Arial" w:cs="Arial"/>
          <w:lang w:val="es-MX" w:eastAsia="es-ES_tradnl"/>
        </w:rPr>
      </w:pPr>
      <w:r w:rsidRPr="00574963">
        <w:rPr>
          <w:rFonts w:ascii="Arial" w:eastAsia="Times New Roman" w:hAnsi="Arial" w:cs="Arial"/>
          <w:lang w:eastAsia="es-ES_tradnl"/>
        </w:rPr>
        <w:t xml:space="preserve">La Agencia Nacional de Contratación Pública – Colombia Compra Eficiente </w:t>
      </w:r>
      <w:r w:rsidRPr="00574963">
        <w:rPr>
          <w:rFonts w:ascii="Arial" w:eastAsia="Arial" w:hAnsi="Arial" w:cs="Arial"/>
          <w:lang w:val="es-MX" w:eastAsia="es-ES_tradnl"/>
        </w:rPr>
        <w:t xml:space="preserve">ha analizado diferentes aspectos de la Ley 996 de 2005 en los conceptos con número de radicado </w:t>
      </w:r>
      <w:r w:rsidRPr="00574963">
        <w:rPr>
          <w:rFonts w:ascii="Arial" w:eastAsia="Calibri" w:hAnsi="Arial" w:cs="Arial"/>
          <w:bCs/>
        </w:rPr>
        <w:t xml:space="preserve">C-099 del </w:t>
      </w:r>
      <w:r w:rsidRPr="00574963">
        <w:rPr>
          <w:rFonts w:ascii="Arial" w:eastAsia="Calibri" w:hAnsi="Arial" w:cs="Arial"/>
          <w:bCs/>
        </w:rPr>
        <w:lastRenderedPageBreak/>
        <w:t>22 de marzo de 2022, C-102 del 22 de marzo de 2022, C-107 del 18 de marzo de 2022, C-111 del 22 de marzo de 2022. C-115 del 22 de marzo de 2022, C-116 del 18 de marzo de 2022, C-127 del 22 de marzo de 2022 y C-164 del 22 de marzo de 2022</w:t>
      </w:r>
      <w:r w:rsidRPr="00574963">
        <w:rPr>
          <w:rFonts w:ascii="Arial" w:eastAsia="Calibri" w:hAnsi="Arial" w:cs="Arial"/>
          <w:bCs/>
          <w:vertAlign w:val="superscript"/>
        </w:rPr>
        <w:footnoteReference w:id="2"/>
      </w:r>
      <w:r w:rsidRPr="00574963">
        <w:rPr>
          <w:rFonts w:ascii="Arial" w:eastAsia="Calibri" w:hAnsi="Arial" w:cs="Arial"/>
          <w:lang w:val="es-ES_tradnl"/>
        </w:rPr>
        <w:t>.</w:t>
      </w:r>
      <w:r w:rsidRPr="00574963">
        <w:rPr>
          <w:rFonts w:ascii="Arial" w:eastAsia="Arial" w:hAnsi="Arial" w:cs="Arial"/>
          <w:lang w:val="es-MX" w:eastAsia="es-ES_tradnl"/>
        </w:rPr>
        <w:t xml:space="preserve"> </w:t>
      </w:r>
      <w:r w:rsidRPr="00574963">
        <w:rPr>
          <w:rFonts w:ascii="Arial" w:eastAsia="Calibri" w:hAnsi="Arial" w:cs="Arial"/>
          <w:lang w:val="es-ES_tradnl" w:eastAsia="es-ES_tradnl"/>
        </w:rPr>
        <w:t>Algunas de las consideraciones de estos conceptos se reiteran y se complementan en lo pertinente, teniendo en cuenta lo consultado.</w:t>
      </w:r>
    </w:p>
    <w:p w14:paraId="46FE0CE4" w14:textId="77777777" w:rsidR="00325C2F" w:rsidRPr="00574963" w:rsidRDefault="00325C2F" w:rsidP="00325C2F">
      <w:pPr>
        <w:spacing w:after="0" w:line="276" w:lineRule="auto"/>
        <w:ind w:firstLine="709"/>
        <w:jc w:val="both"/>
        <w:rPr>
          <w:rFonts w:ascii="Arial" w:eastAsia="Times New Roman" w:hAnsi="Arial" w:cs="Arial"/>
          <w:b/>
          <w:bCs/>
          <w:iCs/>
          <w:szCs w:val="24"/>
          <w:lang w:val="es-ES_tradnl" w:eastAsia="es-ES_tradnl"/>
        </w:rPr>
      </w:pPr>
    </w:p>
    <w:p w14:paraId="1B416C49" w14:textId="77777777" w:rsidR="00325C2F" w:rsidRPr="00574963" w:rsidRDefault="00325C2F" w:rsidP="00325C2F">
      <w:pPr>
        <w:spacing w:after="0" w:line="276" w:lineRule="auto"/>
        <w:jc w:val="both"/>
        <w:rPr>
          <w:rFonts w:ascii="Arial" w:eastAsia="Times New Roman" w:hAnsi="Arial" w:cs="Arial"/>
          <w:b/>
          <w:bCs/>
          <w:iCs/>
          <w:szCs w:val="24"/>
          <w:lang w:val="es-ES_tradnl" w:eastAsia="es-ES_tradnl"/>
        </w:rPr>
      </w:pPr>
      <w:r w:rsidRPr="00574963">
        <w:rPr>
          <w:rFonts w:ascii="Arial" w:eastAsia="Times New Roman" w:hAnsi="Arial" w:cs="Arial"/>
          <w:b/>
          <w:bCs/>
          <w:iCs/>
          <w:szCs w:val="24"/>
          <w:lang w:val="es-ES_tradnl" w:eastAsia="es-ES_tradnl"/>
        </w:rPr>
        <w:t>2.1. Definición y finalidad de la Ley de Garantías Electorales. Reiteración de línea</w:t>
      </w:r>
    </w:p>
    <w:p w14:paraId="37E3DDC0" w14:textId="77777777" w:rsidR="00325C2F" w:rsidRPr="00574963" w:rsidRDefault="00325C2F" w:rsidP="00325C2F">
      <w:pPr>
        <w:spacing w:after="0" w:line="240" w:lineRule="auto"/>
        <w:ind w:firstLine="709"/>
        <w:jc w:val="both"/>
        <w:rPr>
          <w:rFonts w:ascii="Arial" w:eastAsia="Times New Roman" w:hAnsi="Arial" w:cs="Arial"/>
          <w:iCs/>
          <w:szCs w:val="24"/>
          <w:lang w:val="es-ES_tradnl" w:eastAsia="es-ES_tradnl"/>
        </w:rPr>
      </w:pPr>
    </w:p>
    <w:p w14:paraId="3BBECF30" w14:textId="77777777" w:rsidR="00325C2F" w:rsidRPr="00574963" w:rsidRDefault="00325C2F" w:rsidP="00325C2F">
      <w:pPr>
        <w:spacing w:after="0" w:line="276" w:lineRule="auto"/>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cuento a aspectos políticos, consagra restricciones a ciertos empleados del Estado, incluso en época no electoral</w:t>
      </w:r>
      <w:r w:rsidRPr="00574963">
        <w:rPr>
          <w:rFonts w:ascii="Arial" w:eastAsia="Calibri" w:hAnsi="Arial" w:cs="Arial"/>
          <w:bCs/>
          <w:vertAlign w:val="superscript"/>
          <w:lang w:val="es-MX"/>
        </w:rPr>
        <w:footnoteReference w:id="3"/>
      </w:r>
      <w:r w:rsidRPr="00574963">
        <w:rPr>
          <w:rFonts w:ascii="Arial" w:eastAsia="Calibri" w:hAnsi="Arial" w:cs="Arial"/>
          <w:bCs/>
          <w:lang w:val="es-MX"/>
        </w:rPr>
        <w:t>.</w:t>
      </w:r>
    </w:p>
    <w:p w14:paraId="221F465F"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74963">
        <w:rPr>
          <w:rFonts w:ascii="Arial" w:hAnsi="Arial" w:cs="Arial"/>
          <w:bCs/>
          <w:vertAlign w:val="superscript"/>
          <w:lang w:eastAsia="es-CO"/>
        </w:rPr>
        <w:footnoteReference w:id="4"/>
      </w:r>
      <w:r w:rsidRPr="00574963">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24DB6D80" w14:textId="77777777" w:rsidR="00325C2F" w:rsidRPr="00574963" w:rsidRDefault="00325C2F" w:rsidP="00325C2F">
      <w:pPr>
        <w:spacing w:after="0" w:line="240" w:lineRule="auto"/>
        <w:ind w:left="709" w:right="709"/>
        <w:contextualSpacing/>
        <w:jc w:val="both"/>
        <w:rPr>
          <w:rFonts w:ascii="Arial" w:hAnsi="Arial" w:cs="Arial"/>
          <w:sz w:val="21"/>
          <w:szCs w:val="21"/>
          <w:lang w:val="es-ES" w:eastAsia="es-CO"/>
        </w:rPr>
      </w:pPr>
    </w:p>
    <w:p w14:paraId="110489D1" w14:textId="77777777" w:rsidR="00325C2F" w:rsidRPr="00574963" w:rsidRDefault="00325C2F" w:rsidP="00325C2F">
      <w:pPr>
        <w:spacing w:after="0" w:line="240" w:lineRule="auto"/>
        <w:ind w:left="709" w:right="709"/>
        <w:contextualSpacing/>
        <w:jc w:val="both"/>
        <w:rPr>
          <w:rFonts w:ascii="Arial" w:hAnsi="Arial" w:cs="Arial"/>
          <w:bCs/>
          <w:sz w:val="21"/>
          <w:szCs w:val="21"/>
          <w:lang w:val="es-MX" w:eastAsia="es-CO"/>
        </w:rPr>
      </w:pPr>
      <w:r w:rsidRPr="00574963">
        <w:rPr>
          <w:rFonts w:ascii="Arial" w:hAnsi="Arial" w:cs="Arial"/>
          <w:sz w:val="21"/>
          <w:szCs w:val="21"/>
          <w:lang w:val="es-ES" w:eastAsia="es-CO"/>
        </w:rPr>
        <w:t xml:space="preserve">“[…] </w:t>
      </w:r>
      <w:r w:rsidRPr="00574963">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7627C0E2" w14:textId="77777777" w:rsidR="00325C2F" w:rsidRPr="00574963" w:rsidRDefault="00325C2F" w:rsidP="00325C2F">
      <w:pPr>
        <w:spacing w:before="120" w:after="120" w:line="276" w:lineRule="auto"/>
        <w:ind w:left="709" w:right="709"/>
        <w:jc w:val="both"/>
        <w:rPr>
          <w:rFonts w:ascii="Arial" w:hAnsi="Arial" w:cs="Arial"/>
          <w:bCs/>
          <w:sz w:val="21"/>
          <w:szCs w:val="21"/>
          <w:lang w:val="es-MX" w:eastAsia="es-CO"/>
        </w:rPr>
      </w:pPr>
      <w:r w:rsidRPr="00574963">
        <w:rPr>
          <w:rFonts w:ascii="Arial" w:hAnsi="Arial" w:cs="Arial"/>
          <w:bCs/>
          <w:sz w:val="21"/>
          <w:szCs w:val="21"/>
          <w:lang w:val="es-MX" w:eastAsia="es-CO"/>
        </w:rPr>
        <w:t xml:space="preserve">[…] </w:t>
      </w:r>
    </w:p>
    <w:p w14:paraId="6E1F9383" w14:textId="77777777" w:rsidR="00325C2F" w:rsidRPr="00574963" w:rsidRDefault="00325C2F" w:rsidP="00325C2F">
      <w:pPr>
        <w:spacing w:after="0" w:line="240" w:lineRule="auto"/>
        <w:ind w:left="709" w:right="709"/>
        <w:contextualSpacing/>
        <w:jc w:val="both"/>
        <w:rPr>
          <w:rFonts w:ascii="Arial" w:hAnsi="Arial" w:cs="Arial"/>
          <w:bCs/>
          <w:sz w:val="21"/>
          <w:szCs w:val="21"/>
          <w:lang w:val="es-MX" w:eastAsia="es-CO"/>
        </w:rPr>
      </w:pPr>
      <w:r w:rsidRPr="00574963">
        <w:rPr>
          <w:rFonts w:ascii="Arial"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w:t>
      </w:r>
      <w:r w:rsidRPr="00574963">
        <w:rPr>
          <w:rFonts w:ascii="Arial" w:hAnsi="Arial" w:cs="Arial"/>
          <w:bCs/>
          <w:sz w:val="21"/>
          <w:szCs w:val="21"/>
          <w:lang w:val="es-MX" w:eastAsia="es-CO"/>
        </w:rPr>
        <w:lastRenderedPageBreak/>
        <w:t>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74963">
        <w:rPr>
          <w:rFonts w:ascii="Arial" w:eastAsia="Calibri" w:hAnsi="Arial" w:cs="Arial"/>
          <w:sz w:val="21"/>
          <w:szCs w:val="21"/>
          <w:vertAlign w:val="superscript"/>
          <w:lang w:val="es-MX"/>
        </w:rPr>
        <w:footnoteReference w:id="5"/>
      </w:r>
      <w:r w:rsidRPr="00574963">
        <w:rPr>
          <w:rFonts w:ascii="Arial" w:hAnsi="Arial" w:cs="Arial"/>
          <w:bCs/>
          <w:sz w:val="21"/>
          <w:szCs w:val="21"/>
          <w:lang w:val="es-MX" w:eastAsia="es-CO"/>
        </w:rPr>
        <w:t>”.</w:t>
      </w:r>
    </w:p>
    <w:p w14:paraId="4C6AFAB5" w14:textId="77777777" w:rsidR="00325C2F" w:rsidRPr="00574963" w:rsidRDefault="00325C2F" w:rsidP="00325C2F">
      <w:pPr>
        <w:spacing w:after="0" w:line="276" w:lineRule="auto"/>
        <w:ind w:left="708" w:right="709"/>
        <w:contextualSpacing/>
        <w:jc w:val="both"/>
        <w:rPr>
          <w:rFonts w:ascii="Arial" w:hAnsi="Arial" w:cs="Arial"/>
          <w:bCs/>
          <w:lang w:val="es-MX" w:eastAsia="es-CO"/>
        </w:rPr>
      </w:pPr>
    </w:p>
    <w:p w14:paraId="3F20BDCE" w14:textId="77777777" w:rsidR="00325C2F" w:rsidRPr="00574963" w:rsidRDefault="00325C2F" w:rsidP="00325C2F">
      <w:pPr>
        <w:spacing w:after="0" w:line="276" w:lineRule="auto"/>
        <w:contextualSpacing/>
        <w:jc w:val="both"/>
        <w:rPr>
          <w:rFonts w:ascii="Arial" w:hAnsi="Arial" w:cs="Arial"/>
          <w:bCs/>
          <w:lang w:val="es-MX" w:eastAsia="es-CO"/>
        </w:rPr>
      </w:pPr>
      <w:r w:rsidRPr="00574963">
        <w:rPr>
          <w:rFonts w:ascii="Arial" w:hAnsi="Arial" w:cs="Arial"/>
          <w:bCs/>
          <w:lang w:val="es-MX" w:eastAsia="es-CO"/>
        </w:rPr>
        <w:tab/>
        <w:t xml:space="preserve">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deben interpretarse restrictivamente. En efecto, la Sala de Consulta y Servicio del Consejo de Estado, precisó lo siguiente: </w:t>
      </w:r>
    </w:p>
    <w:p w14:paraId="661E6FAF" w14:textId="77777777" w:rsidR="00325C2F" w:rsidRPr="00574963" w:rsidRDefault="00325C2F" w:rsidP="00325C2F">
      <w:pPr>
        <w:spacing w:after="0" w:line="240" w:lineRule="auto"/>
        <w:ind w:left="709" w:right="709"/>
        <w:contextualSpacing/>
        <w:jc w:val="both"/>
        <w:rPr>
          <w:rFonts w:ascii="Arial" w:hAnsi="Arial" w:cs="Arial"/>
          <w:bCs/>
          <w:sz w:val="21"/>
          <w:szCs w:val="21"/>
          <w:lang w:val="es-MX" w:eastAsia="es-CO"/>
        </w:rPr>
      </w:pPr>
    </w:p>
    <w:p w14:paraId="38AF8356" w14:textId="77777777" w:rsidR="00325C2F" w:rsidRPr="00574963" w:rsidRDefault="00325C2F" w:rsidP="00325C2F">
      <w:pPr>
        <w:spacing w:after="0" w:line="240" w:lineRule="auto"/>
        <w:ind w:left="709" w:right="709"/>
        <w:contextualSpacing/>
        <w:jc w:val="both"/>
        <w:rPr>
          <w:rFonts w:ascii="Arial" w:hAnsi="Arial" w:cs="Arial"/>
          <w:bCs/>
          <w:sz w:val="21"/>
          <w:szCs w:val="21"/>
          <w:lang w:val="es-MX" w:eastAsia="es-CO"/>
        </w:rPr>
      </w:pPr>
      <w:r w:rsidRPr="00574963">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74963">
        <w:rPr>
          <w:rFonts w:ascii="Arial" w:hAnsi="Arial" w:cs="Arial"/>
          <w:bCs/>
          <w:sz w:val="21"/>
          <w:szCs w:val="21"/>
          <w:lang w:val="es-MX" w:eastAsia="es-CO"/>
        </w:rPr>
        <w:t>legis</w:t>
      </w:r>
      <w:proofErr w:type="spellEnd"/>
      <w:r w:rsidRPr="00574963">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04E5043" w14:textId="77777777" w:rsidR="00325C2F" w:rsidRPr="00574963" w:rsidRDefault="00325C2F" w:rsidP="00325C2F">
      <w:pPr>
        <w:spacing w:after="0" w:line="240" w:lineRule="auto"/>
        <w:ind w:left="709" w:right="709"/>
        <w:contextualSpacing/>
        <w:jc w:val="both"/>
        <w:rPr>
          <w:rFonts w:ascii="Arial" w:hAnsi="Arial" w:cs="Arial"/>
          <w:bCs/>
          <w:sz w:val="21"/>
          <w:szCs w:val="21"/>
          <w:lang w:val="es-MX" w:eastAsia="es-CO"/>
        </w:rPr>
      </w:pPr>
    </w:p>
    <w:p w14:paraId="1769E1E6" w14:textId="77777777" w:rsidR="00325C2F" w:rsidRPr="00574963" w:rsidRDefault="00325C2F" w:rsidP="00325C2F">
      <w:pPr>
        <w:spacing w:after="0" w:line="240" w:lineRule="auto"/>
        <w:ind w:left="709" w:right="709"/>
        <w:contextualSpacing/>
        <w:jc w:val="both"/>
        <w:rPr>
          <w:rFonts w:ascii="Arial" w:hAnsi="Arial" w:cs="Arial"/>
          <w:bCs/>
          <w:sz w:val="21"/>
          <w:szCs w:val="21"/>
          <w:lang w:val="es-MX" w:eastAsia="es-CO"/>
        </w:rPr>
      </w:pPr>
      <w:r w:rsidRPr="00574963">
        <w:rPr>
          <w:rFonts w:ascii="Arial" w:hAnsi="Arial" w:cs="Arial"/>
          <w:bCs/>
          <w:sz w:val="21"/>
          <w:szCs w:val="21"/>
          <w:lang w:val="es-MX" w:eastAsia="es-CO"/>
        </w:rPr>
        <w:t>La jurisprudencia de la Corte Constitucional</w:t>
      </w:r>
      <w:r w:rsidRPr="00574963">
        <w:rPr>
          <w:rFonts w:ascii="Arial" w:hAnsi="Arial" w:cs="Arial"/>
          <w:bCs/>
          <w:sz w:val="21"/>
          <w:szCs w:val="21"/>
          <w:vertAlign w:val="superscript"/>
          <w:lang w:val="es-MX" w:eastAsia="es-CO"/>
        </w:rPr>
        <w:footnoteReference w:id="6"/>
      </w:r>
      <w:r w:rsidRPr="00574963">
        <w:rPr>
          <w:rFonts w:ascii="Arial" w:hAnsi="Arial" w:cs="Arial"/>
          <w:bCs/>
          <w:sz w:val="21"/>
          <w:szCs w:val="21"/>
          <w:lang w:val="es-MX" w:eastAsia="es-CO"/>
        </w:rPr>
        <w:t> y del Consejo de Estado</w:t>
      </w:r>
      <w:r w:rsidRPr="00574963">
        <w:rPr>
          <w:rFonts w:ascii="Arial" w:hAnsi="Arial" w:cs="Arial"/>
          <w:bCs/>
          <w:sz w:val="21"/>
          <w:szCs w:val="21"/>
          <w:vertAlign w:val="superscript"/>
          <w:lang w:val="es-MX" w:eastAsia="es-CO"/>
        </w:rPr>
        <w:footnoteReference w:id="7"/>
      </w:r>
      <w:r w:rsidRPr="00574963">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74963">
        <w:rPr>
          <w:rFonts w:ascii="Arial" w:hAnsi="Arial" w:cs="Arial"/>
          <w:bCs/>
          <w:sz w:val="21"/>
          <w:szCs w:val="21"/>
          <w:vertAlign w:val="superscript"/>
          <w:lang w:val="es-MX" w:eastAsia="es-CO"/>
        </w:rPr>
        <w:footnoteReference w:id="8"/>
      </w:r>
      <w:r w:rsidRPr="00574963">
        <w:rPr>
          <w:rFonts w:ascii="Arial" w:hAnsi="Arial" w:cs="Arial"/>
          <w:bCs/>
          <w:sz w:val="21"/>
          <w:szCs w:val="21"/>
          <w:lang w:val="es-MX" w:eastAsia="es-CO"/>
        </w:rPr>
        <w:t>”.</w:t>
      </w:r>
    </w:p>
    <w:p w14:paraId="540BF9F0" w14:textId="77777777" w:rsidR="00325C2F" w:rsidRPr="00574963" w:rsidRDefault="00325C2F" w:rsidP="00325C2F">
      <w:pPr>
        <w:spacing w:after="0" w:line="276" w:lineRule="auto"/>
        <w:ind w:right="709"/>
        <w:contextualSpacing/>
        <w:jc w:val="both"/>
        <w:rPr>
          <w:rFonts w:ascii="Arial" w:hAnsi="Arial" w:cs="Arial"/>
          <w:bCs/>
          <w:color w:val="FF0000"/>
          <w:lang w:val="es-MX" w:eastAsia="es-CO"/>
        </w:rPr>
      </w:pPr>
    </w:p>
    <w:p w14:paraId="6A804DAB" w14:textId="77777777" w:rsidR="00325C2F" w:rsidRPr="00574963" w:rsidRDefault="00325C2F" w:rsidP="00325C2F">
      <w:pPr>
        <w:spacing w:after="0" w:line="276" w:lineRule="auto"/>
        <w:contextualSpacing/>
        <w:jc w:val="both"/>
        <w:rPr>
          <w:rFonts w:ascii="Arial" w:hAnsi="Arial" w:cs="Arial"/>
          <w:bCs/>
          <w:lang w:val="es-MX" w:eastAsia="es-CO"/>
        </w:rPr>
      </w:pPr>
      <w:r w:rsidRPr="00574963">
        <w:rPr>
          <w:rFonts w:ascii="Arial" w:hAnsi="Arial" w:cs="Arial"/>
          <w:bCs/>
          <w:color w:val="FF0000"/>
          <w:lang w:val="es-MX" w:eastAsia="es-CO"/>
        </w:rPr>
        <w:tab/>
      </w:r>
      <w:r w:rsidRPr="00574963">
        <w:rPr>
          <w:rFonts w:ascii="Arial" w:hAnsi="Arial" w:cs="Arial"/>
          <w:bCs/>
          <w:lang w:val="es-MX" w:eastAsia="es-CO"/>
        </w:rPr>
        <w:t xml:space="preserve">De conformidad con lo anterior, 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w:t>
      </w:r>
      <w:r w:rsidRPr="00574963">
        <w:rPr>
          <w:rFonts w:ascii="Arial" w:hAnsi="Arial" w:cs="Arial"/>
          <w:bCs/>
          <w:lang w:val="es-MX" w:eastAsia="es-CO"/>
        </w:rPr>
        <w:lastRenderedPageBreak/>
        <w:t>previos a la contienda electoral, se alteren las condiciones de igualdad entre los candidatos. Específicamente, las restricciones consagradas en la citada ley se dirigen a dos (2) tipo de campañas electorales claramente diferenciadas: las presidenciales y las demás que se adelanten para la elección de los demás cargos de elección popular, tanto a nivel nacional como territorial.</w:t>
      </w:r>
    </w:p>
    <w:p w14:paraId="57307F06"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74963">
        <w:rPr>
          <w:rFonts w:ascii="Arial" w:eastAsia="Calibri" w:hAnsi="Arial" w:cs="Arial"/>
          <w:bCs/>
          <w:vertAlign w:val="superscript"/>
        </w:rPr>
        <w:footnoteReference w:id="9"/>
      </w:r>
      <w:r w:rsidRPr="00574963">
        <w:rPr>
          <w:rFonts w:ascii="Arial" w:eastAsia="Times New Roman" w:hAnsi="Arial" w:cs="Arial"/>
          <w:iCs/>
          <w:szCs w:val="24"/>
          <w:lang w:val="es-ES_tradnl" w:eastAsia="es-ES_tradnl"/>
        </w:rPr>
        <w:t>”</w:t>
      </w:r>
      <w:r w:rsidRPr="00574963">
        <w:rPr>
          <w:rFonts w:ascii="Arial" w:eastAsia="Calibri" w:hAnsi="Arial" w:cs="Arial"/>
        </w:rPr>
        <w:t>.</w:t>
      </w:r>
    </w:p>
    <w:p w14:paraId="7A85E437"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74963">
        <w:rPr>
          <w:rFonts w:ascii="Arial" w:eastAsia="Calibri" w:hAnsi="Arial" w:cs="Arial"/>
          <w:bCs/>
          <w:vertAlign w:val="superscript"/>
        </w:rPr>
        <w:t xml:space="preserve"> </w:t>
      </w:r>
      <w:r w:rsidRPr="00574963">
        <w:rPr>
          <w:rFonts w:ascii="Arial" w:eastAsia="Calibri" w:hAnsi="Arial" w:cs="Arial"/>
          <w:bCs/>
          <w:vertAlign w:val="superscript"/>
        </w:rPr>
        <w:footnoteReference w:id="10"/>
      </w:r>
      <w:r w:rsidRPr="00574963">
        <w:rPr>
          <w:rFonts w:ascii="Arial" w:eastAsia="Calibri" w:hAnsi="Arial" w:cs="Arial"/>
        </w:rPr>
        <w:t>”.</w:t>
      </w:r>
    </w:p>
    <w:p w14:paraId="7D91066A"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La Sala de Consulta y Servicio Civil del Consejo de Estado ha aclarado la distinción en la aplicación de las prohibiciones de la Ley 996 de 2005, dependiendo del tipo de elección que se trate. Sobre el particular, consideró:</w:t>
      </w:r>
    </w:p>
    <w:p w14:paraId="3FB01B33" w14:textId="77777777" w:rsidR="00325C2F" w:rsidRPr="00574963" w:rsidRDefault="00325C2F" w:rsidP="00325C2F">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p>
    <w:p w14:paraId="621055C2" w14:textId="77777777" w:rsidR="00325C2F" w:rsidRPr="00574963" w:rsidRDefault="00325C2F" w:rsidP="00325C2F">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57496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4" w:name="_Hlk76109421"/>
      <w:r w:rsidRPr="00574963">
        <w:rPr>
          <w:rFonts w:ascii="Arial" w:eastAsia="Arial" w:hAnsi="Arial" w:cs="Arial"/>
          <w:sz w:val="21"/>
          <w:szCs w:val="21"/>
          <w:lang w:val="es-ES" w:eastAsia="es-ES" w:bidi="es-ES"/>
        </w:rPr>
        <w:t>se integran parcialmente</w:t>
      </w:r>
      <w:bookmarkEnd w:id="14"/>
      <w:r w:rsidRPr="00574963">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w:t>
      </w:r>
      <w:r w:rsidRPr="00574963">
        <w:rPr>
          <w:rFonts w:ascii="Arial" w:eastAsia="Arial" w:hAnsi="Arial" w:cs="Arial"/>
          <w:sz w:val="21"/>
          <w:szCs w:val="21"/>
          <w:lang w:val="es-ES" w:eastAsia="es-ES" w:bidi="es-ES"/>
        </w:rPr>
        <w:lastRenderedPageBreak/>
        <w:t xml:space="preserve">excepciones, así como las del parágrafo del artículo 38. </w:t>
      </w:r>
      <w:r w:rsidRPr="00574963">
        <w:rPr>
          <w:rFonts w:ascii="Arial" w:eastAsia="Arial" w:hAnsi="Arial" w:cs="Arial"/>
          <w:bCs/>
          <w:i/>
          <w:iCs/>
          <w:sz w:val="21"/>
          <w:szCs w:val="21"/>
          <w:u w:val="single"/>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74963">
        <w:rPr>
          <w:rFonts w:ascii="Arial" w:eastAsia="Arial" w:hAnsi="Arial" w:cs="Arial"/>
          <w:sz w:val="21"/>
          <w:szCs w:val="21"/>
          <w:vertAlign w:val="superscript"/>
          <w:lang w:val="es-ES" w:eastAsia="es-ES" w:bidi="es-ES"/>
        </w:rPr>
        <w:footnoteReference w:id="11"/>
      </w:r>
      <w:r w:rsidRPr="00574963">
        <w:rPr>
          <w:rFonts w:ascii="Arial" w:eastAsia="Arial" w:hAnsi="Arial" w:cs="Arial"/>
          <w:sz w:val="21"/>
          <w:szCs w:val="21"/>
          <w:lang w:val="es-ES" w:eastAsia="es-ES" w:bidi="es-ES"/>
        </w:rPr>
        <w:t>”. [Énfasis fuera de texto]</w:t>
      </w:r>
    </w:p>
    <w:p w14:paraId="27B6D256" w14:textId="77777777" w:rsidR="00325C2F" w:rsidRPr="00574963" w:rsidRDefault="00325C2F" w:rsidP="00325C2F">
      <w:pPr>
        <w:spacing w:after="0" w:line="276" w:lineRule="auto"/>
        <w:ind w:firstLine="709"/>
        <w:jc w:val="both"/>
        <w:rPr>
          <w:rFonts w:ascii="Arial" w:eastAsia="Times New Roman" w:hAnsi="Arial" w:cs="Arial"/>
          <w:i/>
          <w:szCs w:val="24"/>
          <w:lang w:val="es-ES_tradnl" w:eastAsia="es-ES_tradnl"/>
        </w:rPr>
      </w:pPr>
    </w:p>
    <w:p w14:paraId="2BB0056F" w14:textId="77777777" w:rsidR="00325C2F" w:rsidRPr="00574963" w:rsidRDefault="00325C2F" w:rsidP="00325C2F">
      <w:pPr>
        <w:spacing w:after="0" w:line="276" w:lineRule="auto"/>
        <w:ind w:firstLine="709"/>
        <w:jc w:val="both"/>
      </w:pPr>
      <w:r w:rsidRPr="00574963">
        <w:rPr>
          <w:rFonts w:ascii="Arial" w:eastAsia="Times New Roman" w:hAnsi="Arial" w:cs="Arial"/>
          <w:iCs/>
          <w:szCs w:val="24"/>
          <w:lang w:val="es-ES_tradnl" w:eastAsia="es-ES_tradnl"/>
        </w:rPr>
        <w:t xml:space="preserve">De conformidad con lo anterior, la Ley 996 de 2005 establece dos (2) tipos de restricciones en materia de contratación, las cuales coinciden parcialmente. </w:t>
      </w:r>
      <w:r w:rsidRPr="00574963">
        <w:rPr>
          <w:rFonts w:ascii="Arial" w:eastAsia="Times New Roman" w:hAnsi="Arial" w:cs="Arial"/>
          <w:i/>
          <w:szCs w:val="24"/>
          <w:lang w:val="es-ES_tradnl" w:eastAsia="es-ES_tradnl"/>
        </w:rPr>
        <w:t xml:space="preserve">En primer lugar, </w:t>
      </w:r>
      <w:r w:rsidRPr="00574963">
        <w:rPr>
          <w:rFonts w:ascii="Arial" w:eastAsia="Times New Roman" w:hAnsi="Arial" w:cs="Arial"/>
          <w:iCs/>
          <w:szCs w:val="24"/>
          <w:lang w:val="es-ES_tradnl" w:eastAsia="es-ES_tradnl"/>
        </w:rPr>
        <w:t>la del artículo 33, que opera solo respecto de las elecciones presidenciales, en virtud de la cual queda proscrita la contratación directa dentro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a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Y</w:t>
      </w:r>
      <w:r w:rsidRPr="00574963">
        <w:rPr>
          <w:rFonts w:ascii="Arial" w:hAnsi="Arial" w:cs="Arial"/>
          <w:i/>
          <w:iCs/>
        </w:rPr>
        <w:t xml:space="preserve"> en segundo lugar, </w:t>
      </w:r>
      <w:r w:rsidRPr="00574963">
        <w:rPr>
          <w:rFonts w:ascii="Arial" w:hAnsi="Arial" w:cs="Arial"/>
        </w:rPr>
        <w:t>también se encuentra la prohibición de contienda electoral, y que prohíbe la celebración de convenios interadministrativos que impliquen la ejecución de recursos públicos dentro de los cuatro (4) meses anteriores a la respectiva jornada de votaciones.</w:t>
      </w:r>
    </w:p>
    <w:p w14:paraId="1ACD4526" w14:textId="77777777" w:rsidR="00325C2F" w:rsidRPr="00574963" w:rsidRDefault="00325C2F" w:rsidP="00325C2F">
      <w:pPr>
        <w:spacing w:before="120" w:after="0" w:line="276" w:lineRule="auto"/>
        <w:ind w:firstLine="709"/>
        <w:jc w:val="both"/>
        <w:rPr>
          <w:rFonts w:ascii="Arial" w:eastAsia="Times New Roman" w:hAnsi="Arial" w:cs="Arial"/>
          <w:i/>
          <w:szCs w:val="24"/>
          <w:lang w:val="es-ES_tradnl" w:eastAsia="es-ES_tradnl"/>
        </w:rPr>
      </w:pPr>
      <w:r w:rsidRPr="00574963">
        <w:rPr>
          <w:rFonts w:ascii="Arial" w:eastAsia="Times New Roman" w:hAnsi="Arial" w:cs="Arial"/>
          <w:iCs/>
          <w:szCs w:val="24"/>
          <w:lang w:val="es-ES_tradnl" w:eastAsia="es-ES_tradnl"/>
        </w:rPr>
        <w:t xml:space="preserve">Ambas restricciones no son excluyentes, lo que permite concluir que en el período preelectoral para elección del Presidente de la República, a todos los entes del Estado, incluidos los territoriales, aplican las restricciones del artículo 33 de la Ley 996 de 2005 con sus excepciones, así como las del parágrafo del artículo 38 </w:t>
      </w:r>
      <w:r w:rsidRPr="00574963">
        <w:rPr>
          <w:rFonts w:ascii="Arial" w:eastAsia="Times New Roman" w:hAnsi="Arial" w:cs="Arial"/>
          <w:i/>
          <w:szCs w:val="24"/>
          <w:lang w:val="es-ES_tradnl" w:eastAsia="es-ES_tradnl"/>
        </w:rPr>
        <w:t>ibidem</w:t>
      </w:r>
      <w:r w:rsidRPr="00574963">
        <w:rPr>
          <w:rFonts w:ascii="Arial" w:eastAsia="Times New Roman" w:hAnsi="Arial" w:cs="Arial"/>
          <w:iCs/>
          <w:szCs w:val="24"/>
          <w:lang w:val="es-ES_tradnl" w:eastAsia="es-ES_tradnl"/>
        </w:rPr>
        <w:t xml:space="preserve">. En cambio, tratándose de elecciones en general, excluyendo las correspondientes al Presidente de la República, las autoridades allí mencionadas sólo deben aplicar las restricciones contenidas en el parágrafo del artículo 38 </w:t>
      </w:r>
      <w:r w:rsidRPr="00574963">
        <w:rPr>
          <w:rFonts w:ascii="Arial" w:eastAsia="Times New Roman" w:hAnsi="Arial" w:cs="Arial"/>
          <w:i/>
          <w:szCs w:val="24"/>
          <w:lang w:val="es-ES_tradnl" w:eastAsia="es-ES_tradnl"/>
        </w:rPr>
        <w:t>ibidem</w:t>
      </w:r>
      <w:r w:rsidRPr="00574963">
        <w:rPr>
          <w:rFonts w:ascii="Arial" w:eastAsia="Times New Roman" w:hAnsi="Arial" w:cs="Arial"/>
          <w:iCs/>
          <w:szCs w:val="24"/>
          <w:lang w:val="es-ES_tradnl" w:eastAsia="es-ES_tradnl"/>
        </w:rPr>
        <w:t>. Restricción en la que enfatizaremos, según el objeto bajo consulta.</w:t>
      </w:r>
    </w:p>
    <w:p w14:paraId="4FE283C4" w14:textId="77777777" w:rsidR="00325C2F" w:rsidRPr="00574963" w:rsidRDefault="00325C2F" w:rsidP="00325C2F">
      <w:pPr>
        <w:spacing w:after="0" w:line="276" w:lineRule="auto"/>
        <w:jc w:val="both"/>
        <w:rPr>
          <w:rFonts w:ascii="Arial" w:eastAsia="Times New Roman" w:hAnsi="Arial" w:cs="Arial"/>
          <w:iCs/>
          <w:szCs w:val="24"/>
          <w:lang w:val="es-ES_tradnl" w:eastAsia="es-ES_tradnl"/>
        </w:rPr>
      </w:pPr>
    </w:p>
    <w:p w14:paraId="3FE5E28D" w14:textId="77777777" w:rsidR="00325C2F" w:rsidRPr="00574963" w:rsidRDefault="00325C2F" w:rsidP="00325C2F">
      <w:pPr>
        <w:spacing w:line="276" w:lineRule="auto"/>
        <w:contextualSpacing/>
        <w:jc w:val="both"/>
        <w:rPr>
          <w:rFonts w:ascii="Arial" w:hAnsi="Arial" w:cs="Arial"/>
          <w:b/>
          <w:lang w:val="es-ES" w:eastAsia="es-CO"/>
        </w:rPr>
      </w:pPr>
      <w:r w:rsidRPr="00574963">
        <w:rPr>
          <w:rFonts w:ascii="Arial" w:eastAsia="Times New Roman" w:hAnsi="Arial" w:cs="Arial"/>
          <w:b/>
          <w:bCs/>
          <w:iCs/>
          <w:szCs w:val="24"/>
          <w:lang w:val="es-ES_tradnl" w:eastAsia="es-ES_tradnl"/>
        </w:rPr>
        <w:t xml:space="preserve">2.2. </w:t>
      </w:r>
      <w:r w:rsidRPr="00574963">
        <w:rPr>
          <w:rFonts w:ascii="Arial" w:hAnsi="Arial" w:cs="Arial"/>
          <w:b/>
          <w:bCs/>
          <w:lang w:val="es-MX" w:eastAsia="es-CO"/>
        </w:rPr>
        <w:t>Restricciones en elecciones presidenciales: prohibición del artículo 33 de la Ley 996 de 2005. Reiteración de línea</w:t>
      </w:r>
    </w:p>
    <w:p w14:paraId="713107B9" w14:textId="77777777" w:rsidR="00325C2F" w:rsidRPr="00574963" w:rsidRDefault="00325C2F" w:rsidP="00325C2F">
      <w:pPr>
        <w:spacing w:after="0" w:line="276" w:lineRule="auto"/>
        <w:contextualSpacing/>
        <w:jc w:val="both"/>
        <w:rPr>
          <w:rFonts w:ascii="Arial" w:hAnsi="Arial" w:cs="Arial"/>
          <w:bCs/>
          <w:lang w:val="es-MX" w:eastAsia="x-none"/>
        </w:rPr>
      </w:pPr>
    </w:p>
    <w:p w14:paraId="01022F82" w14:textId="77777777" w:rsidR="00325C2F" w:rsidRPr="00574963" w:rsidRDefault="00325C2F" w:rsidP="00325C2F">
      <w:pPr>
        <w:spacing w:after="0" w:line="276" w:lineRule="auto"/>
        <w:contextualSpacing/>
        <w:jc w:val="both"/>
        <w:rPr>
          <w:rFonts w:ascii="Arial" w:hAnsi="Arial" w:cs="Arial"/>
          <w:bCs/>
          <w:lang w:val="es-MX" w:eastAsia="es-CO"/>
        </w:rPr>
      </w:pPr>
      <w:r w:rsidRPr="00574963">
        <w:rPr>
          <w:rFonts w:ascii="Arial" w:hAnsi="Arial" w:cs="Arial"/>
          <w:bCs/>
          <w:lang w:val="es-MX" w:eastAsia="x-none"/>
        </w:rPr>
        <w:t xml:space="preserve">El ámbito material de la prohibición contenida </w:t>
      </w:r>
      <w:bookmarkStart w:id="15" w:name="_Hlk75628761"/>
      <w:r w:rsidRPr="00574963">
        <w:rPr>
          <w:rFonts w:ascii="Arial" w:hAnsi="Arial" w:cs="Arial"/>
          <w:bCs/>
          <w:lang w:val="es-MX" w:eastAsia="x-none"/>
        </w:rPr>
        <w:t xml:space="preserve">en el artículo 33 de la Ley 996 de 2005 </w:t>
      </w:r>
      <w:bookmarkEnd w:id="15"/>
      <w:r w:rsidRPr="00574963">
        <w:rPr>
          <w:rFonts w:ascii="Arial" w:hAnsi="Arial" w:cs="Arial"/>
          <w:bCs/>
          <w:lang w:val="es-MX" w:eastAsia="x-none"/>
        </w:rPr>
        <w:t xml:space="preserve">está delimitado por la expresión </w:t>
      </w:r>
      <w:r w:rsidRPr="00574963">
        <w:rPr>
          <w:rFonts w:ascii="Arial" w:eastAsia="Calibri" w:hAnsi="Arial" w:cs="Arial"/>
          <w:bCs/>
          <w:lang w:val="es-MX"/>
        </w:rPr>
        <w:t>“</w:t>
      </w:r>
      <w:r w:rsidRPr="00574963">
        <w:rPr>
          <w:rFonts w:ascii="Arial" w:hAnsi="Arial" w:cs="Arial"/>
          <w:bCs/>
          <w:lang w:val="es-MX" w:eastAsia="x-none"/>
        </w:rPr>
        <w:t>queda prohibida la contratación directa</w:t>
      </w:r>
      <w:r w:rsidRPr="00574963">
        <w:rPr>
          <w:rFonts w:ascii="Arial" w:eastAsia="Calibri" w:hAnsi="Arial" w:cs="Arial"/>
          <w:lang w:val="es-MX"/>
        </w:rPr>
        <w:t>”</w:t>
      </w:r>
      <w:r w:rsidRPr="00574963">
        <w:rPr>
          <w:rFonts w:ascii="Arial" w:hAnsi="Arial" w:cs="Arial"/>
          <w:bCs/>
          <w:lang w:val="es-MX" w:eastAsia="x-none"/>
        </w:rPr>
        <w:t>.</w:t>
      </w:r>
      <w:r w:rsidRPr="00574963">
        <w:rPr>
          <w:rFonts w:ascii="Arial" w:hAnsi="Arial" w:cs="Arial"/>
          <w:lang w:val="es-MX" w:eastAsia="es-CO"/>
        </w:rPr>
        <w:t xml:space="preserve"> A propósito de esta restricción de la Ley de Garantías Electorales, la Sala de Consulta y Servicio Civil del Consejo de Estado ha considerado que:</w:t>
      </w:r>
    </w:p>
    <w:p w14:paraId="4BE545E6" w14:textId="77777777" w:rsidR="00325C2F" w:rsidRPr="00574963" w:rsidRDefault="00325C2F" w:rsidP="00325C2F">
      <w:pPr>
        <w:spacing w:after="0" w:line="276" w:lineRule="auto"/>
        <w:ind w:left="708" w:right="709"/>
        <w:contextualSpacing/>
        <w:jc w:val="both"/>
        <w:rPr>
          <w:rFonts w:ascii="Arial" w:eastAsia="Calibri" w:hAnsi="Arial" w:cs="Arial"/>
          <w:lang w:val="es-MX"/>
        </w:rPr>
      </w:pPr>
    </w:p>
    <w:p w14:paraId="35B760D3" w14:textId="77777777" w:rsidR="00325C2F" w:rsidRPr="00574963" w:rsidRDefault="00325C2F" w:rsidP="00325C2F">
      <w:pPr>
        <w:spacing w:after="0" w:line="240" w:lineRule="auto"/>
        <w:ind w:left="709" w:right="709"/>
        <w:contextualSpacing/>
        <w:jc w:val="both"/>
        <w:rPr>
          <w:rFonts w:ascii="Arial" w:eastAsia="Calibri" w:hAnsi="Arial" w:cs="Arial"/>
          <w:sz w:val="21"/>
          <w:szCs w:val="21"/>
          <w:lang w:val="es-MX"/>
        </w:rPr>
      </w:pPr>
      <w:r w:rsidRPr="00574963">
        <w:rPr>
          <w:rFonts w:ascii="Arial" w:eastAsia="Calibri" w:hAnsi="Arial" w:cs="Arial"/>
          <w:sz w:val="21"/>
          <w:szCs w:val="21"/>
          <w:lang w:val="es-MX"/>
        </w:rPr>
        <w:t xml:space="preserve">“La contratación directa es un mecanismo de selección de carácter excepcional, en virtud del cual las entidades públicas pueden contratar mediante un trámite simplificado, ágil y expedito sin necesidad de realizar previamente un proceso de </w:t>
      </w:r>
      <w:r w:rsidRPr="00574963">
        <w:rPr>
          <w:rFonts w:ascii="Arial" w:eastAsia="Calibri" w:hAnsi="Arial" w:cs="Arial"/>
          <w:sz w:val="21"/>
          <w:szCs w:val="21"/>
          <w:lang w:val="es-MX"/>
        </w:rPr>
        <w:lastRenderedPageBreak/>
        <w:t>licitación pública o concurso, únicamente en los casos en que expresa y taxativamente señale la ley (numeral 4, artículo 2, ley 1150 de 2007), y cumpliendo siempre los principios que rigen la contratación pública</w:t>
      </w:r>
      <w:r w:rsidRPr="00574963">
        <w:rPr>
          <w:rFonts w:ascii="Arial" w:hAnsi="Arial" w:cs="Arial"/>
          <w:sz w:val="21"/>
          <w:szCs w:val="21"/>
          <w:vertAlign w:val="superscript"/>
          <w:lang w:val="es-MX" w:eastAsia="es-CO"/>
        </w:rPr>
        <w:footnoteReference w:id="12"/>
      </w:r>
      <w:r w:rsidRPr="00574963">
        <w:rPr>
          <w:rFonts w:ascii="Arial" w:eastAsia="Calibri" w:hAnsi="Arial" w:cs="Arial"/>
          <w:sz w:val="21"/>
          <w:szCs w:val="21"/>
          <w:lang w:val="es-MX"/>
        </w:rPr>
        <w:t>.</w:t>
      </w:r>
    </w:p>
    <w:p w14:paraId="570A3C8B" w14:textId="77777777" w:rsidR="00325C2F" w:rsidRPr="00574963" w:rsidRDefault="00325C2F" w:rsidP="00325C2F">
      <w:pPr>
        <w:spacing w:after="0" w:line="240" w:lineRule="auto"/>
        <w:ind w:left="709" w:right="709"/>
        <w:contextualSpacing/>
        <w:jc w:val="both"/>
        <w:rPr>
          <w:rFonts w:ascii="Arial" w:eastAsia="Calibri" w:hAnsi="Arial" w:cs="Arial"/>
          <w:sz w:val="21"/>
          <w:szCs w:val="21"/>
          <w:lang w:val="es-MX"/>
        </w:rPr>
      </w:pPr>
    </w:p>
    <w:p w14:paraId="3EC17BAF" w14:textId="77777777" w:rsidR="00325C2F" w:rsidRPr="00574963" w:rsidRDefault="00325C2F" w:rsidP="00325C2F">
      <w:pPr>
        <w:spacing w:after="0" w:line="240" w:lineRule="auto"/>
        <w:ind w:left="709" w:right="709"/>
        <w:contextualSpacing/>
        <w:jc w:val="both"/>
        <w:rPr>
          <w:rFonts w:ascii="Arial" w:eastAsia="Calibri" w:hAnsi="Arial" w:cs="Arial"/>
          <w:sz w:val="21"/>
          <w:szCs w:val="21"/>
          <w:lang w:val="es-MX"/>
        </w:rPr>
      </w:pPr>
      <w:r w:rsidRPr="00574963">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16" w:name="_Hlk75741738"/>
      <w:r w:rsidRPr="00574963">
        <w:rPr>
          <w:rFonts w:ascii="Arial" w:eastAsia="Calibri" w:hAnsi="Arial" w:cs="Arial"/>
          <w:sz w:val="21"/>
          <w:szCs w:val="21"/>
          <w:lang w:val="es-MX"/>
        </w:rPr>
        <w:t xml:space="preserve">de cualquier sistema que no implique convocatoria pública y posibilidad de pluralidad de oferentes, </w:t>
      </w:r>
      <w:bookmarkEnd w:id="16"/>
      <w:r w:rsidRPr="00574963">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574963">
        <w:rPr>
          <w:rFonts w:ascii="Arial" w:hAnsi="Arial" w:cs="Arial"/>
          <w:sz w:val="21"/>
          <w:szCs w:val="21"/>
          <w:vertAlign w:val="superscript"/>
          <w:lang w:val="es-MX"/>
        </w:rPr>
        <w:footnoteReference w:id="13"/>
      </w:r>
      <w:r w:rsidRPr="00574963">
        <w:rPr>
          <w:rFonts w:ascii="Arial" w:hAnsi="Arial" w:cs="Arial"/>
          <w:sz w:val="21"/>
          <w:szCs w:val="21"/>
          <w:vertAlign w:val="superscript"/>
          <w:lang w:val="es-MX"/>
        </w:rPr>
        <w:t>.</w:t>
      </w:r>
      <w:r w:rsidRPr="00574963">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74963">
        <w:rPr>
          <w:rFonts w:ascii="Arial" w:hAnsi="Arial" w:cs="Arial"/>
          <w:sz w:val="21"/>
          <w:szCs w:val="21"/>
          <w:vertAlign w:val="superscript"/>
          <w:lang w:val="es-MX" w:eastAsia="es-CO"/>
        </w:rPr>
        <w:footnoteReference w:id="14"/>
      </w:r>
      <w:r w:rsidRPr="00574963">
        <w:rPr>
          <w:rFonts w:ascii="Arial" w:eastAsia="Calibri" w:hAnsi="Arial" w:cs="Arial"/>
          <w:sz w:val="21"/>
          <w:szCs w:val="21"/>
          <w:lang w:val="es-MX"/>
        </w:rPr>
        <w:t>”.</w:t>
      </w:r>
    </w:p>
    <w:p w14:paraId="1FB2C497" w14:textId="77777777" w:rsidR="00325C2F" w:rsidRPr="00574963" w:rsidRDefault="00325C2F" w:rsidP="00325C2F">
      <w:pPr>
        <w:shd w:val="clear" w:color="auto" w:fill="FFFFFF"/>
        <w:spacing w:after="0" w:line="276" w:lineRule="auto"/>
        <w:ind w:firstLine="709"/>
        <w:contextualSpacing/>
        <w:jc w:val="both"/>
        <w:rPr>
          <w:rFonts w:ascii="Arial" w:hAnsi="Arial" w:cs="Arial"/>
          <w:lang w:val="es-MX" w:eastAsia="x-none"/>
        </w:rPr>
      </w:pPr>
    </w:p>
    <w:p w14:paraId="282C8A6E" w14:textId="77777777" w:rsidR="00325C2F" w:rsidRPr="00574963" w:rsidRDefault="00325C2F" w:rsidP="00325C2F">
      <w:pPr>
        <w:spacing w:after="120" w:line="276" w:lineRule="auto"/>
        <w:ind w:firstLine="709"/>
        <w:jc w:val="both"/>
        <w:rPr>
          <w:rFonts w:ascii="Arial" w:hAnsi="Arial" w:cs="Arial"/>
          <w:bCs/>
          <w:lang w:val="es-MX" w:eastAsia="x-none"/>
        </w:rPr>
      </w:pPr>
      <w:bookmarkStart w:id="18" w:name="_Hlk94521748"/>
      <w:r w:rsidRPr="00574963">
        <w:rPr>
          <w:rFonts w:ascii="Arial" w:hAnsi="Arial" w:cs="Arial"/>
          <w:lang w:val="es-MX" w:eastAsia="x-none"/>
        </w:rPr>
        <w:t xml:space="preserve">De conformidad con el citado concepto, </w:t>
      </w:r>
      <w:bookmarkStart w:id="19" w:name="_Hlk78818702"/>
      <w:r w:rsidRPr="00574963">
        <w:rPr>
          <w:rFonts w:ascii="Arial" w:hAnsi="Arial" w:cs="Arial"/>
          <w:lang w:val="es-MX" w:eastAsia="x-none"/>
        </w:rPr>
        <w:t xml:space="preserve">la prohibición del artículo 33 de la Ley de Garantías Electorales se refiere a </w:t>
      </w:r>
      <w:r w:rsidRPr="00574963">
        <w:rPr>
          <w:rFonts w:ascii="Arial" w:hAnsi="Arial" w:cs="Arial"/>
          <w:lang w:val="es-MX"/>
        </w:rPr>
        <w:t>“</w:t>
      </w:r>
      <w:r w:rsidRPr="00574963">
        <w:rPr>
          <w:rFonts w:ascii="Arial" w:hAnsi="Arial" w:cs="Arial"/>
          <w:lang w:val="es-MX" w:eastAsia="x-none"/>
        </w:rPr>
        <w:t>cualquier sistema que no implique convocatoria pública y posibilidad de pluralidad de oferentes</w:t>
      </w:r>
      <w:r w:rsidRPr="00574963">
        <w:rPr>
          <w:rFonts w:ascii="Arial" w:hAnsi="Arial" w:cs="Arial"/>
          <w:lang w:val="es-MX"/>
        </w:rPr>
        <w:t>”</w:t>
      </w:r>
      <w:r w:rsidRPr="00574963">
        <w:rPr>
          <w:rFonts w:ascii="Arial" w:hAnsi="Arial" w:cs="Arial"/>
          <w:lang w:val="es-MX"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w:t>
      </w:r>
      <w:bookmarkEnd w:id="18"/>
      <w:bookmarkEnd w:id="19"/>
      <w:r w:rsidRPr="00574963">
        <w:rPr>
          <w:rFonts w:ascii="Arial" w:hAnsi="Arial" w:cs="Arial"/>
          <w:lang w:val="es-MX" w:eastAsia="x-none"/>
        </w:rPr>
        <w:t>Esta posición es congruente con la expedición de la Ley 1150 de 2007 que, entre otras reformas, introdujo la selección abreviada, rediseñó el concurso de méritos</w:t>
      </w:r>
      <w:r w:rsidRPr="00574963">
        <w:rPr>
          <w:rFonts w:ascii="Arial" w:hAnsi="Arial" w:cs="Arial"/>
          <w:vertAlign w:val="superscript"/>
          <w:lang w:val="en-GB" w:eastAsia="x-none"/>
        </w:rPr>
        <w:footnoteReference w:id="15"/>
      </w:r>
      <w:r w:rsidRPr="00574963">
        <w:rPr>
          <w:rFonts w:ascii="Arial" w:hAnsi="Arial" w:cs="Arial"/>
          <w:lang w:val="es-MX" w:eastAsia="x-none"/>
        </w:rPr>
        <w:t xml:space="preserve"> y sistematizó las causales de contratación directa</w:t>
      </w:r>
      <w:r w:rsidRPr="00574963">
        <w:rPr>
          <w:rFonts w:ascii="Arial" w:hAnsi="Arial" w:cs="Arial"/>
          <w:vertAlign w:val="superscript"/>
          <w:lang w:val="en-GB" w:eastAsia="x-none"/>
        </w:rPr>
        <w:footnoteReference w:id="16"/>
      </w:r>
      <w:r w:rsidRPr="00574963">
        <w:rPr>
          <w:rFonts w:ascii="Arial" w:hAnsi="Arial" w:cs="Arial"/>
          <w:lang w:val="es-MX" w:eastAsia="x-none"/>
        </w:rPr>
        <w:t xml:space="preserve">, además lo es con la posterior creación de la modalidad de mínima cuantía establecida actualmente en el numeral 5, del artículo 2, de la Ley 1150 de 2007, de acuerdo con las modificaciones realizadas por las leyes posteriores. </w:t>
      </w:r>
    </w:p>
    <w:p w14:paraId="4FC772EE" w14:textId="77777777" w:rsidR="00325C2F" w:rsidRPr="00574963" w:rsidRDefault="00325C2F" w:rsidP="00325C2F">
      <w:pPr>
        <w:spacing w:after="120" w:line="276" w:lineRule="auto"/>
        <w:ind w:firstLine="709"/>
        <w:jc w:val="both"/>
        <w:rPr>
          <w:rFonts w:ascii="Arial" w:hAnsi="Arial" w:cs="Arial"/>
          <w:lang w:val="es-MX" w:eastAsia="x-none"/>
        </w:rPr>
      </w:pPr>
      <w:r w:rsidRPr="00574963">
        <w:rPr>
          <w:rFonts w:ascii="Arial" w:hAnsi="Arial" w:cs="Arial"/>
          <w:lang w:val="es-MX" w:eastAsia="x-none"/>
        </w:rPr>
        <w:t xml:space="preserve">De esta forma, con fundamento en la evolución de la normativa sobre la contratación pública, se ha depurado la noción de </w:t>
      </w:r>
      <w:r w:rsidRPr="00574963">
        <w:rPr>
          <w:rFonts w:ascii="Arial" w:hAnsi="Arial" w:cs="Arial"/>
          <w:lang w:val="es-MX"/>
        </w:rPr>
        <w:t>“</w:t>
      </w:r>
      <w:r w:rsidRPr="00574963">
        <w:rPr>
          <w:rFonts w:ascii="Arial" w:hAnsi="Arial" w:cs="Arial"/>
          <w:lang w:val="es-MX" w:eastAsia="x-none"/>
        </w:rPr>
        <w:t>contratación directa</w:t>
      </w:r>
      <w:r w:rsidRPr="00574963">
        <w:rPr>
          <w:rFonts w:ascii="Arial" w:hAnsi="Arial" w:cs="Arial"/>
          <w:lang w:val="es-MX"/>
        </w:rPr>
        <w:t>”</w:t>
      </w:r>
      <w:r w:rsidRPr="00574963">
        <w:rPr>
          <w:rFonts w:ascii="Arial" w:hAnsi="Arial" w:cs="Arial"/>
          <w:lang w:val="es-MX"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w:t>
      </w:r>
      <w:r w:rsidRPr="00574963">
        <w:rPr>
          <w:rFonts w:ascii="Arial" w:hAnsi="Arial" w:cs="Arial"/>
          <w:lang w:val="es-MX" w:eastAsia="x-none"/>
        </w:rPr>
        <w:lastRenderedPageBreak/>
        <w:t>derecho privado</w:t>
      </w:r>
      <w:r w:rsidRPr="00574963">
        <w:rPr>
          <w:rFonts w:ascii="Arial" w:hAnsi="Arial" w:cs="Arial"/>
          <w:vertAlign w:val="superscript"/>
          <w:lang w:val="en-GB" w:eastAsia="x-none"/>
        </w:rPr>
        <w:footnoteReference w:id="17"/>
      </w:r>
      <w:r w:rsidRPr="00574963">
        <w:rPr>
          <w:rFonts w:ascii="Arial" w:hAnsi="Arial" w:cs="Arial"/>
          <w:lang w:val="es-MX" w:eastAsia="x-none"/>
        </w:rPr>
        <w:t>, han establecido sistemas de contratación que implican convocatoria pública y participación de varios oferentes”.</w:t>
      </w:r>
    </w:p>
    <w:p w14:paraId="3190ED8D" w14:textId="77777777" w:rsidR="00325C2F" w:rsidRPr="00574963" w:rsidRDefault="00325C2F" w:rsidP="00325C2F">
      <w:pPr>
        <w:spacing w:after="120" w:line="276" w:lineRule="auto"/>
        <w:ind w:firstLine="709"/>
        <w:jc w:val="both"/>
        <w:rPr>
          <w:rFonts w:ascii="Arial" w:hAnsi="Arial" w:cs="Arial"/>
          <w:bCs/>
          <w:lang w:val="es-MX" w:eastAsia="es-CO"/>
        </w:rPr>
      </w:pPr>
      <w:r w:rsidRPr="00574963">
        <w:rPr>
          <w:rFonts w:ascii="Arial" w:hAnsi="Arial" w:cs="Arial"/>
          <w:bCs/>
          <w:lang w:val="es-MX" w:eastAsia="x-none"/>
        </w:rPr>
        <w:t>E</w:t>
      </w:r>
      <w:r w:rsidRPr="00574963">
        <w:rPr>
          <w:rFonts w:ascii="Arial" w:hAnsi="Arial" w:cs="Arial"/>
          <w:lang w:val="es-MX" w:eastAsia="x-none"/>
        </w:rPr>
        <w:t xml:space="preserve">n efecto, vale la pena mencionar que, </w:t>
      </w:r>
      <w:bookmarkStart w:id="20" w:name="_Hlk75636073"/>
      <w:r w:rsidRPr="00574963">
        <w:rPr>
          <w:rFonts w:ascii="Arial" w:hAnsi="Arial" w:cs="Arial"/>
          <w:lang w:val="es-MX"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0"/>
      <w:r w:rsidRPr="00574963">
        <w:rPr>
          <w:rFonts w:ascii="Arial" w:hAnsi="Arial" w:cs="Arial"/>
          <w:vertAlign w:val="superscript"/>
          <w:lang w:val="es-MX" w:eastAsia="x-none"/>
        </w:rPr>
        <w:footnoteReference w:id="18"/>
      </w:r>
      <w:r w:rsidRPr="00574963">
        <w:rPr>
          <w:rFonts w:ascii="Arial" w:hAnsi="Arial" w:cs="Arial"/>
          <w:lang w:val="es-MX" w:eastAsia="x-none"/>
        </w:rPr>
        <w:t xml:space="preserve">. </w:t>
      </w:r>
    </w:p>
    <w:p w14:paraId="1FF612F1" w14:textId="77777777" w:rsidR="00325C2F" w:rsidRPr="00574963" w:rsidRDefault="00325C2F" w:rsidP="00325C2F">
      <w:pPr>
        <w:spacing w:after="120" w:line="276" w:lineRule="auto"/>
        <w:ind w:firstLine="709"/>
        <w:jc w:val="both"/>
        <w:rPr>
          <w:rFonts w:ascii="Arial" w:hAnsi="Arial" w:cs="Arial"/>
          <w:bCs/>
          <w:lang w:val="es-MX" w:eastAsia="es-CO"/>
        </w:rPr>
      </w:pPr>
      <w:r w:rsidRPr="00574963">
        <w:rPr>
          <w:rFonts w:ascii="Arial" w:hAnsi="Arial" w:cs="Arial"/>
          <w:bCs/>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3E415D6D" w14:textId="77777777" w:rsidR="00325C2F" w:rsidRPr="00574963" w:rsidRDefault="00325C2F" w:rsidP="00325C2F">
      <w:pPr>
        <w:spacing w:after="120" w:line="276" w:lineRule="auto"/>
        <w:ind w:firstLine="709"/>
        <w:jc w:val="both"/>
        <w:rPr>
          <w:rFonts w:ascii="Arial" w:hAnsi="Arial" w:cs="Arial"/>
          <w:bCs/>
          <w:lang w:val="es-MX" w:eastAsia="x-none"/>
        </w:rPr>
      </w:pPr>
      <w:bookmarkStart w:id="21" w:name="_Hlk78818796"/>
      <w:r w:rsidRPr="00574963">
        <w:rPr>
          <w:rFonts w:ascii="Arial" w:hAnsi="Arial" w:cs="Arial"/>
          <w:bCs/>
          <w:lang w:val="es-MX" w:eastAsia="x-none"/>
        </w:rPr>
        <w:t xml:space="preserve">Así las cosas, </w:t>
      </w:r>
      <w:bookmarkStart w:id="22" w:name="_Hlk99577798"/>
      <w:r w:rsidRPr="00574963">
        <w:rPr>
          <w:rFonts w:ascii="Arial" w:hAnsi="Arial" w:cs="Arial"/>
          <w:bCs/>
          <w:lang w:val="es-MX" w:eastAsia="x-none"/>
        </w:rPr>
        <w:t>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574963">
        <w:rPr>
          <w:rFonts w:ascii="Arial" w:hAnsi="Arial" w:cs="Arial"/>
          <w:vertAlign w:val="superscript"/>
          <w:lang w:val="es-MX" w:eastAsia="x-none"/>
        </w:rPr>
        <w:footnoteReference w:id="19"/>
      </w:r>
      <w:r w:rsidRPr="00574963">
        <w:rPr>
          <w:rFonts w:ascii="Arial" w:hAnsi="Arial" w:cs="Arial"/>
          <w:bCs/>
          <w:lang w:val="es-MX" w:eastAsia="x-none"/>
        </w:rPr>
        <w:t>.</w:t>
      </w:r>
      <w:r w:rsidRPr="00574963">
        <w:rPr>
          <w:rFonts w:ascii="Arial" w:hAnsi="Arial" w:cs="Arial"/>
          <w:vertAlign w:val="superscript"/>
          <w:lang w:val="es-MX" w:eastAsia="x-none"/>
        </w:rPr>
        <w:t xml:space="preserve"> </w:t>
      </w:r>
    </w:p>
    <w:bookmarkEnd w:id="21"/>
    <w:p w14:paraId="6CA9E913" w14:textId="77777777" w:rsidR="00325C2F" w:rsidRPr="00574963" w:rsidRDefault="00325C2F" w:rsidP="00325C2F">
      <w:pPr>
        <w:spacing w:after="0" w:line="276" w:lineRule="auto"/>
        <w:ind w:firstLine="709"/>
        <w:jc w:val="both"/>
        <w:rPr>
          <w:rFonts w:ascii="Arial" w:hAnsi="Arial" w:cs="Arial"/>
          <w:lang w:val="es-MX" w:eastAsia="x-none"/>
        </w:rPr>
      </w:pPr>
      <w:r w:rsidRPr="00574963">
        <w:rPr>
          <w:rFonts w:ascii="Arial"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574963">
        <w:rPr>
          <w:rFonts w:ascii="Arial" w:hAnsi="Arial" w:cs="Arial"/>
          <w:lang w:val="es-MX"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bookmarkEnd w:id="22"/>
    <w:p w14:paraId="4D5F6CDF" w14:textId="77777777" w:rsidR="00325C2F" w:rsidRPr="00574963" w:rsidRDefault="00325C2F" w:rsidP="00325C2F">
      <w:pPr>
        <w:spacing w:after="0" w:line="276" w:lineRule="auto"/>
        <w:jc w:val="both"/>
        <w:rPr>
          <w:rFonts w:ascii="Arial" w:eastAsia="Times New Roman" w:hAnsi="Arial" w:cs="Arial"/>
          <w:b/>
          <w:bCs/>
          <w:iCs/>
          <w:szCs w:val="24"/>
          <w:lang w:val="es-ES_tradnl" w:eastAsia="es-ES_tradnl"/>
        </w:rPr>
      </w:pPr>
    </w:p>
    <w:p w14:paraId="60E0814C" w14:textId="77777777" w:rsidR="00325C2F" w:rsidRPr="00574963" w:rsidRDefault="00325C2F" w:rsidP="00325C2F">
      <w:pPr>
        <w:spacing w:after="0" w:line="276" w:lineRule="auto"/>
        <w:jc w:val="both"/>
        <w:rPr>
          <w:rFonts w:ascii="Arial" w:eastAsia="Times New Roman" w:hAnsi="Arial" w:cs="Arial"/>
          <w:b/>
          <w:bCs/>
          <w:iCs/>
          <w:szCs w:val="24"/>
          <w:lang w:val="es-ES_tradnl" w:eastAsia="es-ES_tradnl"/>
        </w:rPr>
      </w:pPr>
      <w:r w:rsidRPr="00574963">
        <w:rPr>
          <w:rFonts w:ascii="Arial" w:eastAsia="Times New Roman" w:hAnsi="Arial" w:cs="Arial"/>
          <w:b/>
          <w:bCs/>
          <w:iCs/>
          <w:szCs w:val="24"/>
          <w:lang w:val="es-ES_tradnl" w:eastAsia="es-ES_tradnl"/>
        </w:rPr>
        <w:t xml:space="preserve">2.3. Restricciones para la celebración de contratos y convenios interadministrativos en los </w:t>
      </w:r>
      <w:bookmarkStart w:id="23" w:name="_Hlk133573167"/>
      <w:r w:rsidRPr="00574963">
        <w:rPr>
          <w:rFonts w:ascii="Arial" w:eastAsia="Times New Roman" w:hAnsi="Arial" w:cs="Arial"/>
          <w:b/>
          <w:bCs/>
          <w:iCs/>
          <w:szCs w:val="24"/>
          <w:lang w:val="es-ES_tradnl" w:eastAsia="es-ES_tradnl"/>
        </w:rPr>
        <w:t>comicios para cargos de elección popular</w:t>
      </w:r>
      <w:bookmarkEnd w:id="23"/>
      <w:r w:rsidRPr="00574963">
        <w:rPr>
          <w:rFonts w:ascii="Arial" w:eastAsia="Times New Roman" w:hAnsi="Arial" w:cs="Arial"/>
          <w:b/>
          <w:bCs/>
          <w:iCs/>
          <w:szCs w:val="24"/>
          <w:lang w:val="es-ES_tradnl" w:eastAsia="es-ES_tradnl"/>
        </w:rPr>
        <w:t>. Reiteración de línea</w:t>
      </w:r>
    </w:p>
    <w:p w14:paraId="1FCD3C18" w14:textId="77777777" w:rsidR="00325C2F" w:rsidRPr="00574963" w:rsidRDefault="00325C2F" w:rsidP="00325C2F">
      <w:pPr>
        <w:spacing w:after="0" w:line="276" w:lineRule="auto"/>
        <w:jc w:val="both"/>
        <w:rPr>
          <w:rFonts w:ascii="Arial" w:eastAsia="Times New Roman" w:hAnsi="Arial" w:cs="Arial"/>
          <w:iCs/>
          <w:szCs w:val="24"/>
          <w:lang w:val="es-ES_tradnl" w:eastAsia="es-ES_tradnl"/>
        </w:rPr>
      </w:pPr>
    </w:p>
    <w:p w14:paraId="1F872562" w14:textId="77777777" w:rsidR="00325C2F" w:rsidRPr="00574963" w:rsidRDefault="00325C2F" w:rsidP="00325C2F">
      <w:pPr>
        <w:spacing w:after="0" w:line="276" w:lineRule="auto"/>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lastRenderedPageBreak/>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574963">
        <w:rPr>
          <w:rFonts w:ascii="Arial" w:hAnsi="Arial" w:cs="Arial"/>
          <w:bCs/>
          <w:iCs/>
          <w:vertAlign w:val="superscript"/>
          <w:lang w:eastAsia="x-none"/>
        </w:rPr>
        <w:footnoteReference w:id="20"/>
      </w:r>
      <w:r w:rsidRPr="00574963">
        <w:rPr>
          <w:rFonts w:ascii="Arial" w:hAnsi="Arial" w:cs="Arial"/>
          <w:bCs/>
          <w:iCs/>
          <w:lang w:eastAsia="x-none"/>
        </w:rPr>
        <w:t>.</w:t>
      </w:r>
    </w:p>
    <w:p w14:paraId="1EB1F114"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574963">
        <w:rPr>
          <w:rFonts w:ascii="Arial" w:eastAsia="Arial" w:hAnsi="Arial" w:cs="Arial"/>
          <w:vertAlign w:val="superscript"/>
          <w:lang w:val="es-ES" w:eastAsia="es-ES" w:bidi="es-ES"/>
        </w:rPr>
        <w:footnoteReference w:id="21"/>
      </w:r>
      <w:r w:rsidRPr="00574963">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B7A42E4"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 xml:space="preserve">Si bien los contratos o convenios interadministrativos están previstos en la Ley 80 de 1993, en la Ley 1150 de 2007 y el Decreto 1082 de 2015, no quiere decir que solo pueden celebrarse entre entidades estatales que apliquen el régimen de contratación allí previsto, pues una entidad estatal sometida a la Ley 80 de 1993, puede celebrar esta clase de convenios y/o contratos con una entidad estatal de régimen especial y no por ello pierde su calidad de interadministrativo. </w:t>
      </w:r>
    </w:p>
    <w:p w14:paraId="0C64E844"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La Corte Constitucional expresó en la Sentencia C-671 de 2015 que “Lo que hace interadministrativo a un contrato o convenio no es el procedimiento de selección aplicable, sino la calidad de los sujetos contratantes, esto es que las dos partes de la redacción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162F3E77" w14:textId="77777777" w:rsidR="00325C2F" w:rsidRPr="00574963" w:rsidRDefault="00325C2F" w:rsidP="00325C2F">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2D7C12D4" w14:textId="77777777" w:rsidR="00325C2F" w:rsidRPr="00574963" w:rsidRDefault="00325C2F" w:rsidP="00325C2F">
      <w:pPr>
        <w:spacing w:after="0" w:line="240" w:lineRule="auto"/>
        <w:ind w:left="709" w:right="709"/>
        <w:contextualSpacing/>
        <w:jc w:val="both"/>
        <w:rPr>
          <w:rFonts w:ascii="Arial" w:eastAsia="Calibri" w:hAnsi="Arial" w:cs="Arial"/>
          <w:sz w:val="21"/>
          <w:lang w:val="es-MX"/>
        </w:rPr>
      </w:pPr>
      <w:r w:rsidRPr="00574963">
        <w:rPr>
          <w:rFonts w:ascii="Arial" w:eastAsia="Calibri" w:hAnsi="Arial" w:cs="Arial"/>
          <w:sz w:val="21"/>
          <w:lang w:val="es-MX"/>
        </w:rPr>
        <w:t xml:space="preserve">“[…] se puede señalar que los convenios o contratos interadministrativos tienen como características principales las siguientes: (i) constituyen verdaderos contratos en los términos del Código de Comercio cuando su objeto lo constituyen obligaciones </w:t>
      </w:r>
      <w:r w:rsidRPr="00574963">
        <w:rPr>
          <w:rFonts w:ascii="Arial" w:eastAsia="Calibri" w:hAnsi="Arial" w:cs="Arial"/>
          <w:sz w:val="21"/>
          <w:lang w:val="es-MX"/>
        </w:rPr>
        <w:lastRenderedPageBreak/>
        <w:t>patrimoniales; (</w:t>
      </w:r>
      <w:proofErr w:type="spellStart"/>
      <w:r w:rsidRPr="00574963">
        <w:rPr>
          <w:rFonts w:ascii="Arial" w:eastAsia="Calibri" w:hAnsi="Arial" w:cs="Arial"/>
          <w:sz w:val="21"/>
          <w:lang w:val="es-MX"/>
        </w:rPr>
        <w:t>ii</w:t>
      </w:r>
      <w:proofErr w:type="spellEnd"/>
      <w:r w:rsidRPr="00574963">
        <w:rPr>
          <w:rFonts w:ascii="Arial" w:eastAsia="Calibri" w:hAnsi="Arial" w:cs="Arial"/>
          <w:sz w:val="21"/>
          <w:lang w:val="es-MX"/>
        </w:rPr>
        <w:t>) tienen como fuente la autonomía contractual; (</w:t>
      </w:r>
      <w:proofErr w:type="spellStart"/>
      <w:r w:rsidRPr="00574963">
        <w:rPr>
          <w:rFonts w:ascii="Arial" w:eastAsia="Calibri" w:hAnsi="Arial" w:cs="Arial"/>
          <w:sz w:val="21"/>
          <w:lang w:val="es-MX"/>
        </w:rPr>
        <w:t>iii</w:t>
      </w:r>
      <w:proofErr w:type="spellEnd"/>
      <w:r w:rsidRPr="00574963">
        <w:rPr>
          <w:rFonts w:ascii="Arial" w:eastAsia="Calibri" w:hAnsi="Arial" w:cs="Arial"/>
          <w:sz w:val="21"/>
          <w:lang w:val="es-MX"/>
        </w:rPr>
        <w:t>) son contratos nominados puesto que están mencionados en la ley; (</w:t>
      </w:r>
      <w:proofErr w:type="spellStart"/>
      <w:r w:rsidRPr="00574963">
        <w:rPr>
          <w:rFonts w:ascii="Arial" w:eastAsia="Calibri" w:hAnsi="Arial" w:cs="Arial"/>
          <w:sz w:val="21"/>
          <w:lang w:val="es-MX"/>
        </w:rPr>
        <w:t>iv</w:t>
      </w:r>
      <w:proofErr w:type="spellEnd"/>
      <w:r w:rsidRPr="00574963">
        <w:rPr>
          <w:rFonts w:ascii="Arial" w:eastAsia="Calibri"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574963">
        <w:rPr>
          <w:rFonts w:ascii="Arial" w:eastAsia="Calibri" w:hAnsi="Arial" w:cs="Arial"/>
          <w:sz w:val="21"/>
          <w:lang w:val="es-MX"/>
        </w:rPr>
        <w:t>vii</w:t>
      </w:r>
      <w:proofErr w:type="spellEnd"/>
      <w:r w:rsidRPr="00574963">
        <w:rPr>
          <w:rFonts w:ascii="Arial" w:eastAsia="Calibri" w:hAnsi="Arial" w:cs="Arial"/>
          <w:sz w:val="21"/>
          <w:lang w:val="es-MX"/>
        </w:rPr>
        <w:t>) persiguen  una finalidad común a través de la realización de intereses compartidos entre las entidades vinculadas; (</w:t>
      </w:r>
      <w:proofErr w:type="spellStart"/>
      <w:r w:rsidRPr="00574963">
        <w:rPr>
          <w:rFonts w:ascii="Arial" w:eastAsia="Calibri" w:hAnsi="Arial" w:cs="Arial"/>
          <w:sz w:val="21"/>
          <w:lang w:val="es-MX"/>
        </w:rPr>
        <w:t>viii</w:t>
      </w:r>
      <w:proofErr w:type="spellEnd"/>
      <w:r w:rsidRPr="00574963">
        <w:rPr>
          <w:rFonts w:ascii="Arial" w:eastAsia="Calibri" w:hAnsi="Arial" w:cs="Arial"/>
          <w:sz w:val="21"/>
          <w:lang w:val="es-MX"/>
        </w:rPr>
        <w:t>) la acción mediante la cual se deben ventilar las diferencias que sobre el particular surjan es la de controversias contractuales</w:t>
      </w:r>
      <w:r w:rsidRPr="00574963">
        <w:rPr>
          <w:rFonts w:ascii="Arial" w:eastAsia="Calibri" w:hAnsi="Arial" w:cs="Arial"/>
          <w:sz w:val="21"/>
          <w:vertAlign w:val="superscript"/>
          <w:lang w:val="es-MX"/>
        </w:rPr>
        <w:footnoteReference w:id="22"/>
      </w:r>
      <w:r w:rsidRPr="00574963">
        <w:rPr>
          <w:rFonts w:ascii="Arial" w:eastAsia="Calibri" w:hAnsi="Arial" w:cs="Arial"/>
          <w:sz w:val="21"/>
          <w:lang w:val="es-MX"/>
        </w:rPr>
        <w:t>”.</w:t>
      </w:r>
    </w:p>
    <w:p w14:paraId="0BEB2051" w14:textId="77777777" w:rsidR="00325C2F" w:rsidRPr="00574963" w:rsidRDefault="00325C2F" w:rsidP="00325C2F">
      <w:pPr>
        <w:spacing w:after="0" w:line="276" w:lineRule="auto"/>
        <w:ind w:firstLine="709"/>
        <w:jc w:val="both"/>
        <w:rPr>
          <w:rFonts w:ascii="Arial" w:eastAsia="Times New Roman" w:hAnsi="Arial" w:cs="Arial"/>
          <w:iCs/>
          <w:szCs w:val="24"/>
          <w:lang w:val="es-ES_tradnl" w:eastAsia="es-ES_tradnl"/>
        </w:rPr>
      </w:pPr>
    </w:p>
    <w:p w14:paraId="564379F9" w14:textId="77777777" w:rsidR="00325C2F" w:rsidRPr="00574963" w:rsidRDefault="00325C2F" w:rsidP="00325C2F">
      <w:pPr>
        <w:spacing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75AB2849"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celebren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contratación directa, pues, como se indicó, la existencia de un contrato interadministrativo no está determinada por la modalidad de selección, sino entre otras cosas, por la calidad de las partes que lo suscriben, es decir, debe tratarse de entidades estatales.</w:t>
      </w:r>
    </w:p>
    <w:p w14:paraId="423568C3" w14:textId="77777777" w:rsidR="00325C2F" w:rsidRPr="00574963" w:rsidRDefault="00325C2F" w:rsidP="00325C2F">
      <w:pPr>
        <w:spacing w:before="120" w:after="0" w:line="276" w:lineRule="auto"/>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ab/>
        <w:t xml:space="preserve">Además, es necesario tener en cuenta que para que un contrato o convenio interadministrativo exista, debe cumplir con los siguientes elementos: acuerdo sobre el objeto y la contraprestación, y que se eleve a escrito. Por otra parte, si bien actualmente el Estatuto General de Contratación de la Administración Pública hace referencia de manera expresa al contrato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w:t>
      </w:r>
      <w:r w:rsidRPr="00574963">
        <w:rPr>
          <w:rFonts w:ascii="Arial" w:eastAsia="Times New Roman" w:hAnsi="Arial" w:cs="Arial"/>
          <w:iCs/>
          <w:szCs w:val="24"/>
          <w:lang w:val="es-ES_tradnl" w:eastAsia="es-ES_tradnl"/>
        </w:rPr>
        <w:lastRenderedPageBreak/>
        <w:t xml:space="preserve">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w:t>
      </w:r>
    </w:p>
    <w:p w14:paraId="1600DE94" w14:textId="77777777" w:rsidR="00325C2F" w:rsidRPr="00574963" w:rsidRDefault="00325C2F" w:rsidP="00325C2F">
      <w:pPr>
        <w:spacing w:before="120" w:after="0" w:line="276" w:lineRule="auto"/>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ab/>
        <w:t>Resulta a bien destacar que el Decreto 1082 de 2015 dispone que los convenios o contratos interadministrativos, así denominados en su artículo 2.2.1.2.1.4.4, se contratan directamente, por lo que no hay lugar a dudas que representan lo mismo en la medida que concurran entidades estatales en el acuerdo de voluntades. De este modo, es posible concluir que en la contratación estatal no existen mayores diferencias entre el convenio y contrato y, dando aplicación al derecho privado y a la definición contenida en el Código Civil, puede afirmarse que se trata de figuras equivalentes.</w:t>
      </w:r>
    </w:p>
    <w:p w14:paraId="3A679029"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574963">
        <w:rPr>
          <w:rFonts w:eastAsia="Arial"/>
          <w:vertAlign w:val="superscript"/>
        </w:rPr>
        <w:footnoteReference w:id="23"/>
      </w:r>
      <w:r w:rsidRPr="00574963">
        <w:rPr>
          <w:rFonts w:ascii="Arial" w:eastAsia="Arial" w:hAnsi="Arial" w:cs="Arial"/>
          <w:lang w:val="es-ES_tradnl" w:eastAsia="es-ES" w:bidi="es-ES"/>
        </w:rPr>
        <w:t>”.</w:t>
      </w:r>
    </w:p>
    <w:p w14:paraId="321237CF"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señaló:</w:t>
      </w:r>
    </w:p>
    <w:p w14:paraId="7FF3BB8A" w14:textId="77777777" w:rsidR="00325C2F" w:rsidRPr="00574963" w:rsidRDefault="00325C2F" w:rsidP="00325C2F">
      <w:pPr>
        <w:spacing w:after="0" w:line="240" w:lineRule="auto"/>
        <w:ind w:left="709" w:right="709"/>
        <w:jc w:val="both"/>
        <w:rPr>
          <w:rFonts w:ascii="Arial" w:eastAsia="Calibri" w:hAnsi="Arial" w:cs="Arial"/>
          <w:sz w:val="21"/>
          <w:szCs w:val="21"/>
          <w:lang w:val="es-ES_tradnl"/>
        </w:rPr>
      </w:pPr>
    </w:p>
    <w:p w14:paraId="446E97F1" w14:textId="77777777" w:rsidR="00325C2F" w:rsidRPr="00574963" w:rsidRDefault="00325C2F" w:rsidP="00325C2F">
      <w:pPr>
        <w:spacing w:after="0" w:line="240" w:lineRule="auto"/>
        <w:ind w:left="709" w:right="709"/>
        <w:jc w:val="both"/>
        <w:rPr>
          <w:rFonts w:ascii="Arial" w:eastAsia="Calibri" w:hAnsi="Arial" w:cs="Arial"/>
          <w:sz w:val="21"/>
          <w:szCs w:val="21"/>
          <w:lang w:val="es-ES_tradnl"/>
        </w:rPr>
      </w:pPr>
      <w:r w:rsidRPr="00574963">
        <w:rPr>
          <w:rFonts w:ascii="Arial" w:eastAsia="Calibri" w:hAnsi="Arial" w:cs="Arial"/>
          <w:sz w:val="21"/>
          <w:szCs w:val="21"/>
          <w:lang w:val="es-ES_tradnl"/>
        </w:rPr>
        <w:t>“La Sala de Consulta y Servicio Civil</w:t>
      </w:r>
      <w:r w:rsidRPr="00574963">
        <w:rPr>
          <w:rFonts w:ascii="Arial" w:eastAsia="Calibri" w:hAnsi="Arial" w:cs="Arial"/>
          <w:sz w:val="21"/>
          <w:szCs w:val="21"/>
          <w:vertAlign w:val="superscript"/>
          <w:lang w:eastAsia="es-ES_tradnl"/>
        </w:rPr>
        <w:footnoteReference w:id="24"/>
      </w:r>
      <w:r w:rsidRPr="00574963">
        <w:rPr>
          <w:rFonts w:ascii="Arial" w:eastAsia="Calibri" w:hAnsi="Arial" w:cs="Arial"/>
          <w:sz w:val="21"/>
          <w:szCs w:val="21"/>
          <w:lang w:val="es-ES_tradnl"/>
        </w:rPr>
        <w:t xml:space="preserve"> de esta Corporación se ha referido a los </w:t>
      </w:r>
      <w:r w:rsidRPr="00574963">
        <w:rPr>
          <w:rFonts w:ascii="Arial" w:eastAsia="Calibri" w:hAnsi="Arial" w:cs="Arial"/>
          <w:i/>
          <w:sz w:val="21"/>
          <w:szCs w:val="21"/>
          <w:lang w:val="es-ES_tradnl"/>
        </w:rPr>
        <w:t>“convenios interadministrativos”</w:t>
      </w:r>
      <w:r w:rsidRPr="00574963">
        <w:rPr>
          <w:rFonts w:ascii="Arial" w:eastAsia="Calibri" w:hAnsi="Arial" w:cs="Arial"/>
          <w:sz w:val="21"/>
          <w:szCs w:val="21"/>
          <w:lang w:val="es-ES_tradnl"/>
        </w:rPr>
        <w:t xml:space="preserve"> a los cuales alude el artículo 95 de la Ley 489 de 1998, calificándolos de </w:t>
      </w:r>
      <w:r w:rsidRPr="00574963">
        <w:rPr>
          <w:rFonts w:ascii="Arial" w:eastAsia="Calibri" w:hAnsi="Arial" w:cs="Arial"/>
          <w:i/>
          <w:sz w:val="21"/>
          <w:szCs w:val="21"/>
          <w:lang w:val="es-ES_tradnl"/>
        </w:rPr>
        <w:t xml:space="preserve">“puros” </w:t>
      </w:r>
      <w:r w:rsidRPr="00574963">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574963">
        <w:rPr>
          <w:rFonts w:ascii="Arial" w:eastAsia="Calibri" w:hAnsi="Arial" w:cs="Arial"/>
          <w:i/>
          <w:sz w:val="21"/>
          <w:szCs w:val="21"/>
          <w:lang w:val="es-ES_tradnl"/>
        </w:rPr>
        <w:t>“intercambio patrimonial”</w:t>
      </w:r>
      <w:r w:rsidRPr="00574963">
        <w:rPr>
          <w:rFonts w:ascii="Arial" w:eastAsia="Calibri" w:hAnsi="Arial" w:cs="Arial"/>
          <w:sz w:val="21"/>
          <w:szCs w:val="21"/>
          <w:lang w:val="es-ES_tradnl"/>
        </w:rPr>
        <w:t>. Sin perjuicio de lo anterior, en otra oportunidad, la misma Sala</w:t>
      </w:r>
      <w:r w:rsidRPr="00574963">
        <w:rPr>
          <w:rFonts w:ascii="Arial" w:eastAsia="Calibri" w:hAnsi="Arial" w:cs="Arial"/>
          <w:sz w:val="21"/>
          <w:szCs w:val="21"/>
          <w:vertAlign w:val="superscript"/>
          <w:lang w:eastAsia="es-ES_tradnl"/>
        </w:rPr>
        <w:footnoteReference w:id="25"/>
      </w:r>
      <w:r w:rsidRPr="00574963">
        <w:rPr>
          <w:rFonts w:ascii="Arial" w:eastAsia="Calibri" w:hAnsi="Arial" w:cs="Arial"/>
          <w:sz w:val="21"/>
          <w:szCs w:val="21"/>
          <w:lang w:val="es-ES_tradnl"/>
        </w:rPr>
        <w:t xml:space="preserve"> había indicado que, si bien en dichos convenios no se daba un </w:t>
      </w:r>
      <w:r w:rsidRPr="00574963">
        <w:rPr>
          <w:rFonts w:ascii="Arial" w:eastAsia="Calibri" w:hAnsi="Arial" w:cs="Arial"/>
          <w:i/>
          <w:sz w:val="21"/>
          <w:szCs w:val="21"/>
          <w:lang w:val="es-ES_tradnl"/>
        </w:rPr>
        <w:t>“verdadero intercambio de bienes o servicios (contrato conmutativo)”</w:t>
      </w:r>
      <w:r w:rsidRPr="00574963">
        <w:rPr>
          <w:rFonts w:ascii="Arial" w:eastAsia="Calibri" w:hAnsi="Arial" w:cs="Arial"/>
          <w:sz w:val="21"/>
          <w:szCs w:val="21"/>
          <w:lang w:val="es-ES_tradnl"/>
        </w:rPr>
        <w:t>, ello no impedía que se conviniera una remuneración a cargo de alguna(s) entidad(es).</w:t>
      </w:r>
    </w:p>
    <w:p w14:paraId="61C7C74C" w14:textId="77777777" w:rsidR="00325C2F" w:rsidRPr="00574963" w:rsidRDefault="00325C2F" w:rsidP="00325C2F">
      <w:pPr>
        <w:widowControl w:val="0"/>
        <w:autoSpaceDE w:val="0"/>
        <w:autoSpaceDN w:val="0"/>
        <w:spacing w:before="120" w:after="0" w:line="240" w:lineRule="auto"/>
        <w:ind w:left="709" w:right="709"/>
        <w:jc w:val="both"/>
        <w:rPr>
          <w:rFonts w:ascii="Arial" w:eastAsia="Arial" w:hAnsi="Arial" w:cs="Arial"/>
          <w:sz w:val="21"/>
          <w:szCs w:val="21"/>
          <w:lang w:val="es-ES_tradnl" w:eastAsia="es-ES" w:bidi="es-ES"/>
        </w:rPr>
      </w:pPr>
      <w:r w:rsidRPr="00574963">
        <w:rPr>
          <w:rFonts w:ascii="Arial" w:eastAsia="Arial" w:hAnsi="Arial" w:cs="Arial"/>
          <w:sz w:val="21"/>
          <w:szCs w:val="21"/>
          <w:lang w:val="es-ES_tradnl" w:eastAsia="es-ES" w:bidi="es-ES"/>
        </w:rPr>
        <w:t xml:space="preserve">Lo expuesto evidencia que, en general, las interpretaciones en torno a los </w:t>
      </w:r>
      <w:r w:rsidRPr="00574963">
        <w:rPr>
          <w:rFonts w:ascii="Arial" w:eastAsia="Arial" w:hAnsi="Arial" w:cs="Arial"/>
          <w:i/>
          <w:sz w:val="21"/>
          <w:szCs w:val="21"/>
          <w:lang w:val="es-ES_tradnl" w:eastAsia="es-ES" w:bidi="es-ES"/>
        </w:rPr>
        <w:t xml:space="preserve">“convenios </w:t>
      </w:r>
      <w:r w:rsidRPr="00574963">
        <w:rPr>
          <w:rFonts w:ascii="Arial" w:eastAsia="Arial" w:hAnsi="Arial" w:cs="Arial"/>
          <w:i/>
          <w:sz w:val="21"/>
          <w:szCs w:val="21"/>
          <w:lang w:val="es-ES_tradnl" w:eastAsia="es-ES" w:bidi="es-ES"/>
        </w:rPr>
        <w:lastRenderedPageBreak/>
        <w:t>interadministrativos”</w:t>
      </w:r>
      <w:r w:rsidRPr="00574963">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74963">
        <w:rPr>
          <w:rFonts w:ascii="Arial" w:eastAsia="Arial" w:hAnsi="Arial" w:cs="Arial"/>
          <w:sz w:val="21"/>
          <w:szCs w:val="21"/>
          <w:vertAlign w:val="superscript"/>
          <w:lang w:eastAsia="es-ES_tradnl"/>
        </w:rPr>
        <w:footnoteReference w:id="26"/>
      </w:r>
      <w:r w:rsidRPr="00574963">
        <w:rPr>
          <w:rFonts w:ascii="Arial" w:eastAsia="Arial" w:hAnsi="Arial" w:cs="Arial"/>
          <w:sz w:val="21"/>
          <w:szCs w:val="21"/>
          <w:lang w:val="es-ES_tradnl" w:eastAsia="es-ES" w:bidi="es-ES"/>
        </w:rPr>
        <w:t xml:space="preserve"> </w:t>
      </w:r>
      <w:r w:rsidRPr="00574963">
        <w:rPr>
          <w:rFonts w:ascii="Arial" w:eastAsia="Arial" w:hAnsi="Arial" w:cs="Arial"/>
          <w:sz w:val="21"/>
          <w:szCs w:val="21"/>
          <w:vertAlign w:val="superscript"/>
          <w:lang w:eastAsia="es-ES_tradnl"/>
        </w:rPr>
        <w:footnoteReference w:id="27"/>
      </w:r>
      <w:r w:rsidRPr="00574963">
        <w:rPr>
          <w:rFonts w:ascii="Arial" w:eastAsia="Arial" w:hAnsi="Arial" w:cs="Arial"/>
          <w:sz w:val="21"/>
          <w:szCs w:val="21"/>
          <w:lang w:val="es-ES_tradnl" w:eastAsia="es-ES" w:bidi="es-ES"/>
        </w:rPr>
        <w:t>”. [Énfasis propio]</w:t>
      </w:r>
    </w:p>
    <w:p w14:paraId="4835AB24" w14:textId="77777777" w:rsidR="00325C2F" w:rsidRPr="00574963" w:rsidRDefault="00325C2F" w:rsidP="00325C2F">
      <w:pPr>
        <w:spacing w:after="0" w:line="276" w:lineRule="auto"/>
        <w:ind w:firstLine="709"/>
        <w:jc w:val="both"/>
        <w:rPr>
          <w:rFonts w:ascii="Arial" w:eastAsia="Times New Roman" w:hAnsi="Arial" w:cs="Arial"/>
          <w:iCs/>
          <w:szCs w:val="24"/>
          <w:lang w:val="es-ES_tradnl" w:eastAsia="es-ES_tradnl"/>
        </w:rPr>
      </w:pPr>
    </w:p>
    <w:p w14:paraId="4DF35992" w14:textId="77777777" w:rsidR="00325C2F" w:rsidRPr="00574963" w:rsidRDefault="00325C2F" w:rsidP="00325C2F">
      <w:pPr>
        <w:spacing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En ese orden, debe advertirse que el ordenamiento jurídico en distintas ocasiones utiliza de forma indistinta los conceptos de contrato o convenio para referirse a la misma institución jurídica</w:t>
      </w:r>
      <w:r w:rsidRPr="00574963">
        <w:rPr>
          <w:rFonts w:eastAsia="Arial"/>
          <w:vertAlign w:val="superscript"/>
        </w:rPr>
        <w:footnoteReference w:id="28"/>
      </w:r>
      <w:r w:rsidRPr="00574963">
        <w:rPr>
          <w:rFonts w:ascii="Arial" w:eastAsia="Arial" w:hAnsi="Arial" w:cs="Arial"/>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574963">
        <w:rPr>
          <w:rFonts w:eastAsia="Arial"/>
          <w:vertAlign w:val="superscript"/>
        </w:rPr>
        <w:footnoteReference w:id="29"/>
      </w:r>
      <w:r w:rsidRPr="00574963">
        <w:rPr>
          <w:rFonts w:ascii="Arial" w:eastAsia="Arial" w:hAnsi="Arial" w:cs="Arial"/>
          <w:lang w:val="es-ES_tradnl" w:eastAsia="es-ES" w:bidi="es-ES"/>
        </w:rPr>
        <w:t>.</w:t>
      </w:r>
    </w:p>
    <w:p w14:paraId="0BC0198C"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 xml:space="preserve">Corolario de lo anterior, se colige que 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 </w:t>
      </w:r>
    </w:p>
    <w:p w14:paraId="63A0CBBA" w14:textId="77777777" w:rsidR="00325C2F" w:rsidRPr="00574963" w:rsidRDefault="00325C2F" w:rsidP="00325C2F">
      <w:pPr>
        <w:spacing w:before="120" w:after="0" w:line="276" w:lineRule="auto"/>
        <w:ind w:firstLine="709"/>
        <w:jc w:val="both"/>
        <w:rPr>
          <w:rFonts w:ascii="Arial" w:eastAsia="Times New Roman" w:hAnsi="Arial" w:cs="Arial"/>
          <w:iCs/>
          <w:szCs w:val="24"/>
          <w:lang w:val="es-ES_tradnl" w:eastAsia="es-ES_tradnl"/>
        </w:rPr>
      </w:pPr>
      <w:r w:rsidRPr="00574963">
        <w:rPr>
          <w:rFonts w:ascii="Arial" w:eastAsia="Times New Roman" w:hAnsi="Arial" w:cs="Arial"/>
          <w:iCs/>
          <w:szCs w:val="24"/>
          <w:lang w:val="es-ES_tradnl" w:eastAsia="es-ES_tradnl"/>
        </w:rPr>
        <w:t xml:space="preserve">Finalmente y conforme a todo lo expuesto, debe aclararse que para los comicios que se celebrarán este año, aplicarán las restricciones contractuales establecidas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w:t>
      </w:r>
      <w:r w:rsidRPr="00574963">
        <w:rPr>
          <w:rFonts w:ascii="Arial" w:eastAsia="Times New Roman" w:hAnsi="Arial" w:cs="Arial"/>
          <w:i/>
          <w:szCs w:val="24"/>
          <w:lang w:val="es-ES_tradnl" w:eastAsia="es-ES_tradnl"/>
        </w:rPr>
        <w:t xml:space="preserve">ibidem, </w:t>
      </w:r>
      <w:r w:rsidRPr="00574963">
        <w:rPr>
          <w:rFonts w:ascii="Arial" w:eastAsia="Times New Roman" w:hAnsi="Arial"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2AB47D6E" w14:textId="77777777" w:rsidR="00325C2F" w:rsidRPr="00574963" w:rsidRDefault="00325C2F" w:rsidP="00325C2F">
      <w:pPr>
        <w:spacing w:after="0" w:line="276" w:lineRule="auto"/>
        <w:ind w:firstLine="709"/>
        <w:jc w:val="both"/>
        <w:rPr>
          <w:rFonts w:ascii="Arial" w:eastAsia="Times New Roman" w:hAnsi="Arial" w:cs="Arial"/>
          <w:iCs/>
          <w:szCs w:val="24"/>
          <w:lang w:val="es-ES_tradnl" w:eastAsia="es-ES_tradnl"/>
        </w:rPr>
      </w:pPr>
    </w:p>
    <w:p w14:paraId="693CBD26" w14:textId="77777777" w:rsidR="00325C2F" w:rsidRPr="00574963" w:rsidRDefault="00325C2F" w:rsidP="00325C2F">
      <w:pPr>
        <w:spacing w:after="0" w:line="276" w:lineRule="auto"/>
        <w:contextualSpacing/>
        <w:jc w:val="both"/>
        <w:rPr>
          <w:rFonts w:ascii="Arial" w:eastAsia="Calibri" w:hAnsi="Arial" w:cs="Arial"/>
          <w:b/>
        </w:rPr>
      </w:pPr>
      <w:r w:rsidRPr="00574963">
        <w:rPr>
          <w:rFonts w:ascii="Arial" w:eastAsia="Calibri" w:hAnsi="Arial" w:cs="Arial"/>
          <w:b/>
        </w:rPr>
        <w:t>3. Respuesta</w:t>
      </w:r>
    </w:p>
    <w:p w14:paraId="5A3152FD" w14:textId="77777777" w:rsidR="00325C2F" w:rsidRPr="00574963" w:rsidRDefault="00325C2F" w:rsidP="00325C2F">
      <w:pPr>
        <w:spacing w:before="120" w:after="0" w:line="240" w:lineRule="auto"/>
        <w:ind w:left="709" w:right="709"/>
        <w:contextualSpacing/>
        <w:jc w:val="both"/>
        <w:rPr>
          <w:rFonts w:ascii="Arial" w:eastAsia="Calibri" w:hAnsi="Arial" w:cs="Arial"/>
          <w:sz w:val="21"/>
          <w:szCs w:val="21"/>
          <w:lang w:val="es-MX"/>
        </w:rPr>
      </w:pPr>
      <w:bookmarkStart w:id="24" w:name="_Hlk57650395"/>
    </w:p>
    <w:p w14:paraId="31499B3D" w14:textId="77777777" w:rsidR="00325C2F" w:rsidRPr="00574963" w:rsidRDefault="00325C2F" w:rsidP="00325C2F">
      <w:pPr>
        <w:spacing w:before="120" w:after="0" w:line="240" w:lineRule="auto"/>
        <w:ind w:left="709" w:right="709"/>
        <w:contextualSpacing/>
        <w:jc w:val="both"/>
        <w:rPr>
          <w:rFonts w:ascii="Arial" w:eastAsia="Calibri" w:hAnsi="Arial" w:cs="Arial"/>
          <w:sz w:val="21"/>
          <w:szCs w:val="21"/>
          <w:lang w:val="es-MX"/>
        </w:rPr>
      </w:pPr>
      <w:r w:rsidRPr="00574963">
        <w:rPr>
          <w:rFonts w:ascii="Arial" w:eastAsia="Calibri" w:hAnsi="Arial" w:cs="Arial"/>
          <w:sz w:val="21"/>
          <w:szCs w:val="21"/>
          <w:lang w:val="es-MX"/>
        </w:rPr>
        <w:t>“1. ¿Se aplica la ley de garantías a los contratos de administración que se suscriben entre la entidad territorial y el representante legal designado por las autoridades propias para la ejecución de los recursos de la Asignación Especial del Sistema General de Participaciones-AESGPRI, en el marco de lo previsto en el artículo 34 del Decreto 1953 de 2014?</w:t>
      </w:r>
    </w:p>
    <w:p w14:paraId="6FD53924" w14:textId="77777777" w:rsidR="00325C2F" w:rsidRPr="00574963" w:rsidRDefault="00325C2F" w:rsidP="00325C2F">
      <w:pPr>
        <w:spacing w:before="120" w:after="0" w:line="240" w:lineRule="auto"/>
        <w:ind w:left="709" w:right="709"/>
        <w:jc w:val="both"/>
        <w:rPr>
          <w:rFonts w:ascii="Arial" w:eastAsia="Calibri" w:hAnsi="Arial" w:cs="Arial"/>
          <w:sz w:val="21"/>
          <w:szCs w:val="21"/>
          <w:lang w:val="es-MX"/>
        </w:rPr>
      </w:pPr>
      <w:r w:rsidRPr="00574963">
        <w:rPr>
          <w:rFonts w:ascii="Arial" w:eastAsia="Calibri" w:hAnsi="Arial" w:cs="Arial"/>
          <w:sz w:val="21"/>
          <w:szCs w:val="21"/>
          <w:lang w:val="es-MX"/>
        </w:rPr>
        <w:t>2. ¿Se aplica la ley de garantías a los contratos de ejecución que se derivan de la suscripción del contrato de administración para la ejecución de los recursos de la Asignación Especial del Sistema General de Participaciones-AESGPRI?” [sic]</w:t>
      </w:r>
    </w:p>
    <w:p w14:paraId="61FE0CF1" w14:textId="77777777" w:rsidR="00325C2F" w:rsidRPr="00574963" w:rsidRDefault="00325C2F" w:rsidP="00325C2F">
      <w:pPr>
        <w:spacing w:after="0" w:line="240" w:lineRule="auto"/>
        <w:ind w:left="709" w:right="709"/>
        <w:jc w:val="both"/>
        <w:rPr>
          <w:rFonts w:ascii="Arial" w:eastAsia="Calibri" w:hAnsi="Arial" w:cs="Arial"/>
          <w:lang w:val="es-ES"/>
        </w:rPr>
      </w:pPr>
    </w:p>
    <w:p w14:paraId="6A4364EC" w14:textId="77777777" w:rsidR="00325C2F" w:rsidRPr="00574963" w:rsidRDefault="00325C2F" w:rsidP="00325C2F">
      <w:pPr>
        <w:spacing w:after="120" w:line="276" w:lineRule="auto"/>
        <w:jc w:val="both"/>
        <w:rPr>
          <w:rFonts w:ascii="Arial" w:eastAsia="Arial" w:hAnsi="Arial" w:cs="Arial"/>
          <w:lang w:val="es-ES" w:eastAsia="es-ES" w:bidi="es-ES"/>
        </w:rPr>
      </w:pPr>
      <w:r w:rsidRPr="00574963">
        <w:rPr>
          <w:rFonts w:ascii="Arial" w:eastAsia="Arial" w:hAnsi="Arial" w:cs="Arial"/>
          <w:lang w:val="es-MX"/>
        </w:rPr>
        <w:t xml:space="preserve">De acuerdo con la interpretación de las normas generales del sistema de compras y contratación pública, </w:t>
      </w:r>
      <w:r w:rsidRPr="00574963">
        <w:rPr>
          <w:rFonts w:ascii="Arial" w:eastAsia="Arial" w:hAnsi="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368396BD" w14:textId="77777777" w:rsidR="00325C2F" w:rsidRPr="00574963" w:rsidRDefault="00325C2F" w:rsidP="00325C2F">
      <w:pPr>
        <w:spacing w:after="120" w:line="276" w:lineRule="auto"/>
        <w:ind w:firstLine="708"/>
        <w:jc w:val="both"/>
        <w:rPr>
          <w:rFonts w:ascii="Arial" w:hAnsi="Arial" w:cs="Arial"/>
          <w:bCs/>
          <w:lang w:val="es-ES_tradnl" w:eastAsia="es-CO"/>
        </w:rPr>
      </w:pPr>
      <w:r w:rsidRPr="00574963">
        <w:rPr>
          <w:rFonts w:ascii="Arial" w:hAnsi="Arial" w:cs="Arial"/>
          <w:bCs/>
          <w:lang w:val="es-ES_tradnl" w:eastAsia="es-CO"/>
        </w:rPr>
        <w:t xml:space="preserve">Por un lado, el 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Pr="00574963">
        <w:rPr>
          <w:rFonts w:ascii="Arial" w:hAnsi="Arial" w:cs="Arial"/>
          <w:bCs/>
          <w:lang w:val="es-MX" w:eastAsia="es-CO"/>
        </w:rPr>
        <w:t>Los destinatarios de la prohibición son “todos los entes del Estado”, expresión que contempla a los diferentes organismos o entidades autorizadas por la ley para suscribir contratos. En efecto, como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13AA4CD" w14:textId="77777777" w:rsidR="00325C2F" w:rsidRPr="00574963" w:rsidRDefault="00325C2F" w:rsidP="00325C2F">
      <w:pPr>
        <w:spacing w:after="120" w:line="276" w:lineRule="auto"/>
        <w:ind w:firstLine="709"/>
        <w:jc w:val="both"/>
        <w:rPr>
          <w:rFonts w:ascii="Arial" w:hAnsi="Arial" w:cs="Arial"/>
          <w:bCs/>
          <w:lang w:val="es-ES_tradnl" w:eastAsia="es-CO" w:bidi="es-ES"/>
        </w:rPr>
      </w:pPr>
      <w:r w:rsidRPr="00574963">
        <w:rPr>
          <w:rFonts w:ascii="Arial" w:hAnsi="Arial" w:cs="Arial"/>
          <w:bCs/>
          <w:lang w:val="es-MX" w:eastAsia="es-CO"/>
        </w:rPr>
        <w:t xml:space="preserve">De otro lado, el parágrafo del artículo 38 de la Ley de Garantías Electorales, establece una restricción en virtud de la cual, durante el periodo de cuatro (4) meses anteriores a cualquier jornada de elecciones, las entidades territoriales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574963">
        <w:rPr>
          <w:rFonts w:ascii="Arial" w:hAnsi="Arial" w:cs="Arial"/>
          <w:bCs/>
          <w:lang w:val="es-ES_tradnl" w:eastAsia="es-CO" w:bidi="es-ES"/>
        </w:rPr>
        <w:t xml:space="preserve">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w:t>
      </w:r>
      <w:r w:rsidRPr="00574963">
        <w:rPr>
          <w:rFonts w:ascii="Arial" w:hAnsi="Arial" w:cs="Arial"/>
          <w:bCs/>
          <w:lang w:val="es-ES_tradnl" w:eastAsia="es-CO" w:bidi="es-ES"/>
        </w:rPr>
        <w:lastRenderedPageBreak/>
        <w:t>un criterio orgánico, pues es necesario que los extremos de la relación contractual sean entidades estatales.</w:t>
      </w:r>
    </w:p>
    <w:p w14:paraId="71D14BFF" w14:textId="77777777" w:rsidR="00325C2F" w:rsidRPr="00574963" w:rsidRDefault="00325C2F" w:rsidP="00325C2F">
      <w:pPr>
        <w:spacing w:after="120" w:line="276" w:lineRule="auto"/>
        <w:ind w:firstLine="709"/>
        <w:jc w:val="both"/>
        <w:rPr>
          <w:rFonts w:ascii="Arial" w:eastAsia="Calibri" w:hAnsi="Arial" w:cs="Arial"/>
          <w:color w:val="000000" w:themeColor="text1"/>
          <w:lang w:val="es-MX"/>
        </w:rPr>
      </w:pPr>
      <w:r w:rsidRPr="00574963">
        <w:rPr>
          <w:rFonts w:ascii="Arial" w:eastAsia="Times New Roman" w:hAnsi="Arial" w:cs="Arial"/>
          <w:bCs/>
          <w:lang w:val="es-MX" w:eastAsia="es-CO"/>
        </w:rPr>
        <w:t xml:space="preserve">En este sentido y teniendo en cuenta que para los comicios de este año rigen las restricciones contractuales señaladas en </w:t>
      </w:r>
      <w:r w:rsidRPr="00574963">
        <w:rPr>
          <w:rFonts w:ascii="Arial" w:hAnsi="Arial" w:cs="Arial"/>
          <w:bCs/>
          <w:lang w:val="es-MX" w:eastAsia="es-CO"/>
        </w:rPr>
        <w:t>el parágrafo del artículo 38 de la Ley 996 de 2005</w:t>
      </w:r>
      <w:r w:rsidRPr="00574963">
        <w:rPr>
          <w:rFonts w:ascii="Arial" w:eastAsia="Times New Roman" w:hAnsi="Arial" w:cs="Arial"/>
          <w:bCs/>
          <w:lang w:val="es-MX" w:eastAsia="es-CO"/>
        </w:rPr>
        <w:t>, los entes territoriales no podrán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574963">
        <w:rPr>
          <w:rFonts w:ascii="Arial" w:eastAsia="Calibri" w:hAnsi="Arial" w:cs="Arial"/>
          <w:color w:val="000000" w:themeColor="text1"/>
          <w:lang w:val="es-MX"/>
        </w:rPr>
        <w:t>  </w:t>
      </w:r>
    </w:p>
    <w:p w14:paraId="055D7BD6" w14:textId="77777777" w:rsidR="00325C2F" w:rsidRPr="00574963" w:rsidRDefault="00325C2F" w:rsidP="00325C2F">
      <w:pPr>
        <w:spacing w:after="0" w:line="276" w:lineRule="auto"/>
        <w:ind w:firstLine="709"/>
        <w:jc w:val="both"/>
        <w:rPr>
          <w:rFonts w:ascii="Arial" w:eastAsia="Calibri" w:hAnsi="Arial" w:cs="Arial"/>
          <w:lang w:val="es-MX"/>
        </w:rPr>
      </w:pPr>
      <w:r w:rsidRPr="00574963">
        <w:rPr>
          <w:rFonts w:ascii="Arial" w:eastAsia="Calibri" w:hAnsi="Arial"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 durante la vigencia de la Ley de Garantías Electorales.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574963">
        <w:rPr>
          <w:rFonts w:ascii="Arial" w:hAnsi="Arial" w:cs="Arial"/>
          <w:bCs/>
          <w:lang w:val="es-ES"/>
        </w:rPr>
        <w:t xml:space="preserve"> </w:t>
      </w:r>
    </w:p>
    <w:p w14:paraId="6E648081" w14:textId="77777777" w:rsidR="00325C2F" w:rsidRPr="00574963" w:rsidRDefault="00325C2F" w:rsidP="00325C2F">
      <w:pPr>
        <w:shd w:val="clear" w:color="auto" w:fill="FFFFFF"/>
        <w:spacing w:after="0" w:line="276" w:lineRule="auto"/>
        <w:jc w:val="both"/>
        <w:rPr>
          <w:rFonts w:ascii="Arial" w:hAnsi="Arial" w:cs="Arial"/>
        </w:rPr>
      </w:pPr>
    </w:p>
    <w:p w14:paraId="20A2C4CF" w14:textId="77777777" w:rsidR="00325C2F" w:rsidRPr="00574963" w:rsidRDefault="00325C2F" w:rsidP="00325C2F">
      <w:pPr>
        <w:widowControl w:val="0"/>
        <w:autoSpaceDE w:val="0"/>
        <w:autoSpaceDN w:val="0"/>
        <w:spacing w:after="0" w:line="276" w:lineRule="auto"/>
        <w:contextualSpacing/>
        <w:jc w:val="both"/>
        <w:rPr>
          <w:rFonts w:ascii="Arial" w:eastAsia="Times New Roman" w:hAnsi="Arial" w:cs="Arial"/>
          <w:lang w:eastAsia="es-ES_tradnl"/>
        </w:rPr>
      </w:pPr>
      <w:r w:rsidRPr="00574963">
        <w:rPr>
          <w:rFonts w:ascii="Arial" w:eastAsia="Calibri" w:hAnsi="Arial" w:cs="Arial"/>
        </w:rPr>
        <w:t>Este concepto tiene el alcance previsto en el artículo 28 del Código de Procedimiento Administrativo y de lo Contencioso Administrativo</w:t>
      </w:r>
      <w:r w:rsidRPr="00574963">
        <w:rPr>
          <w:rFonts w:ascii="Arial" w:eastAsia="Calibri" w:hAnsi="Arial" w:cs="Arial"/>
          <w:noProof/>
          <w:lang w:eastAsia="es-CO"/>
        </w:rPr>
        <mc:AlternateContent>
          <mc:Choice Requires="wps">
            <w:drawing>
              <wp:anchor distT="0" distB="0" distL="114300" distR="114300" simplePos="0" relativeHeight="251659264" behindDoc="0" locked="0" layoutInCell="1" allowOverlap="1" wp14:anchorId="60F843DF" wp14:editId="2F50B25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913CF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574963">
        <w:rPr>
          <w:rFonts w:ascii="Arial" w:eastAsia="Calibri" w:hAnsi="Arial" w:cs="Arial"/>
        </w:rPr>
        <w:t xml:space="preserve"> y las expresiones utilizadas con mayúscula inicial deben ser entendidas con el significado que les otorga el artículo 2.2.1.1.1.3.1 del Decreto 1082 de 2015.</w:t>
      </w:r>
    </w:p>
    <w:p w14:paraId="1F64FB10" w14:textId="77777777" w:rsidR="00325C2F" w:rsidRPr="00574963" w:rsidRDefault="00325C2F" w:rsidP="00325C2F">
      <w:pPr>
        <w:spacing w:after="120" w:line="276" w:lineRule="auto"/>
        <w:jc w:val="both"/>
        <w:rPr>
          <w:rFonts w:ascii="Arial" w:eastAsia="Times New Roman" w:hAnsi="Arial" w:cs="Arial"/>
          <w:lang w:eastAsia="es-ES_tradnl"/>
        </w:rPr>
      </w:pPr>
    </w:p>
    <w:p w14:paraId="000061B1" w14:textId="77777777" w:rsidR="00325C2F" w:rsidRPr="00574963" w:rsidRDefault="00325C2F" w:rsidP="00325C2F">
      <w:pPr>
        <w:spacing w:after="200" w:line="276" w:lineRule="auto"/>
        <w:jc w:val="both"/>
        <w:rPr>
          <w:rFonts w:ascii="Arial" w:eastAsia="Times New Roman" w:hAnsi="Arial" w:cs="Arial"/>
          <w:lang w:eastAsia="es-CO"/>
        </w:rPr>
      </w:pPr>
      <w:r w:rsidRPr="00574963">
        <w:rPr>
          <w:rFonts w:ascii="Arial" w:eastAsia="Times New Roman" w:hAnsi="Arial" w:cs="Arial"/>
          <w:lang w:eastAsia="es-CO"/>
        </w:rPr>
        <w:t>Atentamente,</w:t>
      </w:r>
    </w:p>
    <w:p w14:paraId="29B084B7" w14:textId="2415C604" w:rsidR="00325C2F" w:rsidRPr="00574963" w:rsidRDefault="00E45F7A" w:rsidP="00325C2F">
      <w:pPr>
        <w:spacing w:after="200" w:line="276" w:lineRule="auto"/>
        <w:jc w:val="center"/>
        <w:rPr>
          <w:rFonts w:ascii="Arial" w:eastAsia="Calibri" w:hAnsi="Arial" w:cs="Arial"/>
          <w:b/>
          <w:bCs/>
          <w:sz w:val="20"/>
          <w:szCs w:val="20"/>
          <w:lang w:val="es-MX"/>
        </w:rPr>
      </w:pPr>
      <w:bookmarkStart w:id="25" w:name="_Hlk130981267"/>
      <w:bookmarkEnd w:id="0"/>
      <w:bookmarkEnd w:id="24"/>
      <w:r>
        <w:rPr>
          <w:rFonts w:ascii="Geomanist Light" w:hAnsi="Geomanist Light"/>
          <w:b/>
          <w:bCs/>
          <w:noProof/>
          <w:sz w:val="20"/>
          <w:szCs w:val="20"/>
          <w:shd w:val="clear" w:color="auto" w:fill="FFFFFF"/>
          <w:lang w:val="es-MX"/>
        </w:rPr>
        <w:drawing>
          <wp:inline distT="0" distB="0" distL="0" distR="0" wp14:anchorId="033BC21C" wp14:editId="3F5E6A03">
            <wp:extent cx="3156585" cy="1208405"/>
            <wp:effectExtent l="0" t="0" r="5715" b="0"/>
            <wp:docPr id="5187747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Pr>
          <w:rFonts w:ascii="Calibri" w:hAnsi="Calibri" w:cs="Calibri"/>
          <w:color w:val="000000"/>
          <w:shd w:val="clear" w:color="auto" w:fill="FFFFFF"/>
          <w:lang w:val="es-ES"/>
        </w:rPr>
        <w:br/>
      </w:r>
      <w:r w:rsidR="00325C2F" w:rsidRPr="00574963">
        <w:rPr>
          <w:rFonts w:ascii="Geomanist Light" w:hAnsi="Geomanist Light"/>
          <w:b/>
          <w:bCs/>
          <w:sz w:val="20"/>
          <w:szCs w:val="20"/>
          <w:shd w:val="clear" w:color="auto" w:fill="FFFFFF"/>
          <w:lang w:val="es-MX"/>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325C2F" w:rsidRPr="00574963" w14:paraId="210ACEA0" w14:textId="77777777" w:rsidTr="00606B61">
        <w:trPr>
          <w:trHeight w:val="315"/>
        </w:trPr>
        <w:tc>
          <w:tcPr>
            <w:tcW w:w="812" w:type="dxa"/>
            <w:vAlign w:val="center"/>
            <w:hideMark/>
          </w:tcPr>
          <w:p w14:paraId="73E029E9"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79B4B791"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t>Nasly Yeana Mosquera Rivas</w:t>
            </w:r>
          </w:p>
          <w:p w14:paraId="24F3337B"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t>Analista T2–06 de la Subdirección de Gestión Contractual</w:t>
            </w:r>
          </w:p>
        </w:tc>
      </w:tr>
      <w:tr w:rsidR="00325C2F" w:rsidRPr="00574963" w14:paraId="67DC8CAB" w14:textId="77777777" w:rsidTr="00606B61">
        <w:trPr>
          <w:trHeight w:val="330"/>
        </w:trPr>
        <w:tc>
          <w:tcPr>
            <w:tcW w:w="812" w:type="dxa"/>
            <w:vAlign w:val="center"/>
            <w:hideMark/>
          </w:tcPr>
          <w:p w14:paraId="36A59AE8"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lastRenderedPageBreak/>
              <w:t>Revisó:</w:t>
            </w:r>
          </w:p>
        </w:tc>
        <w:tc>
          <w:tcPr>
            <w:tcW w:w="4291" w:type="dxa"/>
            <w:tcBorders>
              <w:top w:val="dotted" w:sz="4" w:space="0" w:color="7F7F7F"/>
              <w:left w:val="nil"/>
              <w:bottom w:val="dotted" w:sz="4" w:space="0" w:color="7F7F7F"/>
              <w:right w:val="nil"/>
            </w:tcBorders>
            <w:vAlign w:val="center"/>
            <w:hideMark/>
          </w:tcPr>
          <w:p w14:paraId="0A347467"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t>Alejandro Sarmiento Cantillo</w:t>
            </w:r>
          </w:p>
          <w:p w14:paraId="196236C9"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t>Gestor T1–15 de la Subdirección de Gestión Contractual</w:t>
            </w:r>
          </w:p>
        </w:tc>
      </w:tr>
      <w:tr w:rsidR="00325C2F" w:rsidRPr="00574963" w14:paraId="102B9221" w14:textId="77777777" w:rsidTr="00606B61">
        <w:trPr>
          <w:trHeight w:val="300"/>
        </w:trPr>
        <w:tc>
          <w:tcPr>
            <w:tcW w:w="812" w:type="dxa"/>
            <w:vAlign w:val="center"/>
            <w:hideMark/>
          </w:tcPr>
          <w:p w14:paraId="130D592F"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02232A7B"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t xml:space="preserve">Nohelia del Carmen </w:t>
            </w:r>
            <w:proofErr w:type="spellStart"/>
            <w:r w:rsidRPr="00574963">
              <w:rPr>
                <w:rFonts w:ascii="Arial" w:eastAsia="Times New Roman" w:hAnsi="Arial" w:cs="Arial"/>
                <w:sz w:val="16"/>
                <w:szCs w:val="16"/>
                <w:lang w:eastAsia="es-ES"/>
              </w:rPr>
              <w:t>Zawady</w:t>
            </w:r>
            <w:proofErr w:type="spellEnd"/>
            <w:r w:rsidRPr="00574963">
              <w:rPr>
                <w:rFonts w:ascii="Arial" w:eastAsia="Times New Roman" w:hAnsi="Arial" w:cs="Arial"/>
                <w:sz w:val="16"/>
                <w:szCs w:val="16"/>
                <w:lang w:eastAsia="es-ES"/>
              </w:rPr>
              <w:t xml:space="preserve"> Palacio</w:t>
            </w:r>
          </w:p>
          <w:p w14:paraId="1A217253" w14:textId="77777777" w:rsidR="00325C2F" w:rsidRPr="00574963" w:rsidRDefault="00325C2F" w:rsidP="00606B61">
            <w:pPr>
              <w:rPr>
                <w:rFonts w:ascii="Arial" w:eastAsia="Times New Roman" w:hAnsi="Arial" w:cs="Arial"/>
                <w:sz w:val="16"/>
                <w:szCs w:val="16"/>
                <w:lang w:eastAsia="es-ES"/>
              </w:rPr>
            </w:pPr>
            <w:r w:rsidRPr="00574963">
              <w:rPr>
                <w:rFonts w:ascii="Arial" w:eastAsia="Times New Roman" w:hAnsi="Arial" w:cs="Arial"/>
                <w:sz w:val="16"/>
                <w:szCs w:val="16"/>
                <w:lang w:eastAsia="es-ES"/>
              </w:rPr>
              <w:t>Subdirectora de Gestión Contractual ANCP – CCE</w:t>
            </w:r>
          </w:p>
        </w:tc>
      </w:tr>
      <w:bookmarkEnd w:id="1"/>
      <w:bookmarkEnd w:id="2"/>
      <w:bookmarkEnd w:id="3"/>
      <w:bookmarkEnd w:id="25"/>
    </w:tbl>
    <w:p w14:paraId="7291BA67" w14:textId="77777777" w:rsidR="00325C2F" w:rsidRPr="00574963" w:rsidRDefault="00325C2F" w:rsidP="00325C2F"/>
    <w:p w14:paraId="5BA8E705" w14:textId="77777777" w:rsidR="00325C2F" w:rsidRDefault="00325C2F" w:rsidP="00325C2F">
      <w:pPr>
        <w:spacing w:after="0" w:line="240" w:lineRule="auto"/>
        <w:rPr>
          <w:rFonts w:ascii="Geomanist Light" w:hAnsi="Geomanist Light"/>
          <w:b/>
          <w:color w:val="404040" w:themeColor="text1" w:themeTint="BF"/>
          <w:lang w:val="es-ES"/>
        </w:rPr>
      </w:pPr>
    </w:p>
    <w:p w14:paraId="79B39057" w14:textId="77777777" w:rsidR="00325C2F" w:rsidRDefault="00325C2F" w:rsidP="00325C2F">
      <w:pPr>
        <w:spacing w:after="0" w:line="240" w:lineRule="auto"/>
        <w:rPr>
          <w:rFonts w:ascii="Geomanist Light" w:hAnsi="Geomanist Light"/>
          <w:b/>
          <w:color w:val="404040" w:themeColor="text1" w:themeTint="BF"/>
          <w:lang w:val="es-ES"/>
        </w:rPr>
      </w:pPr>
    </w:p>
    <w:bookmarkEnd w:id="4"/>
    <w:p w14:paraId="78B55E86" w14:textId="77777777" w:rsidR="00325C2F" w:rsidRPr="006219F8" w:rsidRDefault="00325C2F" w:rsidP="00325C2F">
      <w:pPr>
        <w:rPr>
          <w:lang w:val="es-MX"/>
        </w:rPr>
      </w:pPr>
    </w:p>
    <w:p w14:paraId="53B7FE2E" w14:textId="77777777" w:rsidR="009E750A" w:rsidRDefault="009E750A"/>
    <w:sectPr w:rsidR="009E750A" w:rsidSect="0039439C">
      <w:headerReference w:type="default" r:id="rId8"/>
      <w:footerReference w:type="default" r:id="rId9"/>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F496" w14:textId="77777777" w:rsidR="008D3A53" w:rsidRDefault="008D3A53" w:rsidP="00325C2F">
      <w:pPr>
        <w:spacing w:after="0" w:line="240" w:lineRule="auto"/>
      </w:pPr>
      <w:r>
        <w:separator/>
      </w:r>
    </w:p>
  </w:endnote>
  <w:endnote w:type="continuationSeparator" w:id="0">
    <w:p w14:paraId="08FBF020" w14:textId="77777777" w:rsidR="008D3A53" w:rsidRDefault="008D3A53" w:rsidP="0032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FD4" w14:textId="77777777" w:rsidR="004A1847" w:rsidRDefault="00325C2F" w:rsidP="008614E5">
    <w:pPr>
      <w:pStyle w:val="Piedepgina"/>
    </w:pPr>
    <w:r>
      <w:rPr>
        <w:noProof/>
      </w:rPr>
      <w:drawing>
        <wp:inline distT="0" distB="0" distL="0" distR="0" wp14:anchorId="597E83DD" wp14:editId="65959CFC">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65A3E0BB"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4C9FC6D"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3E5B537"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E65F418"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85212F6" w14:textId="77777777" w:rsidR="006219F8" w:rsidRPr="004B6B0E" w:rsidRDefault="00325C2F"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FAE43D4"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6CFB67" w14:textId="77777777" w:rsidR="00A07532" w:rsidRPr="00080DA3" w:rsidRDefault="00325C2F"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F55AA9"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5AF14FE2" w14:textId="77777777" w:rsidR="006219F8" w:rsidRDefault="00000000"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CB8D" w14:textId="77777777" w:rsidR="008D3A53" w:rsidRDefault="008D3A53" w:rsidP="00325C2F">
      <w:pPr>
        <w:spacing w:after="0" w:line="240" w:lineRule="auto"/>
      </w:pPr>
      <w:r>
        <w:separator/>
      </w:r>
    </w:p>
  </w:footnote>
  <w:footnote w:type="continuationSeparator" w:id="0">
    <w:p w14:paraId="3B3A8F6F" w14:textId="77777777" w:rsidR="008D3A53" w:rsidRDefault="008D3A53" w:rsidP="00325C2F">
      <w:pPr>
        <w:spacing w:after="0" w:line="240" w:lineRule="auto"/>
      </w:pPr>
      <w:r>
        <w:continuationSeparator/>
      </w:r>
    </w:p>
  </w:footnote>
  <w:footnote w:id="1">
    <w:p w14:paraId="469E93B0" w14:textId="77777777" w:rsidR="00325C2F" w:rsidRPr="00DF3573" w:rsidRDefault="00325C2F" w:rsidP="00325C2F">
      <w:pPr>
        <w:pStyle w:val="Textonotapie"/>
        <w:ind w:firstLine="708"/>
        <w:jc w:val="both"/>
        <w:rPr>
          <w:rFonts w:ascii="Arial" w:hAnsi="Arial" w:cs="Arial"/>
          <w:sz w:val="12"/>
          <w:szCs w:val="12"/>
        </w:rPr>
      </w:pPr>
    </w:p>
    <w:p w14:paraId="4C94A45F" w14:textId="77777777" w:rsidR="00325C2F" w:rsidRPr="00DF3573" w:rsidRDefault="00325C2F" w:rsidP="00325C2F">
      <w:pPr>
        <w:pStyle w:val="Textonotapie"/>
        <w:ind w:firstLine="708"/>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F3573">
        <w:rPr>
          <w:rFonts w:ascii="Arial" w:hAnsi="Arial" w:cs="Arial"/>
          <w:i/>
          <w:iCs/>
          <w:sz w:val="12"/>
          <w:szCs w:val="12"/>
        </w:rPr>
        <w:t xml:space="preserve">ibidem </w:t>
      </w:r>
      <w:r w:rsidRPr="00DF3573">
        <w:rPr>
          <w:rFonts w:ascii="Arial" w:hAnsi="Arial" w:cs="Arial"/>
          <w:sz w:val="12"/>
          <w:szCs w:val="12"/>
        </w:rPr>
        <w:t>señala, de manera precisa, las funciones de Colombia Compra Eficiente. Concretamente, el numeral 5º de este artículo establece que le corresponde a esta entidad: “[a]</w:t>
      </w:r>
      <w:proofErr w:type="spellStart"/>
      <w:r w:rsidRPr="00DF3573">
        <w:rPr>
          <w:rFonts w:ascii="Arial" w:hAnsi="Arial" w:cs="Arial"/>
          <w:sz w:val="12"/>
          <w:szCs w:val="12"/>
        </w:rPr>
        <w:t>bsolver</w:t>
      </w:r>
      <w:proofErr w:type="spellEnd"/>
      <w:r w:rsidRPr="00DF3573">
        <w:rPr>
          <w:rFonts w:ascii="Arial" w:hAnsi="Arial" w:cs="Arial"/>
          <w:sz w:val="12"/>
          <w:szCs w:val="12"/>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F3573">
        <w:rPr>
          <w:rFonts w:ascii="Arial" w:hAnsi="Arial" w:cs="Arial"/>
          <w:sz w:val="12"/>
          <w:szCs w:val="12"/>
        </w:rPr>
        <w:t>bsolver</w:t>
      </w:r>
      <w:proofErr w:type="spellEnd"/>
      <w:r w:rsidRPr="00DF3573">
        <w:rPr>
          <w:rFonts w:ascii="Arial" w:hAnsi="Arial" w:cs="Arial"/>
          <w:sz w:val="12"/>
          <w:szCs w:val="12"/>
        </w:rPr>
        <w:t xml:space="preserve"> consultas sobre la aplicación de normas de carácter general”.</w:t>
      </w:r>
    </w:p>
    <w:p w14:paraId="7D72BDC1" w14:textId="77777777" w:rsidR="00325C2F" w:rsidRPr="00DF3573" w:rsidRDefault="00325C2F" w:rsidP="00325C2F">
      <w:pPr>
        <w:pStyle w:val="Textonotapie"/>
        <w:ind w:firstLine="708"/>
        <w:jc w:val="both"/>
        <w:rPr>
          <w:rFonts w:ascii="Arial" w:hAnsi="Arial" w:cs="Arial"/>
          <w:sz w:val="12"/>
          <w:szCs w:val="12"/>
          <w:lang w:val="es-ES"/>
        </w:rPr>
      </w:pPr>
    </w:p>
  </w:footnote>
  <w:footnote w:id="2">
    <w:p w14:paraId="35E68EDF" w14:textId="77777777" w:rsidR="00325C2F" w:rsidRPr="00DF3573" w:rsidRDefault="00325C2F" w:rsidP="00325C2F">
      <w:pPr>
        <w:pStyle w:val="Textonotapie"/>
        <w:ind w:firstLine="708"/>
        <w:jc w:val="both"/>
        <w:rPr>
          <w:rFonts w:ascii="Arial" w:hAnsi="Arial" w:cs="Arial"/>
          <w:sz w:val="12"/>
          <w:szCs w:val="12"/>
          <w:lang w:val="es-CO"/>
        </w:rPr>
      </w:pPr>
      <w:r w:rsidRPr="00DF3573">
        <w:rPr>
          <w:rStyle w:val="Refdenotaalpie"/>
          <w:rFonts w:ascii="Arial" w:hAnsi="Arial" w:cs="Arial"/>
          <w:sz w:val="12"/>
          <w:szCs w:val="12"/>
        </w:rPr>
        <w:footnoteRef/>
      </w:r>
      <w:r w:rsidRPr="00DF3573">
        <w:rPr>
          <w:rFonts w:ascii="Arial" w:hAnsi="Arial" w:cs="Arial"/>
          <w:sz w:val="12"/>
          <w:szCs w:val="12"/>
        </w:rPr>
        <w:t xml:space="preserve"> Colombia Compra Eficiente, también se pronunció sobre la Ley 996 de 2005 en los Conceptos C-074 del 17 de marzo de 2021, C-075 del 16 de marzo de 2021, C-227 de 2021 del 5 de mayo de 2021, C-259 del 2 de junio de 2021, C-296 del 22 de junio de 2021,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y C-098 del 9 de marzo de 2022.</w:t>
      </w:r>
    </w:p>
  </w:footnote>
  <w:footnote w:id="3">
    <w:p w14:paraId="6903E14B" w14:textId="77777777" w:rsidR="00325C2F" w:rsidRPr="00DF3573" w:rsidRDefault="00325C2F" w:rsidP="00325C2F">
      <w:pPr>
        <w:pStyle w:val="Textonotapie"/>
        <w:ind w:firstLine="709"/>
        <w:contextualSpacing/>
        <w:jc w:val="both"/>
        <w:rPr>
          <w:rFonts w:ascii="Arial" w:hAnsi="Arial" w:cs="Arial"/>
          <w:sz w:val="12"/>
          <w:szCs w:val="12"/>
        </w:rPr>
      </w:pPr>
    </w:p>
    <w:p w14:paraId="54E6E3BF" w14:textId="77777777" w:rsidR="00325C2F" w:rsidRPr="00DF3573" w:rsidRDefault="00325C2F" w:rsidP="00325C2F">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8BBE6A3" w14:textId="77777777" w:rsidR="00325C2F" w:rsidRPr="00DF3573" w:rsidRDefault="00325C2F" w:rsidP="00325C2F">
      <w:pPr>
        <w:pStyle w:val="Textonotapie"/>
        <w:ind w:firstLine="709"/>
        <w:contextualSpacing/>
        <w:jc w:val="both"/>
        <w:rPr>
          <w:rFonts w:ascii="Arial" w:hAnsi="Arial" w:cs="Arial"/>
          <w:sz w:val="12"/>
          <w:szCs w:val="12"/>
        </w:rPr>
      </w:pPr>
    </w:p>
    <w:p w14:paraId="1B8BC34C" w14:textId="77777777" w:rsidR="00325C2F" w:rsidRPr="00DF3573" w:rsidRDefault="00325C2F" w:rsidP="00325C2F">
      <w:pPr>
        <w:pStyle w:val="Textonotapie"/>
        <w:ind w:firstLine="709"/>
        <w:contextualSpacing/>
        <w:jc w:val="both"/>
        <w:rPr>
          <w:rFonts w:ascii="Arial" w:hAnsi="Arial" w:cs="Arial"/>
          <w:sz w:val="12"/>
          <w:szCs w:val="12"/>
        </w:rPr>
      </w:pPr>
      <w:r w:rsidRPr="00DF3573">
        <w:rPr>
          <w:rFonts w:ascii="Arial" w:hAnsi="Arial" w:cs="Arial"/>
          <w:sz w:val="12"/>
          <w:szCs w:val="12"/>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BD00A68" w14:textId="77777777" w:rsidR="00325C2F" w:rsidRPr="00DF3573" w:rsidRDefault="00325C2F" w:rsidP="00325C2F">
      <w:pPr>
        <w:pStyle w:val="Textonotapie"/>
        <w:ind w:firstLine="709"/>
        <w:contextualSpacing/>
        <w:jc w:val="both"/>
        <w:rPr>
          <w:rFonts w:ascii="Arial" w:hAnsi="Arial" w:cs="Arial"/>
          <w:sz w:val="12"/>
          <w:szCs w:val="12"/>
        </w:rPr>
      </w:pPr>
    </w:p>
  </w:footnote>
  <w:footnote w:id="4">
    <w:p w14:paraId="572C22C7" w14:textId="77777777" w:rsidR="00325C2F" w:rsidRPr="00DF3573" w:rsidRDefault="00325C2F" w:rsidP="00325C2F">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Gaceta del Congreso de la República No. 71 del 2005.</w:t>
      </w:r>
    </w:p>
  </w:footnote>
  <w:footnote w:id="5">
    <w:p w14:paraId="533F14D1" w14:textId="77777777" w:rsidR="00325C2F" w:rsidRPr="00DF3573" w:rsidRDefault="00325C2F" w:rsidP="00325C2F">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Corte Constitucional, Sentencia C- 1153 de 2005, M.P. Marco Gerardo Monroy Cabra.</w:t>
      </w:r>
    </w:p>
    <w:p w14:paraId="360E7EAD" w14:textId="77777777" w:rsidR="00325C2F" w:rsidRPr="00DF3573" w:rsidRDefault="00325C2F" w:rsidP="00325C2F">
      <w:pPr>
        <w:pStyle w:val="Textonotapie"/>
        <w:ind w:firstLine="709"/>
        <w:contextualSpacing/>
        <w:jc w:val="both"/>
        <w:rPr>
          <w:rFonts w:ascii="Arial" w:hAnsi="Arial" w:cs="Arial"/>
          <w:sz w:val="12"/>
          <w:szCs w:val="12"/>
        </w:rPr>
      </w:pPr>
    </w:p>
  </w:footnote>
  <w:footnote w:id="6">
    <w:p w14:paraId="651E8A23" w14:textId="77777777" w:rsidR="00325C2F" w:rsidRPr="00DF3573" w:rsidRDefault="00325C2F" w:rsidP="00325C2F">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5FA65201" w14:textId="77777777" w:rsidR="00325C2F" w:rsidRPr="00DF3573" w:rsidRDefault="00325C2F" w:rsidP="00325C2F">
      <w:pPr>
        <w:pStyle w:val="Textonotapie"/>
        <w:ind w:firstLine="709"/>
        <w:contextualSpacing/>
        <w:jc w:val="both"/>
        <w:rPr>
          <w:rFonts w:ascii="Arial" w:hAnsi="Arial" w:cs="Arial"/>
          <w:sz w:val="12"/>
          <w:szCs w:val="12"/>
        </w:rPr>
      </w:pPr>
    </w:p>
  </w:footnote>
  <w:footnote w:id="7">
    <w:p w14:paraId="0AA4E2C8" w14:textId="77777777" w:rsidR="00325C2F" w:rsidRPr="00DF3573" w:rsidRDefault="00325C2F" w:rsidP="00325C2F">
      <w:pPr>
        <w:pStyle w:val="Textonotapie"/>
        <w:ind w:firstLine="709"/>
        <w:contextualSpacing/>
        <w:jc w:val="both"/>
        <w:rPr>
          <w:rFonts w:ascii="Arial" w:hAnsi="Arial" w:cs="Arial"/>
          <w:sz w:val="12"/>
          <w:szCs w:val="12"/>
          <w:lang w:val="es-CO"/>
        </w:rPr>
      </w:pPr>
      <w:r w:rsidRPr="00DF3573">
        <w:rPr>
          <w:rStyle w:val="Refdenotaalpie"/>
          <w:rFonts w:ascii="Arial" w:hAnsi="Arial" w:cs="Arial"/>
          <w:sz w:val="12"/>
          <w:szCs w:val="12"/>
        </w:rPr>
        <w:footnoteRef/>
      </w:r>
      <w:r w:rsidRPr="00DF3573">
        <w:rPr>
          <w:rFonts w:ascii="Arial" w:hAnsi="Arial" w:cs="Arial"/>
          <w:sz w:val="12"/>
          <w:szCs w:val="12"/>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729CD424" w14:textId="77777777" w:rsidR="00325C2F" w:rsidRPr="00DF3573" w:rsidRDefault="00325C2F" w:rsidP="00325C2F">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de fecha 24 de julio de 2013, radicado 2166, Consejero Ponente: Álvaro </w:t>
      </w:r>
      <w:proofErr w:type="spellStart"/>
      <w:r w:rsidRPr="00DF3573">
        <w:rPr>
          <w:rFonts w:ascii="Arial" w:hAnsi="Arial" w:cs="Arial"/>
          <w:sz w:val="12"/>
          <w:szCs w:val="12"/>
        </w:rPr>
        <w:t>Namén</w:t>
      </w:r>
      <w:proofErr w:type="spellEnd"/>
      <w:r w:rsidRPr="00DF3573">
        <w:rPr>
          <w:rFonts w:ascii="Arial" w:hAnsi="Arial" w:cs="Arial"/>
          <w:sz w:val="12"/>
          <w:szCs w:val="12"/>
        </w:rPr>
        <w:t xml:space="preserve"> Vargas. </w:t>
      </w:r>
    </w:p>
    <w:p w14:paraId="05835FD8" w14:textId="77777777" w:rsidR="00325C2F" w:rsidRPr="00DF3573" w:rsidRDefault="00325C2F" w:rsidP="00325C2F">
      <w:pPr>
        <w:pStyle w:val="Textonotapie"/>
        <w:ind w:firstLine="709"/>
        <w:contextualSpacing/>
        <w:jc w:val="both"/>
        <w:rPr>
          <w:rFonts w:ascii="Arial" w:hAnsi="Arial" w:cs="Arial"/>
          <w:sz w:val="12"/>
          <w:szCs w:val="12"/>
        </w:rPr>
      </w:pPr>
      <w:r w:rsidRPr="00DF3573">
        <w:rPr>
          <w:rFonts w:ascii="Arial" w:hAnsi="Arial" w:cs="Arial"/>
          <w:sz w:val="12"/>
          <w:szCs w:val="12"/>
        </w:rPr>
        <w:t xml:space="preserve"> </w:t>
      </w:r>
    </w:p>
  </w:footnote>
  <w:footnote w:id="9">
    <w:p w14:paraId="1C009133" w14:textId="77777777" w:rsidR="00325C2F" w:rsidRPr="00DF3573" w:rsidRDefault="00325C2F" w:rsidP="00325C2F">
      <w:pPr>
        <w:spacing w:line="240" w:lineRule="auto"/>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12" w:name="33"/>
      <w:r w:rsidRPr="00DF3573">
        <w:rPr>
          <w:rFonts w:ascii="Arial" w:eastAsia="Calibri" w:hAnsi="Arial" w:cs="Arial"/>
          <w:color w:val="000000"/>
          <w:sz w:val="12"/>
          <w:szCs w:val="12"/>
        </w:rPr>
        <w:t>“</w:t>
      </w:r>
      <w:r w:rsidRPr="00DF3573">
        <w:rPr>
          <w:rFonts w:ascii="Arial" w:hAnsi="Arial" w:cs="Arial"/>
          <w:sz w:val="12"/>
          <w:szCs w:val="12"/>
        </w:rPr>
        <w:t>Artículo 33. Restricciones a la contratación pública.</w:t>
      </w:r>
      <w:bookmarkEnd w:id="12"/>
      <w:r w:rsidRPr="00DF3573">
        <w:rPr>
          <w:rFonts w:ascii="Arial" w:hAnsi="Arial" w:cs="Arial"/>
          <w:sz w:val="12"/>
          <w:szCs w:val="12"/>
        </w:rPr>
        <w:t> Durante los cuatro (4) meses anteriores a la elección presidencial y hasta la realización de la elección en la segunda vuelta, si fuere el caso, queda prohibida la contratación directa por parte de todos los entes del Estado.</w:t>
      </w:r>
    </w:p>
    <w:p w14:paraId="5CCF200D" w14:textId="77777777" w:rsidR="00325C2F" w:rsidRPr="00DF3573" w:rsidRDefault="00325C2F" w:rsidP="00325C2F">
      <w:pPr>
        <w:spacing w:line="240" w:lineRule="auto"/>
        <w:ind w:firstLine="709"/>
        <w:contextualSpacing/>
        <w:jc w:val="both"/>
        <w:rPr>
          <w:rFonts w:ascii="Arial" w:hAnsi="Arial" w:cs="Arial"/>
          <w:sz w:val="12"/>
          <w:szCs w:val="12"/>
        </w:rPr>
      </w:pPr>
    </w:p>
    <w:p w14:paraId="110D7A5A" w14:textId="77777777" w:rsidR="00325C2F" w:rsidRPr="00DF3573" w:rsidRDefault="00325C2F" w:rsidP="00325C2F">
      <w:pPr>
        <w:spacing w:after="0" w:line="240" w:lineRule="auto"/>
        <w:ind w:firstLine="709"/>
        <w:contextualSpacing/>
        <w:jc w:val="both"/>
        <w:rPr>
          <w:rFonts w:ascii="Arial" w:hAnsi="Arial" w:cs="Arial"/>
          <w:sz w:val="12"/>
          <w:szCs w:val="12"/>
        </w:rPr>
      </w:pPr>
      <w:r w:rsidRPr="00DF3573">
        <w:rPr>
          <w:rFonts w:ascii="Arial" w:hAnsi="Arial" w:cs="Arial"/>
          <w:sz w:val="12"/>
          <w:szCs w:val="12"/>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w:t>
      </w:r>
    </w:p>
  </w:footnote>
  <w:footnote w:id="10">
    <w:p w14:paraId="4D1B8A30" w14:textId="77777777" w:rsidR="00325C2F" w:rsidRPr="00DF3573" w:rsidRDefault="00325C2F" w:rsidP="00325C2F">
      <w:pPr>
        <w:pStyle w:val="NormalWeb"/>
        <w:spacing w:after="0" w:line="240" w:lineRule="auto"/>
        <w:ind w:firstLine="709"/>
        <w:contextualSpacing/>
        <w:rPr>
          <w:rFonts w:ascii="Arial" w:hAnsi="Arial" w:cs="Arial"/>
          <w:sz w:val="12"/>
          <w:szCs w:val="12"/>
        </w:rPr>
      </w:pPr>
    </w:p>
    <w:p w14:paraId="349135D2" w14:textId="77777777" w:rsidR="00325C2F" w:rsidRPr="00DF3573" w:rsidRDefault="00325C2F" w:rsidP="00325C2F">
      <w:pPr>
        <w:pStyle w:val="NormalWeb"/>
        <w:spacing w:after="0" w:line="240" w:lineRule="auto"/>
        <w:ind w:firstLine="709"/>
        <w:contextualSpacing/>
        <w:rPr>
          <w:rFonts w:ascii="Arial" w:hAnsi="Arial" w:cs="Arial"/>
          <w:sz w:val="12"/>
          <w:szCs w:val="12"/>
          <w:lang w:val="es-MX"/>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13" w:name="38"/>
      <w:r w:rsidRPr="00DF3573">
        <w:rPr>
          <w:rFonts w:ascii="Arial" w:eastAsia="Calibri" w:hAnsi="Arial" w:cs="Arial"/>
          <w:color w:val="000000"/>
          <w:sz w:val="12"/>
          <w:szCs w:val="12"/>
        </w:rPr>
        <w:t>“</w:t>
      </w:r>
      <w:r w:rsidRPr="00DF3573">
        <w:rPr>
          <w:rFonts w:ascii="Arial" w:hAnsi="Arial" w:cs="Arial"/>
          <w:sz w:val="12"/>
          <w:szCs w:val="12"/>
          <w:lang w:val="es-MX"/>
        </w:rPr>
        <w:t>Artículo 38. Prohibiciones para los servidores públicos. A los empleados del Estado les está prohibido:</w:t>
      </w:r>
      <w:bookmarkEnd w:id="13"/>
    </w:p>
    <w:p w14:paraId="41CA7FB9" w14:textId="77777777" w:rsidR="00325C2F" w:rsidRPr="00DF3573" w:rsidRDefault="00325C2F" w:rsidP="00325C2F">
      <w:pPr>
        <w:pStyle w:val="NormalWeb"/>
        <w:spacing w:after="0" w:line="240" w:lineRule="auto"/>
        <w:ind w:firstLine="709"/>
        <w:contextualSpacing/>
        <w:rPr>
          <w:rFonts w:ascii="Arial" w:hAnsi="Arial" w:cs="Arial"/>
          <w:sz w:val="12"/>
          <w:szCs w:val="12"/>
          <w:lang w:val="es-MX"/>
        </w:rPr>
      </w:pPr>
      <w:r w:rsidRPr="00DF3573">
        <w:rPr>
          <w:rFonts w:ascii="Arial" w:hAnsi="Arial" w:cs="Arial"/>
          <w:sz w:val="12"/>
          <w:szCs w:val="12"/>
          <w:lang w:val="es-MX"/>
        </w:rPr>
        <w:t>[…]</w:t>
      </w:r>
    </w:p>
    <w:p w14:paraId="1092AC29" w14:textId="77777777" w:rsidR="00325C2F" w:rsidRPr="00DF3573" w:rsidRDefault="00325C2F" w:rsidP="00325C2F">
      <w:pPr>
        <w:pStyle w:val="NormalWeb"/>
        <w:spacing w:after="0" w:line="240" w:lineRule="auto"/>
        <w:ind w:firstLine="709"/>
        <w:contextualSpacing/>
        <w:rPr>
          <w:rFonts w:ascii="Arial" w:eastAsia="Calibri" w:hAnsi="Arial" w:cs="Arial"/>
          <w:color w:val="000000"/>
          <w:sz w:val="12"/>
          <w:szCs w:val="12"/>
        </w:rPr>
      </w:pPr>
      <w:r w:rsidRPr="00DF3573">
        <w:rPr>
          <w:rStyle w:val="baj"/>
          <w:rFonts w:ascii="Arial" w:hAnsi="Arial" w:cs="Arial"/>
          <w:sz w:val="12"/>
          <w:szCs w:val="12"/>
          <w:lang w:val="es-MX"/>
        </w:rPr>
        <w:t>Parágrafo.</w:t>
      </w:r>
      <w:r w:rsidRPr="00DF3573">
        <w:rPr>
          <w:rFonts w:ascii="Arial" w:hAnsi="Arial" w:cs="Arial"/>
          <w:sz w:val="12"/>
          <w:szCs w:val="12"/>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F3573">
        <w:rPr>
          <w:rFonts w:ascii="Arial" w:eastAsia="Calibri" w:hAnsi="Arial" w:cs="Arial"/>
          <w:color w:val="000000"/>
          <w:sz w:val="12"/>
          <w:szCs w:val="12"/>
        </w:rPr>
        <w:t>”.</w:t>
      </w:r>
    </w:p>
    <w:p w14:paraId="65E34D1A" w14:textId="77777777" w:rsidR="00325C2F" w:rsidRPr="00DF3573" w:rsidRDefault="00325C2F" w:rsidP="00325C2F">
      <w:pPr>
        <w:pStyle w:val="NormalWeb"/>
        <w:spacing w:after="0" w:line="240" w:lineRule="auto"/>
        <w:ind w:firstLine="709"/>
        <w:contextualSpacing/>
        <w:rPr>
          <w:rFonts w:ascii="Arial" w:hAnsi="Arial" w:cs="Arial"/>
          <w:sz w:val="12"/>
          <w:szCs w:val="12"/>
          <w:lang w:val="es-MX"/>
        </w:rPr>
      </w:pPr>
    </w:p>
  </w:footnote>
  <w:footnote w:id="11">
    <w:p w14:paraId="5C11BEBA" w14:textId="77777777" w:rsidR="00325C2F" w:rsidRPr="00DF3573" w:rsidRDefault="00325C2F" w:rsidP="00325C2F">
      <w:pPr>
        <w:spacing w:line="240" w:lineRule="auto"/>
        <w:ind w:left="100" w:right="244"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17 de febrero de 2015. C.P. William Zambrano Cetina. Radicación No. 11001-03-06-000-2015-00164-00(2269).</w:t>
      </w:r>
    </w:p>
  </w:footnote>
  <w:footnote w:id="12">
    <w:p w14:paraId="2FCECF12" w14:textId="77777777" w:rsidR="00325C2F" w:rsidRPr="00DF3573" w:rsidRDefault="00325C2F" w:rsidP="00325C2F">
      <w:pPr>
        <w:pStyle w:val="Textonotapie"/>
        <w:ind w:right="51"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sz w:val="12"/>
          <w:szCs w:val="12"/>
          <w:lang w:val="es-ES"/>
        </w:rPr>
        <w:t xml:space="preserve">[25] </w:t>
      </w:r>
      <w:r w:rsidRPr="00DF3573">
        <w:rPr>
          <w:rFonts w:ascii="Arial" w:hAnsi="Arial" w:cs="Arial"/>
          <w:sz w:val="12"/>
          <w:szCs w:val="12"/>
        </w:rPr>
        <w:t>Cfr. Consejo de Estado. Sección Tercera. Sentencia de 3 de diciembre de 2007. Radicados: 24.715, 25.206, 25.409, 24.524, 27.834, 25.410, 26.105, 28.244, 31.447 -acumulados-”.</w:t>
      </w:r>
    </w:p>
  </w:footnote>
  <w:footnote w:id="13">
    <w:p w14:paraId="2BEAB5CA" w14:textId="77777777" w:rsidR="00325C2F" w:rsidRPr="00DF3573" w:rsidRDefault="00325C2F" w:rsidP="00325C2F">
      <w:pPr>
        <w:pStyle w:val="Textonotapie"/>
        <w:ind w:right="51" w:firstLine="709"/>
        <w:contextualSpacing/>
        <w:jc w:val="both"/>
        <w:rPr>
          <w:rFonts w:ascii="Arial" w:hAnsi="Arial" w:cs="Arial"/>
          <w:sz w:val="12"/>
          <w:szCs w:val="12"/>
        </w:rPr>
      </w:pPr>
    </w:p>
    <w:p w14:paraId="664CCE76" w14:textId="77777777" w:rsidR="00325C2F" w:rsidRPr="00DF3573" w:rsidRDefault="00325C2F" w:rsidP="00325C2F">
      <w:pPr>
        <w:pStyle w:val="Textonotapie"/>
        <w:ind w:right="51"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17" w:name="_Hlk74294506"/>
      <w:r w:rsidRPr="00DF3573">
        <w:rPr>
          <w:rFonts w:ascii="Arial" w:hAnsi="Arial" w:cs="Arial"/>
          <w:sz w:val="12"/>
          <w:szCs w:val="12"/>
        </w:rPr>
        <w:t>“</w:t>
      </w:r>
      <w:r w:rsidRPr="00DF3573">
        <w:rPr>
          <w:rFonts w:ascii="Arial" w:hAnsi="Arial" w:cs="Arial"/>
          <w:sz w:val="12"/>
          <w:szCs w:val="12"/>
          <w:lang w:val="es-ES"/>
        </w:rPr>
        <w:t xml:space="preserve">[26] </w:t>
      </w:r>
      <w:bookmarkEnd w:id="17"/>
      <w:r w:rsidRPr="00DF3573">
        <w:rPr>
          <w:rFonts w:ascii="Arial" w:hAnsi="Arial" w:cs="Arial"/>
          <w:sz w:val="12"/>
          <w:szCs w:val="12"/>
        </w:rPr>
        <w:t>Al respecto ver el concepto 1712 de 2 de febrero de 2006. Consejo de Estado Sala de Consulta y Servicio Civil”.</w:t>
      </w:r>
    </w:p>
    <w:p w14:paraId="2B997B08" w14:textId="77777777" w:rsidR="00325C2F" w:rsidRPr="00DF3573" w:rsidRDefault="00325C2F" w:rsidP="00325C2F">
      <w:pPr>
        <w:pStyle w:val="Textonotapie"/>
        <w:ind w:right="51" w:firstLine="709"/>
        <w:contextualSpacing/>
        <w:jc w:val="both"/>
        <w:rPr>
          <w:rFonts w:ascii="Arial" w:hAnsi="Arial" w:cs="Arial"/>
          <w:sz w:val="12"/>
          <w:szCs w:val="12"/>
        </w:rPr>
      </w:pPr>
    </w:p>
  </w:footnote>
  <w:footnote w:id="14">
    <w:p w14:paraId="3A11A68B" w14:textId="77777777" w:rsidR="00325C2F" w:rsidRPr="00DF3573" w:rsidRDefault="00325C2F" w:rsidP="00325C2F">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2 de septiembre de 2013. Radicación número: 11001-03-06-000-2013-00412-00 (2168). Consejero Ponente: Álvaro </w:t>
      </w:r>
      <w:proofErr w:type="spellStart"/>
      <w:r w:rsidRPr="00DF3573">
        <w:rPr>
          <w:rFonts w:ascii="Arial" w:hAnsi="Arial" w:cs="Arial"/>
          <w:sz w:val="12"/>
          <w:szCs w:val="12"/>
        </w:rPr>
        <w:t>Namén</w:t>
      </w:r>
      <w:proofErr w:type="spellEnd"/>
      <w:r w:rsidRPr="00DF3573">
        <w:rPr>
          <w:rFonts w:ascii="Arial" w:hAnsi="Arial" w:cs="Arial"/>
          <w:sz w:val="12"/>
          <w:szCs w:val="12"/>
        </w:rPr>
        <w:t xml:space="preserve"> Vargas.</w:t>
      </w:r>
    </w:p>
  </w:footnote>
  <w:footnote w:id="15">
    <w:p w14:paraId="522EE4A8" w14:textId="77777777" w:rsidR="00325C2F" w:rsidRPr="00DF3573" w:rsidRDefault="00325C2F" w:rsidP="00325C2F">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sz w:val="12"/>
          <w:szCs w:val="12"/>
          <w:lang w:val="es-ES"/>
        </w:rPr>
        <w:t>Artículo 2.</w:t>
      </w:r>
    </w:p>
    <w:p w14:paraId="6C06E9C7" w14:textId="77777777" w:rsidR="00325C2F" w:rsidRPr="00DF3573" w:rsidRDefault="00325C2F" w:rsidP="00325C2F">
      <w:pPr>
        <w:pStyle w:val="Textonotapie"/>
        <w:ind w:firstLine="709"/>
        <w:contextualSpacing/>
        <w:jc w:val="both"/>
        <w:rPr>
          <w:rFonts w:ascii="Arial" w:hAnsi="Arial" w:cs="Arial"/>
          <w:sz w:val="12"/>
          <w:szCs w:val="12"/>
          <w:lang w:val="es-ES"/>
        </w:rPr>
      </w:pPr>
      <w:r w:rsidRPr="00DF3573">
        <w:rPr>
          <w:rFonts w:ascii="Arial" w:hAnsi="Arial" w:cs="Arial"/>
          <w:sz w:val="12"/>
          <w:szCs w:val="12"/>
          <w:lang w:val="es-ES"/>
        </w:rPr>
        <w:t xml:space="preserve"> </w:t>
      </w:r>
    </w:p>
  </w:footnote>
  <w:footnote w:id="16">
    <w:p w14:paraId="604374F2" w14:textId="77777777" w:rsidR="00325C2F" w:rsidRPr="00DF3573" w:rsidRDefault="00325C2F" w:rsidP="00325C2F">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i/>
          <w:sz w:val="12"/>
          <w:szCs w:val="12"/>
          <w:lang w:val="es-ES"/>
        </w:rPr>
        <w:t>Ídem</w:t>
      </w:r>
      <w:r w:rsidRPr="00DF3573">
        <w:rPr>
          <w:rFonts w:ascii="Arial" w:hAnsi="Arial" w:cs="Arial"/>
          <w:sz w:val="12"/>
          <w:szCs w:val="12"/>
          <w:lang w:val="es-ES"/>
        </w:rPr>
        <w:t>.</w:t>
      </w:r>
    </w:p>
    <w:p w14:paraId="16EA5949" w14:textId="77777777" w:rsidR="00325C2F" w:rsidRPr="00DF3573" w:rsidRDefault="00325C2F" w:rsidP="00325C2F">
      <w:pPr>
        <w:pStyle w:val="Textonotapie"/>
        <w:ind w:firstLine="709"/>
        <w:contextualSpacing/>
        <w:jc w:val="both"/>
        <w:rPr>
          <w:rFonts w:ascii="Arial" w:hAnsi="Arial" w:cs="Arial"/>
          <w:sz w:val="12"/>
          <w:szCs w:val="12"/>
          <w:lang w:val="es-ES"/>
        </w:rPr>
      </w:pPr>
    </w:p>
  </w:footnote>
  <w:footnote w:id="17">
    <w:p w14:paraId="376FF22D" w14:textId="77777777" w:rsidR="00325C2F" w:rsidRPr="00DF3573" w:rsidRDefault="00325C2F" w:rsidP="00325C2F">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Style w:val="Refdenotaalpie"/>
          <w:rFonts w:ascii="Arial" w:hAnsi="Arial" w:cs="Arial"/>
          <w:sz w:val="12"/>
          <w:szCs w:val="12"/>
        </w:rPr>
        <w:t xml:space="preserve"> </w:t>
      </w:r>
      <w:r w:rsidRPr="00DF3573">
        <w:rPr>
          <w:rFonts w:ascii="Arial" w:hAnsi="Arial" w:cs="Arial"/>
          <w:sz w:val="12"/>
          <w:szCs w:val="12"/>
          <w:lang w:val="es-ES"/>
        </w:rPr>
        <w:t>“[…] A este respecto, cabe recordar que el artículo 860 del Código de Comercio regula la licitación en el derecho privado”.</w:t>
      </w:r>
    </w:p>
    <w:p w14:paraId="5CAA8C13" w14:textId="77777777" w:rsidR="00325C2F" w:rsidRPr="00DF3573" w:rsidRDefault="00325C2F" w:rsidP="00325C2F">
      <w:pPr>
        <w:pStyle w:val="Textonotapie"/>
        <w:ind w:firstLine="709"/>
        <w:contextualSpacing/>
        <w:jc w:val="both"/>
        <w:rPr>
          <w:rFonts w:ascii="Arial" w:hAnsi="Arial" w:cs="Arial"/>
          <w:sz w:val="12"/>
          <w:szCs w:val="12"/>
          <w:lang w:val="es-ES"/>
        </w:rPr>
      </w:pPr>
      <w:r w:rsidRPr="00DF3573">
        <w:rPr>
          <w:rFonts w:ascii="Arial" w:hAnsi="Arial" w:cs="Arial"/>
          <w:sz w:val="12"/>
          <w:szCs w:val="12"/>
          <w:lang w:val="es-ES"/>
        </w:rPr>
        <w:t xml:space="preserve"> </w:t>
      </w:r>
    </w:p>
  </w:footnote>
  <w:footnote w:id="18">
    <w:p w14:paraId="15CCAC0B" w14:textId="77777777" w:rsidR="00325C2F" w:rsidRPr="00DF3573" w:rsidRDefault="00325C2F" w:rsidP="00325C2F">
      <w:pPr>
        <w:shd w:val="clear" w:color="auto" w:fill="FFFFFF"/>
        <w:spacing w:line="240" w:lineRule="auto"/>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Style w:val="Refdenotaalpie"/>
          <w:rFonts w:ascii="Arial" w:hAnsi="Arial" w:cs="Arial"/>
          <w:sz w:val="12"/>
          <w:szCs w:val="12"/>
        </w:rPr>
        <w:t xml:space="preserve"> </w:t>
      </w:r>
      <w:r w:rsidRPr="00DF3573">
        <w:rPr>
          <w:rFonts w:ascii="Arial" w:hAnsi="Arial" w:cs="Arial"/>
          <w:sz w:val="12"/>
          <w:szCs w:val="12"/>
          <w:lang w:val="es-ES"/>
        </w:rPr>
        <w:t xml:space="preserve">Consejo de Estado. Sala de Consulta y Servicio Civil, Concepto de 8 de mayo de 2018. Radicación Número: 11001-03-06-000-2018-00095-00(2382). Consejero Ponente: Álvaro </w:t>
      </w:r>
      <w:proofErr w:type="spellStart"/>
      <w:r w:rsidRPr="00DF3573">
        <w:rPr>
          <w:rFonts w:ascii="Arial" w:hAnsi="Arial" w:cs="Arial"/>
          <w:sz w:val="12"/>
          <w:szCs w:val="12"/>
          <w:lang w:val="es-ES"/>
        </w:rPr>
        <w:t>Namén</w:t>
      </w:r>
      <w:proofErr w:type="spellEnd"/>
      <w:r w:rsidRPr="00DF3573">
        <w:rPr>
          <w:rFonts w:ascii="Arial" w:hAnsi="Arial" w:cs="Arial"/>
          <w:sz w:val="12"/>
          <w:szCs w:val="12"/>
          <w:lang w:val="es-ES"/>
        </w:rPr>
        <w:t xml:space="preserve"> Vargas.</w:t>
      </w:r>
    </w:p>
  </w:footnote>
  <w:footnote w:id="19">
    <w:p w14:paraId="67F0CE20" w14:textId="77777777" w:rsidR="00325C2F" w:rsidRPr="00DF3573" w:rsidRDefault="00325C2F" w:rsidP="00325C2F">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08 de mayo de 2018. </w:t>
      </w:r>
      <w:proofErr w:type="spellStart"/>
      <w:r w:rsidRPr="00DF3573">
        <w:rPr>
          <w:rFonts w:ascii="Arial" w:hAnsi="Arial" w:cs="Arial"/>
          <w:sz w:val="12"/>
          <w:szCs w:val="12"/>
        </w:rPr>
        <w:t>Exp</w:t>
      </w:r>
      <w:proofErr w:type="spellEnd"/>
      <w:r w:rsidRPr="00DF3573">
        <w:rPr>
          <w:rFonts w:ascii="Arial" w:hAnsi="Arial" w:cs="Arial"/>
          <w:sz w:val="12"/>
          <w:szCs w:val="12"/>
        </w:rPr>
        <w:t xml:space="preserve">. 2.382. C.P. Álvaro </w:t>
      </w:r>
      <w:proofErr w:type="spellStart"/>
      <w:r w:rsidRPr="00DF3573">
        <w:rPr>
          <w:rFonts w:ascii="Arial" w:hAnsi="Arial" w:cs="Arial"/>
          <w:sz w:val="12"/>
          <w:szCs w:val="12"/>
        </w:rPr>
        <w:t>Namén</w:t>
      </w:r>
      <w:proofErr w:type="spellEnd"/>
      <w:r w:rsidRPr="00DF3573">
        <w:rPr>
          <w:rFonts w:ascii="Arial" w:hAnsi="Arial" w:cs="Arial"/>
          <w:sz w:val="12"/>
          <w:szCs w:val="12"/>
        </w:rPr>
        <w:t xml:space="preserve"> Vargas.</w:t>
      </w:r>
    </w:p>
    <w:p w14:paraId="1C20A14E" w14:textId="77777777" w:rsidR="00325C2F" w:rsidRPr="00DF3573" w:rsidRDefault="00325C2F" w:rsidP="00325C2F">
      <w:pPr>
        <w:pStyle w:val="Textonotapie"/>
        <w:ind w:firstLine="709"/>
        <w:contextualSpacing/>
        <w:jc w:val="both"/>
        <w:rPr>
          <w:rFonts w:ascii="Arial" w:hAnsi="Arial" w:cs="Arial"/>
          <w:sz w:val="12"/>
          <w:szCs w:val="12"/>
        </w:rPr>
      </w:pPr>
    </w:p>
  </w:footnote>
  <w:footnote w:id="20">
    <w:p w14:paraId="2AD8F498" w14:textId="77777777" w:rsidR="00325C2F" w:rsidRPr="00DF3573" w:rsidRDefault="00325C2F" w:rsidP="00325C2F">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 20 de febrero de2006. Radicación 11001-03-06-000-2006-00023-00(1724). Consejero Ponente: Flavio Augusto Rodríguez Arce.</w:t>
      </w:r>
    </w:p>
    <w:p w14:paraId="602C3B17" w14:textId="77777777" w:rsidR="00325C2F" w:rsidRPr="00DF3573" w:rsidRDefault="00325C2F" w:rsidP="00325C2F">
      <w:pPr>
        <w:pStyle w:val="Textonotapie"/>
        <w:ind w:firstLine="709"/>
        <w:contextualSpacing/>
        <w:jc w:val="both"/>
        <w:rPr>
          <w:rFonts w:ascii="Arial" w:hAnsi="Arial" w:cs="Arial"/>
          <w:sz w:val="12"/>
          <w:szCs w:val="12"/>
        </w:rPr>
      </w:pPr>
    </w:p>
  </w:footnote>
  <w:footnote w:id="21">
    <w:p w14:paraId="1BE3D353" w14:textId="77777777" w:rsidR="00325C2F" w:rsidRPr="00DF3573" w:rsidRDefault="00325C2F" w:rsidP="00325C2F">
      <w:pPr>
        <w:spacing w:line="240" w:lineRule="auto"/>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E2ED532" w14:textId="77777777" w:rsidR="00325C2F" w:rsidRPr="00DF3573" w:rsidRDefault="00325C2F" w:rsidP="00325C2F">
      <w:pPr>
        <w:spacing w:line="240" w:lineRule="auto"/>
        <w:ind w:firstLine="709"/>
        <w:contextualSpacing/>
        <w:jc w:val="both"/>
        <w:rPr>
          <w:rFonts w:ascii="Arial" w:hAnsi="Arial" w:cs="Arial"/>
          <w:sz w:val="12"/>
          <w:szCs w:val="12"/>
        </w:rPr>
      </w:pPr>
    </w:p>
    <w:p w14:paraId="35B5A1ED" w14:textId="77777777" w:rsidR="00325C2F" w:rsidRPr="00DF3573" w:rsidRDefault="00325C2F" w:rsidP="00325C2F">
      <w:pPr>
        <w:spacing w:line="240" w:lineRule="auto"/>
        <w:ind w:firstLine="709"/>
        <w:contextualSpacing/>
        <w:jc w:val="both"/>
        <w:rPr>
          <w:rFonts w:ascii="Arial" w:hAnsi="Arial" w:cs="Arial"/>
          <w:sz w:val="12"/>
          <w:szCs w:val="12"/>
        </w:rPr>
      </w:pPr>
      <w:r w:rsidRPr="00DF3573">
        <w:rPr>
          <w:rFonts w:ascii="Arial" w:hAnsi="Arial" w:cs="Arial"/>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DF3573">
        <w:rPr>
          <w:rFonts w:ascii="Arial" w:hAnsi="Arial" w:cs="Arial"/>
          <w:spacing w:val="-1"/>
          <w:sz w:val="12"/>
          <w:szCs w:val="12"/>
        </w:rPr>
        <w:t xml:space="preserve"> </w:t>
      </w:r>
      <w:r w:rsidRPr="00DF3573">
        <w:rPr>
          <w:rFonts w:ascii="Arial" w:hAnsi="Arial" w:cs="Arial"/>
          <w:sz w:val="12"/>
          <w:szCs w:val="12"/>
        </w:rPr>
        <w:t>Estatales”.</w:t>
      </w:r>
    </w:p>
    <w:p w14:paraId="1411D4DF" w14:textId="77777777" w:rsidR="00325C2F" w:rsidRPr="00DF3573" w:rsidRDefault="00325C2F" w:rsidP="00325C2F">
      <w:pPr>
        <w:spacing w:line="240" w:lineRule="auto"/>
        <w:ind w:firstLine="709"/>
        <w:contextualSpacing/>
        <w:jc w:val="both"/>
        <w:rPr>
          <w:rFonts w:ascii="Arial" w:hAnsi="Arial" w:cs="Arial"/>
          <w:sz w:val="12"/>
          <w:szCs w:val="12"/>
        </w:rPr>
      </w:pPr>
    </w:p>
  </w:footnote>
  <w:footnote w:id="22">
    <w:p w14:paraId="0B202557" w14:textId="77777777" w:rsidR="00325C2F" w:rsidRPr="00DF3573" w:rsidRDefault="00325C2F" w:rsidP="00325C2F">
      <w:pPr>
        <w:spacing w:line="240" w:lineRule="auto"/>
        <w:ind w:right="454"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position w:val="7"/>
          <w:sz w:val="12"/>
          <w:szCs w:val="12"/>
        </w:rPr>
        <w:t xml:space="preserve"> </w:t>
      </w:r>
      <w:r w:rsidRPr="00DF3573">
        <w:rPr>
          <w:rFonts w:ascii="Arial" w:hAnsi="Arial" w:cs="Arial"/>
          <w:sz w:val="12"/>
          <w:szCs w:val="12"/>
        </w:rPr>
        <w:t>Consejo de Estado. Sección Tercera. Sentencia del 23 de junio de 2010. Radicación No. 66001-23-31-000-1998-00261-01(17.860). Consejero Ponente: Mauricio Fajardo Gómez.</w:t>
      </w:r>
    </w:p>
  </w:footnote>
  <w:footnote w:id="23">
    <w:p w14:paraId="6B45222A" w14:textId="77777777" w:rsidR="00325C2F" w:rsidRPr="00DF3573" w:rsidRDefault="00325C2F" w:rsidP="00325C2F">
      <w:pPr>
        <w:spacing w:after="0" w:line="240" w:lineRule="auto"/>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Sección Tercera. Subsección C. Sentencia del 11 de diciembre de 2019. </w:t>
      </w:r>
      <w:proofErr w:type="spellStart"/>
      <w:r w:rsidRPr="00DF3573">
        <w:rPr>
          <w:rFonts w:ascii="Arial" w:hAnsi="Arial" w:cs="Arial"/>
          <w:sz w:val="12"/>
          <w:szCs w:val="12"/>
        </w:rPr>
        <w:t>Exp</w:t>
      </w:r>
      <w:proofErr w:type="spellEnd"/>
      <w:r w:rsidRPr="00DF3573">
        <w:rPr>
          <w:rFonts w:ascii="Arial" w:hAnsi="Arial" w:cs="Arial"/>
          <w:sz w:val="12"/>
          <w:szCs w:val="12"/>
        </w:rPr>
        <w:t>. 46.986. C.P. Jaime Enrique Rodríguez Navas.</w:t>
      </w:r>
    </w:p>
    <w:p w14:paraId="563CA1DD" w14:textId="77777777" w:rsidR="00325C2F" w:rsidRPr="00DF3573" w:rsidRDefault="00325C2F" w:rsidP="00325C2F">
      <w:pPr>
        <w:spacing w:after="0" w:line="240" w:lineRule="auto"/>
        <w:ind w:firstLine="709"/>
        <w:jc w:val="both"/>
        <w:rPr>
          <w:rFonts w:ascii="Arial" w:hAnsi="Arial" w:cs="Arial"/>
          <w:sz w:val="12"/>
          <w:szCs w:val="12"/>
        </w:rPr>
      </w:pPr>
    </w:p>
  </w:footnote>
  <w:footnote w:id="24">
    <w:p w14:paraId="6F1A77D2" w14:textId="77777777" w:rsidR="00325C2F" w:rsidRPr="00DF3573" w:rsidRDefault="00325C2F" w:rsidP="00325C2F">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“CE. SCSC. Concepto de 1 de noviembre de 2016 [Rad. 11001-03-06-000-2016-00125-00(2305)]. MP. Germán Alberto Bula Escobar”.</w:t>
      </w:r>
    </w:p>
    <w:p w14:paraId="657399A4" w14:textId="77777777" w:rsidR="00325C2F" w:rsidRPr="00DF3573" w:rsidRDefault="00325C2F" w:rsidP="00325C2F">
      <w:pPr>
        <w:pStyle w:val="Textonotapie"/>
        <w:ind w:firstLine="709"/>
        <w:jc w:val="both"/>
        <w:rPr>
          <w:rFonts w:ascii="Arial" w:hAnsi="Arial" w:cs="Arial"/>
          <w:sz w:val="12"/>
          <w:szCs w:val="12"/>
        </w:rPr>
      </w:pPr>
    </w:p>
  </w:footnote>
  <w:footnote w:id="25">
    <w:p w14:paraId="1EDA0737" w14:textId="77777777" w:rsidR="00325C2F" w:rsidRPr="00DF3573" w:rsidRDefault="00325C2F" w:rsidP="00325C2F">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“CE. SCSC. Concepto de 30 de abril de 2008 [Rad. 11001-03-06-000-2008-00013-00(1881)]. MP. Enrique José Arboleda Perdomo. En esta oportunidad, la Sala indicó que el contenido </w:t>
      </w:r>
      <w:r w:rsidRPr="00DF3573">
        <w:rPr>
          <w:rFonts w:ascii="Arial" w:hAnsi="Arial" w:cs="Arial"/>
          <w:i/>
          <w:sz w:val="12"/>
          <w:szCs w:val="12"/>
        </w:rPr>
        <w:t>“obligacional”</w:t>
      </w:r>
      <w:r w:rsidRPr="00DF3573">
        <w:rPr>
          <w:rFonts w:ascii="Arial" w:hAnsi="Arial" w:cs="Arial"/>
          <w:sz w:val="12"/>
          <w:szCs w:val="12"/>
        </w:rPr>
        <w:t xml:space="preserve"> de los convenios se estructura definiendo el resultado querido por las partes y los medios que cada entidad despliega para la obtención del respectivo objeto”.</w:t>
      </w:r>
    </w:p>
  </w:footnote>
  <w:footnote w:id="26">
    <w:p w14:paraId="2D538C44" w14:textId="77777777" w:rsidR="00325C2F" w:rsidRPr="00DF3573" w:rsidRDefault="00325C2F" w:rsidP="00325C2F">
      <w:pPr>
        <w:pStyle w:val="Textonotapie"/>
        <w:ind w:firstLine="709"/>
        <w:jc w:val="both"/>
        <w:rPr>
          <w:rFonts w:ascii="Arial" w:hAnsi="Arial" w:cs="Arial"/>
          <w:sz w:val="12"/>
          <w:szCs w:val="12"/>
        </w:rPr>
      </w:pPr>
    </w:p>
    <w:p w14:paraId="7938EAE3" w14:textId="77777777" w:rsidR="00325C2F" w:rsidRPr="00DF3573" w:rsidRDefault="00325C2F" w:rsidP="00325C2F">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“La normativa vigente del EGCAP </w:t>
      </w:r>
      <w:r w:rsidRPr="00DF3573">
        <w:rPr>
          <w:rFonts w:ascii="Arial" w:hAnsi="Arial" w:cs="Arial"/>
          <w:i/>
          <w:sz w:val="12"/>
          <w:szCs w:val="12"/>
        </w:rPr>
        <w:t>[literal c) del numeral 4. del artículo 2 de la Ley 1150/07]</w:t>
      </w:r>
      <w:r w:rsidRPr="00DF3573">
        <w:rPr>
          <w:rFonts w:ascii="Arial" w:hAnsi="Arial" w:cs="Arial"/>
          <w:sz w:val="12"/>
          <w:szCs w:val="12"/>
        </w:rPr>
        <w:t xml:space="preserve"> se refiere a </w:t>
      </w:r>
      <w:r w:rsidRPr="00DF3573">
        <w:rPr>
          <w:rFonts w:ascii="Arial" w:hAnsi="Arial" w:cs="Arial"/>
          <w:i/>
          <w:sz w:val="12"/>
          <w:szCs w:val="12"/>
        </w:rPr>
        <w:t>“contratos interadministrativos”</w:t>
      </w:r>
      <w:r w:rsidRPr="00DF3573">
        <w:rPr>
          <w:rFonts w:ascii="Arial" w:hAnsi="Arial" w:cs="Arial"/>
          <w:sz w:val="12"/>
          <w:szCs w:val="12"/>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1797ECAB" w14:textId="77777777" w:rsidR="00325C2F" w:rsidRPr="00DF3573" w:rsidRDefault="00325C2F" w:rsidP="00325C2F">
      <w:pPr>
        <w:pStyle w:val="Textonotapie"/>
        <w:ind w:firstLine="709"/>
        <w:jc w:val="both"/>
        <w:rPr>
          <w:rFonts w:ascii="Arial" w:hAnsi="Arial" w:cs="Arial"/>
          <w:sz w:val="12"/>
          <w:szCs w:val="12"/>
        </w:rPr>
      </w:pPr>
    </w:p>
  </w:footnote>
  <w:footnote w:id="27">
    <w:p w14:paraId="3A5F2CAB" w14:textId="77777777" w:rsidR="00325C2F" w:rsidRPr="00DF3573" w:rsidRDefault="00325C2F" w:rsidP="00325C2F">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DF3573">
        <w:rPr>
          <w:rFonts w:ascii="Arial" w:hAnsi="Arial" w:cs="Arial"/>
          <w:sz w:val="12"/>
          <w:szCs w:val="12"/>
        </w:rPr>
        <w:t>Exp</w:t>
      </w:r>
      <w:proofErr w:type="spellEnd"/>
      <w:r w:rsidRPr="00DF3573">
        <w:rPr>
          <w:rFonts w:ascii="Arial" w:hAnsi="Arial" w:cs="Arial"/>
          <w:sz w:val="12"/>
          <w:szCs w:val="12"/>
        </w:rPr>
        <w:t xml:space="preserve">. 2.257. M.P. Álvaro </w:t>
      </w:r>
      <w:proofErr w:type="spellStart"/>
      <w:r w:rsidRPr="00DF3573">
        <w:rPr>
          <w:rFonts w:ascii="Arial" w:hAnsi="Arial" w:cs="Arial"/>
          <w:sz w:val="12"/>
          <w:szCs w:val="12"/>
        </w:rPr>
        <w:t>Namén</w:t>
      </w:r>
      <w:proofErr w:type="spellEnd"/>
      <w:r w:rsidRPr="00DF3573">
        <w:rPr>
          <w:rFonts w:ascii="Arial" w:hAnsi="Arial" w:cs="Arial"/>
          <w:sz w:val="12"/>
          <w:szCs w:val="12"/>
        </w:rPr>
        <w:t xml:space="preserve"> Vargas).</w:t>
      </w:r>
    </w:p>
    <w:p w14:paraId="70418013" w14:textId="77777777" w:rsidR="00325C2F" w:rsidRPr="00DF3573" w:rsidRDefault="00325C2F" w:rsidP="00325C2F">
      <w:pPr>
        <w:pStyle w:val="Textonotapie"/>
        <w:ind w:firstLine="709"/>
        <w:jc w:val="both"/>
        <w:rPr>
          <w:rFonts w:ascii="Arial" w:hAnsi="Arial" w:cs="Arial"/>
          <w:sz w:val="12"/>
          <w:szCs w:val="12"/>
        </w:rPr>
      </w:pPr>
    </w:p>
  </w:footnote>
  <w:footnote w:id="28">
    <w:p w14:paraId="1BDB3E95" w14:textId="77777777" w:rsidR="00325C2F" w:rsidRPr="00DF3573" w:rsidRDefault="00325C2F" w:rsidP="00325C2F">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Es lo que sucede, por ejemplo, con el Decreto 092 de 2017, que en su desarrollo hace referencia tanto a los “contratos” como a los “convenios”. </w:t>
      </w:r>
    </w:p>
    <w:p w14:paraId="44FCA056" w14:textId="77777777" w:rsidR="00325C2F" w:rsidRPr="00DF3573" w:rsidRDefault="00325C2F" w:rsidP="00325C2F">
      <w:pPr>
        <w:pStyle w:val="Textonotapie"/>
        <w:ind w:firstLine="709"/>
        <w:jc w:val="both"/>
        <w:rPr>
          <w:rFonts w:ascii="Arial" w:hAnsi="Arial" w:cs="Arial"/>
          <w:sz w:val="12"/>
          <w:szCs w:val="12"/>
          <w:lang w:val="es-CO"/>
        </w:rPr>
      </w:pPr>
    </w:p>
  </w:footnote>
  <w:footnote w:id="29">
    <w:p w14:paraId="2A9FE4A7" w14:textId="77777777" w:rsidR="00325C2F" w:rsidRPr="00911970" w:rsidRDefault="00325C2F" w:rsidP="00325C2F">
      <w:pPr>
        <w:pStyle w:val="Textonotapie"/>
        <w:ind w:firstLine="709"/>
        <w:jc w:val="both"/>
        <w:rPr>
          <w:rFonts w:ascii="Arial" w:hAnsi="Arial" w:cs="Arial"/>
          <w:sz w:val="19"/>
          <w:szCs w:val="19"/>
          <w:lang w:val="es-CO"/>
        </w:rPr>
      </w:pPr>
      <w:r w:rsidRPr="00DF3573">
        <w:rPr>
          <w:rStyle w:val="Refdenotaalpie"/>
          <w:rFonts w:ascii="Arial" w:hAnsi="Arial" w:cs="Arial"/>
          <w:sz w:val="12"/>
          <w:szCs w:val="12"/>
        </w:rPr>
        <w:footnoteRef/>
      </w:r>
      <w:r w:rsidRPr="00DF3573">
        <w:rPr>
          <w:rFonts w:ascii="Arial" w:hAnsi="Arial" w:cs="Arial"/>
          <w:sz w:val="12"/>
          <w:szCs w:val="12"/>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33D" w14:textId="77777777" w:rsidR="00906B3C" w:rsidRPr="007566FE" w:rsidRDefault="00325C2F"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6931BBD3" wp14:editId="33FF8610">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31046A52" w14:textId="77777777" w:rsidR="007566FE" w:rsidRPr="007566FE" w:rsidRDefault="00325C2F"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116F997E" w14:textId="77777777" w:rsidR="00793403" w:rsidRDefault="00325C2F"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CC6E9AE" wp14:editId="25FF983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0160381D" w14:textId="77777777" w:rsidR="00793403" w:rsidRPr="007566FE" w:rsidRDefault="00000000" w:rsidP="008614E5">
    <w:pPr>
      <w:spacing w:after="0"/>
      <w:rPr>
        <w:rFonts w:ascii="Geomanist Light" w:hAnsi="Geomanist Light"/>
        <w:color w:val="002060"/>
        <w:sz w:val="16"/>
        <w:szCs w:val="16"/>
      </w:rPr>
    </w:pPr>
  </w:p>
  <w:p w14:paraId="635572FF" w14:textId="77777777" w:rsidR="004A1847" w:rsidRPr="00906B3C" w:rsidRDefault="00000000" w:rsidP="00906B3C">
    <w:pPr>
      <w:pStyle w:val="Encabezado"/>
      <w:tabs>
        <w:tab w:val="clear" w:pos="4419"/>
        <w:tab w:val="clear" w:pos="8838"/>
      </w:tabs>
      <w:ind w:left="3545" w:firstLine="709"/>
      <w:rPr>
        <w:b/>
        <w:bCs/>
        <w:color w:val="A5A5A5" w:themeColor="accent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0A"/>
    <w:rsid w:val="00047190"/>
    <w:rsid w:val="00325C2F"/>
    <w:rsid w:val="00394818"/>
    <w:rsid w:val="008D3A53"/>
    <w:rsid w:val="009E750A"/>
    <w:rsid w:val="00DE1D65"/>
    <w:rsid w:val="00E45F7A"/>
    <w:rsid w:val="00FE2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99A"/>
  <w15:chartTrackingRefBased/>
  <w15:docId w15:val="{E5A15939-2F9D-421F-8AE4-F9F186AF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2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5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5C2F"/>
    <w:rPr>
      <w:kern w:val="0"/>
      <w14:ligatures w14:val="none"/>
    </w:rPr>
  </w:style>
  <w:style w:type="paragraph" w:styleId="Piedepgina">
    <w:name w:val="footer"/>
    <w:basedOn w:val="Normal"/>
    <w:link w:val="PiedepginaCar"/>
    <w:uiPriority w:val="99"/>
    <w:unhideWhenUsed/>
    <w:rsid w:val="00325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C2F"/>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25C2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325C2F"/>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325C2F"/>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325C2F"/>
    <w:rPr>
      <w:vertAlign w:val="superscript"/>
    </w:rPr>
  </w:style>
  <w:style w:type="table" w:styleId="Tablaconcuadrcula">
    <w:name w:val="Table Grid"/>
    <w:basedOn w:val="Tablanormal"/>
    <w:uiPriority w:val="39"/>
    <w:rsid w:val="00325C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5C2F"/>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325C2F"/>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25C2F"/>
    <w:pPr>
      <w:spacing w:line="240" w:lineRule="exact"/>
      <w:jc w:val="both"/>
    </w:pPr>
    <w:rPr>
      <w:kern w:val="2"/>
      <w:vertAlign w:val="superscript"/>
      <w14:ligatures w14:val="standardContextual"/>
    </w:rPr>
  </w:style>
  <w:style w:type="table" w:customStyle="1" w:styleId="Tablaconcuadrcula11">
    <w:name w:val="Tabla con cuadrícula11"/>
    <w:basedOn w:val="Tablanormal"/>
    <w:next w:val="Tablaconcuadrcula"/>
    <w:uiPriority w:val="39"/>
    <w:rsid w:val="00325C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25C2F"/>
  </w:style>
  <w:style w:type="paragraph" w:customStyle="1" w:styleId="paragraph">
    <w:name w:val="paragraph"/>
    <w:basedOn w:val="Normal"/>
    <w:rsid w:val="003948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94818"/>
  </w:style>
  <w:style w:type="character" w:customStyle="1" w:styleId="eop">
    <w:name w:val="eop"/>
    <w:basedOn w:val="Fuentedeprrafopredeter"/>
    <w:rsid w:val="0039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38419">
      <w:bodyDiv w:val="1"/>
      <w:marLeft w:val="0"/>
      <w:marRight w:val="0"/>
      <w:marTop w:val="0"/>
      <w:marBottom w:val="0"/>
      <w:divBdr>
        <w:top w:val="none" w:sz="0" w:space="0" w:color="auto"/>
        <w:left w:val="none" w:sz="0" w:space="0" w:color="auto"/>
        <w:bottom w:val="none" w:sz="0" w:space="0" w:color="auto"/>
        <w:right w:val="none" w:sz="0" w:space="0" w:color="auto"/>
      </w:divBdr>
      <w:divsChild>
        <w:div w:id="2054429175">
          <w:marLeft w:val="0"/>
          <w:marRight w:val="0"/>
          <w:marTop w:val="0"/>
          <w:marBottom w:val="0"/>
          <w:divBdr>
            <w:top w:val="none" w:sz="0" w:space="0" w:color="auto"/>
            <w:left w:val="none" w:sz="0" w:space="0" w:color="auto"/>
            <w:bottom w:val="none" w:sz="0" w:space="0" w:color="auto"/>
            <w:right w:val="none" w:sz="0" w:space="0" w:color="auto"/>
          </w:divBdr>
        </w:div>
        <w:div w:id="386226323">
          <w:marLeft w:val="0"/>
          <w:marRight w:val="0"/>
          <w:marTop w:val="0"/>
          <w:marBottom w:val="0"/>
          <w:divBdr>
            <w:top w:val="none" w:sz="0" w:space="0" w:color="auto"/>
            <w:left w:val="none" w:sz="0" w:space="0" w:color="auto"/>
            <w:bottom w:val="none" w:sz="0" w:space="0" w:color="auto"/>
            <w:right w:val="none" w:sz="0" w:space="0" w:color="auto"/>
          </w:divBdr>
        </w:div>
        <w:div w:id="479083444">
          <w:marLeft w:val="0"/>
          <w:marRight w:val="0"/>
          <w:marTop w:val="0"/>
          <w:marBottom w:val="0"/>
          <w:divBdr>
            <w:top w:val="none" w:sz="0" w:space="0" w:color="auto"/>
            <w:left w:val="none" w:sz="0" w:space="0" w:color="auto"/>
            <w:bottom w:val="none" w:sz="0" w:space="0" w:color="auto"/>
            <w:right w:val="none" w:sz="0" w:space="0" w:color="auto"/>
          </w:divBdr>
        </w:div>
        <w:div w:id="218514374">
          <w:marLeft w:val="0"/>
          <w:marRight w:val="0"/>
          <w:marTop w:val="0"/>
          <w:marBottom w:val="0"/>
          <w:divBdr>
            <w:top w:val="none" w:sz="0" w:space="0" w:color="auto"/>
            <w:left w:val="none" w:sz="0" w:space="0" w:color="auto"/>
            <w:bottom w:val="none" w:sz="0" w:space="0" w:color="auto"/>
            <w:right w:val="none" w:sz="0" w:space="0" w:color="auto"/>
          </w:divBdr>
        </w:div>
        <w:div w:id="706954588">
          <w:marLeft w:val="0"/>
          <w:marRight w:val="0"/>
          <w:marTop w:val="0"/>
          <w:marBottom w:val="0"/>
          <w:divBdr>
            <w:top w:val="none" w:sz="0" w:space="0" w:color="auto"/>
            <w:left w:val="none" w:sz="0" w:space="0" w:color="auto"/>
            <w:bottom w:val="none" w:sz="0" w:space="0" w:color="auto"/>
            <w:right w:val="none" w:sz="0" w:space="0" w:color="auto"/>
          </w:divBdr>
        </w:div>
        <w:div w:id="2095736882">
          <w:marLeft w:val="0"/>
          <w:marRight w:val="0"/>
          <w:marTop w:val="0"/>
          <w:marBottom w:val="0"/>
          <w:divBdr>
            <w:top w:val="none" w:sz="0" w:space="0" w:color="auto"/>
            <w:left w:val="none" w:sz="0" w:space="0" w:color="auto"/>
            <w:bottom w:val="none" w:sz="0" w:space="0" w:color="auto"/>
            <w:right w:val="none" w:sz="0" w:space="0" w:color="auto"/>
          </w:divBdr>
        </w:div>
        <w:div w:id="1583372959">
          <w:marLeft w:val="0"/>
          <w:marRight w:val="0"/>
          <w:marTop w:val="0"/>
          <w:marBottom w:val="0"/>
          <w:divBdr>
            <w:top w:val="none" w:sz="0" w:space="0" w:color="auto"/>
            <w:left w:val="none" w:sz="0" w:space="0" w:color="auto"/>
            <w:bottom w:val="none" w:sz="0" w:space="0" w:color="auto"/>
            <w:right w:val="none" w:sz="0" w:space="0" w:color="auto"/>
          </w:divBdr>
        </w:div>
        <w:div w:id="518741082">
          <w:marLeft w:val="0"/>
          <w:marRight w:val="0"/>
          <w:marTop w:val="0"/>
          <w:marBottom w:val="0"/>
          <w:divBdr>
            <w:top w:val="none" w:sz="0" w:space="0" w:color="auto"/>
            <w:left w:val="none" w:sz="0" w:space="0" w:color="auto"/>
            <w:bottom w:val="none" w:sz="0" w:space="0" w:color="auto"/>
            <w:right w:val="none" w:sz="0" w:space="0" w:color="auto"/>
          </w:divBdr>
        </w:div>
        <w:div w:id="2116364127">
          <w:marLeft w:val="0"/>
          <w:marRight w:val="0"/>
          <w:marTop w:val="0"/>
          <w:marBottom w:val="0"/>
          <w:divBdr>
            <w:top w:val="none" w:sz="0" w:space="0" w:color="auto"/>
            <w:left w:val="none" w:sz="0" w:space="0" w:color="auto"/>
            <w:bottom w:val="none" w:sz="0" w:space="0" w:color="auto"/>
            <w:right w:val="none" w:sz="0" w:space="0" w:color="auto"/>
          </w:divBdr>
        </w:div>
        <w:div w:id="1895120780">
          <w:marLeft w:val="0"/>
          <w:marRight w:val="0"/>
          <w:marTop w:val="0"/>
          <w:marBottom w:val="0"/>
          <w:divBdr>
            <w:top w:val="none" w:sz="0" w:space="0" w:color="auto"/>
            <w:left w:val="none" w:sz="0" w:space="0" w:color="auto"/>
            <w:bottom w:val="none" w:sz="0" w:space="0" w:color="auto"/>
            <w:right w:val="none" w:sz="0" w:space="0" w:color="auto"/>
          </w:divBdr>
        </w:div>
        <w:div w:id="1968705618">
          <w:marLeft w:val="0"/>
          <w:marRight w:val="0"/>
          <w:marTop w:val="0"/>
          <w:marBottom w:val="0"/>
          <w:divBdr>
            <w:top w:val="none" w:sz="0" w:space="0" w:color="auto"/>
            <w:left w:val="none" w:sz="0" w:space="0" w:color="auto"/>
            <w:bottom w:val="none" w:sz="0" w:space="0" w:color="auto"/>
            <w:right w:val="none" w:sz="0" w:space="0" w:color="auto"/>
          </w:divBdr>
        </w:div>
        <w:div w:id="805200368">
          <w:marLeft w:val="0"/>
          <w:marRight w:val="0"/>
          <w:marTop w:val="0"/>
          <w:marBottom w:val="0"/>
          <w:divBdr>
            <w:top w:val="none" w:sz="0" w:space="0" w:color="auto"/>
            <w:left w:val="none" w:sz="0" w:space="0" w:color="auto"/>
            <w:bottom w:val="none" w:sz="0" w:space="0" w:color="auto"/>
            <w:right w:val="none" w:sz="0" w:space="0" w:color="auto"/>
          </w:divBdr>
        </w:div>
        <w:div w:id="1310555871">
          <w:marLeft w:val="0"/>
          <w:marRight w:val="0"/>
          <w:marTop w:val="0"/>
          <w:marBottom w:val="0"/>
          <w:divBdr>
            <w:top w:val="none" w:sz="0" w:space="0" w:color="auto"/>
            <w:left w:val="none" w:sz="0" w:space="0" w:color="auto"/>
            <w:bottom w:val="none" w:sz="0" w:space="0" w:color="auto"/>
            <w:right w:val="none" w:sz="0" w:space="0" w:color="auto"/>
          </w:divBdr>
        </w:div>
        <w:div w:id="1309633975">
          <w:marLeft w:val="0"/>
          <w:marRight w:val="0"/>
          <w:marTop w:val="0"/>
          <w:marBottom w:val="0"/>
          <w:divBdr>
            <w:top w:val="none" w:sz="0" w:space="0" w:color="auto"/>
            <w:left w:val="none" w:sz="0" w:space="0" w:color="auto"/>
            <w:bottom w:val="none" w:sz="0" w:space="0" w:color="auto"/>
            <w:right w:val="none" w:sz="0" w:space="0" w:color="auto"/>
          </w:divBdr>
        </w:div>
        <w:div w:id="787357119">
          <w:marLeft w:val="0"/>
          <w:marRight w:val="0"/>
          <w:marTop w:val="0"/>
          <w:marBottom w:val="0"/>
          <w:divBdr>
            <w:top w:val="none" w:sz="0" w:space="0" w:color="auto"/>
            <w:left w:val="none" w:sz="0" w:space="0" w:color="auto"/>
            <w:bottom w:val="none" w:sz="0" w:space="0" w:color="auto"/>
            <w:right w:val="none" w:sz="0" w:space="0" w:color="auto"/>
          </w:divBdr>
        </w:div>
        <w:div w:id="925115173">
          <w:marLeft w:val="0"/>
          <w:marRight w:val="0"/>
          <w:marTop w:val="0"/>
          <w:marBottom w:val="0"/>
          <w:divBdr>
            <w:top w:val="none" w:sz="0" w:space="0" w:color="auto"/>
            <w:left w:val="none" w:sz="0" w:space="0" w:color="auto"/>
            <w:bottom w:val="none" w:sz="0" w:space="0" w:color="auto"/>
            <w:right w:val="none" w:sz="0" w:space="0" w:color="auto"/>
          </w:divBdr>
        </w:div>
        <w:div w:id="1163620306">
          <w:marLeft w:val="0"/>
          <w:marRight w:val="0"/>
          <w:marTop w:val="0"/>
          <w:marBottom w:val="0"/>
          <w:divBdr>
            <w:top w:val="none" w:sz="0" w:space="0" w:color="auto"/>
            <w:left w:val="none" w:sz="0" w:space="0" w:color="auto"/>
            <w:bottom w:val="none" w:sz="0" w:space="0" w:color="auto"/>
            <w:right w:val="none" w:sz="0" w:space="0" w:color="auto"/>
          </w:divBdr>
        </w:div>
        <w:div w:id="1679115225">
          <w:marLeft w:val="0"/>
          <w:marRight w:val="0"/>
          <w:marTop w:val="0"/>
          <w:marBottom w:val="0"/>
          <w:divBdr>
            <w:top w:val="none" w:sz="0" w:space="0" w:color="auto"/>
            <w:left w:val="none" w:sz="0" w:space="0" w:color="auto"/>
            <w:bottom w:val="none" w:sz="0" w:space="0" w:color="auto"/>
            <w:right w:val="none" w:sz="0" w:space="0" w:color="auto"/>
          </w:divBdr>
        </w:div>
        <w:div w:id="1828203993">
          <w:marLeft w:val="0"/>
          <w:marRight w:val="0"/>
          <w:marTop w:val="0"/>
          <w:marBottom w:val="0"/>
          <w:divBdr>
            <w:top w:val="none" w:sz="0" w:space="0" w:color="auto"/>
            <w:left w:val="none" w:sz="0" w:space="0" w:color="auto"/>
            <w:bottom w:val="none" w:sz="0" w:space="0" w:color="auto"/>
            <w:right w:val="none" w:sz="0" w:space="0" w:color="auto"/>
          </w:divBdr>
        </w:div>
        <w:div w:id="75438366">
          <w:marLeft w:val="0"/>
          <w:marRight w:val="0"/>
          <w:marTop w:val="0"/>
          <w:marBottom w:val="0"/>
          <w:divBdr>
            <w:top w:val="none" w:sz="0" w:space="0" w:color="auto"/>
            <w:left w:val="none" w:sz="0" w:space="0" w:color="auto"/>
            <w:bottom w:val="none" w:sz="0" w:space="0" w:color="auto"/>
            <w:right w:val="none" w:sz="0" w:space="0" w:color="auto"/>
          </w:divBdr>
        </w:div>
        <w:div w:id="718164049">
          <w:marLeft w:val="0"/>
          <w:marRight w:val="0"/>
          <w:marTop w:val="0"/>
          <w:marBottom w:val="0"/>
          <w:divBdr>
            <w:top w:val="none" w:sz="0" w:space="0" w:color="auto"/>
            <w:left w:val="none" w:sz="0" w:space="0" w:color="auto"/>
            <w:bottom w:val="none" w:sz="0" w:space="0" w:color="auto"/>
            <w:right w:val="none" w:sz="0" w:space="0" w:color="auto"/>
          </w:divBdr>
        </w:div>
        <w:div w:id="162210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D45AF-24F1-48DF-AF54-A073293111FA}"/>
</file>

<file path=customXml/itemProps2.xml><?xml version="1.0" encoding="utf-8"?>
<ds:datastoreItem xmlns:ds="http://schemas.openxmlformats.org/officeDocument/2006/customXml" ds:itemID="{EA731ADD-7691-4583-959C-75DFD00FEE0A}"/>
</file>

<file path=customXml/itemProps3.xml><?xml version="1.0" encoding="utf-8"?>
<ds:datastoreItem xmlns:ds="http://schemas.openxmlformats.org/officeDocument/2006/customXml" ds:itemID="{D3C1C1D9-8AC9-4012-807B-37CCD66AC48F}"/>
</file>

<file path=docProps/app.xml><?xml version="1.0" encoding="utf-8"?>
<Properties xmlns="http://schemas.openxmlformats.org/officeDocument/2006/extended-properties" xmlns:vt="http://schemas.openxmlformats.org/officeDocument/2006/docPropsVTypes">
  <Template>Normal</Template>
  <TotalTime>3</TotalTime>
  <Pages>16</Pages>
  <Words>6125</Words>
  <Characters>33693</Characters>
  <Application>Microsoft Office Word</Application>
  <DocSecurity>0</DocSecurity>
  <Lines>280</Lines>
  <Paragraphs>79</Paragraphs>
  <ScaleCrop>false</ScaleCrop>
  <Company/>
  <LinksUpToDate>false</LinksUpToDate>
  <CharactersWithSpaces>39739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4</cp:revision>
  <dcterms:created xsi:type="dcterms:W3CDTF">2023-06-02T14:41:00Z</dcterms:created>
  <dcterms:modified xsi:type="dcterms:W3CDTF">2023-06-02T14:43:00Z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