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E72B" w14:textId="77777777" w:rsidR="008E7F5C" w:rsidRPr="008E7F5C" w:rsidRDefault="008E7F5C" w:rsidP="008E7F5C">
      <w:pPr>
        <w:spacing w:after="0" w:line="240" w:lineRule="auto"/>
        <w:jc w:val="both"/>
        <w:rPr>
          <w:rFonts w:ascii="Arial" w:eastAsia="Calibri" w:hAnsi="Arial" w:cs="Arial"/>
          <w:b/>
          <w:bCs/>
          <w:kern w:val="0"/>
          <w:lang w:eastAsia="es-CO"/>
          <w14:ligatures w14:val="none"/>
        </w:rPr>
      </w:pPr>
      <w:r w:rsidRPr="008E7F5C">
        <w:rPr>
          <w:rFonts w:ascii="Arial" w:eastAsia="Calibri" w:hAnsi="Arial" w:cs="Arial"/>
          <w:b/>
          <w:bCs/>
          <w:kern w:val="0"/>
          <w:lang w:eastAsia="es-ES_tradnl"/>
          <w14:ligatures w14:val="none"/>
        </w:rPr>
        <w:t xml:space="preserve">COLOMBIA COMPRA EFICIENTE </w:t>
      </w:r>
      <w:bookmarkStart w:id="0" w:name="_Hlk140044303"/>
      <w:r w:rsidRPr="008E7F5C">
        <w:rPr>
          <w:rFonts w:ascii="Arial" w:eastAsia="Calibri" w:hAnsi="Arial" w:cs="Arial"/>
          <w:b/>
          <w:kern w:val="0"/>
          <w:lang w:eastAsia="es-ES_tradnl"/>
          <w14:ligatures w14:val="none"/>
        </w:rPr>
        <w:t>–</w:t>
      </w:r>
      <w:bookmarkEnd w:id="0"/>
      <w:r w:rsidRPr="008E7F5C">
        <w:rPr>
          <w:rFonts w:ascii="Arial" w:eastAsia="Calibri" w:hAnsi="Arial" w:cs="Arial"/>
          <w:b/>
          <w:bCs/>
          <w:kern w:val="0"/>
          <w:lang w:eastAsia="es-ES_tradnl"/>
          <w14:ligatures w14:val="none"/>
        </w:rPr>
        <w:t xml:space="preserve"> Competencia Consultiva </w:t>
      </w:r>
      <w:bookmarkStart w:id="1" w:name="_Hlk140036003"/>
      <w:r w:rsidRPr="008E7F5C">
        <w:rPr>
          <w:rFonts w:ascii="Arial" w:eastAsia="Calibri" w:hAnsi="Arial" w:cs="Arial"/>
          <w:b/>
          <w:bCs/>
          <w:kern w:val="0"/>
          <w:lang w:eastAsia="es-ES_tradnl"/>
          <w14:ligatures w14:val="none"/>
        </w:rPr>
        <w:t>–</w:t>
      </w:r>
      <w:bookmarkEnd w:id="1"/>
      <w:r w:rsidRPr="008E7F5C">
        <w:rPr>
          <w:rFonts w:ascii="Arial" w:eastAsia="Calibri" w:hAnsi="Arial" w:cs="Arial"/>
          <w:b/>
          <w:bCs/>
          <w:kern w:val="0"/>
          <w:lang w:eastAsia="es-ES_tradnl"/>
          <w14:ligatures w14:val="none"/>
        </w:rPr>
        <w:t xml:space="preserve"> Contratación Estatal – Normas Generales</w:t>
      </w:r>
    </w:p>
    <w:p w14:paraId="4FA4509C" w14:textId="77777777" w:rsidR="008E7F5C" w:rsidRPr="008E7F5C" w:rsidRDefault="008E7F5C" w:rsidP="008E7F5C">
      <w:pPr>
        <w:spacing w:after="0" w:line="240" w:lineRule="auto"/>
        <w:jc w:val="both"/>
        <w:rPr>
          <w:rFonts w:ascii="Arial" w:eastAsia="Times New Roman" w:hAnsi="Arial" w:cs="Arial"/>
          <w:bCs/>
          <w:kern w:val="0"/>
          <w:sz w:val="20"/>
          <w:szCs w:val="20"/>
          <w:lang w:eastAsia="es-ES_tradnl"/>
          <w14:ligatures w14:val="none"/>
        </w:rPr>
      </w:pPr>
    </w:p>
    <w:p w14:paraId="6DB55167" w14:textId="77777777" w:rsidR="008E7F5C" w:rsidRPr="008E7F5C" w:rsidRDefault="008E7F5C" w:rsidP="008E7F5C">
      <w:pPr>
        <w:spacing w:after="120" w:line="240" w:lineRule="auto"/>
        <w:jc w:val="both"/>
        <w:rPr>
          <w:rFonts w:ascii="Arial" w:eastAsia="Times New Roman" w:hAnsi="Arial" w:cs="Arial"/>
          <w:bCs/>
          <w:kern w:val="0"/>
          <w:sz w:val="20"/>
          <w:szCs w:val="20"/>
          <w:lang w:eastAsia="es-ES_tradnl"/>
          <w14:ligatures w14:val="none"/>
        </w:rPr>
      </w:pPr>
      <w:r w:rsidRPr="008E7F5C">
        <w:rPr>
          <w:rFonts w:ascii="Arial" w:eastAsia="Times New Roman" w:hAnsi="Arial" w:cs="Arial"/>
          <w:bCs/>
          <w:kern w:val="0"/>
          <w:sz w:val="20"/>
          <w:szCs w:val="20"/>
          <w:lang w:eastAsia="es-ES_tradnl"/>
          <w14:ligatures w14:val="none"/>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6000C95D" w14:textId="77777777" w:rsidR="008E7F5C" w:rsidRPr="008E7F5C" w:rsidRDefault="008E7F5C" w:rsidP="008E7F5C">
      <w:pPr>
        <w:spacing w:after="0" w:line="240" w:lineRule="auto"/>
        <w:jc w:val="both"/>
        <w:rPr>
          <w:rFonts w:ascii="Arial" w:eastAsia="Times New Roman" w:hAnsi="Arial" w:cs="Arial"/>
          <w:bCs/>
          <w:kern w:val="0"/>
          <w:sz w:val="20"/>
          <w:szCs w:val="20"/>
          <w:lang w:eastAsia="es-ES_tradnl"/>
          <w14:ligatures w14:val="none"/>
        </w:rPr>
      </w:pPr>
      <w:r w:rsidRPr="008E7F5C">
        <w:rPr>
          <w:rFonts w:ascii="Arial" w:eastAsia="Times New Roman" w:hAnsi="Arial" w:cs="Arial"/>
          <w:bCs/>
          <w:kern w:val="0"/>
          <w:sz w:val="20"/>
          <w:szCs w:val="20"/>
          <w:lang w:eastAsia="es-ES_tradnl"/>
          <w14:ligatures w14:val="none"/>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1939D2D3" w14:textId="77777777" w:rsidR="008E7F5C" w:rsidRPr="008E7F5C" w:rsidRDefault="008E7F5C" w:rsidP="008E7F5C">
      <w:pPr>
        <w:spacing w:after="0" w:line="240" w:lineRule="auto"/>
        <w:jc w:val="both"/>
        <w:rPr>
          <w:rFonts w:ascii="Arial" w:eastAsia="Calibri" w:hAnsi="Arial" w:cs="Arial"/>
          <w:kern w:val="0"/>
          <w:sz w:val="20"/>
          <w:szCs w:val="20"/>
          <w:lang w:val="es-ES_tradnl" w:eastAsia="es-ES_tradnl"/>
          <w14:ligatures w14:val="none"/>
        </w:rPr>
      </w:pPr>
      <w:bookmarkStart w:id="2" w:name="_Hlk133404182"/>
    </w:p>
    <w:p w14:paraId="5A599A8E" w14:textId="77777777" w:rsidR="008E7F5C" w:rsidRPr="008E7F5C" w:rsidRDefault="008E7F5C" w:rsidP="008E7F5C">
      <w:pPr>
        <w:spacing w:after="0" w:line="240" w:lineRule="auto"/>
        <w:jc w:val="both"/>
        <w:rPr>
          <w:rFonts w:ascii="Arial" w:eastAsia="Calibri" w:hAnsi="Arial" w:cs="Arial"/>
          <w:b/>
          <w:bCs/>
          <w:kern w:val="0"/>
          <w:sz w:val="20"/>
          <w:szCs w:val="20"/>
          <w:highlight w:val="yellow"/>
          <w:lang w:val="es-ES_tradnl" w:eastAsia="es-ES_tradnl"/>
          <w14:ligatures w14:val="none"/>
        </w:rPr>
      </w:pPr>
      <w:r w:rsidRPr="008E7F5C">
        <w:rPr>
          <w:rFonts w:ascii="Arial" w:eastAsia="Calibri" w:hAnsi="Arial" w:cs="Arial"/>
          <w:b/>
          <w:kern w:val="0"/>
          <w:szCs w:val="24"/>
          <w:lang w:val="es-ES_tradnl" w:eastAsia="es-CO"/>
          <w14:ligatures w14:val="none"/>
        </w:rPr>
        <w:t xml:space="preserve">MODALIDAD DE SELECCIÓN DE MÍNIMA CUANTÍA </w:t>
      </w:r>
      <w:r w:rsidRPr="008E7F5C">
        <w:rPr>
          <w:rFonts w:ascii="Arial" w:eastAsia="Calibri" w:hAnsi="Arial" w:cs="Arial"/>
          <w:b/>
          <w:bCs/>
          <w:kern w:val="0"/>
          <w:lang w:eastAsia="es-ES_tradnl"/>
          <w14:ligatures w14:val="none"/>
        </w:rPr>
        <w:t xml:space="preserve">– </w:t>
      </w:r>
      <w:r w:rsidRPr="008E7F5C">
        <w:rPr>
          <w:rFonts w:ascii="Arial" w:eastAsia="Calibri" w:hAnsi="Arial" w:cs="Arial"/>
          <w:b/>
          <w:kern w:val="0"/>
          <w:szCs w:val="24"/>
          <w:lang w:val="es-ES_tradnl" w:eastAsia="es-CO"/>
          <w14:ligatures w14:val="none"/>
        </w:rPr>
        <w:t>Regulación y características del procedimiento</w:t>
      </w:r>
    </w:p>
    <w:p w14:paraId="3A8B1260" w14:textId="77777777" w:rsidR="008E7F5C" w:rsidRPr="008E7F5C" w:rsidRDefault="008E7F5C" w:rsidP="008E7F5C">
      <w:pPr>
        <w:spacing w:after="0" w:line="240" w:lineRule="auto"/>
        <w:jc w:val="both"/>
        <w:rPr>
          <w:rFonts w:ascii="Arial" w:eastAsia="Times New Roman" w:hAnsi="Arial" w:cs="Arial"/>
          <w:bCs/>
          <w:kern w:val="0"/>
          <w:sz w:val="20"/>
          <w:szCs w:val="20"/>
          <w:highlight w:val="yellow"/>
          <w:lang w:val="es-ES_tradnl" w:eastAsia="es-ES_tradnl"/>
          <w14:ligatures w14:val="none"/>
        </w:rPr>
      </w:pPr>
    </w:p>
    <w:bookmarkEnd w:id="2"/>
    <w:p w14:paraId="044CD016" w14:textId="77777777" w:rsidR="008E7F5C" w:rsidRPr="008E7F5C" w:rsidRDefault="008E7F5C" w:rsidP="008E7F5C">
      <w:pPr>
        <w:spacing w:after="0" w:line="240" w:lineRule="auto"/>
        <w:jc w:val="both"/>
        <w:rPr>
          <w:rFonts w:ascii="Arial" w:eastAsia="Calibri" w:hAnsi="Arial" w:cs="Arial"/>
          <w:bCs/>
          <w:color w:val="000000"/>
          <w:kern w:val="0"/>
          <w:sz w:val="20"/>
          <w:szCs w:val="20"/>
          <w:lang w:val="es-ES_tradnl"/>
          <w14:ligatures w14:val="none"/>
        </w:rPr>
      </w:pPr>
      <w:r w:rsidRPr="008E7F5C">
        <w:rPr>
          <w:rFonts w:ascii="Arial" w:eastAsia="Calibri" w:hAnsi="Arial" w:cs="Arial"/>
          <w:bCs/>
          <w:color w:val="000000"/>
          <w:kern w:val="0"/>
          <w:sz w:val="20"/>
          <w:szCs w:val="20"/>
          <w:lang w:val="es-ES_tradnl"/>
          <w14:ligatures w14:val="none"/>
        </w:rPr>
        <w:t>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p>
    <w:p w14:paraId="11D77BFD" w14:textId="77777777" w:rsidR="008E7F5C" w:rsidRPr="008E7F5C" w:rsidRDefault="008E7F5C" w:rsidP="008E7F5C">
      <w:pPr>
        <w:spacing w:after="0" w:line="240" w:lineRule="auto"/>
        <w:jc w:val="both"/>
        <w:rPr>
          <w:rFonts w:ascii="Arial" w:eastAsia="Calibri" w:hAnsi="Arial" w:cs="Arial"/>
          <w:bCs/>
          <w:kern w:val="0"/>
          <w:sz w:val="20"/>
          <w:szCs w:val="20"/>
          <w:highlight w:val="yellow"/>
          <w:lang w:eastAsia="es-ES_tradnl"/>
          <w14:ligatures w14:val="none"/>
        </w:rPr>
      </w:pPr>
    </w:p>
    <w:p w14:paraId="12BC61E5" w14:textId="77777777" w:rsidR="008E7F5C" w:rsidRPr="008E7F5C" w:rsidRDefault="008E7F5C" w:rsidP="008E7F5C">
      <w:pPr>
        <w:spacing w:after="0" w:line="240" w:lineRule="auto"/>
        <w:jc w:val="both"/>
        <w:rPr>
          <w:rFonts w:ascii="Arial" w:eastAsia="Calibri" w:hAnsi="Arial" w:cs="Arial"/>
          <w:bCs/>
          <w:color w:val="000000"/>
          <w:kern w:val="0"/>
          <w:sz w:val="20"/>
          <w:szCs w:val="20"/>
          <w:lang w:val="es-ES_tradnl"/>
          <w14:ligatures w14:val="none"/>
        </w:rPr>
      </w:pPr>
      <w:r w:rsidRPr="008E7F5C">
        <w:rPr>
          <w:rFonts w:ascii="Arial" w:eastAsia="Calibri" w:hAnsi="Arial" w:cs="Arial"/>
          <w:bCs/>
          <w:color w:val="000000"/>
          <w:kern w:val="0"/>
          <w:sz w:val="20"/>
          <w:szCs w:val="20"/>
          <w:lang w:val="es-ES_tradnl"/>
          <w14:ligatures w14:val="none"/>
        </w:rPr>
        <w:t xml:space="preserve">En concreto, el artículo 30 de la Ley 2069 de 2020 preserva de cierta forma el procedimiento previsto en el derogado 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w:t>
      </w:r>
      <w:r w:rsidRPr="008E7F5C">
        <w:rPr>
          <w:rFonts w:ascii="Arial" w:eastAsia="Calibri" w:hAnsi="Arial" w:cs="Arial"/>
          <w:bCs/>
          <w:i/>
          <w:iCs/>
          <w:color w:val="000000"/>
          <w:kern w:val="0"/>
          <w:sz w:val="20"/>
          <w:szCs w:val="20"/>
          <w:lang w:val="es-ES_tradnl"/>
          <w14:ligatures w14:val="none"/>
        </w:rPr>
        <w:t>a Mipymes</w:t>
      </w:r>
      <w:r w:rsidRPr="008E7F5C">
        <w:rPr>
          <w:rFonts w:ascii="Arial" w:eastAsia="Calibri" w:hAnsi="Arial" w:cs="Arial"/>
          <w:bCs/>
          <w:color w:val="000000"/>
          <w:kern w:val="0"/>
          <w:sz w:val="20"/>
          <w:szCs w:val="20"/>
          <w:lang w:val="es-ES_tradnl"/>
          <w14:ligatures w14:val="none"/>
        </w:rPr>
        <w:t xml:space="preserve"> o establecimientos que correspondan a la definición de "gran almacén" señalada por la Superintendencia de Industria y Comercio, se determinarán en el reglamento que para el efecto expida el Gobierno Nacional”.</w:t>
      </w:r>
    </w:p>
    <w:p w14:paraId="60043E85" w14:textId="77777777" w:rsidR="008E7F5C" w:rsidRPr="008E7F5C" w:rsidRDefault="008E7F5C" w:rsidP="008E7F5C">
      <w:pPr>
        <w:spacing w:after="0" w:line="240" w:lineRule="auto"/>
        <w:jc w:val="both"/>
        <w:rPr>
          <w:rFonts w:ascii="Arial" w:eastAsia="Calibri" w:hAnsi="Arial" w:cs="Arial"/>
          <w:bCs/>
          <w:color w:val="000000"/>
          <w:kern w:val="0"/>
          <w:sz w:val="20"/>
          <w:szCs w:val="20"/>
          <w:lang w:val="es-ES_tradnl"/>
          <w14:ligatures w14:val="none"/>
        </w:rPr>
      </w:pPr>
    </w:p>
    <w:p w14:paraId="1DDF543A" w14:textId="77777777" w:rsidR="008E7F5C" w:rsidRPr="008E7F5C" w:rsidRDefault="008E7F5C" w:rsidP="008E7F5C">
      <w:pPr>
        <w:spacing w:after="0" w:line="240" w:lineRule="auto"/>
        <w:jc w:val="both"/>
        <w:rPr>
          <w:rFonts w:ascii="Arial" w:eastAsia="Calibri" w:hAnsi="Arial" w:cs="Arial"/>
          <w:bCs/>
          <w:color w:val="000000"/>
          <w:kern w:val="0"/>
          <w:sz w:val="20"/>
          <w:szCs w:val="20"/>
          <w:lang w:val="es-ES_tradnl"/>
          <w14:ligatures w14:val="none"/>
        </w:rPr>
      </w:pPr>
      <w:r w:rsidRPr="008E7F5C">
        <w:rPr>
          <w:rFonts w:ascii="Arial" w:eastAsia="Calibri" w:hAnsi="Arial" w:cs="Arial"/>
          <w:bCs/>
          <w:color w:val="000000"/>
          <w:kern w:val="0"/>
          <w:sz w:val="20"/>
          <w:szCs w:val="20"/>
          <w:lang w:val="es-ES_tradnl"/>
          <w14:ligatures w14:val="none"/>
        </w:rPr>
        <w:t>Esta modificación resulta decisiva, pues antes de la Ley de Emprendimiento era imposible limitar a Mipyme la mínima cuantía, especialmente, cuando el artículo 94 la Ley 1474 de 2011 disponía que no era aplicable la Ley 816 de 2003, “Por medio de la cual se apoya a la industria nacional a través de la contratación pública</w:t>
      </w:r>
      <w:r w:rsidRPr="008E7F5C">
        <w:rPr>
          <w:rFonts w:ascii="Arial" w:eastAsia="Calibri" w:hAnsi="Arial" w:cs="Arial"/>
          <w:color w:val="000000"/>
          <w:kern w:val="0"/>
          <w:sz w:val="20"/>
          <w:szCs w:val="20"/>
          <w:lang w:val="es-ES_tradnl"/>
          <w14:ligatures w14:val="none"/>
        </w:rPr>
        <w:t xml:space="preserve">”, ni </w:t>
      </w:r>
      <w:r w:rsidRPr="008E7F5C">
        <w:rPr>
          <w:rFonts w:ascii="Arial" w:eastAsia="Calibri" w:hAnsi="Arial" w:cs="Arial"/>
          <w:bCs/>
          <w:color w:val="000000"/>
          <w:kern w:val="0"/>
          <w:sz w:val="20"/>
          <w:szCs w:val="20"/>
          <w:lang w:val="es-ES_tradnl"/>
          <w14:ligatures w14:val="none"/>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mipymes en esta modalidad de selección. Como se observa, el parágrafo 1º del artículo </w:t>
      </w:r>
      <w:r w:rsidRPr="008E7F5C">
        <w:rPr>
          <w:rFonts w:ascii="Arial" w:eastAsia="Calibri" w:hAnsi="Arial" w:cs="Arial"/>
          <w:bCs/>
          <w:color w:val="000000"/>
          <w:kern w:val="0"/>
          <w:sz w:val="20"/>
          <w:szCs w:val="20"/>
          <w:lang w:val="es-ES_tradnl"/>
          <w14:ligatures w14:val="none"/>
        </w:rPr>
        <w:lastRenderedPageBreak/>
        <w:t>30 de la Ley 2069 de 2020 dispone que el reglamento es importante para regular: i) las “particularidades del procedimiento de selección” y ii) la posibilidad de realizar estas adquisiciones a mipymes o establecimientos que correspondan a la definición de “gran almacén” (…).</w:t>
      </w:r>
    </w:p>
    <w:p w14:paraId="1BAEFBBB" w14:textId="77777777" w:rsidR="008E7F5C" w:rsidRPr="008E7F5C" w:rsidRDefault="008E7F5C" w:rsidP="008E7F5C">
      <w:pPr>
        <w:spacing w:after="0" w:line="240" w:lineRule="auto"/>
        <w:jc w:val="both"/>
        <w:rPr>
          <w:rFonts w:ascii="Arial" w:eastAsia="Times New Roman" w:hAnsi="Arial" w:cs="Arial"/>
          <w:kern w:val="0"/>
          <w:sz w:val="20"/>
          <w:szCs w:val="20"/>
          <w:highlight w:val="yellow"/>
          <w:lang w:val="es-ES_tradnl" w:eastAsia="es-ES_tradnl"/>
          <w14:ligatures w14:val="none"/>
        </w:rPr>
      </w:pPr>
    </w:p>
    <w:p w14:paraId="22FBF36D" w14:textId="77777777" w:rsidR="008E7F5C" w:rsidRPr="008E7F5C" w:rsidRDefault="008E7F5C" w:rsidP="008E7F5C">
      <w:pPr>
        <w:spacing w:after="0" w:line="240" w:lineRule="auto"/>
        <w:jc w:val="both"/>
        <w:rPr>
          <w:rFonts w:ascii="Arial" w:eastAsia="Calibri" w:hAnsi="Arial" w:cs="Arial"/>
          <w:b/>
          <w:bCs/>
          <w:kern w:val="0"/>
          <w:highlight w:val="yellow"/>
          <w:lang w:val="es-ES_tradnl" w:eastAsia="es-ES_tradnl"/>
          <w14:ligatures w14:val="none"/>
        </w:rPr>
      </w:pPr>
      <w:r w:rsidRPr="008E7F5C">
        <w:rPr>
          <w:rFonts w:ascii="Arial" w:eastAsia="Calibri" w:hAnsi="Arial" w:cs="Arial"/>
          <w:b/>
          <w:bCs/>
          <w:iCs/>
          <w:kern w:val="0"/>
          <w14:ligatures w14:val="none"/>
        </w:rPr>
        <w:t xml:space="preserve">CONVOCATORIAS LIMITADAS A MIPYMES </w:t>
      </w:r>
      <w:r w:rsidRPr="008E7F5C">
        <w:rPr>
          <w:rFonts w:ascii="Arial" w:eastAsia="Calibri" w:hAnsi="Arial" w:cs="Arial"/>
          <w:b/>
          <w:kern w:val="0"/>
          <w:lang w:eastAsia="es-ES_tradnl"/>
          <w14:ligatures w14:val="none"/>
        </w:rPr>
        <w:t xml:space="preserve">– </w:t>
      </w:r>
      <w:r w:rsidRPr="008E7F5C">
        <w:rPr>
          <w:rFonts w:ascii="Arial" w:eastAsia="Calibri" w:hAnsi="Arial" w:cs="Arial"/>
          <w:b/>
          <w:bCs/>
          <w:iCs/>
          <w:kern w:val="0"/>
          <w14:ligatures w14:val="none"/>
        </w:rPr>
        <w:t>Aplicación</w:t>
      </w:r>
    </w:p>
    <w:p w14:paraId="36B662CE" w14:textId="77777777" w:rsidR="008E7F5C" w:rsidRPr="008E7F5C" w:rsidRDefault="008E7F5C" w:rsidP="008E7F5C">
      <w:pPr>
        <w:spacing w:after="0" w:line="240" w:lineRule="auto"/>
        <w:jc w:val="both"/>
        <w:rPr>
          <w:rFonts w:ascii="Arial" w:eastAsia="Calibri" w:hAnsi="Arial" w:cs="Arial"/>
          <w:bCs/>
          <w:color w:val="000000"/>
          <w:kern w:val="0"/>
          <w:highlight w:val="yellow"/>
          <w:lang w:val="es-ES_tradnl" w:eastAsia="es-ES_tradnl"/>
          <w14:ligatures w14:val="none"/>
        </w:rPr>
      </w:pPr>
    </w:p>
    <w:p w14:paraId="0DF95A3F" w14:textId="77777777" w:rsidR="008E7F5C" w:rsidRPr="008E7F5C" w:rsidRDefault="008E7F5C" w:rsidP="008E7F5C">
      <w:pPr>
        <w:spacing w:after="0" w:line="240" w:lineRule="auto"/>
        <w:jc w:val="both"/>
        <w:rPr>
          <w:rFonts w:ascii="Arial" w:eastAsia="Calibri" w:hAnsi="Arial" w:cs="Arial"/>
          <w:kern w:val="0"/>
          <w:sz w:val="20"/>
          <w:szCs w:val="20"/>
          <w14:ligatures w14:val="none"/>
        </w:rPr>
      </w:pPr>
      <w:bookmarkStart w:id="3" w:name="_Hlk140044493"/>
      <w:r w:rsidRPr="008E7F5C">
        <w:rPr>
          <w:rFonts w:ascii="Arial" w:eastAsia="Calibri" w:hAnsi="Arial" w:cs="Arial"/>
          <w:kern w:val="0"/>
          <w:sz w:val="20"/>
          <w:szCs w:val="20"/>
          <w:lang w:val="es-ES_tradnl" w:eastAsia="es-CO"/>
          <w14:ligatures w14:val="none"/>
        </w:rPr>
        <w:t>Según lo ha reiterado esta Agencia en múltiples conceptos sobre la materia, el artículo 34 de la Ley 2069 de 2020, que dispone nuevas reglas sobre la promoción del desarrollo en la contratación pública, sustituyó íntegramente el contenido del artículo 12 de la Ley 1150 de 2007, por lo que frente a esta última norma se produjo el fenómeno de la subrogación. No en vano, en línea con lo anterior, el artículo 2.2.1.2.4.2.2. original del Decreto 1082 de 2015 -antes del Decreto 1860 de 2021-, que hasta la expedición de la Ley 2069 de 2020 regulaba las convocatorias limitadas a Mipymes, carecía de vigencia, porque su contenido era contrario al artículo 34 de la Ley 2069 de 2020. En tal sentido, ha perdido fuerza ejecutoria, de conformidad con el artículo 91.2. de la Ley 1437 de 2011, el cual establece que los actos administrativos -categoría que, como es sabido, incluye los decretos reglamentarios- dejan de ser obligatorios o decaen “[c]uando desaparezcan sus fundamentos de hecho o de derecho”.</w:t>
      </w:r>
    </w:p>
    <w:bookmarkEnd w:id="3"/>
    <w:p w14:paraId="3207DB75" w14:textId="77777777" w:rsidR="008E7F5C" w:rsidRPr="008E7F5C" w:rsidRDefault="008E7F5C" w:rsidP="008E7F5C">
      <w:pPr>
        <w:spacing w:after="0" w:line="240" w:lineRule="auto"/>
        <w:jc w:val="both"/>
        <w:rPr>
          <w:rFonts w:ascii="Arial" w:eastAsia="Calibri" w:hAnsi="Arial" w:cs="Arial"/>
          <w:kern w:val="0"/>
          <w:sz w:val="20"/>
          <w:szCs w:val="20"/>
          <w14:ligatures w14:val="none"/>
        </w:rPr>
      </w:pPr>
    </w:p>
    <w:p w14:paraId="727AF6A9" w14:textId="77777777" w:rsidR="008E7F5C" w:rsidRPr="008E7F5C" w:rsidRDefault="008E7F5C" w:rsidP="008E7F5C">
      <w:pPr>
        <w:spacing w:after="0" w:line="240" w:lineRule="auto"/>
        <w:jc w:val="both"/>
        <w:rPr>
          <w:rFonts w:ascii="Arial" w:eastAsia="Calibri" w:hAnsi="Arial" w:cs="Arial"/>
          <w:kern w:val="0"/>
          <w:sz w:val="20"/>
          <w:szCs w:val="20"/>
          <w14:ligatures w14:val="none"/>
        </w:rPr>
      </w:pPr>
      <w:r w:rsidRPr="008E7F5C">
        <w:rPr>
          <w:rFonts w:ascii="Arial" w:eastAsia="Calibri" w:hAnsi="Arial" w:cs="Arial"/>
          <w:b/>
          <w:bCs/>
          <w:iCs/>
          <w:kern w:val="0"/>
          <w14:ligatures w14:val="none"/>
        </w:rPr>
        <w:t xml:space="preserve">ALCANCE DEL ARTÍCULO 2.2.1.2.4.2.16. del DECRETO 1860 DE 2021 </w:t>
      </w:r>
      <w:r w:rsidRPr="008E7F5C">
        <w:rPr>
          <w:rFonts w:ascii="Arial" w:eastAsia="Calibri" w:hAnsi="Arial" w:cs="Arial"/>
          <w:b/>
          <w:kern w:val="0"/>
          <w:lang w:eastAsia="es-ES_tradnl"/>
          <w14:ligatures w14:val="none"/>
        </w:rPr>
        <w:t xml:space="preserve">– </w:t>
      </w:r>
      <w:r w:rsidRPr="008E7F5C">
        <w:rPr>
          <w:rFonts w:ascii="Arial" w:eastAsia="Calibri" w:hAnsi="Arial" w:cs="Arial"/>
          <w:b/>
          <w:bCs/>
          <w:iCs/>
          <w:kern w:val="0"/>
          <w14:ligatures w14:val="none"/>
        </w:rPr>
        <w:t>Fomento a la ejecución de contratos estatales por parte de población en pobreza extrema, desplazados por la violencia, personas en proceso de reintegración o reincorporación y sujetos de especial protección constitucional</w:t>
      </w:r>
    </w:p>
    <w:p w14:paraId="7255A575" w14:textId="77777777" w:rsidR="008E7F5C" w:rsidRPr="008E7F5C" w:rsidRDefault="008E7F5C" w:rsidP="008E7F5C">
      <w:pPr>
        <w:spacing w:after="0" w:line="276" w:lineRule="auto"/>
        <w:contextualSpacing/>
        <w:rPr>
          <w:rFonts w:ascii="Arial" w:eastAsia="Calibri" w:hAnsi="Arial" w:cs="Arial"/>
          <w:kern w:val="0"/>
          <w:sz w:val="20"/>
          <w:szCs w:val="20"/>
          <w:lang w:val="es-ES_tradnl" w:eastAsia="es-CO"/>
          <w14:ligatures w14:val="none"/>
        </w:rPr>
      </w:pPr>
    </w:p>
    <w:p w14:paraId="5AB96147" w14:textId="77777777" w:rsidR="008E7F5C" w:rsidRPr="008E7F5C" w:rsidRDefault="008E7F5C" w:rsidP="008E7F5C">
      <w:pPr>
        <w:spacing w:after="0" w:line="240" w:lineRule="auto"/>
        <w:jc w:val="both"/>
        <w:rPr>
          <w:rFonts w:ascii="Arial" w:eastAsia="Calibri" w:hAnsi="Arial" w:cs="Arial"/>
          <w:kern w:val="0"/>
          <w:sz w:val="20"/>
          <w:szCs w:val="20"/>
          <w14:ligatures w14:val="none"/>
        </w:rPr>
      </w:pPr>
      <w:r w:rsidRPr="008E7F5C">
        <w:rPr>
          <w:rFonts w:ascii="Arial" w:eastAsia="Times New Roman" w:hAnsi="Arial" w:cs="Arial"/>
          <w:bCs/>
          <w:kern w:val="0"/>
          <w:sz w:val="20"/>
          <w:szCs w:val="20"/>
          <w:lang w:val="es-ES_tradnl" w:eastAsia="es-MX"/>
          <w14:ligatures w14:val="none"/>
        </w:rPr>
        <w:t xml:space="preserve">El artículo 3 del Decreto 1860 de 2021 que adicionó el artículo </w:t>
      </w:r>
      <w:r w:rsidRPr="008E7F5C">
        <w:rPr>
          <w:rFonts w:ascii="Arial" w:eastAsia="Times New Roman" w:hAnsi="Arial" w:cs="Arial"/>
          <w:kern w:val="0"/>
          <w:sz w:val="20"/>
          <w:szCs w:val="20"/>
          <w:lang w:eastAsia="es-MX"/>
          <w14:ligatures w14:val="none"/>
        </w:rPr>
        <w:t>2.2.1.2.4.2.16. al Decreto 1082 de 2021, regula el fomento a la ejecución de contratos estatales por parte de población en pobreza extrema, desplazados por la violencia, personas en proceso de reintegración o reincorporación y sujetos de especial protección constitucional (…).</w:t>
      </w:r>
    </w:p>
    <w:p w14:paraId="14D5D0AA" w14:textId="77777777" w:rsidR="008E7F5C" w:rsidRPr="008E7F5C" w:rsidRDefault="008E7F5C" w:rsidP="008E7F5C">
      <w:pPr>
        <w:spacing w:after="0" w:line="240" w:lineRule="auto"/>
        <w:jc w:val="both"/>
        <w:rPr>
          <w:rFonts w:ascii="Arial" w:eastAsia="Calibri" w:hAnsi="Arial" w:cs="Arial"/>
          <w:kern w:val="0"/>
          <w:sz w:val="20"/>
          <w:szCs w:val="20"/>
          <w14:ligatures w14:val="none"/>
        </w:rPr>
      </w:pPr>
    </w:p>
    <w:p w14:paraId="69B2C480" w14:textId="77777777" w:rsidR="008E7F5C" w:rsidRPr="008E7F5C" w:rsidRDefault="008E7F5C" w:rsidP="008E7F5C">
      <w:pPr>
        <w:spacing w:after="0" w:line="240" w:lineRule="auto"/>
        <w:jc w:val="both"/>
        <w:rPr>
          <w:rFonts w:ascii="Arial" w:eastAsia="Calibri" w:hAnsi="Arial" w:cs="Arial"/>
          <w:kern w:val="0"/>
          <w:sz w:val="20"/>
          <w:szCs w:val="20"/>
          <w14:ligatures w14:val="none"/>
        </w:rPr>
      </w:pPr>
      <w:r w:rsidRPr="008E7F5C">
        <w:rPr>
          <w:rFonts w:ascii="Arial" w:eastAsia="Times New Roman" w:hAnsi="Arial" w:cs="Arial"/>
          <w:kern w:val="0"/>
          <w:sz w:val="20"/>
          <w:szCs w:val="20"/>
          <w:lang w:eastAsia="es-MX"/>
          <w14:ligatures w14:val="none"/>
        </w:rPr>
        <w:t>De conformidad con lo anterior, se establece un mandato dirigido a las entidades estatales indistintamente de su régimen de contratación, los patrimonios autónomos constituidos por entidades estatales y los particulares que ejecuten recursos públicos, para que en sus procesos de contratación fomenten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Es así como tal disposición deberá aplicarse tanto por las entidades que se encuentran sometidas al Estatuto General de Contratación de la Administración Pública -EGCAP- como por aquellas entidades que cuentan con un régimen exceptuado de contratación, sin dejar de lado a los patrimonios autónomos constituidos por entidades estatales y a los particulares que ejecuten recursos públicos (…).</w:t>
      </w:r>
    </w:p>
    <w:p w14:paraId="0A294BED" w14:textId="77777777" w:rsidR="008E7F5C" w:rsidRPr="008E7F5C" w:rsidRDefault="008E7F5C" w:rsidP="008E7F5C">
      <w:pPr>
        <w:spacing w:after="0" w:line="240" w:lineRule="auto"/>
        <w:jc w:val="both"/>
        <w:rPr>
          <w:rFonts w:ascii="Arial" w:eastAsia="Calibri" w:hAnsi="Arial" w:cs="Arial"/>
          <w:kern w:val="0"/>
          <w:sz w:val="20"/>
          <w:szCs w:val="20"/>
          <w14:ligatures w14:val="none"/>
        </w:rPr>
      </w:pPr>
    </w:p>
    <w:p w14:paraId="6D528C60" w14:textId="77777777" w:rsidR="008E7F5C" w:rsidRPr="008E7F5C" w:rsidRDefault="008E7F5C" w:rsidP="008E7F5C">
      <w:pPr>
        <w:spacing w:after="0" w:line="240" w:lineRule="auto"/>
        <w:jc w:val="both"/>
        <w:rPr>
          <w:rFonts w:ascii="Arial" w:eastAsia="Times New Roman" w:hAnsi="Arial" w:cs="Arial"/>
          <w:kern w:val="0"/>
          <w:sz w:val="20"/>
          <w:szCs w:val="20"/>
          <w:lang w:eastAsia="es-MX"/>
          <w14:ligatures w14:val="none"/>
        </w:rPr>
      </w:pPr>
      <w:r w:rsidRPr="008E7F5C">
        <w:rPr>
          <w:rFonts w:ascii="Arial" w:eastAsia="Times New Roman" w:hAnsi="Arial" w:cs="Arial"/>
          <w:kern w:val="0"/>
          <w:sz w:val="20"/>
          <w:szCs w:val="20"/>
          <w:lang w:eastAsia="es-MX"/>
          <w14:ligatures w14:val="none"/>
        </w:rPr>
        <w:t xml:space="preserve">Para tales efectos, la norma establece unos límites dentro del cual la entidad estatal fijará en el pliego de condiciones o documento equivalente un porcentaje que debe cumplir el contratista para garantizar la provisión de bienes y servicios por parte de los sujetos mencionados. Específicamente, se establece un porcentaje que </w:t>
      </w:r>
      <w:r w:rsidRPr="008E7F5C">
        <w:rPr>
          <w:rFonts w:ascii="Arial" w:eastAsia="Arial" w:hAnsi="Arial" w:cs="Arial"/>
          <w:color w:val="000000"/>
          <w:kern w:val="0"/>
          <w:sz w:val="20"/>
          <w:szCs w:val="20"/>
          <w:lang w:eastAsia="es-CO"/>
          <w14:ligatures w14:val="none"/>
        </w:rPr>
        <w:t>“</w:t>
      </w:r>
      <w:r w:rsidRPr="008E7F5C">
        <w:rPr>
          <w:rFonts w:ascii="Arial" w:eastAsia="Times New Roman" w:hAnsi="Arial" w:cs="Arial"/>
          <w:kern w:val="0"/>
          <w:sz w:val="20"/>
          <w:szCs w:val="20"/>
          <w:lang w:eastAsia="es-MX"/>
          <w14:ligatures w14:val="none"/>
        </w:rPr>
        <w:t>no será superior al diez por ciento (10%) ni inferior al cinco por ciento (5%) de los bienes o servicios requeridos para la ejecución del contrato, de manera que no se ponga en riesgo su cumplimiento adecuado</w:t>
      </w:r>
      <w:r w:rsidRPr="008E7F5C">
        <w:rPr>
          <w:rFonts w:ascii="Arial" w:eastAsia="Arial" w:hAnsi="Arial" w:cs="Arial"/>
          <w:color w:val="000000"/>
          <w:kern w:val="0"/>
          <w:sz w:val="20"/>
          <w:szCs w:val="20"/>
          <w:lang w:eastAsia="es-CO"/>
          <w14:ligatures w14:val="none"/>
        </w:rPr>
        <w:t>”.</w:t>
      </w:r>
      <w:r w:rsidRPr="008E7F5C">
        <w:rPr>
          <w:rFonts w:ascii="Arial" w:eastAsia="Times New Roman" w:hAnsi="Arial" w:cs="Arial"/>
          <w:kern w:val="0"/>
          <w:sz w:val="20"/>
          <w:szCs w:val="20"/>
          <w:lang w:eastAsia="es-MX"/>
          <w14:ligatures w14:val="none"/>
        </w:rPr>
        <w:t xml:space="preserve"> Esto quiere decir, en últimas, que la entidad determinará el porcentaje respectivo siempre que no supere los límites previamente referidos. </w:t>
      </w:r>
      <w:r w:rsidRPr="008E7F5C">
        <w:rPr>
          <w:rFonts w:ascii="Arial" w:eastAsia="Times New Roman" w:hAnsi="Arial" w:cs="Arial"/>
          <w:kern w:val="0"/>
          <w:sz w:val="20"/>
          <w:szCs w:val="20"/>
          <w:lang w:eastAsia="es-MX"/>
          <w14:ligatures w14:val="none"/>
        </w:rPr>
        <w:lastRenderedPageBreak/>
        <w:t>Además, la entidad incorporará esta obligación en la minuta del contrato del pliego de condiciones o documento equivalente, precisando las sanciones pecuniarias producto del incumplimiento injustificado de esta mediante las causales de multa que estime pertinentes (…).</w:t>
      </w:r>
    </w:p>
    <w:p w14:paraId="12E03172" w14:textId="77777777" w:rsidR="008E7F5C" w:rsidRPr="008E7F5C" w:rsidRDefault="008E7F5C" w:rsidP="008E7F5C">
      <w:pPr>
        <w:spacing w:after="0" w:line="240" w:lineRule="auto"/>
        <w:jc w:val="both"/>
        <w:rPr>
          <w:rFonts w:ascii="Arial" w:eastAsia="Times New Roman" w:hAnsi="Arial" w:cs="Arial"/>
          <w:kern w:val="0"/>
          <w:sz w:val="20"/>
          <w:szCs w:val="20"/>
          <w:lang w:eastAsia="es-MX"/>
          <w14:ligatures w14:val="none"/>
        </w:rPr>
      </w:pPr>
    </w:p>
    <w:p w14:paraId="3DD58B8D" w14:textId="77777777" w:rsidR="008E7F5C" w:rsidRPr="008E7F5C" w:rsidRDefault="008E7F5C" w:rsidP="008E7F5C">
      <w:pPr>
        <w:spacing w:after="0" w:line="240" w:lineRule="auto"/>
        <w:jc w:val="both"/>
        <w:rPr>
          <w:rFonts w:ascii="Arial" w:eastAsia="Times New Roman" w:hAnsi="Arial" w:cs="Arial"/>
          <w:kern w:val="0"/>
          <w:sz w:val="20"/>
          <w:szCs w:val="20"/>
          <w:lang w:eastAsia="es-MX"/>
          <w14:ligatures w14:val="none"/>
        </w:rPr>
      </w:pPr>
    </w:p>
    <w:p w14:paraId="44576F59" w14:textId="77777777" w:rsidR="008E7F5C" w:rsidRPr="008E7F5C" w:rsidRDefault="008E7F5C" w:rsidP="008E7F5C">
      <w:pPr>
        <w:spacing w:after="0" w:line="240" w:lineRule="auto"/>
        <w:jc w:val="both"/>
        <w:rPr>
          <w:rFonts w:ascii="Arial" w:eastAsia="Calibri" w:hAnsi="Arial" w:cs="Arial"/>
          <w:kern w:val="0"/>
          <w:sz w:val="20"/>
          <w:szCs w:val="20"/>
          <w14:ligatures w14:val="none"/>
        </w:rPr>
      </w:pPr>
    </w:p>
    <w:p w14:paraId="69577BF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D2238B7"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068498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21A58B6"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02C3189D"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750A6EE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3B098F0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897470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47B6D23"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2B59F2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3C35CA2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6F839EA1"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4AC19B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550F020"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602EC07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416EECC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9D78E83"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252BEEB"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67A4D76D"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4AF281A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D896BD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3A7AC63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DD883AE"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07D6CD34"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CE19B94"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B510BCB"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FEEA1CA"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7E1A4DCF"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6077A845"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490E19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7C960DAD"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0CA1A8D9"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4E7CF4D8"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BBF83C3"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20DFF904"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D2FD446" w14:textId="77777777" w:rsidR="008E7F5C" w:rsidRDefault="008E7F5C" w:rsidP="008E7F5C">
      <w:pPr>
        <w:spacing w:after="0" w:line="276" w:lineRule="auto"/>
        <w:contextualSpacing/>
        <w:rPr>
          <w:rFonts w:ascii="Arial" w:eastAsia="Calibri" w:hAnsi="Arial" w:cs="Arial"/>
          <w:kern w:val="0"/>
          <w:sz w:val="20"/>
          <w:szCs w:val="20"/>
          <w:lang w:eastAsia="es-CO"/>
          <w14:ligatures w14:val="none"/>
        </w:rPr>
      </w:pPr>
    </w:p>
    <w:p w14:paraId="11B23F0A" w14:textId="77777777" w:rsidR="008E7F5C" w:rsidRPr="008E7F5C" w:rsidRDefault="008E7F5C" w:rsidP="008E7F5C">
      <w:pPr>
        <w:spacing w:after="0" w:line="276" w:lineRule="auto"/>
        <w:contextualSpacing/>
        <w:rPr>
          <w:rFonts w:ascii="Arial" w:eastAsia="Calibri" w:hAnsi="Arial" w:cs="Arial"/>
          <w:kern w:val="0"/>
          <w:sz w:val="20"/>
          <w:szCs w:val="20"/>
          <w:lang w:eastAsia="es-CO"/>
          <w14:ligatures w14:val="none"/>
        </w:rPr>
      </w:pPr>
    </w:p>
    <w:p w14:paraId="5C3C0D12" w14:textId="77777777" w:rsidR="008E7F5C" w:rsidRPr="008E7F5C" w:rsidRDefault="008E7F5C" w:rsidP="008E7F5C">
      <w:pPr>
        <w:spacing w:after="0" w:line="240" w:lineRule="auto"/>
        <w:rPr>
          <w:rFonts w:ascii="Arial" w:eastAsia="Times New Roman" w:hAnsi="Arial" w:cs="Arial"/>
          <w:kern w:val="0"/>
          <w:szCs w:val="24"/>
          <w:lang w:eastAsia="es-ES_tradnl"/>
          <w14:ligatures w14:val="none"/>
        </w:rPr>
      </w:pPr>
      <w:r w:rsidRPr="008E7F5C">
        <w:rPr>
          <w:rFonts w:ascii="Arial" w:eastAsia="Times New Roman" w:hAnsi="Arial" w:cs="Arial"/>
          <w:kern w:val="0"/>
          <w:szCs w:val="24"/>
          <w:shd w:val="clear" w:color="auto" w:fill="E6E6E6"/>
          <w:lang w:eastAsia="es-CO"/>
          <w14:ligatures w14:val="none"/>
        </w:rPr>
        <w:lastRenderedPageBreak/>
        <w:t>Bogotá D.C., 12 de julio de 2023</w:t>
      </w:r>
    </w:p>
    <w:p w14:paraId="06CE50EC" w14:textId="170FE818" w:rsidR="008E7F5C" w:rsidRPr="008E7F5C" w:rsidRDefault="00757CB2" w:rsidP="008E7F5C">
      <w:pPr>
        <w:spacing w:after="0" w:line="276" w:lineRule="auto"/>
        <w:jc w:val="both"/>
        <w:rPr>
          <w:rFonts w:ascii="Arial" w:eastAsia="Times New Roman" w:hAnsi="Arial" w:cs="Arial"/>
          <w:noProof/>
          <w:kern w:val="0"/>
          <w:szCs w:val="24"/>
          <w:lang w:val="es-ES_tradnl" w:eastAsia="es-ES_tradnl"/>
          <w14:ligatures w14:val="none"/>
        </w:rPr>
      </w:pPr>
      <w:r>
        <w:rPr>
          <w:noProof/>
        </w:rPr>
        <w:drawing>
          <wp:anchor distT="0" distB="0" distL="0" distR="0" simplePos="0" relativeHeight="251659264" behindDoc="0" locked="0" layoutInCell="1" allowOverlap="1" wp14:anchorId="5B1A8117" wp14:editId="584790D2">
            <wp:simplePos x="0" y="0"/>
            <wp:positionH relativeFrom="margin">
              <wp:align>right</wp:align>
            </wp:positionH>
            <wp:positionV relativeFrom="page">
              <wp:posOffset>1450632</wp:posOffset>
            </wp:positionV>
            <wp:extent cx="2400300" cy="615950"/>
            <wp:effectExtent l="0" t="0" r="0" b="0"/>
            <wp:wrapNone/>
            <wp:docPr id="9" name="image5.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Texto&#10;&#10;Descripción generada automáticamente"/>
                    <pic:cNvPicPr/>
                  </pic:nvPicPr>
                  <pic:blipFill>
                    <a:blip r:embed="rId10" cstate="print"/>
                    <a:stretch>
                      <a:fillRect/>
                    </a:stretch>
                  </pic:blipFill>
                  <pic:spPr>
                    <a:xfrm>
                      <a:off x="0" y="0"/>
                      <a:ext cx="2400300" cy="615950"/>
                    </a:xfrm>
                    <a:prstGeom prst="rect">
                      <a:avLst/>
                    </a:prstGeom>
                  </pic:spPr>
                </pic:pic>
              </a:graphicData>
            </a:graphic>
          </wp:anchor>
        </w:drawing>
      </w:r>
    </w:p>
    <w:p w14:paraId="340317FF" w14:textId="4303B580" w:rsidR="008E7F5C" w:rsidRPr="008E7F5C" w:rsidRDefault="008E7F5C" w:rsidP="008E7F5C">
      <w:pPr>
        <w:spacing w:after="0" w:line="276" w:lineRule="auto"/>
        <w:jc w:val="both"/>
        <w:rPr>
          <w:rFonts w:ascii="Arial" w:eastAsia="Times New Roman" w:hAnsi="Arial" w:cs="Arial"/>
          <w:noProof/>
          <w:kern w:val="0"/>
          <w:szCs w:val="24"/>
          <w:lang w:val="es-ES_tradnl" w:eastAsia="es-ES_tradnl"/>
          <w14:ligatures w14:val="none"/>
        </w:rPr>
      </w:pPr>
    </w:p>
    <w:p w14:paraId="75BC5631" w14:textId="58925622" w:rsidR="008E7F5C" w:rsidRPr="008E7F5C" w:rsidRDefault="008E7F5C" w:rsidP="008E7F5C">
      <w:pPr>
        <w:spacing w:after="0" w:line="276" w:lineRule="auto"/>
        <w:contextualSpacing/>
        <w:rPr>
          <w:rFonts w:ascii="Arial" w:eastAsia="Calibri" w:hAnsi="Arial" w:cs="Arial"/>
          <w:kern w:val="0"/>
          <w:lang w:eastAsia="es-CO"/>
          <w14:ligatures w14:val="none"/>
        </w:rPr>
      </w:pPr>
      <w:r w:rsidRPr="008E7F5C">
        <w:rPr>
          <w:rFonts w:ascii="Arial" w:eastAsia="Calibri" w:hAnsi="Arial" w:cs="Arial"/>
          <w:kern w:val="0"/>
          <w:lang w:eastAsia="es-CO"/>
          <w14:ligatures w14:val="none"/>
        </w:rPr>
        <w:t>Señor</w:t>
      </w:r>
    </w:p>
    <w:p w14:paraId="55439DB8" w14:textId="62F61EFE" w:rsidR="008E7F5C" w:rsidRPr="008E7F5C" w:rsidRDefault="008E7F5C" w:rsidP="008E7F5C">
      <w:pPr>
        <w:spacing w:after="0" w:line="276" w:lineRule="auto"/>
        <w:contextualSpacing/>
        <w:rPr>
          <w:rFonts w:ascii="Arial" w:eastAsia="Calibri" w:hAnsi="Arial" w:cs="Arial"/>
          <w:b/>
          <w:bCs/>
          <w:kern w:val="0"/>
          <w:lang w:eastAsia="es-CO"/>
          <w14:ligatures w14:val="none"/>
        </w:rPr>
      </w:pPr>
      <w:r w:rsidRPr="008E7F5C">
        <w:rPr>
          <w:rFonts w:ascii="Arial" w:eastAsia="Calibri" w:hAnsi="Arial" w:cs="Arial"/>
          <w:b/>
          <w:bCs/>
          <w:kern w:val="0"/>
          <w:lang w:eastAsia="es-CO"/>
          <w14:ligatures w14:val="none"/>
        </w:rPr>
        <w:t>Jorge Luis Vargas Castillo</w:t>
      </w:r>
    </w:p>
    <w:p w14:paraId="1E0688DE" w14:textId="77777777" w:rsidR="008E7F5C" w:rsidRPr="008E7F5C" w:rsidRDefault="008E7F5C" w:rsidP="008E7F5C">
      <w:pPr>
        <w:spacing w:after="0" w:line="276" w:lineRule="auto"/>
        <w:contextualSpacing/>
        <w:rPr>
          <w:rFonts w:ascii="Arial" w:eastAsia="Calibri" w:hAnsi="Arial" w:cs="Arial"/>
          <w:kern w:val="0"/>
          <w:lang w:eastAsia="es-CO"/>
          <w14:ligatures w14:val="none"/>
        </w:rPr>
      </w:pPr>
      <w:r w:rsidRPr="008E7F5C">
        <w:rPr>
          <w:rFonts w:ascii="Arial" w:eastAsia="Calibri" w:hAnsi="Arial" w:cs="Arial"/>
          <w:kern w:val="0"/>
          <w:lang w:eastAsia="es-CO"/>
          <w14:ligatures w14:val="none"/>
        </w:rPr>
        <w:t>Secretaría de Planeación</w:t>
      </w:r>
    </w:p>
    <w:p w14:paraId="7BBD6B23" w14:textId="77777777" w:rsidR="008E7F5C" w:rsidRPr="008E7F5C" w:rsidRDefault="008E7F5C" w:rsidP="008E7F5C">
      <w:pPr>
        <w:spacing w:after="0" w:line="276" w:lineRule="auto"/>
        <w:contextualSpacing/>
        <w:rPr>
          <w:rFonts w:ascii="Arial" w:eastAsia="Calibri" w:hAnsi="Arial" w:cs="Arial"/>
          <w:kern w:val="0"/>
          <w:lang w:eastAsia="es-CO"/>
          <w14:ligatures w14:val="none"/>
        </w:rPr>
      </w:pPr>
      <w:r w:rsidRPr="008E7F5C">
        <w:rPr>
          <w:rFonts w:ascii="Arial" w:eastAsia="Calibri" w:hAnsi="Arial" w:cs="Arial"/>
          <w:kern w:val="0"/>
          <w:lang w:eastAsia="es-CO"/>
          <w14:ligatures w14:val="none"/>
        </w:rPr>
        <w:t>Municipio de Sutamarchán, Boyacá</w:t>
      </w:r>
    </w:p>
    <w:p w14:paraId="2CC40A4A" w14:textId="77777777" w:rsidR="008E7F5C" w:rsidRPr="008E7F5C" w:rsidRDefault="008E7F5C" w:rsidP="008E7F5C">
      <w:pPr>
        <w:spacing w:after="0" w:line="276" w:lineRule="auto"/>
        <w:contextualSpacing/>
        <w:rPr>
          <w:rFonts w:ascii="Arial" w:eastAsia="Calibri" w:hAnsi="Arial" w:cs="Arial"/>
          <w:kern w:val="0"/>
          <w:lang w:eastAsia="es-CO"/>
          <w14:ligatures w14:val="none"/>
        </w:rPr>
      </w:pPr>
    </w:p>
    <w:p w14:paraId="77CB7400" w14:textId="77777777" w:rsidR="008E7F5C" w:rsidRPr="008E7F5C" w:rsidRDefault="008E7F5C" w:rsidP="008E7F5C">
      <w:pPr>
        <w:spacing w:after="0" w:line="240" w:lineRule="auto"/>
        <w:contextualSpacing/>
        <w:rPr>
          <w:rFonts w:ascii="Arial" w:eastAsia="Calibri" w:hAnsi="Arial" w:cs="Arial"/>
          <w:kern w:val="0"/>
          <w:szCs w:val="24"/>
          <w:lang w:eastAsia="es-CO"/>
          <w14:ligatures w14:val="none"/>
        </w:rPr>
      </w:pPr>
    </w:p>
    <w:p w14:paraId="532E09E7" w14:textId="77777777" w:rsidR="008E7F5C" w:rsidRPr="008E7F5C" w:rsidRDefault="008E7F5C" w:rsidP="008E7F5C">
      <w:pPr>
        <w:spacing w:after="0" w:line="240" w:lineRule="auto"/>
        <w:contextualSpacing/>
        <w:rPr>
          <w:rFonts w:ascii="Arial" w:eastAsia="Calibri" w:hAnsi="Arial" w:cs="Arial"/>
          <w:kern w:val="0"/>
          <w:szCs w:val="24"/>
          <w:lang w:eastAsia="es-CO"/>
          <w14:ligatures w14:val="none"/>
        </w:rPr>
      </w:pPr>
    </w:p>
    <w:p w14:paraId="283EBDF5" w14:textId="77777777" w:rsidR="008E7F5C" w:rsidRPr="008E7F5C" w:rsidRDefault="008E7F5C" w:rsidP="008E7F5C">
      <w:pPr>
        <w:spacing w:after="0" w:line="240" w:lineRule="auto"/>
        <w:ind w:right="571"/>
        <w:contextualSpacing/>
        <w:jc w:val="center"/>
        <w:rPr>
          <w:rFonts w:ascii="Arial" w:eastAsia="Calibri" w:hAnsi="Arial" w:cs="Arial"/>
          <w:b/>
          <w:bCs/>
          <w:kern w:val="0"/>
          <w:szCs w:val="24"/>
          <w:lang w:eastAsia="es-CO"/>
          <w14:ligatures w14:val="none"/>
        </w:rPr>
      </w:pPr>
      <w:r w:rsidRPr="008E7F5C">
        <w:rPr>
          <w:rFonts w:ascii="Arial" w:eastAsia="Calibri" w:hAnsi="Arial" w:cs="Arial"/>
          <w:b/>
          <w:bCs/>
          <w:kern w:val="0"/>
          <w:szCs w:val="24"/>
          <w:lang w:eastAsia="es-CO"/>
          <w14:ligatures w14:val="none"/>
        </w:rPr>
        <w:t>Concepto C-269 de 2023</w:t>
      </w:r>
    </w:p>
    <w:p w14:paraId="0A0A2E15" w14:textId="77777777" w:rsidR="008E7F5C" w:rsidRPr="008E7F5C" w:rsidRDefault="008E7F5C" w:rsidP="008E7F5C">
      <w:pPr>
        <w:spacing w:after="0" w:line="240" w:lineRule="auto"/>
        <w:jc w:val="both"/>
        <w:rPr>
          <w:rFonts w:ascii="Arial" w:eastAsia="Calibri" w:hAnsi="Arial" w:cs="Arial"/>
          <w:kern w:val="0"/>
          <w:szCs w:val="24"/>
          <w:lang w:val="es-ES_tradnl" w:eastAsia="es-ES_tradnl"/>
          <w14:ligatures w14:val="none"/>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8E7F5C" w:rsidRPr="008E7F5C" w14:paraId="464F5B1C" w14:textId="77777777" w:rsidTr="006F41D8">
        <w:trPr>
          <w:jc w:val="right"/>
        </w:trPr>
        <w:tc>
          <w:tcPr>
            <w:tcW w:w="1838" w:type="dxa"/>
          </w:tcPr>
          <w:p w14:paraId="43969972" w14:textId="77777777" w:rsidR="008E7F5C" w:rsidRPr="008E7F5C" w:rsidRDefault="008E7F5C" w:rsidP="008E7F5C">
            <w:pPr>
              <w:jc w:val="center"/>
              <w:rPr>
                <w:rFonts w:ascii="Arial" w:eastAsia="Calibri" w:hAnsi="Arial" w:cs="Arial"/>
                <w:szCs w:val="24"/>
                <w:lang w:val="es-ES_tradnl" w:eastAsia="es-ES_tradnl"/>
              </w:rPr>
            </w:pPr>
            <w:r w:rsidRPr="008E7F5C">
              <w:rPr>
                <w:rFonts w:ascii="Arial" w:eastAsia="Calibri" w:hAnsi="Arial" w:cs="Arial"/>
                <w:b/>
                <w:szCs w:val="24"/>
                <w:lang w:val="es-ES_tradnl" w:eastAsia="es-ES_tradnl"/>
              </w:rPr>
              <w:t>Temas:</w:t>
            </w:r>
          </w:p>
        </w:tc>
        <w:tc>
          <w:tcPr>
            <w:tcW w:w="6237" w:type="dxa"/>
          </w:tcPr>
          <w:p w14:paraId="03897EA3" w14:textId="77777777" w:rsidR="008E7F5C" w:rsidRPr="008E7F5C" w:rsidRDefault="008E7F5C" w:rsidP="008E7F5C">
            <w:pPr>
              <w:jc w:val="both"/>
              <w:rPr>
                <w:rFonts w:ascii="Arial" w:eastAsia="Calibri" w:hAnsi="Arial" w:cs="Arial"/>
                <w:szCs w:val="24"/>
                <w:lang w:val="es-ES_tradnl" w:eastAsia="es-ES_tradnl"/>
              </w:rPr>
            </w:pPr>
            <w:r w:rsidRPr="008E7F5C">
              <w:rPr>
                <w:rFonts w:ascii="Arial" w:eastAsia="Calibri" w:hAnsi="Arial" w:cs="Arial"/>
                <w:szCs w:val="24"/>
                <w:lang w:eastAsia="es-ES_tradnl"/>
              </w:rPr>
              <w:t>COLOMBIA COMPRA EFICIENTE – Competencia Consultiva – Contratación Estatal – Normas Generales</w:t>
            </w:r>
            <w:r w:rsidRPr="008E7F5C">
              <w:rPr>
                <w:rFonts w:ascii="Arial" w:eastAsia="Calibri" w:hAnsi="Arial" w:cs="Arial"/>
                <w:szCs w:val="24"/>
                <w:lang w:val="es-ES_tradnl" w:eastAsia="es-ES_tradnl"/>
              </w:rPr>
              <w:t xml:space="preserve"> / DECRETO 1860 DE 2021 </w:t>
            </w:r>
            <w:r w:rsidRPr="008E7F5C">
              <w:rPr>
                <w:rFonts w:ascii="Arial" w:eastAsia="Calibri" w:hAnsi="Arial" w:cs="Arial"/>
                <w:szCs w:val="24"/>
                <w:lang w:eastAsia="es-ES_tradnl"/>
              </w:rPr>
              <w:t>– Normas reglamentarias – Mínima cuantía / CONVOCATORIAS LIMITADAS A MIPYMES – Aplicación / PROVISIÓN DE BIENES Y SERVICIOS – Sujetos de especial protección constitucional</w:t>
            </w:r>
          </w:p>
          <w:p w14:paraId="4CCBECFC" w14:textId="77777777" w:rsidR="008E7F5C" w:rsidRPr="008E7F5C" w:rsidRDefault="008E7F5C" w:rsidP="008E7F5C">
            <w:pPr>
              <w:jc w:val="both"/>
              <w:rPr>
                <w:rFonts w:ascii="Arial" w:eastAsia="Times New Roman" w:hAnsi="Arial" w:cs="Arial"/>
                <w:szCs w:val="24"/>
                <w:lang w:val="es-ES_tradnl" w:eastAsia="es-ES_tradnl"/>
              </w:rPr>
            </w:pPr>
          </w:p>
        </w:tc>
      </w:tr>
      <w:tr w:rsidR="008E7F5C" w:rsidRPr="008E7F5C" w14:paraId="50038732" w14:textId="77777777" w:rsidTr="006F41D8">
        <w:trPr>
          <w:jc w:val="right"/>
        </w:trPr>
        <w:tc>
          <w:tcPr>
            <w:tcW w:w="1838" w:type="dxa"/>
          </w:tcPr>
          <w:p w14:paraId="6D6719A9" w14:textId="77777777" w:rsidR="008E7F5C" w:rsidRPr="008E7F5C" w:rsidRDefault="008E7F5C" w:rsidP="008E7F5C">
            <w:pPr>
              <w:jc w:val="center"/>
              <w:rPr>
                <w:rFonts w:ascii="Arial" w:eastAsia="Calibri" w:hAnsi="Arial" w:cs="Arial"/>
                <w:b/>
                <w:szCs w:val="24"/>
                <w:lang w:eastAsia="es-ES_tradnl"/>
              </w:rPr>
            </w:pPr>
            <w:r w:rsidRPr="008E7F5C">
              <w:rPr>
                <w:rFonts w:ascii="Arial" w:eastAsia="Calibri" w:hAnsi="Arial" w:cs="Arial"/>
                <w:b/>
                <w:szCs w:val="24"/>
                <w:lang w:eastAsia="es-ES_tradnl"/>
              </w:rPr>
              <w:t>Radicación:</w:t>
            </w:r>
          </w:p>
        </w:tc>
        <w:tc>
          <w:tcPr>
            <w:tcW w:w="6237" w:type="dxa"/>
          </w:tcPr>
          <w:p w14:paraId="27505617" w14:textId="77777777" w:rsidR="008E7F5C" w:rsidRPr="008E7F5C" w:rsidRDefault="008E7F5C" w:rsidP="008E7F5C">
            <w:pPr>
              <w:jc w:val="both"/>
              <w:rPr>
                <w:rFonts w:ascii="Arial" w:eastAsia="Calibri" w:hAnsi="Arial" w:cs="Arial"/>
                <w:szCs w:val="24"/>
                <w:lang w:eastAsia="es-ES_tradnl"/>
              </w:rPr>
            </w:pPr>
            <w:r w:rsidRPr="008E7F5C">
              <w:rPr>
                <w:rFonts w:ascii="Arial" w:eastAsia="Calibri" w:hAnsi="Arial" w:cs="Arial"/>
                <w:szCs w:val="24"/>
                <w:lang w:eastAsia="es-ES_tradnl"/>
              </w:rPr>
              <w:t>Respuesta a consulta P20230529011773</w:t>
            </w:r>
          </w:p>
        </w:tc>
      </w:tr>
    </w:tbl>
    <w:p w14:paraId="32667703" w14:textId="77777777" w:rsidR="008E7F5C" w:rsidRPr="008E7F5C" w:rsidRDefault="008E7F5C" w:rsidP="008E7F5C">
      <w:pPr>
        <w:spacing w:after="0" w:line="276" w:lineRule="auto"/>
        <w:jc w:val="both"/>
        <w:rPr>
          <w:rFonts w:ascii="Arial" w:eastAsia="Calibri" w:hAnsi="Arial" w:cs="Arial"/>
          <w:kern w:val="0"/>
          <w:szCs w:val="24"/>
          <w:lang w:val="es-ES_tradnl" w:eastAsia="es-ES_tradnl"/>
          <w14:ligatures w14:val="none"/>
        </w:rPr>
      </w:pPr>
    </w:p>
    <w:p w14:paraId="1FF06C82" w14:textId="77777777" w:rsidR="008E7F5C" w:rsidRPr="008E7F5C" w:rsidRDefault="008E7F5C" w:rsidP="008E7F5C">
      <w:pPr>
        <w:spacing w:after="0" w:line="276" w:lineRule="auto"/>
        <w:jc w:val="both"/>
        <w:rPr>
          <w:rFonts w:ascii="Arial" w:eastAsia="Calibri" w:hAnsi="Arial" w:cs="Arial"/>
          <w:kern w:val="0"/>
          <w:szCs w:val="24"/>
          <w:lang w:val="es-ES_tradnl" w:eastAsia="es-ES_tradnl"/>
          <w14:ligatures w14:val="none"/>
        </w:rPr>
      </w:pPr>
    </w:p>
    <w:p w14:paraId="657F7677" w14:textId="77777777" w:rsidR="008E7F5C" w:rsidRPr="008E7F5C" w:rsidRDefault="008E7F5C" w:rsidP="008E7F5C">
      <w:pPr>
        <w:spacing w:after="0" w:line="276" w:lineRule="auto"/>
        <w:jc w:val="both"/>
        <w:rPr>
          <w:rFonts w:ascii="Arial" w:eastAsia="Calibri" w:hAnsi="Arial" w:cs="Arial"/>
          <w:bCs/>
          <w:kern w:val="0"/>
          <w:szCs w:val="24"/>
          <w:lang w:val="es-ES_tradnl" w:eastAsia="es-ES_tradnl"/>
          <w14:ligatures w14:val="none"/>
        </w:rPr>
      </w:pPr>
      <w:r w:rsidRPr="008E7F5C">
        <w:rPr>
          <w:rFonts w:ascii="Arial" w:eastAsia="Calibri" w:hAnsi="Arial" w:cs="Arial"/>
          <w:kern w:val="0"/>
          <w:szCs w:val="24"/>
          <w:lang w:val="es-ES_tradnl" w:eastAsia="es-ES_tradnl"/>
          <w14:ligatures w14:val="none"/>
        </w:rPr>
        <w:t>Estimado señor Vargas:</w:t>
      </w:r>
    </w:p>
    <w:p w14:paraId="65F098C2" w14:textId="77777777" w:rsidR="008E7F5C" w:rsidRPr="008E7F5C" w:rsidRDefault="008E7F5C" w:rsidP="008E7F5C">
      <w:pPr>
        <w:spacing w:after="0" w:line="276" w:lineRule="auto"/>
        <w:jc w:val="both"/>
        <w:rPr>
          <w:rFonts w:ascii="Arial" w:eastAsia="Calibri" w:hAnsi="Arial" w:cs="Arial"/>
          <w:bCs/>
          <w:kern w:val="0"/>
          <w:szCs w:val="24"/>
          <w:lang w:val="es-ES_tradnl" w:eastAsia="es-ES_tradnl"/>
          <w14:ligatures w14:val="none"/>
        </w:rPr>
      </w:pPr>
    </w:p>
    <w:p w14:paraId="5A212909" w14:textId="77777777" w:rsidR="008E7F5C" w:rsidRPr="008E7F5C" w:rsidRDefault="008E7F5C" w:rsidP="008E7F5C">
      <w:pPr>
        <w:spacing w:after="0" w:line="276" w:lineRule="auto"/>
        <w:jc w:val="both"/>
        <w:rPr>
          <w:rFonts w:ascii="Arial" w:eastAsia="Calibri" w:hAnsi="Arial" w:cs="Arial"/>
          <w:kern w:val="0"/>
          <w:szCs w:val="24"/>
          <w:lang w:val="es-ES" w:eastAsia="es-ES_tradnl"/>
          <w14:ligatures w14:val="none"/>
        </w:rPr>
      </w:pPr>
      <w:r w:rsidRPr="008E7F5C">
        <w:rPr>
          <w:rFonts w:ascii="Arial" w:eastAsia="Calibri" w:hAnsi="Arial" w:cs="Arial"/>
          <w:kern w:val="0"/>
          <w:szCs w:val="24"/>
          <w:lang w:val="es-ES" w:eastAsia="es-ES_tradnl"/>
          <w14:ligatures w14:val="none"/>
        </w:rPr>
        <w:t>En virtud de la competencia conferida por el numeral 8 del artículo 11 y el numeral 5 del artículo 3 del Decreto Ley 4170 de 2011, la Agencia Nacional de Contratación Pública -Colombia Compra Eficiente- responde a su consulta del 29 de mayo de 2023</w:t>
      </w:r>
      <w:bookmarkStart w:id="4" w:name="_Hlk133234847"/>
      <w:bookmarkStart w:id="5" w:name="_Hlk133406549"/>
      <w:r w:rsidRPr="008E7F5C">
        <w:rPr>
          <w:rFonts w:ascii="Arial" w:eastAsia="Calibri" w:hAnsi="Arial" w:cs="Arial"/>
          <w:kern w:val="0"/>
          <w:szCs w:val="24"/>
          <w:lang w:val="es-ES" w:eastAsia="es-ES_tradnl"/>
          <w14:ligatures w14:val="none"/>
        </w:rPr>
        <w:t>.</w:t>
      </w:r>
    </w:p>
    <w:p w14:paraId="453020F3" w14:textId="77777777" w:rsidR="008E7F5C" w:rsidRPr="008E7F5C" w:rsidRDefault="008E7F5C" w:rsidP="008E7F5C">
      <w:pPr>
        <w:spacing w:after="0" w:line="276" w:lineRule="auto"/>
        <w:jc w:val="both"/>
        <w:rPr>
          <w:rFonts w:ascii="Arial" w:eastAsia="Calibri" w:hAnsi="Arial" w:cs="Arial"/>
          <w:bCs/>
          <w:kern w:val="0"/>
          <w:szCs w:val="24"/>
          <w:lang w:val="es-ES_tradnl" w:eastAsia="es-CO"/>
          <w14:ligatures w14:val="none"/>
        </w:rPr>
      </w:pPr>
      <w:bookmarkStart w:id="6" w:name="_Hlk133234829"/>
    </w:p>
    <w:p w14:paraId="626CEC95" w14:textId="77777777" w:rsidR="008E7F5C" w:rsidRPr="008E7F5C" w:rsidRDefault="008E7F5C" w:rsidP="008E7F5C">
      <w:pPr>
        <w:spacing w:after="0" w:line="276" w:lineRule="auto"/>
        <w:jc w:val="both"/>
        <w:rPr>
          <w:rFonts w:ascii="Arial" w:eastAsia="Calibri" w:hAnsi="Arial" w:cs="Arial"/>
          <w:b/>
          <w:kern w:val="0"/>
          <w:szCs w:val="24"/>
          <w:lang w:val="es-ES_tradnl" w:eastAsia="es-CO"/>
          <w14:ligatures w14:val="none"/>
        </w:rPr>
      </w:pPr>
      <w:r w:rsidRPr="008E7F5C">
        <w:rPr>
          <w:rFonts w:ascii="Arial" w:eastAsia="Calibri" w:hAnsi="Arial" w:cs="Arial"/>
          <w:b/>
          <w:kern w:val="0"/>
          <w:szCs w:val="24"/>
          <w:lang w:val="es-ES_tradnl" w:eastAsia="es-CO"/>
          <w14:ligatures w14:val="none"/>
        </w:rPr>
        <w:t>1.</w:t>
      </w:r>
      <w:r w:rsidRPr="008E7F5C">
        <w:rPr>
          <w:rFonts w:ascii="Arial" w:eastAsia="Calibri" w:hAnsi="Arial" w:cs="Arial"/>
          <w:b/>
          <w:kern w:val="0"/>
          <w:szCs w:val="24"/>
          <w:lang w:val="es-ES_tradnl" w:eastAsia="es-CO"/>
          <w14:ligatures w14:val="none"/>
        </w:rPr>
        <w:tab/>
        <w:t>Problema planteado</w:t>
      </w:r>
    </w:p>
    <w:p w14:paraId="07BCF5F6" w14:textId="77777777" w:rsidR="008E7F5C" w:rsidRPr="008E7F5C" w:rsidRDefault="008E7F5C" w:rsidP="008E7F5C">
      <w:pPr>
        <w:tabs>
          <w:tab w:val="left" w:pos="0"/>
          <w:tab w:val="left" w:pos="142"/>
          <w:tab w:val="left" w:pos="284"/>
        </w:tabs>
        <w:spacing w:after="0" w:line="276" w:lineRule="auto"/>
        <w:contextualSpacing/>
        <w:jc w:val="both"/>
        <w:rPr>
          <w:rFonts w:ascii="Arial" w:eastAsia="Calibri" w:hAnsi="Arial" w:cs="Arial"/>
          <w:bCs/>
          <w:kern w:val="0"/>
          <w:szCs w:val="24"/>
          <w:lang w:val="es-ES_tradnl" w:eastAsia="es-ES_tradnl"/>
          <w14:ligatures w14:val="none"/>
        </w:rPr>
      </w:pPr>
    </w:p>
    <w:p w14:paraId="77348C12" w14:textId="77777777" w:rsidR="008E7F5C" w:rsidRPr="008E7F5C" w:rsidRDefault="008E7F5C" w:rsidP="008E7F5C">
      <w:pPr>
        <w:spacing w:after="0" w:line="276" w:lineRule="auto"/>
        <w:jc w:val="both"/>
        <w:rPr>
          <w:rFonts w:ascii="Arial" w:eastAsia="Times New Roman" w:hAnsi="Arial" w:cs="Arial"/>
          <w:i/>
          <w:iCs/>
          <w:kern w:val="0"/>
          <w:szCs w:val="24"/>
          <w:lang w:val="es-ES_tradnl" w:eastAsia="es-ES_tradnl"/>
          <w14:ligatures w14:val="none"/>
        </w:rPr>
      </w:pPr>
      <w:bookmarkStart w:id="7" w:name="_Hlk133498899"/>
      <w:bookmarkEnd w:id="4"/>
      <w:bookmarkEnd w:id="6"/>
      <w:r w:rsidRPr="008E7F5C">
        <w:rPr>
          <w:rFonts w:ascii="Arial" w:eastAsia="Times New Roman" w:hAnsi="Arial" w:cs="Arial"/>
          <w:kern w:val="0"/>
          <w:szCs w:val="24"/>
          <w:lang w:val="es-ES_tradnl" w:eastAsia="es-ES_tradnl"/>
          <w14:ligatures w14:val="none"/>
        </w:rPr>
        <w:t xml:space="preserve">En el respectivo escrito, en relación con el Decreto 1860 de 2021, usted solicita sea emitido concepto jurídico sobre la siguiente inquietud: </w:t>
      </w:r>
      <w:bookmarkStart w:id="8" w:name="_Hlk140044753"/>
      <w:bookmarkStart w:id="9" w:name="_Hlk139323233"/>
      <w:bookmarkStart w:id="10" w:name="_Hlk136199855"/>
      <w:r w:rsidRPr="008E7F5C">
        <w:rPr>
          <w:rFonts w:ascii="Arial" w:eastAsia="Times New Roman" w:hAnsi="Arial" w:cs="Arial"/>
          <w:i/>
          <w:iCs/>
          <w:kern w:val="0"/>
          <w:szCs w:val="24"/>
          <w:lang w:val="es-ES_tradnl" w:eastAsia="es-ES_tradnl"/>
          <w14:ligatures w14:val="none"/>
        </w:rPr>
        <w:t>“en qué procesos de contratación debe darse cumplimiento al artículo 2.2.1.2.4.2.16. (…), teniendo en cuenta que queremos precisar si es obligatorio en un proceso cuya ejecución es contra entrega, como en caso de entrega de suministros, en procesos cuya ejecución es por eventos, como en el caso de apoyo logístico para hospedaje en fechas esporádicas, entre otros”</w:t>
      </w:r>
      <w:bookmarkEnd w:id="8"/>
      <w:r w:rsidRPr="008E7F5C">
        <w:rPr>
          <w:rFonts w:ascii="Arial" w:eastAsia="Times New Roman" w:hAnsi="Arial" w:cs="Arial"/>
          <w:i/>
          <w:iCs/>
          <w:kern w:val="0"/>
          <w:szCs w:val="24"/>
          <w:lang w:val="es-ES_tradnl" w:eastAsia="es-ES_tradnl"/>
          <w14:ligatures w14:val="none"/>
        </w:rPr>
        <w:t>.</w:t>
      </w:r>
    </w:p>
    <w:bookmarkEnd w:id="7"/>
    <w:bookmarkEnd w:id="9"/>
    <w:bookmarkEnd w:id="10"/>
    <w:p w14:paraId="35EE871A" w14:textId="77777777" w:rsidR="008E7F5C" w:rsidRPr="008E7F5C" w:rsidRDefault="008E7F5C" w:rsidP="008E7F5C">
      <w:pPr>
        <w:spacing w:after="0" w:line="276" w:lineRule="auto"/>
        <w:jc w:val="both"/>
        <w:rPr>
          <w:rFonts w:ascii="Arial" w:eastAsia="Times New Roman" w:hAnsi="Arial" w:cs="Arial"/>
          <w:kern w:val="0"/>
          <w:szCs w:val="24"/>
          <w:lang w:val="es-ES_tradnl" w:eastAsia="es-ES_tradnl"/>
          <w14:ligatures w14:val="none"/>
        </w:rPr>
      </w:pPr>
    </w:p>
    <w:p w14:paraId="1AC1ADF7" w14:textId="77777777" w:rsidR="008E7F5C" w:rsidRPr="008E7F5C" w:rsidRDefault="008E7F5C" w:rsidP="008E7F5C">
      <w:pPr>
        <w:spacing w:after="0" w:line="276" w:lineRule="auto"/>
        <w:jc w:val="both"/>
        <w:rPr>
          <w:rFonts w:ascii="Arial" w:eastAsia="Calibri" w:hAnsi="Arial" w:cs="Arial"/>
          <w:b/>
          <w:kern w:val="0"/>
          <w:szCs w:val="24"/>
          <w:lang w:val="es-ES_tradnl" w:eastAsia="es-CO"/>
          <w14:ligatures w14:val="none"/>
        </w:rPr>
      </w:pPr>
      <w:bookmarkStart w:id="11" w:name="_Hlk133406532"/>
      <w:bookmarkStart w:id="12" w:name="_Hlk136199719"/>
      <w:bookmarkEnd w:id="5"/>
      <w:r w:rsidRPr="008E7F5C">
        <w:rPr>
          <w:rFonts w:ascii="Arial" w:eastAsia="Calibri" w:hAnsi="Arial" w:cs="Arial"/>
          <w:b/>
          <w:kern w:val="0"/>
          <w:szCs w:val="24"/>
          <w:lang w:val="es-ES_tradnl" w:eastAsia="es-CO"/>
          <w14:ligatures w14:val="none"/>
        </w:rPr>
        <w:t>2.</w:t>
      </w:r>
      <w:r w:rsidRPr="008E7F5C">
        <w:rPr>
          <w:rFonts w:ascii="Arial" w:eastAsia="Calibri" w:hAnsi="Arial" w:cs="Arial"/>
          <w:b/>
          <w:kern w:val="0"/>
          <w:szCs w:val="24"/>
          <w:lang w:val="es-ES_tradnl" w:eastAsia="es-CO"/>
          <w14:ligatures w14:val="none"/>
        </w:rPr>
        <w:tab/>
        <w:t>Consideraciones</w:t>
      </w:r>
      <w:bookmarkEnd w:id="11"/>
    </w:p>
    <w:bookmarkEnd w:id="12"/>
    <w:p w14:paraId="133B9514" w14:textId="77777777" w:rsidR="008E7F5C" w:rsidRPr="008E7F5C" w:rsidRDefault="008E7F5C" w:rsidP="008E7F5C">
      <w:pPr>
        <w:spacing w:after="0" w:line="276" w:lineRule="auto"/>
        <w:jc w:val="both"/>
        <w:rPr>
          <w:rFonts w:ascii="Arial" w:eastAsia="Times New Roman" w:hAnsi="Arial" w:cs="Arial"/>
          <w:kern w:val="0"/>
          <w:szCs w:val="24"/>
          <w:lang w:val="es-ES_tradnl" w:eastAsia="es-ES_tradnl"/>
          <w14:ligatures w14:val="none"/>
        </w:rPr>
      </w:pPr>
    </w:p>
    <w:p w14:paraId="6FD2EA84" w14:textId="77777777" w:rsidR="008E7F5C" w:rsidRPr="008E7F5C" w:rsidRDefault="008E7F5C" w:rsidP="008E7F5C">
      <w:pPr>
        <w:spacing w:after="120" w:line="276" w:lineRule="auto"/>
        <w:jc w:val="both"/>
        <w:rPr>
          <w:rFonts w:ascii="Arial" w:eastAsia="Times New Roman" w:hAnsi="Arial" w:cs="Arial"/>
          <w:kern w:val="0"/>
          <w:szCs w:val="24"/>
          <w:lang w:val="es-ES" w:eastAsia="es-ES_tradnl"/>
          <w14:ligatures w14:val="none"/>
        </w:rPr>
      </w:pPr>
      <w:bookmarkStart w:id="13" w:name="_Hlk136161866"/>
      <w:bookmarkStart w:id="14" w:name="_Hlk131417155"/>
      <w:r w:rsidRPr="008E7F5C">
        <w:rPr>
          <w:rFonts w:ascii="Arial" w:eastAsia="Times New Roman" w:hAnsi="Arial" w:cs="Arial"/>
          <w:kern w:val="0"/>
          <w:szCs w:val="24"/>
          <w:lang w:eastAsia="es-ES_tradnl"/>
          <w14:ligatures w14:val="none"/>
        </w:rPr>
        <w:lastRenderedPageBreak/>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bookmarkStart w:id="15" w:name="_Hlk61701014"/>
      <w:bookmarkStart w:id="16" w:name="_Hlk62136649"/>
      <w:r w:rsidRPr="008E7F5C">
        <w:rPr>
          <w:rFonts w:ascii="Arial" w:eastAsia="Times New Roman" w:hAnsi="Arial" w:cs="Arial"/>
          <w:kern w:val="0"/>
          <w:szCs w:val="24"/>
          <w:shd w:val="clear" w:color="auto" w:fill="E6E6E6"/>
          <w:lang w:eastAsia="es-ES_tradnl"/>
          <w14:ligatures w14:val="none"/>
        </w:rPr>
        <w:t xml:space="preserve"> </w:t>
      </w:r>
      <w:r w:rsidRPr="008E7F5C">
        <w:rPr>
          <w:rFonts w:ascii="Arial" w:eastAsia="Times New Roman" w:hAnsi="Arial" w:cs="Arial"/>
          <w:kern w:val="0"/>
          <w:szCs w:val="24"/>
          <w:lang w:val="es-ES" w:eastAsia="es-ES_tradnl"/>
          <w14:ligatures w14:val="none"/>
        </w:rPr>
        <w:t xml:space="preserve">Es necesario tener en cuenta que </w:t>
      </w:r>
      <w:bookmarkStart w:id="17" w:name="_Hlk61026958"/>
      <w:r w:rsidRPr="008E7F5C">
        <w:rPr>
          <w:rFonts w:ascii="Arial" w:eastAsia="Times New Roman" w:hAnsi="Arial" w:cs="Arial"/>
          <w:kern w:val="0"/>
          <w:szCs w:val="24"/>
          <w:lang w:val="es-ES" w:eastAsia="es-ES_tradnl"/>
          <w14:ligatures w14:val="none"/>
        </w:rPr>
        <w:t>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8E7F5C">
        <w:rPr>
          <w:rFonts w:ascii="Arial" w:eastAsia="Times New Roman" w:hAnsi="Arial" w:cs="Arial"/>
          <w:kern w:val="0"/>
          <w:szCs w:val="24"/>
          <w:lang w:eastAsia="es-ES_tradnl"/>
          <w14:ligatures w14:val="none"/>
        </w:rPr>
        <w:t xml:space="preserve"> de todos los partícipes de la contratación estatal.</w:t>
      </w:r>
      <w:bookmarkStart w:id="18" w:name="_Hlk133416774"/>
    </w:p>
    <w:p w14:paraId="097BCA62" w14:textId="77777777" w:rsidR="008E7F5C" w:rsidRPr="008E7F5C" w:rsidRDefault="008E7F5C" w:rsidP="008E7F5C">
      <w:pPr>
        <w:spacing w:after="120" w:line="276" w:lineRule="auto"/>
        <w:ind w:firstLine="708"/>
        <w:jc w:val="both"/>
        <w:rPr>
          <w:rFonts w:ascii="Arial" w:eastAsia="Times New Roman" w:hAnsi="Arial" w:cs="Arial"/>
          <w:kern w:val="0"/>
          <w:szCs w:val="24"/>
          <w:lang w:val="es-ES" w:eastAsia="es-ES_tradnl"/>
          <w14:ligatures w14:val="none"/>
        </w:rPr>
      </w:pPr>
      <w:r w:rsidRPr="008E7F5C">
        <w:rPr>
          <w:rFonts w:ascii="Arial" w:eastAsia="Times New Roman" w:hAnsi="Arial" w:cs="Arial"/>
          <w:kern w:val="0"/>
          <w:szCs w:val="24"/>
          <w:lang w:val="es-ES" w:eastAsia="es-ES_tradnl"/>
          <w14:ligatures w14:val="none"/>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8E7F5C">
        <w:rPr>
          <w:rFonts w:ascii="Arial" w:eastAsia="Times New Roman" w:hAnsi="Arial" w:cs="Arial"/>
          <w:kern w:val="0"/>
          <w:szCs w:val="24"/>
          <w:vertAlign w:val="superscript"/>
          <w:lang w:val="es-ES" w:eastAsia="es-ES_tradnl"/>
          <w14:ligatures w14:val="none"/>
        </w:rPr>
        <w:footnoteReference w:id="2"/>
      </w:r>
      <w:r w:rsidRPr="008E7F5C">
        <w:rPr>
          <w:rFonts w:ascii="Arial" w:eastAsia="Times New Roman" w:hAnsi="Arial" w:cs="Arial"/>
          <w:kern w:val="0"/>
          <w:szCs w:val="24"/>
          <w:lang w:val="es-ES" w:eastAsia="es-ES_tradnl"/>
          <w14:ligatures w14:val="none"/>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7"/>
      <w:r w:rsidRPr="008E7F5C">
        <w:rPr>
          <w:rFonts w:ascii="Arial" w:eastAsia="Times New Roman" w:hAnsi="Arial" w:cs="Arial"/>
          <w:kern w:val="0"/>
          <w:szCs w:val="24"/>
          <w:lang w:val="es-ES" w:eastAsia="es-ES_tradnl"/>
          <w14:ligatures w14:val="none"/>
        </w:rPr>
        <w:t>. Por lo anterior, previo concepto de sus órganos asesores, la solución de estos temas corresponde a la entidad que adelanta el procedimiento de selección y, en caso de conflicto, a las autoridades judiciales, fiscales y/o disciplinarias</w:t>
      </w:r>
      <w:bookmarkEnd w:id="15"/>
      <w:r w:rsidRPr="008E7F5C">
        <w:rPr>
          <w:rFonts w:ascii="Arial" w:eastAsia="Times New Roman" w:hAnsi="Arial" w:cs="Arial"/>
          <w:kern w:val="0"/>
          <w:szCs w:val="24"/>
          <w:lang w:val="es-ES" w:eastAsia="es-ES_tradnl"/>
          <w14:ligatures w14:val="none"/>
        </w:rPr>
        <w:t>, según corresponda.</w:t>
      </w:r>
      <w:bookmarkEnd w:id="13"/>
    </w:p>
    <w:p w14:paraId="6D0FD1F6" w14:textId="77777777" w:rsidR="008E7F5C" w:rsidRPr="008E7F5C" w:rsidRDefault="008E7F5C" w:rsidP="008E7F5C">
      <w:pPr>
        <w:spacing w:after="120" w:line="276" w:lineRule="auto"/>
        <w:ind w:firstLine="708"/>
        <w:jc w:val="both"/>
        <w:rPr>
          <w:rFonts w:ascii="Arial" w:eastAsia="Calibri" w:hAnsi="Arial" w:cs="Arial"/>
          <w:color w:val="000000"/>
          <w:kern w:val="0"/>
          <w14:ligatures w14:val="none"/>
        </w:rPr>
      </w:pPr>
      <w:r w:rsidRPr="008E7F5C">
        <w:rPr>
          <w:rFonts w:ascii="Arial" w:eastAsia="Times New Roman" w:hAnsi="Arial" w:cs="Arial"/>
          <w:kern w:val="0"/>
          <w:szCs w:val="24"/>
          <w:lang w:val="es-ES" w:eastAsia="es-ES_tradnl"/>
          <w14:ligatures w14:val="none"/>
        </w:rPr>
        <w:t>Bajo este entendido</w:t>
      </w:r>
      <w:bookmarkEnd w:id="16"/>
      <w:r w:rsidRPr="008E7F5C">
        <w:rPr>
          <w:rFonts w:ascii="Arial" w:eastAsia="Times New Roman" w:hAnsi="Arial" w:cs="Arial"/>
          <w:kern w:val="0"/>
          <w:szCs w:val="24"/>
          <w:lang w:val="es-ES" w:eastAsia="es-ES_tradnl"/>
          <w14:ligatures w14:val="none"/>
        </w:rPr>
        <w:t xml:space="preserve">, </w:t>
      </w:r>
      <w:r w:rsidRPr="008E7F5C">
        <w:rPr>
          <w:rFonts w:ascii="Arial" w:eastAsia="Times New Roman" w:hAnsi="Arial" w:cs="Arial"/>
          <w:kern w:val="0"/>
          <w:szCs w:val="24"/>
          <w:lang w:eastAsia="es-ES_tradnl"/>
          <w14:ligatures w14:val="none"/>
        </w:rPr>
        <w:t xml:space="preserve">la Subdirección -dentro del límite de sus atribuciones, esto es, haciendo abstracción de cualquier caso particular que pueda llegar a proponer el peticionario- resolverá la presente consulta de acuerdo con el alcance general de las normas en materia de contratación estatal. Con tal propósito, analizará los siguientes temas: </w:t>
      </w:r>
      <w:r w:rsidRPr="008E7F5C">
        <w:rPr>
          <w:rFonts w:ascii="Arial" w:eastAsia="Times New Roman" w:hAnsi="Arial" w:cs="Arial"/>
          <w:i/>
          <w:iCs/>
          <w:kern w:val="0"/>
          <w:szCs w:val="24"/>
          <w:lang w:eastAsia="es-ES_tradnl"/>
          <w14:ligatures w14:val="none"/>
        </w:rPr>
        <w:t>(i)</w:t>
      </w:r>
      <w:r w:rsidRPr="008E7F5C">
        <w:rPr>
          <w:rFonts w:ascii="Arial" w:eastAsia="Times New Roman" w:hAnsi="Arial" w:cs="Arial"/>
          <w:kern w:val="0"/>
          <w:szCs w:val="24"/>
          <w:lang w:eastAsia="es-ES_tradnl"/>
          <w14:ligatures w14:val="none"/>
        </w:rPr>
        <w:t xml:space="preserve"> modalidad de selección de mínima cuantía; </w:t>
      </w:r>
      <w:r w:rsidRPr="008E7F5C">
        <w:rPr>
          <w:rFonts w:ascii="Arial" w:eastAsia="Times New Roman" w:hAnsi="Arial" w:cs="Arial"/>
          <w:i/>
          <w:iCs/>
          <w:kern w:val="0"/>
          <w:szCs w:val="24"/>
          <w:lang w:eastAsia="es-ES_tradnl"/>
          <w14:ligatures w14:val="none"/>
        </w:rPr>
        <w:t xml:space="preserve">(ii) </w:t>
      </w:r>
      <w:r w:rsidRPr="008E7F5C">
        <w:rPr>
          <w:rFonts w:ascii="Arial" w:eastAsia="Times New Roman" w:hAnsi="Arial" w:cs="Arial"/>
          <w:kern w:val="0"/>
          <w:szCs w:val="24"/>
          <w:lang w:eastAsia="es-ES_tradnl"/>
          <w14:ligatures w14:val="none"/>
        </w:rPr>
        <w:t xml:space="preserve">convocatorias limitadas a Mipymes; y </w:t>
      </w:r>
      <w:r w:rsidRPr="008E7F5C">
        <w:rPr>
          <w:rFonts w:ascii="Arial" w:eastAsia="Times New Roman" w:hAnsi="Arial" w:cs="Arial"/>
          <w:i/>
          <w:iCs/>
          <w:kern w:val="0"/>
          <w:szCs w:val="24"/>
          <w:lang w:eastAsia="es-ES_tradnl"/>
          <w14:ligatures w14:val="none"/>
        </w:rPr>
        <w:t>(iii)</w:t>
      </w:r>
      <w:r w:rsidRPr="008E7F5C">
        <w:rPr>
          <w:rFonts w:ascii="Arial" w:eastAsia="Times New Roman" w:hAnsi="Arial" w:cs="Arial"/>
          <w:kern w:val="0"/>
          <w:szCs w:val="24"/>
          <w:lang w:eastAsia="es-ES_tradnl"/>
          <w14:ligatures w14:val="none"/>
        </w:rPr>
        <w:t xml:space="preserve"> fomento a la ejecución de contratos estatales por parte de población en pobreza extrema, desplazados por la violencia, personas en proceso de reintegración o reincorporación </w:t>
      </w:r>
      <w:r w:rsidRPr="008E7F5C">
        <w:rPr>
          <w:rFonts w:ascii="Arial" w:eastAsia="Calibri" w:hAnsi="Arial" w:cs="Arial"/>
          <w:color w:val="000000"/>
          <w:kern w:val="0"/>
          <w14:ligatures w14:val="none"/>
        </w:rPr>
        <w:t>y sujetos de especial protección constitucional.</w:t>
      </w:r>
    </w:p>
    <w:p w14:paraId="12F6CBB2" w14:textId="77777777" w:rsidR="008E7F5C" w:rsidRPr="008E7F5C" w:rsidRDefault="008E7F5C" w:rsidP="008E7F5C">
      <w:pPr>
        <w:spacing w:after="120" w:line="276" w:lineRule="auto"/>
        <w:ind w:firstLine="708"/>
        <w:jc w:val="both"/>
        <w:rPr>
          <w:rFonts w:ascii="Arial" w:eastAsia="Times New Roman" w:hAnsi="Arial" w:cs="Arial"/>
          <w:kern w:val="0"/>
          <w:szCs w:val="24"/>
          <w:lang w:eastAsia="es-ES_tradnl"/>
          <w14:ligatures w14:val="none"/>
        </w:rPr>
      </w:pPr>
      <w:r w:rsidRPr="008E7F5C">
        <w:rPr>
          <w:rFonts w:ascii="Arial" w:eastAsia="Times New Roman" w:hAnsi="Arial" w:cs="Arial"/>
          <w:kern w:val="0"/>
          <w:szCs w:val="24"/>
          <w:lang w:eastAsia="es-ES_tradnl"/>
          <w14:ligatures w14:val="none"/>
        </w:rPr>
        <w:lastRenderedPageBreak/>
        <w:t xml:space="preserve">La Agencia Nacional de Contratación Pública -Colombia Compra Eficiente- se ha referido previamente al alcance del artículo 30 de la Ley 2069 de 2020 en los conceptos </w:t>
      </w:r>
      <w:r w:rsidRPr="008E7F5C">
        <w:rPr>
          <w:rFonts w:ascii="Arial" w:eastAsia="Calibri" w:hAnsi="Arial" w:cs="Arial"/>
          <w:bCs/>
          <w:color w:val="000000"/>
          <w:kern w:val="0"/>
          <w:lang w:val="es-ES_tradnl" w:eastAsia="es-ES_tradnl"/>
          <w14:ligatures w14:val="none"/>
        </w:rPr>
        <w:t>C-005 del 16 de febrero de 2021, C-037 del 26 de febrero de 2021, C-035 del 02 de marzo de 2021, C-126 del 6 de abril de 2021, C-127 del 6 de abril de 2021, C-144 del 7 de abril de 2021, C-141 del 8 de abril de 2021, C-164 del 19 de abril de 2021, C-242 del 25 de mayo de 2021, C-496 del 14 de septiembre de 2021, C-573 de 13 de octubre de 2021, C-001 del 17 de febrero de 2022</w:t>
      </w:r>
      <w:r w:rsidRPr="008E7F5C">
        <w:rPr>
          <w:rFonts w:ascii="Arial" w:eastAsia="Times New Roman" w:hAnsi="Arial" w:cs="Arial"/>
          <w:kern w:val="0"/>
          <w:szCs w:val="24"/>
          <w:lang w:val="es-ES_tradnl" w:eastAsia="es-ES_tradnl"/>
          <w14:ligatures w14:val="none"/>
        </w:rPr>
        <w:t xml:space="preserve">, </w:t>
      </w:r>
      <w:r w:rsidRPr="008E7F5C">
        <w:rPr>
          <w:rFonts w:ascii="Arial" w:eastAsia="Times New Roman" w:hAnsi="Arial" w:cs="Arial"/>
          <w:kern w:val="0"/>
          <w:szCs w:val="24"/>
          <w:lang w:eastAsia="es-ES_tradnl"/>
          <w14:ligatures w14:val="none"/>
        </w:rPr>
        <w:t xml:space="preserve">C-293 del 12 de mayo de 2022, C-326 del 18 de mayo de 2022, C-343 del 31 de mayo de 2022, C-664 del 20 de octubre de 2022, C-067 del 20 de abril de 2023 y C-070 del 24 de abril de 2023. De igual forma, se ha pronunciado sobre la nueva regulación de la promoción del desarrollo en la contratación estatal establecida en el artículo 34 de la Ley 2069 de 2020 a través de los conceptos </w:t>
      </w:r>
      <w:r w:rsidRPr="008E7F5C">
        <w:rPr>
          <w:rFonts w:ascii="Arial" w:eastAsia="Calibri" w:hAnsi="Arial" w:cs="Arial"/>
          <w:kern w:val="0"/>
          <w:lang w:val="es-ES_tradnl" w:eastAsia="es-ES_tradnl"/>
          <w14:ligatures w14:val="none"/>
        </w:rPr>
        <w:t>C-043 del 9 de febrero de 2021, C-005 del 16 de febrero de 2021, C-081 del 23 de febrero de 2021, C-087 del 23 de febrero de 2021, C-025 del 25 de febrero de 2021, C-037 del 26 de febrero de 2021, C-035 del 2 de marzo de 2021, C-044 del 03 de marzo de 2021, C-102 del 25 de marzo de 2021, C-125 del 5 de abril de 2021, C-127 del 6 de abril de 2021, C-141 del 8 de abril de 2021, C-114 del 13 de abril de 2021, C-160 del 20 de abril de 2021, C-189 del 26 de abril de 2021, C-208 del 10 de mayo de 2021, C-211 del 11 de mayo de 2021, C-234 del 24 de mayo de 2021, C-271 del 9 de junio de 2021, C-306 del 28 de junio de 2021, C-426 del 18 de agosto de 2021, C-309 del 24 de agosto de 2021 y C-455 del 31 de agosto de 2021</w:t>
      </w:r>
      <w:r w:rsidRPr="008E7F5C">
        <w:rPr>
          <w:rFonts w:ascii="Arial" w:eastAsia="Calibri" w:hAnsi="Arial" w:cs="Arial"/>
          <w:kern w:val="0"/>
          <w:vertAlign w:val="superscript"/>
          <w:lang w:val="es-ES_tradnl" w:eastAsia="es-ES_tradnl"/>
          <w14:ligatures w14:val="none"/>
        </w:rPr>
        <w:footnoteReference w:id="3"/>
      </w:r>
      <w:r w:rsidRPr="008E7F5C">
        <w:rPr>
          <w:rFonts w:ascii="Arial" w:eastAsia="Calibri" w:hAnsi="Arial" w:cs="Arial"/>
          <w:kern w:val="0"/>
          <w:lang w:val="es-ES_tradnl" w:eastAsia="es-ES_tradnl"/>
          <w14:ligatures w14:val="none"/>
        </w:rPr>
        <w:t xml:space="preserve">. </w:t>
      </w:r>
      <w:r w:rsidRPr="008E7F5C">
        <w:rPr>
          <w:rFonts w:ascii="Arial" w:eastAsia="Calibri" w:hAnsi="Arial" w:cs="Arial"/>
          <w:bCs/>
          <w:color w:val="000000"/>
          <w:kern w:val="0"/>
          <w:lang w:eastAsia="es-ES_tradnl"/>
          <w14:ligatures w14:val="none"/>
        </w:rPr>
        <w:t>Las tesis y argumentos en ellos expuestos se reiteran, precisan y complementan a continuación.</w:t>
      </w:r>
      <w:bookmarkStart w:id="19" w:name="_Hlk133491084"/>
      <w:bookmarkEnd w:id="18"/>
    </w:p>
    <w:p w14:paraId="20F132EC" w14:textId="77777777" w:rsidR="008E7F5C" w:rsidRPr="008E7F5C" w:rsidRDefault="008E7F5C" w:rsidP="008E7F5C">
      <w:pPr>
        <w:spacing w:after="120" w:line="276" w:lineRule="auto"/>
        <w:ind w:left="705" w:hanging="705"/>
        <w:jc w:val="both"/>
        <w:rPr>
          <w:rFonts w:ascii="Arial" w:eastAsia="Times New Roman" w:hAnsi="Arial" w:cs="Arial"/>
          <w:kern w:val="0"/>
          <w:szCs w:val="24"/>
          <w:lang w:val="es-ES_tradnl" w:eastAsia="es-ES_tradnl"/>
          <w14:ligatures w14:val="none"/>
        </w:rPr>
      </w:pPr>
      <w:r w:rsidRPr="008E7F5C">
        <w:rPr>
          <w:rFonts w:ascii="Arial" w:eastAsia="Calibri" w:hAnsi="Arial" w:cs="Arial"/>
          <w:b/>
          <w:kern w:val="0"/>
          <w:szCs w:val="24"/>
          <w:lang w:val="es-ES_tradnl" w:eastAsia="es-CO"/>
          <w14:ligatures w14:val="none"/>
        </w:rPr>
        <w:t>2.1.</w:t>
      </w:r>
      <w:bookmarkStart w:id="20" w:name="_Hlk133499202"/>
      <w:r w:rsidRPr="008E7F5C">
        <w:rPr>
          <w:rFonts w:ascii="Arial" w:eastAsia="Calibri" w:hAnsi="Arial" w:cs="Arial"/>
          <w:b/>
          <w:kern w:val="0"/>
          <w:szCs w:val="24"/>
          <w:lang w:val="es-ES_tradnl" w:eastAsia="es-CO"/>
          <w14:ligatures w14:val="none"/>
        </w:rPr>
        <w:tab/>
      </w:r>
      <w:bookmarkStart w:id="21" w:name="_Hlk136201580"/>
      <w:bookmarkStart w:id="22" w:name="_Hlk140035885"/>
      <w:r w:rsidRPr="008E7F5C">
        <w:rPr>
          <w:rFonts w:ascii="Arial" w:eastAsia="Calibri" w:hAnsi="Arial" w:cs="Arial"/>
          <w:b/>
          <w:kern w:val="0"/>
          <w:szCs w:val="24"/>
          <w:lang w:val="es-ES_tradnl" w:eastAsia="es-CO"/>
          <w14:ligatures w14:val="none"/>
        </w:rPr>
        <w:t>Modalidad de selección de mínima cuantía. Regulación y características del procedimiento</w:t>
      </w:r>
      <w:bookmarkStart w:id="23" w:name="_Hlk127422237"/>
      <w:bookmarkEnd w:id="14"/>
      <w:bookmarkEnd w:id="19"/>
      <w:bookmarkEnd w:id="20"/>
      <w:bookmarkEnd w:id="21"/>
    </w:p>
    <w:p w14:paraId="603B579B" w14:textId="77777777" w:rsidR="008E7F5C" w:rsidRPr="008E7F5C" w:rsidRDefault="008E7F5C" w:rsidP="008E7F5C">
      <w:pPr>
        <w:spacing w:after="120" w:line="276" w:lineRule="auto"/>
        <w:jc w:val="both"/>
        <w:rPr>
          <w:rFonts w:ascii="Arial" w:eastAsia="Times New Roman" w:hAnsi="Arial" w:cs="Arial"/>
          <w:kern w:val="0"/>
          <w:szCs w:val="24"/>
          <w:lang w:val="es-ES_tradnl" w:eastAsia="es-ES_tradnl"/>
          <w14:ligatures w14:val="none"/>
        </w:rPr>
      </w:pPr>
      <w:bookmarkStart w:id="24" w:name="_Hlk136184980"/>
      <w:r w:rsidRPr="008E7F5C">
        <w:rPr>
          <w:rFonts w:ascii="Arial" w:eastAsia="Calibri" w:hAnsi="Arial" w:cs="Arial"/>
          <w:bCs/>
          <w:color w:val="000000"/>
          <w:kern w:val="0"/>
          <w:lang w:val="es-ES_tradnl"/>
          <w14:ligatures w14:val="none"/>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25" w:name="_Hlk69566698"/>
      <w:r w:rsidRPr="008E7F5C">
        <w:rPr>
          <w:rFonts w:ascii="Arial" w:eastAsia="Calibri" w:hAnsi="Arial" w:cs="Arial"/>
          <w:bCs/>
          <w:color w:val="000000"/>
          <w:kern w:val="0"/>
          <w:lang w:val="es-ES_tradnl"/>
          <w14:ligatures w14:val="none"/>
        </w:rPr>
        <w:t>el artículo 94 de la Ley 1474 de 2011</w:t>
      </w:r>
      <w:bookmarkEnd w:id="25"/>
      <w:r w:rsidRPr="008E7F5C">
        <w:rPr>
          <w:rFonts w:ascii="Arial" w:eastAsia="Calibri" w:hAnsi="Arial" w:cs="Arial"/>
          <w:bCs/>
          <w:color w:val="000000"/>
          <w:kern w:val="0"/>
          <w:lang w:val="es-ES_tradnl"/>
          <w14:ligatures w14:val="none"/>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8E7F5C">
        <w:rPr>
          <w:rFonts w:ascii="Arial" w:eastAsia="Calibri" w:hAnsi="Arial" w:cs="Arial"/>
          <w:bCs/>
          <w:color w:val="000000"/>
          <w:kern w:val="0"/>
          <w:vertAlign w:val="superscript"/>
          <w:lang w:val="es-ES_tradnl"/>
          <w14:ligatures w14:val="none"/>
        </w:rPr>
        <w:footnoteReference w:id="4"/>
      </w:r>
      <w:r w:rsidRPr="008E7F5C">
        <w:rPr>
          <w:rFonts w:ascii="Arial" w:eastAsia="Calibri" w:hAnsi="Arial" w:cs="Arial"/>
          <w:bCs/>
          <w:color w:val="000000"/>
          <w:kern w:val="0"/>
          <w:lang w:val="es-ES_tradnl"/>
          <w14:ligatures w14:val="none"/>
        </w:rPr>
        <w:t>.</w:t>
      </w:r>
    </w:p>
    <w:p w14:paraId="5F9CC746" w14:textId="77777777" w:rsidR="008E7F5C" w:rsidRPr="008E7F5C" w:rsidRDefault="008E7F5C" w:rsidP="008E7F5C">
      <w:pPr>
        <w:spacing w:after="120" w:line="276" w:lineRule="auto"/>
        <w:ind w:firstLine="708"/>
        <w:jc w:val="both"/>
        <w:rPr>
          <w:rFonts w:ascii="Arial" w:eastAsia="Calibri" w:hAnsi="Arial" w:cs="Arial"/>
          <w:bCs/>
          <w:color w:val="000000"/>
          <w:kern w:val="0"/>
          <w:lang w:val="es-ES_tradnl"/>
          <w14:ligatures w14:val="none"/>
        </w:rPr>
      </w:pPr>
      <w:r w:rsidRPr="008E7F5C">
        <w:rPr>
          <w:rFonts w:ascii="Arial" w:eastAsia="Calibri" w:hAnsi="Arial" w:cs="Arial"/>
          <w:bCs/>
          <w:color w:val="000000"/>
          <w:kern w:val="0"/>
          <w:lang w:val="es-ES_tradnl"/>
          <w14:ligatures w14:val="none"/>
        </w:rPr>
        <w:lastRenderedPageBreak/>
        <w:t>En concreto, el artículo 30 de la Ley 2069 de 2020 preserva de cierta forma el procedimiento previsto en el derogado artículo 94 de la Ley 1474 de 2011, el cual define los aspectos generales del procedimiento contractual</w:t>
      </w:r>
      <w:r w:rsidRPr="008E7F5C">
        <w:rPr>
          <w:rFonts w:ascii="Arial" w:eastAsia="Calibri" w:hAnsi="Arial" w:cs="Arial"/>
          <w:bCs/>
          <w:color w:val="000000"/>
          <w:kern w:val="0"/>
          <w:vertAlign w:val="superscript"/>
          <w:lang w:val="es-ES_tradnl"/>
          <w14:ligatures w14:val="none"/>
        </w:rPr>
        <w:footnoteReference w:id="5"/>
      </w:r>
      <w:r w:rsidRPr="008E7F5C">
        <w:rPr>
          <w:rFonts w:ascii="Arial" w:eastAsia="Calibri" w:hAnsi="Arial" w:cs="Arial"/>
          <w:bCs/>
          <w:color w:val="000000"/>
          <w:kern w:val="0"/>
          <w:lang w:val="es-ES_tradnl"/>
          <w14:ligatures w14:val="none"/>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8E7F5C">
        <w:rPr>
          <w:rFonts w:ascii="Arial" w:eastAsia="Calibri" w:hAnsi="Arial" w:cs="Arial"/>
          <w:bCs/>
          <w:i/>
          <w:iCs/>
          <w:color w:val="000000"/>
          <w:kern w:val="0"/>
          <w:lang w:val="es-ES_tradnl"/>
          <w14:ligatures w14:val="none"/>
        </w:rPr>
        <w:t>a Mipymes</w:t>
      </w:r>
      <w:r w:rsidRPr="008E7F5C">
        <w:rPr>
          <w:rFonts w:ascii="Arial" w:eastAsia="Calibri" w:hAnsi="Arial" w:cs="Arial"/>
          <w:bCs/>
          <w:color w:val="000000"/>
          <w:kern w:val="0"/>
          <w:lang w:val="es-ES_tradnl"/>
          <w14:ligatures w14:val="none"/>
        </w:rPr>
        <w:t xml:space="preserve"> o establecimientos que correspondan a la definición de "gran almacén" señalada por la Superintendencia de Industria y Comercio, se determinarán en el reglamento que para el efecto expida el Gobierno Nacional” </w:t>
      </w:r>
      <w:bookmarkEnd w:id="22"/>
      <w:r w:rsidRPr="008E7F5C">
        <w:rPr>
          <w:rFonts w:ascii="Arial" w:eastAsia="Calibri" w:hAnsi="Arial" w:cs="Arial"/>
          <w:bCs/>
          <w:color w:val="000000"/>
          <w:kern w:val="0"/>
          <w:lang w:val="es-ES_tradnl"/>
          <w14:ligatures w14:val="none"/>
        </w:rPr>
        <w:t>(Énfasis fuera de texto).</w:t>
      </w:r>
    </w:p>
    <w:p w14:paraId="1C95ACD6" w14:textId="77777777" w:rsidR="008E7F5C" w:rsidRPr="008E7F5C" w:rsidRDefault="008E7F5C" w:rsidP="008E7F5C">
      <w:pPr>
        <w:spacing w:after="120" w:line="276" w:lineRule="auto"/>
        <w:ind w:firstLine="708"/>
        <w:jc w:val="both"/>
        <w:rPr>
          <w:rFonts w:ascii="Arial" w:eastAsia="Times New Roman" w:hAnsi="Arial" w:cs="Arial"/>
          <w:kern w:val="0"/>
          <w:szCs w:val="24"/>
          <w:lang w:val="es-ES_tradnl" w:eastAsia="es-ES_tradnl"/>
          <w14:ligatures w14:val="none"/>
        </w:rPr>
      </w:pPr>
      <w:bookmarkStart w:id="26" w:name="_Hlk140036134"/>
      <w:r w:rsidRPr="008E7F5C">
        <w:rPr>
          <w:rFonts w:ascii="Arial" w:eastAsia="Calibri" w:hAnsi="Arial" w:cs="Arial"/>
          <w:bCs/>
          <w:color w:val="000000"/>
          <w:kern w:val="0"/>
          <w:lang w:val="es-ES_tradnl"/>
          <w14:ligatures w14:val="none"/>
        </w:rPr>
        <w:t>Esta modificación resulta decisiva, pues antes de la Ley de Emprendimiento era imposible limitar a Mipyme la mínima cuantía, especialmente, cuando el artículo 94 la Ley 1474 de 2011 disponía que no era aplicable la Ley 816 de 2003, “Por medio de la cual se apoya a la industria nacional a través de la contratación pública</w:t>
      </w:r>
      <w:r w:rsidRPr="008E7F5C">
        <w:rPr>
          <w:rFonts w:ascii="Arial" w:eastAsia="Calibri" w:hAnsi="Arial" w:cs="Arial"/>
          <w:color w:val="000000"/>
          <w:kern w:val="0"/>
          <w:lang w:val="es-ES_tradnl"/>
          <w14:ligatures w14:val="none"/>
        </w:rPr>
        <w:t xml:space="preserve">”, ni </w:t>
      </w:r>
      <w:r w:rsidRPr="008E7F5C">
        <w:rPr>
          <w:rFonts w:ascii="Arial" w:eastAsia="Calibri" w:hAnsi="Arial" w:cs="Arial"/>
          <w:bCs/>
          <w:color w:val="000000"/>
          <w:kern w:val="0"/>
          <w:lang w:val="es-ES_tradnl"/>
          <w14:ligatures w14:val="none"/>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mipymes en esta modalidad de selección. Como se observa, el parágrafo 1º del artículo 30 de la Ley 2069 de 2020 dispone que el reglamento es importante para regular: i) las “particularidades del procedimiento de selección” y ii) la posibilidad de </w:t>
      </w:r>
      <w:r w:rsidRPr="008E7F5C">
        <w:rPr>
          <w:rFonts w:ascii="Arial" w:eastAsia="Calibri" w:hAnsi="Arial" w:cs="Arial"/>
          <w:bCs/>
          <w:color w:val="000000"/>
          <w:kern w:val="0"/>
          <w:lang w:val="es-ES_tradnl"/>
          <w14:ligatures w14:val="none"/>
        </w:rPr>
        <w:lastRenderedPageBreak/>
        <w:t>realizar estas adquisiciones a mipymes o establecimientos que correspondan a la definición de “gran almacén”.</w:t>
      </w:r>
    </w:p>
    <w:bookmarkEnd w:id="26"/>
    <w:p w14:paraId="35145081" w14:textId="77777777" w:rsidR="008E7F5C" w:rsidRPr="008E7F5C" w:rsidRDefault="008E7F5C" w:rsidP="008E7F5C">
      <w:pPr>
        <w:spacing w:after="120" w:line="276" w:lineRule="auto"/>
        <w:ind w:firstLine="708"/>
        <w:jc w:val="both"/>
        <w:rPr>
          <w:rFonts w:ascii="Arial" w:eastAsia="Calibri" w:hAnsi="Arial" w:cs="Arial"/>
          <w:bCs/>
          <w:color w:val="000000"/>
          <w:kern w:val="0"/>
          <w14:ligatures w14:val="none"/>
        </w:rPr>
      </w:pPr>
      <w:r w:rsidRPr="008E7F5C">
        <w:rPr>
          <w:rFonts w:ascii="Arial" w:eastAsia="Calibri" w:hAnsi="Arial" w:cs="Arial"/>
          <w:bCs/>
          <w:color w:val="000000"/>
          <w:kern w:val="0"/>
          <w:lang w:val="es-ES_tradnl"/>
          <w14:ligatures w14:val="none"/>
        </w:rPr>
        <w:t xml:space="preserve">Con fundamento en lo anterior, </w:t>
      </w:r>
      <w:r w:rsidRPr="008E7F5C">
        <w:rPr>
          <w:rFonts w:ascii="Arial" w:eastAsia="Calibri" w:hAnsi="Arial" w:cs="Arial"/>
          <w:color w:val="000000"/>
          <w:kern w:val="0"/>
          <w:lang w:val="es-ES_tradnl"/>
          <w14:ligatures w14:val="none"/>
        </w:rPr>
        <w:t xml:space="preserve">el Gobierno Nacional expidió el Decreto 1860 del 24 de diciembre de 2021, </w:t>
      </w:r>
      <w:r w:rsidRPr="008E7F5C">
        <w:rPr>
          <w:rFonts w:ascii="Arial" w:eastAsia="Calibri" w:hAnsi="Arial" w:cs="Arial"/>
          <w:bCs/>
          <w:color w:val="000000"/>
          <w:kern w:val="0"/>
          <w:lang w:val="es-ES_tradnl"/>
          <w14:ligatures w14:val="none"/>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 particular, su artículo 8 condicionó temporalmente la entrada en vigencia de sus disposiciones, al señalar que “aplicarán a los procedimientos de selección cuya invitación, aviso de convocatoria o documento equivalente se publique a los tres (3) meses contados a partir de su expedición”</w:t>
      </w:r>
      <w:r w:rsidRPr="008E7F5C">
        <w:rPr>
          <w:rFonts w:ascii="Arial" w:eastAsia="Calibri" w:hAnsi="Arial" w:cs="Arial"/>
          <w:bCs/>
          <w:color w:val="000000"/>
          <w:kern w:val="0"/>
          <w:vertAlign w:val="superscript"/>
          <w:lang w:val="es-ES_tradnl"/>
          <w14:ligatures w14:val="none"/>
        </w:rPr>
        <w:footnoteReference w:id="6"/>
      </w:r>
      <w:r w:rsidRPr="008E7F5C">
        <w:rPr>
          <w:rFonts w:ascii="Arial" w:eastAsia="Calibri" w:hAnsi="Arial" w:cs="Arial"/>
          <w:bCs/>
          <w:color w:val="000000"/>
          <w:kern w:val="0"/>
          <w14:ligatures w14:val="none"/>
        </w:rPr>
        <w:t>.</w:t>
      </w:r>
    </w:p>
    <w:p w14:paraId="676138A2" w14:textId="77777777" w:rsidR="008E7F5C" w:rsidRPr="008E7F5C" w:rsidRDefault="008E7F5C" w:rsidP="008E7F5C">
      <w:pPr>
        <w:spacing w:after="120" w:line="276" w:lineRule="auto"/>
        <w:ind w:firstLine="708"/>
        <w:jc w:val="both"/>
        <w:rPr>
          <w:rFonts w:ascii="Arial" w:eastAsia="Calibri" w:hAnsi="Arial" w:cs="Arial"/>
          <w:bCs/>
          <w:color w:val="000000"/>
          <w:kern w:val="0"/>
          <w14:ligatures w14:val="none"/>
        </w:rPr>
      </w:pPr>
    </w:p>
    <w:p w14:paraId="17C67B8A" w14:textId="77777777" w:rsidR="008E7F5C" w:rsidRPr="008E7F5C" w:rsidRDefault="008E7F5C" w:rsidP="008E7F5C">
      <w:pPr>
        <w:spacing w:after="120" w:line="276" w:lineRule="auto"/>
        <w:ind w:firstLine="708"/>
        <w:jc w:val="both"/>
        <w:rPr>
          <w:rFonts w:ascii="Arial" w:eastAsia="Calibri" w:hAnsi="Arial" w:cs="Arial"/>
          <w:bCs/>
          <w:color w:val="000000"/>
          <w:kern w:val="0"/>
          <w:lang w:val="es-ES_tradnl"/>
          <w14:ligatures w14:val="none"/>
        </w:rPr>
      </w:pPr>
      <w:r w:rsidRPr="008E7F5C">
        <w:rPr>
          <w:rFonts w:ascii="Arial" w:eastAsia="Calibri" w:hAnsi="Arial" w:cs="Arial"/>
          <w:bCs/>
          <w:color w:val="000000"/>
          <w:kern w:val="0"/>
          <w:lang w:val="es-ES_tradnl"/>
          <w14:ligatures w14:val="none"/>
        </w:rPr>
        <w:t>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sustento en lo previsto en el artículo 30 de la Ley 2069 de 2020.</w:t>
      </w:r>
    </w:p>
    <w:p w14:paraId="347E2B0F" w14:textId="77777777" w:rsidR="008E7F5C" w:rsidRPr="008E7F5C" w:rsidRDefault="008E7F5C" w:rsidP="008E7F5C">
      <w:pPr>
        <w:spacing w:after="120" w:line="276" w:lineRule="auto"/>
        <w:ind w:firstLine="708"/>
        <w:jc w:val="both"/>
        <w:rPr>
          <w:rFonts w:ascii="Arial" w:eastAsia="Calibri" w:hAnsi="Arial" w:cs="Arial"/>
          <w:bCs/>
          <w:color w:val="000000"/>
          <w:kern w:val="0"/>
          <w:lang w:val="es-ES_tradnl"/>
          <w14:ligatures w14:val="none"/>
        </w:rPr>
      </w:pPr>
      <w:r w:rsidRPr="008E7F5C">
        <w:rPr>
          <w:rFonts w:ascii="Arial" w:eastAsia="Calibri" w:hAnsi="Arial" w:cs="Arial"/>
          <w:bCs/>
          <w:color w:val="000000"/>
          <w:kern w:val="0"/>
          <w:lang w:val="es-ES_tradnl"/>
          <w14:ligatures w14:val="none"/>
        </w:rPr>
        <w:t xml:space="preserve">Así las cosas, la nueva Subsección 5 a que se hizo referencia contiene los siguientes artículos: </w:t>
      </w:r>
      <w:r w:rsidRPr="008E7F5C">
        <w:rPr>
          <w:rFonts w:ascii="Arial" w:eastAsia="Calibri" w:hAnsi="Arial" w:cs="Arial"/>
          <w:bCs/>
          <w:i/>
          <w:iCs/>
          <w:color w:val="000000"/>
          <w:kern w:val="0"/>
          <w:lang w:val="es-ES_tradnl"/>
          <w14:ligatures w14:val="none"/>
        </w:rPr>
        <w:t>(i)</w:t>
      </w:r>
      <w:r w:rsidRPr="008E7F5C">
        <w:rPr>
          <w:rFonts w:ascii="Arial" w:eastAsia="Calibri" w:hAnsi="Arial" w:cs="Arial"/>
          <w:bCs/>
          <w:color w:val="000000"/>
          <w:kern w:val="0"/>
          <w:lang w:val="es-ES_tradnl"/>
          <w14:ligatures w14:val="none"/>
        </w:rPr>
        <w:t xml:space="preserve"> 2.2.1.2.1.5.1. que se ocupa de desarrollar el contenido de los estudios previos para la contratación de mínima cuantía; </w:t>
      </w:r>
      <w:r w:rsidRPr="008E7F5C">
        <w:rPr>
          <w:rFonts w:ascii="Arial" w:eastAsia="Calibri" w:hAnsi="Arial" w:cs="Arial"/>
          <w:bCs/>
          <w:i/>
          <w:iCs/>
          <w:color w:val="000000"/>
          <w:kern w:val="0"/>
          <w:lang w:val="es-ES_tradnl"/>
          <w14:ligatures w14:val="none"/>
        </w:rPr>
        <w:t>(ii)</w:t>
      </w:r>
      <w:r w:rsidRPr="008E7F5C">
        <w:rPr>
          <w:rFonts w:ascii="Arial" w:eastAsia="Calibri" w:hAnsi="Arial" w:cs="Arial"/>
          <w:bCs/>
          <w:color w:val="000000"/>
          <w:kern w:val="0"/>
          <w:lang w:val="es-ES_tradnl"/>
          <w14:ligatures w14:val="none"/>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Mipyme, de acuerdo con el mandato del parágrafo 1 del artículo 30 de la Ley 2069 de 2020; </w:t>
      </w:r>
      <w:r w:rsidRPr="008E7F5C">
        <w:rPr>
          <w:rFonts w:ascii="Arial" w:eastAsia="Calibri" w:hAnsi="Arial" w:cs="Arial"/>
          <w:bCs/>
          <w:i/>
          <w:iCs/>
          <w:color w:val="000000"/>
          <w:kern w:val="0"/>
          <w:lang w:val="es-ES_tradnl"/>
          <w14:ligatures w14:val="none"/>
        </w:rPr>
        <w:t>(iii)</w:t>
      </w:r>
      <w:r w:rsidRPr="008E7F5C">
        <w:rPr>
          <w:rFonts w:ascii="Arial" w:eastAsia="Calibri" w:hAnsi="Arial" w:cs="Arial"/>
          <w:bCs/>
          <w:color w:val="000000"/>
          <w:kern w:val="0"/>
          <w:lang w:val="es-ES_tradnl"/>
          <w14:ligatures w14:val="none"/>
        </w:rPr>
        <w:t xml:space="preserve"> 2.2.1.2.1.5.3. que regula un procedimiento especial para las adquisiciones en grandes almacenes cuando se trate de mínima cuantía; </w:t>
      </w:r>
      <w:r w:rsidRPr="008E7F5C">
        <w:rPr>
          <w:rFonts w:ascii="Arial" w:eastAsia="Calibri" w:hAnsi="Arial" w:cs="Arial"/>
          <w:bCs/>
          <w:i/>
          <w:iCs/>
          <w:color w:val="000000"/>
          <w:kern w:val="0"/>
          <w:lang w:val="es-ES_tradnl"/>
          <w14:ligatures w14:val="none"/>
        </w:rPr>
        <w:t>(iv)</w:t>
      </w:r>
      <w:r w:rsidRPr="008E7F5C">
        <w:rPr>
          <w:rFonts w:ascii="Arial" w:eastAsia="Calibri" w:hAnsi="Arial" w:cs="Arial"/>
          <w:bCs/>
          <w:color w:val="000000"/>
          <w:kern w:val="0"/>
          <w:lang w:val="es-ES_tradnl"/>
          <w14:ligatures w14:val="none"/>
        </w:rPr>
        <w:t xml:space="preserve"> 2.2.1.2.1.5.4. que prevé la posibilidad de que la Agencia Nacional de Contratación Pública -Colombia Compra Eficiente- defina las reglas para la utilización de instrumentos de agregación de demanda en la Tienda Virtual del Estado Colombiano para adquisiciones hasta el monto de la mínima cuantía con Mipyme y con grandes almacenes; y </w:t>
      </w:r>
      <w:r w:rsidRPr="008E7F5C">
        <w:rPr>
          <w:rFonts w:ascii="Arial" w:eastAsia="Calibri" w:hAnsi="Arial" w:cs="Arial"/>
          <w:bCs/>
          <w:i/>
          <w:iCs/>
          <w:color w:val="000000"/>
          <w:kern w:val="0"/>
          <w:lang w:val="es-ES_tradnl"/>
          <w14:ligatures w14:val="none"/>
        </w:rPr>
        <w:t>(v)</w:t>
      </w:r>
      <w:r w:rsidRPr="008E7F5C">
        <w:rPr>
          <w:rFonts w:ascii="Arial" w:eastAsia="Calibri" w:hAnsi="Arial" w:cs="Arial"/>
          <w:bCs/>
          <w:color w:val="000000"/>
          <w:kern w:val="0"/>
          <w:lang w:val="es-ES_tradnl"/>
          <w14:ligatures w14:val="none"/>
        </w:rPr>
        <w:t xml:space="preserve"> 2.2.1.2.1.5.5. el cual establece que la entidad estatal es libre de exigir o no garantías en el proceso de selección de mínima cuantía y en la adquisición de “grandes almacenes”.</w:t>
      </w:r>
    </w:p>
    <w:p w14:paraId="6746B4B1" w14:textId="77777777" w:rsidR="008E7F5C" w:rsidRPr="008E7F5C" w:rsidRDefault="008E7F5C" w:rsidP="008E7F5C">
      <w:pPr>
        <w:spacing w:after="120" w:line="276" w:lineRule="auto"/>
        <w:ind w:firstLine="708"/>
        <w:jc w:val="both"/>
        <w:rPr>
          <w:rFonts w:ascii="Arial" w:eastAsia="Calibri" w:hAnsi="Arial" w:cs="Arial"/>
          <w:bCs/>
          <w:color w:val="000000"/>
          <w:kern w:val="0"/>
          <w:lang w:val="es-ES_tradnl"/>
          <w14:ligatures w14:val="none"/>
        </w:rPr>
      </w:pPr>
      <w:r w:rsidRPr="008E7F5C">
        <w:rPr>
          <w:rFonts w:ascii="Arial" w:eastAsia="Calibri" w:hAnsi="Arial" w:cs="Arial"/>
          <w:bCs/>
          <w:color w:val="000000"/>
          <w:kern w:val="0"/>
          <w:lang w:val="es-ES_tradnl"/>
          <w14:ligatures w14:val="none"/>
        </w:rPr>
        <w:lastRenderedPageBreak/>
        <w:t xml:space="preserve">De este modo, el artículo 2 del Decreto 1860 del 24 de diciembre de 2021, que modifica los artículos del Decreto 1082 de 2015 expuestos en el párrafo anterior, constituye la reglamentación del artículo 30 de la Ley 2069 de 2020, al desarrollar las reglas aplicables a esta modalidad de selección. Como se indicó anteriormente, estas disposiciones rigen para los procedimientos de selección cuya invitación, </w:t>
      </w:r>
      <w:r w:rsidRPr="008E7F5C">
        <w:rPr>
          <w:rFonts w:ascii="Arial" w:eastAsia="Calibri" w:hAnsi="Arial" w:cs="Arial"/>
          <w:color w:val="000000"/>
          <w:kern w:val="0"/>
          <w:lang w:val="es-ES_tradnl"/>
          <w14:ligatures w14:val="none"/>
        </w:rPr>
        <w:t>aviso de convocatoria o documento equivalente se publique a los tres (3) meses contados a partir de su expedición.</w:t>
      </w:r>
    </w:p>
    <w:p w14:paraId="1E8EC6C4" w14:textId="77777777" w:rsidR="008E7F5C" w:rsidRPr="008E7F5C" w:rsidRDefault="008E7F5C" w:rsidP="008E7F5C">
      <w:pPr>
        <w:spacing w:after="120" w:line="276" w:lineRule="auto"/>
        <w:ind w:firstLine="708"/>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Hecha la anterior claridad, debe señalarse que la mínima cuantía es una modalidad de selección en virtud de la cual la entidad estatal realiza una convocatoria pública para recibir ofertas de bienes, obras o servicios cuyo valor no excede el diez por ciento (10%) de la menor cuantía. El factor determinante para llevar a cabo tal procedimiento es la cuantía -calculada como presupuesto oficial a partir del estudio del sector-, independientemente de su objeto</w:t>
      </w:r>
      <w:r w:rsidRPr="008E7F5C">
        <w:rPr>
          <w:rFonts w:ascii="Arial" w:eastAsia="Calibri" w:hAnsi="Arial" w:cs="Arial"/>
          <w:color w:val="000000"/>
          <w:kern w:val="0"/>
          <w:szCs w:val="24"/>
          <w:vertAlign w:val="superscript"/>
          <w:lang w:val="es-ES_tradnl" w:eastAsia="es-ES_tradnl"/>
          <w14:ligatures w14:val="none"/>
        </w:rPr>
        <w:footnoteReference w:id="7"/>
      </w:r>
      <w:r w:rsidRPr="008E7F5C">
        <w:rPr>
          <w:rFonts w:ascii="Arial" w:eastAsia="Calibri" w:hAnsi="Arial" w:cs="Arial"/>
          <w:color w:val="000000"/>
          <w:kern w:val="0"/>
          <w:szCs w:val="24"/>
          <w:lang w:val="es-ES_tradnl" w:eastAsia="es-ES_tradnl"/>
          <w14:ligatures w14:val="none"/>
        </w:rPr>
        <w:t>.</w:t>
      </w:r>
    </w:p>
    <w:p w14:paraId="666C0639" w14:textId="77777777" w:rsidR="008E7F5C" w:rsidRPr="008E7F5C" w:rsidRDefault="008E7F5C" w:rsidP="008E7F5C">
      <w:pPr>
        <w:spacing w:after="120" w:line="276" w:lineRule="auto"/>
        <w:ind w:firstLine="708"/>
        <w:jc w:val="both"/>
        <w:rPr>
          <w:rFonts w:ascii="Arial" w:eastAsia="Calibri" w:hAnsi="Arial" w:cs="Arial"/>
          <w:color w:val="000000"/>
          <w:kern w:val="0"/>
          <w:szCs w:val="24"/>
          <w:lang w:val="es-ES_tradnl" w:eastAsia="es-ES_tradnl"/>
          <w14:ligatures w14:val="none"/>
        </w:rPr>
      </w:pPr>
    </w:p>
    <w:p w14:paraId="59379B50" w14:textId="77777777" w:rsidR="008E7F5C" w:rsidRPr="008E7F5C" w:rsidRDefault="008E7F5C" w:rsidP="008E7F5C">
      <w:pPr>
        <w:spacing w:after="120" w:line="276" w:lineRule="auto"/>
        <w:ind w:firstLine="708"/>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En otras palabras, la mínima cuantía es un procedimiento de selección “exceptivo”</w:t>
      </w:r>
      <w:r w:rsidRPr="008E7F5C">
        <w:rPr>
          <w:rFonts w:ascii="Arial" w:eastAsia="Calibri" w:hAnsi="Arial" w:cs="Arial"/>
          <w:color w:val="000000"/>
          <w:kern w:val="0"/>
          <w:szCs w:val="24"/>
          <w:vertAlign w:val="superscript"/>
          <w:lang w:val="es-ES_tradnl" w:eastAsia="es-ES_tradnl"/>
          <w14:ligatures w14:val="none"/>
        </w:rPr>
        <w:footnoteReference w:id="8"/>
      </w:r>
      <w:r w:rsidRPr="008E7F5C">
        <w:rPr>
          <w:rFonts w:ascii="Arial" w:eastAsia="Calibri" w:hAnsi="Arial" w:cs="Arial"/>
          <w:color w:val="000000"/>
          <w:kern w:val="0"/>
          <w:szCs w:val="24"/>
          <w:lang w:val="es-ES_tradnl" w:eastAsia="es-ES_tradnl"/>
          <w14:ligatures w14:val="none"/>
        </w:rPr>
        <w:t>, porque se erige en una excepción adicional a la regla general constituida por la licitación pública. Aunque ambas modalidades implican un llamado general a presentar ofertas, efectuado por la entidad estatal interesada en contratar, la mínima cuantía es distinta de la licitación en otros aspectos, como su conducencia y su procedimiento. Lo primero, debido a que solo procede por razón de una cuantía específica</w:t>
      </w:r>
      <w:r w:rsidRPr="008E7F5C">
        <w:rPr>
          <w:rFonts w:ascii="Arial" w:eastAsia="Calibri" w:hAnsi="Arial" w:cs="Arial"/>
          <w:color w:val="000000"/>
          <w:kern w:val="0"/>
          <w:szCs w:val="24"/>
          <w:vertAlign w:val="superscript"/>
          <w:lang w:val="es-ES_tradnl" w:eastAsia="es-ES_tradnl"/>
          <w14:ligatures w14:val="none"/>
        </w:rPr>
        <w:footnoteReference w:id="9"/>
      </w:r>
      <w:r w:rsidRPr="008E7F5C">
        <w:rPr>
          <w:rFonts w:ascii="Arial" w:eastAsia="Calibri" w:hAnsi="Arial" w:cs="Arial"/>
          <w:color w:val="000000"/>
          <w:kern w:val="0"/>
          <w:szCs w:val="24"/>
          <w:lang w:val="es-ES_tradnl" w:eastAsia="es-ES_tradnl"/>
          <w14:ligatures w14:val="none"/>
        </w:rPr>
        <w:t xml:space="preserve"> y, lo segundo, en atención a que sus requisitos, etapas y términos son especiales. En efecto, a partir de las modificaciones </w:t>
      </w:r>
      <w:r w:rsidRPr="008E7F5C">
        <w:rPr>
          <w:rFonts w:ascii="Arial" w:eastAsia="Calibri" w:hAnsi="Arial" w:cs="Arial"/>
          <w:color w:val="000000"/>
          <w:kern w:val="0"/>
          <w:szCs w:val="24"/>
          <w:lang w:val="es-ES_tradnl" w:eastAsia="es-ES_tradnl"/>
          <w14:ligatures w14:val="none"/>
        </w:rPr>
        <w:lastRenderedPageBreak/>
        <w:t>reguladas en el Decreto 1860 de 2021, los requisitos de la mínima cuantía pueden sintetizarse de la siguiente forma:</w:t>
      </w:r>
    </w:p>
    <w:p w14:paraId="454E2766"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(i) La entidad estatal debe realizar los estudios previos en los que señale cuál es la necesidad que pretende satisfacer, el objeto del contrato, sus condiciones técnicas, el valor estimado, el plazo de ejecución y el certificado de disponibilidad presupuestal.</w:t>
      </w:r>
    </w:p>
    <w:p w14:paraId="624A5E00"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 xml:space="preserve">(ii) Luego de surtir los trámites previos, la entidad debe publicar en el SECOP una invitación, señalando el objeto, las condiciones técnicas y el valor estimado del contrato, expresando además las razones que justifican el cálculo de la cuantía. Asimismo, deberá señalar la forma en la cual se acreditará la capacidad jurídica y la experiencia mínima, en caso de que esta se exija, así como el cumplimiento de las condiciones técnicas exigidas, incluyendo las obligaciones del futuro contrato. </w:t>
      </w:r>
    </w:p>
    <w:p w14:paraId="5A05200F" w14:textId="77777777" w:rsidR="008E7F5C" w:rsidRPr="008E7F5C" w:rsidRDefault="008E7F5C" w:rsidP="008E7F5C">
      <w:pPr>
        <w:spacing w:after="120" w:line="276" w:lineRule="auto"/>
        <w:ind w:firstLine="709"/>
        <w:jc w:val="both"/>
        <w:rPr>
          <w:rFonts w:ascii="Arial" w:eastAsia="Calibri" w:hAnsi="Arial" w:cs="Arial"/>
          <w:kern w:val="0"/>
          <w:szCs w:val="24"/>
          <w:lang w:eastAsia="es-ES_tradnl"/>
          <w14:ligatures w14:val="none"/>
        </w:rPr>
      </w:pPr>
      <w:r w:rsidRPr="008E7F5C">
        <w:rPr>
          <w:rFonts w:ascii="Arial" w:eastAsia="Calibri" w:hAnsi="Arial" w:cs="Arial"/>
          <w:color w:val="000000"/>
          <w:kern w:val="0"/>
          <w:szCs w:val="24"/>
          <w:lang w:val="es-ES_tradnl" w:eastAsia="es-ES_tradnl"/>
          <w14:ligatures w14:val="none"/>
        </w:rPr>
        <w:t xml:space="preserve">(iii) La entidad podrá exigir una capacidad financiera mínima cuando no hace el pago contra entrega a satisfacción de los bienes, obras o servicios. En estos casos, la entidad deberá indicar la forma en la que hará la verificación correspondiente en la invitación. Cabe anotar que este aspecto </w:t>
      </w:r>
      <w:r w:rsidRPr="008E7F5C">
        <w:rPr>
          <w:rFonts w:ascii="Arial" w:eastAsia="Calibri" w:hAnsi="Arial" w:cs="Arial"/>
          <w:kern w:val="0"/>
          <w:szCs w:val="24"/>
          <w:lang w:eastAsia="es-ES_tradnl"/>
          <w14:ligatures w14:val="none"/>
        </w:rPr>
        <w:t>se encontraba regulado desde la disposición anterior y no hay ninguna modificación en su aplicación en el procedimiento de mínima cuantía reglamentado en el Decreto 1860 de 2021.</w:t>
      </w:r>
    </w:p>
    <w:p w14:paraId="11ABB52C" w14:textId="77777777" w:rsidR="008E7F5C" w:rsidRPr="008E7F5C" w:rsidRDefault="008E7F5C" w:rsidP="008E7F5C">
      <w:pPr>
        <w:spacing w:after="120" w:line="276" w:lineRule="auto"/>
        <w:ind w:firstLine="709"/>
        <w:jc w:val="both"/>
        <w:rPr>
          <w:rFonts w:ascii="Arial" w:eastAsia="Calibri" w:hAnsi="Arial" w:cs="Arial"/>
          <w:kern w:val="0"/>
          <w:szCs w:val="24"/>
          <w:lang w:eastAsia="es-ES_tradnl"/>
          <w14:ligatures w14:val="none"/>
        </w:rPr>
      </w:pPr>
      <w:r w:rsidRPr="008E7F5C">
        <w:rPr>
          <w:rFonts w:ascii="Arial" w:eastAsia="Calibri" w:hAnsi="Arial" w:cs="Arial"/>
          <w:color w:val="000000"/>
          <w:kern w:val="0"/>
          <w:szCs w:val="24"/>
          <w:lang w:val="es-ES_tradnl" w:eastAsia="es-ES_tradnl"/>
          <w14:ligatures w14:val="none"/>
        </w:rPr>
        <w:t xml:space="preserve">Es pertinente resaltar que en el evento en que la entidad determine la necesidad de exigir capacidad financiera en un proceso de mínima cuantía, no podrá requerir la presentación del Registro Único de Proponentes -RUP- para realizar dicha verificación. En efecto, de conformidad con el artículo 6 de la Ley 1150 de 2007, dicho registro </w:t>
      </w:r>
      <w:r w:rsidRPr="008E7F5C">
        <w:rPr>
          <w:rFonts w:ascii="Arial" w:eastAsia="Calibri" w:hAnsi="Arial" w:cs="Arial"/>
          <w:color w:val="000000"/>
          <w:kern w:val="0"/>
          <w:szCs w:val="24"/>
          <w:lang w:val="es-ES" w:eastAsia="es-ES_tradnl"/>
          <w14:ligatures w14:val="none"/>
        </w:rPr>
        <w:t xml:space="preserve">no es exigible en algunos procedimientos de contratación, como en la contratación directa, </w:t>
      </w:r>
      <w:r w:rsidRPr="008E7F5C">
        <w:rPr>
          <w:rFonts w:ascii="Arial" w:eastAsia="Calibri" w:hAnsi="Arial" w:cs="Arial"/>
          <w:i/>
          <w:iCs/>
          <w:color w:val="000000"/>
          <w:kern w:val="0"/>
          <w:szCs w:val="24"/>
          <w:lang w:val="es-ES" w:eastAsia="es-ES_tradnl"/>
          <w14:ligatures w14:val="none"/>
        </w:rPr>
        <w:t>la mínima cuantía</w:t>
      </w:r>
      <w:r w:rsidRPr="008E7F5C">
        <w:rPr>
          <w:rFonts w:ascii="Arial" w:eastAsia="Calibri" w:hAnsi="Arial" w:cs="Arial"/>
          <w:color w:val="000000"/>
          <w:kern w:val="0"/>
          <w:szCs w:val="24"/>
          <w:lang w:val="es-ES" w:eastAsia="es-ES_tradnl"/>
          <w14:ligatures w14:val="none"/>
        </w:rPr>
        <w:t>,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w:t>
      </w:r>
      <w:r w:rsidRPr="008E7F5C">
        <w:rPr>
          <w:rFonts w:ascii="Arial" w:eastAsia="Calibri" w:hAnsi="Arial" w:cs="Arial"/>
          <w:color w:val="000000"/>
          <w:kern w:val="0"/>
          <w:szCs w:val="24"/>
          <w:vertAlign w:val="superscript"/>
          <w:lang w:val="es-ES" w:eastAsia="es-ES_tradnl"/>
          <w14:ligatures w14:val="none"/>
        </w:rPr>
        <w:footnoteReference w:id="10"/>
      </w:r>
      <w:r w:rsidRPr="008E7F5C">
        <w:rPr>
          <w:rFonts w:ascii="Arial" w:eastAsia="Calibri" w:hAnsi="Arial" w:cs="Arial"/>
          <w:color w:val="000000"/>
          <w:kern w:val="0"/>
          <w:szCs w:val="24"/>
          <w:lang w:val="es-ES" w:eastAsia="es-ES_tradnl"/>
          <w14:ligatures w14:val="none"/>
        </w:rPr>
        <w:t>.</w:t>
      </w:r>
    </w:p>
    <w:p w14:paraId="035204AC" w14:textId="77777777" w:rsidR="008E7F5C" w:rsidRPr="008E7F5C" w:rsidRDefault="008E7F5C" w:rsidP="008E7F5C">
      <w:pPr>
        <w:spacing w:after="120" w:line="276" w:lineRule="auto"/>
        <w:ind w:firstLine="709"/>
        <w:jc w:val="both"/>
        <w:rPr>
          <w:rFonts w:ascii="Arial" w:eastAsia="Calibri" w:hAnsi="Arial" w:cs="Arial"/>
          <w:kern w:val="0"/>
          <w:szCs w:val="24"/>
          <w:lang w:eastAsia="es-ES_tradnl"/>
          <w14:ligatures w14:val="none"/>
        </w:rPr>
      </w:pPr>
      <w:r w:rsidRPr="008E7F5C">
        <w:rPr>
          <w:rFonts w:ascii="Arial" w:eastAsia="Calibri" w:hAnsi="Arial" w:cs="Arial"/>
          <w:color w:val="000000"/>
          <w:kern w:val="0"/>
          <w:szCs w:val="24"/>
          <w:lang w:val="es-ES" w:eastAsia="es-ES_tradnl"/>
          <w14:ligatures w14:val="none"/>
        </w:rPr>
        <w:lastRenderedPageBreak/>
        <w:t>Por tal motivo, las entidades estatales deben verificar directamente el cumplimiento de los requisitos habilitantes, tal como se dispone en el inciso segundo del artículo 6 de la Ley 1150 de 2007. Las referidas excepciones a la obligación general de inscribirse en el RUP para celebrar contratos con las entidades estatales sometidas al EGCAP, son de interpretación estricta. Esto también se fundamenta en el artículo 2.2.1.1.1.5.1. del Decreto 1082 de 2015, al prescribir que la inscripción en el RUP es imperativa para los sujetos mencionados en el primer inciso del artículo 6 de la Ley 1150 de 2007, salvo las excepciones previstas de forma taxativa en la ley</w:t>
      </w:r>
      <w:r w:rsidRPr="008E7F5C">
        <w:rPr>
          <w:rFonts w:ascii="Arial" w:eastAsia="Calibri" w:hAnsi="Arial" w:cs="Arial"/>
          <w:color w:val="000000"/>
          <w:kern w:val="0"/>
          <w:szCs w:val="24"/>
          <w:vertAlign w:val="superscript"/>
          <w:lang w:val="es-ES" w:eastAsia="es-ES_tradnl"/>
          <w14:ligatures w14:val="none"/>
        </w:rPr>
        <w:footnoteReference w:id="11"/>
      </w:r>
      <w:r w:rsidRPr="008E7F5C">
        <w:rPr>
          <w:rFonts w:ascii="Arial" w:eastAsia="Calibri" w:hAnsi="Arial" w:cs="Arial"/>
          <w:color w:val="000000"/>
          <w:kern w:val="0"/>
          <w:szCs w:val="24"/>
          <w:lang w:val="es-ES" w:eastAsia="es-ES_tradnl"/>
          <w14:ligatures w14:val="none"/>
        </w:rPr>
        <w:t>.</w:t>
      </w:r>
    </w:p>
    <w:p w14:paraId="7C89E9FC" w14:textId="77777777" w:rsidR="008E7F5C" w:rsidRPr="008E7F5C" w:rsidRDefault="008E7F5C" w:rsidP="008E7F5C">
      <w:pPr>
        <w:spacing w:after="120" w:line="276" w:lineRule="auto"/>
        <w:ind w:firstLine="709"/>
        <w:jc w:val="both"/>
        <w:rPr>
          <w:rFonts w:ascii="Arial" w:eastAsia="Calibri" w:hAnsi="Arial" w:cs="Arial"/>
          <w:kern w:val="0"/>
          <w:szCs w:val="24"/>
          <w:lang w:eastAsia="es-ES_tradnl"/>
          <w14:ligatures w14:val="none"/>
        </w:rPr>
      </w:pPr>
      <w:r w:rsidRPr="008E7F5C">
        <w:rPr>
          <w:rFonts w:ascii="Arial" w:eastAsia="Calibri" w:hAnsi="Arial" w:cs="Arial"/>
          <w:color w:val="000000"/>
          <w:kern w:val="0"/>
          <w:szCs w:val="24"/>
          <w:lang w:val="es-ES" w:eastAsia="es-ES_tradnl"/>
          <w14:ligatures w14:val="none"/>
        </w:rPr>
        <w:t>En este sentido, la evaluación de la capacidad financiera, así como el requisito de experiencia en los procesos de selección de mínima cuantía, cuando estas condiciones se requieran, se realizará en los términos establecidos en la invitación, pues las entidades estatales cuentan con discrecionalidad para regular este aspecto, de acuerdo con lo explicado, sin que sea posible exigir la presentación del RUP.</w:t>
      </w:r>
    </w:p>
    <w:p w14:paraId="51E26EE5"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 w:eastAsia="es-ES_tradnl"/>
          <w14:ligatures w14:val="none"/>
        </w:rPr>
      </w:pPr>
      <w:r w:rsidRPr="008E7F5C">
        <w:rPr>
          <w:rFonts w:ascii="Arial" w:eastAsia="Calibri" w:hAnsi="Arial" w:cs="Arial"/>
          <w:color w:val="000000"/>
          <w:kern w:val="0"/>
          <w:szCs w:val="24"/>
          <w:lang w:eastAsia="es-ES_tradnl"/>
          <w14:ligatures w14:val="none"/>
        </w:rPr>
        <w:t>(</w:t>
      </w:r>
      <w:r w:rsidRPr="008E7F5C">
        <w:rPr>
          <w:rFonts w:ascii="Arial" w:eastAsia="Calibri" w:hAnsi="Arial" w:cs="Arial"/>
          <w:color w:val="000000"/>
          <w:kern w:val="0"/>
          <w:szCs w:val="24"/>
          <w:lang w:val="es-ES_tradnl" w:eastAsia="es-ES_tradnl"/>
          <w14:ligatures w14:val="none"/>
        </w:rPr>
        <w:t xml:space="preserve">iv) La invitación se debe publicar por un término no inferior a un (1) día hábil, para que </w:t>
      </w:r>
      <w:r w:rsidRPr="008E7F5C">
        <w:rPr>
          <w:rFonts w:ascii="Arial" w:eastAsia="Calibri" w:hAnsi="Arial" w:cs="Arial"/>
          <w:color w:val="000000"/>
          <w:kern w:val="0"/>
          <w:szCs w:val="24"/>
          <w:lang w:eastAsia="es-ES_tradnl"/>
          <w14:ligatures w14:val="none"/>
        </w:rPr>
        <w:t>los interesados se informen de su contenido y formulen observaciones o comentarios.</w:t>
      </w:r>
      <w:r w:rsidRPr="008E7F5C">
        <w:rPr>
          <w:rFonts w:ascii="Arial" w:eastAsia="Calibri" w:hAnsi="Arial" w:cs="Arial"/>
          <w:color w:val="000000"/>
          <w:kern w:val="0"/>
          <w:szCs w:val="24"/>
          <w:lang w:val="es-ES_tradnl" w:eastAsia="es-ES_tradnl"/>
          <w14:ligatures w14:val="none"/>
        </w:rPr>
        <w:t xml:space="preserve"> Durante este plazo </w:t>
      </w:r>
      <w:r w:rsidRPr="008E7F5C">
        <w:rPr>
          <w:rFonts w:ascii="Arial" w:eastAsia="Calibri" w:hAnsi="Arial" w:cs="Arial"/>
          <w:color w:val="000000"/>
          <w:kern w:val="0"/>
          <w:szCs w:val="24"/>
          <w:lang w:eastAsia="es-ES_tradnl"/>
          <w14:ligatures w14:val="none"/>
        </w:rPr>
        <w:t xml:space="preserve">se podrán presentar las solicitudes para limitar la convocatoria a Mipymes colombianas. Este último aspecto materializa la posibilidad de </w:t>
      </w:r>
      <w:r w:rsidRPr="008E7F5C">
        <w:rPr>
          <w:rFonts w:ascii="Arial" w:eastAsia="Calibri" w:hAnsi="Arial" w:cs="Arial"/>
          <w:bCs/>
          <w:color w:val="000000"/>
          <w:kern w:val="0"/>
          <w:lang w:val="es-ES_tradnl"/>
          <w14:ligatures w14:val="none"/>
        </w:rPr>
        <w:t>limitar las convocatorias a Mipyme</w:t>
      </w:r>
      <w:r w:rsidRPr="008E7F5C">
        <w:rPr>
          <w:rFonts w:ascii="Arial" w:eastAsia="Calibri" w:hAnsi="Arial" w:cs="Arial"/>
          <w:color w:val="000000"/>
          <w:kern w:val="0"/>
          <w:szCs w:val="24"/>
          <w:lang w:eastAsia="es-ES_tradnl"/>
          <w14:ligatures w14:val="none"/>
        </w:rPr>
        <w:t xml:space="preserve"> en estos procesos de selección</w:t>
      </w:r>
      <w:r w:rsidRPr="008E7F5C">
        <w:rPr>
          <w:rFonts w:ascii="Arial" w:eastAsia="Calibri" w:hAnsi="Arial" w:cs="Arial"/>
          <w:bCs/>
          <w:color w:val="000000"/>
          <w:kern w:val="0"/>
          <w:lang w:val="es-ES_tradnl"/>
          <w14:ligatures w14:val="none"/>
        </w:rPr>
        <w:t>, conforme lo establece el artículo 30 de la Ley 2069 de 2020.</w:t>
      </w:r>
    </w:p>
    <w:p w14:paraId="76C52BD1"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(v) Las observaciones que realicen los interesados deben responderse por la entidad estatal a más tardar antes del inicio del plazo para presentar las ofertas.</w:t>
      </w:r>
    </w:p>
    <w:p w14:paraId="052EEEF6"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 xml:space="preserve">(vi) En la invitación se deberá incluir un cronograma que tenga en cuenta los términos mínimos establecidos en el artículo </w:t>
      </w:r>
      <w:r w:rsidRPr="008E7F5C">
        <w:rPr>
          <w:rFonts w:ascii="Arial" w:eastAsia="Calibri" w:hAnsi="Arial" w:cs="Arial"/>
          <w:bCs/>
          <w:color w:val="000000"/>
          <w:kern w:val="0"/>
          <w:szCs w:val="24"/>
          <w:lang w:val="es-ES_tradnl" w:eastAsia="es-ES_tradnl"/>
          <w14:ligatures w14:val="none"/>
        </w:rPr>
        <w:t>2.2.1.2.1.5.2. del Decreto 1082 de 2015</w:t>
      </w:r>
      <w:r w:rsidRPr="008E7F5C">
        <w:rPr>
          <w:rFonts w:ascii="Arial" w:eastAsia="Calibri" w:hAnsi="Arial" w:cs="Arial"/>
          <w:color w:val="000000"/>
          <w:kern w:val="0"/>
          <w:szCs w:val="24"/>
          <w:lang w:eastAsia="es-ES_tradnl"/>
          <w14:ligatures w14:val="none"/>
        </w:rPr>
        <w:t xml:space="preserve">, así como: a) el término dentro del cual la entidad responderá las observaciones; b)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c) el momento en que publicará un aviso en el SECOP precisando si el proceso efectivamente se limitó a Mipyme o si podrá participar cualquier otro </w:t>
      </w:r>
      <w:r w:rsidRPr="008E7F5C">
        <w:rPr>
          <w:rFonts w:ascii="Arial" w:eastAsia="Calibri" w:hAnsi="Arial" w:cs="Arial"/>
          <w:color w:val="000000"/>
          <w:kern w:val="0"/>
          <w:szCs w:val="24"/>
          <w:lang w:eastAsia="es-ES_tradnl"/>
          <w14:ligatures w14:val="none"/>
        </w:rPr>
        <w:lastRenderedPageBreak/>
        <w:t>interesado; d) finalmente, se dispondrá un término adicional dentro del cual los proponentes podrán presentar sus ofertas, el cual será de mínimo un (1) día hábil luego de publicado el aviso en que se informe si el proceso se limita o no a Mipyme.</w:t>
      </w:r>
    </w:p>
    <w:p w14:paraId="7491F48F"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(vii) Presentadas las propuestas, la entidad estatal debe revisar las ofertas económicas y verificar que la del menor precio cumpla con los requisitos de participación. Si no los satisface, debe revisar la oferta económica en el segundo mejor precio y así sucesivamente. Esto significa que en la mínima cuantía el precio es el único factor de calificación o asignación de puntaje</w:t>
      </w:r>
      <w:r w:rsidRPr="008E7F5C">
        <w:rPr>
          <w:rFonts w:ascii="Arial" w:eastAsia="Calibri" w:hAnsi="Arial" w:cs="Arial"/>
          <w:color w:val="000000"/>
          <w:kern w:val="0"/>
          <w:szCs w:val="24"/>
          <w:vertAlign w:val="superscript"/>
          <w:lang w:val="es-ES_tradnl" w:eastAsia="es-ES_tradnl"/>
          <w14:ligatures w14:val="none"/>
        </w:rPr>
        <w:footnoteReference w:id="12"/>
      </w:r>
      <w:r w:rsidRPr="008E7F5C">
        <w:rPr>
          <w:rFonts w:ascii="Arial" w:eastAsia="Calibri" w:hAnsi="Arial" w:cs="Arial"/>
          <w:color w:val="000000"/>
          <w:kern w:val="0"/>
          <w:szCs w:val="24"/>
          <w:lang w:val="es-ES_tradnl" w:eastAsia="es-ES_tradnl"/>
          <w14:ligatures w14:val="none"/>
        </w:rPr>
        <w:t>.</w:t>
      </w:r>
    </w:p>
    <w:p w14:paraId="1E5FFDB3"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eastAsia="es-ES_tradnl"/>
          <w14:ligatures w14:val="none"/>
        </w:rPr>
        <w:t>En punto de los requisitos de participación, las entidades deberán otorgar la oportunidad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6394774B"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(viii) El informe de evaluación se debe publicar durante mínimo un (1) día hábil.</w:t>
      </w:r>
    </w:p>
    <w:p w14:paraId="51B16C16"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 xml:space="preserve">(ix) </w:t>
      </w:r>
      <w:r w:rsidRPr="008E7F5C">
        <w:rPr>
          <w:rFonts w:ascii="Arial" w:eastAsia="Calibri" w:hAnsi="Arial" w:cs="Arial"/>
          <w:color w:val="000000"/>
          <w:kern w:val="0"/>
          <w:szCs w:val="24"/>
          <w:lang w:eastAsia="es-ES_tradnl"/>
          <w14:ligatures w14:val="none"/>
        </w:rPr>
        <w:t>La entidad debe aceptar la oferta de menor precio, siempre que cumpla con las condiciones establecidas en la invitación a participar en procesos de mínima cuantía. En la aceptación de la oferta, la entidad debe informar al contratista el nombre del supervisor o interventor del contrato.</w:t>
      </w:r>
      <w:r w:rsidRPr="008E7F5C">
        <w:rPr>
          <w:rFonts w:ascii="Arial" w:eastAsia="Calibri" w:hAnsi="Arial" w:cs="Arial"/>
          <w:color w:val="000000"/>
          <w:kern w:val="0"/>
          <w:szCs w:val="24"/>
          <w:lang w:val="es-ES_tradnl" w:eastAsia="es-ES_tradnl"/>
          <w14:ligatures w14:val="none"/>
        </w:rPr>
        <w:t xml:space="preserve"> En tal sentido, el contrato se perfecciona con la comunicación de aceptación de la oferta que envía la entidad estatal al proponente que presentó la oferta económica de menor precio, no requiriéndose, entonces, de la suscripción de una minuta.</w:t>
      </w:r>
    </w:p>
    <w:p w14:paraId="1E8C5ACA"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(x) De existir empate, l</w:t>
      </w:r>
      <w:r w:rsidRPr="008E7F5C">
        <w:rPr>
          <w:rFonts w:ascii="Arial" w:eastAsia="Calibri" w:hAnsi="Arial" w:cs="Arial"/>
          <w:color w:val="000000"/>
          <w:kern w:val="0"/>
          <w:szCs w:val="24"/>
          <w:lang w:eastAsia="es-ES_tradnl"/>
          <w14:ligatures w14:val="none"/>
        </w:rPr>
        <w:t>a entidad aplicará los criterios de que trata el artículo 35 de la Ley 2069 de 2020, conforme a los medíos de acreditación del artículo 2.2.1.2.4.2.17. del Decreto 1082 de 2015 o las normas que los modifiquen, adicionen o sustituyan.</w:t>
      </w:r>
      <w:r w:rsidRPr="008E7F5C">
        <w:rPr>
          <w:rFonts w:ascii="Arial" w:eastAsia="Calibri" w:hAnsi="Arial" w:cs="Arial"/>
          <w:kern w:val="0"/>
          <w:szCs w:val="24"/>
          <w:lang w:val="es-ES_tradnl" w:eastAsia="es-ES_tradnl"/>
          <w14:ligatures w14:val="none"/>
        </w:rPr>
        <w:t xml:space="preserve"> Esta disposición se ajusta a la nueva regulación de criterios de desempate establecida en el artículo 35 de la Ley 2069 de 2020.</w:t>
      </w:r>
    </w:p>
    <w:p w14:paraId="0983C636" w14:textId="77777777" w:rsidR="008E7F5C" w:rsidRPr="008E7F5C" w:rsidRDefault="008E7F5C" w:rsidP="008E7F5C">
      <w:pPr>
        <w:spacing w:after="120" w:line="276" w:lineRule="auto"/>
        <w:ind w:firstLine="709"/>
        <w:jc w:val="both"/>
        <w:rPr>
          <w:rFonts w:ascii="Arial" w:eastAsia="Calibri" w:hAnsi="Arial" w:cs="Arial"/>
          <w:color w:val="000000"/>
          <w:kern w:val="0"/>
          <w:szCs w:val="24"/>
          <w:lang w:val="es-ES_tradnl" w:eastAsia="es-ES_tradnl"/>
          <w14:ligatures w14:val="none"/>
        </w:rPr>
      </w:pPr>
      <w:bookmarkStart w:id="27" w:name="_Hlk140036501"/>
      <w:bookmarkStart w:id="28" w:name="_Hlk140037965"/>
      <w:r w:rsidRPr="008E7F5C">
        <w:rPr>
          <w:rFonts w:ascii="Arial" w:eastAsia="Calibri" w:hAnsi="Arial" w:cs="Arial"/>
          <w:kern w:val="0"/>
          <w:szCs w:val="24"/>
          <w:lang w:eastAsia="es-ES_tradnl"/>
          <w14:ligatures w14:val="none"/>
        </w:rPr>
        <w:t xml:space="preserve">En esta medida, el procedimiento de selección de mínima cuantía está regulado en el artículo 2, numeral 5, de la Ley 1150 de 2007 y en el Libro 2, Parte 2, Título 1, Capítulo 2, Sección 1, Subsección 5 del Decreto 1082 de 2015, modificado por el Decreto 1860 de </w:t>
      </w:r>
      <w:r w:rsidRPr="008E7F5C">
        <w:rPr>
          <w:rFonts w:ascii="Arial" w:eastAsia="Calibri" w:hAnsi="Arial" w:cs="Arial"/>
          <w:kern w:val="0"/>
          <w:szCs w:val="24"/>
          <w:lang w:eastAsia="es-ES_tradnl"/>
          <w14:ligatures w14:val="none"/>
        </w:rPr>
        <w:lastRenderedPageBreak/>
        <w:t>2021, con la particularidad de que el trámite solo sigue las reglas recién señaladas, razón por la cual no es posible aplicar disposiciones diferentes a las allí previstas.</w:t>
      </w:r>
      <w:bookmarkStart w:id="29" w:name="_Hlk140042942"/>
      <w:bookmarkStart w:id="30" w:name="_Hlk136187315"/>
      <w:bookmarkStart w:id="31" w:name="_Hlk136188490"/>
      <w:bookmarkEnd w:id="24"/>
    </w:p>
    <w:p w14:paraId="1F57BC64" w14:textId="77777777" w:rsidR="008E7F5C" w:rsidRPr="008E7F5C" w:rsidRDefault="008E7F5C" w:rsidP="008E7F5C">
      <w:pPr>
        <w:spacing w:after="120" w:line="276" w:lineRule="auto"/>
        <w:jc w:val="both"/>
        <w:rPr>
          <w:rFonts w:ascii="Arial" w:eastAsia="Calibri" w:hAnsi="Arial" w:cs="Arial"/>
          <w:color w:val="000000"/>
          <w:kern w:val="0"/>
          <w:szCs w:val="24"/>
          <w:lang w:val="es-ES_tradnl" w:eastAsia="es-ES_tradnl"/>
          <w14:ligatures w14:val="none"/>
        </w:rPr>
      </w:pPr>
      <w:bookmarkStart w:id="32" w:name="_Hlk140037929"/>
      <w:bookmarkEnd w:id="27"/>
      <w:r w:rsidRPr="008E7F5C">
        <w:rPr>
          <w:rFonts w:ascii="Arial" w:eastAsia="Calibri" w:hAnsi="Arial" w:cs="Arial"/>
          <w:b/>
          <w:bCs/>
          <w:iCs/>
          <w:kern w:val="0"/>
          <w14:ligatures w14:val="none"/>
        </w:rPr>
        <w:t>2.2.</w:t>
      </w:r>
      <w:r w:rsidRPr="008E7F5C">
        <w:rPr>
          <w:rFonts w:ascii="Arial" w:eastAsia="Calibri" w:hAnsi="Arial" w:cs="Arial"/>
          <w:b/>
          <w:bCs/>
          <w:iCs/>
          <w:kern w:val="0"/>
          <w14:ligatures w14:val="none"/>
        </w:rPr>
        <w:tab/>
      </w:r>
      <w:bookmarkStart w:id="33" w:name="_Hlk140044277"/>
      <w:bookmarkStart w:id="34" w:name="_Hlk136201775"/>
      <w:r w:rsidRPr="008E7F5C">
        <w:rPr>
          <w:rFonts w:ascii="Arial" w:eastAsia="Calibri" w:hAnsi="Arial" w:cs="Arial"/>
          <w:b/>
          <w:bCs/>
          <w:iCs/>
          <w:kern w:val="0"/>
          <w14:ligatures w14:val="none"/>
        </w:rPr>
        <w:t>Convocatorias limitadas a Mipymes. Aplicación.</w:t>
      </w:r>
    </w:p>
    <w:bookmarkEnd w:id="28"/>
    <w:bookmarkEnd w:id="32"/>
    <w:p w14:paraId="03E319B4" w14:textId="77777777" w:rsidR="008E7F5C" w:rsidRPr="008E7F5C" w:rsidRDefault="008E7F5C" w:rsidP="008E7F5C">
      <w:pPr>
        <w:spacing w:after="120" w:line="276" w:lineRule="auto"/>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kern w:val="0"/>
          <w:lang w:val="es-ES_tradnl" w:eastAsia="es-CO"/>
          <w14:ligatures w14:val="none"/>
        </w:rPr>
        <w:t>Según lo ha reiterado esta Agencia en múltiples conceptos sobre la materia, el artículo 34 de la Ley 2069 de 2020, que dispone nuevas reglas sobre la promoción del desarrollo en la contratación pública, sustituyó íntegramente el contenido del artículo 12 de la Ley 1150 de 2007, por lo que frente a esta última norma se produjo el fenómeno de la subrogación. No en vano, en línea con lo anterior, el artículo 2.2.1.2.4.2.2. original del Decreto 1082 de 2015 -antes del Decreto 1860 de 2021-, que hasta la expedición de la Ley 2069 de 2020 regulaba las convocatorias limitadas a Mipymes, carecía de vigencia, porque su contenido era contrario al artículo 34 de la Ley 2069 de 2020. En tal sentido, ha perdido fuerza ejecutoria, de conformidad con el artículo 91.2. de la Ley 1437 de 2011, el cual establece que los actos administrativos -categoría que, como es sabido, incluye los decretos reglamentarios- dejan de ser obligatorios o decaen “[c]uando desaparezcan sus fundamentos de hecho o de derecho”.</w:t>
      </w:r>
    </w:p>
    <w:bookmarkEnd w:id="29"/>
    <w:bookmarkEnd w:id="33"/>
    <w:p w14:paraId="3A5DCBE8" w14:textId="77777777" w:rsidR="008E7F5C" w:rsidRPr="008E7F5C" w:rsidRDefault="008E7F5C" w:rsidP="008E7F5C">
      <w:pPr>
        <w:spacing w:after="120" w:line="276" w:lineRule="auto"/>
        <w:ind w:firstLine="708"/>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 xml:space="preserve">Pero además </w:t>
      </w:r>
      <w:r w:rsidRPr="008E7F5C">
        <w:rPr>
          <w:rFonts w:ascii="Arial" w:eastAsia="Calibri" w:hAnsi="Arial" w:cs="Arial"/>
          <w:kern w:val="0"/>
          <w:lang w:eastAsia="es-CO"/>
          <w14:ligatures w14:val="none"/>
        </w:rPr>
        <w:t xml:space="preserve">de la pérdida de fuerza ejecutoria de la redacción original de los artículos 2.2.1.2.4.2.2. y 2.2.1.2.4.2.3. del Decreto 1082 de 2015 por cuenta de la desaparición de su fundamento de derecho, también se advirtió una manifiesta oposición entre dichos enunciados normativos y el nuevo contenido del artículo 12 de la Ley 1150 de 2007, modificado por el artículo 34 de la Ley 2069 de 2020. Ante esta contradicción, debía aplicarse la consecuencia jurídica prevista en el artículo 84 de la Ley 2069 de 2020, según la cual este “deroga (…) todas las disposiciones que le sean contrarias”. Por ello, puede afirmarse que, a más del decaimiento de los artículos 2.2.1.2.4.2.2. y 2.2.1.2.4.2.3. originales del Decreto 1082 de 2015 -antes de la modificación del Decreto 1860 de 2021-, se entendieron derogados al amparo de lo previsto en el artículo 84 </w:t>
      </w:r>
      <w:r w:rsidRPr="008E7F5C">
        <w:rPr>
          <w:rFonts w:ascii="Arial" w:eastAsia="Calibri" w:hAnsi="Arial" w:cs="Arial"/>
          <w:i/>
          <w:iCs/>
          <w:kern w:val="0"/>
          <w:lang w:eastAsia="es-CO"/>
          <w14:ligatures w14:val="none"/>
        </w:rPr>
        <w:t>ibidem</w:t>
      </w:r>
      <w:r w:rsidRPr="008E7F5C">
        <w:rPr>
          <w:rFonts w:ascii="Arial" w:eastAsia="Calibri" w:hAnsi="Arial" w:cs="Arial"/>
          <w:kern w:val="0"/>
          <w:lang w:eastAsia="es-CO"/>
          <w14:ligatures w14:val="none"/>
        </w:rPr>
        <w:t>.</w:t>
      </w:r>
    </w:p>
    <w:p w14:paraId="3B6461FE" w14:textId="77777777" w:rsidR="008E7F5C" w:rsidRPr="008E7F5C" w:rsidRDefault="008E7F5C" w:rsidP="008E7F5C">
      <w:pPr>
        <w:spacing w:after="120" w:line="276" w:lineRule="auto"/>
        <w:ind w:firstLine="708"/>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color w:val="000000"/>
          <w:kern w:val="0"/>
          <w:szCs w:val="24"/>
          <w:lang w:val="es-ES_tradnl" w:eastAsia="es-ES_tradnl"/>
          <w14:ligatures w14:val="none"/>
        </w:rPr>
        <w:t>Sumado a lo anterior</w:t>
      </w:r>
      <w:r w:rsidRPr="008E7F5C">
        <w:rPr>
          <w:rFonts w:ascii="Arial" w:eastAsia="Calibri" w:hAnsi="Arial" w:cs="Arial"/>
          <w:kern w:val="0"/>
          <w:lang w:val="es-ES" w:eastAsia="es-CO"/>
          <w14:ligatures w14:val="none"/>
        </w:rPr>
        <w:t xml:space="preserve">, interesa señalar que el artículo 34 de la Ley 2069 de 2020 no es una norma de aplicación directa y contempla supuestos que no estaban previstos en el Decreto 1082 de 2015 original. Por ejemplo, conforme al artículo 2.2.1.2.4.2.2. </w:t>
      </w:r>
      <w:r w:rsidRPr="008E7F5C">
        <w:rPr>
          <w:rFonts w:ascii="Arial" w:eastAsia="Calibri" w:hAnsi="Arial" w:cs="Arial"/>
          <w:i/>
          <w:kern w:val="0"/>
          <w:lang w:val="es-ES" w:eastAsia="es-CO"/>
          <w14:ligatures w14:val="none"/>
        </w:rPr>
        <w:t>ibidem</w:t>
      </w:r>
      <w:r w:rsidRPr="008E7F5C">
        <w:rPr>
          <w:rFonts w:ascii="Arial" w:eastAsia="Calibri" w:hAnsi="Arial" w:cs="Arial"/>
          <w:kern w:val="0"/>
          <w:lang w:val="es-ES" w:eastAsia="es-CO"/>
          <w14:ligatures w14:val="none"/>
        </w:rPr>
        <w:t>, las convocatorias limitadas únicamente eran obligatorias en la licitación pública, selección abreviada y concurso de méritos de las entidades sometidas a la Ley 80 de 1993, siempre que la entidad contratante recibiera solicitudes de limitación de por lo menos tres (3) mipymes nacionales. En cuanto a este escenario, surge la necesidad de expedir una nueva reglamentación para las convocatorias limitadas que desarrolle los nuevos elementos previstos en la ley, regulación que se concretó mediante el Decreto 1860 del 24 de diciembre de 2021.</w:t>
      </w:r>
    </w:p>
    <w:p w14:paraId="15101788" w14:textId="77777777" w:rsidR="008E7F5C" w:rsidRPr="008E7F5C" w:rsidRDefault="008E7F5C" w:rsidP="008E7F5C">
      <w:pPr>
        <w:spacing w:after="120" w:line="276" w:lineRule="auto"/>
        <w:ind w:firstLine="708"/>
        <w:jc w:val="both"/>
        <w:rPr>
          <w:rFonts w:ascii="Arial" w:eastAsia="Calibri" w:hAnsi="Arial" w:cs="Arial"/>
          <w:color w:val="000000"/>
          <w:kern w:val="0"/>
          <w:szCs w:val="24"/>
          <w:lang w:val="es-ES_tradnl" w:eastAsia="es-ES_tradnl"/>
          <w14:ligatures w14:val="none"/>
        </w:rPr>
      </w:pPr>
      <w:r w:rsidRPr="008E7F5C">
        <w:rPr>
          <w:rFonts w:ascii="Arial" w:eastAsia="Times New Roman" w:hAnsi="Arial" w:cs="Arial"/>
          <w:bCs/>
          <w:kern w:val="0"/>
          <w:lang w:val="es-ES_tradnl" w:eastAsia="es-ES"/>
          <w14:ligatures w14:val="none"/>
        </w:rPr>
        <w:lastRenderedPageBreak/>
        <w:t>Ciertamente,</w:t>
      </w:r>
      <w:bookmarkStart w:id="35" w:name="_Hlk102577458"/>
      <w:r w:rsidRPr="008E7F5C">
        <w:rPr>
          <w:rFonts w:ascii="Arial" w:eastAsia="Times New Roman" w:hAnsi="Arial" w:cs="Arial"/>
          <w:bCs/>
          <w:kern w:val="0"/>
          <w:lang w:val="es-ES_tradnl" w:eastAsia="es-ES"/>
          <w14:ligatures w14:val="none"/>
        </w:rPr>
        <w:t xml:space="preserve"> el artículo 5 del Decreto 1860 de 2021 modificó </w:t>
      </w:r>
      <w:r w:rsidRPr="008E7F5C">
        <w:rPr>
          <w:rFonts w:ascii="Arial" w:eastAsia="Times New Roman" w:hAnsi="Arial" w:cs="Arial"/>
          <w:bCs/>
          <w:kern w:val="0"/>
          <w:lang w:eastAsia="es-ES"/>
          <w14:ligatures w14:val="none"/>
        </w:rPr>
        <w:t>los artículos 2.2.1.2.4.2.2., 2.2.1.2.4.2.3. y 2.2.1.2.4.2.4. de la Subsección 2 de la Sección 4 del Capítulo 2 del Título 1 de la Parte 2 del Libro 2 del Decreto 1082 de 2015, reglamentando</w:t>
      </w:r>
      <w:r w:rsidRPr="008E7F5C">
        <w:rPr>
          <w:rFonts w:ascii="Arial" w:eastAsia="Times New Roman" w:hAnsi="Arial" w:cs="Arial"/>
          <w:bCs/>
          <w:kern w:val="0"/>
          <w:lang w:val="es-ES_tradnl" w:eastAsia="es-ES"/>
          <w14:ligatures w14:val="none"/>
        </w:rPr>
        <w:t xml:space="preserve"> las convocatorias limitadas a Mipyme con base en lo estipulado expresamente en el artículo 34 de la Ley 2069 de 2020. Esta nueva Subsección 2 contempla los siguientes aspectos: </w:t>
      </w:r>
      <w:r w:rsidRPr="008E7F5C">
        <w:rPr>
          <w:rFonts w:ascii="Arial" w:eastAsia="Times New Roman" w:hAnsi="Arial" w:cs="Arial"/>
          <w:bCs/>
          <w:i/>
          <w:iCs/>
          <w:kern w:val="0"/>
          <w:lang w:val="es-ES_tradnl" w:eastAsia="es-ES"/>
          <w14:ligatures w14:val="none"/>
        </w:rPr>
        <w:t>(i)</w:t>
      </w:r>
      <w:r w:rsidRPr="008E7F5C">
        <w:rPr>
          <w:rFonts w:ascii="Arial" w:eastAsia="Times New Roman" w:hAnsi="Arial" w:cs="Arial"/>
          <w:bCs/>
          <w:kern w:val="0"/>
          <w:lang w:val="es-ES_tradnl" w:eastAsia="es-ES"/>
          <w14:ligatures w14:val="none"/>
        </w:rPr>
        <w:t xml:space="preserve"> requisitos para limitar la convocatoria de los </w:t>
      </w:r>
      <w:r w:rsidRPr="008E7F5C">
        <w:rPr>
          <w:rFonts w:ascii="Arial" w:eastAsia="Times New Roman" w:hAnsi="Arial" w:cs="Arial"/>
          <w:bCs/>
          <w:kern w:val="0"/>
          <w:lang w:eastAsia="es-ES"/>
          <w14:ligatures w14:val="none"/>
        </w:rPr>
        <w:t>procesos de contratación con pluralidad de oferentes</w:t>
      </w:r>
      <w:r w:rsidRPr="008E7F5C">
        <w:rPr>
          <w:rFonts w:ascii="Arial" w:eastAsia="Times New Roman" w:hAnsi="Arial" w:cs="Arial"/>
          <w:bCs/>
          <w:kern w:val="0"/>
          <w:lang w:val="es-ES_tradnl" w:eastAsia="es-ES"/>
          <w14:ligatures w14:val="none"/>
        </w:rPr>
        <w:t xml:space="preserve"> a las Mipyme colombianas con mínimo un (1) año de existencia (artículo </w:t>
      </w:r>
      <w:r w:rsidRPr="008E7F5C">
        <w:rPr>
          <w:rFonts w:ascii="Arial" w:eastAsia="Times New Roman" w:hAnsi="Arial" w:cs="Arial"/>
          <w:bCs/>
          <w:kern w:val="0"/>
          <w:lang w:eastAsia="es-ES"/>
          <w14:ligatures w14:val="none"/>
        </w:rPr>
        <w:t>2.2.1.2.4.2.2.);</w:t>
      </w:r>
      <w:r w:rsidRPr="008E7F5C">
        <w:rPr>
          <w:rFonts w:ascii="Arial" w:eastAsia="Times New Roman" w:hAnsi="Arial" w:cs="Arial"/>
          <w:bCs/>
          <w:kern w:val="0"/>
          <w:lang w:val="es-ES_tradnl" w:eastAsia="es-ES"/>
          <w14:ligatures w14:val="none"/>
        </w:rPr>
        <w:t xml:space="preserve"> </w:t>
      </w:r>
      <w:r w:rsidRPr="008E7F5C">
        <w:rPr>
          <w:rFonts w:ascii="Arial" w:eastAsia="Times New Roman" w:hAnsi="Arial" w:cs="Arial"/>
          <w:bCs/>
          <w:i/>
          <w:iCs/>
          <w:kern w:val="0"/>
          <w:lang w:val="es-ES_tradnl" w:eastAsia="es-ES"/>
          <w14:ligatures w14:val="none"/>
        </w:rPr>
        <w:t>(ii)</w:t>
      </w:r>
      <w:r w:rsidRPr="008E7F5C">
        <w:rPr>
          <w:rFonts w:ascii="Arial" w:eastAsia="Times New Roman" w:hAnsi="Arial" w:cs="Arial"/>
          <w:bCs/>
          <w:kern w:val="0"/>
          <w:lang w:val="es-ES_tradnl" w:eastAsia="es-ES"/>
          <w14:ligatures w14:val="none"/>
        </w:rPr>
        <w:t xml:space="preserve"> desarrolla las </w:t>
      </w:r>
      <w:r w:rsidRPr="008E7F5C">
        <w:rPr>
          <w:rFonts w:ascii="Arial" w:eastAsia="Times New Roman" w:hAnsi="Arial" w:cs="Arial"/>
          <w:bCs/>
          <w:kern w:val="0"/>
          <w:lang w:eastAsia="es-ES"/>
          <w14:ligatures w14:val="none"/>
        </w:rPr>
        <w:t xml:space="preserve">convocatorias limitadas a Mipyme colombianas que tengan domicilio en los departamentos o municipios en donde se va a ejecutar el contrato (artículo 2.2.1.2.4.2.3.); </w:t>
      </w:r>
      <w:r w:rsidRPr="008E7F5C">
        <w:rPr>
          <w:rFonts w:ascii="Arial" w:eastAsia="Times New Roman" w:hAnsi="Arial" w:cs="Arial"/>
          <w:bCs/>
          <w:kern w:val="0"/>
          <w:lang w:val="es-ES_tradnl" w:eastAsia="es-ES"/>
          <w14:ligatures w14:val="none"/>
        </w:rPr>
        <w:t xml:space="preserve">y </w:t>
      </w:r>
      <w:r w:rsidRPr="008E7F5C">
        <w:rPr>
          <w:rFonts w:ascii="Arial" w:eastAsia="Times New Roman" w:hAnsi="Arial" w:cs="Arial"/>
          <w:bCs/>
          <w:i/>
          <w:iCs/>
          <w:kern w:val="0"/>
          <w:lang w:val="es-ES_tradnl" w:eastAsia="es-ES"/>
          <w14:ligatures w14:val="none"/>
        </w:rPr>
        <w:t>(iii)</w:t>
      </w:r>
      <w:r w:rsidRPr="008E7F5C">
        <w:rPr>
          <w:rFonts w:ascii="Arial" w:eastAsia="Times New Roman" w:hAnsi="Arial" w:cs="Arial"/>
          <w:bCs/>
          <w:kern w:val="0"/>
          <w:lang w:val="es-ES_tradnl" w:eastAsia="es-ES"/>
          <w14:ligatures w14:val="none"/>
        </w:rPr>
        <w:t xml:space="preserve"> </w:t>
      </w:r>
      <w:r w:rsidRPr="008E7F5C">
        <w:rPr>
          <w:rFonts w:ascii="Arial" w:eastAsia="Times New Roman" w:hAnsi="Arial" w:cs="Arial"/>
          <w:bCs/>
          <w:kern w:val="0"/>
          <w:lang w:eastAsia="es-ES"/>
          <w14:ligatures w14:val="none"/>
        </w:rPr>
        <w:t>regula la acreditación de requisitos para participar en convocatorias limitadas (artículo 2.2.1.2.4.2.4.).</w:t>
      </w:r>
    </w:p>
    <w:p w14:paraId="2563701C" w14:textId="77777777" w:rsidR="008E7F5C" w:rsidRPr="008E7F5C" w:rsidRDefault="008E7F5C" w:rsidP="008E7F5C">
      <w:pPr>
        <w:spacing w:after="120" w:line="276" w:lineRule="auto"/>
        <w:ind w:firstLine="708"/>
        <w:jc w:val="both"/>
        <w:rPr>
          <w:rFonts w:ascii="Arial" w:eastAsia="Times New Roman" w:hAnsi="Arial" w:cs="Arial"/>
          <w:bCs/>
          <w:kern w:val="0"/>
          <w:lang w:val="es-ES_tradnl" w:eastAsia="es-ES"/>
          <w14:ligatures w14:val="none"/>
        </w:rPr>
      </w:pPr>
      <w:r w:rsidRPr="008E7F5C">
        <w:rPr>
          <w:rFonts w:ascii="Arial" w:eastAsia="Times New Roman" w:hAnsi="Arial" w:cs="Arial"/>
          <w:bCs/>
          <w:kern w:val="0"/>
          <w:lang w:val="es-ES_tradnl" w:eastAsia="es-ES"/>
          <w14:ligatures w14:val="none"/>
        </w:rPr>
        <w:t>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a Mipyme,</w:t>
      </w:r>
      <w:r w:rsidRPr="008E7F5C">
        <w:rPr>
          <w:rFonts w:ascii="Arial" w:eastAsia="Calibri" w:hAnsi="Arial" w:cs="Arial"/>
          <w:kern w:val="0"/>
          <w:lang w:val="es-ES_tradnl" w:eastAsia="es-CO"/>
          <w14:ligatures w14:val="none"/>
        </w:rPr>
        <w:t xml:space="preserve"> </w:t>
      </w:r>
      <w:r w:rsidRPr="008E7F5C">
        <w:rPr>
          <w:rFonts w:ascii="Arial" w:eastAsia="Times New Roman" w:hAnsi="Arial" w:cs="Arial"/>
          <w:bCs/>
          <w:kern w:val="0"/>
          <w:lang w:val="es-ES_tradnl" w:eastAsia="es-ES"/>
          <w14:ligatures w14:val="none"/>
        </w:rPr>
        <w:t xml:space="preserve">disposición que entró a regir desde el 24 de marzo de 2022, en tanto, como ya se puso de presente, </w:t>
      </w:r>
      <w:r w:rsidRPr="008E7F5C">
        <w:rPr>
          <w:rFonts w:ascii="Arial" w:eastAsia="Calibri" w:hAnsi="Arial" w:cs="Arial"/>
          <w:kern w:val="0"/>
          <w:lang w:val="es-ES_tradnl" w:eastAsia="es-CO"/>
          <w14:ligatures w14:val="none"/>
        </w:rPr>
        <w:t>el artículo 8 del citado decreto sometió su vigencia al transcurso del periodo de 3 meses siguientes a su expedición</w:t>
      </w:r>
      <w:bookmarkEnd w:id="35"/>
      <w:r w:rsidRPr="008E7F5C">
        <w:rPr>
          <w:rFonts w:ascii="Arial" w:eastAsia="Calibri" w:hAnsi="Arial" w:cs="Arial"/>
          <w:kern w:val="0"/>
          <w:lang w:val="es-ES_tradnl" w:eastAsia="es-CO"/>
          <w14:ligatures w14:val="none"/>
        </w:rPr>
        <w:t>.</w:t>
      </w:r>
    </w:p>
    <w:p w14:paraId="72D0A262" w14:textId="77777777" w:rsidR="008E7F5C" w:rsidRPr="008E7F5C" w:rsidRDefault="008E7F5C" w:rsidP="008E7F5C">
      <w:pPr>
        <w:spacing w:after="120" w:line="276" w:lineRule="auto"/>
        <w:ind w:firstLine="708"/>
        <w:jc w:val="both"/>
        <w:rPr>
          <w:rFonts w:ascii="Arial" w:eastAsia="Times New Roman" w:hAnsi="Arial" w:cs="Arial"/>
          <w:bCs/>
          <w:kern w:val="0"/>
          <w:lang w:val="es-ES_tradnl" w:eastAsia="es-ES"/>
          <w14:ligatures w14:val="none"/>
        </w:rPr>
      </w:pPr>
      <w:r w:rsidRPr="008E7F5C">
        <w:rPr>
          <w:rFonts w:ascii="Arial" w:eastAsia="Arial" w:hAnsi="Arial" w:cs="Arial"/>
          <w:color w:val="000000"/>
          <w:kern w:val="0"/>
          <w:lang w:eastAsia="es-CO"/>
          <w14:ligatures w14:val="none"/>
        </w:rPr>
        <w:t>En este contexto, el artículo 2.2.1.2.4.2.2. del Decreto 1082 de 2015 -modificado por el Decreto 1860 de 2021- establece los requisitos que se deben acreditar en las “convocatorias limitadas a Mipymes”.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allí señalados. Puntualmente, en dicho artículo se indica lo siguiente:</w:t>
      </w:r>
    </w:p>
    <w:p w14:paraId="48F27CFE"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p>
    <w:p w14:paraId="19B1EBA0"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59A91A50"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p>
    <w:p w14:paraId="476349F3" w14:textId="77777777" w:rsidR="008E7F5C" w:rsidRPr="008E7F5C" w:rsidRDefault="008E7F5C" w:rsidP="008E7F5C">
      <w:pPr>
        <w:spacing w:after="12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1. El valor del Proceso de Contratación sea menor a ciento veinticinco mil dólares de los Estados Unidos de América (US$125.000), liquidados con la tasa de cambio que para el efecto determina cada dos años el Ministerio de Comercio, Industria y Turismo.</w:t>
      </w:r>
    </w:p>
    <w:p w14:paraId="4718D5C7" w14:textId="77777777" w:rsidR="008E7F5C" w:rsidRPr="008E7F5C" w:rsidRDefault="008E7F5C" w:rsidP="008E7F5C">
      <w:pPr>
        <w:spacing w:after="12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lastRenderedPageBreak/>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1ECE1FB7"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Parágrafo. Las cooperativas y demás entidades de economía solidaria, siempre que tengan la calidad de Mipyme, podrán solicitar y participar en las convocatorias limitadas en las mismas condiciones dispuestas en el presente artículo”.</w:t>
      </w:r>
    </w:p>
    <w:p w14:paraId="64A382F3" w14:textId="77777777" w:rsidR="008E7F5C" w:rsidRPr="008E7F5C" w:rsidRDefault="008E7F5C" w:rsidP="008E7F5C">
      <w:pPr>
        <w:spacing w:after="0" w:line="276" w:lineRule="auto"/>
        <w:jc w:val="both"/>
        <w:rPr>
          <w:rFonts w:ascii="Arial" w:eastAsia="Arial" w:hAnsi="Arial" w:cs="Arial"/>
          <w:color w:val="000000"/>
          <w:kern w:val="0"/>
          <w:lang w:eastAsia="es-CO"/>
          <w14:ligatures w14:val="none"/>
        </w:rPr>
      </w:pPr>
    </w:p>
    <w:p w14:paraId="6FE38B73" w14:textId="77777777" w:rsidR="008E7F5C" w:rsidRPr="008E7F5C" w:rsidRDefault="008E7F5C" w:rsidP="008E7F5C">
      <w:pPr>
        <w:spacing w:after="0" w:line="276" w:lineRule="auto"/>
        <w:ind w:firstLine="709"/>
        <w:jc w:val="both"/>
        <w:rPr>
          <w:rFonts w:ascii="Arial" w:eastAsia="Arial" w:hAnsi="Arial" w:cs="Arial"/>
          <w:color w:val="000000"/>
          <w:kern w:val="0"/>
          <w:lang w:eastAsia="es-CO"/>
          <w14:ligatures w14:val="none"/>
        </w:rPr>
      </w:pPr>
      <w:r w:rsidRPr="008E7F5C">
        <w:rPr>
          <w:rFonts w:ascii="Arial" w:eastAsia="Arial" w:hAnsi="Arial" w:cs="Arial"/>
          <w:color w:val="000000"/>
          <w:kern w:val="0"/>
          <w:lang w:eastAsia="es-CO"/>
          <w14:ligatures w14:val="none"/>
        </w:rPr>
        <w:t>Como se puede apreciar, el numeral primero limita cuantitativamente los procesos contractuales en los que se puede hacer esa convocatoria limitada a Mipyme, en la medida en que el valor del proceso de contratación tendrá que ser “menor a ciento veinticinco mil dólares de los Estados Unidos de América”. Esta limitante, es de resaltar, es establecida de acuerdo con la tasa que, para el efecto, determine cada dos años el Ministerio de Comercio, Industria y Turismo</w:t>
      </w:r>
      <w:r w:rsidRPr="008E7F5C">
        <w:rPr>
          <w:rFonts w:ascii="Arial" w:eastAsia="Arial" w:hAnsi="Arial" w:cs="Arial"/>
          <w:color w:val="000000"/>
          <w:kern w:val="0"/>
          <w:vertAlign w:val="superscript"/>
          <w:lang w:eastAsia="es-CO"/>
          <w14:ligatures w14:val="none"/>
        </w:rPr>
        <w:footnoteReference w:id="13"/>
      </w:r>
      <w:r w:rsidRPr="008E7F5C">
        <w:rPr>
          <w:rFonts w:ascii="Arial" w:eastAsia="Arial" w:hAnsi="Arial" w:cs="Arial"/>
          <w:color w:val="000000"/>
          <w:kern w:val="0"/>
          <w:lang w:eastAsia="es-CO"/>
          <w14:ligatures w14:val="none"/>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w:t>
      </w:r>
      <w:r w:rsidRPr="008E7F5C">
        <w:rPr>
          <w:rFonts w:ascii="Arial" w:eastAsia="Arial" w:hAnsi="Arial" w:cs="Arial"/>
          <w:color w:val="000000"/>
          <w:kern w:val="0"/>
          <w:lang w:val="es-ES_tradnl" w:eastAsia="es-CO"/>
          <w14:ligatures w14:val="none"/>
        </w:rPr>
        <w:t>o el que haga sus veces de acuerdo con la normativa aplicable a cada Proceso de Contratación</w:t>
      </w:r>
      <w:r w:rsidRPr="008E7F5C">
        <w:rPr>
          <w:rFonts w:ascii="Arial" w:eastAsia="Arial" w:hAnsi="Arial" w:cs="Arial"/>
          <w:color w:val="000000"/>
          <w:kern w:val="0"/>
          <w:lang w:eastAsia="es-CO"/>
          <w14:ligatures w14:val="none"/>
        </w:rPr>
        <w:t xml:space="preserve">. Inclusive, la norma señala que, </w:t>
      </w:r>
      <w:r w:rsidRPr="008E7F5C">
        <w:rPr>
          <w:rFonts w:ascii="Arial" w:eastAsia="Arial" w:hAnsi="Arial" w:cs="Arial"/>
          <w:color w:val="000000"/>
          <w:kern w:val="0"/>
          <w:lang w:val="es-ES_tradnl" w:eastAsia="es-CO"/>
          <w14:ligatures w14:val="none"/>
        </w:rPr>
        <w:t>tratándose de personas jurídicas, las solicitudes solo las podrán realizar Mipyme,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 siempre que estas cumplan con las condiciones señaladas en el artículo.</w:t>
      </w:r>
    </w:p>
    <w:p w14:paraId="0769BF8E" w14:textId="77777777" w:rsidR="008E7F5C" w:rsidRPr="008E7F5C" w:rsidRDefault="008E7F5C" w:rsidP="008E7F5C">
      <w:pPr>
        <w:spacing w:after="0" w:line="276" w:lineRule="auto"/>
        <w:jc w:val="both"/>
        <w:rPr>
          <w:rFonts w:ascii="Arial" w:eastAsia="Arial" w:hAnsi="Arial" w:cs="Arial"/>
          <w:color w:val="000000"/>
          <w:kern w:val="0"/>
          <w:lang w:eastAsia="es-CO"/>
          <w14:ligatures w14:val="none"/>
        </w:rPr>
      </w:pPr>
    </w:p>
    <w:p w14:paraId="7EE658F7" w14:textId="77777777" w:rsidR="008E7F5C" w:rsidRPr="008E7F5C" w:rsidRDefault="008E7F5C" w:rsidP="008E7F5C">
      <w:pPr>
        <w:spacing w:after="0" w:line="276" w:lineRule="auto"/>
        <w:ind w:firstLine="709"/>
        <w:jc w:val="both"/>
        <w:rPr>
          <w:rFonts w:ascii="Arial" w:eastAsia="Times New Roman" w:hAnsi="Arial" w:cs="Arial"/>
          <w:kern w:val="0"/>
          <w:szCs w:val="24"/>
          <w:lang w:val="es-ES" w:eastAsia="es-MX"/>
          <w14:ligatures w14:val="none"/>
        </w:rPr>
      </w:pPr>
      <w:r w:rsidRPr="008E7F5C">
        <w:rPr>
          <w:rFonts w:ascii="Arial" w:eastAsia="Arial" w:hAnsi="Arial" w:cs="Arial"/>
          <w:color w:val="000000"/>
          <w:kern w:val="0"/>
          <w:lang w:val="es-ES_tradnl" w:eastAsia="es-CO"/>
          <w14:ligatures w14:val="none"/>
        </w:rPr>
        <w:t>Así las cosas,</w:t>
      </w:r>
      <w:r w:rsidRPr="008E7F5C">
        <w:rPr>
          <w:rFonts w:ascii="Arial" w:eastAsia="Times New Roman" w:hAnsi="Arial" w:cs="Arial"/>
          <w:kern w:val="0"/>
          <w:szCs w:val="24"/>
          <w:lang w:val="es-ES" w:eastAsia="es-MX"/>
          <w14:ligatures w14:val="none"/>
        </w:rPr>
        <w:t xml:space="preserve"> desde el 24 de marzo de 2022 se encuentran vigentes las disposiciones del Decreto 1860 de 2021, por lo que las entidades, independientemente de su régimen de contratación, los patrimonios autónomos constituidos por entidades estatales </w:t>
      </w:r>
      <w:r w:rsidRPr="008E7F5C">
        <w:rPr>
          <w:rFonts w:ascii="Arial" w:eastAsia="Times New Roman" w:hAnsi="Arial" w:cs="Arial"/>
          <w:kern w:val="0"/>
          <w:szCs w:val="24"/>
          <w:lang w:val="es-ES" w:eastAsia="es-MX"/>
          <w14:ligatures w14:val="none"/>
        </w:rPr>
        <w:lastRenderedPageBreak/>
        <w:t>y los particulares que ejecuten recursos públicos, deben limitar la convocatoria de los procesos de contratación con pluralidad de oferentes a las Mipyme colombianas con mínimo un (1) año de existencia, cuando se cumplan los requisitos previstos en el artículo 2.2.1.2.4.2.2 del Decreto 1082 de 2015 anteriormente señalado.</w:t>
      </w:r>
    </w:p>
    <w:p w14:paraId="65EFE647" w14:textId="77777777" w:rsidR="008E7F5C" w:rsidRPr="008E7F5C" w:rsidRDefault="008E7F5C" w:rsidP="008E7F5C">
      <w:pPr>
        <w:spacing w:after="0" w:line="276" w:lineRule="auto"/>
        <w:jc w:val="both"/>
        <w:rPr>
          <w:rFonts w:ascii="Arial" w:eastAsia="Calibri" w:hAnsi="Arial" w:cs="Arial"/>
          <w:iCs/>
          <w:kern w:val="0"/>
          <w14:ligatures w14:val="none"/>
        </w:rPr>
      </w:pPr>
    </w:p>
    <w:p w14:paraId="3F621705" w14:textId="77777777" w:rsidR="008E7F5C" w:rsidRPr="008E7F5C" w:rsidRDefault="008E7F5C" w:rsidP="008E7F5C">
      <w:pPr>
        <w:spacing w:after="120" w:line="276" w:lineRule="auto"/>
        <w:jc w:val="both"/>
        <w:rPr>
          <w:rFonts w:ascii="Arial" w:eastAsia="Calibri" w:hAnsi="Arial" w:cs="Arial"/>
          <w:color w:val="000000"/>
          <w:kern w:val="0"/>
          <w:szCs w:val="24"/>
          <w:lang w:val="es-ES_tradnl" w:eastAsia="es-ES_tradnl"/>
          <w14:ligatures w14:val="none"/>
        </w:rPr>
      </w:pPr>
      <w:r w:rsidRPr="008E7F5C">
        <w:rPr>
          <w:rFonts w:ascii="Arial" w:eastAsia="Calibri" w:hAnsi="Arial" w:cs="Arial"/>
          <w:b/>
          <w:bCs/>
          <w:iCs/>
          <w:kern w:val="0"/>
          <w14:ligatures w14:val="none"/>
        </w:rPr>
        <w:t>2.3.</w:t>
      </w:r>
      <w:r w:rsidRPr="008E7F5C">
        <w:rPr>
          <w:rFonts w:ascii="Arial" w:eastAsia="Calibri" w:hAnsi="Arial" w:cs="Arial"/>
          <w:b/>
          <w:bCs/>
          <w:iCs/>
          <w:kern w:val="0"/>
          <w14:ligatures w14:val="none"/>
        </w:rPr>
        <w:tab/>
      </w:r>
      <w:bookmarkStart w:id="36" w:name="_Hlk140044387"/>
      <w:r w:rsidRPr="008E7F5C">
        <w:rPr>
          <w:rFonts w:ascii="Arial" w:eastAsia="Calibri" w:hAnsi="Arial" w:cs="Arial"/>
          <w:b/>
          <w:bCs/>
          <w:iCs/>
          <w:kern w:val="0"/>
          <w14:ligatures w14:val="none"/>
        </w:rPr>
        <w:t>Alcance del artículo 2.2.1.2.4.2.16. del Decreto 1860 de 2021. Fomento a la ejecución de contratos estatales por parte de población en pobreza extrema, desplazados por la violencia, personas en proceso de reintegración o reincorporación y sujetos de especial protección constitucional</w:t>
      </w:r>
    </w:p>
    <w:p w14:paraId="311A03DE" w14:textId="77777777" w:rsidR="008E7F5C" w:rsidRPr="008E7F5C" w:rsidRDefault="008E7F5C" w:rsidP="008E7F5C">
      <w:pPr>
        <w:spacing w:after="0" w:line="276" w:lineRule="auto"/>
        <w:jc w:val="both"/>
        <w:rPr>
          <w:rFonts w:ascii="Arial" w:eastAsia="Times New Roman" w:hAnsi="Arial" w:cs="Arial"/>
          <w:kern w:val="0"/>
          <w:szCs w:val="24"/>
          <w:lang w:val="es-ES" w:eastAsia="es-MX"/>
          <w14:ligatures w14:val="none"/>
        </w:rPr>
      </w:pPr>
      <w:bookmarkStart w:id="37" w:name="_Hlk140044483"/>
      <w:bookmarkEnd w:id="36"/>
      <w:r w:rsidRPr="008E7F5C">
        <w:rPr>
          <w:rFonts w:ascii="Arial" w:eastAsia="Times New Roman" w:hAnsi="Arial" w:cs="Arial"/>
          <w:bCs/>
          <w:kern w:val="0"/>
          <w:szCs w:val="24"/>
          <w:lang w:val="es-ES_tradnl" w:eastAsia="es-MX"/>
          <w14:ligatures w14:val="none"/>
        </w:rPr>
        <w:t xml:space="preserve">El artículo 3 del Decreto 1860 de 2021 que adicionó el artículo </w:t>
      </w:r>
      <w:r w:rsidRPr="008E7F5C">
        <w:rPr>
          <w:rFonts w:ascii="Arial" w:eastAsia="Times New Roman" w:hAnsi="Arial" w:cs="Arial"/>
          <w:kern w:val="0"/>
          <w:szCs w:val="24"/>
          <w:lang w:eastAsia="es-MX"/>
          <w14:ligatures w14:val="none"/>
        </w:rPr>
        <w:t>2.2.1.2.4.2.16. al Decreto 1082 de 2021, regula el fomento a la ejecución de contratos estatales por parte de población en pobreza extrema, desplazados por la violencia, personas en proceso de reintegración o reincorporación y sujetos de especial protección constitucional. La norma en cita dispone:</w:t>
      </w:r>
    </w:p>
    <w:p w14:paraId="4E132873" w14:textId="77777777" w:rsidR="008E7F5C" w:rsidRPr="008E7F5C" w:rsidRDefault="008E7F5C" w:rsidP="008E7F5C">
      <w:pPr>
        <w:spacing w:after="0" w:line="276" w:lineRule="auto"/>
        <w:jc w:val="both"/>
        <w:rPr>
          <w:rFonts w:ascii="Arial" w:eastAsia="Times New Roman" w:hAnsi="Arial" w:cs="Arial"/>
          <w:kern w:val="0"/>
          <w:szCs w:val="24"/>
          <w:lang w:eastAsia="es-MX"/>
          <w14:ligatures w14:val="none"/>
        </w:rPr>
      </w:pPr>
    </w:p>
    <w:p w14:paraId="5003A496"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“ARTÍCULO 2.2.1.2.4.2.16. Fomento a la ejecución de contratos estatales por parte de población en pobreza extrema, desplazados por la violencia, personas en proceso de reintegración o reincorporación y sujetos de especial protección constitucional. En los Procesos de Contratación, las Entidades Estatales indistintamente de su régimen de contratación, los patrimonios autónomos constituidos por Entidades Estatales y los particulares que ejecuten recursos públicos fomentarán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14:paraId="36CDDC0B"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p>
    <w:p w14:paraId="127F6BC3"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La participación de los sujetos anteriormente mencionados en la ejecución del contrato se fomentará previo análisis de su oportunidad y conveniencia en los Documentos del Proceso, teniendo en cuenta el objeto contractual y el alcance de las obligaciones.</w:t>
      </w:r>
    </w:p>
    <w:p w14:paraId="3D55E28B"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p>
    <w:p w14:paraId="22E0CC02"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Esta provisión se establecerá en un porcentaje que no será superior al diez por ciento (10%) ni inferior al cinco por ciento (5%) de los bienes o servicios requeridos para la ejecución del contrato, de manera que no se ponga en riesgo su cumplimiento adecuado.</w:t>
      </w:r>
    </w:p>
    <w:p w14:paraId="24FF3694"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p>
    <w:p w14:paraId="6DDD9B0A"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Previo análisis de oportunidad y conveniencia, la Entidad Estatal incorporará esta obligación en la minuta del contrato del pliego de condiciones o documento equivalente, precisando las sanciones pecuniarias producto del incumplimiento injustificado de esta a través de las causales de multa que estime pertinentes.</w:t>
      </w:r>
    </w:p>
    <w:p w14:paraId="6991AF37"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p>
    <w:p w14:paraId="14FBB011"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lastRenderedPageBreak/>
        <w:t>El supervisor o el interventor, según el caso, realizará el seguimiento y verificará que las personas vinculadas al inicio y durante la ejecución del contrato pertenezcan a los grupos poblacionales enunciados anteriormente.</w:t>
      </w:r>
    </w:p>
    <w:p w14:paraId="169E42E9"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p>
    <w:p w14:paraId="5079AA1A"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PARÁGRAFO 1. Para los efectos previstos en el presente artículo, los sujetos de especial protección constitucional 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Rrom o gitanas.</w:t>
      </w:r>
    </w:p>
    <w:p w14:paraId="667F8FE5"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p>
    <w:p w14:paraId="46C025F9"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w:t>
      </w:r>
    </w:p>
    <w:p w14:paraId="547D9CDE"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p>
    <w:p w14:paraId="71F7E190" w14:textId="77777777" w:rsidR="008E7F5C" w:rsidRPr="008E7F5C" w:rsidRDefault="008E7F5C" w:rsidP="008E7F5C">
      <w:pPr>
        <w:spacing w:after="0" w:line="240" w:lineRule="auto"/>
        <w:ind w:left="709" w:right="709"/>
        <w:jc w:val="both"/>
        <w:rPr>
          <w:rFonts w:ascii="Arial" w:eastAsia="Calibri" w:hAnsi="Arial" w:cs="Arial"/>
          <w:kern w:val="0"/>
          <w:sz w:val="21"/>
          <w:szCs w:val="21"/>
          <w:lang w:val="es-ES_tradnl" w:eastAsia="es-CO"/>
          <w14:ligatures w14:val="none"/>
        </w:rPr>
      </w:pPr>
      <w:r w:rsidRPr="008E7F5C">
        <w:rPr>
          <w:rFonts w:ascii="Arial" w:eastAsia="Calibri" w:hAnsi="Arial" w:cs="Arial"/>
          <w:kern w:val="0"/>
          <w:sz w:val="21"/>
          <w:szCs w:val="21"/>
          <w:lang w:val="es-ES_tradnl" w:eastAsia="es-CO"/>
          <w14:ligatures w14:val="none"/>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p>
    <w:p w14:paraId="4D954740" w14:textId="77777777" w:rsidR="008E7F5C" w:rsidRPr="008E7F5C" w:rsidRDefault="008E7F5C" w:rsidP="008E7F5C">
      <w:pPr>
        <w:spacing w:after="0" w:line="276" w:lineRule="auto"/>
        <w:ind w:firstLine="709"/>
        <w:jc w:val="both"/>
        <w:rPr>
          <w:rFonts w:ascii="Arial" w:eastAsia="Times New Roman" w:hAnsi="Arial" w:cs="Arial"/>
          <w:kern w:val="0"/>
          <w:szCs w:val="24"/>
          <w:lang w:eastAsia="es-MX"/>
          <w14:ligatures w14:val="none"/>
        </w:rPr>
      </w:pPr>
    </w:p>
    <w:p w14:paraId="72DB387D" w14:textId="77777777" w:rsidR="008E7F5C" w:rsidRPr="008E7F5C" w:rsidRDefault="008E7F5C" w:rsidP="008E7F5C">
      <w:pPr>
        <w:spacing w:after="0" w:line="276" w:lineRule="auto"/>
        <w:ind w:firstLine="709"/>
        <w:jc w:val="both"/>
        <w:rPr>
          <w:rFonts w:ascii="Arial" w:eastAsia="Times New Roman" w:hAnsi="Arial" w:cs="Arial"/>
          <w:kern w:val="0"/>
          <w:szCs w:val="24"/>
          <w:lang w:eastAsia="es-MX"/>
          <w14:ligatures w14:val="none"/>
        </w:rPr>
      </w:pPr>
      <w:r w:rsidRPr="008E7F5C">
        <w:rPr>
          <w:rFonts w:ascii="Arial" w:eastAsia="Times New Roman" w:hAnsi="Arial" w:cs="Arial"/>
          <w:kern w:val="0"/>
          <w:szCs w:val="24"/>
          <w:lang w:eastAsia="es-MX"/>
          <w14:ligatures w14:val="none"/>
        </w:rPr>
        <w:t>De conformidad con lo anterior, se establece un mandato dirigido a las entidades estatales indistintamente de su régimen de contratación, los patrimonios autónomos constituidos por entidades estatales y los particulares que ejecuten recursos públicos, para que en sus procesos de contratación fomenten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Es así como tal disposición deberá aplicarse tanto por las entidades que se encuentran sometidas al Estatuto General de Contratación de la Administración Pública -EGCAP- como por aquellas entidades que cuentan con un régimen exceptuado de contratación, sin dejar de lado a los patrimonios autónomos constituidos por entidades estatales y a los particulares que ejecuten recursos públicos.</w:t>
      </w:r>
    </w:p>
    <w:p w14:paraId="5F13163C" w14:textId="77777777" w:rsidR="008E7F5C" w:rsidRPr="008E7F5C" w:rsidRDefault="008E7F5C" w:rsidP="008E7F5C">
      <w:pPr>
        <w:spacing w:after="0" w:line="276" w:lineRule="auto"/>
        <w:ind w:firstLine="709"/>
        <w:jc w:val="both"/>
        <w:rPr>
          <w:rFonts w:ascii="Arial" w:eastAsia="Times New Roman" w:hAnsi="Arial" w:cs="Arial"/>
          <w:kern w:val="0"/>
          <w:szCs w:val="24"/>
          <w:lang w:eastAsia="es-MX"/>
          <w14:ligatures w14:val="none"/>
        </w:rPr>
      </w:pPr>
    </w:p>
    <w:bookmarkEnd w:id="37"/>
    <w:p w14:paraId="7A48DB54" w14:textId="77777777" w:rsidR="008E7F5C" w:rsidRPr="008E7F5C" w:rsidRDefault="008E7F5C" w:rsidP="008E7F5C">
      <w:pPr>
        <w:spacing w:after="0" w:line="276" w:lineRule="auto"/>
        <w:ind w:firstLine="709"/>
        <w:jc w:val="both"/>
        <w:rPr>
          <w:rFonts w:ascii="Arial" w:eastAsia="Times New Roman" w:hAnsi="Arial" w:cs="Arial"/>
          <w:kern w:val="0"/>
          <w:szCs w:val="24"/>
          <w:lang w:eastAsia="es-MX"/>
          <w14:ligatures w14:val="none"/>
        </w:rPr>
      </w:pPr>
      <w:r w:rsidRPr="008E7F5C">
        <w:rPr>
          <w:rFonts w:ascii="Arial" w:eastAsia="Times New Roman" w:hAnsi="Arial" w:cs="Arial"/>
          <w:kern w:val="0"/>
          <w:szCs w:val="24"/>
          <w:lang w:eastAsia="es-MX"/>
          <w14:ligatures w14:val="none"/>
        </w:rPr>
        <w:lastRenderedPageBreak/>
        <w:t>Sobre este particular, cabe señalar que en la respectiva memoria justificativa del proyecto que se convirtió en el Decreto 1860 de 2021 se indica que</w:t>
      </w:r>
      <w:r w:rsidRPr="008E7F5C">
        <w:rPr>
          <w:rFonts w:ascii="Times New Roman" w:eastAsia="Times New Roman" w:hAnsi="Times New Roman" w:cs="Times New Roman"/>
          <w:kern w:val="0"/>
          <w:sz w:val="24"/>
          <w:szCs w:val="24"/>
          <w:lang w:eastAsia="es-CO"/>
          <w14:ligatures w14:val="none"/>
        </w:rPr>
        <w:t xml:space="preserve"> </w:t>
      </w:r>
      <w:r w:rsidRPr="008E7F5C">
        <w:rPr>
          <w:rFonts w:ascii="Arial" w:eastAsia="Times New Roman" w:hAnsi="Arial" w:cs="Arial"/>
          <w:kern w:val="0"/>
          <w:szCs w:val="24"/>
          <w:lang w:eastAsia="es-MX"/>
          <w14:ligatures w14:val="none"/>
        </w:rPr>
        <w:t xml:space="preserve">con este mecanismo </w:t>
      </w:r>
      <w:r w:rsidRPr="008E7F5C">
        <w:rPr>
          <w:rFonts w:ascii="Arial" w:eastAsia="Arial" w:hAnsi="Arial" w:cs="Arial"/>
          <w:color w:val="000000"/>
          <w:kern w:val="0"/>
          <w:lang w:eastAsia="es-CO"/>
          <w14:ligatures w14:val="none"/>
        </w:rPr>
        <w:t xml:space="preserve">“(…) </w:t>
      </w:r>
      <w:r w:rsidRPr="008E7F5C">
        <w:rPr>
          <w:rFonts w:ascii="Arial" w:eastAsia="Times New Roman" w:hAnsi="Arial" w:cs="Arial"/>
          <w:kern w:val="0"/>
          <w:szCs w:val="24"/>
          <w:lang w:eastAsia="es-MX"/>
          <w14:ligatures w14:val="none"/>
        </w:rPr>
        <w:t>se incentiva la provisión de bienes y servicios por parte de sujetos de especial protección constitucional, utilizando los contratos estatales y todos aquellos celebrados con cargo a recursos públicos, como un medio para llevar a cabo tal fin, lo cual se interpreta como una medida de acción afirmativa o un incentivo contractual</w:t>
      </w:r>
      <w:r w:rsidRPr="008E7F5C">
        <w:rPr>
          <w:rFonts w:ascii="Arial" w:eastAsia="Arial" w:hAnsi="Arial" w:cs="Arial"/>
          <w:color w:val="000000"/>
          <w:kern w:val="0"/>
          <w:lang w:eastAsia="es-CO"/>
          <w14:ligatures w14:val="none"/>
        </w:rPr>
        <w:t>”</w:t>
      </w:r>
      <w:r w:rsidRPr="008E7F5C">
        <w:rPr>
          <w:rFonts w:ascii="Arial" w:eastAsia="Arial" w:hAnsi="Arial" w:cs="Arial"/>
          <w:color w:val="000000"/>
          <w:kern w:val="0"/>
          <w:vertAlign w:val="superscript"/>
          <w:lang w:eastAsia="es-CO"/>
          <w14:ligatures w14:val="none"/>
        </w:rPr>
        <w:footnoteReference w:id="14"/>
      </w:r>
      <w:r w:rsidRPr="008E7F5C">
        <w:rPr>
          <w:rFonts w:ascii="Arial" w:eastAsia="Times New Roman" w:hAnsi="Arial" w:cs="Arial"/>
          <w:kern w:val="0"/>
          <w:szCs w:val="24"/>
          <w:lang w:eastAsia="es-MX"/>
          <w14:ligatures w14:val="none"/>
        </w:rPr>
        <w:t xml:space="preserve">. En todo caso, también se apunta que este parámetro </w:t>
      </w:r>
      <w:r w:rsidRPr="008E7F5C">
        <w:rPr>
          <w:rFonts w:ascii="Arial" w:eastAsia="Arial" w:hAnsi="Arial" w:cs="Arial"/>
          <w:color w:val="000000"/>
          <w:kern w:val="0"/>
          <w:lang w:eastAsia="es-CO"/>
          <w14:ligatures w14:val="none"/>
        </w:rPr>
        <w:t xml:space="preserve">“(…) </w:t>
      </w:r>
      <w:r w:rsidRPr="008E7F5C">
        <w:rPr>
          <w:rFonts w:ascii="Arial" w:eastAsia="Times New Roman" w:hAnsi="Arial" w:cs="Arial"/>
          <w:kern w:val="0"/>
          <w:szCs w:val="24"/>
          <w:lang w:eastAsia="es-MX"/>
          <w14:ligatures w14:val="none"/>
        </w:rPr>
        <w:t>debe asegurar de alguna manera que el mecanismo implementado no atente contra el cabal cumplimiento del contrato, de tal manera que el acatamiento del reglamento no devenga en el incumplimiento del contrato, ni la desmejora de la calidad requerida</w:t>
      </w:r>
      <w:r w:rsidRPr="008E7F5C">
        <w:rPr>
          <w:rFonts w:ascii="Arial" w:eastAsia="Arial" w:hAnsi="Arial" w:cs="Arial"/>
          <w:color w:val="000000"/>
          <w:kern w:val="0"/>
          <w:lang w:eastAsia="es-CO"/>
          <w14:ligatures w14:val="none"/>
        </w:rPr>
        <w:t>”</w:t>
      </w:r>
      <w:r w:rsidRPr="008E7F5C">
        <w:rPr>
          <w:rFonts w:ascii="Arial" w:eastAsia="Times New Roman" w:hAnsi="Arial" w:cs="Arial"/>
          <w:kern w:val="0"/>
          <w:szCs w:val="24"/>
          <w:lang w:eastAsia="es-MX"/>
          <w14:ligatures w14:val="none"/>
        </w:rPr>
        <w:t>.</w:t>
      </w:r>
    </w:p>
    <w:p w14:paraId="5813160F" w14:textId="77777777" w:rsidR="008E7F5C" w:rsidRPr="008E7F5C" w:rsidRDefault="008E7F5C" w:rsidP="008E7F5C">
      <w:pPr>
        <w:spacing w:before="120" w:after="0" w:line="276" w:lineRule="auto"/>
        <w:ind w:firstLine="709"/>
        <w:jc w:val="both"/>
        <w:rPr>
          <w:rFonts w:ascii="Arial" w:eastAsia="Times New Roman" w:hAnsi="Arial" w:cs="Arial"/>
          <w:kern w:val="0"/>
          <w:szCs w:val="24"/>
          <w:lang w:eastAsia="es-MX"/>
          <w14:ligatures w14:val="none"/>
        </w:rPr>
      </w:pPr>
      <w:bookmarkStart w:id="38" w:name="_Hlk140044618"/>
      <w:r w:rsidRPr="008E7F5C">
        <w:rPr>
          <w:rFonts w:ascii="Arial" w:eastAsia="Times New Roman" w:hAnsi="Arial" w:cs="Arial"/>
          <w:kern w:val="0"/>
          <w:szCs w:val="24"/>
          <w:lang w:eastAsia="es-MX"/>
          <w14:ligatures w14:val="none"/>
        </w:rPr>
        <w:t xml:space="preserve">Para tales efectos, la norma establece unos límites dentro del cual la entidad estatal fijará en el pliego de condiciones o documento equivalente un porcentaje que debe cumplir el contratista para garantizar la provisión de bienes y servicios por parte de los sujetos mencionados. Específicamente, se establece un porcentaje que </w:t>
      </w:r>
      <w:r w:rsidRPr="008E7F5C">
        <w:rPr>
          <w:rFonts w:ascii="Arial" w:eastAsia="Arial" w:hAnsi="Arial" w:cs="Arial"/>
          <w:color w:val="000000"/>
          <w:kern w:val="0"/>
          <w:lang w:eastAsia="es-CO"/>
          <w14:ligatures w14:val="none"/>
        </w:rPr>
        <w:t>“</w:t>
      </w:r>
      <w:r w:rsidRPr="008E7F5C">
        <w:rPr>
          <w:rFonts w:ascii="Arial" w:eastAsia="Times New Roman" w:hAnsi="Arial" w:cs="Arial"/>
          <w:kern w:val="0"/>
          <w:szCs w:val="24"/>
          <w:lang w:eastAsia="es-MX"/>
          <w14:ligatures w14:val="none"/>
        </w:rPr>
        <w:t>no será superior al diez por ciento (10%) ni inferior al cinco por ciento (5%) de los bienes o servicios requeridos para la ejecución del contrato, de manera que no se ponga en riesgo su cumplimiento adecuado</w:t>
      </w:r>
      <w:r w:rsidRPr="008E7F5C">
        <w:rPr>
          <w:rFonts w:ascii="Arial" w:eastAsia="Arial" w:hAnsi="Arial" w:cs="Arial"/>
          <w:color w:val="000000"/>
          <w:kern w:val="0"/>
          <w:lang w:eastAsia="es-CO"/>
          <w14:ligatures w14:val="none"/>
        </w:rPr>
        <w:t>”.</w:t>
      </w:r>
      <w:r w:rsidRPr="008E7F5C">
        <w:rPr>
          <w:rFonts w:ascii="Arial" w:eastAsia="Times New Roman" w:hAnsi="Arial" w:cs="Arial"/>
          <w:kern w:val="0"/>
          <w:szCs w:val="24"/>
          <w:lang w:eastAsia="es-MX"/>
          <w14:ligatures w14:val="none"/>
        </w:rPr>
        <w:t xml:space="preserve"> Esto quiere decir, en últimas, que la entidad determinará el porcentaje respectivo siempre que no supere los límites previamente referidos. Además, la entidad incorporará esta obligación en la minuta del contrato del pliego de condiciones o documento equivalente, precisando las sanciones pecuniarias producto del incumplimiento injustificado de esta mediante las causales de multa que estime pertinentes.</w:t>
      </w:r>
      <w:bookmarkEnd w:id="38"/>
    </w:p>
    <w:p w14:paraId="6F4210B1" w14:textId="77777777" w:rsidR="008E7F5C" w:rsidRPr="008E7F5C" w:rsidRDefault="008E7F5C" w:rsidP="008E7F5C">
      <w:pPr>
        <w:spacing w:before="120" w:after="0" w:line="276" w:lineRule="auto"/>
        <w:ind w:firstLine="709"/>
        <w:jc w:val="both"/>
        <w:rPr>
          <w:rFonts w:ascii="Arial" w:eastAsia="Times New Roman" w:hAnsi="Arial" w:cs="Arial"/>
          <w:kern w:val="0"/>
          <w:szCs w:val="24"/>
          <w:lang w:eastAsia="es-MX"/>
          <w14:ligatures w14:val="none"/>
        </w:rPr>
      </w:pPr>
    </w:p>
    <w:p w14:paraId="54874EEF" w14:textId="77777777" w:rsidR="008E7F5C" w:rsidRPr="008E7F5C" w:rsidRDefault="008E7F5C" w:rsidP="008E7F5C">
      <w:pPr>
        <w:spacing w:before="120" w:after="0" w:line="276" w:lineRule="auto"/>
        <w:ind w:firstLine="709"/>
        <w:jc w:val="both"/>
        <w:rPr>
          <w:rFonts w:ascii="Arial" w:eastAsia="Times New Roman" w:hAnsi="Arial" w:cs="Arial"/>
          <w:kern w:val="0"/>
          <w:szCs w:val="24"/>
          <w:lang w:eastAsia="es-MX"/>
          <w14:ligatures w14:val="none"/>
        </w:rPr>
      </w:pPr>
      <w:r w:rsidRPr="008E7F5C">
        <w:rPr>
          <w:rFonts w:ascii="Arial" w:eastAsia="Times New Roman" w:hAnsi="Arial" w:cs="Arial"/>
          <w:kern w:val="0"/>
          <w:szCs w:val="24"/>
          <w:lang w:eastAsia="es-MX"/>
          <w14:ligatures w14:val="none"/>
        </w:rPr>
        <w:t>Sin embargo, debe precisarse que</w:t>
      </w:r>
      <w:r w:rsidRPr="008E7F5C">
        <w:rPr>
          <w:rFonts w:ascii="Arial" w:eastAsia="Calibri" w:hAnsi="Arial" w:cs="Arial"/>
          <w:kern w:val="0"/>
          <w:sz w:val="21"/>
          <w:szCs w:val="21"/>
          <w:lang w:val="es-ES_tradnl" w:eastAsia="es-CO"/>
          <w14:ligatures w14:val="none"/>
        </w:rPr>
        <w:t xml:space="preserve"> </w:t>
      </w:r>
      <w:r w:rsidRPr="008E7F5C">
        <w:rPr>
          <w:rFonts w:ascii="Arial" w:eastAsia="Times New Roman" w:hAnsi="Arial" w:cs="Arial"/>
          <w:kern w:val="0"/>
          <w:szCs w:val="24"/>
          <w:lang w:val="es-ES_tradnl" w:eastAsia="es-MX"/>
          <w14:ligatures w14:val="none"/>
        </w:rPr>
        <w:t xml:space="preserve">la participación de los sujetos anteriormente mencionados en la ejecución del contrato y la incorporación de esta obligación en la minuta del contrato del pliego de condiciones se realizará previo análisis de oportunidad y conveniencia en los documentos del proceso, teniendo en cuenta el objeto contractual y el alcance de las obligaciones. </w:t>
      </w:r>
      <w:r w:rsidRPr="008E7F5C">
        <w:rPr>
          <w:rFonts w:ascii="Arial" w:eastAsia="Times New Roman" w:hAnsi="Arial" w:cs="Arial"/>
          <w:kern w:val="0"/>
          <w:szCs w:val="24"/>
          <w:lang w:eastAsia="es-MX"/>
          <w14:ligatures w14:val="none"/>
        </w:rPr>
        <w:t xml:space="preserve">Así las cosas, en los procesos de contratación la entidad deberá determinar el porcentaje que se incluirá para la provisión de bienes y servicios por parte de los sujetos mencionados en </w:t>
      </w:r>
      <w:r w:rsidRPr="008E7F5C">
        <w:rPr>
          <w:rFonts w:ascii="Arial" w:eastAsia="Times New Roman" w:hAnsi="Arial" w:cs="Arial"/>
          <w:bCs/>
          <w:kern w:val="0"/>
          <w:szCs w:val="24"/>
          <w:lang w:val="es-ES_tradnl" w:eastAsia="es-MX"/>
          <w14:ligatures w14:val="none"/>
        </w:rPr>
        <w:t xml:space="preserve">el artículo </w:t>
      </w:r>
      <w:r w:rsidRPr="008E7F5C">
        <w:rPr>
          <w:rFonts w:ascii="Arial" w:eastAsia="Times New Roman" w:hAnsi="Arial" w:cs="Arial"/>
          <w:kern w:val="0"/>
          <w:szCs w:val="24"/>
          <w:lang w:eastAsia="es-MX"/>
          <w14:ligatures w14:val="none"/>
        </w:rPr>
        <w:t>2.2.1.2.4.2.16. del Decreto 1082 de 2021, el cual no podrá ser superior al diez por ciento (10%) ni inferior al cinco por ciento (5%) de los bienes o servicios requeridos para la ejecución del contrato.</w:t>
      </w:r>
    </w:p>
    <w:p w14:paraId="65EC11BF" w14:textId="77777777" w:rsidR="008E7F5C" w:rsidRPr="008E7F5C" w:rsidRDefault="008E7F5C" w:rsidP="008E7F5C">
      <w:pPr>
        <w:spacing w:before="120" w:after="0" w:line="276" w:lineRule="auto"/>
        <w:ind w:firstLine="709"/>
        <w:jc w:val="both"/>
        <w:rPr>
          <w:rFonts w:ascii="Arial" w:eastAsia="Times New Roman" w:hAnsi="Arial" w:cs="Arial"/>
          <w:kern w:val="0"/>
          <w:szCs w:val="24"/>
          <w:lang w:eastAsia="es-MX"/>
          <w14:ligatures w14:val="none"/>
        </w:rPr>
      </w:pPr>
      <w:r w:rsidRPr="008E7F5C">
        <w:rPr>
          <w:rFonts w:ascii="Arial" w:eastAsia="Times New Roman" w:hAnsi="Arial" w:cs="Arial"/>
          <w:kern w:val="0"/>
          <w:szCs w:val="24"/>
          <w:lang w:eastAsia="es-MX"/>
          <w14:ligatures w14:val="none"/>
        </w:rPr>
        <w:t xml:space="preserve">Por su parte, tratándose de documentos tipo, el parágrafo 2 del artículo 2.2.1.2.4.2.16. del Decreto 1082 de 2015 señala que la Agencia Nacional de Contratación </w:t>
      </w:r>
      <w:r w:rsidRPr="008E7F5C">
        <w:rPr>
          <w:rFonts w:ascii="Arial" w:eastAsia="Times New Roman" w:hAnsi="Arial" w:cs="Arial"/>
          <w:kern w:val="0"/>
          <w:szCs w:val="24"/>
          <w:lang w:eastAsia="es-MX"/>
          <w14:ligatures w14:val="none"/>
        </w:rPr>
        <w:lastRenderedPageBreak/>
        <w:t>Pública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p>
    <w:p w14:paraId="2C71ADF2" w14:textId="77777777" w:rsidR="008E7F5C" w:rsidRPr="008E7F5C" w:rsidRDefault="008E7F5C" w:rsidP="008E7F5C">
      <w:pPr>
        <w:spacing w:before="120" w:after="0" w:line="276" w:lineRule="auto"/>
        <w:ind w:firstLine="709"/>
        <w:jc w:val="both"/>
        <w:rPr>
          <w:rFonts w:ascii="Arial" w:eastAsia="Times New Roman" w:hAnsi="Arial" w:cs="Arial"/>
          <w:kern w:val="0"/>
          <w:szCs w:val="24"/>
          <w:lang w:eastAsia="es-MX"/>
          <w14:ligatures w14:val="none"/>
        </w:rPr>
      </w:pPr>
      <w:r w:rsidRPr="008E7F5C">
        <w:rPr>
          <w:rFonts w:ascii="Arial" w:eastAsia="Times New Roman" w:hAnsi="Arial" w:cs="Arial"/>
          <w:kern w:val="0"/>
          <w:szCs w:val="24"/>
          <w:lang w:eastAsia="es-MX"/>
          <w14:ligatures w14:val="none"/>
        </w:rPr>
        <w:t>A este respecto</w:t>
      </w:r>
      <w:r w:rsidRPr="008E7F5C">
        <w:rPr>
          <w:rFonts w:ascii="Arial" w:eastAsia="Times New Roman" w:hAnsi="Arial" w:cs="Arial"/>
          <w:bCs/>
          <w:kern w:val="0"/>
          <w:szCs w:val="24"/>
          <w:lang w:val="es-ES_tradnl" w:eastAsia="es-MX"/>
          <w14:ligatures w14:val="none"/>
        </w:rPr>
        <w:t xml:space="preserve">, no sobra destacar que </w:t>
      </w:r>
      <w:r w:rsidRPr="008E7F5C">
        <w:rPr>
          <w:rFonts w:ascii="Arial" w:eastAsia="Times New Roman" w:hAnsi="Arial" w:cs="Arial"/>
          <w:kern w:val="0"/>
          <w:szCs w:val="24"/>
          <w:lang w:val="es-ES" w:eastAsia="es-MX"/>
          <w14:ligatures w14:val="none"/>
        </w:rPr>
        <w:t xml:space="preserve">el parágrafo del artículo 8 señala que </w:t>
      </w:r>
      <w:r w:rsidRPr="008E7F5C">
        <w:rPr>
          <w:rFonts w:ascii="Arial" w:eastAsia="Times New Roman" w:hAnsi="Arial" w:cs="Arial"/>
          <w:bCs/>
          <w:kern w:val="0"/>
          <w:szCs w:val="24"/>
          <w:lang w:val="es-ES_tradnl" w:eastAsia="es-MX"/>
          <w14:ligatures w14:val="none"/>
        </w:rPr>
        <w:t>“[l]</w:t>
      </w:r>
      <w:r w:rsidRPr="008E7F5C">
        <w:rPr>
          <w:rFonts w:ascii="Arial" w:eastAsia="Times New Roman" w:hAnsi="Arial" w:cs="Arial"/>
          <w:kern w:val="0"/>
          <w:szCs w:val="24"/>
          <w:lang w:eastAsia="es-MX"/>
          <w14:ligatures w14:val="none"/>
        </w:rPr>
        <w:t>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sidRPr="008E7F5C">
        <w:rPr>
          <w:rFonts w:ascii="Arial" w:eastAsia="Times New Roman" w:hAnsi="Arial" w:cs="Arial"/>
          <w:bCs/>
          <w:kern w:val="0"/>
          <w:szCs w:val="24"/>
          <w:lang w:val="es-ES_tradnl" w:eastAsia="es-MX"/>
          <w14:ligatures w14:val="none"/>
        </w:rPr>
        <w:t>”.</w:t>
      </w:r>
      <w:r w:rsidRPr="008E7F5C">
        <w:rPr>
          <w:rFonts w:ascii="Arial" w:eastAsia="Times New Roman" w:hAnsi="Arial" w:cs="Arial"/>
          <w:kern w:val="0"/>
          <w:szCs w:val="24"/>
          <w:lang w:eastAsia="es-MX"/>
          <w14:ligatures w14:val="none"/>
        </w:rPr>
        <w:t xml:space="preserve"> En este sentido, es dable informar que, mediante la Resolución No. 275 </w:t>
      </w:r>
      <w:bookmarkStart w:id="39" w:name="_Hlk140048768"/>
      <w:r w:rsidRPr="008E7F5C">
        <w:rPr>
          <w:rFonts w:ascii="Arial" w:eastAsia="Times New Roman" w:hAnsi="Arial" w:cs="Arial"/>
          <w:kern w:val="0"/>
          <w:szCs w:val="24"/>
          <w:lang w:eastAsia="es-MX"/>
          <w14:ligatures w14:val="none"/>
        </w:rPr>
        <w:t>del 24 de junio de 2022, esta entidad procedió a modificar los documentos tipo con ocasión</w:t>
      </w:r>
      <w:bookmarkEnd w:id="30"/>
      <w:bookmarkEnd w:id="31"/>
      <w:bookmarkEnd w:id="34"/>
      <w:r w:rsidRPr="008E7F5C">
        <w:rPr>
          <w:rFonts w:ascii="Arial" w:eastAsia="Times New Roman" w:hAnsi="Arial" w:cs="Arial"/>
          <w:kern w:val="0"/>
          <w:szCs w:val="24"/>
          <w:lang w:eastAsia="es-MX"/>
          <w14:ligatures w14:val="none"/>
        </w:rPr>
        <w:t xml:space="preserve"> del Decreto 1860 de 2021, al haber incorporado toda una regulación detallada para la efectiva aplicación de la ley 2069 de 2020 en el sistema de compras y contratación pública.</w:t>
      </w:r>
    </w:p>
    <w:bookmarkEnd w:id="39"/>
    <w:p w14:paraId="202AE36D" w14:textId="77777777" w:rsidR="008E7F5C" w:rsidRPr="008E7F5C" w:rsidRDefault="008E7F5C" w:rsidP="008E7F5C">
      <w:pPr>
        <w:spacing w:before="120" w:after="0" w:line="276" w:lineRule="auto"/>
        <w:jc w:val="both"/>
        <w:rPr>
          <w:rFonts w:ascii="Arial" w:eastAsia="Times New Roman" w:hAnsi="Arial" w:cs="Arial"/>
          <w:b/>
          <w:bCs/>
          <w:kern w:val="0"/>
          <w:szCs w:val="24"/>
          <w:lang w:eastAsia="es-MX"/>
          <w14:ligatures w14:val="none"/>
        </w:rPr>
      </w:pPr>
      <w:r w:rsidRPr="008E7F5C">
        <w:rPr>
          <w:rFonts w:ascii="Arial" w:eastAsia="Times New Roman" w:hAnsi="Arial" w:cs="Arial"/>
          <w:b/>
          <w:bCs/>
          <w:kern w:val="0"/>
          <w:szCs w:val="24"/>
          <w:lang w:eastAsia="es-MX"/>
          <w14:ligatures w14:val="none"/>
        </w:rPr>
        <w:t>3.</w:t>
      </w:r>
      <w:r w:rsidRPr="008E7F5C">
        <w:rPr>
          <w:rFonts w:ascii="Arial" w:eastAsia="Times New Roman" w:hAnsi="Arial" w:cs="Arial"/>
          <w:b/>
          <w:bCs/>
          <w:kern w:val="0"/>
          <w:szCs w:val="24"/>
          <w:lang w:eastAsia="es-MX"/>
          <w14:ligatures w14:val="none"/>
        </w:rPr>
        <w:tab/>
        <w:t>Respuesta</w:t>
      </w:r>
    </w:p>
    <w:p w14:paraId="28637D27" w14:textId="77777777" w:rsidR="008E7F5C" w:rsidRPr="008E7F5C" w:rsidRDefault="008E7F5C" w:rsidP="008E7F5C">
      <w:pPr>
        <w:spacing w:after="0" w:line="240" w:lineRule="auto"/>
        <w:ind w:right="714"/>
        <w:jc w:val="both"/>
        <w:rPr>
          <w:rFonts w:ascii="Arial" w:eastAsia="Times New Roman" w:hAnsi="Arial" w:cs="Arial"/>
          <w:i/>
          <w:iCs/>
          <w:kern w:val="0"/>
          <w:szCs w:val="24"/>
          <w:lang w:val="es-ES_tradnl" w:eastAsia="es-ES_tradnl"/>
          <w14:ligatures w14:val="none"/>
        </w:rPr>
      </w:pPr>
    </w:p>
    <w:p w14:paraId="0BC50F9F" w14:textId="77777777" w:rsidR="008E7F5C" w:rsidRPr="008E7F5C" w:rsidRDefault="008E7F5C" w:rsidP="008E7F5C">
      <w:pPr>
        <w:spacing w:after="0" w:line="240" w:lineRule="auto"/>
        <w:ind w:left="709" w:right="714"/>
        <w:jc w:val="both"/>
        <w:rPr>
          <w:rFonts w:ascii="Arial" w:eastAsia="Calibri" w:hAnsi="Arial" w:cs="Arial"/>
          <w:iCs/>
          <w:kern w:val="0"/>
          <w:sz w:val="21"/>
          <w:szCs w:val="21"/>
          <w:lang w:val="es-ES_tradnl"/>
          <w14:ligatures w14:val="none"/>
        </w:rPr>
      </w:pPr>
      <w:r w:rsidRPr="008E7F5C">
        <w:rPr>
          <w:rFonts w:ascii="Arial" w:eastAsia="Times New Roman" w:hAnsi="Arial" w:cs="Arial"/>
          <w:i/>
          <w:iCs/>
          <w:kern w:val="0"/>
          <w:szCs w:val="24"/>
          <w:lang w:val="es-ES_tradnl" w:eastAsia="es-ES_tradnl"/>
          <w14:ligatures w14:val="none"/>
        </w:rPr>
        <w:t>“en qué procesos de contratación debe darse cumplimiento al artículo 2.2.1.2.4.2.16. (…), teniendo en cuenta que queremos precisar si es obligatorio en un proceso cuya ejecución es contra entrega, como en caso de entrega de suministros, en procesos cuya ejecución es por eventos, como en el caso de apoyo logístico para hospedaje en fechas esporádicas, entre otros”</w:t>
      </w:r>
    </w:p>
    <w:p w14:paraId="21F5010F" w14:textId="77777777" w:rsidR="008E7F5C" w:rsidRPr="008E7F5C" w:rsidRDefault="008E7F5C" w:rsidP="008E7F5C">
      <w:pPr>
        <w:spacing w:after="0" w:line="276" w:lineRule="auto"/>
        <w:jc w:val="both"/>
        <w:rPr>
          <w:rFonts w:ascii="Arial" w:eastAsia="Times New Roman" w:hAnsi="Arial" w:cs="Arial"/>
          <w:kern w:val="0"/>
          <w:lang w:val="es-ES" w:eastAsia="es-CO"/>
          <w14:ligatures w14:val="none"/>
        </w:rPr>
      </w:pPr>
    </w:p>
    <w:p w14:paraId="4F365C10" w14:textId="77777777" w:rsidR="008E7F5C" w:rsidRPr="008E7F5C" w:rsidRDefault="008E7F5C" w:rsidP="008E7F5C">
      <w:pPr>
        <w:spacing w:after="0" w:line="276" w:lineRule="auto"/>
        <w:ind w:firstLine="709"/>
        <w:jc w:val="both"/>
        <w:rPr>
          <w:rFonts w:ascii="Arial" w:eastAsia="Times New Roman" w:hAnsi="Arial" w:cs="Arial"/>
          <w:kern w:val="0"/>
          <w:lang w:eastAsia="es-CO"/>
          <w14:ligatures w14:val="none"/>
        </w:rPr>
      </w:pPr>
      <w:r w:rsidRPr="008E7F5C">
        <w:rPr>
          <w:rFonts w:ascii="Arial" w:eastAsia="Times New Roman" w:hAnsi="Arial" w:cs="Arial"/>
          <w:kern w:val="0"/>
          <w:lang w:val="es-ES" w:eastAsia="es-CO"/>
          <w14:ligatures w14:val="none"/>
        </w:rPr>
        <w:t xml:space="preserve">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esta Agencia no tiene competencia para </w:t>
      </w:r>
      <w:r w:rsidRPr="008E7F5C">
        <w:rPr>
          <w:rFonts w:ascii="Arial" w:eastAsia="Times New Roman" w:hAnsi="Arial" w:cs="Arial"/>
          <w:kern w:val="0"/>
          <w:lang w:eastAsia="es-CO"/>
          <w14:ligatures w14:val="none"/>
        </w:rPr>
        <w:t>brindar asesorías, ni para pronunciarse sobre asuntos particulares, mucho menos para brindar directrices especiales en materia de fomento a la participación y provisión de bienes y servicios por parte de sujetos de especial protección constitucional.</w:t>
      </w:r>
    </w:p>
    <w:p w14:paraId="7376B3D1" w14:textId="77777777" w:rsidR="008E7F5C" w:rsidRPr="008E7F5C" w:rsidRDefault="008E7F5C" w:rsidP="008E7F5C">
      <w:pPr>
        <w:spacing w:after="0" w:line="276" w:lineRule="auto"/>
        <w:jc w:val="both"/>
        <w:rPr>
          <w:rFonts w:ascii="Arial" w:eastAsia="Times New Roman" w:hAnsi="Arial" w:cs="Arial"/>
          <w:kern w:val="0"/>
          <w:lang w:eastAsia="es-CO"/>
          <w14:ligatures w14:val="none"/>
        </w:rPr>
      </w:pPr>
    </w:p>
    <w:p w14:paraId="2BDD493F" w14:textId="77777777" w:rsidR="008E7F5C" w:rsidRPr="008E7F5C" w:rsidRDefault="008E7F5C" w:rsidP="008E7F5C">
      <w:pPr>
        <w:spacing w:after="0" w:line="276" w:lineRule="auto"/>
        <w:ind w:firstLine="709"/>
        <w:jc w:val="both"/>
        <w:rPr>
          <w:rFonts w:ascii="Arial" w:eastAsia="Calibri" w:hAnsi="Arial" w:cs="Arial"/>
          <w:kern w:val="0"/>
          <w:lang w:val="es-MX"/>
          <w14:ligatures w14:val="none"/>
        </w:rPr>
      </w:pPr>
      <w:r w:rsidRPr="008E7F5C">
        <w:rPr>
          <w:rFonts w:ascii="Arial" w:eastAsia="Calibri" w:hAnsi="Arial" w:cs="Arial"/>
          <w:kern w:val="0"/>
          <w:lang w:val="es-MX"/>
          <w14:ligatures w14:val="none"/>
        </w:rPr>
        <w:t>Sin embargo, en línea con las precisiones normativas previamente realizadas, conviene</w:t>
      </w:r>
      <w:bookmarkStart w:id="40" w:name="_Hlk98489914"/>
      <w:r w:rsidRPr="008E7F5C">
        <w:rPr>
          <w:rFonts w:ascii="Arial" w:eastAsia="Calibri" w:hAnsi="Arial" w:cs="Arial"/>
          <w:kern w:val="0"/>
          <w:lang w:val="es-MX"/>
          <w14:ligatures w14:val="none"/>
        </w:rPr>
        <w:t xml:space="preserve"> señalar que, con fundamento en el artículo 34 de la Ley 2069 de 2020 sobre promoción del desarrollo en la contratación pública -que incorpora la posibilidad de disponer de mecanismos que fomenten en la ejecución de los contratos estatales la provisión de bienes y servicios por población en pobreza extrema, desplazados por la violencia, personas en proceso de reintegración o reincorporación y sujetos de especial protección constitucional-, el artículo 2.2.1.2.4.2.16. del Decreto 1860 de 2021, adicionado por el </w:t>
      </w:r>
      <w:r w:rsidRPr="008E7F5C">
        <w:rPr>
          <w:rFonts w:ascii="Arial" w:eastAsia="Calibri" w:hAnsi="Arial" w:cs="Arial"/>
          <w:kern w:val="0"/>
          <w:lang w:val="es-MX"/>
          <w14:ligatures w14:val="none"/>
        </w:rPr>
        <w:lastRenderedPageBreak/>
        <w:t xml:space="preserve">artículo 3 </w:t>
      </w:r>
      <w:r w:rsidRPr="008E7F5C">
        <w:rPr>
          <w:rFonts w:ascii="Arial" w:eastAsia="Calibri" w:hAnsi="Arial" w:cs="Arial"/>
          <w:i/>
          <w:iCs/>
          <w:kern w:val="0"/>
          <w:lang w:val="es-MX"/>
          <w14:ligatures w14:val="none"/>
        </w:rPr>
        <w:t>ibidem</w:t>
      </w:r>
      <w:r w:rsidRPr="008E7F5C">
        <w:rPr>
          <w:rFonts w:ascii="Arial" w:eastAsia="Calibri" w:hAnsi="Arial" w:cs="Arial"/>
          <w:kern w:val="0"/>
          <w:lang w:val="es-MX"/>
          <w14:ligatures w14:val="none"/>
        </w:rPr>
        <w:t>, reglamenta la existencia de una cláusula social que puede incluirse en cualquier contrato estatal y con base en la cual la respectiva Entidad Estatal podrá determinar en el respectivo pliego de condiciones o documento equivalente el porcentaje de la provisión de bienes o servicios por parte de población en pobreza extrema, desplazados por la violencia, personas en proceso de reintegración o reincorporación y sujetos de especial protección constitucional que el contratista debe incorporar para el cumplimiento del objeto contractual.</w:t>
      </w:r>
    </w:p>
    <w:p w14:paraId="634FB426" w14:textId="77777777" w:rsidR="008E7F5C" w:rsidRPr="008E7F5C" w:rsidRDefault="008E7F5C" w:rsidP="008E7F5C">
      <w:pPr>
        <w:spacing w:after="0" w:line="276" w:lineRule="auto"/>
        <w:ind w:firstLine="709"/>
        <w:jc w:val="both"/>
        <w:rPr>
          <w:rFonts w:ascii="Arial" w:eastAsia="Calibri" w:hAnsi="Arial" w:cs="Arial"/>
          <w:kern w:val="0"/>
          <w:lang w:val="es-MX"/>
          <w14:ligatures w14:val="none"/>
        </w:rPr>
      </w:pPr>
    </w:p>
    <w:p w14:paraId="03BF13D7" w14:textId="77777777" w:rsidR="008E7F5C" w:rsidRPr="008E7F5C" w:rsidRDefault="008E7F5C" w:rsidP="008E7F5C">
      <w:pPr>
        <w:spacing w:after="0" w:line="276" w:lineRule="auto"/>
        <w:ind w:firstLine="709"/>
        <w:jc w:val="both"/>
        <w:rPr>
          <w:rFonts w:ascii="Arial" w:eastAsia="Calibri" w:hAnsi="Arial" w:cs="Arial"/>
          <w:kern w:val="0"/>
          <w:lang w:val="es-MX"/>
          <w14:ligatures w14:val="none"/>
        </w:rPr>
      </w:pPr>
      <w:r w:rsidRPr="008E7F5C">
        <w:rPr>
          <w:rFonts w:ascii="Arial" w:eastAsia="Calibri" w:hAnsi="Arial" w:cs="Arial"/>
          <w:kern w:val="0"/>
          <w:lang w:val="es-MX"/>
          <w14:ligatures w14:val="none"/>
        </w:rPr>
        <w:t>Con todo, lo cierto es que en dicho artículo también se establece un rango porcentual mínimo del cinco por ciento (5%) y máximo del diez por ciento (10%) de los bienes o servicios requeridos para la ejecución del contrato, de suerte que, sin perjuicio de los Acuerdos Comerciales vigentes, no se pongan en riesgo las condiciones de calidad ni su adecuado cumplimiento. Labor que, indistintamente del proceso de contratación de que se trate, deberá determinarse por la Entidad Estatal con base en los respectivos estudios del sector. De ahí que la participación de los sujetos referidos habrá de fomentarse, previo análisis de los factores de oportunidad y conveniencia en los documentos del proceso en pleno contraste con el objeto contractual y el alcance de las obligaciones.</w:t>
      </w:r>
    </w:p>
    <w:p w14:paraId="5468C026" w14:textId="77777777" w:rsidR="008E7F5C" w:rsidRPr="008E7F5C" w:rsidRDefault="008E7F5C" w:rsidP="008E7F5C">
      <w:pPr>
        <w:spacing w:after="0" w:line="276" w:lineRule="auto"/>
        <w:jc w:val="both"/>
        <w:rPr>
          <w:rFonts w:ascii="Arial" w:eastAsia="Calibri" w:hAnsi="Arial" w:cs="Arial"/>
          <w:kern w:val="0"/>
          <w:lang w:val="es-MX"/>
          <w14:ligatures w14:val="none"/>
        </w:rPr>
      </w:pPr>
    </w:p>
    <w:p w14:paraId="51A04F9D" w14:textId="77777777" w:rsidR="008E7F5C" w:rsidRPr="008E7F5C" w:rsidRDefault="008E7F5C" w:rsidP="008E7F5C">
      <w:pPr>
        <w:spacing w:after="0" w:line="276" w:lineRule="auto"/>
        <w:ind w:firstLine="709"/>
        <w:jc w:val="both"/>
        <w:rPr>
          <w:rFonts w:ascii="Arial" w:eastAsia="Calibri" w:hAnsi="Arial" w:cs="Arial"/>
          <w:kern w:val="0"/>
          <w:lang w:val="es-MX"/>
          <w14:ligatures w14:val="none"/>
        </w:rPr>
      </w:pPr>
      <w:r w:rsidRPr="008E7F5C">
        <w:rPr>
          <w:rFonts w:ascii="Arial" w:eastAsia="Calibri" w:hAnsi="Arial" w:cs="Arial"/>
          <w:kern w:val="0"/>
          <w:lang w:val="es-MX"/>
          <w14:ligatures w14:val="none"/>
        </w:rPr>
        <w:t xml:space="preserve">Finalmente, interesa señalar que, en cuanto tiene que ver con los documentos tipo, </w:t>
      </w:r>
      <w:r w:rsidRPr="008E7F5C">
        <w:rPr>
          <w:rFonts w:ascii="Arial" w:eastAsia="Calibri" w:hAnsi="Arial" w:cs="Arial"/>
          <w:kern w:val="0"/>
          <w:lang w:eastAsia="es-CO"/>
          <w14:ligatures w14:val="none"/>
        </w:rPr>
        <w:t xml:space="preserve">la Agencia Nacional de Contratación Pública -Colombia Compra Eficiente- expidió la Resolución No. 275 </w:t>
      </w:r>
      <w:r w:rsidRPr="008E7F5C">
        <w:rPr>
          <w:rFonts w:ascii="Arial" w:eastAsia="Times New Roman" w:hAnsi="Arial" w:cs="Arial"/>
          <w:kern w:val="0"/>
          <w:szCs w:val="24"/>
          <w:lang w:eastAsia="es-MX"/>
          <w14:ligatures w14:val="none"/>
        </w:rPr>
        <w:t xml:space="preserve">del 24 de </w:t>
      </w:r>
      <w:r w:rsidRPr="008E7F5C">
        <w:rPr>
          <w:rFonts w:ascii="Arial" w:eastAsia="Times New Roman" w:hAnsi="Arial" w:cs="Arial"/>
          <w:kern w:val="0"/>
          <w:lang w:eastAsia="es-MX"/>
          <w14:ligatures w14:val="none"/>
        </w:rPr>
        <w:t>junio de 2022, por medio de la cual procedió a modificarlos con ocasión del Decreto 1860 de 2021, a fin de armonizar la regulación allí detallada para la efectiva aplicación de la ley 2069 de 2020 en el sistema de compras y contratación pública</w:t>
      </w:r>
      <w:bookmarkEnd w:id="40"/>
      <w:r w:rsidRPr="008E7F5C">
        <w:rPr>
          <w:rFonts w:ascii="Arial" w:eastAsia="Times New Roman" w:hAnsi="Arial" w:cs="Arial"/>
          <w:kern w:val="0"/>
          <w:lang w:eastAsia="es-MX"/>
          <w14:ligatures w14:val="none"/>
        </w:rPr>
        <w:t xml:space="preserve">. Específicamente, </w:t>
      </w:r>
      <w:r w:rsidRPr="008E7F5C">
        <w:rPr>
          <w:rFonts w:ascii="Arial" w:eastAsia="Times New Roman" w:hAnsi="Arial" w:cs="Arial"/>
          <w:kern w:val="0"/>
          <w:lang w:eastAsia="es-CO"/>
          <w14:ligatures w14:val="none"/>
        </w:rPr>
        <w:t>el parágrafo 2 del artículo 2.2.1.2.4.2.16 objeto de análisis en esta oportunidad establece que en los procedimientos de selección regidos por documentos tipo se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p>
    <w:p w14:paraId="0E1B23C3" w14:textId="77777777" w:rsidR="008E7F5C" w:rsidRPr="008E7F5C" w:rsidRDefault="008E7F5C" w:rsidP="008E7F5C">
      <w:pPr>
        <w:spacing w:after="0" w:line="276" w:lineRule="auto"/>
        <w:ind w:firstLine="709"/>
        <w:jc w:val="both"/>
        <w:rPr>
          <w:rFonts w:ascii="Arial" w:eastAsia="Calibri" w:hAnsi="Arial" w:cs="Arial"/>
          <w:kern w:val="0"/>
          <w:lang w:val="es-MX"/>
          <w14:ligatures w14:val="none"/>
        </w:rPr>
      </w:pPr>
    </w:p>
    <w:p w14:paraId="4237AEA1" w14:textId="77777777" w:rsidR="008E7F5C" w:rsidRPr="008E7F5C" w:rsidRDefault="008E7F5C" w:rsidP="008E7F5C">
      <w:pPr>
        <w:spacing w:after="0" w:line="276" w:lineRule="auto"/>
        <w:ind w:firstLine="709"/>
        <w:jc w:val="both"/>
        <w:rPr>
          <w:rFonts w:ascii="Arial" w:eastAsia="Times New Roman" w:hAnsi="Arial" w:cs="Arial"/>
          <w:kern w:val="0"/>
          <w:szCs w:val="24"/>
          <w:lang w:eastAsia="es-CO"/>
          <w14:ligatures w14:val="none"/>
        </w:rPr>
      </w:pPr>
      <w:r w:rsidRPr="008E7F5C">
        <w:rPr>
          <w:rFonts w:ascii="Arial" w:eastAsia="Times New Roman" w:hAnsi="Arial" w:cs="Arial"/>
          <w:kern w:val="0"/>
          <w:szCs w:val="24"/>
          <w:lang w:eastAsia="es-CO"/>
          <w14:ligatures w14:val="none"/>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bookmarkStart w:id="41" w:name="_Hlk34951122"/>
      <w:bookmarkEnd w:id="23"/>
    </w:p>
    <w:p w14:paraId="6D333891" w14:textId="77777777" w:rsidR="008E7F5C" w:rsidRPr="008E7F5C" w:rsidRDefault="008E7F5C" w:rsidP="008E7F5C">
      <w:pPr>
        <w:spacing w:after="0" w:line="276" w:lineRule="auto"/>
        <w:ind w:firstLine="709"/>
        <w:jc w:val="both"/>
        <w:rPr>
          <w:rFonts w:ascii="Arial" w:eastAsia="Calibri" w:hAnsi="Arial" w:cs="Arial"/>
          <w:kern w:val="0"/>
          <w:lang w:val="es-MX"/>
          <w14:ligatures w14:val="none"/>
        </w:rPr>
      </w:pPr>
    </w:p>
    <w:p w14:paraId="610E09F6" w14:textId="77777777" w:rsidR="008E7F5C" w:rsidRPr="008E7F5C" w:rsidRDefault="008E7F5C" w:rsidP="008E7F5C">
      <w:pPr>
        <w:spacing w:after="120" w:line="276" w:lineRule="auto"/>
        <w:jc w:val="both"/>
        <w:rPr>
          <w:rFonts w:ascii="Arial" w:eastAsia="Calibri" w:hAnsi="Arial" w:cs="Arial"/>
          <w:iCs/>
          <w:kern w:val="0"/>
          <w14:ligatures w14:val="none"/>
        </w:rPr>
      </w:pPr>
      <w:r w:rsidRPr="008E7F5C">
        <w:rPr>
          <w:rFonts w:ascii="Arial" w:eastAsia="Times New Roman" w:hAnsi="Arial" w:cs="Arial"/>
          <w:kern w:val="0"/>
          <w:lang w:val="es-MX" w:eastAsia="es-CO"/>
          <w14:ligatures w14:val="none"/>
        </w:rPr>
        <w:t>Atentamente,</w:t>
      </w:r>
    </w:p>
    <w:p w14:paraId="72A102CC" w14:textId="2A4F21A7" w:rsidR="008E7F5C" w:rsidRPr="008E7F5C" w:rsidRDefault="00757CB2" w:rsidP="008E7F5C">
      <w:pPr>
        <w:spacing w:after="0" w:line="276" w:lineRule="auto"/>
        <w:jc w:val="center"/>
        <w:textAlignment w:val="baseline"/>
        <w:rPr>
          <w:rFonts w:ascii="Arial" w:eastAsia="Times New Roman" w:hAnsi="Arial" w:cs="Arial"/>
          <w:kern w:val="0"/>
          <w:sz w:val="24"/>
          <w:szCs w:val="24"/>
          <w:lang w:eastAsia="es-CO"/>
          <w14:ligatures w14:val="none"/>
        </w:rPr>
      </w:pPr>
      <w:r>
        <w:rPr>
          <w:noProof/>
        </w:rPr>
        <w:lastRenderedPageBreak/>
        <w:drawing>
          <wp:inline distT="0" distB="0" distL="0" distR="0" wp14:anchorId="38CACC46" wp14:editId="570B73A4">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25F5438C" w14:textId="77777777" w:rsidR="008E7F5C" w:rsidRPr="008E7F5C" w:rsidRDefault="008E7F5C" w:rsidP="008E7F5C">
      <w:pPr>
        <w:spacing w:after="0" w:line="276" w:lineRule="auto"/>
        <w:jc w:val="both"/>
        <w:textAlignment w:val="baseline"/>
        <w:rPr>
          <w:rFonts w:ascii="Arial" w:eastAsia="Times New Roman" w:hAnsi="Arial" w:cs="Arial"/>
          <w:kern w:val="0"/>
          <w:sz w:val="24"/>
          <w:szCs w:val="24"/>
          <w:lang w:eastAsia="es-CO"/>
          <w14:ligatures w14:val="none"/>
        </w:rPr>
      </w:pPr>
      <w:bookmarkStart w:id="42" w:name="_Hlk140049914"/>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8E7F5C" w:rsidRPr="008E7F5C" w14:paraId="0061FE3F" w14:textId="77777777" w:rsidTr="006F41D8">
        <w:trPr>
          <w:trHeight w:val="315"/>
        </w:trPr>
        <w:tc>
          <w:tcPr>
            <w:tcW w:w="596" w:type="dxa"/>
            <w:tcBorders>
              <w:top w:val="nil"/>
              <w:left w:val="nil"/>
              <w:bottom w:val="nil"/>
              <w:right w:val="nil"/>
            </w:tcBorders>
            <w:shd w:val="clear" w:color="auto" w:fill="auto"/>
            <w:vAlign w:val="center"/>
            <w:hideMark/>
          </w:tcPr>
          <w:p w14:paraId="4D2D1A04" w14:textId="77777777" w:rsidR="008E7F5C" w:rsidRPr="008E7F5C" w:rsidRDefault="008E7F5C" w:rsidP="008E7F5C">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Elaboró:</w:t>
            </w:r>
          </w:p>
        </w:tc>
        <w:tc>
          <w:tcPr>
            <w:tcW w:w="5220" w:type="dxa"/>
            <w:tcBorders>
              <w:top w:val="nil"/>
              <w:left w:val="nil"/>
              <w:bottom w:val="dotted" w:sz="6" w:space="0" w:color="7F7F7F"/>
              <w:right w:val="nil"/>
            </w:tcBorders>
            <w:shd w:val="clear" w:color="auto" w:fill="auto"/>
            <w:vAlign w:val="center"/>
            <w:hideMark/>
          </w:tcPr>
          <w:p w14:paraId="564BE238" w14:textId="77777777" w:rsidR="008E7F5C" w:rsidRPr="008E7F5C" w:rsidRDefault="008E7F5C" w:rsidP="008E7F5C">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Diego Andrés Zambrano Pérez</w:t>
            </w:r>
          </w:p>
          <w:p w14:paraId="38326539" w14:textId="77777777" w:rsidR="008E7F5C" w:rsidRPr="008E7F5C" w:rsidRDefault="008E7F5C" w:rsidP="008E7F5C">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Contratista de la Subdirección de Gestión Contractual</w:t>
            </w:r>
          </w:p>
        </w:tc>
      </w:tr>
      <w:tr w:rsidR="008E7F5C" w:rsidRPr="008E7F5C" w14:paraId="73557D67" w14:textId="77777777" w:rsidTr="006F41D8">
        <w:trPr>
          <w:trHeight w:val="315"/>
        </w:trPr>
        <w:tc>
          <w:tcPr>
            <w:tcW w:w="596" w:type="dxa"/>
            <w:tcBorders>
              <w:top w:val="nil"/>
              <w:left w:val="nil"/>
              <w:bottom w:val="nil"/>
              <w:right w:val="nil"/>
            </w:tcBorders>
            <w:shd w:val="clear" w:color="auto" w:fill="auto"/>
            <w:vAlign w:val="center"/>
            <w:hideMark/>
          </w:tcPr>
          <w:p w14:paraId="4A6375C0" w14:textId="77777777" w:rsidR="008E7F5C" w:rsidRPr="008E7F5C" w:rsidRDefault="008E7F5C" w:rsidP="008E7F5C">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64A92FCD" w14:textId="77777777" w:rsidR="008E7F5C" w:rsidRPr="008E7F5C" w:rsidRDefault="008E7F5C" w:rsidP="008E7F5C">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Alejandro Raúl Sarmiento Cantillo</w:t>
            </w:r>
          </w:p>
          <w:p w14:paraId="499BA6A9" w14:textId="77777777" w:rsidR="008E7F5C" w:rsidRPr="008E7F5C" w:rsidRDefault="008E7F5C" w:rsidP="008E7F5C">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Gestor T1-15 de la Subdirección de Gestión Contractual</w:t>
            </w:r>
          </w:p>
        </w:tc>
      </w:tr>
      <w:tr w:rsidR="008E7F5C" w:rsidRPr="008E7F5C" w14:paraId="01B1DE47" w14:textId="77777777" w:rsidTr="006F41D8">
        <w:trPr>
          <w:trHeight w:val="300"/>
        </w:trPr>
        <w:tc>
          <w:tcPr>
            <w:tcW w:w="596" w:type="dxa"/>
            <w:tcBorders>
              <w:top w:val="nil"/>
              <w:left w:val="nil"/>
              <w:bottom w:val="nil"/>
              <w:right w:val="nil"/>
            </w:tcBorders>
            <w:shd w:val="clear" w:color="auto" w:fill="auto"/>
            <w:vAlign w:val="center"/>
            <w:hideMark/>
          </w:tcPr>
          <w:p w14:paraId="31B8DAB8" w14:textId="77777777" w:rsidR="008E7F5C" w:rsidRPr="008E7F5C" w:rsidRDefault="008E7F5C" w:rsidP="008E7F5C">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1BAB99E4" w14:textId="77777777" w:rsidR="008E7F5C" w:rsidRPr="008E7F5C" w:rsidRDefault="008E7F5C" w:rsidP="008E7F5C">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Nohelia del Carmen Zawady Palacio</w:t>
            </w:r>
          </w:p>
          <w:p w14:paraId="213B7986" w14:textId="77777777" w:rsidR="008E7F5C" w:rsidRPr="008E7F5C" w:rsidRDefault="008E7F5C" w:rsidP="008E7F5C">
            <w:pPr>
              <w:spacing w:after="0" w:line="240" w:lineRule="auto"/>
              <w:textAlignment w:val="baseline"/>
              <w:rPr>
                <w:rFonts w:ascii="Arial" w:eastAsia="Times New Roman" w:hAnsi="Arial" w:cs="Arial"/>
                <w:kern w:val="0"/>
                <w:sz w:val="16"/>
                <w:szCs w:val="16"/>
                <w:lang w:val="es-MX" w:eastAsia="es-CO"/>
                <w14:ligatures w14:val="none"/>
              </w:rPr>
            </w:pPr>
            <w:r w:rsidRPr="008E7F5C">
              <w:rPr>
                <w:rFonts w:ascii="Arial" w:eastAsia="Times New Roman" w:hAnsi="Arial" w:cs="Arial"/>
                <w:kern w:val="0"/>
                <w:sz w:val="16"/>
                <w:szCs w:val="16"/>
                <w:lang w:val="es-MX" w:eastAsia="es-CO"/>
                <w14:ligatures w14:val="none"/>
              </w:rPr>
              <w:t>Subdirectora de Gestión Contractual</w:t>
            </w:r>
          </w:p>
        </w:tc>
      </w:tr>
      <w:bookmarkEnd w:id="41"/>
      <w:bookmarkEnd w:id="42"/>
    </w:tbl>
    <w:p w14:paraId="3484BD33" w14:textId="77777777" w:rsidR="00463A57" w:rsidRPr="008E7F5C" w:rsidRDefault="00463A57" w:rsidP="008E7F5C">
      <w:pPr>
        <w:rPr>
          <w:lang w:val="es-MX"/>
        </w:rPr>
      </w:pPr>
    </w:p>
    <w:sectPr w:rsidR="00463A57" w:rsidRPr="008E7F5C">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794B" w14:textId="77777777" w:rsidR="008A004D" w:rsidRDefault="008A004D" w:rsidP="00D8156F">
      <w:pPr>
        <w:spacing w:after="0" w:line="240" w:lineRule="auto"/>
      </w:pPr>
      <w:r>
        <w:separator/>
      </w:r>
    </w:p>
  </w:endnote>
  <w:endnote w:type="continuationSeparator" w:id="0">
    <w:p w14:paraId="1E3E364E" w14:textId="77777777" w:rsidR="008A004D" w:rsidRDefault="008A004D" w:rsidP="00D8156F">
      <w:pPr>
        <w:spacing w:after="0" w:line="240" w:lineRule="auto"/>
      </w:pPr>
      <w:r>
        <w:continuationSeparator/>
      </w:r>
    </w:p>
  </w:endnote>
  <w:endnote w:type="continuationNotice" w:id="1">
    <w:p w14:paraId="098FCD4E" w14:textId="77777777" w:rsidR="008A004D" w:rsidRDefault="008A0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Geomanist Ligh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F7B" w14:textId="77777777" w:rsidR="00D8156F" w:rsidRDefault="00D8156F" w:rsidP="00D8156F">
    <w:pPr>
      <w:pStyle w:val="Piedepgina"/>
      <w:jc w:val="right"/>
      <w:rPr>
        <w:b/>
        <w:bCs/>
        <w:color w:val="7F7F7F" w:themeColor="text1" w:themeTint="80"/>
        <w:sz w:val="16"/>
        <w:szCs w:val="16"/>
      </w:rPr>
    </w:pPr>
    <w:r w:rsidRPr="00A135F4">
      <w:rPr>
        <w:rFonts w:ascii="Geomanist Bold" w:hAnsi="Geomanist Bold"/>
        <w:b/>
        <w:bCs/>
        <w:noProof/>
        <w:color w:val="002060"/>
        <w:sz w:val="24"/>
        <w:szCs w:val="24"/>
      </w:rPr>
      <w:drawing>
        <wp:anchor distT="0" distB="0" distL="114300" distR="114300" simplePos="0" relativeHeight="251658243" behindDoc="0" locked="0" layoutInCell="1" allowOverlap="1" wp14:anchorId="03F1B732" wp14:editId="6B0DACF0">
          <wp:simplePos x="0" y="0"/>
          <wp:positionH relativeFrom="page">
            <wp:posOffset>-238125</wp:posOffset>
          </wp:positionH>
          <wp:positionV relativeFrom="page">
            <wp:posOffset>8260715</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sz w:val="16"/>
        <w:szCs w:val="16"/>
      </w:rPr>
      <w:t>pág</w:t>
    </w:r>
    <w:r w:rsidRPr="00D96304">
      <w:rPr>
        <w:color w:val="7F7F7F" w:themeColor="text1" w:themeTint="80"/>
        <w:sz w:val="16"/>
        <w:szCs w:val="16"/>
      </w:rPr>
      <w:t xml:space="preserve">ina </w:t>
    </w:r>
    <w:r w:rsidRPr="00D96304">
      <w:rPr>
        <w:b/>
        <w:bCs/>
        <w:color w:val="7F7F7F" w:themeColor="text1" w:themeTint="80"/>
        <w:sz w:val="16"/>
        <w:szCs w:val="16"/>
      </w:rPr>
      <w:fldChar w:fldCharType="begin"/>
    </w:r>
    <w:r w:rsidRPr="00D96304">
      <w:rPr>
        <w:b/>
        <w:bCs/>
        <w:color w:val="7F7F7F" w:themeColor="text1" w:themeTint="80"/>
        <w:sz w:val="16"/>
        <w:szCs w:val="16"/>
      </w:rPr>
      <w:instrText>PAGE  \* Arabic  \* MERGEFORMAT</w:instrText>
    </w:r>
    <w:r w:rsidRPr="00D96304">
      <w:rPr>
        <w:b/>
        <w:bCs/>
        <w:color w:val="7F7F7F" w:themeColor="text1" w:themeTint="80"/>
        <w:sz w:val="16"/>
        <w:szCs w:val="16"/>
      </w:rPr>
      <w:fldChar w:fldCharType="separate"/>
    </w:r>
    <w:r>
      <w:rPr>
        <w:b/>
        <w:bCs/>
        <w:color w:val="7F7F7F" w:themeColor="text1" w:themeTint="80"/>
        <w:sz w:val="16"/>
        <w:szCs w:val="16"/>
      </w:rPr>
      <w:t>1</w:t>
    </w:r>
    <w:r w:rsidRPr="00D96304">
      <w:rPr>
        <w:b/>
        <w:bCs/>
        <w:color w:val="7F7F7F" w:themeColor="text1" w:themeTint="80"/>
        <w:sz w:val="16"/>
        <w:szCs w:val="16"/>
      </w:rPr>
      <w:fldChar w:fldCharType="end"/>
    </w:r>
    <w:r w:rsidRPr="00D96304">
      <w:rPr>
        <w:color w:val="7F7F7F" w:themeColor="text1" w:themeTint="80"/>
        <w:sz w:val="16"/>
        <w:szCs w:val="16"/>
      </w:rPr>
      <w:t xml:space="preserve"> de </w:t>
    </w:r>
    <w:r w:rsidRPr="00D96304">
      <w:rPr>
        <w:b/>
        <w:bCs/>
        <w:color w:val="7F7F7F" w:themeColor="text1" w:themeTint="80"/>
        <w:sz w:val="16"/>
        <w:szCs w:val="16"/>
      </w:rPr>
      <w:fldChar w:fldCharType="begin"/>
    </w:r>
    <w:r w:rsidRPr="00D96304">
      <w:rPr>
        <w:b/>
        <w:bCs/>
        <w:color w:val="7F7F7F" w:themeColor="text1" w:themeTint="80"/>
        <w:sz w:val="16"/>
        <w:szCs w:val="16"/>
      </w:rPr>
      <w:instrText>NUMPAGES  \* Arabic  \* MERGEFORMAT</w:instrText>
    </w:r>
    <w:r w:rsidRPr="00D96304">
      <w:rPr>
        <w:b/>
        <w:bCs/>
        <w:color w:val="7F7F7F" w:themeColor="text1" w:themeTint="80"/>
        <w:sz w:val="16"/>
        <w:szCs w:val="16"/>
      </w:rPr>
      <w:fldChar w:fldCharType="separate"/>
    </w:r>
    <w:r>
      <w:rPr>
        <w:b/>
        <w:bCs/>
        <w:color w:val="7F7F7F" w:themeColor="text1" w:themeTint="80"/>
        <w:sz w:val="16"/>
        <w:szCs w:val="16"/>
      </w:rPr>
      <w:t>2</w:t>
    </w:r>
    <w:r w:rsidRPr="00D96304">
      <w:rPr>
        <w:b/>
        <w:bCs/>
        <w:color w:val="7F7F7F" w:themeColor="text1" w:themeTint="80"/>
        <w:sz w:val="16"/>
        <w:szCs w:val="16"/>
      </w:rPr>
      <w:fldChar w:fldCharType="end"/>
    </w:r>
  </w:p>
  <w:p w14:paraId="401386C5" w14:textId="77777777" w:rsidR="00D8156F" w:rsidRPr="00D96304" w:rsidRDefault="00D8156F" w:rsidP="00D8156F">
    <w:pPr>
      <w:pStyle w:val="Piedepgina"/>
      <w:jc w:val="right"/>
      <w:rPr>
        <w:color w:val="7F7F7F" w:themeColor="text1" w:themeTint="80"/>
        <w:sz w:val="16"/>
        <w:szCs w:val="16"/>
      </w:rPr>
    </w:pPr>
    <w:r>
      <w:rPr>
        <w:noProof/>
        <w:color w:val="7F7F7F" w:themeColor="text1" w:themeTint="80"/>
        <w:sz w:val="16"/>
        <w:szCs w:val="16"/>
      </w:rPr>
      <w:drawing>
        <wp:inline distT="0" distB="0" distL="0" distR="0" wp14:anchorId="06B060BD" wp14:editId="377BD55A">
          <wp:extent cx="5400040" cy="624840"/>
          <wp:effectExtent l="0" t="0" r="0" b="3810"/>
          <wp:docPr id="541020788" name="Picture 54102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20788" name="Imagen 541020788"/>
                  <pic:cNvPicPr/>
                </pic:nvPicPr>
                <pic:blipFill>
                  <a:blip r:embed="rId2"/>
                  <a:stretch>
                    <a:fillRect/>
                  </a:stretch>
                </pic:blipFill>
                <pic:spPr>
                  <a:xfrm>
                    <a:off x="0" y="0"/>
                    <a:ext cx="5400040" cy="624840"/>
                  </a:xfrm>
                  <a:prstGeom prst="rect">
                    <a:avLst/>
                  </a:prstGeom>
                </pic:spPr>
              </pic:pic>
            </a:graphicData>
          </a:graphic>
        </wp:inline>
      </w:drawing>
    </w:r>
  </w:p>
  <w:tbl>
    <w:tblPr>
      <w:tblStyle w:val="Tablaconcuadrcula"/>
      <w:tblW w:w="92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455"/>
      <w:gridCol w:w="914"/>
      <w:gridCol w:w="1974"/>
      <w:gridCol w:w="829"/>
      <w:gridCol w:w="2620"/>
      <w:gridCol w:w="1479"/>
    </w:tblGrid>
    <w:tr w:rsidR="00D8156F" w:rsidRPr="00B10DB8" w14:paraId="17DA88B9" w14:textId="77777777" w:rsidTr="006C3E05">
      <w:trPr>
        <w:trHeight w:val="249"/>
        <w:jc w:val="center"/>
      </w:trPr>
      <w:tc>
        <w:tcPr>
          <w:tcW w:w="937"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4825F92D"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Versión:</w:t>
          </w:r>
        </w:p>
      </w:tc>
      <w:tc>
        <w:tcPr>
          <w:tcW w:w="455"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73D5035E"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02</w:t>
          </w:r>
        </w:p>
      </w:tc>
      <w:tc>
        <w:tcPr>
          <w:tcW w:w="905"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4DEF2D0D"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Código:</w:t>
          </w:r>
        </w:p>
      </w:tc>
      <w:tc>
        <w:tcPr>
          <w:tcW w:w="1977"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6BA027F5"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eastAsia="Arial" w:hAnsi="Geomanist Light" w:cs="Arial"/>
              <w:color w:val="000000" w:themeColor="text1"/>
              <w:sz w:val="20"/>
              <w:szCs w:val="20"/>
              <w:lang w:eastAsia="es-CO"/>
            </w:rPr>
            <w:t>CCE-DES-FM-19</w:t>
          </w:r>
        </w:p>
      </w:tc>
      <w:tc>
        <w:tcPr>
          <w:tcW w:w="829"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7A29D2D8"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Fecha:</w:t>
          </w:r>
        </w:p>
      </w:tc>
      <w:tc>
        <w:tcPr>
          <w:tcW w:w="2624"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318A9797" w14:textId="77777777" w:rsidR="00D8156F" w:rsidRPr="00B10DB8" w:rsidRDefault="00D8156F" w:rsidP="00D8156F">
          <w:pPr>
            <w:pStyle w:val="Piedepgina"/>
            <w:jc w:val="center"/>
            <w:rPr>
              <w:rFonts w:ascii="Geomanist Light" w:hAnsi="Geomanist Light"/>
              <w:color w:val="000000" w:themeColor="text1"/>
              <w:sz w:val="20"/>
              <w:szCs w:val="20"/>
            </w:rPr>
          </w:pPr>
          <w:r w:rsidRPr="00B10DB8">
            <w:rPr>
              <w:rFonts w:ascii="Geomanist Light" w:hAnsi="Geomanist Light"/>
              <w:color w:val="000000" w:themeColor="text1"/>
              <w:sz w:val="20"/>
              <w:szCs w:val="20"/>
            </w:rPr>
            <w:t>31 de enero de 2022</w:t>
          </w:r>
        </w:p>
      </w:tc>
      <w:tc>
        <w:tcPr>
          <w:tcW w:w="148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CE63DB8" w14:textId="77777777" w:rsidR="00D8156F" w:rsidRPr="00B10DB8" w:rsidRDefault="00D8156F" w:rsidP="00D8156F">
          <w:pPr>
            <w:pStyle w:val="Piedepgina"/>
            <w:jc w:val="right"/>
            <w:rPr>
              <w:rFonts w:ascii="Geomanist Light" w:hAnsi="Geomanist Light"/>
              <w:color w:val="000000" w:themeColor="text1"/>
              <w:sz w:val="20"/>
              <w:szCs w:val="20"/>
            </w:rPr>
          </w:pPr>
          <w:r w:rsidRPr="00B10DB8">
            <w:rPr>
              <w:rFonts w:ascii="Geomanist Light" w:hAnsi="Geomanist Light"/>
              <w:color w:val="000000" w:themeColor="text1"/>
              <w:sz w:val="20"/>
              <w:szCs w:val="20"/>
            </w:rPr>
            <w:t xml:space="preserve">Página </w:t>
          </w:r>
          <w:r w:rsidRPr="00B10DB8">
            <w:rPr>
              <w:rFonts w:ascii="Geomanist Light" w:hAnsi="Geomanist Light"/>
              <w:b/>
              <w:bCs/>
              <w:color w:val="000000" w:themeColor="text1"/>
              <w:sz w:val="20"/>
              <w:szCs w:val="20"/>
            </w:rPr>
            <w:fldChar w:fldCharType="begin"/>
          </w:r>
          <w:r w:rsidRPr="00B10DB8">
            <w:rPr>
              <w:rFonts w:ascii="Geomanist Light" w:hAnsi="Geomanist Light"/>
              <w:b/>
              <w:bCs/>
              <w:color w:val="000000" w:themeColor="text1"/>
              <w:sz w:val="20"/>
              <w:szCs w:val="20"/>
            </w:rPr>
            <w:instrText>PAGE  \* Arabic  \* MERGEFORMAT</w:instrText>
          </w:r>
          <w:r w:rsidRPr="00B10DB8">
            <w:rPr>
              <w:rFonts w:ascii="Geomanist Light" w:hAnsi="Geomanist Light"/>
              <w:b/>
              <w:bCs/>
              <w:color w:val="000000" w:themeColor="text1"/>
              <w:sz w:val="20"/>
              <w:szCs w:val="20"/>
            </w:rPr>
            <w:fldChar w:fldCharType="separate"/>
          </w:r>
          <w:r>
            <w:rPr>
              <w:rFonts w:ascii="Geomanist Light" w:hAnsi="Geomanist Light"/>
              <w:b/>
              <w:bCs/>
              <w:color w:val="000000" w:themeColor="text1"/>
              <w:sz w:val="20"/>
              <w:szCs w:val="20"/>
            </w:rPr>
            <w:t>1</w:t>
          </w:r>
          <w:r w:rsidRPr="00B10DB8">
            <w:rPr>
              <w:rFonts w:ascii="Geomanist Light" w:hAnsi="Geomanist Light"/>
              <w:b/>
              <w:bCs/>
              <w:color w:val="000000" w:themeColor="text1"/>
              <w:sz w:val="20"/>
              <w:szCs w:val="20"/>
            </w:rPr>
            <w:fldChar w:fldCharType="end"/>
          </w:r>
          <w:r w:rsidRPr="00B10DB8">
            <w:rPr>
              <w:rFonts w:ascii="Geomanist Light" w:hAnsi="Geomanist Light"/>
              <w:color w:val="000000" w:themeColor="text1"/>
              <w:sz w:val="20"/>
              <w:szCs w:val="20"/>
            </w:rPr>
            <w:t xml:space="preserve"> de </w:t>
          </w:r>
          <w:r w:rsidRPr="00B10DB8">
            <w:rPr>
              <w:rFonts w:ascii="Geomanist Light" w:hAnsi="Geomanist Light"/>
              <w:b/>
              <w:bCs/>
              <w:color w:val="000000" w:themeColor="text1"/>
              <w:sz w:val="20"/>
              <w:szCs w:val="20"/>
            </w:rPr>
            <w:fldChar w:fldCharType="begin"/>
          </w:r>
          <w:r w:rsidRPr="00B10DB8">
            <w:rPr>
              <w:rFonts w:ascii="Geomanist Light" w:hAnsi="Geomanist Light"/>
              <w:b/>
              <w:bCs/>
              <w:color w:val="000000" w:themeColor="text1"/>
              <w:sz w:val="20"/>
              <w:szCs w:val="20"/>
            </w:rPr>
            <w:instrText>NUMPAGES  \* Arabic  \* MERGEFORMAT</w:instrText>
          </w:r>
          <w:r w:rsidRPr="00B10DB8">
            <w:rPr>
              <w:rFonts w:ascii="Geomanist Light" w:hAnsi="Geomanist Light"/>
              <w:b/>
              <w:bCs/>
              <w:color w:val="000000" w:themeColor="text1"/>
              <w:sz w:val="20"/>
              <w:szCs w:val="20"/>
            </w:rPr>
            <w:fldChar w:fldCharType="separate"/>
          </w:r>
          <w:r>
            <w:rPr>
              <w:rFonts w:ascii="Geomanist Light" w:hAnsi="Geomanist Light"/>
              <w:b/>
              <w:bCs/>
              <w:color w:val="000000" w:themeColor="text1"/>
              <w:sz w:val="20"/>
              <w:szCs w:val="20"/>
            </w:rPr>
            <w:t>2</w:t>
          </w:r>
          <w:r w:rsidRPr="00B10DB8">
            <w:rPr>
              <w:rFonts w:ascii="Geomanist Light" w:hAnsi="Geomanist Light"/>
              <w:b/>
              <w:bCs/>
              <w:color w:val="000000" w:themeColor="text1"/>
              <w:sz w:val="20"/>
              <w:szCs w:val="20"/>
            </w:rPr>
            <w:fldChar w:fldCharType="end"/>
          </w:r>
        </w:p>
      </w:tc>
    </w:tr>
  </w:tbl>
  <w:p w14:paraId="35BBE29F" w14:textId="77777777" w:rsidR="00D8156F" w:rsidRDefault="00D8156F" w:rsidP="00D8156F">
    <w:pPr>
      <w:pStyle w:val="Piedepgina"/>
    </w:pPr>
  </w:p>
  <w:p w14:paraId="71F8093E" w14:textId="77777777" w:rsidR="00D8156F" w:rsidRDefault="00D815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843E" w14:textId="77777777" w:rsidR="008A004D" w:rsidRDefault="008A004D" w:rsidP="00D8156F">
      <w:pPr>
        <w:spacing w:after="0" w:line="240" w:lineRule="auto"/>
      </w:pPr>
      <w:r>
        <w:separator/>
      </w:r>
    </w:p>
  </w:footnote>
  <w:footnote w:type="continuationSeparator" w:id="0">
    <w:p w14:paraId="1AEE1D0E" w14:textId="77777777" w:rsidR="008A004D" w:rsidRDefault="008A004D" w:rsidP="00D8156F">
      <w:pPr>
        <w:spacing w:after="0" w:line="240" w:lineRule="auto"/>
      </w:pPr>
      <w:r>
        <w:continuationSeparator/>
      </w:r>
    </w:p>
  </w:footnote>
  <w:footnote w:type="continuationNotice" w:id="1">
    <w:p w14:paraId="37EB672C" w14:textId="77777777" w:rsidR="008A004D" w:rsidRDefault="008A004D">
      <w:pPr>
        <w:spacing w:after="0" w:line="240" w:lineRule="auto"/>
      </w:pPr>
    </w:p>
  </w:footnote>
  <w:footnote w:id="2">
    <w:p w14:paraId="73B125BF" w14:textId="77777777" w:rsidR="008E7F5C" w:rsidRPr="003D6465" w:rsidRDefault="008E7F5C" w:rsidP="008E7F5C">
      <w:pPr>
        <w:pStyle w:val="Textonotapie"/>
        <w:ind w:firstLine="708"/>
        <w:jc w:val="both"/>
        <w:rPr>
          <w:rFonts w:ascii="Arial" w:hAnsi="Arial" w:cs="Arial"/>
          <w:sz w:val="18"/>
          <w:szCs w:val="18"/>
          <w:lang w:val="es-ES"/>
        </w:rPr>
      </w:pPr>
      <w:r w:rsidRPr="003D6465">
        <w:rPr>
          <w:rStyle w:val="Refdenotaalpie"/>
          <w:rFonts w:ascii="Arial" w:eastAsiaTheme="majorEastAsia" w:hAnsi="Arial" w:cs="Arial"/>
          <w:sz w:val="18"/>
          <w:szCs w:val="18"/>
        </w:rPr>
        <w:footnoteRef/>
      </w:r>
      <w:r w:rsidRPr="003D6465">
        <w:rPr>
          <w:rFonts w:ascii="Arial" w:hAnsi="Arial" w:cs="Arial"/>
          <w:sz w:val="18"/>
          <w:szCs w:val="18"/>
        </w:rP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3D6465">
        <w:rPr>
          <w:rFonts w:ascii="Arial" w:hAnsi="Arial" w:cs="Arial"/>
          <w:i/>
          <w:iCs/>
          <w:sz w:val="18"/>
          <w:szCs w:val="18"/>
        </w:rPr>
        <w:t xml:space="preserve">ibidem </w:t>
      </w:r>
      <w:r w:rsidRPr="003D6465">
        <w:rPr>
          <w:rFonts w:ascii="Arial" w:hAnsi="Arial" w:cs="Arial"/>
          <w:sz w:val="18"/>
          <w:szCs w:val="18"/>
        </w:rPr>
        <w:t xml:space="preserve">señala, de manera precisa, las funciones de la entidad. Concretamente, el numeral 5º del citado artículo establece que le corresponde a esta entidad: </w:t>
      </w:r>
      <w:r w:rsidRPr="003D6465">
        <w:rPr>
          <w:rFonts w:ascii="Arial" w:hAnsi="Arial" w:cs="Arial"/>
          <w:i/>
          <w:iCs/>
          <w:sz w:val="18"/>
          <w:szCs w:val="18"/>
        </w:rPr>
        <w:t>“[a]bsolver consultas sobre la aplicación de normas de carácter general y expedir circulares externas en materia de compras y contratación pública”</w:t>
      </w:r>
      <w:r w:rsidRPr="003D6465">
        <w:rPr>
          <w:rFonts w:ascii="Arial" w:hAnsi="Arial" w:cs="Arial"/>
          <w:sz w:val="18"/>
          <w:szCs w:val="18"/>
        </w:rPr>
        <w:t xml:space="preserve">. A su turno, el numeral 8º del artículo 11 </w:t>
      </w:r>
      <w:r w:rsidRPr="003D6465">
        <w:rPr>
          <w:rFonts w:ascii="Arial" w:hAnsi="Arial" w:cs="Arial"/>
          <w:i/>
          <w:iCs/>
          <w:sz w:val="18"/>
          <w:szCs w:val="18"/>
        </w:rPr>
        <w:t>ibidem</w:t>
      </w:r>
      <w:r w:rsidRPr="003D6465">
        <w:rPr>
          <w:rFonts w:ascii="Arial" w:hAnsi="Arial" w:cs="Arial"/>
          <w:sz w:val="18"/>
          <w:szCs w:val="18"/>
        </w:rPr>
        <w:t xml:space="preserve"> indica que es función de la Subdirección de Gestión Contractual: </w:t>
      </w:r>
      <w:r w:rsidRPr="003D6465">
        <w:rPr>
          <w:rFonts w:ascii="Arial" w:hAnsi="Arial" w:cs="Arial"/>
          <w:i/>
          <w:iCs/>
          <w:sz w:val="18"/>
          <w:szCs w:val="18"/>
        </w:rPr>
        <w:t>“[a]bsolver consultas sobre la aplicación de normas de carácter general”</w:t>
      </w:r>
      <w:r w:rsidRPr="003D6465">
        <w:rPr>
          <w:rFonts w:ascii="Arial" w:hAnsi="Arial" w:cs="Arial"/>
          <w:sz w:val="18"/>
          <w:szCs w:val="18"/>
        </w:rPr>
        <w:t>.</w:t>
      </w:r>
    </w:p>
  </w:footnote>
  <w:footnote w:id="3">
    <w:p w14:paraId="6E01F41D" w14:textId="77777777" w:rsidR="008E7F5C" w:rsidRPr="003D6465" w:rsidRDefault="008E7F5C" w:rsidP="008E7F5C">
      <w:pPr>
        <w:pStyle w:val="Textonotapie"/>
        <w:ind w:firstLine="709"/>
        <w:jc w:val="both"/>
        <w:rPr>
          <w:rFonts w:ascii="Arial" w:hAnsi="Arial" w:cs="Arial"/>
          <w:sz w:val="18"/>
          <w:szCs w:val="18"/>
          <w:u w:val="single"/>
        </w:rPr>
      </w:pPr>
      <w:r w:rsidRPr="003D6465">
        <w:rPr>
          <w:rStyle w:val="Refdenotaalpie"/>
          <w:rFonts w:ascii="Arial" w:hAnsi="Arial" w:cs="Arial"/>
          <w:sz w:val="18"/>
          <w:szCs w:val="18"/>
        </w:rPr>
        <w:footnoteRef/>
      </w:r>
      <w:r w:rsidRPr="003D6465">
        <w:rPr>
          <w:rFonts w:ascii="Arial" w:hAnsi="Arial" w:cs="Arial"/>
          <w:sz w:val="18"/>
          <w:szCs w:val="18"/>
        </w:rPr>
        <w:t xml:space="preserve"> Estos conceptos pueden consultarse en: </w:t>
      </w:r>
      <w:hyperlink r:id="rId1" w:history="1">
        <w:r w:rsidRPr="003D6465">
          <w:rPr>
            <w:rStyle w:val="Hipervnculo"/>
            <w:rFonts w:ascii="Arial" w:hAnsi="Arial" w:cs="Arial"/>
            <w:sz w:val="18"/>
            <w:szCs w:val="18"/>
          </w:rPr>
          <w:t>https://relatoria.colombiacompra.gov.co/busqueda/conceptos#</w:t>
        </w:r>
      </w:hyperlink>
      <w:r w:rsidRPr="003D6465">
        <w:rPr>
          <w:rFonts w:ascii="Arial" w:hAnsi="Arial" w:cs="Arial"/>
          <w:sz w:val="18"/>
          <w:szCs w:val="18"/>
          <w:u w:val="single"/>
        </w:rPr>
        <w:t xml:space="preserve"> </w:t>
      </w:r>
    </w:p>
  </w:footnote>
  <w:footnote w:id="4">
    <w:p w14:paraId="5BFEF3BF" w14:textId="77777777" w:rsidR="008E7F5C" w:rsidRPr="003D6465" w:rsidRDefault="008E7F5C" w:rsidP="008E7F5C">
      <w:pPr>
        <w:pStyle w:val="Textonotapie"/>
        <w:ind w:firstLine="709"/>
        <w:jc w:val="both"/>
        <w:rPr>
          <w:rFonts w:ascii="Arial" w:hAnsi="Arial" w:cs="Arial"/>
          <w:color w:val="000000"/>
          <w:sz w:val="18"/>
          <w:szCs w:val="18"/>
        </w:rPr>
      </w:pPr>
      <w:r w:rsidRPr="003D6465">
        <w:rPr>
          <w:rStyle w:val="Refdenotaalpie"/>
          <w:rFonts w:ascii="Arial" w:hAnsi="Arial" w:cs="Arial"/>
          <w:color w:val="000000"/>
          <w:sz w:val="18"/>
          <w:szCs w:val="18"/>
        </w:rPr>
        <w:footnoteRef/>
      </w:r>
      <w:r w:rsidRPr="003D6465">
        <w:rPr>
          <w:rFonts w:ascii="Arial" w:hAnsi="Arial" w:cs="Arial"/>
          <w:color w:val="000000"/>
          <w:sz w:val="18"/>
          <w:szCs w:val="18"/>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footnote>
  <w:footnote w:id="5">
    <w:p w14:paraId="5ED9BFED" w14:textId="77777777" w:rsidR="008E7F5C" w:rsidRPr="003D6465" w:rsidRDefault="008E7F5C" w:rsidP="008E7F5C">
      <w:pPr>
        <w:pStyle w:val="Textonotapie"/>
        <w:ind w:firstLine="709"/>
        <w:jc w:val="both"/>
        <w:rPr>
          <w:rFonts w:ascii="Arial" w:hAnsi="Arial" w:cs="Arial"/>
          <w:color w:val="000000"/>
          <w:sz w:val="18"/>
          <w:szCs w:val="18"/>
        </w:rPr>
      </w:pPr>
      <w:r w:rsidRPr="003D6465">
        <w:rPr>
          <w:rStyle w:val="Refdenotaalpie"/>
          <w:rFonts w:ascii="Arial" w:hAnsi="Arial" w:cs="Arial"/>
          <w:color w:val="000000"/>
          <w:sz w:val="18"/>
          <w:szCs w:val="18"/>
        </w:rPr>
        <w:footnoteRef/>
      </w:r>
      <w:r w:rsidRPr="003D6465">
        <w:rPr>
          <w:rFonts w:ascii="Arial" w:hAnsi="Arial" w:cs="Arial"/>
          <w:color w:val="000000"/>
          <w:sz w:val="18"/>
          <w:szCs w:val="18"/>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62A4C342" w14:textId="77777777" w:rsidR="008E7F5C" w:rsidRPr="003D6465" w:rsidRDefault="008E7F5C" w:rsidP="008E7F5C">
      <w:pPr>
        <w:pStyle w:val="Textonotapie"/>
        <w:ind w:firstLine="709"/>
        <w:jc w:val="both"/>
        <w:rPr>
          <w:rFonts w:ascii="Arial" w:hAnsi="Arial" w:cs="Arial"/>
          <w:color w:val="000000"/>
          <w:sz w:val="18"/>
          <w:szCs w:val="18"/>
        </w:rPr>
      </w:pPr>
      <w:r w:rsidRPr="003D6465">
        <w:rPr>
          <w:rFonts w:ascii="Arial" w:hAnsi="Arial" w:cs="Arial"/>
          <w:color w:val="000000"/>
          <w:sz w:val="18"/>
          <w:szCs w:val="18"/>
        </w:rPr>
        <w:t>a) Se publicará una invitación, por un término no inferior a un día hábil, en la cual se señalará el objeto a contratar, el presupuesto destinado para tal fin, así como las condiciones técnicas exigidas;</w:t>
      </w:r>
    </w:p>
    <w:p w14:paraId="65E3A4D9" w14:textId="77777777" w:rsidR="008E7F5C" w:rsidRPr="003D6465" w:rsidRDefault="008E7F5C" w:rsidP="008E7F5C">
      <w:pPr>
        <w:pStyle w:val="Textonotapie"/>
        <w:ind w:firstLine="709"/>
        <w:jc w:val="both"/>
        <w:rPr>
          <w:rFonts w:ascii="Arial" w:hAnsi="Arial" w:cs="Arial"/>
          <w:color w:val="000000"/>
          <w:sz w:val="18"/>
          <w:szCs w:val="18"/>
        </w:rPr>
      </w:pPr>
      <w:r w:rsidRPr="003D6465">
        <w:rPr>
          <w:rFonts w:ascii="Arial" w:hAnsi="Arial" w:cs="Arial"/>
          <w:color w:val="000000"/>
          <w:sz w:val="18"/>
          <w:szCs w:val="18"/>
        </w:rPr>
        <w:t>b) El término previsto en la invitación para presentar la oferta no podrá ser inferior a un día hábil;</w:t>
      </w:r>
    </w:p>
    <w:p w14:paraId="69380BEB" w14:textId="77777777" w:rsidR="008E7F5C" w:rsidRPr="003D6465" w:rsidRDefault="008E7F5C" w:rsidP="008E7F5C">
      <w:pPr>
        <w:pStyle w:val="Textonotapie"/>
        <w:ind w:firstLine="709"/>
        <w:jc w:val="both"/>
        <w:rPr>
          <w:rFonts w:ascii="Arial" w:hAnsi="Arial" w:cs="Arial"/>
          <w:color w:val="000000"/>
          <w:sz w:val="18"/>
          <w:szCs w:val="18"/>
        </w:rPr>
      </w:pPr>
      <w:r w:rsidRPr="003D6465">
        <w:rPr>
          <w:rFonts w:ascii="Arial" w:hAnsi="Arial" w:cs="Arial"/>
          <w:color w:val="000000"/>
          <w:sz w:val="18"/>
          <w:szCs w:val="18"/>
        </w:rPr>
        <w:t>c) La entidad seleccionará, mediante comunicación de aceptación de la oferta, la propuesta con el menor precio, siempre y cuando cumpla con las condiciones exigidas;</w:t>
      </w:r>
    </w:p>
    <w:p w14:paraId="262E3693" w14:textId="77777777" w:rsidR="008E7F5C" w:rsidRPr="003D6465" w:rsidRDefault="008E7F5C" w:rsidP="008E7F5C">
      <w:pPr>
        <w:pStyle w:val="Textonotapie"/>
        <w:ind w:firstLine="709"/>
        <w:jc w:val="both"/>
        <w:rPr>
          <w:rFonts w:ascii="Arial" w:hAnsi="Arial" w:cs="Arial"/>
          <w:color w:val="000000"/>
          <w:sz w:val="18"/>
          <w:szCs w:val="18"/>
          <w:lang w:val="es-ES"/>
        </w:rPr>
      </w:pPr>
      <w:r w:rsidRPr="003D6465">
        <w:rPr>
          <w:rFonts w:ascii="Arial" w:hAnsi="Arial" w:cs="Arial"/>
          <w:color w:val="000000"/>
          <w:sz w:val="18"/>
          <w:szCs w:val="18"/>
        </w:rPr>
        <w:t>d) La comunicación de aceptación junto con la oferta constituye para todos los efectos el contrato celebrado, con base en lo cual se efectuará el respectivo registro presupuestal”.</w:t>
      </w:r>
    </w:p>
  </w:footnote>
  <w:footnote w:id="6">
    <w:p w14:paraId="55F07713" w14:textId="77777777" w:rsidR="008E7F5C" w:rsidRPr="003D6465" w:rsidRDefault="008E7F5C" w:rsidP="008E7F5C">
      <w:pPr>
        <w:pStyle w:val="Textonotapie"/>
        <w:ind w:firstLine="708"/>
        <w:jc w:val="both"/>
        <w:rPr>
          <w:rFonts w:ascii="Arial" w:hAnsi="Arial" w:cs="Arial"/>
          <w:sz w:val="18"/>
          <w:szCs w:val="18"/>
        </w:rPr>
      </w:pPr>
      <w:r w:rsidRPr="003D6465">
        <w:rPr>
          <w:rStyle w:val="Refdenotaalpie"/>
          <w:rFonts w:ascii="Arial" w:hAnsi="Arial" w:cs="Arial"/>
          <w:sz w:val="18"/>
          <w:szCs w:val="18"/>
        </w:rPr>
        <w:footnoteRef/>
      </w:r>
      <w:r w:rsidRPr="003D6465">
        <w:rPr>
          <w:rFonts w:ascii="Arial" w:hAnsi="Arial" w:cs="Arial"/>
          <w:sz w:val="18"/>
          <w:szCs w:val="18"/>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7">
    <w:p w14:paraId="0514ED4C" w14:textId="77777777" w:rsidR="008E7F5C" w:rsidRPr="003D6465" w:rsidRDefault="008E7F5C" w:rsidP="008E7F5C">
      <w:pPr>
        <w:pStyle w:val="Textonotapie"/>
        <w:ind w:firstLine="709"/>
        <w:jc w:val="both"/>
        <w:rPr>
          <w:rFonts w:ascii="Arial" w:hAnsi="Arial" w:cs="Arial"/>
          <w:color w:val="000000"/>
          <w:sz w:val="18"/>
          <w:szCs w:val="18"/>
          <w:lang w:val="es-ES_tradnl"/>
        </w:rPr>
      </w:pPr>
      <w:r w:rsidRPr="003D6465">
        <w:rPr>
          <w:rStyle w:val="Refdenotaalpie"/>
          <w:rFonts w:ascii="Arial" w:hAnsi="Arial" w:cs="Arial"/>
          <w:color w:val="000000"/>
          <w:sz w:val="18"/>
          <w:szCs w:val="18"/>
          <w:lang w:val="es-ES_tradnl"/>
        </w:rPr>
        <w:footnoteRef/>
      </w:r>
      <w:r w:rsidRPr="003D6465">
        <w:rPr>
          <w:rFonts w:ascii="Arial" w:hAnsi="Arial" w:cs="Arial"/>
          <w:color w:val="000000"/>
          <w:sz w:val="18"/>
          <w:szCs w:val="18"/>
          <w:lang w:val="es-ES_tradnl"/>
        </w:rPr>
        <w:t xml:space="preserve"> Esto lo ratifica el artículo 2.2.1.2.1.5.2. del Decreto 1082 de 2015.</w:t>
      </w:r>
    </w:p>
  </w:footnote>
  <w:footnote w:id="8">
    <w:p w14:paraId="0EE02479" w14:textId="77777777" w:rsidR="008E7F5C" w:rsidRPr="003D6465" w:rsidRDefault="008E7F5C" w:rsidP="008E7F5C">
      <w:pPr>
        <w:pStyle w:val="Textonotapie"/>
        <w:ind w:firstLine="709"/>
        <w:jc w:val="both"/>
        <w:rPr>
          <w:rFonts w:ascii="Arial" w:hAnsi="Arial" w:cs="Arial"/>
          <w:color w:val="000000"/>
          <w:sz w:val="18"/>
          <w:szCs w:val="18"/>
          <w:lang w:val="es-ES_tradnl"/>
        </w:rPr>
      </w:pPr>
      <w:r w:rsidRPr="003D6465">
        <w:rPr>
          <w:rStyle w:val="Refdenotaalpie"/>
          <w:rFonts w:ascii="Arial" w:hAnsi="Arial" w:cs="Arial"/>
          <w:color w:val="000000"/>
          <w:sz w:val="18"/>
          <w:szCs w:val="18"/>
          <w:lang w:val="es-ES_tradnl"/>
        </w:rPr>
        <w:footnoteRef/>
      </w:r>
      <w:r w:rsidRPr="003D6465">
        <w:rPr>
          <w:rFonts w:ascii="Arial" w:hAnsi="Arial" w:cs="Arial"/>
          <w:color w:val="000000"/>
          <w:sz w:val="18"/>
          <w:szCs w:val="18"/>
          <w:lang w:val="es-ES_tradnl"/>
        </w:rPr>
        <w:t xml:space="preserve"> DÁVILA VINUEZA, Luis Guillermo. Régimen jurídico de la contratación estatal. 3ª ed. Bogotá: Legis, 2016. p. 463.</w:t>
      </w:r>
    </w:p>
  </w:footnote>
  <w:footnote w:id="9">
    <w:p w14:paraId="47E401B6" w14:textId="77777777" w:rsidR="008E7F5C" w:rsidRPr="003D6465" w:rsidRDefault="008E7F5C" w:rsidP="008E7F5C">
      <w:pPr>
        <w:pStyle w:val="Textonotapie"/>
        <w:ind w:firstLine="709"/>
        <w:jc w:val="both"/>
        <w:rPr>
          <w:rFonts w:ascii="Arial" w:hAnsi="Arial" w:cs="Arial"/>
          <w:color w:val="000000"/>
          <w:sz w:val="18"/>
          <w:szCs w:val="18"/>
          <w:lang w:val="es-ES_tradnl"/>
        </w:rPr>
      </w:pPr>
      <w:r w:rsidRPr="003D6465">
        <w:rPr>
          <w:rStyle w:val="Refdenotaalpie"/>
          <w:rFonts w:ascii="Arial" w:hAnsi="Arial" w:cs="Arial"/>
          <w:color w:val="000000"/>
          <w:sz w:val="18"/>
          <w:szCs w:val="18"/>
          <w:lang w:val="es-ES_tradnl"/>
        </w:rPr>
        <w:footnoteRef/>
      </w:r>
      <w:r w:rsidRPr="003D6465">
        <w:rPr>
          <w:rFonts w:ascii="Arial" w:hAnsi="Arial" w:cs="Arial"/>
          <w:color w:val="000000"/>
          <w:sz w:val="18"/>
          <w:szCs w:val="18"/>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11226F19" w14:textId="77777777" w:rsidR="008E7F5C" w:rsidRPr="003D6465" w:rsidRDefault="008E7F5C" w:rsidP="008E7F5C">
      <w:pPr>
        <w:pStyle w:val="Textonotapie"/>
        <w:ind w:firstLine="709"/>
        <w:jc w:val="both"/>
        <w:rPr>
          <w:rFonts w:ascii="Arial" w:hAnsi="Arial" w:cs="Arial"/>
          <w:color w:val="000000"/>
          <w:sz w:val="18"/>
          <w:szCs w:val="18"/>
          <w:lang w:val="es-ES_tradnl"/>
        </w:rPr>
      </w:pPr>
      <w:r w:rsidRPr="003D6465">
        <w:rPr>
          <w:rFonts w:ascii="Arial" w:hAnsi="Arial" w:cs="Arial"/>
          <w:color w:val="000000"/>
          <w:sz w:val="18"/>
          <w:szCs w:val="18"/>
          <w:lang w:val="es-ES_tradnl"/>
        </w:rPr>
        <w:t>Para las entidades que tengan un presupuesto anual superior o igual a 1.200.000 salarios mínimos legales mensuales, la menor cuantía será hasta 1.000 salarios mínimos legales mensuales.</w:t>
      </w:r>
    </w:p>
    <w:p w14:paraId="710CCC99" w14:textId="77777777" w:rsidR="008E7F5C" w:rsidRPr="003D6465" w:rsidRDefault="008E7F5C" w:rsidP="008E7F5C">
      <w:pPr>
        <w:pStyle w:val="Textonotapie"/>
        <w:ind w:firstLine="709"/>
        <w:jc w:val="both"/>
        <w:rPr>
          <w:rFonts w:ascii="Arial" w:hAnsi="Arial" w:cs="Arial"/>
          <w:color w:val="000000"/>
          <w:sz w:val="18"/>
          <w:szCs w:val="18"/>
          <w:lang w:val="es-ES_tradnl"/>
        </w:rPr>
      </w:pPr>
      <w:r w:rsidRPr="003D6465">
        <w:rPr>
          <w:rFonts w:ascii="Arial" w:hAnsi="Arial" w:cs="Arial"/>
          <w:color w:val="000000"/>
          <w:sz w:val="18"/>
          <w:szCs w:val="18"/>
          <w:lang w:val="es-ES_tradnl"/>
        </w:rPr>
        <w:t>Las que tengan un presupuesto anual superior o igual a 850.000 salarios mínimos legales mensuales e inferiores a 1.200.000 salarios mínimos legales mensuales, la menor cuantía será hasta 850 salarios mínimos legales mensuales.</w:t>
      </w:r>
    </w:p>
    <w:p w14:paraId="13120478" w14:textId="77777777" w:rsidR="008E7F5C" w:rsidRPr="003D6465" w:rsidRDefault="008E7F5C" w:rsidP="008E7F5C">
      <w:pPr>
        <w:pStyle w:val="Textonotapie"/>
        <w:ind w:firstLine="709"/>
        <w:jc w:val="both"/>
        <w:rPr>
          <w:rFonts w:ascii="Arial" w:hAnsi="Arial" w:cs="Arial"/>
          <w:color w:val="000000"/>
          <w:sz w:val="18"/>
          <w:szCs w:val="18"/>
          <w:lang w:val="es-ES_tradnl"/>
        </w:rPr>
      </w:pPr>
      <w:r w:rsidRPr="003D6465">
        <w:rPr>
          <w:rFonts w:ascii="Arial" w:hAnsi="Arial" w:cs="Arial"/>
          <w:color w:val="000000"/>
          <w:sz w:val="18"/>
          <w:szCs w:val="18"/>
          <w:lang w:val="es-ES_tradnl"/>
        </w:rPr>
        <w:t>Las que tengan un presupuesto anual superior o igual a 400.000 salarios mínimos legales mensuales e inferior a 850.000 salarios mínimos legales mensuales, la menor cuantía será hasta 650 salarios mínimos legales mensuales.</w:t>
      </w:r>
    </w:p>
    <w:p w14:paraId="35421EE0" w14:textId="77777777" w:rsidR="008E7F5C" w:rsidRPr="003D6465" w:rsidRDefault="008E7F5C" w:rsidP="008E7F5C">
      <w:pPr>
        <w:pStyle w:val="Textonotapie"/>
        <w:ind w:firstLine="709"/>
        <w:jc w:val="both"/>
        <w:rPr>
          <w:rFonts w:ascii="Arial" w:hAnsi="Arial" w:cs="Arial"/>
          <w:color w:val="000000"/>
          <w:sz w:val="18"/>
          <w:szCs w:val="18"/>
          <w:lang w:val="es-ES_tradnl"/>
        </w:rPr>
      </w:pPr>
      <w:r w:rsidRPr="003D6465">
        <w:rPr>
          <w:rFonts w:ascii="Arial" w:hAnsi="Arial" w:cs="Arial"/>
          <w:color w:val="000000"/>
          <w:sz w:val="18"/>
          <w:szCs w:val="18"/>
          <w:lang w:val="es-ES_tradnl"/>
        </w:rPr>
        <w:t>Las que tengan un presupuesto anual superior o igual a 120.000 salarios mínimos legales mensuales e inferior a 400.000 salarios mínimos legales mensuales, la menor cuantía será hasta 450 salarios mínimos legales mensuales.</w:t>
      </w:r>
    </w:p>
    <w:p w14:paraId="44A74274" w14:textId="77777777" w:rsidR="008E7F5C" w:rsidRPr="003D6465" w:rsidRDefault="008E7F5C" w:rsidP="008E7F5C">
      <w:pPr>
        <w:pStyle w:val="Textonotapie"/>
        <w:ind w:firstLine="709"/>
        <w:jc w:val="both"/>
        <w:rPr>
          <w:rFonts w:ascii="Arial" w:hAnsi="Arial" w:cs="Arial"/>
          <w:color w:val="000000"/>
          <w:sz w:val="18"/>
          <w:szCs w:val="18"/>
          <w:lang w:val="es-ES_tradnl"/>
        </w:rPr>
      </w:pPr>
      <w:r w:rsidRPr="003D6465">
        <w:rPr>
          <w:rFonts w:ascii="Arial" w:hAnsi="Arial" w:cs="Arial"/>
          <w:color w:val="000000"/>
          <w:sz w:val="18"/>
          <w:szCs w:val="18"/>
          <w:lang w:val="es-ES_tradnl"/>
        </w:rPr>
        <w:t>Las que tengan un presupuesto anual inferior a 120.000 salarios mínimos legales mensuales, la menor cuantía será hasta 280 salarios mínimos legales mensuales”.</w:t>
      </w:r>
    </w:p>
  </w:footnote>
  <w:footnote w:id="10">
    <w:p w14:paraId="5FAD3621" w14:textId="77777777" w:rsidR="008E7F5C" w:rsidRPr="003D6465" w:rsidRDefault="008E7F5C" w:rsidP="008E7F5C">
      <w:pPr>
        <w:pStyle w:val="Textonotapie"/>
        <w:ind w:firstLine="709"/>
        <w:jc w:val="both"/>
        <w:rPr>
          <w:rFonts w:ascii="Arial" w:hAnsi="Arial" w:cs="Arial"/>
          <w:sz w:val="18"/>
          <w:szCs w:val="18"/>
        </w:rPr>
      </w:pPr>
      <w:r w:rsidRPr="003D6465">
        <w:rPr>
          <w:rStyle w:val="Refdenotaalpie"/>
          <w:rFonts w:ascii="Arial" w:hAnsi="Arial" w:cs="Arial"/>
          <w:sz w:val="18"/>
          <w:szCs w:val="18"/>
        </w:rPr>
        <w:footnoteRef/>
      </w:r>
      <w:r w:rsidRPr="003D6465">
        <w:rPr>
          <w:rFonts w:ascii="Arial" w:hAnsi="Arial" w:cs="Arial"/>
          <w:sz w:val="18"/>
          <w:szCs w:val="18"/>
        </w:rPr>
        <w:t xml:space="preserve"> </w:t>
      </w:r>
      <w:r w:rsidRPr="003D6465">
        <w:rPr>
          <w:rFonts w:ascii="Arial" w:hAnsi="Arial" w:cs="Arial"/>
          <w:color w:val="000000"/>
          <w:sz w:val="18"/>
          <w:szCs w:val="18"/>
          <w:lang w:val="es-ES_tradnl"/>
        </w:rPr>
        <w:t>“</w:t>
      </w:r>
      <w:r w:rsidRPr="003D6465">
        <w:rPr>
          <w:rFonts w:ascii="Arial" w:hAnsi="Arial" w:cs="Arial"/>
          <w:sz w:val="18"/>
          <w:szCs w:val="18"/>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3026F9A" w14:textId="77777777" w:rsidR="008E7F5C" w:rsidRPr="003D6465" w:rsidRDefault="008E7F5C" w:rsidP="008E7F5C">
      <w:pPr>
        <w:pStyle w:val="Textonotapie"/>
        <w:ind w:firstLine="709"/>
        <w:jc w:val="both"/>
        <w:rPr>
          <w:rFonts w:ascii="Arial" w:hAnsi="Arial" w:cs="Arial"/>
          <w:sz w:val="18"/>
          <w:szCs w:val="18"/>
        </w:rPr>
      </w:pPr>
      <w:r w:rsidRPr="003D6465">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Pr>
          <w:rFonts w:ascii="Arial" w:hAnsi="Arial" w:cs="Arial"/>
          <w:sz w:val="18"/>
          <w:szCs w:val="18"/>
        </w:rPr>
        <w:t xml:space="preserve"> (…)</w:t>
      </w:r>
      <w:r w:rsidRPr="003D6465">
        <w:rPr>
          <w:rFonts w:ascii="Arial" w:hAnsi="Arial" w:cs="Arial"/>
          <w:color w:val="000000"/>
          <w:sz w:val="18"/>
          <w:szCs w:val="18"/>
          <w:lang w:val="es-ES_tradnl"/>
        </w:rPr>
        <w:t>”</w:t>
      </w:r>
      <w:r>
        <w:rPr>
          <w:rFonts w:ascii="Arial" w:hAnsi="Arial" w:cs="Arial"/>
          <w:color w:val="000000"/>
          <w:sz w:val="18"/>
          <w:szCs w:val="18"/>
          <w:lang w:val="es-ES_tradnl"/>
        </w:rPr>
        <w:t>.</w:t>
      </w:r>
    </w:p>
  </w:footnote>
  <w:footnote w:id="11">
    <w:p w14:paraId="5F8011BA" w14:textId="77777777" w:rsidR="008E7F5C" w:rsidRPr="003D6465" w:rsidRDefault="008E7F5C" w:rsidP="008E7F5C">
      <w:pPr>
        <w:pStyle w:val="Textonotapie"/>
        <w:ind w:firstLine="708"/>
        <w:jc w:val="both"/>
        <w:rPr>
          <w:rFonts w:ascii="Arial" w:hAnsi="Arial" w:cs="Arial"/>
          <w:sz w:val="18"/>
          <w:szCs w:val="18"/>
        </w:rPr>
      </w:pPr>
      <w:r w:rsidRPr="003D6465">
        <w:rPr>
          <w:rStyle w:val="Refdenotaalpie"/>
          <w:rFonts w:ascii="Arial" w:hAnsi="Arial" w:cs="Arial"/>
          <w:sz w:val="18"/>
          <w:szCs w:val="18"/>
        </w:rPr>
        <w:footnoteRef/>
      </w:r>
      <w:r w:rsidRPr="003D6465">
        <w:rPr>
          <w:rFonts w:ascii="Arial" w:hAnsi="Arial" w:cs="Arial"/>
          <w:sz w:val="18"/>
          <w:szCs w:val="18"/>
        </w:rPr>
        <w:t xml:space="preserve">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footnote>
  <w:footnote w:id="12">
    <w:p w14:paraId="4F3501E8" w14:textId="77777777" w:rsidR="008E7F5C" w:rsidRPr="003D6465" w:rsidRDefault="008E7F5C" w:rsidP="008E7F5C">
      <w:pPr>
        <w:pStyle w:val="Textonotapie"/>
        <w:ind w:firstLine="709"/>
        <w:jc w:val="both"/>
        <w:rPr>
          <w:rFonts w:ascii="Arial" w:hAnsi="Arial" w:cs="Arial"/>
          <w:color w:val="000000"/>
          <w:sz w:val="18"/>
          <w:szCs w:val="18"/>
          <w:lang w:val="es-ES_tradnl"/>
        </w:rPr>
      </w:pPr>
      <w:r w:rsidRPr="003D6465">
        <w:rPr>
          <w:rStyle w:val="Refdenotaalpie"/>
          <w:rFonts w:ascii="Arial" w:hAnsi="Arial" w:cs="Arial"/>
          <w:color w:val="000000"/>
          <w:sz w:val="18"/>
          <w:szCs w:val="18"/>
          <w:lang w:val="es-ES_tradnl"/>
        </w:rPr>
        <w:footnoteRef/>
      </w:r>
      <w:r w:rsidRPr="003D6465">
        <w:rPr>
          <w:rFonts w:ascii="Arial" w:hAnsi="Arial" w:cs="Arial"/>
          <w:color w:val="000000"/>
          <w:sz w:val="18"/>
          <w:szCs w:val="18"/>
          <w:lang w:val="es-ES_tradnl"/>
        </w:rPr>
        <w:t xml:space="preserve"> Como lo indica la doctrina, en la mínima cuantía “El precio es el factor de selección del proponente. Es decir, la </w:t>
      </w:r>
      <w:r w:rsidRPr="003D6465">
        <w:rPr>
          <w:rFonts w:ascii="Arial" w:hAnsi="Arial" w:cs="Arial"/>
          <w:i/>
          <w:iCs/>
          <w:color w:val="000000"/>
          <w:sz w:val="18"/>
          <w:szCs w:val="18"/>
          <w:lang w:val="es-ES_tradnl"/>
        </w:rPr>
        <w:t>entidad estatal</w:t>
      </w:r>
      <w:r w:rsidRPr="003D6465">
        <w:rPr>
          <w:rFonts w:ascii="Arial" w:hAnsi="Arial" w:cs="Arial"/>
          <w:color w:val="000000"/>
          <w:sz w:val="18"/>
          <w:szCs w:val="18"/>
          <w:lang w:val="es-ES_tradnl"/>
        </w:rPr>
        <w:t xml:space="preserve"> debe adjudicar el </w:t>
      </w:r>
      <w:r w:rsidRPr="003D6465">
        <w:rPr>
          <w:rFonts w:ascii="Arial" w:hAnsi="Arial" w:cs="Arial"/>
          <w:i/>
          <w:iCs/>
          <w:color w:val="000000"/>
          <w:sz w:val="18"/>
          <w:szCs w:val="18"/>
          <w:lang w:val="es-ES_tradnl"/>
        </w:rPr>
        <w:t>proceso de contratación</w:t>
      </w:r>
      <w:r w:rsidRPr="003D6465">
        <w:rPr>
          <w:rFonts w:ascii="Arial" w:hAnsi="Arial" w:cs="Arial"/>
          <w:color w:val="000000"/>
          <w:sz w:val="18"/>
          <w:szCs w:val="18"/>
          <w:lang w:val="es-ES_tradnl"/>
        </w:rPr>
        <w:t xml:space="preserve"> al oferente que cumpla con todas las condiciones exigidas por la </w:t>
      </w:r>
      <w:r w:rsidRPr="003D6465">
        <w:rPr>
          <w:rFonts w:ascii="Arial" w:hAnsi="Arial" w:cs="Arial"/>
          <w:i/>
          <w:iCs/>
          <w:color w:val="000000"/>
          <w:sz w:val="18"/>
          <w:szCs w:val="18"/>
          <w:lang w:val="es-ES_tradnl"/>
        </w:rPr>
        <w:t>entidad estatal</w:t>
      </w:r>
      <w:r w:rsidRPr="003D6465">
        <w:rPr>
          <w:rFonts w:ascii="Arial" w:hAnsi="Arial" w:cs="Arial"/>
          <w:color w:val="000000"/>
          <w:sz w:val="18"/>
          <w:szCs w:val="18"/>
          <w:lang w:val="es-ES_tradnl"/>
        </w:rPr>
        <w:t xml:space="preserve"> en los </w:t>
      </w:r>
      <w:r w:rsidRPr="003D6465">
        <w:rPr>
          <w:rFonts w:ascii="Arial" w:hAnsi="Arial" w:cs="Arial"/>
          <w:i/>
          <w:iCs/>
          <w:color w:val="000000"/>
          <w:sz w:val="18"/>
          <w:szCs w:val="18"/>
          <w:lang w:val="es-ES_tradnl"/>
        </w:rPr>
        <w:t>documentos del proceso</w:t>
      </w:r>
      <w:r w:rsidRPr="003D6465">
        <w:rPr>
          <w:rFonts w:ascii="Arial" w:hAnsi="Arial" w:cs="Arial"/>
          <w:color w:val="000000"/>
          <w:sz w:val="18"/>
          <w:szCs w:val="18"/>
          <w:lang w:val="es-ES_tradnl"/>
        </w:rPr>
        <w:t xml:space="preserve"> (estudios previos e invitación a participar), y que ofrezca el menor valor. No hay lugar a puntajes para evaluar las ofertas sobre las características del objeto a contratar, su calidad o condiciones” (DÁVILA, Op.cit., p. 515).</w:t>
      </w:r>
    </w:p>
  </w:footnote>
  <w:footnote w:id="13">
    <w:p w14:paraId="3F970C5B" w14:textId="77777777" w:rsidR="008E7F5C" w:rsidRPr="00EE341D" w:rsidRDefault="008E7F5C" w:rsidP="008E7F5C">
      <w:pPr>
        <w:pStyle w:val="Textonotapie"/>
        <w:ind w:firstLine="708"/>
        <w:jc w:val="both"/>
        <w:rPr>
          <w:rFonts w:ascii="Arial" w:hAnsi="Arial" w:cs="Arial"/>
          <w:sz w:val="19"/>
          <w:szCs w:val="19"/>
        </w:rPr>
      </w:pPr>
      <w:r w:rsidRPr="003D6465">
        <w:rPr>
          <w:rStyle w:val="Refdenotaalpie"/>
          <w:rFonts w:ascii="Arial" w:hAnsi="Arial" w:cs="Arial"/>
          <w:sz w:val="18"/>
          <w:szCs w:val="18"/>
        </w:rPr>
        <w:footnoteRef/>
      </w:r>
      <w:r w:rsidRPr="003D6465">
        <w:rPr>
          <w:rFonts w:ascii="Arial" w:hAnsi="Arial" w:cs="Arial"/>
          <w:sz w:val="18"/>
          <w:szCs w:val="18"/>
        </w:rPr>
        <w:t xml:space="preserve"> Este monto fue publicado por la Agencia Nacional de Contratación Pública – Colombia Compra Eficiente, de acuerdo con la información remitida por el Ministerio de Comercio Industria y Turismo, disponible en el siguiente enlace: </w:t>
      </w:r>
      <w:hyperlink r:id="rId2" w:history="1">
        <w:r w:rsidRPr="003D6465">
          <w:rPr>
            <w:rStyle w:val="Hipervnculo"/>
            <w:rFonts w:ascii="Arial" w:eastAsiaTheme="majorEastAsia" w:hAnsi="Arial" w:cs="Arial"/>
            <w:color w:val="000000" w:themeColor="text1"/>
            <w:sz w:val="18"/>
            <w:szCs w:val="18"/>
          </w:rPr>
          <w:t>https://www.colombiacompra.gov.co/sites/cce_public/files/files_2020/vf_umbrales_actualizaciones_2022_-_2023_1.pdf</w:t>
        </w:r>
      </w:hyperlink>
      <w:r w:rsidRPr="003D6465">
        <w:rPr>
          <w:rFonts w:ascii="Arial" w:hAnsi="Arial" w:cs="Arial"/>
          <w:color w:val="000000" w:themeColor="text1"/>
          <w:sz w:val="18"/>
          <w:szCs w:val="18"/>
        </w:rPr>
        <w:t xml:space="preserve">. </w:t>
      </w:r>
      <w:r w:rsidRPr="003D6465">
        <w:rPr>
          <w:rFonts w:ascii="Arial" w:hAnsi="Arial" w:cs="Arial"/>
          <w:sz w:val="18"/>
          <w:szCs w:val="18"/>
        </w:rPr>
        <w:t>Allí se señala que el monto corresponde a $ 457.297.264.</w:t>
      </w:r>
    </w:p>
  </w:footnote>
  <w:footnote w:id="14">
    <w:p w14:paraId="20C1C831" w14:textId="77777777" w:rsidR="008E7F5C" w:rsidRPr="00B355C9" w:rsidRDefault="008E7F5C" w:rsidP="008E7F5C">
      <w:pPr>
        <w:pStyle w:val="Textonotapie"/>
        <w:ind w:firstLine="709"/>
        <w:jc w:val="both"/>
      </w:pPr>
      <w:r>
        <w:rPr>
          <w:rStyle w:val="Refdenotaalpie"/>
        </w:rPr>
        <w:footnoteRef/>
      </w:r>
      <w:r>
        <w:t xml:space="preserve"> </w:t>
      </w:r>
      <w:r>
        <w:rPr>
          <w:rFonts w:ascii="Arial" w:hAnsi="Arial" w:cs="Arial"/>
          <w:sz w:val="19"/>
          <w:szCs w:val="19"/>
          <w:lang w:val="es-ES"/>
        </w:rPr>
        <w:t>La memoria justificativa puede consultarse en el enlace</w:t>
      </w:r>
      <w:r w:rsidRPr="00B355C9">
        <w:rPr>
          <w:rFonts w:ascii="Arial" w:hAnsi="Arial" w:cs="Arial"/>
          <w:color w:val="000000" w:themeColor="text1"/>
          <w:sz w:val="19"/>
          <w:szCs w:val="19"/>
          <w:lang w:val="es-ES"/>
        </w:rPr>
        <w:t>:</w:t>
      </w:r>
      <w:r>
        <w:rPr>
          <w:rFonts w:ascii="Arial" w:hAnsi="Arial" w:cs="Arial"/>
          <w:color w:val="000000" w:themeColor="text1"/>
          <w:sz w:val="19"/>
          <w:szCs w:val="19"/>
          <w:lang w:val="es-ES"/>
        </w:rPr>
        <w:t xml:space="preserve"> </w:t>
      </w:r>
      <w:hyperlink r:id="rId3" w:history="1">
        <w:r w:rsidRPr="00C86CC7">
          <w:rPr>
            <w:rStyle w:val="Hipervnculo"/>
            <w:rFonts w:ascii="Arial" w:eastAsiaTheme="majorEastAsia" w:hAnsi="Arial" w:cs="Arial"/>
            <w:sz w:val="19"/>
            <w:szCs w:val="19"/>
          </w:rPr>
          <w:t>https://www.dnp.gov.co/Paginas/Proyecto-de-Decreto.aspx</w:t>
        </w:r>
      </w:hyperlink>
      <w:r w:rsidRPr="00B355C9">
        <w:rPr>
          <w:rFonts w:ascii="Arial" w:hAnsi="Arial" w:cs="Arial"/>
          <w:color w:val="000000" w:themeColor="text1"/>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3C04" w14:textId="77777777" w:rsidR="00D8156F" w:rsidRDefault="00D8156F" w:rsidP="00D8156F">
    <w:pPr>
      <w:pStyle w:val="Encabezado"/>
      <w:jc w:val="right"/>
    </w:pPr>
    <w:r w:rsidRPr="00852E0B">
      <w:rPr>
        <w:noProof/>
        <w:color w:val="46589C"/>
      </w:rPr>
      <w:drawing>
        <wp:anchor distT="0" distB="0" distL="114300" distR="114300" simplePos="0" relativeHeight="251658241" behindDoc="1" locked="0" layoutInCell="1" allowOverlap="1" wp14:anchorId="0C9C3044" wp14:editId="5EF4565A">
          <wp:simplePos x="0" y="0"/>
          <wp:positionH relativeFrom="margin">
            <wp:align>right</wp:align>
          </wp:positionH>
          <wp:positionV relativeFrom="topMargin">
            <wp:posOffset>325120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noProof/>
        <w:color w:val="46589C"/>
      </w:rPr>
      <w:drawing>
        <wp:anchor distT="0" distB="0" distL="114300" distR="114300" simplePos="0" relativeHeight="251658240" behindDoc="0" locked="0" layoutInCell="1" allowOverlap="1" wp14:anchorId="5EA196A1" wp14:editId="781C99D1">
          <wp:simplePos x="0" y="0"/>
          <wp:positionH relativeFrom="margin">
            <wp:align>left</wp:align>
          </wp:positionH>
          <wp:positionV relativeFrom="paragraph">
            <wp:posOffset>-50165</wp:posOffset>
          </wp:positionV>
          <wp:extent cx="1399540" cy="485775"/>
          <wp:effectExtent l="0" t="0" r="0" b="9525"/>
          <wp:wrapThrough wrapText="bothSides">
            <wp:wrapPolygon edited="0">
              <wp:start x="0" y="0"/>
              <wp:lineTo x="0" y="21176"/>
              <wp:lineTo x="21169" y="21176"/>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399540" cy="485775"/>
                  </a:xfrm>
                  <a:prstGeom prst="rect">
                    <a:avLst/>
                  </a:prstGeom>
                </pic:spPr>
              </pic:pic>
            </a:graphicData>
          </a:graphic>
          <wp14:sizeRelH relativeFrom="page">
            <wp14:pctWidth>0</wp14:pctWidth>
          </wp14:sizeRelH>
          <wp14:sizeRelV relativeFrom="page">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58242" behindDoc="0" locked="0" layoutInCell="1" allowOverlap="1" wp14:anchorId="7C45E660" wp14:editId="20A3F008">
          <wp:simplePos x="0" y="0"/>
          <wp:positionH relativeFrom="page">
            <wp:posOffset>7128510</wp:posOffset>
          </wp:positionH>
          <wp:positionV relativeFrom="margin">
            <wp:posOffset>-2049145</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962149914" name="Picture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E4A376C" w14:textId="77777777" w:rsidR="00D8156F" w:rsidRDefault="00D8156F" w:rsidP="00D8156F">
    <w:pPr>
      <w:pStyle w:val="Encabezado"/>
      <w:rPr>
        <w:rFonts w:ascii="Geomanist Bold" w:hAnsi="Geomanist Bold"/>
        <w:b/>
        <w:bCs/>
        <w:color w:val="002060"/>
        <w:sz w:val="24"/>
        <w:szCs w:val="24"/>
      </w:rPr>
    </w:pPr>
  </w:p>
  <w:p w14:paraId="603D1F7F" w14:textId="77777777" w:rsidR="00D8156F" w:rsidRDefault="00D8156F" w:rsidP="00D8156F">
    <w:pPr>
      <w:pStyle w:val="Encabezado"/>
      <w:jc w:val="both"/>
      <w:rPr>
        <w:rFonts w:ascii="Century Gothic" w:hAnsi="Century Gothic"/>
        <w:b/>
        <w:bCs/>
        <w:color w:val="002060"/>
        <w:sz w:val="24"/>
        <w:szCs w:val="24"/>
      </w:rPr>
    </w:pPr>
  </w:p>
  <w:p w14:paraId="2643947D" w14:textId="77777777" w:rsidR="00D8156F" w:rsidRDefault="00D815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BDD"/>
    <w:multiLevelType w:val="multilevel"/>
    <w:tmpl w:val="118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E64B2"/>
    <w:multiLevelType w:val="multilevel"/>
    <w:tmpl w:val="99F8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E84421"/>
    <w:multiLevelType w:val="hybridMultilevel"/>
    <w:tmpl w:val="111235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473A2F93"/>
    <w:multiLevelType w:val="multilevel"/>
    <w:tmpl w:val="C90C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A00E35"/>
    <w:multiLevelType w:val="hybridMultilevel"/>
    <w:tmpl w:val="AC7E0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CE4DAF"/>
    <w:multiLevelType w:val="hybridMultilevel"/>
    <w:tmpl w:val="EFBEF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4830B1"/>
    <w:multiLevelType w:val="hybridMultilevel"/>
    <w:tmpl w:val="63868F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53835457">
    <w:abstractNumId w:val="4"/>
  </w:num>
  <w:num w:numId="2" w16cid:durableId="1267276449">
    <w:abstractNumId w:val="2"/>
  </w:num>
  <w:num w:numId="3" w16cid:durableId="864678">
    <w:abstractNumId w:val="5"/>
  </w:num>
  <w:num w:numId="4" w16cid:durableId="1122917808">
    <w:abstractNumId w:val="6"/>
  </w:num>
  <w:num w:numId="5" w16cid:durableId="1961954019">
    <w:abstractNumId w:val="1"/>
  </w:num>
  <w:num w:numId="6" w16cid:durableId="1569341092">
    <w:abstractNumId w:val="3"/>
  </w:num>
  <w:num w:numId="7" w16cid:durableId="173384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57"/>
    <w:rsid w:val="00060AEB"/>
    <w:rsid w:val="00062733"/>
    <w:rsid w:val="00165D84"/>
    <w:rsid w:val="001D7B96"/>
    <w:rsid w:val="00221626"/>
    <w:rsid w:val="0034679A"/>
    <w:rsid w:val="0037373B"/>
    <w:rsid w:val="00463A57"/>
    <w:rsid w:val="00467EC2"/>
    <w:rsid w:val="00470EA4"/>
    <w:rsid w:val="005608D0"/>
    <w:rsid w:val="005874F9"/>
    <w:rsid w:val="005D60AA"/>
    <w:rsid w:val="005D7456"/>
    <w:rsid w:val="006B6343"/>
    <w:rsid w:val="006C3E05"/>
    <w:rsid w:val="006F24BC"/>
    <w:rsid w:val="00757CB2"/>
    <w:rsid w:val="0079365C"/>
    <w:rsid w:val="00822722"/>
    <w:rsid w:val="008670D0"/>
    <w:rsid w:val="008A004D"/>
    <w:rsid w:val="008E7F5C"/>
    <w:rsid w:val="009D781D"/>
    <w:rsid w:val="00A07C32"/>
    <w:rsid w:val="00A554EA"/>
    <w:rsid w:val="00B170DC"/>
    <w:rsid w:val="00B55C9B"/>
    <w:rsid w:val="00BA1A16"/>
    <w:rsid w:val="00CEDA2B"/>
    <w:rsid w:val="00D5784D"/>
    <w:rsid w:val="00D8156F"/>
    <w:rsid w:val="00DA35A5"/>
    <w:rsid w:val="00DB034B"/>
    <w:rsid w:val="00E94C6D"/>
    <w:rsid w:val="00E994FA"/>
    <w:rsid w:val="00F03EF6"/>
    <w:rsid w:val="00F6068B"/>
    <w:rsid w:val="00F62103"/>
    <w:rsid w:val="01F6804A"/>
    <w:rsid w:val="01F7A2E8"/>
    <w:rsid w:val="0209A62F"/>
    <w:rsid w:val="03736145"/>
    <w:rsid w:val="03FDFC83"/>
    <w:rsid w:val="05F7FF85"/>
    <w:rsid w:val="14375986"/>
    <w:rsid w:val="14485079"/>
    <w:rsid w:val="164B99E1"/>
    <w:rsid w:val="16ED00BE"/>
    <w:rsid w:val="1768641A"/>
    <w:rsid w:val="17DE5D22"/>
    <w:rsid w:val="18B4B033"/>
    <w:rsid w:val="18CC8167"/>
    <w:rsid w:val="18F7FD60"/>
    <w:rsid w:val="1912B82F"/>
    <w:rsid w:val="1B119483"/>
    <w:rsid w:val="1D4F56BB"/>
    <w:rsid w:val="1D52C02C"/>
    <w:rsid w:val="1D7949C3"/>
    <w:rsid w:val="1E963578"/>
    <w:rsid w:val="1FC9AE5C"/>
    <w:rsid w:val="20DB822F"/>
    <w:rsid w:val="2191C232"/>
    <w:rsid w:val="22B99A75"/>
    <w:rsid w:val="2A10C4C6"/>
    <w:rsid w:val="2BE45C4A"/>
    <w:rsid w:val="2C597758"/>
    <w:rsid w:val="2C6BCFB5"/>
    <w:rsid w:val="2C929358"/>
    <w:rsid w:val="2D4423C9"/>
    <w:rsid w:val="2E5DF1EC"/>
    <w:rsid w:val="3057FD44"/>
    <w:rsid w:val="322FC15A"/>
    <w:rsid w:val="33F55DF3"/>
    <w:rsid w:val="349E1BC8"/>
    <w:rsid w:val="35E7C944"/>
    <w:rsid w:val="36F92748"/>
    <w:rsid w:val="389657BE"/>
    <w:rsid w:val="39101CAB"/>
    <w:rsid w:val="39718CEB"/>
    <w:rsid w:val="3A199A59"/>
    <w:rsid w:val="3B57C459"/>
    <w:rsid w:val="3D0334DE"/>
    <w:rsid w:val="3E8A04F0"/>
    <w:rsid w:val="4088DBDD"/>
    <w:rsid w:val="4094A8F6"/>
    <w:rsid w:val="40AE8B60"/>
    <w:rsid w:val="411DF3C9"/>
    <w:rsid w:val="416D46D1"/>
    <w:rsid w:val="41CA8A26"/>
    <w:rsid w:val="4331166B"/>
    <w:rsid w:val="436F64D6"/>
    <w:rsid w:val="44D1D384"/>
    <w:rsid w:val="454ADE37"/>
    <w:rsid w:val="47AC7E9F"/>
    <w:rsid w:val="490296E1"/>
    <w:rsid w:val="4AD8AD44"/>
    <w:rsid w:val="4C8B6E4B"/>
    <w:rsid w:val="4E93EC73"/>
    <w:rsid w:val="4F4BABB9"/>
    <w:rsid w:val="502FBCD4"/>
    <w:rsid w:val="509D77CD"/>
    <w:rsid w:val="51799A3D"/>
    <w:rsid w:val="5239482E"/>
    <w:rsid w:val="52D9EA48"/>
    <w:rsid w:val="52E117ED"/>
    <w:rsid w:val="52F4455F"/>
    <w:rsid w:val="531D5824"/>
    <w:rsid w:val="54CA635C"/>
    <w:rsid w:val="54CE409C"/>
    <w:rsid w:val="5654F8E6"/>
    <w:rsid w:val="5740CE53"/>
    <w:rsid w:val="58EA26A2"/>
    <w:rsid w:val="59B679B4"/>
    <w:rsid w:val="5A344D31"/>
    <w:rsid w:val="5A786F15"/>
    <w:rsid w:val="5C143F76"/>
    <w:rsid w:val="5DDBD56A"/>
    <w:rsid w:val="5E45539A"/>
    <w:rsid w:val="5E91C203"/>
    <w:rsid w:val="5F26A4FD"/>
    <w:rsid w:val="60B4DF8D"/>
    <w:rsid w:val="612192D4"/>
    <w:rsid w:val="63EC804F"/>
    <w:rsid w:val="64CF4C4F"/>
    <w:rsid w:val="65E14D37"/>
    <w:rsid w:val="6941B40C"/>
    <w:rsid w:val="69CD5D14"/>
    <w:rsid w:val="69EDFB47"/>
    <w:rsid w:val="6B3E8DD3"/>
    <w:rsid w:val="6C632DDB"/>
    <w:rsid w:val="6D89FF43"/>
    <w:rsid w:val="6DE66D57"/>
    <w:rsid w:val="6E1C0C7D"/>
    <w:rsid w:val="6E604A80"/>
    <w:rsid w:val="6F2A25C2"/>
    <w:rsid w:val="70A0E407"/>
    <w:rsid w:val="70D14212"/>
    <w:rsid w:val="74AC65E8"/>
    <w:rsid w:val="75B81D29"/>
    <w:rsid w:val="7803E87E"/>
    <w:rsid w:val="7D6C0A09"/>
    <w:rsid w:val="7D97661E"/>
    <w:rsid w:val="7ED4CED2"/>
    <w:rsid w:val="7FEACD6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4CB9"/>
  <w15:chartTrackingRefBased/>
  <w15:docId w15:val="{5B8805EB-CBB1-4DAF-BBAE-055F8BDF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63A57"/>
    <w:rPr>
      <w:b/>
      <w:bCs/>
    </w:rPr>
  </w:style>
  <w:style w:type="character" w:styleId="nfasis">
    <w:name w:val="Emphasis"/>
    <w:basedOn w:val="Fuentedeprrafopredeter"/>
    <w:uiPriority w:val="20"/>
    <w:qFormat/>
    <w:rsid w:val="00463A57"/>
    <w:rPr>
      <w:i/>
      <w:iCs/>
    </w:rPr>
  </w:style>
  <w:style w:type="character" w:customStyle="1" w:styleId="normaltextrun">
    <w:name w:val="normaltextrun"/>
    <w:basedOn w:val="Fuentedeprrafopredeter"/>
    <w:rsid w:val="00463A57"/>
  </w:style>
  <w:style w:type="character" w:customStyle="1" w:styleId="eop">
    <w:name w:val="eop"/>
    <w:basedOn w:val="Fuentedeprrafopredeter"/>
    <w:rsid w:val="00463A57"/>
  </w:style>
  <w:style w:type="paragraph" w:customStyle="1" w:styleId="paragraph">
    <w:name w:val="paragraph"/>
    <w:basedOn w:val="Normal"/>
    <w:rsid w:val="00463A5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463A57"/>
    <w:pPr>
      <w:ind w:left="720"/>
      <w:contextualSpacing/>
    </w:pPr>
  </w:style>
  <w:style w:type="character" w:styleId="Hipervnculo">
    <w:name w:val="Hyperlink"/>
    <w:basedOn w:val="Fuentedeprrafopredeter"/>
    <w:uiPriority w:val="99"/>
    <w:unhideWhenUsed/>
    <w:rsid w:val="00F6068B"/>
    <w:rPr>
      <w:color w:val="0000FF"/>
      <w:u w:val="single"/>
    </w:rPr>
  </w:style>
  <w:style w:type="character" w:styleId="Mencinsinresolver">
    <w:name w:val="Unresolved Mention"/>
    <w:basedOn w:val="Fuentedeprrafopredeter"/>
    <w:uiPriority w:val="99"/>
    <w:semiHidden/>
    <w:unhideWhenUsed/>
    <w:rsid w:val="00D8156F"/>
    <w:rPr>
      <w:color w:val="605E5C"/>
      <w:shd w:val="clear" w:color="auto" w:fill="E1DFDD"/>
    </w:rPr>
  </w:style>
  <w:style w:type="paragraph" w:styleId="Encabezado">
    <w:name w:val="header"/>
    <w:basedOn w:val="Normal"/>
    <w:link w:val="EncabezadoCar"/>
    <w:uiPriority w:val="99"/>
    <w:unhideWhenUsed/>
    <w:rsid w:val="00D81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56F"/>
  </w:style>
  <w:style w:type="paragraph" w:styleId="Piedepgina">
    <w:name w:val="footer"/>
    <w:basedOn w:val="Normal"/>
    <w:link w:val="PiedepginaCar"/>
    <w:uiPriority w:val="99"/>
    <w:unhideWhenUsed/>
    <w:rsid w:val="00D81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56F"/>
  </w:style>
  <w:style w:type="table" w:styleId="Tablaconcuadrcula">
    <w:name w:val="Table Grid"/>
    <w:basedOn w:val="Tablanormal"/>
    <w:uiPriority w:val="59"/>
    <w:qFormat/>
    <w:rsid w:val="00D8156F"/>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E7F5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E7F5C"/>
    <w:pPr>
      <w:spacing w:after="0" w:line="240" w:lineRule="auto"/>
    </w:pPr>
    <w:rPr>
      <w:sz w:val="20"/>
      <w:szCs w:val="20"/>
      <w:lang w:val="es-MX"/>
    </w:rPr>
  </w:style>
  <w:style w:type="character" w:customStyle="1" w:styleId="TextonotapieCar1">
    <w:name w:val="Texto nota pie Car1"/>
    <w:basedOn w:val="Fuentedeprrafopredeter"/>
    <w:uiPriority w:val="99"/>
    <w:semiHidden/>
    <w:rsid w:val="008E7F5C"/>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E7F5C"/>
    <w:rPr>
      <w:vertAlign w:val="superscript"/>
    </w:rPr>
  </w:style>
  <w:style w:type="paragraph" w:customStyle="1" w:styleId="Appelnotedebasde">
    <w:name w:val="Appel note de bas de..."/>
    <w:basedOn w:val="Normal"/>
    <w:link w:val="Refdenotaalpie"/>
    <w:uiPriority w:val="99"/>
    <w:rsid w:val="008E7F5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17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0"/>
          <w:divBdr>
            <w:top w:val="none" w:sz="0" w:space="0" w:color="auto"/>
            <w:left w:val="none" w:sz="0" w:space="0" w:color="auto"/>
            <w:bottom w:val="none" w:sz="0" w:space="0" w:color="auto"/>
            <w:right w:val="none" w:sz="0" w:space="0" w:color="auto"/>
          </w:divBdr>
        </w:div>
        <w:div w:id="1220677316">
          <w:marLeft w:val="0"/>
          <w:marRight w:val="0"/>
          <w:marTop w:val="0"/>
          <w:marBottom w:val="0"/>
          <w:divBdr>
            <w:top w:val="none" w:sz="0" w:space="0" w:color="auto"/>
            <w:left w:val="none" w:sz="0" w:space="0" w:color="auto"/>
            <w:bottom w:val="none" w:sz="0" w:space="0" w:color="auto"/>
            <w:right w:val="none" w:sz="0" w:space="0" w:color="auto"/>
          </w:divBdr>
        </w:div>
      </w:divsChild>
    </w:div>
    <w:div w:id="139931808">
      <w:bodyDiv w:val="1"/>
      <w:marLeft w:val="0"/>
      <w:marRight w:val="0"/>
      <w:marTop w:val="0"/>
      <w:marBottom w:val="0"/>
      <w:divBdr>
        <w:top w:val="none" w:sz="0" w:space="0" w:color="auto"/>
        <w:left w:val="none" w:sz="0" w:space="0" w:color="auto"/>
        <w:bottom w:val="none" w:sz="0" w:space="0" w:color="auto"/>
        <w:right w:val="none" w:sz="0" w:space="0" w:color="auto"/>
      </w:divBdr>
    </w:div>
    <w:div w:id="535509948">
      <w:bodyDiv w:val="1"/>
      <w:marLeft w:val="0"/>
      <w:marRight w:val="0"/>
      <w:marTop w:val="0"/>
      <w:marBottom w:val="0"/>
      <w:divBdr>
        <w:top w:val="none" w:sz="0" w:space="0" w:color="auto"/>
        <w:left w:val="none" w:sz="0" w:space="0" w:color="auto"/>
        <w:bottom w:val="none" w:sz="0" w:space="0" w:color="auto"/>
        <w:right w:val="none" w:sz="0" w:space="0" w:color="auto"/>
      </w:divBdr>
      <w:divsChild>
        <w:div w:id="209415134">
          <w:marLeft w:val="0"/>
          <w:marRight w:val="0"/>
          <w:marTop w:val="0"/>
          <w:marBottom w:val="0"/>
          <w:divBdr>
            <w:top w:val="none" w:sz="0" w:space="0" w:color="auto"/>
            <w:left w:val="none" w:sz="0" w:space="0" w:color="auto"/>
            <w:bottom w:val="none" w:sz="0" w:space="0" w:color="auto"/>
            <w:right w:val="none" w:sz="0" w:space="0" w:color="auto"/>
          </w:divBdr>
        </w:div>
        <w:div w:id="1111432835">
          <w:marLeft w:val="0"/>
          <w:marRight w:val="0"/>
          <w:marTop w:val="0"/>
          <w:marBottom w:val="0"/>
          <w:divBdr>
            <w:top w:val="none" w:sz="0" w:space="0" w:color="auto"/>
            <w:left w:val="none" w:sz="0" w:space="0" w:color="auto"/>
            <w:bottom w:val="none" w:sz="0" w:space="0" w:color="auto"/>
            <w:right w:val="none" w:sz="0" w:space="0" w:color="auto"/>
          </w:divBdr>
        </w:div>
        <w:div w:id="1325889448">
          <w:marLeft w:val="0"/>
          <w:marRight w:val="0"/>
          <w:marTop w:val="0"/>
          <w:marBottom w:val="0"/>
          <w:divBdr>
            <w:top w:val="none" w:sz="0" w:space="0" w:color="auto"/>
            <w:left w:val="none" w:sz="0" w:space="0" w:color="auto"/>
            <w:bottom w:val="none" w:sz="0" w:space="0" w:color="auto"/>
            <w:right w:val="none" w:sz="0" w:space="0" w:color="auto"/>
          </w:divBdr>
        </w:div>
      </w:divsChild>
    </w:div>
    <w:div w:id="1154184068">
      <w:bodyDiv w:val="1"/>
      <w:marLeft w:val="0"/>
      <w:marRight w:val="0"/>
      <w:marTop w:val="0"/>
      <w:marBottom w:val="0"/>
      <w:divBdr>
        <w:top w:val="none" w:sz="0" w:space="0" w:color="auto"/>
        <w:left w:val="none" w:sz="0" w:space="0" w:color="auto"/>
        <w:bottom w:val="none" w:sz="0" w:space="0" w:color="auto"/>
        <w:right w:val="none" w:sz="0" w:space="0" w:color="auto"/>
      </w:divBdr>
      <w:divsChild>
        <w:div w:id="183830352">
          <w:marLeft w:val="0"/>
          <w:marRight w:val="0"/>
          <w:marTop w:val="0"/>
          <w:marBottom w:val="0"/>
          <w:divBdr>
            <w:top w:val="none" w:sz="0" w:space="0" w:color="auto"/>
            <w:left w:val="none" w:sz="0" w:space="0" w:color="auto"/>
            <w:bottom w:val="none" w:sz="0" w:space="0" w:color="auto"/>
            <w:right w:val="none" w:sz="0" w:space="0" w:color="auto"/>
          </w:divBdr>
        </w:div>
        <w:div w:id="472064844">
          <w:marLeft w:val="0"/>
          <w:marRight w:val="0"/>
          <w:marTop w:val="0"/>
          <w:marBottom w:val="0"/>
          <w:divBdr>
            <w:top w:val="none" w:sz="0" w:space="0" w:color="auto"/>
            <w:left w:val="none" w:sz="0" w:space="0" w:color="auto"/>
            <w:bottom w:val="none" w:sz="0" w:space="0" w:color="auto"/>
            <w:right w:val="none" w:sz="0" w:space="0" w:color="auto"/>
          </w:divBdr>
        </w:div>
        <w:div w:id="602225587">
          <w:marLeft w:val="0"/>
          <w:marRight w:val="0"/>
          <w:marTop w:val="0"/>
          <w:marBottom w:val="0"/>
          <w:divBdr>
            <w:top w:val="none" w:sz="0" w:space="0" w:color="auto"/>
            <w:left w:val="none" w:sz="0" w:space="0" w:color="auto"/>
            <w:bottom w:val="none" w:sz="0" w:space="0" w:color="auto"/>
            <w:right w:val="none" w:sz="0" w:space="0" w:color="auto"/>
          </w:divBdr>
        </w:div>
        <w:div w:id="1377659309">
          <w:marLeft w:val="0"/>
          <w:marRight w:val="0"/>
          <w:marTop w:val="0"/>
          <w:marBottom w:val="0"/>
          <w:divBdr>
            <w:top w:val="none" w:sz="0" w:space="0" w:color="auto"/>
            <w:left w:val="none" w:sz="0" w:space="0" w:color="auto"/>
            <w:bottom w:val="none" w:sz="0" w:space="0" w:color="auto"/>
            <w:right w:val="none" w:sz="0" w:space="0" w:color="auto"/>
          </w:divBdr>
        </w:div>
        <w:div w:id="1530609619">
          <w:marLeft w:val="0"/>
          <w:marRight w:val="0"/>
          <w:marTop w:val="0"/>
          <w:marBottom w:val="0"/>
          <w:divBdr>
            <w:top w:val="none" w:sz="0" w:space="0" w:color="auto"/>
            <w:left w:val="none" w:sz="0" w:space="0" w:color="auto"/>
            <w:bottom w:val="none" w:sz="0" w:space="0" w:color="auto"/>
            <w:right w:val="none" w:sz="0" w:space="0" w:color="auto"/>
          </w:divBdr>
        </w:div>
        <w:div w:id="1590580803">
          <w:marLeft w:val="0"/>
          <w:marRight w:val="0"/>
          <w:marTop w:val="0"/>
          <w:marBottom w:val="0"/>
          <w:divBdr>
            <w:top w:val="none" w:sz="0" w:space="0" w:color="auto"/>
            <w:left w:val="none" w:sz="0" w:space="0" w:color="auto"/>
            <w:bottom w:val="none" w:sz="0" w:space="0" w:color="auto"/>
            <w:right w:val="none" w:sz="0" w:space="0" w:color="auto"/>
          </w:divBdr>
        </w:div>
      </w:divsChild>
    </w:div>
    <w:div w:id="1206212153">
      <w:bodyDiv w:val="1"/>
      <w:marLeft w:val="0"/>
      <w:marRight w:val="0"/>
      <w:marTop w:val="0"/>
      <w:marBottom w:val="0"/>
      <w:divBdr>
        <w:top w:val="none" w:sz="0" w:space="0" w:color="auto"/>
        <w:left w:val="none" w:sz="0" w:space="0" w:color="auto"/>
        <w:bottom w:val="none" w:sz="0" w:space="0" w:color="auto"/>
        <w:right w:val="none" w:sz="0" w:space="0" w:color="auto"/>
      </w:divBdr>
      <w:divsChild>
        <w:div w:id="121971722">
          <w:marLeft w:val="0"/>
          <w:marRight w:val="0"/>
          <w:marTop w:val="0"/>
          <w:marBottom w:val="0"/>
          <w:divBdr>
            <w:top w:val="none" w:sz="0" w:space="0" w:color="auto"/>
            <w:left w:val="none" w:sz="0" w:space="0" w:color="auto"/>
            <w:bottom w:val="none" w:sz="0" w:space="0" w:color="auto"/>
            <w:right w:val="none" w:sz="0" w:space="0" w:color="auto"/>
          </w:divBdr>
        </w:div>
        <w:div w:id="505245037">
          <w:marLeft w:val="0"/>
          <w:marRight w:val="0"/>
          <w:marTop w:val="0"/>
          <w:marBottom w:val="0"/>
          <w:divBdr>
            <w:top w:val="none" w:sz="0" w:space="0" w:color="auto"/>
            <w:left w:val="none" w:sz="0" w:space="0" w:color="auto"/>
            <w:bottom w:val="none" w:sz="0" w:space="0" w:color="auto"/>
            <w:right w:val="none" w:sz="0" w:space="0" w:color="auto"/>
          </w:divBdr>
        </w:div>
        <w:div w:id="617950510">
          <w:marLeft w:val="0"/>
          <w:marRight w:val="0"/>
          <w:marTop w:val="0"/>
          <w:marBottom w:val="0"/>
          <w:divBdr>
            <w:top w:val="none" w:sz="0" w:space="0" w:color="auto"/>
            <w:left w:val="none" w:sz="0" w:space="0" w:color="auto"/>
            <w:bottom w:val="none" w:sz="0" w:space="0" w:color="auto"/>
            <w:right w:val="none" w:sz="0" w:space="0" w:color="auto"/>
          </w:divBdr>
        </w:div>
        <w:div w:id="1065421832">
          <w:marLeft w:val="0"/>
          <w:marRight w:val="0"/>
          <w:marTop w:val="0"/>
          <w:marBottom w:val="0"/>
          <w:divBdr>
            <w:top w:val="none" w:sz="0" w:space="0" w:color="auto"/>
            <w:left w:val="none" w:sz="0" w:space="0" w:color="auto"/>
            <w:bottom w:val="none" w:sz="0" w:space="0" w:color="auto"/>
            <w:right w:val="none" w:sz="0" w:space="0" w:color="auto"/>
          </w:divBdr>
        </w:div>
        <w:div w:id="1234588870">
          <w:marLeft w:val="0"/>
          <w:marRight w:val="0"/>
          <w:marTop w:val="0"/>
          <w:marBottom w:val="0"/>
          <w:divBdr>
            <w:top w:val="none" w:sz="0" w:space="0" w:color="auto"/>
            <w:left w:val="none" w:sz="0" w:space="0" w:color="auto"/>
            <w:bottom w:val="none" w:sz="0" w:space="0" w:color="auto"/>
            <w:right w:val="none" w:sz="0" w:space="0" w:color="auto"/>
          </w:divBdr>
        </w:div>
        <w:div w:id="1328628493">
          <w:marLeft w:val="0"/>
          <w:marRight w:val="0"/>
          <w:marTop w:val="0"/>
          <w:marBottom w:val="0"/>
          <w:divBdr>
            <w:top w:val="none" w:sz="0" w:space="0" w:color="auto"/>
            <w:left w:val="none" w:sz="0" w:space="0" w:color="auto"/>
            <w:bottom w:val="none" w:sz="0" w:space="0" w:color="auto"/>
            <w:right w:val="none" w:sz="0" w:space="0" w:color="auto"/>
          </w:divBdr>
        </w:div>
        <w:div w:id="1455370523">
          <w:marLeft w:val="0"/>
          <w:marRight w:val="0"/>
          <w:marTop w:val="0"/>
          <w:marBottom w:val="0"/>
          <w:divBdr>
            <w:top w:val="none" w:sz="0" w:space="0" w:color="auto"/>
            <w:left w:val="none" w:sz="0" w:space="0" w:color="auto"/>
            <w:bottom w:val="none" w:sz="0" w:space="0" w:color="auto"/>
            <w:right w:val="none" w:sz="0" w:space="0" w:color="auto"/>
          </w:divBdr>
        </w:div>
        <w:div w:id="1495413835">
          <w:marLeft w:val="0"/>
          <w:marRight w:val="0"/>
          <w:marTop w:val="0"/>
          <w:marBottom w:val="0"/>
          <w:divBdr>
            <w:top w:val="none" w:sz="0" w:space="0" w:color="auto"/>
            <w:left w:val="none" w:sz="0" w:space="0" w:color="auto"/>
            <w:bottom w:val="none" w:sz="0" w:space="0" w:color="auto"/>
            <w:right w:val="none" w:sz="0" w:space="0" w:color="auto"/>
          </w:divBdr>
        </w:div>
        <w:div w:id="1525745643">
          <w:marLeft w:val="0"/>
          <w:marRight w:val="0"/>
          <w:marTop w:val="0"/>
          <w:marBottom w:val="0"/>
          <w:divBdr>
            <w:top w:val="none" w:sz="0" w:space="0" w:color="auto"/>
            <w:left w:val="none" w:sz="0" w:space="0" w:color="auto"/>
            <w:bottom w:val="none" w:sz="0" w:space="0" w:color="auto"/>
            <w:right w:val="none" w:sz="0" w:space="0" w:color="auto"/>
          </w:divBdr>
        </w:div>
        <w:div w:id="1637175077">
          <w:marLeft w:val="0"/>
          <w:marRight w:val="0"/>
          <w:marTop w:val="0"/>
          <w:marBottom w:val="0"/>
          <w:divBdr>
            <w:top w:val="none" w:sz="0" w:space="0" w:color="auto"/>
            <w:left w:val="none" w:sz="0" w:space="0" w:color="auto"/>
            <w:bottom w:val="none" w:sz="0" w:space="0" w:color="auto"/>
            <w:right w:val="none" w:sz="0" w:space="0" w:color="auto"/>
          </w:divBdr>
        </w:div>
        <w:div w:id="1642614322">
          <w:marLeft w:val="0"/>
          <w:marRight w:val="0"/>
          <w:marTop w:val="0"/>
          <w:marBottom w:val="0"/>
          <w:divBdr>
            <w:top w:val="none" w:sz="0" w:space="0" w:color="auto"/>
            <w:left w:val="none" w:sz="0" w:space="0" w:color="auto"/>
            <w:bottom w:val="none" w:sz="0" w:space="0" w:color="auto"/>
            <w:right w:val="none" w:sz="0" w:space="0" w:color="auto"/>
          </w:divBdr>
        </w:div>
        <w:div w:id="1723597760">
          <w:marLeft w:val="0"/>
          <w:marRight w:val="0"/>
          <w:marTop w:val="0"/>
          <w:marBottom w:val="0"/>
          <w:divBdr>
            <w:top w:val="none" w:sz="0" w:space="0" w:color="auto"/>
            <w:left w:val="none" w:sz="0" w:space="0" w:color="auto"/>
            <w:bottom w:val="none" w:sz="0" w:space="0" w:color="auto"/>
            <w:right w:val="none" w:sz="0" w:space="0" w:color="auto"/>
          </w:divBdr>
        </w:div>
        <w:div w:id="1743017909">
          <w:marLeft w:val="0"/>
          <w:marRight w:val="0"/>
          <w:marTop w:val="0"/>
          <w:marBottom w:val="0"/>
          <w:divBdr>
            <w:top w:val="none" w:sz="0" w:space="0" w:color="auto"/>
            <w:left w:val="none" w:sz="0" w:space="0" w:color="auto"/>
            <w:bottom w:val="none" w:sz="0" w:space="0" w:color="auto"/>
            <w:right w:val="none" w:sz="0" w:space="0" w:color="auto"/>
          </w:divBdr>
        </w:div>
        <w:div w:id="1856772110">
          <w:marLeft w:val="0"/>
          <w:marRight w:val="0"/>
          <w:marTop w:val="0"/>
          <w:marBottom w:val="0"/>
          <w:divBdr>
            <w:top w:val="none" w:sz="0" w:space="0" w:color="auto"/>
            <w:left w:val="none" w:sz="0" w:space="0" w:color="auto"/>
            <w:bottom w:val="none" w:sz="0" w:space="0" w:color="auto"/>
            <w:right w:val="none" w:sz="0" w:space="0" w:color="auto"/>
          </w:divBdr>
        </w:div>
        <w:div w:id="1893613585">
          <w:marLeft w:val="0"/>
          <w:marRight w:val="0"/>
          <w:marTop w:val="0"/>
          <w:marBottom w:val="0"/>
          <w:divBdr>
            <w:top w:val="none" w:sz="0" w:space="0" w:color="auto"/>
            <w:left w:val="none" w:sz="0" w:space="0" w:color="auto"/>
            <w:bottom w:val="none" w:sz="0" w:space="0" w:color="auto"/>
            <w:right w:val="none" w:sz="0" w:space="0" w:color="auto"/>
          </w:divBdr>
        </w:div>
        <w:div w:id="1896817122">
          <w:marLeft w:val="0"/>
          <w:marRight w:val="0"/>
          <w:marTop w:val="0"/>
          <w:marBottom w:val="0"/>
          <w:divBdr>
            <w:top w:val="none" w:sz="0" w:space="0" w:color="auto"/>
            <w:left w:val="none" w:sz="0" w:space="0" w:color="auto"/>
            <w:bottom w:val="none" w:sz="0" w:space="0" w:color="auto"/>
            <w:right w:val="none" w:sz="0" w:space="0" w:color="auto"/>
          </w:divBdr>
        </w:div>
        <w:div w:id="2082561003">
          <w:marLeft w:val="0"/>
          <w:marRight w:val="0"/>
          <w:marTop w:val="0"/>
          <w:marBottom w:val="0"/>
          <w:divBdr>
            <w:top w:val="none" w:sz="0" w:space="0" w:color="auto"/>
            <w:left w:val="none" w:sz="0" w:space="0" w:color="auto"/>
            <w:bottom w:val="none" w:sz="0" w:space="0" w:color="auto"/>
            <w:right w:val="none" w:sz="0" w:space="0" w:color="auto"/>
          </w:divBdr>
        </w:div>
      </w:divsChild>
    </w:div>
    <w:div w:id="1262101822">
      <w:bodyDiv w:val="1"/>
      <w:marLeft w:val="0"/>
      <w:marRight w:val="0"/>
      <w:marTop w:val="0"/>
      <w:marBottom w:val="0"/>
      <w:divBdr>
        <w:top w:val="none" w:sz="0" w:space="0" w:color="auto"/>
        <w:left w:val="none" w:sz="0" w:space="0" w:color="auto"/>
        <w:bottom w:val="none" w:sz="0" w:space="0" w:color="auto"/>
        <w:right w:val="none" w:sz="0" w:space="0" w:color="auto"/>
      </w:divBdr>
      <w:divsChild>
        <w:div w:id="10647001">
          <w:marLeft w:val="0"/>
          <w:marRight w:val="0"/>
          <w:marTop w:val="0"/>
          <w:marBottom w:val="0"/>
          <w:divBdr>
            <w:top w:val="none" w:sz="0" w:space="0" w:color="auto"/>
            <w:left w:val="none" w:sz="0" w:space="0" w:color="auto"/>
            <w:bottom w:val="none" w:sz="0" w:space="0" w:color="auto"/>
            <w:right w:val="none" w:sz="0" w:space="0" w:color="auto"/>
          </w:divBdr>
        </w:div>
        <w:div w:id="99495796">
          <w:marLeft w:val="0"/>
          <w:marRight w:val="0"/>
          <w:marTop w:val="0"/>
          <w:marBottom w:val="0"/>
          <w:divBdr>
            <w:top w:val="none" w:sz="0" w:space="0" w:color="auto"/>
            <w:left w:val="none" w:sz="0" w:space="0" w:color="auto"/>
            <w:bottom w:val="none" w:sz="0" w:space="0" w:color="auto"/>
            <w:right w:val="none" w:sz="0" w:space="0" w:color="auto"/>
          </w:divBdr>
        </w:div>
        <w:div w:id="293947277">
          <w:marLeft w:val="0"/>
          <w:marRight w:val="0"/>
          <w:marTop w:val="0"/>
          <w:marBottom w:val="0"/>
          <w:divBdr>
            <w:top w:val="none" w:sz="0" w:space="0" w:color="auto"/>
            <w:left w:val="none" w:sz="0" w:space="0" w:color="auto"/>
            <w:bottom w:val="none" w:sz="0" w:space="0" w:color="auto"/>
            <w:right w:val="none" w:sz="0" w:space="0" w:color="auto"/>
          </w:divBdr>
        </w:div>
        <w:div w:id="323165619">
          <w:marLeft w:val="0"/>
          <w:marRight w:val="0"/>
          <w:marTop w:val="0"/>
          <w:marBottom w:val="0"/>
          <w:divBdr>
            <w:top w:val="none" w:sz="0" w:space="0" w:color="auto"/>
            <w:left w:val="none" w:sz="0" w:space="0" w:color="auto"/>
            <w:bottom w:val="none" w:sz="0" w:space="0" w:color="auto"/>
            <w:right w:val="none" w:sz="0" w:space="0" w:color="auto"/>
          </w:divBdr>
        </w:div>
        <w:div w:id="364912748">
          <w:marLeft w:val="0"/>
          <w:marRight w:val="0"/>
          <w:marTop w:val="0"/>
          <w:marBottom w:val="0"/>
          <w:divBdr>
            <w:top w:val="none" w:sz="0" w:space="0" w:color="auto"/>
            <w:left w:val="none" w:sz="0" w:space="0" w:color="auto"/>
            <w:bottom w:val="none" w:sz="0" w:space="0" w:color="auto"/>
            <w:right w:val="none" w:sz="0" w:space="0" w:color="auto"/>
          </w:divBdr>
        </w:div>
        <w:div w:id="387842676">
          <w:marLeft w:val="0"/>
          <w:marRight w:val="0"/>
          <w:marTop w:val="0"/>
          <w:marBottom w:val="0"/>
          <w:divBdr>
            <w:top w:val="none" w:sz="0" w:space="0" w:color="auto"/>
            <w:left w:val="none" w:sz="0" w:space="0" w:color="auto"/>
            <w:bottom w:val="none" w:sz="0" w:space="0" w:color="auto"/>
            <w:right w:val="none" w:sz="0" w:space="0" w:color="auto"/>
          </w:divBdr>
        </w:div>
        <w:div w:id="434248279">
          <w:marLeft w:val="0"/>
          <w:marRight w:val="0"/>
          <w:marTop w:val="0"/>
          <w:marBottom w:val="0"/>
          <w:divBdr>
            <w:top w:val="none" w:sz="0" w:space="0" w:color="auto"/>
            <w:left w:val="none" w:sz="0" w:space="0" w:color="auto"/>
            <w:bottom w:val="none" w:sz="0" w:space="0" w:color="auto"/>
            <w:right w:val="none" w:sz="0" w:space="0" w:color="auto"/>
          </w:divBdr>
        </w:div>
        <w:div w:id="444688979">
          <w:marLeft w:val="0"/>
          <w:marRight w:val="0"/>
          <w:marTop w:val="0"/>
          <w:marBottom w:val="0"/>
          <w:divBdr>
            <w:top w:val="none" w:sz="0" w:space="0" w:color="auto"/>
            <w:left w:val="none" w:sz="0" w:space="0" w:color="auto"/>
            <w:bottom w:val="none" w:sz="0" w:space="0" w:color="auto"/>
            <w:right w:val="none" w:sz="0" w:space="0" w:color="auto"/>
          </w:divBdr>
        </w:div>
        <w:div w:id="485051662">
          <w:marLeft w:val="0"/>
          <w:marRight w:val="0"/>
          <w:marTop w:val="0"/>
          <w:marBottom w:val="0"/>
          <w:divBdr>
            <w:top w:val="none" w:sz="0" w:space="0" w:color="auto"/>
            <w:left w:val="none" w:sz="0" w:space="0" w:color="auto"/>
            <w:bottom w:val="none" w:sz="0" w:space="0" w:color="auto"/>
            <w:right w:val="none" w:sz="0" w:space="0" w:color="auto"/>
          </w:divBdr>
        </w:div>
        <w:div w:id="566722406">
          <w:marLeft w:val="0"/>
          <w:marRight w:val="0"/>
          <w:marTop w:val="0"/>
          <w:marBottom w:val="0"/>
          <w:divBdr>
            <w:top w:val="none" w:sz="0" w:space="0" w:color="auto"/>
            <w:left w:val="none" w:sz="0" w:space="0" w:color="auto"/>
            <w:bottom w:val="none" w:sz="0" w:space="0" w:color="auto"/>
            <w:right w:val="none" w:sz="0" w:space="0" w:color="auto"/>
          </w:divBdr>
        </w:div>
        <w:div w:id="607659969">
          <w:marLeft w:val="0"/>
          <w:marRight w:val="0"/>
          <w:marTop w:val="0"/>
          <w:marBottom w:val="0"/>
          <w:divBdr>
            <w:top w:val="none" w:sz="0" w:space="0" w:color="auto"/>
            <w:left w:val="none" w:sz="0" w:space="0" w:color="auto"/>
            <w:bottom w:val="none" w:sz="0" w:space="0" w:color="auto"/>
            <w:right w:val="none" w:sz="0" w:space="0" w:color="auto"/>
          </w:divBdr>
        </w:div>
        <w:div w:id="653727257">
          <w:marLeft w:val="0"/>
          <w:marRight w:val="0"/>
          <w:marTop w:val="0"/>
          <w:marBottom w:val="0"/>
          <w:divBdr>
            <w:top w:val="none" w:sz="0" w:space="0" w:color="auto"/>
            <w:left w:val="none" w:sz="0" w:space="0" w:color="auto"/>
            <w:bottom w:val="none" w:sz="0" w:space="0" w:color="auto"/>
            <w:right w:val="none" w:sz="0" w:space="0" w:color="auto"/>
          </w:divBdr>
        </w:div>
        <w:div w:id="856850117">
          <w:marLeft w:val="0"/>
          <w:marRight w:val="0"/>
          <w:marTop w:val="0"/>
          <w:marBottom w:val="0"/>
          <w:divBdr>
            <w:top w:val="none" w:sz="0" w:space="0" w:color="auto"/>
            <w:left w:val="none" w:sz="0" w:space="0" w:color="auto"/>
            <w:bottom w:val="none" w:sz="0" w:space="0" w:color="auto"/>
            <w:right w:val="none" w:sz="0" w:space="0" w:color="auto"/>
          </w:divBdr>
        </w:div>
        <w:div w:id="915938769">
          <w:marLeft w:val="0"/>
          <w:marRight w:val="0"/>
          <w:marTop w:val="0"/>
          <w:marBottom w:val="0"/>
          <w:divBdr>
            <w:top w:val="none" w:sz="0" w:space="0" w:color="auto"/>
            <w:left w:val="none" w:sz="0" w:space="0" w:color="auto"/>
            <w:bottom w:val="none" w:sz="0" w:space="0" w:color="auto"/>
            <w:right w:val="none" w:sz="0" w:space="0" w:color="auto"/>
          </w:divBdr>
        </w:div>
        <w:div w:id="1487821104">
          <w:marLeft w:val="0"/>
          <w:marRight w:val="0"/>
          <w:marTop w:val="0"/>
          <w:marBottom w:val="0"/>
          <w:divBdr>
            <w:top w:val="none" w:sz="0" w:space="0" w:color="auto"/>
            <w:left w:val="none" w:sz="0" w:space="0" w:color="auto"/>
            <w:bottom w:val="none" w:sz="0" w:space="0" w:color="auto"/>
            <w:right w:val="none" w:sz="0" w:space="0" w:color="auto"/>
          </w:divBdr>
        </w:div>
        <w:div w:id="1780446357">
          <w:marLeft w:val="0"/>
          <w:marRight w:val="0"/>
          <w:marTop w:val="0"/>
          <w:marBottom w:val="0"/>
          <w:divBdr>
            <w:top w:val="none" w:sz="0" w:space="0" w:color="auto"/>
            <w:left w:val="none" w:sz="0" w:space="0" w:color="auto"/>
            <w:bottom w:val="none" w:sz="0" w:space="0" w:color="auto"/>
            <w:right w:val="none" w:sz="0" w:space="0" w:color="auto"/>
          </w:divBdr>
        </w:div>
        <w:div w:id="1812283980">
          <w:marLeft w:val="0"/>
          <w:marRight w:val="0"/>
          <w:marTop w:val="0"/>
          <w:marBottom w:val="0"/>
          <w:divBdr>
            <w:top w:val="none" w:sz="0" w:space="0" w:color="auto"/>
            <w:left w:val="none" w:sz="0" w:space="0" w:color="auto"/>
            <w:bottom w:val="none" w:sz="0" w:space="0" w:color="auto"/>
            <w:right w:val="none" w:sz="0" w:space="0" w:color="auto"/>
          </w:divBdr>
        </w:div>
      </w:divsChild>
    </w:div>
    <w:div w:id="1340038607">
      <w:bodyDiv w:val="1"/>
      <w:marLeft w:val="0"/>
      <w:marRight w:val="0"/>
      <w:marTop w:val="0"/>
      <w:marBottom w:val="0"/>
      <w:divBdr>
        <w:top w:val="none" w:sz="0" w:space="0" w:color="auto"/>
        <w:left w:val="none" w:sz="0" w:space="0" w:color="auto"/>
        <w:bottom w:val="none" w:sz="0" w:space="0" w:color="auto"/>
        <w:right w:val="none" w:sz="0" w:space="0" w:color="auto"/>
      </w:divBdr>
      <w:divsChild>
        <w:div w:id="75565426">
          <w:marLeft w:val="0"/>
          <w:marRight w:val="0"/>
          <w:marTop w:val="0"/>
          <w:marBottom w:val="0"/>
          <w:divBdr>
            <w:top w:val="none" w:sz="0" w:space="0" w:color="auto"/>
            <w:left w:val="none" w:sz="0" w:space="0" w:color="auto"/>
            <w:bottom w:val="none" w:sz="0" w:space="0" w:color="auto"/>
            <w:right w:val="none" w:sz="0" w:space="0" w:color="auto"/>
          </w:divBdr>
        </w:div>
        <w:div w:id="745805915">
          <w:marLeft w:val="0"/>
          <w:marRight w:val="0"/>
          <w:marTop w:val="0"/>
          <w:marBottom w:val="0"/>
          <w:divBdr>
            <w:top w:val="none" w:sz="0" w:space="0" w:color="auto"/>
            <w:left w:val="none" w:sz="0" w:space="0" w:color="auto"/>
            <w:bottom w:val="none" w:sz="0" w:space="0" w:color="auto"/>
            <w:right w:val="none" w:sz="0" w:space="0" w:color="auto"/>
          </w:divBdr>
        </w:div>
        <w:div w:id="791098263">
          <w:marLeft w:val="0"/>
          <w:marRight w:val="0"/>
          <w:marTop w:val="0"/>
          <w:marBottom w:val="0"/>
          <w:divBdr>
            <w:top w:val="none" w:sz="0" w:space="0" w:color="auto"/>
            <w:left w:val="none" w:sz="0" w:space="0" w:color="auto"/>
            <w:bottom w:val="none" w:sz="0" w:space="0" w:color="auto"/>
            <w:right w:val="none" w:sz="0" w:space="0" w:color="auto"/>
          </w:divBdr>
        </w:div>
        <w:div w:id="798494444">
          <w:marLeft w:val="0"/>
          <w:marRight w:val="0"/>
          <w:marTop w:val="0"/>
          <w:marBottom w:val="0"/>
          <w:divBdr>
            <w:top w:val="none" w:sz="0" w:space="0" w:color="auto"/>
            <w:left w:val="none" w:sz="0" w:space="0" w:color="auto"/>
            <w:bottom w:val="none" w:sz="0" w:space="0" w:color="auto"/>
            <w:right w:val="none" w:sz="0" w:space="0" w:color="auto"/>
          </w:divBdr>
        </w:div>
        <w:div w:id="1204437618">
          <w:marLeft w:val="0"/>
          <w:marRight w:val="0"/>
          <w:marTop w:val="0"/>
          <w:marBottom w:val="0"/>
          <w:divBdr>
            <w:top w:val="none" w:sz="0" w:space="0" w:color="auto"/>
            <w:left w:val="none" w:sz="0" w:space="0" w:color="auto"/>
            <w:bottom w:val="none" w:sz="0" w:space="0" w:color="auto"/>
            <w:right w:val="none" w:sz="0" w:space="0" w:color="auto"/>
          </w:divBdr>
        </w:div>
        <w:div w:id="1505247528">
          <w:marLeft w:val="0"/>
          <w:marRight w:val="0"/>
          <w:marTop w:val="0"/>
          <w:marBottom w:val="0"/>
          <w:divBdr>
            <w:top w:val="none" w:sz="0" w:space="0" w:color="auto"/>
            <w:left w:val="none" w:sz="0" w:space="0" w:color="auto"/>
            <w:bottom w:val="none" w:sz="0" w:space="0" w:color="auto"/>
            <w:right w:val="none" w:sz="0" w:space="0" w:color="auto"/>
          </w:divBdr>
        </w:div>
        <w:div w:id="1968969358">
          <w:marLeft w:val="0"/>
          <w:marRight w:val="0"/>
          <w:marTop w:val="0"/>
          <w:marBottom w:val="0"/>
          <w:divBdr>
            <w:top w:val="none" w:sz="0" w:space="0" w:color="auto"/>
            <w:left w:val="none" w:sz="0" w:space="0" w:color="auto"/>
            <w:bottom w:val="none" w:sz="0" w:space="0" w:color="auto"/>
            <w:right w:val="none" w:sz="0" w:space="0" w:color="auto"/>
          </w:divBdr>
        </w:div>
        <w:div w:id="1969848231">
          <w:marLeft w:val="0"/>
          <w:marRight w:val="0"/>
          <w:marTop w:val="0"/>
          <w:marBottom w:val="0"/>
          <w:divBdr>
            <w:top w:val="none" w:sz="0" w:space="0" w:color="auto"/>
            <w:left w:val="none" w:sz="0" w:space="0" w:color="auto"/>
            <w:bottom w:val="none" w:sz="0" w:space="0" w:color="auto"/>
            <w:right w:val="none" w:sz="0" w:space="0" w:color="auto"/>
          </w:divBdr>
        </w:div>
        <w:div w:id="2058821067">
          <w:marLeft w:val="0"/>
          <w:marRight w:val="0"/>
          <w:marTop w:val="0"/>
          <w:marBottom w:val="0"/>
          <w:divBdr>
            <w:top w:val="none" w:sz="0" w:space="0" w:color="auto"/>
            <w:left w:val="none" w:sz="0" w:space="0" w:color="auto"/>
            <w:bottom w:val="none" w:sz="0" w:space="0" w:color="auto"/>
            <w:right w:val="none" w:sz="0" w:space="0" w:color="auto"/>
          </w:divBdr>
        </w:div>
      </w:divsChild>
    </w:div>
    <w:div w:id="1481380130">
      <w:bodyDiv w:val="1"/>
      <w:marLeft w:val="0"/>
      <w:marRight w:val="0"/>
      <w:marTop w:val="0"/>
      <w:marBottom w:val="0"/>
      <w:divBdr>
        <w:top w:val="none" w:sz="0" w:space="0" w:color="auto"/>
        <w:left w:val="none" w:sz="0" w:space="0" w:color="auto"/>
        <w:bottom w:val="none" w:sz="0" w:space="0" w:color="auto"/>
        <w:right w:val="none" w:sz="0" w:space="0" w:color="auto"/>
      </w:divBdr>
      <w:divsChild>
        <w:div w:id="503282705">
          <w:marLeft w:val="0"/>
          <w:marRight w:val="0"/>
          <w:marTop w:val="0"/>
          <w:marBottom w:val="0"/>
          <w:divBdr>
            <w:top w:val="none" w:sz="0" w:space="0" w:color="auto"/>
            <w:left w:val="none" w:sz="0" w:space="0" w:color="auto"/>
            <w:bottom w:val="none" w:sz="0" w:space="0" w:color="auto"/>
            <w:right w:val="none" w:sz="0" w:space="0" w:color="auto"/>
          </w:divBdr>
        </w:div>
        <w:div w:id="945692741">
          <w:marLeft w:val="0"/>
          <w:marRight w:val="0"/>
          <w:marTop w:val="0"/>
          <w:marBottom w:val="0"/>
          <w:divBdr>
            <w:top w:val="none" w:sz="0" w:space="0" w:color="auto"/>
            <w:left w:val="none" w:sz="0" w:space="0" w:color="auto"/>
            <w:bottom w:val="none" w:sz="0" w:space="0" w:color="auto"/>
            <w:right w:val="none" w:sz="0" w:space="0" w:color="auto"/>
          </w:divBdr>
        </w:div>
        <w:div w:id="1405642299">
          <w:marLeft w:val="0"/>
          <w:marRight w:val="0"/>
          <w:marTop w:val="0"/>
          <w:marBottom w:val="0"/>
          <w:divBdr>
            <w:top w:val="none" w:sz="0" w:space="0" w:color="auto"/>
            <w:left w:val="none" w:sz="0" w:space="0" w:color="auto"/>
            <w:bottom w:val="none" w:sz="0" w:space="0" w:color="auto"/>
            <w:right w:val="none" w:sz="0" w:space="0" w:color="auto"/>
          </w:divBdr>
        </w:div>
        <w:div w:id="2035034227">
          <w:marLeft w:val="0"/>
          <w:marRight w:val="0"/>
          <w:marTop w:val="0"/>
          <w:marBottom w:val="0"/>
          <w:divBdr>
            <w:top w:val="none" w:sz="0" w:space="0" w:color="auto"/>
            <w:left w:val="none" w:sz="0" w:space="0" w:color="auto"/>
            <w:bottom w:val="none" w:sz="0" w:space="0" w:color="auto"/>
            <w:right w:val="none" w:sz="0" w:space="0" w:color="auto"/>
          </w:divBdr>
        </w:div>
      </w:divsChild>
    </w:div>
    <w:div w:id="1587762548">
      <w:bodyDiv w:val="1"/>
      <w:marLeft w:val="0"/>
      <w:marRight w:val="0"/>
      <w:marTop w:val="0"/>
      <w:marBottom w:val="0"/>
      <w:divBdr>
        <w:top w:val="none" w:sz="0" w:space="0" w:color="auto"/>
        <w:left w:val="none" w:sz="0" w:space="0" w:color="auto"/>
        <w:bottom w:val="none" w:sz="0" w:space="0" w:color="auto"/>
        <w:right w:val="none" w:sz="0" w:space="0" w:color="auto"/>
      </w:divBdr>
      <w:divsChild>
        <w:div w:id="19598910">
          <w:marLeft w:val="0"/>
          <w:marRight w:val="0"/>
          <w:marTop w:val="0"/>
          <w:marBottom w:val="0"/>
          <w:divBdr>
            <w:top w:val="none" w:sz="0" w:space="0" w:color="auto"/>
            <w:left w:val="none" w:sz="0" w:space="0" w:color="auto"/>
            <w:bottom w:val="none" w:sz="0" w:space="0" w:color="auto"/>
            <w:right w:val="none" w:sz="0" w:space="0" w:color="auto"/>
          </w:divBdr>
        </w:div>
        <w:div w:id="55513286">
          <w:marLeft w:val="0"/>
          <w:marRight w:val="0"/>
          <w:marTop w:val="0"/>
          <w:marBottom w:val="0"/>
          <w:divBdr>
            <w:top w:val="none" w:sz="0" w:space="0" w:color="auto"/>
            <w:left w:val="none" w:sz="0" w:space="0" w:color="auto"/>
            <w:bottom w:val="none" w:sz="0" w:space="0" w:color="auto"/>
            <w:right w:val="none" w:sz="0" w:space="0" w:color="auto"/>
          </w:divBdr>
        </w:div>
        <w:div w:id="166405077">
          <w:marLeft w:val="0"/>
          <w:marRight w:val="0"/>
          <w:marTop w:val="0"/>
          <w:marBottom w:val="0"/>
          <w:divBdr>
            <w:top w:val="none" w:sz="0" w:space="0" w:color="auto"/>
            <w:left w:val="none" w:sz="0" w:space="0" w:color="auto"/>
            <w:bottom w:val="none" w:sz="0" w:space="0" w:color="auto"/>
            <w:right w:val="none" w:sz="0" w:space="0" w:color="auto"/>
          </w:divBdr>
        </w:div>
        <w:div w:id="214199637">
          <w:marLeft w:val="0"/>
          <w:marRight w:val="0"/>
          <w:marTop w:val="0"/>
          <w:marBottom w:val="0"/>
          <w:divBdr>
            <w:top w:val="none" w:sz="0" w:space="0" w:color="auto"/>
            <w:left w:val="none" w:sz="0" w:space="0" w:color="auto"/>
            <w:bottom w:val="none" w:sz="0" w:space="0" w:color="auto"/>
            <w:right w:val="none" w:sz="0" w:space="0" w:color="auto"/>
          </w:divBdr>
        </w:div>
        <w:div w:id="346061741">
          <w:marLeft w:val="0"/>
          <w:marRight w:val="0"/>
          <w:marTop w:val="0"/>
          <w:marBottom w:val="0"/>
          <w:divBdr>
            <w:top w:val="none" w:sz="0" w:space="0" w:color="auto"/>
            <w:left w:val="none" w:sz="0" w:space="0" w:color="auto"/>
            <w:bottom w:val="none" w:sz="0" w:space="0" w:color="auto"/>
            <w:right w:val="none" w:sz="0" w:space="0" w:color="auto"/>
          </w:divBdr>
        </w:div>
        <w:div w:id="596404792">
          <w:marLeft w:val="0"/>
          <w:marRight w:val="0"/>
          <w:marTop w:val="0"/>
          <w:marBottom w:val="0"/>
          <w:divBdr>
            <w:top w:val="none" w:sz="0" w:space="0" w:color="auto"/>
            <w:left w:val="none" w:sz="0" w:space="0" w:color="auto"/>
            <w:bottom w:val="none" w:sz="0" w:space="0" w:color="auto"/>
            <w:right w:val="none" w:sz="0" w:space="0" w:color="auto"/>
          </w:divBdr>
        </w:div>
        <w:div w:id="603001351">
          <w:marLeft w:val="0"/>
          <w:marRight w:val="0"/>
          <w:marTop w:val="0"/>
          <w:marBottom w:val="0"/>
          <w:divBdr>
            <w:top w:val="none" w:sz="0" w:space="0" w:color="auto"/>
            <w:left w:val="none" w:sz="0" w:space="0" w:color="auto"/>
            <w:bottom w:val="none" w:sz="0" w:space="0" w:color="auto"/>
            <w:right w:val="none" w:sz="0" w:space="0" w:color="auto"/>
          </w:divBdr>
        </w:div>
        <w:div w:id="705063444">
          <w:marLeft w:val="0"/>
          <w:marRight w:val="0"/>
          <w:marTop w:val="0"/>
          <w:marBottom w:val="0"/>
          <w:divBdr>
            <w:top w:val="none" w:sz="0" w:space="0" w:color="auto"/>
            <w:left w:val="none" w:sz="0" w:space="0" w:color="auto"/>
            <w:bottom w:val="none" w:sz="0" w:space="0" w:color="auto"/>
            <w:right w:val="none" w:sz="0" w:space="0" w:color="auto"/>
          </w:divBdr>
        </w:div>
        <w:div w:id="789205104">
          <w:marLeft w:val="0"/>
          <w:marRight w:val="0"/>
          <w:marTop w:val="0"/>
          <w:marBottom w:val="0"/>
          <w:divBdr>
            <w:top w:val="none" w:sz="0" w:space="0" w:color="auto"/>
            <w:left w:val="none" w:sz="0" w:space="0" w:color="auto"/>
            <w:bottom w:val="none" w:sz="0" w:space="0" w:color="auto"/>
            <w:right w:val="none" w:sz="0" w:space="0" w:color="auto"/>
          </w:divBdr>
        </w:div>
        <w:div w:id="2032414998">
          <w:marLeft w:val="0"/>
          <w:marRight w:val="0"/>
          <w:marTop w:val="0"/>
          <w:marBottom w:val="0"/>
          <w:divBdr>
            <w:top w:val="none" w:sz="0" w:space="0" w:color="auto"/>
            <w:left w:val="none" w:sz="0" w:space="0" w:color="auto"/>
            <w:bottom w:val="none" w:sz="0" w:space="0" w:color="auto"/>
            <w:right w:val="none" w:sz="0" w:space="0" w:color="auto"/>
          </w:divBdr>
        </w:div>
      </w:divsChild>
    </w:div>
    <w:div w:id="1860390752">
      <w:bodyDiv w:val="1"/>
      <w:marLeft w:val="0"/>
      <w:marRight w:val="0"/>
      <w:marTop w:val="0"/>
      <w:marBottom w:val="0"/>
      <w:divBdr>
        <w:top w:val="none" w:sz="0" w:space="0" w:color="auto"/>
        <w:left w:val="none" w:sz="0" w:space="0" w:color="auto"/>
        <w:bottom w:val="none" w:sz="0" w:space="0" w:color="auto"/>
        <w:right w:val="none" w:sz="0" w:space="0" w:color="auto"/>
      </w:divBdr>
      <w:divsChild>
        <w:div w:id="144857100">
          <w:marLeft w:val="0"/>
          <w:marRight w:val="0"/>
          <w:marTop w:val="0"/>
          <w:marBottom w:val="0"/>
          <w:divBdr>
            <w:top w:val="none" w:sz="0" w:space="0" w:color="auto"/>
            <w:left w:val="none" w:sz="0" w:space="0" w:color="auto"/>
            <w:bottom w:val="none" w:sz="0" w:space="0" w:color="auto"/>
            <w:right w:val="none" w:sz="0" w:space="0" w:color="auto"/>
          </w:divBdr>
        </w:div>
        <w:div w:id="1063406194">
          <w:marLeft w:val="0"/>
          <w:marRight w:val="0"/>
          <w:marTop w:val="0"/>
          <w:marBottom w:val="0"/>
          <w:divBdr>
            <w:top w:val="none" w:sz="0" w:space="0" w:color="auto"/>
            <w:left w:val="none" w:sz="0" w:space="0" w:color="auto"/>
            <w:bottom w:val="none" w:sz="0" w:space="0" w:color="auto"/>
            <w:right w:val="none" w:sz="0" w:space="0" w:color="auto"/>
          </w:divBdr>
        </w:div>
        <w:div w:id="163717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dnp.gov.co/Paginas/Proyecto-de-Decreto.aspx" TargetMode="External"/><Relationship Id="rId2" Type="http://schemas.openxmlformats.org/officeDocument/2006/relationships/hyperlink" Target="https://www.colombiacompra.gov.co/sites/cce_public/files/files_2020/vf_umbrales_actualizaciones_2022_-_2023_1.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E788A-557E-4E70-8793-8B7CF3AA7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8C81D-1CA3-42C5-B29B-A3D6E3CA074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C890D97E-70C0-427D-96EE-EF3FB1B43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7583</Words>
  <Characters>41708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SGC-ANCP</dc:creator>
  <cp:keywords/>
  <dc:description/>
  <cp:lastModifiedBy>Olga Isabel Pertuz De La Hoz</cp:lastModifiedBy>
  <cp:revision>3</cp:revision>
  <dcterms:created xsi:type="dcterms:W3CDTF">2023-07-13T13:25:00Z</dcterms:created>
  <dcterms:modified xsi:type="dcterms:W3CDTF">2023-07-28T15:53:00Z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