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A0CE" w14:textId="77777777" w:rsidR="00D12DDA" w:rsidRPr="00D12DDA" w:rsidRDefault="00D12DDA" w:rsidP="00D12DDA">
      <w:pPr>
        <w:spacing w:after="0" w:line="240" w:lineRule="auto"/>
        <w:contextualSpacing/>
        <w:jc w:val="both"/>
        <w:rPr>
          <w:rFonts w:ascii="Century Gothic" w:eastAsia="Calibri" w:hAnsi="Century Gothic" w:cs="Arial"/>
          <w:b/>
          <w:lang w:val="es-MX"/>
        </w:rPr>
      </w:pPr>
      <w:r w:rsidRPr="00D12DDA">
        <w:rPr>
          <w:rFonts w:ascii="Century Gothic" w:eastAsia="Calibri" w:hAnsi="Century Gothic" w:cs="Arial"/>
          <w:b/>
          <w:color w:val="000000" w:themeColor="text1"/>
          <w:lang w:val="es-ES_tradnl"/>
        </w:rPr>
        <w:t xml:space="preserve">SUBSANABILIDAD DE LAS OFERTAS </w:t>
      </w:r>
      <w:r w:rsidRPr="00D12DDA">
        <w:rPr>
          <w:rFonts w:ascii="Century Gothic" w:eastAsia="Calibri" w:hAnsi="Century Gothic" w:cs="Arial"/>
          <w:b/>
          <w:lang w:val="es-MX"/>
        </w:rPr>
        <w:t>– Alcance de la regla – Ley 1882 de 2018 – Ámbito temporal – Criterio material</w:t>
      </w:r>
    </w:p>
    <w:p w14:paraId="707BEBEE" w14:textId="77777777" w:rsidR="00D12DDA" w:rsidRPr="00D12DDA" w:rsidRDefault="00D12DDA" w:rsidP="00D12DDA">
      <w:pPr>
        <w:spacing w:after="0" w:line="240" w:lineRule="auto"/>
        <w:contextualSpacing/>
        <w:jc w:val="both"/>
        <w:rPr>
          <w:rFonts w:ascii="Century Gothic" w:eastAsia="Calibri" w:hAnsi="Century Gothic" w:cs="Arial"/>
          <w:b/>
          <w:sz w:val="20"/>
          <w:szCs w:val="20"/>
          <w:lang w:val="es-MX"/>
        </w:rPr>
      </w:pPr>
    </w:p>
    <w:p w14:paraId="5D16F548" w14:textId="77777777" w:rsidR="00D12DDA" w:rsidRPr="00D12DDA" w:rsidRDefault="00D12DDA" w:rsidP="00D12DDA">
      <w:pPr>
        <w:spacing w:after="0" w:line="240" w:lineRule="auto"/>
        <w:contextualSpacing/>
        <w:jc w:val="both"/>
        <w:rPr>
          <w:rFonts w:ascii="Century Gothic" w:hAnsi="Century Gothic" w:cs="Arial"/>
          <w:sz w:val="20"/>
          <w:szCs w:val="20"/>
          <w:lang w:val="es-ES_tradnl"/>
          <w14:ligatures w14:val="standardContextual"/>
        </w:rPr>
      </w:pPr>
      <w:r w:rsidRPr="00D12DDA">
        <w:rPr>
          <w:rFonts w:ascii="Century Gothic" w:hAnsi="Century Gothic" w:cs="Arial"/>
          <w:sz w:val="20"/>
          <w:szCs w:val="20"/>
          <w:lang w:val="es-ES_tradnl"/>
          <w14:ligatures w14:val="standardContextual"/>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54CCB3AE" w14:textId="77777777" w:rsidR="00D12DDA" w:rsidRPr="00D12DDA" w:rsidRDefault="00D12DDA" w:rsidP="00D12DDA">
      <w:pPr>
        <w:spacing w:after="0" w:line="240" w:lineRule="auto"/>
        <w:contextualSpacing/>
        <w:jc w:val="both"/>
        <w:rPr>
          <w:rFonts w:ascii="Century Gothic" w:hAnsi="Century Gothic" w:cs="Arial"/>
          <w:sz w:val="20"/>
          <w:szCs w:val="20"/>
          <w:lang w:val="es-ES_tradnl"/>
        </w:rPr>
      </w:pPr>
    </w:p>
    <w:p w14:paraId="4C1602F6" w14:textId="77777777" w:rsidR="00D12DDA" w:rsidRPr="00D12DDA" w:rsidRDefault="00D12DDA" w:rsidP="00D12DDA">
      <w:pPr>
        <w:spacing w:after="0" w:line="240" w:lineRule="auto"/>
        <w:contextualSpacing/>
        <w:jc w:val="both"/>
        <w:rPr>
          <w:rFonts w:ascii="Century Gothic" w:eastAsia="Calibri" w:hAnsi="Century Gothic" w:cs="Arial"/>
          <w:sz w:val="20"/>
          <w:szCs w:val="20"/>
          <w:lang w:val="es-ES_tradnl"/>
        </w:rPr>
      </w:pPr>
      <w:r w:rsidRPr="00D12DDA">
        <w:rPr>
          <w:rFonts w:ascii="Century Gothic" w:hAnsi="Century Gothic" w:cs="Arial"/>
          <w:i/>
          <w:iCs/>
          <w:sz w:val="20"/>
          <w:szCs w:val="20"/>
          <w:lang w:val="es-ES_tradnl"/>
          <w14:ligatures w14:val="standardContextual"/>
        </w:rPr>
        <w:t>El primero</w:t>
      </w:r>
      <w:r w:rsidRPr="00D12DDA">
        <w:rPr>
          <w:rFonts w:ascii="Century Gothic" w:hAnsi="Century Gothic" w:cs="Arial"/>
          <w:sz w:val="20"/>
          <w:szCs w:val="20"/>
          <w:lang w:val="es-ES_tradnl"/>
          <w14:ligatures w14:val="standardContextua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w:t>
      </w:r>
      <w:r w:rsidRPr="00D12DDA">
        <w:rPr>
          <w:rFonts w:ascii="Century Gothic" w:eastAsia="Calibri" w:hAnsi="Century Gothic" w:cs="Arial"/>
          <w:sz w:val="20"/>
          <w:szCs w:val="20"/>
          <w:lang w:val="es-ES_tradnl"/>
          <w14:ligatures w14:val="standardContextual"/>
        </w:rPr>
        <w:t>de selección a través del sistema de subasta, este último al cual hace referencia en su consulta, y en el que los documentos o requisitos subsanables pueden y deben solicitarse por parte de las entidades estatales, como límite, hasta el momento previo a la celebración de la audiencia</w:t>
      </w:r>
      <w:r w:rsidRPr="00D12DDA">
        <w:rPr>
          <w:rFonts w:ascii="Century Gothic" w:eastAsia="Calibri" w:hAnsi="Century Gothic" w:cs="Arial"/>
          <w:sz w:val="20"/>
          <w:szCs w:val="20"/>
          <w:lang w:val="es-ES_tradnl"/>
        </w:rPr>
        <w:t xml:space="preserve"> […]</w:t>
      </w:r>
    </w:p>
    <w:p w14:paraId="037C6EAA" w14:textId="77777777" w:rsidR="00D12DDA" w:rsidRPr="00D12DDA" w:rsidRDefault="00D12DDA" w:rsidP="00D12DDA">
      <w:pPr>
        <w:spacing w:after="0" w:line="240" w:lineRule="auto"/>
        <w:contextualSpacing/>
        <w:jc w:val="both"/>
        <w:rPr>
          <w:rFonts w:ascii="Century Gothic" w:eastAsia="Calibri" w:hAnsi="Century Gothic" w:cs="Arial"/>
          <w:sz w:val="20"/>
          <w:szCs w:val="20"/>
          <w:lang w:val="es-ES_tradnl"/>
        </w:rPr>
      </w:pPr>
    </w:p>
    <w:p w14:paraId="4C4E8034" w14:textId="77777777" w:rsidR="00D12DDA" w:rsidRPr="00D12DDA" w:rsidRDefault="00D12DDA" w:rsidP="00D12DDA">
      <w:pPr>
        <w:spacing w:line="240" w:lineRule="auto"/>
        <w:contextualSpacing/>
        <w:jc w:val="both"/>
        <w:rPr>
          <w:rFonts w:ascii="Century Gothic" w:hAnsi="Century Gothic" w:cs="Arial"/>
          <w:sz w:val="20"/>
          <w:szCs w:val="20"/>
          <w:lang w:val="es-ES_tradnl"/>
        </w:rPr>
      </w:pPr>
      <w:r w:rsidRPr="00D12DDA">
        <w:rPr>
          <w:rFonts w:ascii="Century Gothic" w:eastAsia="Calibri" w:hAnsi="Century Gothic" w:cs="Arial"/>
          <w:sz w:val="20"/>
          <w:szCs w:val="20"/>
          <w:lang w:val="es-ES_tradnl"/>
          <w14:ligatures w14:val="standardContextual"/>
        </w:rPr>
        <w:t xml:space="preserve">De otro lado, </w:t>
      </w:r>
      <w:r w:rsidRPr="00D12DDA">
        <w:rPr>
          <w:rFonts w:ascii="Century Gothic" w:eastAsia="Calibri" w:hAnsi="Century Gothic" w:cs="Arial"/>
          <w:i/>
          <w:iCs/>
          <w:sz w:val="20"/>
          <w:szCs w:val="20"/>
          <w:lang w:val="es-ES_tradnl"/>
          <w14:ligatures w14:val="standardContextual"/>
        </w:rPr>
        <w:t>el segundo</w:t>
      </w:r>
      <w:r w:rsidRPr="00D12DDA">
        <w:rPr>
          <w:rFonts w:ascii="Century Gothic" w:eastAsia="Calibri" w:hAnsi="Century Gothic" w:cs="Arial"/>
          <w:sz w:val="20"/>
          <w:szCs w:val="20"/>
          <w:lang w:val="es-ES_tradnl"/>
          <w14:ligatures w14:val="standardContextual"/>
        </w:rPr>
        <w:t xml:space="preserve"> cambio importante de la Ley 1882 de 2018 fue la introducción de un criterio material, directamente relacionado con los aspectos subsanables: “</w:t>
      </w:r>
      <w:r w:rsidRPr="00D12DDA">
        <w:rPr>
          <w:rFonts w:ascii="Century Gothic" w:hAnsi="Century Gothic" w:cs="Arial"/>
          <w:sz w:val="20"/>
          <w:szCs w:val="20"/>
          <w:lang w:val="es-ES_tradnl"/>
          <w14:ligatures w14:val="standardContextual"/>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7A9932BD" w14:textId="77777777" w:rsidR="00D12DDA" w:rsidRPr="00D12DDA" w:rsidRDefault="00D12DDA" w:rsidP="00D12DDA">
      <w:pPr>
        <w:spacing w:after="0" w:line="240" w:lineRule="auto"/>
        <w:contextualSpacing/>
        <w:jc w:val="both"/>
        <w:rPr>
          <w:rFonts w:ascii="Century Gothic" w:hAnsi="Century Gothic" w:cs="Arial"/>
          <w:sz w:val="20"/>
          <w:szCs w:val="20"/>
          <w:lang w:val="es-ES_tradnl"/>
          <w14:ligatures w14:val="standardContextual"/>
        </w:rPr>
      </w:pPr>
    </w:p>
    <w:p w14:paraId="623C736B" w14:textId="77777777" w:rsidR="00D12DDA" w:rsidRPr="00D12DDA" w:rsidRDefault="00D12DDA" w:rsidP="00D12DDA">
      <w:pPr>
        <w:spacing w:after="0" w:line="240" w:lineRule="auto"/>
        <w:contextualSpacing/>
        <w:jc w:val="both"/>
        <w:rPr>
          <w:rFonts w:ascii="Century Gothic" w:hAnsi="Century Gothic" w:cs="Arial"/>
          <w:sz w:val="20"/>
          <w:szCs w:val="20"/>
          <w:lang w:val="es-ES_tradnl"/>
        </w:rPr>
      </w:pPr>
      <w:r w:rsidRPr="00D12DDA">
        <w:rPr>
          <w:rFonts w:ascii="Century Gothic" w:hAnsi="Century Gothic" w:cs="Arial"/>
          <w:sz w:val="20"/>
          <w:szCs w:val="20"/>
          <w:lang w:val="es-ES_tradnl"/>
        </w:rPr>
        <w:t xml:space="preserve">[…] </w:t>
      </w:r>
    </w:p>
    <w:p w14:paraId="4424CC54" w14:textId="77777777" w:rsidR="00D12DDA" w:rsidRPr="00D12DDA" w:rsidRDefault="00D12DDA" w:rsidP="00D12DDA">
      <w:pPr>
        <w:spacing w:after="0" w:line="240" w:lineRule="auto"/>
        <w:contextualSpacing/>
        <w:jc w:val="both"/>
        <w:rPr>
          <w:rFonts w:ascii="Century Gothic" w:hAnsi="Century Gothic" w:cs="Arial"/>
          <w:sz w:val="20"/>
          <w:szCs w:val="20"/>
          <w:lang w:val="es-ES_tradnl"/>
        </w:rPr>
      </w:pPr>
    </w:p>
    <w:p w14:paraId="52BF810A" w14:textId="77777777" w:rsidR="00D12DDA" w:rsidRPr="00D12DDA" w:rsidRDefault="00D12DDA" w:rsidP="00D12DDA">
      <w:pPr>
        <w:spacing w:after="0" w:line="240" w:lineRule="auto"/>
        <w:contextualSpacing/>
        <w:jc w:val="both"/>
        <w:rPr>
          <w:rFonts w:ascii="Century Gothic" w:eastAsia="Calibri" w:hAnsi="Century Gothic" w:cs="Arial"/>
          <w:sz w:val="20"/>
          <w:szCs w:val="20"/>
          <w:lang w:val="es-ES_tradnl"/>
          <w14:ligatures w14:val="standardContextual"/>
        </w:rPr>
      </w:pPr>
      <w:r w:rsidRPr="00D12DDA">
        <w:rPr>
          <w:rFonts w:ascii="Century Gothic" w:eastAsia="Calibri" w:hAnsi="Century Gothic" w:cs="Arial"/>
          <w:sz w:val="20"/>
          <w:szCs w:val="20"/>
          <w:lang w:val="es-ES_tradnl"/>
          <w14:ligatures w14:val="standardContextua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17C64443" w14:textId="77777777" w:rsidR="00D12DDA" w:rsidRPr="00D12DDA" w:rsidRDefault="00D12DDA" w:rsidP="00D12DDA">
      <w:pPr>
        <w:spacing w:after="0" w:line="240" w:lineRule="auto"/>
        <w:contextualSpacing/>
        <w:jc w:val="both"/>
        <w:rPr>
          <w:rFonts w:ascii="Century Gothic" w:eastAsia="Calibri" w:hAnsi="Century Gothic" w:cs="Arial"/>
          <w:sz w:val="20"/>
          <w:szCs w:val="20"/>
          <w:lang w:val="es-ES_tradnl"/>
        </w:rPr>
      </w:pPr>
    </w:p>
    <w:p w14:paraId="2C3579D6" w14:textId="77777777" w:rsidR="00D12DDA" w:rsidRPr="00D12DDA" w:rsidRDefault="00D12DDA" w:rsidP="00D12DDA">
      <w:pPr>
        <w:spacing w:after="0" w:line="240" w:lineRule="auto"/>
        <w:contextualSpacing/>
        <w:jc w:val="both"/>
        <w:rPr>
          <w:rFonts w:ascii="Century Gothic" w:eastAsia="Calibri" w:hAnsi="Century Gothic" w:cs="Arial"/>
          <w:b/>
          <w:bCs/>
          <w:lang w:val="es-ES_tradnl"/>
        </w:rPr>
      </w:pPr>
      <w:r w:rsidRPr="00D12DDA">
        <w:rPr>
          <w:rFonts w:ascii="Century Gothic" w:eastAsia="Calibri" w:hAnsi="Century Gothic" w:cs="Arial"/>
          <w:b/>
          <w:bCs/>
          <w:lang w:val="es-ES_tradnl"/>
        </w:rPr>
        <w:t xml:space="preserve">SUBASTA INVERSA </w:t>
      </w:r>
      <w:r w:rsidRPr="00D12DDA">
        <w:rPr>
          <w:rFonts w:ascii="Century Gothic" w:eastAsia="Calibri" w:hAnsi="Century Gothic" w:cs="Arial"/>
          <w:b/>
        </w:rPr>
        <w:t>–</w:t>
      </w:r>
      <w:r w:rsidRPr="00D12DDA">
        <w:rPr>
          <w:rFonts w:ascii="Century Gothic" w:eastAsia="Calibri" w:hAnsi="Century Gothic" w:cs="Arial"/>
          <w:b/>
          <w:bCs/>
          <w:lang w:val="es-ES_tradnl"/>
        </w:rPr>
        <w:t xml:space="preserve"> Regla de subsanabilidad </w:t>
      </w:r>
    </w:p>
    <w:p w14:paraId="1A8FC2C3" w14:textId="77777777" w:rsidR="00D12DDA" w:rsidRPr="00D12DDA" w:rsidRDefault="00D12DDA" w:rsidP="00D12DDA">
      <w:pPr>
        <w:spacing w:after="0" w:line="240" w:lineRule="auto"/>
        <w:contextualSpacing/>
        <w:jc w:val="both"/>
        <w:rPr>
          <w:rFonts w:ascii="Century Gothic" w:hAnsi="Century Gothic" w:cs="Arial"/>
          <w:b/>
          <w:bCs/>
          <w:sz w:val="20"/>
          <w:szCs w:val="20"/>
          <w:lang w:val="es-ES_tradnl"/>
        </w:rPr>
      </w:pPr>
    </w:p>
    <w:p w14:paraId="182F7946" w14:textId="77777777" w:rsidR="00D12DDA" w:rsidRPr="00D12DDA" w:rsidRDefault="00D12DDA" w:rsidP="00D12DDA">
      <w:pPr>
        <w:spacing w:line="240" w:lineRule="auto"/>
        <w:contextualSpacing/>
        <w:jc w:val="both"/>
        <w:rPr>
          <w:rFonts w:ascii="Century Gothic" w:hAnsi="Century Gothic" w:cs="Arial"/>
          <w:sz w:val="20"/>
          <w:szCs w:val="20"/>
        </w:rPr>
      </w:pPr>
      <w:r w:rsidRPr="00D12DDA">
        <w:rPr>
          <w:rFonts w:ascii="Century Gothic" w:hAnsi="Century Gothic" w:cs="Arial"/>
          <w:sz w:val="20"/>
          <w:szCs w:val="20"/>
        </w:rPr>
        <w:t xml:space="preserve">[…] </w:t>
      </w:r>
      <w:r w:rsidRPr="00D12DDA">
        <w:rPr>
          <w:rFonts w:ascii="Century Gothic" w:eastAsia="Times New Roman" w:hAnsi="Century Gothic" w:cs="Arial"/>
          <w:sz w:val="20"/>
          <w:szCs w:val="20"/>
          <w:lang w:val="es-ES_tradnl" w:eastAsia="es-ES_tradnl"/>
          <w14:ligatures w14:val="standardContextual"/>
        </w:rPr>
        <w:t>la regla general respecto a la oportunidad para subsanar tiene como excepción, entre otras cosas, el término especial establecido en los procesos de selección en los que se utilice el mecanismo de subasta inversa, para lo cual el artículo 5 de la Ley 1882 de 2018, adicionó el parágrafo 4 al artículo 5 de la Ley 1150 de 2007</w:t>
      </w:r>
      <w:r w:rsidRPr="00D12DDA">
        <w:rPr>
          <w:rFonts w:ascii="Century Gothic" w:hAnsi="Century Gothic" w:cs="Arial"/>
          <w:sz w:val="20"/>
          <w:szCs w:val="20"/>
          <w:lang w:val="es-ES_tradnl"/>
        </w:rPr>
        <w:t xml:space="preserve"> </w:t>
      </w:r>
      <w:r w:rsidRPr="00D12DDA">
        <w:rPr>
          <w:rFonts w:ascii="Century Gothic" w:hAnsi="Century Gothic" w:cs="Arial"/>
          <w:sz w:val="20"/>
          <w:szCs w:val="20"/>
        </w:rPr>
        <w:t>[…]</w:t>
      </w:r>
    </w:p>
    <w:p w14:paraId="704C4260" w14:textId="77777777" w:rsidR="00D12DDA" w:rsidRPr="00D12DDA" w:rsidRDefault="00D12DDA" w:rsidP="00D12DDA">
      <w:pPr>
        <w:spacing w:line="240" w:lineRule="auto"/>
        <w:contextualSpacing/>
        <w:jc w:val="both"/>
        <w:rPr>
          <w:rFonts w:ascii="Century Gothic" w:hAnsi="Century Gothic" w:cs="Arial"/>
          <w:sz w:val="20"/>
          <w:szCs w:val="20"/>
        </w:rPr>
      </w:pPr>
    </w:p>
    <w:p w14:paraId="389B55CF" w14:textId="77777777" w:rsidR="00D12DDA" w:rsidRPr="00D12DDA" w:rsidRDefault="00D12DDA" w:rsidP="00D12DDA">
      <w:pPr>
        <w:spacing w:line="240" w:lineRule="auto"/>
        <w:contextualSpacing/>
        <w:jc w:val="both"/>
        <w:rPr>
          <w:rFonts w:ascii="Century Gothic" w:hAnsi="Century Gothic" w:cs="Arial"/>
          <w:color w:val="000000"/>
          <w:sz w:val="20"/>
          <w:szCs w:val="20"/>
        </w:rPr>
      </w:pPr>
      <w:r w:rsidRPr="00D12DDA">
        <w:rPr>
          <w:rFonts w:ascii="Century Gothic" w:eastAsia="Times New Roman" w:hAnsi="Century Gothic" w:cs="Arial"/>
          <w:color w:val="000000"/>
          <w:sz w:val="20"/>
          <w:szCs w:val="20"/>
          <w:lang w:eastAsia="es-ES_tradnl"/>
          <w14:ligatures w14:val="standardContextual"/>
        </w:rPr>
        <w:t xml:space="preserve">Tal como se expresó en los conceptos C-267 y C-283 del 5 de mayo de 2020, si se analiza la norma transcrita, no es difícil llegar a la conclusión relativa a que esta contiene una regla muy parecida respecto a la oportunidad para subsanar en los procesos de subasta, a la </w:t>
      </w:r>
      <w:r w:rsidRPr="00D12DDA">
        <w:rPr>
          <w:rFonts w:ascii="Century Gothic" w:eastAsia="Times New Roman" w:hAnsi="Century Gothic" w:cs="Arial"/>
          <w:color w:val="000000"/>
          <w:sz w:val="20"/>
          <w:szCs w:val="20"/>
          <w:lang w:eastAsia="es-ES_tradnl"/>
          <w14:ligatures w14:val="standardContextual"/>
        </w:rPr>
        <w:lastRenderedPageBreak/>
        <w:t>contenida en la parte final del inciso primero del artículo 5 de la Ley 1150 de 2007, antes de ser modificada por la Ley 1882 de 2018, siendo en esencia la misma, con la precisión adicional respecto de los documentos susceptibles de subsanación. Esta regla cosiste en la fijación del momento previo al inicio de la audiencia de subasta, como el tiempo límite para que se solicite la subsanación de los documentos faltantes hasta entonces no presentados por los proponentes o, en general, susceptibles de subsanarse.</w:t>
      </w:r>
    </w:p>
    <w:p w14:paraId="3A37C6A2" w14:textId="77777777" w:rsidR="00D12DDA" w:rsidRPr="00D12DDA" w:rsidRDefault="00D12DDA" w:rsidP="00D12DDA">
      <w:pPr>
        <w:spacing w:after="0" w:line="240" w:lineRule="auto"/>
        <w:contextualSpacing/>
        <w:jc w:val="both"/>
        <w:rPr>
          <w:rFonts w:ascii="Century Gothic" w:hAnsi="Century Gothic" w:cs="Arial"/>
          <w:sz w:val="20"/>
          <w:szCs w:val="20"/>
          <w:lang w:val="es-ES_tradnl"/>
        </w:rPr>
      </w:pPr>
    </w:p>
    <w:p w14:paraId="08CC05ED" w14:textId="77777777" w:rsidR="00D12DDA" w:rsidRPr="00D12DDA" w:rsidRDefault="00D12DDA" w:rsidP="00D12DDA">
      <w:pPr>
        <w:spacing w:after="0" w:line="240" w:lineRule="auto"/>
        <w:contextualSpacing/>
        <w:jc w:val="both"/>
        <w:rPr>
          <w:rFonts w:ascii="Century Gothic" w:eastAsia="Calibri" w:hAnsi="Century Gothic" w:cs="Arial"/>
          <w:b/>
          <w:bCs/>
          <w:lang w:val="es-ES_tradnl"/>
        </w:rPr>
      </w:pPr>
      <w:r w:rsidRPr="00D12DDA">
        <w:rPr>
          <w:rFonts w:ascii="Century Gothic" w:eastAsia="Calibri" w:hAnsi="Century Gothic" w:cs="Arial"/>
          <w:b/>
          <w:bCs/>
          <w:lang w:val="es-ES_tradnl"/>
        </w:rPr>
        <w:t xml:space="preserve">SUBASTA INVERSA </w:t>
      </w:r>
      <w:r w:rsidRPr="00D12DDA">
        <w:rPr>
          <w:rFonts w:ascii="Century Gothic" w:eastAsia="Calibri" w:hAnsi="Century Gothic" w:cs="Arial"/>
          <w:b/>
        </w:rPr>
        <w:t>–</w:t>
      </w:r>
      <w:r w:rsidRPr="00D12DDA">
        <w:rPr>
          <w:rFonts w:ascii="Century Gothic" w:eastAsia="Calibri" w:hAnsi="Century Gothic" w:cs="Arial"/>
          <w:b/>
          <w:bCs/>
          <w:lang w:val="es-ES_tradnl"/>
        </w:rPr>
        <w:t xml:space="preserve"> Regla de subsanabilidad – Tiempo límite – Alcance normativo</w:t>
      </w:r>
    </w:p>
    <w:p w14:paraId="160C1D1B" w14:textId="77777777" w:rsidR="00D12DDA" w:rsidRPr="00D12DDA" w:rsidRDefault="00D12DDA" w:rsidP="00D12DDA">
      <w:pPr>
        <w:autoSpaceDE w:val="0"/>
        <w:autoSpaceDN w:val="0"/>
        <w:adjustRightInd w:val="0"/>
        <w:spacing w:after="0" w:line="240" w:lineRule="auto"/>
        <w:contextualSpacing/>
        <w:jc w:val="both"/>
        <w:rPr>
          <w:rFonts w:ascii="Century Gothic" w:hAnsi="Century Gothic" w:cs="Arial"/>
          <w:color w:val="000000"/>
          <w:sz w:val="20"/>
          <w:szCs w:val="20"/>
        </w:rPr>
      </w:pPr>
    </w:p>
    <w:p w14:paraId="69C55DA3" w14:textId="77777777" w:rsidR="00D12DDA" w:rsidRPr="00D12DDA" w:rsidRDefault="00D12DDA" w:rsidP="00D12DDA">
      <w:pPr>
        <w:spacing w:after="0" w:line="240" w:lineRule="auto"/>
        <w:ind w:right="49"/>
        <w:contextualSpacing/>
        <w:jc w:val="both"/>
        <w:rPr>
          <w:rFonts w:ascii="Century Gothic" w:eastAsia="Times New Roman" w:hAnsi="Century Gothic" w:cs="Arial"/>
          <w:color w:val="000000"/>
          <w:sz w:val="20"/>
          <w:szCs w:val="20"/>
          <w:lang w:eastAsia="es-ES_tradnl"/>
          <w14:ligatures w14:val="standardContextual"/>
        </w:rPr>
      </w:pPr>
      <w:r w:rsidRPr="00D12DDA">
        <w:rPr>
          <w:rFonts w:ascii="Century Gothic" w:eastAsia="Times New Roman" w:hAnsi="Century Gothic" w:cs="Arial"/>
          <w:color w:val="000000"/>
          <w:sz w:val="20"/>
          <w:szCs w:val="20"/>
          <w:lang w:eastAsia="es-ES_tradnl"/>
          <w14:ligatures w14:val="standardContextual"/>
        </w:rPr>
        <w:t xml:space="preserve">En ese orden de ideas, extendiendo las anteriores consideraciones a la regla de subsanabilidad consagrada en el parágrafo 4 del artículo 5 de la Ley 1150 de 2007 –adicionado por la Ley 1882 de 2018–, dada su identidad con la regulación del parágrafo 1 del artículo 5 de la ley 1150 de 2007 original –antes de ser modificada por la Ley 1882 de 2018– el inicio de la subasta es el momento hasta el cual la entidad cuenta con la facultad para requerir la subsanación de los documentos referentes a la futura contratación o a los proponentes, no necesarios para la comparación de las propuestas. Para el ejercicio de tal facultad, las entidades de manera </w:t>
      </w:r>
      <w:r w:rsidRPr="00D12DDA">
        <w:rPr>
          <w:rFonts w:ascii="Century Gothic" w:eastAsia="Times New Roman" w:hAnsi="Century Gothic" w:cs="Arial"/>
          <w:i/>
          <w:iCs/>
          <w:color w:val="000000"/>
          <w:sz w:val="20"/>
          <w:szCs w:val="20"/>
          <w:lang w:eastAsia="es-ES_tradnl"/>
          <w14:ligatures w14:val="standardContextual"/>
        </w:rPr>
        <w:t xml:space="preserve">ex ante </w:t>
      </w:r>
      <w:r w:rsidRPr="00D12DDA">
        <w:rPr>
          <w:rFonts w:ascii="Century Gothic" w:eastAsia="Times New Roman" w:hAnsi="Century Gothic" w:cs="Arial"/>
          <w:color w:val="000000"/>
          <w:sz w:val="20"/>
          <w:szCs w:val="20"/>
          <w:lang w:eastAsia="es-ES_tradnl"/>
          <w14:ligatures w14:val="standardContextual"/>
        </w:rPr>
        <w:t xml:space="preserve">podrán establecer dentro del pliego de condiciones el periodo dentro del cual los participantes del proceso de selección podrán subsanar los documentos que requiera la entidad, o en su defecto, requerir por separado a cada proponente para que subsanen los respectivos documentos, fijándoles un término razonable, el cual en todo caso no podrá exceder el momento previo al inicio de la audiencia de subasta. Así mismo, dentro del pliego de condiciones podrán definir las veces en las cuales le será posible a los proponentes subsanar los documentos.  En sentido, atendiendo a la consulta planteada, la posibilidad de subsanar varias veces un determinado aspecto de la propuesta dependerá de lo establecido en el pliego de condiciones, pues la normativa no restringe el número de veces que un proponente podrá subsanar un determinado aspecto. </w:t>
      </w:r>
    </w:p>
    <w:p w14:paraId="53A62555" w14:textId="77777777" w:rsidR="00D12DDA" w:rsidRPr="00D12DDA" w:rsidRDefault="00D12DDA" w:rsidP="00D12DDA">
      <w:pPr>
        <w:contextualSpacing/>
        <w:jc w:val="both"/>
        <w:rPr>
          <w:rFonts w:ascii="Century Gothic" w:eastAsia="Calibri" w:hAnsi="Century Gothic" w:cs="Arial"/>
          <w:sz w:val="20"/>
          <w:szCs w:val="20"/>
          <w:lang w:val="es-ES_tradnl"/>
        </w:rPr>
      </w:pPr>
    </w:p>
    <w:p w14:paraId="27F31608" w14:textId="77777777" w:rsidR="00D12DDA" w:rsidRPr="00D12DDA" w:rsidRDefault="00D12DDA" w:rsidP="00D12DDA">
      <w:pPr>
        <w:spacing w:line="240" w:lineRule="auto"/>
        <w:contextualSpacing/>
        <w:jc w:val="both"/>
        <w:rPr>
          <w:rFonts w:ascii="Century Gothic" w:eastAsia="Calibri" w:hAnsi="Century Gothic" w:cs="Arial"/>
          <w:sz w:val="20"/>
          <w:szCs w:val="20"/>
          <w:lang w:val="es-ES_tradnl"/>
        </w:rPr>
      </w:pPr>
      <w:r w:rsidRPr="00D12DDA">
        <w:rPr>
          <w:rFonts w:ascii="Century Gothic" w:eastAsia="Calibri" w:hAnsi="Century Gothic" w:cs="Arial"/>
          <w:sz w:val="20"/>
          <w:szCs w:val="20"/>
          <w:lang w:val="es-ES_tradnl" w:eastAsia="es-ES_tradnl"/>
          <w14:ligatures w14:val="standardContextual"/>
        </w:rPr>
        <w:t>De esta manera, el parágrafo analizado</w:t>
      </w:r>
      <w:r w:rsidRPr="00D12DDA">
        <w:rPr>
          <w:rFonts w:ascii="Century Gothic" w:eastAsia="Calibri" w:hAnsi="Century Gothic" w:cs="Arial"/>
          <w:sz w:val="20"/>
          <w:szCs w:val="20"/>
          <w:lang w:eastAsia="es-ES_tradnl"/>
          <w14:ligatures w14:val="standardContextual"/>
        </w:rPr>
        <w:t xml:space="preserve"> permite a las entidades </w:t>
      </w:r>
      <w:r w:rsidRPr="00D12DDA">
        <w:rPr>
          <w:rFonts w:ascii="Century Gothic" w:eastAsia="Calibri" w:hAnsi="Century Gothic" w:cs="Arial"/>
          <w:i/>
          <w:iCs/>
          <w:sz w:val="20"/>
          <w:szCs w:val="20"/>
          <w:lang w:eastAsia="es-ES_tradnl"/>
          <w14:ligatures w14:val="standardContextual"/>
        </w:rPr>
        <w:t>solicitar</w:t>
      </w:r>
      <w:r w:rsidRPr="00D12DDA">
        <w:rPr>
          <w:rFonts w:ascii="Century Gothic" w:eastAsia="Calibri" w:hAnsi="Century Gothic" w:cs="Arial"/>
          <w:sz w:val="20"/>
          <w:szCs w:val="20"/>
          <w:lang w:eastAsia="es-ES_tradnl"/>
          <w14:ligatures w14:val="standardContextual"/>
        </w:rPr>
        <w:t xml:space="preserve"> a los oferentes que subsanen los documentos referentes a la futura contratación no necesarios para la comparación de las propuestas, hasta el momento previo a la realización a la subasta a la que hace referencia el artículo </w:t>
      </w:r>
      <w:r w:rsidRPr="00D12DDA">
        <w:rPr>
          <w:rFonts w:ascii="Century Gothic" w:eastAsia="Calibri" w:hAnsi="Century Gothic" w:cs="Arial"/>
          <w:sz w:val="20"/>
          <w:szCs w:val="20"/>
          <w:lang w:val="es-ES_tradnl" w:eastAsia="es-ES_tradnl"/>
          <w14:ligatures w14:val="standardContextual"/>
        </w:rPr>
        <w:t xml:space="preserve">2.2.1.2.1.2.2 del Decreto 1082 de 2015, momento que, además, deberá estar señalado en el pliego de condiciones, independientemente de que la entidad opte para desarrollar la audiencia de manera presencial o través del algún mecanismo electrónico. En defecto de lo anterior, las entidades también podrán </w:t>
      </w:r>
      <w:r w:rsidRPr="00D12DDA">
        <w:rPr>
          <w:rFonts w:ascii="Century Gothic" w:eastAsia="Calibri" w:hAnsi="Century Gothic" w:cs="Arial"/>
          <w:sz w:val="20"/>
          <w:szCs w:val="20"/>
          <w:lang w:eastAsia="es-ES_tradnl"/>
          <w14:ligatures w14:val="standardContextual"/>
        </w:rPr>
        <w:t xml:space="preserve">requerir por separado o conjuntamente a cada proponente para que subsanen los respectivos documentos, fijándoles un término razonable, el cual en todo caso no podrá exceder el momento previo al inicio de la audiencia de subasta, por lo que será anterior a ella.   </w:t>
      </w:r>
      <w:r w:rsidRPr="00D12DDA">
        <w:rPr>
          <w:rFonts w:ascii="Century Gothic" w:eastAsia="Calibri" w:hAnsi="Century Gothic" w:cs="Arial"/>
          <w:sz w:val="20"/>
          <w:szCs w:val="20"/>
          <w:lang w:val="es-ES_tradnl" w:eastAsia="es-ES_tradnl"/>
          <w14:ligatures w14:val="standardContextual"/>
        </w:rPr>
        <w:t xml:space="preserve"> </w:t>
      </w:r>
    </w:p>
    <w:p w14:paraId="33A0F6D1" w14:textId="77777777" w:rsidR="00D12DDA" w:rsidRPr="00D12DDA" w:rsidRDefault="00D12DDA" w:rsidP="00D12DDA">
      <w:pPr>
        <w:spacing w:after="0" w:line="240" w:lineRule="auto"/>
        <w:ind w:firstLine="709"/>
        <w:contextualSpacing/>
        <w:jc w:val="both"/>
        <w:rPr>
          <w:rFonts w:ascii="Century Gothic" w:eastAsia="Calibri" w:hAnsi="Century Gothic" w:cs="Arial"/>
          <w:sz w:val="20"/>
          <w:szCs w:val="20"/>
          <w:lang w:val="es-ES_tradnl" w:eastAsia="es-ES_tradnl"/>
          <w14:ligatures w14:val="standardContextual"/>
        </w:rPr>
      </w:pPr>
    </w:p>
    <w:p w14:paraId="41297576" w14:textId="77777777" w:rsidR="00D12DDA" w:rsidRPr="00D12DDA" w:rsidRDefault="00D12DDA" w:rsidP="00D12DDA">
      <w:pPr>
        <w:spacing w:after="0" w:line="240" w:lineRule="auto"/>
        <w:rPr>
          <w:rFonts w:ascii="Century Gothic" w:eastAsia="Calibri" w:hAnsi="Century Gothic" w:cs="Arial"/>
          <w:b/>
          <w:color w:val="000000"/>
          <w:lang w:val="es-ES_tradnl"/>
        </w:rPr>
      </w:pPr>
      <w:r w:rsidRPr="00D12DDA">
        <w:rPr>
          <w:rFonts w:ascii="Century Gothic" w:eastAsia="Calibri" w:hAnsi="Century Gothic" w:cs="Arial"/>
          <w:b/>
          <w:color w:val="000000"/>
          <w:lang w:val="es-ES_tradnl"/>
        </w:rPr>
        <w:t>SUBSANABILIDAD – Procedencia – Mínima cuantía – Selección abreviada mediante subasta inversa</w:t>
      </w:r>
    </w:p>
    <w:p w14:paraId="6E8BF8EB" w14:textId="77777777" w:rsidR="00D12DDA" w:rsidRPr="00D12DDA" w:rsidRDefault="00D12DDA" w:rsidP="00D12DDA">
      <w:pPr>
        <w:spacing w:after="0" w:line="240" w:lineRule="auto"/>
        <w:rPr>
          <w:rFonts w:ascii="Century Gothic" w:eastAsia="Calibri" w:hAnsi="Century Gothic" w:cs="Arial"/>
          <w:b/>
          <w:color w:val="000000"/>
          <w:lang w:val="es-ES_tradnl"/>
        </w:rPr>
      </w:pPr>
    </w:p>
    <w:p w14:paraId="0AD95366" w14:textId="77777777" w:rsidR="00D12DDA" w:rsidRPr="00D12DDA" w:rsidRDefault="00D12DDA" w:rsidP="00D12DDA">
      <w:pPr>
        <w:spacing w:after="0" w:line="240" w:lineRule="auto"/>
        <w:jc w:val="both"/>
        <w:rPr>
          <w:rFonts w:ascii="Century Gothic" w:eastAsia="Calibri" w:hAnsi="Century Gothic" w:cs="Arial"/>
          <w:color w:val="000000"/>
          <w:sz w:val="20"/>
          <w:szCs w:val="20"/>
          <w:lang w:val="es-ES_tradnl"/>
        </w:rPr>
      </w:pPr>
      <w:r w:rsidRPr="00D12DDA">
        <w:rPr>
          <w:rFonts w:ascii="Century Gothic" w:eastAsia="Calibri" w:hAnsi="Century Gothic" w:cs="Arial"/>
          <w:color w:val="000000"/>
          <w:sz w:val="20"/>
          <w:szCs w:val="20"/>
          <w:lang w:val="es-ES_tradnl"/>
        </w:rPr>
        <w:t xml:space="preserve">[…] la regla general establecida por el legislador consiste en considerar que todos aquellos requisitos de las propuestas que no afecten la asignación de puntaje son susceptibles de ser subsanados. En este sentido, en las consideraciones se señaló de forma precisa lo relacionado con las reglas especiales en relación con los procesos en que se haga uso del </w:t>
      </w:r>
      <w:r w:rsidRPr="00D12DDA">
        <w:rPr>
          <w:rFonts w:ascii="Century Gothic" w:eastAsia="Calibri" w:hAnsi="Century Gothic" w:cs="Arial"/>
          <w:color w:val="000000"/>
          <w:sz w:val="20"/>
          <w:szCs w:val="20"/>
          <w:lang w:val="es-ES_tradnl"/>
        </w:rPr>
        <w:lastRenderedPageBreak/>
        <w:t>sistema de subasta y en los procesos de mínima cuantía, frente a los cuales se señaló que aplican criterios particulares frente al momento en que procede la subsanación. Sin embargo, en cuanto a qué requisitos se pueden subsanar, esta Subdirección considera que serán aquellos distintos a los que incidan en la ponderación o comparación de las ofertas, entendidos estos como los que en cierta modalidad de selección determinen la selección del mejor ofrecimiento, como se expresó en los numerales 2.1. y 2.2. de este concepto, por lo que serán los factores que determinan un mejor ofrecimiento frente a otro, luego de cumplirse los requisitos habilitantes, como sucede, por ejemplo, con el precio tratándose de los procesos de mínima cuantía o selección abreviada mediante subasta inversa, donde la determinación comparativa de la mejor oferta se realiza de acuerdo con la propuesta de menor precio, aspecto que no podrá subsanarse.</w:t>
      </w:r>
    </w:p>
    <w:p w14:paraId="4E6125A1" w14:textId="77777777" w:rsidR="00D12DDA" w:rsidRPr="00D12DDA" w:rsidRDefault="00D12DDA" w:rsidP="00D12DDA">
      <w:pPr>
        <w:rPr>
          <w:rFonts w:ascii="Century Gothic" w:eastAsia="Times New Roman" w:hAnsi="Century Gothic" w:cs="Arial"/>
          <w:b/>
          <w:lang w:val="es-ES_tradnl" w:eastAsia="es-CO"/>
        </w:rPr>
      </w:pPr>
    </w:p>
    <w:p w14:paraId="7FED6674" w14:textId="77777777" w:rsidR="00D12DDA" w:rsidRPr="00D12DDA" w:rsidRDefault="00D12DDA" w:rsidP="00D12DDA">
      <w:pPr>
        <w:rPr>
          <w:rFonts w:ascii="Century Gothic" w:eastAsia="Times New Roman" w:hAnsi="Century Gothic" w:cs="Arial"/>
          <w:b/>
          <w:lang w:val="es-ES_tradnl" w:eastAsia="es-CO"/>
        </w:rPr>
      </w:pPr>
    </w:p>
    <w:p w14:paraId="51806F98" w14:textId="77777777" w:rsidR="00D12DDA" w:rsidRPr="00D12DDA" w:rsidRDefault="00D12DDA" w:rsidP="00D12DDA">
      <w:pPr>
        <w:spacing w:after="0" w:line="240" w:lineRule="auto"/>
        <w:contextualSpacing/>
        <w:rPr>
          <w:rFonts w:ascii="Century Gothic" w:eastAsia="Times New Roman" w:hAnsi="Century Gothic" w:cs="Arial"/>
          <w:b/>
          <w:lang w:val="es-ES_tradnl" w:eastAsia="es-CO"/>
        </w:rPr>
      </w:pPr>
    </w:p>
    <w:p w14:paraId="4745F302" w14:textId="77777777" w:rsidR="00D12DDA" w:rsidRPr="00D12DDA" w:rsidRDefault="00D12DDA" w:rsidP="00D12DDA">
      <w:pPr>
        <w:spacing w:after="0" w:line="240" w:lineRule="auto"/>
        <w:contextualSpacing/>
        <w:rPr>
          <w:rFonts w:ascii="Century Gothic" w:eastAsia="Times New Roman" w:hAnsi="Century Gothic" w:cs="Arial"/>
          <w:b/>
          <w:bCs/>
          <w:lang w:val="es-ES_tradnl" w:eastAsia="es-CO"/>
        </w:rPr>
      </w:pPr>
    </w:p>
    <w:p w14:paraId="618876EE" w14:textId="77777777" w:rsidR="00D12DDA" w:rsidRPr="00D12DDA" w:rsidRDefault="00D12DDA" w:rsidP="00D12DDA">
      <w:pPr>
        <w:spacing w:after="0" w:line="240" w:lineRule="auto"/>
        <w:contextualSpacing/>
        <w:jc w:val="both"/>
        <w:rPr>
          <w:rFonts w:ascii="Century Gothic" w:eastAsia="Calibri" w:hAnsi="Century Gothic" w:cs="Arial"/>
          <w:sz w:val="20"/>
          <w:szCs w:val="20"/>
          <w:lang w:eastAsia="es-ES_tradnl"/>
          <w14:ligatures w14:val="standardContextual"/>
        </w:rPr>
      </w:pPr>
      <w:r w:rsidRPr="00D12DDA">
        <w:rPr>
          <w:rFonts w:ascii="Century Gothic" w:eastAsia="Arial MT" w:hAnsi="Century Gothic" w:cs="Arial"/>
          <w:lang w:val="es-ES"/>
          <w14:ligatures w14:val="standardContextual"/>
        </w:rPr>
        <w:br w:type="page"/>
      </w:r>
    </w:p>
    <w:p w14:paraId="05E4BE2E" w14:textId="77777777" w:rsidR="00D12DDA" w:rsidRPr="00D12DDA" w:rsidRDefault="00D12DDA" w:rsidP="00D12DDA">
      <w:pPr>
        <w:spacing w:after="0"/>
        <w:rPr>
          <w:rFonts w:ascii="Century Gothic" w:hAnsi="Century Gothic"/>
        </w:rPr>
      </w:pPr>
      <w:r w:rsidRPr="00D12DDA">
        <w:rPr>
          <w:rFonts w:ascii="Century Gothic" w:hAnsi="Century Gothic"/>
        </w:rPr>
        <w:lastRenderedPageBreak/>
        <w:t>Bogotá D.C., [Día] [</w:t>
      </w:r>
      <w:proofErr w:type="spellStart"/>
      <w:r w:rsidRPr="00D12DDA">
        <w:rPr>
          <w:rFonts w:ascii="Century Gothic" w:hAnsi="Century Gothic"/>
        </w:rPr>
        <w:t>Mes.NombreCapitalizado</w:t>
      </w:r>
      <w:proofErr w:type="spellEnd"/>
      <w:r w:rsidRPr="00D12DDA">
        <w:rPr>
          <w:rFonts w:ascii="Century Gothic" w:hAnsi="Century Gothic"/>
        </w:rPr>
        <w:t>] [Año]</w:t>
      </w:r>
      <w:r w:rsidRPr="00D12DDA">
        <w:rPr>
          <w:rFonts w:ascii="Century Gothic" w:hAnsi="Century Gothic"/>
        </w:rPr>
        <w:tab/>
      </w:r>
    </w:p>
    <w:p w14:paraId="0F67550F" w14:textId="77777777" w:rsidR="00D12DDA" w:rsidRPr="00D12DDA" w:rsidRDefault="00D12DDA" w:rsidP="00D12DDA">
      <w:pPr>
        <w:widowControl w:val="0"/>
        <w:autoSpaceDE w:val="0"/>
        <w:autoSpaceDN w:val="0"/>
        <w:spacing w:after="0" w:line="240" w:lineRule="auto"/>
        <w:contextualSpacing/>
        <w:jc w:val="right"/>
        <w:rPr>
          <w:rFonts w:ascii="Century Gothic" w:eastAsia="Arial MT" w:hAnsi="Century Gothic" w:cs="Arial"/>
          <w:lang w:val="es-ES"/>
          <w14:ligatures w14:val="standardContextual"/>
        </w:rPr>
      </w:pPr>
    </w:p>
    <w:p w14:paraId="0A36D0C8" w14:textId="77777777" w:rsidR="00D12DDA" w:rsidRPr="00D12DDA" w:rsidRDefault="00D12DDA" w:rsidP="00D12DDA">
      <w:pPr>
        <w:widowControl w:val="0"/>
        <w:autoSpaceDE w:val="0"/>
        <w:autoSpaceDN w:val="0"/>
        <w:spacing w:after="0" w:line="240" w:lineRule="auto"/>
        <w:contextualSpacing/>
        <w:jc w:val="right"/>
        <w:rPr>
          <w:rFonts w:ascii="Century Gothic" w:eastAsia="Arial MT" w:hAnsi="Century Gothic" w:cs="Arial"/>
          <w:lang w:val="es-ES"/>
          <w14:ligatures w14:val="standardContextual"/>
        </w:rPr>
      </w:pPr>
    </w:p>
    <w:p w14:paraId="73F44233" w14:textId="0D28965F" w:rsidR="00D12DDA" w:rsidRPr="00D12DDA" w:rsidRDefault="00DA45EB" w:rsidP="00D12DDA">
      <w:pPr>
        <w:widowControl w:val="0"/>
        <w:autoSpaceDE w:val="0"/>
        <w:autoSpaceDN w:val="0"/>
        <w:spacing w:after="0" w:line="240" w:lineRule="auto"/>
        <w:contextualSpacing/>
        <w:rPr>
          <w:rFonts w:ascii="Century Gothic" w:eastAsia="Arial MT" w:hAnsi="Century Gothic" w:cs="Arial"/>
          <w:lang w:val="es-ES"/>
          <w14:ligatures w14:val="standardContextual"/>
        </w:rPr>
      </w:pPr>
      <w:r>
        <w:rPr>
          <w:noProof/>
        </w:rPr>
        <w:drawing>
          <wp:anchor distT="0" distB="0" distL="0" distR="0" simplePos="0" relativeHeight="251659264" behindDoc="0" locked="0" layoutInCell="1" allowOverlap="1" wp14:anchorId="406B5B14" wp14:editId="1B8AB814">
            <wp:simplePos x="0" y="0"/>
            <wp:positionH relativeFrom="page">
              <wp:posOffset>4219120</wp:posOffset>
            </wp:positionH>
            <wp:positionV relativeFrom="paragraph">
              <wp:posOffset>2142</wp:posOffset>
            </wp:positionV>
            <wp:extent cx="2400300" cy="615950"/>
            <wp:effectExtent l="0" t="0" r="0" b="0"/>
            <wp:wrapNone/>
            <wp:docPr id="9" name="image5.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Texto&#10;&#10;Descripción generada automáticamente"/>
                    <pic:cNvPicPr/>
                  </pic:nvPicPr>
                  <pic:blipFill>
                    <a:blip r:embed="rId10" cstate="print"/>
                    <a:stretch>
                      <a:fillRect/>
                    </a:stretch>
                  </pic:blipFill>
                  <pic:spPr>
                    <a:xfrm>
                      <a:off x="0" y="0"/>
                      <a:ext cx="2400300" cy="615950"/>
                    </a:xfrm>
                    <a:prstGeom prst="rect">
                      <a:avLst/>
                    </a:prstGeom>
                  </pic:spPr>
                </pic:pic>
              </a:graphicData>
            </a:graphic>
          </wp:anchor>
        </w:drawing>
      </w:r>
      <w:r w:rsidR="00D12DDA" w:rsidRPr="00D12DDA">
        <w:rPr>
          <w:rFonts w:ascii="Century Gothic" w:eastAsia="Arial MT" w:hAnsi="Century Gothic" w:cs="Arial"/>
          <w:lang w:val="es-ES"/>
          <w14:ligatures w14:val="standardContextual"/>
        </w:rPr>
        <w:t>Señor</w:t>
      </w:r>
    </w:p>
    <w:p w14:paraId="7C9C8B8B" w14:textId="0B392804" w:rsidR="00D12DDA" w:rsidRPr="00D12DDA" w:rsidRDefault="00D12DDA" w:rsidP="00D12DDA">
      <w:pPr>
        <w:widowControl w:val="0"/>
        <w:autoSpaceDE w:val="0"/>
        <w:autoSpaceDN w:val="0"/>
        <w:spacing w:after="0" w:line="240" w:lineRule="auto"/>
        <w:contextualSpacing/>
        <w:rPr>
          <w:rFonts w:ascii="Century Gothic" w:eastAsia="Arial MT" w:hAnsi="Century Gothic" w:cs="Arial"/>
          <w:b/>
          <w:lang w:val="es-ES"/>
          <w14:ligatures w14:val="standardContextual"/>
        </w:rPr>
      </w:pPr>
      <w:r w:rsidRPr="00D12DDA">
        <w:rPr>
          <w:rFonts w:ascii="Century Gothic" w:eastAsia="Arial MT" w:hAnsi="Century Gothic" w:cs="Arial"/>
          <w:b/>
          <w:lang w:val="es-ES"/>
          <w14:ligatures w14:val="standardContextual"/>
        </w:rPr>
        <w:t>Lenin Augusto Pardo Porras</w:t>
      </w:r>
    </w:p>
    <w:p w14:paraId="1CA25ECA" w14:textId="79A7289F" w:rsidR="00D12DDA" w:rsidRPr="00D12DDA" w:rsidRDefault="00D12DDA" w:rsidP="00D12DDA">
      <w:pPr>
        <w:widowControl w:val="0"/>
        <w:autoSpaceDE w:val="0"/>
        <w:autoSpaceDN w:val="0"/>
        <w:spacing w:after="0" w:line="240" w:lineRule="auto"/>
        <w:contextualSpacing/>
        <w:rPr>
          <w:rFonts w:ascii="Century Gothic" w:eastAsia="Arial MT" w:hAnsi="Century Gothic" w:cs="Arial"/>
          <w:lang w:val="es-ES"/>
          <w14:ligatures w14:val="standardContextual"/>
        </w:rPr>
      </w:pPr>
      <w:r w:rsidRPr="00D12DDA">
        <w:rPr>
          <w:rFonts w:ascii="Century Gothic" w:eastAsia="Arial MT" w:hAnsi="Century Gothic" w:cs="Arial"/>
          <w:lang w:val="es-ES"/>
          <w14:ligatures w14:val="standardContextual"/>
        </w:rPr>
        <w:t>Leninpp11@gmail.com</w:t>
      </w:r>
    </w:p>
    <w:p w14:paraId="1C1B38A3" w14:textId="12AFA184" w:rsidR="00D12DDA" w:rsidRPr="00D12DDA" w:rsidRDefault="00D12DDA" w:rsidP="00D12DDA">
      <w:pPr>
        <w:widowControl w:val="0"/>
        <w:autoSpaceDE w:val="0"/>
        <w:autoSpaceDN w:val="0"/>
        <w:spacing w:after="0" w:line="240" w:lineRule="auto"/>
        <w:contextualSpacing/>
        <w:rPr>
          <w:rFonts w:ascii="Century Gothic" w:eastAsia="Arial MT" w:hAnsi="Century Gothic" w:cs="Arial"/>
          <w:lang w:val="es-ES"/>
          <w14:ligatures w14:val="standardContextual"/>
        </w:rPr>
      </w:pPr>
      <w:r w:rsidRPr="00D12DDA">
        <w:rPr>
          <w:rFonts w:ascii="Century Gothic" w:eastAsia="Arial MT" w:hAnsi="Century Gothic" w:cs="Arial"/>
          <w:lang w:val="es-ES"/>
          <w14:ligatures w14:val="standardContextual"/>
        </w:rPr>
        <w:t>Bogotá D.C.</w:t>
      </w:r>
    </w:p>
    <w:p w14:paraId="5B58831B" w14:textId="237651B0" w:rsidR="00D12DDA" w:rsidRPr="00D12DDA" w:rsidRDefault="00D12DDA" w:rsidP="00D12DDA">
      <w:pPr>
        <w:widowControl w:val="0"/>
        <w:autoSpaceDE w:val="0"/>
        <w:autoSpaceDN w:val="0"/>
        <w:spacing w:after="0" w:line="240" w:lineRule="auto"/>
        <w:contextualSpacing/>
        <w:rPr>
          <w:rFonts w:ascii="Century Gothic" w:eastAsia="Arial MT" w:hAnsi="Century Gothic" w:cs="Arial"/>
          <w:lang w:val="es-ES"/>
          <w14:ligatures w14:val="standardContextual"/>
        </w:rPr>
      </w:pPr>
    </w:p>
    <w:p w14:paraId="6DAA7DFE" w14:textId="77777777" w:rsidR="00D12DDA" w:rsidRPr="00D12DDA" w:rsidRDefault="00D12DDA" w:rsidP="00D12DDA">
      <w:pPr>
        <w:widowControl w:val="0"/>
        <w:autoSpaceDE w:val="0"/>
        <w:autoSpaceDN w:val="0"/>
        <w:spacing w:after="0" w:line="240" w:lineRule="auto"/>
        <w:contextualSpacing/>
        <w:rPr>
          <w:rFonts w:ascii="Century Gothic" w:eastAsia="Arial MT" w:hAnsi="Century Gothic" w:cs="Arial"/>
          <w:lang w:val="es-ES"/>
          <w14:ligatures w14:val="standardContextual"/>
        </w:rPr>
      </w:pPr>
    </w:p>
    <w:p w14:paraId="40B07BA6" w14:textId="77777777" w:rsidR="00D12DDA" w:rsidRPr="00D12DDA" w:rsidRDefault="00D12DDA" w:rsidP="00D12DDA">
      <w:pPr>
        <w:widowControl w:val="0"/>
        <w:autoSpaceDE w:val="0"/>
        <w:autoSpaceDN w:val="0"/>
        <w:spacing w:after="0" w:line="240" w:lineRule="auto"/>
        <w:outlineLvl w:val="0"/>
        <w:rPr>
          <w:rFonts w:ascii="Century Gothic" w:eastAsia="Arial" w:hAnsi="Century Gothic" w:cs="Arial"/>
          <w:b/>
          <w:bCs/>
          <w:lang w:val="es-ES"/>
          <w14:ligatures w14:val="standardContextual"/>
        </w:rPr>
      </w:pPr>
      <w:r w:rsidRPr="00D12DDA">
        <w:rPr>
          <w:rFonts w:ascii="Century Gothic" w:eastAsia="Arial" w:hAnsi="Century Gothic" w:cs="Arial"/>
          <w:b/>
          <w:bCs/>
          <w:lang w:val="es-ES"/>
          <w14:ligatures w14:val="standardContextual"/>
        </w:rPr>
        <w:t xml:space="preserve">                                            Concepto</w:t>
      </w:r>
      <w:r w:rsidRPr="00D12DDA">
        <w:rPr>
          <w:rFonts w:ascii="Century Gothic" w:eastAsia="Arial" w:hAnsi="Century Gothic" w:cs="Arial"/>
          <w:b/>
          <w:bCs/>
          <w:spacing w:val="-4"/>
          <w:lang w:val="es-ES"/>
          <w14:ligatures w14:val="standardContextual"/>
        </w:rPr>
        <w:t xml:space="preserve"> </w:t>
      </w:r>
      <w:r w:rsidRPr="00D12DDA">
        <w:rPr>
          <w:rFonts w:ascii="Century Gothic" w:eastAsia="Arial" w:hAnsi="Century Gothic" w:cs="Arial"/>
          <w:b/>
          <w:bCs/>
          <w:lang w:val="es-ES"/>
          <w14:ligatures w14:val="standardContextual"/>
        </w:rPr>
        <w:t>C</w:t>
      </w:r>
      <w:r w:rsidRPr="00D12DDA">
        <w:rPr>
          <w:rFonts w:ascii="Century Gothic" w:eastAsia="Arial" w:hAnsi="Century Gothic" w:cs="Arial"/>
          <w:b/>
          <w:bCs/>
          <w:spacing w:val="-2"/>
          <w:lang w:val="es-ES"/>
          <w14:ligatures w14:val="standardContextual"/>
        </w:rPr>
        <w:t xml:space="preserve"> </w:t>
      </w:r>
      <w:r w:rsidRPr="00D12DDA">
        <w:rPr>
          <w:rFonts w:ascii="Century Gothic" w:eastAsia="Arial" w:hAnsi="Century Gothic" w:cs="Arial"/>
          <w:b/>
          <w:bCs/>
          <w:lang w:val="es-ES"/>
          <w14:ligatures w14:val="standardContextual"/>
        </w:rPr>
        <w:t>–</w:t>
      </w:r>
      <w:r w:rsidRPr="00D12DDA">
        <w:rPr>
          <w:rFonts w:ascii="Century Gothic" w:eastAsia="Arial" w:hAnsi="Century Gothic" w:cs="Arial"/>
          <w:b/>
          <w:bCs/>
          <w:spacing w:val="-3"/>
          <w:lang w:val="es-ES"/>
          <w14:ligatures w14:val="standardContextual"/>
        </w:rPr>
        <w:t xml:space="preserve"> </w:t>
      </w:r>
      <w:r w:rsidRPr="00D12DDA">
        <w:rPr>
          <w:rFonts w:ascii="Century Gothic" w:eastAsia="Arial" w:hAnsi="Century Gothic" w:cs="Arial"/>
          <w:b/>
          <w:bCs/>
          <w:spacing w:val="-4"/>
          <w:lang w:val="es-ES"/>
          <w14:ligatures w14:val="standardContextual"/>
        </w:rPr>
        <w:t xml:space="preserve">275 </w:t>
      </w:r>
      <w:r w:rsidRPr="00D12DDA">
        <w:rPr>
          <w:rFonts w:ascii="Century Gothic" w:eastAsia="Arial" w:hAnsi="Century Gothic" w:cs="Arial"/>
          <w:b/>
          <w:bCs/>
          <w:lang w:val="es-ES"/>
          <w14:ligatures w14:val="standardContextual"/>
        </w:rPr>
        <w:t>de</w:t>
      </w:r>
      <w:r w:rsidRPr="00D12DDA">
        <w:rPr>
          <w:rFonts w:ascii="Century Gothic" w:eastAsia="Arial" w:hAnsi="Century Gothic" w:cs="Arial"/>
          <w:b/>
          <w:bCs/>
          <w:spacing w:val="-3"/>
          <w:lang w:val="es-ES"/>
          <w14:ligatures w14:val="standardContextual"/>
        </w:rPr>
        <w:t xml:space="preserve"> </w:t>
      </w:r>
      <w:r w:rsidRPr="00D12DDA">
        <w:rPr>
          <w:rFonts w:ascii="Century Gothic" w:eastAsia="Arial" w:hAnsi="Century Gothic" w:cs="Arial"/>
          <w:b/>
          <w:bCs/>
          <w:lang w:val="es-ES"/>
          <w14:ligatures w14:val="standardContextual"/>
        </w:rPr>
        <w:t>2023</w:t>
      </w:r>
    </w:p>
    <w:p w14:paraId="4D846B3E" w14:textId="77777777" w:rsidR="00D12DDA" w:rsidRPr="00D12DDA" w:rsidRDefault="00D12DDA" w:rsidP="00D12DDA">
      <w:pPr>
        <w:widowControl w:val="0"/>
        <w:tabs>
          <w:tab w:val="left" w:pos="2794"/>
        </w:tabs>
        <w:autoSpaceDE w:val="0"/>
        <w:autoSpaceDN w:val="0"/>
        <w:spacing w:after="0" w:line="240" w:lineRule="auto"/>
        <w:ind w:right="111"/>
        <w:jc w:val="both"/>
        <w:rPr>
          <w:rFonts w:ascii="Century Gothic" w:eastAsia="Arial MT" w:hAnsi="Century Gothic" w:cs="Arial"/>
          <w:b/>
          <w:lang w:val="es-ES"/>
          <w14:ligatures w14:val="standardContextual"/>
        </w:rPr>
      </w:pPr>
    </w:p>
    <w:tbl>
      <w:tblPr>
        <w:tblStyle w:val="Tablaconcuadrcula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12DDA" w:rsidRPr="00D12DDA" w14:paraId="1876771C" w14:textId="77777777" w:rsidTr="00533E4F">
        <w:tc>
          <w:tcPr>
            <w:tcW w:w="2689" w:type="dxa"/>
          </w:tcPr>
          <w:p w14:paraId="6C12FE7D" w14:textId="77777777" w:rsidR="00D12DDA" w:rsidRPr="00D12DDA" w:rsidRDefault="00D12DDA" w:rsidP="00533E4F">
            <w:pPr>
              <w:jc w:val="both"/>
              <w:rPr>
                <w:rFonts w:ascii="Century Gothic" w:eastAsia="Calibri" w:hAnsi="Century Gothic" w:cs="Arial"/>
                <w:b/>
                <w:lang w:val="es-ES_tradnl" w:eastAsia="es-ES_tradnl"/>
              </w:rPr>
            </w:pPr>
            <w:bookmarkStart w:id="0" w:name="_Hlk141447666"/>
            <w:r w:rsidRPr="00D12DDA">
              <w:rPr>
                <w:rFonts w:ascii="Century Gothic" w:eastAsia="Calibri" w:hAnsi="Century Gothic" w:cs="Arial"/>
                <w:b/>
                <w:lang w:val="es-ES_tradnl" w:eastAsia="es-ES_tradnl"/>
              </w:rPr>
              <w:t xml:space="preserve">Temas:                                      </w:t>
            </w:r>
          </w:p>
        </w:tc>
        <w:tc>
          <w:tcPr>
            <w:tcW w:w="6237" w:type="dxa"/>
          </w:tcPr>
          <w:p w14:paraId="2FBA00DD" w14:textId="77777777" w:rsidR="00D12DDA" w:rsidRPr="00D12DDA" w:rsidRDefault="00D12DDA" w:rsidP="00533E4F">
            <w:pPr>
              <w:jc w:val="both"/>
              <w:rPr>
                <w:rFonts w:ascii="Century Gothic" w:eastAsia="Calibri" w:hAnsi="Century Gothic" w:cs="Arial"/>
                <w:bCs/>
                <w:lang w:val="es-MX"/>
              </w:rPr>
            </w:pPr>
            <w:r w:rsidRPr="00D12DDA">
              <w:rPr>
                <w:rFonts w:ascii="Century Gothic" w:eastAsia="Calibri" w:hAnsi="Century Gothic" w:cs="Arial"/>
                <w:bCs/>
                <w:lang w:val="es-MX"/>
              </w:rPr>
              <w:t xml:space="preserve">SUBSANABILIDAD DE LAS OFERTAS </w:t>
            </w:r>
            <w:r w:rsidRPr="00D12DDA">
              <w:rPr>
                <w:rFonts w:ascii="Century Gothic" w:eastAsia="Calibri" w:hAnsi="Century Gothic" w:cs="Arial"/>
                <w:lang w:val="es-MX"/>
              </w:rPr>
              <w:t>– Alcance de la regla – Ley 1882 de 2018</w:t>
            </w:r>
            <w:r w:rsidRPr="00D12DDA">
              <w:rPr>
                <w:rFonts w:ascii="Century Gothic" w:eastAsia="Calibri" w:hAnsi="Century Gothic" w:cs="Arial"/>
                <w:bCs/>
                <w:lang w:val="es-MX"/>
              </w:rPr>
              <w:t>–</w:t>
            </w:r>
            <w:r w:rsidRPr="00D12DDA">
              <w:rPr>
                <w:rFonts w:ascii="Century Gothic" w:eastAsia="Calibri" w:hAnsi="Century Gothic" w:cs="Arial"/>
                <w:bCs/>
                <w:lang w:val="es-ES"/>
              </w:rPr>
              <w:t xml:space="preserve"> Ámbito temporal </w:t>
            </w:r>
            <w:r w:rsidRPr="00D12DDA">
              <w:rPr>
                <w:rFonts w:ascii="Century Gothic" w:eastAsia="Calibri" w:hAnsi="Century Gothic" w:cs="Arial"/>
                <w:bCs/>
                <w:lang w:val="es-MX"/>
              </w:rPr>
              <w:t xml:space="preserve">– Criterio material </w:t>
            </w:r>
            <w:r w:rsidRPr="00D12DDA">
              <w:rPr>
                <w:rFonts w:ascii="Century Gothic" w:eastAsia="Calibri" w:hAnsi="Century Gothic" w:cs="Arial"/>
                <w:lang w:eastAsia="es-ES_tradnl"/>
              </w:rPr>
              <w:t>/ SUBASTA INVERSA— Regla de Subsanabilidad / SUBASTA INVERSA – Regla de subsanabilidad – Tiempo límite – Alcance normativo /</w:t>
            </w:r>
            <w:r w:rsidRPr="00D12DDA">
              <w:rPr>
                <w:rFonts w:ascii="Century Gothic" w:eastAsia="Calibri" w:hAnsi="Century Gothic" w:cs="Arial"/>
                <w:bCs/>
                <w:lang w:val="es-MX"/>
              </w:rPr>
              <w:t xml:space="preserve"> </w:t>
            </w:r>
            <w:r w:rsidRPr="00D12DDA">
              <w:rPr>
                <w:rFonts w:ascii="Century Gothic" w:eastAsia="Calibri" w:hAnsi="Century Gothic" w:cs="Arial"/>
                <w:lang w:eastAsia="es-ES_tradnl"/>
              </w:rPr>
              <w:t>SUBASTA INVERSA – Regla de subsanabilidad – Limite de veces</w:t>
            </w:r>
          </w:p>
          <w:p w14:paraId="0DBFF714" w14:textId="77777777" w:rsidR="00D12DDA" w:rsidRPr="00D12DDA" w:rsidRDefault="00D12DDA" w:rsidP="00533E4F">
            <w:pPr>
              <w:jc w:val="both"/>
              <w:rPr>
                <w:rFonts w:ascii="Century Gothic" w:eastAsia="Calibri" w:hAnsi="Century Gothic" w:cs="Arial"/>
                <w:lang w:val="es-ES_tradnl" w:eastAsia="es-ES_tradnl"/>
              </w:rPr>
            </w:pPr>
          </w:p>
        </w:tc>
      </w:tr>
    </w:tbl>
    <w:bookmarkEnd w:id="0"/>
    <w:p w14:paraId="13C43388" w14:textId="77777777" w:rsidR="00D12DDA" w:rsidRPr="00D12DDA" w:rsidRDefault="00D12DDA" w:rsidP="00D12DDA">
      <w:pPr>
        <w:widowControl w:val="0"/>
        <w:tabs>
          <w:tab w:val="left" w:pos="2694"/>
        </w:tabs>
        <w:autoSpaceDE w:val="0"/>
        <w:autoSpaceDN w:val="0"/>
        <w:spacing w:after="0" w:line="240" w:lineRule="auto"/>
        <w:jc w:val="both"/>
        <w:rPr>
          <w:rFonts w:ascii="Century Gothic" w:eastAsia="Arial MT" w:hAnsi="Century Gothic" w:cs="Arial"/>
          <w:lang w:val="es-ES"/>
          <w14:ligatures w14:val="standardContextual"/>
        </w:rPr>
      </w:pPr>
      <w:r w:rsidRPr="00D12DDA">
        <w:rPr>
          <w:rFonts w:ascii="Century Gothic" w:eastAsia="Arial MT" w:hAnsi="Century Gothic" w:cs="Arial"/>
          <w:b/>
          <w:lang w:val="es-ES"/>
          <w14:ligatures w14:val="standardContextual"/>
        </w:rPr>
        <w:t xml:space="preserve">Radicación:                  </w:t>
      </w:r>
      <w:r w:rsidRPr="00D12DDA">
        <w:rPr>
          <w:rFonts w:ascii="Century Gothic" w:eastAsia="Arial MT" w:hAnsi="Century Gothic" w:cs="Arial"/>
          <w:b/>
          <w:lang w:val="es-ES"/>
          <w14:ligatures w14:val="standardContextual"/>
        </w:rPr>
        <w:tab/>
      </w:r>
      <w:r w:rsidRPr="00D12DDA">
        <w:rPr>
          <w:rFonts w:ascii="Century Gothic" w:eastAsia="Arial MT" w:hAnsi="Century Gothic" w:cs="Arial"/>
          <w:lang w:val="es-ES"/>
          <w14:ligatures w14:val="standardContextual"/>
        </w:rPr>
        <w:t>Respuesta</w:t>
      </w:r>
      <w:r w:rsidRPr="00D12DDA">
        <w:rPr>
          <w:rFonts w:ascii="Century Gothic" w:eastAsia="Arial MT" w:hAnsi="Century Gothic" w:cs="Arial"/>
          <w:spacing w:val="-7"/>
          <w:lang w:val="es-ES"/>
          <w14:ligatures w14:val="standardContextual"/>
        </w:rPr>
        <w:t xml:space="preserve"> </w:t>
      </w:r>
      <w:r w:rsidRPr="00D12DDA">
        <w:rPr>
          <w:rFonts w:ascii="Century Gothic" w:eastAsia="Arial MT" w:hAnsi="Century Gothic" w:cs="Arial"/>
          <w:lang w:val="es-ES"/>
          <w14:ligatures w14:val="standardContextual"/>
        </w:rPr>
        <w:t>a</w:t>
      </w:r>
      <w:r w:rsidRPr="00D12DDA">
        <w:rPr>
          <w:rFonts w:ascii="Century Gothic" w:eastAsia="Arial MT" w:hAnsi="Century Gothic" w:cs="Arial"/>
          <w:spacing w:val="-6"/>
          <w:lang w:val="es-ES"/>
          <w14:ligatures w14:val="standardContextual"/>
        </w:rPr>
        <w:t xml:space="preserve"> </w:t>
      </w:r>
      <w:r w:rsidRPr="00D12DDA">
        <w:rPr>
          <w:rFonts w:ascii="Century Gothic" w:eastAsia="Arial MT" w:hAnsi="Century Gothic" w:cs="Arial"/>
          <w:lang w:val="es-ES"/>
          <w14:ligatures w14:val="standardContextual"/>
        </w:rPr>
        <w:t>consulta</w:t>
      </w:r>
      <w:r w:rsidRPr="00D12DDA">
        <w:rPr>
          <w:rFonts w:ascii="Century Gothic" w:eastAsia="Arial MT" w:hAnsi="Century Gothic" w:cs="Arial"/>
          <w:spacing w:val="-5"/>
          <w:lang w:val="es-ES"/>
          <w14:ligatures w14:val="standardContextual"/>
        </w:rPr>
        <w:t xml:space="preserve"> </w:t>
      </w:r>
      <w:r w:rsidRPr="00D12DDA">
        <w:rPr>
          <w:rFonts w:ascii="Century Gothic" w:eastAsia="Times New Roman" w:hAnsi="Century Gothic" w:cs="Arial"/>
          <w:shd w:val="clear" w:color="auto" w:fill="FFFFFF"/>
          <w:lang w:eastAsia="es-ES_tradnl"/>
          <w14:ligatures w14:val="standardContextual"/>
        </w:rPr>
        <w:t>P20230530011824</w:t>
      </w:r>
    </w:p>
    <w:p w14:paraId="68F9B162" w14:textId="77777777" w:rsidR="00D12DDA" w:rsidRPr="00D12DDA" w:rsidRDefault="00D12DDA" w:rsidP="00D12DDA">
      <w:pPr>
        <w:widowControl w:val="0"/>
        <w:autoSpaceDE w:val="0"/>
        <w:autoSpaceDN w:val="0"/>
        <w:spacing w:after="0" w:line="240" w:lineRule="auto"/>
        <w:rPr>
          <w:rFonts w:ascii="Century Gothic" w:eastAsia="Arial MT" w:hAnsi="Century Gothic" w:cs="Arial"/>
          <w:lang w:val="es-ES"/>
          <w14:ligatures w14:val="standardContextual"/>
        </w:rPr>
      </w:pPr>
    </w:p>
    <w:p w14:paraId="4E16F9A8" w14:textId="77777777" w:rsidR="00D12DDA" w:rsidRPr="00D12DDA" w:rsidRDefault="00D12DDA" w:rsidP="00D12DDA">
      <w:pPr>
        <w:widowControl w:val="0"/>
        <w:autoSpaceDE w:val="0"/>
        <w:autoSpaceDN w:val="0"/>
        <w:spacing w:after="0" w:line="276" w:lineRule="auto"/>
        <w:contextualSpacing/>
        <w:rPr>
          <w:rFonts w:ascii="Century Gothic" w:eastAsia="Arial MT" w:hAnsi="Century Gothic" w:cs="Arial"/>
          <w:lang w:val="es-ES"/>
          <w14:ligatures w14:val="standardContextual"/>
        </w:rPr>
      </w:pPr>
    </w:p>
    <w:p w14:paraId="627481F0" w14:textId="77777777" w:rsidR="00D12DDA" w:rsidRPr="00D12DDA" w:rsidRDefault="00D12DDA" w:rsidP="00D12DDA">
      <w:pPr>
        <w:widowControl w:val="0"/>
        <w:autoSpaceDE w:val="0"/>
        <w:autoSpaceDN w:val="0"/>
        <w:spacing w:after="0" w:line="276" w:lineRule="auto"/>
        <w:contextualSpacing/>
        <w:rPr>
          <w:rFonts w:ascii="Century Gothic" w:eastAsia="Arial MT" w:hAnsi="Century Gothic" w:cs="Arial"/>
          <w:lang w:val="es-ES"/>
          <w14:ligatures w14:val="standardContextual"/>
        </w:rPr>
      </w:pPr>
      <w:r w:rsidRPr="00D12DDA">
        <w:rPr>
          <w:rFonts w:ascii="Century Gothic" w:eastAsia="Arial MT" w:hAnsi="Century Gothic" w:cs="Arial"/>
          <w:lang w:val="es-ES"/>
          <w14:ligatures w14:val="standardContextual"/>
        </w:rPr>
        <w:t>Estimad</w:t>
      </w:r>
      <w:r w:rsidRPr="00D12DDA">
        <w:rPr>
          <w:rFonts w:ascii="Century Gothic" w:eastAsia="Arial MT" w:hAnsi="Century Gothic" w:cs="Arial"/>
          <w:spacing w:val="-7"/>
          <w:lang w:val="es-ES"/>
          <w14:ligatures w14:val="standardContextual"/>
        </w:rPr>
        <w:t>o señor Pardo:</w:t>
      </w:r>
    </w:p>
    <w:p w14:paraId="2AA9C136" w14:textId="77777777" w:rsidR="00D12DDA" w:rsidRPr="00D12DDA" w:rsidRDefault="00D12DDA" w:rsidP="00D12DDA">
      <w:pPr>
        <w:widowControl w:val="0"/>
        <w:autoSpaceDE w:val="0"/>
        <w:autoSpaceDN w:val="0"/>
        <w:spacing w:after="0" w:line="276" w:lineRule="auto"/>
        <w:contextualSpacing/>
        <w:rPr>
          <w:rFonts w:ascii="Century Gothic" w:eastAsia="Arial MT" w:hAnsi="Century Gothic" w:cs="Arial"/>
          <w:lang w:val="es-ES"/>
          <w14:ligatures w14:val="standardContextual"/>
        </w:rPr>
      </w:pPr>
    </w:p>
    <w:p w14:paraId="4D65F31B" w14:textId="77777777" w:rsidR="00D12DDA" w:rsidRPr="00D12DDA" w:rsidRDefault="00D12DDA" w:rsidP="00D12DDA">
      <w:pPr>
        <w:widowControl w:val="0"/>
        <w:autoSpaceDE w:val="0"/>
        <w:autoSpaceDN w:val="0"/>
        <w:spacing w:after="0" w:line="276" w:lineRule="auto"/>
        <w:contextualSpacing/>
        <w:jc w:val="both"/>
        <w:rPr>
          <w:rFonts w:ascii="Century Gothic" w:eastAsia="Arial MT" w:hAnsi="Century Gothic" w:cs="Arial"/>
          <w:lang w:val="es-ES"/>
          <w14:ligatures w14:val="standardContextual"/>
        </w:rPr>
      </w:pPr>
      <w:r w:rsidRPr="00D12DDA">
        <w:rPr>
          <w:rFonts w:ascii="Century Gothic" w:eastAsia="Arial MT" w:hAnsi="Century Gothic" w:cs="Arial"/>
          <w:lang w:val="es-ES"/>
          <w14:ligatures w14:val="standardContextual"/>
        </w:rPr>
        <w:t>En ejercicio de la competencia otorgada por el numeral 8 del artículo 11 y el numeral 5 del artículo</w:t>
      </w:r>
      <w:r w:rsidRPr="00D12DDA">
        <w:rPr>
          <w:rFonts w:ascii="Century Gothic" w:eastAsia="Arial MT" w:hAnsi="Century Gothic" w:cs="Arial"/>
          <w:spacing w:val="-7"/>
          <w:lang w:val="es-ES"/>
          <w14:ligatures w14:val="standardContextual"/>
        </w:rPr>
        <w:t xml:space="preserve"> </w:t>
      </w:r>
      <w:r w:rsidRPr="00D12DDA">
        <w:rPr>
          <w:rFonts w:ascii="Century Gothic" w:eastAsia="Arial MT" w:hAnsi="Century Gothic" w:cs="Arial"/>
          <w:lang w:val="es-ES"/>
          <w14:ligatures w14:val="standardContextual"/>
        </w:rPr>
        <w:t>3</w:t>
      </w:r>
      <w:r w:rsidRPr="00D12DDA">
        <w:rPr>
          <w:rFonts w:ascii="Century Gothic" w:eastAsia="Arial MT" w:hAnsi="Century Gothic" w:cs="Arial"/>
          <w:spacing w:val="-7"/>
          <w:lang w:val="es-ES"/>
          <w14:ligatures w14:val="standardContextual"/>
        </w:rPr>
        <w:t xml:space="preserve"> </w:t>
      </w:r>
      <w:r w:rsidRPr="00D12DDA">
        <w:rPr>
          <w:rFonts w:ascii="Century Gothic" w:eastAsia="Arial MT" w:hAnsi="Century Gothic" w:cs="Arial"/>
          <w:lang w:val="es-ES"/>
          <w14:ligatures w14:val="standardContextual"/>
        </w:rPr>
        <w:t>del</w:t>
      </w:r>
      <w:r w:rsidRPr="00D12DDA">
        <w:rPr>
          <w:rFonts w:ascii="Century Gothic" w:eastAsia="Arial MT" w:hAnsi="Century Gothic" w:cs="Arial"/>
          <w:spacing w:val="-8"/>
          <w:lang w:val="es-ES"/>
          <w14:ligatures w14:val="standardContextual"/>
        </w:rPr>
        <w:t xml:space="preserve"> </w:t>
      </w:r>
      <w:r w:rsidRPr="00D12DDA">
        <w:rPr>
          <w:rFonts w:ascii="Century Gothic" w:eastAsia="Arial MT" w:hAnsi="Century Gothic" w:cs="Arial"/>
          <w:lang w:val="es-ES"/>
          <w14:ligatures w14:val="standardContextual"/>
        </w:rPr>
        <w:t>Decreto</w:t>
      </w:r>
      <w:r w:rsidRPr="00D12DDA">
        <w:rPr>
          <w:rFonts w:ascii="Century Gothic" w:eastAsia="Arial MT" w:hAnsi="Century Gothic" w:cs="Arial"/>
          <w:spacing w:val="-7"/>
          <w:lang w:val="es-ES"/>
          <w14:ligatures w14:val="standardContextual"/>
        </w:rPr>
        <w:t xml:space="preserve"> </w:t>
      </w:r>
      <w:r w:rsidRPr="00D12DDA">
        <w:rPr>
          <w:rFonts w:ascii="Century Gothic" w:eastAsia="Arial MT" w:hAnsi="Century Gothic" w:cs="Arial"/>
          <w:lang w:val="es-ES"/>
          <w14:ligatures w14:val="standardContextual"/>
        </w:rPr>
        <w:t>Ley</w:t>
      </w:r>
      <w:r w:rsidRPr="00D12DDA">
        <w:rPr>
          <w:rFonts w:ascii="Century Gothic" w:eastAsia="Arial MT" w:hAnsi="Century Gothic" w:cs="Arial"/>
          <w:spacing w:val="-7"/>
          <w:lang w:val="es-ES"/>
          <w14:ligatures w14:val="standardContextual"/>
        </w:rPr>
        <w:t xml:space="preserve"> </w:t>
      </w:r>
      <w:r w:rsidRPr="00D12DDA">
        <w:rPr>
          <w:rFonts w:ascii="Century Gothic" w:eastAsia="Arial MT" w:hAnsi="Century Gothic" w:cs="Arial"/>
          <w:lang w:val="es-ES"/>
          <w14:ligatures w14:val="standardContextual"/>
        </w:rPr>
        <w:t>4170</w:t>
      </w:r>
      <w:r w:rsidRPr="00D12DDA">
        <w:rPr>
          <w:rFonts w:ascii="Century Gothic" w:eastAsia="Arial MT" w:hAnsi="Century Gothic" w:cs="Arial"/>
          <w:spacing w:val="-7"/>
          <w:lang w:val="es-ES"/>
          <w14:ligatures w14:val="standardContextual"/>
        </w:rPr>
        <w:t xml:space="preserve"> </w:t>
      </w:r>
      <w:r w:rsidRPr="00D12DDA">
        <w:rPr>
          <w:rFonts w:ascii="Century Gothic" w:eastAsia="Arial MT" w:hAnsi="Century Gothic" w:cs="Arial"/>
          <w:lang w:val="es-ES"/>
          <w14:ligatures w14:val="standardContextual"/>
        </w:rPr>
        <w:t>de</w:t>
      </w:r>
      <w:r w:rsidRPr="00D12DDA">
        <w:rPr>
          <w:rFonts w:ascii="Century Gothic" w:eastAsia="Arial MT" w:hAnsi="Century Gothic" w:cs="Arial"/>
          <w:spacing w:val="-8"/>
          <w:lang w:val="es-ES"/>
          <w14:ligatures w14:val="standardContextual"/>
        </w:rPr>
        <w:t xml:space="preserve"> </w:t>
      </w:r>
      <w:r w:rsidRPr="00D12DDA">
        <w:rPr>
          <w:rFonts w:ascii="Century Gothic" w:eastAsia="Arial MT" w:hAnsi="Century Gothic" w:cs="Arial"/>
          <w:lang w:val="es-ES"/>
          <w14:ligatures w14:val="standardContextual"/>
        </w:rPr>
        <w:t>2011,</w:t>
      </w:r>
      <w:r w:rsidRPr="00D12DDA" w:rsidDel="004F57D5">
        <w:rPr>
          <w:rFonts w:ascii="Century Gothic" w:eastAsia="Arial MT" w:hAnsi="Century Gothic" w:cs="Arial"/>
          <w:spacing w:val="-6"/>
          <w:lang w:val="es-ES"/>
          <w14:ligatures w14:val="standardContextual"/>
        </w:rPr>
        <w:t xml:space="preserve"> </w:t>
      </w:r>
      <w:r w:rsidRPr="00D12DDA">
        <w:rPr>
          <w:rFonts w:ascii="Century Gothic" w:eastAsia="Arial MT" w:hAnsi="Century Gothic" w:cs="Arial"/>
          <w:lang w:val="es-ES"/>
          <w14:ligatures w14:val="standardContextual"/>
        </w:rPr>
        <w:t>la Agencia Nacional de Contratación Pública – Colombia Compra Eficiente responde</w:t>
      </w:r>
      <w:r w:rsidRPr="00D12DDA">
        <w:rPr>
          <w:rFonts w:ascii="Century Gothic" w:eastAsia="Arial MT" w:hAnsi="Century Gothic" w:cs="Arial"/>
          <w:spacing w:val="-1"/>
          <w:lang w:val="es-ES"/>
          <w14:ligatures w14:val="standardContextual"/>
        </w:rPr>
        <w:t xml:space="preserve"> </w:t>
      </w:r>
      <w:r w:rsidRPr="00D12DDA">
        <w:rPr>
          <w:rFonts w:ascii="Century Gothic" w:eastAsia="Arial MT" w:hAnsi="Century Gothic" w:cs="Arial"/>
          <w:lang w:val="es-ES"/>
          <w14:ligatures w14:val="standardContextual"/>
        </w:rPr>
        <w:t>su</w:t>
      </w:r>
      <w:r w:rsidRPr="00D12DDA">
        <w:rPr>
          <w:rFonts w:ascii="Century Gothic" w:eastAsia="Arial MT" w:hAnsi="Century Gothic" w:cs="Arial"/>
          <w:spacing w:val="-2"/>
          <w:lang w:val="es-ES"/>
          <w14:ligatures w14:val="standardContextual"/>
        </w:rPr>
        <w:t xml:space="preserve"> </w:t>
      </w:r>
      <w:r w:rsidRPr="00D12DDA">
        <w:rPr>
          <w:rFonts w:ascii="Century Gothic" w:eastAsia="Arial MT" w:hAnsi="Century Gothic" w:cs="Arial"/>
          <w:lang w:val="es-ES"/>
          <w14:ligatures w14:val="standardContextual"/>
        </w:rPr>
        <w:t>consulta</w:t>
      </w:r>
      <w:r w:rsidRPr="00D12DDA">
        <w:rPr>
          <w:rFonts w:ascii="Century Gothic" w:eastAsia="Arial MT" w:hAnsi="Century Gothic" w:cs="Arial"/>
          <w:spacing w:val="-2"/>
          <w:lang w:val="es-ES"/>
          <w14:ligatures w14:val="standardContextual"/>
        </w:rPr>
        <w:t xml:space="preserve"> </w:t>
      </w:r>
      <w:r w:rsidRPr="00D12DDA">
        <w:rPr>
          <w:rFonts w:ascii="Century Gothic" w:eastAsia="Arial MT" w:hAnsi="Century Gothic" w:cs="Arial"/>
          <w:lang w:val="es-ES"/>
          <w14:ligatures w14:val="standardContextual"/>
        </w:rPr>
        <w:t>del 27 de marzo de 2023.</w:t>
      </w:r>
    </w:p>
    <w:p w14:paraId="5B2C3F61" w14:textId="77777777" w:rsidR="00D12DDA" w:rsidRPr="00D12DDA" w:rsidRDefault="00D12DDA" w:rsidP="00D12DDA">
      <w:pPr>
        <w:spacing w:after="0" w:line="276" w:lineRule="auto"/>
        <w:contextualSpacing/>
        <w:jc w:val="both"/>
        <w:rPr>
          <w:rFonts w:ascii="Century Gothic" w:eastAsia="Calibri" w:hAnsi="Century Gothic" w:cs="Arial"/>
          <w:b/>
          <w:color w:val="000000" w:themeColor="text1"/>
          <w:lang w:val="es-ES" w:eastAsia="es-ES_tradnl"/>
          <w14:ligatures w14:val="standardContextual"/>
        </w:rPr>
      </w:pPr>
    </w:p>
    <w:p w14:paraId="4B884DA5" w14:textId="77777777" w:rsidR="00D12DDA" w:rsidRPr="00D12DDA" w:rsidRDefault="00D12DDA" w:rsidP="00D12DDA">
      <w:pPr>
        <w:numPr>
          <w:ilvl w:val="0"/>
          <w:numId w:val="6"/>
        </w:numPr>
        <w:tabs>
          <w:tab w:val="left" w:pos="0"/>
          <w:tab w:val="left" w:pos="142"/>
          <w:tab w:val="left" w:pos="284"/>
        </w:tabs>
        <w:spacing w:after="0" w:line="276" w:lineRule="auto"/>
        <w:ind w:left="0" w:firstLine="0"/>
        <w:contextualSpacing/>
        <w:jc w:val="both"/>
        <w:rPr>
          <w:rFonts w:ascii="Century Gothic" w:eastAsia="Calibri" w:hAnsi="Century Gothic" w:cs="Arial"/>
          <w:b/>
          <w:color w:val="000000" w:themeColor="text1"/>
          <w:lang w:val="es-ES_tradnl"/>
          <w14:ligatures w14:val="standardContextual"/>
        </w:rPr>
      </w:pPr>
      <w:r w:rsidRPr="00D12DDA">
        <w:rPr>
          <w:rFonts w:ascii="Century Gothic" w:eastAsia="Calibri" w:hAnsi="Century Gothic" w:cs="Arial"/>
          <w:b/>
          <w:color w:val="000000" w:themeColor="text1"/>
          <w:lang w:val="es-ES_tradnl"/>
          <w14:ligatures w14:val="standardContextual"/>
        </w:rPr>
        <w:t xml:space="preserve">Problema planteado </w:t>
      </w:r>
    </w:p>
    <w:p w14:paraId="471791E0" w14:textId="77777777" w:rsidR="00D12DDA" w:rsidRPr="00D12DDA" w:rsidRDefault="00D12DDA" w:rsidP="00D12DDA">
      <w:pPr>
        <w:tabs>
          <w:tab w:val="left" w:pos="0"/>
          <w:tab w:val="left" w:pos="142"/>
          <w:tab w:val="left" w:pos="284"/>
        </w:tabs>
        <w:spacing w:after="0" w:line="276" w:lineRule="auto"/>
        <w:contextualSpacing/>
        <w:jc w:val="both"/>
        <w:rPr>
          <w:rFonts w:ascii="Century Gothic" w:eastAsia="Calibri" w:hAnsi="Century Gothic" w:cs="Arial"/>
          <w:b/>
          <w:color w:val="000000" w:themeColor="text1"/>
          <w:lang w:val="es-ES_tradnl" w:eastAsia="es-ES_tradnl"/>
          <w14:ligatures w14:val="standardContextual"/>
        </w:rPr>
      </w:pPr>
    </w:p>
    <w:p w14:paraId="6E441D88" w14:textId="77777777" w:rsidR="00D12DDA" w:rsidRPr="00D12DDA" w:rsidRDefault="00D12DDA" w:rsidP="00D12DDA">
      <w:pPr>
        <w:autoSpaceDE w:val="0"/>
        <w:autoSpaceDN w:val="0"/>
        <w:adjustRightInd w:val="0"/>
        <w:spacing w:after="0" w:line="276" w:lineRule="auto"/>
        <w:contextualSpacing/>
        <w:jc w:val="both"/>
        <w:rPr>
          <w:rFonts w:ascii="Century Gothic" w:eastAsia="Calibri" w:hAnsi="Century Gothic" w:cs="Arial"/>
          <w:bCs/>
          <w:color w:val="000000" w:themeColor="text1"/>
          <w:lang w:val="es-ES_tradnl"/>
          <w14:ligatures w14:val="standardContextual"/>
        </w:rPr>
      </w:pPr>
      <w:r w:rsidRPr="00D12DDA">
        <w:rPr>
          <w:rFonts w:ascii="Century Gothic" w:eastAsia="Calibri" w:hAnsi="Century Gothic" w:cs="Arial"/>
          <w:bCs/>
          <w:color w:val="000000" w:themeColor="text1"/>
          <w:lang w:val="es-ES_tradnl"/>
          <w14:ligatures w14:val="standardContextual"/>
        </w:rPr>
        <w:t xml:space="preserve">En relación con la subsanabilidad de ofertas en aquellos procesos de selección en los que se utiliza el mecanismo de subasta, usted realiza las siguientes preguntas: </w:t>
      </w:r>
    </w:p>
    <w:p w14:paraId="462DDE78" w14:textId="77777777" w:rsidR="00D12DDA" w:rsidRPr="00D12DDA" w:rsidRDefault="00D12DDA" w:rsidP="00D12DDA">
      <w:pPr>
        <w:spacing w:after="0" w:line="240" w:lineRule="auto"/>
        <w:ind w:left="709" w:right="709"/>
        <w:contextualSpacing/>
        <w:jc w:val="both"/>
        <w:rPr>
          <w:rFonts w:ascii="Century Gothic" w:eastAsia="Calibri" w:hAnsi="Century Gothic" w:cs="Arial"/>
          <w:i/>
          <w:iCs/>
          <w:sz w:val="21"/>
          <w:szCs w:val="21"/>
          <w:lang w:val="es-ES_tradnl" w:eastAsia="es-ES_tradnl"/>
          <w14:ligatures w14:val="standardContextual"/>
        </w:rPr>
      </w:pPr>
    </w:p>
    <w:p w14:paraId="68BC895E" w14:textId="77777777" w:rsidR="00D12DDA" w:rsidRPr="00D12DDA" w:rsidRDefault="00D12DDA" w:rsidP="00D12DDA">
      <w:pPr>
        <w:spacing w:after="0" w:line="240" w:lineRule="auto"/>
        <w:ind w:left="709" w:right="709"/>
        <w:contextualSpacing/>
        <w:jc w:val="both"/>
        <w:rPr>
          <w:rFonts w:ascii="Century Gothic" w:eastAsia="Times New Roman" w:hAnsi="Century Gothic" w:cs="Arial"/>
          <w:i/>
          <w:iCs/>
          <w:color w:val="000000"/>
          <w:sz w:val="21"/>
          <w:szCs w:val="21"/>
          <w:lang w:eastAsia="es-CO"/>
        </w:rPr>
      </w:pPr>
      <w:r w:rsidRPr="00D12DDA">
        <w:rPr>
          <w:rFonts w:ascii="Century Gothic" w:eastAsia="Calibri" w:hAnsi="Century Gothic" w:cs="Arial"/>
          <w:i/>
          <w:iCs/>
          <w:sz w:val="21"/>
          <w:szCs w:val="21"/>
          <w:lang w:val="es-ES_tradnl" w:eastAsia="es-ES_tradnl"/>
          <w14:ligatures w14:val="standardContextual"/>
        </w:rPr>
        <w:t>“</w:t>
      </w:r>
    </w:p>
    <w:p w14:paraId="23EECAF2" w14:textId="77777777" w:rsidR="00D12DDA" w:rsidRPr="00D12DDA" w:rsidRDefault="00D12DDA" w:rsidP="00D12DDA">
      <w:pPr>
        <w:spacing w:after="0" w:line="240" w:lineRule="auto"/>
        <w:ind w:left="709" w:right="709"/>
        <w:contextualSpacing/>
        <w:jc w:val="both"/>
        <w:rPr>
          <w:rFonts w:ascii="Century Gothic" w:eastAsia="Times New Roman" w:hAnsi="Century Gothic" w:cs="Arial"/>
          <w:i/>
          <w:iCs/>
          <w:color w:val="000000"/>
          <w:lang w:eastAsia="es-CO"/>
        </w:rPr>
      </w:pPr>
      <w:r w:rsidRPr="00D12DDA">
        <w:rPr>
          <w:rFonts w:ascii="Century Gothic" w:eastAsia="Times New Roman" w:hAnsi="Century Gothic" w:cs="Arial"/>
          <w:i/>
          <w:iCs/>
          <w:color w:val="333333"/>
          <w:shd w:val="clear" w:color="auto" w:fill="FFFFFF"/>
          <w:lang w:eastAsia="es-CO"/>
        </w:rPr>
        <w:t xml:space="preserve"> 1- El numeral 12.1 Requisitos y documentos subsanables de la Circular Externa Única de Colombia Compra Eficiente señala "En los procesos en que se utilice el mecanismo de subasta se establece que dichos documentos deberán ser solicitados por las entidades estatales hasta el momento previo a la realización de la subasta. Lo anterior implica que las entidades podrán establecer dentro del pliego de </w:t>
      </w:r>
      <w:r w:rsidRPr="00D12DDA">
        <w:rPr>
          <w:rFonts w:ascii="Century Gothic" w:eastAsia="Times New Roman" w:hAnsi="Century Gothic" w:cs="Arial"/>
          <w:i/>
          <w:iCs/>
          <w:color w:val="333333"/>
          <w:shd w:val="clear" w:color="auto" w:fill="FFFFFF"/>
          <w:lang w:eastAsia="es-CO"/>
        </w:rPr>
        <w:lastRenderedPageBreak/>
        <w:t>condiciones un periodo dentro del cual los proponentes deberán realizar tal subsanación o, en su defecto, requerir por separado o conjuntamente a los proponentes para que subsanen los respectivos documentos, fijándoles un término razonable, el cual, en todo caso, no podrá exceder el momento previo al inicio de la audiencia de subasta.</w:t>
      </w:r>
    </w:p>
    <w:p w14:paraId="1AEC59B1" w14:textId="77777777" w:rsidR="00D12DDA" w:rsidRPr="00D12DDA" w:rsidRDefault="00D12DDA" w:rsidP="00D12DDA">
      <w:pPr>
        <w:spacing w:after="0" w:line="240" w:lineRule="auto"/>
        <w:ind w:left="709" w:right="709"/>
        <w:contextualSpacing/>
        <w:jc w:val="both"/>
        <w:rPr>
          <w:rFonts w:ascii="Century Gothic" w:eastAsia="Calibri" w:hAnsi="Century Gothic" w:cs="Arial"/>
          <w:i/>
          <w:iCs/>
          <w:lang w:val="es-ES_tradnl" w:eastAsia="es-ES_tradnl"/>
          <w14:ligatures w14:val="standardContextual"/>
        </w:rPr>
      </w:pPr>
    </w:p>
    <w:p w14:paraId="7839A27B" w14:textId="77777777" w:rsidR="00D12DDA" w:rsidRPr="00D12DDA" w:rsidRDefault="00D12DDA" w:rsidP="00D12DDA">
      <w:pPr>
        <w:spacing w:after="0" w:line="240" w:lineRule="auto"/>
        <w:ind w:left="709" w:right="709"/>
        <w:contextualSpacing/>
        <w:jc w:val="both"/>
        <w:rPr>
          <w:rFonts w:ascii="Century Gothic" w:eastAsia="Calibri" w:hAnsi="Century Gothic" w:cs="Arial"/>
          <w:i/>
          <w:iCs/>
          <w:lang w:val="es-ES_tradnl" w:eastAsia="es-ES_tradnl"/>
          <w14:ligatures w14:val="standardContextual"/>
        </w:rPr>
      </w:pPr>
      <w:r w:rsidRPr="00D12DDA">
        <w:rPr>
          <w:rFonts w:ascii="Century Gothic" w:eastAsia="Calibri" w:hAnsi="Century Gothic" w:cs="Arial"/>
          <w:i/>
          <w:iCs/>
          <w:lang w:val="es-ES_tradnl" w:eastAsia="es-ES_tradnl"/>
          <w14:ligatures w14:val="standardContextual"/>
        </w:rPr>
        <w:t>2- Concordante con ello la Guía para hacer un proceso de selección abreviada con subasta inversa expresa "Para abrir el sobre económico, primero debe admitir las ofertas que cumplieron con los requisitos habilitantes y técnicos exigidos en el Proceso.</w:t>
      </w:r>
    </w:p>
    <w:p w14:paraId="561B37F3" w14:textId="77777777" w:rsidR="00D12DDA" w:rsidRPr="00D12DDA" w:rsidRDefault="00D12DDA" w:rsidP="00D12DDA">
      <w:pPr>
        <w:spacing w:after="0" w:line="240" w:lineRule="auto"/>
        <w:ind w:left="709" w:right="709"/>
        <w:contextualSpacing/>
        <w:jc w:val="both"/>
        <w:rPr>
          <w:rFonts w:ascii="Century Gothic" w:eastAsia="Calibri" w:hAnsi="Century Gothic" w:cs="Arial"/>
          <w:i/>
          <w:iCs/>
          <w:lang w:val="es-ES_tradnl" w:eastAsia="es-ES_tradnl"/>
          <w14:ligatures w14:val="standardContextual"/>
        </w:rPr>
      </w:pPr>
    </w:p>
    <w:p w14:paraId="6D3E5B70" w14:textId="77777777" w:rsidR="00D12DDA" w:rsidRPr="00D12DDA" w:rsidRDefault="00D12DDA" w:rsidP="00D12DDA">
      <w:pPr>
        <w:spacing w:after="0" w:line="240" w:lineRule="auto"/>
        <w:ind w:left="709" w:right="709"/>
        <w:contextualSpacing/>
        <w:jc w:val="both"/>
        <w:rPr>
          <w:rFonts w:ascii="Century Gothic" w:eastAsia="Calibri" w:hAnsi="Century Gothic" w:cs="Arial"/>
          <w:i/>
          <w:iCs/>
          <w:lang w:val="es-ES_tradnl" w:eastAsia="es-ES_tradnl"/>
          <w14:ligatures w14:val="standardContextual"/>
        </w:rPr>
      </w:pPr>
      <w:r w:rsidRPr="00D12DDA">
        <w:rPr>
          <w:rFonts w:ascii="Century Gothic" w:eastAsia="Calibri" w:hAnsi="Century Gothic" w:cs="Arial"/>
          <w:i/>
          <w:iCs/>
          <w:lang w:val="es-ES_tradnl" w:eastAsia="es-ES_tradnl"/>
          <w14:ligatures w14:val="standardContextual"/>
        </w:rPr>
        <w:t>Así, la Entidad procederá a abrir exclusivamente el sobre económico de las ofertas</w:t>
      </w:r>
    </w:p>
    <w:p w14:paraId="0C46C2B0" w14:textId="77777777" w:rsidR="00D12DDA" w:rsidRPr="00D12DDA" w:rsidRDefault="00D12DDA" w:rsidP="00D12DDA">
      <w:pPr>
        <w:spacing w:after="0" w:line="240" w:lineRule="auto"/>
        <w:ind w:left="709" w:right="709"/>
        <w:contextualSpacing/>
        <w:jc w:val="both"/>
        <w:rPr>
          <w:rFonts w:ascii="Century Gothic" w:eastAsia="Calibri" w:hAnsi="Century Gothic" w:cs="Arial"/>
          <w:i/>
          <w:iCs/>
          <w:lang w:val="es-ES_tradnl" w:eastAsia="es-ES_tradnl"/>
          <w14:ligatures w14:val="standardContextual"/>
        </w:rPr>
      </w:pPr>
      <w:r w:rsidRPr="00D12DDA">
        <w:rPr>
          <w:rFonts w:ascii="Century Gothic" w:eastAsia="Calibri" w:hAnsi="Century Gothic" w:cs="Arial"/>
          <w:i/>
          <w:iCs/>
          <w:lang w:val="es-ES_tradnl" w:eastAsia="es-ES_tradnl"/>
          <w14:ligatures w14:val="standardContextual"/>
        </w:rPr>
        <w:t>admitidas”.</w:t>
      </w:r>
    </w:p>
    <w:p w14:paraId="11A79C1A" w14:textId="77777777" w:rsidR="00D12DDA" w:rsidRPr="00D12DDA" w:rsidRDefault="00D12DDA" w:rsidP="00D12DDA">
      <w:pPr>
        <w:spacing w:after="0" w:line="240" w:lineRule="auto"/>
        <w:ind w:left="709" w:right="709"/>
        <w:contextualSpacing/>
        <w:jc w:val="both"/>
        <w:rPr>
          <w:rFonts w:ascii="Century Gothic" w:eastAsia="Calibri" w:hAnsi="Century Gothic" w:cs="Arial"/>
          <w:i/>
          <w:iCs/>
          <w:lang w:val="es-ES_tradnl" w:eastAsia="es-ES_tradnl"/>
          <w14:ligatures w14:val="standardContextual"/>
        </w:rPr>
      </w:pPr>
    </w:p>
    <w:p w14:paraId="661C53D4" w14:textId="77777777" w:rsidR="00D12DDA" w:rsidRPr="00D12DDA" w:rsidRDefault="00D12DDA" w:rsidP="00D12DDA">
      <w:pPr>
        <w:spacing w:after="0" w:line="240" w:lineRule="auto"/>
        <w:ind w:left="709" w:right="709"/>
        <w:contextualSpacing/>
        <w:jc w:val="both"/>
        <w:rPr>
          <w:rFonts w:ascii="Century Gothic" w:eastAsia="Calibri" w:hAnsi="Century Gothic" w:cs="Arial"/>
          <w:i/>
          <w:iCs/>
          <w:lang w:val="es-ES_tradnl" w:eastAsia="es-ES_tradnl"/>
          <w14:ligatures w14:val="standardContextual"/>
        </w:rPr>
      </w:pPr>
      <w:r w:rsidRPr="00D12DDA">
        <w:rPr>
          <w:rFonts w:ascii="Century Gothic" w:eastAsia="Calibri" w:hAnsi="Century Gothic" w:cs="Arial"/>
          <w:i/>
          <w:iCs/>
          <w:lang w:val="es-ES_tradnl" w:eastAsia="es-ES_tradnl"/>
          <w14:ligatures w14:val="standardContextual"/>
        </w:rPr>
        <w:t>De acuerdo con lo expuesto se hace las siguientes preguntas a) ¿en los procesos de subasta inversa es procedente indicar en los pliegos de condiciones que solamente se puede subsanar hasta antes de la apertura del sobre económico? b) si se abre los sobres económicos de los oferentes habilitados y en el pliego se indica que se puede subsanar hasta antes de la subasta electrónica ¿Qué se puede hacer para habilitar en la plataforma del Secop II aquellos oferentes que subsanaron los requisitos habilitantes después de la apertura de los sobres económicos y previo del inicio de la subasta electrónica?”</w:t>
      </w:r>
    </w:p>
    <w:p w14:paraId="67C8E9AB" w14:textId="77777777" w:rsidR="00D12DDA" w:rsidRPr="00D12DDA" w:rsidRDefault="00D12DDA" w:rsidP="00D12DDA">
      <w:pPr>
        <w:spacing w:after="0" w:line="240" w:lineRule="auto"/>
        <w:ind w:left="709" w:right="709"/>
        <w:contextualSpacing/>
        <w:jc w:val="both"/>
        <w:rPr>
          <w:rFonts w:ascii="Century Gothic" w:eastAsia="Calibri" w:hAnsi="Century Gothic" w:cs="Arial"/>
          <w:sz w:val="21"/>
          <w:szCs w:val="21"/>
          <w:lang w:val="es-ES_tradnl" w:eastAsia="es-ES_tradnl"/>
          <w14:ligatures w14:val="standardContextual"/>
        </w:rPr>
      </w:pPr>
    </w:p>
    <w:p w14:paraId="59694C8F" w14:textId="77777777" w:rsidR="00D12DDA" w:rsidRPr="00D12DDA" w:rsidRDefault="00D12DDA" w:rsidP="00D12DDA">
      <w:pPr>
        <w:numPr>
          <w:ilvl w:val="0"/>
          <w:numId w:val="7"/>
        </w:numPr>
        <w:tabs>
          <w:tab w:val="left" w:pos="284"/>
        </w:tabs>
        <w:spacing w:after="0" w:line="276" w:lineRule="auto"/>
        <w:ind w:left="0" w:firstLine="0"/>
        <w:rPr>
          <w:rFonts w:ascii="Century Gothic" w:eastAsia="Calibri" w:hAnsi="Century Gothic" w:cs="Arial"/>
          <w:b/>
          <w:lang w:val="es-MX"/>
          <w14:ligatures w14:val="standardContextual"/>
        </w:rPr>
      </w:pPr>
      <w:r w:rsidRPr="00D12DDA">
        <w:rPr>
          <w:rFonts w:ascii="Century Gothic" w:eastAsia="Calibri" w:hAnsi="Century Gothic" w:cs="Arial"/>
          <w:b/>
          <w:lang w:val="es-MX"/>
          <w14:ligatures w14:val="standardContextual"/>
        </w:rPr>
        <w:t>Consideraciones</w:t>
      </w:r>
    </w:p>
    <w:p w14:paraId="37AAF1CD" w14:textId="77777777" w:rsidR="00D12DDA" w:rsidRPr="00D12DDA" w:rsidRDefault="00D12DDA" w:rsidP="00D12DDA">
      <w:pPr>
        <w:spacing w:after="0" w:line="276" w:lineRule="auto"/>
        <w:jc w:val="both"/>
        <w:rPr>
          <w:rFonts w:ascii="Century Gothic" w:eastAsia="Calibri" w:hAnsi="Century Gothic" w:cs="Arial"/>
          <w:lang w:val="es-MX"/>
          <w14:ligatures w14:val="standardContextual"/>
        </w:rPr>
      </w:pPr>
    </w:p>
    <w:p w14:paraId="340B15DF" w14:textId="77777777" w:rsidR="00D12DDA" w:rsidRPr="00D12DDA" w:rsidRDefault="00D12DDA" w:rsidP="00D12DDA">
      <w:pPr>
        <w:spacing w:after="120" w:line="276" w:lineRule="auto"/>
        <w:jc w:val="both"/>
        <w:rPr>
          <w:rFonts w:ascii="Century Gothic" w:eastAsia="Calibri" w:hAnsi="Century Gothic" w:cs="Arial"/>
          <w:lang w:val="es-ES_tradnl"/>
          <w14:ligatures w14:val="standardContextual"/>
        </w:rPr>
      </w:pPr>
      <w:r w:rsidRPr="00D12DDA">
        <w:rPr>
          <w:rFonts w:ascii="Century Gothic" w:eastAsia="Arial" w:hAnsi="Century Gothic" w:cs="Arial"/>
          <w:lang w:val="es-MX" w:eastAsia="es-ES_tradnl"/>
          <w14:ligatures w14:val="standardContextua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D12DDA">
        <w:rPr>
          <w:rFonts w:ascii="Century Gothic" w:eastAsia="Arial" w:hAnsi="Century Gothic" w:cs="Arial"/>
          <w:vertAlign w:val="superscript"/>
          <w:lang w:val="es-MX" w:eastAsia="es-ES_tradnl"/>
          <w14:ligatures w14:val="standardContextual"/>
        </w:rPr>
        <w:footnoteReference w:id="1"/>
      </w:r>
      <w:r w:rsidRPr="00D12DDA">
        <w:rPr>
          <w:rFonts w:ascii="Century Gothic" w:eastAsia="Arial" w:hAnsi="Century Gothic" w:cs="Arial"/>
          <w:lang w:val="es-MX" w:eastAsia="es-ES_tradnl"/>
          <w14:ligatures w14:val="standardContextual"/>
        </w:rPr>
        <w:t xml:space="preserve">. </w:t>
      </w:r>
      <w:r w:rsidRPr="00D12DDA">
        <w:rPr>
          <w:rFonts w:ascii="Century Gothic" w:eastAsia="Calibri" w:hAnsi="Century Gothic" w:cs="Arial"/>
          <w:lang w:val="es-ES_tradnl"/>
          <w14:ligatures w14:val="standardContextual"/>
        </w:rPr>
        <w:t xml:space="preserve">Es necesario tener en cuenta que esta entidad solo tiene </w:t>
      </w:r>
      <w:r w:rsidRPr="00D12DDA">
        <w:rPr>
          <w:rFonts w:ascii="Century Gothic" w:eastAsia="Calibri" w:hAnsi="Century Gothic" w:cs="Arial"/>
          <w:lang w:val="es-ES_tradnl"/>
          <w14:ligatures w14:val="standardContextual"/>
        </w:rPr>
        <w:lastRenderedPageBreak/>
        <w:t>competencia para responder solicitudes sobre la aplicación de normas de carácter general en materia de compras y contratación pública. En ese sentido, resolver casos particulares desborda las atribuciones asignadas por el legislador extraordinario, que no concibió a esta Agencia como una autoridad para solucionar problemas jurídicos particulares de todos los partícipes de la contratación estatal.</w:t>
      </w:r>
    </w:p>
    <w:p w14:paraId="2852E208" w14:textId="77777777" w:rsidR="00D12DDA" w:rsidRPr="00D12DDA" w:rsidRDefault="00D12DDA" w:rsidP="00D12DDA">
      <w:pPr>
        <w:spacing w:after="120" w:line="276" w:lineRule="auto"/>
        <w:ind w:firstLine="708"/>
        <w:jc w:val="both"/>
        <w:rPr>
          <w:rFonts w:ascii="Century Gothic" w:eastAsia="Calibri" w:hAnsi="Century Gothic" w:cs="Arial"/>
          <w:lang w:val="es-ES_tradnl"/>
          <w14:ligatures w14:val="standardContextual"/>
        </w:rPr>
      </w:pPr>
      <w:r w:rsidRPr="00D12DDA">
        <w:rPr>
          <w:rFonts w:ascii="Century Gothic" w:eastAsia="Calibri" w:hAnsi="Century Gothic" w:cs="Arial"/>
          <w:lang w:val="es-ES_tradnl"/>
          <w14:ligatures w14:val="standardContextua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0EB61477" w14:textId="77777777" w:rsidR="00D12DDA" w:rsidRPr="00D12DDA" w:rsidRDefault="00D12DDA" w:rsidP="00D12DDA">
      <w:pPr>
        <w:spacing w:after="120" w:line="276" w:lineRule="auto"/>
        <w:ind w:firstLine="708"/>
        <w:jc w:val="both"/>
        <w:rPr>
          <w:rFonts w:ascii="Century Gothic" w:hAnsi="Century Gothic" w:cs="Arial"/>
          <w:lang w:val="es-MX"/>
          <w14:ligatures w14:val="standardContextual"/>
        </w:rPr>
      </w:pPr>
      <w:r w:rsidRPr="00D12DDA">
        <w:rPr>
          <w:rFonts w:ascii="Century Gothic" w:eastAsia="Calibri" w:hAnsi="Century Gothic" w:cs="Arial"/>
          <w14:ligatures w14:val="standardContextual"/>
        </w:rPr>
        <w:t xml:space="preserve">Así las cosas, </w:t>
      </w:r>
      <w:r w:rsidRPr="00D12DDA">
        <w:rPr>
          <w:rFonts w:ascii="Century Gothic" w:eastAsia="Calibri" w:hAnsi="Century Gothic" w:cs="Arial"/>
          <w:lang w:val="es-ES"/>
          <w14:ligatures w14:val="standardContextual"/>
        </w:rPr>
        <w:t xml:space="preserve">la Agencia –dentro de los límites de sus atribuciones, esto es, </w:t>
      </w:r>
      <w:bookmarkStart w:id="1" w:name="_Hlk61025408"/>
      <w:r w:rsidRPr="00D12DDA">
        <w:rPr>
          <w:rFonts w:ascii="Century Gothic" w:eastAsia="Calibri" w:hAnsi="Century Gothic" w:cs="Arial"/>
          <w:lang w:val="es-ES"/>
          <w14:ligatures w14:val="standardContextual"/>
        </w:rPr>
        <w:t>haciendo abstracción del caso particular expuesto</w:t>
      </w:r>
      <w:bookmarkEnd w:id="1"/>
      <w:r w:rsidRPr="00D12DDA">
        <w:rPr>
          <w:rFonts w:ascii="Century Gothic" w:eastAsia="Calibri" w:hAnsi="Century Gothic" w:cs="Arial"/>
          <w:lang w:val="es-ES"/>
          <w14:ligatures w14:val="standardContextual"/>
        </w:rPr>
        <w:t xml:space="preserve">–, resolverá la consulta conforme a las normas generales en materia de contratación estatal. </w:t>
      </w:r>
      <w:r w:rsidRPr="00D12DDA">
        <w:rPr>
          <w:rFonts w:ascii="Century Gothic" w:hAnsi="Century Gothic" w:cs="Arial"/>
          <w:lang w:val="es-MX"/>
          <w14:ligatures w14:val="standardContextual"/>
        </w:rPr>
        <w:t>Para responder los interrogantes se realizarán algunas consideraciones en torno a los siguientes temas: i) el alcance de la regla de la subsanabilidad de las ofertas y ii) la subsanabilidad en la selección abreviada para la adquisición de bienes y servicios de características técnicas uniformes y de común utilización, mediante subasta inversa.</w:t>
      </w:r>
    </w:p>
    <w:p w14:paraId="7A3BDE9C" w14:textId="77777777" w:rsidR="00D12DDA" w:rsidRPr="00D12DDA" w:rsidRDefault="00D12DDA" w:rsidP="00D12DDA">
      <w:pPr>
        <w:spacing w:after="0" w:line="276" w:lineRule="auto"/>
        <w:ind w:firstLine="709"/>
        <w:jc w:val="both"/>
        <w:rPr>
          <w:rFonts w:ascii="Century Gothic" w:eastAsia="Calibri" w:hAnsi="Century Gothic" w:cs="Arial"/>
          <w:lang w:val="es-MX"/>
          <w14:ligatures w14:val="standardContextual"/>
        </w:rPr>
      </w:pPr>
      <w:r w:rsidRPr="00D12DDA">
        <w:rPr>
          <w:rFonts w:ascii="Century Gothic" w:hAnsi="Century Gothic" w:cs="Arial"/>
          <w:lang w:val="es-ES_tradnl"/>
          <w14:ligatures w14:val="standardContextual"/>
        </w:rPr>
        <w:t xml:space="preserve">La Agencia Nacional de Contratación Pública – Colombia Compra Eficiente, en el concepto CU - 060 de 16 de enero de 2020, unificó el concepto en torno al alcance de la regla de la subsanabilidad, contenida actualmente en el artículo 5 de la Ley 1150 de 2007. En dicho concepto se unificó la </w:t>
      </w:r>
      <w:r w:rsidRPr="00D12DDA">
        <w:rPr>
          <w:rFonts w:ascii="Century Gothic" w:eastAsia="Calibri" w:hAnsi="Century Gothic" w:cs="Arial"/>
          <w:lang w:val="es-ES_tradnl"/>
          <w14:ligatures w14:val="standardContextual"/>
        </w:rPr>
        <w:t xml:space="preserve">tesis expuesta en los conceptos con radicado No. 4201913000006471 del 28 de octubre de 2019, 4201912000006711 del 12 de noviembre de 2019 y 4201912000006496 del 15 de noviembre de 2019, la cual fue ha sido reiterada en los conceptos </w:t>
      </w:r>
      <w:r w:rsidRPr="00D12DDA">
        <w:rPr>
          <w:rFonts w:ascii="Century Gothic" w:eastAsia="Calibri" w:hAnsi="Century Gothic" w:cs="Arial"/>
          <w:lang w:val="es-MX"/>
          <w14:ligatures w14:val="standardContextual"/>
        </w:rPr>
        <w:t xml:space="preserve">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y C-250 del 2 de junio de 2021, C-568 del 11 de octubre de 2021, C-728 del 25 de enero de 2022, C-140 del 28 de marzo de 2022, C-285 del 20 de mayo de 2022, C-416 del 30 de junio de </w:t>
      </w:r>
      <w:r w:rsidRPr="00D12DDA">
        <w:rPr>
          <w:rFonts w:ascii="Century Gothic" w:eastAsia="Calibri" w:hAnsi="Century Gothic" w:cs="Arial"/>
          <w:lang w:val="es-MX"/>
          <w14:ligatures w14:val="standardContextual"/>
        </w:rPr>
        <w:lastRenderedPageBreak/>
        <w:t xml:space="preserve">2022, C-431 del 7 de julio de 2022, C-470 del 25 de julio de 2022 y C-505 de 8 de agosto de 2022, C-082 del 19 de abril de 2023, C-125 del 11 de mayo de 2023. De otra parte, sobre el proceso de selección de subasta inversa se ha pronunciado en los conceptos </w:t>
      </w:r>
      <w:r w:rsidRPr="00D12DDA">
        <w:rPr>
          <w:rFonts w:ascii="Century Gothic" w:eastAsia="Times New Roman" w:hAnsi="Century Gothic" w:cs="Arial"/>
          <w:shd w:val="clear" w:color="auto" w:fill="FFFFFF"/>
          <w:lang w:eastAsia="es-ES_tradnl"/>
          <w14:ligatures w14:val="standardContextual"/>
        </w:rPr>
        <w:t xml:space="preserve">4201913000004928 del 20 de agosto de 2019, 4201912000004846 del 3 de septiembre de 2019, en el C-008 del 14 de mayo de 2020 y en el C-024 del 24 de febrero de 2021, C-123 de 5 de abril de 2021 y </w:t>
      </w:r>
      <w:r w:rsidRPr="00D12DDA">
        <w:rPr>
          <w:rFonts w:ascii="Century Gothic" w:eastAsia="Times New Roman" w:hAnsi="Century Gothic" w:cs="Arial"/>
          <w:lang w:eastAsia="es-ES_tradnl"/>
          <w14:ligatures w14:val="standardContextual"/>
        </w:rPr>
        <w:t>C-568 del 11 de octubre de 2021</w:t>
      </w:r>
      <w:r w:rsidRPr="00D12DDA">
        <w:rPr>
          <w:rFonts w:ascii="Century Gothic" w:eastAsia="Calibri" w:hAnsi="Century Gothic" w:cs="Arial"/>
          <w:sz w:val="24"/>
          <w:szCs w:val="24"/>
          <w:vertAlign w:val="superscript"/>
          <w:lang w:val="es-ES_tradnl" w:eastAsia="es-MX"/>
          <w14:ligatures w14:val="standardContextual"/>
        </w:rPr>
        <w:footnoteReference w:id="2"/>
      </w:r>
      <w:r w:rsidRPr="00D12DDA">
        <w:rPr>
          <w:rFonts w:ascii="Century Gothic" w:eastAsia="Times New Roman" w:hAnsi="Century Gothic" w:cs="Arial"/>
          <w:shd w:val="clear" w:color="auto" w:fill="FFFFFF"/>
          <w:lang w:eastAsia="es-ES_tradnl"/>
          <w14:ligatures w14:val="standardContextual"/>
        </w:rPr>
        <w:t xml:space="preserve">. </w:t>
      </w:r>
      <w:r w:rsidRPr="00D12DDA">
        <w:rPr>
          <w:rFonts w:ascii="Century Gothic" w:eastAsia="Calibri" w:hAnsi="Century Gothic" w:cs="Arial"/>
          <w:lang w:val="es-MX"/>
          <w14:ligatures w14:val="standardContextual"/>
        </w:rPr>
        <w:t xml:space="preserve">Las tesis planteadas en dichos conceptos se reiteran y se complementan en lo pertinente a continuación. </w:t>
      </w:r>
    </w:p>
    <w:p w14:paraId="65D80E84" w14:textId="77777777" w:rsidR="00D12DDA" w:rsidRPr="00D12DDA" w:rsidRDefault="00D12DDA" w:rsidP="00D12DDA">
      <w:pPr>
        <w:spacing w:after="0" w:line="276" w:lineRule="auto"/>
        <w:jc w:val="both"/>
        <w:rPr>
          <w:rFonts w:ascii="Century Gothic" w:eastAsia="Calibri" w:hAnsi="Century Gothic" w:cs="Arial"/>
          <w:lang w:val="es-ES_tradnl"/>
          <w14:ligatures w14:val="standardContextual"/>
        </w:rPr>
      </w:pPr>
      <w:r w:rsidRPr="00D12DDA">
        <w:rPr>
          <w:rFonts w:ascii="Century Gothic" w:eastAsia="Calibri" w:hAnsi="Century Gothic" w:cs="Arial"/>
          <w:lang w:val="es-ES_tradnl"/>
          <w14:ligatures w14:val="standardContextual"/>
        </w:rPr>
        <w:t xml:space="preserve"> </w:t>
      </w:r>
    </w:p>
    <w:p w14:paraId="2CB1C3EF" w14:textId="77777777" w:rsidR="00D12DDA" w:rsidRPr="00D12DDA" w:rsidRDefault="00D12DDA" w:rsidP="00D12DDA">
      <w:pPr>
        <w:spacing w:after="0" w:line="276" w:lineRule="auto"/>
        <w:jc w:val="both"/>
        <w:rPr>
          <w:rFonts w:ascii="Century Gothic" w:eastAsia="Calibri" w:hAnsi="Century Gothic" w:cs="Arial"/>
          <w:b/>
          <w:bCs/>
          <w:lang w:val="es-ES_tradnl"/>
          <w14:ligatures w14:val="standardContextual"/>
        </w:rPr>
      </w:pPr>
      <w:r w:rsidRPr="00D12DDA">
        <w:rPr>
          <w:rFonts w:ascii="Century Gothic" w:eastAsia="Calibri" w:hAnsi="Century Gothic" w:cs="Arial"/>
          <w:b/>
          <w:bCs/>
          <w:lang w:val="es-ES_tradnl"/>
          <w14:ligatures w14:val="standardContextual"/>
        </w:rPr>
        <w:t xml:space="preserve">2.1. Alcance de la regla de la subsanabilidad de las ofertas </w:t>
      </w:r>
    </w:p>
    <w:p w14:paraId="3AB66378" w14:textId="77777777" w:rsidR="00D12DDA" w:rsidRPr="00D12DDA" w:rsidRDefault="00D12DDA" w:rsidP="00D12DDA">
      <w:pPr>
        <w:spacing w:after="0" w:line="276" w:lineRule="auto"/>
        <w:jc w:val="both"/>
        <w:rPr>
          <w:rFonts w:ascii="Century Gothic" w:eastAsia="Calibri" w:hAnsi="Century Gothic" w:cs="Arial"/>
          <w:lang w:val="es-ES_tradnl"/>
          <w14:ligatures w14:val="standardContextual"/>
        </w:rPr>
      </w:pPr>
    </w:p>
    <w:p w14:paraId="0212BC8D" w14:textId="77777777" w:rsidR="00D12DDA" w:rsidRPr="00D12DDA" w:rsidRDefault="00D12DDA" w:rsidP="00D12DDA">
      <w:pPr>
        <w:spacing w:after="120" w:line="276" w:lineRule="auto"/>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Esta Subdirección se ha pronunciado en diversas oportunidades, como se señaló anteriormente, acerca del alcance de la regla de la subsanabilidad, contenida actualmente en el artículo 5 de la Ley 1150 de 2007. Al respecto,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23D82B6A" w14:textId="77777777" w:rsidR="00D12DDA" w:rsidRPr="00D12DDA" w:rsidRDefault="00D12DDA" w:rsidP="00D12DDA">
      <w:pPr>
        <w:spacing w:after="120" w:line="276" w:lineRule="auto"/>
        <w:ind w:firstLine="708"/>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La posibilidad de enmendar, corregir o subsanar los errores en los que se incurre en los documentos contentivos de la oferta es un tema que ha tenido diferentes momentos o etapas en el ordenamiento jurídico colombiano. </w:t>
      </w:r>
    </w:p>
    <w:p w14:paraId="37065235"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En un </w:t>
      </w:r>
      <w:r w:rsidRPr="00D12DDA">
        <w:rPr>
          <w:rFonts w:ascii="Century Gothic" w:hAnsi="Century Gothic" w:cs="Arial"/>
          <w:i/>
          <w:lang w:val="es-ES_tradnl"/>
          <w14:ligatures w14:val="standardContextual"/>
        </w:rPr>
        <w:t>primer momento</w:t>
      </w:r>
      <w:r w:rsidRPr="00D12DDA">
        <w:rPr>
          <w:rFonts w:ascii="Century Gothic" w:hAnsi="Century Gothic" w:cs="Arial"/>
          <w:lang w:val="es-ES_tradnl"/>
          <w14:ligatures w14:val="standardContextual"/>
        </w:rPr>
        <w:t xml:space="preserve">, antes de la </w:t>
      </w:r>
      <w:proofErr w:type="gramStart"/>
      <w:r w:rsidRPr="00D12DDA">
        <w:rPr>
          <w:rFonts w:ascii="Century Gothic" w:hAnsi="Century Gothic" w:cs="Arial"/>
          <w:lang w:val="es-ES_tradnl"/>
          <w14:ligatures w14:val="standardContextual"/>
        </w:rPr>
        <w:t>entrada en vigencia</w:t>
      </w:r>
      <w:proofErr w:type="gramEnd"/>
      <w:r w:rsidRPr="00D12DDA">
        <w:rPr>
          <w:rFonts w:ascii="Century Gothic" w:hAnsi="Century Gothic" w:cs="Arial"/>
          <w:lang w:val="es-ES_tradnl"/>
          <w14:ligatures w14:val="standardContextual"/>
        </w:rPr>
        <w:t xml:space="preserve">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088C9DCA" w14:textId="77777777" w:rsidR="00D12DDA" w:rsidRPr="00D12DDA" w:rsidRDefault="00D12DDA" w:rsidP="00D12DDA">
      <w:pPr>
        <w:spacing w:after="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En un </w:t>
      </w:r>
      <w:r w:rsidRPr="00D12DDA">
        <w:rPr>
          <w:rFonts w:ascii="Century Gothic" w:hAnsi="Century Gothic" w:cs="Arial"/>
          <w:i/>
          <w:lang w:val="es-ES_tradnl"/>
          <w14:ligatures w14:val="standardContextual"/>
        </w:rPr>
        <w:t>segundo momento</w:t>
      </w:r>
      <w:r w:rsidRPr="00D12DDA">
        <w:rPr>
          <w:rFonts w:ascii="Century Gothic" w:hAnsi="Century Gothic" w:cs="Arial"/>
          <w:lang w:val="es-ES_tradnl"/>
          <w14:ligatures w14:val="standardContextual"/>
        </w:rPr>
        <w:t xml:space="preserve"> se expidió la Ley 80 de 1993, bajo el nuevo paradigma que supuso la Constitución de 1991, particularmente, en la forma como se relaciona lo formal y lo sustancial en las actuaciones judiciales y administrativas. </w:t>
      </w:r>
      <w:r w:rsidRPr="00D12DDA">
        <w:rPr>
          <w:rFonts w:ascii="Century Gothic" w:hAnsi="Century Gothic" w:cs="Arial"/>
          <w:lang w:val="es-ES_tradnl"/>
          <w14:ligatures w14:val="standardContextual"/>
        </w:rPr>
        <w:lastRenderedPageBreak/>
        <w:t xml:space="preserve">Este cambio ideológico quedó consignado en el artículo 228, que introdujo un </w:t>
      </w:r>
      <w:r w:rsidRPr="00D12DDA">
        <w:rPr>
          <w:rFonts w:ascii="Century Gothic" w:hAnsi="Century Gothic" w:cs="Arial"/>
          <w:i/>
          <w:iCs/>
          <w:lang w:val="es-ES_tradnl"/>
          <w14:ligatures w14:val="standardContextual"/>
        </w:rPr>
        <w:t>principio de supremacía o prevalencia del derecho sustancial sobre lo procedimental</w:t>
      </w:r>
      <w:r w:rsidRPr="00D12DDA">
        <w:rPr>
          <w:rFonts w:ascii="Century Gothic" w:hAnsi="Century Gothic" w:cs="Arial"/>
          <w:lang w:val="es-ES_tradnl"/>
          <w14:ligatures w14:val="standardContextual"/>
        </w:rPr>
        <w:t xml:space="preserve">. En este nuevo escenario constitucional, el numeral 15 del artículo 25 de la Ley 80 de 1993 dispuso lo siguiente: </w:t>
      </w:r>
    </w:p>
    <w:p w14:paraId="158DFC64" w14:textId="77777777" w:rsidR="00D12DDA" w:rsidRPr="00D12DDA" w:rsidRDefault="00D12DDA" w:rsidP="00D12DDA">
      <w:pPr>
        <w:spacing w:after="0" w:line="276" w:lineRule="auto"/>
        <w:ind w:firstLine="709"/>
        <w:jc w:val="both"/>
        <w:rPr>
          <w:rFonts w:ascii="Century Gothic" w:hAnsi="Century Gothic" w:cs="Arial"/>
          <w:lang w:val="es-ES_tradnl"/>
          <w14:ligatures w14:val="standardContextual"/>
        </w:rPr>
      </w:pPr>
    </w:p>
    <w:p w14:paraId="0318500A" w14:textId="77777777" w:rsidR="00D12DDA" w:rsidRPr="00D12DDA" w:rsidRDefault="00D12DDA" w:rsidP="00D12DDA">
      <w:pPr>
        <w:spacing w:after="0" w:line="240" w:lineRule="auto"/>
        <w:ind w:left="709" w:right="709"/>
        <w:contextualSpacing/>
        <w:jc w:val="both"/>
        <w:rPr>
          <w:rFonts w:ascii="Century Gothic" w:hAnsi="Century Gothic" w:cs="Arial"/>
          <w:sz w:val="21"/>
          <w:szCs w:val="21"/>
          <w:lang w:val="es-ES_tradnl"/>
          <w14:ligatures w14:val="standardContextual"/>
        </w:rPr>
      </w:pPr>
      <w:r w:rsidRPr="00D12DDA">
        <w:rPr>
          <w:rFonts w:ascii="Century Gothic" w:hAnsi="Century Gothic" w:cs="Arial"/>
          <w:sz w:val="21"/>
          <w:szCs w:val="21"/>
          <w:lang w:val="es-ES_tradnl"/>
          <w14:ligatures w14:val="standardContextua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56C33C97" w14:textId="77777777" w:rsidR="00D12DDA" w:rsidRPr="00D12DDA" w:rsidRDefault="00D12DDA" w:rsidP="00D12DDA">
      <w:pPr>
        <w:spacing w:after="0" w:line="240" w:lineRule="auto"/>
        <w:ind w:left="709" w:right="709"/>
        <w:contextualSpacing/>
        <w:jc w:val="both"/>
        <w:rPr>
          <w:rFonts w:ascii="Century Gothic" w:hAnsi="Century Gothic" w:cs="Arial"/>
          <w:sz w:val="21"/>
          <w:szCs w:val="21"/>
          <w:lang w:val="es-ES_tradnl"/>
          <w14:ligatures w14:val="standardContextual"/>
        </w:rPr>
      </w:pPr>
    </w:p>
    <w:p w14:paraId="1AF8461A" w14:textId="77777777" w:rsidR="00D12DDA" w:rsidRPr="00D12DDA" w:rsidRDefault="00D12DDA" w:rsidP="00D12DDA">
      <w:pPr>
        <w:spacing w:after="0" w:line="240" w:lineRule="auto"/>
        <w:ind w:left="709" w:right="709"/>
        <w:contextualSpacing/>
        <w:jc w:val="both"/>
        <w:rPr>
          <w:rFonts w:ascii="Century Gothic" w:hAnsi="Century Gothic" w:cs="Arial"/>
          <w:sz w:val="21"/>
          <w:szCs w:val="21"/>
          <w:lang w:val="es-ES_tradnl"/>
          <w14:ligatures w14:val="standardContextual"/>
        </w:rPr>
      </w:pPr>
      <w:r w:rsidRPr="00D12DDA">
        <w:rPr>
          <w:rFonts w:ascii="Century Gothic" w:hAnsi="Century Gothic" w:cs="Arial"/>
          <w:sz w:val="21"/>
          <w:szCs w:val="21"/>
          <w:lang w:val="es-ES_tradnl"/>
          <w14:ligatures w14:val="standardContextual"/>
        </w:rPr>
        <w:t xml:space="preserve">La ausencia de requisitos o la falta de documentos referentes a la futura contratación o al proponente, no necesarios para la comparación de propuestas, no servirá de título suficiente para el rechazo de los ofrecimientos hechos”. </w:t>
      </w:r>
    </w:p>
    <w:p w14:paraId="41A60460" w14:textId="77777777" w:rsidR="00D12DDA" w:rsidRPr="00D12DDA" w:rsidRDefault="00D12DDA" w:rsidP="00D12DDA">
      <w:pPr>
        <w:spacing w:after="0" w:line="276" w:lineRule="auto"/>
        <w:ind w:firstLine="709"/>
        <w:jc w:val="both"/>
        <w:rPr>
          <w:rFonts w:ascii="Century Gothic" w:hAnsi="Century Gothic" w:cs="Arial"/>
          <w:lang w:val="es-ES_tradnl"/>
          <w14:ligatures w14:val="standardContextual"/>
        </w:rPr>
      </w:pPr>
    </w:p>
    <w:p w14:paraId="1902A1CE"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150627E4"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Esta norma debía leerse en conjunto con otras de la Ley 80 de 1993, específicamente con el artículo 30.7</w:t>
      </w:r>
      <w:r w:rsidRPr="00D12DDA">
        <w:rPr>
          <w:rFonts w:ascii="Century Gothic" w:hAnsi="Century Gothic" w:cs="Arial"/>
          <w:vertAlign w:val="superscript"/>
          <w:lang w:val="es-ES_tradnl"/>
          <w14:ligatures w14:val="standardContextual"/>
        </w:rPr>
        <w:footnoteReference w:id="3"/>
      </w:r>
      <w:r w:rsidRPr="00D12DDA">
        <w:rPr>
          <w:rFonts w:ascii="Century Gothic" w:hAnsi="Century Gothic" w:cs="Arial"/>
          <w:lang w:val="es-ES_tradnl"/>
          <w14:ligatures w14:val="standardContextual"/>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D12DDA">
        <w:rPr>
          <w:rFonts w:ascii="Century Gothic" w:hAnsi="Century Gothic" w:cs="Arial"/>
          <w:vertAlign w:val="superscript"/>
          <w:lang w:val="es-ES_tradnl"/>
          <w14:ligatures w14:val="standardContextual"/>
        </w:rPr>
        <w:footnoteReference w:id="4"/>
      </w:r>
      <w:r w:rsidRPr="00D12DDA">
        <w:rPr>
          <w:rFonts w:ascii="Century Gothic" w:hAnsi="Century Gothic" w:cs="Arial"/>
          <w:lang w:val="es-ES_tradnl"/>
          <w14:ligatures w14:val="standardContextual"/>
        </w:rPr>
        <w:t xml:space="preserve">, que consagró el término de 5 días hábiles para que los oferentes presenten </w:t>
      </w:r>
      <w:r w:rsidRPr="00D12DDA">
        <w:rPr>
          <w:rFonts w:ascii="Century Gothic" w:hAnsi="Century Gothic" w:cs="Arial"/>
          <w:lang w:val="es-ES_tradnl"/>
          <w14:ligatures w14:val="standardContextual"/>
        </w:rPr>
        <w:lastRenderedPageBreak/>
        <w:t xml:space="preserve">observaciones al informe de evaluación de las propuestas, sin que sea posible completar, adicionar, modificar o mejorar su oferta.  </w:t>
      </w:r>
    </w:p>
    <w:p w14:paraId="28351751"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A partir de la lectura integrada de estas tres normas debía concluirse que con la Ley 80 de 1993 era posible subsanar las propuestas, y la omisión o el error en algún aspecto de </w:t>
      </w:r>
      <w:proofErr w:type="gramStart"/>
      <w:r w:rsidRPr="00D12DDA">
        <w:rPr>
          <w:rFonts w:ascii="Century Gothic" w:hAnsi="Century Gothic" w:cs="Arial"/>
          <w:lang w:val="es-ES_tradnl"/>
          <w14:ligatures w14:val="standardContextual"/>
        </w:rPr>
        <w:t>la misma</w:t>
      </w:r>
      <w:proofErr w:type="gramEnd"/>
      <w:r w:rsidRPr="00D12DDA">
        <w:rPr>
          <w:rFonts w:ascii="Century Gothic" w:hAnsi="Century Gothic" w:cs="Arial"/>
          <w:lang w:val="es-ES_tradnl"/>
          <w14:ligatures w14:val="standardContextual"/>
        </w:rPr>
        <w:t xml:space="preserve"> no podía llevar a su rechazo, sin antes verificar que lo omitido fuera un aspecto necesario para la comparación. </w:t>
      </w:r>
    </w:p>
    <w:p w14:paraId="17CC4ED4" w14:textId="77777777" w:rsidR="00D12DDA" w:rsidRPr="00D12DDA" w:rsidRDefault="00D12DDA" w:rsidP="00D12DDA">
      <w:pPr>
        <w:spacing w:after="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En un </w:t>
      </w:r>
      <w:r w:rsidRPr="00D12DDA">
        <w:rPr>
          <w:rFonts w:ascii="Century Gothic" w:hAnsi="Century Gothic" w:cs="Arial"/>
          <w:i/>
          <w:lang w:val="es-ES_tradnl"/>
          <w14:ligatures w14:val="standardContextual"/>
        </w:rPr>
        <w:t>tercer momento</w:t>
      </w:r>
      <w:r w:rsidRPr="00D12DDA">
        <w:rPr>
          <w:rFonts w:ascii="Century Gothic" w:hAnsi="Century Gothic" w:cs="Arial"/>
          <w:lang w:val="es-ES_tradnl"/>
          <w14:ligatures w14:val="standardContextual"/>
        </w:rPr>
        <w:t xml:space="preserve">, siguiendo la línea trazada por la Ley 80 de 1993, el legislador expidió la Ley 1150 de 2007, que, en el parágrafo 1º del artículo 5, determinó lo siguiente: </w:t>
      </w:r>
    </w:p>
    <w:p w14:paraId="13F8CAAC" w14:textId="77777777" w:rsidR="00D12DDA" w:rsidRPr="00D12DDA" w:rsidRDefault="00D12DDA" w:rsidP="00D12DDA">
      <w:pPr>
        <w:spacing w:after="0" w:line="276" w:lineRule="auto"/>
        <w:jc w:val="both"/>
        <w:rPr>
          <w:rFonts w:ascii="Century Gothic" w:hAnsi="Century Gothic" w:cs="Arial"/>
          <w:lang w:val="es-ES_tradnl"/>
          <w14:ligatures w14:val="standardContextual"/>
        </w:rPr>
      </w:pPr>
    </w:p>
    <w:p w14:paraId="4A83F00A" w14:textId="77777777" w:rsidR="00D12DDA" w:rsidRPr="00D12DDA" w:rsidRDefault="00D12DDA" w:rsidP="00D12DDA">
      <w:pPr>
        <w:spacing w:after="0" w:line="240" w:lineRule="auto"/>
        <w:ind w:left="709" w:right="709"/>
        <w:jc w:val="both"/>
        <w:rPr>
          <w:rFonts w:ascii="Century Gothic" w:hAnsi="Century Gothic" w:cs="Arial"/>
          <w:sz w:val="21"/>
          <w:szCs w:val="21"/>
          <w:lang w:val="es-ES_tradnl"/>
          <w14:ligatures w14:val="standardContextual"/>
        </w:rPr>
      </w:pPr>
      <w:r w:rsidRPr="00D12DDA">
        <w:rPr>
          <w:rFonts w:ascii="Century Gothic" w:hAnsi="Century Gothic" w:cs="Arial"/>
          <w:sz w:val="21"/>
          <w:szCs w:val="21"/>
          <w:lang w:val="es-ES_tradnl"/>
          <w14:ligatures w14:val="standardContextua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D12DDA">
        <w:rPr>
          <w:rFonts w:ascii="Century Gothic" w:hAnsi="Century Gothic" w:cs="Arial"/>
          <w:b/>
          <w:sz w:val="21"/>
          <w:szCs w:val="21"/>
          <w:lang w:val="es-ES_tradnl"/>
          <w14:ligatures w14:val="standardContextual"/>
        </w:rPr>
        <w:t xml:space="preserve">, </w:t>
      </w:r>
      <w:r w:rsidRPr="00D12DDA">
        <w:rPr>
          <w:rFonts w:ascii="Century Gothic" w:hAnsi="Century Gothic" w:cs="Arial"/>
          <w:sz w:val="21"/>
          <w:szCs w:val="21"/>
          <w:lang w:val="es-ES_tradnl"/>
          <w14:ligatures w14:val="standardContextual"/>
        </w:rPr>
        <w:t xml:space="preserve">todos aquellos requisitos de la propuesta que no afecten la asignación de </w:t>
      </w:r>
      <w:proofErr w:type="gramStart"/>
      <w:r w:rsidRPr="00D12DDA">
        <w:rPr>
          <w:rFonts w:ascii="Century Gothic" w:hAnsi="Century Gothic" w:cs="Arial"/>
          <w:sz w:val="21"/>
          <w:szCs w:val="21"/>
          <w:lang w:val="es-ES_tradnl"/>
          <w14:ligatures w14:val="standardContextual"/>
        </w:rPr>
        <w:t>puntaje,</w:t>
      </w:r>
      <w:proofErr w:type="gramEnd"/>
      <w:r w:rsidRPr="00D12DDA">
        <w:rPr>
          <w:rFonts w:ascii="Century Gothic" w:hAnsi="Century Gothic" w:cs="Arial"/>
          <w:sz w:val="21"/>
          <w:szCs w:val="21"/>
          <w:lang w:val="es-ES_tradnl"/>
          <w14:ligatures w14:val="standardContextual"/>
        </w:rPr>
        <w:t xml:space="preserve"> podrán ser solicitados por las entidades en cualquier momento, hasta la adjudicación. No </w:t>
      </w:r>
      <w:proofErr w:type="gramStart"/>
      <w:r w:rsidRPr="00D12DDA">
        <w:rPr>
          <w:rFonts w:ascii="Century Gothic" w:hAnsi="Century Gothic" w:cs="Arial"/>
          <w:sz w:val="21"/>
          <w:szCs w:val="21"/>
          <w:lang w:val="es-ES_tradnl"/>
          <w14:ligatures w14:val="standardContextual"/>
        </w:rPr>
        <w:t>obstante</w:t>
      </w:r>
      <w:proofErr w:type="gramEnd"/>
      <w:r w:rsidRPr="00D12DDA">
        <w:rPr>
          <w:rFonts w:ascii="Century Gothic" w:hAnsi="Century Gothic" w:cs="Arial"/>
          <w:sz w:val="21"/>
          <w:szCs w:val="21"/>
          <w:lang w:val="es-ES_tradnl"/>
          <w14:ligatures w14:val="standardContextual"/>
        </w:rPr>
        <w:t xml:space="preserve"> lo anterior, en aquellos procesos de selección en los que se utilice el mecanismo de subasta, deberán ser solicitados hasta el momento previo a su realización”. </w:t>
      </w:r>
    </w:p>
    <w:p w14:paraId="429C9B61" w14:textId="77777777" w:rsidR="00D12DDA" w:rsidRPr="00D12DDA" w:rsidRDefault="00D12DDA" w:rsidP="00D12DDA">
      <w:pPr>
        <w:spacing w:after="0" w:line="276" w:lineRule="auto"/>
        <w:jc w:val="both"/>
        <w:rPr>
          <w:rFonts w:ascii="Century Gothic" w:hAnsi="Century Gothic" w:cs="Arial"/>
          <w:b/>
          <w:lang w:val="es-ES_tradnl"/>
          <w14:ligatures w14:val="standardContextual"/>
        </w:rPr>
      </w:pPr>
    </w:p>
    <w:p w14:paraId="0D01B9B9"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163EADC0"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7D9C536C" w14:textId="77777777" w:rsidR="00D12DDA" w:rsidRPr="00D12DDA" w:rsidRDefault="00D12DDA" w:rsidP="00D12DDA">
      <w:pPr>
        <w:spacing w:before="120" w:after="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El Consejo de Estado, con particular sindéresis, concluyó que a partir del parágrafo 1º del artículo 5 de la Ley 1150, la </w:t>
      </w:r>
      <w:r w:rsidRPr="00D12DDA">
        <w:rPr>
          <w:rFonts w:ascii="Century Gothic" w:hAnsi="Century Gothic" w:cs="Arial"/>
          <w:lang w:val="es-ES_tradnl"/>
          <w14:ligatures w14:val="standardContextual"/>
        </w:rPr>
        <w:lastRenderedPageBreak/>
        <w:t xml:space="preserve">definición de lo que es subsanable y lo que no lo es surge a partir del planteamiento de la pregunta sobre si el defecto asigna puntaje o no, en estos términos: </w:t>
      </w:r>
    </w:p>
    <w:p w14:paraId="71394AAC" w14:textId="77777777" w:rsidR="00D12DDA" w:rsidRPr="00D12DDA" w:rsidRDefault="00D12DDA" w:rsidP="00D12DDA">
      <w:pPr>
        <w:spacing w:after="0" w:line="276" w:lineRule="auto"/>
        <w:jc w:val="both"/>
        <w:rPr>
          <w:rFonts w:ascii="Century Gothic" w:hAnsi="Century Gothic" w:cs="Arial"/>
          <w:lang w:val="es-ES_tradnl"/>
          <w14:ligatures w14:val="standardContextual"/>
        </w:rPr>
      </w:pPr>
    </w:p>
    <w:p w14:paraId="3DF28CD0" w14:textId="77777777" w:rsidR="00D12DDA" w:rsidRPr="00D12DDA" w:rsidRDefault="00D12DDA" w:rsidP="00D12DDA">
      <w:pPr>
        <w:spacing w:after="0" w:line="240" w:lineRule="auto"/>
        <w:ind w:left="709" w:right="709"/>
        <w:jc w:val="both"/>
        <w:rPr>
          <w:rFonts w:ascii="Century Gothic" w:hAnsi="Century Gothic" w:cs="Arial"/>
          <w:sz w:val="21"/>
          <w:szCs w:val="21"/>
          <w:lang w:val="es-ES_tradnl"/>
          <w14:ligatures w14:val="standardContextual"/>
        </w:rPr>
      </w:pPr>
      <w:r w:rsidRPr="00D12DDA">
        <w:rPr>
          <w:rFonts w:ascii="Century Gothic" w:hAnsi="Century Gothic" w:cs="Arial"/>
          <w:sz w:val="21"/>
          <w:szCs w:val="21"/>
          <w:lang w:val="es-ES_tradnl"/>
          <w14:ligatures w14:val="standardContextua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D12DDA">
        <w:rPr>
          <w:rFonts w:ascii="Century Gothic" w:hAnsi="Century Gothic" w:cs="Arial"/>
          <w:sz w:val="21"/>
          <w:szCs w:val="21"/>
          <w:vertAlign w:val="superscript"/>
          <w:lang w:val="es-ES_tradnl"/>
          <w14:ligatures w14:val="standardContextual"/>
        </w:rPr>
        <w:footnoteReference w:id="5"/>
      </w:r>
      <w:r w:rsidRPr="00D12DDA">
        <w:rPr>
          <w:rFonts w:ascii="Century Gothic" w:hAnsi="Century Gothic" w:cs="Arial"/>
          <w:sz w:val="21"/>
          <w:szCs w:val="21"/>
          <w:lang w:val="es-ES_tradnl"/>
          <w14:ligatures w14:val="standardContextual"/>
        </w:rPr>
        <w:t>.</w:t>
      </w:r>
    </w:p>
    <w:p w14:paraId="1D10E9CC" w14:textId="77777777" w:rsidR="00D12DDA" w:rsidRPr="00D12DDA" w:rsidRDefault="00D12DDA" w:rsidP="00D12DDA">
      <w:pPr>
        <w:tabs>
          <w:tab w:val="left" w:pos="284"/>
        </w:tabs>
        <w:spacing w:after="0" w:line="276" w:lineRule="auto"/>
        <w:ind w:firstLine="709"/>
        <w:jc w:val="both"/>
        <w:rPr>
          <w:rFonts w:ascii="Century Gothic" w:hAnsi="Century Gothic" w:cs="Arial"/>
          <w:lang w:val="es-ES_tradnl"/>
          <w14:ligatures w14:val="standardContextual"/>
        </w:rPr>
      </w:pPr>
    </w:p>
    <w:p w14:paraId="2CE5EF9B" w14:textId="77777777" w:rsidR="00D12DDA" w:rsidRPr="00D12DDA" w:rsidRDefault="00D12DDA" w:rsidP="00D12DDA">
      <w:pPr>
        <w:tabs>
          <w:tab w:val="left" w:pos="284"/>
        </w:tabs>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Esa interpretación fue compartida por la </w:t>
      </w:r>
      <w:r w:rsidRPr="00D12DDA">
        <w:rPr>
          <w:rFonts w:ascii="Century Gothic" w:eastAsia="Times New Roman" w:hAnsi="Century Gothic" w:cs="Arial"/>
          <w:lang w:val="es-ES_tradnl" w:eastAsia="es-CO"/>
          <w14:ligatures w14:val="standardContextual"/>
        </w:rPr>
        <w:t>Agencia Nacional de Contratación Pública – Colombia Compra Eficiente</w:t>
      </w:r>
      <w:r w:rsidRPr="00D12DDA">
        <w:rPr>
          <w:rFonts w:ascii="Century Gothic" w:hAnsi="Century Gothic" w:cs="Arial"/>
          <w:lang w:val="es-ES_tradnl"/>
          <w14:ligatures w14:val="standardContextual"/>
        </w:rPr>
        <w:t xml:space="preserve">, pues en la Circular Externa Única se precisó que, si durante un proceso de contratación hay proponentes que no acreditaron en sus ofertas requisitos que no afectan la asignación de puntaje o la comparación de </w:t>
      </w:r>
      <w:proofErr w:type="gramStart"/>
      <w:r w:rsidRPr="00D12DDA">
        <w:rPr>
          <w:rFonts w:ascii="Century Gothic" w:hAnsi="Century Gothic" w:cs="Arial"/>
          <w:lang w:val="es-ES_tradnl"/>
          <w14:ligatures w14:val="standardContextual"/>
        </w:rPr>
        <w:t>las mismas</w:t>
      </w:r>
      <w:proofErr w:type="gramEnd"/>
      <w:r w:rsidRPr="00D12DDA">
        <w:rPr>
          <w:rFonts w:ascii="Century Gothic" w:hAnsi="Century Gothic" w:cs="Arial"/>
          <w:lang w:val="es-ES_tradnl"/>
          <w14:ligatures w14:val="standardContextual"/>
        </w:rPr>
        <w:t>, la entidad estatal deberá indicarlo en el informe de evaluación y advertir que la correspondiente oferta no será evaluada hasta que se subsane.</w:t>
      </w:r>
    </w:p>
    <w:p w14:paraId="0C25E581" w14:textId="77777777" w:rsidR="00D12DDA" w:rsidRPr="00D12DDA" w:rsidRDefault="00D12DDA" w:rsidP="00D12DDA">
      <w:pPr>
        <w:tabs>
          <w:tab w:val="left" w:pos="284"/>
        </w:tabs>
        <w:spacing w:after="0" w:line="276" w:lineRule="auto"/>
        <w:ind w:firstLine="709"/>
        <w:jc w:val="both"/>
        <w:rPr>
          <w:rFonts w:ascii="Century Gothic" w:eastAsia="Times New Roman" w:hAnsi="Century Gothic" w:cs="Arial"/>
          <w:lang w:val="es-ES_tradnl" w:eastAsia="es-CO"/>
          <w14:ligatures w14:val="standardContextual"/>
        </w:rPr>
      </w:pPr>
      <w:r w:rsidRPr="00D12DDA">
        <w:rPr>
          <w:rFonts w:ascii="Century Gothic" w:eastAsia="Times New Roman" w:hAnsi="Century Gothic" w:cs="Arial"/>
          <w:lang w:val="es-ES_tradnl" w:eastAsia="es-CO"/>
          <w14:ligatures w14:val="standardContextual"/>
        </w:rPr>
        <w:t xml:space="preserve">Finalmente, en un </w:t>
      </w:r>
      <w:r w:rsidRPr="00D12DDA">
        <w:rPr>
          <w:rFonts w:ascii="Century Gothic" w:eastAsia="Times New Roman" w:hAnsi="Century Gothic" w:cs="Arial"/>
          <w:i/>
          <w:lang w:val="es-ES_tradnl" w:eastAsia="es-CO"/>
          <w14:ligatures w14:val="standardContextual"/>
        </w:rPr>
        <w:t>cuarto momento</w:t>
      </w:r>
      <w:r w:rsidRPr="00D12DDA">
        <w:rPr>
          <w:rFonts w:ascii="Century Gothic" w:eastAsia="Times New Roman" w:hAnsi="Century Gothic" w:cs="Arial"/>
          <w:lang w:val="es-ES_tradnl" w:eastAsia="es-CO"/>
          <w14:ligatures w14:val="standardContextual"/>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24E23153" w14:textId="77777777" w:rsidR="00D12DDA" w:rsidRPr="00D12DDA" w:rsidRDefault="00D12DDA" w:rsidP="00D12DDA">
      <w:pPr>
        <w:tabs>
          <w:tab w:val="left" w:pos="284"/>
        </w:tabs>
        <w:spacing w:after="0" w:line="276" w:lineRule="auto"/>
        <w:ind w:firstLine="709"/>
        <w:jc w:val="both"/>
        <w:rPr>
          <w:rFonts w:ascii="Century Gothic" w:hAnsi="Century Gothic" w:cs="Arial"/>
          <w:lang w:val="es-ES_tradnl"/>
          <w14:ligatures w14:val="standardContextual"/>
        </w:rPr>
      </w:pPr>
    </w:p>
    <w:p w14:paraId="148AFE1E" w14:textId="77777777" w:rsidR="00D12DDA" w:rsidRPr="00D12DDA" w:rsidRDefault="00D12DDA" w:rsidP="00D12DDA">
      <w:pPr>
        <w:spacing w:after="0" w:line="240" w:lineRule="auto"/>
        <w:ind w:left="709" w:right="709"/>
        <w:jc w:val="both"/>
        <w:rPr>
          <w:rFonts w:ascii="Century Gothic" w:hAnsi="Century Gothic" w:cs="Arial"/>
          <w:sz w:val="21"/>
          <w:szCs w:val="21"/>
          <w:lang w:val="es-ES_tradnl"/>
          <w14:ligatures w14:val="standardContextual"/>
        </w:rPr>
      </w:pPr>
      <w:r w:rsidRPr="00D12DDA">
        <w:rPr>
          <w:rFonts w:ascii="Century Gothic" w:hAnsi="Century Gothic" w:cs="Arial"/>
          <w:sz w:val="21"/>
          <w:szCs w:val="21"/>
          <w:lang w:val="es-ES_tradnl"/>
          <w14:ligatures w14:val="standardContextual"/>
        </w:rPr>
        <w:t xml:space="preserve">“Artículo 5°. De la selección objetiva. </w:t>
      </w:r>
    </w:p>
    <w:p w14:paraId="33438AE2" w14:textId="77777777" w:rsidR="00D12DDA" w:rsidRPr="00D12DDA" w:rsidRDefault="00D12DDA" w:rsidP="00D12DDA">
      <w:pPr>
        <w:spacing w:after="0" w:line="240" w:lineRule="auto"/>
        <w:ind w:left="709" w:right="709"/>
        <w:jc w:val="both"/>
        <w:rPr>
          <w:rFonts w:ascii="Century Gothic" w:hAnsi="Century Gothic" w:cs="Arial"/>
          <w:sz w:val="21"/>
          <w:szCs w:val="21"/>
          <w:lang w:val="es-ES_tradnl"/>
          <w14:ligatures w14:val="standardContextual"/>
        </w:rPr>
      </w:pPr>
      <w:r w:rsidRPr="00D12DDA">
        <w:rPr>
          <w:rFonts w:ascii="Century Gothic" w:hAnsi="Century Gothic" w:cs="Arial"/>
          <w:sz w:val="21"/>
          <w:szCs w:val="21"/>
          <w:lang w:val="es-ES_tradnl"/>
          <w14:ligatures w14:val="standardContextual"/>
        </w:rPr>
        <w:t>[... ]</w:t>
      </w:r>
    </w:p>
    <w:p w14:paraId="4133CC9B" w14:textId="77777777" w:rsidR="00D12DDA" w:rsidRPr="00D12DDA" w:rsidRDefault="00D12DDA" w:rsidP="00D12DDA">
      <w:pPr>
        <w:spacing w:after="0" w:line="240" w:lineRule="auto"/>
        <w:ind w:left="709" w:right="709"/>
        <w:jc w:val="both"/>
        <w:rPr>
          <w:rFonts w:ascii="Century Gothic" w:hAnsi="Century Gothic" w:cs="Arial"/>
          <w:sz w:val="21"/>
          <w:szCs w:val="21"/>
          <w:lang w:val="es-ES_tradnl"/>
          <w14:ligatures w14:val="standardContextual"/>
        </w:rPr>
      </w:pPr>
      <w:r w:rsidRPr="00D12DDA">
        <w:rPr>
          <w:rFonts w:ascii="Century Gothic" w:hAnsi="Century Gothic" w:cs="Arial"/>
          <w:sz w:val="21"/>
          <w:szCs w:val="21"/>
          <w:lang w:val="es-ES_tradnl"/>
          <w14:ligatures w14:val="standardContextua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w:t>
      </w:r>
      <w:r w:rsidRPr="00D12DDA">
        <w:rPr>
          <w:rFonts w:ascii="Century Gothic" w:hAnsi="Century Gothic" w:cs="Arial"/>
          <w:sz w:val="21"/>
          <w:szCs w:val="21"/>
          <w:lang w:val="es-ES_tradnl"/>
          <w14:ligatures w14:val="standardContextual"/>
        </w:rPr>
        <w:lastRenderedPageBreak/>
        <w:t xml:space="preserve">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7B3D1B3D" w14:textId="77777777" w:rsidR="00D12DDA" w:rsidRPr="00D12DDA" w:rsidRDefault="00D12DDA" w:rsidP="00D12DDA">
      <w:pPr>
        <w:spacing w:after="0" w:line="276" w:lineRule="auto"/>
        <w:ind w:firstLine="709"/>
        <w:jc w:val="both"/>
        <w:rPr>
          <w:rFonts w:ascii="Century Gothic" w:hAnsi="Century Gothic" w:cs="Arial"/>
          <w:lang w:val="es-ES_tradnl"/>
          <w14:ligatures w14:val="standardContextual"/>
        </w:rPr>
      </w:pPr>
    </w:p>
    <w:p w14:paraId="724AF78E"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4108014A" w14:textId="77777777" w:rsidR="00D12DDA" w:rsidRPr="00D12DDA" w:rsidRDefault="00D12DDA" w:rsidP="00D12DDA">
      <w:pPr>
        <w:spacing w:after="120" w:line="276" w:lineRule="auto"/>
        <w:ind w:right="51" w:firstLine="709"/>
        <w:jc w:val="both"/>
        <w:rPr>
          <w:rFonts w:ascii="Century Gothic" w:eastAsia="Calibri" w:hAnsi="Century Gothic" w:cs="Arial"/>
          <w:lang w:val="es-ES_tradnl"/>
          <w14:ligatures w14:val="standardContextual"/>
        </w:rPr>
      </w:pPr>
      <w:r w:rsidRPr="00D12DDA">
        <w:rPr>
          <w:rFonts w:ascii="Century Gothic" w:hAnsi="Century Gothic" w:cs="Arial"/>
          <w:i/>
          <w:iCs/>
          <w:lang w:val="es-ES_tradnl"/>
          <w14:ligatures w14:val="standardContextual"/>
        </w:rPr>
        <w:t>El primero</w:t>
      </w:r>
      <w:r w:rsidRPr="00D12DDA">
        <w:rPr>
          <w:rFonts w:ascii="Century Gothic" w:hAnsi="Century Gothic" w:cs="Arial"/>
          <w:lang w:val="es-ES_tradnl"/>
          <w14:ligatures w14:val="standardContextua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w:t>
      </w:r>
      <w:r w:rsidRPr="00D12DDA">
        <w:rPr>
          <w:rFonts w:ascii="Century Gothic" w:eastAsia="Calibri" w:hAnsi="Century Gothic" w:cs="Arial"/>
          <w:lang w:val="es-ES_tradnl"/>
          <w14:ligatures w14:val="standardContextual"/>
        </w:rPr>
        <w:t>de selección a través del sistema de subasta</w:t>
      </w:r>
      <w:r w:rsidRPr="00D12DDA">
        <w:rPr>
          <w:rFonts w:ascii="Century Gothic" w:eastAsia="Calibri" w:hAnsi="Century Gothic" w:cs="Arial"/>
          <w:vertAlign w:val="superscript"/>
          <w:lang w:val="es-ES_tradnl"/>
          <w14:ligatures w14:val="standardContextual"/>
        </w:rPr>
        <w:footnoteReference w:id="6"/>
      </w:r>
      <w:r w:rsidRPr="00D12DDA">
        <w:rPr>
          <w:rFonts w:ascii="Century Gothic" w:eastAsia="Calibri" w:hAnsi="Century Gothic" w:cs="Arial"/>
          <w:lang w:val="es-ES_tradnl"/>
          <w14:ligatures w14:val="standardContextual"/>
        </w:rPr>
        <w:t>, este último al cual hace referencia en su consulta, y en el que los documentos o requisitos subsanables pueden y deben solicitarse por parte de las entidades estatales, como límite, hasta el momento previo a la celebración de la audiencia, en los términos que se explicarán en el numeral 2.2. En cuanto al proceso de mínima cuantía, el Decreto 1860 de 2021 que modifica el 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D12DDA">
        <w:rPr>
          <w:rFonts w:ascii="Century Gothic" w:eastAsia="Calibri" w:hAnsi="Century Gothic" w:cs="Arial"/>
          <w:vertAlign w:val="superscript"/>
          <w:lang w:val="es-ES_tradnl"/>
          <w14:ligatures w14:val="standardContextual"/>
        </w:rPr>
        <w:footnoteReference w:id="7"/>
      </w:r>
      <w:r w:rsidRPr="00D12DDA">
        <w:rPr>
          <w:rFonts w:ascii="Century Gothic" w:eastAsia="Calibri" w:hAnsi="Century Gothic" w:cs="Arial"/>
          <w:lang w:val="es-ES_tradnl"/>
          <w14:ligatures w14:val="standardContextual"/>
        </w:rPr>
        <w:t xml:space="preserve">. </w:t>
      </w:r>
    </w:p>
    <w:p w14:paraId="6B2653B7"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eastAsia="Calibri" w:hAnsi="Century Gothic" w:cs="Arial"/>
          <w:lang w:val="es-ES_tradnl"/>
          <w14:ligatures w14:val="standardContextual"/>
        </w:rPr>
        <w:lastRenderedPageBreak/>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D12DDA">
        <w:rPr>
          <w:rFonts w:ascii="Century Gothic" w:hAnsi="Century Gothic" w:cs="Arial"/>
          <w:lang w:val="es-ES_tradnl"/>
          <w14:ligatures w14:val="standardContextual"/>
        </w:rPr>
        <w:t xml:space="preserve">deberán ser solicitados por las entidades estatales y deberán ser entregados por los proponentes hasta el término de traslado del informe de evaluación que corresponda a cada modalidad de selección”. </w:t>
      </w:r>
    </w:p>
    <w:p w14:paraId="38667989"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No obstante, de la lectura de este aparte podrían, en la práctica, darse dos interpretaciones que dan lugar a dos formas de proceder en los procesos de selección, en lo que a la subsanabilidad de las ofertas se refiere: </w:t>
      </w:r>
    </w:p>
    <w:p w14:paraId="4E513F88"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i) Que la posibilidad para subsanar de los oferentes es el término del traslado del informe de evaluación, ya que es en este documento donde la Administración consigna los requisitos o documentos omitidos que los oferentes deben subsanar, so pena de rechazo;</w:t>
      </w:r>
    </w:p>
    <w:p w14:paraId="1DFF182E"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ii) Que el término del traslado del informe de evaluación es el </w:t>
      </w:r>
      <w:r w:rsidRPr="00D12DDA">
        <w:rPr>
          <w:rFonts w:ascii="Century Gothic" w:hAnsi="Century Gothic" w:cs="Arial"/>
          <w:i/>
          <w:iCs/>
          <w:lang w:val="es-ES_tradnl"/>
          <w14:ligatures w14:val="standardContextual"/>
        </w:rPr>
        <w:t>límite</w:t>
      </w:r>
      <w:r w:rsidRPr="00D12DDA">
        <w:rPr>
          <w:rFonts w:ascii="Century Gothic" w:hAnsi="Century Gothic" w:cs="Arial"/>
          <w:lang w:val="es-ES_tradnl"/>
          <w14:ligatures w14:val="standardContextual"/>
        </w:rPr>
        <w:t xml:space="preserve"> para la subsanación de ofertas, pero no el único momento para hacerlo. </w:t>
      </w:r>
    </w:p>
    <w:p w14:paraId="5E4F5308"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24314E32"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informe ya se </w:t>
      </w:r>
      <w:r w:rsidRPr="00D12DDA">
        <w:rPr>
          <w:rFonts w:ascii="Century Gothic" w:hAnsi="Century Gothic" w:cs="Arial"/>
          <w:lang w:val="es-ES_tradnl"/>
          <w14:ligatures w14:val="standardContextual"/>
        </w:rPr>
        <w:lastRenderedPageBreak/>
        <w:t>encuentren subsanadas las propuestas, sin perjuicio del término límite que concedió la ley.</w:t>
      </w:r>
    </w:p>
    <w:p w14:paraId="1291AA69"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las propuestas ya estarán consolidadas en lo formal. Subsanar antes del informe de evaluación ofrece mayor seguridad y certeza al proceso de selección, tanto a la Administración y como a los oferentes. </w:t>
      </w:r>
    </w:p>
    <w:p w14:paraId="7943343D"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Así,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Lo anterior, se aclara, sin desconocer el límite que establece la norma para que los oferentes, sin perjuicio de que lo hagan antes, cuenten hasta el término de traslado del informe de evaluación con la posibilidad de presentar la información solicitada.</w:t>
      </w:r>
    </w:p>
    <w:p w14:paraId="22380DE9"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eastAsia="Calibri" w:hAnsi="Century Gothic" w:cs="Arial"/>
          <w:lang w:val="es-ES_tradnl"/>
          <w14:ligatures w14:val="standardContextual"/>
        </w:rPr>
        <w:t xml:space="preserve">De otro lado, </w:t>
      </w:r>
      <w:r w:rsidRPr="00D12DDA">
        <w:rPr>
          <w:rFonts w:ascii="Century Gothic" w:eastAsia="Calibri" w:hAnsi="Century Gothic" w:cs="Arial"/>
          <w:i/>
          <w:iCs/>
          <w:lang w:val="es-ES_tradnl"/>
          <w14:ligatures w14:val="standardContextual"/>
        </w:rPr>
        <w:t>el segundo</w:t>
      </w:r>
      <w:r w:rsidRPr="00D12DDA">
        <w:rPr>
          <w:rFonts w:ascii="Century Gothic" w:eastAsia="Calibri" w:hAnsi="Century Gothic" w:cs="Arial"/>
          <w:lang w:val="es-ES_tradnl"/>
          <w14:ligatures w14:val="standardContextual"/>
        </w:rPr>
        <w:t xml:space="preserve"> cambio importante de la Ley 1882 de 2018 fue la introducción de un criterio material, directamente relacionado con los aspectos subsanables: “</w:t>
      </w:r>
      <w:r w:rsidRPr="00D12DDA">
        <w:rPr>
          <w:rFonts w:ascii="Century Gothic" w:hAnsi="Century Gothic" w:cs="Arial"/>
          <w:lang w:val="es-ES_tradnl"/>
          <w14:ligatures w14:val="standardContextual"/>
        </w:rPr>
        <w:t xml:space="preserve">los proponentes no podrán acreditar circunstancias ocurridas con posterioridad al cierre del proceso”. Lo anterior ofrece dos aspectos que merecen clarificación; primero, qué debe entenderse por circunstancias ocurridas con posterioridad; y segundo, qué es el cierre del proceso. </w:t>
      </w:r>
    </w:p>
    <w:p w14:paraId="5B7A5FF6" w14:textId="77777777" w:rsidR="00D12DDA" w:rsidRPr="00D12DDA" w:rsidRDefault="00D12DDA" w:rsidP="00D12DDA">
      <w:pPr>
        <w:spacing w:after="120" w:line="276" w:lineRule="auto"/>
        <w:ind w:firstLine="709"/>
        <w:jc w:val="both"/>
        <w:rPr>
          <w:rFonts w:ascii="Century Gothic" w:hAnsi="Century Gothic" w:cs="Arial"/>
          <w:lang w:val="es-ES_tradnl"/>
          <w14:ligatures w14:val="standardContextual"/>
        </w:rPr>
      </w:pPr>
      <w:r w:rsidRPr="00D12DDA">
        <w:rPr>
          <w:rFonts w:ascii="Century Gothic" w:hAnsi="Century Gothic" w:cs="Arial"/>
          <w:lang w:val="es-ES_tradnl"/>
          <w14:ligatures w14:val="standardContextual"/>
        </w:rPr>
        <w:t xml:space="preserve">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w:t>
      </w:r>
      <w:r w:rsidRPr="00D12DDA">
        <w:rPr>
          <w:rFonts w:ascii="Century Gothic" w:hAnsi="Century Gothic" w:cs="Arial"/>
          <w:lang w:val="es-ES_tradnl"/>
          <w14:ligatures w14:val="standardContextual"/>
        </w:rPr>
        <w:lastRenderedPageBreak/>
        <w:t>por cierre del proceso debe entenderse el vencimiento del plazo para la presentación de las ofertas y que lo subsanable son las circunstancias que ocurrieron con anterioridad a esa fecha</w:t>
      </w:r>
      <w:r w:rsidRPr="00D12DDA">
        <w:rPr>
          <w:rFonts w:ascii="Century Gothic" w:hAnsi="Century Gothic" w:cs="Arial"/>
          <w:vertAlign w:val="superscript"/>
          <w:lang w:val="es-ES_tradnl"/>
          <w14:ligatures w14:val="standardContextual"/>
        </w:rPr>
        <w:footnoteReference w:id="8"/>
      </w:r>
      <w:r w:rsidRPr="00D12DDA">
        <w:rPr>
          <w:rFonts w:ascii="Century Gothic" w:hAnsi="Century Gothic" w:cs="Arial"/>
          <w:lang w:val="es-ES_tradnl"/>
          <w14:ligatures w14:val="standardContextual"/>
        </w:rPr>
        <w:t>.</w:t>
      </w:r>
    </w:p>
    <w:p w14:paraId="00C042AD" w14:textId="77777777" w:rsidR="00D12DDA" w:rsidRPr="00D12DDA" w:rsidRDefault="00D12DDA" w:rsidP="00D12DDA">
      <w:pPr>
        <w:spacing w:after="120" w:line="276" w:lineRule="auto"/>
        <w:ind w:firstLine="709"/>
        <w:jc w:val="both"/>
        <w:rPr>
          <w:rFonts w:ascii="Century Gothic" w:eastAsia="Calibri" w:hAnsi="Century Gothic" w:cs="Arial"/>
          <w:lang w:val="es-ES_tradnl"/>
          <w14:ligatures w14:val="standardContextual"/>
        </w:rPr>
      </w:pPr>
      <w:r w:rsidRPr="00D12DDA">
        <w:rPr>
          <w:rFonts w:ascii="Century Gothic" w:eastAsia="Calibri" w:hAnsi="Century Gothic" w:cs="Arial"/>
          <w:lang w:val="es-ES_tradnl"/>
          <w14:ligatures w14:val="standardContextua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6ACAA64F" w14:textId="77777777" w:rsidR="00D12DDA" w:rsidRPr="00D12DDA" w:rsidRDefault="00D12DDA" w:rsidP="00D12DDA">
      <w:pPr>
        <w:spacing w:after="120" w:line="276" w:lineRule="auto"/>
        <w:ind w:firstLine="709"/>
        <w:jc w:val="both"/>
        <w:rPr>
          <w:rFonts w:ascii="Century Gothic" w:eastAsia="Calibri" w:hAnsi="Century Gothic" w:cs="Arial"/>
          <w:lang w:val="es-ES_tradnl"/>
          <w14:ligatures w14:val="standardContextual"/>
        </w:rPr>
      </w:pPr>
      <w:r w:rsidRPr="00D12DDA">
        <w:rPr>
          <w:rFonts w:ascii="Century Gothic" w:eastAsia="Calibri" w:hAnsi="Century Gothic" w:cs="Arial"/>
          <w:lang w:val="es-ES_tradnl"/>
          <w14:ligatures w14:val="standardContextual"/>
        </w:rPr>
        <w:t>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D12DDA">
        <w:rPr>
          <w:rFonts w:ascii="Century Gothic" w:eastAsia="Calibri" w:hAnsi="Century Gothic" w:cs="Arial"/>
          <w:vertAlign w:val="superscript"/>
          <w:lang w:val="es-ES_tradnl"/>
          <w14:ligatures w14:val="standardContextual"/>
        </w:rPr>
        <w:footnoteReference w:id="9"/>
      </w:r>
      <w:r w:rsidRPr="00D12DDA">
        <w:rPr>
          <w:rFonts w:ascii="Century Gothic" w:eastAsia="Calibri" w:hAnsi="Century Gothic" w:cs="Arial"/>
          <w:lang w:val="es-ES_tradnl"/>
          <w14:ligatures w14:val="standardContextual"/>
        </w:rPr>
        <w:t xml:space="preserve">. </w:t>
      </w:r>
    </w:p>
    <w:p w14:paraId="7B5B1F21" w14:textId="77777777" w:rsidR="00D12DDA" w:rsidRPr="00D12DDA" w:rsidRDefault="00D12DDA" w:rsidP="00D12DDA">
      <w:pPr>
        <w:spacing w:after="120" w:line="276" w:lineRule="auto"/>
        <w:ind w:firstLine="709"/>
        <w:jc w:val="both"/>
        <w:rPr>
          <w:rFonts w:ascii="Century Gothic" w:eastAsia="Calibri" w:hAnsi="Century Gothic" w:cs="Arial"/>
          <w:lang w:val="es-ES_tradnl"/>
          <w14:ligatures w14:val="standardContextual"/>
        </w:rPr>
      </w:pPr>
      <w:r w:rsidRPr="00D12DDA">
        <w:rPr>
          <w:rFonts w:ascii="Century Gothic" w:eastAsia="Calibri" w:hAnsi="Century Gothic" w:cs="Arial"/>
          <w:lang w:val="es-ES_tradnl"/>
          <w14:ligatures w14:val="standardContextual"/>
        </w:rPr>
        <w:lastRenderedPageBreak/>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w:t>
      </w:r>
      <w:proofErr w:type="spellStart"/>
      <w:r w:rsidRPr="00D12DDA">
        <w:rPr>
          <w:rFonts w:ascii="Century Gothic" w:eastAsia="Calibri" w:hAnsi="Century Gothic" w:cs="Arial"/>
          <w:lang w:val="es-ES_tradnl"/>
          <w14:ligatures w14:val="standardContextual"/>
        </w:rPr>
        <w:t>esta</w:t>
      </w:r>
      <w:proofErr w:type="spellEnd"/>
      <w:r w:rsidRPr="00D12DDA">
        <w:rPr>
          <w:rFonts w:ascii="Century Gothic" w:eastAsia="Calibri" w:hAnsi="Century Gothic" w:cs="Arial"/>
          <w:lang w:val="es-ES_tradnl"/>
          <w14:ligatures w14:val="standardContextual"/>
        </w:rPr>
        <w:t xml:space="preserve">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D12DDA">
        <w:rPr>
          <w:rFonts w:ascii="Century Gothic" w:eastAsia="Calibri" w:hAnsi="Century Gothic" w:cs="Arial"/>
          <w:vertAlign w:val="superscript"/>
          <w:lang w:val="es-ES_tradnl"/>
          <w14:ligatures w14:val="standardContextual"/>
        </w:rPr>
        <w:footnoteReference w:id="10"/>
      </w:r>
      <w:r w:rsidRPr="00D12DDA">
        <w:rPr>
          <w:rFonts w:ascii="Century Gothic" w:eastAsia="Calibri" w:hAnsi="Century Gothic" w:cs="Arial"/>
          <w:lang w:val="es-ES_tradnl"/>
          <w14:ligatures w14:val="standardContextual"/>
        </w:rPr>
        <w:t>; iii) si un oferente no anexó el Certificado de Existencia y Representación Legal, el documento aportado con posterioridad debe dar cuenta de que la sociedad existía antes del cierre del proceso</w:t>
      </w:r>
      <w:r w:rsidRPr="00D12DDA">
        <w:rPr>
          <w:rFonts w:ascii="Century Gothic" w:eastAsia="Calibri" w:hAnsi="Century Gothic" w:cs="Arial"/>
          <w:vertAlign w:val="superscript"/>
          <w:lang w:val="es-ES_tradnl"/>
          <w14:ligatures w14:val="standardContextual"/>
        </w:rPr>
        <w:footnoteReference w:id="11"/>
      </w:r>
      <w:r w:rsidRPr="00D12DDA">
        <w:rPr>
          <w:rFonts w:ascii="Century Gothic" w:eastAsia="Calibri" w:hAnsi="Century Gothic" w:cs="Arial"/>
          <w:lang w:val="es-ES_tradnl"/>
          <w14:ligatures w14:val="standardContextual"/>
        </w:rPr>
        <w:t xml:space="preserve">; </w:t>
      </w:r>
      <w:proofErr w:type="spellStart"/>
      <w:r w:rsidRPr="00D12DDA">
        <w:rPr>
          <w:rFonts w:ascii="Century Gothic" w:eastAsia="Calibri" w:hAnsi="Century Gothic" w:cs="Arial"/>
          <w:lang w:val="es-ES_tradnl"/>
          <w14:ligatures w14:val="standardContextual"/>
        </w:rPr>
        <w:t>iv</w:t>
      </w:r>
      <w:proofErr w:type="spellEnd"/>
      <w:r w:rsidRPr="00D12DDA">
        <w:rPr>
          <w:rFonts w:ascii="Century Gothic" w:eastAsia="Calibri" w:hAnsi="Century Gothic" w:cs="Arial"/>
          <w:lang w:val="es-ES_tradnl"/>
          <w14:ligatures w14:val="standardContextual"/>
        </w:rPr>
        <w:t xml:space="preserve">)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71C63916" w14:textId="77777777" w:rsidR="00D12DDA" w:rsidRPr="00D12DDA" w:rsidRDefault="00D12DDA" w:rsidP="00D12DDA">
      <w:pPr>
        <w:spacing w:after="120" w:line="276" w:lineRule="auto"/>
        <w:ind w:firstLine="709"/>
        <w:jc w:val="both"/>
        <w:rPr>
          <w:rFonts w:ascii="Century Gothic" w:eastAsia="Calibri" w:hAnsi="Century Gothic" w:cs="Arial"/>
          <w:lang w:val="es-ES_tradnl"/>
          <w14:ligatures w14:val="standardContextual"/>
        </w:rPr>
      </w:pPr>
      <w:r w:rsidRPr="00D12DDA">
        <w:rPr>
          <w:rFonts w:ascii="Century Gothic" w:eastAsia="Calibri" w:hAnsi="Century Gothic" w:cs="Arial"/>
          <w:lang w:val="es-ES_tradnl"/>
          <w14:ligatures w14:val="standardContextua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D12DDA">
        <w:rPr>
          <w:rFonts w:ascii="Century Gothic" w:eastAsia="Calibri" w:hAnsi="Century Gothic" w:cs="Arial"/>
          <w:lang w:val="es-ES_tradnl"/>
          <w14:ligatures w14:val="standardContextual"/>
        </w:rPr>
        <w:t>que</w:t>
      </w:r>
      <w:proofErr w:type="gramEnd"/>
      <w:r w:rsidRPr="00D12DDA">
        <w:rPr>
          <w:rFonts w:ascii="Century Gothic" w:eastAsia="Calibri" w:hAnsi="Century Gothic" w:cs="Arial"/>
          <w:lang w:val="es-ES_tradnl"/>
          <w14:ligatures w14:val="standardContextual"/>
        </w:rPr>
        <w:t xml:space="preserve"> el Consejo de Estado sostiene que “lo que se subsana </w:t>
      </w:r>
      <w:r w:rsidRPr="00D12DDA">
        <w:rPr>
          <w:rFonts w:ascii="Century Gothic" w:eastAsia="Calibri" w:hAnsi="Century Gothic" w:cs="Arial"/>
          <w:lang w:val="es-ES_tradnl"/>
          <w14:ligatures w14:val="standardContextual"/>
        </w:rPr>
        <w:lastRenderedPageBreak/>
        <w:t>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D12DDA">
        <w:rPr>
          <w:rFonts w:ascii="Century Gothic" w:eastAsia="Calibri" w:hAnsi="Century Gothic" w:cs="Arial"/>
          <w:vertAlign w:val="superscript"/>
          <w:lang w:val="es-ES_tradnl"/>
          <w14:ligatures w14:val="standardContextual"/>
        </w:rPr>
        <w:footnoteReference w:id="12"/>
      </w:r>
      <w:r w:rsidRPr="00D12DDA">
        <w:rPr>
          <w:rFonts w:ascii="Century Gothic" w:eastAsia="Calibri" w:hAnsi="Century Gothic" w:cs="Arial"/>
          <w:lang w:val="es-ES_tradnl"/>
          <w14:ligatures w14:val="standardContextual"/>
        </w:rPr>
        <w:t xml:space="preserve">. </w:t>
      </w:r>
    </w:p>
    <w:p w14:paraId="5C88E3D2" w14:textId="77777777" w:rsidR="00D12DDA" w:rsidRPr="00D12DDA" w:rsidRDefault="00D12DDA" w:rsidP="00D12DDA">
      <w:pPr>
        <w:spacing w:after="120" w:line="276" w:lineRule="auto"/>
        <w:ind w:firstLine="709"/>
        <w:jc w:val="both"/>
        <w:rPr>
          <w:rFonts w:ascii="Century Gothic" w:eastAsia="Calibri" w:hAnsi="Century Gothic" w:cs="Arial"/>
          <w:lang w:val="es-ES_tradnl"/>
          <w14:ligatures w14:val="standardContextual"/>
        </w:rPr>
      </w:pPr>
      <w:r w:rsidRPr="00D12DDA">
        <w:rPr>
          <w:rFonts w:ascii="Century Gothic" w:eastAsia="Calibri" w:hAnsi="Century Gothic" w:cs="Arial"/>
          <w:lang w:val="es-ES_tradnl"/>
          <w14:ligatures w14:val="standardContextual"/>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0A98DF9C" w14:textId="77777777" w:rsidR="00D12DDA" w:rsidRPr="00D12DDA" w:rsidRDefault="00D12DDA" w:rsidP="00D12DDA">
      <w:pPr>
        <w:spacing w:before="120" w:after="0" w:line="276" w:lineRule="auto"/>
        <w:ind w:firstLine="709"/>
        <w:jc w:val="both"/>
        <w:rPr>
          <w:rFonts w:ascii="Century Gothic" w:eastAsia="Calibri" w:hAnsi="Century Gothic" w:cs="Arial"/>
          <w:lang w:val="es-ES_tradnl"/>
          <w14:ligatures w14:val="standardContextual"/>
        </w:rPr>
      </w:pPr>
      <w:r w:rsidRPr="00D12DDA">
        <w:rPr>
          <w:rFonts w:ascii="Century Gothic" w:eastAsia="Calibri" w:hAnsi="Century Gothic" w:cs="Arial"/>
          <w:lang w:val="es-ES_tradnl"/>
          <w14:ligatures w14:val="standardContextual"/>
        </w:rPr>
        <w:t>De acuerdo con lo expuesto en torno a la subsanabilidad de las ofertas</w:t>
      </w:r>
      <w:r w:rsidRPr="00D12DDA">
        <w:rPr>
          <w:rFonts w:ascii="Century Gothic" w:eastAsia="Times New Roman" w:hAnsi="Century Gothic" w:cs="Arial"/>
          <w:szCs w:val="24"/>
          <w:lang w:eastAsia="es-ES_tradnl"/>
          <w14:ligatures w14:val="standardContextual"/>
        </w:rPr>
        <w:t xml:space="preserve"> y teniendo en cuenta las reglas dispuestas en </w:t>
      </w:r>
      <w:r w:rsidRPr="00D12DDA">
        <w:rPr>
          <w:rFonts w:ascii="Century Gothic" w:eastAsia="Calibri" w:hAnsi="Century Gothic" w:cs="Arial"/>
          <w:lang w:val="es-ES_tradnl"/>
          <w14:ligatures w14:val="standardContextual"/>
        </w:rPr>
        <w:t xml:space="preserve">la Ley 1882 de 2018, se establece que mantiene el criterio de la Ley 80 de 1993, relativo a que todo lo que no sea necesario para la comparación de propuestas no es argumento suficiente para su rechazo; y se mantiene el criterio aclaratorio de la Ley 1150 de 2007, según el cual todo lo que no afecte la asignación de puntaje puede subsanarse. Por ello, si los requisitos no otorgan puntaje y tienen el carácter de habilitantes para la participación en el proceso de contratación, se entiende que, en principio, pueden subsanarse. Además, se precisa que en el caso de la subasta y la mínima cuantía no debe perderse de vista que para este tipo de procedimientos también serán aplicables los criterios desarrollados en este concepto, para determinar si los documentos faltantes son susceptibles o no de subsanación, analizando si inciden o no en la asignación de puntaje y si se relacionan con el cumplimiento de un requisito que constituye una circunstancia ocurrida con anterioridad o con posterioridad al cierre del proceso. </w:t>
      </w:r>
    </w:p>
    <w:p w14:paraId="25C721DD" w14:textId="77777777" w:rsidR="00D12DDA" w:rsidRDefault="00D12DDA" w:rsidP="00D12DDA">
      <w:pPr>
        <w:autoSpaceDE w:val="0"/>
        <w:autoSpaceDN w:val="0"/>
        <w:adjustRightInd w:val="0"/>
        <w:spacing w:after="0" w:line="276" w:lineRule="auto"/>
        <w:jc w:val="both"/>
        <w:rPr>
          <w:rFonts w:ascii="Century Gothic" w:eastAsia="Calibri" w:hAnsi="Century Gothic" w:cs="Arial"/>
          <w:b/>
          <w:bCs/>
          <w:lang w:val="es-ES_tradnl"/>
          <w14:ligatures w14:val="standardContextual"/>
        </w:rPr>
      </w:pPr>
    </w:p>
    <w:p w14:paraId="53BDA08D" w14:textId="77777777" w:rsidR="001371B4" w:rsidRDefault="001371B4" w:rsidP="00D12DDA">
      <w:pPr>
        <w:autoSpaceDE w:val="0"/>
        <w:autoSpaceDN w:val="0"/>
        <w:adjustRightInd w:val="0"/>
        <w:spacing w:after="0" w:line="276" w:lineRule="auto"/>
        <w:jc w:val="both"/>
        <w:rPr>
          <w:rFonts w:ascii="Century Gothic" w:eastAsia="Calibri" w:hAnsi="Century Gothic" w:cs="Arial"/>
          <w:b/>
          <w:bCs/>
          <w:lang w:val="es-ES_tradnl"/>
          <w14:ligatures w14:val="standardContextual"/>
        </w:rPr>
      </w:pPr>
    </w:p>
    <w:p w14:paraId="21F6979D" w14:textId="77777777" w:rsidR="001371B4" w:rsidRPr="00D12DDA" w:rsidRDefault="001371B4" w:rsidP="00D12DDA">
      <w:pPr>
        <w:autoSpaceDE w:val="0"/>
        <w:autoSpaceDN w:val="0"/>
        <w:adjustRightInd w:val="0"/>
        <w:spacing w:after="0" w:line="276" w:lineRule="auto"/>
        <w:jc w:val="both"/>
        <w:rPr>
          <w:rFonts w:ascii="Century Gothic" w:eastAsia="Calibri" w:hAnsi="Century Gothic" w:cs="Arial"/>
          <w:b/>
          <w:bCs/>
          <w:lang w:val="es-ES_tradnl"/>
          <w14:ligatures w14:val="standardContextual"/>
        </w:rPr>
      </w:pPr>
    </w:p>
    <w:p w14:paraId="636AEBFB" w14:textId="77777777" w:rsidR="00D12DDA" w:rsidRPr="00D12DDA" w:rsidRDefault="00D12DDA" w:rsidP="00D12DDA">
      <w:pPr>
        <w:spacing w:after="0" w:line="276" w:lineRule="auto"/>
        <w:jc w:val="both"/>
        <w:rPr>
          <w:rFonts w:ascii="Century Gothic" w:eastAsia="Calibri" w:hAnsi="Century Gothic" w:cs="Arial"/>
          <w:b/>
          <w:bCs/>
          <w:szCs w:val="24"/>
          <w:lang w:val="es-ES_tradnl" w:eastAsia="es-ES_tradnl"/>
          <w14:ligatures w14:val="standardContextual"/>
        </w:rPr>
      </w:pPr>
      <w:r w:rsidRPr="00D12DDA">
        <w:rPr>
          <w:rFonts w:ascii="Century Gothic" w:hAnsi="Century Gothic" w:cs="Arial"/>
          <w:b/>
          <w:bCs/>
          <w:lang w:val="es-MX"/>
          <w14:ligatures w14:val="standardContextual"/>
        </w:rPr>
        <w:lastRenderedPageBreak/>
        <w:t xml:space="preserve">2.2. </w:t>
      </w:r>
      <w:r w:rsidRPr="00D12DDA">
        <w:rPr>
          <w:rFonts w:ascii="Century Gothic" w:eastAsia="Calibri" w:hAnsi="Century Gothic" w:cs="Arial"/>
          <w:b/>
          <w:bCs/>
          <w:szCs w:val="24"/>
          <w:lang w:val="es-ES_tradnl" w:eastAsia="es-ES_tradnl"/>
          <w14:ligatures w14:val="standardContextual"/>
        </w:rPr>
        <w:t>La regla de subsanabilidad en procedimientos en que se utilice el mecanismo de subasta</w:t>
      </w:r>
    </w:p>
    <w:p w14:paraId="17EBEE14" w14:textId="77777777" w:rsidR="00D12DDA" w:rsidRPr="00D12DDA" w:rsidRDefault="00D12DDA" w:rsidP="00D12DDA">
      <w:pPr>
        <w:autoSpaceDE w:val="0"/>
        <w:autoSpaceDN w:val="0"/>
        <w:adjustRightInd w:val="0"/>
        <w:spacing w:after="0" w:line="276" w:lineRule="auto"/>
        <w:jc w:val="both"/>
        <w:rPr>
          <w:rFonts w:ascii="Century Gothic" w:hAnsi="Century Gothic" w:cs="Arial"/>
          <w:b/>
          <w:bCs/>
          <w:lang w:val="es-MX"/>
          <w14:ligatures w14:val="standardContextual"/>
        </w:rPr>
      </w:pPr>
      <w:r w:rsidRPr="00D12DDA">
        <w:rPr>
          <w:rFonts w:ascii="Century Gothic" w:hAnsi="Century Gothic" w:cs="Arial"/>
          <w:b/>
          <w:bCs/>
          <w:lang w:val="es-MX"/>
          <w14:ligatures w14:val="standardContextual"/>
        </w:rPr>
        <w:t xml:space="preserve"> </w:t>
      </w:r>
    </w:p>
    <w:p w14:paraId="51192C56" w14:textId="77777777" w:rsidR="00D12DDA" w:rsidRPr="00D12DDA" w:rsidRDefault="00D12DDA" w:rsidP="00D12DDA">
      <w:pPr>
        <w:autoSpaceDE w:val="0"/>
        <w:autoSpaceDN w:val="0"/>
        <w:adjustRightInd w:val="0"/>
        <w:spacing w:after="120" w:line="276" w:lineRule="auto"/>
        <w:jc w:val="both"/>
        <w:rPr>
          <w:rFonts w:ascii="Century Gothic" w:hAnsi="Century Gothic" w:cs="Arial"/>
          <w:lang w:val="es-MX"/>
          <w14:ligatures w14:val="standardContextual"/>
        </w:rPr>
      </w:pPr>
      <w:r w:rsidRPr="00D12DDA">
        <w:rPr>
          <w:rFonts w:ascii="Century Gothic" w:hAnsi="Century Gothic" w:cs="Arial"/>
          <w:lang w:val="es-MX"/>
          <w14:ligatures w14:val="standardContextual"/>
        </w:rPr>
        <w:t>La subasta inversa es un mecanismo que se concibió con la finalidad de introducir una metodología alternativa para el proceso de negociación y perfeccionamiento del contrato estatal. Su regulación se encuentra en el artículo 2 de la Ley 1150 de 2007, en donde se indica que la figura tiene como finalidad confrontar, de manera dinámica, las distintas ofertas que pueden presentarse para los procesos de licitación pública, para los procesos de selección abreviada que tienen por finalidad la adquisición de bienes y servicios de características técnicas uniformes y de común utilización, y en los procesos de enajenación de bienes del Estado</w:t>
      </w:r>
      <w:r w:rsidRPr="00D12DDA">
        <w:rPr>
          <w:rFonts w:ascii="Century Gothic" w:hAnsi="Century Gothic" w:cs="Arial"/>
          <w:vertAlign w:val="superscript"/>
          <w:lang w:val="es-MX"/>
          <w14:ligatures w14:val="standardContextual"/>
        </w:rPr>
        <w:footnoteReference w:id="13"/>
      </w:r>
      <w:r w:rsidRPr="00D12DDA">
        <w:rPr>
          <w:rFonts w:ascii="Century Gothic" w:hAnsi="Century Gothic" w:cs="Arial"/>
          <w:lang w:val="es-MX"/>
          <w14:ligatures w14:val="standardContextual"/>
        </w:rPr>
        <w:t>.  </w:t>
      </w:r>
    </w:p>
    <w:p w14:paraId="4DC6CC7D" w14:textId="77777777" w:rsidR="00D12DDA" w:rsidRPr="00D12DDA" w:rsidRDefault="00D12DDA" w:rsidP="00D12DDA">
      <w:pPr>
        <w:autoSpaceDE w:val="0"/>
        <w:autoSpaceDN w:val="0"/>
        <w:adjustRightInd w:val="0"/>
        <w:spacing w:after="120" w:line="276" w:lineRule="auto"/>
        <w:ind w:firstLine="709"/>
        <w:jc w:val="both"/>
        <w:rPr>
          <w:rFonts w:ascii="Century Gothic" w:hAnsi="Century Gothic" w:cs="Arial"/>
          <w:lang w:val="es-MX"/>
          <w14:ligatures w14:val="standardContextual"/>
        </w:rPr>
      </w:pPr>
      <w:r w:rsidRPr="00D12DDA">
        <w:rPr>
          <w:rFonts w:ascii="Century Gothic" w:hAnsi="Century Gothic" w:cs="Arial"/>
          <w:lang w:val="es-MX"/>
          <w14:ligatures w14:val="standardContextual"/>
        </w:rPr>
        <w:lastRenderedPageBreak/>
        <w:t>En este contexto, la doctrina ha señalado que “se entiende por subasta inversa para la presentación de la oferta,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w:t>
      </w:r>
      <w:r w:rsidRPr="00D12DDA">
        <w:rPr>
          <w:rFonts w:ascii="Century Gothic" w:hAnsi="Century Gothic" w:cs="Arial"/>
          <w:vertAlign w:val="superscript"/>
          <w:lang w:val="es-MX"/>
          <w14:ligatures w14:val="standardContextual"/>
        </w:rPr>
        <w:footnoteReference w:id="14"/>
      </w:r>
      <w:r w:rsidRPr="00D12DDA">
        <w:rPr>
          <w:rFonts w:ascii="Century Gothic" w:hAnsi="Century Gothic" w:cs="Arial"/>
          <w:lang w:val="es-MX"/>
          <w14:ligatures w14:val="standardContextual"/>
        </w:rPr>
        <w:t>. En igual sentido, la doctrina especializada destaca de este mecanismo que “al encontrarse definidas las características del bien, lo que se va a evaluar únicamente es el precio, porque se entiende que todos los bienes que se propongan tienen idéntica característica técnica al tratarse de bienes comunes, de ahí la falencia de la modalidad de subasta inversa que se tiene en Colombia, en tanto está limitada a la puja con base al precio”</w:t>
      </w:r>
      <w:r w:rsidRPr="00D12DDA">
        <w:rPr>
          <w:rFonts w:ascii="Century Gothic" w:hAnsi="Century Gothic" w:cs="Arial"/>
          <w:vertAlign w:val="superscript"/>
          <w:lang w:val="es-MX"/>
          <w14:ligatures w14:val="standardContextual"/>
        </w:rPr>
        <w:footnoteReference w:id="15"/>
      </w:r>
      <w:r w:rsidRPr="00D12DDA">
        <w:rPr>
          <w:rFonts w:ascii="Century Gothic" w:hAnsi="Century Gothic" w:cs="Arial"/>
          <w:lang w:val="es-MX"/>
          <w14:ligatures w14:val="standardContextual"/>
        </w:rPr>
        <w:t>.  </w:t>
      </w:r>
    </w:p>
    <w:p w14:paraId="5E9FAACE" w14:textId="77777777" w:rsidR="00D12DDA" w:rsidRPr="00D12DDA" w:rsidRDefault="00D12DDA" w:rsidP="00D12DDA">
      <w:pPr>
        <w:spacing w:before="120" w:after="0" w:line="276" w:lineRule="auto"/>
        <w:ind w:firstLine="709"/>
        <w:jc w:val="both"/>
        <w:rPr>
          <w:rFonts w:ascii="Century Gothic" w:eastAsia="Times New Roman" w:hAnsi="Century Gothic" w:cs="Arial"/>
          <w:szCs w:val="24"/>
          <w:lang w:val="es-ES_tradnl" w:eastAsia="es-ES_tradnl"/>
          <w14:ligatures w14:val="standardContextual"/>
        </w:rPr>
      </w:pPr>
      <w:bookmarkStart w:id="2" w:name="_Hlk41921892"/>
      <w:r w:rsidRPr="00D12DDA">
        <w:rPr>
          <w:rFonts w:ascii="Century Gothic" w:eastAsia="Times New Roman" w:hAnsi="Century Gothic" w:cs="Arial"/>
          <w:szCs w:val="24"/>
          <w:lang w:val="es-ES_tradnl" w:eastAsia="es-ES_tradnl"/>
          <w14:ligatures w14:val="standardContextual"/>
        </w:rPr>
        <w:t xml:space="preserve">Ahora bien, como se indicó en el acápite anterior, la regla general respecto a la oportunidad para subsanar tiene como excepción, entre otras cosas, el término especial establecido en los procesos de selección en los que se utilice el mecanismo de subasta inversa, para lo cual el artículo 5 de la Ley 1882 de 2018, adicionó el parágrafo 4 al artículo 5 de la Ley 1150 de 2007, en donde se precisa esta regla en los siguientes términos:  </w:t>
      </w:r>
    </w:p>
    <w:p w14:paraId="2E68810C" w14:textId="77777777" w:rsidR="00D12DDA" w:rsidRPr="00D12DDA" w:rsidRDefault="00D12DDA" w:rsidP="00D12DDA">
      <w:pPr>
        <w:spacing w:after="0" w:line="276" w:lineRule="auto"/>
        <w:ind w:left="709" w:right="709"/>
        <w:jc w:val="both"/>
        <w:rPr>
          <w:rFonts w:ascii="Century Gothic" w:eastAsia="Times New Roman" w:hAnsi="Century Gothic" w:cs="Arial"/>
          <w:b/>
          <w:bCs/>
          <w:color w:val="000000"/>
          <w:sz w:val="21"/>
          <w:szCs w:val="21"/>
          <w:lang w:eastAsia="es-ES_tradnl"/>
          <w14:ligatures w14:val="standardContextual"/>
        </w:rPr>
      </w:pPr>
    </w:p>
    <w:p w14:paraId="7A2B6586" w14:textId="77777777" w:rsidR="00D12DDA" w:rsidRPr="00D12DDA" w:rsidRDefault="00D12DDA" w:rsidP="00D12DDA">
      <w:pPr>
        <w:spacing w:after="0" w:line="240" w:lineRule="auto"/>
        <w:ind w:left="709" w:right="709"/>
        <w:jc w:val="both"/>
        <w:rPr>
          <w:rFonts w:ascii="Century Gothic" w:eastAsia="Times New Roman" w:hAnsi="Century Gothic" w:cs="Arial"/>
          <w:color w:val="000000"/>
          <w:sz w:val="21"/>
          <w:szCs w:val="21"/>
          <w:lang w:eastAsia="es-ES_tradnl"/>
          <w14:ligatures w14:val="standardContextual"/>
        </w:rPr>
      </w:pPr>
      <w:r w:rsidRPr="00D12DDA">
        <w:rPr>
          <w:rFonts w:ascii="Century Gothic" w:eastAsia="Times New Roman" w:hAnsi="Century Gothic" w:cs="Arial"/>
          <w:b/>
          <w:bCs/>
          <w:color w:val="000000"/>
          <w:sz w:val="21"/>
          <w:szCs w:val="21"/>
          <w:lang w:eastAsia="es-ES_tradnl"/>
          <w14:ligatures w14:val="standardContextual"/>
        </w:rPr>
        <w:t>“Parágrafo 4°. </w:t>
      </w:r>
      <w:r w:rsidRPr="00D12DDA">
        <w:rPr>
          <w:rFonts w:ascii="Century Gothic" w:eastAsia="Times New Roman" w:hAnsi="Century Gothic" w:cs="Arial"/>
          <w:color w:val="000000"/>
          <w:sz w:val="21"/>
          <w:szCs w:val="21"/>
          <w:lang w:eastAsia="es-ES_tradnl"/>
          <w14:ligatures w14:val="standardContextual"/>
        </w:rPr>
        <w:t xml:space="preserve">En aquellos procesos de selección en los que se utilice el mecanismo de subasta, los documentos referentes a la futura contratación o al proponente, no necesarios para la comparación de las propuestas, </w:t>
      </w:r>
      <w:r w:rsidRPr="00D12DDA">
        <w:rPr>
          <w:rFonts w:ascii="Century Gothic" w:eastAsia="Times New Roman" w:hAnsi="Century Gothic" w:cs="Arial"/>
          <w:i/>
          <w:iCs/>
          <w:color w:val="000000"/>
          <w:sz w:val="21"/>
          <w:szCs w:val="21"/>
          <w:lang w:eastAsia="es-ES_tradnl"/>
          <w14:ligatures w14:val="standardContextual"/>
        </w:rPr>
        <w:t>deberán ser solicitados</w:t>
      </w:r>
      <w:r w:rsidRPr="00D12DDA">
        <w:rPr>
          <w:rFonts w:ascii="Century Gothic" w:eastAsia="Times New Roman" w:hAnsi="Century Gothic" w:cs="Arial"/>
          <w:color w:val="000000"/>
          <w:sz w:val="21"/>
          <w:szCs w:val="21"/>
          <w:lang w:eastAsia="es-ES_tradnl"/>
          <w14:ligatures w14:val="standardContextual"/>
        </w:rPr>
        <w:t xml:space="preserve"> hasta el momento previo a su realización (Cursiva fuera de texto)”. </w:t>
      </w:r>
    </w:p>
    <w:p w14:paraId="6DE2C069" w14:textId="77777777" w:rsidR="00D12DDA" w:rsidRPr="00D12DDA" w:rsidRDefault="00D12DDA" w:rsidP="00D12DDA">
      <w:pPr>
        <w:spacing w:after="0" w:line="276" w:lineRule="auto"/>
        <w:ind w:left="709" w:right="709"/>
        <w:jc w:val="both"/>
        <w:rPr>
          <w:rFonts w:ascii="Century Gothic" w:eastAsia="Times New Roman" w:hAnsi="Century Gothic" w:cs="Arial"/>
          <w:color w:val="000000"/>
          <w:lang w:eastAsia="es-ES_tradnl"/>
          <w14:ligatures w14:val="standardContextual"/>
        </w:rPr>
      </w:pPr>
    </w:p>
    <w:p w14:paraId="2EFC6A5E" w14:textId="77777777" w:rsidR="00D12DDA" w:rsidRPr="00D12DDA" w:rsidRDefault="00D12DDA" w:rsidP="00D12DDA">
      <w:pPr>
        <w:spacing w:after="120" w:line="276" w:lineRule="auto"/>
        <w:ind w:right="51"/>
        <w:jc w:val="both"/>
        <w:rPr>
          <w:rFonts w:ascii="Century Gothic" w:eastAsia="Times New Roman" w:hAnsi="Century Gothic" w:cs="Arial"/>
          <w:color w:val="000000"/>
          <w:szCs w:val="24"/>
          <w:lang w:eastAsia="es-ES_tradnl"/>
          <w14:ligatures w14:val="standardContextual"/>
        </w:rPr>
      </w:pPr>
      <w:r w:rsidRPr="00D12DDA">
        <w:rPr>
          <w:rFonts w:ascii="Century Gothic" w:eastAsia="Times New Roman" w:hAnsi="Century Gothic" w:cs="Arial"/>
          <w:color w:val="000000"/>
          <w:szCs w:val="24"/>
          <w:lang w:eastAsia="es-ES_tradnl"/>
          <w14:ligatures w14:val="standardContextual"/>
        </w:rPr>
        <w:tab/>
        <w:t xml:space="preserve">Tal como se expresó en los conceptos C-267 y C-283 del 5 de mayo de 2020, si se analiza la norma transcrita, no es difícil llegar a la conclusión relativa a que esta contiene una regla muy parecida respecto a la oportunidad para subsanar en los procesos de subasta, a la contenida en la parte final del inciso primero del artículo 5 de la Ley 1150 de 2007, antes de ser modificada por la Ley 1882 de 2018, siendo en esencia la misma, con la precisión adicional respecto de los documentos susceptibles de subsanación. Esta regla cosiste en la fijación del momento previo al inicio de la audiencia de subasta, como el tiempo límite para que se solicite la </w:t>
      </w:r>
      <w:r w:rsidRPr="00D12DDA">
        <w:rPr>
          <w:rFonts w:ascii="Century Gothic" w:eastAsia="Times New Roman" w:hAnsi="Century Gothic" w:cs="Arial"/>
          <w:color w:val="000000"/>
          <w:szCs w:val="24"/>
          <w:lang w:eastAsia="es-ES_tradnl"/>
          <w14:ligatures w14:val="standardContextual"/>
        </w:rPr>
        <w:lastRenderedPageBreak/>
        <w:t>subsanación de los documentos faltantes hasta entonces no presentados por los proponentes o, en general, susceptibles de subsanarse.</w:t>
      </w:r>
    </w:p>
    <w:p w14:paraId="2489531E" w14:textId="77777777" w:rsidR="00D12DDA" w:rsidRPr="00D12DDA" w:rsidRDefault="00D12DDA" w:rsidP="00D12DDA">
      <w:pPr>
        <w:spacing w:after="0" w:line="276" w:lineRule="auto"/>
        <w:ind w:right="51"/>
        <w:jc w:val="both"/>
        <w:rPr>
          <w:rFonts w:ascii="Century Gothic" w:eastAsia="Times New Roman" w:hAnsi="Century Gothic" w:cs="Arial"/>
          <w:color w:val="000000"/>
          <w:szCs w:val="24"/>
          <w:lang w:eastAsia="es-ES_tradnl"/>
          <w14:ligatures w14:val="standardContextual"/>
        </w:rPr>
      </w:pPr>
      <w:r w:rsidRPr="00D12DDA">
        <w:rPr>
          <w:rFonts w:ascii="Century Gothic" w:eastAsia="Times New Roman" w:hAnsi="Century Gothic" w:cs="Arial"/>
          <w:color w:val="000000"/>
          <w:szCs w:val="24"/>
          <w:lang w:eastAsia="es-ES_tradnl"/>
          <w14:ligatures w14:val="standardContextual"/>
        </w:rPr>
        <w:tab/>
        <w:t xml:space="preserve">De esta manera, a juicio de esta Subdirección, lo que supone dicha regulación no es que los proponentes tengan la facultad de presentar los documentos referentes a la futura contratación no necesarios para la comparación de las propuestas en cualquier momento anterior al inicio de la subasta, o que estén habilitados para retener tal documentación hasta dicho momento, ya lo que hace el parágrafo 4° </w:t>
      </w:r>
      <w:r w:rsidRPr="00D12DDA">
        <w:rPr>
          <w:rFonts w:ascii="Century Gothic" w:eastAsia="Times New Roman" w:hAnsi="Century Gothic" w:cs="Arial"/>
          <w:i/>
          <w:iCs/>
          <w:color w:val="000000"/>
          <w:szCs w:val="24"/>
          <w:lang w:eastAsia="es-ES_tradnl"/>
          <w14:ligatures w14:val="standardContextual"/>
        </w:rPr>
        <w:t xml:space="preserve">Ibídem </w:t>
      </w:r>
      <w:r w:rsidRPr="00D12DDA">
        <w:rPr>
          <w:rFonts w:ascii="Century Gothic" w:eastAsia="Times New Roman" w:hAnsi="Century Gothic" w:cs="Arial"/>
          <w:color w:val="000000"/>
          <w:szCs w:val="24"/>
          <w:lang w:eastAsia="es-ES_tradnl"/>
          <w14:ligatures w14:val="standardContextual"/>
        </w:rPr>
        <w:t>es fijar el momento hasta el cual las respectivas entidades pueden requerir a los proponentes la subsanación de los documentos faltantes. Lo anterior, fue aclarado por la Sección Tercera del Consejo de Estado en vigencia del texto original del parágrafo 1 de la Ley 1150 de 2007, respecto de la regla general de subsanabilidad, que fijaba la adjudicación como momento límite para subsanar, mediante consideraciones que se extienden a la regla de subasta, en los siguientes términos:</w:t>
      </w:r>
    </w:p>
    <w:p w14:paraId="43467DDD" w14:textId="77777777" w:rsidR="00D12DDA" w:rsidRPr="00D12DDA" w:rsidRDefault="00D12DDA" w:rsidP="00D12DDA">
      <w:pPr>
        <w:spacing w:after="0" w:line="276" w:lineRule="auto"/>
        <w:ind w:right="51"/>
        <w:jc w:val="both"/>
        <w:rPr>
          <w:rFonts w:ascii="Century Gothic" w:eastAsia="Times New Roman" w:hAnsi="Century Gothic" w:cs="Arial"/>
          <w:color w:val="000000"/>
          <w:szCs w:val="24"/>
          <w:lang w:eastAsia="es-ES_tradnl"/>
          <w14:ligatures w14:val="standardContextual"/>
        </w:rPr>
      </w:pPr>
    </w:p>
    <w:p w14:paraId="02576A92" w14:textId="77777777" w:rsidR="00D12DDA" w:rsidRPr="00D12DDA" w:rsidRDefault="00D12DDA" w:rsidP="00D12DD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Century Gothic" w:eastAsia="Times New Roman" w:hAnsi="Century Gothic" w:cs="Arial"/>
          <w:sz w:val="21"/>
          <w:szCs w:val="21"/>
          <w:lang w:val="es-ES" w:eastAsia="es-ES_tradnl"/>
          <w14:ligatures w14:val="standardContextual"/>
        </w:rPr>
      </w:pPr>
      <w:r w:rsidRPr="00D12DDA">
        <w:rPr>
          <w:rFonts w:ascii="Century Gothic" w:eastAsia="Times New Roman" w:hAnsi="Century Gothic" w:cs="Arial"/>
          <w:sz w:val="21"/>
          <w:szCs w:val="21"/>
          <w:lang w:eastAsia="es-ES_tradnl"/>
          <w14:ligatures w14:val="standardContextual"/>
        </w:rPr>
        <w:t>“[S]i bien es obligación de la entidad permitir que se aclaren, expliquen o subsanen los defectos de las ofertas susceptibles de esa oportunidad, y por ende es un derecho de los participantes que se lo soliciten, se trata de una oportunidad temporalmente limitada, cuyo término define la administración, y es preclusivo para subsanar o aclarar; y si el proponente no corrige o explica dentro del estricto plazo conferido […]</w:t>
      </w:r>
    </w:p>
    <w:p w14:paraId="6EA00A00" w14:textId="77777777" w:rsidR="00D12DDA" w:rsidRPr="00D12DDA" w:rsidRDefault="00D12DDA" w:rsidP="00D12DD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Century Gothic" w:eastAsia="Times New Roman" w:hAnsi="Century Gothic" w:cs="Arial"/>
          <w:sz w:val="21"/>
          <w:szCs w:val="21"/>
          <w:lang w:eastAsia="es-ES_tradnl"/>
          <w14:ligatures w14:val="standardContextual"/>
        </w:rPr>
      </w:pPr>
    </w:p>
    <w:p w14:paraId="0CAC8D3A" w14:textId="77777777" w:rsidR="00D12DDA" w:rsidRPr="00D12DDA" w:rsidRDefault="00D12DDA" w:rsidP="00D12DD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Century Gothic" w:eastAsia="Times New Roman" w:hAnsi="Century Gothic" w:cs="Arial"/>
          <w:sz w:val="21"/>
          <w:szCs w:val="21"/>
          <w:lang w:eastAsia="es-ES_tradnl"/>
          <w14:ligatures w14:val="standardContextual"/>
        </w:rPr>
      </w:pPr>
      <w:r w:rsidRPr="00D12DDA">
        <w:rPr>
          <w:rFonts w:ascii="Century Gothic" w:eastAsia="Times New Roman" w:hAnsi="Century Gothic" w:cs="Arial"/>
          <w:sz w:val="21"/>
          <w:szCs w:val="21"/>
          <w:lang w:eastAsia="es-ES_tradnl"/>
          <w14:ligatures w14:val="standardContextual"/>
        </w:rPr>
        <w:t xml:space="preserve">De la anterior manera se ponderan adecuadamente el </w:t>
      </w:r>
      <w:r w:rsidRPr="00D12DDA">
        <w:rPr>
          <w:rFonts w:ascii="Century Gothic" w:eastAsia="Times New Roman" w:hAnsi="Century Gothic" w:cs="Arial"/>
          <w:i/>
          <w:sz w:val="21"/>
          <w:szCs w:val="21"/>
          <w:lang w:eastAsia="es-ES_tradnl"/>
          <w14:ligatures w14:val="standardContextual"/>
        </w:rPr>
        <w:t>derecho</w:t>
      </w:r>
      <w:r w:rsidRPr="00D12DDA">
        <w:rPr>
          <w:rFonts w:ascii="Century Gothic" w:eastAsia="Times New Roman" w:hAnsi="Century Gothic" w:cs="Arial"/>
          <w:sz w:val="21"/>
          <w:szCs w:val="21"/>
          <w:lang w:eastAsia="es-ES_tradnl"/>
          <w14:ligatures w14:val="standardContextual"/>
        </w:rPr>
        <w:t xml:space="preserve"> del proponente a subsanar, corregir y aclarar; con el </w:t>
      </w:r>
      <w:r w:rsidRPr="00D12DDA">
        <w:rPr>
          <w:rFonts w:ascii="Century Gothic" w:eastAsia="Times New Roman" w:hAnsi="Century Gothic" w:cs="Arial"/>
          <w:i/>
          <w:sz w:val="21"/>
          <w:szCs w:val="21"/>
          <w:lang w:eastAsia="es-ES_tradnl"/>
          <w14:ligatures w14:val="standardContextual"/>
        </w:rPr>
        <w:t>derecho-deber</w:t>
      </w:r>
      <w:r w:rsidRPr="00D12DDA">
        <w:rPr>
          <w:rFonts w:ascii="Century Gothic" w:eastAsia="Times New Roman" w:hAnsi="Century Gothic" w:cs="Arial"/>
          <w:sz w:val="21"/>
          <w:szCs w:val="21"/>
          <w:lang w:eastAsia="es-ES_tradnl"/>
          <w14:ligatures w14:val="standardContextual"/>
        </w:rPr>
        <w:t xml:space="preserve"> que tiene la administración de avanzar y concluir el procedimiento de selección –principios de eficiencia, economía y celeridad de la actuación administrativa-, que no se puede estancar ni quedar en vilo de las respuestas extemporáneas que entregue el oferente. </w:t>
      </w:r>
    </w:p>
    <w:p w14:paraId="52B2B1C7" w14:textId="77777777" w:rsidR="00D12DDA" w:rsidRPr="00D12DDA" w:rsidRDefault="00D12DDA" w:rsidP="00D12DD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Century Gothic" w:eastAsia="Times New Roman" w:hAnsi="Century Gothic" w:cs="Arial"/>
          <w:sz w:val="21"/>
          <w:szCs w:val="21"/>
          <w:lang w:eastAsia="es-ES_tradnl"/>
          <w14:ligatures w14:val="standardContextual"/>
        </w:rPr>
      </w:pPr>
    </w:p>
    <w:p w14:paraId="2C5AF29D" w14:textId="77777777" w:rsidR="00D12DDA" w:rsidRPr="00D12DDA" w:rsidRDefault="00D12DDA" w:rsidP="00D12DD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Century Gothic" w:eastAsia="Times New Roman" w:hAnsi="Century Gothic" w:cs="Arial"/>
          <w:sz w:val="21"/>
          <w:szCs w:val="21"/>
          <w:lang w:eastAsia="es-ES_tradnl"/>
          <w14:ligatures w14:val="standardContextual"/>
        </w:rPr>
      </w:pPr>
      <w:r w:rsidRPr="00D12DDA">
        <w:rPr>
          <w:rFonts w:ascii="Century Gothic" w:eastAsia="Times New Roman" w:hAnsi="Century Gothic" w:cs="Arial"/>
          <w:sz w:val="21"/>
          <w:szCs w:val="21"/>
          <w:lang w:eastAsia="es-ES_tradnl"/>
          <w14:ligatures w14:val="standardContextual"/>
        </w:rPr>
        <w:t xml:space="preserve">En consecuencia, el proponente debe acogerse al tiempo que le otorga la administración para subsanar o aclarar la oferta, lapso que la entidad no puede extender más allá de la adjudicación. No se trata, entonces, de que el oferente tenga la posibilidad de entregar la información solicitada </w:t>
      </w:r>
      <w:r w:rsidRPr="00D12DDA">
        <w:rPr>
          <w:rFonts w:ascii="Century Gothic" w:eastAsia="Times New Roman" w:hAnsi="Century Gothic" w:cs="Arial"/>
          <w:i/>
          <w:sz w:val="21"/>
          <w:szCs w:val="21"/>
          <w:lang w:eastAsia="es-ES_tradnl"/>
          <w14:ligatures w14:val="standardContextual"/>
        </w:rPr>
        <w:t>a más tardar hasta la adjudicación</w:t>
      </w:r>
      <w:r w:rsidRPr="00D12DDA">
        <w:rPr>
          <w:rFonts w:ascii="Century Gothic" w:eastAsia="Times New Roman" w:hAnsi="Century Gothic" w:cs="Arial"/>
          <w:sz w:val="21"/>
          <w:szCs w:val="21"/>
          <w:lang w:eastAsia="es-ES_tradnl"/>
          <w14:ligatures w14:val="standardContextual"/>
        </w:rPr>
        <w:t xml:space="preserve">; es la entidad quien tiene, </w:t>
      </w:r>
      <w:r w:rsidRPr="00D12DDA">
        <w:rPr>
          <w:rFonts w:ascii="Century Gothic" w:eastAsia="Times New Roman" w:hAnsi="Century Gothic" w:cs="Arial"/>
          <w:i/>
          <w:sz w:val="21"/>
          <w:szCs w:val="21"/>
          <w:lang w:eastAsia="es-ES_tradnl"/>
          <w14:ligatures w14:val="standardContextual"/>
        </w:rPr>
        <w:t>a más tardar hasta la adjudicación,</w:t>
      </w:r>
      <w:r w:rsidRPr="00D12DDA">
        <w:rPr>
          <w:rFonts w:ascii="Century Gothic" w:eastAsia="Times New Roman" w:hAnsi="Century Gothic" w:cs="Arial"/>
          <w:sz w:val="21"/>
          <w:szCs w:val="21"/>
          <w:lang w:eastAsia="es-ES_tradnl"/>
          <w14:ligatures w14:val="standardContextual"/>
        </w:rPr>
        <w:t xml:space="preserve"> la posibilidad de </w:t>
      </w:r>
      <w:r w:rsidRPr="00D12DDA">
        <w:rPr>
          <w:rFonts w:ascii="Century Gothic" w:eastAsia="Times New Roman" w:hAnsi="Century Gothic" w:cs="Arial"/>
          <w:i/>
          <w:sz w:val="21"/>
          <w:szCs w:val="21"/>
          <w:lang w:eastAsia="es-ES_tradnl"/>
          <w14:ligatures w14:val="standardContextual"/>
        </w:rPr>
        <w:t>pedir</w:t>
      </w:r>
      <w:r w:rsidRPr="00D12DDA">
        <w:rPr>
          <w:rFonts w:ascii="Century Gothic" w:eastAsia="Times New Roman" w:hAnsi="Century Gothic" w:cs="Arial"/>
          <w:sz w:val="21"/>
          <w:szCs w:val="21"/>
          <w:lang w:eastAsia="es-ES_tradnl"/>
          <w14:ligatures w14:val="standardContextual"/>
        </w:rPr>
        <w:t xml:space="preserve"> a los oferentes que aclaren o subsanen</w:t>
      </w:r>
      <w:r w:rsidRPr="00D12DDA">
        <w:rPr>
          <w:rFonts w:ascii="Century Gothic" w:eastAsia="Times New Roman" w:hAnsi="Century Gothic" w:cs="Arial"/>
          <w:i/>
          <w:sz w:val="21"/>
          <w:szCs w:val="21"/>
          <w:lang w:eastAsia="es-ES_tradnl"/>
          <w14:ligatures w14:val="standardContextual"/>
        </w:rPr>
        <w:t>.</w:t>
      </w:r>
      <w:r w:rsidRPr="00D12DDA">
        <w:rPr>
          <w:rFonts w:ascii="Century Gothic" w:eastAsia="Times New Roman" w:hAnsi="Century Gothic" w:cs="Arial"/>
          <w:sz w:val="21"/>
          <w:szCs w:val="21"/>
          <w:lang w:eastAsia="es-ES_tradnl"/>
          <w14:ligatures w14:val="standardContextual"/>
        </w:rPr>
        <w:t xml:space="preserve"> De esta manera, el oferente requerido no puede controlar y menos manipular el proceso de selección reteniendo maliciosamente la información solicitada –por ejemplo, la póliza, la acreditación de experiencia adicional, la autorización para contratar, etc.- hasta cuando decida caprichosamente entregarla –sin exceder el día de la adjudicación-. Por el contrario, la entidad es quien pone el </w:t>
      </w:r>
      <w:r w:rsidRPr="00D12DDA">
        <w:rPr>
          <w:rFonts w:ascii="Century Gothic" w:eastAsia="Times New Roman" w:hAnsi="Century Gothic" w:cs="Arial"/>
          <w:sz w:val="21"/>
          <w:szCs w:val="21"/>
          <w:lang w:eastAsia="es-ES_tradnl"/>
          <w14:ligatures w14:val="standardContextual"/>
        </w:rPr>
        <w:lastRenderedPageBreak/>
        <w:t>término para aportar la aclaración o para subsanar, perdiendo definitivamente el oferente la oportunidad de hacerlo si no se ajusta al plazo preciso que se le concede […]</w:t>
      </w:r>
    </w:p>
    <w:p w14:paraId="381A4A47" w14:textId="77777777" w:rsidR="00D12DDA" w:rsidRPr="00D12DDA" w:rsidRDefault="00D12DDA" w:rsidP="00D12DD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Century Gothic" w:eastAsia="Times New Roman" w:hAnsi="Century Gothic" w:cs="Arial"/>
          <w:sz w:val="21"/>
          <w:szCs w:val="21"/>
          <w:lang w:eastAsia="es-ES_tradnl"/>
          <w14:ligatures w14:val="standardContextual"/>
        </w:rPr>
      </w:pPr>
    </w:p>
    <w:p w14:paraId="63A04614" w14:textId="77777777" w:rsidR="00D12DDA" w:rsidRPr="00D12DDA" w:rsidRDefault="00D12DDA" w:rsidP="00D12DDA">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spacing w:after="0" w:line="240" w:lineRule="auto"/>
        <w:ind w:left="709" w:right="709"/>
        <w:jc w:val="both"/>
        <w:rPr>
          <w:rFonts w:ascii="Century Gothic" w:eastAsia="Times New Roman" w:hAnsi="Century Gothic" w:cs="Arial"/>
          <w:sz w:val="21"/>
          <w:szCs w:val="21"/>
          <w:lang w:eastAsia="es-ES_tradnl"/>
          <w14:ligatures w14:val="standardContextual"/>
        </w:rPr>
      </w:pPr>
      <w:r w:rsidRPr="00D12DDA">
        <w:rPr>
          <w:rFonts w:ascii="Century Gothic" w:eastAsia="Times New Roman" w:hAnsi="Century Gothic" w:cs="Arial"/>
          <w:sz w:val="21"/>
          <w:szCs w:val="21"/>
          <w:lang w:eastAsia="es-ES_tradnl"/>
          <w14:ligatures w14:val="standardContextual"/>
        </w:rPr>
        <w:t xml:space="preserve">En todo caso, el término para hacer las correcciones debe ser razonable, para que el proponente adecúe o explique su propuesta, </w:t>
      </w:r>
      <w:proofErr w:type="gramStart"/>
      <w:r w:rsidRPr="00D12DDA">
        <w:rPr>
          <w:rFonts w:ascii="Century Gothic" w:eastAsia="Times New Roman" w:hAnsi="Century Gothic" w:cs="Arial"/>
          <w:sz w:val="21"/>
          <w:szCs w:val="21"/>
          <w:lang w:eastAsia="es-ES_tradnl"/>
          <w14:ligatures w14:val="standardContextual"/>
        </w:rPr>
        <w:t>pues</w:t>
      </w:r>
      <w:proofErr w:type="gramEnd"/>
      <w:r w:rsidRPr="00D12DDA">
        <w:rPr>
          <w:rFonts w:ascii="Century Gothic" w:eastAsia="Times New Roman" w:hAnsi="Century Gothic" w:cs="Arial"/>
          <w:sz w:val="21"/>
          <w:szCs w:val="21"/>
          <w:lang w:eastAsia="es-ES_tradnl"/>
          <w14:ligatures w14:val="standardContextual"/>
        </w:rPr>
        <w:t xml:space="preserve"> aunque la entidad cuenta con un margen alto de discrecionalidad para fijarlo, la administración no puede hacerlo irrazonablemente”</w:t>
      </w:r>
      <w:r w:rsidRPr="00D12DDA">
        <w:rPr>
          <w:rFonts w:ascii="Century Gothic" w:eastAsia="Times New Roman" w:hAnsi="Century Gothic" w:cs="Arial"/>
          <w:sz w:val="21"/>
          <w:szCs w:val="21"/>
          <w:vertAlign w:val="superscript"/>
          <w:lang w:eastAsia="es-ES_tradnl"/>
          <w14:ligatures w14:val="standardContextual"/>
        </w:rPr>
        <w:footnoteReference w:id="16"/>
      </w:r>
      <w:r w:rsidRPr="00D12DDA">
        <w:rPr>
          <w:rFonts w:ascii="Century Gothic" w:eastAsia="Times New Roman" w:hAnsi="Century Gothic" w:cs="Arial"/>
          <w:sz w:val="21"/>
          <w:szCs w:val="21"/>
          <w:lang w:eastAsia="es-ES_tradnl"/>
          <w14:ligatures w14:val="standardContextual"/>
        </w:rPr>
        <w:t xml:space="preserve">. </w:t>
      </w:r>
    </w:p>
    <w:p w14:paraId="16AD67A0" w14:textId="77777777" w:rsidR="00D12DDA" w:rsidRPr="00D12DDA" w:rsidRDefault="00D12DDA" w:rsidP="00D12DDA">
      <w:pPr>
        <w:spacing w:after="0" w:line="276" w:lineRule="auto"/>
        <w:ind w:right="51"/>
        <w:jc w:val="both"/>
        <w:rPr>
          <w:rFonts w:ascii="Century Gothic" w:eastAsia="Times New Roman" w:hAnsi="Century Gothic" w:cs="Arial"/>
          <w:color w:val="000000"/>
          <w:szCs w:val="24"/>
          <w:lang w:eastAsia="es-ES_tradnl"/>
          <w14:ligatures w14:val="standardContextual"/>
        </w:rPr>
      </w:pPr>
    </w:p>
    <w:p w14:paraId="156D305B" w14:textId="77777777" w:rsidR="00D12DDA" w:rsidRPr="00D12DDA" w:rsidRDefault="00D12DDA" w:rsidP="00D12DDA">
      <w:pPr>
        <w:spacing w:after="0" w:line="276" w:lineRule="auto"/>
        <w:ind w:right="49"/>
        <w:jc w:val="both"/>
        <w:rPr>
          <w:rFonts w:ascii="Century Gothic" w:eastAsia="Times New Roman" w:hAnsi="Century Gothic" w:cs="Arial"/>
          <w:color w:val="000000"/>
          <w:szCs w:val="24"/>
          <w:lang w:eastAsia="es-ES_tradnl"/>
          <w14:ligatures w14:val="standardContextual"/>
        </w:rPr>
      </w:pPr>
      <w:r w:rsidRPr="00D12DDA">
        <w:rPr>
          <w:rFonts w:ascii="Century Gothic" w:eastAsia="Times New Roman" w:hAnsi="Century Gothic" w:cs="Arial"/>
          <w:color w:val="000000"/>
          <w:szCs w:val="24"/>
          <w:lang w:eastAsia="es-ES_tradnl"/>
          <w14:ligatures w14:val="standardContextual"/>
        </w:rPr>
        <w:tab/>
        <w:t xml:space="preserve">En ese orden de ideas, extendiendo las anteriores consideraciones a la regla de subsanabilidad consagrada en el parágrafo 4 del artículo 5 de la Ley 1150 de 2007 –adicionado por la Ley 1882 de 2018–, dada su identidad con la regulación del parágrafo 1 del artículo 5 de la ley 1150 de 2007 original –antes de ser modificada por la Ley 1882 de 2018– el inicio de la subasta es el momento hasta el cual la entidad cuenta con la facultad para requerir la subsanación de los documentos referentes a la futura contratación o a los proponentes, no necesarios para la comparación de las propuestas. Para el ejercicio de tal facultad, las entidades de manera </w:t>
      </w:r>
      <w:r w:rsidRPr="00D12DDA">
        <w:rPr>
          <w:rFonts w:ascii="Century Gothic" w:eastAsia="Times New Roman" w:hAnsi="Century Gothic" w:cs="Arial"/>
          <w:i/>
          <w:iCs/>
          <w:color w:val="000000"/>
          <w:szCs w:val="24"/>
          <w:lang w:eastAsia="es-ES_tradnl"/>
          <w14:ligatures w14:val="standardContextual"/>
        </w:rPr>
        <w:t xml:space="preserve">ex ante </w:t>
      </w:r>
      <w:r w:rsidRPr="00D12DDA">
        <w:rPr>
          <w:rFonts w:ascii="Century Gothic" w:eastAsia="Times New Roman" w:hAnsi="Century Gothic" w:cs="Arial"/>
          <w:color w:val="000000"/>
          <w:szCs w:val="24"/>
          <w:lang w:eastAsia="es-ES_tradnl"/>
          <w14:ligatures w14:val="standardContextual"/>
        </w:rPr>
        <w:t xml:space="preserve">podrán establecer dentro del pliego de condiciones el periodo dentro del cual los participantes del proceso de selección podrán subsanar los documentos que requiera la entidad, o en su defecto, requerir por separado a cada proponente para que subsanen los respectivos documentos, fijándoles un término razonable, el cual en todo caso no podrá exceder el momento previo al inicio de la audiencia de subasta. Así mismo, dentro del pliego de condiciones podrán definir las veces en las cuales le será posible a los proponentes subsanar los documentos.  En sentido, atendiendo a la consulta planteada, la posibilidad de subsanar varias veces un determinado aspecto de la propuesta dependerá de lo establecido en el pliego de condiciones, pues la normativa no restringe el número de veces que un proponente podrá subsanar un determinado aspecto. </w:t>
      </w:r>
    </w:p>
    <w:p w14:paraId="18E4D4A0" w14:textId="77777777" w:rsidR="00D12DDA" w:rsidRPr="00D12DDA" w:rsidRDefault="00D12DDA" w:rsidP="00D12DDA">
      <w:pPr>
        <w:spacing w:before="120" w:after="0" w:line="276" w:lineRule="auto"/>
        <w:ind w:firstLine="709"/>
        <w:jc w:val="both"/>
        <w:rPr>
          <w:rFonts w:ascii="Century Gothic" w:eastAsia="Calibri" w:hAnsi="Century Gothic" w:cs="Arial"/>
          <w:szCs w:val="24"/>
          <w:lang w:val="es-ES_tradnl" w:eastAsia="es-ES_tradnl"/>
          <w14:ligatures w14:val="standardContextual"/>
        </w:rPr>
      </w:pPr>
      <w:r w:rsidRPr="00D12DDA">
        <w:rPr>
          <w:rFonts w:ascii="Century Gothic" w:eastAsia="Calibri" w:hAnsi="Century Gothic" w:cs="Arial"/>
          <w:szCs w:val="24"/>
          <w:lang w:val="es-ES_tradnl" w:eastAsia="es-ES_tradnl"/>
          <w14:ligatures w14:val="standardContextual"/>
        </w:rPr>
        <w:t>De esta manera, el parágrafo analizado</w:t>
      </w:r>
      <w:r w:rsidRPr="00D12DDA">
        <w:rPr>
          <w:rFonts w:ascii="Century Gothic" w:eastAsia="Calibri" w:hAnsi="Century Gothic" w:cs="Arial"/>
          <w:szCs w:val="24"/>
          <w:lang w:eastAsia="es-ES_tradnl"/>
          <w14:ligatures w14:val="standardContextual"/>
        </w:rPr>
        <w:t xml:space="preserve"> permite a las entidades </w:t>
      </w:r>
      <w:r w:rsidRPr="00D12DDA">
        <w:rPr>
          <w:rFonts w:ascii="Century Gothic" w:eastAsia="Calibri" w:hAnsi="Century Gothic" w:cs="Arial"/>
          <w:i/>
          <w:iCs/>
          <w:szCs w:val="24"/>
          <w:lang w:eastAsia="es-ES_tradnl"/>
          <w14:ligatures w14:val="standardContextual"/>
        </w:rPr>
        <w:t>solicitar</w:t>
      </w:r>
      <w:r w:rsidRPr="00D12DDA">
        <w:rPr>
          <w:rFonts w:ascii="Century Gothic" w:eastAsia="Calibri" w:hAnsi="Century Gothic" w:cs="Arial"/>
          <w:szCs w:val="24"/>
          <w:lang w:eastAsia="es-ES_tradnl"/>
          <w14:ligatures w14:val="standardContextual"/>
        </w:rPr>
        <w:t xml:space="preserve"> a los oferentes que subsanen los documentos referentes a la futura contratación no necesarios para la comparación de las propuestas, hasta el momento previo a la realización a la subasta a la que hace referencia el artículo </w:t>
      </w:r>
      <w:r w:rsidRPr="00D12DDA">
        <w:rPr>
          <w:rFonts w:ascii="Century Gothic" w:eastAsia="Calibri" w:hAnsi="Century Gothic" w:cs="Arial"/>
          <w:szCs w:val="24"/>
          <w:lang w:val="es-ES_tradnl" w:eastAsia="es-ES_tradnl"/>
          <w14:ligatures w14:val="standardContextual"/>
        </w:rPr>
        <w:t xml:space="preserve">2.2.1.2.1.2.2 del Decreto 1082 de 2015, momento que, además, deberá estar señalado en el pliego de condiciones, independientemente de que la entidad opte para desarrollar la </w:t>
      </w:r>
      <w:r w:rsidRPr="00D12DDA">
        <w:rPr>
          <w:rFonts w:ascii="Century Gothic" w:eastAsia="Calibri" w:hAnsi="Century Gothic" w:cs="Arial"/>
          <w:szCs w:val="24"/>
          <w:lang w:val="es-ES_tradnl" w:eastAsia="es-ES_tradnl"/>
          <w14:ligatures w14:val="standardContextual"/>
        </w:rPr>
        <w:lastRenderedPageBreak/>
        <w:t xml:space="preserve">audiencia de manera presencial o través del algún mecanismo electrónico. En defecto de lo anterior, las entidades también podrán </w:t>
      </w:r>
      <w:r w:rsidRPr="00D12DDA">
        <w:rPr>
          <w:rFonts w:ascii="Century Gothic" w:eastAsia="Calibri" w:hAnsi="Century Gothic" w:cs="Arial"/>
          <w:szCs w:val="24"/>
          <w:lang w:eastAsia="es-ES_tradnl"/>
          <w14:ligatures w14:val="standardContextual"/>
        </w:rPr>
        <w:t xml:space="preserve">requerir por separado o conjuntamente a cada proponente para que subsanen los respectivos documentos, fijándoles un término razonable, el cual en todo caso no podrá exceder el momento previo al inicio de la audiencia de subasta, por lo que será anterior a ella.   </w:t>
      </w:r>
      <w:r w:rsidRPr="00D12DDA">
        <w:rPr>
          <w:rFonts w:ascii="Century Gothic" w:eastAsia="Calibri" w:hAnsi="Century Gothic" w:cs="Arial"/>
          <w:szCs w:val="24"/>
          <w:lang w:val="es-ES_tradnl" w:eastAsia="es-ES_tradnl"/>
          <w14:ligatures w14:val="standardContextual"/>
        </w:rPr>
        <w:t xml:space="preserve"> </w:t>
      </w:r>
    </w:p>
    <w:p w14:paraId="1DBDAF21" w14:textId="77777777" w:rsidR="00D12DDA" w:rsidRPr="00D12DDA" w:rsidRDefault="00D12DDA" w:rsidP="00D12DDA">
      <w:pPr>
        <w:spacing w:before="120" w:after="0" w:line="276" w:lineRule="auto"/>
        <w:ind w:firstLine="709"/>
        <w:jc w:val="both"/>
        <w:rPr>
          <w:rFonts w:ascii="Century Gothic" w:eastAsia="Calibri" w:hAnsi="Century Gothic" w:cs="Arial"/>
          <w:szCs w:val="24"/>
          <w:lang w:val="es-ES_tradnl" w:eastAsia="es-ES_tradnl"/>
          <w14:ligatures w14:val="standardContextual"/>
        </w:rPr>
      </w:pPr>
      <w:r w:rsidRPr="00D12DDA">
        <w:rPr>
          <w:rFonts w:ascii="Century Gothic" w:eastAsia="Calibri" w:hAnsi="Century Gothic" w:cs="Arial"/>
          <w:szCs w:val="24"/>
          <w:lang w:val="es-ES_tradnl" w:eastAsia="es-ES_tradnl"/>
          <w14:ligatures w14:val="standardContextual"/>
        </w:rPr>
        <w:t xml:space="preserve">Ahora, no debe perderse de vista que para este tipo de procedimientos también serán aplicables los criterios desarrollados en el numeral anterior de este concepto, para determinar si los documentos faltantes son susceptibles o no de subsanación, en el entendido de si inciden o no en la asignación de puntaje y si se relacionan con el cumplimiento de un requisito que constituye una circunstancia ocurrida con anterioridad o con posterioridad al cierre del proceso. </w:t>
      </w:r>
    </w:p>
    <w:p w14:paraId="10F456E3" w14:textId="77777777" w:rsidR="00D12DDA" w:rsidRPr="00D12DDA" w:rsidRDefault="00D12DDA" w:rsidP="00D12DDA">
      <w:pPr>
        <w:spacing w:before="120" w:after="0" w:line="276" w:lineRule="auto"/>
        <w:ind w:firstLine="709"/>
        <w:jc w:val="both"/>
        <w:rPr>
          <w:rFonts w:ascii="Century Gothic" w:eastAsia="Calibri" w:hAnsi="Century Gothic" w:cs="Arial"/>
          <w:szCs w:val="24"/>
          <w:lang w:eastAsia="es-ES_tradnl"/>
          <w14:ligatures w14:val="standardContextual"/>
        </w:rPr>
      </w:pPr>
      <w:r w:rsidRPr="00D12DDA">
        <w:rPr>
          <w:rFonts w:ascii="Century Gothic" w:eastAsia="Calibri" w:hAnsi="Century Gothic" w:cs="Arial"/>
          <w:szCs w:val="24"/>
          <w:lang w:val="es-ES_tradnl" w:eastAsia="es-ES_tradnl"/>
          <w14:ligatures w14:val="standardContextual"/>
        </w:rPr>
        <w:t xml:space="preserve">Conforme a lo anterior, en criterio de esta Subdirección, a pesar de que no existe un término legal preciso para que los proponentes subsanen los documentos mediante los cuales deben acreditar el cumplimiento de los requisitos exigidos para participar en procedimientos en que se haga uso del mecanismo de subasta, el parágrafo 4° del artículo 5 de la Ley 1150 de 2007 establece una regla que permite a las entidades </w:t>
      </w:r>
      <w:r w:rsidRPr="00D12DDA">
        <w:rPr>
          <w:rFonts w:ascii="Century Gothic" w:eastAsia="Calibri" w:hAnsi="Century Gothic" w:cs="Arial"/>
          <w:i/>
          <w:iCs/>
          <w:szCs w:val="24"/>
          <w:lang w:val="es-ES_tradnl" w:eastAsia="es-ES_tradnl"/>
          <w14:ligatures w14:val="standardContextual"/>
        </w:rPr>
        <w:t>solicitar</w:t>
      </w:r>
      <w:r w:rsidRPr="00D12DDA">
        <w:rPr>
          <w:rFonts w:ascii="Century Gothic" w:eastAsia="Calibri" w:hAnsi="Century Gothic" w:cs="Arial"/>
          <w:szCs w:val="24"/>
          <w:lang w:val="es-ES_tradnl" w:eastAsia="es-ES_tradnl"/>
          <w14:ligatures w14:val="standardContextual"/>
        </w:rPr>
        <w:t xml:space="preserve"> las correspondientes subsanaciones, dotándolas de cierto margen de discrecionalidad para determinar el término o momento específico dentro del que deberá tener lugar la subsanación, oportunidad que deberá establecer la entidad sin que exceda al momento previo al inicio de la audiencia de subasta.  Finalmente, se reitera que no debe perderse de vista que para este tipo de procedimientos también serán aplicables los criterios arriba desarrollados para determinar si los documentos faltantes son susceptibles de subsanación, dependiendo de si se trata de un requisito de la oferta que no afecte la asignación de puntaje, y si tiene que ver con el cumplimiento de un requisito que constituye una circunstancia ocurrida con anterioridad o con posterioridad al cierre del proceso.</w:t>
      </w:r>
      <w:bookmarkEnd w:id="2"/>
      <w:r w:rsidRPr="00D12DDA">
        <w:rPr>
          <w:rFonts w:ascii="Century Gothic" w:eastAsia="Calibri" w:hAnsi="Century Gothic" w:cs="Arial"/>
          <w:szCs w:val="24"/>
          <w:lang w:val="es-ES_tradnl" w:eastAsia="es-ES_tradnl"/>
          <w14:ligatures w14:val="standardContextual"/>
        </w:rPr>
        <w:t xml:space="preserve"> En tal sentido, de acuerdo con la regulación establecida en cada pliego de condiciones y las circunstancias de cada caso en particular, deberán aplicarse los criterios establecidos en la ley, explicados en este concepto, para definir la procedencia de subsanar algún requisito de las propuestas y las veces en que puede ejercerse esta posibilidad.</w:t>
      </w:r>
    </w:p>
    <w:p w14:paraId="08B60A66" w14:textId="77777777" w:rsidR="00D12DDA" w:rsidRDefault="00D12DDA" w:rsidP="00D12DDA">
      <w:pPr>
        <w:spacing w:after="0" w:line="276" w:lineRule="auto"/>
        <w:jc w:val="both"/>
        <w:rPr>
          <w:rFonts w:ascii="Century Gothic" w:eastAsia="Times New Roman" w:hAnsi="Century Gothic" w:cs="Times New Roman"/>
          <w:color w:val="FF0000"/>
          <w:sz w:val="24"/>
          <w:szCs w:val="24"/>
          <w:lang w:val="es-ES_tradnl" w:eastAsia="es-ES_tradnl"/>
          <w14:ligatures w14:val="standardContextual"/>
        </w:rPr>
      </w:pPr>
    </w:p>
    <w:p w14:paraId="3CA34A3B" w14:textId="77777777" w:rsidR="001371B4" w:rsidRDefault="001371B4" w:rsidP="00D12DDA">
      <w:pPr>
        <w:spacing w:after="0" w:line="276" w:lineRule="auto"/>
        <w:jc w:val="both"/>
        <w:rPr>
          <w:rFonts w:ascii="Century Gothic" w:eastAsia="Times New Roman" w:hAnsi="Century Gothic" w:cs="Times New Roman"/>
          <w:color w:val="FF0000"/>
          <w:sz w:val="24"/>
          <w:szCs w:val="24"/>
          <w:lang w:val="es-ES_tradnl" w:eastAsia="es-ES_tradnl"/>
          <w14:ligatures w14:val="standardContextual"/>
        </w:rPr>
      </w:pPr>
    </w:p>
    <w:p w14:paraId="0A85D110" w14:textId="77777777" w:rsidR="001371B4" w:rsidRDefault="001371B4" w:rsidP="00D12DDA">
      <w:pPr>
        <w:spacing w:after="0" w:line="276" w:lineRule="auto"/>
        <w:jc w:val="both"/>
        <w:rPr>
          <w:rFonts w:ascii="Century Gothic" w:eastAsia="Times New Roman" w:hAnsi="Century Gothic" w:cs="Times New Roman"/>
          <w:color w:val="FF0000"/>
          <w:sz w:val="24"/>
          <w:szCs w:val="24"/>
          <w:lang w:val="es-ES_tradnl" w:eastAsia="es-ES_tradnl"/>
          <w14:ligatures w14:val="standardContextual"/>
        </w:rPr>
      </w:pPr>
    </w:p>
    <w:p w14:paraId="298003E0" w14:textId="77777777" w:rsidR="001371B4" w:rsidRPr="00D12DDA" w:rsidRDefault="001371B4" w:rsidP="00D12DDA">
      <w:pPr>
        <w:spacing w:after="0" w:line="276" w:lineRule="auto"/>
        <w:jc w:val="both"/>
        <w:rPr>
          <w:rFonts w:ascii="Century Gothic" w:eastAsia="Times New Roman" w:hAnsi="Century Gothic" w:cs="Times New Roman"/>
          <w:color w:val="FF0000"/>
          <w:sz w:val="24"/>
          <w:szCs w:val="24"/>
          <w:lang w:val="es-ES_tradnl" w:eastAsia="es-ES_tradnl"/>
          <w14:ligatures w14:val="standardContextual"/>
        </w:rPr>
      </w:pPr>
    </w:p>
    <w:p w14:paraId="4AB9ACEB" w14:textId="77777777" w:rsidR="00D12DDA" w:rsidRPr="00D12DDA" w:rsidRDefault="00D12DDA" w:rsidP="00D12DDA">
      <w:pPr>
        <w:spacing w:after="0" w:line="276" w:lineRule="auto"/>
        <w:jc w:val="both"/>
        <w:rPr>
          <w:rFonts w:ascii="Century Gothic" w:eastAsia="Times New Roman" w:hAnsi="Century Gothic" w:cs="Arial"/>
          <w:b/>
          <w:lang w:eastAsia="es-CO"/>
          <w14:ligatures w14:val="standardContextual"/>
        </w:rPr>
      </w:pPr>
      <w:r w:rsidRPr="00D12DDA">
        <w:rPr>
          <w:rFonts w:ascii="Century Gothic" w:eastAsia="Times New Roman" w:hAnsi="Century Gothic" w:cs="Arial"/>
          <w:b/>
          <w:lang w:eastAsia="es-CO"/>
          <w14:ligatures w14:val="standardContextual"/>
        </w:rPr>
        <w:lastRenderedPageBreak/>
        <w:t>3. Respuesta</w:t>
      </w:r>
    </w:p>
    <w:p w14:paraId="502B803F" w14:textId="77777777" w:rsidR="00D12DDA" w:rsidRPr="00D12DDA" w:rsidRDefault="00D12DDA" w:rsidP="00D12DDA">
      <w:pPr>
        <w:spacing w:after="0" w:line="276" w:lineRule="auto"/>
        <w:ind w:left="709" w:right="709"/>
        <w:jc w:val="both"/>
        <w:rPr>
          <w:rFonts w:ascii="Century Gothic" w:eastAsia="Calibri" w:hAnsi="Century Gothic" w:cs="Arial"/>
          <w:bCs/>
          <w:lang w:val="es-ES_tradnl" w:eastAsia="es-CO"/>
          <w14:ligatures w14:val="standardContextual"/>
        </w:rPr>
      </w:pPr>
    </w:p>
    <w:p w14:paraId="2FE3D8AA" w14:textId="77777777" w:rsidR="00D12DDA" w:rsidRPr="00D12DDA" w:rsidRDefault="00D12DDA" w:rsidP="00D12DDA">
      <w:pPr>
        <w:spacing w:after="0" w:line="240" w:lineRule="auto"/>
        <w:ind w:left="709" w:right="709"/>
        <w:contextualSpacing/>
        <w:jc w:val="both"/>
        <w:rPr>
          <w:rFonts w:ascii="Century Gothic" w:eastAsia="Calibri" w:hAnsi="Century Gothic" w:cs="Arial"/>
          <w:i/>
          <w:iCs/>
          <w:lang w:val="es-ES_tradnl" w:eastAsia="es-ES_tradnl"/>
          <w14:ligatures w14:val="standardContextual"/>
        </w:rPr>
      </w:pPr>
      <w:r w:rsidRPr="00D12DDA">
        <w:rPr>
          <w:rFonts w:ascii="Century Gothic" w:eastAsia="Calibri" w:hAnsi="Century Gothic" w:cs="Arial"/>
          <w:i/>
          <w:iCs/>
          <w:lang w:val="es-ES_tradnl" w:eastAsia="es-ES_tradnl"/>
          <w14:ligatures w14:val="standardContextual"/>
        </w:rPr>
        <w:t xml:space="preserve">a) ¿En los procesos de subasta inversa es procedente indicar en los pliegos de condiciones que solamente se puede subsanar hasta antes de la apertura del sobre económico? </w:t>
      </w:r>
    </w:p>
    <w:p w14:paraId="52FBBB30" w14:textId="77777777" w:rsidR="00D12DDA" w:rsidRPr="00D12DDA" w:rsidRDefault="00D12DDA" w:rsidP="00D12DDA">
      <w:pPr>
        <w:spacing w:after="0" w:line="240" w:lineRule="auto"/>
        <w:ind w:left="709" w:right="709"/>
        <w:contextualSpacing/>
        <w:jc w:val="both"/>
        <w:rPr>
          <w:rFonts w:ascii="Century Gothic" w:eastAsia="Calibri" w:hAnsi="Century Gothic" w:cs="Arial"/>
          <w:i/>
          <w:iCs/>
          <w:lang w:val="es-ES_tradnl" w:eastAsia="es-ES_tradnl"/>
          <w14:ligatures w14:val="standardContextual"/>
        </w:rPr>
      </w:pPr>
    </w:p>
    <w:p w14:paraId="1E48FA94" w14:textId="77777777" w:rsidR="00D12DDA" w:rsidRPr="00D12DDA" w:rsidRDefault="00D12DDA" w:rsidP="00D12DDA">
      <w:pPr>
        <w:spacing w:after="0" w:line="240" w:lineRule="auto"/>
        <w:ind w:left="709" w:right="709"/>
        <w:contextualSpacing/>
        <w:jc w:val="both"/>
        <w:rPr>
          <w:rFonts w:ascii="Century Gothic" w:eastAsia="Calibri" w:hAnsi="Century Gothic" w:cs="Arial"/>
          <w:i/>
          <w:iCs/>
          <w:lang w:val="es-ES_tradnl" w:eastAsia="es-ES_tradnl"/>
          <w14:ligatures w14:val="standardContextual"/>
        </w:rPr>
      </w:pPr>
      <w:r w:rsidRPr="00D12DDA">
        <w:rPr>
          <w:rFonts w:ascii="Century Gothic" w:eastAsia="Calibri" w:hAnsi="Century Gothic" w:cs="Arial"/>
          <w:i/>
          <w:iCs/>
          <w:lang w:val="es-ES_tradnl" w:eastAsia="es-ES_tradnl"/>
          <w14:ligatures w14:val="standardContextual"/>
        </w:rPr>
        <w:t>b) si se abre los sobres económicos de los oferentes habilitados y en el pliego se indica que se puede subsanar hasta antes de la subasta electrónica ¿Qué se puede hacer para habilitar en la plataforma del Secop II aquellos oferentes que subsanaron los requisitos habilitantes después de la apertura de los sobres económicos y previo del inicio de la subasta electrónica?”</w:t>
      </w:r>
    </w:p>
    <w:p w14:paraId="70C1C6F2" w14:textId="77777777" w:rsidR="00D12DDA" w:rsidRPr="00D12DDA" w:rsidRDefault="00D12DDA" w:rsidP="00D12DDA">
      <w:pPr>
        <w:spacing w:after="0" w:line="276" w:lineRule="auto"/>
        <w:jc w:val="both"/>
        <w:rPr>
          <w:rFonts w:ascii="Century Gothic" w:hAnsi="Century Gothic" w:cs="Arial"/>
          <w:lang w:val="es-ES_tradnl"/>
          <w14:ligatures w14:val="standardContextual"/>
        </w:rPr>
      </w:pPr>
    </w:p>
    <w:p w14:paraId="54FA212E" w14:textId="77777777" w:rsidR="00D12DDA" w:rsidRPr="00D12DDA" w:rsidRDefault="00D12DDA" w:rsidP="00D12DDA">
      <w:pPr>
        <w:spacing w:after="120" w:line="276" w:lineRule="auto"/>
        <w:jc w:val="both"/>
        <w:rPr>
          <w:rFonts w:ascii="Century Gothic" w:eastAsia="Times New Roman" w:hAnsi="Century Gothic" w:cs="Arial"/>
          <w:color w:val="0C0C0C"/>
          <w:lang w:eastAsia="es-CO"/>
        </w:rPr>
      </w:pPr>
      <w:r w:rsidRPr="00D12DDA">
        <w:rPr>
          <w:rFonts w:ascii="Century Gothic" w:eastAsia="Calibri" w:hAnsi="Century Gothic" w:cs="Arial"/>
          <w:color w:val="000000" w:themeColor="text1"/>
          <w:lang w:val="es-ES_tradnl"/>
        </w:rPr>
        <w:t>La posibilidad de subsanar las ofertas busca garantizar una prevalencia de lo sustancial sobre lo formal. ii) Resulta propicia para garantizar una mayor concurrencia real en los procedimientos de selección. iii) En armonía con lo anterior, esta actuación establecida por el legislador permite una mayor posibilidad de que las entidades estatales se beneficien de seleccionar entre un abanico más amplio la oferta que le resulte materialmente más favorable a sus intereses, por lo que favorece y robustece el principio de selección objetiva</w:t>
      </w:r>
    </w:p>
    <w:p w14:paraId="1AD7D7E0" w14:textId="77777777" w:rsidR="00D12DDA" w:rsidRPr="00D12DDA" w:rsidRDefault="00D12DDA" w:rsidP="00D12DDA">
      <w:pPr>
        <w:spacing w:after="120" w:line="276" w:lineRule="auto"/>
        <w:jc w:val="both"/>
        <w:rPr>
          <w:rFonts w:ascii="Century Gothic" w:eastAsia="Times New Roman" w:hAnsi="Century Gothic" w:cs="Arial"/>
          <w:color w:val="000000"/>
          <w:szCs w:val="24"/>
          <w:lang w:eastAsia="es-ES_tradnl"/>
          <w14:ligatures w14:val="standardContextual"/>
        </w:rPr>
      </w:pPr>
      <w:r w:rsidRPr="00D12DDA">
        <w:rPr>
          <w:rFonts w:ascii="Century Gothic" w:eastAsia="Times New Roman" w:hAnsi="Century Gothic" w:cs="Arial"/>
          <w:color w:val="000000"/>
          <w:szCs w:val="24"/>
          <w:lang w:eastAsia="es-ES_tradnl"/>
          <w14:ligatures w14:val="standardContextual"/>
        </w:rPr>
        <w:t xml:space="preserve">En este orden de ideas y como se hizo mención con anterioridad la regla de subsanabilidad consagrada en el parágrafo 4 del artículo 5 de la Ley 1150 de 2007 –adicionado por la Ley 1882 de 2018–, dada su identidad con la regulación del parágrafo 1 del artículo 5 de la ley 1150 de 2007 original –antes de ser modificada por la Ley 1882 de 2018– el inicio de la subasta es el momento hasta el cual la entidad cuenta con la facultad para requerir la subsanación de los documentos referentes a la futura contratación o a los proponentes, no necesarios para la comparación de las propuestas. </w:t>
      </w:r>
    </w:p>
    <w:p w14:paraId="65817102" w14:textId="77777777" w:rsidR="00D12DDA" w:rsidRPr="00D12DDA" w:rsidRDefault="00D12DDA" w:rsidP="00D12DDA">
      <w:pPr>
        <w:spacing w:after="120" w:line="276" w:lineRule="auto"/>
        <w:jc w:val="both"/>
        <w:rPr>
          <w:rFonts w:ascii="Century Gothic" w:eastAsia="Times New Roman" w:hAnsi="Century Gothic" w:cs="Arial"/>
          <w:color w:val="0C0C0C"/>
          <w:lang w:eastAsia="es-CO"/>
        </w:rPr>
      </w:pPr>
      <w:r w:rsidRPr="00D12DDA">
        <w:rPr>
          <w:rFonts w:ascii="Century Gothic" w:eastAsia="Times New Roman" w:hAnsi="Century Gothic" w:cs="Arial"/>
          <w:color w:val="000000"/>
          <w:szCs w:val="24"/>
          <w:lang w:eastAsia="es-ES_tradnl"/>
          <w14:ligatures w14:val="standardContextual"/>
        </w:rPr>
        <w:t xml:space="preserve">Asi las cosas, para el ejercicio de tal facultad, las entidades de manera </w:t>
      </w:r>
      <w:r w:rsidRPr="00D12DDA">
        <w:rPr>
          <w:rFonts w:ascii="Century Gothic" w:eastAsia="Times New Roman" w:hAnsi="Century Gothic" w:cs="Arial"/>
          <w:i/>
          <w:iCs/>
          <w:color w:val="000000"/>
          <w:szCs w:val="24"/>
          <w:lang w:eastAsia="es-ES_tradnl"/>
          <w14:ligatures w14:val="standardContextual"/>
        </w:rPr>
        <w:t xml:space="preserve">ex ante </w:t>
      </w:r>
      <w:r w:rsidRPr="00D12DDA">
        <w:rPr>
          <w:rFonts w:ascii="Century Gothic" w:eastAsia="Times New Roman" w:hAnsi="Century Gothic" w:cs="Arial"/>
          <w:color w:val="000000"/>
          <w:szCs w:val="24"/>
          <w:lang w:eastAsia="es-ES_tradnl"/>
          <w14:ligatures w14:val="standardContextual"/>
        </w:rPr>
        <w:t xml:space="preserve">podrán establecer dentro del pliego de condiciones el periodo dentro del cual los participantes del proceso de selección podrán subsanar los documentos que requiera la entidad, o en su defecto, requerir por separado a cada proponente para que subsanen los respectivos documentos, fijándoles un término razonable, el cual en todo caso no podrá exceder el momento previo al inicio de la audiencia de subasta. Así mismo, dentro del pliego de condiciones podrán definir las veces en las cuales le será posible a los proponentes subsanar los documentos.  En sentido, </w:t>
      </w:r>
      <w:r w:rsidRPr="00D12DDA">
        <w:rPr>
          <w:rFonts w:ascii="Century Gothic" w:eastAsia="Times New Roman" w:hAnsi="Century Gothic" w:cs="Arial"/>
          <w:color w:val="000000"/>
          <w:szCs w:val="24"/>
          <w:lang w:eastAsia="es-ES_tradnl"/>
          <w14:ligatures w14:val="standardContextual"/>
        </w:rPr>
        <w:lastRenderedPageBreak/>
        <w:t>atendiendo a la consulta planteada, la posibilidad de subsanar un determinado aspecto de la propuesta dependerá de lo establecido en el pliego de condiciones.</w:t>
      </w:r>
    </w:p>
    <w:p w14:paraId="31D94241" w14:textId="77777777" w:rsidR="00D12DDA" w:rsidRPr="00D12DDA" w:rsidRDefault="00D12DDA" w:rsidP="00D12DDA">
      <w:pPr>
        <w:spacing w:after="0" w:line="276" w:lineRule="auto"/>
        <w:jc w:val="both"/>
        <w:rPr>
          <w:rFonts w:ascii="Century Gothic" w:eastAsia="Calibri" w:hAnsi="Century Gothic" w:cs="Arial"/>
          <w:lang w:val="es-ES_tradnl"/>
        </w:rPr>
      </w:pPr>
      <w:r w:rsidRPr="00D12DDA">
        <w:rPr>
          <w:rFonts w:ascii="Century Gothic" w:eastAsia="Times New Roman" w:hAnsi="Century Gothic" w:cs="Arial"/>
          <w:szCs w:val="24"/>
          <w:lang w:eastAsia="es-ES_tradnl"/>
          <w14:ligatures w14:val="standardContextual"/>
        </w:rPr>
        <w:t xml:space="preserve">Finalmente, es de precisar que </w:t>
      </w:r>
      <w:r w:rsidRPr="00D12DDA">
        <w:rPr>
          <w:rFonts w:ascii="Century Gothic" w:eastAsia="Calibri" w:hAnsi="Century Gothic" w:cs="Arial"/>
          <w:lang w:val="es-ES"/>
        </w:rPr>
        <w:t>la Agencia Nacional de Contratación Pública – Colombia Compra Eficiente, con el fin de apoyar el proceso de capacitación de los diferentes partícipes del Sistema de Compra y Contratación Pública, ha elaborado diferentes materiales de formación que responden a la necesidad de difundir las prácticas del uso técnico del SECOP II. En ese orden, emitió la “Guía para presentar ofertas en el SECOP II”</w:t>
      </w:r>
      <w:r w:rsidRPr="00D12DDA">
        <w:rPr>
          <w:rStyle w:val="Refdenotaalpie"/>
          <w:rFonts w:ascii="Century Gothic" w:eastAsia="Calibri" w:hAnsi="Century Gothic" w:cs="Arial"/>
          <w:lang w:val="es-ES"/>
        </w:rPr>
        <w:footnoteReference w:id="17"/>
      </w:r>
      <w:r w:rsidRPr="00D12DDA">
        <w:rPr>
          <w:rFonts w:ascii="Century Gothic" w:eastAsia="Calibri" w:hAnsi="Century Gothic" w:cs="Arial"/>
          <w:lang w:val="es-ES"/>
        </w:rPr>
        <w:t>, en la que se expone el procedimiento técnico que deben tener en cuenta los proveedores para configurar la información presentada como oferta a través de esta plataforma.</w:t>
      </w:r>
    </w:p>
    <w:p w14:paraId="76CF79FF" w14:textId="77777777" w:rsidR="00D12DDA" w:rsidRPr="00D12DDA" w:rsidRDefault="00D12DDA" w:rsidP="00D12DDA">
      <w:pPr>
        <w:spacing w:before="120" w:after="0" w:line="276" w:lineRule="auto"/>
        <w:jc w:val="both"/>
        <w:rPr>
          <w:rFonts w:ascii="Century Gothic" w:eastAsia="Calibri" w:hAnsi="Century Gothic" w:cs="Arial"/>
          <w:color w:val="000000"/>
          <w:lang w:val="es-ES_tradnl"/>
        </w:rPr>
      </w:pPr>
      <w:r w:rsidRPr="00D12DDA">
        <w:rPr>
          <w:rFonts w:ascii="Century Gothic" w:eastAsia="Calibri" w:hAnsi="Century Gothic" w:cs="Arial"/>
          <w:bCs/>
          <w:noProof/>
          <w:color w:val="161616"/>
          <w:lang w:val="es-ES_tradnl" w:eastAsia="en-GB"/>
        </w:rPr>
        <w:tab/>
      </w:r>
      <w:r w:rsidRPr="00D12DDA">
        <w:rPr>
          <w:rFonts w:ascii="Century Gothic" w:eastAsia="Calibri" w:hAnsi="Century Gothic" w:cs="Arial"/>
          <w:color w:val="000000"/>
          <w:lang w:val="es-ES_tradnl"/>
        </w:rPr>
        <w:t xml:space="preserve">En ese orden, </w:t>
      </w:r>
      <w:bookmarkStart w:id="3" w:name="_Hlk125366573"/>
      <w:r w:rsidRPr="00D12DDA">
        <w:rPr>
          <w:rFonts w:ascii="Century Gothic" w:eastAsia="Calibri" w:hAnsi="Century Gothic" w:cs="Arial"/>
          <w:color w:val="000000"/>
          <w:lang w:val="es-ES_tradnl"/>
        </w:rPr>
        <w:t xml:space="preserve">los oferentes al momento de crear y presentar sus ofertas en un proceso de contratación en el SECOP II, deberán tener en cuenta que este comprende desde la edición del formulario electrónico de la oferta, hasta la aceptación de los términos y condiciones. De igual forma, esta plataforma controla que la presentación de las ofertas se realice hasta la fecha límite establecida para ello por la Entidad Estatal. Por ende, el SECOP II le permitirá al proveedor realizar los ajustes que requiera de su oferta, así como el enviar una nueva versión o retirarla definitivamente, siempre y cuando realice el proceso de edición, “retiro de la oferta anterior y confirmación de la nueva versión o retiro definitivo”, antes del vencimiento del plazo para la presentación de </w:t>
      </w:r>
      <w:proofErr w:type="gramStart"/>
      <w:r w:rsidRPr="00D12DDA">
        <w:rPr>
          <w:rFonts w:ascii="Century Gothic" w:eastAsia="Calibri" w:hAnsi="Century Gothic" w:cs="Arial"/>
          <w:color w:val="000000"/>
          <w:lang w:val="es-ES_tradnl"/>
        </w:rPr>
        <w:t>la misma</w:t>
      </w:r>
      <w:proofErr w:type="gramEnd"/>
      <w:r w:rsidRPr="00D12DDA">
        <w:rPr>
          <w:rFonts w:ascii="Century Gothic" w:eastAsia="Calibri" w:hAnsi="Century Gothic" w:cs="Arial"/>
          <w:color w:val="000000"/>
          <w:lang w:val="es-ES_tradnl"/>
        </w:rPr>
        <w:t xml:space="preserve">. </w:t>
      </w:r>
      <w:bookmarkEnd w:id="3"/>
      <w:r w:rsidRPr="00D12DDA">
        <w:rPr>
          <w:rFonts w:ascii="Century Gothic" w:eastAsia="Calibri" w:hAnsi="Century Gothic" w:cs="Arial"/>
          <w:color w:val="000000"/>
          <w:lang w:val="es-ES_tradnl"/>
        </w:rPr>
        <w:t>Estos cambios no serán visualizados por la entidad, pues únicamente tendrá acceso a la información allí contenida, una vez realice la apertura de las ofertas.</w:t>
      </w:r>
    </w:p>
    <w:p w14:paraId="1088294B" w14:textId="77777777" w:rsidR="00D12DDA" w:rsidRDefault="00D12DDA" w:rsidP="00D12DDA">
      <w:pPr>
        <w:spacing w:before="120" w:after="0" w:line="276" w:lineRule="auto"/>
        <w:jc w:val="both"/>
        <w:rPr>
          <w:rFonts w:ascii="Century Gothic" w:eastAsia="Calibri" w:hAnsi="Century Gothic" w:cs="Arial"/>
          <w:color w:val="000000"/>
          <w:lang w:val="es-ES_tradnl"/>
        </w:rPr>
      </w:pPr>
      <w:r w:rsidRPr="00D12DDA">
        <w:rPr>
          <w:rFonts w:ascii="Century Gothic" w:eastAsia="Calibri" w:hAnsi="Century Gothic" w:cs="Arial"/>
          <w:b/>
          <w:noProof/>
          <w:color w:val="161616"/>
          <w:lang w:val="es-ES_tradnl" w:eastAsia="en-GB"/>
        </w:rPr>
        <w:tab/>
      </w:r>
      <w:r w:rsidRPr="00D12DDA">
        <w:rPr>
          <w:rFonts w:ascii="Century Gothic" w:eastAsia="Calibri" w:hAnsi="Century Gothic" w:cs="Arial"/>
          <w:color w:val="000000"/>
          <w:lang w:val="es-ES_tradnl"/>
        </w:rPr>
        <w:t>Así pues, resulta relevante señalar que la presentación de las ofertas en SECOP II deben atender en principio, a lo indicado por la Entidad Estatal en el pliego de condiciones, a las Guías que emite Colombia Compra Eficiente y, a los “Términos y Condiciones” para el uso del SECOP II.</w:t>
      </w:r>
    </w:p>
    <w:p w14:paraId="2FF13426" w14:textId="77777777" w:rsidR="001371B4" w:rsidRDefault="001371B4" w:rsidP="00D12DDA">
      <w:pPr>
        <w:spacing w:after="0" w:line="276" w:lineRule="auto"/>
        <w:ind w:firstLine="708"/>
        <w:jc w:val="both"/>
        <w:rPr>
          <w:rFonts w:ascii="Century Gothic" w:eastAsia="Calibri" w:hAnsi="Century Gothic" w:cs="Arial"/>
          <w:szCs w:val="24"/>
          <w:lang w:eastAsia="es-ES_tradnl"/>
          <w14:ligatures w14:val="standardContextual"/>
        </w:rPr>
      </w:pPr>
    </w:p>
    <w:p w14:paraId="52A4ED40" w14:textId="6FBC901A" w:rsidR="00D12DDA" w:rsidRPr="00D12DDA" w:rsidRDefault="00D12DDA" w:rsidP="00D12DDA">
      <w:pPr>
        <w:spacing w:after="0" w:line="276" w:lineRule="auto"/>
        <w:ind w:firstLine="708"/>
        <w:jc w:val="both"/>
        <w:rPr>
          <w:rFonts w:ascii="Century Gothic" w:eastAsia="Calibri" w:hAnsi="Century Gothic" w:cs="Arial"/>
          <w:szCs w:val="24"/>
          <w:lang w:eastAsia="es-ES_tradnl"/>
          <w14:ligatures w14:val="standardContextual"/>
        </w:rPr>
      </w:pPr>
      <w:r w:rsidRPr="00D12DDA">
        <w:rPr>
          <w:rFonts w:ascii="Century Gothic" w:eastAsia="Calibri" w:hAnsi="Century Gothic" w:cs="Arial"/>
          <w:szCs w:val="24"/>
          <w:lang w:eastAsia="es-ES_tradnl"/>
          <w14:ligatures w14:val="standardContextu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C2E8346" w14:textId="77777777" w:rsidR="00D12DDA" w:rsidRDefault="00D12DDA" w:rsidP="00D12DDA">
      <w:pPr>
        <w:spacing w:after="0" w:line="276" w:lineRule="auto"/>
        <w:jc w:val="both"/>
        <w:rPr>
          <w:rFonts w:ascii="Century Gothic" w:eastAsia="Times New Roman" w:hAnsi="Century Gothic" w:cs="Arial"/>
          <w:szCs w:val="24"/>
          <w:lang w:val="es-ES_tradnl" w:eastAsia="es-CO"/>
          <w14:ligatures w14:val="standardContextual"/>
        </w:rPr>
      </w:pPr>
    </w:p>
    <w:p w14:paraId="362FD445" w14:textId="77777777" w:rsidR="001371B4" w:rsidRPr="00D12DDA" w:rsidRDefault="001371B4" w:rsidP="00D12DDA">
      <w:pPr>
        <w:spacing w:after="0" w:line="276" w:lineRule="auto"/>
        <w:jc w:val="both"/>
        <w:rPr>
          <w:rFonts w:ascii="Century Gothic" w:eastAsia="Times New Roman" w:hAnsi="Century Gothic" w:cs="Arial"/>
          <w:szCs w:val="24"/>
          <w:lang w:val="es-ES_tradnl" w:eastAsia="es-CO"/>
          <w14:ligatures w14:val="standardContextual"/>
        </w:rPr>
      </w:pPr>
    </w:p>
    <w:p w14:paraId="3F6ED1CC" w14:textId="77777777" w:rsidR="00D12DDA" w:rsidRPr="00D12DDA" w:rsidRDefault="00D12DDA" w:rsidP="00D12DDA">
      <w:pPr>
        <w:spacing w:after="0" w:line="276" w:lineRule="auto"/>
        <w:jc w:val="both"/>
        <w:rPr>
          <w:rFonts w:ascii="Century Gothic" w:eastAsia="Times New Roman" w:hAnsi="Century Gothic" w:cs="Arial"/>
          <w:szCs w:val="24"/>
          <w:lang w:val="es-ES_tradnl" w:eastAsia="es-CO"/>
          <w14:ligatures w14:val="standardContextual"/>
        </w:rPr>
      </w:pPr>
      <w:r w:rsidRPr="00D12DDA">
        <w:rPr>
          <w:rFonts w:ascii="Century Gothic" w:eastAsia="Times New Roman" w:hAnsi="Century Gothic" w:cs="Arial"/>
          <w:szCs w:val="24"/>
          <w:lang w:val="es-ES_tradnl" w:eastAsia="es-CO"/>
          <w14:ligatures w14:val="standardContextual"/>
        </w:rPr>
        <w:lastRenderedPageBreak/>
        <w:t xml:space="preserve">Atentamente, </w:t>
      </w:r>
    </w:p>
    <w:p w14:paraId="19734FE2" w14:textId="77777777" w:rsidR="00D12DDA" w:rsidRPr="00D12DDA" w:rsidRDefault="00D12DDA" w:rsidP="00D12DDA">
      <w:pPr>
        <w:spacing w:after="0" w:line="276" w:lineRule="auto"/>
        <w:jc w:val="both"/>
        <w:rPr>
          <w:rFonts w:ascii="Century Gothic" w:eastAsia="Times New Roman" w:hAnsi="Century Gothic" w:cs="Arial"/>
          <w:szCs w:val="24"/>
          <w:lang w:val="es-ES_tradnl" w:eastAsia="es-CO"/>
          <w14:ligatures w14:val="standardContextual"/>
        </w:rPr>
      </w:pPr>
    </w:p>
    <w:p w14:paraId="77CC6398" w14:textId="5E1BD6CC" w:rsidR="00D12DDA" w:rsidRPr="00D12DDA" w:rsidRDefault="00DA45EB" w:rsidP="00D12DDA">
      <w:pPr>
        <w:spacing w:after="0" w:line="276" w:lineRule="auto"/>
        <w:jc w:val="center"/>
        <w:textAlignment w:val="baseline"/>
        <w:rPr>
          <w:rFonts w:ascii="Century Gothic" w:eastAsia="Times New Roman" w:hAnsi="Century Gothic" w:cs="Arial"/>
          <w:sz w:val="18"/>
          <w:szCs w:val="18"/>
          <w:lang w:eastAsia="es-CO"/>
        </w:rPr>
      </w:pPr>
      <w:r>
        <w:rPr>
          <w:noProof/>
        </w:rPr>
        <w:drawing>
          <wp:inline distT="0" distB="0" distL="0" distR="0" wp14:anchorId="6D0C26F3" wp14:editId="063F2620">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7715BDE5" w14:textId="77777777" w:rsidR="00D12DDA" w:rsidRPr="00D12DDA" w:rsidRDefault="00D12DDA" w:rsidP="00D12DDA">
      <w:pPr>
        <w:spacing w:after="0" w:line="276" w:lineRule="auto"/>
        <w:textAlignment w:val="baseline"/>
        <w:rPr>
          <w:rFonts w:ascii="Century Gothic" w:eastAsia="Times New Roman" w:hAnsi="Century Gothic" w:cs="Arial"/>
          <w:sz w:val="16"/>
          <w:szCs w:val="16"/>
          <w:lang w:eastAsia="es-CO"/>
        </w:rPr>
      </w:pPr>
      <w:r w:rsidRPr="00D12DDA">
        <w:rPr>
          <w:rFonts w:ascii="Century Gothic" w:eastAsia="Times New Roman" w:hAnsi="Century Gothic" w:cs="Arial"/>
          <w:sz w:val="16"/>
          <w:szCs w:val="16"/>
          <w:lang w:eastAsia="es-CO"/>
        </w:rPr>
        <w:t> </w:t>
      </w:r>
    </w:p>
    <w:tbl>
      <w:tblPr>
        <w:tblW w:w="85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5"/>
        <w:gridCol w:w="7706"/>
      </w:tblGrid>
      <w:tr w:rsidR="00D12DDA" w:rsidRPr="00D12DDA" w14:paraId="7C12BF2D" w14:textId="77777777" w:rsidTr="00533E4F">
        <w:trPr>
          <w:trHeight w:val="383"/>
        </w:trPr>
        <w:tc>
          <w:tcPr>
            <w:tcW w:w="875" w:type="dxa"/>
            <w:tcBorders>
              <w:top w:val="nil"/>
              <w:left w:val="nil"/>
              <w:bottom w:val="nil"/>
              <w:right w:val="nil"/>
            </w:tcBorders>
            <w:vAlign w:val="center"/>
            <w:hideMark/>
          </w:tcPr>
          <w:p w14:paraId="1822E7D0" w14:textId="77777777" w:rsidR="00D12DDA" w:rsidRPr="00D12DDA" w:rsidRDefault="00D12DDA" w:rsidP="00533E4F">
            <w:pPr>
              <w:spacing w:after="0" w:line="276" w:lineRule="auto"/>
              <w:textAlignment w:val="baseline"/>
              <w:rPr>
                <w:rFonts w:ascii="Century Gothic" w:eastAsia="Times New Roman" w:hAnsi="Century Gothic" w:cs="Arial"/>
                <w:sz w:val="16"/>
                <w:szCs w:val="16"/>
                <w:lang w:eastAsia="es-CO"/>
              </w:rPr>
            </w:pPr>
            <w:r w:rsidRPr="00D12DDA">
              <w:rPr>
                <w:rFonts w:ascii="Century Gothic" w:eastAsia="Times New Roman" w:hAnsi="Century Gothic" w:cs="Arial"/>
                <w:sz w:val="16"/>
                <w:szCs w:val="16"/>
                <w:lang w:val="es-MX" w:eastAsia="es-CO"/>
              </w:rPr>
              <w:t>Elaboró:</w:t>
            </w:r>
            <w:r w:rsidRPr="00D12DDA">
              <w:rPr>
                <w:rFonts w:ascii="Century Gothic" w:eastAsia="Times New Roman" w:hAnsi="Century Gothic" w:cs="Arial"/>
                <w:sz w:val="16"/>
                <w:szCs w:val="16"/>
                <w:lang w:eastAsia="es-CO"/>
              </w:rPr>
              <w:t> </w:t>
            </w:r>
          </w:p>
        </w:tc>
        <w:tc>
          <w:tcPr>
            <w:tcW w:w="7706" w:type="dxa"/>
            <w:tcBorders>
              <w:top w:val="nil"/>
              <w:left w:val="nil"/>
              <w:bottom w:val="dotted" w:sz="6" w:space="0" w:color="7F7F7F"/>
              <w:right w:val="nil"/>
            </w:tcBorders>
            <w:vAlign w:val="center"/>
            <w:hideMark/>
          </w:tcPr>
          <w:p w14:paraId="0E23E684" w14:textId="77777777" w:rsidR="00D12DDA" w:rsidRPr="00D12DDA" w:rsidRDefault="00D12DDA" w:rsidP="00533E4F">
            <w:pPr>
              <w:spacing w:after="0" w:line="240" w:lineRule="auto"/>
              <w:textAlignment w:val="baseline"/>
              <w:rPr>
                <w:rFonts w:ascii="Century Gothic" w:eastAsia="Times New Roman" w:hAnsi="Century Gothic" w:cs="Arial"/>
                <w:sz w:val="16"/>
                <w:szCs w:val="16"/>
                <w:lang w:val="es-MX" w:eastAsia="es-CO"/>
              </w:rPr>
            </w:pPr>
            <w:r w:rsidRPr="00D12DDA">
              <w:rPr>
                <w:rFonts w:ascii="Century Gothic" w:eastAsia="Times New Roman" w:hAnsi="Century Gothic" w:cs="Arial"/>
                <w:sz w:val="16"/>
                <w:szCs w:val="16"/>
                <w:lang w:val="es-MX" w:eastAsia="es-CO"/>
              </w:rPr>
              <w:t xml:space="preserve">Christian Camilo Orjuela Galeano </w:t>
            </w:r>
          </w:p>
          <w:p w14:paraId="124F022A" w14:textId="77777777" w:rsidR="00D12DDA" w:rsidRPr="00D12DDA" w:rsidRDefault="00D12DDA" w:rsidP="00533E4F">
            <w:pPr>
              <w:spacing w:after="0" w:line="240" w:lineRule="auto"/>
              <w:textAlignment w:val="baseline"/>
              <w:rPr>
                <w:rFonts w:ascii="Century Gothic" w:eastAsia="Times New Roman" w:hAnsi="Century Gothic" w:cs="Arial"/>
                <w:sz w:val="16"/>
                <w:szCs w:val="16"/>
                <w:lang w:eastAsia="es-CO"/>
              </w:rPr>
            </w:pPr>
            <w:r w:rsidRPr="00D12DDA">
              <w:rPr>
                <w:rFonts w:ascii="Century Gothic" w:eastAsia="Times New Roman" w:hAnsi="Century Gothic" w:cs="Arial"/>
                <w:sz w:val="16"/>
                <w:szCs w:val="16"/>
                <w:lang w:val="es-MX" w:eastAsia="es-CO"/>
              </w:rPr>
              <w:t xml:space="preserve">Contratista </w:t>
            </w:r>
            <w:r w:rsidRPr="00D12DDA">
              <w:rPr>
                <w:rFonts w:ascii="Century Gothic" w:eastAsia="Times New Roman" w:hAnsi="Century Gothic" w:cs="Arial"/>
                <w:sz w:val="16"/>
                <w:szCs w:val="16"/>
                <w:lang w:eastAsia="es-CO"/>
              </w:rPr>
              <w:t>Subdirección de Gestión Contractual</w:t>
            </w:r>
          </w:p>
        </w:tc>
      </w:tr>
      <w:tr w:rsidR="00D12DDA" w:rsidRPr="00D12DDA" w14:paraId="437BFDC9" w14:textId="77777777" w:rsidTr="00533E4F">
        <w:trPr>
          <w:trHeight w:val="383"/>
        </w:trPr>
        <w:tc>
          <w:tcPr>
            <w:tcW w:w="875" w:type="dxa"/>
            <w:tcBorders>
              <w:top w:val="nil"/>
              <w:left w:val="nil"/>
              <w:bottom w:val="nil"/>
              <w:right w:val="nil"/>
            </w:tcBorders>
            <w:vAlign w:val="center"/>
            <w:hideMark/>
          </w:tcPr>
          <w:p w14:paraId="763D0AD8" w14:textId="77777777" w:rsidR="00D12DDA" w:rsidRPr="00D12DDA" w:rsidRDefault="00D12DDA" w:rsidP="00533E4F">
            <w:pPr>
              <w:spacing w:after="0" w:line="276" w:lineRule="auto"/>
              <w:textAlignment w:val="baseline"/>
              <w:rPr>
                <w:rFonts w:ascii="Century Gothic" w:eastAsia="Times New Roman" w:hAnsi="Century Gothic" w:cs="Arial"/>
                <w:sz w:val="16"/>
                <w:szCs w:val="16"/>
                <w:lang w:eastAsia="es-CO"/>
              </w:rPr>
            </w:pPr>
            <w:r w:rsidRPr="00D12DDA">
              <w:rPr>
                <w:rFonts w:ascii="Century Gothic" w:eastAsia="Times New Roman" w:hAnsi="Century Gothic" w:cs="Arial"/>
                <w:sz w:val="16"/>
                <w:szCs w:val="16"/>
                <w:lang w:val="es-MX" w:eastAsia="es-CO"/>
              </w:rPr>
              <w:t>Revisó:</w:t>
            </w:r>
            <w:r w:rsidRPr="00D12DDA">
              <w:rPr>
                <w:rFonts w:ascii="Century Gothic" w:eastAsia="Times New Roman" w:hAnsi="Century Gothic" w:cs="Arial"/>
                <w:sz w:val="16"/>
                <w:szCs w:val="16"/>
                <w:lang w:eastAsia="es-CO"/>
              </w:rPr>
              <w:t> </w:t>
            </w:r>
          </w:p>
        </w:tc>
        <w:tc>
          <w:tcPr>
            <w:tcW w:w="7706" w:type="dxa"/>
            <w:tcBorders>
              <w:top w:val="dotted" w:sz="6" w:space="0" w:color="7F7F7F"/>
              <w:left w:val="nil"/>
              <w:bottom w:val="dotted" w:sz="6" w:space="0" w:color="7F7F7F"/>
              <w:right w:val="nil"/>
            </w:tcBorders>
            <w:vAlign w:val="center"/>
            <w:hideMark/>
          </w:tcPr>
          <w:p w14:paraId="1ED5F715" w14:textId="77777777" w:rsidR="00D12DDA" w:rsidRPr="00D12DDA" w:rsidRDefault="00D12DDA" w:rsidP="00533E4F">
            <w:pPr>
              <w:spacing w:after="0" w:line="276" w:lineRule="auto"/>
              <w:textAlignment w:val="baseline"/>
              <w:rPr>
                <w:rFonts w:ascii="Century Gothic" w:eastAsia="Times New Roman" w:hAnsi="Century Gothic" w:cs="Arial"/>
                <w:sz w:val="16"/>
                <w:szCs w:val="16"/>
                <w:lang w:val="es-MX" w:eastAsia="es-CO"/>
              </w:rPr>
            </w:pPr>
            <w:r w:rsidRPr="00D12DDA">
              <w:rPr>
                <w:rFonts w:ascii="Century Gothic" w:eastAsia="Times New Roman" w:hAnsi="Century Gothic" w:cs="Arial"/>
                <w:sz w:val="16"/>
                <w:szCs w:val="16"/>
                <w:lang w:val="es-MX" w:eastAsia="es-CO"/>
              </w:rPr>
              <w:t>Alejandro Sarmiento</w:t>
            </w:r>
          </w:p>
          <w:p w14:paraId="1174A8CA" w14:textId="77777777" w:rsidR="00D12DDA" w:rsidRPr="00D12DDA" w:rsidRDefault="00D12DDA" w:rsidP="00533E4F">
            <w:pPr>
              <w:spacing w:after="0" w:line="240" w:lineRule="auto"/>
              <w:textAlignment w:val="baseline"/>
              <w:rPr>
                <w:rFonts w:ascii="Century Gothic" w:eastAsia="Times New Roman" w:hAnsi="Century Gothic" w:cs="Arial"/>
                <w:sz w:val="16"/>
                <w:szCs w:val="16"/>
                <w:lang w:eastAsia="es-CO"/>
              </w:rPr>
            </w:pPr>
            <w:r w:rsidRPr="00D12DDA">
              <w:rPr>
                <w:rFonts w:ascii="Century Gothic" w:eastAsia="Times New Roman" w:hAnsi="Century Gothic" w:cs="Arial"/>
                <w:sz w:val="16"/>
                <w:szCs w:val="16"/>
                <w:lang w:val="es-MX" w:eastAsia="es-CO"/>
              </w:rPr>
              <w:t>Gestor T1 Grado 15</w:t>
            </w:r>
          </w:p>
        </w:tc>
      </w:tr>
      <w:tr w:rsidR="00D12DDA" w:rsidRPr="00D12DDA" w14:paraId="36A7082E" w14:textId="77777777" w:rsidTr="00533E4F">
        <w:trPr>
          <w:trHeight w:val="365"/>
        </w:trPr>
        <w:tc>
          <w:tcPr>
            <w:tcW w:w="875" w:type="dxa"/>
            <w:tcBorders>
              <w:top w:val="nil"/>
              <w:left w:val="nil"/>
              <w:bottom w:val="nil"/>
              <w:right w:val="nil"/>
            </w:tcBorders>
            <w:vAlign w:val="center"/>
            <w:hideMark/>
          </w:tcPr>
          <w:p w14:paraId="06C3EEE6" w14:textId="77777777" w:rsidR="00D12DDA" w:rsidRPr="00D12DDA" w:rsidRDefault="00D12DDA" w:rsidP="00533E4F">
            <w:pPr>
              <w:spacing w:after="0" w:line="276" w:lineRule="auto"/>
              <w:textAlignment w:val="baseline"/>
              <w:rPr>
                <w:rFonts w:ascii="Century Gothic" w:eastAsia="Times New Roman" w:hAnsi="Century Gothic" w:cs="Arial"/>
                <w:sz w:val="16"/>
                <w:szCs w:val="16"/>
                <w:lang w:eastAsia="es-CO"/>
              </w:rPr>
            </w:pPr>
            <w:r w:rsidRPr="00D12DDA">
              <w:rPr>
                <w:rFonts w:ascii="Century Gothic" w:eastAsia="Times New Roman" w:hAnsi="Century Gothic" w:cs="Arial"/>
                <w:sz w:val="16"/>
                <w:szCs w:val="16"/>
                <w:lang w:val="es-MX" w:eastAsia="es-CO"/>
              </w:rPr>
              <w:t>Aprobó:</w:t>
            </w:r>
            <w:r w:rsidRPr="00D12DDA">
              <w:rPr>
                <w:rFonts w:ascii="Century Gothic" w:eastAsia="Times New Roman" w:hAnsi="Century Gothic" w:cs="Arial"/>
                <w:sz w:val="16"/>
                <w:szCs w:val="16"/>
                <w:lang w:eastAsia="es-CO"/>
              </w:rPr>
              <w:t> </w:t>
            </w:r>
          </w:p>
        </w:tc>
        <w:tc>
          <w:tcPr>
            <w:tcW w:w="7706" w:type="dxa"/>
            <w:tcBorders>
              <w:top w:val="dotted" w:sz="6" w:space="0" w:color="7F7F7F"/>
              <w:left w:val="nil"/>
              <w:bottom w:val="dotted" w:sz="6" w:space="0" w:color="7F7F7F"/>
              <w:right w:val="nil"/>
            </w:tcBorders>
            <w:vAlign w:val="center"/>
            <w:hideMark/>
          </w:tcPr>
          <w:p w14:paraId="25B0B018" w14:textId="77777777" w:rsidR="00D12DDA" w:rsidRPr="00D12DDA" w:rsidRDefault="00D12DDA" w:rsidP="00533E4F">
            <w:pPr>
              <w:spacing w:after="0" w:line="240" w:lineRule="auto"/>
              <w:textAlignment w:val="baseline"/>
              <w:rPr>
                <w:rFonts w:ascii="Century Gothic" w:eastAsia="Times New Roman" w:hAnsi="Century Gothic" w:cs="Arial"/>
                <w:sz w:val="16"/>
                <w:szCs w:val="16"/>
                <w:lang w:val="es-ES_tradnl" w:eastAsia="es-CO"/>
              </w:rPr>
            </w:pPr>
            <w:r w:rsidRPr="00D12DDA">
              <w:rPr>
                <w:rFonts w:ascii="Century Gothic" w:eastAsia="Times New Roman" w:hAnsi="Century Gothic" w:cs="Arial"/>
                <w:sz w:val="16"/>
                <w:szCs w:val="16"/>
                <w:lang w:val="es-ES_tradnl" w:eastAsia="es-CO"/>
              </w:rPr>
              <w:t>Nohelia del Carmen Zawady Palacio</w:t>
            </w:r>
          </w:p>
          <w:p w14:paraId="06604796" w14:textId="77777777" w:rsidR="00D12DDA" w:rsidRPr="00D12DDA" w:rsidRDefault="00D12DDA" w:rsidP="00533E4F">
            <w:pPr>
              <w:spacing w:after="0" w:line="240" w:lineRule="auto"/>
              <w:textAlignment w:val="baseline"/>
              <w:rPr>
                <w:rFonts w:ascii="Century Gothic" w:eastAsia="Times New Roman" w:hAnsi="Century Gothic" w:cs="Arial"/>
                <w:sz w:val="16"/>
                <w:szCs w:val="16"/>
                <w:lang w:eastAsia="es-CO"/>
              </w:rPr>
            </w:pPr>
            <w:r w:rsidRPr="00D12DDA">
              <w:rPr>
                <w:rFonts w:ascii="Century Gothic" w:eastAsia="Times New Roman" w:hAnsi="Century Gothic" w:cs="Arial"/>
                <w:sz w:val="16"/>
                <w:szCs w:val="16"/>
                <w:lang w:val="es-ES_tradnl" w:eastAsia="es-CO"/>
              </w:rPr>
              <w:t>Subdirectora de Gestión Contractual ANCP-CCE</w:t>
            </w:r>
          </w:p>
        </w:tc>
      </w:tr>
    </w:tbl>
    <w:p w14:paraId="40F19983" w14:textId="77777777" w:rsidR="00D12DDA" w:rsidRPr="00D12DDA" w:rsidRDefault="00D12DDA" w:rsidP="00D12DDA">
      <w:pPr>
        <w:rPr>
          <w:rFonts w:ascii="Century Gothic" w:eastAsia="Geomanist Light" w:hAnsi="Century Gothic" w:cs="Geomanist Light"/>
          <w:color w:val="201F1E"/>
          <w:lang w:val="es-MX"/>
        </w:rPr>
      </w:pPr>
    </w:p>
    <w:p w14:paraId="0F9B1767" w14:textId="77777777" w:rsidR="00D12DDA" w:rsidRPr="00D12DDA" w:rsidRDefault="00D12DDA" w:rsidP="00D12DDA">
      <w:pPr>
        <w:spacing w:after="0" w:line="276" w:lineRule="auto"/>
        <w:jc w:val="both"/>
        <w:rPr>
          <w:rFonts w:ascii="Century Gothic" w:eastAsia="Times New Roman" w:hAnsi="Century Gothic" w:cs="Arial"/>
          <w:szCs w:val="24"/>
          <w:lang w:val="es-ES_tradnl" w:eastAsia="es-CO"/>
          <w14:ligatures w14:val="standardContextual"/>
        </w:rPr>
      </w:pPr>
    </w:p>
    <w:p w14:paraId="4BDD719B" w14:textId="77777777" w:rsidR="00D12DDA" w:rsidRPr="00D12DDA" w:rsidRDefault="00D12DDA" w:rsidP="00D12DDA">
      <w:pPr>
        <w:spacing w:after="240" w:line="240" w:lineRule="auto"/>
        <w:ind w:left="708" w:hanging="708"/>
        <w:jc w:val="center"/>
        <w:rPr>
          <w:rFonts w:ascii="Century Gothic" w:eastAsia="Yu Gothic UI Semibold" w:hAnsi="Century Gothic" w:cs="Arial"/>
          <w:noProof/>
          <w:lang w:eastAsia="es-CO"/>
          <w14:ligatures w14:val="standardContextual"/>
        </w:rPr>
      </w:pPr>
    </w:p>
    <w:p w14:paraId="095C2114" w14:textId="77777777" w:rsidR="00D12DDA" w:rsidRPr="00D12DDA" w:rsidRDefault="00D12DDA" w:rsidP="00D12DDA">
      <w:pPr>
        <w:rPr>
          <w:rFonts w:ascii="Century Gothic" w:hAnsi="Century Gothic"/>
          <w:lang w:val="es-MX"/>
        </w:rPr>
      </w:pPr>
    </w:p>
    <w:p w14:paraId="6AC13354" w14:textId="77777777" w:rsidR="00164D9D" w:rsidRPr="00D12DDA" w:rsidRDefault="00164D9D" w:rsidP="00E245AB">
      <w:pPr>
        <w:spacing w:after="0"/>
        <w:rPr>
          <w:rFonts w:ascii="Century Gothic" w:hAnsi="Century Gothic"/>
        </w:rPr>
      </w:pPr>
    </w:p>
    <w:sectPr w:rsidR="00164D9D" w:rsidRPr="00D12DDA"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6B07" w14:textId="77777777" w:rsidR="00D71E38" w:rsidRDefault="00D71E38" w:rsidP="004A1847">
      <w:pPr>
        <w:spacing w:after="0" w:line="240" w:lineRule="auto"/>
      </w:pPr>
      <w:r>
        <w:separator/>
      </w:r>
    </w:p>
  </w:endnote>
  <w:endnote w:type="continuationSeparator" w:id="0">
    <w:p w14:paraId="25A43DE6" w14:textId="77777777" w:rsidR="00D71E38" w:rsidRDefault="00D71E3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panose1 w:val="02000503000000020004"/>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Yu Gothic UI Semibold">
    <w:panose1 w:val="020B0700000000000000"/>
    <w:charset w:val="80"/>
    <w:family w:val="swiss"/>
    <w:pitch w:val="variable"/>
    <w:sig w:usb0="E00002FF" w:usb1="2AC7FDFF" w:usb2="00000016" w:usb3="00000000" w:csb0="0002009F" w:csb1="00000000"/>
  </w:font>
  <w:font w:name="Geomanist Bold">
    <w:altName w:val="Calibri"/>
    <w:panose1 w:val="02000503000000020004"/>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2DDA" w14:textId="77777777" w:rsidR="00D71E38" w:rsidRDefault="00D71E38" w:rsidP="004A1847">
      <w:pPr>
        <w:spacing w:after="0" w:line="240" w:lineRule="auto"/>
      </w:pPr>
      <w:r>
        <w:separator/>
      </w:r>
    </w:p>
  </w:footnote>
  <w:footnote w:type="continuationSeparator" w:id="0">
    <w:p w14:paraId="676C6713" w14:textId="77777777" w:rsidR="00D71E38" w:rsidRDefault="00D71E38" w:rsidP="004A1847">
      <w:pPr>
        <w:spacing w:after="0" w:line="240" w:lineRule="auto"/>
      </w:pPr>
      <w:r>
        <w:continuationSeparator/>
      </w:r>
    </w:p>
  </w:footnote>
  <w:footnote w:id="1">
    <w:p w14:paraId="15E54124" w14:textId="77777777" w:rsidR="00D12DDA" w:rsidRPr="00E2196A" w:rsidRDefault="00D12DDA" w:rsidP="00D12DDA">
      <w:pPr>
        <w:pBdr>
          <w:top w:val="nil"/>
          <w:left w:val="nil"/>
          <w:bottom w:val="nil"/>
          <w:right w:val="nil"/>
          <w:between w:val="nil"/>
        </w:pBdr>
        <w:spacing w:after="0" w:line="240" w:lineRule="auto"/>
        <w:ind w:firstLine="709"/>
        <w:contextualSpacing/>
        <w:jc w:val="both"/>
        <w:rPr>
          <w:rFonts w:ascii="Century Gothic" w:eastAsia="Arial" w:hAnsi="Century Gothic" w:cs="Arial"/>
          <w:sz w:val="16"/>
          <w:szCs w:val="16"/>
        </w:rPr>
      </w:pPr>
      <w:r w:rsidRPr="00E2196A">
        <w:rPr>
          <w:rFonts w:ascii="Century Gothic" w:hAnsi="Century Gothic" w:cs="Arial"/>
          <w:sz w:val="16"/>
          <w:szCs w:val="16"/>
          <w:vertAlign w:val="superscript"/>
        </w:rPr>
        <w:footnoteRef/>
      </w:r>
      <w:r w:rsidRPr="00E2196A">
        <w:rPr>
          <w:rFonts w:ascii="Century Gothic" w:eastAsia="Arial" w:hAnsi="Century Gothic" w:cs="Arial"/>
          <w:sz w:val="16"/>
          <w:szCs w:val="16"/>
        </w:rPr>
        <w:t xml:space="preserve"> La Agencia Nacional de Contratación Pública </w:t>
      </w:r>
      <w:r w:rsidRPr="00E2196A">
        <w:rPr>
          <w:rFonts w:ascii="Arial" w:eastAsia="Arial" w:hAnsi="Arial" w:cs="Arial"/>
          <w:sz w:val="16"/>
          <w:szCs w:val="16"/>
        </w:rPr>
        <w:t>‒</w:t>
      </w:r>
      <w:r w:rsidRPr="00E2196A">
        <w:rPr>
          <w:rFonts w:ascii="Century Gothic" w:eastAsia="Arial" w:hAnsi="Century Gothic" w:cs="Arial"/>
          <w:sz w:val="16"/>
          <w:szCs w:val="16"/>
        </w:rPr>
        <w:t xml:space="preserve"> Colombia Compra Eficiente fue creada por el Decreto Ley 4170 de 2011. Su objetivo es servir como ente rector de la pol</w:t>
      </w:r>
      <w:r w:rsidRPr="00E2196A">
        <w:rPr>
          <w:rFonts w:ascii="Century Gothic" w:eastAsia="Arial" w:hAnsi="Century Gothic" w:cs="Century Gothic"/>
          <w:sz w:val="16"/>
          <w:szCs w:val="16"/>
        </w:rPr>
        <w:t>í</w:t>
      </w:r>
      <w:r w:rsidRPr="00E2196A">
        <w:rPr>
          <w:rFonts w:ascii="Century Gothic" w:eastAsia="Arial" w:hAnsi="Century Gothic" w:cs="Arial"/>
          <w:sz w:val="16"/>
          <w:szCs w:val="16"/>
        </w:rPr>
        <w:t>tica de compras y contrataci</w:t>
      </w:r>
      <w:r w:rsidRPr="00E2196A">
        <w:rPr>
          <w:rFonts w:ascii="Century Gothic" w:eastAsia="Arial" w:hAnsi="Century Gothic" w:cs="Century Gothic"/>
          <w:sz w:val="16"/>
          <w:szCs w:val="16"/>
        </w:rPr>
        <w:t>ó</w:t>
      </w:r>
      <w:r w:rsidRPr="00E2196A">
        <w:rPr>
          <w:rFonts w:ascii="Century Gothic" w:eastAsia="Arial" w:hAnsi="Century Gothic" w:cs="Arial"/>
          <w:sz w:val="16"/>
          <w:szCs w:val="16"/>
        </w:rPr>
        <w:t xml:space="preserve">n del Estado. Para tales fines, como </w:t>
      </w:r>
      <w:r w:rsidRPr="00E2196A">
        <w:rPr>
          <w:rFonts w:ascii="Century Gothic" w:eastAsia="Arial" w:hAnsi="Century Gothic" w:cs="Century Gothic"/>
          <w:sz w:val="16"/>
          <w:szCs w:val="16"/>
        </w:rPr>
        <w:t>ó</w:t>
      </w:r>
      <w:r w:rsidRPr="00E2196A">
        <w:rPr>
          <w:rFonts w:ascii="Century Gothic" w:eastAsia="Arial" w:hAnsi="Century Gothic" w:cs="Arial"/>
          <w:sz w:val="16"/>
          <w:szCs w:val="16"/>
        </w:rPr>
        <w:t>rgano t</w:t>
      </w:r>
      <w:r w:rsidRPr="00E2196A">
        <w:rPr>
          <w:rFonts w:ascii="Century Gothic" w:eastAsia="Arial" w:hAnsi="Century Gothic" w:cs="Century Gothic"/>
          <w:sz w:val="16"/>
          <w:szCs w:val="16"/>
        </w:rPr>
        <w:t>é</w:t>
      </w:r>
      <w:r w:rsidRPr="00E2196A">
        <w:rPr>
          <w:rFonts w:ascii="Century Gothic" w:eastAsia="Arial" w:hAnsi="Century Gothic" w:cs="Arial"/>
          <w:sz w:val="16"/>
          <w:szCs w:val="16"/>
        </w:rPr>
        <w:t xml:space="preserve">cnico especializado, le corresponde formular políticas públicas y normas y unificar los procesos de contratación estatal, con el fin de lograr una mayor eficiencia, transparencia y optimización de los recursos del Estado. El artículo 3 </w:t>
      </w:r>
      <w:r w:rsidRPr="00E2196A">
        <w:rPr>
          <w:rFonts w:ascii="Century Gothic" w:eastAsia="Arial" w:hAnsi="Century Gothic" w:cs="Arial"/>
          <w:i/>
          <w:sz w:val="16"/>
          <w:szCs w:val="16"/>
        </w:rPr>
        <w:t xml:space="preserve">ibídem </w:t>
      </w:r>
      <w:r w:rsidRPr="00E2196A">
        <w:rPr>
          <w:rFonts w:ascii="Century Gothic" w:eastAsia="Arial" w:hAnsi="Century Gothic" w:cs="Arial"/>
          <w:sz w:val="16"/>
          <w:szCs w:val="16"/>
        </w:rPr>
        <w:t>señala, de manera precisa, las funciones de Colombia Compra Eficiente. Concretamente, el numeral 5º de este artículo establece que le corresponde a esta entidad: “[a]</w:t>
      </w:r>
      <w:proofErr w:type="spellStart"/>
      <w:r w:rsidRPr="00E2196A">
        <w:rPr>
          <w:rFonts w:ascii="Century Gothic" w:eastAsia="Arial" w:hAnsi="Century Gothic" w:cs="Arial"/>
          <w:sz w:val="16"/>
          <w:szCs w:val="16"/>
        </w:rPr>
        <w:t>bsolver</w:t>
      </w:r>
      <w:proofErr w:type="spellEnd"/>
      <w:r w:rsidRPr="00E2196A">
        <w:rPr>
          <w:rFonts w:ascii="Century Gothic" w:eastAsia="Arial" w:hAnsi="Century Gothic" w:cs="Arial"/>
          <w:sz w:val="16"/>
          <w:szCs w:val="16"/>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1700D15B" w14:textId="77777777" w:rsidR="00D12DDA" w:rsidRPr="00722788" w:rsidRDefault="00D12DDA" w:rsidP="00D12DDA">
      <w:pPr>
        <w:pBdr>
          <w:top w:val="nil"/>
          <w:left w:val="nil"/>
          <w:bottom w:val="nil"/>
          <w:right w:val="nil"/>
          <w:between w:val="nil"/>
        </w:pBdr>
        <w:spacing w:after="0" w:line="240" w:lineRule="auto"/>
        <w:ind w:firstLine="709"/>
        <w:contextualSpacing/>
        <w:jc w:val="both"/>
        <w:rPr>
          <w:rFonts w:ascii="Arial" w:eastAsia="Arial" w:hAnsi="Arial" w:cs="Arial"/>
          <w:sz w:val="18"/>
          <w:szCs w:val="18"/>
        </w:rPr>
      </w:pPr>
    </w:p>
  </w:footnote>
  <w:footnote w:id="2">
    <w:p w14:paraId="156C4A48" w14:textId="77777777" w:rsidR="00D12DDA" w:rsidRPr="00E2196A" w:rsidRDefault="00D12DDA" w:rsidP="00D12DDA">
      <w:pPr>
        <w:pStyle w:val="Textonotapie"/>
        <w:ind w:firstLine="709"/>
        <w:contextualSpacing/>
        <w:jc w:val="both"/>
        <w:rPr>
          <w:rFonts w:ascii="Century Gothic" w:hAnsi="Century Gothic" w:cs="Arial"/>
          <w:sz w:val="16"/>
          <w:szCs w:val="16"/>
          <w:lang w:val="es-CO"/>
        </w:rPr>
      </w:pPr>
      <w:r w:rsidRPr="00E2196A">
        <w:rPr>
          <w:rStyle w:val="Refdenotaalpie"/>
          <w:rFonts w:ascii="Century Gothic" w:hAnsi="Century Gothic" w:cs="Arial"/>
          <w:sz w:val="16"/>
          <w:szCs w:val="16"/>
        </w:rPr>
        <w:footnoteRef/>
      </w:r>
      <w:r w:rsidRPr="00E2196A">
        <w:rPr>
          <w:rFonts w:ascii="Century Gothic" w:hAnsi="Century Gothic" w:cs="Arial"/>
          <w:sz w:val="16"/>
          <w:szCs w:val="16"/>
        </w:rPr>
        <w:t xml:space="preserve"> </w:t>
      </w:r>
      <w:r w:rsidRPr="00E2196A">
        <w:rPr>
          <w:rFonts w:ascii="Century Gothic" w:hAnsi="Century Gothic" w:cs="Arial"/>
          <w:sz w:val="16"/>
          <w:szCs w:val="16"/>
          <w:lang w:val="es-CO"/>
        </w:rPr>
        <w:t xml:space="preserve">Estos conceptos pueden ser consultados en la relatoría de la Agencia en el siguiente enlace: </w:t>
      </w:r>
      <w:hyperlink r:id="rId1" w:history="1">
        <w:r w:rsidRPr="00E2196A">
          <w:rPr>
            <w:rStyle w:val="Hipervnculo"/>
            <w:rFonts w:ascii="Century Gothic" w:hAnsi="Century Gothic" w:cs="Arial"/>
            <w:color w:val="000000" w:themeColor="text1"/>
            <w:sz w:val="16"/>
            <w:szCs w:val="16"/>
            <w:lang w:val="es-CO"/>
          </w:rPr>
          <w:t>https://relatoria.colombiacompra.gov.co/busqueda/conceptos#</w:t>
        </w:r>
      </w:hyperlink>
      <w:r w:rsidRPr="00E2196A">
        <w:rPr>
          <w:rFonts w:ascii="Century Gothic" w:hAnsi="Century Gothic" w:cs="Arial"/>
          <w:color w:val="000000" w:themeColor="text1"/>
          <w:sz w:val="16"/>
          <w:szCs w:val="16"/>
          <w:lang w:val="es-CO"/>
        </w:rPr>
        <w:t xml:space="preserve"> </w:t>
      </w:r>
    </w:p>
  </w:footnote>
  <w:footnote w:id="3">
    <w:p w14:paraId="766A64CD"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p>
    <w:p w14:paraId="6AA9F299"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r w:rsidRPr="00E2196A">
        <w:rPr>
          <w:rStyle w:val="Refdenotaalpie"/>
          <w:rFonts w:ascii="Century Gothic" w:hAnsi="Century Gothic" w:cs="Arial"/>
          <w:color w:val="000000" w:themeColor="text1"/>
          <w:sz w:val="16"/>
          <w:szCs w:val="16"/>
        </w:rPr>
        <w:footnoteRef/>
      </w:r>
      <w:r w:rsidRPr="00E2196A">
        <w:rPr>
          <w:rFonts w:ascii="Century Gothic" w:hAnsi="Century Gothic" w:cs="Arial"/>
          <w:color w:val="000000" w:themeColor="text1"/>
          <w:sz w:val="16"/>
          <w:szCs w:val="16"/>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14CCC79A"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p>
  </w:footnote>
  <w:footnote w:id="4">
    <w:p w14:paraId="0F1227A1" w14:textId="77777777" w:rsidR="00D12DDA" w:rsidRPr="00722788" w:rsidRDefault="00D12DDA" w:rsidP="00D12DDA">
      <w:pPr>
        <w:pStyle w:val="Textonotapie"/>
        <w:ind w:firstLine="709"/>
        <w:contextualSpacing/>
        <w:jc w:val="both"/>
        <w:rPr>
          <w:rFonts w:ascii="Arial" w:hAnsi="Arial" w:cs="Arial"/>
          <w:color w:val="000000" w:themeColor="text1"/>
          <w:sz w:val="18"/>
          <w:szCs w:val="18"/>
        </w:rPr>
      </w:pPr>
      <w:r w:rsidRPr="00E2196A">
        <w:rPr>
          <w:rStyle w:val="Refdenotaalpie"/>
          <w:rFonts w:ascii="Century Gothic" w:hAnsi="Century Gothic" w:cs="Arial"/>
          <w:color w:val="000000" w:themeColor="text1"/>
          <w:sz w:val="16"/>
          <w:szCs w:val="16"/>
        </w:rPr>
        <w:footnoteRef/>
      </w:r>
      <w:r w:rsidRPr="00E2196A">
        <w:rPr>
          <w:rFonts w:ascii="Century Gothic" w:hAnsi="Century Gothic" w:cs="Arial"/>
          <w:color w:val="000000" w:themeColor="text1"/>
          <w:sz w:val="16"/>
          <w:szCs w:val="16"/>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5">
    <w:p w14:paraId="4687064F"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p>
    <w:p w14:paraId="4509CEBA" w14:textId="77777777" w:rsidR="00D12DDA" w:rsidRPr="00722788" w:rsidRDefault="00D12DDA" w:rsidP="00D12DDA">
      <w:pPr>
        <w:pStyle w:val="Textonotapie"/>
        <w:ind w:firstLine="709"/>
        <w:contextualSpacing/>
        <w:jc w:val="both"/>
        <w:rPr>
          <w:rFonts w:ascii="Arial" w:hAnsi="Arial" w:cs="Arial"/>
          <w:color w:val="000000" w:themeColor="text1"/>
          <w:sz w:val="18"/>
          <w:szCs w:val="18"/>
        </w:rPr>
      </w:pPr>
      <w:r w:rsidRPr="00E2196A">
        <w:rPr>
          <w:rStyle w:val="Refdenotaalpie"/>
          <w:rFonts w:ascii="Century Gothic" w:hAnsi="Century Gothic" w:cs="Arial"/>
          <w:color w:val="000000" w:themeColor="text1"/>
          <w:sz w:val="16"/>
          <w:szCs w:val="16"/>
        </w:rPr>
        <w:footnoteRef/>
      </w:r>
      <w:r w:rsidRPr="00E2196A">
        <w:rPr>
          <w:rFonts w:ascii="Century Gothic" w:hAnsi="Century Gothic" w:cs="Arial"/>
          <w:color w:val="000000" w:themeColor="text1"/>
          <w:sz w:val="16"/>
          <w:szCs w:val="16"/>
        </w:rPr>
        <w:t xml:space="preserve"> Consejo de Estado. Sección Tercera. Subsección C. Sentencia del 26 de febrero de 2014. Expediente: 25.804. Consejero Ponente: Enrique Gil Botero.</w:t>
      </w:r>
    </w:p>
  </w:footnote>
  <w:footnote w:id="6">
    <w:p w14:paraId="244CA118"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p>
    <w:p w14:paraId="2ACCE24C"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r w:rsidRPr="00E2196A">
        <w:rPr>
          <w:rStyle w:val="Refdenotaalpie"/>
          <w:rFonts w:ascii="Century Gothic" w:hAnsi="Century Gothic" w:cs="Arial"/>
          <w:color w:val="000000" w:themeColor="text1"/>
          <w:sz w:val="16"/>
          <w:szCs w:val="16"/>
        </w:rPr>
        <w:footnoteRef/>
      </w:r>
      <w:r w:rsidRPr="00E2196A">
        <w:rPr>
          <w:rStyle w:val="Refdenotaalpie"/>
          <w:rFonts w:ascii="Century Gothic" w:hAnsi="Century Gothic" w:cs="Arial"/>
          <w:color w:val="000000" w:themeColor="text1"/>
          <w:sz w:val="16"/>
          <w:szCs w:val="16"/>
        </w:rPr>
        <w:t xml:space="preserve"> </w:t>
      </w:r>
      <w:r w:rsidRPr="00E2196A">
        <w:rPr>
          <w:rFonts w:ascii="Century Gothic" w:hAnsi="Century Gothic" w:cs="Arial"/>
          <w:color w:val="000000" w:themeColor="text1"/>
          <w:sz w:val="16"/>
          <w:szCs w:val="16"/>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11124984"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p>
  </w:footnote>
  <w:footnote w:id="7">
    <w:p w14:paraId="059B0082" w14:textId="77777777" w:rsidR="00D12DDA" w:rsidRPr="00E2196A" w:rsidRDefault="00D12DDA" w:rsidP="00D12DDA">
      <w:pPr>
        <w:pStyle w:val="NormalWeb"/>
        <w:shd w:val="clear" w:color="auto" w:fill="FFFFFF"/>
        <w:spacing w:after="0" w:line="240" w:lineRule="auto"/>
        <w:ind w:firstLine="708"/>
        <w:contextualSpacing/>
        <w:jc w:val="both"/>
        <w:rPr>
          <w:rFonts w:ascii="Century Gothic" w:hAnsi="Century Gothic" w:cs="Arial"/>
          <w:sz w:val="16"/>
          <w:szCs w:val="16"/>
          <w:lang w:val="es-ES"/>
        </w:rPr>
      </w:pPr>
      <w:r w:rsidRPr="00E2196A">
        <w:rPr>
          <w:rStyle w:val="Refdenotaalpie"/>
          <w:rFonts w:ascii="Century Gothic" w:hAnsi="Century Gothic" w:cs="Arial"/>
          <w:sz w:val="16"/>
          <w:szCs w:val="16"/>
        </w:rPr>
        <w:footnoteRef/>
      </w:r>
      <w:r w:rsidRPr="00E2196A">
        <w:rPr>
          <w:rFonts w:ascii="Century Gothic" w:hAnsi="Century Gothic" w:cs="Arial"/>
          <w:sz w:val="16"/>
          <w:szCs w:val="16"/>
        </w:rPr>
        <w:t xml:space="preserve"> “</w:t>
      </w:r>
      <w:r w:rsidRPr="00E2196A">
        <w:rPr>
          <w:rFonts w:ascii="Century Gothic" w:hAnsi="Century Gothic" w:cs="Arial"/>
          <w:bCs/>
          <w:sz w:val="16"/>
          <w:szCs w:val="16"/>
          <w:shd w:val="clear" w:color="auto" w:fill="FFFFFF"/>
        </w:rPr>
        <w:t>2.2.1.2.1.5.2</w:t>
      </w:r>
      <w:r w:rsidRPr="00E2196A">
        <w:rPr>
          <w:rFonts w:ascii="Century Gothic" w:hAnsi="Century Gothic" w:cs="Arial"/>
          <w:sz w:val="16"/>
          <w:szCs w:val="16"/>
          <w:lang w:val="es-ES"/>
        </w:rPr>
        <w:t xml:space="preserve">5. </w:t>
      </w:r>
      <w:r w:rsidRPr="00E2196A">
        <w:rPr>
          <w:rFonts w:ascii="Century Gothic" w:hAnsi="Century Gothic" w:cs="Arial"/>
          <w:bCs/>
          <w:sz w:val="16"/>
          <w:szCs w:val="16"/>
          <w:lang w:val="es-ES"/>
        </w:rPr>
        <w:t>Procedimiento para la contratación de mínima cuantía.</w:t>
      </w:r>
      <w:r w:rsidRPr="00E2196A">
        <w:rPr>
          <w:rFonts w:ascii="Century Gothic" w:hAnsi="Century Gothic" w:cs="Arial"/>
          <w:sz w:val="16"/>
          <w:szCs w:val="16"/>
          <w:lang w:val="es-ES"/>
        </w:rPr>
        <w:t> Las siguientes reglas son aplicables a la contratación cuyo valor no excede del diez por ciento (10%) de la menor cuantía de la Entidad Estatal, independientemente de su objeto:</w:t>
      </w:r>
    </w:p>
    <w:p w14:paraId="266F2D81" w14:textId="77777777" w:rsidR="00D12DDA" w:rsidRPr="00722788" w:rsidRDefault="00D12DDA" w:rsidP="00D12DDA">
      <w:pPr>
        <w:pStyle w:val="NormalWeb"/>
        <w:shd w:val="clear" w:color="auto" w:fill="FFFFFF"/>
        <w:spacing w:after="0" w:line="240" w:lineRule="auto"/>
        <w:ind w:firstLine="708"/>
        <w:contextualSpacing/>
        <w:jc w:val="both"/>
        <w:rPr>
          <w:rFonts w:ascii="Arial" w:hAnsi="Arial" w:cs="Arial"/>
          <w:sz w:val="18"/>
          <w:szCs w:val="18"/>
          <w:lang w:val="es-ES"/>
        </w:rPr>
      </w:pPr>
      <w:r w:rsidRPr="00722788">
        <w:rPr>
          <w:rFonts w:ascii="Arial" w:hAnsi="Arial" w:cs="Arial"/>
          <w:sz w:val="18"/>
          <w:szCs w:val="18"/>
          <w:lang w:val="es-ES"/>
        </w:rPr>
        <w:t>[…]</w:t>
      </w:r>
    </w:p>
    <w:p w14:paraId="12318323" w14:textId="77777777" w:rsidR="00D12DDA" w:rsidRPr="00E2196A" w:rsidRDefault="00D12DDA" w:rsidP="00D12DDA">
      <w:pPr>
        <w:pStyle w:val="NormalWeb"/>
        <w:shd w:val="clear" w:color="auto" w:fill="FFFFFF"/>
        <w:spacing w:after="0" w:line="240" w:lineRule="auto"/>
        <w:ind w:firstLine="708"/>
        <w:contextualSpacing/>
        <w:jc w:val="both"/>
        <w:rPr>
          <w:rFonts w:ascii="Century Gothic" w:hAnsi="Century Gothic" w:cs="Arial"/>
          <w:sz w:val="16"/>
          <w:szCs w:val="16"/>
          <w:lang w:val="es-ES"/>
        </w:rPr>
      </w:pPr>
      <w:r w:rsidRPr="00E2196A">
        <w:rPr>
          <w:rFonts w:ascii="Century Gothic" w:hAnsi="Century Gothic" w:cs="Arial"/>
          <w:sz w:val="16"/>
          <w:szCs w:val="16"/>
        </w:rPr>
        <w:t>“</w:t>
      </w:r>
      <w:r w:rsidRPr="00E2196A">
        <w:rPr>
          <w:rFonts w:ascii="Century Gothic" w:hAnsi="Century Gothic" w:cs="Arial"/>
          <w:sz w:val="16"/>
          <w:szCs w:val="16"/>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2" w:anchor="5" w:history="1">
        <w:r w:rsidRPr="00E2196A">
          <w:rPr>
            <w:rFonts w:ascii="Century Gothic" w:hAnsi="Century Gothic" w:cs="Arial"/>
            <w:sz w:val="16"/>
            <w:szCs w:val="16"/>
            <w:u w:val="single"/>
            <w:lang w:val="es-ES"/>
          </w:rPr>
          <w:t>5 </w:t>
        </w:r>
      </w:hyperlink>
      <w:r w:rsidRPr="00E2196A">
        <w:rPr>
          <w:rFonts w:ascii="Century Gothic" w:hAnsi="Century Gothic" w:cs="Arial"/>
          <w:sz w:val="16"/>
          <w:szCs w:val="16"/>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E2196A">
        <w:rPr>
          <w:rFonts w:ascii="Century Gothic" w:hAnsi="Century Gothic" w:cs="Arial"/>
          <w:sz w:val="16"/>
          <w:szCs w:val="16"/>
        </w:rPr>
        <w:t>”</w:t>
      </w:r>
      <w:r w:rsidRPr="00E2196A">
        <w:rPr>
          <w:rFonts w:ascii="Century Gothic" w:hAnsi="Century Gothic" w:cs="Arial"/>
          <w:sz w:val="16"/>
          <w:szCs w:val="16"/>
          <w:lang w:val="es-ES"/>
        </w:rPr>
        <w:t>.</w:t>
      </w:r>
    </w:p>
    <w:p w14:paraId="10807DF4" w14:textId="77777777" w:rsidR="00D12DDA" w:rsidRPr="00722788" w:rsidRDefault="00D12DDA" w:rsidP="00D12DDA">
      <w:pPr>
        <w:pStyle w:val="Textonotapie"/>
        <w:contextualSpacing/>
        <w:rPr>
          <w:rFonts w:ascii="Arial" w:hAnsi="Arial" w:cs="Arial"/>
          <w:sz w:val="18"/>
          <w:szCs w:val="18"/>
          <w:lang w:val="es-ES"/>
        </w:rPr>
      </w:pPr>
    </w:p>
  </w:footnote>
  <w:footnote w:id="8">
    <w:p w14:paraId="2C6CC1DF"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r w:rsidRPr="00E2196A">
        <w:rPr>
          <w:rStyle w:val="Refdenotaalpie"/>
          <w:rFonts w:ascii="Century Gothic" w:hAnsi="Century Gothic" w:cs="Arial"/>
          <w:color w:val="000000" w:themeColor="text1"/>
          <w:sz w:val="16"/>
          <w:szCs w:val="16"/>
        </w:rPr>
        <w:footnoteRef/>
      </w:r>
      <w:r w:rsidRPr="00E2196A">
        <w:rPr>
          <w:rFonts w:ascii="Century Gothic" w:hAnsi="Century Gothic" w:cs="Arial"/>
          <w:color w:val="000000" w:themeColor="text1"/>
          <w:sz w:val="16"/>
          <w:szCs w:val="16"/>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635665BF"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r w:rsidRPr="00E2196A">
        <w:rPr>
          <w:rFonts w:ascii="Century Gothic" w:hAnsi="Century Gothic" w:cs="Arial"/>
          <w:color w:val="000000" w:themeColor="text1"/>
          <w:sz w:val="16"/>
          <w:szCs w:val="16"/>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E2196A">
        <w:rPr>
          <w:rFonts w:ascii="Century Gothic" w:hAnsi="Century Gothic" w:cs="Arial"/>
          <w:color w:val="000000" w:themeColor="text1"/>
          <w:sz w:val="16"/>
          <w:szCs w:val="16"/>
        </w:rPr>
        <w:t>la misma</w:t>
      </w:r>
      <w:proofErr w:type="gramEnd"/>
      <w:r w:rsidRPr="00E2196A">
        <w:rPr>
          <w:rFonts w:ascii="Century Gothic" w:hAnsi="Century Gothic" w:cs="Arial"/>
          <w:color w:val="000000" w:themeColor="text1"/>
          <w:sz w:val="16"/>
          <w:szCs w:val="16"/>
        </w:rPr>
        <w:t>,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p w14:paraId="048A3325"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p>
  </w:footnote>
  <w:footnote w:id="9">
    <w:p w14:paraId="44D8D55A"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r w:rsidRPr="00E2196A">
        <w:rPr>
          <w:rStyle w:val="Refdenotaalpie"/>
          <w:rFonts w:ascii="Century Gothic" w:hAnsi="Century Gothic" w:cs="Arial"/>
          <w:sz w:val="16"/>
          <w:szCs w:val="16"/>
        </w:rPr>
        <w:footnoteRef/>
      </w:r>
      <w:r w:rsidRPr="00E2196A">
        <w:rPr>
          <w:rFonts w:ascii="Century Gothic" w:hAnsi="Century Gothic" w:cs="Arial"/>
          <w:sz w:val="16"/>
          <w:szCs w:val="16"/>
        </w:rPr>
        <w:t xml:space="preserve"> </w:t>
      </w:r>
      <w:r w:rsidRPr="00E2196A">
        <w:rPr>
          <w:rFonts w:ascii="Century Gothic" w:hAnsi="Century Gothic" w:cs="Arial"/>
          <w:color w:val="000000" w:themeColor="text1"/>
          <w:sz w:val="16"/>
          <w:szCs w:val="16"/>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4D7DBF67"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r w:rsidRPr="00E2196A">
        <w:rPr>
          <w:rFonts w:ascii="Century Gothic" w:hAnsi="Century Gothic" w:cs="Arial"/>
          <w:color w:val="000000" w:themeColor="text1"/>
          <w:sz w:val="16"/>
          <w:szCs w:val="16"/>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3" w:history="1">
        <w:r w:rsidRPr="00E2196A">
          <w:rPr>
            <w:rFonts w:ascii="Century Gothic" w:hAnsi="Century Gothic" w:cs="Arial"/>
            <w:sz w:val="16"/>
            <w:szCs w:val="16"/>
          </w:rPr>
          <w:t>https://www.colombiacompra.gov.co/content/circular-unica-externa</w:t>
        </w:r>
      </w:hyperlink>
      <w:r w:rsidRPr="00E2196A">
        <w:rPr>
          <w:rFonts w:ascii="Century Gothic" w:hAnsi="Century Gothic" w:cs="Arial"/>
          <w:color w:val="000000" w:themeColor="text1"/>
          <w:sz w:val="16"/>
          <w:szCs w:val="16"/>
        </w:rPr>
        <w:t xml:space="preserve">). </w:t>
      </w:r>
    </w:p>
    <w:p w14:paraId="6C24A6DC" w14:textId="77777777" w:rsidR="00D12DDA" w:rsidRPr="00E2196A" w:rsidRDefault="00D12DDA" w:rsidP="00D12DDA">
      <w:pPr>
        <w:pStyle w:val="Textonotapie"/>
        <w:ind w:firstLine="709"/>
        <w:contextualSpacing/>
        <w:jc w:val="both"/>
        <w:rPr>
          <w:rFonts w:ascii="Century Gothic" w:hAnsi="Century Gothic" w:cs="Arial"/>
          <w:sz w:val="16"/>
          <w:szCs w:val="16"/>
        </w:rPr>
      </w:pPr>
    </w:p>
  </w:footnote>
  <w:footnote w:id="10">
    <w:p w14:paraId="55223AF5"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r w:rsidRPr="00E2196A">
        <w:rPr>
          <w:rStyle w:val="Refdenotaalpie"/>
          <w:rFonts w:ascii="Century Gothic" w:hAnsi="Century Gothic" w:cs="Arial"/>
          <w:color w:val="000000" w:themeColor="text1"/>
          <w:sz w:val="16"/>
          <w:szCs w:val="16"/>
        </w:rPr>
        <w:footnoteRef/>
      </w:r>
      <w:r w:rsidRPr="00E2196A">
        <w:rPr>
          <w:rFonts w:ascii="Century Gothic" w:hAnsi="Century Gothic" w:cs="Arial"/>
          <w:color w:val="000000" w:themeColor="text1"/>
          <w:sz w:val="16"/>
          <w:szCs w:val="16"/>
        </w:rPr>
        <w:t xml:space="preserve"> Ver Consejo de Estado, Sección Tercera, Subsección C. Sentencia del 26 de febrero de 2011. C.P. Jaime Orlando Santofimio. Rad. 36.408. </w:t>
      </w:r>
    </w:p>
    <w:p w14:paraId="1D3CBEB8"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p>
  </w:footnote>
  <w:footnote w:id="11">
    <w:p w14:paraId="3E6D5A08"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r w:rsidRPr="00E2196A">
        <w:rPr>
          <w:rStyle w:val="Refdenotaalpie"/>
          <w:rFonts w:ascii="Century Gothic" w:hAnsi="Century Gothic" w:cs="Arial"/>
          <w:color w:val="000000" w:themeColor="text1"/>
          <w:sz w:val="16"/>
          <w:szCs w:val="16"/>
        </w:rPr>
        <w:footnoteRef/>
      </w:r>
      <w:r w:rsidRPr="00E2196A">
        <w:rPr>
          <w:rFonts w:ascii="Century Gothic" w:hAnsi="Century Gothic" w:cs="Arial"/>
          <w:color w:val="000000" w:themeColor="text1"/>
          <w:sz w:val="16"/>
          <w:szCs w:val="16"/>
        </w:rPr>
        <w:t xml:space="preserve"> Ver Consejo de Estado, Sección Tercera, Subsección C. Sentencia del 26 de febrero de 2014. C.P. Enrique Gil Botero. Rad. 25.804. </w:t>
      </w:r>
    </w:p>
    <w:p w14:paraId="0423BFCC" w14:textId="77777777" w:rsidR="00D12DDA" w:rsidRPr="00722788" w:rsidRDefault="00D12DDA" w:rsidP="00D12DDA">
      <w:pPr>
        <w:pStyle w:val="Textonotapie"/>
        <w:ind w:firstLine="709"/>
        <w:contextualSpacing/>
        <w:jc w:val="both"/>
        <w:rPr>
          <w:rFonts w:ascii="Arial" w:hAnsi="Arial" w:cs="Arial"/>
          <w:color w:val="000000" w:themeColor="text1"/>
          <w:sz w:val="18"/>
          <w:szCs w:val="18"/>
        </w:rPr>
      </w:pPr>
    </w:p>
  </w:footnote>
  <w:footnote w:id="12">
    <w:p w14:paraId="6A81B53F" w14:textId="77777777" w:rsidR="00D12DDA" w:rsidRPr="00E2196A" w:rsidRDefault="00D12DDA" w:rsidP="00D12DDA">
      <w:pPr>
        <w:pStyle w:val="Textonotapie"/>
        <w:ind w:firstLine="709"/>
        <w:contextualSpacing/>
        <w:jc w:val="both"/>
        <w:rPr>
          <w:rFonts w:ascii="Century Gothic" w:hAnsi="Century Gothic" w:cs="Arial"/>
          <w:color w:val="000000" w:themeColor="text1"/>
          <w:sz w:val="16"/>
          <w:szCs w:val="16"/>
        </w:rPr>
      </w:pPr>
      <w:r w:rsidRPr="00E2196A">
        <w:rPr>
          <w:rStyle w:val="Refdenotaalpie"/>
          <w:rFonts w:ascii="Century Gothic" w:hAnsi="Century Gothic" w:cs="Arial"/>
          <w:color w:val="000000" w:themeColor="text1"/>
          <w:sz w:val="16"/>
          <w:szCs w:val="16"/>
        </w:rPr>
        <w:footnoteRef/>
      </w:r>
      <w:r w:rsidRPr="00E2196A">
        <w:rPr>
          <w:rFonts w:ascii="Century Gothic" w:hAnsi="Century Gothic" w:cs="Arial"/>
          <w:color w:val="000000" w:themeColor="text1"/>
          <w:sz w:val="16"/>
          <w:szCs w:val="16"/>
        </w:rPr>
        <w:t xml:space="preserve"> Consejo de Estado. Sala de Consulta y Servicio Civil. Concepto del 20 de mayo de 2010. Expediente: 1992. Consejero Ponente: Enrique José Arboleda Perdomo.</w:t>
      </w:r>
    </w:p>
    <w:p w14:paraId="0D131E50" w14:textId="77777777" w:rsidR="00D12DDA" w:rsidRPr="00722788" w:rsidRDefault="00D12DDA" w:rsidP="00D12DDA">
      <w:pPr>
        <w:pStyle w:val="Textonotapie"/>
        <w:ind w:firstLine="709"/>
        <w:contextualSpacing/>
        <w:jc w:val="both"/>
        <w:rPr>
          <w:rFonts w:ascii="Arial" w:hAnsi="Arial" w:cs="Arial"/>
          <w:color w:val="000000" w:themeColor="text1"/>
          <w:sz w:val="18"/>
          <w:szCs w:val="18"/>
        </w:rPr>
      </w:pPr>
    </w:p>
  </w:footnote>
  <w:footnote w:id="13">
    <w:p w14:paraId="317E902C"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Style w:val="Refdenotaalpie"/>
          <w:rFonts w:ascii="Century Gothic" w:hAnsi="Century Gothic" w:cs="Arial"/>
          <w:color w:val="000000" w:themeColor="text1"/>
          <w:sz w:val="16"/>
          <w:szCs w:val="16"/>
        </w:rPr>
        <w:footnoteRef/>
      </w:r>
      <w:r w:rsidRPr="00E2196A">
        <w:rPr>
          <w:rFonts w:ascii="Century Gothic" w:hAnsi="Century Gothic" w:cs="Arial"/>
          <w:color w:val="000000" w:themeColor="text1"/>
          <w:sz w:val="16"/>
          <w:szCs w:val="16"/>
        </w:rPr>
        <w:t xml:space="preserve"> Ley 1150 de 2007 </w:t>
      </w:r>
      <w:r w:rsidRPr="00E2196A">
        <w:rPr>
          <w:rFonts w:ascii="Century Gothic" w:hAnsi="Century Gothic" w:cs="Arial"/>
          <w:color w:val="000000" w:themeColor="text1"/>
          <w:sz w:val="16"/>
          <w:szCs w:val="16"/>
          <w:lang w:val="es-CO"/>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5F6DA8CC"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color w:val="000000" w:themeColor="text1"/>
          <w:sz w:val="16"/>
          <w:szCs w:val="16"/>
          <w:lang w:val="es-CO"/>
        </w:rPr>
        <w:t>1. Licitación pública. La escogencia del contratista se efectuará por regla general a través de licitación pública, con las excepciones que se señalan en los numerales 2, 3 y 4 del presente artículo.</w:t>
      </w:r>
    </w:p>
    <w:p w14:paraId="0CF17886"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i/>
          <w:iCs/>
          <w:color w:val="000000" w:themeColor="text1"/>
          <w:sz w:val="16"/>
          <w:szCs w:val="16"/>
          <w:lang w:val="es-CO"/>
        </w:rPr>
        <w:t>Cuando la entidad estatal así lo determine, la oferta en un proceso de la licitación pública podrá ser presentada total o parcialmente de manera dinámica mediante subasta inversa, en las condiciones que fije el reglamento</w:t>
      </w:r>
      <w:r w:rsidRPr="00E2196A">
        <w:rPr>
          <w:rFonts w:ascii="Century Gothic" w:hAnsi="Century Gothic" w:cs="Arial"/>
          <w:color w:val="000000" w:themeColor="text1"/>
          <w:sz w:val="16"/>
          <w:szCs w:val="16"/>
          <w:lang w:val="es-CO"/>
        </w:rPr>
        <w:t>.</w:t>
      </w:r>
    </w:p>
    <w:p w14:paraId="26A95B10"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color w:val="000000" w:themeColor="text1"/>
          <w:sz w:val="16"/>
          <w:szCs w:val="16"/>
          <w:lang w:val="es-CO"/>
        </w:rPr>
        <w:t xml:space="preserve">2. Selección abreviada. La Selección abreviada corresponde a la modalidad de selección objetiva prevista para aquellos casos en </w:t>
      </w:r>
      <w:proofErr w:type="gramStart"/>
      <w:r w:rsidRPr="00E2196A">
        <w:rPr>
          <w:rFonts w:ascii="Century Gothic" w:hAnsi="Century Gothic" w:cs="Arial"/>
          <w:color w:val="000000" w:themeColor="text1"/>
          <w:sz w:val="16"/>
          <w:szCs w:val="16"/>
          <w:lang w:val="es-CO"/>
        </w:rPr>
        <w:t>que</w:t>
      </w:r>
      <w:proofErr w:type="gramEnd"/>
      <w:r w:rsidRPr="00E2196A">
        <w:rPr>
          <w:rFonts w:ascii="Century Gothic" w:hAnsi="Century Gothic" w:cs="Arial"/>
          <w:color w:val="000000" w:themeColor="text1"/>
          <w:sz w:val="16"/>
          <w:szCs w:val="16"/>
          <w:lang w:val="es-CO"/>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4A1738FF"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color w:val="000000" w:themeColor="text1"/>
          <w:sz w:val="16"/>
          <w:szCs w:val="16"/>
          <w:lang w:val="es-CO"/>
        </w:rPr>
        <w:t>El Gobierno Nacional reglamentará la materia.</w:t>
      </w:r>
    </w:p>
    <w:p w14:paraId="77F273B6"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color w:val="000000" w:themeColor="text1"/>
          <w:sz w:val="16"/>
          <w:szCs w:val="16"/>
          <w:lang w:val="es-CO"/>
        </w:rPr>
        <w:t>Serán causales de selección abreviada las siguientes:</w:t>
      </w:r>
    </w:p>
    <w:p w14:paraId="2B4E0E98"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color w:val="000000" w:themeColor="text1"/>
          <w:sz w:val="16"/>
          <w:szCs w:val="16"/>
          <w:lang w:val="es-CO"/>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6C92B243" w14:textId="77777777" w:rsidR="00D12DDA" w:rsidRPr="00E2196A" w:rsidRDefault="00D12DDA" w:rsidP="00D12DDA">
      <w:pPr>
        <w:pStyle w:val="Textonotapie"/>
        <w:ind w:firstLine="705"/>
        <w:contextualSpacing/>
        <w:jc w:val="both"/>
        <w:rPr>
          <w:rFonts w:ascii="Century Gothic" w:hAnsi="Century Gothic" w:cs="Arial"/>
          <w:color w:val="000000" w:themeColor="text1"/>
          <w:sz w:val="16"/>
          <w:szCs w:val="16"/>
          <w:lang w:val="es-CO"/>
        </w:rPr>
      </w:pPr>
      <w:r w:rsidRPr="00E2196A">
        <w:rPr>
          <w:rFonts w:ascii="Century Gothic" w:hAnsi="Century Gothic" w:cs="Arial"/>
          <w:i/>
          <w:iCs/>
          <w:color w:val="000000" w:themeColor="text1"/>
          <w:sz w:val="16"/>
          <w:szCs w:val="16"/>
          <w:lang w:val="es-CO"/>
        </w:rPr>
        <w:t>Para la adquisición de estos bienes y servicios las entidades deberán, siempre que el reglamento así lo señale, hacer uso de procedimientos de subasta inversa</w:t>
      </w:r>
      <w:r w:rsidRPr="00E2196A">
        <w:rPr>
          <w:rFonts w:ascii="Century Gothic" w:hAnsi="Century Gothic" w:cs="Arial"/>
          <w:color w:val="000000" w:themeColor="text1"/>
          <w:sz w:val="16"/>
          <w:szCs w:val="16"/>
          <w:lang w:val="es-CO"/>
        </w:rPr>
        <w:t xml:space="preserve"> o de instrumentos de compra por catálogo derivados de la celebración de acuerdos marco de precios o de procedimientos de adquisición en bolsas de productos; </w:t>
      </w:r>
    </w:p>
    <w:p w14:paraId="52CD9466" w14:textId="77777777" w:rsidR="00D12DDA" w:rsidRPr="00E2196A" w:rsidRDefault="00D12DDA" w:rsidP="00D12DDA">
      <w:pPr>
        <w:pStyle w:val="Textonotapie"/>
        <w:ind w:left="705"/>
        <w:contextualSpacing/>
        <w:jc w:val="both"/>
        <w:rPr>
          <w:rFonts w:ascii="Century Gothic" w:hAnsi="Century Gothic" w:cs="Arial"/>
          <w:color w:val="000000" w:themeColor="text1"/>
          <w:sz w:val="16"/>
          <w:szCs w:val="16"/>
          <w:lang w:val="es-CO"/>
        </w:rPr>
      </w:pPr>
      <w:r w:rsidRPr="00E2196A">
        <w:rPr>
          <w:rFonts w:ascii="Century Gothic" w:hAnsi="Century Gothic" w:cs="Arial"/>
          <w:color w:val="000000" w:themeColor="text1"/>
          <w:sz w:val="16"/>
          <w:szCs w:val="16"/>
          <w:lang w:val="es-CO"/>
        </w:rPr>
        <w:t>[…]</w:t>
      </w:r>
    </w:p>
    <w:p w14:paraId="33C2E1CD"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color w:val="000000" w:themeColor="text1"/>
          <w:sz w:val="16"/>
          <w:szCs w:val="16"/>
          <w:lang w:val="es-CO"/>
        </w:rPr>
        <w:t>e) La enajenación de bienes del Estado, con excepción de aquellos a que se refiere la Ley 226 de 1995.</w:t>
      </w:r>
    </w:p>
    <w:p w14:paraId="565D39A8"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i/>
          <w:iCs/>
          <w:color w:val="000000" w:themeColor="text1"/>
          <w:sz w:val="16"/>
          <w:szCs w:val="16"/>
          <w:lang w:val="es-CO"/>
        </w:rPr>
        <w:t>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r w:rsidRPr="00E2196A">
        <w:rPr>
          <w:rFonts w:ascii="Century Gothic" w:hAnsi="Century Gothic" w:cs="Arial"/>
          <w:color w:val="000000" w:themeColor="text1"/>
          <w:sz w:val="16"/>
          <w:szCs w:val="16"/>
          <w:lang w:val="es-CO"/>
        </w:rPr>
        <w:t>.</w:t>
      </w:r>
    </w:p>
    <w:p w14:paraId="5179C71C"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color w:val="000000" w:themeColor="text1"/>
          <w:sz w:val="16"/>
          <w:szCs w:val="16"/>
          <w:lang w:val="es-CO"/>
        </w:rPr>
        <w:t>[…]</w:t>
      </w:r>
    </w:p>
    <w:p w14:paraId="47D85849"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color w:val="000000" w:themeColor="text1"/>
          <w:sz w:val="16"/>
          <w:szCs w:val="16"/>
          <w:lang w:val="es-CO"/>
        </w:rPr>
        <w:t>Las reglas y procedimientos que deberán atender la administración y los promotores y la publicidad del proceso deberán garantizar la libre concurrencia y oportunidad de quienes participen en el mismo.</w:t>
      </w:r>
    </w:p>
    <w:p w14:paraId="51BFBD90"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i/>
          <w:iCs/>
          <w:color w:val="000000" w:themeColor="text1"/>
          <w:sz w:val="16"/>
          <w:szCs w:val="16"/>
          <w:lang w:val="es-CO"/>
        </w:rPr>
        <w:t>Los bienes serán enajenados a través de venta directa en sobre cerrado o en pública subasta</w:t>
      </w:r>
      <w:r w:rsidRPr="00E2196A">
        <w:rPr>
          <w:rFonts w:ascii="Century Gothic" w:hAnsi="Century Gothic" w:cs="Arial"/>
          <w:color w:val="000000" w:themeColor="text1"/>
          <w:sz w:val="16"/>
          <w:szCs w:val="16"/>
          <w:lang w:val="es-CO"/>
        </w:rPr>
        <w:t xml:space="preserve">. La adjudicación para la venta directa deberá hacerse en audiencia pública, en donde se conozcan las ofertas iniciales y se efectúe un segundo ofrecimiento, frente al cual se adjudicará el bien a quien oferte el mejor precio. </w:t>
      </w:r>
      <w:r w:rsidRPr="00E2196A">
        <w:rPr>
          <w:rFonts w:ascii="Century Gothic" w:hAnsi="Century Gothic" w:cs="Arial"/>
          <w:i/>
          <w:iCs/>
          <w:color w:val="000000" w:themeColor="text1"/>
          <w:sz w:val="16"/>
          <w:szCs w:val="16"/>
          <w:lang w:val="es-CO"/>
        </w:rPr>
        <w:t>En la subasta pública, de acuerdo con el reglamento definido para su realización, el bien será adjudicado al mejor postor</w:t>
      </w:r>
      <w:r w:rsidRPr="00E2196A">
        <w:rPr>
          <w:rFonts w:ascii="Century Gothic" w:hAnsi="Century Gothic" w:cs="Arial"/>
          <w:color w:val="000000" w:themeColor="text1"/>
          <w:sz w:val="16"/>
          <w:szCs w:val="16"/>
          <w:lang w:val="es-CO"/>
        </w:rPr>
        <w:t>.</w:t>
      </w:r>
    </w:p>
    <w:p w14:paraId="43D81D5F"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Fonts w:ascii="Century Gothic" w:hAnsi="Century Gothic" w:cs="Arial"/>
          <w:color w:val="000000" w:themeColor="text1"/>
          <w:sz w:val="16"/>
          <w:szCs w:val="16"/>
          <w:lang w:val="es-CO"/>
        </w:rPr>
        <w:t>La venta implica la publicación previa de los bienes en un diario de amplia circulación nacional, con la determinación del precio base. El interesado en adquirir bienes deberá consignar al menos el 20% del valor base de venta para participar en la oferta […]”. (Cursivas fuera del original).</w:t>
      </w:r>
    </w:p>
    <w:p w14:paraId="54EB9A1B" w14:textId="77777777" w:rsidR="00D12DDA" w:rsidRPr="00722788" w:rsidRDefault="00D12DDA" w:rsidP="00D12DDA">
      <w:pPr>
        <w:pStyle w:val="Textonotapie"/>
        <w:contextualSpacing/>
        <w:jc w:val="both"/>
        <w:rPr>
          <w:rFonts w:ascii="Arial" w:hAnsi="Arial" w:cs="Arial"/>
          <w:sz w:val="18"/>
          <w:szCs w:val="18"/>
          <w:lang w:val="es-ES"/>
        </w:rPr>
      </w:pPr>
    </w:p>
  </w:footnote>
  <w:footnote w:id="14">
    <w:p w14:paraId="6D83DA6B"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lang w:val="es-CO"/>
        </w:rPr>
      </w:pPr>
      <w:r w:rsidRPr="00E2196A">
        <w:rPr>
          <w:rStyle w:val="Refdenotaalpie"/>
          <w:rFonts w:ascii="Century Gothic" w:hAnsi="Century Gothic" w:cs="Arial"/>
          <w:sz w:val="16"/>
          <w:szCs w:val="16"/>
        </w:rPr>
        <w:footnoteRef/>
      </w:r>
      <w:r w:rsidRPr="00E2196A">
        <w:rPr>
          <w:rFonts w:ascii="Century Gothic" w:hAnsi="Century Gothic" w:cs="Arial"/>
          <w:sz w:val="16"/>
          <w:szCs w:val="16"/>
        </w:rPr>
        <w:t xml:space="preserve"> </w:t>
      </w:r>
      <w:r w:rsidRPr="00E2196A">
        <w:rPr>
          <w:rFonts w:ascii="Century Gothic" w:hAnsi="Century Gothic" w:cs="Arial"/>
          <w:color w:val="000000" w:themeColor="text1"/>
          <w:sz w:val="16"/>
          <w:szCs w:val="16"/>
        </w:rPr>
        <w:t>MATALLANA CAMACHO, Ernesto. Manual de Contratación de la Administración Pública. 3a ed. Bogotá D. C. Editorial Universidad externado de Colombia, 2013. p. 579.</w:t>
      </w:r>
    </w:p>
    <w:p w14:paraId="765F2830" w14:textId="77777777" w:rsidR="00D12DDA" w:rsidRPr="00E2196A" w:rsidRDefault="00D12DDA" w:rsidP="00D12DDA">
      <w:pPr>
        <w:pStyle w:val="Textonotapie"/>
        <w:contextualSpacing/>
        <w:jc w:val="both"/>
        <w:rPr>
          <w:rFonts w:ascii="Century Gothic" w:hAnsi="Century Gothic" w:cs="Arial"/>
          <w:sz w:val="16"/>
          <w:szCs w:val="16"/>
          <w:lang w:val="es-ES"/>
        </w:rPr>
      </w:pPr>
    </w:p>
  </w:footnote>
  <w:footnote w:id="15">
    <w:p w14:paraId="3B95BA3D" w14:textId="77777777" w:rsidR="00D12DDA" w:rsidRPr="00E2196A" w:rsidRDefault="00D12DDA" w:rsidP="00D12DDA">
      <w:pPr>
        <w:pStyle w:val="Textonotapie"/>
        <w:ind w:firstLine="708"/>
        <w:contextualSpacing/>
        <w:jc w:val="both"/>
        <w:rPr>
          <w:rFonts w:ascii="Century Gothic" w:hAnsi="Century Gothic" w:cs="Arial"/>
          <w:color w:val="000000" w:themeColor="text1"/>
          <w:sz w:val="16"/>
          <w:szCs w:val="16"/>
        </w:rPr>
      </w:pPr>
      <w:r w:rsidRPr="00E2196A">
        <w:rPr>
          <w:rStyle w:val="Refdenotaalpie"/>
          <w:rFonts w:ascii="Century Gothic" w:hAnsi="Century Gothic" w:cs="Arial"/>
          <w:sz w:val="16"/>
          <w:szCs w:val="16"/>
        </w:rPr>
        <w:footnoteRef/>
      </w:r>
      <w:r w:rsidRPr="00E2196A">
        <w:rPr>
          <w:rFonts w:ascii="Century Gothic" w:hAnsi="Century Gothic" w:cs="Arial"/>
          <w:sz w:val="16"/>
          <w:szCs w:val="16"/>
        </w:rPr>
        <w:t xml:space="preserve"> </w:t>
      </w:r>
      <w:r w:rsidRPr="00E2196A">
        <w:rPr>
          <w:rFonts w:ascii="Century Gothic" w:hAnsi="Century Gothic" w:cs="Arial"/>
          <w:color w:val="000000" w:themeColor="text1"/>
          <w:sz w:val="16"/>
          <w:szCs w:val="16"/>
        </w:rPr>
        <w:t>SOLANO SIERRA, Jairo E. Contratación Administrativa, Modalidades de selección del Contratista. 4a. ed. Bogotá D.C.: Editorial Doctrina y Ley Ltda., 2010. p. 283.</w:t>
      </w:r>
    </w:p>
    <w:p w14:paraId="7A169949" w14:textId="77777777" w:rsidR="00D12DDA" w:rsidRPr="00722788" w:rsidRDefault="00D12DDA" w:rsidP="00D12DDA">
      <w:pPr>
        <w:pStyle w:val="Textonotapie"/>
        <w:contextualSpacing/>
        <w:jc w:val="both"/>
        <w:rPr>
          <w:rFonts w:ascii="Arial" w:hAnsi="Arial" w:cs="Arial"/>
          <w:sz w:val="18"/>
          <w:szCs w:val="18"/>
          <w:lang w:val="es-ES"/>
        </w:rPr>
      </w:pPr>
    </w:p>
  </w:footnote>
  <w:footnote w:id="16">
    <w:p w14:paraId="500391A3" w14:textId="77777777" w:rsidR="00D12DDA" w:rsidRPr="00E2196A" w:rsidRDefault="00D12DDA" w:rsidP="00D12DDA">
      <w:pPr>
        <w:pStyle w:val="Textonotapie"/>
        <w:ind w:firstLine="708"/>
        <w:contextualSpacing/>
        <w:jc w:val="both"/>
        <w:rPr>
          <w:rFonts w:ascii="Century Gothic" w:hAnsi="Century Gothic" w:cs="Arial"/>
          <w:sz w:val="16"/>
          <w:szCs w:val="16"/>
        </w:rPr>
      </w:pPr>
      <w:r w:rsidRPr="00E2196A">
        <w:rPr>
          <w:rStyle w:val="Refdenotaalpie"/>
          <w:rFonts w:ascii="Century Gothic" w:hAnsi="Century Gothic" w:cs="Arial"/>
          <w:sz w:val="16"/>
          <w:szCs w:val="16"/>
        </w:rPr>
        <w:footnoteRef/>
      </w:r>
      <w:r w:rsidRPr="00E2196A">
        <w:rPr>
          <w:rFonts w:ascii="Century Gothic" w:hAnsi="Century Gothic" w:cs="Arial"/>
          <w:sz w:val="16"/>
          <w:szCs w:val="16"/>
        </w:rPr>
        <w:t xml:space="preserve"> Consejo de Estado. Sección Tercera. Sentencia de 12 de noviembre de 2014. C.P. Enrique Gil Botero. </w:t>
      </w:r>
      <w:proofErr w:type="spellStart"/>
      <w:r w:rsidRPr="00E2196A">
        <w:rPr>
          <w:rFonts w:ascii="Century Gothic" w:hAnsi="Century Gothic" w:cs="Arial"/>
          <w:sz w:val="16"/>
          <w:szCs w:val="16"/>
        </w:rPr>
        <w:t>Exp</w:t>
      </w:r>
      <w:proofErr w:type="spellEnd"/>
      <w:r w:rsidRPr="00E2196A">
        <w:rPr>
          <w:rFonts w:ascii="Century Gothic" w:hAnsi="Century Gothic" w:cs="Arial"/>
          <w:sz w:val="16"/>
          <w:szCs w:val="16"/>
        </w:rPr>
        <w:t xml:space="preserve">. 27.986. </w:t>
      </w:r>
    </w:p>
    <w:p w14:paraId="33F6E778" w14:textId="77777777" w:rsidR="00D12DDA" w:rsidRPr="00722788" w:rsidRDefault="00D12DDA" w:rsidP="00D12DDA">
      <w:pPr>
        <w:pStyle w:val="Textonotapie"/>
        <w:ind w:left="708" w:firstLine="1"/>
        <w:contextualSpacing/>
        <w:rPr>
          <w:rFonts w:ascii="Arial" w:hAnsi="Arial" w:cs="Arial"/>
          <w:sz w:val="18"/>
          <w:szCs w:val="18"/>
          <w:lang w:val="es-CO"/>
        </w:rPr>
      </w:pPr>
    </w:p>
  </w:footnote>
  <w:footnote w:id="17">
    <w:p w14:paraId="221AA47D" w14:textId="77777777" w:rsidR="00D12DDA" w:rsidRPr="00E2196A" w:rsidRDefault="00D12DDA" w:rsidP="00D12DDA">
      <w:pPr>
        <w:pStyle w:val="Textonotapie"/>
        <w:ind w:firstLine="708"/>
        <w:jc w:val="both"/>
        <w:rPr>
          <w:rFonts w:ascii="Century Gothic" w:hAnsi="Century Gothic"/>
          <w:sz w:val="16"/>
          <w:szCs w:val="16"/>
          <w:lang w:val="es-CO"/>
        </w:rPr>
      </w:pPr>
      <w:r w:rsidRPr="00E2196A">
        <w:rPr>
          <w:rStyle w:val="Refdenotaalpie"/>
          <w:rFonts w:ascii="Century Gothic" w:hAnsi="Century Gothic"/>
          <w:sz w:val="16"/>
          <w:szCs w:val="16"/>
        </w:rPr>
        <w:footnoteRef/>
      </w:r>
      <w:r w:rsidRPr="00E2196A">
        <w:rPr>
          <w:rFonts w:ascii="Century Gothic" w:hAnsi="Century Gothic"/>
          <w:sz w:val="16"/>
          <w:szCs w:val="16"/>
        </w:rPr>
        <w:t xml:space="preserve"> </w:t>
      </w:r>
      <w:r w:rsidRPr="00E2196A">
        <w:rPr>
          <w:rFonts w:ascii="Century Gothic" w:hAnsi="Century Gothic" w:cs="Arial"/>
          <w:sz w:val="16"/>
          <w:szCs w:val="16"/>
        </w:rPr>
        <w:t xml:space="preserve">Para consultar la Guía para presentar ofertas en SECOP II, de clic en el siguiente enlace: </w:t>
      </w:r>
      <w:hyperlink r:id="rId4" w:history="1">
        <w:r w:rsidRPr="00E2196A">
          <w:rPr>
            <w:rStyle w:val="Hipervnculo"/>
            <w:rFonts w:ascii="Century Gothic" w:hAnsi="Century Gothic" w:cs="Arial"/>
            <w:sz w:val="16"/>
            <w:szCs w:val="16"/>
          </w:rPr>
          <w:t>https://www.colombiacompra.gov.co/sites/cce_public/files/cce_step/cce-sec-gi-04provpcpresentaroferta07-09-2020.pdf</w:t>
        </w:r>
      </w:hyperlink>
      <w:r w:rsidRPr="00E2196A">
        <w:rPr>
          <w:rFonts w:ascii="Century Gothic" w:hAnsi="Century Gothic"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4"/>
  </w:num>
  <w:num w:numId="2" w16cid:durableId="19822139">
    <w:abstractNumId w:val="1"/>
  </w:num>
  <w:num w:numId="3" w16cid:durableId="876742304">
    <w:abstractNumId w:val="3"/>
  </w:num>
  <w:num w:numId="4" w16cid:durableId="245186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490877401">
    <w:abstractNumId w:val="0"/>
  </w:num>
  <w:num w:numId="7" w16cid:durableId="548496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A683E"/>
    <w:rsid w:val="000B19B9"/>
    <w:rsid w:val="000D0334"/>
    <w:rsid w:val="000F6486"/>
    <w:rsid w:val="00125105"/>
    <w:rsid w:val="00127233"/>
    <w:rsid w:val="001371B4"/>
    <w:rsid w:val="00164D9D"/>
    <w:rsid w:val="001E4177"/>
    <w:rsid w:val="002951A0"/>
    <w:rsid w:val="002962BC"/>
    <w:rsid w:val="002A093D"/>
    <w:rsid w:val="002A49AC"/>
    <w:rsid w:val="002A64FD"/>
    <w:rsid w:val="002C7A84"/>
    <w:rsid w:val="003448F4"/>
    <w:rsid w:val="003A779E"/>
    <w:rsid w:val="003D0F4D"/>
    <w:rsid w:val="003E0499"/>
    <w:rsid w:val="003F3941"/>
    <w:rsid w:val="00400548"/>
    <w:rsid w:val="004A1847"/>
    <w:rsid w:val="004A305D"/>
    <w:rsid w:val="004F21C4"/>
    <w:rsid w:val="004F685F"/>
    <w:rsid w:val="005566E8"/>
    <w:rsid w:val="00574867"/>
    <w:rsid w:val="005C5CDC"/>
    <w:rsid w:val="005D476C"/>
    <w:rsid w:val="006219F8"/>
    <w:rsid w:val="00665D70"/>
    <w:rsid w:val="00706C16"/>
    <w:rsid w:val="00756841"/>
    <w:rsid w:val="007649AB"/>
    <w:rsid w:val="007833AC"/>
    <w:rsid w:val="007B7171"/>
    <w:rsid w:val="007C3DC2"/>
    <w:rsid w:val="007E5497"/>
    <w:rsid w:val="00806F5F"/>
    <w:rsid w:val="00820278"/>
    <w:rsid w:val="008843B6"/>
    <w:rsid w:val="00891928"/>
    <w:rsid w:val="008A446D"/>
    <w:rsid w:val="008F0EA7"/>
    <w:rsid w:val="00923EEF"/>
    <w:rsid w:val="009419F9"/>
    <w:rsid w:val="00961B09"/>
    <w:rsid w:val="00965334"/>
    <w:rsid w:val="0097093E"/>
    <w:rsid w:val="009C71FA"/>
    <w:rsid w:val="009C72E7"/>
    <w:rsid w:val="00A17F13"/>
    <w:rsid w:val="00A20739"/>
    <w:rsid w:val="00A33C78"/>
    <w:rsid w:val="00AB0ADB"/>
    <w:rsid w:val="00B72CD3"/>
    <w:rsid w:val="00B72FFF"/>
    <w:rsid w:val="00BD7F72"/>
    <w:rsid w:val="00C04FB3"/>
    <w:rsid w:val="00C330EB"/>
    <w:rsid w:val="00C754BE"/>
    <w:rsid w:val="00CB6357"/>
    <w:rsid w:val="00CC1B26"/>
    <w:rsid w:val="00D12DDA"/>
    <w:rsid w:val="00D423A2"/>
    <w:rsid w:val="00D63AC2"/>
    <w:rsid w:val="00D71E38"/>
    <w:rsid w:val="00D7383B"/>
    <w:rsid w:val="00DA231B"/>
    <w:rsid w:val="00DA45EB"/>
    <w:rsid w:val="00E16408"/>
    <w:rsid w:val="00E20894"/>
    <w:rsid w:val="00E2196A"/>
    <w:rsid w:val="00E245AB"/>
    <w:rsid w:val="00E50AFE"/>
    <w:rsid w:val="00E771DC"/>
    <w:rsid w:val="00E8772A"/>
    <w:rsid w:val="00E90F6B"/>
    <w:rsid w:val="00E92C27"/>
    <w:rsid w:val="00EA0E3D"/>
    <w:rsid w:val="00EE1AA8"/>
    <w:rsid w:val="00F204AB"/>
    <w:rsid w:val="00F31EDC"/>
    <w:rsid w:val="00F5664F"/>
    <w:rsid w:val="00F76AFC"/>
    <w:rsid w:val="00FB5DD1"/>
    <w:rsid w:val="00FC2B5D"/>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uiPriority w:val="99"/>
    <w:semiHidden/>
    <w:unhideWhenUsed/>
    <w:rsid w:val="00D12DDA"/>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D12DDA"/>
    <w:pPr>
      <w:spacing w:line="240" w:lineRule="exact"/>
    </w:pPr>
    <w:rPr>
      <w:vertAlign w:val="superscript"/>
    </w:rPr>
  </w:style>
  <w:style w:type="table" w:customStyle="1" w:styleId="Tablaconcuadrcula2">
    <w:name w:val="Tabla con cuadrícula2"/>
    <w:basedOn w:val="Tablanormal"/>
    <w:next w:val="Tablaconcuadrcula"/>
    <w:uiPriority w:val="59"/>
    <w:rsid w:val="00D12DDA"/>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ontent/circular-unica-externa" TargetMode="External"/><Relationship Id="rId2" Type="http://schemas.openxmlformats.org/officeDocument/2006/relationships/hyperlink" Target="https://www.funcionpublica.gov.co/eva/gestornormativo/norma.php?i=25678" TargetMode="External"/><Relationship Id="rId1" Type="http://schemas.openxmlformats.org/officeDocument/2006/relationships/hyperlink" Target="https://relatoria.colombiacompra.gov.co/busqueda/conceptos" TargetMode="External"/><Relationship Id="rId4" Type="http://schemas.openxmlformats.org/officeDocument/2006/relationships/hyperlink" Target="https://www.colombiacompra.gov.co/sites/cce_public/files/cce_step/cce-sec-gi-04provpcpresentaroferta07-09-2020.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2A958-1379-4888-836B-FD96FF8BE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7720</Words>
  <Characters>42460</Characters>
  <Application>Microsoft Office Word</Application>
  <DocSecurity>0</DocSecurity>
  <Lines>353</Lines>
  <Paragraphs>100</Paragraphs>
  <ScaleCrop>false</ScaleCrop>
  <Company/>
  <LinksUpToDate>false</LinksUpToDate>
  <CharactersWithSpaces>50080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Olga Isabel Pertuz De La Hoz</cp:lastModifiedBy>
  <cp:revision>3</cp:revision>
  <cp:lastPrinted>2023-01-10T21:18:00Z</cp:lastPrinted>
  <dcterms:created xsi:type="dcterms:W3CDTF">2023-07-13T18:19:00Z</dcterms:created>
  <dcterms:modified xsi:type="dcterms:W3CDTF">2023-07-28T19:40:00Z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