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2716" w14:textId="77777777" w:rsidR="007E7B07" w:rsidRPr="0096534C" w:rsidRDefault="007E7B07" w:rsidP="0096534C">
      <w:pPr>
        <w:spacing w:line="240" w:lineRule="auto"/>
        <w:jc w:val="both"/>
        <w:rPr>
          <w:rFonts w:ascii="Arial" w:hAnsi="Arial" w:cs="Arial"/>
          <w:b/>
          <w:bCs/>
          <w:sz w:val="20"/>
          <w:szCs w:val="20"/>
          <w:lang w:val="es-ES"/>
        </w:rPr>
      </w:pPr>
      <w:r w:rsidRPr="0096534C">
        <w:rPr>
          <w:rFonts w:ascii="Arial" w:hAnsi="Arial" w:cs="Arial"/>
          <w:b/>
          <w:bCs/>
          <w:sz w:val="20"/>
          <w:szCs w:val="20"/>
          <w:lang w:val="es-ES"/>
        </w:rPr>
        <w:t>INHABILIDADES – Definición – Finalidad – Limitación a capacidad</w:t>
      </w:r>
    </w:p>
    <w:p w14:paraId="5C59B1F1" w14:textId="596E2B83" w:rsidR="0033696B" w:rsidRPr="0096534C" w:rsidRDefault="0033696B" w:rsidP="0096534C">
      <w:pPr>
        <w:pStyle w:val="Sinespaciado"/>
        <w:spacing w:after="120"/>
        <w:jc w:val="both"/>
        <w:rPr>
          <w:rFonts w:ascii="Arial" w:hAnsi="Arial" w:cs="Arial"/>
          <w:sz w:val="20"/>
          <w:szCs w:val="20"/>
          <w:lang w:val="es-ES"/>
        </w:rPr>
      </w:pPr>
      <w:r w:rsidRPr="0096534C">
        <w:rPr>
          <w:rFonts w:ascii="Arial" w:hAnsi="Arial" w:cs="Arial"/>
          <w:sz w:val="20"/>
          <w:szCs w:val="20"/>
          <w:lang w:val="es-ES"/>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w:t>
      </w:r>
    </w:p>
    <w:p w14:paraId="0645BD0F" w14:textId="77777777" w:rsidR="007E7B07" w:rsidRPr="0096534C" w:rsidRDefault="007E7B07" w:rsidP="0096534C">
      <w:pPr>
        <w:spacing w:line="240" w:lineRule="auto"/>
        <w:jc w:val="both"/>
        <w:rPr>
          <w:rFonts w:ascii="Arial" w:hAnsi="Arial" w:cs="Arial"/>
          <w:b/>
          <w:bCs/>
          <w:sz w:val="20"/>
          <w:szCs w:val="20"/>
          <w:lang w:val="es-ES"/>
        </w:rPr>
      </w:pPr>
      <w:r w:rsidRPr="0096534C">
        <w:rPr>
          <w:rFonts w:ascii="Arial" w:hAnsi="Arial" w:cs="Arial"/>
          <w:b/>
          <w:bCs/>
          <w:sz w:val="20"/>
          <w:szCs w:val="20"/>
          <w:lang w:val="es-ES"/>
        </w:rPr>
        <w:t>INHABILIDADES – Clasificación – Sanción – Proceso sancionatorio – Requisito – Condiciones personales</w:t>
      </w:r>
    </w:p>
    <w:p w14:paraId="5ACD0CFE" w14:textId="08F4F5AC" w:rsidR="0033696B" w:rsidRPr="0096534C" w:rsidRDefault="0033696B" w:rsidP="0096534C">
      <w:pPr>
        <w:spacing w:line="240" w:lineRule="auto"/>
        <w:jc w:val="both"/>
        <w:rPr>
          <w:rFonts w:ascii="Arial" w:hAnsi="Arial" w:cs="Arial"/>
          <w:b/>
          <w:bCs/>
          <w:sz w:val="20"/>
          <w:szCs w:val="20"/>
          <w:lang w:val="es-ES"/>
        </w:rPr>
      </w:pPr>
      <w:r w:rsidRPr="0096534C">
        <w:rPr>
          <w:rFonts w:ascii="Arial" w:hAnsi="Arial" w:cs="Arial"/>
          <w:sz w:val="20"/>
          <w:szCs w:val="20"/>
          <w:lang w:val="es-ES"/>
        </w:rPr>
        <w:t xml:space="preserve">Conviene también distinguir las fuentes de las inhabilidades, las cuales han sido clasificadas en dos (2) grupos: i) inhabilidades-sanción y </w:t>
      </w:r>
      <w:proofErr w:type="spellStart"/>
      <w:r w:rsidRPr="0096534C">
        <w:rPr>
          <w:rFonts w:ascii="Arial" w:hAnsi="Arial" w:cs="Arial"/>
          <w:sz w:val="20"/>
          <w:szCs w:val="20"/>
          <w:lang w:val="es-ES"/>
        </w:rPr>
        <w:t>ii</w:t>
      </w:r>
      <w:proofErr w:type="spellEnd"/>
      <w:r w:rsidRPr="0096534C">
        <w:rPr>
          <w:rFonts w:ascii="Arial" w:hAnsi="Arial" w:cs="Arial"/>
          <w:sz w:val="20"/>
          <w:szCs w:val="20"/>
          <w:lang w:val="es-ES"/>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p>
    <w:p w14:paraId="5F962306" w14:textId="77777777" w:rsidR="007E7B07" w:rsidRPr="0096534C" w:rsidRDefault="007E7B07" w:rsidP="0096534C">
      <w:pPr>
        <w:spacing w:line="240" w:lineRule="auto"/>
        <w:jc w:val="both"/>
        <w:rPr>
          <w:rFonts w:ascii="Arial" w:hAnsi="Arial" w:cs="Arial"/>
          <w:b/>
          <w:bCs/>
          <w:sz w:val="20"/>
          <w:szCs w:val="20"/>
          <w:lang w:val="es-ES"/>
        </w:rPr>
      </w:pPr>
      <w:r w:rsidRPr="0096534C">
        <w:rPr>
          <w:rFonts w:ascii="Arial" w:hAnsi="Arial" w:cs="Arial"/>
          <w:b/>
          <w:bCs/>
          <w:sz w:val="20"/>
          <w:szCs w:val="20"/>
          <w:lang w:val="es-ES"/>
        </w:rPr>
        <w:t xml:space="preserve">INHABILIDADES – Taxatividad – Principio de legalidad – Interpretación restrictiva </w:t>
      </w:r>
    </w:p>
    <w:p w14:paraId="10683DF3" w14:textId="4FF564A6" w:rsidR="0033696B" w:rsidRPr="0096534C" w:rsidRDefault="0033696B" w:rsidP="0096534C">
      <w:pPr>
        <w:spacing w:line="240" w:lineRule="auto"/>
        <w:jc w:val="both"/>
        <w:rPr>
          <w:rFonts w:ascii="Arial" w:hAnsi="Arial" w:cs="Arial"/>
          <w:b/>
          <w:bCs/>
          <w:sz w:val="20"/>
          <w:szCs w:val="20"/>
          <w:lang w:val="es-ES"/>
        </w:rPr>
      </w:pPr>
      <w:r w:rsidRPr="0096534C">
        <w:rPr>
          <w:rFonts w:ascii="Arial" w:eastAsia="Calibri" w:hAnsi="Arial" w:cs="Arial"/>
          <w:sz w:val="20"/>
          <w:szCs w:val="20"/>
          <w:lang w:val="es-ES"/>
        </w:rPr>
        <w:t>L</w:t>
      </w:r>
      <w:r w:rsidRPr="0096534C">
        <w:rPr>
          <w:rFonts w:ascii="Arial" w:eastAsia="Calibri" w:hAnsi="Arial" w:cs="Arial"/>
          <w:sz w:val="20"/>
          <w:szCs w:val="20"/>
          <w:lang w:val="es-ES"/>
        </w:rPr>
        <w:t xml:space="preserve">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96534C">
        <w:rPr>
          <w:rFonts w:ascii="Arial" w:eastAsia="Calibri" w:hAnsi="Arial" w:cs="Arial"/>
          <w:i/>
          <w:iCs/>
          <w:sz w:val="20"/>
          <w:szCs w:val="20"/>
          <w:lang w:val="es-ES"/>
        </w:rPr>
        <w:t>restrictiva</w:t>
      </w:r>
      <w:r w:rsidRPr="0096534C">
        <w:rPr>
          <w:rFonts w:ascii="Arial" w:eastAsia="Calibri" w:hAnsi="Arial" w:cs="Arial"/>
          <w:sz w:val="20"/>
          <w:szCs w:val="20"/>
          <w:lang w:val="es-ES"/>
        </w:rPr>
        <w:t>,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w:t>
      </w:r>
    </w:p>
    <w:p w14:paraId="5C3CAB28" w14:textId="77777777" w:rsidR="007E7B07" w:rsidRPr="0096534C" w:rsidRDefault="007E7B07" w:rsidP="0096534C">
      <w:pPr>
        <w:spacing w:line="240" w:lineRule="auto"/>
        <w:jc w:val="both"/>
        <w:rPr>
          <w:rFonts w:ascii="Arial" w:hAnsi="Arial" w:cs="Arial"/>
          <w:b/>
          <w:bCs/>
          <w:sz w:val="20"/>
          <w:szCs w:val="20"/>
          <w:lang w:val="es-ES"/>
        </w:rPr>
      </w:pPr>
      <w:r w:rsidRPr="0096534C">
        <w:rPr>
          <w:rFonts w:ascii="Arial" w:hAnsi="Arial" w:cs="Arial"/>
          <w:b/>
          <w:bCs/>
          <w:sz w:val="20"/>
          <w:szCs w:val="20"/>
          <w:lang w:val="es-ES"/>
        </w:rPr>
        <w:t>INHABILIDAD SOBREVINIENTE – Sobre consorcio o unión temporal</w:t>
      </w:r>
    </w:p>
    <w:p w14:paraId="1BA901EA" w14:textId="7AB51D14" w:rsidR="0085057F" w:rsidRPr="0096534C" w:rsidRDefault="0085057F" w:rsidP="0096534C">
      <w:pPr>
        <w:tabs>
          <w:tab w:val="left" w:pos="709"/>
        </w:tabs>
        <w:spacing w:after="120" w:line="240" w:lineRule="auto"/>
        <w:jc w:val="both"/>
        <w:rPr>
          <w:rFonts w:ascii="Arial" w:eastAsia="Calibri" w:hAnsi="Arial" w:cs="Arial"/>
          <w:color w:val="000000" w:themeColor="text1"/>
          <w:sz w:val="20"/>
          <w:szCs w:val="20"/>
        </w:rPr>
      </w:pPr>
      <w:r w:rsidRPr="0096534C">
        <w:rPr>
          <w:rFonts w:ascii="Arial" w:eastAsia="Calibri" w:hAnsi="Arial" w:cs="Arial"/>
          <w:color w:val="000000" w:themeColor="text1"/>
          <w:sz w:val="20"/>
          <w:szCs w:val="20"/>
        </w:rPr>
        <w:t xml:space="preserve">Según se desprende del texto del artículo 9 de la Ley 80 de 1993, y sin perjuicio de la regla especial establecida en el parágrafo 1 de dicho artículo, </w:t>
      </w:r>
      <w:r w:rsidR="006A1D5F" w:rsidRPr="0096534C">
        <w:rPr>
          <w:rFonts w:ascii="Arial" w:eastAsia="Calibri" w:hAnsi="Arial" w:cs="Arial"/>
          <w:color w:val="000000" w:themeColor="text1"/>
          <w:sz w:val="20"/>
          <w:szCs w:val="20"/>
        </w:rPr>
        <w:t>(…)</w:t>
      </w:r>
      <w:r w:rsidRPr="0096534C">
        <w:rPr>
          <w:rFonts w:ascii="Arial" w:eastAsia="Calibri" w:hAnsi="Arial" w:cs="Arial"/>
          <w:color w:val="000000" w:themeColor="text1"/>
          <w:sz w:val="20"/>
          <w:szCs w:val="20"/>
        </w:rPr>
        <w:t xml:space="preserve"> si la inhabilidad o incompatibilidad</w:t>
      </w:r>
      <w:r w:rsidR="00EA6165" w:rsidRPr="0096534C">
        <w:rPr>
          <w:rFonts w:ascii="Arial" w:eastAsia="Calibri" w:hAnsi="Arial" w:cs="Arial"/>
          <w:color w:val="000000" w:themeColor="text1"/>
          <w:sz w:val="20"/>
          <w:szCs w:val="20"/>
        </w:rPr>
        <w:t xml:space="preserve"> </w:t>
      </w:r>
      <w:r w:rsidRPr="0096534C">
        <w:rPr>
          <w:rFonts w:ascii="Arial" w:eastAsia="Calibri" w:hAnsi="Arial" w:cs="Arial"/>
          <w:color w:val="000000" w:themeColor="text1"/>
          <w:sz w:val="20"/>
          <w:szCs w:val="20"/>
        </w:rPr>
        <w:t xml:space="preserve">sobreviene en un procedimiento de selección, </w:t>
      </w:r>
      <w:r w:rsidR="00EA6165" w:rsidRPr="0096534C">
        <w:rPr>
          <w:rFonts w:ascii="Arial" w:eastAsia="Calibri" w:hAnsi="Arial" w:cs="Arial"/>
          <w:color w:val="000000" w:themeColor="text1"/>
          <w:sz w:val="20"/>
          <w:szCs w:val="20"/>
        </w:rPr>
        <w:t xml:space="preserve">(…) </w:t>
      </w:r>
      <w:r w:rsidRPr="0096534C">
        <w:rPr>
          <w:rFonts w:ascii="Arial" w:eastAsia="Calibri" w:hAnsi="Arial" w:cs="Arial"/>
          <w:color w:val="000000" w:themeColor="text1"/>
          <w:sz w:val="20"/>
          <w:szCs w:val="20"/>
        </w:rPr>
        <w:t>el proponente renuncia a la participación y a los derechos surgidos del mismo, ello incluye, si se presenta de forma individual o como proponente plural, pues la ley no hace distinción alguna al respecto, tan sólo contempla la posibilidad de ceder su participación cuando ya se está en presencia de un contrato</w:t>
      </w:r>
      <w:r w:rsidR="00390FA4" w:rsidRPr="0096534C">
        <w:rPr>
          <w:rFonts w:ascii="Arial" w:eastAsia="Calibri" w:hAnsi="Arial" w:cs="Arial"/>
          <w:color w:val="000000" w:themeColor="text1"/>
          <w:sz w:val="20"/>
          <w:szCs w:val="20"/>
        </w:rPr>
        <w:t xml:space="preserve"> (…).</w:t>
      </w:r>
    </w:p>
    <w:p w14:paraId="531F5441" w14:textId="112979C9" w:rsidR="0085057F" w:rsidRPr="0096534C" w:rsidRDefault="0085057F" w:rsidP="0096534C">
      <w:pPr>
        <w:tabs>
          <w:tab w:val="left" w:pos="709"/>
        </w:tabs>
        <w:spacing w:after="120" w:line="240" w:lineRule="auto"/>
        <w:jc w:val="both"/>
        <w:rPr>
          <w:rFonts w:ascii="Arial" w:hAnsi="Arial" w:cs="Arial"/>
          <w:i/>
          <w:iCs/>
          <w:sz w:val="20"/>
          <w:szCs w:val="20"/>
        </w:rPr>
      </w:pPr>
      <w:r w:rsidRPr="0096534C">
        <w:rPr>
          <w:rFonts w:ascii="Arial" w:hAnsi="Arial" w:cs="Arial"/>
          <w:sz w:val="20"/>
          <w:szCs w:val="20"/>
        </w:rPr>
        <w:t>Conforme a lo anterior,</w:t>
      </w:r>
      <w:r w:rsidRPr="0096534C">
        <w:rPr>
          <w:rFonts w:ascii="Arial" w:hAnsi="Arial" w:cs="Arial"/>
          <w:color w:val="000000" w:themeColor="text1"/>
          <w:sz w:val="20"/>
          <w:szCs w:val="20"/>
        </w:rPr>
        <w:t xml:space="preserve"> en el caso en que se llegue a presentar una inhabilidad o incompatibilidad durante la ejecución del contrato estatal, el contratista tiene dos opciones: primero, ceder el contrato, previa autorización escrita de la Entidad Estatal y, segundo, en el caso en que la cesión no fuera posible, deberá renunciar a la ejecución del contrato</w:t>
      </w:r>
      <w:r w:rsidR="006A1D5F" w:rsidRPr="0096534C">
        <w:rPr>
          <w:rFonts w:ascii="Arial" w:hAnsi="Arial" w:cs="Arial"/>
          <w:color w:val="000000" w:themeColor="text1"/>
          <w:sz w:val="20"/>
          <w:szCs w:val="20"/>
        </w:rPr>
        <w:t xml:space="preserve"> (…)</w:t>
      </w:r>
      <w:r w:rsidRPr="0096534C">
        <w:rPr>
          <w:rFonts w:ascii="Arial" w:hAnsi="Arial" w:cs="Arial"/>
          <w:sz w:val="20"/>
          <w:szCs w:val="20"/>
        </w:rPr>
        <w:t xml:space="preserve"> a excepción de la inhabilidad contemplada en el literal j) del numeral 1 del artículo 8º de la Ley 80 de 1993, ya que en dicho caso la Ley prohíbe la renuncia del contrato por parte del contratista a quién se le haya sancionado por corrupción, siendo obligatorio para la Entidad Estatal ordenar mediante acto administrativo motivado la cesión o terminación unilateral, “</w:t>
      </w:r>
      <w:r w:rsidRPr="0096534C">
        <w:rPr>
          <w:rFonts w:ascii="Arial" w:hAnsi="Arial" w:cs="Arial"/>
          <w:i/>
          <w:iCs/>
          <w:sz w:val="20"/>
          <w:szCs w:val="20"/>
        </w:rPr>
        <w:t>sin lugar a indemnización alguna al contratista inhábil.”</w:t>
      </w:r>
    </w:p>
    <w:p w14:paraId="39DC8A44" w14:textId="59057A0B" w:rsidR="0085057F" w:rsidRPr="0096534C" w:rsidRDefault="006A1D5F" w:rsidP="0096534C">
      <w:pPr>
        <w:tabs>
          <w:tab w:val="left" w:pos="709"/>
        </w:tabs>
        <w:spacing w:after="120" w:line="240" w:lineRule="auto"/>
        <w:jc w:val="both"/>
        <w:rPr>
          <w:rFonts w:ascii="Arial" w:eastAsia="Calibri" w:hAnsi="Arial" w:cs="Arial"/>
          <w:color w:val="000000" w:themeColor="text1"/>
          <w:sz w:val="20"/>
          <w:szCs w:val="20"/>
        </w:rPr>
      </w:pPr>
      <w:r w:rsidRPr="0096534C">
        <w:rPr>
          <w:rFonts w:ascii="Arial" w:hAnsi="Arial" w:cs="Arial"/>
          <w:sz w:val="20"/>
          <w:szCs w:val="20"/>
        </w:rPr>
        <w:t>(…)</w:t>
      </w:r>
      <w:r w:rsidR="0096534C">
        <w:rPr>
          <w:rFonts w:ascii="Arial" w:hAnsi="Arial" w:cs="Arial"/>
          <w:sz w:val="20"/>
          <w:szCs w:val="20"/>
        </w:rPr>
        <w:t xml:space="preserve"> </w:t>
      </w:r>
      <w:r w:rsidR="0085057F" w:rsidRPr="0096534C">
        <w:rPr>
          <w:rFonts w:ascii="Arial" w:eastAsia="Calibri" w:hAnsi="Arial" w:cs="Arial"/>
          <w:color w:val="000000" w:themeColor="text1"/>
          <w:sz w:val="20"/>
          <w:szCs w:val="20"/>
        </w:rPr>
        <w:t>Ahora bien, nótese que la norma dispone que cuando sobreviene una inhabilidad o una incompatibilidad en uno de los integrantes del consorcio o unión temporal, el contrato se continuará ejecutando, pero para ello el integrante afectado por la inhabilidad deberá ceder su participación a un tercero previa autorización escrita de la entidad contratante, y proscribe expresamente la posibilidad de hacer la cesión entre sus integrantes</w:t>
      </w:r>
      <w:r w:rsidR="00390FA4" w:rsidRPr="0096534C">
        <w:rPr>
          <w:rFonts w:ascii="Arial" w:eastAsia="Calibri" w:hAnsi="Arial" w:cs="Arial"/>
          <w:color w:val="000000" w:themeColor="text1"/>
          <w:sz w:val="20"/>
          <w:szCs w:val="20"/>
        </w:rPr>
        <w:t xml:space="preserve"> (…).</w:t>
      </w:r>
    </w:p>
    <w:p w14:paraId="31FDC15C" w14:textId="34347A18" w:rsidR="007E7B07" w:rsidRDefault="007E7B07">
      <w:pPr>
        <w:rPr>
          <w:rFonts w:ascii="Arial" w:eastAsia="Geomanist Light" w:hAnsi="Arial" w:cs="Arial"/>
          <w:color w:val="000000" w:themeColor="text1"/>
          <w:lang w:val="es-MX"/>
        </w:rPr>
      </w:pPr>
      <w:r>
        <w:rPr>
          <w:rFonts w:ascii="Arial" w:eastAsia="Geomanist Light" w:hAnsi="Arial" w:cs="Arial"/>
          <w:color w:val="000000" w:themeColor="text1"/>
          <w:lang w:val="es-MX"/>
        </w:rPr>
        <w:br w:type="page"/>
      </w:r>
    </w:p>
    <w:p w14:paraId="062F1ECA" w14:textId="1D17336F" w:rsidR="006219F8" w:rsidRPr="00892F88" w:rsidRDefault="00892F88" w:rsidP="6B8BD3AC">
      <w:pPr>
        <w:rPr>
          <w:rFonts w:ascii="Arial" w:eastAsia="Geomanist Light" w:hAnsi="Arial" w:cs="Arial"/>
          <w:color w:val="201F1E"/>
          <w:lang w:val="es-MX"/>
        </w:rPr>
      </w:pPr>
      <w:r w:rsidRPr="00892F88">
        <w:rPr>
          <w:rFonts w:ascii="Arial" w:eastAsia="Geomanist Light" w:hAnsi="Arial" w:cs="Arial"/>
          <w:color w:val="000000" w:themeColor="text1"/>
          <w:lang w:val="es-MX"/>
        </w:rPr>
        <w:lastRenderedPageBreak/>
        <w:drawing>
          <wp:anchor distT="0" distB="0" distL="114300" distR="114300" simplePos="0" relativeHeight="251658240" behindDoc="1" locked="0" layoutInCell="1" allowOverlap="1" wp14:anchorId="1E4B5EA7" wp14:editId="7A0F759A">
            <wp:simplePos x="0" y="0"/>
            <wp:positionH relativeFrom="margin">
              <wp:posOffset>3367578</wp:posOffset>
            </wp:positionH>
            <wp:positionV relativeFrom="paragraph">
              <wp:posOffset>43677</wp:posOffset>
            </wp:positionV>
            <wp:extent cx="2600553" cy="688063"/>
            <wp:effectExtent l="0" t="0" r="0" b="0"/>
            <wp:wrapNone/>
            <wp:docPr id="816736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3633" name=""/>
                    <pic:cNvPicPr/>
                  </pic:nvPicPr>
                  <pic:blipFill>
                    <a:blip r:embed="rId11">
                      <a:extLst>
                        <a:ext uri="{28A0092B-C50C-407E-A947-70E740481C1C}">
                          <a14:useLocalDpi xmlns:a14="http://schemas.microsoft.com/office/drawing/2010/main" val="0"/>
                        </a:ext>
                      </a:extLst>
                    </a:blip>
                    <a:stretch>
                      <a:fillRect/>
                    </a:stretch>
                  </pic:blipFill>
                  <pic:spPr>
                    <a:xfrm>
                      <a:off x="0" y="0"/>
                      <a:ext cx="2621987" cy="693734"/>
                    </a:xfrm>
                    <a:prstGeom prst="rect">
                      <a:avLst/>
                    </a:prstGeom>
                  </pic:spPr>
                </pic:pic>
              </a:graphicData>
            </a:graphic>
            <wp14:sizeRelH relativeFrom="margin">
              <wp14:pctWidth>0</wp14:pctWidth>
            </wp14:sizeRelH>
            <wp14:sizeRelV relativeFrom="margin">
              <wp14:pctHeight>0</wp14:pctHeight>
            </wp14:sizeRelV>
          </wp:anchor>
        </w:drawing>
      </w:r>
      <w:r w:rsidR="1CC63BF5" w:rsidRPr="00AF2147">
        <w:rPr>
          <w:rFonts w:ascii="Arial" w:eastAsia="Geomanist Light" w:hAnsi="Arial" w:cs="Arial"/>
          <w:color w:val="000000" w:themeColor="text1"/>
          <w:lang w:val="es-MX"/>
        </w:rPr>
        <w:t>Bogotá D.C.,</w:t>
      </w:r>
      <w:r>
        <w:rPr>
          <w:rFonts w:ascii="Arial" w:eastAsia="Geomanist Light" w:hAnsi="Arial" w:cs="Arial"/>
          <w:color w:val="000000" w:themeColor="text1"/>
          <w:lang w:val="es-MX"/>
        </w:rPr>
        <w:t>13 de junio de 2023</w:t>
      </w:r>
      <w:r w:rsidRPr="00892F88">
        <w:rPr>
          <w:noProof/>
        </w:rPr>
        <w:t xml:space="preserve"> </w:t>
      </w:r>
    </w:p>
    <w:p w14:paraId="2DA7E661" w14:textId="77777777" w:rsidR="00AF2147" w:rsidRDefault="00AF2147" w:rsidP="00AB3234">
      <w:pPr>
        <w:spacing w:line="276" w:lineRule="auto"/>
        <w:jc w:val="both"/>
        <w:rPr>
          <w:rFonts w:ascii="Arial" w:eastAsia="Arial" w:hAnsi="Arial" w:cs="Arial"/>
          <w:color w:val="000000"/>
          <w:lang w:eastAsia="es-ES_tradnl"/>
        </w:rPr>
      </w:pPr>
    </w:p>
    <w:p w14:paraId="48E8C14D" w14:textId="32547430" w:rsidR="00AB3234" w:rsidRPr="00946D59" w:rsidRDefault="00AB3234" w:rsidP="00AF2147">
      <w:pPr>
        <w:spacing w:after="0" w:line="276" w:lineRule="auto"/>
        <w:jc w:val="both"/>
        <w:rPr>
          <w:rFonts w:ascii="Arial" w:eastAsia="Arial" w:hAnsi="Arial" w:cs="Arial"/>
          <w:color w:val="000000"/>
          <w:lang w:eastAsia="es-ES_tradnl"/>
        </w:rPr>
      </w:pPr>
      <w:r w:rsidRPr="00946D59">
        <w:rPr>
          <w:rFonts w:ascii="Arial" w:eastAsia="Arial" w:hAnsi="Arial" w:cs="Arial"/>
          <w:color w:val="000000"/>
          <w:lang w:eastAsia="es-ES_tradnl"/>
        </w:rPr>
        <w:t>Señor</w:t>
      </w:r>
    </w:p>
    <w:p w14:paraId="26161BD0" w14:textId="72377F29" w:rsidR="00AB3234" w:rsidRDefault="00AF2147" w:rsidP="00AF2147">
      <w:pPr>
        <w:spacing w:after="0" w:line="276" w:lineRule="auto"/>
        <w:jc w:val="both"/>
        <w:rPr>
          <w:rFonts w:ascii="Arial" w:eastAsia="Arial" w:hAnsi="Arial" w:cs="Arial"/>
          <w:b/>
          <w:bCs/>
          <w:color w:val="000000"/>
          <w:lang w:eastAsia="es-ES_tradnl"/>
        </w:rPr>
      </w:pPr>
      <w:r>
        <w:rPr>
          <w:rFonts w:ascii="Arial" w:eastAsia="Arial" w:hAnsi="Arial" w:cs="Arial"/>
          <w:b/>
          <w:bCs/>
          <w:color w:val="000000"/>
          <w:lang w:eastAsia="es-ES_tradnl"/>
        </w:rPr>
        <w:t xml:space="preserve">Pablo Marcelo </w:t>
      </w:r>
      <w:r w:rsidR="006D4D28">
        <w:rPr>
          <w:rFonts w:ascii="Arial" w:eastAsia="Arial" w:hAnsi="Arial" w:cs="Arial"/>
          <w:b/>
          <w:bCs/>
          <w:color w:val="000000"/>
          <w:lang w:eastAsia="es-ES_tradnl"/>
        </w:rPr>
        <w:t>Cárdenas</w:t>
      </w:r>
      <w:r>
        <w:rPr>
          <w:rFonts w:ascii="Arial" w:eastAsia="Arial" w:hAnsi="Arial" w:cs="Arial"/>
          <w:b/>
          <w:bCs/>
          <w:color w:val="000000"/>
          <w:lang w:eastAsia="es-ES_tradnl"/>
        </w:rPr>
        <w:t xml:space="preserve"> B</w:t>
      </w:r>
      <w:r w:rsidR="006D4D28">
        <w:rPr>
          <w:rFonts w:ascii="Arial" w:eastAsia="Arial" w:hAnsi="Arial" w:cs="Arial"/>
          <w:b/>
          <w:bCs/>
          <w:color w:val="000000"/>
          <w:lang w:eastAsia="es-ES_tradnl"/>
        </w:rPr>
        <w:t>enavides</w:t>
      </w:r>
    </w:p>
    <w:p w14:paraId="2F5A3E85" w14:textId="1CD9879F" w:rsidR="006D4D28" w:rsidRPr="006D4D28" w:rsidRDefault="006D4D28" w:rsidP="00AF2147">
      <w:pPr>
        <w:spacing w:after="0" w:line="276" w:lineRule="auto"/>
        <w:jc w:val="both"/>
        <w:rPr>
          <w:rFonts w:ascii="Arial" w:eastAsia="Arial" w:hAnsi="Arial" w:cs="Arial"/>
          <w:color w:val="000000"/>
          <w:lang w:eastAsia="es-ES_tradnl"/>
        </w:rPr>
      </w:pPr>
      <w:r>
        <w:rPr>
          <w:rFonts w:ascii="Arial" w:eastAsia="Arial" w:hAnsi="Arial" w:cs="Arial"/>
          <w:color w:val="000000"/>
          <w:lang w:eastAsia="es-ES_tradnl"/>
        </w:rPr>
        <w:t>Bogotá, D.C.</w:t>
      </w:r>
    </w:p>
    <w:p w14:paraId="3935CCFC" w14:textId="77777777" w:rsidR="00AB3234" w:rsidRPr="00946D59" w:rsidRDefault="00AB3234" w:rsidP="00AB3234">
      <w:pPr>
        <w:spacing w:line="276" w:lineRule="auto"/>
        <w:jc w:val="both"/>
        <w:rPr>
          <w:rFonts w:ascii="Arial" w:eastAsia="Arial" w:hAnsi="Arial" w:cs="Arial"/>
          <w:color w:val="000000"/>
          <w:lang w:eastAsia="es-ES_tradnl"/>
        </w:rPr>
      </w:pPr>
    </w:p>
    <w:p w14:paraId="6005B1E4" w14:textId="11C6B658" w:rsidR="00AB3234" w:rsidRPr="00946D59" w:rsidRDefault="00AB3234" w:rsidP="00AB3234">
      <w:pPr>
        <w:spacing w:line="276" w:lineRule="auto"/>
        <w:ind w:left="2832"/>
        <w:rPr>
          <w:rFonts w:ascii="Arial" w:eastAsia="Calibri" w:hAnsi="Arial" w:cs="Arial"/>
          <w:b/>
          <w:lang w:eastAsia="es-ES_tradnl"/>
        </w:rPr>
      </w:pPr>
      <w:r w:rsidRPr="00946D59">
        <w:rPr>
          <w:rFonts w:ascii="Arial" w:eastAsia="Calibri" w:hAnsi="Arial" w:cs="Arial"/>
          <w:b/>
          <w:lang w:eastAsia="es-ES_tradnl"/>
        </w:rPr>
        <w:t>Concepto C–</w:t>
      </w:r>
      <w:r w:rsidR="0004087C">
        <w:rPr>
          <w:rFonts w:ascii="Arial" w:eastAsia="Calibri" w:hAnsi="Arial" w:cs="Arial"/>
          <w:b/>
          <w:lang w:eastAsia="es-ES_tradnl"/>
        </w:rPr>
        <w:t>059</w:t>
      </w:r>
      <w:r w:rsidRPr="00946D59">
        <w:rPr>
          <w:rFonts w:ascii="Arial" w:eastAsia="Calibri" w:hAnsi="Arial" w:cs="Arial"/>
          <w:b/>
          <w:lang w:eastAsia="es-ES_tradnl"/>
        </w:rPr>
        <w:t xml:space="preserve"> de 202</w:t>
      </w:r>
      <w:r w:rsidR="0004087C">
        <w:rPr>
          <w:rFonts w:ascii="Arial" w:eastAsia="Calibri" w:hAnsi="Arial" w:cs="Arial"/>
          <w:b/>
          <w:lang w:eastAsia="es-ES_tradnl"/>
        </w:rPr>
        <w:t>3</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AB3234" w:rsidRPr="00946D59" w14:paraId="61A35C9F" w14:textId="77777777" w:rsidTr="007B413E">
        <w:trPr>
          <w:trHeight w:val="1629"/>
        </w:trPr>
        <w:tc>
          <w:tcPr>
            <w:tcW w:w="2689" w:type="dxa"/>
          </w:tcPr>
          <w:p w14:paraId="208CD58A" w14:textId="46498855" w:rsidR="00AB3234" w:rsidRPr="00946D59" w:rsidRDefault="00AB3234" w:rsidP="007B413E">
            <w:pPr>
              <w:spacing w:line="276" w:lineRule="auto"/>
              <w:jc w:val="both"/>
              <w:rPr>
                <w:rFonts w:ascii="Arial" w:eastAsia="Arial" w:hAnsi="Arial" w:cs="Arial"/>
                <w:color w:val="000000"/>
                <w:sz w:val="22"/>
                <w:szCs w:val="22"/>
              </w:rPr>
            </w:pPr>
            <w:r w:rsidRPr="00946D59">
              <w:rPr>
                <w:rFonts w:ascii="Arial" w:eastAsia="Arial" w:hAnsi="Arial" w:cs="Arial"/>
                <w:color w:val="000000"/>
                <w:sz w:val="22"/>
                <w:szCs w:val="22"/>
              </w:rPr>
              <w:t xml:space="preserve">                                            Temas:        </w:t>
            </w:r>
          </w:p>
        </w:tc>
        <w:tc>
          <w:tcPr>
            <w:tcW w:w="6237" w:type="dxa"/>
          </w:tcPr>
          <w:p w14:paraId="55E8DE42" w14:textId="77777777" w:rsidR="00AB3234" w:rsidRPr="0004087C" w:rsidRDefault="00AB3234" w:rsidP="007B413E">
            <w:pPr>
              <w:jc w:val="both"/>
              <w:rPr>
                <w:rFonts w:ascii="Arial" w:hAnsi="Arial" w:cs="Arial"/>
                <w:b/>
                <w:bCs/>
                <w:sz w:val="22"/>
                <w:szCs w:val="22"/>
                <w:lang w:val="es-ES"/>
              </w:rPr>
            </w:pPr>
            <w:r w:rsidRPr="0004087C">
              <w:rPr>
                <w:rFonts w:ascii="Arial" w:hAnsi="Arial" w:cs="Arial"/>
                <w:sz w:val="22"/>
                <w:szCs w:val="22"/>
                <w:lang w:val="es-ES"/>
              </w:rPr>
              <w:t>INHABILIDADES – Definición – Finalidad – Limitación a capacidad / INHABILIDADES – Clasificación – Sanción – Proceso sancionatorio – Requisito – Condiciones personales / INHABILIDADES – Taxatividad – Principio de legalidad – Interpretación restrictiva / INHABILIDAD SOBREVINIENTE – Sobre consorcio o unión temporal</w:t>
            </w:r>
            <w:r w:rsidRPr="0004087C">
              <w:rPr>
                <w:rFonts w:ascii="Arial" w:hAnsi="Arial" w:cs="Arial"/>
                <w:b/>
                <w:bCs/>
                <w:sz w:val="22"/>
                <w:szCs w:val="22"/>
                <w:lang w:val="es-ES"/>
              </w:rPr>
              <w:t xml:space="preserve">  </w:t>
            </w:r>
          </w:p>
        </w:tc>
      </w:tr>
      <w:tr w:rsidR="00AB3234" w:rsidRPr="00946D59" w14:paraId="01A1C27B" w14:textId="77777777" w:rsidTr="007B413E">
        <w:tc>
          <w:tcPr>
            <w:tcW w:w="2689" w:type="dxa"/>
          </w:tcPr>
          <w:p w14:paraId="53252703" w14:textId="77777777" w:rsidR="00AB3234" w:rsidRPr="00946D59" w:rsidRDefault="00AB3234" w:rsidP="007B413E">
            <w:pPr>
              <w:spacing w:before="0" w:line="276" w:lineRule="auto"/>
              <w:rPr>
                <w:rFonts w:ascii="Arial" w:eastAsia="Arial" w:hAnsi="Arial" w:cs="Arial"/>
                <w:bCs/>
                <w:color w:val="000000"/>
                <w:sz w:val="22"/>
                <w:szCs w:val="22"/>
              </w:rPr>
            </w:pPr>
          </w:p>
          <w:p w14:paraId="53568378" w14:textId="77777777" w:rsidR="00AB3234" w:rsidRPr="00946D59" w:rsidRDefault="00AB3234" w:rsidP="007B413E">
            <w:pPr>
              <w:spacing w:before="0" w:line="276" w:lineRule="auto"/>
              <w:rPr>
                <w:rFonts w:ascii="Arial" w:eastAsia="Arial" w:hAnsi="Arial" w:cs="Arial"/>
                <w:bCs/>
                <w:color w:val="000000"/>
                <w:sz w:val="22"/>
                <w:szCs w:val="22"/>
              </w:rPr>
            </w:pPr>
            <w:r w:rsidRPr="00946D59">
              <w:rPr>
                <w:rFonts w:ascii="Arial" w:eastAsia="Arial" w:hAnsi="Arial" w:cs="Arial"/>
                <w:bCs/>
                <w:color w:val="000000"/>
                <w:sz w:val="22"/>
                <w:szCs w:val="22"/>
              </w:rPr>
              <w:t xml:space="preserve">Radicación:                            </w:t>
            </w:r>
          </w:p>
        </w:tc>
        <w:tc>
          <w:tcPr>
            <w:tcW w:w="6237" w:type="dxa"/>
          </w:tcPr>
          <w:p w14:paraId="38FE6338" w14:textId="77777777" w:rsidR="00AB3234" w:rsidRPr="00946D59" w:rsidRDefault="00AB3234" w:rsidP="007B413E">
            <w:pPr>
              <w:spacing w:before="0" w:line="276" w:lineRule="auto"/>
              <w:jc w:val="both"/>
              <w:rPr>
                <w:rFonts w:ascii="Arial" w:eastAsia="Arial" w:hAnsi="Arial" w:cs="Arial"/>
                <w:color w:val="000000"/>
                <w:sz w:val="22"/>
                <w:szCs w:val="22"/>
              </w:rPr>
            </w:pPr>
          </w:p>
          <w:p w14:paraId="12311FE8" w14:textId="477A4747" w:rsidR="00AB3234" w:rsidRPr="00946D59" w:rsidRDefault="00AB3234" w:rsidP="007B413E">
            <w:pPr>
              <w:spacing w:before="0" w:line="276" w:lineRule="auto"/>
              <w:jc w:val="both"/>
              <w:rPr>
                <w:rFonts w:ascii="Arial" w:eastAsia="Arial" w:hAnsi="Arial" w:cs="Arial"/>
                <w:color w:val="000000"/>
                <w:sz w:val="22"/>
                <w:szCs w:val="22"/>
              </w:rPr>
            </w:pPr>
            <w:r w:rsidRPr="00946D59">
              <w:rPr>
                <w:rFonts w:ascii="Arial" w:eastAsia="Arial" w:hAnsi="Arial" w:cs="Arial"/>
                <w:color w:val="000000"/>
                <w:sz w:val="22"/>
                <w:szCs w:val="22"/>
              </w:rPr>
              <w:t xml:space="preserve">Respuesta a consulta </w:t>
            </w:r>
            <w:r w:rsidR="009E39A5" w:rsidRPr="009E39A5">
              <w:rPr>
                <w:rFonts w:ascii="Arial" w:eastAsia="Arial" w:hAnsi="Arial" w:cs="Arial"/>
                <w:color w:val="000000"/>
                <w:sz w:val="22"/>
                <w:szCs w:val="22"/>
              </w:rPr>
              <w:t>P20230413003282</w:t>
            </w:r>
          </w:p>
        </w:tc>
      </w:tr>
      <w:tr w:rsidR="00AB3234" w:rsidRPr="00946D59" w14:paraId="11D7C1BE" w14:textId="77777777" w:rsidTr="007B413E">
        <w:tc>
          <w:tcPr>
            <w:tcW w:w="2689" w:type="dxa"/>
          </w:tcPr>
          <w:p w14:paraId="35AE88D4" w14:textId="77777777" w:rsidR="00AB3234" w:rsidRPr="00946D59" w:rsidRDefault="00AB3234" w:rsidP="007B413E">
            <w:pPr>
              <w:spacing w:line="276" w:lineRule="auto"/>
              <w:rPr>
                <w:rFonts w:ascii="Arial" w:eastAsia="Arial" w:hAnsi="Arial" w:cs="Arial"/>
                <w:b/>
                <w:color w:val="000000"/>
                <w:sz w:val="22"/>
                <w:szCs w:val="22"/>
              </w:rPr>
            </w:pPr>
          </w:p>
        </w:tc>
        <w:tc>
          <w:tcPr>
            <w:tcW w:w="6237" w:type="dxa"/>
          </w:tcPr>
          <w:p w14:paraId="03C403F0" w14:textId="77777777" w:rsidR="00AB3234" w:rsidRPr="00946D59" w:rsidRDefault="00AB3234" w:rsidP="007B413E">
            <w:pPr>
              <w:spacing w:line="276" w:lineRule="auto"/>
              <w:rPr>
                <w:rFonts w:ascii="Arial" w:eastAsia="Arial" w:hAnsi="Arial" w:cs="Arial"/>
                <w:color w:val="000000"/>
                <w:sz w:val="22"/>
                <w:szCs w:val="22"/>
              </w:rPr>
            </w:pPr>
          </w:p>
        </w:tc>
      </w:tr>
    </w:tbl>
    <w:p w14:paraId="1D30484E" w14:textId="6DF0EE25" w:rsidR="00AB3234" w:rsidRPr="00946D59" w:rsidRDefault="00AB3234" w:rsidP="00AB3234">
      <w:pPr>
        <w:spacing w:line="276" w:lineRule="auto"/>
        <w:jc w:val="both"/>
        <w:rPr>
          <w:rFonts w:ascii="Arial" w:eastAsia="Arial" w:hAnsi="Arial" w:cs="Arial"/>
          <w:color w:val="000000"/>
          <w:lang w:eastAsia="es-ES_tradnl"/>
        </w:rPr>
      </w:pPr>
      <w:r w:rsidRPr="00946D59">
        <w:rPr>
          <w:rFonts w:ascii="Arial" w:eastAsia="Arial" w:hAnsi="Arial" w:cs="Arial"/>
          <w:color w:val="000000"/>
          <w:lang w:eastAsia="es-ES_tradnl"/>
        </w:rPr>
        <w:t>Estimad</w:t>
      </w:r>
      <w:r w:rsidR="009E39A5">
        <w:rPr>
          <w:rFonts w:ascii="Arial" w:eastAsia="Arial" w:hAnsi="Arial" w:cs="Arial"/>
          <w:color w:val="000000"/>
          <w:lang w:eastAsia="es-ES_tradnl"/>
        </w:rPr>
        <w:t>o</w:t>
      </w:r>
      <w:r>
        <w:rPr>
          <w:rFonts w:ascii="Arial" w:eastAsia="Arial" w:hAnsi="Arial" w:cs="Arial"/>
          <w:color w:val="000000"/>
          <w:lang w:eastAsia="es-ES_tradnl"/>
        </w:rPr>
        <w:t xml:space="preserve"> señor </w:t>
      </w:r>
      <w:r w:rsidR="009E39A5">
        <w:rPr>
          <w:rFonts w:ascii="Arial" w:eastAsia="Arial" w:hAnsi="Arial" w:cs="Arial"/>
          <w:color w:val="000000"/>
          <w:lang w:eastAsia="es-ES_tradnl"/>
        </w:rPr>
        <w:t>Cárdenas</w:t>
      </w:r>
      <w:r>
        <w:rPr>
          <w:rFonts w:ascii="Arial" w:eastAsia="Arial" w:hAnsi="Arial" w:cs="Arial"/>
          <w:color w:val="000000"/>
          <w:lang w:eastAsia="es-ES_tradnl"/>
        </w:rPr>
        <w:t xml:space="preserve"> </w:t>
      </w:r>
    </w:p>
    <w:p w14:paraId="591B241F" w14:textId="52C46063" w:rsidR="00AB3234" w:rsidRPr="00946D59" w:rsidRDefault="00AB3234" w:rsidP="00AB3234">
      <w:pPr>
        <w:spacing w:line="276" w:lineRule="auto"/>
        <w:ind w:right="51"/>
        <w:jc w:val="both"/>
        <w:rPr>
          <w:rFonts w:ascii="Arial" w:eastAsia="Arial" w:hAnsi="Arial" w:cs="Arial"/>
          <w:color w:val="000000"/>
          <w:lang w:eastAsia="es-ES_tradnl"/>
        </w:rPr>
      </w:pPr>
      <w:r w:rsidRPr="00946D59">
        <w:rPr>
          <w:rFonts w:ascii="Arial" w:eastAsia="Arial" w:hAnsi="Arial" w:cs="Arial"/>
          <w:color w:val="000000"/>
          <w:lang w:eastAsia="es-ES_tradnl"/>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D1664E">
        <w:rPr>
          <w:rFonts w:ascii="Arial" w:eastAsia="Arial" w:hAnsi="Arial" w:cs="Arial"/>
          <w:color w:val="000000"/>
          <w:lang w:eastAsia="es-ES_tradnl"/>
        </w:rPr>
        <w:t>13</w:t>
      </w:r>
      <w:r w:rsidRPr="00946D59">
        <w:rPr>
          <w:rFonts w:ascii="Arial" w:eastAsia="Arial" w:hAnsi="Arial" w:cs="Arial"/>
          <w:color w:val="000000"/>
          <w:lang w:eastAsia="es-ES_tradnl"/>
        </w:rPr>
        <w:t xml:space="preserve"> de </w:t>
      </w:r>
      <w:r w:rsidR="00D1664E">
        <w:rPr>
          <w:rFonts w:ascii="Arial" w:eastAsia="Arial" w:hAnsi="Arial" w:cs="Arial"/>
          <w:color w:val="000000"/>
          <w:lang w:eastAsia="es-ES_tradnl"/>
        </w:rPr>
        <w:t>abril</w:t>
      </w:r>
      <w:r w:rsidRPr="00946D59">
        <w:rPr>
          <w:rFonts w:ascii="Arial" w:eastAsia="Arial" w:hAnsi="Arial" w:cs="Arial"/>
          <w:color w:val="000000"/>
          <w:lang w:eastAsia="es-ES_tradnl"/>
        </w:rPr>
        <w:t xml:space="preserve"> de 202</w:t>
      </w:r>
      <w:r w:rsidR="00D1664E">
        <w:rPr>
          <w:rFonts w:ascii="Arial" w:eastAsia="Arial" w:hAnsi="Arial" w:cs="Arial"/>
          <w:color w:val="000000"/>
          <w:lang w:eastAsia="es-ES_tradnl"/>
        </w:rPr>
        <w:t>3</w:t>
      </w:r>
      <w:r w:rsidRPr="00946D59">
        <w:rPr>
          <w:rFonts w:ascii="Arial" w:eastAsia="Arial" w:hAnsi="Arial" w:cs="Arial"/>
          <w:color w:val="000000"/>
          <w:lang w:eastAsia="es-ES_tradnl"/>
        </w:rPr>
        <w:t xml:space="preserve">. </w:t>
      </w:r>
    </w:p>
    <w:p w14:paraId="68455A4B" w14:textId="52A2842B" w:rsidR="00AB3234" w:rsidRPr="009E39A5" w:rsidRDefault="00AB3234" w:rsidP="009E39A5">
      <w:pPr>
        <w:pStyle w:val="Prrafodelista"/>
        <w:numPr>
          <w:ilvl w:val="0"/>
          <w:numId w:val="4"/>
        </w:numPr>
        <w:tabs>
          <w:tab w:val="left" w:pos="284"/>
        </w:tabs>
        <w:spacing w:line="276" w:lineRule="auto"/>
        <w:jc w:val="both"/>
        <w:rPr>
          <w:rFonts w:ascii="Arial" w:eastAsia="Arial" w:hAnsi="Arial" w:cs="Arial"/>
          <w:b/>
          <w:color w:val="000000"/>
          <w:lang w:eastAsia="es-ES_tradnl"/>
        </w:rPr>
      </w:pPr>
      <w:r w:rsidRPr="009E39A5">
        <w:rPr>
          <w:rFonts w:ascii="Arial" w:eastAsia="Arial" w:hAnsi="Arial" w:cs="Arial"/>
          <w:b/>
          <w:color w:val="000000"/>
          <w:lang w:eastAsia="es-ES_tradnl"/>
        </w:rPr>
        <w:t xml:space="preserve"> Problema planteado </w:t>
      </w:r>
    </w:p>
    <w:p w14:paraId="10FB4307" w14:textId="77777777" w:rsidR="00426FCA" w:rsidRDefault="00AB3234" w:rsidP="00AB3234">
      <w:pPr>
        <w:spacing w:line="276" w:lineRule="auto"/>
        <w:ind w:right="49"/>
        <w:jc w:val="both"/>
        <w:rPr>
          <w:rFonts w:ascii="Arial" w:hAnsi="Arial" w:cs="Arial"/>
          <w:bCs/>
          <w:lang w:eastAsia="es-ES_tradnl"/>
        </w:rPr>
      </w:pPr>
      <w:bookmarkStart w:id="0" w:name="_17dp8vu" w:colFirst="0" w:colLast="0"/>
      <w:bookmarkEnd w:id="0"/>
      <w:r w:rsidRPr="00946D59">
        <w:rPr>
          <w:rFonts w:ascii="Arial" w:hAnsi="Arial" w:cs="Arial"/>
          <w:bCs/>
          <w:lang w:eastAsia="es-ES_tradnl"/>
        </w:rPr>
        <w:t xml:space="preserve">Usted realiza la siguiente consulta: </w:t>
      </w:r>
    </w:p>
    <w:p w14:paraId="4B56BD5C" w14:textId="7F4856EB" w:rsidR="00426FCA" w:rsidRPr="00426FCA" w:rsidRDefault="009E39A5" w:rsidP="00335EF2">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eastAsia="es-ES_tradnl"/>
        </w:rPr>
        <w:t>“</w:t>
      </w:r>
      <w:r w:rsidR="00426FCA" w:rsidRPr="00426FCA">
        <w:rPr>
          <w:rFonts w:ascii="Arial" w:hAnsi="Arial" w:cs="Arial"/>
          <w:bCs/>
          <w:sz w:val="21"/>
          <w:szCs w:val="21"/>
          <w:lang w:val="es-MX" w:eastAsia="es-ES_tradnl"/>
        </w:rPr>
        <w:t>1. El artículo 9 de la Ley 80 de 1993, establece de forma textual que “ (…) Cuando</w:t>
      </w:r>
      <w:r w:rsidR="00426FCA">
        <w:rPr>
          <w:rFonts w:ascii="Arial" w:hAnsi="Arial" w:cs="Arial"/>
          <w:bCs/>
          <w:sz w:val="21"/>
          <w:szCs w:val="21"/>
          <w:lang w:val="es-MX" w:eastAsia="es-ES_tradnl"/>
        </w:rPr>
        <w:t xml:space="preserve"> </w:t>
      </w:r>
      <w:r w:rsidR="00426FCA" w:rsidRPr="00426FCA">
        <w:rPr>
          <w:rFonts w:ascii="Arial" w:hAnsi="Arial" w:cs="Arial"/>
          <w:bCs/>
          <w:sz w:val="21"/>
          <w:szCs w:val="21"/>
          <w:lang w:val="es-MX" w:eastAsia="es-ES_tradnl"/>
        </w:rPr>
        <w:t>la inhabilidad o incompatibilidad sobrevenga en un proponente dentro de un proceso de</w:t>
      </w:r>
      <w:r w:rsidR="00426FCA">
        <w:rPr>
          <w:rFonts w:ascii="Arial" w:hAnsi="Arial" w:cs="Arial"/>
          <w:bCs/>
          <w:sz w:val="21"/>
          <w:szCs w:val="21"/>
          <w:lang w:val="es-MX" w:eastAsia="es-ES_tradnl"/>
        </w:rPr>
        <w:t xml:space="preserve"> </w:t>
      </w:r>
      <w:r w:rsidR="00426FCA" w:rsidRPr="00426FCA">
        <w:rPr>
          <w:rFonts w:ascii="Arial" w:hAnsi="Arial" w:cs="Arial"/>
          <w:bCs/>
          <w:sz w:val="21"/>
          <w:szCs w:val="21"/>
          <w:lang w:val="es-MX" w:eastAsia="es-ES_tradnl"/>
        </w:rPr>
        <w:t>selección, se entenderá que renuncia a la participación en el proceso de selección y a</w:t>
      </w:r>
      <w:r w:rsidR="00426FCA">
        <w:rPr>
          <w:rFonts w:ascii="Arial" w:hAnsi="Arial" w:cs="Arial"/>
          <w:bCs/>
          <w:sz w:val="21"/>
          <w:szCs w:val="21"/>
          <w:lang w:val="es-MX" w:eastAsia="es-ES_tradnl"/>
        </w:rPr>
        <w:t xml:space="preserve"> </w:t>
      </w:r>
      <w:r w:rsidR="00426FCA" w:rsidRPr="00426FCA">
        <w:rPr>
          <w:rFonts w:ascii="Arial" w:hAnsi="Arial" w:cs="Arial"/>
          <w:bCs/>
          <w:sz w:val="21"/>
          <w:szCs w:val="21"/>
          <w:lang w:val="es-MX" w:eastAsia="es-ES_tradnl"/>
        </w:rPr>
        <w:t>los derechos surgidos del mismo. Si la inhabilidad o incompatibilidad sobreviene en uno</w:t>
      </w:r>
      <w:r w:rsidR="00426FCA">
        <w:rPr>
          <w:rFonts w:ascii="Arial" w:hAnsi="Arial" w:cs="Arial"/>
          <w:bCs/>
          <w:sz w:val="21"/>
          <w:szCs w:val="21"/>
          <w:lang w:val="es-MX" w:eastAsia="es-ES_tradnl"/>
        </w:rPr>
        <w:t xml:space="preserve"> </w:t>
      </w:r>
      <w:r w:rsidR="00426FCA" w:rsidRPr="00426FCA">
        <w:rPr>
          <w:rFonts w:ascii="Arial" w:hAnsi="Arial" w:cs="Arial"/>
          <w:bCs/>
          <w:sz w:val="21"/>
          <w:szCs w:val="21"/>
          <w:lang w:val="es-MX" w:eastAsia="es-ES_tradnl"/>
        </w:rPr>
        <w:t>de los miembros de un consorcio o unión temporal, este cederá su participación a un</w:t>
      </w:r>
      <w:r w:rsidR="00426FCA">
        <w:rPr>
          <w:rFonts w:ascii="Arial" w:hAnsi="Arial" w:cs="Arial"/>
          <w:bCs/>
          <w:sz w:val="21"/>
          <w:szCs w:val="21"/>
          <w:lang w:val="es-MX" w:eastAsia="es-ES_tradnl"/>
        </w:rPr>
        <w:t xml:space="preserve"> </w:t>
      </w:r>
      <w:r w:rsidR="00426FCA" w:rsidRPr="00426FCA">
        <w:rPr>
          <w:rFonts w:ascii="Arial" w:hAnsi="Arial" w:cs="Arial"/>
          <w:bCs/>
          <w:sz w:val="21"/>
          <w:szCs w:val="21"/>
          <w:lang w:val="es-MX" w:eastAsia="es-ES_tradnl"/>
        </w:rPr>
        <w:t>tercero previa autorización escrita de la entidad contratante. (…)</w:t>
      </w:r>
    </w:p>
    <w:p w14:paraId="59AB52B4" w14:textId="77777777" w:rsidR="00426FCA" w:rsidRPr="00426FCA" w:rsidRDefault="00426FCA" w:rsidP="00335EF2">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2. Por lo anterior, se pregunta:</w:t>
      </w:r>
    </w:p>
    <w:p w14:paraId="75457713" w14:textId="040A8FFA" w:rsidR="00426FCA" w:rsidRPr="00426FCA" w:rsidRDefault="00426FCA" w:rsidP="00335EF2">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2.1. ¿Qué se entiende por renuncia a la participación del proceso y cuáles son sus</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implicaciones jurídicas y económicas?</w:t>
      </w:r>
    </w:p>
    <w:p w14:paraId="6CC4E047" w14:textId="74EC3E61" w:rsidR="00426FCA" w:rsidRPr="00426FCA" w:rsidRDefault="00426FCA" w:rsidP="00335EF2">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2.2. ¿Al renunciar se termina el contrato, se procede a su liquidación y a iniciar el</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proceso de siniestro de pólizas?</w:t>
      </w:r>
    </w:p>
    <w:p w14:paraId="53D84C01" w14:textId="119ED0E8" w:rsidR="00426FCA" w:rsidRPr="00426FCA" w:rsidRDefault="00426FCA" w:rsidP="00335EF2">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2.3. ¿Si a uno de los consorciados le declararon la caducidad en otro contrato, se</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entiende que este consorciado también debe renunciar al consorcio y al contrato que</w:t>
      </w:r>
    </w:p>
    <w:p w14:paraId="2BE89370" w14:textId="77777777" w:rsidR="00426FCA" w:rsidRPr="00426FCA" w:rsidRDefault="00426FCA" w:rsidP="00335EF2">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está vigente?</w:t>
      </w:r>
    </w:p>
    <w:p w14:paraId="3367307F" w14:textId="78A71ACA" w:rsidR="00426FCA" w:rsidRPr="00426FCA" w:rsidRDefault="00426FCA" w:rsidP="00335EF2">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2.4. ¿Si el consorciado al que le declararon la caducidad no desea renunciar al</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contrato, que consecuencias jurídicas tendría su actuar?</w:t>
      </w:r>
    </w:p>
    <w:p w14:paraId="4AFCB740" w14:textId="70A5E43E" w:rsidR="00426FCA" w:rsidRPr="00426FCA" w:rsidRDefault="00426FCA" w:rsidP="00335EF2">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2.5. ¿Cuál es la responsabilidad jurídica de los otros consorciados quienes no tienen</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inhabilidad o incompatibilidad sobreviniente para continuar con el contrato, si el</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consorciado al que le declararon la caducidad no renuncia ni desea ceder su</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participación?</w:t>
      </w:r>
    </w:p>
    <w:p w14:paraId="2BB90A73" w14:textId="5A823CF6" w:rsidR="00426FCA" w:rsidRPr="00426FCA" w:rsidRDefault="00426FCA" w:rsidP="00335EF2">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2.6. ¿Cuál es la responsabilidad jurídica de los otros consorciados quienes no tienen</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inhabilidad o incompatibilidad sobreviniente para continuar con el contrato, si no se</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encuentra a otra persona natural o jurídica interesada en actuar como cesionario en el</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contrato?</w:t>
      </w:r>
    </w:p>
    <w:p w14:paraId="3651B25A" w14:textId="4247BEAC" w:rsidR="00AB3234" w:rsidRPr="00946D59" w:rsidRDefault="00426FCA" w:rsidP="00335EF2">
      <w:pPr>
        <w:spacing w:line="240" w:lineRule="auto"/>
        <w:ind w:left="709" w:right="709"/>
        <w:jc w:val="both"/>
        <w:rPr>
          <w:rFonts w:ascii="Arial" w:eastAsia="Calibri" w:hAnsi="Arial" w:cs="Arial"/>
          <w:color w:val="0D0D0D"/>
          <w:bdr w:val="none" w:sz="0" w:space="0" w:color="auto" w:frame="1"/>
          <w:lang w:eastAsia="es-CO"/>
        </w:rPr>
      </w:pPr>
      <w:r w:rsidRPr="00426FCA">
        <w:rPr>
          <w:rFonts w:ascii="Arial" w:hAnsi="Arial" w:cs="Arial"/>
          <w:bCs/>
          <w:sz w:val="21"/>
          <w:szCs w:val="21"/>
          <w:lang w:val="es-MX" w:eastAsia="es-ES_tradnl"/>
        </w:rPr>
        <w:t>2.7. ¿Cuánto tiempo tiene el consorciado al que le declararon la caducidad en otro</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contrato, para gestionar la cesión del contrato otra persona natural o jurídica</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interesada en actuar como cesionario?</w:t>
      </w:r>
      <w:r>
        <w:rPr>
          <w:rFonts w:ascii="Arial" w:hAnsi="Arial" w:cs="Arial"/>
          <w:bCs/>
          <w:sz w:val="21"/>
          <w:szCs w:val="21"/>
          <w:lang w:val="es-MX" w:eastAsia="es-ES_tradnl"/>
        </w:rPr>
        <w:t xml:space="preserve">” (Sic) </w:t>
      </w:r>
    </w:p>
    <w:p w14:paraId="7733EA6D" w14:textId="281E5F53" w:rsidR="00AB3234" w:rsidRPr="00946D59" w:rsidRDefault="00AB3234" w:rsidP="00AB3234">
      <w:pPr>
        <w:spacing w:line="276" w:lineRule="auto"/>
        <w:ind w:right="709"/>
        <w:jc w:val="both"/>
        <w:rPr>
          <w:rFonts w:ascii="Arial" w:eastAsia="Arial" w:hAnsi="Arial" w:cs="Arial"/>
          <w:b/>
          <w:color w:val="000000"/>
          <w:lang w:eastAsia="es-ES_tradnl"/>
        </w:rPr>
      </w:pPr>
      <w:r w:rsidRPr="00946D59">
        <w:rPr>
          <w:rFonts w:ascii="Arial" w:eastAsia="Arial" w:hAnsi="Arial" w:cs="Arial"/>
          <w:b/>
          <w:color w:val="000000"/>
          <w:lang w:eastAsia="es-ES_tradnl"/>
        </w:rPr>
        <w:t>2</w:t>
      </w:r>
      <w:r w:rsidR="00426FCA">
        <w:rPr>
          <w:rFonts w:ascii="Arial" w:eastAsia="Arial" w:hAnsi="Arial" w:cs="Arial"/>
          <w:b/>
          <w:color w:val="000000"/>
          <w:lang w:eastAsia="es-ES_tradnl"/>
        </w:rPr>
        <w:t>.</w:t>
      </w:r>
      <w:r w:rsidR="00426FCA">
        <w:rPr>
          <w:rFonts w:ascii="Arial" w:eastAsia="Arial" w:hAnsi="Arial" w:cs="Arial"/>
          <w:b/>
          <w:color w:val="000000"/>
          <w:lang w:eastAsia="es-ES_tradnl"/>
        </w:rPr>
        <w:tab/>
      </w:r>
      <w:r w:rsidRPr="00946D59">
        <w:rPr>
          <w:rFonts w:ascii="Arial" w:eastAsia="Arial" w:hAnsi="Arial" w:cs="Arial"/>
          <w:b/>
          <w:color w:val="000000"/>
          <w:lang w:eastAsia="es-ES_tradnl"/>
        </w:rPr>
        <w:t xml:space="preserve"> Consideraciones: </w:t>
      </w:r>
    </w:p>
    <w:p w14:paraId="522117C5" w14:textId="77777777" w:rsidR="00AB3234" w:rsidRPr="00946D59" w:rsidRDefault="00AB3234" w:rsidP="00AB3234">
      <w:pPr>
        <w:spacing w:after="120" w:line="276" w:lineRule="auto"/>
        <w:jc w:val="both"/>
        <w:rPr>
          <w:rFonts w:ascii="Arial" w:hAnsi="Arial" w:cs="Arial"/>
          <w:bCs/>
          <w:lang w:eastAsia="es-ES_tradnl"/>
        </w:rPr>
      </w:pPr>
      <w:r w:rsidRPr="00946D59">
        <w:rPr>
          <w:rFonts w:ascii="Arial" w:hAnsi="Arial" w:cs="Arial"/>
          <w:bCs/>
          <w:lang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946D59">
        <w:rPr>
          <w:rFonts w:ascii="Arial" w:hAnsi="Arial" w:cs="Arial"/>
          <w:bCs/>
          <w:lang w:eastAsia="es-ES_tradnl"/>
        </w:rPr>
        <w:t xml:space="preserve"> </w:t>
      </w:r>
      <w:r w:rsidRPr="00946D59">
        <w:rPr>
          <w:rFonts w:ascii="Arial" w:hAnsi="Arial" w:cs="Arial"/>
          <w:lang w:eastAsia="es-ES_tradnl"/>
        </w:rPr>
        <w:t xml:space="preserve">Es necesario tener en cuenta que </w:t>
      </w:r>
      <w:bookmarkStart w:id="3" w:name="_Hlk61026958"/>
      <w:r w:rsidRPr="00946D59">
        <w:rPr>
          <w:rFonts w:ascii="Arial" w:hAnsi="Arial" w:cs="Arial"/>
          <w:lang w:eastAsia="es-ES_tradnl"/>
        </w:rPr>
        <w:t>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46D59">
        <w:rPr>
          <w:rFonts w:ascii="Arial" w:hAnsi="Arial" w:cs="Arial"/>
          <w:bCs/>
          <w:lang w:eastAsia="es-ES_tradnl"/>
        </w:rPr>
        <w:t xml:space="preserve"> de todos los partícipes de la contratación estatal.</w:t>
      </w:r>
    </w:p>
    <w:p w14:paraId="5A99BA54" w14:textId="77777777" w:rsidR="00AB3234" w:rsidRPr="00946D59" w:rsidRDefault="00AB3234" w:rsidP="00AB3234">
      <w:pPr>
        <w:spacing w:after="120" w:line="276" w:lineRule="auto"/>
        <w:ind w:firstLine="708"/>
        <w:jc w:val="both"/>
        <w:rPr>
          <w:rFonts w:ascii="Arial" w:hAnsi="Arial" w:cs="Arial"/>
          <w:lang w:val="es-ES"/>
        </w:rPr>
      </w:pPr>
      <w:r w:rsidRPr="00946D59">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46D59">
        <w:rPr>
          <w:rFonts w:ascii="Arial" w:hAnsi="Arial" w:cs="Arial"/>
          <w:vertAlign w:val="superscript"/>
          <w:lang w:val="es-ES"/>
        </w:rPr>
        <w:footnoteReference w:id="2"/>
      </w:r>
      <w:r w:rsidRPr="00946D59">
        <w:rPr>
          <w:rFonts w:ascii="Arial" w:hAnsi="Arial"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bookmarkEnd w:id="1"/>
    <w:bookmarkEnd w:id="2"/>
    <w:bookmarkEnd w:id="3"/>
    <w:p w14:paraId="568E1995" w14:textId="77777777" w:rsidR="00AB3234" w:rsidRPr="00946D59" w:rsidRDefault="00AB3234" w:rsidP="00AB3234">
      <w:pPr>
        <w:spacing w:after="120" w:line="276" w:lineRule="auto"/>
        <w:ind w:firstLine="708"/>
        <w:jc w:val="both"/>
        <w:rPr>
          <w:rFonts w:ascii="Arial" w:hAnsi="Arial" w:cs="Arial"/>
          <w:b/>
          <w:lang w:val="es-ES"/>
        </w:rPr>
      </w:pPr>
      <w:r w:rsidRPr="00761EE2">
        <w:rPr>
          <w:rFonts w:ascii="Arial" w:eastAsia="Calibri" w:hAnsi="Arial" w:cs="Arial"/>
        </w:rPr>
        <w:t>Sin perjuicio de lo anterior, dentro de los límites de las atribuciones de la función consultiva atribuida a esta entidad, esto es, interpretando de manera general las normas relevantes, la Agencia absolverá los interrogantes formulados, previo análisis de los siguientes temas</w:t>
      </w:r>
      <w:r w:rsidRPr="001B4474">
        <w:rPr>
          <w:rFonts w:ascii="Arial" w:eastAsia="Calibri" w:hAnsi="Arial" w:cs="Arial"/>
        </w:rPr>
        <w:t xml:space="preserve">: i) </w:t>
      </w:r>
      <w:r w:rsidRPr="001B4474">
        <w:rPr>
          <w:rFonts w:ascii="Arial" w:eastAsia="Calibri" w:hAnsi="Arial" w:cs="Arial"/>
          <w:lang w:val="es-ES"/>
        </w:rPr>
        <w:t xml:space="preserve">régimen de inhabilidades e incompatibilidades en la contratación estatal: un límite a la capacidad contractual. La interpretación restrictiva como criterio hermenéutico de los enunciados normativos, </w:t>
      </w:r>
      <w:r w:rsidRPr="001B4474">
        <w:rPr>
          <w:rFonts w:ascii="Arial" w:hAnsi="Arial" w:cs="Arial"/>
        </w:rPr>
        <w:t xml:space="preserve">y ii) </w:t>
      </w:r>
      <w:r w:rsidRPr="001B4474">
        <w:rPr>
          <w:rFonts w:ascii="Arial" w:hAnsi="Arial" w:cs="Arial"/>
          <w:bCs/>
          <w:lang w:val="es-ES"/>
        </w:rPr>
        <w:t>régimen de inhabilidades e incompatibilidades para contratar con el Estado. Regulación de la inhabilidad sobreviniente.</w:t>
      </w:r>
    </w:p>
    <w:p w14:paraId="247846A4" w14:textId="71B72B65" w:rsidR="00AB3234" w:rsidRPr="00946D59" w:rsidRDefault="00AB3234" w:rsidP="00AB3234">
      <w:pPr>
        <w:spacing w:line="276" w:lineRule="auto"/>
        <w:ind w:firstLine="708"/>
        <w:jc w:val="both"/>
        <w:rPr>
          <w:rFonts w:ascii="Arial" w:eastAsia="Calibri" w:hAnsi="Arial" w:cs="Arial"/>
          <w:lang w:val="es-ES"/>
        </w:rPr>
      </w:pPr>
      <w:r w:rsidRPr="00946D59">
        <w:rPr>
          <w:rFonts w:ascii="Arial" w:hAnsi="Arial" w:cs="Arial"/>
          <w:lang w:val="es-ES"/>
        </w:rPr>
        <w:t xml:space="preserve">La Agencia Nacional de Contratación Pública ― Colombia Compra Eficiente, </w:t>
      </w:r>
      <w:r w:rsidRPr="00946D59">
        <w:rPr>
          <w:rFonts w:ascii="Arial" w:eastAsia="Calibri" w:hAnsi="Arial" w:cs="Arial"/>
          <w:lang w:val="es-ES"/>
        </w:rPr>
        <w:t xml:space="preserve">en los conceptos con radicado número 4201912000003592 del 28 de agosto de 2019, 4201913000005649 del 17 septiembre de 2019, 4201912000006692 del 12 de noviembre de 2019, 4201913000006917 del 21 de noviembre de 2019, C -001 del 23 de abril de 2020, C-007 del 4 de mayo de 2020, C ─ 011 del 27 de abril de 2020, C ─ 085 del 4 de marzo de 2020, C-090 del 24 de febrero de 2020, C -125 de 2020 del 3 de marzo de 2020, C-157 de 2020 del 16 de marzo de 2020, C-239 de 2020 del 16 de abril de 2020, C ─ 246 de 2020 del 3 de abril de 2020, C – 273 de 2020 del 21 de mayo de 2020, C – 402 del 26 de junio de 2020, C-138 de 18 de mayo de 2022, </w:t>
      </w:r>
      <w:r w:rsidR="00EF4346">
        <w:rPr>
          <w:rFonts w:ascii="Arial" w:eastAsia="Calibri" w:hAnsi="Arial" w:cs="Arial"/>
          <w:lang w:val="es-ES"/>
        </w:rPr>
        <w:t>C-</w:t>
      </w:r>
      <w:r w:rsidR="00CD1D28">
        <w:rPr>
          <w:rFonts w:ascii="Arial" w:eastAsia="Calibri" w:hAnsi="Arial" w:cs="Arial"/>
          <w:lang w:val="es-ES"/>
        </w:rPr>
        <w:t>514 del 10 de agosto de 2022, y C-</w:t>
      </w:r>
      <w:r w:rsidR="00B473CA">
        <w:rPr>
          <w:rFonts w:ascii="Arial" w:eastAsia="Calibri" w:hAnsi="Arial" w:cs="Arial"/>
          <w:lang w:val="es-ES"/>
        </w:rPr>
        <w:t>731 de 10 de noviembre de 2022</w:t>
      </w:r>
      <w:r w:rsidR="00BE0321">
        <w:rPr>
          <w:rFonts w:ascii="Arial" w:eastAsia="Calibri" w:hAnsi="Arial" w:cs="Arial"/>
          <w:lang w:val="es-ES"/>
        </w:rPr>
        <w:t xml:space="preserve"> </w:t>
      </w:r>
      <w:r w:rsidRPr="00946D59">
        <w:rPr>
          <w:rFonts w:ascii="Arial" w:eastAsia="Calibri" w:hAnsi="Arial" w:cs="Arial"/>
          <w:lang w:val="es-ES"/>
        </w:rPr>
        <w:t xml:space="preserve">estudió la naturaleza jurídica del régimen de inhabilidades e incompatibilidades para contratar con el Estado, </w:t>
      </w:r>
      <w:r w:rsidR="00E15689">
        <w:rPr>
          <w:rFonts w:ascii="Arial" w:eastAsia="Calibri" w:hAnsi="Arial" w:cs="Arial"/>
          <w:lang w:val="es-ES"/>
        </w:rPr>
        <w:t xml:space="preserve">incluyendo las sobrevinientes, </w:t>
      </w:r>
      <w:r w:rsidRPr="00946D59">
        <w:rPr>
          <w:rFonts w:ascii="Arial" w:eastAsia="Calibri" w:hAnsi="Arial" w:cs="Arial"/>
          <w:lang w:val="es-ES"/>
        </w:rPr>
        <w:t>como límite a la capacidad contractual,</w:t>
      </w:r>
      <w:r w:rsidR="00E15689">
        <w:rPr>
          <w:rFonts w:ascii="Arial" w:eastAsia="Calibri" w:hAnsi="Arial" w:cs="Arial"/>
          <w:lang w:val="es-ES"/>
        </w:rPr>
        <w:t xml:space="preserve"> </w:t>
      </w:r>
      <w:r w:rsidRPr="00946D59">
        <w:rPr>
          <w:rFonts w:ascii="Arial" w:eastAsia="Calibri" w:hAnsi="Arial" w:cs="Arial"/>
          <w:lang w:val="es-ES"/>
        </w:rPr>
        <w:t xml:space="preserve">así como los criterios de interpretación del régimen de inhabilidades e incompatibilidades. Las tesis desarrolladas en estos conceptos se exponen a continuación. </w:t>
      </w:r>
    </w:p>
    <w:p w14:paraId="2C347E3D" w14:textId="77777777" w:rsidR="00AB3234" w:rsidRPr="00946D59" w:rsidRDefault="00AB3234" w:rsidP="00AB3234">
      <w:pPr>
        <w:tabs>
          <w:tab w:val="left" w:pos="426"/>
        </w:tabs>
        <w:spacing w:line="276" w:lineRule="auto"/>
        <w:jc w:val="both"/>
        <w:rPr>
          <w:rFonts w:ascii="Arial" w:eastAsia="Calibri" w:hAnsi="Arial" w:cs="Arial"/>
          <w:b/>
          <w:lang w:val="es-ES"/>
        </w:rPr>
      </w:pPr>
      <w:r w:rsidRPr="00946D59">
        <w:rPr>
          <w:rFonts w:ascii="Arial" w:eastAsia="Calibri" w:hAnsi="Arial" w:cs="Arial"/>
          <w:b/>
          <w:lang w:val="es-ES"/>
        </w:rPr>
        <w:t xml:space="preserve">2.1. Régimen de inhabilidades e incompatibilidades en la contratación estatal: un límite a la capacidad contractual. La interpretación restrictiva como criterio hermenéutico de los enunciados normativos </w:t>
      </w:r>
    </w:p>
    <w:p w14:paraId="293DFC40" w14:textId="77777777" w:rsidR="00AB3234" w:rsidRPr="00946D59" w:rsidRDefault="00AB3234" w:rsidP="00AB3234">
      <w:pPr>
        <w:spacing w:line="276" w:lineRule="auto"/>
        <w:jc w:val="both"/>
        <w:rPr>
          <w:rFonts w:ascii="Arial" w:eastAsia="Calibri" w:hAnsi="Arial" w:cs="Arial"/>
          <w:lang w:val="es-ES"/>
        </w:rPr>
      </w:pPr>
      <w:r w:rsidRPr="00946D59">
        <w:rPr>
          <w:rFonts w:ascii="Arial" w:eastAsia="Calibri" w:hAnsi="Arial" w:cs="Arial"/>
          <w:lang w:val="es-ES"/>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w:t>
      </w:r>
      <w:r>
        <w:rPr>
          <w:rFonts w:ascii="Arial" w:eastAsia="Calibri" w:hAnsi="Arial" w:cs="Arial"/>
          <w:lang w:val="es-ES"/>
        </w:rPr>
        <w:t>E</w:t>
      </w:r>
      <w:r w:rsidRPr="00946D59">
        <w:rPr>
          <w:rFonts w:ascii="Arial" w:eastAsia="Calibri" w:hAnsi="Arial" w:cs="Arial"/>
          <w:lang w:val="es-ES"/>
        </w:rPr>
        <w:t xml:space="preserve">ntidades </w:t>
      </w:r>
      <w:r>
        <w:rPr>
          <w:rFonts w:ascii="Arial" w:eastAsia="Calibri" w:hAnsi="Arial" w:cs="Arial"/>
          <w:lang w:val="es-ES"/>
        </w:rPr>
        <w:t>E</w:t>
      </w:r>
      <w:r w:rsidRPr="00946D59">
        <w:rPr>
          <w:rFonts w:ascii="Arial" w:eastAsia="Calibri" w:hAnsi="Arial" w:cs="Arial"/>
          <w:lang w:val="es-ES"/>
        </w:rPr>
        <w:t>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A02E304" w14:textId="77777777" w:rsidR="00AB3234" w:rsidRPr="00946D59" w:rsidRDefault="00AB3234" w:rsidP="00AB3234">
      <w:pPr>
        <w:spacing w:before="120" w:after="120" w:line="276" w:lineRule="auto"/>
        <w:ind w:firstLine="709"/>
        <w:jc w:val="both"/>
        <w:rPr>
          <w:rFonts w:ascii="Arial" w:eastAsia="Calibri" w:hAnsi="Arial" w:cs="Arial"/>
          <w:lang w:val="es-ES"/>
        </w:rPr>
      </w:pPr>
      <w:r w:rsidRPr="00946D59">
        <w:rPr>
          <w:rFonts w:ascii="Arial" w:eastAsia="Calibri" w:hAnsi="Arial" w:cs="Arial"/>
          <w:lang w:val="es-ES"/>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946D59">
        <w:rPr>
          <w:rFonts w:ascii="Arial" w:eastAsia="Calibri" w:hAnsi="Arial" w:cs="Arial"/>
          <w:i/>
          <w:iCs/>
          <w:lang w:val="es-ES"/>
        </w:rPr>
        <w:t>restrictiva</w:t>
      </w:r>
      <w:r w:rsidRPr="00946D59">
        <w:rPr>
          <w:rFonts w:ascii="Arial" w:eastAsia="Calibri" w:hAnsi="Arial" w:cs="Arial"/>
          <w:vertAlign w:val="superscript"/>
          <w:lang w:val="es-ES"/>
        </w:rPr>
        <w:footnoteReference w:id="3"/>
      </w:r>
      <w:r w:rsidRPr="00946D59">
        <w:rPr>
          <w:rFonts w:ascii="Arial" w:eastAsia="Calibri" w:hAnsi="Arial" w:cs="Arial"/>
          <w:lang w:val="es-ES"/>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6BCBDA08" w14:textId="073B1A39" w:rsidR="00AB3234" w:rsidRPr="00946D59" w:rsidRDefault="00AB3234" w:rsidP="00AB3234">
      <w:pPr>
        <w:spacing w:line="276" w:lineRule="auto"/>
        <w:ind w:firstLine="709"/>
        <w:jc w:val="both"/>
        <w:rPr>
          <w:rFonts w:ascii="Arial" w:eastAsia="Calibri" w:hAnsi="Arial" w:cs="Arial"/>
          <w:lang w:val="es-ES"/>
        </w:rPr>
      </w:pPr>
      <w:r w:rsidRPr="00946D59">
        <w:rPr>
          <w:rFonts w:ascii="Arial" w:eastAsia="Calibri" w:hAnsi="Arial" w:cs="Arial"/>
          <w:lang w:val="es-ES"/>
        </w:rPr>
        <w:t xml:space="preserve">En efecto, el máximo tribunal constitucional ha indicado que, al tratar de precisar el sentido de este tipo de normas, </w:t>
      </w:r>
      <w:r w:rsidR="009E39A5">
        <w:rPr>
          <w:rFonts w:ascii="Arial" w:eastAsia="Calibri" w:hAnsi="Arial" w:cs="Arial"/>
          <w:i/>
          <w:iCs/>
          <w:lang w:val="es-ES"/>
        </w:rPr>
        <w:t>“</w:t>
      </w:r>
      <w:r w:rsidRPr="00083BCA">
        <w:rPr>
          <w:rFonts w:ascii="Arial" w:eastAsia="Calibri" w:hAnsi="Arial" w:cs="Arial"/>
          <w:i/>
          <w:iCs/>
          <w:lang w:val="es-ES"/>
        </w:rPr>
        <w:t>[…]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009E39A5">
        <w:rPr>
          <w:rFonts w:ascii="Arial" w:eastAsia="Calibri" w:hAnsi="Arial" w:cs="Arial"/>
          <w:i/>
          <w:iCs/>
          <w:lang w:val="es-ES"/>
        </w:rPr>
        <w:t>”</w:t>
      </w:r>
      <w:r w:rsidRPr="00083BCA">
        <w:rPr>
          <w:rFonts w:ascii="Arial" w:eastAsia="Calibri" w:hAnsi="Arial" w:cs="Arial"/>
          <w:i/>
          <w:iCs/>
          <w:vertAlign w:val="superscript"/>
          <w:lang w:val="es-ES"/>
        </w:rPr>
        <w:footnoteReference w:id="4"/>
      </w:r>
      <w:r w:rsidRPr="00946D59">
        <w:rPr>
          <w:rFonts w:ascii="Arial" w:eastAsia="Calibri" w:hAnsi="Arial" w:cs="Arial"/>
          <w:lang w:val="es-ES"/>
        </w:rPr>
        <w:t xml:space="preserve">. Por su parte, el Consejo de Estado ha acogido también este criterio, considerando –como expresa la Sala de Consulta y Servicio Civil–, que </w:t>
      </w:r>
      <w:r w:rsidR="009E39A5">
        <w:rPr>
          <w:rFonts w:ascii="Arial" w:eastAsia="Calibri" w:hAnsi="Arial" w:cs="Arial"/>
          <w:lang w:val="es-ES"/>
        </w:rPr>
        <w:t>“</w:t>
      </w:r>
      <w:r w:rsidRPr="00083BCA">
        <w:rPr>
          <w:rFonts w:ascii="Arial" w:eastAsia="Calibri" w:hAnsi="Arial" w:cs="Arial"/>
          <w:i/>
          <w:iCs/>
          <w:lang w:val="es-ES"/>
        </w:rPr>
        <w:t>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009E39A5">
        <w:rPr>
          <w:rFonts w:ascii="Arial" w:eastAsia="Calibri" w:hAnsi="Arial" w:cs="Arial"/>
          <w:i/>
          <w:iCs/>
          <w:lang w:val="es-ES"/>
        </w:rPr>
        <w:t>”</w:t>
      </w:r>
      <w:r w:rsidRPr="00083BCA">
        <w:rPr>
          <w:rFonts w:ascii="Arial" w:eastAsia="Calibri" w:hAnsi="Arial" w:cs="Arial"/>
          <w:i/>
          <w:iCs/>
          <w:vertAlign w:val="superscript"/>
          <w:lang w:val="es-ES"/>
        </w:rPr>
        <w:footnoteReference w:id="5"/>
      </w:r>
      <w:r w:rsidRPr="00083BCA">
        <w:rPr>
          <w:rFonts w:ascii="Arial" w:eastAsia="Calibri" w:hAnsi="Arial" w:cs="Arial"/>
          <w:i/>
          <w:iCs/>
          <w:lang w:val="es-ES"/>
        </w:rPr>
        <w:t>.</w:t>
      </w:r>
      <w:r w:rsidRPr="00946D59">
        <w:rPr>
          <w:rFonts w:ascii="Arial" w:eastAsia="Calibri" w:hAnsi="Arial" w:cs="Arial"/>
          <w:lang w:val="es-ES"/>
        </w:rPr>
        <w:t xml:space="preserve"> En tal sentido, la Sección Tercera ha señalado que:</w:t>
      </w:r>
    </w:p>
    <w:p w14:paraId="502E1E90" w14:textId="4CB7D8D4" w:rsidR="00AB3234" w:rsidRPr="00083BCA" w:rsidRDefault="009E39A5" w:rsidP="00335EF2">
      <w:pPr>
        <w:spacing w:line="240" w:lineRule="auto"/>
        <w:ind w:left="709" w:right="709"/>
        <w:jc w:val="both"/>
        <w:rPr>
          <w:rFonts w:ascii="Arial" w:hAnsi="Arial" w:cs="Arial"/>
          <w:sz w:val="20"/>
          <w:szCs w:val="20"/>
          <w:lang w:val="es-ES"/>
        </w:rPr>
      </w:pPr>
      <w:r>
        <w:rPr>
          <w:rFonts w:ascii="Arial" w:hAnsi="Arial" w:cs="Arial"/>
          <w:sz w:val="20"/>
          <w:szCs w:val="20"/>
          <w:lang w:val="es-ES"/>
        </w:rPr>
        <w:t>“</w:t>
      </w:r>
      <w:r w:rsidR="00AB3234" w:rsidRPr="00083BCA">
        <w:rPr>
          <w:rFonts w:ascii="Arial" w:hAnsi="Arial" w:cs="Arial"/>
          <w:sz w:val="20"/>
          <w:szCs w:val="20"/>
          <w:lang w:val="es-ES"/>
        </w:rPr>
        <w:t>[D]e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00AB3234" w:rsidRPr="00083BCA">
        <w:rPr>
          <w:rFonts w:ascii="Arial" w:hAnsi="Arial" w:cs="Arial"/>
          <w:sz w:val="20"/>
          <w:szCs w:val="20"/>
          <w:vertAlign w:val="superscript"/>
          <w:lang w:val="es-ES"/>
        </w:rPr>
        <w:footnoteReference w:id="6"/>
      </w:r>
    </w:p>
    <w:p w14:paraId="73E29DBE" w14:textId="77777777" w:rsidR="00AB3234" w:rsidRPr="00083BCA" w:rsidRDefault="00AB3234" w:rsidP="00335EF2">
      <w:pPr>
        <w:spacing w:line="240" w:lineRule="auto"/>
        <w:ind w:firstLine="709"/>
        <w:jc w:val="both"/>
        <w:rPr>
          <w:rFonts w:ascii="Arial" w:eastAsia="Calibri" w:hAnsi="Arial" w:cs="Arial"/>
          <w:sz w:val="20"/>
          <w:szCs w:val="20"/>
          <w:lang w:val="es-ES"/>
        </w:rPr>
      </w:pPr>
      <w:r w:rsidRPr="00083BCA">
        <w:rPr>
          <w:rFonts w:ascii="Arial" w:eastAsia="Calibri" w:hAnsi="Arial" w:cs="Arial"/>
          <w:sz w:val="20"/>
          <w:szCs w:val="20"/>
          <w:lang w:val="es-ES"/>
        </w:rPr>
        <w:t>También ha dicho que:</w:t>
      </w:r>
    </w:p>
    <w:p w14:paraId="101ACF93" w14:textId="50A9B4F3" w:rsidR="00AB3234" w:rsidRPr="00083BCA" w:rsidRDefault="00AB3234" w:rsidP="00335EF2">
      <w:pPr>
        <w:spacing w:line="240" w:lineRule="auto"/>
        <w:ind w:left="709" w:right="709"/>
        <w:jc w:val="both"/>
        <w:rPr>
          <w:rFonts w:ascii="Arial" w:hAnsi="Arial" w:cs="Arial"/>
          <w:sz w:val="20"/>
          <w:szCs w:val="20"/>
          <w:lang w:val="es-ES"/>
        </w:rPr>
      </w:pPr>
      <w:r w:rsidRPr="00083BCA">
        <w:rPr>
          <w:rFonts w:ascii="Arial" w:hAnsi="Arial" w:cs="Arial"/>
          <w:sz w:val="20"/>
          <w:szCs w:val="20"/>
        </w:rPr>
        <w:t>[</w:t>
      </w:r>
      <w:r w:rsidRPr="00083BCA">
        <w:rPr>
          <w:rFonts w:ascii="Arial" w:hAnsi="Arial" w:cs="Arial"/>
          <w:sz w:val="20"/>
          <w:szCs w:val="20"/>
          <w:lang w:val="es-ES"/>
        </w:rPr>
        <w:t xml:space="preserve">L]a aplicación de estos preceptos exige una interpretación restrictiva, dado que según el principio hermenéutico </w:t>
      </w:r>
      <w:r w:rsidRPr="00083BCA">
        <w:rPr>
          <w:rFonts w:ascii="Arial" w:hAnsi="Arial" w:cs="Arial"/>
          <w:i/>
          <w:iCs/>
          <w:sz w:val="20"/>
          <w:szCs w:val="20"/>
          <w:lang w:val="es-ES"/>
        </w:rPr>
        <w:t>pro libertate</w:t>
      </w:r>
      <w:r w:rsidRPr="00083BCA">
        <w:rPr>
          <w:rFonts w:ascii="Arial" w:hAnsi="Arial" w:cs="Arial"/>
          <w:sz w:val="20"/>
          <w:szCs w:val="20"/>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w:t>
      </w:r>
      <w:r w:rsidRPr="00083BCA">
        <w:rPr>
          <w:rFonts w:ascii="Arial" w:hAnsi="Arial" w:cs="Arial"/>
          <w:sz w:val="20"/>
          <w:szCs w:val="20"/>
          <w:vertAlign w:val="superscript"/>
          <w:lang w:val="es-ES"/>
        </w:rPr>
        <w:footnoteReference w:id="7"/>
      </w:r>
      <w:r w:rsidR="009E39A5">
        <w:rPr>
          <w:rFonts w:ascii="Arial" w:hAnsi="Arial" w:cs="Arial"/>
          <w:sz w:val="20"/>
          <w:szCs w:val="20"/>
          <w:lang w:val="es-ES"/>
        </w:rPr>
        <w:t>“</w:t>
      </w:r>
    </w:p>
    <w:p w14:paraId="00EE2F67" w14:textId="77777777" w:rsidR="00AB3234" w:rsidRPr="00946D59" w:rsidRDefault="00AB3234" w:rsidP="00AB3234">
      <w:pPr>
        <w:spacing w:line="276" w:lineRule="auto"/>
        <w:ind w:firstLine="708"/>
        <w:jc w:val="both"/>
        <w:rPr>
          <w:rFonts w:ascii="Arial" w:eastAsia="Calibri" w:hAnsi="Arial" w:cs="Arial"/>
          <w:lang w:val="es-ES"/>
        </w:rPr>
      </w:pPr>
      <w:r w:rsidRPr="00946D59">
        <w:rPr>
          <w:rFonts w:ascii="Arial" w:eastAsia="Calibri" w:hAnsi="Arial" w:cs="Arial"/>
          <w:lang w:val="es-ES"/>
        </w:rPr>
        <w:t xml:space="preserve">Como se aprecia, el principio </w:t>
      </w:r>
      <w:r w:rsidRPr="00946D59">
        <w:rPr>
          <w:rFonts w:ascii="Arial" w:eastAsia="Calibri" w:hAnsi="Arial" w:cs="Arial"/>
          <w:i/>
          <w:iCs/>
          <w:lang w:val="es-ES"/>
        </w:rPr>
        <w:t>pro libertate</w:t>
      </w:r>
      <w:r w:rsidRPr="00946D59">
        <w:rPr>
          <w:rFonts w:ascii="Arial" w:eastAsia="Calibri" w:hAnsi="Arial" w:cs="Arial"/>
          <w:lang w:val="es-ES"/>
        </w:rPr>
        <w:t xml:space="preserve"> dirige la interpretación de las disposiciones que consagran restricciones de derechos, como sucede con las causales de inhabilidad e incompatibilidad en la contratación estatal.</w:t>
      </w:r>
    </w:p>
    <w:p w14:paraId="474E96AC" w14:textId="77777777" w:rsidR="00AB3234" w:rsidRPr="00946D59" w:rsidRDefault="00AB3234" w:rsidP="00AB3234">
      <w:pPr>
        <w:pStyle w:val="Sinespaciado"/>
        <w:widowControl w:val="0"/>
        <w:autoSpaceDE w:val="0"/>
        <w:autoSpaceDN w:val="0"/>
        <w:spacing w:line="276" w:lineRule="auto"/>
        <w:jc w:val="both"/>
        <w:rPr>
          <w:rFonts w:ascii="Arial" w:hAnsi="Arial" w:cs="Arial"/>
          <w:b/>
          <w:sz w:val="22"/>
          <w:lang w:val="es-ES"/>
        </w:rPr>
      </w:pPr>
      <w:r w:rsidRPr="00946D59">
        <w:rPr>
          <w:rFonts w:ascii="Arial" w:hAnsi="Arial" w:cs="Arial"/>
          <w:b/>
          <w:sz w:val="22"/>
          <w:lang w:val="es-ES"/>
        </w:rPr>
        <w:t>2.2 Régimen de inhabilidades e incompatibilidades para contratar con el Estado. Regulación de la inhabilidad sobreviniente.</w:t>
      </w:r>
    </w:p>
    <w:p w14:paraId="2CF72AFD" w14:textId="77777777" w:rsidR="00AB3234" w:rsidRPr="00946D59" w:rsidRDefault="00AB3234" w:rsidP="00AB3234">
      <w:pPr>
        <w:pStyle w:val="Sinespaciado"/>
        <w:jc w:val="both"/>
        <w:rPr>
          <w:rFonts w:ascii="Arial" w:hAnsi="Arial" w:cs="Arial"/>
          <w:sz w:val="22"/>
          <w:lang w:val="es-ES"/>
        </w:rPr>
      </w:pPr>
    </w:p>
    <w:p w14:paraId="2138F1F8" w14:textId="77777777" w:rsidR="00AB3234" w:rsidRPr="00946D59" w:rsidRDefault="00AB3234" w:rsidP="00AB3234">
      <w:pPr>
        <w:pStyle w:val="Sinespaciado"/>
        <w:spacing w:after="120" w:line="276" w:lineRule="auto"/>
        <w:jc w:val="both"/>
        <w:rPr>
          <w:rFonts w:ascii="Arial" w:hAnsi="Arial" w:cs="Arial"/>
          <w:sz w:val="22"/>
          <w:lang w:val="es-ES"/>
        </w:rPr>
      </w:pPr>
      <w:r w:rsidRPr="00946D59">
        <w:rPr>
          <w:rFonts w:ascii="Arial" w:hAnsi="Arial" w:cs="Arial"/>
          <w:sz w:val="22"/>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20A78A91" w14:textId="3879154B" w:rsidR="00AB3234" w:rsidRPr="00083BCA" w:rsidRDefault="00AB3234" w:rsidP="00AB3234">
      <w:pPr>
        <w:pStyle w:val="Sinespaciado"/>
        <w:spacing w:before="120" w:after="120" w:line="276" w:lineRule="auto"/>
        <w:ind w:firstLine="708"/>
        <w:jc w:val="both"/>
        <w:rPr>
          <w:rFonts w:ascii="Arial" w:hAnsi="Arial" w:cs="Arial"/>
          <w:i/>
          <w:iCs/>
          <w:sz w:val="22"/>
          <w:lang w:val="es-ES"/>
        </w:rPr>
      </w:pPr>
      <w:r w:rsidRPr="00946D59">
        <w:rPr>
          <w:rFonts w:ascii="Arial" w:hAnsi="Arial" w:cs="Arial"/>
          <w:sz w:val="22"/>
          <w:lang w:val="es-ES"/>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w:t>
      </w:r>
      <w:r w:rsidR="009E39A5">
        <w:rPr>
          <w:rFonts w:ascii="Arial" w:hAnsi="Arial" w:cs="Arial"/>
          <w:i/>
          <w:iCs/>
          <w:sz w:val="22"/>
          <w:lang w:val="es-ES"/>
        </w:rPr>
        <w:t>“</w:t>
      </w:r>
      <w:r w:rsidRPr="00083BCA">
        <w:rPr>
          <w:rFonts w:ascii="Arial" w:hAnsi="Arial" w:cs="Arial"/>
          <w:i/>
          <w:iCs/>
          <w:sz w:val="22"/>
          <w:lang w:val="es-ES"/>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009E39A5">
        <w:rPr>
          <w:rFonts w:ascii="Arial" w:hAnsi="Arial" w:cs="Arial"/>
          <w:i/>
          <w:iCs/>
          <w:sz w:val="22"/>
          <w:lang w:val="es-ES"/>
        </w:rPr>
        <w:t>”</w:t>
      </w:r>
      <w:r w:rsidRPr="00083BCA">
        <w:rPr>
          <w:rFonts w:ascii="Arial" w:hAnsi="Arial" w:cs="Arial"/>
          <w:i/>
          <w:iCs/>
          <w:sz w:val="22"/>
          <w:vertAlign w:val="superscript"/>
          <w:lang w:val="es-ES"/>
        </w:rPr>
        <w:footnoteReference w:id="8"/>
      </w:r>
      <w:r w:rsidRPr="00083BCA">
        <w:rPr>
          <w:rFonts w:ascii="Arial" w:hAnsi="Arial" w:cs="Arial"/>
          <w:i/>
          <w:iCs/>
          <w:sz w:val="22"/>
          <w:lang w:val="es-ES"/>
        </w:rPr>
        <w:t xml:space="preserve">. </w:t>
      </w:r>
    </w:p>
    <w:p w14:paraId="567B9D7D" w14:textId="77777777" w:rsidR="00AB3234" w:rsidRPr="00946D59" w:rsidRDefault="00AB3234" w:rsidP="00AB3234">
      <w:pPr>
        <w:pStyle w:val="Sinespaciado"/>
        <w:spacing w:before="120" w:line="276" w:lineRule="auto"/>
        <w:ind w:firstLine="709"/>
        <w:jc w:val="both"/>
        <w:rPr>
          <w:rFonts w:ascii="Arial" w:hAnsi="Arial" w:cs="Arial"/>
          <w:sz w:val="22"/>
          <w:lang w:val="es-ES"/>
        </w:rPr>
      </w:pPr>
      <w:r w:rsidRPr="00946D59">
        <w:rPr>
          <w:rFonts w:ascii="Arial" w:hAnsi="Arial" w:cs="Arial"/>
          <w:sz w:val="22"/>
          <w:lang w:val="es-ES"/>
        </w:rPr>
        <w:t xml:space="preserve">Las limitaciones que afectan la capacidad jurídica para contratar desarrollan los principios de la función administrativa consagrados en el artículo 209 de la Constitución Política, con especial énfasis la moralidad administrativa. Así lo ha entendido el Consejo de Estado, quien se ha pronunciado al respecto en los siguientes términos: </w:t>
      </w:r>
    </w:p>
    <w:p w14:paraId="5F55A2D1" w14:textId="77777777" w:rsidR="00AB3234" w:rsidRPr="00946D59" w:rsidRDefault="00AB3234" w:rsidP="00AB3234">
      <w:pPr>
        <w:pStyle w:val="Sinespaciado"/>
        <w:spacing w:line="276" w:lineRule="auto"/>
        <w:jc w:val="both"/>
        <w:rPr>
          <w:rFonts w:ascii="Arial" w:hAnsi="Arial" w:cs="Arial"/>
          <w:sz w:val="22"/>
          <w:lang w:val="es-ES"/>
        </w:rPr>
      </w:pPr>
    </w:p>
    <w:p w14:paraId="73542708" w14:textId="4B1EE990" w:rsidR="00AB3234" w:rsidRPr="00083BCA" w:rsidRDefault="009E39A5" w:rsidP="00335EF2">
      <w:pPr>
        <w:pStyle w:val="NormalWeb"/>
        <w:shd w:val="clear" w:color="auto" w:fill="FFFFFF"/>
        <w:spacing w:before="0" w:beforeAutospacing="0" w:after="120" w:afterAutospacing="0"/>
        <w:ind w:left="709" w:right="709"/>
        <w:jc w:val="both"/>
        <w:rPr>
          <w:rFonts w:ascii="Arial" w:eastAsiaTheme="minorHAnsi" w:hAnsi="Arial" w:cs="Arial"/>
          <w:sz w:val="20"/>
          <w:szCs w:val="20"/>
          <w:lang w:val="es-ES" w:eastAsia="en-US"/>
        </w:rPr>
      </w:pPr>
      <w:r>
        <w:rPr>
          <w:rFonts w:ascii="Arial" w:eastAsiaTheme="minorHAnsi" w:hAnsi="Arial" w:cs="Arial"/>
          <w:sz w:val="20"/>
          <w:szCs w:val="20"/>
          <w:lang w:val="es-ES" w:eastAsia="en-US"/>
        </w:rPr>
        <w:t>“</w:t>
      </w:r>
      <w:r w:rsidR="00AB3234" w:rsidRPr="00083BCA">
        <w:rPr>
          <w:rFonts w:ascii="Arial" w:eastAsiaTheme="minorHAnsi" w:hAnsi="Arial" w:cs="Arial"/>
          <w:sz w:val="20"/>
          <w:szCs w:val="20"/>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7E6A4873" w14:textId="6A1DF492" w:rsidR="00AB3234" w:rsidRPr="00946D59" w:rsidRDefault="00AB3234" w:rsidP="00335EF2">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083BCA">
        <w:rPr>
          <w:rFonts w:ascii="Arial" w:eastAsiaTheme="minorHAnsi" w:hAnsi="Arial" w:cs="Arial"/>
          <w:sz w:val="20"/>
          <w:szCs w:val="20"/>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083BCA">
        <w:rPr>
          <w:rStyle w:val="Refdenotaalpie"/>
          <w:rFonts w:ascii="Arial" w:eastAsiaTheme="minorHAnsi" w:hAnsi="Arial" w:cs="Arial"/>
          <w:sz w:val="20"/>
          <w:szCs w:val="20"/>
          <w:lang w:val="es-ES" w:eastAsia="en-US"/>
        </w:rPr>
        <w:footnoteReference w:id="9"/>
      </w:r>
      <w:r w:rsidRPr="00083BCA">
        <w:rPr>
          <w:rFonts w:ascii="Arial" w:eastAsiaTheme="minorHAnsi" w:hAnsi="Arial" w:cs="Arial"/>
          <w:sz w:val="20"/>
          <w:szCs w:val="20"/>
          <w:lang w:val="es-ES" w:eastAsia="en-US"/>
        </w:rPr>
        <w:t>.</w:t>
      </w:r>
      <w:r w:rsidR="009E39A5">
        <w:rPr>
          <w:rFonts w:ascii="Arial" w:eastAsiaTheme="minorHAnsi" w:hAnsi="Arial" w:cs="Arial"/>
          <w:sz w:val="20"/>
          <w:szCs w:val="20"/>
          <w:lang w:val="es-ES" w:eastAsia="en-US"/>
        </w:rPr>
        <w:t>”</w:t>
      </w:r>
      <w:r w:rsidRPr="00946D59">
        <w:rPr>
          <w:rFonts w:ascii="Arial" w:eastAsiaTheme="minorHAnsi" w:hAnsi="Arial" w:cs="Arial"/>
          <w:sz w:val="21"/>
          <w:szCs w:val="21"/>
          <w:lang w:val="es-ES" w:eastAsia="en-US"/>
        </w:rPr>
        <w:t xml:space="preserve"> </w:t>
      </w:r>
    </w:p>
    <w:p w14:paraId="4E6A6F5E" w14:textId="77777777" w:rsidR="00AB3234" w:rsidRPr="00946D59" w:rsidRDefault="00AB3234" w:rsidP="00AB3234">
      <w:pPr>
        <w:pStyle w:val="Sinespaciado"/>
        <w:spacing w:line="276" w:lineRule="auto"/>
        <w:jc w:val="both"/>
        <w:rPr>
          <w:rFonts w:ascii="Arial" w:hAnsi="Arial" w:cs="Arial"/>
          <w:sz w:val="22"/>
          <w:lang w:val="es-ES"/>
        </w:rPr>
      </w:pPr>
    </w:p>
    <w:p w14:paraId="643F5245" w14:textId="77777777" w:rsidR="00AB3234" w:rsidRPr="00946D59" w:rsidRDefault="00AB3234" w:rsidP="00AB3234">
      <w:pPr>
        <w:pStyle w:val="Sinespaciado"/>
        <w:spacing w:line="276" w:lineRule="auto"/>
        <w:ind w:firstLine="709"/>
        <w:jc w:val="both"/>
        <w:rPr>
          <w:rFonts w:ascii="Arial" w:hAnsi="Arial" w:cs="Arial"/>
          <w:sz w:val="22"/>
          <w:lang w:val="es-ES"/>
        </w:rPr>
      </w:pPr>
      <w:r w:rsidRPr="00946D59">
        <w:rPr>
          <w:rFonts w:ascii="Arial" w:hAnsi="Arial" w:cs="Arial"/>
          <w:sz w:val="22"/>
          <w:lang w:val="es-ES"/>
        </w:rPr>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031671A9" w14:textId="77777777" w:rsidR="007E26C8" w:rsidRDefault="007E26C8" w:rsidP="00AB3234">
      <w:pPr>
        <w:spacing w:after="120"/>
        <w:ind w:left="709" w:right="709"/>
        <w:jc w:val="both"/>
        <w:rPr>
          <w:rFonts w:ascii="Arial" w:hAnsi="Arial" w:cs="Arial"/>
          <w:sz w:val="20"/>
          <w:szCs w:val="20"/>
          <w:lang w:val="es-ES"/>
        </w:rPr>
      </w:pPr>
    </w:p>
    <w:p w14:paraId="0BD45038" w14:textId="6D76D6AC" w:rsidR="00AB3234" w:rsidRPr="00083BCA" w:rsidRDefault="009E39A5" w:rsidP="00335EF2">
      <w:pPr>
        <w:spacing w:after="120" w:line="240" w:lineRule="auto"/>
        <w:ind w:left="709" w:right="709"/>
        <w:jc w:val="both"/>
        <w:rPr>
          <w:rFonts w:ascii="Arial" w:hAnsi="Arial" w:cs="Arial"/>
          <w:sz w:val="20"/>
          <w:szCs w:val="20"/>
          <w:lang w:val="es-ES"/>
        </w:rPr>
      </w:pPr>
      <w:r>
        <w:rPr>
          <w:rFonts w:ascii="Arial" w:hAnsi="Arial" w:cs="Arial"/>
          <w:sz w:val="20"/>
          <w:szCs w:val="20"/>
          <w:lang w:val="es-ES"/>
        </w:rPr>
        <w:t>“</w:t>
      </w:r>
      <w:r w:rsidR="00AB3234" w:rsidRPr="00083BCA">
        <w:rPr>
          <w:rFonts w:ascii="Arial" w:hAnsi="Arial" w:cs="Arial"/>
          <w:sz w:val="20"/>
          <w:szCs w:val="20"/>
          <w:lang w:val="es-ES"/>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6B161BFB" w14:textId="1CDF2392" w:rsidR="00AB3234" w:rsidRPr="00083BCA" w:rsidRDefault="00AB3234" w:rsidP="00335EF2">
      <w:pPr>
        <w:spacing w:line="240" w:lineRule="auto"/>
        <w:ind w:left="709" w:right="709"/>
        <w:jc w:val="both"/>
        <w:rPr>
          <w:rFonts w:ascii="Arial" w:hAnsi="Arial" w:cs="Arial"/>
          <w:sz w:val="20"/>
          <w:szCs w:val="20"/>
          <w:lang w:val="es-ES"/>
        </w:rPr>
      </w:pPr>
      <w:r w:rsidRPr="00083BCA">
        <w:rPr>
          <w:rFonts w:ascii="Arial" w:hAnsi="Arial" w:cs="Arial"/>
          <w:sz w:val="20"/>
          <w:szCs w:val="20"/>
          <w:lang w:val="es-ES"/>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009E39A5">
        <w:rPr>
          <w:rFonts w:ascii="Arial" w:hAnsi="Arial" w:cs="Arial"/>
          <w:sz w:val="20"/>
          <w:szCs w:val="20"/>
        </w:rPr>
        <w:t>”</w:t>
      </w:r>
      <w:r w:rsidRPr="00083BCA">
        <w:rPr>
          <w:rStyle w:val="Refdenotaalpie"/>
          <w:rFonts w:ascii="Arial" w:hAnsi="Arial" w:cs="Arial"/>
          <w:sz w:val="20"/>
          <w:szCs w:val="20"/>
          <w:lang w:val="es-ES"/>
        </w:rPr>
        <w:footnoteReference w:id="10"/>
      </w:r>
    </w:p>
    <w:p w14:paraId="05D88009" w14:textId="77777777" w:rsidR="00AB3234" w:rsidRPr="00946D59" w:rsidRDefault="00AB3234" w:rsidP="00AB3234">
      <w:pPr>
        <w:spacing w:line="276" w:lineRule="auto"/>
        <w:ind w:firstLine="709"/>
        <w:jc w:val="both"/>
        <w:rPr>
          <w:rFonts w:ascii="Arial" w:hAnsi="Arial" w:cs="Arial"/>
          <w:lang w:val="es-ES"/>
        </w:rPr>
      </w:pPr>
      <w:r w:rsidRPr="00946D59">
        <w:rPr>
          <w:rFonts w:ascii="Arial" w:hAnsi="Arial" w:cs="Arial"/>
          <w:lang w:val="es-ES"/>
        </w:rPr>
        <w:t>Además, la Corte Constitucional ha explicado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de conformidad con el artículo 150 de la Constitución Política, y que en esta materia rige el principio de legalidad:</w:t>
      </w:r>
    </w:p>
    <w:p w14:paraId="5DB492AA" w14:textId="77777777" w:rsidR="00AB3234" w:rsidRPr="00946D59" w:rsidRDefault="00AB3234" w:rsidP="00AB3234">
      <w:pPr>
        <w:pStyle w:val="Sinespaciado"/>
        <w:tabs>
          <w:tab w:val="left" w:pos="1532"/>
        </w:tabs>
        <w:spacing w:line="276" w:lineRule="auto"/>
        <w:jc w:val="both"/>
        <w:rPr>
          <w:rFonts w:ascii="Arial" w:hAnsi="Arial" w:cs="Arial"/>
          <w:sz w:val="22"/>
          <w:lang w:val="es-ES"/>
        </w:rPr>
      </w:pPr>
    </w:p>
    <w:p w14:paraId="736B62D7" w14:textId="3118CD28" w:rsidR="00AB3234" w:rsidRPr="00083BCA" w:rsidRDefault="009E39A5" w:rsidP="00335EF2">
      <w:pPr>
        <w:spacing w:after="120" w:line="240" w:lineRule="auto"/>
        <w:ind w:left="709" w:right="709"/>
        <w:jc w:val="both"/>
        <w:rPr>
          <w:rFonts w:ascii="Arial" w:hAnsi="Arial" w:cs="Arial"/>
          <w:sz w:val="20"/>
          <w:szCs w:val="20"/>
          <w:lang w:val="es-ES"/>
        </w:rPr>
      </w:pPr>
      <w:r>
        <w:rPr>
          <w:rFonts w:ascii="Arial" w:hAnsi="Arial" w:cs="Arial"/>
          <w:sz w:val="20"/>
          <w:szCs w:val="20"/>
          <w:lang w:val="es-ES"/>
        </w:rPr>
        <w:t>“</w:t>
      </w:r>
      <w:r w:rsidR="00AB3234" w:rsidRPr="00083BCA">
        <w:rPr>
          <w:rFonts w:ascii="Arial" w:hAnsi="Arial" w:cs="Arial"/>
          <w:sz w:val="20"/>
          <w:szCs w:val="20"/>
          <w:lang w:val="es-ES"/>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w:t>
      </w:r>
      <w:r w:rsidR="00F07F8B">
        <w:rPr>
          <w:rFonts w:ascii="Arial" w:hAnsi="Arial" w:cs="Arial"/>
          <w:sz w:val="20"/>
          <w:szCs w:val="20"/>
          <w:lang w:val="es-ES"/>
        </w:rPr>
        <w:t xml:space="preserve"> </w:t>
      </w:r>
      <w:r w:rsidR="00AB3234" w:rsidRPr="00F07F8B">
        <w:rPr>
          <w:rFonts w:ascii="Arial" w:hAnsi="Arial" w:cs="Arial"/>
          <w:i/>
          <w:iCs/>
          <w:sz w:val="20"/>
          <w:szCs w:val="20"/>
          <w:lang w:val="es-ES"/>
        </w:rPr>
        <w:t>pro libertate</w:t>
      </w:r>
      <w:r w:rsidR="00AB3234" w:rsidRPr="00083BCA">
        <w:rPr>
          <w:rFonts w:ascii="Arial" w:hAnsi="Arial" w:cs="Arial"/>
          <w:sz w:val="20"/>
          <w:szCs w:val="20"/>
          <w:lang w:val="es-ES"/>
        </w:rPr>
        <w:t>,</w:t>
      </w:r>
      <w:r w:rsidR="00F07F8B">
        <w:rPr>
          <w:rFonts w:ascii="Arial" w:hAnsi="Arial" w:cs="Arial"/>
          <w:sz w:val="20"/>
          <w:szCs w:val="20"/>
          <w:lang w:val="es-ES"/>
        </w:rPr>
        <w:t xml:space="preserve"> </w:t>
      </w:r>
      <w:r w:rsidR="00AB3234" w:rsidRPr="00083BCA">
        <w:rPr>
          <w:rFonts w:ascii="Arial" w:hAnsi="Arial" w:cs="Arial"/>
          <w:sz w:val="20"/>
          <w:szCs w:val="20"/>
          <w:lang w:val="es-ES"/>
        </w:rPr>
        <w:t xml:space="preserve">sino el de legalidad, el que ordena que la función pública debe someterse estrictamente a lo que disponga la Constitución y la ley (CP art. 6). </w:t>
      </w:r>
    </w:p>
    <w:p w14:paraId="79BBBF33" w14:textId="77777777" w:rsidR="00AB3234" w:rsidRPr="00083BCA" w:rsidRDefault="00AB3234" w:rsidP="00335EF2">
      <w:pPr>
        <w:spacing w:after="120" w:line="240" w:lineRule="auto"/>
        <w:ind w:left="709" w:right="709"/>
        <w:jc w:val="both"/>
        <w:rPr>
          <w:rFonts w:ascii="Arial" w:hAnsi="Arial" w:cs="Arial"/>
          <w:sz w:val="20"/>
          <w:szCs w:val="20"/>
          <w:lang w:val="es-ES"/>
        </w:rPr>
      </w:pPr>
      <w:r w:rsidRPr="00083BCA">
        <w:rPr>
          <w:rFonts w:ascii="Arial" w:hAnsi="Arial" w:cs="Arial"/>
          <w:sz w:val="20"/>
          <w:szCs w:val="20"/>
          <w:lang w:val="es-ES"/>
        </w:rPr>
        <w:t xml:space="preserve">[…] </w:t>
      </w:r>
    </w:p>
    <w:p w14:paraId="32A2F35A" w14:textId="20FC12BC" w:rsidR="00AB3234" w:rsidRPr="00083BCA" w:rsidRDefault="00AB3234" w:rsidP="00335EF2">
      <w:pPr>
        <w:spacing w:line="240" w:lineRule="auto"/>
        <w:ind w:left="709" w:right="709"/>
        <w:jc w:val="both"/>
        <w:rPr>
          <w:rFonts w:ascii="Arial" w:hAnsi="Arial" w:cs="Arial"/>
          <w:sz w:val="20"/>
          <w:szCs w:val="20"/>
          <w:lang w:val="es-ES"/>
        </w:rPr>
      </w:pPr>
      <w:r w:rsidRPr="00083BCA">
        <w:rPr>
          <w:rFonts w:ascii="Arial" w:hAnsi="Arial" w:cs="Arial"/>
          <w:sz w:val="20"/>
          <w:szCs w:val="20"/>
          <w:lang w:val="es-ES"/>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083BCA">
        <w:rPr>
          <w:rStyle w:val="Refdenotaalpie"/>
          <w:rFonts w:ascii="Arial" w:hAnsi="Arial" w:cs="Arial"/>
          <w:sz w:val="20"/>
          <w:szCs w:val="20"/>
          <w:lang w:val="es-ES"/>
        </w:rPr>
        <w:footnoteReference w:id="11"/>
      </w:r>
      <w:r w:rsidR="009E39A5">
        <w:rPr>
          <w:rFonts w:ascii="Arial" w:hAnsi="Arial" w:cs="Arial"/>
          <w:sz w:val="20"/>
          <w:szCs w:val="20"/>
          <w:lang w:val="es-ES"/>
        </w:rPr>
        <w:t>“</w:t>
      </w:r>
    </w:p>
    <w:p w14:paraId="35420B4F" w14:textId="77777777" w:rsidR="00AB3234" w:rsidRPr="00946D59" w:rsidRDefault="00AB3234" w:rsidP="00AB3234">
      <w:pPr>
        <w:spacing w:after="120" w:line="276" w:lineRule="auto"/>
        <w:ind w:firstLine="709"/>
        <w:jc w:val="both"/>
        <w:rPr>
          <w:rFonts w:ascii="Arial" w:hAnsi="Arial" w:cs="Arial"/>
          <w:lang w:val="es-ES"/>
        </w:rPr>
      </w:pPr>
      <w:r w:rsidRPr="00946D59">
        <w:rPr>
          <w:rFonts w:ascii="Arial" w:hAnsi="Arial" w:cs="Arial"/>
          <w:lang w:val="es-ES"/>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946D59">
        <w:rPr>
          <w:rStyle w:val="Refdenotaalpie"/>
          <w:rFonts w:ascii="Arial" w:hAnsi="Arial" w:cs="Arial"/>
          <w:lang w:val="es-ES"/>
        </w:rPr>
        <w:footnoteReference w:id="12"/>
      </w:r>
      <w:r w:rsidRPr="00946D59">
        <w:rPr>
          <w:rFonts w:ascii="Arial" w:hAnsi="Arial" w:cs="Arial"/>
          <w:lang w:val="es-ES"/>
        </w:rPr>
        <w:t xml:space="preserve">. </w:t>
      </w:r>
    </w:p>
    <w:p w14:paraId="41B8ACFE" w14:textId="77777777" w:rsidR="00AB3234" w:rsidRPr="00946D59" w:rsidRDefault="00AB3234" w:rsidP="00AB3234">
      <w:pPr>
        <w:spacing w:before="120" w:after="120" w:line="276" w:lineRule="auto"/>
        <w:ind w:firstLine="708"/>
        <w:jc w:val="both"/>
        <w:rPr>
          <w:rFonts w:ascii="Arial" w:hAnsi="Arial" w:cs="Arial"/>
          <w:lang w:val="es-ES"/>
        </w:rPr>
      </w:pPr>
      <w:r w:rsidRPr="00946D59">
        <w:rPr>
          <w:rFonts w:ascii="Arial" w:hAnsi="Arial" w:cs="Arial"/>
          <w:lang w:val="es-ES"/>
        </w:rPr>
        <w:t>A manera de ejemplo, en materia contractual, los literales c), d) y j) del numeral 1 del artículo 8 de la Ley 80 de 1993</w:t>
      </w:r>
      <w:r w:rsidRPr="00946D59">
        <w:rPr>
          <w:rFonts w:ascii="Arial" w:hAnsi="Arial" w:cs="Arial"/>
          <w:vertAlign w:val="superscript"/>
          <w:lang w:val="es-ES"/>
        </w:rPr>
        <w:footnoteReference w:id="13"/>
      </w:r>
      <w:r w:rsidRPr="00946D59">
        <w:rPr>
          <w:rFonts w:ascii="Arial" w:hAnsi="Arial" w:cs="Arial"/>
          <w:lang w:val="es-ES"/>
        </w:rPr>
        <w:t xml:space="preserve">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numeral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w:t>
      </w:r>
    </w:p>
    <w:p w14:paraId="64D15733" w14:textId="2938C725" w:rsidR="00AB3234" w:rsidRPr="00946D59" w:rsidRDefault="00AB3234" w:rsidP="00AB3234">
      <w:pPr>
        <w:spacing w:line="276" w:lineRule="auto"/>
        <w:ind w:right="49" w:firstLine="709"/>
        <w:jc w:val="both"/>
        <w:rPr>
          <w:rFonts w:ascii="Arial" w:eastAsia="Calibri" w:hAnsi="Arial" w:cs="Arial"/>
          <w:color w:val="000000" w:themeColor="text1"/>
        </w:rPr>
      </w:pPr>
      <w:r w:rsidRPr="00946D59">
        <w:rPr>
          <w:rFonts w:ascii="Arial" w:hAnsi="Arial" w:cs="Arial"/>
        </w:rPr>
        <w:t xml:space="preserve">Ahora bien, también es posible que la inhabilidad sobrevenga cuando ya </w:t>
      </w:r>
      <w:r w:rsidR="006224EF" w:rsidRPr="00946D59">
        <w:rPr>
          <w:rFonts w:ascii="Arial" w:hAnsi="Arial" w:cs="Arial"/>
        </w:rPr>
        <w:t>está</w:t>
      </w:r>
      <w:r w:rsidRPr="00946D59">
        <w:rPr>
          <w:rFonts w:ascii="Arial" w:hAnsi="Arial" w:cs="Arial"/>
        </w:rPr>
        <w:t xml:space="preserve"> perfeccionado el contrato o incluso durante su ejecución. Para casos como este, en el que la inhabilidad se presenta de manera sobreviniente, existe una </w:t>
      </w:r>
      <w:bookmarkStart w:id="4" w:name="_Hlk80369925"/>
      <w:r w:rsidRPr="00946D59">
        <w:rPr>
          <w:rFonts w:ascii="Arial" w:eastAsia="Calibri" w:hAnsi="Arial" w:cs="Arial"/>
          <w:color w:val="000000" w:themeColor="text1"/>
        </w:rPr>
        <w:t>la regulación especial del Estatuto General de la Contratación Pública</w:t>
      </w:r>
      <w:bookmarkEnd w:id="4"/>
      <w:r w:rsidRPr="00946D59">
        <w:rPr>
          <w:rFonts w:ascii="Arial" w:eastAsia="Calibri" w:hAnsi="Arial" w:cs="Arial"/>
          <w:color w:val="000000" w:themeColor="text1"/>
        </w:rPr>
        <w:t>, establecida en el artículo 9 de la Ley 80 de 1993 en los siguientes términos:</w:t>
      </w:r>
    </w:p>
    <w:p w14:paraId="1E87D267" w14:textId="2A5FE9E6" w:rsidR="00AB3234" w:rsidRPr="00413AE5" w:rsidRDefault="00300EC1" w:rsidP="00335EF2">
      <w:pPr>
        <w:tabs>
          <w:tab w:val="left" w:pos="709"/>
        </w:tabs>
        <w:spacing w:after="120" w:line="240" w:lineRule="auto"/>
        <w:ind w:left="709" w:right="879"/>
        <w:jc w:val="both"/>
        <w:rPr>
          <w:rFonts w:ascii="Arial" w:eastAsia="Calibri" w:hAnsi="Arial" w:cs="Arial"/>
          <w:color w:val="000000" w:themeColor="text1"/>
          <w:sz w:val="20"/>
          <w:szCs w:val="20"/>
        </w:rPr>
      </w:pPr>
      <w:r w:rsidRPr="00413AE5">
        <w:rPr>
          <w:rFonts w:ascii="Arial" w:eastAsia="Calibri" w:hAnsi="Arial" w:cs="Arial"/>
          <w:color w:val="000000" w:themeColor="text1"/>
          <w:sz w:val="20"/>
          <w:szCs w:val="20"/>
        </w:rPr>
        <w:t>“</w:t>
      </w:r>
      <w:r w:rsidR="00AB3234" w:rsidRPr="00413AE5">
        <w:rPr>
          <w:rFonts w:ascii="Arial" w:eastAsia="Calibri" w:hAnsi="Arial" w:cs="Arial"/>
          <w:color w:val="000000" w:themeColor="text1"/>
          <w:sz w:val="20"/>
          <w:szCs w:val="20"/>
        </w:rPr>
        <w:t>Si llegare a sobrevenir inhabilidad o incompatibilidad en el contratista, este cederá el contrato previa autorización escrita de la entidad contratante o, si ello no fuere posible, renunciará a su ejecución.</w:t>
      </w:r>
    </w:p>
    <w:p w14:paraId="5B9F89D1" w14:textId="77777777" w:rsidR="00AB3234" w:rsidRPr="00413AE5" w:rsidRDefault="00AB3234" w:rsidP="00335EF2">
      <w:pPr>
        <w:tabs>
          <w:tab w:val="left" w:pos="709"/>
        </w:tabs>
        <w:spacing w:after="120" w:line="240" w:lineRule="auto"/>
        <w:ind w:left="709" w:right="879"/>
        <w:jc w:val="both"/>
        <w:rPr>
          <w:rFonts w:ascii="Arial" w:eastAsia="Calibri" w:hAnsi="Arial" w:cs="Arial"/>
          <w:color w:val="000000" w:themeColor="text1"/>
          <w:sz w:val="20"/>
          <w:szCs w:val="20"/>
        </w:rPr>
      </w:pPr>
      <w:r w:rsidRPr="00413AE5">
        <w:rPr>
          <w:rFonts w:ascii="Arial" w:eastAsia="Calibri" w:hAnsi="Arial" w:cs="Arial"/>
          <w:color w:val="000000" w:themeColor="text1"/>
          <w:sz w:val="20"/>
          <w:szCs w:val="20"/>
        </w:rPr>
        <w:t>Cuando la inhabilidad o incompatibilidad sobrevenga en un proponente dentro de un proceso de selección, se entenderá que renuncia a la participación en el proceso de selección y a los derechos surgidos del mismo.</w:t>
      </w:r>
    </w:p>
    <w:p w14:paraId="1276ECF2" w14:textId="77777777" w:rsidR="00AB3234" w:rsidRPr="00413AE5" w:rsidRDefault="00AB3234" w:rsidP="00335EF2">
      <w:pPr>
        <w:tabs>
          <w:tab w:val="left" w:pos="709"/>
        </w:tabs>
        <w:spacing w:after="120" w:line="240" w:lineRule="auto"/>
        <w:ind w:left="709" w:right="879"/>
        <w:jc w:val="both"/>
        <w:rPr>
          <w:rFonts w:ascii="Arial" w:eastAsia="Calibri" w:hAnsi="Arial" w:cs="Arial"/>
          <w:color w:val="000000" w:themeColor="text1"/>
          <w:sz w:val="20"/>
          <w:szCs w:val="20"/>
        </w:rPr>
      </w:pPr>
      <w:r w:rsidRPr="00413AE5">
        <w:rPr>
          <w:rFonts w:ascii="Arial" w:eastAsia="Calibri" w:hAnsi="Arial" w:cs="Arial"/>
          <w:color w:val="000000" w:themeColor="text1"/>
          <w:sz w:val="20"/>
          <w:szCs w:val="20"/>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776CC778" w14:textId="77777777" w:rsidR="00AB3234" w:rsidRPr="00413AE5" w:rsidRDefault="00AB3234" w:rsidP="00335EF2">
      <w:pPr>
        <w:tabs>
          <w:tab w:val="left" w:pos="709"/>
        </w:tabs>
        <w:spacing w:after="120" w:line="240" w:lineRule="auto"/>
        <w:ind w:left="709" w:right="879"/>
        <w:jc w:val="both"/>
        <w:rPr>
          <w:rFonts w:ascii="Arial" w:eastAsia="Calibri" w:hAnsi="Arial" w:cs="Arial"/>
          <w:color w:val="000000" w:themeColor="text1"/>
          <w:sz w:val="20"/>
          <w:szCs w:val="20"/>
        </w:rPr>
      </w:pPr>
      <w:r w:rsidRPr="00413AE5">
        <w:rPr>
          <w:rFonts w:ascii="Arial" w:eastAsia="Calibri" w:hAnsi="Arial" w:cs="Arial"/>
          <w:color w:val="000000" w:themeColor="text1"/>
          <w:sz w:val="20"/>
          <w:szCs w:val="20"/>
        </w:rPr>
        <w:t>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232D3258" w14:textId="7A9D1598" w:rsidR="00AB3234" w:rsidRPr="00413AE5" w:rsidRDefault="00AB3234" w:rsidP="00335EF2">
      <w:pPr>
        <w:tabs>
          <w:tab w:val="left" w:pos="709"/>
        </w:tabs>
        <w:spacing w:line="240" w:lineRule="auto"/>
        <w:ind w:left="709" w:right="879"/>
        <w:jc w:val="both"/>
        <w:rPr>
          <w:rFonts w:ascii="Arial" w:eastAsia="Calibri" w:hAnsi="Arial" w:cs="Arial"/>
          <w:color w:val="000000" w:themeColor="text1"/>
          <w:sz w:val="20"/>
          <w:szCs w:val="20"/>
        </w:rPr>
      </w:pPr>
      <w:r w:rsidRPr="00413AE5">
        <w:rPr>
          <w:rFonts w:ascii="Arial" w:eastAsia="Calibri" w:hAnsi="Arial" w:cs="Arial"/>
          <w:color w:val="000000" w:themeColor="text1"/>
          <w:sz w:val="20"/>
          <w:szCs w:val="20"/>
        </w:rPr>
        <w:t>Para el caso de cesión, será la entidad contratante la encargada de determinar el cesionario del contrato. […]</w:t>
      </w:r>
      <w:bookmarkStart w:id="5" w:name="_Hlk79777330"/>
      <w:r w:rsidR="00300EC1" w:rsidRPr="00413AE5">
        <w:rPr>
          <w:rFonts w:ascii="Arial" w:eastAsia="Calibri" w:hAnsi="Arial" w:cs="Arial"/>
          <w:color w:val="000000" w:themeColor="text1"/>
          <w:sz w:val="20"/>
          <w:szCs w:val="20"/>
        </w:rPr>
        <w:t>”</w:t>
      </w:r>
      <w:r w:rsidRPr="00413AE5">
        <w:rPr>
          <w:rStyle w:val="Refdenotaalpie"/>
          <w:rFonts w:ascii="Arial" w:eastAsia="Calibri" w:hAnsi="Arial" w:cs="Arial"/>
          <w:color w:val="000000" w:themeColor="text1"/>
          <w:sz w:val="20"/>
          <w:szCs w:val="20"/>
        </w:rPr>
        <w:footnoteReference w:id="14"/>
      </w:r>
      <w:r w:rsidRPr="00413AE5">
        <w:rPr>
          <w:rFonts w:ascii="Arial" w:eastAsia="Calibri" w:hAnsi="Arial" w:cs="Arial"/>
          <w:color w:val="000000" w:themeColor="text1"/>
          <w:sz w:val="20"/>
          <w:szCs w:val="20"/>
        </w:rPr>
        <w:t xml:space="preserve"> </w:t>
      </w:r>
      <w:bookmarkEnd w:id="5"/>
      <w:r w:rsidRPr="00413AE5">
        <w:rPr>
          <w:rFonts w:ascii="Arial" w:eastAsia="Calibri" w:hAnsi="Arial" w:cs="Arial"/>
          <w:color w:val="000000" w:themeColor="text1"/>
          <w:sz w:val="20"/>
          <w:szCs w:val="20"/>
        </w:rPr>
        <w:t>(Cursivas añadidas).</w:t>
      </w:r>
    </w:p>
    <w:p w14:paraId="16C892A4" w14:textId="77777777" w:rsidR="00AB3234" w:rsidRPr="00946D59" w:rsidRDefault="00AB3234" w:rsidP="00AB3234">
      <w:pPr>
        <w:tabs>
          <w:tab w:val="left" w:pos="709"/>
        </w:tabs>
        <w:spacing w:line="276" w:lineRule="auto"/>
        <w:jc w:val="both"/>
        <w:rPr>
          <w:rFonts w:ascii="Arial" w:eastAsia="Calibri" w:hAnsi="Arial" w:cs="Arial"/>
          <w:color w:val="000000" w:themeColor="text1"/>
        </w:rPr>
      </w:pPr>
      <w:r w:rsidRPr="00946D59">
        <w:rPr>
          <w:rFonts w:ascii="Arial" w:eastAsia="Calibri" w:hAnsi="Arial" w:cs="Arial"/>
          <w:color w:val="000000" w:themeColor="text1"/>
          <w:sz w:val="21"/>
          <w:szCs w:val="21"/>
        </w:rPr>
        <w:tab/>
      </w:r>
      <w:r w:rsidRPr="00946D59">
        <w:rPr>
          <w:rFonts w:ascii="Arial" w:eastAsia="Calibri" w:hAnsi="Arial" w:cs="Arial"/>
          <w:color w:val="000000" w:themeColor="text1"/>
        </w:rPr>
        <w:t>Esta regulación de las inhabilidades e incompatibilidades sobrevinientes fue una innovación del Estatuto General de Contratación de la Administración Pública, pues el tema no fue abordado en los Decretos Leyes 150 de 1976 y 222 de 1983. Naturalmente, no se trata de causales nuevas, sino de su configuración antes de que finalice el procedimiento de selección o después de perfeccionado el contrato. Sobre la constitucionalidad de esta norma se pronunció la Corte Constitucional indicando que:</w:t>
      </w:r>
    </w:p>
    <w:p w14:paraId="645A23EA" w14:textId="05A48AE8" w:rsidR="00AB3234" w:rsidRPr="00083BCA" w:rsidRDefault="00300EC1" w:rsidP="00335EF2">
      <w:pPr>
        <w:spacing w:line="240" w:lineRule="auto"/>
        <w:ind w:left="709" w:right="709"/>
        <w:jc w:val="both"/>
        <w:rPr>
          <w:rFonts w:ascii="Arial" w:hAnsi="Arial" w:cs="Arial"/>
          <w:color w:val="000000" w:themeColor="text1"/>
          <w:sz w:val="20"/>
          <w:szCs w:val="20"/>
        </w:rPr>
      </w:pPr>
      <w:r>
        <w:rPr>
          <w:rFonts w:ascii="Arial" w:hAnsi="Arial" w:cs="Arial"/>
          <w:color w:val="000000" w:themeColor="text1"/>
          <w:sz w:val="20"/>
          <w:szCs w:val="20"/>
        </w:rPr>
        <w:t>“</w:t>
      </w:r>
      <w:r w:rsidR="00AB3234" w:rsidRPr="00083BCA">
        <w:rPr>
          <w:rFonts w:ascii="Arial" w:hAnsi="Arial" w:cs="Arial"/>
          <w:color w:val="000000" w:themeColor="text1"/>
          <w:sz w:val="20"/>
          <w:szCs w:val="20"/>
        </w:rPr>
        <w:t>[…] Se trata de evitar que contraten con el Estado quienes se ubican en alguna de las situaciones contempladas por el artículo 8º de la Ley 80 de 1993, a la cual pertenece también la disposición demandada. Como tales incompatibilidades e inhabilidades no siempre surgen desde el comienzo de los trámites previos a la contratación, debe la ley ocuparse en la determinación clara de las reglas que han de observarse si ellas aparecen de manera sobreviniente, esto es, cuando la relación contractual ya se había establecido o dentro del tiempo de una licitación o concurso ya iniciados.</w:t>
      </w:r>
    </w:p>
    <w:p w14:paraId="0C6C4DD1" w14:textId="7439BF6E" w:rsidR="00AB3234" w:rsidRPr="00083BCA" w:rsidRDefault="00AB3234" w:rsidP="00335EF2">
      <w:pPr>
        <w:spacing w:line="240" w:lineRule="auto"/>
        <w:ind w:left="709" w:right="709"/>
        <w:jc w:val="both"/>
        <w:rPr>
          <w:rFonts w:ascii="Arial" w:hAnsi="Arial" w:cs="Arial"/>
          <w:color w:val="000000" w:themeColor="text1"/>
          <w:sz w:val="20"/>
          <w:szCs w:val="20"/>
        </w:rPr>
      </w:pPr>
      <w:r w:rsidRPr="00083BCA">
        <w:rPr>
          <w:rFonts w:ascii="Arial" w:hAnsi="Arial" w:cs="Arial"/>
          <w:color w:val="000000" w:themeColor="text1"/>
          <w:sz w:val="20"/>
          <w:szCs w:val="20"/>
        </w:rPr>
        <w:t>A juicio de la Corte, en nada se ofende el imperio de la Constitución por haberse establecido que el hecho de sobrevenir una causal de inhabilidad o incompatibilidad en cabeza de quien ya es contratista da lugar a la obligación de éste de ceder el contrato previa autorización escrita de la entidad contratante, o a la de renunciar a su ejecución si aquello no fuere posible. Tampoco se vulnera la Carta por consagrar que quien participa en un proceso de licitación o concurso y resulta intempestivamente afectado por inhabilidades o incompatibilidades deba renunciar a dicha participación, ni se desconoce la normatividad superior por prever, como lo hace la norma, la cesión en favor de un tercero de la participación en el consorcio o unión temporal que licita o es contratista cuando la causa de inhabilidad o incompatibilidad se radica en uno de sus miembros. Se trata de evitar en tales casos que el contratista, pese a su situación, prosiga vinculado contractualmente con el Estado, o que el aspirante a serlo continúe tomando parte en los procesos de adjudicación y selección […]</w:t>
      </w:r>
      <w:r w:rsidR="00EC5A3D">
        <w:rPr>
          <w:rFonts w:ascii="Arial" w:hAnsi="Arial" w:cs="Arial"/>
          <w:color w:val="000000" w:themeColor="text1"/>
          <w:sz w:val="20"/>
          <w:szCs w:val="20"/>
        </w:rPr>
        <w:t>”</w:t>
      </w:r>
      <w:r w:rsidRPr="00083BCA">
        <w:rPr>
          <w:rStyle w:val="Refdenotaalpie"/>
          <w:rFonts w:ascii="Arial" w:hAnsi="Arial" w:cs="Arial"/>
          <w:color w:val="000000" w:themeColor="text1"/>
          <w:sz w:val="20"/>
          <w:szCs w:val="20"/>
        </w:rPr>
        <w:footnoteReference w:id="15"/>
      </w:r>
    </w:p>
    <w:p w14:paraId="5BD391C9" w14:textId="5AC715F6" w:rsidR="00874270" w:rsidRDefault="00AB3234" w:rsidP="00B80C3D">
      <w:pPr>
        <w:tabs>
          <w:tab w:val="left" w:pos="709"/>
        </w:tabs>
        <w:spacing w:after="120" w:line="276" w:lineRule="auto"/>
        <w:jc w:val="both"/>
        <w:rPr>
          <w:rFonts w:ascii="Arial" w:hAnsi="Arial" w:cs="Arial"/>
          <w:color w:val="000000" w:themeColor="text1"/>
        </w:rPr>
      </w:pPr>
      <w:r w:rsidRPr="00946D59">
        <w:rPr>
          <w:rFonts w:ascii="Arial" w:eastAsia="Calibri" w:hAnsi="Arial" w:cs="Arial"/>
          <w:color w:val="000000" w:themeColor="text1"/>
        </w:rPr>
        <w:tab/>
      </w:r>
      <w:r w:rsidRPr="00465A53">
        <w:rPr>
          <w:rFonts w:ascii="Arial" w:eastAsia="Calibri" w:hAnsi="Arial" w:cs="Arial"/>
          <w:color w:val="000000" w:themeColor="text1"/>
        </w:rPr>
        <w:t xml:space="preserve">En efecto, si el contrato se celebra con personas incursas previamente en una situación de inhabilidad o incompatibilidad, este surge a la vida jurídica viciado de nulidad absoluta. </w:t>
      </w:r>
      <w:r w:rsidR="00B80C3D">
        <w:rPr>
          <w:rFonts w:ascii="Arial" w:eastAsia="Calibri" w:hAnsi="Arial" w:cs="Arial"/>
          <w:color w:val="000000" w:themeColor="text1"/>
        </w:rPr>
        <w:t xml:space="preserve">Razón por la cual, el artículo 9 </w:t>
      </w:r>
      <w:r w:rsidR="00874270">
        <w:rPr>
          <w:rFonts w:ascii="Arial" w:hAnsi="Arial" w:cs="Arial"/>
          <w:color w:val="000000" w:themeColor="text1"/>
        </w:rPr>
        <w:t xml:space="preserve">de la </w:t>
      </w:r>
      <w:r w:rsidR="00BF5F5F">
        <w:rPr>
          <w:rFonts w:ascii="Arial" w:hAnsi="Arial" w:cs="Arial"/>
          <w:color w:val="000000" w:themeColor="text1"/>
        </w:rPr>
        <w:t>ley 80 de 1993 contempla en su inciso segundo que: “C</w:t>
      </w:r>
      <w:r w:rsidR="00BF5F5F" w:rsidRPr="00BF5F5F">
        <w:rPr>
          <w:rFonts w:ascii="Arial" w:hAnsi="Arial" w:cs="Arial"/>
          <w:color w:val="000000" w:themeColor="text1"/>
        </w:rPr>
        <w:t>uando la inhabilidad o incompatibilidad sobrevenga en un proponente dentro de un proceso de selección, se entenderá que renuncia a la participación en el proceso de selección y a los derechos surgidos del mismo</w:t>
      </w:r>
      <w:r w:rsidR="00BF5F5F">
        <w:rPr>
          <w:rFonts w:ascii="Arial" w:hAnsi="Arial" w:cs="Arial"/>
          <w:color w:val="000000" w:themeColor="text1"/>
        </w:rPr>
        <w:t xml:space="preserve"> </w:t>
      </w:r>
      <w:r w:rsidR="00BF5F5F" w:rsidRPr="00BF5F5F">
        <w:rPr>
          <w:rFonts w:ascii="Arial" w:hAnsi="Arial" w:cs="Arial"/>
          <w:color w:val="000000" w:themeColor="text1"/>
        </w:rPr>
        <w:t>[…]</w:t>
      </w:r>
      <w:r w:rsidR="00BF5F5F">
        <w:rPr>
          <w:rFonts w:ascii="Arial" w:hAnsi="Arial" w:cs="Arial"/>
          <w:color w:val="000000" w:themeColor="text1"/>
        </w:rPr>
        <w:t>”</w:t>
      </w:r>
      <w:r w:rsidR="009227DC">
        <w:rPr>
          <w:rFonts w:ascii="Arial" w:hAnsi="Arial" w:cs="Arial"/>
          <w:color w:val="000000" w:themeColor="text1"/>
        </w:rPr>
        <w:t>. Dicha presunción de renuncia a la participación y a los derechos surgidos del mismo, en caso de contar con resolución de adjudicación</w:t>
      </w:r>
      <w:r w:rsidR="001265F8">
        <w:rPr>
          <w:rFonts w:ascii="Arial" w:hAnsi="Arial" w:cs="Arial"/>
          <w:color w:val="000000" w:themeColor="text1"/>
        </w:rPr>
        <w:t xml:space="preserve">, debe interpretarse en conjunto con el artículo 9 de la </w:t>
      </w:r>
      <w:r w:rsidR="00874270">
        <w:rPr>
          <w:rFonts w:ascii="Arial" w:hAnsi="Arial" w:cs="Arial"/>
          <w:color w:val="000000" w:themeColor="text1"/>
        </w:rPr>
        <w:t>Ley 1150 de 2007</w:t>
      </w:r>
      <w:r w:rsidR="001265F8">
        <w:rPr>
          <w:rFonts w:ascii="Arial" w:hAnsi="Arial" w:cs="Arial"/>
          <w:color w:val="000000" w:themeColor="text1"/>
        </w:rPr>
        <w:t>, el cual</w:t>
      </w:r>
      <w:r w:rsidR="00874270">
        <w:rPr>
          <w:rFonts w:ascii="Arial" w:hAnsi="Arial" w:cs="Arial"/>
          <w:color w:val="000000" w:themeColor="text1"/>
        </w:rPr>
        <w:t xml:space="preserve"> </w:t>
      </w:r>
      <w:r w:rsidR="00874270" w:rsidRPr="000F4A3A">
        <w:rPr>
          <w:rFonts w:ascii="Arial" w:hAnsi="Arial" w:cs="Arial"/>
          <w:color w:val="000000" w:themeColor="text1"/>
        </w:rPr>
        <w:t xml:space="preserve">consagra </w:t>
      </w:r>
      <w:r w:rsidR="00874270">
        <w:rPr>
          <w:rFonts w:ascii="Arial" w:hAnsi="Arial" w:cs="Arial"/>
          <w:color w:val="000000" w:themeColor="text1"/>
        </w:rPr>
        <w:t>dos</w:t>
      </w:r>
      <w:r w:rsidR="00874270" w:rsidRPr="000F4A3A">
        <w:rPr>
          <w:rFonts w:ascii="Arial" w:hAnsi="Arial" w:cs="Arial"/>
          <w:color w:val="000000" w:themeColor="text1"/>
        </w:rPr>
        <w:t xml:space="preserve"> regla</w:t>
      </w:r>
      <w:r w:rsidR="00874270">
        <w:rPr>
          <w:rFonts w:ascii="Arial" w:hAnsi="Arial" w:cs="Arial"/>
          <w:color w:val="000000" w:themeColor="text1"/>
        </w:rPr>
        <w:t>s</w:t>
      </w:r>
      <w:r w:rsidR="00874270" w:rsidRPr="000F4A3A">
        <w:rPr>
          <w:rFonts w:ascii="Arial" w:hAnsi="Arial" w:cs="Arial"/>
          <w:color w:val="000000" w:themeColor="text1"/>
        </w:rPr>
        <w:t xml:space="preserve"> especial</w:t>
      </w:r>
      <w:r w:rsidR="00874270">
        <w:rPr>
          <w:rFonts w:ascii="Arial" w:hAnsi="Arial" w:cs="Arial"/>
          <w:color w:val="000000" w:themeColor="text1"/>
        </w:rPr>
        <w:t>es</w:t>
      </w:r>
      <w:r w:rsidR="00874270" w:rsidRPr="000F4A3A">
        <w:rPr>
          <w:rFonts w:ascii="Arial" w:hAnsi="Arial" w:cs="Arial"/>
          <w:color w:val="000000" w:themeColor="text1"/>
        </w:rPr>
        <w:t xml:space="preserve"> </w:t>
      </w:r>
      <w:r w:rsidR="00874270">
        <w:rPr>
          <w:rFonts w:ascii="Arial" w:hAnsi="Arial" w:cs="Arial"/>
          <w:color w:val="000000" w:themeColor="text1"/>
        </w:rPr>
        <w:t xml:space="preserve">en los que la norma da la </w:t>
      </w:r>
      <w:r w:rsidR="00874270" w:rsidRPr="000F4A3A">
        <w:rPr>
          <w:rFonts w:ascii="Arial" w:hAnsi="Arial" w:cs="Arial"/>
          <w:color w:val="000000" w:themeColor="text1"/>
        </w:rPr>
        <w:t>posibilidad</w:t>
      </w:r>
      <w:r w:rsidR="00874270">
        <w:rPr>
          <w:rFonts w:ascii="Arial" w:hAnsi="Arial" w:cs="Arial"/>
          <w:color w:val="000000" w:themeColor="text1"/>
        </w:rPr>
        <w:t xml:space="preserve"> a una Entidad Estatal para que adjudique nuevamente el contrato al proponente calificado en segundo lugar, y esto es, cuando </w:t>
      </w:r>
      <w:r w:rsidR="00874270" w:rsidRPr="00BE15E3">
        <w:rPr>
          <w:rFonts w:ascii="Arial" w:hAnsi="Arial" w:cs="Arial"/>
          <w:color w:val="000000" w:themeColor="text1"/>
        </w:rPr>
        <w:t xml:space="preserve">dentro del plazo comprendido entre la adjudicación del contrato y la suscripción del mismo, </w:t>
      </w:r>
      <w:r w:rsidR="00874270">
        <w:rPr>
          <w:rFonts w:ascii="Arial" w:hAnsi="Arial" w:cs="Arial"/>
          <w:color w:val="000000" w:themeColor="text1"/>
        </w:rPr>
        <w:t xml:space="preserve">el acto administrativo de adjudicación es revocado porque </w:t>
      </w:r>
      <w:r w:rsidR="00874270" w:rsidRPr="00BE15E3">
        <w:rPr>
          <w:rFonts w:ascii="Arial" w:hAnsi="Arial" w:cs="Arial"/>
          <w:color w:val="000000" w:themeColor="text1"/>
        </w:rPr>
        <w:t>sobrevi</w:t>
      </w:r>
      <w:r w:rsidR="00874270">
        <w:rPr>
          <w:rFonts w:ascii="Arial" w:hAnsi="Arial" w:cs="Arial"/>
          <w:color w:val="000000" w:themeColor="text1"/>
        </w:rPr>
        <w:t>no</w:t>
      </w:r>
      <w:r w:rsidR="00874270" w:rsidRPr="00BE15E3">
        <w:rPr>
          <w:rFonts w:ascii="Arial" w:hAnsi="Arial" w:cs="Arial"/>
          <w:color w:val="000000" w:themeColor="text1"/>
        </w:rPr>
        <w:t xml:space="preserve"> una inhabilidad o incompatibilidad o si se demuestra que el acto se obtuvo por medios ilegales, caso en el cual, </w:t>
      </w:r>
      <w:r w:rsidR="00874270">
        <w:rPr>
          <w:rFonts w:ascii="Arial" w:hAnsi="Arial" w:cs="Arial"/>
          <w:color w:val="000000" w:themeColor="text1"/>
        </w:rPr>
        <w:t>“</w:t>
      </w:r>
      <w:r w:rsidR="00874270" w:rsidRPr="00BE15E3">
        <w:rPr>
          <w:rFonts w:ascii="Arial" w:hAnsi="Arial" w:cs="Arial"/>
          <w:color w:val="000000" w:themeColor="text1"/>
        </w:rPr>
        <w:t>la entidad podrá aplicar lo previsto en el inciso final del numeral 12 del artículo 30 de la Ley 80 de 1993</w:t>
      </w:r>
      <w:r w:rsidR="00874270">
        <w:rPr>
          <w:rFonts w:ascii="Arial" w:hAnsi="Arial" w:cs="Arial"/>
          <w:color w:val="000000" w:themeColor="text1"/>
        </w:rPr>
        <w:t>”</w:t>
      </w:r>
      <w:r w:rsidR="00874270" w:rsidRPr="00BE15E3">
        <w:rPr>
          <w:rFonts w:ascii="Arial" w:hAnsi="Arial" w:cs="Arial"/>
          <w:color w:val="000000" w:themeColor="text1"/>
        </w:rPr>
        <w:t>.</w:t>
      </w:r>
    </w:p>
    <w:p w14:paraId="5E8CA9E7" w14:textId="77777777" w:rsidR="00874270" w:rsidRDefault="00874270" w:rsidP="00874270">
      <w:pPr>
        <w:tabs>
          <w:tab w:val="left" w:pos="0"/>
        </w:tabs>
        <w:spacing w:before="120" w:line="276" w:lineRule="auto"/>
        <w:ind w:firstLine="709"/>
        <w:jc w:val="both"/>
        <w:rPr>
          <w:rFonts w:ascii="Arial" w:hAnsi="Arial" w:cs="Arial"/>
          <w:color w:val="000000" w:themeColor="text1"/>
        </w:rPr>
      </w:pPr>
      <w:r>
        <w:rPr>
          <w:rFonts w:ascii="Arial" w:hAnsi="Arial" w:cs="Arial"/>
          <w:color w:val="000000" w:themeColor="text1"/>
        </w:rPr>
        <w:t xml:space="preserve">La segunda regla, trata de </w:t>
      </w:r>
      <w:r w:rsidRPr="00D558AE">
        <w:rPr>
          <w:rFonts w:ascii="Arial" w:hAnsi="Arial" w:cs="Arial"/>
          <w:color w:val="000000" w:themeColor="text1"/>
        </w:rPr>
        <w:t>aquellos casos en que la</w:t>
      </w:r>
      <w:r>
        <w:rPr>
          <w:rFonts w:ascii="Arial" w:hAnsi="Arial" w:cs="Arial"/>
          <w:color w:val="000000" w:themeColor="text1"/>
        </w:rPr>
        <w:t xml:space="preserve"> E</w:t>
      </w:r>
      <w:r w:rsidRPr="00D558AE">
        <w:rPr>
          <w:rFonts w:ascii="Arial" w:hAnsi="Arial" w:cs="Arial"/>
          <w:color w:val="000000" w:themeColor="text1"/>
        </w:rPr>
        <w:t xml:space="preserve">ntidad </w:t>
      </w:r>
      <w:r>
        <w:rPr>
          <w:rFonts w:ascii="Arial" w:hAnsi="Arial" w:cs="Arial"/>
          <w:color w:val="000000" w:themeColor="text1"/>
        </w:rPr>
        <w:t xml:space="preserve">Estatal </w:t>
      </w:r>
      <w:r w:rsidRPr="00D558AE">
        <w:rPr>
          <w:rFonts w:ascii="Arial" w:hAnsi="Arial" w:cs="Arial"/>
          <w:color w:val="000000" w:themeColor="text1"/>
        </w:rPr>
        <w:t xml:space="preserve">declare la caducidad del contrato y se encuentre pendiente de ejecución un porcentaje igual o superior al cincuenta por ciento (50%) del mismo, </w:t>
      </w:r>
      <w:r>
        <w:rPr>
          <w:rFonts w:ascii="Arial" w:hAnsi="Arial" w:cs="Arial"/>
          <w:color w:val="000000" w:themeColor="text1"/>
        </w:rPr>
        <w:t xml:space="preserve">la norma indica que la Entidad Estatal </w:t>
      </w:r>
      <w:r w:rsidRPr="00D558AE">
        <w:rPr>
          <w:rFonts w:ascii="Arial" w:hAnsi="Arial" w:cs="Arial"/>
          <w:color w:val="000000" w:themeColor="text1"/>
        </w:rPr>
        <w:t>podrá contratar al proponente calificado en el segundo lugar en el proceso de selección respectivo, previa revisión de las condiciones a que haya lugar</w:t>
      </w:r>
      <w:r>
        <w:rPr>
          <w:rFonts w:ascii="Arial" w:hAnsi="Arial" w:cs="Arial"/>
          <w:color w:val="000000" w:themeColor="text1"/>
        </w:rPr>
        <w:t xml:space="preserve">, con </w:t>
      </w:r>
      <w:r w:rsidRPr="00D558AE">
        <w:rPr>
          <w:rFonts w:ascii="Arial" w:hAnsi="Arial" w:cs="Arial"/>
          <w:color w:val="000000" w:themeColor="text1"/>
        </w:rPr>
        <w:t>excepción de los contratos de concesión</w:t>
      </w:r>
      <w:r>
        <w:rPr>
          <w:rFonts w:ascii="Arial" w:hAnsi="Arial" w:cs="Arial"/>
          <w:color w:val="000000" w:themeColor="text1"/>
        </w:rPr>
        <w:t>.</w:t>
      </w:r>
    </w:p>
    <w:p w14:paraId="555EF39C" w14:textId="74D065E6" w:rsidR="00874270" w:rsidRDefault="00874270" w:rsidP="00874270">
      <w:pPr>
        <w:tabs>
          <w:tab w:val="left" w:pos="0"/>
        </w:tabs>
        <w:spacing w:before="120" w:line="276" w:lineRule="auto"/>
        <w:jc w:val="both"/>
        <w:rPr>
          <w:rFonts w:ascii="Arial" w:hAnsi="Arial" w:cs="Arial"/>
        </w:rPr>
      </w:pPr>
      <w:r>
        <w:rPr>
          <w:rFonts w:ascii="Arial" w:hAnsi="Arial" w:cs="Arial"/>
        </w:rPr>
        <w:tab/>
        <w:t>L</w:t>
      </w:r>
      <w:r w:rsidRPr="000F4A3A">
        <w:rPr>
          <w:rFonts w:ascii="Arial" w:hAnsi="Arial" w:cs="Arial"/>
        </w:rPr>
        <w:t xml:space="preserve">as normas citadas </w:t>
      </w:r>
      <w:r>
        <w:rPr>
          <w:rFonts w:ascii="Arial" w:hAnsi="Arial" w:cs="Arial"/>
        </w:rPr>
        <w:t xml:space="preserve">reflejan el querer del legislador de que los Proceso de Contratación adelantados por las entidades estatales cumplan con los fines de la contratación estatal, esto es, que los servidores públicos tengan en consideración al momento de celebrar contratos y con la ejecución de los mismos, que las entidades buscan con </w:t>
      </w:r>
      <w:r w:rsidR="00B80C3D">
        <w:rPr>
          <w:rFonts w:ascii="Arial" w:hAnsi="Arial" w:cs="Arial"/>
        </w:rPr>
        <w:t xml:space="preserve">ellos </w:t>
      </w:r>
      <w:r>
        <w:rPr>
          <w:rFonts w:ascii="Arial" w:hAnsi="Arial" w:cs="Arial"/>
        </w:rPr>
        <w:t xml:space="preserve">la satisfacción de sus necesidades </w:t>
      </w:r>
      <w:r w:rsidR="00B80C3D">
        <w:rPr>
          <w:rFonts w:ascii="Arial" w:hAnsi="Arial" w:cs="Arial"/>
        </w:rPr>
        <w:t xml:space="preserve">y </w:t>
      </w:r>
      <w:r>
        <w:rPr>
          <w:rFonts w:ascii="Arial" w:hAnsi="Arial" w:cs="Arial"/>
        </w:rPr>
        <w:t xml:space="preserve">el cumplimiento de sus fines estatales, </w:t>
      </w:r>
      <w:r w:rsidR="00B80C3D">
        <w:rPr>
          <w:rFonts w:ascii="Arial" w:hAnsi="Arial" w:cs="Arial"/>
        </w:rPr>
        <w:t>por lo cuanto</w:t>
      </w:r>
      <w:r>
        <w:rPr>
          <w:rFonts w:ascii="Arial" w:hAnsi="Arial" w:cs="Arial"/>
        </w:rPr>
        <w:t xml:space="preserve"> deben garantizar además la continua y eficiente prestación de los servicios públicos y la efectividad de derechos e intereses de los administrados, conforme lo dispuesto en el artículo 3 y el numeral 3 del artículo 25 de la Ley 80 de 1993.</w:t>
      </w:r>
    </w:p>
    <w:p w14:paraId="36B488B4" w14:textId="77777777" w:rsidR="00874270" w:rsidRPr="000F4A3A" w:rsidRDefault="00874270" w:rsidP="00874270">
      <w:pPr>
        <w:tabs>
          <w:tab w:val="left" w:pos="0"/>
        </w:tabs>
        <w:spacing w:before="120" w:line="276" w:lineRule="auto"/>
        <w:jc w:val="both"/>
        <w:rPr>
          <w:rFonts w:ascii="Arial" w:hAnsi="Arial" w:cs="Arial"/>
          <w:vertAlign w:val="superscript"/>
        </w:rPr>
      </w:pPr>
      <w:r>
        <w:rPr>
          <w:rFonts w:ascii="Arial" w:hAnsi="Arial" w:cs="Arial"/>
        </w:rPr>
        <w:tab/>
        <w:t xml:space="preserve">Sobre el tema, el </w:t>
      </w:r>
      <w:r w:rsidRPr="000F4A3A">
        <w:rPr>
          <w:rFonts w:ascii="Arial" w:hAnsi="Arial" w:cs="Arial"/>
        </w:rPr>
        <w:t xml:space="preserve">Consejo de Estado </w:t>
      </w:r>
      <w:r>
        <w:rPr>
          <w:rFonts w:ascii="Arial" w:hAnsi="Arial" w:cs="Arial"/>
        </w:rPr>
        <w:t>se ha pronunciado sobre la obligación de adjudicar un contrato en sentencia del 8 de febrero de 1985</w:t>
      </w:r>
      <w:r>
        <w:rPr>
          <w:rStyle w:val="Refdenotaalpie"/>
          <w:rFonts w:ascii="Arial" w:hAnsi="Arial" w:cs="Arial"/>
        </w:rPr>
        <w:footnoteReference w:id="16"/>
      </w:r>
      <w:r>
        <w:rPr>
          <w:rFonts w:ascii="Arial" w:hAnsi="Arial" w:cs="Arial"/>
        </w:rPr>
        <w:t>, según la cual una vez agotadas las etapas de un proceso licitatorio el único camino que le queda a la entidad es proceder a la adjudicación del mismo, indicando que el abstenerse sin motivo valedero puede generarle responsabilidades.</w:t>
      </w:r>
    </w:p>
    <w:p w14:paraId="01F7264E" w14:textId="6297722B" w:rsidR="00874270" w:rsidRPr="000F4A3A" w:rsidRDefault="00874270" w:rsidP="00874270">
      <w:pPr>
        <w:spacing w:before="120" w:line="276" w:lineRule="auto"/>
        <w:ind w:firstLine="708"/>
        <w:jc w:val="both"/>
        <w:rPr>
          <w:rFonts w:ascii="Arial" w:hAnsi="Arial" w:cs="Arial"/>
        </w:rPr>
      </w:pPr>
      <w:r>
        <w:rPr>
          <w:rFonts w:ascii="Arial" w:hAnsi="Arial" w:cs="Arial"/>
        </w:rPr>
        <w:t xml:space="preserve">Adicionalmente, </w:t>
      </w:r>
      <w:r w:rsidRPr="000F4A3A">
        <w:rPr>
          <w:rFonts w:ascii="Arial" w:hAnsi="Arial" w:cs="Arial"/>
        </w:rPr>
        <w:t>la doctrina</w:t>
      </w:r>
      <w:r>
        <w:rPr>
          <w:rFonts w:ascii="Arial" w:hAnsi="Arial" w:cs="Arial"/>
        </w:rPr>
        <w:t xml:space="preserve"> nacional</w:t>
      </w:r>
      <w:r w:rsidRPr="000F4A3A">
        <w:rPr>
          <w:rFonts w:ascii="Arial" w:hAnsi="Arial" w:cs="Arial"/>
          <w:color w:val="000000" w:themeColor="text1"/>
        </w:rPr>
        <w:t>,</w:t>
      </w:r>
      <w:r w:rsidRPr="000F4A3A">
        <w:rPr>
          <w:rFonts w:ascii="Arial" w:hAnsi="Arial" w:cs="Arial"/>
        </w:rPr>
        <w:t xml:space="preserve"> que ha considerado</w:t>
      </w:r>
      <w:r>
        <w:rPr>
          <w:rFonts w:ascii="Arial" w:hAnsi="Arial" w:cs="Arial"/>
        </w:rPr>
        <w:t xml:space="preserve"> que la posibilidad que tiene las entidades estatales para adjudicar un Proceso de Contratación al segundo proponente dentro del orden de elegibilidad, se encuentra acorde con el principio de economía que rige en la contratación estatal, ya que </w:t>
      </w:r>
      <w:r w:rsidRPr="00D45573">
        <w:rPr>
          <w:rFonts w:ascii="Arial" w:hAnsi="Arial" w:cs="Arial"/>
          <w:i/>
          <w:iCs/>
        </w:rPr>
        <w:t>“antes de proceder a ordenar la apertura de un nuevo proceso licitatorio, la entidad tendrá que agotar el mecanismo de llamar aquel que se encuentra ahora en la mejor opción para ejecutar el contrato”</w:t>
      </w:r>
      <w:r>
        <w:rPr>
          <w:rStyle w:val="Refdenotaalpie"/>
          <w:rFonts w:ascii="Arial" w:hAnsi="Arial" w:cs="Arial"/>
          <w:i/>
          <w:iCs/>
        </w:rPr>
        <w:footnoteReference w:id="17"/>
      </w:r>
    </w:p>
    <w:p w14:paraId="048EA655" w14:textId="40977EA9" w:rsidR="00874270" w:rsidRDefault="00874270" w:rsidP="001F5EA3">
      <w:pPr>
        <w:spacing w:before="120" w:after="120" w:line="276" w:lineRule="auto"/>
        <w:ind w:firstLine="709"/>
        <w:jc w:val="both"/>
        <w:rPr>
          <w:rFonts w:ascii="Arial" w:hAnsi="Arial" w:cs="Arial"/>
          <w:color w:val="000000" w:themeColor="text1"/>
        </w:rPr>
      </w:pPr>
      <w:r w:rsidRPr="00DB237C">
        <w:rPr>
          <w:rFonts w:ascii="Arial" w:hAnsi="Arial" w:cs="Arial"/>
          <w:color w:val="000000" w:themeColor="text1"/>
        </w:rPr>
        <w:t xml:space="preserve">Del análisis realizado se desprende que </w:t>
      </w:r>
      <w:r>
        <w:rPr>
          <w:rFonts w:ascii="Arial" w:hAnsi="Arial" w:cs="Arial"/>
          <w:color w:val="000000" w:themeColor="text1"/>
        </w:rPr>
        <w:t xml:space="preserve">nuestro ordenamiento jurídico contempló la </w:t>
      </w:r>
      <w:r w:rsidR="001D2D43">
        <w:rPr>
          <w:rFonts w:ascii="Arial" w:hAnsi="Arial" w:cs="Arial"/>
          <w:color w:val="000000" w:themeColor="text1"/>
        </w:rPr>
        <w:t>facultad discrecional</w:t>
      </w:r>
      <w:r>
        <w:rPr>
          <w:rFonts w:ascii="Arial" w:hAnsi="Arial" w:cs="Arial"/>
          <w:color w:val="000000" w:themeColor="text1"/>
        </w:rPr>
        <w:t xml:space="preserve"> de que una Entidad Estatal adjudiqué </w:t>
      </w:r>
      <w:r>
        <w:rPr>
          <w:rFonts w:ascii="Arial" w:hAnsi="Arial" w:cs="Arial"/>
        </w:rPr>
        <w:t>un Proceso de Contratación al segundo proponente dentro del orden de elegibilidad, en los casos previamente descritos</w:t>
      </w:r>
      <w:r w:rsidR="001D2D43">
        <w:rPr>
          <w:rFonts w:ascii="Arial" w:hAnsi="Arial" w:cs="Arial"/>
        </w:rPr>
        <w:t xml:space="preserve">, </w:t>
      </w:r>
      <w:r>
        <w:rPr>
          <w:rFonts w:ascii="Arial" w:hAnsi="Arial" w:cs="Arial"/>
        </w:rPr>
        <w:t xml:space="preserve">sin embargo, a consideración de esta Agencia, </w:t>
      </w:r>
      <w:r w:rsidR="00FC3734">
        <w:rPr>
          <w:rFonts w:ascii="Arial" w:hAnsi="Arial" w:cs="Arial"/>
        </w:rPr>
        <w:t>la faculta</w:t>
      </w:r>
      <w:r w:rsidR="00012FEC">
        <w:rPr>
          <w:rFonts w:ascii="Arial" w:hAnsi="Arial" w:cs="Arial"/>
        </w:rPr>
        <w:t xml:space="preserve">d discrecional </w:t>
      </w:r>
      <w:r w:rsidR="00FC3734">
        <w:rPr>
          <w:rFonts w:ascii="Arial" w:hAnsi="Arial" w:cs="Arial"/>
        </w:rPr>
        <w:t>que t</w:t>
      </w:r>
      <w:r w:rsidR="00012FEC">
        <w:rPr>
          <w:rFonts w:ascii="Arial" w:hAnsi="Arial" w:cs="Arial"/>
        </w:rPr>
        <w:t>iene</w:t>
      </w:r>
      <w:r w:rsidR="00FC3734">
        <w:rPr>
          <w:rFonts w:ascii="Arial" w:hAnsi="Arial" w:cs="Arial"/>
        </w:rPr>
        <w:t xml:space="preserve"> la Entidad Estatal en virtud del</w:t>
      </w:r>
      <w:r>
        <w:rPr>
          <w:rFonts w:ascii="Arial" w:hAnsi="Arial" w:cs="Arial"/>
        </w:rPr>
        <w:t xml:space="preserve"> </w:t>
      </w:r>
      <w:r w:rsidR="00012FEC">
        <w:rPr>
          <w:rFonts w:ascii="Arial" w:hAnsi="Arial" w:cs="Arial"/>
        </w:rPr>
        <w:t xml:space="preserve">numeral 12 del artículo 30 de la Ley 80 de 1993, </w:t>
      </w:r>
      <w:r>
        <w:rPr>
          <w:rFonts w:ascii="Arial" w:hAnsi="Arial" w:cs="Arial"/>
        </w:rPr>
        <w:t xml:space="preserve">para que </w:t>
      </w:r>
      <w:r w:rsidRPr="0077153A">
        <w:rPr>
          <w:rFonts w:ascii="Arial" w:hAnsi="Arial" w:cs="Arial"/>
        </w:rPr>
        <w:t xml:space="preserve">dentro de los quince (15) días siguientes, </w:t>
      </w:r>
      <w:r>
        <w:rPr>
          <w:rFonts w:ascii="Arial" w:hAnsi="Arial" w:cs="Arial"/>
        </w:rPr>
        <w:t xml:space="preserve">adjudique el contrato </w:t>
      </w:r>
      <w:r w:rsidRPr="0077153A">
        <w:rPr>
          <w:rFonts w:ascii="Arial" w:hAnsi="Arial" w:cs="Arial"/>
        </w:rPr>
        <w:t xml:space="preserve">al proponente calificado en segundo lugar, </w:t>
      </w:r>
      <w:r>
        <w:rPr>
          <w:rFonts w:ascii="Arial" w:hAnsi="Arial" w:cs="Arial"/>
          <w:color w:val="000000" w:themeColor="text1"/>
        </w:rPr>
        <w:t>no quiere decir que la misma no deba motivarse a través de acto administrativo, sea cual sea su decisión, pues en ella debe justificar por qué la propuesta del segundo proponente en orden de elegibilidad es o no igualmente favorable para la entidad.</w:t>
      </w:r>
    </w:p>
    <w:p w14:paraId="2452A531" w14:textId="77777777" w:rsidR="00F40C5E" w:rsidRDefault="00F40C5E" w:rsidP="00F40C5E">
      <w:pPr>
        <w:spacing w:line="276" w:lineRule="auto"/>
        <w:ind w:firstLine="708"/>
        <w:jc w:val="both"/>
        <w:rPr>
          <w:rFonts w:ascii="Arial" w:hAnsi="Arial" w:cs="Arial"/>
        </w:rPr>
      </w:pPr>
      <w:r w:rsidRPr="00C24988">
        <w:rPr>
          <w:rFonts w:ascii="Arial" w:hAnsi="Arial" w:cs="Arial"/>
        </w:rPr>
        <w:t xml:space="preserve">Lo anterior </w:t>
      </w:r>
      <w:r>
        <w:rPr>
          <w:rFonts w:ascii="Arial" w:hAnsi="Arial" w:cs="Arial"/>
        </w:rPr>
        <w:t xml:space="preserve">se justifica con lo estipulado en el artículo 44 de la Ley 1437 de 2011 (CPACA) que indica: </w:t>
      </w:r>
    </w:p>
    <w:p w14:paraId="1197FFE0" w14:textId="77777777" w:rsidR="00F40C5E" w:rsidRPr="009B3480" w:rsidRDefault="00F40C5E" w:rsidP="00F40C5E">
      <w:pPr>
        <w:spacing w:line="240" w:lineRule="auto"/>
        <w:ind w:left="709" w:right="709"/>
        <w:jc w:val="both"/>
        <w:rPr>
          <w:rFonts w:ascii="Arial" w:hAnsi="Arial" w:cs="Arial"/>
          <w:sz w:val="21"/>
          <w:szCs w:val="21"/>
        </w:rPr>
      </w:pPr>
      <w:r>
        <w:rPr>
          <w:rFonts w:ascii="Arial" w:hAnsi="Arial" w:cs="Arial"/>
          <w:sz w:val="21"/>
          <w:szCs w:val="21"/>
        </w:rPr>
        <w:t>“</w:t>
      </w:r>
      <w:r w:rsidRPr="009B3480">
        <w:rPr>
          <w:rFonts w:ascii="Arial" w:hAnsi="Arial" w:cs="Arial"/>
          <w:sz w:val="21"/>
          <w:szCs w:val="21"/>
        </w:rPr>
        <w:t>Artículo 44. Decisiones discrecionales. En la medida en que el contenido de una decisión de carácter general o particular sea discrecional, debe ser adecuada a los fines de la norma que la autoriza, y proporcional a los hechos que le sirven de causa.</w:t>
      </w:r>
      <w:r>
        <w:rPr>
          <w:rFonts w:ascii="Arial" w:hAnsi="Arial" w:cs="Arial"/>
          <w:sz w:val="21"/>
          <w:szCs w:val="21"/>
        </w:rPr>
        <w:t>”</w:t>
      </w:r>
    </w:p>
    <w:p w14:paraId="6D366BD4" w14:textId="6F09006A" w:rsidR="00874270" w:rsidRDefault="00F40C5E" w:rsidP="00527197">
      <w:pPr>
        <w:spacing w:line="276" w:lineRule="auto"/>
        <w:ind w:firstLine="709"/>
        <w:jc w:val="both"/>
        <w:rPr>
          <w:rFonts w:ascii="Arial" w:eastAsia="Calibri" w:hAnsi="Arial" w:cs="Arial"/>
          <w:color w:val="000000" w:themeColor="text1"/>
        </w:rPr>
      </w:pPr>
      <w:r w:rsidRPr="00C24988">
        <w:rPr>
          <w:rFonts w:ascii="Arial" w:hAnsi="Arial" w:cs="Arial"/>
          <w:bCs/>
          <w:color w:val="000000" w:themeColor="text1"/>
          <w:lang w:val="es-ES_tradnl"/>
        </w:rPr>
        <w:t xml:space="preserve">En concordancia, </w:t>
      </w:r>
      <w:r>
        <w:rPr>
          <w:rFonts w:ascii="Arial" w:hAnsi="Arial" w:cs="Arial"/>
          <w:bCs/>
          <w:color w:val="000000" w:themeColor="text1"/>
          <w:lang w:val="es-ES_tradnl"/>
        </w:rPr>
        <w:t xml:space="preserve">con lo dispuesto en este artículo esta Agencia considera que la decisión discrecional que adopte la Entidad Estatal debe de estar debidamente argumentada y sustentada de por qué la propuesta del proponente calificado en segundo orden de elegibilidad, es decir, de aquel que cumplió con todos los requisitos habilitantes establecidos en el pliego de condiciones y le ha seguido en puntuación al contratista adjudicatario, es o no igualmente favorable para la entidad, esto quiere decir, que se debe justificar por qué dicho proponente es o no idóneo para ejecutar el contrato como el que obtuvo el primer orden de elegibilidad, que son los </w:t>
      </w:r>
      <w:r w:rsidRPr="0045478B">
        <w:rPr>
          <w:rFonts w:ascii="Arial" w:hAnsi="Arial" w:cs="Arial"/>
          <w:bCs/>
          <w:color w:val="000000" w:themeColor="text1"/>
          <w:lang w:val="es-ES_tradnl"/>
        </w:rPr>
        <w:t>hechos que le sirven de causa</w:t>
      </w:r>
      <w:r>
        <w:rPr>
          <w:rFonts w:ascii="Arial" w:hAnsi="Arial" w:cs="Arial"/>
          <w:bCs/>
          <w:color w:val="000000" w:themeColor="text1"/>
          <w:lang w:val="es-ES_tradnl"/>
        </w:rPr>
        <w:t>, y el por qué la adjudicación o no del contrato es adecuada a los fines de la contratación estatal</w:t>
      </w:r>
      <w:r w:rsidR="00527197">
        <w:rPr>
          <w:rFonts w:ascii="Arial" w:hAnsi="Arial" w:cs="Arial"/>
          <w:bCs/>
          <w:color w:val="000000" w:themeColor="text1"/>
          <w:lang w:val="es-ES_tradnl"/>
        </w:rPr>
        <w:t>.</w:t>
      </w:r>
    </w:p>
    <w:p w14:paraId="2D407581" w14:textId="6CF6D7A4" w:rsidR="00AB3234" w:rsidRPr="00465A53" w:rsidRDefault="00660E0B" w:rsidP="00AB3234">
      <w:pPr>
        <w:tabs>
          <w:tab w:val="left" w:pos="709"/>
        </w:tabs>
        <w:spacing w:after="120" w:line="276" w:lineRule="auto"/>
        <w:jc w:val="both"/>
        <w:rPr>
          <w:rFonts w:ascii="Arial" w:eastAsia="Calibri" w:hAnsi="Arial" w:cs="Arial"/>
          <w:color w:val="000000" w:themeColor="text1"/>
        </w:rPr>
      </w:pPr>
      <w:r>
        <w:rPr>
          <w:rFonts w:ascii="Arial" w:eastAsia="Calibri" w:hAnsi="Arial" w:cs="Arial"/>
          <w:color w:val="000000" w:themeColor="text1"/>
        </w:rPr>
        <w:tab/>
      </w:r>
      <w:r w:rsidR="00AB3234" w:rsidRPr="00465A53">
        <w:rPr>
          <w:rFonts w:ascii="Arial" w:eastAsia="Calibri" w:hAnsi="Arial" w:cs="Arial"/>
          <w:color w:val="000000" w:themeColor="text1"/>
        </w:rPr>
        <w:t>En contraste, si se genera</w:t>
      </w:r>
      <w:r>
        <w:rPr>
          <w:rFonts w:ascii="Arial" w:eastAsia="Calibri" w:hAnsi="Arial" w:cs="Arial"/>
          <w:color w:val="000000" w:themeColor="text1"/>
        </w:rPr>
        <w:t xml:space="preserve"> la inhabilidad o incompatibilidad de</w:t>
      </w:r>
      <w:r w:rsidR="00AB3234" w:rsidRPr="00465A53">
        <w:rPr>
          <w:rFonts w:ascii="Arial" w:eastAsia="Calibri" w:hAnsi="Arial" w:cs="Arial"/>
          <w:color w:val="000000" w:themeColor="text1"/>
        </w:rPr>
        <w:t xml:space="preserve"> forma sobreviniente</w:t>
      </w:r>
      <w:r w:rsidR="00761DA5">
        <w:rPr>
          <w:rFonts w:ascii="Arial" w:eastAsia="Calibri" w:hAnsi="Arial" w:cs="Arial"/>
          <w:color w:val="000000" w:themeColor="text1"/>
        </w:rPr>
        <w:t xml:space="preserve"> a un contratista </w:t>
      </w:r>
      <w:r>
        <w:rPr>
          <w:rFonts w:ascii="Arial" w:eastAsia="Calibri" w:hAnsi="Arial" w:cs="Arial"/>
          <w:color w:val="000000" w:themeColor="text1"/>
        </w:rPr>
        <w:t>una vez celebrado el contrato</w:t>
      </w:r>
      <w:r w:rsidR="00AB3234" w:rsidRPr="00465A53">
        <w:rPr>
          <w:rFonts w:ascii="Arial" w:eastAsia="Calibri" w:hAnsi="Arial" w:cs="Arial"/>
          <w:color w:val="000000" w:themeColor="text1"/>
        </w:rPr>
        <w:t xml:space="preserve">, </w:t>
      </w:r>
      <w:r w:rsidR="00761DA5">
        <w:rPr>
          <w:rFonts w:ascii="Arial" w:eastAsia="Calibri" w:hAnsi="Arial" w:cs="Arial"/>
          <w:color w:val="000000" w:themeColor="text1"/>
        </w:rPr>
        <w:t xml:space="preserve">se debe aclarar que el contrato </w:t>
      </w:r>
      <w:r w:rsidR="00AB3234" w:rsidRPr="00465A53">
        <w:rPr>
          <w:rFonts w:ascii="Arial" w:eastAsia="Calibri" w:hAnsi="Arial" w:cs="Arial"/>
          <w:color w:val="000000" w:themeColor="text1"/>
        </w:rPr>
        <w:t xml:space="preserve">no es inválido porque se perfeccionó de forma lícita; pero conforme al principio de moralidad administrativa no se puede continuar ejecutando ni mantenerse el vínculo con ese contratista inhábil y se producen entonces las consecuencias dispuestas por el legislador. </w:t>
      </w:r>
    </w:p>
    <w:p w14:paraId="1CE897E1" w14:textId="1958CA40" w:rsidR="00AB3234" w:rsidRDefault="00AB3234" w:rsidP="00AB3234">
      <w:pPr>
        <w:tabs>
          <w:tab w:val="left" w:pos="709"/>
        </w:tabs>
        <w:spacing w:after="120" w:line="276" w:lineRule="auto"/>
        <w:jc w:val="both"/>
        <w:rPr>
          <w:rFonts w:ascii="Arial" w:eastAsia="Calibri" w:hAnsi="Arial" w:cs="Arial"/>
          <w:color w:val="000000" w:themeColor="text1"/>
        </w:rPr>
      </w:pPr>
      <w:r w:rsidRPr="00465A53">
        <w:rPr>
          <w:rFonts w:ascii="Arial" w:eastAsia="Calibri" w:hAnsi="Arial" w:cs="Arial"/>
          <w:color w:val="000000" w:themeColor="text1"/>
        </w:rPr>
        <w:tab/>
        <w:t>Según se desprende del texto del artículo 9</w:t>
      </w:r>
      <w:r w:rsidR="00CE5A78">
        <w:rPr>
          <w:rFonts w:ascii="Arial" w:eastAsia="Calibri" w:hAnsi="Arial" w:cs="Arial"/>
          <w:color w:val="000000" w:themeColor="text1"/>
        </w:rPr>
        <w:t xml:space="preserve"> de la Ley 80 de 1993</w:t>
      </w:r>
      <w:r w:rsidRPr="00465A53">
        <w:rPr>
          <w:rFonts w:ascii="Arial" w:eastAsia="Calibri" w:hAnsi="Arial" w:cs="Arial"/>
          <w:color w:val="000000" w:themeColor="text1"/>
        </w:rPr>
        <w:t>, y sin perjuicio de la regla especial establecida en el parágrafo 1 de dicho artículo</w:t>
      </w:r>
      <w:r w:rsidRPr="00465A53">
        <w:rPr>
          <w:rStyle w:val="Refdenotaalpie"/>
          <w:rFonts w:ascii="Arial" w:eastAsia="Calibri" w:hAnsi="Arial" w:cs="Arial"/>
          <w:color w:val="000000" w:themeColor="text1"/>
        </w:rPr>
        <w:footnoteReference w:id="18"/>
      </w:r>
      <w:r w:rsidRPr="00465A53">
        <w:rPr>
          <w:rFonts w:ascii="Arial" w:eastAsia="Calibri" w:hAnsi="Arial" w:cs="Arial"/>
          <w:color w:val="000000" w:themeColor="text1"/>
        </w:rPr>
        <w:t xml:space="preserve">, si la inhabilidad o incompatibilidad se configura después del perfeccionamiento del contrato, el contratista cederá el contrato a un tercero previa autorización escrita de la entidad contratante; pero si esto no es posible, está obligado a renunciar a la ejecución. </w:t>
      </w:r>
    </w:p>
    <w:p w14:paraId="22174731" w14:textId="70F9628B" w:rsidR="00AB3234" w:rsidRPr="00465A53" w:rsidRDefault="00AB3234" w:rsidP="00AB3234">
      <w:pPr>
        <w:tabs>
          <w:tab w:val="left" w:pos="709"/>
        </w:tabs>
        <w:spacing w:after="120" w:line="276" w:lineRule="auto"/>
        <w:jc w:val="both"/>
        <w:rPr>
          <w:rFonts w:ascii="Arial" w:eastAsia="Calibri" w:hAnsi="Arial" w:cs="Arial"/>
          <w:color w:val="000000" w:themeColor="text1"/>
        </w:rPr>
      </w:pPr>
      <w:r>
        <w:rPr>
          <w:rFonts w:ascii="Arial" w:eastAsia="Calibri" w:hAnsi="Arial" w:cs="Arial"/>
          <w:color w:val="000000" w:themeColor="text1"/>
        </w:rPr>
        <w:tab/>
      </w:r>
      <w:r w:rsidRPr="00465A53">
        <w:rPr>
          <w:rFonts w:ascii="Arial" w:eastAsia="Calibri" w:hAnsi="Arial" w:cs="Arial"/>
          <w:color w:val="000000" w:themeColor="text1"/>
        </w:rPr>
        <w:t xml:space="preserve">Por otra parte, </w:t>
      </w:r>
      <w:r>
        <w:rPr>
          <w:rFonts w:ascii="Arial" w:eastAsia="Calibri" w:hAnsi="Arial" w:cs="Arial"/>
          <w:color w:val="000000" w:themeColor="text1"/>
        </w:rPr>
        <w:t xml:space="preserve">conforme al artículo anteriormente citado, </w:t>
      </w:r>
      <w:r w:rsidRPr="00465A53">
        <w:rPr>
          <w:rFonts w:ascii="Arial" w:eastAsia="Calibri" w:hAnsi="Arial" w:cs="Arial"/>
          <w:color w:val="000000" w:themeColor="text1"/>
        </w:rPr>
        <w:t xml:space="preserve">si la inhabilidad o incompatibilidad sobreviene en un procedimiento de selección, </w:t>
      </w:r>
      <w:r w:rsidR="008C3C20">
        <w:rPr>
          <w:rFonts w:ascii="Arial" w:eastAsia="Calibri" w:hAnsi="Arial" w:cs="Arial"/>
          <w:color w:val="000000" w:themeColor="text1"/>
        </w:rPr>
        <w:t xml:space="preserve">hay que hacer la aclaración que esta </w:t>
      </w:r>
      <w:r w:rsidR="00092607">
        <w:rPr>
          <w:rFonts w:ascii="Arial" w:eastAsia="Calibri" w:hAnsi="Arial" w:cs="Arial"/>
          <w:color w:val="000000" w:themeColor="text1"/>
        </w:rPr>
        <w:t>Agencia</w:t>
      </w:r>
      <w:r w:rsidR="008C3C20">
        <w:rPr>
          <w:rFonts w:ascii="Arial" w:eastAsia="Calibri" w:hAnsi="Arial" w:cs="Arial"/>
          <w:color w:val="000000" w:themeColor="text1"/>
        </w:rPr>
        <w:t xml:space="preserve"> ha entendido </w:t>
      </w:r>
      <w:r w:rsidRPr="00465A53">
        <w:rPr>
          <w:rFonts w:ascii="Arial" w:eastAsia="Calibri" w:hAnsi="Arial" w:cs="Arial"/>
          <w:color w:val="000000" w:themeColor="text1"/>
        </w:rPr>
        <w:t>que el proponente renuncia a la participación y a los derechos surgidos del mismo</w:t>
      </w:r>
      <w:r>
        <w:rPr>
          <w:rFonts w:ascii="Arial" w:eastAsia="Calibri" w:hAnsi="Arial" w:cs="Arial"/>
          <w:color w:val="000000" w:themeColor="text1"/>
        </w:rPr>
        <w:t xml:space="preserve">, ello incluye, si se presenta de forma individual o como proponente plural, pues la ley no hace distinción alguna al respecto, tan sólo contempla la posibilidad de ceder su participación cuando ya se está en presencia de un contrato, por lo tanto, cuando la norma dispone la posibilidad de que un integrante </w:t>
      </w:r>
      <w:r w:rsidRPr="00465A53">
        <w:rPr>
          <w:rFonts w:ascii="Arial" w:eastAsia="Calibri" w:hAnsi="Arial" w:cs="Arial"/>
          <w:color w:val="000000" w:themeColor="text1"/>
        </w:rPr>
        <w:t>de un proponente plural</w:t>
      </w:r>
      <w:r>
        <w:rPr>
          <w:rFonts w:ascii="Arial" w:eastAsia="Calibri" w:hAnsi="Arial" w:cs="Arial"/>
          <w:color w:val="000000" w:themeColor="text1"/>
        </w:rPr>
        <w:t xml:space="preserve"> inhabilitado o con incompatibilidad pueda </w:t>
      </w:r>
      <w:r w:rsidRPr="00465A53">
        <w:rPr>
          <w:rFonts w:ascii="Arial" w:eastAsia="Calibri" w:hAnsi="Arial" w:cs="Arial"/>
          <w:color w:val="000000" w:themeColor="text1"/>
        </w:rPr>
        <w:t>ceder su participación</w:t>
      </w:r>
      <w:r>
        <w:rPr>
          <w:rFonts w:ascii="Arial" w:eastAsia="Calibri" w:hAnsi="Arial" w:cs="Arial"/>
          <w:color w:val="000000" w:themeColor="text1"/>
        </w:rPr>
        <w:t xml:space="preserve">, esta </w:t>
      </w:r>
      <w:r w:rsidR="008C3C20">
        <w:rPr>
          <w:rFonts w:ascii="Arial" w:eastAsia="Calibri" w:hAnsi="Arial" w:cs="Arial"/>
          <w:color w:val="000000" w:themeColor="text1"/>
        </w:rPr>
        <w:t xml:space="preserve">se ha entendí por la Agencia de que </w:t>
      </w:r>
      <w:r>
        <w:rPr>
          <w:rFonts w:ascii="Arial" w:eastAsia="Calibri" w:hAnsi="Arial" w:cs="Arial"/>
          <w:color w:val="000000" w:themeColor="text1"/>
        </w:rPr>
        <w:t>sólo se podrá si cuenta</w:t>
      </w:r>
      <w:r w:rsidRPr="00465A53">
        <w:rPr>
          <w:rFonts w:ascii="Arial" w:eastAsia="Calibri" w:hAnsi="Arial" w:cs="Arial"/>
          <w:color w:val="000000" w:themeColor="text1"/>
        </w:rPr>
        <w:t xml:space="preserve"> con la autorización escrita del contratante, con la restricción de que el cesionario no puede ser alguno de los demás integrantes del consorcio o la unión temporal</w:t>
      </w:r>
      <w:r w:rsidRPr="00465A53">
        <w:rPr>
          <w:rStyle w:val="Refdenotaalpie"/>
          <w:rFonts w:ascii="Arial" w:eastAsia="Calibri" w:hAnsi="Arial" w:cs="Arial"/>
          <w:color w:val="000000" w:themeColor="text1"/>
        </w:rPr>
        <w:footnoteReference w:id="19"/>
      </w:r>
      <w:r w:rsidRPr="00465A53">
        <w:rPr>
          <w:rFonts w:ascii="Arial" w:eastAsia="Calibri" w:hAnsi="Arial" w:cs="Arial"/>
          <w:color w:val="000000" w:themeColor="text1"/>
        </w:rPr>
        <w:t xml:space="preserve">. </w:t>
      </w:r>
    </w:p>
    <w:p w14:paraId="1150BD31" w14:textId="3E7E82E3" w:rsidR="003D77C5" w:rsidRPr="00330F7F" w:rsidRDefault="00AB3234" w:rsidP="00330F7F">
      <w:pPr>
        <w:tabs>
          <w:tab w:val="left" w:pos="709"/>
        </w:tabs>
        <w:spacing w:after="120" w:line="276" w:lineRule="auto"/>
        <w:jc w:val="both"/>
        <w:rPr>
          <w:rFonts w:ascii="Arial" w:hAnsi="Arial" w:cs="Arial"/>
          <w:i/>
          <w:iCs/>
        </w:rPr>
      </w:pPr>
      <w:r w:rsidRPr="00465A53">
        <w:rPr>
          <w:rFonts w:ascii="Arial" w:eastAsia="Calibri" w:hAnsi="Arial" w:cs="Arial"/>
          <w:color w:val="000000" w:themeColor="text1"/>
        </w:rPr>
        <w:tab/>
        <w:t xml:space="preserve"> </w:t>
      </w:r>
      <w:r w:rsidRPr="00465A53">
        <w:rPr>
          <w:rFonts w:ascii="Arial" w:hAnsi="Arial" w:cs="Arial"/>
        </w:rPr>
        <w:t>Conforme a lo anterior,</w:t>
      </w:r>
      <w:r w:rsidRPr="00465A53">
        <w:rPr>
          <w:rFonts w:ascii="Arial" w:hAnsi="Arial" w:cs="Arial"/>
          <w:color w:val="000000" w:themeColor="text1"/>
        </w:rPr>
        <w:t xml:space="preserve"> en el caso en que se llegue a presentar una inhabilidad o incompatibilidad durante la ejecución del contrato estatal, el contratista tiene dos opciones: primero, ceder el contrato, previa autorización escrita de la </w:t>
      </w:r>
      <w:r>
        <w:rPr>
          <w:rFonts w:ascii="Arial" w:hAnsi="Arial" w:cs="Arial"/>
          <w:color w:val="000000" w:themeColor="text1"/>
        </w:rPr>
        <w:t>E</w:t>
      </w:r>
      <w:r w:rsidRPr="00465A53">
        <w:rPr>
          <w:rFonts w:ascii="Arial" w:hAnsi="Arial" w:cs="Arial"/>
          <w:color w:val="000000" w:themeColor="text1"/>
        </w:rPr>
        <w:t xml:space="preserve">ntidad </w:t>
      </w:r>
      <w:r>
        <w:rPr>
          <w:rFonts w:ascii="Arial" w:hAnsi="Arial" w:cs="Arial"/>
          <w:color w:val="000000" w:themeColor="text1"/>
        </w:rPr>
        <w:t>E</w:t>
      </w:r>
      <w:r w:rsidRPr="00465A53">
        <w:rPr>
          <w:rFonts w:ascii="Arial" w:hAnsi="Arial" w:cs="Arial"/>
          <w:color w:val="000000" w:themeColor="text1"/>
        </w:rPr>
        <w:t>statal y, segundo, en el caso en que la cesión no fuera posible, deberá renunciar a la ejecución del contrato. En ese sentido,</w:t>
      </w:r>
      <w:r w:rsidRPr="00465A53">
        <w:rPr>
          <w:rFonts w:ascii="Arial" w:hAnsi="Arial" w:cs="Arial"/>
        </w:rPr>
        <w:t xml:space="preserve"> si durante la ejecución del contrato se llega a configurar alguna de las situaciones establecidas en el artículo 8 de la Ley 80 de 1993, se configuraría una inhabilidad o incompatibilidad sobreviniente y, ante este supuesto, la normativa solo prevé las dos soluciones referidas</w:t>
      </w:r>
      <w:r w:rsidR="003D77C5">
        <w:rPr>
          <w:rFonts w:ascii="Arial" w:hAnsi="Arial" w:cs="Arial"/>
        </w:rPr>
        <w:t>, a</w:t>
      </w:r>
      <w:r w:rsidR="00707DA0">
        <w:rPr>
          <w:rFonts w:ascii="Arial" w:hAnsi="Arial" w:cs="Arial"/>
        </w:rPr>
        <w:t xml:space="preserve"> excepción de la inhabilidad </w:t>
      </w:r>
      <w:r w:rsidR="003D77C5" w:rsidRPr="003D77C5">
        <w:rPr>
          <w:rFonts w:ascii="Arial" w:hAnsi="Arial" w:cs="Arial"/>
        </w:rPr>
        <w:t xml:space="preserve">contemplada en el literal j) del numeral 1 del artículo 8º de la Ley 80 de 1993, </w:t>
      </w:r>
      <w:r w:rsidR="00181A57">
        <w:rPr>
          <w:rFonts w:ascii="Arial" w:hAnsi="Arial" w:cs="Arial"/>
        </w:rPr>
        <w:t xml:space="preserve">ya que en dicho caso la Ley prohíbe la renuncia del contrato por parte del contratista </w:t>
      </w:r>
      <w:r w:rsidR="00330F7F">
        <w:rPr>
          <w:rFonts w:ascii="Arial" w:hAnsi="Arial" w:cs="Arial"/>
        </w:rPr>
        <w:t xml:space="preserve">a quién se le haya sancionado por corrupción, siendo obligatorio para la </w:t>
      </w:r>
      <w:r w:rsidR="00181A57">
        <w:rPr>
          <w:rFonts w:ascii="Arial" w:hAnsi="Arial" w:cs="Arial"/>
        </w:rPr>
        <w:t xml:space="preserve">Entidad Estatal </w:t>
      </w:r>
      <w:r w:rsidR="003D77C5" w:rsidRPr="003D77C5">
        <w:rPr>
          <w:rFonts w:ascii="Arial" w:hAnsi="Arial" w:cs="Arial"/>
        </w:rPr>
        <w:t>ordenar mediante acto administrativo motivado la cesión</w:t>
      </w:r>
      <w:r w:rsidR="009A0188">
        <w:rPr>
          <w:rFonts w:ascii="Arial" w:hAnsi="Arial" w:cs="Arial"/>
        </w:rPr>
        <w:t xml:space="preserve"> o terminación</w:t>
      </w:r>
      <w:r w:rsidR="003D77C5" w:rsidRPr="003D77C5">
        <w:rPr>
          <w:rFonts w:ascii="Arial" w:hAnsi="Arial" w:cs="Arial"/>
        </w:rPr>
        <w:t xml:space="preserve"> unilateral, </w:t>
      </w:r>
      <w:r w:rsidR="00330F7F">
        <w:rPr>
          <w:rFonts w:ascii="Arial" w:hAnsi="Arial" w:cs="Arial"/>
        </w:rPr>
        <w:t>“</w:t>
      </w:r>
      <w:r w:rsidR="003D77C5" w:rsidRPr="00330F7F">
        <w:rPr>
          <w:rFonts w:ascii="Arial" w:hAnsi="Arial" w:cs="Arial"/>
          <w:i/>
          <w:iCs/>
        </w:rPr>
        <w:t>sin lugar a indemnización alguna al contratista inhábil.</w:t>
      </w:r>
      <w:r w:rsidR="00330F7F" w:rsidRPr="00330F7F">
        <w:rPr>
          <w:rFonts w:ascii="Arial" w:hAnsi="Arial" w:cs="Arial"/>
          <w:i/>
          <w:iCs/>
        </w:rPr>
        <w:t>”</w:t>
      </w:r>
    </w:p>
    <w:p w14:paraId="588DA9A3" w14:textId="3DEB7B75" w:rsidR="00AB3234" w:rsidRDefault="00330F7F" w:rsidP="00AB3234">
      <w:pPr>
        <w:spacing w:line="276" w:lineRule="auto"/>
        <w:ind w:right="49"/>
        <w:jc w:val="both"/>
        <w:rPr>
          <w:rFonts w:ascii="Arial" w:eastAsia="Calibri" w:hAnsi="Arial" w:cs="Arial"/>
          <w:color w:val="000000" w:themeColor="text1"/>
        </w:rPr>
      </w:pPr>
      <w:r>
        <w:rPr>
          <w:rFonts w:ascii="Arial" w:hAnsi="Arial" w:cs="Arial"/>
        </w:rPr>
        <w:tab/>
        <w:t xml:space="preserve">En </w:t>
      </w:r>
      <w:r w:rsidR="00664D4B">
        <w:rPr>
          <w:rFonts w:ascii="Arial" w:hAnsi="Arial" w:cs="Arial"/>
        </w:rPr>
        <w:t>este caso</w:t>
      </w:r>
      <w:r w:rsidR="00177BE5">
        <w:rPr>
          <w:rFonts w:ascii="Arial" w:hAnsi="Arial" w:cs="Arial"/>
        </w:rPr>
        <w:t>, las implicaciones jurídic</w:t>
      </w:r>
      <w:r w:rsidR="00DD743C">
        <w:rPr>
          <w:rFonts w:ascii="Arial" w:hAnsi="Arial" w:cs="Arial"/>
        </w:rPr>
        <w:t xml:space="preserve">as y económicas de prohibir por Ley la renuncia de la ejecución del contrato a aquel contratista sancionado por temas de corrupción, da entender el alcance de </w:t>
      </w:r>
      <w:r w:rsidR="00766453">
        <w:rPr>
          <w:rFonts w:ascii="Arial" w:hAnsi="Arial" w:cs="Arial"/>
        </w:rPr>
        <w:t>dicha figura</w:t>
      </w:r>
      <w:r w:rsidR="00093BEB">
        <w:rPr>
          <w:rFonts w:ascii="Arial" w:hAnsi="Arial" w:cs="Arial"/>
        </w:rPr>
        <w:t xml:space="preserve">, </w:t>
      </w:r>
      <w:r w:rsidR="00E33AFB">
        <w:rPr>
          <w:rFonts w:ascii="Arial" w:hAnsi="Arial" w:cs="Arial"/>
        </w:rPr>
        <w:t xml:space="preserve">pues conforme a ello, cuando sobrevenga una inhabilidad o incompatibilidad sobreviniente a un contratista, diferente a la contemplada en </w:t>
      </w:r>
      <w:r w:rsidR="00E33AFB" w:rsidRPr="003D77C5">
        <w:rPr>
          <w:rFonts w:ascii="Arial" w:hAnsi="Arial" w:cs="Arial"/>
        </w:rPr>
        <w:t>el literal j) del numeral 1 del artículo 8º de la Ley 80 de 1993</w:t>
      </w:r>
      <w:r w:rsidR="00E33AFB">
        <w:rPr>
          <w:rFonts w:ascii="Arial" w:hAnsi="Arial" w:cs="Arial"/>
        </w:rPr>
        <w:t xml:space="preserve">, </w:t>
      </w:r>
      <w:r w:rsidR="0072368F">
        <w:rPr>
          <w:rFonts w:ascii="Arial" w:eastAsia="Calibri" w:hAnsi="Arial" w:cs="Arial"/>
          <w:color w:val="000000" w:themeColor="text1"/>
        </w:rPr>
        <w:t>si bien</w:t>
      </w:r>
      <w:r w:rsidR="00093BEB" w:rsidRPr="00465A53">
        <w:rPr>
          <w:rFonts w:ascii="Arial" w:eastAsia="Calibri" w:hAnsi="Arial" w:cs="Arial"/>
          <w:color w:val="000000" w:themeColor="text1"/>
        </w:rPr>
        <w:t xml:space="preserve"> no se puede </w:t>
      </w:r>
      <w:r w:rsidR="008A3831">
        <w:rPr>
          <w:rFonts w:ascii="Arial" w:eastAsia="Calibri" w:hAnsi="Arial" w:cs="Arial"/>
          <w:color w:val="000000" w:themeColor="text1"/>
        </w:rPr>
        <w:t>mantener</w:t>
      </w:r>
      <w:r w:rsidR="00093BEB" w:rsidRPr="00465A53">
        <w:rPr>
          <w:rFonts w:ascii="Arial" w:eastAsia="Calibri" w:hAnsi="Arial" w:cs="Arial"/>
          <w:color w:val="000000" w:themeColor="text1"/>
        </w:rPr>
        <w:t xml:space="preserve"> el vínculo </w:t>
      </w:r>
      <w:r w:rsidR="008A3831">
        <w:rPr>
          <w:rFonts w:ascii="Arial" w:eastAsia="Calibri" w:hAnsi="Arial" w:cs="Arial"/>
          <w:color w:val="000000" w:themeColor="text1"/>
        </w:rPr>
        <w:t xml:space="preserve">contractual </w:t>
      </w:r>
      <w:r w:rsidR="00093BEB" w:rsidRPr="00465A53">
        <w:rPr>
          <w:rFonts w:ascii="Arial" w:eastAsia="Calibri" w:hAnsi="Arial" w:cs="Arial"/>
          <w:color w:val="000000" w:themeColor="text1"/>
        </w:rPr>
        <w:t>con ese contratista inhábil</w:t>
      </w:r>
      <w:r w:rsidR="00452975">
        <w:rPr>
          <w:rFonts w:ascii="Arial" w:eastAsia="Calibri" w:hAnsi="Arial" w:cs="Arial"/>
          <w:color w:val="000000" w:themeColor="text1"/>
        </w:rPr>
        <w:t>, se deberá</w:t>
      </w:r>
      <w:r w:rsidR="001719D6">
        <w:rPr>
          <w:rFonts w:ascii="Arial" w:eastAsia="Calibri" w:hAnsi="Arial" w:cs="Arial"/>
          <w:color w:val="000000" w:themeColor="text1"/>
        </w:rPr>
        <w:t xml:space="preserve"> proceder</w:t>
      </w:r>
      <w:r w:rsidR="00452975">
        <w:rPr>
          <w:rFonts w:ascii="Arial" w:eastAsia="Calibri" w:hAnsi="Arial" w:cs="Arial"/>
          <w:color w:val="000000" w:themeColor="text1"/>
        </w:rPr>
        <w:t xml:space="preserve"> a</w:t>
      </w:r>
      <w:r w:rsidR="001719D6">
        <w:rPr>
          <w:rFonts w:ascii="Arial" w:eastAsia="Calibri" w:hAnsi="Arial" w:cs="Arial"/>
          <w:color w:val="000000" w:themeColor="text1"/>
        </w:rPr>
        <w:t xml:space="preserve"> su cesión o terminación, aquellas </w:t>
      </w:r>
      <w:r w:rsidR="00AB2CD5">
        <w:rPr>
          <w:rFonts w:ascii="Arial" w:eastAsia="Calibri" w:hAnsi="Arial" w:cs="Arial"/>
          <w:color w:val="000000" w:themeColor="text1"/>
        </w:rPr>
        <w:t xml:space="preserve">figuras </w:t>
      </w:r>
      <w:r w:rsidR="001719D6">
        <w:rPr>
          <w:rFonts w:ascii="Arial" w:eastAsia="Calibri" w:hAnsi="Arial" w:cs="Arial"/>
          <w:color w:val="000000" w:themeColor="text1"/>
        </w:rPr>
        <w:t xml:space="preserve">no se tramitaran exclusivamente </w:t>
      </w:r>
      <w:r w:rsidR="006E2363">
        <w:rPr>
          <w:rFonts w:ascii="Arial" w:eastAsia="Calibri" w:hAnsi="Arial" w:cs="Arial"/>
          <w:color w:val="000000" w:themeColor="text1"/>
        </w:rPr>
        <w:t xml:space="preserve">por la Entidad Estatal </w:t>
      </w:r>
      <w:r w:rsidR="00AB2CD5">
        <w:rPr>
          <w:rFonts w:ascii="Arial" w:eastAsia="Calibri" w:hAnsi="Arial" w:cs="Arial"/>
          <w:color w:val="000000" w:themeColor="text1"/>
        </w:rPr>
        <w:t>de manera unilateral, como también procederá a lugar de reconocer al contratista lo ejecutado hasta el momento, en el respectivo cruce de cuentas que se realice en la cesión del contrato, como en la liquidación del mismo en caso de la terminación.</w:t>
      </w:r>
    </w:p>
    <w:p w14:paraId="64F5A974" w14:textId="5C704963" w:rsidR="00305421" w:rsidRDefault="0086135B" w:rsidP="00F06C8E">
      <w:pPr>
        <w:spacing w:line="276" w:lineRule="auto"/>
        <w:ind w:right="49" w:firstLine="708"/>
        <w:jc w:val="both"/>
        <w:rPr>
          <w:rFonts w:ascii="Arial" w:eastAsia="Calibri" w:hAnsi="Arial" w:cs="Arial"/>
          <w:color w:val="000000" w:themeColor="text1"/>
        </w:rPr>
      </w:pPr>
      <w:r>
        <w:rPr>
          <w:rFonts w:ascii="Arial" w:eastAsia="Calibri" w:hAnsi="Arial" w:cs="Arial"/>
          <w:color w:val="000000" w:themeColor="text1"/>
        </w:rPr>
        <w:t>Ahora bien, n</w:t>
      </w:r>
      <w:r w:rsidRPr="00FF277A">
        <w:rPr>
          <w:rFonts w:ascii="Arial" w:eastAsia="Calibri" w:hAnsi="Arial" w:cs="Arial"/>
          <w:color w:val="000000" w:themeColor="text1"/>
        </w:rPr>
        <w:t>ótese</w:t>
      </w:r>
      <w:r w:rsidR="00FF277A" w:rsidRPr="00FF277A">
        <w:rPr>
          <w:rFonts w:ascii="Arial" w:eastAsia="Calibri" w:hAnsi="Arial" w:cs="Arial"/>
          <w:color w:val="000000" w:themeColor="text1"/>
        </w:rPr>
        <w:t xml:space="preserve"> que la norma dispone que cuando sobreviene una inhabilidad o una incompatibilidad en uno de los integrantes del consorcio o unión temporal, el contrato se continuará </w:t>
      </w:r>
      <w:r w:rsidR="00F06C8E" w:rsidRPr="00FF277A">
        <w:rPr>
          <w:rFonts w:ascii="Arial" w:eastAsia="Calibri" w:hAnsi="Arial" w:cs="Arial"/>
          <w:color w:val="000000" w:themeColor="text1"/>
        </w:rPr>
        <w:t>ejecutando,</w:t>
      </w:r>
      <w:r w:rsidR="00FF277A" w:rsidRPr="00FF277A">
        <w:rPr>
          <w:rFonts w:ascii="Arial" w:eastAsia="Calibri" w:hAnsi="Arial" w:cs="Arial"/>
          <w:color w:val="000000" w:themeColor="text1"/>
        </w:rPr>
        <w:t xml:space="preserve"> pero para ello el integrante afectado por la inhabilidad deberá ceder su participación a un tercero previa autorización escrita de la entidad contratante, y proscribe expresamente la posibilidad de hacer la cesión entre sus integrantes</w:t>
      </w:r>
      <w:r w:rsidR="00F06C8E">
        <w:rPr>
          <w:rFonts w:ascii="Arial" w:eastAsia="Calibri" w:hAnsi="Arial" w:cs="Arial"/>
          <w:color w:val="000000" w:themeColor="text1"/>
        </w:rPr>
        <w:t xml:space="preserve">. Dicha cesión resulta de suma importancia en la ejecución de las obligacionales asumidas </w:t>
      </w:r>
      <w:r w:rsidR="00332F70">
        <w:rPr>
          <w:rFonts w:ascii="Arial" w:eastAsia="Calibri" w:hAnsi="Arial" w:cs="Arial"/>
          <w:color w:val="000000" w:themeColor="text1"/>
        </w:rPr>
        <w:t xml:space="preserve">por cada integrante ya sea de consorcio o unión temporal, </w:t>
      </w:r>
      <w:r w:rsidR="00893964">
        <w:rPr>
          <w:rFonts w:ascii="Arial" w:eastAsia="Calibri" w:hAnsi="Arial" w:cs="Arial"/>
          <w:color w:val="000000" w:themeColor="text1"/>
        </w:rPr>
        <w:t xml:space="preserve">cuya responsabilidad </w:t>
      </w:r>
      <w:r w:rsidR="004B0E2F">
        <w:rPr>
          <w:rFonts w:ascii="Arial" w:eastAsia="Calibri" w:hAnsi="Arial" w:cs="Arial"/>
          <w:color w:val="000000" w:themeColor="text1"/>
        </w:rPr>
        <w:t xml:space="preserve">es solidaria </w:t>
      </w:r>
      <w:r w:rsidR="00893964">
        <w:rPr>
          <w:rFonts w:ascii="Arial" w:eastAsia="Calibri" w:hAnsi="Arial" w:cs="Arial"/>
          <w:color w:val="000000" w:themeColor="text1"/>
        </w:rPr>
        <w:t>a consideración del Consejo de Estado</w:t>
      </w:r>
      <w:r w:rsidR="006A177E">
        <w:rPr>
          <w:rStyle w:val="Refdenotaalpie"/>
          <w:rFonts w:ascii="Arial" w:eastAsia="Calibri" w:hAnsi="Arial" w:cs="Arial"/>
          <w:color w:val="000000" w:themeColor="text1"/>
        </w:rPr>
        <w:footnoteReference w:id="20"/>
      </w:r>
      <w:r w:rsidR="00BA576C">
        <w:rPr>
          <w:rFonts w:ascii="Arial" w:eastAsia="Calibri" w:hAnsi="Arial" w:cs="Arial"/>
          <w:color w:val="000000" w:themeColor="text1"/>
        </w:rPr>
        <w:t xml:space="preserve"> frente a la Entidad Estatal</w:t>
      </w:r>
      <w:r w:rsidR="004B0E2F">
        <w:rPr>
          <w:rFonts w:ascii="Arial" w:eastAsia="Calibri" w:hAnsi="Arial" w:cs="Arial"/>
          <w:color w:val="000000" w:themeColor="text1"/>
        </w:rPr>
        <w:t xml:space="preserve">, </w:t>
      </w:r>
      <w:r w:rsidR="00BA576C">
        <w:rPr>
          <w:rFonts w:ascii="Arial" w:eastAsia="Calibri" w:hAnsi="Arial" w:cs="Arial"/>
          <w:color w:val="000000" w:themeColor="text1"/>
        </w:rPr>
        <w:t xml:space="preserve">diferenciándose únicamente entre sí, </w:t>
      </w:r>
      <w:r w:rsidR="006A177E">
        <w:rPr>
          <w:rFonts w:ascii="Arial" w:eastAsia="Calibri" w:hAnsi="Arial" w:cs="Arial"/>
          <w:color w:val="000000" w:themeColor="text1"/>
        </w:rPr>
        <w:t xml:space="preserve">que dicha responsabilidad recaerá </w:t>
      </w:r>
      <w:r w:rsidR="00BA576C">
        <w:rPr>
          <w:rFonts w:ascii="Arial" w:eastAsia="Calibri" w:hAnsi="Arial" w:cs="Arial"/>
          <w:color w:val="000000" w:themeColor="text1"/>
        </w:rPr>
        <w:t xml:space="preserve">sobre el alcance de las actividades por las cuales </w:t>
      </w:r>
      <w:r w:rsidR="006A177E">
        <w:rPr>
          <w:rFonts w:ascii="Arial" w:eastAsia="Calibri" w:hAnsi="Arial" w:cs="Arial"/>
          <w:color w:val="000000" w:themeColor="text1"/>
        </w:rPr>
        <w:t>responde cada integrante según el tipo de figura asociativa</w:t>
      </w:r>
      <w:r w:rsidR="00BA576C">
        <w:rPr>
          <w:rFonts w:ascii="Arial" w:eastAsia="Calibri" w:hAnsi="Arial" w:cs="Arial"/>
          <w:color w:val="000000" w:themeColor="text1"/>
        </w:rPr>
        <w:t xml:space="preserve">, </w:t>
      </w:r>
      <w:r w:rsidR="003E1A9E">
        <w:rPr>
          <w:rFonts w:ascii="Arial" w:eastAsia="Calibri" w:hAnsi="Arial" w:cs="Arial"/>
          <w:color w:val="000000" w:themeColor="text1"/>
        </w:rPr>
        <w:t>pues</w:t>
      </w:r>
      <w:r w:rsidR="00BA576C">
        <w:rPr>
          <w:rFonts w:ascii="Arial" w:eastAsia="Calibri" w:hAnsi="Arial" w:cs="Arial"/>
          <w:color w:val="000000" w:themeColor="text1"/>
        </w:rPr>
        <w:t xml:space="preserve"> en la unión temporal, se </w:t>
      </w:r>
      <w:r w:rsidR="006A177E">
        <w:rPr>
          <w:rFonts w:ascii="Arial" w:eastAsia="Calibri" w:hAnsi="Arial" w:cs="Arial"/>
          <w:color w:val="000000" w:themeColor="text1"/>
        </w:rPr>
        <w:t>limitará</w:t>
      </w:r>
      <w:r w:rsidR="00BA576C">
        <w:rPr>
          <w:rFonts w:ascii="Arial" w:eastAsia="Calibri" w:hAnsi="Arial" w:cs="Arial"/>
          <w:color w:val="000000" w:themeColor="text1"/>
        </w:rPr>
        <w:t xml:space="preserve"> a </w:t>
      </w:r>
      <w:r w:rsidR="003E1A9E">
        <w:rPr>
          <w:rFonts w:ascii="Arial" w:eastAsia="Calibri" w:hAnsi="Arial" w:cs="Arial"/>
          <w:color w:val="000000" w:themeColor="text1"/>
        </w:rPr>
        <w:t>l</w:t>
      </w:r>
      <w:r w:rsidR="00BA576C">
        <w:rPr>
          <w:rFonts w:ascii="Arial" w:eastAsia="Calibri" w:hAnsi="Arial" w:cs="Arial"/>
          <w:color w:val="000000" w:themeColor="text1"/>
        </w:rPr>
        <w:t xml:space="preserve">as actividades </w:t>
      </w:r>
      <w:r w:rsidR="003E1A9E">
        <w:rPr>
          <w:rFonts w:ascii="Arial" w:eastAsia="Calibri" w:hAnsi="Arial" w:cs="Arial"/>
          <w:color w:val="000000" w:themeColor="text1"/>
        </w:rPr>
        <w:t>asumidas</w:t>
      </w:r>
      <w:r w:rsidR="00BA576C">
        <w:rPr>
          <w:rFonts w:ascii="Arial" w:eastAsia="Calibri" w:hAnsi="Arial" w:cs="Arial"/>
          <w:color w:val="000000" w:themeColor="text1"/>
        </w:rPr>
        <w:t xml:space="preserve"> por cada integrante</w:t>
      </w:r>
      <w:r w:rsidR="003E1A9E">
        <w:rPr>
          <w:rFonts w:ascii="Arial" w:eastAsia="Calibri" w:hAnsi="Arial" w:cs="Arial"/>
          <w:color w:val="000000" w:themeColor="text1"/>
        </w:rPr>
        <w:t xml:space="preserve"> en el acuerdo de constitución</w:t>
      </w:r>
      <w:r w:rsidR="006A177E">
        <w:rPr>
          <w:rFonts w:ascii="Arial" w:eastAsia="Calibri" w:hAnsi="Arial" w:cs="Arial"/>
          <w:color w:val="000000" w:themeColor="text1"/>
        </w:rPr>
        <w:t xml:space="preserve"> a diferencia del consorcio</w:t>
      </w:r>
      <w:r w:rsidR="004D0453">
        <w:rPr>
          <w:rFonts w:ascii="Arial" w:eastAsia="Calibri" w:hAnsi="Arial" w:cs="Arial"/>
          <w:color w:val="000000" w:themeColor="text1"/>
        </w:rPr>
        <w:t>.</w:t>
      </w:r>
    </w:p>
    <w:p w14:paraId="4DB1A576" w14:textId="121B3EE5" w:rsidR="00AB3234" w:rsidRPr="00946D59" w:rsidRDefault="00AB3234" w:rsidP="00AB3234">
      <w:pPr>
        <w:spacing w:line="276" w:lineRule="auto"/>
        <w:ind w:right="49"/>
        <w:jc w:val="both"/>
        <w:rPr>
          <w:rFonts w:ascii="Arial" w:hAnsi="Arial" w:cs="Arial"/>
          <w:b/>
          <w:bCs/>
          <w:color w:val="000000" w:themeColor="text1"/>
        </w:rPr>
      </w:pPr>
      <w:r w:rsidRPr="00946D59">
        <w:rPr>
          <w:rFonts w:ascii="Arial" w:hAnsi="Arial" w:cs="Arial"/>
          <w:b/>
          <w:bCs/>
          <w:color w:val="000000" w:themeColor="text1"/>
        </w:rPr>
        <w:t xml:space="preserve">3. Respuesta </w:t>
      </w:r>
    </w:p>
    <w:p w14:paraId="774B5218" w14:textId="77777777" w:rsidR="00426FCA" w:rsidRPr="00426FCA" w:rsidRDefault="00426FCA" w:rsidP="00426FCA">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eastAsia="es-ES_tradnl"/>
        </w:rPr>
        <w:t>“</w:t>
      </w:r>
      <w:r w:rsidRPr="00426FCA">
        <w:rPr>
          <w:rFonts w:ascii="Arial" w:hAnsi="Arial" w:cs="Arial"/>
          <w:bCs/>
          <w:sz w:val="21"/>
          <w:szCs w:val="21"/>
          <w:lang w:val="es-MX" w:eastAsia="es-ES_tradnl"/>
        </w:rPr>
        <w:t>1. El artículo 9 de la Ley 80 de 1993, establece de forma textual que “ (…) Cuando</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la inhabilidad o incompatibilidad sobrevenga en un proponente dentro de un proceso de</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selección, se entenderá que renuncia a la participación en el proceso de selección y a</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los derechos surgidos del mismo. Si la inhabilidad o incompatibilidad sobreviene en uno</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de los miembros de un consorcio o unión temporal, este cederá su participación a un</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tercero previa autorización escrita de la entidad contratante. (…)</w:t>
      </w:r>
    </w:p>
    <w:p w14:paraId="1F9955BC" w14:textId="77777777" w:rsidR="00426FCA" w:rsidRPr="00426FCA" w:rsidRDefault="00426FCA" w:rsidP="00426FCA">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2. Por lo anterior, se pregunta:</w:t>
      </w:r>
    </w:p>
    <w:p w14:paraId="054BD434" w14:textId="77777777" w:rsidR="00850B05" w:rsidRDefault="00426FCA" w:rsidP="00850B05">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2.1. ¿Qué se entiende por renuncia a la participación del proceso y cuáles son sus</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implicaciones jurídicas y económicas?</w:t>
      </w:r>
      <w:r w:rsidR="00850B05">
        <w:rPr>
          <w:rFonts w:ascii="Arial" w:hAnsi="Arial" w:cs="Arial"/>
          <w:bCs/>
          <w:sz w:val="21"/>
          <w:szCs w:val="21"/>
          <w:lang w:val="es-MX" w:eastAsia="es-ES_tradnl"/>
        </w:rPr>
        <w:t>”</w:t>
      </w:r>
    </w:p>
    <w:p w14:paraId="02A298D9" w14:textId="77777777" w:rsidR="00FA34AD" w:rsidRDefault="00850B05" w:rsidP="00FA34AD">
      <w:pPr>
        <w:spacing w:line="276" w:lineRule="auto"/>
        <w:jc w:val="both"/>
        <w:rPr>
          <w:rFonts w:ascii="Arial" w:hAnsi="Arial" w:cs="Arial"/>
          <w:color w:val="000000" w:themeColor="text1"/>
        </w:rPr>
      </w:pPr>
      <w:r w:rsidRPr="00761EE2">
        <w:rPr>
          <w:rFonts w:ascii="Arial" w:hAnsi="Arial" w:cs="Arial"/>
          <w:color w:val="000000" w:themeColor="text1"/>
        </w:rPr>
        <w:t xml:space="preserve">Teniendo en cuenta las anteriores consideraciones, </w:t>
      </w:r>
      <w:r>
        <w:rPr>
          <w:rFonts w:ascii="Arial" w:hAnsi="Arial" w:cs="Arial"/>
          <w:color w:val="000000" w:themeColor="text1"/>
        </w:rPr>
        <w:t xml:space="preserve">a concepto de esta Agencia, </w:t>
      </w:r>
      <w:r w:rsidRPr="00761EE2">
        <w:rPr>
          <w:rFonts w:ascii="Arial" w:eastAsia="Calibri" w:hAnsi="Arial" w:cs="Arial"/>
          <w:color w:val="000000" w:themeColor="text1"/>
        </w:rPr>
        <w:t xml:space="preserve">se desprende </w:t>
      </w:r>
      <w:r w:rsidR="002E55FE">
        <w:rPr>
          <w:rFonts w:ascii="Arial" w:eastAsia="Calibri" w:hAnsi="Arial" w:cs="Arial"/>
          <w:color w:val="000000" w:themeColor="text1"/>
        </w:rPr>
        <w:t xml:space="preserve">que </w:t>
      </w:r>
      <w:r w:rsidRPr="00761EE2">
        <w:rPr>
          <w:rFonts w:ascii="Arial" w:eastAsia="Calibri" w:hAnsi="Arial" w:cs="Arial"/>
          <w:color w:val="000000" w:themeColor="text1"/>
        </w:rPr>
        <w:t>del texto del artículo 9</w:t>
      </w:r>
      <w:r w:rsidR="002E55FE">
        <w:rPr>
          <w:rFonts w:ascii="Arial" w:eastAsia="Calibri" w:hAnsi="Arial" w:cs="Arial"/>
          <w:color w:val="000000" w:themeColor="text1"/>
        </w:rPr>
        <w:t xml:space="preserve"> de la Ley 80 de 1993</w:t>
      </w:r>
      <w:r w:rsidRPr="00761EE2">
        <w:rPr>
          <w:rFonts w:ascii="Arial" w:eastAsia="Calibri" w:hAnsi="Arial" w:cs="Arial"/>
          <w:color w:val="000000" w:themeColor="text1"/>
        </w:rPr>
        <w:t xml:space="preserve">, </w:t>
      </w:r>
      <w:r w:rsidRPr="00465A53">
        <w:rPr>
          <w:rFonts w:ascii="Arial" w:eastAsia="Calibri" w:hAnsi="Arial" w:cs="Arial"/>
          <w:color w:val="000000" w:themeColor="text1"/>
        </w:rPr>
        <w:t>si la inhabilidad o incompatibilidad sobreviene en un procedimiento de selección, se entiende que el proponente renuncia a la participación y a los derechos surgidos del mismo</w:t>
      </w:r>
      <w:r>
        <w:rPr>
          <w:rFonts w:ascii="Arial" w:eastAsia="Calibri" w:hAnsi="Arial" w:cs="Arial"/>
          <w:color w:val="000000" w:themeColor="text1"/>
        </w:rPr>
        <w:t>, ello incluye, si se presenta de forma individual o como proponente plural, pues la ley no hace distinción alguna al respecto, tan sólo contempla la posibilidad de ceder su participación cuando ya se está en presencia de un contrato</w:t>
      </w:r>
      <w:r w:rsidR="007B5019">
        <w:rPr>
          <w:rFonts w:ascii="Arial" w:eastAsia="Calibri" w:hAnsi="Arial" w:cs="Arial"/>
          <w:color w:val="000000" w:themeColor="text1"/>
        </w:rPr>
        <w:t xml:space="preserve">. En ese sentido, </w:t>
      </w:r>
      <w:r w:rsidR="00AE3A6F">
        <w:rPr>
          <w:rFonts w:ascii="Arial" w:eastAsia="Calibri" w:hAnsi="Arial" w:cs="Arial"/>
          <w:color w:val="000000" w:themeColor="text1"/>
        </w:rPr>
        <w:t xml:space="preserve">no habrá lugar a la adjudicación </w:t>
      </w:r>
      <w:r w:rsidR="00684705">
        <w:rPr>
          <w:rFonts w:ascii="Arial" w:eastAsia="Calibri" w:hAnsi="Arial" w:cs="Arial"/>
          <w:color w:val="000000" w:themeColor="text1"/>
        </w:rPr>
        <w:t>del proceso de selección</w:t>
      </w:r>
      <w:r w:rsidR="00472BDC">
        <w:rPr>
          <w:rFonts w:ascii="Arial" w:eastAsia="Calibri" w:hAnsi="Arial" w:cs="Arial"/>
          <w:color w:val="000000" w:themeColor="text1"/>
        </w:rPr>
        <w:t xml:space="preserve"> a dicho proponente</w:t>
      </w:r>
      <w:r w:rsidR="003521CE">
        <w:rPr>
          <w:rFonts w:ascii="Arial" w:eastAsia="Calibri" w:hAnsi="Arial" w:cs="Arial"/>
          <w:color w:val="000000" w:themeColor="text1"/>
        </w:rPr>
        <w:t xml:space="preserve"> en caso de que dicha inhabilidad o incompatibilidad sobreviniente se de en el t</w:t>
      </w:r>
      <w:r w:rsidR="00472BDC">
        <w:rPr>
          <w:rFonts w:ascii="Arial" w:eastAsia="Calibri" w:hAnsi="Arial" w:cs="Arial"/>
          <w:color w:val="000000" w:themeColor="text1"/>
        </w:rPr>
        <w:t>é</w:t>
      </w:r>
      <w:r w:rsidR="003521CE">
        <w:rPr>
          <w:rFonts w:ascii="Arial" w:eastAsia="Calibri" w:hAnsi="Arial" w:cs="Arial"/>
          <w:color w:val="000000" w:themeColor="text1"/>
        </w:rPr>
        <w:t>rmino del cierre o evaluación de la oferta</w:t>
      </w:r>
      <w:r w:rsidR="00684705">
        <w:rPr>
          <w:rFonts w:ascii="Arial" w:eastAsia="Calibri" w:hAnsi="Arial" w:cs="Arial"/>
          <w:color w:val="000000" w:themeColor="text1"/>
        </w:rPr>
        <w:t>, pues el proponente no estaría habilitado para ser acreedor de ello</w:t>
      </w:r>
      <w:r w:rsidR="00FA34AD">
        <w:rPr>
          <w:rFonts w:ascii="Arial" w:eastAsia="Calibri" w:hAnsi="Arial" w:cs="Arial"/>
          <w:color w:val="000000" w:themeColor="text1"/>
        </w:rPr>
        <w:t xml:space="preserve"> y en virtud de dicho artículo se </w:t>
      </w:r>
      <w:r w:rsidR="00AE3A6F">
        <w:rPr>
          <w:rFonts w:ascii="Arial" w:hAnsi="Arial" w:cs="Arial"/>
          <w:color w:val="000000" w:themeColor="text1"/>
        </w:rPr>
        <w:t>presu</w:t>
      </w:r>
      <w:r w:rsidR="00FA34AD">
        <w:rPr>
          <w:rFonts w:ascii="Arial" w:hAnsi="Arial" w:cs="Arial"/>
          <w:color w:val="000000" w:themeColor="text1"/>
        </w:rPr>
        <w:t>me su</w:t>
      </w:r>
      <w:r w:rsidR="00AE3A6F">
        <w:rPr>
          <w:rFonts w:ascii="Arial" w:hAnsi="Arial" w:cs="Arial"/>
          <w:color w:val="000000" w:themeColor="text1"/>
        </w:rPr>
        <w:t xml:space="preserve"> renuncia a la participación y a los derechos surgidos del mismo</w:t>
      </w:r>
      <w:r w:rsidR="00FA34AD">
        <w:rPr>
          <w:rFonts w:ascii="Arial" w:hAnsi="Arial" w:cs="Arial"/>
          <w:color w:val="000000" w:themeColor="text1"/>
        </w:rPr>
        <w:t xml:space="preserve">. </w:t>
      </w:r>
    </w:p>
    <w:p w14:paraId="5C6E10A0" w14:textId="160E75BC" w:rsidR="00AE3A6F" w:rsidRDefault="00FA34AD" w:rsidP="00FA34AD">
      <w:pPr>
        <w:spacing w:line="276" w:lineRule="auto"/>
        <w:ind w:firstLine="708"/>
        <w:jc w:val="both"/>
        <w:rPr>
          <w:rFonts w:ascii="Arial" w:hAnsi="Arial" w:cs="Arial"/>
          <w:color w:val="000000" w:themeColor="text1"/>
        </w:rPr>
      </w:pPr>
      <w:r>
        <w:rPr>
          <w:rFonts w:ascii="Arial" w:hAnsi="Arial" w:cs="Arial"/>
          <w:color w:val="000000" w:themeColor="text1"/>
        </w:rPr>
        <w:t>Por el contrario,</w:t>
      </w:r>
      <w:r w:rsidR="00AE3A6F">
        <w:rPr>
          <w:rFonts w:ascii="Arial" w:hAnsi="Arial" w:cs="Arial"/>
          <w:color w:val="000000" w:themeColor="text1"/>
        </w:rPr>
        <w:t xml:space="preserve"> en caso de contar con resolución de adjudicación, debe interpretarse en conjunto con el artículo 9 de la Ley 1150 de 2007, el cual </w:t>
      </w:r>
      <w:r w:rsidR="00AE3A6F" w:rsidRPr="000F4A3A">
        <w:rPr>
          <w:rFonts w:ascii="Arial" w:hAnsi="Arial" w:cs="Arial"/>
          <w:color w:val="000000" w:themeColor="text1"/>
        </w:rPr>
        <w:t xml:space="preserve">consagra </w:t>
      </w:r>
      <w:r w:rsidR="00AE3A6F">
        <w:rPr>
          <w:rFonts w:ascii="Arial" w:hAnsi="Arial" w:cs="Arial"/>
          <w:color w:val="000000" w:themeColor="text1"/>
        </w:rPr>
        <w:t>dos</w:t>
      </w:r>
      <w:r w:rsidR="00AE3A6F" w:rsidRPr="000F4A3A">
        <w:rPr>
          <w:rFonts w:ascii="Arial" w:hAnsi="Arial" w:cs="Arial"/>
          <w:color w:val="000000" w:themeColor="text1"/>
        </w:rPr>
        <w:t xml:space="preserve"> regla</w:t>
      </w:r>
      <w:r w:rsidR="00AE3A6F">
        <w:rPr>
          <w:rFonts w:ascii="Arial" w:hAnsi="Arial" w:cs="Arial"/>
          <w:color w:val="000000" w:themeColor="text1"/>
        </w:rPr>
        <w:t>s</w:t>
      </w:r>
      <w:r w:rsidR="00AE3A6F" w:rsidRPr="000F4A3A">
        <w:rPr>
          <w:rFonts w:ascii="Arial" w:hAnsi="Arial" w:cs="Arial"/>
          <w:color w:val="000000" w:themeColor="text1"/>
        </w:rPr>
        <w:t xml:space="preserve"> especial</w:t>
      </w:r>
      <w:r w:rsidR="00AE3A6F">
        <w:rPr>
          <w:rFonts w:ascii="Arial" w:hAnsi="Arial" w:cs="Arial"/>
          <w:color w:val="000000" w:themeColor="text1"/>
        </w:rPr>
        <w:t>es</w:t>
      </w:r>
      <w:r w:rsidR="00AE3A6F" w:rsidRPr="000F4A3A">
        <w:rPr>
          <w:rFonts w:ascii="Arial" w:hAnsi="Arial" w:cs="Arial"/>
          <w:color w:val="000000" w:themeColor="text1"/>
        </w:rPr>
        <w:t xml:space="preserve"> </w:t>
      </w:r>
      <w:r w:rsidR="00AE3A6F">
        <w:rPr>
          <w:rFonts w:ascii="Arial" w:hAnsi="Arial" w:cs="Arial"/>
          <w:color w:val="000000" w:themeColor="text1"/>
        </w:rPr>
        <w:t xml:space="preserve">en los que la norma da la </w:t>
      </w:r>
      <w:r w:rsidR="00AE3A6F" w:rsidRPr="000F4A3A">
        <w:rPr>
          <w:rFonts w:ascii="Arial" w:hAnsi="Arial" w:cs="Arial"/>
          <w:color w:val="000000" w:themeColor="text1"/>
        </w:rPr>
        <w:t>posibilidad</w:t>
      </w:r>
      <w:r w:rsidR="00AE3A6F">
        <w:rPr>
          <w:rFonts w:ascii="Arial" w:hAnsi="Arial" w:cs="Arial"/>
          <w:color w:val="000000" w:themeColor="text1"/>
        </w:rPr>
        <w:t xml:space="preserve"> a una Entidad Estatal para que adjudique nuevamente el contrato al proponente calificado en segundo lugar, y esto es, cuando </w:t>
      </w:r>
      <w:r w:rsidR="00AE3A6F" w:rsidRPr="00BE15E3">
        <w:rPr>
          <w:rFonts w:ascii="Arial" w:hAnsi="Arial" w:cs="Arial"/>
          <w:color w:val="000000" w:themeColor="text1"/>
        </w:rPr>
        <w:t xml:space="preserve">dentro del plazo comprendido entre la adjudicación del contrato y la suscripción del mismo, </w:t>
      </w:r>
      <w:r w:rsidR="00AE3A6F">
        <w:rPr>
          <w:rFonts w:ascii="Arial" w:hAnsi="Arial" w:cs="Arial"/>
          <w:color w:val="000000" w:themeColor="text1"/>
        </w:rPr>
        <w:t xml:space="preserve">el acto administrativo de adjudicación es revocado porque </w:t>
      </w:r>
      <w:r w:rsidR="00AE3A6F" w:rsidRPr="00BE15E3">
        <w:rPr>
          <w:rFonts w:ascii="Arial" w:hAnsi="Arial" w:cs="Arial"/>
          <w:color w:val="000000" w:themeColor="text1"/>
        </w:rPr>
        <w:t>sobrevi</w:t>
      </w:r>
      <w:r w:rsidR="00AE3A6F">
        <w:rPr>
          <w:rFonts w:ascii="Arial" w:hAnsi="Arial" w:cs="Arial"/>
          <w:color w:val="000000" w:themeColor="text1"/>
        </w:rPr>
        <w:t>no</w:t>
      </w:r>
      <w:r w:rsidR="00AE3A6F" w:rsidRPr="00BE15E3">
        <w:rPr>
          <w:rFonts w:ascii="Arial" w:hAnsi="Arial" w:cs="Arial"/>
          <w:color w:val="000000" w:themeColor="text1"/>
        </w:rPr>
        <w:t xml:space="preserve"> una inhabilidad o incompatibilidad o si se demuestra que el acto se obtuvo por medios ilegales</w:t>
      </w:r>
      <w:r w:rsidR="00D96073">
        <w:rPr>
          <w:rFonts w:ascii="Arial" w:hAnsi="Arial" w:cs="Arial"/>
          <w:color w:val="000000" w:themeColor="text1"/>
        </w:rPr>
        <w:t xml:space="preserve"> (como por ejemplo que el proponente estuviese inhabilitado y dicha situación no se hubiese informado</w:t>
      </w:r>
      <w:r w:rsidR="00973A35">
        <w:rPr>
          <w:rFonts w:ascii="Arial" w:hAnsi="Arial" w:cs="Arial"/>
          <w:color w:val="000000" w:themeColor="text1"/>
        </w:rPr>
        <w:t xml:space="preserve"> o no pudo ser observada por la Entidad Estatal)</w:t>
      </w:r>
      <w:r w:rsidR="00AE3A6F" w:rsidRPr="00BE15E3">
        <w:rPr>
          <w:rFonts w:ascii="Arial" w:hAnsi="Arial" w:cs="Arial"/>
          <w:color w:val="000000" w:themeColor="text1"/>
        </w:rPr>
        <w:t>, caso en el cual, la entidad podrá aplicar lo previsto en el inciso final del numeral 12 del artículo 30 de la Ley 80 de 1993</w:t>
      </w:r>
      <w:r w:rsidR="006D0C0A">
        <w:rPr>
          <w:rFonts w:ascii="Arial" w:hAnsi="Arial" w:cs="Arial"/>
          <w:color w:val="000000" w:themeColor="text1"/>
        </w:rPr>
        <w:t>, dentro de los 15 días hábiles siguientes al acto administrat</w:t>
      </w:r>
      <w:r w:rsidR="00D81CCF">
        <w:rPr>
          <w:rFonts w:ascii="Arial" w:hAnsi="Arial" w:cs="Arial"/>
          <w:color w:val="000000" w:themeColor="text1"/>
        </w:rPr>
        <w:t>ivo que revocó el acto administrativo de revocatoria.</w:t>
      </w:r>
    </w:p>
    <w:p w14:paraId="7CF98748" w14:textId="45A0F223" w:rsidR="00426FCA" w:rsidRDefault="00C67AA1" w:rsidP="00426FCA">
      <w:pPr>
        <w:spacing w:line="240" w:lineRule="auto"/>
        <w:ind w:left="709" w:right="709"/>
        <w:jc w:val="both"/>
        <w:rPr>
          <w:rFonts w:ascii="Arial" w:hAnsi="Arial" w:cs="Arial"/>
          <w:bCs/>
          <w:sz w:val="21"/>
          <w:szCs w:val="21"/>
          <w:lang w:val="es-MX" w:eastAsia="es-ES_tradnl"/>
        </w:rPr>
      </w:pPr>
      <w:r>
        <w:rPr>
          <w:rFonts w:ascii="Arial" w:hAnsi="Arial" w:cs="Arial"/>
          <w:bCs/>
          <w:sz w:val="21"/>
          <w:szCs w:val="21"/>
          <w:lang w:val="es-MX" w:eastAsia="es-ES_tradnl"/>
        </w:rPr>
        <w:t>“</w:t>
      </w:r>
      <w:r w:rsidR="00426FCA" w:rsidRPr="00426FCA">
        <w:rPr>
          <w:rFonts w:ascii="Arial" w:hAnsi="Arial" w:cs="Arial"/>
          <w:bCs/>
          <w:sz w:val="21"/>
          <w:szCs w:val="21"/>
          <w:lang w:val="es-MX" w:eastAsia="es-ES_tradnl"/>
        </w:rPr>
        <w:t>2.2. ¿Al renunciar se termina el contrato, se procede a su liquidación y a iniciar el</w:t>
      </w:r>
      <w:r w:rsidR="00426FCA">
        <w:rPr>
          <w:rFonts w:ascii="Arial" w:hAnsi="Arial" w:cs="Arial"/>
          <w:bCs/>
          <w:sz w:val="21"/>
          <w:szCs w:val="21"/>
          <w:lang w:val="es-MX" w:eastAsia="es-ES_tradnl"/>
        </w:rPr>
        <w:t xml:space="preserve"> </w:t>
      </w:r>
      <w:r w:rsidR="00426FCA" w:rsidRPr="00426FCA">
        <w:rPr>
          <w:rFonts w:ascii="Arial" w:hAnsi="Arial" w:cs="Arial"/>
          <w:bCs/>
          <w:sz w:val="21"/>
          <w:szCs w:val="21"/>
          <w:lang w:val="es-MX" w:eastAsia="es-ES_tradnl"/>
        </w:rPr>
        <w:t>proceso de siniestro de pólizas?</w:t>
      </w:r>
      <w:r w:rsidR="003751B8">
        <w:rPr>
          <w:rFonts w:ascii="Arial" w:hAnsi="Arial" w:cs="Arial"/>
          <w:bCs/>
          <w:sz w:val="21"/>
          <w:szCs w:val="21"/>
          <w:lang w:val="es-MX" w:eastAsia="es-ES_tradnl"/>
        </w:rPr>
        <w:t>”</w:t>
      </w:r>
    </w:p>
    <w:p w14:paraId="0FF593DB" w14:textId="6EBD19EC" w:rsidR="003751B8" w:rsidRPr="00465A53" w:rsidRDefault="00341E7D" w:rsidP="003751B8">
      <w:pPr>
        <w:tabs>
          <w:tab w:val="left" w:pos="709"/>
        </w:tabs>
        <w:spacing w:after="120" w:line="276" w:lineRule="auto"/>
        <w:jc w:val="both"/>
        <w:rPr>
          <w:rFonts w:ascii="Arial" w:eastAsia="Calibri" w:hAnsi="Arial" w:cs="Arial"/>
          <w:color w:val="000000" w:themeColor="text1"/>
        </w:rPr>
      </w:pPr>
      <w:r>
        <w:rPr>
          <w:rFonts w:ascii="Arial" w:eastAsia="Calibri" w:hAnsi="Arial" w:cs="Arial"/>
          <w:color w:val="000000" w:themeColor="text1"/>
        </w:rPr>
        <w:t xml:space="preserve">Por </w:t>
      </w:r>
      <w:r w:rsidR="00B95A2B">
        <w:rPr>
          <w:rFonts w:ascii="Arial" w:eastAsia="Calibri" w:hAnsi="Arial" w:cs="Arial"/>
          <w:color w:val="000000" w:themeColor="text1"/>
        </w:rPr>
        <w:t>su parte</w:t>
      </w:r>
      <w:r>
        <w:rPr>
          <w:rFonts w:ascii="Arial" w:eastAsia="Calibri" w:hAnsi="Arial" w:cs="Arial"/>
          <w:color w:val="000000" w:themeColor="text1"/>
        </w:rPr>
        <w:t>, cuando la inhabilidad o incompatibilidad sobrevin</w:t>
      </w:r>
      <w:r w:rsidR="00DC1B1C">
        <w:rPr>
          <w:rFonts w:ascii="Arial" w:eastAsia="Calibri" w:hAnsi="Arial" w:cs="Arial"/>
          <w:color w:val="000000" w:themeColor="text1"/>
        </w:rPr>
        <w:t xml:space="preserve">e en el contratista o </w:t>
      </w:r>
      <w:r w:rsidR="00B95A2B">
        <w:rPr>
          <w:rFonts w:ascii="Arial" w:eastAsia="Calibri" w:hAnsi="Arial" w:cs="Arial"/>
          <w:color w:val="000000" w:themeColor="text1"/>
        </w:rPr>
        <w:t xml:space="preserve">un </w:t>
      </w:r>
      <w:r w:rsidR="00DC1B1C">
        <w:rPr>
          <w:rFonts w:ascii="Arial" w:eastAsia="Calibri" w:hAnsi="Arial" w:cs="Arial"/>
          <w:color w:val="000000" w:themeColor="text1"/>
        </w:rPr>
        <w:t xml:space="preserve">integrante del consocio o unión temporal </w:t>
      </w:r>
      <w:r w:rsidR="004F00DA">
        <w:rPr>
          <w:rFonts w:ascii="Arial" w:eastAsia="Calibri" w:hAnsi="Arial" w:cs="Arial"/>
          <w:color w:val="000000" w:themeColor="text1"/>
        </w:rPr>
        <w:t xml:space="preserve">que sea </w:t>
      </w:r>
      <w:r w:rsidR="00DC1B1C">
        <w:rPr>
          <w:rFonts w:ascii="Arial" w:eastAsia="Calibri" w:hAnsi="Arial" w:cs="Arial"/>
          <w:color w:val="000000" w:themeColor="text1"/>
        </w:rPr>
        <w:t xml:space="preserve">contratista, durante la ejecución del contrato, </w:t>
      </w:r>
      <w:r w:rsidR="00FE6AEE">
        <w:rPr>
          <w:rFonts w:ascii="Arial" w:eastAsia="Calibri" w:hAnsi="Arial" w:cs="Arial"/>
          <w:color w:val="000000" w:themeColor="text1"/>
        </w:rPr>
        <w:t xml:space="preserve">el artículo 9 de la Ley 80 de 1993 </w:t>
      </w:r>
      <w:r w:rsidR="003751B8">
        <w:rPr>
          <w:rFonts w:ascii="Arial" w:eastAsia="Calibri" w:hAnsi="Arial" w:cs="Arial"/>
          <w:color w:val="000000" w:themeColor="text1"/>
        </w:rPr>
        <w:t xml:space="preserve">dispone la posibilidad de que </w:t>
      </w:r>
      <w:r w:rsidR="00FE6AEE">
        <w:rPr>
          <w:rFonts w:ascii="Arial" w:eastAsia="Calibri" w:hAnsi="Arial" w:cs="Arial"/>
          <w:color w:val="000000" w:themeColor="text1"/>
        </w:rPr>
        <w:t>este pueda ser cedido</w:t>
      </w:r>
      <w:r w:rsidR="008562CF">
        <w:rPr>
          <w:rFonts w:ascii="Arial" w:eastAsia="Calibri" w:hAnsi="Arial" w:cs="Arial"/>
          <w:color w:val="000000" w:themeColor="text1"/>
        </w:rPr>
        <w:t xml:space="preserve">, sin embargo, cuando se trata de </w:t>
      </w:r>
      <w:r w:rsidR="003751B8">
        <w:rPr>
          <w:rFonts w:ascii="Arial" w:eastAsia="Calibri" w:hAnsi="Arial" w:cs="Arial"/>
          <w:color w:val="000000" w:themeColor="text1"/>
        </w:rPr>
        <w:t>un integrante</w:t>
      </w:r>
      <w:r w:rsidR="003751B8" w:rsidRPr="00465A53">
        <w:rPr>
          <w:rFonts w:ascii="Arial" w:eastAsia="Calibri" w:hAnsi="Arial" w:cs="Arial"/>
          <w:color w:val="000000" w:themeColor="text1"/>
        </w:rPr>
        <w:t xml:space="preserve"> de un proponente plural</w:t>
      </w:r>
      <w:r w:rsidR="003751B8">
        <w:rPr>
          <w:rFonts w:ascii="Arial" w:eastAsia="Calibri" w:hAnsi="Arial" w:cs="Arial"/>
          <w:color w:val="000000" w:themeColor="text1"/>
        </w:rPr>
        <w:t xml:space="preserve"> inhabilitado o con incompatibilidad </w:t>
      </w:r>
      <w:r w:rsidR="004F00DA">
        <w:rPr>
          <w:rFonts w:ascii="Arial" w:eastAsia="Calibri" w:hAnsi="Arial" w:cs="Arial"/>
          <w:color w:val="000000" w:themeColor="text1"/>
        </w:rPr>
        <w:t xml:space="preserve">la norma </w:t>
      </w:r>
      <w:r w:rsidR="00E54AED">
        <w:rPr>
          <w:rFonts w:ascii="Arial" w:eastAsia="Calibri" w:hAnsi="Arial" w:cs="Arial"/>
          <w:color w:val="000000" w:themeColor="text1"/>
        </w:rPr>
        <w:t xml:space="preserve">permite que se podrá ceder su participación, sólo sí </w:t>
      </w:r>
      <w:r w:rsidR="003751B8">
        <w:rPr>
          <w:rFonts w:ascii="Arial" w:eastAsia="Calibri" w:hAnsi="Arial" w:cs="Arial"/>
          <w:color w:val="000000" w:themeColor="text1"/>
        </w:rPr>
        <w:t>cuenta</w:t>
      </w:r>
      <w:r w:rsidR="003751B8" w:rsidRPr="00465A53">
        <w:rPr>
          <w:rFonts w:ascii="Arial" w:eastAsia="Calibri" w:hAnsi="Arial" w:cs="Arial"/>
          <w:color w:val="000000" w:themeColor="text1"/>
        </w:rPr>
        <w:t xml:space="preserve"> con la autorización escrita del contratante, con la restricción de que el cesionario no puede ser alguno de los demás integrantes del consorcio o la unión temporal. </w:t>
      </w:r>
    </w:p>
    <w:p w14:paraId="5B35F027" w14:textId="71672ECB" w:rsidR="003751B8" w:rsidRDefault="003751B8" w:rsidP="003751B8">
      <w:pPr>
        <w:tabs>
          <w:tab w:val="left" w:pos="709"/>
        </w:tabs>
        <w:spacing w:after="120" w:line="276" w:lineRule="auto"/>
        <w:jc w:val="both"/>
        <w:rPr>
          <w:rFonts w:ascii="Arial" w:hAnsi="Arial" w:cs="Arial"/>
          <w:color w:val="000000" w:themeColor="text1"/>
        </w:rPr>
      </w:pPr>
      <w:r w:rsidRPr="00465A53">
        <w:rPr>
          <w:rFonts w:ascii="Arial" w:eastAsia="Calibri" w:hAnsi="Arial" w:cs="Arial"/>
          <w:color w:val="000000" w:themeColor="text1"/>
        </w:rPr>
        <w:tab/>
        <w:t xml:space="preserve"> </w:t>
      </w:r>
      <w:r w:rsidR="001E2BE5">
        <w:rPr>
          <w:rFonts w:ascii="Arial" w:hAnsi="Arial" w:cs="Arial"/>
        </w:rPr>
        <w:t>En ese sentido</w:t>
      </w:r>
      <w:r w:rsidRPr="00465A53">
        <w:rPr>
          <w:rFonts w:ascii="Arial" w:hAnsi="Arial" w:cs="Arial"/>
        </w:rPr>
        <w:t>,</w:t>
      </w:r>
      <w:r w:rsidRPr="00465A53">
        <w:rPr>
          <w:rFonts w:ascii="Arial" w:hAnsi="Arial" w:cs="Arial"/>
          <w:color w:val="000000" w:themeColor="text1"/>
        </w:rPr>
        <w:t xml:space="preserve"> en el caso en que se llegue a presentar una inhabilidad o incompatibilidad durante la ejecución del contrato estatal, el contratista tiene dos opciones: primero, ceder </w:t>
      </w:r>
      <w:r>
        <w:rPr>
          <w:rFonts w:ascii="Arial" w:hAnsi="Arial" w:cs="Arial"/>
          <w:color w:val="000000" w:themeColor="text1"/>
        </w:rPr>
        <w:t>la participación del integrante del proponente plural con inhabilidad o incompatibilidad</w:t>
      </w:r>
      <w:r w:rsidRPr="00465A53">
        <w:rPr>
          <w:rFonts w:ascii="Arial" w:hAnsi="Arial" w:cs="Arial"/>
          <w:color w:val="000000" w:themeColor="text1"/>
        </w:rPr>
        <w:t xml:space="preserve">, previa autorización escrita de la </w:t>
      </w:r>
      <w:r>
        <w:rPr>
          <w:rFonts w:ascii="Arial" w:hAnsi="Arial" w:cs="Arial"/>
          <w:color w:val="000000" w:themeColor="text1"/>
        </w:rPr>
        <w:t>E</w:t>
      </w:r>
      <w:r w:rsidRPr="00465A53">
        <w:rPr>
          <w:rFonts w:ascii="Arial" w:hAnsi="Arial" w:cs="Arial"/>
          <w:color w:val="000000" w:themeColor="text1"/>
        </w:rPr>
        <w:t xml:space="preserve">ntidad </w:t>
      </w:r>
      <w:r>
        <w:rPr>
          <w:rFonts w:ascii="Arial" w:hAnsi="Arial" w:cs="Arial"/>
          <w:color w:val="000000" w:themeColor="text1"/>
        </w:rPr>
        <w:t>E</w:t>
      </w:r>
      <w:r w:rsidRPr="00465A53">
        <w:rPr>
          <w:rFonts w:ascii="Arial" w:hAnsi="Arial" w:cs="Arial"/>
          <w:color w:val="000000" w:themeColor="text1"/>
        </w:rPr>
        <w:t>statal y, segundo, en el caso en que la cesión no fuera posible, deberá renunciar a la ejecución del contrato</w:t>
      </w:r>
      <w:r w:rsidR="00F252A9">
        <w:rPr>
          <w:rFonts w:ascii="Arial" w:hAnsi="Arial" w:cs="Arial"/>
          <w:color w:val="000000" w:themeColor="text1"/>
        </w:rPr>
        <w:t>, y en este punto se procedería a la terminación del mismo y posterior liquidación</w:t>
      </w:r>
      <w:r w:rsidR="004F78B0">
        <w:rPr>
          <w:rFonts w:ascii="Arial" w:hAnsi="Arial" w:cs="Arial"/>
          <w:color w:val="000000" w:themeColor="text1"/>
        </w:rPr>
        <w:t>. El siniestro de las garantías contractuales por parte de la Entidad Estatal dependerá de las circunstancias que se logren acreditar en cada caso en concreto,</w:t>
      </w:r>
      <w:r w:rsidR="00856EBD">
        <w:rPr>
          <w:rFonts w:ascii="Arial" w:hAnsi="Arial" w:cs="Arial"/>
          <w:color w:val="000000" w:themeColor="text1"/>
        </w:rPr>
        <w:t xml:space="preserve"> caso de estudio sobre el cual se deberá analizar en cada contrato.</w:t>
      </w:r>
    </w:p>
    <w:p w14:paraId="0B9344B5" w14:textId="58D97D5C" w:rsidR="00426FCA" w:rsidRPr="00426FCA" w:rsidRDefault="005A538B" w:rsidP="00426FCA">
      <w:pPr>
        <w:spacing w:line="240" w:lineRule="auto"/>
        <w:ind w:left="709" w:right="709"/>
        <w:jc w:val="both"/>
        <w:rPr>
          <w:rFonts w:ascii="Arial" w:hAnsi="Arial" w:cs="Arial"/>
          <w:bCs/>
          <w:sz w:val="21"/>
          <w:szCs w:val="21"/>
          <w:lang w:val="es-MX" w:eastAsia="es-ES_tradnl"/>
        </w:rPr>
      </w:pPr>
      <w:r>
        <w:rPr>
          <w:rFonts w:ascii="Arial" w:hAnsi="Arial" w:cs="Arial"/>
          <w:bCs/>
          <w:sz w:val="21"/>
          <w:szCs w:val="21"/>
          <w:lang w:val="es-MX" w:eastAsia="es-ES_tradnl"/>
        </w:rPr>
        <w:t>“</w:t>
      </w:r>
      <w:r w:rsidR="00426FCA" w:rsidRPr="00426FCA">
        <w:rPr>
          <w:rFonts w:ascii="Arial" w:hAnsi="Arial" w:cs="Arial"/>
          <w:bCs/>
          <w:sz w:val="21"/>
          <w:szCs w:val="21"/>
          <w:lang w:val="es-MX" w:eastAsia="es-ES_tradnl"/>
        </w:rPr>
        <w:t>2.3. ¿Si a uno de los consorciados le declararon la caducidad en otro contrato, se</w:t>
      </w:r>
      <w:r w:rsidR="00426FCA">
        <w:rPr>
          <w:rFonts w:ascii="Arial" w:hAnsi="Arial" w:cs="Arial"/>
          <w:bCs/>
          <w:sz w:val="21"/>
          <w:szCs w:val="21"/>
          <w:lang w:val="es-MX" w:eastAsia="es-ES_tradnl"/>
        </w:rPr>
        <w:t xml:space="preserve"> </w:t>
      </w:r>
      <w:r w:rsidR="00426FCA" w:rsidRPr="00426FCA">
        <w:rPr>
          <w:rFonts w:ascii="Arial" w:hAnsi="Arial" w:cs="Arial"/>
          <w:bCs/>
          <w:sz w:val="21"/>
          <w:szCs w:val="21"/>
          <w:lang w:val="es-MX" w:eastAsia="es-ES_tradnl"/>
        </w:rPr>
        <w:t>entiende que este consorciado también debe renunciar al consorcio y al contrato que</w:t>
      </w:r>
      <w:r w:rsidR="00E4363D">
        <w:rPr>
          <w:rFonts w:ascii="Arial" w:hAnsi="Arial" w:cs="Arial"/>
          <w:bCs/>
          <w:sz w:val="21"/>
          <w:szCs w:val="21"/>
          <w:lang w:val="es-MX" w:eastAsia="es-ES_tradnl"/>
        </w:rPr>
        <w:t xml:space="preserve"> </w:t>
      </w:r>
      <w:r w:rsidR="00426FCA" w:rsidRPr="00426FCA">
        <w:rPr>
          <w:rFonts w:ascii="Arial" w:hAnsi="Arial" w:cs="Arial"/>
          <w:bCs/>
          <w:sz w:val="21"/>
          <w:szCs w:val="21"/>
          <w:lang w:val="es-MX" w:eastAsia="es-ES_tradnl"/>
        </w:rPr>
        <w:t>está vigente?</w:t>
      </w:r>
    </w:p>
    <w:p w14:paraId="2BBF9132" w14:textId="3E15A625" w:rsidR="00426FCA" w:rsidRPr="00426FCA" w:rsidRDefault="00426FCA" w:rsidP="00426FCA">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2.4. ¿Si el consorciado al que le declararon la caducidad no desea renunciar al</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contrato, que consecuencias jurídicas tendría su actuar?</w:t>
      </w:r>
      <w:r w:rsidR="006B18CF">
        <w:rPr>
          <w:rFonts w:ascii="Arial" w:hAnsi="Arial" w:cs="Arial"/>
          <w:bCs/>
          <w:sz w:val="21"/>
          <w:szCs w:val="21"/>
          <w:lang w:val="es-MX" w:eastAsia="es-ES_tradnl"/>
        </w:rPr>
        <w:t>”</w:t>
      </w:r>
    </w:p>
    <w:p w14:paraId="6338A6CD" w14:textId="64DDF880" w:rsidR="00337069" w:rsidRPr="00337069" w:rsidRDefault="00337069" w:rsidP="001959F8">
      <w:pPr>
        <w:jc w:val="both"/>
        <w:rPr>
          <w:rFonts w:ascii="Arial" w:hAnsi="Arial" w:cs="Arial"/>
          <w:bCs/>
          <w:sz w:val="21"/>
          <w:szCs w:val="21"/>
          <w:lang w:eastAsia="es-ES_tradnl"/>
        </w:rPr>
      </w:pPr>
      <w:r>
        <w:rPr>
          <w:rFonts w:ascii="Arial" w:hAnsi="Arial" w:cs="Arial"/>
          <w:color w:val="000000" w:themeColor="text1"/>
        </w:rPr>
        <w:t>Conforme a lo expuesto, si un integrante de un consorcio o unión temporal qu</w:t>
      </w:r>
      <w:r w:rsidR="00A928CC">
        <w:rPr>
          <w:rFonts w:ascii="Arial" w:hAnsi="Arial" w:cs="Arial"/>
          <w:color w:val="000000" w:themeColor="text1"/>
        </w:rPr>
        <w:t>e</w:t>
      </w:r>
      <w:r>
        <w:rPr>
          <w:rFonts w:ascii="Arial" w:hAnsi="Arial" w:cs="Arial"/>
          <w:color w:val="000000" w:themeColor="text1"/>
        </w:rPr>
        <w:t xml:space="preserve"> sea contratista del estado se le declara una caducidad, estaría incurso en una inhabilidad sobreviniente frente a la ejecución de dicho contrato en el cual es integrante de dicha figura asociativa, por lo tanto, la norma </w:t>
      </w:r>
      <w:r w:rsidRPr="00465A53">
        <w:rPr>
          <w:rFonts w:ascii="Arial" w:hAnsi="Arial" w:cs="Arial"/>
          <w:color w:val="000000" w:themeColor="text1"/>
        </w:rPr>
        <w:t xml:space="preserve">tiene dos opciones: primero, ceder </w:t>
      </w:r>
      <w:r>
        <w:rPr>
          <w:rFonts w:ascii="Arial" w:hAnsi="Arial" w:cs="Arial"/>
          <w:color w:val="000000" w:themeColor="text1"/>
        </w:rPr>
        <w:t>la participación del integrante del proponente plural con inhabilidad o incompatibilidad</w:t>
      </w:r>
      <w:r w:rsidRPr="00465A53">
        <w:rPr>
          <w:rFonts w:ascii="Arial" w:hAnsi="Arial" w:cs="Arial"/>
          <w:color w:val="000000" w:themeColor="text1"/>
        </w:rPr>
        <w:t xml:space="preserve">, previa autorización escrita de la </w:t>
      </w:r>
      <w:r>
        <w:rPr>
          <w:rFonts w:ascii="Arial" w:hAnsi="Arial" w:cs="Arial"/>
          <w:color w:val="000000" w:themeColor="text1"/>
        </w:rPr>
        <w:t>E</w:t>
      </w:r>
      <w:r w:rsidRPr="00465A53">
        <w:rPr>
          <w:rFonts w:ascii="Arial" w:hAnsi="Arial" w:cs="Arial"/>
          <w:color w:val="000000" w:themeColor="text1"/>
        </w:rPr>
        <w:t xml:space="preserve">ntidad </w:t>
      </w:r>
      <w:r>
        <w:rPr>
          <w:rFonts w:ascii="Arial" w:hAnsi="Arial" w:cs="Arial"/>
          <w:color w:val="000000" w:themeColor="text1"/>
        </w:rPr>
        <w:t>E</w:t>
      </w:r>
      <w:r w:rsidRPr="00465A53">
        <w:rPr>
          <w:rFonts w:ascii="Arial" w:hAnsi="Arial" w:cs="Arial"/>
          <w:color w:val="000000" w:themeColor="text1"/>
        </w:rPr>
        <w:t>statal</w:t>
      </w:r>
      <w:r w:rsidR="00A928CC">
        <w:rPr>
          <w:rFonts w:ascii="Arial" w:hAnsi="Arial" w:cs="Arial"/>
          <w:color w:val="000000" w:themeColor="text1"/>
        </w:rPr>
        <w:t xml:space="preserve"> a una persona ajena a los integrantes del consorcio o unión temporal,</w:t>
      </w:r>
      <w:r w:rsidRPr="00465A53">
        <w:rPr>
          <w:rFonts w:ascii="Arial" w:hAnsi="Arial" w:cs="Arial"/>
          <w:color w:val="000000" w:themeColor="text1"/>
        </w:rPr>
        <w:t xml:space="preserve"> y, segundo, en el caso en que la cesión no fuera posible, deberá renunciar a la ejecución del contrato</w:t>
      </w:r>
      <w:r>
        <w:rPr>
          <w:rFonts w:ascii="Arial" w:hAnsi="Arial" w:cs="Arial"/>
          <w:color w:val="000000" w:themeColor="text1"/>
        </w:rPr>
        <w:t>, y en este punto se procedería a la terminación del</w:t>
      </w:r>
      <w:r w:rsidR="001959F8">
        <w:rPr>
          <w:rFonts w:ascii="Arial" w:hAnsi="Arial" w:cs="Arial"/>
          <w:color w:val="000000" w:themeColor="text1"/>
        </w:rPr>
        <w:t xml:space="preserve"> contrato </w:t>
      </w:r>
      <w:r>
        <w:rPr>
          <w:rFonts w:ascii="Arial" w:hAnsi="Arial" w:cs="Arial"/>
          <w:color w:val="000000" w:themeColor="text1"/>
        </w:rPr>
        <w:t>y posterior liquidación</w:t>
      </w:r>
      <w:r w:rsidR="001959F8">
        <w:rPr>
          <w:rFonts w:ascii="Arial" w:hAnsi="Arial" w:cs="Arial"/>
          <w:color w:val="000000" w:themeColor="text1"/>
        </w:rPr>
        <w:t>.</w:t>
      </w:r>
    </w:p>
    <w:p w14:paraId="7A0E6F56" w14:textId="0D1268CF" w:rsidR="006B18CF" w:rsidRDefault="006B18CF" w:rsidP="006B18CF">
      <w:pPr>
        <w:spacing w:line="240" w:lineRule="auto"/>
        <w:ind w:left="709" w:right="709"/>
        <w:jc w:val="both"/>
        <w:rPr>
          <w:rFonts w:ascii="Arial" w:hAnsi="Arial" w:cs="Arial"/>
          <w:bCs/>
          <w:sz w:val="21"/>
          <w:szCs w:val="21"/>
          <w:lang w:val="es-MX" w:eastAsia="es-ES_tradnl"/>
        </w:rPr>
      </w:pPr>
      <w:r>
        <w:rPr>
          <w:rFonts w:ascii="Arial" w:hAnsi="Arial" w:cs="Arial"/>
          <w:bCs/>
          <w:sz w:val="21"/>
          <w:szCs w:val="21"/>
          <w:lang w:val="es-MX" w:eastAsia="es-ES_tradnl"/>
        </w:rPr>
        <w:t>“</w:t>
      </w:r>
      <w:r w:rsidRPr="00426FCA">
        <w:rPr>
          <w:rFonts w:ascii="Arial" w:hAnsi="Arial" w:cs="Arial"/>
          <w:bCs/>
          <w:sz w:val="21"/>
          <w:szCs w:val="21"/>
          <w:lang w:val="es-MX" w:eastAsia="es-ES_tradnl"/>
        </w:rPr>
        <w:t>2.5. ¿Cuál es la responsabilidad jurídica de los otros consorciados quienes no tienen</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inhabilidad o incompatibilidad sobreviniente para continuar con el contrato, si el</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consorciado al que le declararon la caducidad no renuncia ni desea ceder su</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participación?</w:t>
      </w:r>
      <w:r>
        <w:rPr>
          <w:rFonts w:ascii="Arial" w:hAnsi="Arial" w:cs="Arial"/>
          <w:bCs/>
          <w:sz w:val="21"/>
          <w:szCs w:val="21"/>
          <w:lang w:val="es-MX" w:eastAsia="es-ES_tradnl"/>
        </w:rPr>
        <w:t>”</w:t>
      </w:r>
    </w:p>
    <w:p w14:paraId="6CA64CA7" w14:textId="291AD760" w:rsidR="00426FCA" w:rsidRPr="00426FCA" w:rsidRDefault="00426FCA" w:rsidP="00426FCA">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2.6. ¿Cuál es la responsabilidad jurídica de los otros consorciados quienes no tienen</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inhabilidad o incompatibilidad sobreviniente para continuar con el contrato, si no se</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encuentra a otra persona natural o jurídica interesada en actuar como cesionario en el</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contrato?</w:t>
      </w:r>
    </w:p>
    <w:p w14:paraId="42D7A2DF" w14:textId="3657A00B" w:rsidR="00426FCA" w:rsidRDefault="00426FCA" w:rsidP="00426FCA">
      <w:pPr>
        <w:spacing w:line="240" w:lineRule="auto"/>
        <w:ind w:left="709" w:right="709"/>
        <w:jc w:val="both"/>
        <w:rPr>
          <w:rFonts w:ascii="Arial" w:hAnsi="Arial" w:cs="Arial"/>
          <w:bCs/>
          <w:sz w:val="21"/>
          <w:szCs w:val="21"/>
          <w:lang w:val="es-MX" w:eastAsia="es-ES_tradnl"/>
        </w:rPr>
      </w:pPr>
      <w:r w:rsidRPr="00426FCA">
        <w:rPr>
          <w:rFonts w:ascii="Arial" w:hAnsi="Arial" w:cs="Arial"/>
          <w:bCs/>
          <w:sz w:val="21"/>
          <w:szCs w:val="21"/>
          <w:lang w:val="es-MX" w:eastAsia="es-ES_tradnl"/>
        </w:rPr>
        <w:t>2.7. ¿Cuánto tiempo tiene el consorciado al que le declararon la caducidad en otro</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contrato, para gestionar la cesión del contrato otra persona natural o jurídica</w:t>
      </w:r>
      <w:r>
        <w:rPr>
          <w:rFonts w:ascii="Arial" w:hAnsi="Arial" w:cs="Arial"/>
          <w:bCs/>
          <w:sz w:val="21"/>
          <w:szCs w:val="21"/>
          <w:lang w:val="es-MX" w:eastAsia="es-ES_tradnl"/>
        </w:rPr>
        <w:t xml:space="preserve"> </w:t>
      </w:r>
      <w:r w:rsidRPr="00426FCA">
        <w:rPr>
          <w:rFonts w:ascii="Arial" w:hAnsi="Arial" w:cs="Arial"/>
          <w:bCs/>
          <w:sz w:val="21"/>
          <w:szCs w:val="21"/>
          <w:lang w:val="es-MX" w:eastAsia="es-ES_tradnl"/>
        </w:rPr>
        <w:t>interesada en actuar como cesionario?</w:t>
      </w:r>
      <w:r>
        <w:rPr>
          <w:rFonts w:ascii="Arial" w:hAnsi="Arial" w:cs="Arial"/>
          <w:bCs/>
          <w:sz w:val="21"/>
          <w:szCs w:val="21"/>
          <w:lang w:val="es-MX" w:eastAsia="es-ES_tradnl"/>
        </w:rPr>
        <w:t>”</w:t>
      </w:r>
    </w:p>
    <w:p w14:paraId="033B9538" w14:textId="53B6FF14" w:rsidR="00337069" w:rsidRDefault="00153DC9" w:rsidP="006B18CF">
      <w:pPr>
        <w:spacing w:line="276" w:lineRule="auto"/>
        <w:ind w:right="49"/>
        <w:jc w:val="both"/>
        <w:rPr>
          <w:rFonts w:ascii="Arial" w:eastAsia="Calibri" w:hAnsi="Arial" w:cs="Arial"/>
          <w:color w:val="000000" w:themeColor="text1"/>
        </w:rPr>
      </w:pPr>
      <w:r>
        <w:rPr>
          <w:rFonts w:ascii="Arial" w:eastAsia="Calibri" w:hAnsi="Arial" w:cs="Arial"/>
          <w:color w:val="000000" w:themeColor="text1"/>
        </w:rPr>
        <w:t>Sobre el tema, se ha dicho que c</w:t>
      </w:r>
      <w:r w:rsidR="00337069" w:rsidRPr="00FF277A">
        <w:rPr>
          <w:rFonts w:ascii="Arial" w:eastAsia="Calibri" w:hAnsi="Arial" w:cs="Arial"/>
          <w:color w:val="000000" w:themeColor="text1"/>
        </w:rPr>
        <w:t xml:space="preserve">uando sobreviene una inhabilidad o una incompatibilidad en uno de los integrantes del consorcio o unión temporal, el contrato se </w:t>
      </w:r>
      <w:r w:rsidR="00951E4B">
        <w:rPr>
          <w:rFonts w:ascii="Arial" w:eastAsia="Calibri" w:hAnsi="Arial" w:cs="Arial"/>
          <w:color w:val="000000" w:themeColor="text1"/>
        </w:rPr>
        <w:t xml:space="preserve">podrá </w:t>
      </w:r>
      <w:r w:rsidR="00337069" w:rsidRPr="00FF277A">
        <w:rPr>
          <w:rFonts w:ascii="Arial" w:eastAsia="Calibri" w:hAnsi="Arial" w:cs="Arial"/>
          <w:color w:val="000000" w:themeColor="text1"/>
        </w:rPr>
        <w:t xml:space="preserve">continuar ejecutando, </w:t>
      </w:r>
      <w:r w:rsidR="00951E4B">
        <w:rPr>
          <w:rFonts w:ascii="Arial" w:eastAsia="Calibri" w:hAnsi="Arial" w:cs="Arial"/>
          <w:color w:val="000000" w:themeColor="text1"/>
        </w:rPr>
        <w:t xml:space="preserve">solo si </w:t>
      </w:r>
      <w:r w:rsidR="00337069" w:rsidRPr="00FF277A">
        <w:rPr>
          <w:rFonts w:ascii="Arial" w:eastAsia="Calibri" w:hAnsi="Arial" w:cs="Arial"/>
          <w:color w:val="000000" w:themeColor="text1"/>
        </w:rPr>
        <w:t>integrante afectado por la inhabilidad cede su participación a un tercero previa autorización escrita de la entidad contratante</w:t>
      </w:r>
      <w:r w:rsidR="00951E4B">
        <w:rPr>
          <w:rFonts w:ascii="Arial" w:eastAsia="Calibri" w:hAnsi="Arial" w:cs="Arial"/>
          <w:color w:val="000000" w:themeColor="text1"/>
        </w:rPr>
        <w:t xml:space="preserve">. </w:t>
      </w:r>
      <w:r w:rsidR="00337069">
        <w:rPr>
          <w:rFonts w:ascii="Arial" w:eastAsia="Calibri" w:hAnsi="Arial" w:cs="Arial"/>
          <w:color w:val="000000" w:themeColor="text1"/>
        </w:rPr>
        <w:t>Dicha cesión resulta de suma importancia en la ejecución de las obligacionales asumidas por cada integrante ya sea de consorcio o unión temporal, cuya responsabilidad es solidaria a consideración del Consejo de Estado</w:t>
      </w:r>
      <w:r w:rsidR="00337069">
        <w:rPr>
          <w:rStyle w:val="Refdenotaalpie"/>
          <w:rFonts w:ascii="Arial" w:eastAsia="Calibri" w:hAnsi="Arial" w:cs="Arial"/>
          <w:color w:val="000000" w:themeColor="text1"/>
        </w:rPr>
        <w:footnoteReference w:id="21"/>
      </w:r>
      <w:r w:rsidR="00337069">
        <w:rPr>
          <w:rFonts w:ascii="Arial" w:eastAsia="Calibri" w:hAnsi="Arial" w:cs="Arial"/>
          <w:color w:val="000000" w:themeColor="text1"/>
        </w:rPr>
        <w:t xml:space="preserve"> frente a la Entidad Estatal, diferenciándose únicamente entre sí, que dicha responsabilidad </w:t>
      </w:r>
      <w:r w:rsidR="00951E4B">
        <w:rPr>
          <w:rFonts w:ascii="Arial" w:eastAsia="Calibri" w:hAnsi="Arial" w:cs="Arial"/>
          <w:color w:val="000000" w:themeColor="text1"/>
        </w:rPr>
        <w:t xml:space="preserve">entre los integrantes, </w:t>
      </w:r>
      <w:r w:rsidR="00337069">
        <w:rPr>
          <w:rFonts w:ascii="Arial" w:eastAsia="Calibri" w:hAnsi="Arial" w:cs="Arial"/>
          <w:color w:val="000000" w:themeColor="text1"/>
        </w:rPr>
        <w:t>recaerá sobre el alcance de las actividades por las cuales responde cada integrante según el tipo de figura asociativa, pues en la unión temporal, se limitará a las actividades asumidas por cada integrante en el acuerdo de constitución a diferencia del consorcio.</w:t>
      </w:r>
    </w:p>
    <w:p w14:paraId="7F85C02D" w14:textId="77777777" w:rsidR="00782F6C" w:rsidRPr="00606090" w:rsidRDefault="00782F6C" w:rsidP="00782F6C">
      <w:pPr>
        <w:spacing w:before="120" w:after="0" w:line="276" w:lineRule="auto"/>
        <w:jc w:val="both"/>
        <w:rPr>
          <w:rFonts w:ascii="Arial" w:eastAsia="Times New Roman" w:hAnsi="Arial" w:cs="Arial"/>
          <w:bCs/>
          <w:color w:val="000000"/>
          <w:szCs w:val="24"/>
          <w:lang w:eastAsia="es-ES_tradnl"/>
        </w:rPr>
      </w:pPr>
      <w:bookmarkStart w:id="7" w:name="_2grqrue" w:colFirst="0" w:colLast="0"/>
      <w:bookmarkEnd w:id="7"/>
      <w:r w:rsidRPr="00EF69F0">
        <w:rPr>
          <w:rFonts w:ascii="Arial" w:eastAsia="Times New Roman" w:hAnsi="Arial" w:cs="Arial"/>
          <w:color w:val="000000"/>
          <w:lang w:val="es-ES_tradnl" w:eastAsia="es-ES_tradnl"/>
        </w:rPr>
        <w:t>Este concepto tiene el alcance previsto en el artículo 28 del</w:t>
      </w:r>
      <w:r w:rsidRPr="00EF69F0">
        <w:rPr>
          <w:rFonts w:ascii="Arial" w:eastAsia="Times New Roman" w:hAnsi="Arial" w:cs="Arial"/>
          <w:color w:val="000000"/>
          <w:szCs w:val="24"/>
          <w:lang w:val="es-ES_tradnl" w:eastAsia="es-ES_tradnl"/>
        </w:rPr>
        <w:t xml:space="preserve"> Código de Procedimiento Administrativo y de lo Contencioso Administrativo </w:t>
      </w:r>
      <w:r w:rsidRPr="00EF69F0">
        <w:rPr>
          <w:rFonts w:ascii="Arial" w:eastAsia="Calibri" w:hAnsi="Arial" w:cs="Arial"/>
          <w:lang w:val="es-ES" w:eastAsia="es-MX"/>
        </w:rPr>
        <w:t xml:space="preserve">y </w:t>
      </w:r>
      <w:r w:rsidRPr="00EF69F0">
        <w:rPr>
          <w:rFonts w:ascii="Arial" w:eastAsia="Calibri" w:hAnsi="Arial" w:cs="Arial"/>
          <w:lang w:val="es-MX" w:eastAsia="es-ES_tradnl"/>
        </w:rPr>
        <w:t>las expresiones aquí utilizadas con mayúscula inicial deben ser entendidas con el significado que les otorga el artículo 2.2.1.1.1.3.1. del Decreto 1082 de 2015</w:t>
      </w:r>
      <w:r w:rsidRPr="00EF69F0">
        <w:rPr>
          <w:rFonts w:ascii="Arial" w:eastAsia="Times New Roman" w:hAnsi="Arial" w:cs="Arial"/>
          <w:lang w:val="es-ES_tradnl" w:eastAsia="es-ES_tradnl"/>
        </w:rPr>
        <w:t>.</w:t>
      </w:r>
    </w:p>
    <w:p w14:paraId="5A2F1B39" w14:textId="77777777" w:rsidR="00AB3234" w:rsidRPr="00946D59" w:rsidRDefault="00AB3234" w:rsidP="00AB3234">
      <w:pPr>
        <w:spacing w:line="276" w:lineRule="auto"/>
        <w:jc w:val="both"/>
        <w:rPr>
          <w:rFonts w:ascii="Arial" w:eastAsia="Arial" w:hAnsi="Arial" w:cs="Arial"/>
          <w:color w:val="000000"/>
          <w:lang w:eastAsia="es-ES_tradnl"/>
        </w:rPr>
      </w:pPr>
    </w:p>
    <w:p w14:paraId="5C34350B" w14:textId="77777777" w:rsidR="00AB3234" w:rsidRDefault="00AB3234" w:rsidP="00AB3234">
      <w:pPr>
        <w:spacing w:line="276" w:lineRule="auto"/>
        <w:jc w:val="both"/>
        <w:rPr>
          <w:rFonts w:ascii="Arial" w:eastAsia="Arial" w:hAnsi="Arial" w:cs="Arial"/>
          <w:color w:val="000000"/>
          <w:lang w:eastAsia="es-ES_tradnl"/>
        </w:rPr>
      </w:pPr>
      <w:r w:rsidRPr="00946D59">
        <w:rPr>
          <w:rFonts w:ascii="Arial" w:eastAsia="Arial" w:hAnsi="Arial" w:cs="Arial"/>
          <w:color w:val="000000"/>
          <w:lang w:eastAsia="es-ES_tradnl"/>
        </w:rPr>
        <w:t>Atentamente,</w:t>
      </w:r>
    </w:p>
    <w:p w14:paraId="59E3D0F2" w14:textId="7F886E5B" w:rsidR="00AB3234" w:rsidRDefault="00F32F8A" w:rsidP="006C1D0A">
      <w:pPr>
        <w:spacing w:line="276" w:lineRule="auto"/>
        <w:jc w:val="center"/>
        <w:rPr>
          <w:rFonts w:ascii="Arial" w:eastAsia="Arial" w:hAnsi="Arial" w:cs="Arial"/>
          <w:color w:val="000000"/>
          <w:lang w:eastAsia="es-ES_tradnl"/>
        </w:rPr>
      </w:pPr>
      <w:r>
        <w:rPr>
          <w:noProof/>
        </w:rPr>
        <w:drawing>
          <wp:inline distT="0" distB="0" distL="0" distR="0" wp14:anchorId="2DDC5DD5" wp14:editId="7A089269">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37258"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B3234" w:rsidRPr="00946D59" w14:paraId="3D4B436E" w14:textId="77777777" w:rsidTr="007B413E">
        <w:trPr>
          <w:trHeight w:val="315"/>
        </w:trPr>
        <w:tc>
          <w:tcPr>
            <w:tcW w:w="812" w:type="dxa"/>
            <w:vAlign w:val="center"/>
            <w:hideMark/>
          </w:tcPr>
          <w:p w14:paraId="4CAFB7BE" w14:textId="77777777" w:rsidR="00AB3234" w:rsidRPr="00946D59" w:rsidRDefault="00AB3234" w:rsidP="007B413E">
            <w:pPr>
              <w:jc w:val="both"/>
              <w:rPr>
                <w:rFonts w:ascii="Arial" w:hAnsi="Arial" w:cs="Arial"/>
                <w:sz w:val="15"/>
                <w:szCs w:val="15"/>
                <w:lang w:eastAsia="es-ES"/>
              </w:rPr>
            </w:pPr>
            <w:r w:rsidRPr="00946D59">
              <w:rPr>
                <w:rFonts w:ascii="Arial" w:hAnsi="Arial" w:cs="Arial"/>
                <w:sz w:val="15"/>
                <w:szCs w:val="15"/>
                <w:lang w:eastAsia="es-ES"/>
              </w:rPr>
              <w:t>Elaboró:</w:t>
            </w:r>
          </w:p>
        </w:tc>
        <w:tc>
          <w:tcPr>
            <w:tcW w:w="4413" w:type="dxa"/>
            <w:tcBorders>
              <w:top w:val="nil"/>
              <w:left w:val="nil"/>
              <w:bottom w:val="dotted" w:sz="4" w:space="0" w:color="7F7F7F" w:themeColor="text1" w:themeTint="80"/>
              <w:right w:val="nil"/>
            </w:tcBorders>
            <w:vAlign w:val="center"/>
            <w:hideMark/>
          </w:tcPr>
          <w:p w14:paraId="0C28D403" w14:textId="0FE127DF" w:rsidR="00AB3234" w:rsidRPr="00946D59" w:rsidRDefault="00AB3234" w:rsidP="007B413E">
            <w:pPr>
              <w:rPr>
                <w:rFonts w:ascii="Arial" w:hAnsi="Arial" w:cs="Arial"/>
                <w:sz w:val="15"/>
                <w:szCs w:val="15"/>
                <w:lang w:eastAsia="es-ES"/>
              </w:rPr>
            </w:pPr>
            <w:r>
              <w:rPr>
                <w:rFonts w:ascii="Arial" w:hAnsi="Arial" w:cs="Arial"/>
                <w:sz w:val="15"/>
                <w:szCs w:val="15"/>
                <w:lang w:eastAsia="es-ES"/>
              </w:rPr>
              <w:t>Any Alejandra Tovar Castillo</w:t>
            </w:r>
          </w:p>
          <w:p w14:paraId="155A1E5B" w14:textId="77777777" w:rsidR="00AB3234" w:rsidRPr="00946D59" w:rsidRDefault="00AB3234" w:rsidP="007B413E">
            <w:pPr>
              <w:jc w:val="both"/>
              <w:rPr>
                <w:rFonts w:ascii="Arial" w:hAnsi="Arial" w:cs="Arial"/>
                <w:sz w:val="15"/>
                <w:szCs w:val="15"/>
                <w:lang w:eastAsia="es-ES"/>
              </w:rPr>
            </w:pPr>
            <w:r w:rsidRPr="00946D59">
              <w:rPr>
                <w:rFonts w:ascii="Arial" w:hAnsi="Arial" w:cs="Arial"/>
                <w:sz w:val="15"/>
                <w:szCs w:val="15"/>
                <w:lang w:eastAsia="es-ES"/>
              </w:rPr>
              <w:t xml:space="preserve">Contratista de la Subdirección de Gestión Contractual  </w:t>
            </w:r>
          </w:p>
        </w:tc>
      </w:tr>
      <w:tr w:rsidR="00AB3234" w:rsidRPr="00946D59" w14:paraId="7F893F7D" w14:textId="77777777" w:rsidTr="007B413E">
        <w:trPr>
          <w:trHeight w:val="330"/>
        </w:trPr>
        <w:tc>
          <w:tcPr>
            <w:tcW w:w="812" w:type="dxa"/>
            <w:vAlign w:val="center"/>
            <w:hideMark/>
          </w:tcPr>
          <w:p w14:paraId="0B66998C" w14:textId="77777777" w:rsidR="00AB3234" w:rsidRPr="00946D59" w:rsidRDefault="00AB3234" w:rsidP="007B413E">
            <w:pPr>
              <w:jc w:val="both"/>
              <w:rPr>
                <w:rFonts w:ascii="Arial" w:hAnsi="Arial" w:cs="Arial"/>
                <w:sz w:val="15"/>
                <w:szCs w:val="15"/>
                <w:lang w:eastAsia="es-ES"/>
              </w:rPr>
            </w:pPr>
            <w:r w:rsidRPr="00946D59">
              <w:rPr>
                <w:rFonts w:ascii="Arial" w:hAnsi="Arial" w:cs="Arial"/>
                <w:sz w:val="15"/>
                <w:szCs w:val="15"/>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A1D4761" w14:textId="79908660" w:rsidR="00AB3234" w:rsidRPr="00946D59" w:rsidRDefault="00AB3234" w:rsidP="007B413E">
            <w:pPr>
              <w:jc w:val="both"/>
              <w:rPr>
                <w:rFonts w:ascii="Arial" w:hAnsi="Arial" w:cs="Arial"/>
                <w:sz w:val="15"/>
                <w:szCs w:val="15"/>
                <w:lang w:eastAsia="es-ES"/>
              </w:rPr>
            </w:pPr>
            <w:r>
              <w:rPr>
                <w:rFonts w:ascii="Arial" w:hAnsi="Arial" w:cs="Arial"/>
                <w:sz w:val="15"/>
                <w:szCs w:val="15"/>
                <w:lang w:eastAsia="es-ES"/>
              </w:rPr>
              <w:t>Juan David Cárdenas Cabeza</w:t>
            </w:r>
          </w:p>
          <w:p w14:paraId="504844EE" w14:textId="77777777" w:rsidR="00AB3234" w:rsidRPr="00946D59" w:rsidRDefault="00AB3234" w:rsidP="007B413E">
            <w:pPr>
              <w:jc w:val="both"/>
              <w:rPr>
                <w:rFonts w:ascii="Arial" w:hAnsi="Arial" w:cs="Arial"/>
                <w:sz w:val="15"/>
                <w:szCs w:val="15"/>
                <w:lang w:eastAsia="es-ES"/>
              </w:rPr>
            </w:pPr>
            <w:r>
              <w:rPr>
                <w:rFonts w:ascii="Arial" w:hAnsi="Arial" w:cs="Arial"/>
                <w:sz w:val="15"/>
                <w:szCs w:val="15"/>
                <w:lang w:eastAsia="es-ES"/>
              </w:rPr>
              <w:t xml:space="preserve">Contratista </w:t>
            </w:r>
            <w:r w:rsidRPr="00946D59">
              <w:rPr>
                <w:rFonts w:ascii="Arial" w:hAnsi="Arial" w:cs="Arial"/>
                <w:sz w:val="15"/>
                <w:szCs w:val="15"/>
                <w:lang w:eastAsia="es-ES"/>
              </w:rPr>
              <w:t>de la Subdirección de Gestión Contractual</w:t>
            </w:r>
          </w:p>
        </w:tc>
      </w:tr>
      <w:tr w:rsidR="00AB3234" w:rsidRPr="00946D59" w14:paraId="35FFD7C4" w14:textId="77777777" w:rsidTr="007B413E">
        <w:trPr>
          <w:trHeight w:val="300"/>
        </w:trPr>
        <w:tc>
          <w:tcPr>
            <w:tcW w:w="812" w:type="dxa"/>
            <w:vAlign w:val="center"/>
            <w:hideMark/>
          </w:tcPr>
          <w:p w14:paraId="4F55A73B" w14:textId="77777777" w:rsidR="00AB3234" w:rsidRPr="00946D59" w:rsidRDefault="00AB3234" w:rsidP="007B413E">
            <w:pPr>
              <w:jc w:val="both"/>
              <w:rPr>
                <w:rFonts w:ascii="Arial" w:hAnsi="Arial" w:cs="Arial"/>
                <w:sz w:val="15"/>
                <w:szCs w:val="15"/>
                <w:lang w:eastAsia="es-ES"/>
              </w:rPr>
            </w:pPr>
            <w:r w:rsidRPr="00946D59">
              <w:rPr>
                <w:rFonts w:ascii="Arial" w:hAnsi="Arial" w:cs="Arial"/>
                <w:sz w:val="15"/>
                <w:szCs w:val="15"/>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3FD4FFD" w14:textId="77777777" w:rsidR="00AB3234" w:rsidRPr="00B96B95" w:rsidRDefault="00AB3234" w:rsidP="007B413E">
            <w:pPr>
              <w:jc w:val="both"/>
              <w:rPr>
                <w:rFonts w:ascii="Arial" w:hAnsi="Arial" w:cs="Arial"/>
                <w:sz w:val="15"/>
                <w:szCs w:val="15"/>
                <w:lang w:eastAsia="es-ES"/>
              </w:rPr>
            </w:pPr>
            <w:r w:rsidRPr="00B96B95">
              <w:rPr>
                <w:rFonts w:ascii="Arial" w:hAnsi="Arial" w:cs="Arial"/>
                <w:sz w:val="15"/>
                <w:szCs w:val="15"/>
                <w:lang w:eastAsia="es-ES"/>
              </w:rPr>
              <w:t>Nohelia del Carmen Zawady Palacio</w:t>
            </w:r>
          </w:p>
          <w:p w14:paraId="47F25050" w14:textId="77777777" w:rsidR="00AB3234" w:rsidRPr="00946D59" w:rsidRDefault="00AB3234" w:rsidP="007B413E">
            <w:pPr>
              <w:jc w:val="both"/>
              <w:rPr>
                <w:rFonts w:ascii="Arial" w:hAnsi="Arial" w:cs="Arial"/>
                <w:sz w:val="15"/>
                <w:szCs w:val="15"/>
                <w:lang w:eastAsia="es-ES"/>
              </w:rPr>
            </w:pPr>
            <w:r w:rsidRPr="00B96B95">
              <w:rPr>
                <w:rFonts w:ascii="Arial" w:hAnsi="Arial" w:cs="Arial"/>
                <w:sz w:val="15"/>
                <w:szCs w:val="15"/>
                <w:lang w:eastAsia="es-ES"/>
              </w:rPr>
              <w:t>Subdirectora de Gestión Contractual ANCP – CCE</w:t>
            </w:r>
          </w:p>
        </w:tc>
      </w:tr>
    </w:tbl>
    <w:p w14:paraId="0F293BF4" w14:textId="0F6FB6C1" w:rsidR="00127233" w:rsidRPr="00AB3234" w:rsidRDefault="00127233" w:rsidP="00AB3234"/>
    <w:sectPr w:rsidR="00127233" w:rsidRPr="00AB3234"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08A8" w14:textId="77777777" w:rsidR="006E137D" w:rsidRDefault="006E137D" w:rsidP="004A1847">
      <w:pPr>
        <w:spacing w:after="0" w:line="240" w:lineRule="auto"/>
      </w:pPr>
      <w:r>
        <w:separator/>
      </w:r>
    </w:p>
  </w:endnote>
  <w:endnote w:type="continuationSeparator" w:id="0">
    <w:p w14:paraId="26918011" w14:textId="77777777" w:rsidR="006E137D" w:rsidRDefault="006E137D" w:rsidP="004A1847">
      <w:pPr>
        <w:spacing w:after="0" w:line="240" w:lineRule="auto"/>
      </w:pPr>
      <w:r>
        <w:continuationSeparator/>
      </w:r>
    </w:p>
  </w:endnote>
  <w:endnote w:type="continuationNotice" w:id="1">
    <w:p w14:paraId="67205754" w14:textId="77777777" w:rsidR="006E137D" w:rsidRDefault="006E1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E990" w14:textId="77777777" w:rsidR="006E137D" w:rsidRDefault="006E137D" w:rsidP="004A1847">
      <w:pPr>
        <w:spacing w:after="0" w:line="240" w:lineRule="auto"/>
      </w:pPr>
      <w:r>
        <w:separator/>
      </w:r>
    </w:p>
  </w:footnote>
  <w:footnote w:type="continuationSeparator" w:id="0">
    <w:p w14:paraId="3BA259E5" w14:textId="77777777" w:rsidR="006E137D" w:rsidRDefault="006E137D" w:rsidP="004A1847">
      <w:pPr>
        <w:spacing w:after="0" w:line="240" w:lineRule="auto"/>
      </w:pPr>
      <w:r>
        <w:continuationSeparator/>
      </w:r>
    </w:p>
  </w:footnote>
  <w:footnote w:type="continuationNotice" w:id="1">
    <w:p w14:paraId="0DEB252C" w14:textId="77777777" w:rsidR="006E137D" w:rsidRDefault="006E137D">
      <w:pPr>
        <w:spacing w:after="0" w:line="240" w:lineRule="auto"/>
      </w:pPr>
    </w:p>
  </w:footnote>
  <w:footnote w:id="2">
    <w:p w14:paraId="5ABEED27" w14:textId="2FCDD300" w:rsidR="00AB3234" w:rsidRPr="008F6480" w:rsidRDefault="00AB3234" w:rsidP="00413AE5">
      <w:pPr>
        <w:pStyle w:val="Textonotapie"/>
        <w:ind w:firstLine="708"/>
        <w:jc w:val="both"/>
        <w:rPr>
          <w:rFonts w:ascii="Arial" w:hAnsi="Arial" w:cs="Arial"/>
          <w:sz w:val="12"/>
          <w:szCs w:val="12"/>
          <w:lang w:val="es-ES"/>
        </w:rPr>
      </w:pPr>
      <w:r w:rsidRPr="008F6480">
        <w:rPr>
          <w:rStyle w:val="Refdenotaalpie"/>
          <w:rFonts w:ascii="Arial" w:hAnsi="Arial" w:cs="Arial"/>
          <w:sz w:val="12"/>
          <w:szCs w:val="12"/>
        </w:rPr>
        <w:footnoteRef/>
      </w:r>
      <w:r w:rsidRPr="008F6480">
        <w:rPr>
          <w:rFonts w:ascii="Arial" w:hAnsi="Arial" w:cs="Arial"/>
          <w:sz w:val="12"/>
          <w:szCs w:val="12"/>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F6480">
        <w:rPr>
          <w:rFonts w:ascii="Arial" w:hAnsi="Arial" w:cs="Arial"/>
          <w:i/>
          <w:iCs/>
          <w:sz w:val="12"/>
          <w:szCs w:val="12"/>
        </w:rPr>
        <w:t xml:space="preserve">ibidem </w:t>
      </w:r>
      <w:r w:rsidRPr="008F6480">
        <w:rPr>
          <w:rFonts w:ascii="Arial" w:hAnsi="Arial" w:cs="Arial"/>
          <w:sz w:val="12"/>
          <w:szCs w:val="12"/>
        </w:rPr>
        <w:t xml:space="preserve">señala, de manera precisa, las funciones de Colombia Compra Eficiente. Concretamente, el numeral 5º de este artículo establece que le corresponde a esta entidad: </w:t>
      </w:r>
      <w:r w:rsidR="009E39A5" w:rsidRPr="008F6480">
        <w:rPr>
          <w:rFonts w:ascii="Arial" w:hAnsi="Arial" w:cs="Arial"/>
          <w:sz w:val="12"/>
          <w:szCs w:val="12"/>
        </w:rPr>
        <w:t>“</w:t>
      </w:r>
      <w:r w:rsidRPr="008F6480">
        <w:rPr>
          <w:rFonts w:ascii="Arial" w:hAnsi="Arial" w:cs="Arial"/>
          <w:sz w:val="12"/>
          <w:szCs w:val="12"/>
        </w:rPr>
        <w:t>[a]bsolver consultas sobre la aplicación de normas de carácter general y expedir circulares externas en materia de compras y contratación pública</w:t>
      </w:r>
      <w:r w:rsidR="009E39A5" w:rsidRPr="008F6480">
        <w:rPr>
          <w:rFonts w:ascii="Arial" w:hAnsi="Arial" w:cs="Arial"/>
          <w:sz w:val="12"/>
          <w:szCs w:val="12"/>
        </w:rPr>
        <w:t>”</w:t>
      </w:r>
      <w:r w:rsidRPr="008F6480">
        <w:rPr>
          <w:rFonts w:ascii="Arial" w:hAnsi="Arial" w:cs="Arial"/>
          <w:sz w:val="12"/>
          <w:szCs w:val="12"/>
        </w:rPr>
        <w:t xml:space="preserve">. Seguidamente, el numeral 8º del artículo 11 ibidem señala que es función de la Subdirección de Gestión Contractual: </w:t>
      </w:r>
      <w:r w:rsidR="009E39A5" w:rsidRPr="008F6480">
        <w:rPr>
          <w:rFonts w:ascii="Arial" w:hAnsi="Arial" w:cs="Arial"/>
          <w:sz w:val="12"/>
          <w:szCs w:val="12"/>
        </w:rPr>
        <w:t>“</w:t>
      </w:r>
      <w:r w:rsidRPr="008F6480">
        <w:rPr>
          <w:rFonts w:ascii="Arial" w:hAnsi="Arial" w:cs="Arial"/>
          <w:sz w:val="12"/>
          <w:szCs w:val="12"/>
        </w:rPr>
        <w:t>[a]bsolver consultas sobre la aplicación de normas de carácter general</w:t>
      </w:r>
      <w:r w:rsidR="009E39A5" w:rsidRPr="008F6480">
        <w:rPr>
          <w:rFonts w:ascii="Arial" w:hAnsi="Arial" w:cs="Arial"/>
          <w:sz w:val="12"/>
          <w:szCs w:val="12"/>
        </w:rPr>
        <w:t>”</w:t>
      </w:r>
      <w:r w:rsidRPr="008F6480">
        <w:rPr>
          <w:rFonts w:ascii="Arial" w:hAnsi="Arial" w:cs="Arial"/>
          <w:sz w:val="12"/>
          <w:szCs w:val="12"/>
        </w:rPr>
        <w:t>.</w:t>
      </w:r>
    </w:p>
  </w:footnote>
  <w:footnote w:id="3">
    <w:p w14:paraId="699CD1E6" w14:textId="77777777" w:rsidR="00AB3234" w:rsidRPr="008F6480" w:rsidRDefault="00AB3234" w:rsidP="00413AE5">
      <w:pPr>
        <w:pStyle w:val="Textonotapie"/>
        <w:ind w:firstLine="709"/>
        <w:jc w:val="both"/>
        <w:rPr>
          <w:rFonts w:ascii="Arial" w:hAnsi="Arial" w:cs="Arial"/>
          <w:sz w:val="12"/>
          <w:szCs w:val="12"/>
          <w:lang w:val="es-ES"/>
        </w:rPr>
      </w:pPr>
      <w:r w:rsidRPr="008F6480">
        <w:rPr>
          <w:rStyle w:val="Refdenotaalpie"/>
          <w:rFonts w:ascii="Arial" w:hAnsi="Arial" w:cs="Arial"/>
          <w:sz w:val="12"/>
          <w:szCs w:val="12"/>
        </w:rPr>
        <w:footnoteRef/>
      </w:r>
      <w:r w:rsidRPr="008F6480">
        <w:rPr>
          <w:rFonts w:ascii="Arial" w:hAnsi="Arial" w:cs="Arial"/>
          <w:sz w:val="12"/>
          <w:szCs w:val="12"/>
        </w:rPr>
        <w:t xml:space="preserve"> DÁVILA VINUEZA, Luis Guillermo. </w:t>
      </w:r>
      <w:r w:rsidRPr="008F6480">
        <w:rPr>
          <w:rFonts w:ascii="Arial" w:hAnsi="Arial" w:cs="Arial"/>
          <w:sz w:val="12"/>
          <w:szCs w:val="12"/>
          <w:lang w:val="es-ES"/>
        </w:rPr>
        <w:t xml:space="preserve">Régimen Jurídico De La Contratación Estatal. Recuperado de https://xperta.legis.co, Capítulo VI Inhabilidades e Incompatibilidades, Sección 2 Interpretación Restrictiva. </w:t>
      </w:r>
    </w:p>
    <w:p w14:paraId="402D5180" w14:textId="77777777" w:rsidR="00AB3234" w:rsidRPr="008F6480" w:rsidRDefault="00AB3234" w:rsidP="00413AE5">
      <w:pPr>
        <w:pStyle w:val="Textonotapie"/>
        <w:ind w:firstLine="709"/>
        <w:jc w:val="both"/>
        <w:rPr>
          <w:rFonts w:ascii="Arial" w:hAnsi="Arial" w:cs="Arial"/>
          <w:sz w:val="12"/>
          <w:szCs w:val="12"/>
          <w:lang w:val="es-ES"/>
        </w:rPr>
      </w:pPr>
    </w:p>
  </w:footnote>
  <w:footnote w:id="4">
    <w:p w14:paraId="259C7963" w14:textId="77777777" w:rsidR="00AB3234" w:rsidRPr="008F6480" w:rsidRDefault="00AB3234" w:rsidP="00413AE5">
      <w:pPr>
        <w:pStyle w:val="Textonotapie"/>
        <w:ind w:firstLine="709"/>
        <w:jc w:val="both"/>
        <w:rPr>
          <w:rFonts w:ascii="Arial" w:hAnsi="Arial" w:cs="Arial"/>
          <w:sz w:val="12"/>
          <w:szCs w:val="12"/>
          <w:lang w:val="es-ES"/>
        </w:rPr>
      </w:pPr>
      <w:r w:rsidRPr="008F6480">
        <w:rPr>
          <w:rStyle w:val="Refdenotaalpie"/>
          <w:rFonts w:ascii="Arial" w:hAnsi="Arial" w:cs="Arial"/>
          <w:sz w:val="12"/>
          <w:szCs w:val="12"/>
        </w:rPr>
        <w:footnoteRef/>
      </w:r>
      <w:r w:rsidRPr="008F6480">
        <w:rPr>
          <w:rFonts w:ascii="Arial" w:hAnsi="Arial" w:cs="Arial"/>
          <w:sz w:val="12"/>
          <w:szCs w:val="12"/>
        </w:rPr>
        <w:t xml:space="preserve"> </w:t>
      </w:r>
      <w:r w:rsidRPr="008F6480">
        <w:rPr>
          <w:rFonts w:ascii="Arial" w:hAnsi="Arial" w:cs="Arial"/>
          <w:sz w:val="12"/>
          <w:szCs w:val="12"/>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7EE9954A" w14:textId="77777777" w:rsidR="00AB3234" w:rsidRPr="008F6480" w:rsidRDefault="00AB3234" w:rsidP="00413AE5">
      <w:pPr>
        <w:pStyle w:val="Textonotapie"/>
        <w:ind w:firstLine="709"/>
        <w:jc w:val="both"/>
        <w:rPr>
          <w:rFonts w:ascii="Arial" w:hAnsi="Arial" w:cs="Arial"/>
          <w:sz w:val="12"/>
          <w:szCs w:val="12"/>
          <w:lang w:val="es-ES"/>
        </w:rPr>
      </w:pPr>
    </w:p>
  </w:footnote>
  <w:footnote w:id="5">
    <w:p w14:paraId="62113F47" w14:textId="77777777" w:rsidR="00AB3234" w:rsidRPr="008F6480" w:rsidRDefault="00AB3234" w:rsidP="00413AE5">
      <w:pPr>
        <w:pStyle w:val="Textonotapie"/>
        <w:ind w:firstLine="709"/>
        <w:jc w:val="both"/>
        <w:rPr>
          <w:rFonts w:ascii="Arial" w:hAnsi="Arial" w:cs="Arial"/>
          <w:sz w:val="12"/>
          <w:szCs w:val="12"/>
          <w:lang w:val="es-ES"/>
        </w:rPr>
      </w:pPr>
      <w:r w:rsidRPr="008F6480">
        <w:rPr>
          <w:rStyle w:val="Refdenotaalpie"/>
          <w:rFonts w:ascii="Arial" w:hAnsi="Arial" w:cs="Arial"/>
          <w:sz w:val="12"/>
          <w:szCs w:val="12"/>
        </w:rPr>
        <w:footnoteRef/>
      </w:r>
      <w:r w:rsidRPr="008F6480">
        <w:rPr>
          <w:rFonts w:ascii="Arial" w:hAnsi="Arial" w:cs="Arial"/>
          <w:sz w:val="12"/>
          <w:szCs w:val="12"/>
        </w:rPr>
        <w:t xml:space="preserve"> </w:t>
      </w:r>
      <w:r w:rsidRPr="008F6480">
        <w:rPr>
          <w:rFonts w:ascii="Arial" w:hAnsi="Arial" w:cs="Arial"/>
          <w:sz w:val="12"/>
          <w:szCs w:val="12"/>
          <w:lang w:val="es-ES"/>
        </w:rPr>
        <w:t>CONSEJO DE ESTADO. Sala de Consulta y Servicio Civil. Concepto del 30 de abril de 2015. Exp. 2251. Consejero Ponente: Álvaro Namén Vargas.</w:t>
      </w:r>
    </w:p>
    <w:p w14:paraId="4AB56953" w14:textId="77777777" w:rsidR="00AB3234" w:rsidRPr="008F6480" w:rsidRDefault="00AB3234" w:rsidP="00413AE5">
      <w:pPr>
        <w:pStyle w:val="Textonotapie"/>
        <w:ind w:firstLine="709"/>
        <w:jc w:val="both"/>
        <w:rPr>
          <w:rFonts w:ascii="Arial" w:hAnsi="Arial" w:cs="Arial"/>
          <w:sz w:val="12"/>
          <w:szCs w:val="12"/>
          <w:lang w:val="es-ES"/>
        </w:rPr>
      </w:pPr>
    </w:p>
  </w:footnote>
  <w:footnote w:id="6">
    <w:p w14:paraId="2C966986" w14:textId="77777777" w:rsidR="00AB3234" w:rsidRPr="008F6480" w:rsidRDefault="00AB3234" w:rsidP="00413AE5">
      <w:pPr>
        <w:pStyle w:val="Textonotapie"/>
        <w:ind w:firstLine="709"/>
        <w:jc w:val="both"/>
        <w:rPr>
          <w:rFonts w:ascii="Arial" w:hAnsi="Arial" w:cs="Arial"/>
          <w:sz w:val="12"/>
          <w:szCs w:val="12"/>
        </w:rPr>
      </w:pPr>
      <w:r w:rsidRPr="008F6480">
        <w:rPr>
          <w:rStyle w:val="Refdenotaalpie"/>
          <w:rFonts w:ascii="Arial" w:hAnsi="Arial" w:cs="Arial"/>
          <w:sz w:val="12"/>
          <w:szCs w:val="12"/>
        </w:rPr>
        <w:footnoteRef/>
      </w:r>
      <w:r w:rsidRPr="008F6480">
        <w:rPr>
          <w:rFonts w:ascii="Arial" w:hAnsi="Arial" w:cs="Arial"/>
          <w:sz w:val="12"/>
          <w:szCs w:val="12"/>
        </w:rPr>
        <w:t xml:space="preserve"> CONSEJO DE ESTADO. Sección Tercera. Subsección A. Sentencia del 24 de junio de 2015. Rad. 40.635. Consejero Ponente: Hernán Andrade Rincón (E).</w:t>
      </w:r>
    </w:p>
  </w:footnote>
  <w:footnote w:id="7">
    <w:p w14:paraId="215B0163" w14:textId="77777777" w:rsidR="00AB3234" w:rsidRPr="008F6480" w:rsidRDefault="00AB3234" w:rsidP="00413AE5">
      <w:pPr>
        <w:pStyle w:val="Textonotapie"/>
        <w:ind w:firstLine="709"/>
        <w:jc w:val="both"/>
        <w:rPr>
          <w:rFonts w:ascii="Arial" w:hAnsi="Arial" w:cs="Arial"/>
          <w:sz w:val="12"/>
          <w:szCs w:val="12"/>
        </w:rPr>
      </w:pPr>
      <w:r w:rsidRPr="008F6480">
        <w:rPr>
          <w:rStyle w:val="Refdenotaalpie"/>
          <w:rFonts w:ascii="Arial" w:hAnsi="Arial" w:cs="Arial"/>
          <w:sz w:val="12"/>
          <w:szCs w:val="12"/>
        </w:rPr>
        <w:footnoteRef/>
      </w:r>
      <w:r w:rsidRPr="008F6480">
        <w:rPr>
          <w:rFonts w:ascii="Arial" w:hAnsi="Arial" w:cs="Arial"/>
          <w:sz w:val="12"/>
          <w:szCs w:val="12"/>
        </w:rPr>
        <w:t xml:space="preserve"> CONSEJO DE ESTADO. Sección Tercera. Subsección C. Sentencia del 22 de mayo de 2013. Rad. 24.057. Consejera Ponente: Olga Melida Valle De De La Hoz.</w:t>
      </w:r>
    </w:p>
  </w:footnote>
  <w:footnote w:id="8">
    <w:p w14:paraId="3B510649" w14:textId="77777777" w:rsidR="00AB3234" w:rsidRPr="008F6480" w:rsidRDefault="00AB3234" w:rsidP="00413AE5">
      <w:pPr>
        <w:pStyle w:val="Textonotapie"/>
        <w:ind w:firstLine="709"/>
        <w:jc w:val="both"/>
        <w:rPr>
          <w:rFonts w:ascii="Arial" w:hAnsi="Arial" w:cs="Arial"/>
          <w:sz w:val="12"/>
          <w:szCs w:val="12"/>
        </w:rPr>
      </w:pPr>
      <w:r w:rsidRPr="008F6480">
        <w:rPr>
          <w:rStyle w:val="Refdenotaalpie"/>
          <w:rFonts w:ascii="Arial" w:hAnsi="Arial" w:cs="Arial"/>
          <w:sz w:val="12"/>
          <w:szCs w:val="12"/>
        </w:rPr>
        <w:footnoteRef/>
      </w:r>
      <w:r w:rsidRPr="008F6480">
        <w:rPr>
          <w:rFonts w:ascii="Arial" w:hAnsi="Arial" w:cs="Arial"/>
          <w:sz w:val="12"/>
          <w:szCs w:val="12"/>
        </w:rPr>
        <w:t xml:space="preserve"> CORTE CONSTITUCIONAL. Sentencia C-1016 de 2012. M.P. Jorge Iván Palacio. </w:t>
      </w:r>
    </w:p>
  </w:footnote>
  <w:footnote w:id="9">
    <w:p w14:paraId="2E6AF7C3" w14:textId="77777777" w:rsidR="00AB3234" w:rsidRPr="008F6480" w:rsidRDefault="00AB3234" w:rsidP="00413AE5">
      <w:pPr>
        <w:pStyle w:val="Textonotapie"/>
        <w:ind w:firstLine="709"/>
        <w:jc w:val="both"/>
        <w:rPr>
          <w:rFonts w:ascii="Arial" w:hAnsi="Arial" w:cs="Arial"/>
          <w:sz w:val="12"/>
          <w:szCs w:val="12"/>
        </w:rPr>
      </w:pPr>
      <w:r w:rsidRPr="008F6480">
        <w:rPr>
          <w:rStyle w:val="Refdenotaalpie"/>
          <w:rFonts w:ascii="Arial" w:hAnsi="Arial" w:cs="Arial"/>
          <w:sz w:val="12"/>
          <w:szCs w:val="12"/>
        </w:rPr>
        <w:footnoteRef/>
      </w:r>
      <w:r w:rsidRPr="008F6480">
        <w:rPr>
          <w:rFonts w:ascii="Arial" w:hAnsi="Arial" w:cs="Arial"/>
          <w:sz w:val="12"/>
          <w:szCs w:val="12"/>
        </w:rPr>
        <w:t xml:space="preserve"> CONSEJO DE ESTADO. Sección Tercera. Subsección A. Sentencia del 13 de noviembre de 2013. Rad. 25.646. C.P. Mauricio Fajardo Gómez. </w:t>
      </w:r>
    </w:p>
    <w:p w14:paraId="58AFB421" w14:textId="77777777" w:rsidR="00AB3234" w:rsidRPr="008F6480" w:rsidRDefault="00AB3234" w:rsidP="00413AE5">
      <w:pPr>
        <w:pStyle w:val="Textonotapie"/>
        <w:ind w:firstLine="709"/>
        <w:jc w:val="both"/>
        <w:rPr>
          <w:rFonts w:ascii="Arial" w:hAnsi="Arial" w:cs="Arial"/>
          <w:sz w:val="12"/>
          <w:szCs w:val="12"/>
        </w:rPr>
      </w:pPr>
      <w:r w:rsidRPr="008F6480">
        <w:rPr>
          <w:rFonts w:ascii="Arial" w:hAnsi="Arial" w:cs="Arial"/>
          <w:sz w:val="12"/>
          <w:szCs w:val="12"/>
        </w:rPr>
        <w:t xml:space="preserve"> </w:t>
      </w:r>
    </w:p>
  </w:footnote>
  <w:footnote w:id="10">
    <w:p w14:paraId="679E29FB" w14:textId="77777777" w:rsidR="00AB3234" w:rsidRPr="008F6480" w:rsidRDefault="00AB3234" w:rsidP="00413AE5">
      <w:pPr>
        <w:pStyle w:val="Textonotapie"/>
        <w:ind w:firstLine="709"/>
        <w:jc w:val="both"/>
        <w:rPr>
          <w:rFonts w:ascii="Arial" w:hAnsi="Arial" w:cs="Arial"/>
          <w:sz w:val="12"/>
          <w:szCs w:val="12"/>
        </w:rPr>
      </w:pPr>
      <w:r w:rsidRPr="008F6480">
        <w:rPr>
          <w:rFonts w:ascii="Arial" w:hAnsi="Arial" w:cs="Arial"/>
          <w:sz w:val="12"/>
          <w:szCs w:val="12"/>
          <w:vertAlign w:val="superscript"/>
        </w:rPr>
        <w:footnoteRef/>
      </w:r>
      <w:r w:rsidRPr="008F6480">
        <w:rPr>
          <w:rFonts w:ascii="Arial" w:hAnsi="Arial" w:cs="Arial"/>
          <w:sz w:val="12"/>
          <w:szCs w:val="12"/>
        </w:rPr>
        <w:t xml:space="preserve"> CORTE CONSTITUCIONAL. Sentencia C-415 de 1994. M.P. Eduardo Cifuentes Muñoz. </w:t>
      </w:r>
    </w:p>
    <w:p w14:paraId="39BD73C7" w14:textId="77777777" w:rsidR="00AB3234" w:rsidRPr="008F6480" w:rsidRDefault="00AB3234" w:rsidP="00413AE5">
      <w:pPr>
        <w:pStyle w:val="Textonotapie"/>
        <w:ind w:firstLine="709"/>
        <w:jc w:val="both"/>
        <w:rPr>
          <w:rFonts w:ascii="Arial" w:hAnsi="Arial" w:cs="Arial"/>
          <w:sz w:val="12"/>
          <w:szCs w:val="12"/>
        </w:rPr>
      </w:pPr>
    </w:p>
  </w:footnote>
  <w:footnote w:id="11">
    <w:p w14:paraId="340F5ADB" w14:textId="39796D2D" w:rsidR="00AB3234" w:rsidRPr="008F6480" w:rsidRDefault="00AB3234" w:rsidP="00413AE5">
      <w:pPr>
        <w:pStyle w:val="Textonotapie"/>
        <w:ind w:firstLine="709"/>
        <w:jc w:val="both"/>
        <w:rPr>
          <w:rFonts w:ascii="Arial" w:hAnsi="Arial" w:cs="Arial"/>
          <w:sz w:val="12"/>
          <w:szCs w:val="12"/>
        </w:rPr>
      </w:pPr>
      <w:r w:rsidRPr="008F6480">
        <w:rPr>
          <w:rStyle w:val="Refdenotaalpie"/>
          <w:rFonts w:ascii="Arial" w:hAnsi="Arial" w:cs="Arial"/>
          <w:sz w:val="12"/>
          <w:szCs w:val="12"/>
        </w:rPr>
        <w:footnoteRef/>
      </w:r>
      <w:r w:rsidRPr="008F6480">
        <w:rPr>
          <w:rFonts w:ascii="Arial" w:hAnsi="Arial" w:cs="Arial"/>
          <w:sz w:val="12"/>
          <w:szCs w:val="12"/>
        </w:rPr>
        <w:t xml:space="preserve"> </w:t>
      </w:r>
      <w:r w:rsidR="005354E9" w:rsidRPr="008F6480">
        <w:rPr>
          <w:rFonts w:ascii="Arial" w:hAnsi="Arial" w:cs="Arial"/>
          <w:sz w:val="12"/>
          <w:szCs w:val="12"/>
        </w:rPr>
        <w:t>Ibidem</w:t>
      </w:r>
      <w:r w:rsidRPr="008F6480">
        <w:rPr>
          <w:rFonts w:ascii="Arial" w:hAnsi="Arial" w:cs="Arial"/>
          <w:sz w:val="12"/>
          <w:szCs w:val="12"/>
        </w:rPr>
        <w:t xml:space="preserve">. </w:t>
      </w:r>
    </w:p>
  </w:footnote>
  <w:footnote w:id="12">
    <w:p w14:paraId="4C1D5AED" w14:textId="77777777" w:rsidR="00AB3234" w:rsidRPr="008F6480" w:rsidRDefault="00AB3234" w:rsidP="00413AE5">
      <w:pPr>
        <w:pStyle w:val="Textonotapie"/>
        <w:ind w:firstLine="709"/>
        <w:jc w:val="both"/>
        <w:rPr>
          <w:rFonts w:ascii="Arial" w:hAnsi="Arial" w:cs="Arial"/>
          <w:sz w:val="12"/>
          <w:szCs w:val="12"/>
        </w:rPr>
      </w:pPr>
    </w:p>
    <w:p w14:paraId="1D3607FF" w14:textId="77777777" w:rsidR="00AB3234" w:rsidRPr="008F6480" w:rsidRDefault="00AB3234" w:rsidP="00413AE5">
      <w:pPr>
        <w:pStyle w:val="Textonotapie"/>
        <w:ind w:firstLine="709"/>
        <w:jc w:val="both"/>
        <w:rPr>
          <w:rFonts w:ascii="Arial" w:hAnsi="Arial" w:cs="Arial"/>
          <w:sz w:val="12"/>
          <w:szCs w:val="12"/>
        </w:rPr>
      </w:pPr>
      <w:r w:rsidRPr="008F6480">
        <w:rPr>
          <w:rStyle w:val="Refdenotaalpie"/>
          <w:rFonts w:ascii="Arial" w:hAnsi="Arial" w:cs="Arial"/>
          <w:sz w:val="12"/>
          <w:szCs w:val="12"/>
        </w:rPr>
        <w:footnoteRef/>
      </w:r>
      <w:r w:rsidRPr="008F6480">
        <w:rPr>
          <w:rFonts w:ascii="Arial" w:hAnsi="Arial" w:cs="Arial"/>
          <w:sz w:val="12"/>
          <w:szCs w:val="12"/>
        </w:rPr>
        <w:t xml:space="preserve"> CORTE CONSTITUCIONAL. Sentencia C-780 de 2001. M.P. Jaime Córdoba Triviño. </w:t>
      </w:r>
    </w:p>
  </w:footnote>
  <w:footnote w:id="13">
    <w:p w14:paraId="3CDD8992" w14:textId="77777777" w:rsidR="00AB3234" w:rsidRPr="008F6480" w:rsidRDefault="00AB3234" w:rsidP="00413AE5">
      <w:pPr>
        <w:pStyle w:val="NormalWeb"/>
        <w:spacing w:before="0" w:beforeAutospacing="0" w:after="0" w:afterAutospacing="0"/>
        <w:ind w:firstLine="709"/>
        <w:jc w:val="both"/>
        <w:rPr>
          <w:rFonts w:ascii="Arial" w:hAnsi="Arial" w:cs="Arial"/>
          <w:sz w:val="12"/>
          <w:szCs w:val="12"/>
        </w:rPr>
      </w:pPr>
    </w:p>
    <w:p w14:paraId="19F367E7" w14:textId="37E41A89" w:rsidR="00AB3234" w:rsidRPr="008F6480" w:rsidRDefault="00AB3234"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Style w:val="Refdenotaalpie"/>
          <w:rFonts w:ascii="Arial" w:hAnsi="Arial" w:cs="Arial"/>
          <w:sz w:val="12"/>
          <w:szCs w:val="12"/>
        </w:rPr>
        <w:footnoteRef/>
      </w:r>
      <w:r w:rsidRPr="008F6480">
        <w:rPr>
          <w:rFonts w:ascii="Arial" w:hAnsi="Arial" w:cs="Arial"/>
          <w:sz w:val="12"/>
          <w:szCs w:val="12"/>
        </w:rPr>
        <w:t xml:space="preserve"> </w:t>
      </w:r>
      <w:r w:rsidRPr="008F6480">
        <w:rPr>
          <w:rFonts w:ascii="Arial" w:eastAsiaTheme="minorHAnsi" w:hAnsi="Arial" w:cs="Arial"/>
          <w:sz w:val="12"/>
          <w:szCs w:val="12"/>
          <w:lang w:val="es-ES" w:eastAsia="en-US"/>
        </w:rPr>
        <w:t xml:space="preserve">Ley 80 de 1993: </w:t>
      </w:r>
      <w:r w:rsidR="009E39A5" w:rsidRPr="008F6480">
        <w:rPr>
          <w:rFonts w:ascii="Arial" w:eastAsiaTheme="minorHAnsi" w:hAnsi="Arial" w:cs="Arial"/>
          <w:sz w:val="12"/>
          <w:szCs w:val="12"/>
          <w:lang w:val="es-ES" w:eastAsia="en-US"/>
        </w:rPr>
        <w:t>“</w:t>
      </w:r>
      <w:r w:rsidRPr="008F6480">
        <w:rPr>
          <w:rFonts w:ascii="Arial" w:eastAsiaTheme="minorHAnsi" w:hAnsi="Arial" w:cs="Arial"/>
          <w:sz w:val="12"/>
          <w:szCs w:val="12"/>
          <w:lang w:val="es-ES" w:eastAsia="en-US"/>
        </w:rPr>
        <w:t>Artículo 8: 1o. Son inhábiles para participar en licitaciones o concursos y para celebrar contratos con las entidades estatales: </w:t>
      </w:r>
    </w:p>
    <w:p w14:paraId="29E5D5CC" w14:textId="5B4B17E9"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a) Las personas que se hallen inhabilitadas para contratar por la Constitución y las leyes. </w:t>
      </w:r>
    </w:p>
    <w:p w14:paraId="7147B485" w14:textId="58AA136B"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b) Quienes participaron en las licitaciones o concursos o celebraron los contratos de que trata el literal anterior estando inhabilitados. </w:t>
      </w:r>
    </w:p>
    <w:p w14:paraId="66E5421B" w14:textId="190719B0"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c) Quienes dieron lugar a la declaratoria de caducidad. </w:t>
      </w:r>
    </w:p>
    <w:p w14:paraId="04260651" w14:textId="5283E105"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d) Quienes en sentencia judicial hayan sido condenados a la pena accesoria de interdicción de derechos y funciones públicas y quienes hayan sido sancionados disciplinariamente con destitución. </w:t>
      </w:r>
    </w:p>
    <w:p w14:paraId="41CCF23F" w14:textId="7BEDA040"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e) Quienes sin justa causa se abstengan de suscribir el contrato estatal adjudicado. </w:t>
      </w:r>
    </w:p>
    <w:p w14:paraId="6E7623CA" w14:textId="65BB1990"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f) Los servidores públicos. </w:t>
      </w:r>
    </w:p>
    <w:p w14:paraId="4547F278" w14:textId="3ED377D8"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742DC99F" w14:textId="6C5A93A3"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1B9CC569" w14:textId="21D8DD74"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i) Los socios de sociedades de personas a las cuales se haya declarado la caducidad, así como las sociedades de personas de las que aquellos formen parte con posterioridad a dicha declaratoria. </w:t>
      </w:r>
    </w:p>
    <w:p w14:paraId="684E0F4E" w14:textId="016D193C"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15AE0C17" w14:textId="78E6B96C"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51127F48" w14:textId="1359FADA"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00AB3234" w:rsidRPr="008F6480">
        <w:rPr>
          <w:rFonts w:ascii="Arial" w:eastAsiaTheme="minorHAnsi" w:hAnsi="Arial" w:cs="Arial"/>
          <w:sz w:val="12"/>
          <w:szCs w:val="12"/>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00AB3234" w:rsidRPr="008F6480">
        <w:rPr>
          <w:rFonts w:ascii="Arial" w:eastAsiaTheme="minorHAnsi" w:hAnsi="Arial" w:cs="Arial"/>
          <w:sz w:val="12"/>
          <w:szCs w:val="12"/>
          <w:lang w:val="es-ES" w:eastAsia="en-US"/>
        </w:rPr>
        <w:softHyphen/>
        <w:t>cepción de las sociedades anónimas abiertas. También se considerarán inhabilitadas para contratar, las personas jurídicas sobre las cuales se haya ordenado la suspensión de la perso</w:t>
      </w:r>
      <w:r w:rsidR="00AB3234" w:rsidRPr="008F6480">
        <w:rPr>
          <w:rFonts w:ascii="Arial" w:eastAsiaTheme="minorHAnsi" w:hAnsi="Arial" w:cs="Arial"/>
          <w:sz w:val="12"/>
          <w:szCs w:val="12"/>
          <w:lang w:val="es-ES" w:eastAsia="en-US"/>
        </w:rPr>
        <w:softHyphen/>
        <w:t>nería jurídica en los términos de ley, o cuyos representantes legales, ad</w:t>
      </w:r>
      <w:r w:rsidR="00AB3234" w:rsidRPr="008F6480">
        <w:rPr>
          <w:rFonts w:ascii="Arial" w:eastAsiaTheme="minorHAnsi" w:hAnsi="Arial" w:cs="Arial"/>
          <w:sz w:val="12"/>
          <w:szCs w:val="12"/>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00AB3234" w:rsidRPr="008F6480">
        <w:rPr>
          <w:rFonts w:ascii="Arial" w:eastAsiaTheme="minorHAnsi" w:hAnsi="Arial" w:cs="Arial"/>
          <w:sz w:val="12"/>
          <w:szCs w:val="12"/>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4DA9DE73" w14:textId="5E930836"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w:t>
      </w:r>
    </w:p>
    <w:p w14:paraId="08C7ADD5" w14:textId="5679D0EA"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2o. Tampoco podrán participar en licitaciones o concursos ni celebrar contratos estatales con la entidad respectiva: </w:t>
      </w:r>
    </w:p>
    <w:p w14:paraId="6F6485DD" w14:textId="1BAB3256"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7E70660B" w14:textId="2BEC5A6E"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3907B074" w14:textId="6E372F02"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770920BD" w14:textId="3D4BE220"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3439E141" w14:textId="5473DE64"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2B83585A" w14:textId="49B0BCB7" w:rsidR="00AB3234" w:rsidRPr="008F6480" w:rsidRDefault="009E39A5" w:rsidP="00413AE5">
      <w:pPr>
        <w:pStyle w:val="NormalWeb"/>
        <w:spacing w:before="0" w:beforeAutospacing="0" w:after="0" w:afterAutospacing="0"/>
        <w:ind w:firstLine="709"/>
        <w:jc w:val="both"/>
        <w:rPr>
          <w:rFonts w:ascii="Arial" w:eastAsiaTheme="minorHAnsi" w:hAnsi="Arial" w:cs="Arial"/>
          <w:sz w:val="12"/>
          <w:szCs w:val="12"/>
          <w:lang w:val="es-ES" w:eastAsia="en-US"/>
        </w:rPr>
      </w:pP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w:t>
      </w:r>
      <w:r w:rsidRPr="008F6480">
        <w:rPr>
          <w:rFonts w:ascii="Arial" w:eastAsiaTheme="minorHAnsi" w:hAnsi="Arial" w:cs="Arial"/>
          <w:sz w:val="12"/>
          <w:szCs w:val="12"/>
          <w:lang w:val="es-ES" w:eastAsia="en-US"/>
        </w:rPr>
        <w:t>”</w:t>
      </w:r>
      <w:r w:rsidR="00AB3234" w:rsidRPr="008F6480">
        <w:rPr>
          <w:rFonts w:ascii="Arial" w:eastAsiaTheme="minorHAnsi" w:hAnsi="Arial" w:cs="Arial"/>
          <w:sz w:val="12"/>
          <w:szCs w:val="12"/>
          <w:lang w:val="es-ES" w:eastAsia="en-US"/>
        </w:rPr>
        <w:t xml:space="preserve">. </w:t>
      </w:r>
    </w:p>
  </w:footnote>
  <w:footnote w:id="14">
    <w:p w14:paraId="68E13116" w14:textId="77777777" w:rsidR="00AB3234" w:rsidRPr="008F6480" w:rsidRDefault="00AB3234" w:rsidP="00413AE5">
      <w:pPr>
        <w:pStyle w:val="Textonotapie"/>
        <w:ind w:firstLine="709"/>
        <w:jc w:val="both"/>
        <w:rPr>
          <w:rFonts w:ascii="Arial" w:hAnsi="Arial" w:cs="Arial"/>
          <w:sz w:val="12"/>
          <w:szCs w:val="12"/>
        </w:rPr>
      </w:pPr>
      <w:r w:rsidRPr="008F6480">
        <w:rPr>
          <w:rStyle w:val="Refdenotaalpie"/>
          <w:rFonts w:ascii="Arial" w:hAnsi="Arial" w:cs="Arial"/>
          <w:sz w:val="12"/>
          <w:szCs w:val="12"/>
        </w:rPr>
        <w:footnoteRef/>
      </w:r>
      <w:r w:rsidRPr="008F6480">
        <w:rPr>
          <w:rFonts w:ascii="Arial" w:hAnsi="Arial" w:cs="Arial"/>
          <w:sz w:val="12"/>
          <w:szCs w:val="12"/>
        </w:rPr>
        <w:t xml:space="preserve"> </w:t>
      </w:r>
      <w:r w:rsidRPr="008F6480">
        <w:rPr>
          <w:rFonts w:ascii="Arial" w:eastAsia="Calibri" w:hAnsi="Arial" w:cs="Arial"/>
          <w:bCs/>
          <w:color w:val="000000" w:themeColor="text1"/>
          <w:sz w:val="12"/>
          <w:szCs w:val="12"/>
        </w:rPr>
        <w:t>El Parágrafo 2º. del artículo 6 de la Ley 2014 de 2019, que modificó el artículo 9 de la Ley 80 de 1993, fue declarado inexequible por la Corte Constitucional en Sentencia C-037 del 24 de febrero de 2021, M.P. Cristina Pardo Schlesinger. La disposición era del siguiente tenor</w:t>
      </w:r>
      <w:bookmarkStart w:id="6" w:name="_Hlk79776115"/>
      <w:r w:rsidRPr="008F6480">
        <w:rPr>
          <w:rFonts w:ascii="Arial" w:eastAsia="Calibri" w:hAnsi="Arial" w:cs="Arial"/>
          <w:bCs/>
          <w:color w:val="000000" w:themeColor="text1"/>
          <w:sz w:val="12"/>
          <w:szCs w:val="12"/>
        </w:rPr>
        <w:t>: “El Gobierno nacional reglamentará el procedimiento de la cesión del contrato de que trata este artículo, en término no mayor a seis (6) meses.”</w:t>
      </w:r>
      <w:bookmarkEnd w:id="6"/>
    </w:p>
  </w:footnote>
  <w:footnote w:id="15">
    <w:p w14:paraId="22250245" w14:textId="77777777" w:rsidR="00AB3234" w:rsidRPr="008F6480" w:rsidRDefault="00AB3234" w:rsidP="00413AE5">
      <w:pPr>
        <w:pStyle w:val="Textonotapie"/>
        <w:ind w:firstLine="708"/>
        <w:jc w:val="both"/>
        <w:rPr>
          <w:rFonts w:ascii="Arial" w:hAnsi="Arial" w:cs="Arial"/>
          <w:sz w:val="12"/>
          <w:szCs w:val="12"/>
        </w:rPr>
      </w:pPr>
      <w:r w:rsidRPr="008F6480">
        <w:rPr>
          <w:rStyle w:val="Refdenotaalpie"/>
          <w:rFonts w:ascii="Arial" w:hAnsi="Arial" w:cs="Arial"/>
          <w:sz w:val="12"/>
          <w:szCs w:val="12"/>
        </w:rPr>
        <w:footnoteRef/>
      </w:r>
      <w:r w:rsidRPr="008F6480">
        <w:rPr>
          <w:rFonts w:ascii="Arial" w:hAnsi="Arial" w:cs="Arial"/>
          <w:sz w:val="12"/>
          <w:szCs w:val="12"/>
        </w:rPr>
        <w:t xml:space="preserve"> Sentencia de la Corte Constitucional. C-221 de 1996. Magistrado Ponente: José Gregorio Hernández Galindo. </w:t>
      </w:r>
    </w:p>
    <w:p w14:paraId="00D4CC6A" w14:textId="77777777" w:rsidR="00AB3234" w:rsidRPr="008F6480" w:rsidRDefault="00AB3234" w:rsidP="00413AE5">
      <w:pPr>
        <w:pStyle w:val="Textonotapie"/>
        <w:ind w:firstLine="708"/>
        <w:jc w:val="both"/>
        <w:rPr>
          <w:rFonts w:ascii="Arial" w:hAnsi="Arial" w:cs="Arial"/>
          <w:sz w:val="12"/>
          <w:szCs w:val="12"/>
        </w:rPr>
      </w:pPr>
    </w:p>
  </w:footnote>
  <w:footnote w:id="16">
    <w:p w14:paraId="6F8FAE2B" w14:textId="77777777" w:rsidR="00874270" w:rsidRPr="008F6480" w:rsidRDefault="00874270" w:rsidP="00874270">
      <w:pPr>
        <w:pStyle w:val="Textonotapie"/>
        <w:rPr>
          <w:rFonts w:ascii="Arial" w:hAnsi="Arial" w:cs="Arial"/>
          <w:sz w:val="12"/>
          <w:szCs w:val="12"/>
        </w:rPr>
      </w:pPr>
      <w:r w:rsidRPr="008F6480">
        <w:rPr>
          <w:rStyle w:val="Refdenotaalpie"/>
          <w:rFonts w:ascii="Arial" w:hAnsi="Arial" w:cs="Arial"/>
          <w:sz w:val="12"/>
          <w:szCs w:val="12"/>
        </w:rPr>
        <w:footnoteRef/>
      </w:r>
      <w:r w:rsidRPr="008F6480">
        <w:rPr>
          <w:rFonts w:ascii="Arial" w:hAnsi="Arial" w:cs="Arial"/>
          <w:sz w:val="12"/>
          <w:szCs w:val="12"/>
        </w:rPr>
        <w:t xml:space="preserve"> CONSEJO DE ESTADO, Sentencia del 8 de febrero de 1985, C.P. Carlos Betancur Jaramillo, </w:t>
      </w:r>
      <w:proofErr w:type="spellStart"/>
      <w:r w:rsidRPr="008F6480">
        <w:rPr>
          <w:rFonts w:ascii="Arial" w:hAnsi="Arial" w:cs="Arial"/>
          <w:sz w:val="12"/>
          <w:szCs w:val="12"/>
        </w:rPr>
        <w:t>Exp</w:t>
      </w:r>
      <w:proofErr w:type="spellEnd"/>
      <w:r w:rsidRPr="008F6480">
        <w:rPr>
          <w:rFonts w:ascii="Arial" w:hAnsi="Arial" w:cs="Arial"/>
          <w:sz w:val="12"/>
          <w:szCs w:val="12"/>
        </w:rPr>
        <w:t>. 2.748.</w:t>
      </w:r>
    </w:p>
  </w:footnote>
  <w:footnote w:id="17">
    <w:p w14:paraId="761996A9" w14:textId="77777777" w:rsidR="00874270" w:rsidRPr="008F6480" w:rsidRDefault="00874270" w:rsidP="00874270">
      <w:pPr>
        <w:pStyle w:val="Textonotapie"/>
        <w:ind w:firstLine="708"/>
        <w:rPr>
          <w:rFonts w:ascii="Arial" w:hAnsi="Arial" w:cs="Arial"/>
          <w:sz w:val="12"/>
          <w:szCs w:val="12"/>
        </w:rPr>
      </w:pPr>
      <w:r w:rsidRPr="008F6480">
        <w:rPr>
          <w:rStyle w:val="Refdenotaalpie"/>
          <w:rFonts w:ascii="Arial" w:hAnsi="Arial" w:cs="Arial"/>
          <w:sz w:val="12"/>
          <w:szCs w:val="12"/>
        </w:rPr>
        <w:footnoteRef/>
      </w:r>
      <w:r w:rsidRPr="008F6480">
        <w:rPr>
          <w:rFonts w:ascii="Arial" w:hAnsi="Arial" w:cs="Arial"/>
          <w:sz w:val="12"/>
          <w:szCs w:val="12"/>
        </w:rPr>
        <w:t xml:space="preserve"> MATALLANA CAMACHO, Ernesto, “Manual de contratación de la Administración Pública: Reforma de la Ley 80 de 1993, Editorial: Universidad Externado de Colombia, 2015 – 4 edición, Bogotá, pág., 611.</w:t>
      </w:r>
    </w:p>
  </w:footnote>
  <w:footnote w:id="18">
    <w:p w14:paraId="7EB2AC96" w14:textId="76E9DE40" w:rsidR="00AB3234" w:rsidRPr="008F6480" w:rsidRDefault="00AB3234" w:rsidP="00413AE5">
      <w:pPr>
        <w:pStyle w:val="Textonotapie"/>
        <w:ind w:firstLine="708"/>
        <w:jc w:val="both"/>
        <w:rPr>
          <w:rFonts w:ascii="Arial" w:hAnsi="Arial" w:cs="Arial"/>
          <w:sz w:val="12"/>
          <w:szCs w:val="12"/>
        </w:rPr>
      </w:pPr>
      <w:r w:rsidRPr="008F6480">
        <w:rPr>
          <w:rStyle w:val="Refdenotaalpie"/>
          <w:rFonts w:ascii="Arial" w:hAnsi="Arial" w:cs="Arial"/>
          <w:sz w:val="12"/>
          <w:szCs w:val="12"/>
        </w:rPr>
        <w:footnoteRef/>
      </w:r>
      <w:r w:rsidRPr="008F6480">
        <w:rPr>
          <w:rFonts w:ascii="Arial" w:hAnsi="Arial" w:cs="Arial"/>
          <w:sz w:val="12"/>
          <w:szCs w:val="12"/>
        </w:rPr>
        <w:t xml:space="preserve"> El parágrafo del artículo 9, introducido por el artículo 6 de la Ley 2014 de 2019, establece una regla especial para los casos en los que se presente de manera sobreviniente la inhabilidad tipificada en el literal j) del artículo 8 de la Ley 80 de 1993, o cuando el contratista sea sancionado administrativamente por actos de corrupción, situaciones en las que correspondería a la Administración escoger al </w:t>
      </w:r>
      <w:r w:rsidR="00F83081" w:rsidRPr="008F6480">
        <w:rPr>
          <w:rFonts w:ascii="Arial" w:hAnsi="Arial" w:cs="Arial"/>
          <w:sz w:val="12"/>
          <w:szCs w:val="12"/>
        </w:rPr>
        <w:t>cesionario.</w:t>
      </w:r>
      <w:r w:rsidRPr="008F6480">
        <w:rPr>
          <w:rFonts w:ascii="Arial" w:hAnsi="Arial" w:cs="Arial"/>
          <w:sz w:val="12"/>
          <w:szCs w:val="12"/>
        </w:rPr>
        <w:t xml:space="preserve"> De acuerdo con esto, en principio, cualquier inhabilidad sobreviniente que afecte al contratista se regiría por el inciso primero de la norma citada, que corresponde a la redacción inicial de la Ley 80 de 1993. Sin embargo, el legislador buscaba un efecto distinto para los contratistas en los que se configurara la inhabilidad del artículo 8, literal j) del numeral 1, de la Ley 80 de 1993 o que fueran sancionados administrativamente por actos de corrupción, pues cuando se aplica la cesión unilateral no son procedentes la cesión bilateral del contrato ni la renuncia a la ejecución. </w:t>
      </w:r>
    </w:p>
    <w:p w14:paraId="2793EB88" w14:textId="77777777" w:rsidR="00AB3234" w:rsidRPr="008F6480" w:rsidRDefault="00AB3234" w:rsidP="00413AE5">
      <w:pPr>
        <w:pStyle w:val="Textonotapie"/>
        <w:ind w:firstLine="708"/>
        <w:jc w:val="both"/>
        <w:rPr>
          <w:rFonts w:ascii="Arial" w:hAnsi="Arial" w:cs="Arial"/>
          <w:sz w:val="12"/>
          <w:szCs w:val="12"/>
        </w:rPr>
      </w:pPr>
    </w:p>
  </w:footnote>
  <w:footnote w:id="19">
    <w:p w14:paraId="70BF9B24" w14:textId="101B0988" w:rsidR="00AB3234" w:rsidRPr="008F6480" w:rsidRDefault="00AB3234" w:rsidP="00413AE5">
      <w:pPr>
        <w:pStyle w:val="Textonotapie"/>
        <w:ind w:firstLine="709"/>
        <w:jc w:val="both"/>
        <w:rPr>
          <w:rFonts w:ascii="Arial" w:hAnsi="Arial" w:cs="Arial"/>
          <w:sz w:val="12"/>
          <w:szCs w:val="12"/>
          <w:lang w:val="es-ES"/>
        </w:rPr>
      </w:pPr>
      <w:r w:rsidRPr="008F6480">
        <w:rPr>
          <w:rStyle w:val="Refdenotaalpie"/>
          <w:rFonts w:ascii="Arial" w:hAnsi="Arial" w:cs="Arial"/>
          <w:sz w:val="12"/>
          <w:szCs w:val="12"/>
        </w:rPr>
        <w:footnoteRef/>
      </w:r>
      <w:r w:rsidRPr="008F6480">
        <w:rPr>
          <w:rFonts w:ascii="Arial" w:hAnsi="Arial" w:cs="Arial"/>
          <w:sz w:val="12"/>
          <w:szCs w:val="12"/>
        </w:rPr>
        <w:t xml:space="preserve"> Aunque el artículo 9 de la Ley 80 de 1993 no regula el tema de las inhabilidades e incompatibilidades sobrevinientes entre la adjudicación del contrato y su perfeccionamiento, es necesario tener en cuenta que el artículo 9, inciso cuarto, de la Ley 1150 de 2007 establece que </w:t>
      </w:r>
      <w:r w:rsidR="009E39A5" w:rsidRPr="008F6480">
        <w:rPr>
          <w:rFonts w:ascii="Arial" w:hAnsi="Arial" w:cs="Arial"/>
          <w:sz w:val="12"/>
          <w:szCs w:val="12"/>
        </w:rPr>
        <w:t>“</w:t>
      </w:r>
      <w:r w:rsidRPr="008F6480">
        <w:rPr>
          <w:rFonts w:ascii="Arial" w:hAnsi="Arial" w:cs="Arial"/>
          <w:sz w:val="12"/>
          <w:szCs w:val="12"/>
        </w:rPr>
        <w:t>[…] si dentro del plazo comprendido entre la adjudicación del contrato y la suscripción del mismo, sobreviene una inhabilidad o incompatibilidad o si se demuestra que el acto se obtuvo por medios ilegales, [el acto de adjudicación] podrá ser revocado, caso en el cual, la entidad podrá aplicar lo previsto en el inciso final del numeral 12 del artículo 30 de la Ley 80 de 1993</w:t>
      </w:r>
      <w:r w:rsidR="009E39A5" w:rsidRPr="008F6480">
        <w:rPr>
          <w:rFonts w:ascii="Arial" w:hAnsi="Arial" w:cs="Arial"/>
          <w:sz w:val="12"/>
          <w:szCs w:val="12"/>
        </w:rPr>
        <w:t>”</w:t>
      </w:r>
      <w:r w:rsidRPr="008F6480">
        <w:rPr>
          <w:rFonts w:ascii="Arial" w:hAnsi="Arial" w:cs="Arial"/>
          <w:sz w:val="12"/>
          <w:szCs w:val="12"/>
        </w:rPr>
        <w:t xml:space="preserve"> (Corchetes fuera de texto).</w:t>
      </w:r>
    </w:p>
  </w:footnote>
  <w:footnote w:id="20">
    <w:p w14:paraId="5ABC3E78" w14:textId="546AD013" w:rsidR="006A177E" w:rsidRPr="008F6480" w:rsidRDefault="006A177E" w:rsidP="00F71618">
      <w:pPr>
        <w:pStyle w:val="Textonotapie"/>
        <w:jc w:val="both"/>
        <w:rPr>
          <w:sz w:val="12"/>
          <w:szCs w:val="12"/>
          <w:lang w:val="es-CO"/>
        </w:rPr>
      </w:pPr>
      <w:r w:rsidRPr="008F6480">
        <w:rPr>
          <w:rStyle w:val="Refdenotaalpie"/>
          <w:rFonts w:ascii="Arial" w:hAnsi="Arial" w:cs="Arial"/>
          <w:sz w:val="12"/>
          <w:szCs w:val="12"/>
        </w:rPr>
        <w:footnoteRef/>
      </w:r>
      <w:r w:rsidRPr="008F6480">
        <w:rPr>
          <w:rFonts w:ascii="Arial" w:hAnsi="Arial" w:cs="Arial"/>
          <w:sz w:val="12"/>
          <w:szCs w:val="12"/>
        </w:rPr>
        <w:t xml:space="preserve"> </w:t>
      </w:r>
      <w:r w:rsidR="00F71618" w:rsidRPr="008F6480">
        <w:rPr>
          <w:rFonts w:ascii="Arial" w:hAnsi="Arial" w:cs="Arial"/>
          <w:sz w:val="12"/>
          <w:szCs w:val="12"/>
        </w:rPr>
        <w:t>Consejo de Estado, Sala de Consulta y Servicio Civil, C.P.: César Hoyos Salazar, 17 de mayo de 2001, radicación número: 1346.</w:t>
      </w:r>
    </w:p>
  </w:footnote>
  <w:footnote w:id="21">
    <w:p w14:paraId="1FD82963" w14:textId="77777777" w:rsidR="00337069" w:rsidRPr="008F6480" w:rsidRDefault="00337069" w:rsidP="00337069">
      <w:pPr>
        <w:pStyle w:val="Textonotapie"/>
        <w:jc w:val="both"/>
        <w:rPr>
          <w:sz w:val="12"/>
          <w:szCs w:val="12"/>
          <w:lang w:val="es-CO"/>
        </w:rPr>
      </w:pPr>
      <w:r w:rsidRPr="008F6480">
        <w:rPr>
          <w:rStyle w:val="Refdenotaalpie"/>
          <w:rFonts w:ascii="Arial" w:hAnsi="Arial" w:cs="Arial"/>
          <w:sz w:val="12"/>
          <w:szCs w:val="12"/>
        </w:rPr>
        <w:footnoteRef/>
      </w:r>
      <w:r w:rsidRPr="008F6480">
        <w:rPr>
          <w:rFonts w:ascii="Arial" w:hAnsi="Arial" w:cs="Arial"/>
          <w:sz w:val="12"/>
          <w:szCs w:val="12"/>
        </w:rPr>
        <w:t xml:space="preserve"> Consejo de Estado, Sala de Consulta y Servicio Civil, C.P.: César Hoyos Salazar, 17 de mayo de 2001, radicación número: 1346.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EF507F"/>
    <w:multiLevelType w:val="hybridMultilevel"/>
    <w:tmpl w:val="8D1012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0"/>
  </w:num>
  <w:num w:numId="3" w16cid:durableId="1897622572">
    <w:abstractNumId w:val="1"/>
  </w:num>
  <w:num w:numId="4" w16cid:durableId="1460106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FEC"/>
    <w:rsid w:val="0004087C"/>
    <w:rsid w:val="00055CD8"/>
    <w:rsid w:val="00083334"/>
    <w:rsid w:val="00084EDA"/>
    <w:rsid w:val="00092607"/>
    <w:rsid w:val="00093BEB"/>
    <w:rsid w:val="000956CF"/>
    <w:rsid w:val="000A683E"/>
    <w:rsid w:val="0011595A"/>
    <w:rsid w:val="001220C5"/>
    <w:rsid w:val="0012417F"/>
    <w:rsid w:val="001265F8"/>
    <w:rsid w:val="001267F7"/>
    <w:rsid w:val="00127233"/>
    <w:rsid w:val="00130999"/>
    <w:rsid w:val="00136FFC"/>
    <w:rsid w:val="00153DC9"/>
    <w:rsid w:val="00164D81"/>
    <w:rsid w:val="001719D6"/>
    <w:rsid w:val="00177BE5"/>
    <w:rsid w:val="00181A57"/>
    <w:rsid w:val="001959F8"/>
    <w:rsid w:val="00196A65"/>
    <w:rsid w:val="001A1011"/>
    <w:rsid w:val="001A48D0"/>
    <w:rsid w:val="001B4474"/>
    <w:rsid w:val="001C53E1"/>
    <w:rsid w:val="001D2D43"/>
    <w:rsid w:val="001E2BE5"/>
    <w:rsid w:val="001F5EA3"/>
    <w:rsid w:val="00247DA8"/>
    <w:rsid w:val="002653C1"/>
    <w:rsid w:val="0026611D"/>
    <w:rsid w:val="002951A0"/>
    <w:rsid w:val="002A64FD"/>
    <w:rsid w:val="002B6504"/>
    <w:rsid w:val="002E55FE"/>
    <w:rsid w:val="002E7C52"/>
    <w:rsid w:val="002F0839"/>
    <w:rsid w:val="00300EC1"/>
    <w:rsid w:val="00301469"/>
    <w:rsid w:val="00305421"/>
    <w:rsid w:val="00306EE1"/>
    <w:rsid w:val="00310B9B"/>
    <w:rsid w:val="00330F7F"/>
    <w:rsid w:val="00332F70"/>
    <w:rsid w:val="00335EF2"/>
    <w:rsid w:val="0033696B"/>
    <w:rsid w:val="00337069"/>
    <w:rsid w:val="00341E7D"/>
    <w:rsid w:val="003521CE"/>
    <w:rsid w:val="0036461C"/>
    <w:rsid w:val="00367884"/>
    <w:rsid w:val="003751B8"/>
    <w:rsid w:val="00390FA4"/>
    <w:rsid w:val="0039439C"/>
    <w:rsid w:val="003B69E7"/>
    <w:rsid w:val="003C013B"/>
    <w:rsid w:val="003D0F4D"/>
    <w:rsid w:val="003D77C5"/>
    <w:rsid w:val="003E1A9E"/>
    <w:rsid w:val="003F58A1"/>
    <w:rsid w:val="00410DD6"/>
    <w:rsid w:val="004134C9"/>
    <w:rsid w:val="00413AE5"/>
    <w:rsid w:val="00426FCA"/>
    <w:rsid w:val="0043138C"/>
    <w:rsid w:val="00452975"/>
    <w:rsid w:val="00462A59"/>
    <w:rsid w:val="00472BDC"/>
    <w:rsid w:val="004A1847"/>
    <w:rsid w:val="004B0E2F"/>
    <w:rsid w:val="004B6B0E"/>
    <w:rsid w:val="004C7CE9"/>
    <w:rsid w:val="004D0453"/>
    <w:rsid w:val="004D25B3"/>
    <w:rsid w:val="004F00DA"/>
    <w:rsid w:val="004F78B0"/>
    <w:rsid w:val="00511405"/>
    <w:rsid w:val="00526E9D"/>
    <w:rsid w:val="00527197"/>
    <w:rsid w:val="005354E9"/>
    <w:rsid w:val="00547856"/>
    <w:rsid w:val="00547A74"/>
    <w:rsid w:val="005566E8"/>
    <w:rsid w:val="005746AB"/>
    <w:rsid w:val="0059357F"/>
    <w:rsid w:val="005A1130"/>
    <w:rsid w:val="005A538B"/>
    <w:rsid w:val="005D65C8"/>
    <w:rsid w:val="006219F8"/>
    <w:rsid w:val="006224EF"/>
    <w:rsid w:val="00650DEC"/>
    <w:rsid w:val="00660E0B"/>
    <w:rsid w:val="00664D4B"/>
    <w:rsid w:val="00681FDB"/>
    <w:rsid w:val="00684705"/>
    <w:rsid w:val="006A177E"/>
    <w:rsid w:val="006A1D5F"/>
    <w:rsid w:val="006A7DAD"/>
    <w:rsid w:val="006B18CF"/>
    <w:rsid w:val="006C1D0A"/>
    <w:rsid w:val="006D0C0A"/>
    <w:rsid w:val="006D4D28"/>
    <w:rsid w:val="006D70BA"/>
    <w:rsid w:val="006E137D"/>
    <w:rsid w:val="006E2363"/>
    <w:rsid w:val="00706921"/>
    <w:rsid w:val="00707DA0"/>
    <w:rsid w:val="0072368F"/>
    <w:rsid w:val="007566FE"/>
    <w:rsid w:val="00761DA5"/>
    <w:rsid w:val="00766453"/>
    <w:rsid w:val="0076726F"/>
    <w:rsid w:val="0077144B"/>
    <w:rsid w:val="007724C7"/>
    <w:rsid w:val="00782F6C"/>
    <w:rsid w:val="00793403"/>
    <w:rsid w:val="007941B8"/>
    <w:rsid w:val="00795F60"/>
    <w:rsid w:val="007B5019"/>
    <w:rsid w:val="007C0CDF"/>
    <w:rsid w:val="007E26C8"/>
    <w:rsid w:val="007E2A2F"/>
    <w:rsid w:val="007E4F6C"/>
    <w:rsid w:val="007E7B07"/>
    <w:rsid w:val="007F2B7C"/>
    <w:rsid w:val="00811651"/>
    <w:rsid w:val="00820F5B"/>
    <w:rsid w:val="00833452"/>
    <w:rsid w:val="0085057F"/>
    <w:rsid w:val="00850B05"/>
    <w:rsid w:val="008562CF"/>
    <w:rsid w:val="00856EBD"/>
    <w:rsid w:val="0086135B"/>
    <w:rsid w:val="008614E5"/>
    <w:rsid w:val="008678EB"/>
    <w:rsid w:val="00874270"/>
    <w:rsid w:val="00875894"/>
    <w:rsid w:val="00881C10"/>
    <w:rsid w:val="00890411"/>
    <w:rsid w:val="00892F88"/>
    <w:rsid w:val="00893964"/>
    <w:rsid w:val="00893BF9"/>
    <w:rsid w:val="008A3831"/>
    <w:rsid w:val="008C3C20"/>
    <w:rsid w:val="008D5C70"/>
    <w:rsid w:val="008F6480"/>
    <w:rsid w:val="009025AF"/>
    <w:rsid w:val="00904F23"/>
    <w:rsid w:val="00906B3C"/>
    <w:rsid w:val="009227DC"/>
    <w:rsid w:val="00951E4B"/>
    <w:rsid w:val="0095342C"/>
    <w:rsid w:val="0096534C"/>
    <w:rsid w:val="00973A35"/>
    <w:rsid w:val="009A0188"/>
    <w:rsid w:val="009D69EF"/>
    <w:rsid w:val="009E39A5"/>
    <w:rsid w:val="009F33F2"/>
    <w:rsid w:val="009F6C77"/>
    <w:rsid w:val="00A07532"/>
    <w:rsid w:val="00A1085C"/>
    <w:rsid w:val="00A309E2"/>
    <w:rsid w:val="00A8066E"/>
    <w:rsid w:val="00A928CC"/>
    <w:rsid w:val="00AA4B8A"/>
    <w:rsid w:val="00AA6BF7"/>
    <w:rsid w:val="00AB2CD5"/>
    <w:rsid w:val="00AB3234"/>
    <w:rsid w:val="00AE0AA1"/>
    <w:rsid w:val="00AE3A6F"/>
    <w:rsid w:val="00AF2147"/>
    <w:rsid w:val="00B01ED6"/>
    <w:rsid w:val="00B06D09"/>
    <w:rsid w:val="00B473CA"/>
    <w:rsid w:val="00B771A9"/>
    <w:rsid w:val="00B809BB"/>
    <w:rsid w:val="00B80C3D"/>
    <w:rsid w:val="00B8248A"/>
    <w:rsid w:val="00B95A2B"/>
    <w:rsid w:val="00BA576C"/>
    <w:rsid w:val="00BB7726"/>
    <w:rsid w:val="00BB7D56"/>
    <w:rsid w:val="00BE0321"/>
    <w:rsid w:val="00BF5F5F"/>
    <w:rsid w:val="00C03F43"/>
    <w:rsid w:val="00C2329E"/>
    <w:rsid w:val="00C30461"/>
    <w:rsid w:val="00C67AA1"/>
    <w:rsid w:val="00C754BE"/>
    <w:rsid w:val="00C87572"/>
    <w:rsid w:val="00C9405D"/>
    <w:rsid w:val="00CC1B26"/>
    <w:rsid w:val="00CC5CCE"/>
    <w:rsid w:val="00CD1D28"/>
    <w:rsid w:val="00CD284F"/>
    <w:rsid w:val="00CE5A78"/>
    <w:rsid w:val="00CF23AA"/>
    <w:rsid w:val="00D01921"/>
    <w:rsid w:val="00D1664E"/>
    <w:rsid w:val="00D752B7"/>
    <w:rsid w:val="00D81CCF"/>
    <w:rsid w:val="00D96073"/>
    <w:rsid w:val="00DA1854"/>
    <w:rsid w:val="00DB0887"/>
    <w:rsid w:val="00DC1B1C"/>
    <w:rsid w:val="00DD743C"/>
    <w:rsid w:val="00DF02AE"/>
    <w:rsid w:val="00DF1E43"/>
    <w:rsid w:val="00E15689"/>
    <w:rsid w:val="00E20894"/>
    <w:rsid w:val="00E26B7C"/>
    <w:rsid w:val="00E33AFB"/>
    <w:rsid w:val="00E4124F"/>
    <w:rsid w:val="00E41740"/>
    <w:rsid w:val="00E4363D"/>
    <w:rsid w:val="00E54AED"/>
    <w:rsid w:val="00E62CAD"/>
    <w:rsid w:val="00EA3003"/>
    <w:rsid w:val="00EA6165"/>
    <w:rsid w:val="00EB3C91"/>
    <w:rsid w:val="00EB66DA"/>
    <w:rsid w:val="00EC5A3D"/>
    <w:rsid w:val="00EF4346"/>
    <w:rsid w:val="00F06C8E"/>
    <w:rsid w:val="00F07F8B"/>
    <w:rsid w:val="00F252A9"/>
    <w:rsid w:val="00F32F8A"/>
    <w:rsid w:val="00F40C5E"/>
    <w:rsid w:val="00F605F2"/>
    <w:rsid w:val="00F71618"/>
    <w:rsid w:val="00F76AFC"/>
    <w:rsid w:val="00F83081"/>
    <w:rsid w:val="00F8319B"/>
    <w:rsid w:val="00FA34AD"/>
    <w:rsid w:val="00FA5516"/>
    <w:rsid w:val="00FC3734"/>
    <w:rsid w:val="00FD6F73"/>
    <w:rsid w:val="00FE6AEE"/>
    <w:rsid w:val="00FF277A"/>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Sinespaciado">
    <w:name w:val="No Spacing"/>
    <w:aliases w:val="No Indent"/>
    <w:uiPriority w:val="3"/>
    <w:qFormat/>
    <w:rsid w:val="00AB3234"/>
    <w:pPr>
      <w:spacing w:after="0" w:line="240" w:lineRule="auto"/>
    </w:pPr>
    <w:rPr>
      <w:sz w:val="24"/>
      <w:lang w:val="es-MX"/>
    </w:rPr>
  </w:style>
  <w:style w:type="paragraph" w:customStyle="1" w:styleId="Appelnotedebasde">
    <w:name w:val="Appel note de bas de..."/>
    <w:basedOn w:val="Normal"/>
    <w:link w:val="Refdenotaalpie"/>
    <w:rsid w:val="00AB3234"/>
    <w:pPr>
      <w:spacing w:line="240" w:lineRule="exact"/>
    </w:pPr>
    <w:rPr>
      <w:vertAlign w:val="superscript"/>
    </w:rPr>
  </w:style>
  <w:style w:type="character" w:styleId="Hipervnculo">
    <w:name w:val="Hyperlink"/>
    <w:basedOn w:val="Fuentedeprrafopredeter"/>
    <w:uiPriority w:val="99"/>
    <w:unhideWhenUsed/>
    <w:rsid w:val="00AB3234"/>
    <w:rPr>
      <w:color w:val="0000FF"/>
      <w:u w:val="single"/>
    </w:rPr>
  </w:style>
  <w:style w:type="paragraph" w:styleId="NormalWeb">
    <w:name w:val="Normal (Web)"/>
    <w:basedOn w:val="Normal"/>
    <w:link w:val="NormalWebCar"/>
    <w:uiPriority w:val="99"/>
    <w:unhideWhenUsed/>
    <w:rsid w:val="00AB3234"/>
    <w:pPr>
      <w:spacing w:before="100" w:beforeAutospacing="1" w:after="100" w:afterAutospacing="1" w:line="240" w:lineRule="auto"/>
    </w:pPr>
    <w:rPr>
      <w:rFonts w:ascii="Times New Roman" w:eastAsia="Times New Roman" w:hAnsi="Times New Roman" w:cs="Times New Roman"/>
      <w:sz w:val="24"/>
      <w:szCs w:val="24"/>
      <w:lang w:val="es-ES_tradnl" w:eastAsia="es-MX"/>
    </w:rPr>
  </w:style>
  <w:style w:type="character" w:customStyle="1" w:styleId="NormalWebCar">
    <w:name w:val="Normal (Web) Car"/>
    <w:link w:val="NormalWeb"/>
    <w:uiPriority w:val="99"/>
    <w:rsid w:val="00AB3234"/>
    <w:rPr>
      <w:rFonts w:ascii="Times New Roman" w:eastAsia="Times New Roman" w:hAnsi="Times New Roman" w:cs="Times New Roman"/>
      <w:sz w:val="24"/>
      <w:szCs w:val="24"/>
      <w:lang w:val="es-ES_tradnl" w:eastAsia="es-MX"/>
    </w:rPr>
  </w:style>
  <w:style w:type="table" w:customStyle="1" w:styleId="Tablaconcuadrcula1">
    <w:name w:val="Tabla con cuadrícula1"/>
    <w:basedOn w:val="Tablanormal"/>
    <w:next w:val="Tablaconcuadrcula"/>
    <w:uiPriority w:val="59"/>
    <w:rsid w:val="00AB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anormal"/>
    <w:rsid w:val="00AB3234"/>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character" w:customStyle="1" w:styleId="baj">
    <w:name w:val="b_aj"/>
    <w:basedOn w:val="Fuentedeprrafopredeter"/>
    <w:rsid w:val="0087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92652">
      <w:bodyDiv w:val="1"/>
      <w:marLeft w:val="0"/>
      <w:marRight w:val="0"/>
      <w:marTop w:val="0"/>
      <w:marBottom w:val="0"/>
      <w:divBdr>
        <w:top w:val="none" w:sz="0" w:space="0" w:color="auto"/>
        <w:left w:val="none" w:sz="0" w:space="0" w:color="auto"/>
        <w:bottom w:val="none" w:sz="0" w:space="0" w:color="auto"/>
        <w:right w:val="none" w:sz="0" w:space="0" w:color="auto"/>
      </w:divBdr>
      <w:divsChild>
        <w:div w:id="222058414">
          <w:marLeft w:val="0"/>
          <w:marRight w:val="0"/>
          <w:marTop w:val="0"/>
          <w:marBottom w:val="0"/>
          <w:divBdr>
            <w:top w:val="none" w:sz="0" w:space="0" w:color="auto"/>
            <w:left w:val="none" w:sz="0" w:space="0" w:color="auto"/>
            <w:bottom w:val="none" w:sz="0" w:space="0" w:color="auto"/>
            <w:right w:val="none" w:sz="0" w:space="0" w:color="auto"/>
          </w:divBdr>
        </w:div>
      </w:divsChild>
    </w:div>
    <w:div w:id="1377511667">
      <w:bodyDiv w:val="1"/>
      <w:marLeft w:val="0"/>
      <w:marRight w:val="0"/>
      <w:marTop w:val="0"/>
      <w:marBottom w:val="0"/>
      <w:divBdr>
        <w:top w:val="none" w:sz="0" w:space="0" w:color="auto"/>
        <w:left w:val="none" w:sz="0" w:space="0" w:color="auto"/>
        <w:bottom w:val="none" w:sz="0" w:space="0" w:color="auto"/>
        <w:right w:val="none" w:sz="0" w:space="0" w:color="auto"/>
      </w:divBdr>
      <w:divsChild>
        <w:div w:id="98330590">
          <w:marLeft w:val="0"/>
          <w:marRight w:val="0"/>
          <w:marTop w:val="0"/>
          <w:marBottom w:val="0"/>
          <w:divBdr>
            <w:top w:val="none" w:sz="0" w:space="0" w:color="auto"/>
            <w:left w:val="none" w:sz="0" w:space="0" w:color="auto"/>
            <w:bottom w:val="none" w:sz="0" w:space="0" w:color="auto"/>
            <w:right w:val="none" w:sz="0" w:space="0" w:color="auto"/>
          </w:divBdr>
          <w:divsChild>
            <w:div w:id="1298334888">
              <w:marLeft w:val="0"/>
              <w:marRight w:val="0"/>
              <w:marTop w:val="0"/>
              <w:marBottom w:val="0"/>
              <w:divBdr>
                <w:top w:val="none" w:sz="0" w:space="0" w:color="auto"/>
                <w:left w:val="none" w:sz="0" w:space="0" w:color="auto"/>
                <w:bottom w:val="none" w:sz="0" w:space="0" w:color="auto"/>
                <w:right w:val="none" w:sz="0" w:space="0" w:color="auto"/>
              </w:divBdr>
            </w:div>
            <w:div w:id="44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0135711F-3896-465F-81EA-9270EE8E80D7}"/>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16</Pages>
  <Words>6624</Words>
  <Characters>36434</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Any Alejandra Tovar Castillo</cp:lastModifiedBy>
  <cp:revision>4</cp:revision>
  <dcterms:created xsi:type="dcterms:W3CDTF">2023-06-14T01:55:00Z</dcterms:created>
  <dcterms:modified xsi:type="dcterms:W3CDTF">2023-07-26T22:27:00Z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