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8AD0" w14:textId="7361E4FE" w:rsidR="00F44A37" w:rsidRPr="004E70FA" w:rsidRDefault="00F44A37" w:rsidP="004E70FA">
      <w:pPr>
        <w:spacing w:line="240" w:lineRule="auto"/>
        <w:jc w:val="both"/>
        <w:rPr>
          <w:rFonts w:ascii="Arial" w:eastAsia="Calibri" w:hAnsi="Arial" w:cs="Arial"/>
          <w:b/>
          <w:sz w:val="20"/>
          <w:szCs w:val="20"/>
          <w:lang w:val="es-ES_tradnl" w:eastAsia="es-ES_tradnl"/>
        </w:rPr>
      </w:pPr>
      <w:r w:rsidRPr="004E70FA">
        <w:rPr>
          <w:rFonts w:ascii="Arial" w:eastAsia="Calibri" w:hAnsi="Arial" w:cs="Arial"/>
          <w:b/>
          <w:sz w:val="20"/>
          <w:szCs w:val="20"/>
          <w:lang w:val="es-ES_tradnl" w:eastAsia="es-ES_tradnl"/>
        </w:rPr>
        <w:t>LIQUIDACIÓN DEL CONTRATO – Definición – Objetivo</w:t>
      </w:r>
    </w:p>
    <w:p w14:paraId="068E722C" w14:textId="21F6571B" w:rsidR="00F44A37" w:rsidRPr="004E70FA" w:rsidRDefault="00F44A37" w:rsidP="004E70FA">
      <w:pPr>
        <w:spacing w:line="240" w:lineRule="auto"/>
        <w:jc w:val="both"/>
        <w:rPr>
          <w:rFonts w:ascii="Arial" w:eastAsia="Times New Roman" w:hAnsi="Arial" w:cs="Arial"/>
          <w:color w:val="000000"/>
          <w:sz w:val="20"/>
          <w:szCs w:val="20"/>
          <w:lang w:val="es-ES_tradnl" w:eastAsia="es-ES_tradnl"/>
        </w:rPr>
      </w:pPr>
      <w:r w:rsidRPr="004E70FA">
        <w:rPr>
          <w:rFonts w:ascii="Arial" w:eastAsia="Times New Roman" w:hAnsi="Arial" w:cs="Arial"/>
          <w:color w:val="000000"/>
          <w:sz w:val="20"/>
          <w:szCs w:val="20"/>
          <w:lang w:val="es-ES_tradnl" w:eastAsia="es-ES_tradnl"/>
        </w:rPr>
        <w:t>[</w:t>
      </w:r>
      <w:r w:rsidRPr="004E70FA">
        <w:rPr>
          <w:rFonts w:ascii="Arial" w:eastAsia="Times New Roman" w:hAnsi="Arial" w:cs="Arial"/>
          <w:color w:val="000000"/>
          <w:sz w:val="20"/>
          <w:szCs w:val="20"/>
          <w:lang w:val="es-ES_tradnl" w:eastAsia="es-ES_tradnl"/>
        </w:rPr>
        <w:t>l</w:t>
      </w:r>
      <w:r w:rsidRPr="004E70FA">
        <w:rPr>
          <w:rFonts w:ascii="Arial" w:eastAsia="Geomanist Light" w:hAnsi="Arial" w:cs="Arial"/>
          <w:color w:val="201F1E"/>
          <w:sz w:val="20"/>
          <w:szCs w:val="20"/>
          <w:lang w:val="es-MX"/>
        </w:rPr>
        <w:t>]</w:t>
      </w:r>
      <w:r w:rsidRPr="004E70FA">
        <w:rPr>
          <w:rFonts w:ascii="Arial" w:eastAsia="Times New Roman" w:hAnsi="Arial" w:cs="Arial"/>
          <w:color w:val="000000"/>
          <w:sz w:val="20"/>
          <w:szCs w:val="20"/>
          <w:lang w:val="es-ES_tradnl" w:eastAsia="es-ES_tradnl"/>
        </w:rPr>
        <w:t xml:space="preserve">a </w:t>
      </w:r>
      <w:r w:rsidRPr="004E70FA">
        <w:rPr>
          <w:rFonts w:ascii="Arial" w:eastAsia="Times New Roman" w:hAnsi="Arial" w:cs="Arial"/>
          <w:color w:val="000000"/>
          <w:sz w:val="20"/>
          <w:szCs w:val="20"/>
          <w:lang w:val="es-ES_tradnl" w:eastAsia="es-ES_tradnl"/>
        </w:rPr>
        <w:t xml:space="preserve">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4E70FA">
        <w:rPr>
          <w:rFonts w:ascii="Arial" w:eastAsia="Times New Roman" w:hAnsi="Arial" w:cs="Arial"/>
          <w:i/>
          <w:iCs/>
          <w:color w:val="000000"/>
          <w:sz w:val="20"/>
          <w:szCs w:val="20"/>
          <w:lang w:val="es-ES_tradnl" w:eastAsia="es-ES_tradnl"/>
        </w:rPr>
        <w:t>liquidar</w:t>
      </w:r>
      <w:r w:rsidRPr="004E70FA">
        <w:rPr>
          <w:rFonts w:ascii="Arial" w:eastAsia="Times New Roman" w:hAnsi="Arial" w:cs="Arial"/>
          <w:color w:val="000000"/>
          <w:sz w:val="20"/>
          <w:szCs w:val="20"/>
          <w:lang w:val="es-ES_tradnl" w:eastAsia="es-ES_tradnl"/>
        </w:rPr>
        <w:t xml:space="preserve"> supone un ajuste en relación con las cuentas y el estado de cumplimiento del contrato estatal y, por el otro, que la </w:t>
      </w:r>
      <w:r w:rsidRPr="004E70FA">
        <w:rPr>
          <w:rFonts w:ascii="Arial" w:eastAsia="Times New Roman" w:hAnsi="Arial" w:cs="Arial"/>
          <w:i/>
          <w:iCs/>
          <w:color w:val="000000"/>
          <w:sz w:val="20"/>
          <w:szCs w:val="20"/>
          <w:lang w:val="es-ES_tradnl" w:eastAsia="es-ES_tradnl"/>
        </w:rPr>
        <w:t>liquidación</w:t>
      </w:r>
      <w:r w:rsidRPr="004E70FA">
        <w:rPr>
          <w:rFonts w:ascii="Arial" w:eastAsia="Times New Roman" w:hAnsi="Arial" w:cs="Arial"/>
          <w:color w:val="000000"/>
          <w:sz w:val="20"/>
          <w:szCs w:val="20"/>
          <w:lang w:val="es-ES_tradnl" w:eastAsia="es-ES_tradnl"/>
        </w:rPr>
        <w:t xml:space="preserve"> debe incluir el análisis de las condiciones de calidad y oportunidad en la entrega de los bienes, obras o servicios, así como el balance económico y el comportamiento financiero del negocio</w:t>
      </w:r>
      <w:r w:rsidRPr="004E70FA">
        <w:rPr>
          <w:rFonts w:ascii="Arial" w:eastAsia="Times New Roman" w:hAnsi="Arial" w:cs="Arial"/>
          <w:color w:val="000000"/>
          <w:sz w:val="20"/>
          <w:szCs w:val="20"/>
          <w:lang w:val="es-ES_tradnl" w:eastAsia="es-ES_tradnl"/>
        </w:rPr>
        <w:t>.</w:t>
      </w:r>
    </w:p>
    <w:p w14:paraId="7C689DA4" w14:textId="6AF93267" w:rsidR="00F44A37" w:rsidRPr="004E70FA" w:rsidRDefault="00F44A37" w:rsidP="004E70FA">
      <w:pPr>
        <w:spacing w:line="240" w:lineRule="auto"/>
        <w:jc w:val="both"/>
        <w:rPr>
          <w:rFonts w:ascii="Arial" w:eastAsia="Calibri" w:hAnsi="Arial" w:cs="Arial"/>
          <w:b/>
          <w:sz w:val="20"/>
          <w:szCs w:val="20"/>
          <w:lang w:val="es-ES_tradnl" w:eastAsia="es-ES_tradnl"/>
        </w:rPr>
      </w:pPr>
      <w:r w:rsidRPr="004E70FA">
        <w:rPr>
          <w:rFonts w:ascii="Arial" w:eastAsia="Calibri" w:hAnsi="Arial" w:cs="Arial"/>
          <w:b/>
          <w:sz w:val="20"/>
          <w:szCs w:val="20"/>
          <w:lang w:val="es-ES_tradnl" w:eastAsia="es-ES_tradnl"/>
        </w:rPr>
        <w:t>LIQUIDACIÓN DEL CONTRATO – Normativa – Oportunidad</w:t>
      </w:r>
    </w:p>
    <w:p w14:paraId="535409A4" w14:textId="77777777" w:rsidR="00C866F6" w:rsidRPr="004E70FA" w:rsidRDefault="00F44A37" w:rsidP="004E70FA">
      <w:pPr>
        <w:spacing w:line="240" w:lineRule="auto"/>
        <w:jc w:val="both"/>
        <w:rPr>
          <w:rFonts w:ascii="Arial" w:eastAsia="Calibri" w:hAnsi="Arial" w:cs="Arial"/>
          <w:color w:val="000000"/>
          <w:sz w:val="20"/>
          <w:szCs w:val="20"/>
          <w:lang w:val="es-ES_tradnl"/>
        </w:rPr>
      </w:pPr>
      <w:r w:rsidRPr="004E70FA">
        <w:rPr>
          <w:rFonts w:ascii="Arial" w:eastAsia="Calibri" w:hAnsi="Arial" w:cs="Arial"/>
          <w:color w:val="000000"/>
          <w:sz w:val="20"/>
          <w:szCs w:val="2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w:t>
      </w:r>
      <w:r w:rsidRPr="004E70FA">
        <w:rPr>
          <w:rFonts w:ascii="Arial" w:eastAsia="Calibri" w:hAnsi="Arial" w:cs="Arial"/>
          <w:color w:val="000000"/>
          <w:sz w:val="20"/>
          <w:szCs w:val="20"/>
          <w:lang w:val="es-ES_tradnl"/>
        </w:rPr>
        <w:t xml:space="preserve">. </w:t>
      </w:r>
    </w:p>
    <w:p w14:paraId="359E7496" w14:textId="1F45C99B" w:rsidR="00F44A37" w:rsidRPr="004E70FA" w:rsidRDefault="00F44A37" w:rsidP="004E70FA">
      <w:pPr>
        <w:spacing w:line="240" w:lineRule="auto"/>
        <w:jc w:val="both"/>
        <w:rPr>
          <w:rFonts w:ascii="Arial" w:eastAsia="Calibri" w:hAnsi="Arial" w:cs="Arial"/>
          <w:color w:val="000000"/>
          <w:sz w:val="20"/>
          <w:szCs w:val="20"/>
          <w:lang w:val="es-ES_tradnl"/>
        </w:rPr>
      </w:pPr>
      <w:r w:rsidRPr="004E70FA">
        <w:rPr>
          <w:rFonts w:ascii="Arial" w:eastAsia="Calibri" w:hAnsi="Arial" w:cs="Arial"/>
          <w:color w:val="000000"/>
          <w:sz w:val="20"/>
          <w:szCs w:val="20"/>
          <w:lang w:val="es-ES_tradnl"/>
        </w:rPr>
        <w:t>(…)</w:t>
      </w:r>
    </w:p>
    <w:p w14:paraId="49113943" w14:textId="34CE93DC" w:rsidR="00C866F6" w:rsidRPr="004E70FA" w:rsidRDefault="00C866F6" w:rsidP="004E70FA">
      <w:pPr>
        <w:spacing w:before="120" w:after="0" w:line="240" w:lineRule="auto"/>
        <w:jc w:val="both"/>
        <w:rPr>
          <w:rFonts w:ascii="Arial" w:eastAsia="Times New Roman" w:hAnsi="Arial" w:cs="Arial"/>
          <w:color w:val="000000"/>
          <w:sz w:val="20"/>
          <w:szCs w:val="20"/>
          <w:bdr w:val="none" w:sz="0" w:space="0" w:color="auto" w:frame="1"/>
          <w:shd w:val="clear" w:color="auto" w:fill="FFFFFF"/>
          <w:lang w:val="es-ES_tradnl" w:eastAsia="es-ES_tradnl"/>
        </w:rPr>
      </w:pPr>
      <w:r w:rsidRPr="004E70FA">
        <w:rPr>
          <w:rFonts w:ascii="Arial" w:eastAsia="Times New Roman" w:hAnsi="Arial" w:cs="Arial"/>
          <w:sz w:val="20"/>
          <w:szCs w:val="20"/>
          <w:lang w:val="es-ES_tradnl" w:eastAsia="es-ES_tradnl"/>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r w:rsidRPr="004E70FA">
        <w:rPr>
          <w:rFonts w:ascii="Arial" w:eastAsia="Times New Roman" w:hAnsi="Arial" w:cs="Arial"/>
          <w:sz w:val="20"/>
          <w:szCs w:val="20"/>
          <w:lang w:val="es-ES_tradnl" w:eastAsia="es-ES_tradnl"/>
        </w:rPr>
        <w:t>.</w:t>
      </w:r>
    </w:p>
    <w:p w14:paraId="39BCBD30" w14:textId="77777777" w:rsidR="008024CC" w:rsidRPr="004E70FA" w:rsidRDefault="00F44A37" w:rsidP="004E70FA">
      <w:pPr>
        <w:spacing w:before="120" w:after="0" w:line="240" w:lineRule="auto"/>
        <w:jc w:val="both"/>
        <w:rPr>
          <w:rFonts w:ascii="Arial" w:eastAsia="Calibri" w:hAnsi="Arial" w:cs="Arial"/>
          <w:b/>
          <w:sz w:val="20"/>
          <w:szCs w:val="20"/>
          <w:lang w:val="es-ES_tradnl" w:eastAsia="es-ES_tradnl"/>
        </w:rPr>
      </w:pPr>
      <w:r w:rsidRPr="004E70FA">
        <w:rPr>
          <w:rFonts w:ascii="Arial" w:eastAsia="Calibri" w:hAnsi="Arial" w:cs="Arial"/>
          <w:b/>
          <w:sz w:val="20"/>
          <w:szCs w:val="20"/>
          <w:lang w:val="es-ES_tradnl" w:eastAsia="es-ES_tradnl"/>
        </w:rPr>
        <w:t xml:space="preserve">GARANTÍA DE CUMPLIMIENTO – Garantía única de cumplimiento – Amparos </w:t>
      </w:r>
    </w:p>
    <w:p w14:paraId="0B4B5C9A" w14:textId="77777777" w:rsidR="008024CC" w:rsidRPr="004E70FA" w:rsidRDefault="008024CC" w:rsidP="004E70FA">
      <w:pPr>
        <w:spacing w:before="120" w:after="0" w:line="240" w:lineRule="auto"/>
        <w:jc w:val="both"/>
        <w:rPr>
          <w:rFonts w:ascii="Arial" w:eastAsia="Calibri" w:hAnsi="Arial" w:cs="Arial"/>
          <w:b/>
          <w:sz w:val="20"/>
          <w:szCs w:val="20"/>
          <w:lang w:val="es-ES_tradnl" w:eastAsia="es-ES_tradnl"/>
        </w:rPr>
      </w:pPr>
      <w:r w:rsidRPr="004E70FA">
        <w:rPr>
          <w:rFonts w:ascii="Arial" w:eastAsia="Times New Roman" w:hAnsi="Arial" w:cs="Arial"/>
          <w:bCs/>
          <w:color w:val="000000"/>
          <w:sz w:val="20"/>
          <w:szCs w:val="20"/>
          <w:lang w:val="es-ES_tradnl" w:eastAsia="es-ES_tradnl"/>
        </w:rPr>
        <w:t>En efecto, según el artículo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316E4141" w14:textId="77777777" w:rsidR="008024CC" w:rsidRPr="004E70FA" w:rsidRDefault="008024CC" w:rsidP="004E70FA">
      <w:pPr>
        <w:spacing w:before="120" w:after="0" w:line="240" w:lineRule="auto"/>
        <w:jc w:val="both"/>
        <w:rPr>
          <w:rFonts w:ascii="Arial" w:eastAsia="Calibri" w:hAnsi="Arial" w:cs="Arial"/>
          <w:b/>
          <w:sz w:val="20"/>
          <w:szCs w:val="20"/>
          <w:lang w:val="es-ES_tradnl" w:eastAsia="es-ES_tradnl"/>
        </w:rPr>
      </w:pPr>
      <w:r w:rsidRPr="004E70FA">
        <w:rPr>
          <w:rFonts w:ascii="Arial" w:eastAsia="Times New Roman" w:hAnsi="Arial" w:cs="Arial"/>
          <w:bCs/>
          <w:color w:val="000000"/>
          <w:sz w:val="20"/>
          <w:szCs w:val="20"/>
          <w:lang w:val="es-ES_tradnl" w:eastAsia="es-ES_tradnl"/>
        </w:rPr>
        <w:t xml:space="preserve">Por tanto, el amparo de cumplimiento es uno de los múltiples amparos que conforman la garantía única de cumplimiento. Al tenor de lo preceptuado en el artículo 2.2.1.2.3.1.7. </w:t>
      </w:r>
      <w:r w:rsidRPr="004E70FA">
        <w:rPr>
          <w:rFonts w:ascii="Arial" w:eastAsia="Times New Roman" w:hAnsi="Arial" w:cs="Arial"/>
          <w:bCs/>
          <w:i/>
          <w:iCs/>
          <w:color w:val="000000"/>
          <w:sz w:val="20"/>
          <w:szCs w:val="20"/>
          <w:lang w:val="es-ES_tradnl" w:eastAsia="es-ES_tradnl"/>
        </w:rPr>
        <w:t>ibídem</w:t>
      </w:r>
      <w:r w:rsidRPr="004E70FA">
        <w:rPr>
          <w:rFonts w:ascii="Arial" w:eastAsia="Times New Roman" w:hAnsi="Arial" w:cs="Arial"/>
          <w:bCs/>
          <w:color w:val="000000"/>
          <w:sz w:val="20"/>
          <w:szCs w:val="20"/>
          <w:lang w:val="es-ES_tradnl" w:eastAsia="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4945742F" w14:textId="7C284F11" w:rsidR="00F44A37" w:rsidRPr="004E70FA" w:rsidRDefault="00F44A37" w:rsidP="004E70FA">
      <w:pPr>
        <w:spacing w:before="120" w:after="0" w:line="240" w:lineRule="auto"/>
        <w:jc w:val="both"/>
        <w:rPr>
          <w:rFonts w:ascii="Arial" w:eastAsia="Calibri" w:hAnsi="Arial" w:cs="Arial"/>
          <w:b/>
          <w:sz w:val="20"/>
          <w:szCs w:val="20"/>
          <w:lang w:val="es-ES_tradnl" w:eastAsia="es-ES_tradnl"/>
        </w:rPr>
      </w:pPr>
      <w:r w:rsidRPr="004E70FA">
        <w:rPr>
          <w:rFonts w:ascii="Arial" w:eastAsia="Calibri" w:hAnsi="Arial" w:cs="Arial"/>
          <w:b/>
          <w:sz w:val="20"/>
          <w:szCs w:val="20"/>
          <w:lang w:val="es-ES_tradnl" w:eastAsia="es-ES_tradnl"/>
        </w:rPr>
        <w:t>GARANTÍA DE CUMPLIMIENTO – Garantías – Vigencia – Liquidación</w:t>
      </w:r>
    </w:p>
    <w:p w14:paraId="787D4920" w14:textId="46CB4261" w:rsidR="008024CC" w:rsidRPr="004E70FA" w:rsidRDefault="008024CC" w:rsidP="004E70FA">
      <w:pPr>
        <w:spacing w:before="120" w:after="0" w:line="240" w:lineRule="auto"/>
        <w:jc w:val="both"/>
        <w:rPr>
          <w:rFonts w:ascii="Arial" w:eastAsia="Times New Roman" w:hAnsi="Arial" w:cs="Arial"/>
          <w:color w:val="000000"/>
          <w:sz w:val="20"/>
          <w:szCs w:val="20"/>
          <w:bdr w:val="none" w:sz="0" w:space="0" w:color="auto" w:frame="1"/>
          <w:shd w:val="clear" w:color="auto" w:fill="FFFFFF"/>
          <w:lang w:eastAsia="es-ES_tradnl"/>
        </w:rPr>
      </w:pPr>
      <w:r w:rsidRPr="004E70FA">
        <w:rPr>
          <w:rFonts w:ascii="Arial" w:eastAsia="Times New Roman" w:hAnsi="Arial" w:cs="Arial"/>
          <w:bCs/>
          <w:color w:val="000000"/>
          <w:sz w:val="20"/>
          <w:szCs w:val="20"/>
          <w:lang w:val="es-ES_tradnl" w:eastAsia="es-ES_tradnl"/>
        </w:rPr>
        <w:t xml:space="preserve">De otra parte, en relación con la vigencia de las garantías, el artículo 2.2.1.2.3.1.12. del citado Decreto señala expresamente que </w:t>
      </w:r>
      <w:r w:rsidRPr="004E70FA">
        <w:rPr>
          <w:rFonts w:ascii="Arial" w:eastAsia="Times New Roman" w:hAnsi="Arial" w:cs="Arial"/>
          <w:bCs/>
          <w:i/>
          <w:iCs/>
          <w:color w:val="000000"/>
          <w:sz w:val="20"/>
          <w:szCs w:val="20"/>
          <w:lang w:val="es-ES_tradnl" w:eastAsia="es-ES_tradnl"/>
        </w:rPr>
        <w:t>“[l]a garantía de cumplimiento del contrato debe tener una vigencia mínima hasta la liquidación del contrato</w:t>
      </w:r>
      <w:r w:rsidRPr="004E70FA">
        <w:rPr>
          <w:rFonts w:ascii="Arial" w:eastAsia="Times New Roman" w:hAnsi="Arial" w:cs="Arial"/>
          <w:bCs/>
          <w:i/>
          <w:iCs/>
          <w:color w:val="000000"/>
          <w:sz w:val="20"/>
          <w:szCs w:val="20"/>
          <w:lang w:val="es-ES_tradnl" w:eastAsia="es-ES_tradnl"/>
        </w:rPr>
        <w:t>”</w:t>
      </w:r>
      <w:r w:rsidR="004E70FA" w:rsidRPr="004E70FA">
        <w:rPr>
          <w:rFonts w:ascii="Arial" w:eastAsia="Times New Roman" w:hAnsi="Arial" w:cs="Arial"/>
          <w:bCs/>
          <w:i/>
          <w:iCs/>
          <w:color w:val="000000"/>
          <w:sz w:val="20"/>
          <w:szCs w:val="20"/>
          <w:lang w:val="es-ES_tradnl" w:eastAsia="es-ES_tradnl"/>
        </w:rPr>
        <w:t>.</w:t>
      </w:r>
    </w:p>
    <w:p w14:paraId="7FEB7CFA" w14:textId="77777777" w:rsidR="004E70FA" w:rsidRPr="004E70FA" w:rsidRDefault="004E70FA" w:rsidP="004E70FA">
      <w:pPr>
        <w:spacing w:before="120" w:after="0" w:line="240" w:lineRule="auto"/>
        <w:jc w:val="both"/>
        <w:rPr>
          <w:rFonts w:ascii="Arial" w:eastAsia="Times New Roman" w:hAnsi="Arial" w:cs="Arial"/>
          <w:color w:val="000000"/>
          <w:sz w:val="20"/>
          <w:szCs w:val="20"/>
          <w:bdr w:val="none" w:sz="0" w:space="0" w:color="auto" w:frame="1"/>
          <w:shd w:val="clear" w:color="auto" w:fill="FFFFFF"/>
          <w:lang w:eastAsia="es-ES_tradnl"/>
        </w:rPr>
      </w:pPr>
      <w:r w:rsidRPr="004E70FA">
        <w:rPr>
          <w:rFonts w:ascii="Arial" w:eastAsia="Times New Roman" w:hAnsi="Arial" w:cs="Arial"/>
          <w:color w:val="000000"/>
          <w:sz w:val="20"/>
          <w:szCs w:val="20"/>
          <w:bdr w:val="none" w:sz="0" w:space="0" w:color="auto" w:frame="1"/>
          <w:shd w:val="clear" w:color="auto" w:fill="FFFFFF"/>
          <w:lang w:eastAsia="es-ES_tradnl"/>
        </w:rPr>
        <w:t>(…)</w:t>
      </w:r>
    </w:p>
    <w:p w14:paraId="5D7DDC2C" w14:textId="082677B6" w:rsidR="004E70FA" w:rsidRPr="004E70FA" w:rsidRDefault="004E70FA" w:rsidP="004E70FA">
      <w:pPr>
        <w:spacing w:before="120" w:after="0" w:line="240" w:lineRule="auto"/>
        <w:jc w:val="both"/>
        <w:rPr>
          <w:rFonts w:ascii="Arial" w:eastAsia="Times New Roman" w:hAnsi="Arial" w:cs="Arial"/>
          <w:color w:val="000000"/>
          <w:sz w:val="20"/>
          <w:szCs w:val="20"/>
          <w:bdr w:val="none" w:sz="0" w:space="0" w:color="auto" w:frame="1"/>
          <w:shd w:val="clear" w:color="auto" w:fill="FFFFFF"/>
          <w:lang w:eastAsia="es-ES_tradnl"/>
        </w:rPr>
      </w:pPr>
      <w:r w:rsidRPr="004E70FA">
        <w:rPr>
          <w:rFonts w:ascii="Arial" w:eastAsia="Times New Roman" w:hAnsi="Arial" w:cs="Arial"/>
          <w:bCs/>
          <w:color w:val="000000"/>
          <w:sz w:val="20"/>
          <w:szCs w:val="20"/>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4E70FA">
        <w:rPr>
          <w:rFonts w:ascii="Arial" w:eastAsia="Times New Roman" w:hAnsi="Arial" w:cs="Arial"/>
          <w:bCs/>
          <w:color w:val="000000"/>
          <w:sz w:val="20"/>
          <w:szCs w:val="20"/>
          <w:lang w:val="es-ES_tradnl" w:eastAsia="es-ES_tradnl"/>
        </w:rPr>
        <w:t xml:space="preserve">i por alguna razón no se logra liquidar el contrato dentro de dicho plazo, el </w:t>
      </w:r>
      <w:r w:rsidRPr="004E70FA">
        <w:rPr>
          <w:rFonts w:ascii="Arial" w:eastAsia="Times New Roman" w:hAnsi="Arial" w:cs="Arial"/>
          <w:bCs/>
          <w:color w:val="000000"/>
          <w:sz w:val="20"/>
          <w:szCs w:val="20"/>
          <w:lang w:val="es-ES_tradnl" w:eastAsia="es-ES_tradnl"/>
        </w:rPr>
        <w:lastRenderedPageBreak/>
        <w:t xml:space="preserve">contratista tiene el deber de mantener vigente la garantía hasta la liquidación efectiva del contrato, pues el artículo 2.2.1.2.3.1.12 del Decreto 1082 de 2015 lo dispone expresamente. </w:t>
      </w:r>
    </w:p>
    <w:p w14:paraId="23452BB2" w14:textId="2FAA1625" w:rsidR="00F44A37" w:rsidRDefault="00F44A37">
      <w:pPr>
        <w:rPr>
          <w:rFonts w:ascii="Arial" w:eastAsia="Calibri" w:hAnsi="Arial" w:cs="Arial"/>
          <w:bCs/>
          <w:szCs w:val="24"/>
          <w:lang w:val="es-ES_tradnl" w:eastAsia="es-ES_tradnl"/>
        </w:rPr>
      </w:pPr>
      <w:r>
        <w:rPr>
          <w:rFonts w:ascii="Arial" w:eastAsia="Calibri" w:hAnsi="Arial" w:cs="Arial"/>
          <w:bCs/>
          <w:szCs w:val="24"/>
          <w:lang w:val="es-ES_tradnl" w:eastAsia="es-ES_tradnl"/>
        </w:rPr>
        <w:br w:type="page"/>
      </w:r>
    </w:p>
    <w:p w14:paraId="062F1ECA" w14:textId="30A1DD2F" w:rsidR="006219F8" w:rsidRPr="00775019" w:rsidRDefault="004E70FA" w:rsidP="6B8BD3AC">
      <w:pPr>
        <w:rPr>
          <w:rFonts w:ascii="Arial" w:eastAsia="Geomanist Light" w:hAnsi="Arial" w:cs="Arial"/>
          <w:color w:val="201F1E"/>
          <w:lang w:val="es-MX"/>
        </w:rPr>
      </w:pPr>
      <w:r w:rsidRPr="004E70FA">
        <w:rPr>
          <w:rFonts w:ascii="Arial Nova" w:hAnsi="Arial Nova"/>
          <w:color w:val="000000" w:themeColor="text1"/>
        </w:rPr>
        <w:drawing>
          <wp:anchor distT="0" distB="0" distL="114300" distR="114300" simplePos="0" relativeHeight="251658240" behindDoc="1" locked="0" layoutInCell="1" allowOverlap="1" wp14:anchorId="4841D826" wp14:editId="232CBEAE">
            <wp:simplePos x="0" y="0"/>
            <wp:positionH relativeFrom="margin">
              <wp:posOffset>3411220</wp:posOffset>
            </wp:positionH>
            <wp:positionV relativeFrom="paragraph">
              <wp:posOffset>10795</wp:posOffset>
            </wp:positionV>
            <wp:extent cx="2559050" cy="697923"/>
            <wp:effectExtent l="0" t="0" r="0" b="6985"/>
            <wp:wrapNone/>
            <wp:docPr id="4621100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1003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73883" cy="701968"/>
                    </a:xfrm>
                    <a:prstGeom prst="rect">
                      <a:avLst/>
                    </a:prstGeom>
                  </pic:spPr>
                </pic:pic>
              </a:graphicData>
            </a:graphic>
            <wp14:sizeRelH relativeFrom="margin">
              <wp14:pctWidth>0</wp14:pctWidth>
            </wp14:sizeRelH>
            <wp14:sizeRelV relativeFrom="margin">
              <wp14:pctHeight>0</wp14:pctHeight>
            </wp14:sizeRelV>
          </wp:anchor>
        </w:drawing>
      </w:r>
      <w:r w:rsidR="1CC63BF5" w:rsidRPr="00775019">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06 de junio de 2023</w:t>
      </w:r>
    </w:p>
    <w:p w14:paraId="15563806" w14:textId="4C15CA8D" w:rsidR="006219F8" w:rsidRPr="007566FE" w:rsidRDefault="006219F8" w:rsidP="00526E9D">
      <w:pPr>
        <w:rPr>
          <w:rFonts w:ascii="Arial Nova" w:hAnsi="Arial Nova"/>
          <w:color w:val="000000" w:themeColor="text1"/>
        </w:rPr>
      </w:pPr>
    </w:p>
    <w:p w14:paraId="5A38DA33" w14:textId="1560BC17" w:rsidR="00606090" w:rsidRPr="00EF69F0" w:rsidRDefault="00606090" w:rsidP="00606090">
      <w:pPr>
        <w:spacing w:after="0" w:line="240" w:lineRule="auto"/>
        <w:jc w:val="both"/>
        <w:rPr>
          <w:rFonts w:ascii="Arial" w:eastAsia="Calibri" w:hAnsi="Arial" w:cs="Arial"/>
          <w:color w:val="000000"/>
          <w:szCs w:val="24"/>
          <w:lang w:eastAsia="es-ES_tradnl"/>
        </w:rPr>
      </w:pPr>
      <w:bookmarkStart w:id="0" w:name="_Hlk100051121"/>
      <w:r w:rsidRPr="00EF69F0">
        <w:rPr>
          <w:rFonts w:ascii="Arial" w:eastAsia="Calibri" w:hAnsi="Arial" w:cs="Arial"/>
          <w:color w:val="000000"/>
          <w:szCs w:val="24"/>
          <w:lang w:eastAsia="es-ES_tradnl"/>
        </w:rPr>
        <w:t>Señor</w:t>
      </w:r>
    </w:p>
    <w:p w14:paraId="5217AC65" w14:textId="2408D76D" w:rsidR="00606090" w:rsidRPr="00EF69F0" w:rsidRDefault="00B42C5D" w:rsidP="00606090">
      <w:pPr>
        <w:tabs>
          <w:tab w:val="center" w:pos="4394"/>
        </w:tabs>
        <w:spacing w:after="0" w:line="240" w:lineRule="auto"/>
        <w:jc w:val="both"/>
        <w:rPr>
          <w:rFonts w:ascii="Arial" w:eastAsia="Calibri" w:hAnsi="Arial" w:cs="Arial"/>
          <w:b/>
          <w:color w:val="000000"/>
          <w:szCs w:val="24"/>
          <w:lang w:eastAsia="es-ES_tradnl"/>
        </w:rPr>
      </w:pPr>
      <w:r>
        <w:rPr>
          <w:rFonts w:ascii="Arial" w:eastAsia="Calibri" w:hAnsi="Arial" w:cs="Arial"/>
          <w:b/>
          <w:color w:val="000000"/>
          <w:szCs w:val="24"/>
          <w:lang w:eastAsia="es-ES_tradnl"/>
        </w:rPr>
        <w:t>Jairo Rúales Estrada</w:t>
      </w:r>
    </w:p>
    <w:p w14:paraId="713D7EAC" w14:textId="3CD00193" w:rsidR="00606090" w:rsidRDefault="00B42C5D" w:rsidP="00606090">
      <w:pPr>
        <w:tabs>
          <w:tab w:val="center" w:pos="4394"/>
        </w:tabs>
        <w:spacing w:after="0" w:line="240" w:lineRule="auto"/>
        <w:jc w:val="both"/>
        <w:rPr>
          <w:rFonts w:ascii="Arial" w:eastAsia="Calibri" w:hAnsi="Arial" w:cs="Arial"/>
          <w:bCs/>
          <w:color w:val="000000"/>
          <w:szCs w:val="24"/>
          <w:lang w:eastAsia="es-ES_tradnl"/>
        </w:rPr>
      </w:pPr>
      <w:r>
        <w:rPr>
          <w:rFonts w:ascii="Arial" w:eastAsia="Calibri" w:hAnsi="Arial" w:cs="Arial"/>
          <w:bCs/>
          <w:color w:val="000000"/>
          <w:szCs w:val="24"/>
          <w:lang w:eastAsia="es-ES_tradnl"/>
        </w:rPr>
        <w:t>Profesional Universitario Grado 02</w:t>
      </w:r>
    </w:p>
    <w:p w14:paraId="323E6D52" w14:textId="07878564" w:rsidR="00B42C5D" w:rsidRDefault="00B42C5D" w:rsidP="00606090">
      <w:pPr>
        <w:tabs>
          <w:tab w:val="center" w:pos="4394"/>
        </w:tabs>
        <w:spacing w:after="0" w:line="240" w:lineRule="auto"/>
        <w:jc w:val="both"/>
        <w:rPr>
          <w:rFonts w:ascii="Arial" w:eastAsia="Calibri" w:hAnsi="Arial" w:cs="Arial"/>
          <w:bCs/>
          <w:color w:val="000000"/>
          <w:szCs w:val="24"/>
          <w:lang w:eastAsia="es-ES_tradnl"/>
        </w:rPr>
      </w:pPr>
      <w:r>
        <w:rPr>
          <w:rFonts w:ascii="Arial" w:eastAsia="Calibri" w:hAnsi="Arial" w:cs="Arial"/>
          <w:bCs/>
          <w:color w:val="000000"/>
          <w:szCs w:val="24"/>
          <w:lang w:eastAsia="es-ES_tradnl"/>
        </w:rPr>
        <w:t>Secretaría de Infraestructura</w:t>
      </w:r>
    </w:p>
    <w:p w14:paraId="425C6A0B" w14:textId="2C3DE0EC" w:rsidR="00B42C5D" w:rsidRPr="00EF69F0" w:rsidRDefault="00AF7D87" w:rsidP="00606090">
      <w:pPr>
        <w:tabs>
          <w:tab w:val="center" w:pos="4394"/>
        </w:tabs>
        <w:spacing w:after="0" w:line="240" w:lineRule="auto"/>
        <w:jc w:val="both"/>
        <w:rPr>
          <w:rFonts w:ascii="Arial" w:eastAsia="Calibri" w:hAnsi="Arial" w:cs="Arial"/>
          <w:bCs/>
          <w:color w:val="000000"/>
          <w:szCs w:val="24"/>
          <w:lang w:eastAsia="es-ES_tradnl"/>
        </w:rPr>
      </w:pPr>
      <w:r>
        <w:rPr>
          <w:rFonts w:ascii="Arial" w:eastAsia="Calibri" w:hAnsi="Arial" w:cs="Arial"/>
          <w:bCs/>
          <w:color w:val="000000"/>
          <w:szCs w:val="24"/>
          <w:lang w:eastAsia="es-ES_tradnl"/>
        </w:rPr>
        <w:t>Gobernación del Putumayo</w:t>
      </w:r>
    </w:p>
    <w:p w14:paraId="091A82B1" w14:textId="77777777" w:rsidR="00606090" w:rsidRPr="00EF69F0" w:rsidRDefault="00606090" w:rsidP="00606090">
      <w:pPr>
        <w:spacing w:after="0" w:line="240" w:lineRule="auto"/>
        <w:rPr>
          <w:rFonts w:ascii="Arial" w:eastAsia="Calibri" w:hAnsi="Arial" w:cs="Arial"/>
          <w:b/>
          <w:bCs/>
          <w:color w:val="000000"/>
          <w:szCs w:val="24"/>
          <w:lang w:eastAsia="es-ES_tradnl"/>
        </w:rPr>
      </w:pPr>
    </w:p>
    <w:p w14:paraId="591486E2" w14:textId="55500975" w:rsidR="00606090" w:rsidRPr="00EF69F0" w:rsidRDefault="00606090" w:rsidP="00606090">
      <w:pPr>
        <w:spacing w:after="0" w:line="240" w:lineRule="auto"/>
        <w:rPr>
          <w:rFonts w:ascii="Arial" w:eastAsia="Calibri" w:hAnsi="Arial" w:cs="Arial"/>
          <w:b/>
          <w:bCs/>
          <w:color w:val="000000"/>
          <w:szCs w:val="24"/>
          <w:lang w:val="pt-BR" w:eastAsia="es-ES_tradnl"/>
        </w:rPr>
      </w:pPr>
      <w:r w:rsidRPr="00EF69F0">
        <w:rPr>
          <w:rFonts w:ascii="Arial" w:eastAsia="Calibri" w:hAnsi="Arial" w:cs="Arial"/>
          <w:b/>
          <w:bCs/>
          <w:color w:val="000000"/>
          <w:szCs w:val="24"/>
          <w:lang w:eastAsia="es-ES_tradnl"/>
        </w:rPr>
        <w:t xml:space="preserve">                                            </w:t>
      </w:r>
      <w:r w:rsidRPr="00EF69F0">
        <w:rPr>
          <w:rFonts w:ascii="Arial" w:eastAsia="Calibri" w:hAnsi="Arial" w:cs="Arial"/>
          <w:b/>
          <w:bCs/>
          <w:color w:val="000000"/>
          <w:szCs w:val="24"/>
          <w:lang w:val="pt-BR" w:eastAsia="es-ES_tradnl"/>
        </w:rPr>
        <w:t xml:space="preserve">Concepto C ‒ </w:t>
      </w:r>
      <w:r w:rsidR="00AF7D87">
        <w:rPr>
          <w:rFonts w:ascii="Arial" w:eastAsia="Calibri" w:hAnsi="Arial" w:cs="Arial"/>
          <w:b/>
          <w:bCs/>
          <w:color w:val="000000"/>
          <w:szCs w:val="24"/>
          <w:lang w:val="pt-BR" w:eastAsia="es-ES_tradnl"/>
        </w:rPr>
        <w:t xml:space="preserve">158 </w:t>
      </w:r>
      <w:r w:rsidRPr="00EF69F0">
        <w:rPr>
          <w:rFonts w:ascii="Arial" w:eastAsia="Calibri" w:hAnsi="Arial" w:cs="Arial"/>
          <w:b/>
          <w:bCs/>
          <w:color w:val="000000"/>
          <w:szCs w:val="24"/>
          <w:lang w:val="pt-BR" w:eastAsia="es-ES_tradnl"/>
        </w:rPr>
        <w:t>de 2023</w:t>
      </w:r>
    </w:p>
    <w:p w14:paraId="038769FE" w14:textId="77777777" w:rsidR="00606090" w:rsidRPr="00EF69F0" w:rsidRDefault="00606090" w:rsidP="00606090">
      <w:pPr>
        <w:spacing w:after="0" w:line="240" w:lineRule="auto"/>
        <w:rPr>
          <w:rFonts w:ascii="Arial" w:eastAsia="Calibri" w:hAnsi="Arial" w:cs="Arial"/>
          <w:b/>
          <w:bCs/>
          <w:color w:val="000000"/>
          <w:szCs w:val="24"/>
          <w:lang w:val="pt-BR"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6090" w:rsidRPr="00EF69F0" w14:paraId="33326C55" w14:textId="77777777" w:rsidTr="00415AC1">
        <w:trPr>
          <w:trHeight w:val="884"/>
        </w:trPr>
        <w:tc>
          <w:tcPr>
            <w:tcW w:w="2689" w:type="dxa"/>
          </w:tcPr>
          <w:p w14:paraId="7CF9D93C" w14:textId="77777777" w:rsidR="00606090" w:rsidRPr="00EF69F0" w:rsidRDefault="00606090" w:rsidP="00415AC1">
            <w:pPr>
              <w:jc w:val="both"/>
              <w:rPr>
                <w:rFonts w:ascii="Arial" w:eastAsia="Calibri" w:hAnsi="Arial" w:cs="Arial"/>
                <w:color w:val="000000"/>
                <w:szCs w:val="24"/>
                <w:lang w:val="es-ES_tradnl" w:eastAsia="es-ES_tradnl"/>
              </w:rPr>
            </w:pPr>
            <w:r w:rsidRPr="00EF69F0">
              <w:rPr>
                <w:rFonts w:ascii="Arial" w:eastAsia="Calibri" w:hAnsi="Arial" w:cs="Arial"/>
                <w:b/>
                <w:color w:val="000000"/>
                <w:szCs w:val="24"/>
                <w:lang w:val="es-ES_tradnl" w:eastAsia="es-ES_tradnl"/>
              </w:rPr>
              <w:t>Temas:</w:t>
            </w:r>
            <w:r w:rsidRPr="00EF69F0">
              <w:rPr>
                <w:rFonts w:ascii="Arial" w:eastAsia="Calibri" w:hAnsi="Arial" w:cs="Arial"/>
                <w:color w:val="000000"/>
                <w:szCs w:val="24"/>
                <w:lang w:val="es-ES_tradnl" w:eastAsia="es-ES_tradnl"/>
              </w:rPr>
              <w:t xml:space="preserve">                   </w:t>
            </w:r>
          </w:p>
        </w:tc>
        <w:tc>
          <w:tcPr>
            <w:tcW w:w="6237" w:type="dxa"/>
          </w:tcPr>
          <w:p w14:paraId="180FDA32" w14:textId="77777777" w:rsidR="00606090" w:rsidRPr="00EF69F0" w:rsidRDefault="00606090" w:rsidP="00415AC1">
            <w:pPr>
              <w:jc w:val="both"/>
              <w:rPr>
                <w:rFonts w:ascii="Arial" w:eastAsia="Calibri" w:hAnsi="Arial" w:cs="Arial"/>
                <w:bCs/>
                <w:szCs w:val="24"/>
                <w:lang w:val="es-ES_tradnl" w:eastAsia="es-ES_tradnl"/>
              </w:rPr>
            </w:pPr>
            <w:r w:rsidRPr="00EF69F0">
              <w:rPr>
                <w:rFonts w:ascii="Arial" w:eastAsia="Calibri" w:hAnsi="Arial" w:cs="Arial"/>
                <w:bCs/>
                <w:szCs w:val="24"/>
                <w:lang w:val="es-ES_tradnl" w:eastAsia="es-ES_tradnl"/>
              </w:rPr>
              <w:t>LIQUIDACIÓN DEL CONTRATO – Definición – Objetivo – Normativa – Oportunidad / GARANTÍA DE CUMPLIMIENTO – Garantía única de cumplimiento – Amparos / GARANTÍA DE CUMPLIMIENTO – Garantías – Vigencia – Liquidación</w:t>
            </w:r>
          </w:p>
        </w:tc>
      </w:tr>
      <w:tr w:rsidR="00606090" w:rsidRPr="00EF69F0" w14:paraId="02C1A554" w14:textId="77777777" w:rsidTr="00415AC1">
        <w:tc>
          <w:tcPr>
            <w:tcW w:w="2689" w:type="dxa"/>
          </w:tcPr>
          <w:p w14:paraId="3072CD40" w14:textId="77777777" w:rsidR="00606090" w:rsidRPr="00EF69F0" w:rsidRDefault="00606090" w:rsidP="00415AC1">
            <w:pPr>
              <w:spacing w:before="120"/>
              <w:jc w:val="both"/>
              <w:rPr>
                <w:rFonts w:ascii="Arial" w:eastAsia="Calibri" w:hAnsi="Arial" w:cs="Arial"/>
                <w:b/>
                <w:color w:val="000000"/>
                <w:szCs w:val="24"/>
                <w:lang w:val="es-ES_tradnl" w:eastAsia="es-ES_tradnl"/>
              </w:rPr>
            </w:pPr>
            <w:r w:rsidRPr="00EF69F0">
              <w:rPr>
                <w:rFonts w:ascii="Arial" w:eastAsia="Calibri" w:hAnsi="Arial" w:cs="Arial"/>
                <w:b/>
                <w:color w:val="000000"/>
                <w:szCs w:val="24"/>
                <w:lang w:val="es-ES_tradnl" w:eastAsia="es-ES_tradnl"/>
              </w:rPr>
              <w:t>Radicación:</w:t>
            </w:r>
            <w:r w:rsidRPr="00EF69F0">
              <w:rPr>
                <w:rFonts w:ascii="Arial" w:eastAsia="Calibri" w:hAnsi="Arial" w:cs="Arial"/>
                <w:color w:val="000000"/>
                <w:szCs w:val="24"/>
                <w:lang w:val="es-ES_tradnl" w:eastAsia="es-ES_tradnl"/>
              </w:rPr>
              <w:t xml:space="preserve">               </w:t>
            </w:r>
          </w:p>
        </w:tc>
        <w:tc>
          <w:tcPr>
            <w:tcW w:w="6237" w:type="dxa"/>
          </w:tcPr>
          <w:p w14:paraId="3F38D7F5" w14:textId="5EC3BD82" w:rsidR="00606090" w:rsidRPr="00EF69F0" w:rsidRDefault="00606090" w:rsidP="00415AC1">
            <w:pPr>
              <w:spacing w:before="120"/>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 xml:space="preserve">Respuesta a consulta </w:t>
            </w:r>
            <w:r w:rsidR="00624715" w:rsidRPr="00624715">
              <w:rPr>
                <w:rFonts w:ascii="Arial" w:eastAsia="Calibri" w:hAnsi="Arial" w:cs="Arial"/>
                <w:color w:val="000000"/>
                <w:szCs w:val="24"/>
                <w:lang w:val="es-ES_tradnl" w:eastAsia="es-ES_tradnl"/>
              </w:rPr>
              <w:t>P20230421003548</w:t>
            </w:r>
          </w:p>
        </w:tc>
      </w:tr>
    </w:tbl>
    <w:p w14:paraId="59F03A64" w14:textId="77777777" w:rsidR="00606090" w:rsidRPr="00EF69F0" w:rsidRDefault="00606090" w:rsidP="00606090">
      <w:pPr>
        <w:spacing w:after="0" w:line="240" w:lineRule="auto"/>
        <w:jc w:val="both"/>
        <w:rPr>
          <w:rFonts w:ascii="Arial" w:eastAsia="Calibri" w:hAnsi="Arial" w:cs="Arial"/>
          <w:color w:val="000000"/>
          <w:szCs w:val="24"/>
          <w:lang w:eastAsia="es-ES_tradnl"/>
        </w:rPr>
      </w:pPr>
    </w:p>
    <w:p w14:paraId="6FFCF4FB" w14:textId="77777777" w:rsidR="00606090" w:rsidRPr="00EF69F0" w:rsidRDefault="00606090" w:rsidP="00606090">
      <w:pPr>
        <w:spacing w:after="0" w:line="240" w:lineRule="auto"/>
        <w:jc w:val="both"/>
        <w:rPr>
          <w:rFonts w:ascii="Arial" w:eastAsia="Calibri" w:hAnsi="Arial" w:cs="Arial"/>
          <w:color w:val="000000"/>
          <w:szCs w:val="24"/>
          <w:lang w:val="es-ES_tradnl" w:eastAsia="es-ES_tradnl"/>
        </w:rPr>
      </w:pPr>
    </w:p>
    <w:p w14:paraId="564F2C2E" w14:textId="2376ED70" w:rsidR="00606090" w:rsidRPr="00EF69F0" w:rsidRDefault="00606090" w:rsidP="00606090">
      <w:pPr>
        <w:spacing w:after="0" w:line="240" w:lineRule="auto"/>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Estimad</w:t>
      </w:r>
      <w:r w:rsidR="00624715">
        <w:rPr>
          <w:rFonts w:ascii="Arial" w:eastAsia="Calibri" w:hAnsi="Arial" w:cs="Arial"/>
          <w:color w:val="000000"/>
          <w:szCs w:val="24"/>
          <w:lang w:val="es-ES_tradnl" w:eastAsia="es-ES_tradnl"/>
        </w:rPr>
        <w:t>o</w:t>
      </w:r>
      <w:r w:rsidRPr="00EF69F0">
        <w:rPr>
          <w:rFonts w:ascii="Arial" w:eastAsia="Calibri" w:hAnsi="Arial" w:cs="Arial"/>
          <w:color w:val="000000"/>
          <w:szCs w:val="24"/>
          <w:lang w:val="es-ES_tradnl" w:eastAsia="es-ES_tradnl"/>
        </w:rPr>
        <w:t xml:space="preserve"> señor </w:t>
      </w:r>
      <w:r w:rsidR="00624715">
        <w:rPr>
          <w:rFonts w:ascii="Arial" w:eastAsia="Calibri" w:hAnsi="Arial" w:cs="Arial"/>
          <w:color w:val="000000"/>
          <w:szCs w:val="24"/>
          <w:lang w:val="es-ES_tradnl" w:eastAsia="es-ES_tradnl"/>
        </w:rPr>
        <w:t>Rúales</w:t>
      </w:r>
      <w:r w:rsidRPr="00EF69F0">
        <w:rPr>
          <w:rFonts w:ascii="Arial" w:eastAsia="Calibri" w:hAnsi="Arial" w:cs="Arial"/>
          <w:color w:val="000000"/>
          <w:szCs w:val="24"/>
          <w:lang w:val="es-ES_tradnl" w:eastAsia="es-ES_tradnl"/>
        </w:rPr>
        <w:t xml:space="preserve">: </w:t>
      </w:r>
    </w:p>
    <w:p w14:paraId="365EC93D" w14:textId="77777777" w:rsidR="00606090" w:rsidRPr="00EF69F0" w:rsidRDefault="00606090" w:rsidP="00606090">
      <w:pPr>
        <w:spacing w:after="0" w:line="240" w:lineRule="auto"/>
        <w:jc w:val="both"/>
        <w:rPr>
          <w:rFonts w:ascii="Arial" w:eastAsia="Calibri" w:hAnsi="Arial" w:cs="Arial"/>
          <w:color w:val="000000"/>
          <w:szCs w:val="24"/>
          <w:lang w:val="es-ES_tradnl" w:eastAsia="es-ES_tradnl"/>
        </w:rPr>
      </w:pPr>
    </w:p>
    <w:p w14:paraId="6D5AEB8B" w14:textId="1D1A0621" w:rsidR="00606090" w:rsidRPr="00EF69F0" w:rsidRDefault="00606090" w:rsidP="00606090">
      <w:pPr>
        <w:spacing w:after="0" w:line="276" w:lineRule="auto"/>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EF69F0">
        <w:rPr>
          <w:rFonts w:ascii="Arial MT" w:eastAsia="Arial MT" w:hAnsi="Arial MT" w:cs="Arial MT"/>
          <w:szCs w:val="24"/>
          <w:lang w:val="es-ES" w:eastAsia="es-ES_tradnl"/>
        </w:rPr>
        <w:t xml:space="preserve"> </w:t>
      </w:r>
      <w:r w:rsidRPr="00EF69F0">
        <w:rPr>
          <w:rFonts w:ascii="Arial" w:eastAsia="Calibri" w:hAnsi="Arial" w:cs="Arial"/>
          <w:color w:val="000000"/>
          <w:szCs w:val="24"/>
          <w:lang w:val="es-ES_tradnl" w:eastAsia="es-ES_tradnl"/>
        </w:rPr>
        <w:t xml:space="preserve">la Agencia Nacional de Contratación Pública – Colombia Compra Eficiente, responde su consulta del </w:t>
      </w:r>
      <w:r w:rsidR="00353E60">
        <w:rPr>
          <w:rFonts w:ascii="Arial" w:eastAsia="Calibri" w:hAnsi="Arial" w:cs="Arial"/>
          <w:color w:val="000000"/>
          <w:szCs w:val="24"/>
          <w:lang w:val="es-ES_tradnl" w:eastAsia="es-ES_tradnl"/>
        </w:rPr>
        <w:t>21</w:t>
      </w:r>
      <w:r w:rsidRPr="00EF69F0">
        <w:rPr>
          <w:rFonts w:ascii="Arial" w:eastAsia="Calibri" w:hAnsi="Arial" w:cs="Arial"/>
          <w:color w:val="000000"/>
          <w:szCs w:val="24"/>
          <w:lang w:val="es-ES_tradnl" w:eastAsia="es-ES_tradnl"/>
        </w:rPr>
        <w:t xml:space="preserve"> de </w:t>
      </w:r>
      <w:r w:rsidR="00353E60">
        <w:rPr>
          <w:rFonts w:ascii="Arial" w:eastAsia="Calibri" w:hAnsi="Arial" w:cs="Arial"/>
          <w:color w:val="000000"/>
          <w:szCs w:val="24"/>
          <w:lang w:val="es-ES_tradnl" w:eastAsia="es-ES_tradnl"/>
        </w:rPr>
        <w:t>abril</w:t>
      </w:r>
      <w:r w:rsidRPr="00EF69F0">
        <w:rPr>
          <w:rFonts w:ascii="Arial" w:eastAsia="Calibri" w:hAnsi="Arial" w:cs="Arial"/>
          <w:color w:val="000000"/>
          <w:szCs w:val="24"/>
          <w:lang w:val="es-ES_tradnl" w:eastAsia="es-ES_tradnl"/>
        </w:rPr>
        <w:t xml:space="preserve"> de 202</w:t>
      </w:r>
      <w:r w:rsidR="00353E60">
        <w:rPr>
          <w:rFonts w:ascii="Arial" w:eastAsia="Calibri" w:hAnsi="Arial" w:cs="Arial"/>
          <w:color w:val="000000"/>
          <w:szCs w:val="24"/>
          <w:lang w:val="es-ES_tradnl" w:eastAsia="es-ES_tradnl"/>
        </w:rPr>
        <w:t>3</w:t>
      </w:r>
      <w:r w:rsidRPr="00EF69F0">
        <w:rPr>
          <w:rFonts w:ascii="Arial" w:eastAsia="Calibri" w:hAnsi="Arial" w:cs="Arial"/>
          <w:color w:val="000000"/>
          <w:szCs w:val="24"/>
          <w:lang w:val="es-ES_tradnl" w:eastAsia="es-ES_tradnl"/>
        </w:rPr>
        <w:t>.</w:t>
      </w:r>
    </w:p>
    <w:p w14:paraId="540B3126" w14:textId="77777777" w:rsidR="00606090" w:rsidRPr="00EF69F0" w:rsidRDefault="00606090" w:rsidP="00606090">
      <w:pPr>
        <w:spacing w:after="0" w:line="276" w:lineRule="auto"/>
        <w:jc w:val="both"/>
        <w:rPr>
          <w:rFonts w:ascii="Arial" w:eastAsia="Calibri" w:hAnsi="Arial" w:cs="Arial"/>
          <w:b/>
          <w:color w:val="000000"/>
          <w:szCs w:val="24"/>
          <w:lang w:val="es-ES_tradnl" w:eastAsia="es-ES_tradnl"/>
        </w:rPr>
      </w:pPr>
    </w:p>
    <w:p w14:paraId="4C69702C" w14:textId="77777777" w:rsidR="00606090" w:rsidRPr="00EF69F0" w:rsidRDefault="00606090" w:rsidP="00606090">
      <w:pPr>
        <w:numPr>
          <w:ilvl w:val="0"/>
          <w:numId w:val="4"/>
        </w:numPr>
        <w:tabs>
          <w:tab w:val="left" w:pos="0"/>
          <w:tab w:val="left" w:pos="142"/>
          <w:tab w:val="left" w:pos="284"/>
        </w:tabs>
        <w:spacing w:after="0" w:line="276" w:lineRule="auto"/>
        <w:ind w:left="357" w:hanging="357"/>
        <w:contextualSpacing/>
        <w:rPr>
          <w:rFonts w:ascii="Arial" w:eastAsia="Calibri" w:hAnsi="Arial" w:cs="Arial"/>
          <w:b/>
          <w:color w:val="000000"/>
          <w:lang w:val="es-ES_tradnl"/>
        </w:rPr>
      </w:pPr>
      <w:r w:rsidRPr="00EF69F0">
        <w:rPr>
          <w:rFonts w:ascii="Arial" w:eastAsia="Calibri" w:hAnsi="Arial" w:cs="Arial"/>
          <w:b/>
          <w:color w:val="000000"/>
          <w:lang w:val="es-ES_tradnl"/>
        </w:rPr>
        <w:t xml:space="preserve">Problema planteado </w:t>
      </w:r>
    </w:p>
    <w:p w14:paraId="04011B02" w14:textId="77777777" w:rsidR="00606090" w:rsidRPr="00EF69F0" w:rsidRDefault="00606090" w:rsidP="00606090">
      <w:pPr>
        <w:spacing w:after="0" w:line="276" w:lineRule="auto"/>
        <w:jc w:val="both"/>
        <w:rPr>
          <w:rFonts w:ascii="Arial" w:eastAsia="Times New Roman" w:hAnsi="Arial" w:cs="Arial"/>
          <w:bCs/>
          <w:lang w:eastAsia="es-ES_tradnl"/>
        </w:rPr>
      </w:pPr>
    </w:p>
    <w:p w14:paraId="6198738F" w14:textId="79732EE9" w:rsidR="00DD392E" w:rsidRDefault="00606090" w:rsidP="00606090">
      <w:pPr>
        <w:spacing w:after="0" w:line="276" w:lineRule="auto"/>
        <w:jc w:val="both"/>
        <w:rPr>
          <w:rFonts w:ascii="Arial" w:eastAsia="Times New Roman" w:hAnsi="Arial" w:cs="Arial"/>
          <w:bCs/>
          <w:lang w:eastAsia="es-ES_tradnl"/>
        </w:rPr>
      </w:pPr>
      <w:r w:rsidRPr="00EF69F0">
        <w:rPr>
          <w:rFonts w:ascii="Arial" w:eastAsia="Times New Roman" w:hAnsi="Arial" w:cs="Arial"/>
          <w:bCs/>
          <w:lang w:eastAsia="es-ES_tradnl"/>
        </w:rPr>
        <w:t xml:space="preserve">Usted </w:t>
      </w:r>
      <w:r w:rsidR="00DD392E">
        <w:rPr>
          <w:rFonts w:ascii="Arial" w:eastAsia="Times New Roman" w:hAnsi="Arial" w:cs="Arial"/>
          <w:bCs/>
          <w:lang w:eastAsia="es-ES_tradnl"/>
        </w:rPr>
        <w:t>realiz</w:t>
      </w:r>
      <w:r w:rsidR="00EB5343">
        <w:rPr>
          <w:rFonts w:ascii="Arial" w:eastAsia="Times New Roman" w:hAnsi="Arial" w:cs="Arial"/>
          <w:bCs/>
          <w:lang w:eastAsia="es-ES_tradnl"/>
        </w:rPr>
        <w:t>ó</w:t>
      </w:r>
      <w:r w:rsidR="00DD392E">
        <w:rPr>
          <w:rFonts w:ascii="Arial" w:eastAsia="Times New Roman" w:hAnsi="Arial" w:cs="Arial"/>
          <w:bCs/>
          <w:lang w:eastAsia="es-ES_tradnl"/>
        </w:rPr>
        <w:t xml:space="preserve"> las siguientes</w:t>
      </w:r>
      <w:r w:rsidRPr="00EF69F0">
        <w:rPr>
          <w:rFonts w:ascii="Arial" w:eastAsia="Times New Roman" w:hAnsi="Arial" w:cs="Arial"/>
          <w:bCs/>
          <w:lang w:eastAsia="es-ES_tradnl"/>
        </w:rPr>
        <w:t xml:space="preserve"> pregunta</w:t>
      </w:r>
      <w:r w:rsidR="00DD392E">
        <w:rPr>
          <w:rFonts w:ascii="Arial" w:eastAsia="Times New Roman" w:hAnsi="Arial" w:cs="Arial"/>
          <w:bCs/>
          <w:lang w:eastAsia="es-ES_tradnl"/>
        </w:rPr>
        <w:t>s</w:t>
      </w:r>
      <w:r w:rsidRPr="00EF69F0">
        <w:rPr>
          <w:rFonts w:ascii="Arial" w:eastAsia="Times New Roman" w:hAnsi="Arial" w:cs="Arial"/>
          <w:bCs/>
          <w:lang w:eastAsia="es-ES_tradnl"/>
        </w:rPr>
        <w:t xml:space="preserve">: </w:t>
      </w:r>
    </w:p>
    <w:p w14:paraId="09D8D501" w14:textId="77777777" w:rsidR="00DD392E" w:rsidRDefault="00DD392E" w:rsidP="00606090">
      <w:pPr>
        <w:spacing w:after="0" w:line="276" w:lineRule="auto"/>
        <w:jc w:val="both"/>
        <w:rPr>
          <w:rFonts w:ascii="Arial" w:eastAsia="Times New Roman" w:hAnsi="Arial" w:cs="Arial"/>
          <w:bCs/>
          <w:lang w:eastAsia="es-ES_tradnl"/>
        </w:rPr>
      </w:pPr>
    </w:p>
    <w:p w14:paraId="5DDD2FDF" w14:textId="77777777" w:rsidR="002648FD" w:rsidRPr="002648FD" w:rsidRDefault="002648FD" w:rsidP="002648FD">
      <w:pPr>
        <w:spacing w:after="0" w:line="240" w:lineRule="auto"/>
        <w:ind w:left="709" w:right="709"/>
        <w:jc w:val="both"/>
        <w:rPr>
          <w:rFonts w:ascii="Arial" w:eastAsia="Times New Roman" w:hAnsi="Arial" w:cs="Arial"/>
          <w:bCs/>
          <w:sz w:val="21"/>
          <w:szCs w:val="21"/>
          <w:lang w:val="es-ES" w:eastAsia="es-ES_tradnl"/>
        </w:rPr>
      </w:pPr>
      <w:r w:rsidRPr="002648FD">
        <w:rPr>
          <w:rFonts w:ascii="Arial" w:eastAsia="Times New Roman" w:hAnsi="Arial" w:cs="Arial"/>
          <w:bCs/>
          <w:sz w:val="21"/>
          <w:szCs w:val="21"/>
          <w:lang w:val="es-ES" w:eastAsia="es-ES_tradnl"/>
        </w:rPr>
        <w:t>“</w:t>
      </w:r>
      <w:r w:rsidR="00606090" w:rsidRPr="002648FD">
        <w:rPr>
          <w:rFonts w:ascii="Arial" w:eastAsia="Times New Roman" w:hAnsi="Arial" w:cs="Arial"/>
          <w:bCs/>
          <w:sz w:val="21"/>
          <w:szCs w:val="21"/>
          <w:lang w:val="es-ES" w:eastAsia="es-ES_tradnl"/>
        </w:rPr>
        <w:t>[</w:t>
      </w:r>
      <w:r w:rsidRPr="002648FD">
        <w:rPr>
          <w:rFonts w:ascii="Arial" w:eastAsia="Times New Roman" w:hAnsi="Arial" w:cs="Arial"/>
          <w:bCs/>
          <w:sz w:val="21"/>
          <w:szCs w:val="21"/>
          <w:lang w:val="es-ES" w:eastAsia="es-ES_tradnl"/>
        </w:rPr>
        <w:t>…</w:t>
      </w:r>
      <w:r w:rsidR="00606090" w:rsidRPr="002648FD">
        <w:rPr>
          <w:rFonts w:ascii="Arial" w:eastAsia="Times New Roman" w:hAnsi="Arial" w:cs="Arial"/>
          <w:bCs/>
          <w:sz w:val="21"/>
          <w:szCs w:val="21"/>
          <w:lang w:val="es-ES" w:eastAsia="es-ES_tradnl"/>
        </w:rPr>
        <w:t>]</w:t>
      </w:r>
      <w:r w:rsidR="00947F9E" w:rsidRPr="002648FD">
        <w:rPr>
          <w:rFonts w:ascii="Arial" w:eastAsia="Times New Roman" w:hAnsi="Arial" w:cs="Arial"/>
          <w:bCs/>
          <w:sz w:val="21"/>
          <w:szCs w:val="21"/>
          <w:lang w:val="es-ES" w:eastAsia="es-ES_tradnl"/>
        </w:rPr>
        <w:t xml:space="preserve"> la entidad y el contratista acordaron realizar la liquidación bilateral del</w:t>
      </w:r>
      <w:r w:rsidRPr="002648FD">
        <w:rPr>
          <w:rFonts w:ascii="Arial" w:eastAsia="Times New Roman" w:hAnsi="Arial" w:cs="Arial"/>
          <w:bCs/>
          <w:sz w:val="21"/>
          <w:szCs w:val="21"/>
          <w:lang w:val="es-ES" w:eastAsia="es-ES_tradnl"/>
        </w:rPr>
        <w:t xml:space="preserve"> </w:t>
      </w:r>
      <w:r w:rsidR="00947F9E" w:rsidRPr="002648FD">
        <w:rPr>
          <w:rFonts w:ascii="Arial" w:eastAsia="Times New Roman" w:hAnsi="Arial" w:cs="Arial"/>
          <w:bCs/>
          <w:sz w:val="21"/>
          <w:szCs w:val="21"/>
          <w:lang w:val="es-ES" w:eastAsia="es-ES_tradnl"/>
        </w:rPr>
        <w:t>contrato sin salvedades (El contratista cumplió con sus obligaciones contractuales). ¿ES NECESARIO QUE EL</w:t>
      </w:r>
      <w:r w:rsidRPr="002648FD">
        <w:rPr>
          <w:rFonts w:ascii="Arial" w:eastAsia="Times New Roman" w:hAnsi="Arial" w:cs="Arial"/>
          <w:bCs/>
          <w:sz w:val="21"/>
          <w:szCs w:val="21"/>
          <w:lang w:val="es-ES" w:eastAsia="es-ES_tradnl"/>
        </w:rPr>
        <w:t xml:space="preserve"> </w:t>
      </w:r>
      <w:r w:rsidR="00947F9E" w:rsidRPr="002648FD">
        <w:rPr>
          <w:rFonts w:ascii="Arial" w:eastAsia="Times New Roman" w:hAnsi="Arial" w:cs="Arial"/>
          <w:bCs/>
          <w:sz w:val="21"/>
          <w:szCs w:val="21"/>
          <w:lang w:val="es-ES" w:eastAsia="es-ES_tradnl"/>
        </w:rPr>
        <w:t>CONTRATISTA REALICE LA ACTUALIZACIÓN DE PÓLIZAS PARA CONTAR CON VIGENCIA DEL</w:t>
      </w:r>
      <w:r w:rsidRPr="002648FD">
        <w:rPr>
          <w:rFonts w:ascii="Arial" w:eastAsia="Times New Roman" w:hAnsi="Arial" w:cs="Arial"/>
          <w:bCs/>
          <w:sz w:val="21"/>
          <w:szCs w:val="21"/>
          <w:lang w:val="es-ES" w:eastAsia="es-ES_tradnl"/>
        </w:rPr>
        <w:t xml:space="preserve"> </w:t>
      </w:r>
      <w:r w:rsidR="00947F9E" w:rsidRPr="002648FD">
        <w:rPr>
          <w:rFonts w:ascii="Arial" w:eastAsia="Times New Roman" w:hAnsi="Arial" w:cs="Arial"/>
          <w:bCs/>
          <w:sz w:val="21"/>
          <w:szCs w:val="21"/>
          <w:lang w:val="es-ES" w:eastAsia="es-ES_tradnl"/>
        </w:rPr>
        <w:t xml:space="preserve">AMPARO DE CUMPLIMIENTO? </w:t>
      </w:r>
    </w:p>
    <w:p w14:paraId="6B2018F5" w14:textId="456018E9" w:rsidR="002648FD" w:rsidRPr="002648FD" w:rsidRDefault="002648FD" w:rsidP="002648FD">
      <w:pPr>
        <w:spacing w:after="0" w:line="240" w:lineRule="auto"/>
        <w:ind w:left="709" w:right="709"/>
        <w:jc w:val="both"/>
        <w:rPr>
          <w:rFonts w:ascii="Arial" w:eastAsia="Times New Roman" w:hAnsi="Arial" w:cs="Arial"/>
          <w:bCs/>
          <w:sz w:val="21"/>
          <w:szCs w:val="21"/>
          <w:lang w:val="es-ES" w:eastAsia="es-ES_tradnl"/>
        </w:rPr>
      </w:pPr>
      <w:r w:rsidRPr="002648FD">
        <w:rPr>
          <w:rFonts w:ascii="Arial" w:eastAsia="Times New Roman" w:hAnsi="Arial" w:cs="Arial"/>
          <w:bCs/>
          <w:sz w:val="21"/>
          <w:szCs w:val="21"/>
          <w:lang w:val="es-ES" w:eastAsia="es-ES_tradnl"/>
        </w:rPr>
        <w:t>[…]</w:t>
      </w:r>
    </w:p>
    <w:p w14:paraId="1C8D8E90" w14:textId="270D53B7" w:rsidR="002648FD" w:rsidRPr="002648FD" w:rsidRDefault="002648FD" w:rsidP="002648FD">
      <w:pPr>
        <w:spacing w:after="0" w:line="240" w:lineRule="auto"/>
        <w:ind w:left="709" w:right="709"/>
        <w:jc w:val="both"/>
        <w:rPr>
          <w:rFonts w:ascii="Arial" w:eastAsia="Times New Roman" w:hAnsi="Arial" w:cs="Arial"/>
          <w:bCs/>
          <w:sz w:val="21"/>
          <w:szCs w:val="21"/>
          <w:lang w:eastAsia="es-ES_tradnl"/>
        </w:rPr>
      </w:pPr>
      <w:r w:rsidRPr="002648FD">
        <w:rPr>
          <w:rStyle w:val="markedcontent"/>
          <w:rFonts w:ascii="Arial" w:hAnsi="Arial" w:cs="Arial"/>
          <w:sz w:val="21"/>
          <w:szCs w:val="21"/>
        </w:rPr>
        <w:t>En ese caso si sumamos los 6 meses para liquidación bilateral o unilateral más los 2 años para liquidación bilateral, unilateral o judicial, lo que suma 30 meses para perdida de competencia para liquidar. Así las cosas, surge la siguiente pregunta: ¿LOS 30 MESES SE CONTABILIZAN DESDE LA TERMINACIÓN DEL PLAZO CONTRACTUAL O DESDE LA SUSCRIPCIÓN DEL ACTA DE RECIBO FINAL?” (Sic).</w:t>
      </w:r>
    </w:p>
    <w:p w14:paraId="79163E7D" w14:textId="77777777" w:rsidR="00606090" w:rsidRPr="00EF69F0" w:rsidRDefault="00606090" w:rsidP="00606090">
      <w:pPr>
        <w:spacing w:after="0" w:line="276" w:lineRule="auto"/>
        <w:ind w:right="709"/>
        <w:jc w:val="both"/>
        <w:rPr>
          <w:rFonts w:ascii="Arial" w:eastAsia="Times New Roman" w:hAnsi="Arial" w:cs="Arial"/>
          <w:color w:val="000000"/>
          <w:sz w:val="21"/>
          <w:szCs w:val="21"/>
          <w:lang w:eastAsia="es-ES_tradnl"/>
        </w:rPr>
      </w:pPr>
    </w:p>
    <w:p w14:paraId="65683A44" w14:textId="77777777" w:rsidR="00606090" w:rsidRDefault="00606090" w:rsidP="00314F01">
      <w:pPr>
        <w:numPr>
          <w:ilvl w:val="0"/>
          <w:numId w:val="4"/>
        </w:numPr>
        <w:tabs>
          <w:tab w:val="left" w:pos="0"/>
          <w:tab w:val="left" w:pos="284"/>
        </w:tabs>
        <w:spacing w:line="240" w:lineRule="auto"/>
        <w:ind w:left="357" w:hanging="357"/>
        <w:contextualSpacing/>
        <w:jc w:val="both"/>
        <w:rPr>
          <w:rFonts w:ascii="Arial" w:eastAsia="Calibri" w:hAnsi="Arial" w:cs="Arial"/>
          <w:b/>
          <w:color w:val="000000"/>
          <w:lang w:val="es-ES_tradnl"/>
        </w:rPr>
      </w:pPr>
      <w:r w:rsidRPr="00EF69F0">
        <w:rPr>
          <w:rFonts w:ascii="Arial" w:eastAsia="Calibri" w:hAnsi="Arial" w:cs="Arial"/>
          <w:b/>
          <w:color w:val="000000"/>
          <w:lang w:val="es-ES_tradnl"/>
        </w:rPr>
        <w:t>Consideraciones</w:t>
      </w:r>
    </w:p>
    <w:p w14:paraId="36EECDD5" w14:textId="77777777" w:rsidR="00314F01" w:rsidRPr="00EF69F0" w:rsidRDefault="00314F01" w:rsidP="00314F01">
      <w:pPr>
        <w:tabs>
          <w:tab w:val="left" w:pos="0"/>
          <w:tab w:val="left" w:pos="284"/>
        </w:tabs>
        <w:spacing w:line="240" w:lineRule="auto"/>
        <w:ind w:left="357"/>
        <w:contextualSpacing/>
        <w:jc w:val="both"/>
        <w:rPr>
          <w:rFonts w:ascii="Arial" w:eastAsia="Calibri" w:hAnsi="Arial" w:cs="Arial"/>
          <w:b/>
          <w:color w:val="000000"/>
          <w:lang w:val="es-ES_tradnl"/>
        </w:rPr>
      </w:pPr>
    </w:p>
    <w:p w14:paraId="500FB027" w14:textId="77777777" w:rsidR="00EC6F6B" w:rsidRPr="000547C2" w:rsidRDefault="00EC6F6B" w:rsidP="00314F01">
      <w:pPr>
        <w:spacing w:line="276" w:lineRule="auto"/>
        <w:jc w:val="both"/>
        <w:rPr>
          <w:rFonts w:ascii="Arial" w:hAnsi="Arial" w:cs="Arial"/>
          <w:lang w:val="es-ES"/>
        </w:rPr>
      </w:pPr>
      <w:r w:rsidRPr="000547C2">
        <w:rPr>
          <w:rFonts w:ascii="Arial" w:hAnsi="Arial" w:cs="Arial"/>
          <w:bCs/>
        </w:rPr>
        <w:t xml:space="preserve">La Agencia Nacional de Contratación Pública – Colombia Compra Eficiente resuelve consultas sobre </w:t>
      </w:r>
      <w:r w:rsidRPr="000547C2">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547C2">
        <w:rPr>
          <w:rFonts w:ascii="Arial" w:hAnsi="Arial" w:cs="Arial"/>
          <w:bCs/>
        </w:rPr>
        <w:t xml:space="preserve"> de todos los partícipes de la contratación estatal ni para interpretar el alcance de cualquier norma vigente en el ordenamiento jurídico.</w:t>
      </w:r>
    </w:p>
    <w:p w14:paraId="04E597BF" w14:textId="77777777" w:rsidR="00EC6F6B" w:rsidRPr="000547C2" w:rsidRDefault="00EC6F6B" w:rsidP="00EC6F6B">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2"/>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5FEFE1AF" w14:textId="6F7A7B2D" w:rsidR="00606090" w:rsidRPr="00EF69F0" w:rsidRDefault="00105737" w:rsidP="00EC6F6B">
      <w:pPr>
        <w:tabs>
          <w:tab w:val="left" w:pos="426"/>
        </w:tabs>
        <w:spacing w:after="120" w:line="276" w:lineRule="auto"/>
        <w:jc w:val="both"/>
        <w:rPr>
          <w:rFonts w:ascii="Arial" w:eastAsia="Times New Roman" w:hAnsi="Arial" w:cs="Arial"/>
          <w:szCs w:val="24"/>
          <w:lang w:eastAsia="es-ES_tradnl"/>
        </w:rPr>
      </w:pPr>
      <w:r>
        <w:rPr>
          <w:rFonts w:ascii="Arial" w:hAnsi="Arial" w:cs="Arial"/>
          <w:lang w:val="es-ES"/>
        </w:rPr>
        <w:tab/>
      </w:r>
      <w:r>
        <w:rPr>
          <w:rFonts w:ascii="Arial" w:hAnsi="Arial" w:cs="Arial"/>
          <w:lang w:val="es-ES"/>
        </w:rPr>
        <w:tab/>
      </w:r>
      <w:r w:rsidR="00EC6F6B" w:rsidRPr="000547C2">
        <w:rPr>
          <w:rFonts w:ascii="Arial" w:hAnsi="Arial" w:cs="Arial"/>
          <w:lang w:val="es-ES"/>
        </w:rPr>
        <w:t>En este contexto, l</w:t>
      </w:r>
      <w:r w:rsidR="00EC6F6B" w:rsidRPr="000547C2">
        <w:rPr>
          <w:rFonts w:ascii="Arial" w:eastAsia="Calibri" w:hAnsi="Arial" w:cs="Arial"/>
          <w:color w:val="000000" w:themeColor="text1"/>
          <w:lang w:val="es-ES"/>
        </w:rPr>
        <w:t xml:space="preserve">a </w:t>
      </w:r>
      <w:r w:rsidR="00EC6F6B" w:rsidRPr="000547C2">
        <w:rPr>
          <w:rFonts w:ascii="Arial" w:eastAsia="Calibri" w:hAnsi="Arial" w:cs="Arial"/>
          <w:color w:val="000000" w:themeColor="text1"/>
          <w:lang w:val="es-ES_tradnl"/>
        </w:rPr>
        <w:t xml:space="preserve">Agencia Nacional de Contratación Pública – Colombia Compra Eficiente, </w:t>
      </w:r>
      <w:r w:rsidR="00EC6F6B" w:rsidRPr="000547C2">
        <w:rPr>
          <w:rFonts w:ascii="Arial" w:eastAsia="Calibri" w:hAnsi="Arial" w:cs="Arial"/>
          <w:color w:val="000000" w:themeColor="text1"/>
          <w:lang w:val="es-ES"/>
        </w:rPr>
        <w:t>dentro de los límites de sus atribuciones,</w:t>
      </w:r>
      <w:r>
        <w:rPr>
          <w:rFonts w:ascii="Arial" w:eastAsia="Calibri" w:hAnsi="Arial" w:cs="Arial"/>
          <w:lang w:val="es-ES" w:eastAsia="es-ES_tradnl"/>
        </w:rPr>
        <w:t xml:space="preserve"> esto es, haciendo abstracción al caso particular expuesto, </w:t>
      </w:r>
      <w:r w:rsidR="00606090" w:rsidRPr="00EF69F0">
        <w:rPr>
          <w:rFonts w:ascii="Arial" w:eastAsia="Calibri" w:hAnsi="Arial" w:cs="Arial"/>
          <w:color w:val="000000"/>
          <w:lang w:val="es-ES" w:eastAsia="es-ES_tradnl"/>
        </w:rPr>
        <w:t>resolverá la consulta conforme a las normas generales en materia de contratación estatal. Con este objetivo se analizarán los siguientes temas:</w:t>
      </w:r>
      <w:r w:rsidR="00606090" w:rsidRPr="00EF69F0">
        <w:rPr>
          <w:rFonts w:ascii="Arial" w:eastAsia="Calibri" w:hAnsi="Arial" w:cs="Arial"/>
          <w:lang w:eastAsia="es-ES_tradnl"/>
        </w:rPr>
        <w:t xml:space="preserve"> i) la </w:t>
      </w:r>
      <w:r w:rsidR="00606090" w:rsidRPr="00EF69F0">
        <w:rPr>
          <w:rFonts w:ascii="Arial" w:eastAsia="Calibri" w:hAnsi="Arial" w:cs="Arial"/>
          <w:bCs/>
          <w:color w:val="000000"/>
          <w:szCs w:val="24"/>
          <w:lang w:eastAsia="es-ES_tradnl"/>
        </w:rPr>
        <w:t>liquidación</w:t>
      </w:r>
      <w:r w:rsidR="00606090" w:rsidRPr="00EF69F0">
        <w:rPr>
          <w:rFonts w:ascii="Arial" w:eastAsia="Times New Roman" w:hAnsi="Arial" w:cs="Arial"/>
          <w:bCs/>
          <w:szCs w:val="24"/>
          <w:lang w:val="es-ES_tradnl" w:eastAsia="es-ES_tradnl"/>
        </w:rPr>
        <w:t xml:space="preserve"> de los contratos estatales</w:t>
      </w:r>
      <w:r w:rsidR="00602EAF">
        <w:rPr>
          <w:rFonts w:ascii="Arial" w:eastAsia="Times New Roman" w:hAnsi="Arial" w:cs="Arial"/>
          <w:bCs/>
          <w:szCs w:val="24"/>
          <w:lang w:val="es-ES_tradnl" w:eastAsia="es-ES_tradnl"/>
        </w:rPr>
        <w:t xml:space="preserve"> y su </w:t>
      </w:r>
      <w:r w:rsidR="00582A84">
        <w:rPr>
          <w:rFonts w:ascii="Arial" w:eastAsia="Times New Roman" w:hAnsi="Arial" w:cs="Arial"/>
          <w:bCs/>
          <w:szCs w:val="24"/>
          <w:lang w:val="es-ES_tradnl" w:eastAsia="es-ES_tradnl"/>
        </w:rPr>
        <w:t>competencia</w:t>
      </w:r>
      <w:r w:rsidR="0087217B">
        <w:rPr>
          <w:rFonts w:ascii="Arial" w:eastAsia="Times New Roman" w:hAnsi="Arial" w:cs="Arial"/>
          <w:bCs/>
          <w:szCs w:val="24"/>
          <w:lang w:val="es-ES_tradnl" w:eastAsia="es-ES_tradnl"/>
        </w:rPr>
        <w:t xml:space="preserve"> </w:t>
      </w:r>
      <w:r w:rsidR="00602EAF">
        <w:rPr>
          <w:rFonts w:ascii="Arial" w:eastAsia="Times New Roman" w:hAnsi="Arial" w:cs="Arial"/>
          <w:bCs/>
          <w:szCs w:val="24"/>
          <w:lang w:val="es-ES_tradnl" w:eastAsia="es-ES_tradnl"/>
        </w:rPr>
        <w:t>temporal</w:t>
      </w:r>
      <w:r w:rsidR="0087217B">
        <w:rPr>
          <w:rFonts w:ascii="Arial" w:eastAsia="Times New Roman" w:hAnsi="Arial" w:cs="Arial"/>
          <w:bCs/>
          <w:szCs w:val="24"/>
          <w:lang w:val="es-ES_tradnl" w:eastAsia="es-ES_tradnl"/>
        </w:rPr>
        <w:t xml:space="preserve">; y, </w:t>
      </w:r>
      <w:r w:rsidR="00606090" w:rsidRPr="00EF69F0">
        <w:rPr>
          <w:rFonts w:ascii="Arial" w:eastAsia="Calibri" w:hAnsi="Arial" w:cs="Arial"/>
          <w:bCs/>
          <w:color w:val="000000"/>
          <w:szCs w:val="24"/>
          <w:lang w:eastAsia="es-ES_tradnl"/>
        </w:rPr>
        <w:t>i</w:t>
      </w:r>
      <w:r w:rsidR="00602EAF">
        <w:rPr>
          <w:rFonts w:ascii="Arial" w:eastAsia="Calibri" w:hAnsi="Arial" w:cs="Arial"/>
          <w:bCs/>
          <w:color w:val="000000"/>
          <w:szCs w:val="24"/>
          <w:lang w:eastAsia="es-ES_tradnl"/>
        </w:rPr>
        <w:t>i</w:t>
      </w:r>
      <w:r w:rsidR="00606090" w:rsidRPr="00EF69F0">
        <w:rPr>
          <w:rFonts w:ascii="Arial" w:eastAsia="Calibri" w:hAnsi="Arial" w:cs="Arial"/>
          <w:bCs/>
          <w:color w:val="000000"/>
          <w:szCs w:val="24"/>
          <w:lang w:eastAsia="es-ES_tradnl"/>
        </w:rPr>
        <w:t>) la noción y vigencia de la garantía de cumplimiento</w:t>
      </w:r>
      <w:bookmarkStart w:id="1" w:name="_Hlk38448224"/>
      <w:r w:rsidR="00606090" w:rsidRPr="00EF69F0">
        <w:rPr>
          <w:rFonts w:ascii="Arial" w:eastAsia="Times New Roman" w:hAnsi="Arial" w:cs="Arial"/>
          <w:szCs w:val="24"/>
          <w:lang w:eastAsia="es-ES_tradnl"/>
        </w:rPr>
        <w:t>.</w:t>
      </w:r>
    </w:p>
    <w:p w14:paraId="10B1E8EB" w14:textId="163E74D4" w:rsidR="00606090" w:rsidRPr="00EF69F0" w:rsidRDefault="00606090" w:rsidP="00606090">
      <w:pPr>
        <w:spacing w:before="120" w:after="0" w:line="276" w:lineRule="auto"/>
        <w:ind w:firstLine="709"/>
        <w:jc w:val="both"/>
        <w:rPr>
          <w:rFonts w:ascii="Arial" w:eastAsia="Times New Roman" w:hAnsi="Arial" w:cs="Arial"/>
          <w:szCs w:val="24"/>
          <w:lang w:eastAsia="es-ES_tradnl"/>
        </w:rPr>
      </w:pPr>
      <w:r w:rsidRPr="00EF69F0">
        <w:rPr>
          <w:rFonts w:ascii="Arial" w:eastAsia="Times New Roman" w:hAnsi="Arial" w:cs="Arial"/>
          <w:szCs w:val="24"/>
          <w:lang w:val="es-ES_tradnl" w:eastAsia="es-ES_tradnl"/>
        </w:rPr>
        <w:t>La Agencia Nacional de Contratación Pública – Colombia Compra Eficiente</w:t>
      </w:r>
      <w:r w:rsidRPr="00EF69F0">
        <w:rPr>
          <w:rFonts w:ascii="Arial" w:eastAsia="Times New Roman" w:hAnsi="Arial" w:cs="Arial"/>
          <w:szCs w:val="24"/>
          <w:lang w:val="es-ES" w:eastAsia="es-ES_tradnl"/>
        </w:rPr>
        <w:t xml:space="preserve">, </w:t>
      </w:r>
      <w:r w:rsidRPr="00EF69F0">
        <w:rPr>
          <w:rFonts w:ascii="Arial" w:eastAsia="Calibri" w:hAnsi="Arial" w:cs="Arial"/>
          <w:color w:val="000000"/>
          <w:szCs w:val="24"/>
          <w:lang w:val="es-ES_tradnl" w:eastAsia="es-ES_tradnl"/>
        </w:rPr>
        <w:t>se pronunció sobre la liquidación de los contratos en el concepto con radicado No. 4201912000004908 del 27 de septiembre de 2019 y los conceptos con número interno CU-028 de 25 de febrero de 2020, C-221 de 21 de abril de 2020</w:t>
      </w:r>
      <w:r w:rsidR="006227E7">
        <w:rPr>
          <w:rFonts w:ascii="Arial" w:eastAsia="Calibri" w:hAnsi="Arial" w:cs="Arial"/>
          <w:color w:val="000000"/>
          <w:szCs w:val="24"/>
          <w:lang w:val="es-ES_tradnl" w:eastAsia="es-ES_tradnl"/>
        </w:rPr>
        <w:t xml:space="preserve">, </w:t>
      </w:r>
      <w:r w:rsidR="006227E7" w:rsidRPr="00135E0B">
        <w:rPr>
          <w:rFonts w:ascii="Arial" w:hAnsi="Arial" w:cs="Arial"/>
          <w:lang w:val="es-ES_tradnl"/>
        </w:rPr>
        <w:t>C-078 del 17 de marzo de 2021</w:t>
      </w:r>
      <w:r w:rsidR="006227E7">
        <w:rPr>
          <w:rFonts w:ascii="Arial" w:hAnsi="Arial" w:cs="Arial"/>
          <w:lang w:val="es-ES_tradnl"/>
        </w:rPr>
        <w:t>,</w:t>
      </w:r>
      <w:r w:rsidR="006227E7" w:rsidRPr="00135E0B">
        <w:rPr>
          <w:rFonts w:ascii="Arial" w:hAnsi="Arial" w:cs="Arial"/>
          <w:lang w:val="es-ES_tradnl"/>
        </w:rPr>
        <w:t xml:space="preserve"> C-220 del 18 de mayo de 2021</w:t>
      </w:r>
      <w:r w:rsidR="006227E7">
        <w:rPr>
          <w:rFonts w:ascii="Arial" w:hAnsi="Arial" w:cs="Arial"/>
          <w:lang w:val="es-ES_tradnl"/>
        </w:rPr>
        <w:t>, C</w:t>
      </w:r>
      <w:r w:rsidRPr="00EF69F0">
        <w:rPr>
          <w:rFonts w:ascii="Arial" w:eastAsia="Calibri" w:hAnsi="Arial" w:cs="Arial"/>
          <w:color w:val="000000"/>
          <w:szCs w:val="24"/>
          <w:lang w:val="es-ES_tradnl" w:eastAsia="es-ES_tradnl"/>
        </w:rPr>
        <w:t>-444 del 23 de julio de 2021</w:t>
      </w:r>
      <w:r w:rsidR="0002208D">
        <w:rPr>
          <w:rFonts w:ascii="Arial" w:eastAsia="Calibri" w:hAnsi="Arial" w:cs="Arial"/>
          <w:color w:val="000000"/>
          <w:szCs w:val="24"/>
          <w:lang w:val="es-ES_tradnl" w:eastAsia="es-ES_tradnl"/>
        </w:rPr>
        <w:t xml:space="preserve">, </w:t>
      </w:r>
      <w:r w:rsidR="00FC4409">
        <w:rPr>
          <w:rFonts w:ascii="Arial" w:eastAsia="Calibri" w:hAnsi="Arial" w:cs="Arial"/>
          <w:color w:val="000000"/>
          <w:szCs w:val="24"/>
          <w:lang w:val="es-ES_tradnl" w:eastAsia="es-ES_tradnl"/>
        </w:rPr>
        <w:t>C-747 del 8 de noviembre de 2022</w:t>
      </w:r>
      <w:r w:rsidR="00872737">
        <w:rPr>
          <w:rFonts w:ascii="Arial" w:eastAsia="Calibri" w:hAnsi="Arial" w:cs="Arial"/>
          <w:color w:val="000000"/>
          <w:szCs w:val="24"/>
          <w:lang w:val="es-ES_tradnl" w:eastAsia="es-ES_tradnl"/>
        </w:rPr>
        <w:t xml:space="preserve">, </w:t>
      </w:r>
      <w:r w:rsidR="0002208D">
        <w:rPr>
          <w:rFonts w:ascii="Arial" w:eastAsia="Calibri" w:hAnsi="Arial" w:cs="Arial"/>
          <w:color w:val="000000"/>
          <w:szCs w:val="24"/>
          <w:lang w:val="es-ES_tradnl" w:eastAsia="es-ES_tradnl"/>
        </w:rPr>
        <w:t>C-739 de del 29 de noviembre de 2022</w:t>
      </w:r>
      <w:r w:rsidR="00872737">
        <w:rPr>
          <w:rFonts w:ascii="Arial" w:eastAsia="Calibri" w:hAnsi="Arial" w:cs="Arial"/>
          <w:color w:val="000000"/>
          <w:szCs w:val="24"/>
          <w:lang w:val="es-ES_tradnl" w:eastAsia="es-ES_tradnl"/>
        </w:rPr>
        <w:t xml:space="preserve"> y C- 176 </w:t>
      </w:r>
      <w:r w:rsidR="00E657B8">
        <w:rPr>
          <w:rFonts w:ascii="Arial" w:eastAsia="Calibri" w:hAnsi="Arial" w:cs="Arial"/>
          <w:color w:val="000000"/>
          <w:szCs w:val="24"/>
          <w:lang w:val="es-ES_tradnl" w:eastAsia="es-ES_tradnl"/>
        </w:rPr>
        <w:t>de 3 de mayo de 2023</w:t>
      </w:r>
      <w:r w:rsidR="00514979">
        <w:rPr>
          <w:rFonts w:ascii="Arial" w:eastAsia="Calibri" w:hAnsi="Arial" w:cs="Arial"/>
          <w:color w:val="000000"/>
          <w:szCs w:val="24"/>
          <w:lang w:val="es-ES_tradnl" w:eastAsia="es-ES_tradnl"/>
        </w:rPr>
        <w:t xml:space="preserve">. </w:t>
      </w:r>
      <w:r w:rsidRPr="00EF69F0">
        <w:rPr>
          <w:rFonts w:ascii="Arial" w:eastAsia="Calibri" w:hAnsi="Arial" w:cs="Arial"/>
          <w:color w:val="000000"/>
          <w:szCs w:val="24"/>
          <w:lang w:val="es-ES_tradnl" w:eastAsia="es-ES_tradnl"/>
        </w:rPr>
        <w:t xml:space="preserve">Adicionalmente, se analizó la garantía de cumplimiento </w:t>
      </w:r>
      <w:r w:rsidR="00514979">
        <w:rPr>
          <w:rFonts w:ascii="Arial" w:eastAsia="Calibri" w:hAnsi="Arial" w:cs="Arial"/>
          <w:color w:val="000000"/>
          <w:szCs w:val="24"/>
          <w:lang w:val="es-ES_tradnl" w:eastAsia="es-ES_tradnl"/>
        </w:rPr>
        <w:t>y su vigencia</w:t>
      </w:r>
      <w:r w:rsidRPr="00EF69F0">
        <w:rPr>
          <w:rFonts w:ascii="Arial" w:eastAsia="Calibri" w:hAnsi="Arial" w:cs="Arial"/>
          <w:color w:val="000000"/>
          <w:szCs w:val="24"/>
          <w:lang w:val="es-ES_tradnl" w:eastAsia="es-ES_tradnl"/>
        </w:rPr>
        <w:t xml:space="preserve"> en los conceptos C-479 del 27 de julio de 2020, C-625 del 28 de septiembre del 2020</w:t>
      </w:r>
      <w:bookmarkEnd w:id="1"/>
      <w:r w:rsidRPr="00EF69F0">
        <w:rPr>
          <w:rFonts w:ascii="Arial" w:eastAsia="Calibri" w:hAnsi="Arial" w:cs="Arial"/>
          <w:color w:val="000000"/>
          <w:szCs w:val="24"/>
          <w:lang w:val="es-ES_tradnl" w:eastAsia="es-ES_tradnl"/>
        </w:rPr>
        <w:t>, C-078 del 17 de marzo de 2021</w:t>
      </w:r>
      <w:r w:rsidR="009829FB">
        <w:rPr>
          <w:rFonts w:ascii="Arial" w:eastAsia="Calibri" w:hAnsi="Arial" w:cs="Arial"/>
          <w:color w:val="000000"/>
          <w:szCs w:val="24"/>
          <w:lang w:val="es-ES_tradnl" w:eastAsia="es-ES_tradnl"/>
        </w:rPr>
        <w:t xml:space="preserve">, </w:t>
      </w:r>
      <w:r w:rsidRPr="00EF69F0">
        <w:rPr>
          <w:rFonts w:ascii="Arial" w:eastAsia="Calibri" w:hAnsi="Arial" w:cs="Arial"/>
          <w:color w:val="000000"/>
          <w:szCs w:val="24"/>
          <w:lang w:val="es-ES_tradnl" w:eastAsia="es-ES_tradnl"/>
        </w:rPr>
        <w:t>C-769 del 16 de noviembre de 2022</w:t>
      </w:r>
      <w:r w:rsidR="00C61B8F">
        <w:rPr>
          <w:rFonts w:ascii="Arial" w:eastAsia="Calibri" w:hAnsi="Arial" w:cs="Arial"/>
          <w:color w:val="000000"/>
          <w:szCs w:val="24"/>
          <w:lang w:val="es-ES_tradnl" w:eastAsia="es-ES_tradnl"/>
        </w:rPr>
        <w:t xml:space="preserve">, </w:t>
      </w:r>
      <w:r w:rsidR="009829FB">
        <w:rPr>
          <w:rFonts w:ascii="Arial" w:eastAsia="Calibri" w:hAnsi="Arial" w:cs="Arial"/>
          <w:color w:val="000000"/>
          <w:szCs w:val="24"/>
          <w:lang w:val="es-ES_tradnl" w:eastAsia="es-ES_tradnl"/>
        </w:rPr>
        <w:t>C-</w:t>
      </w:r>
      <w:r w:rsidR="00C61B8F">
        <w:rPr>
          <w:rFonts w:ascii="Arial" w:eastAsia="Calibri" w:hAnsi="Arial" w:cs="Arial"/>
          <w:color w:val="000000"/>
          <w:szCs w:val="24"/>
          <w:lang w:val="es-ES_tradnl" w:eastAsia="es-ES_tradnl"/>
        </w:rPr>
        <w:t>015 del 24 de febrero de 2023 y C- 019 de</w:t>
      </w:r>
      <w:r w:rsidR="00225FFE">
        <w:rPr>
          <w:rFonts w:ascii="Arial" w:eastAsia="Calibri" w:hAnsi="Arial" w:cs="Arial"/>
          <w:color w:val="000000"/>
          <w:szCs w:val="24"/>
          <w:lang w:val="es-ES_tradnl" w:eastAsia="es-ES_tradnl"/>
        </w:rPr>
        <w:t xml:space="preserve"> 3 de marzo de 2023</w:t>
      </w:r>
      <w:r w:rsidR="00677717">
        <w:rPr>
          <w:rFonts w:ascii="Arial" w:eastAsia="Calibri" w:hAnsi="Arial" w:cs="Arial"/>
          <w:color w:val="000000"/>
          <w:szCs w:val="24"/>
          <w:lang w:val="es-ES_tradnl" w:eastAsia="es-ES_tradnl"/>
        </w:rPr>
        <w:t>, entre otros</w:t>
      </w:r>
      <w:r w:rsidRPr="00EF69F0">
        <w:rPr>
          <w:rFonts w:ascii="Arial" w:eastAsia="Times New Roman" w:hAnsi="Arial" w:cs="Arial"/>
          <w:color w:val="000000"/>
          <w:vertAlign w:val="superscript"/>
          <w:lang w:val="es-ES" w:eastAsia="es-ES_tradnl"/>
        </w:rPr>
        <w:footnoteReference w:id="3"/>
      </w:r>
      <w:r w:rsidRPr="00EF69F0">
        <w:rPr>
          <w:rFonts w:ascii="Arial" w:eastAsia="Times New Roman" w:hAnsi="Arial" w:cs="Arial"/>
          <w:color w:val="000000"/>
          <w:lang w:val="es-ES" w:eastAsia="es-ES_tradnl"/>
        </w:rPr>
        <w:t>. Las tesis expuestas en dichas oportunidades se reiteran a continuación y se complementan en lo pertinente</w:t>
      </w:r>
      <w:r w:rsidRPr="00EF69F0">
        <w:rPr>
          <w:rFonts w:ascii="Arial" w:eastAsia="Calibri" w:hAnsi="Arial" w:cs="Arial"/>
          <w:color w:val="000000"/>
          <w:lang w:val="es-ES_tradnl" w:eastAsia="es-ES_tradnl"/>
        </w:rPr>
        <w:t xml:space="preserve">. </w:t>
      </w:r>
      <w:bookmarkStart w:id="2" w:name="_Hlk54011258"/>
    </w:p>
    <w:bookmarkEnd w:id="2"/>
    <w:p w14:paraId="7A8F97D9" w14:textId="77777777" w:rsidR="003A7A14" w:rsidRDefault="003A7A14" w:rsidP="00606090">
      <w:pPr>
        <w:spacing w:after="0" w:line="276" w:lineRule="auto"/>
        <w:jc w:val="both"/>
        <w:rPr>
          <w:rFonts w:ascii="Arial" w:eastAsia="Calibri" w:hAnsi="Arial" w:cs="Arial"/>
          <w:b/>
          <w:bCs/>
          <w:lang w:val="es-ES_tradnl"/>
        </w:rPr>
      </w:pPr>
    </w:p>
    <w:p w14:paraId="2556B459" w14:textId="595BF767" w:rsidR="00606090" w:rsidRPr="00EF69F0" w:rsidRDefault="00606090" w:rsidP="00606090">
      <w:pPr>
        <w:spacing w:after="0" w:line="276" w:lineRule="auto"/>
        <w:jc w:val="both"/>
        <w:rPr>
          <w:rFonts w:ascii="Arial" w:eastAsia="Times New Roman" w:hAnsi="Arial" w:cs="Arial"/>
          <w:b/>
          <w:szCs w:val="24"/>
          <w:lang w:val="es-ES_tradnl" w:eastAsia="es-ES_tradnl"/>
        </w:rPr>
      </w:pPr>
      <w:r w:rsidRPr="00EF69F0">
        <w:rPr>
          <w:rFonts w:ascii="Arial" w:eastAsia="Calibri" w:hAnsi="Arial" w:cs="Arial"/>
          <w:b/>
          <w:bCs/>
          <w:lang w:val="es-ES_tradnl"/>
        </w:rPr>
        <w:t xml:space="preserve">2.1. </w:t>
      </w:r>
      <w:r w:rsidRPr="00EF69F0">
        <w:rPr>
          <w:rFonts w:ascii="Arial" w:eastAsia="Times New Roman" w:hAnsi="Arial" w:cs="Arial"/>
          <w:b/>
          <w:szCs w:val="24"/>
          <w:lang w:val="es-ES_tradnl" w:eastAsia="es-ES_tradnl"/>
        </w:rPr>
        <w:t>Liquidación de los contratos estatales</w:t>
      </w:r>
      <w:r w:rsidR="00D45E62">
        <w:rPr>
          <w:rFonts w:ascii="Arial" w:eastAsia="Times New Roman" w:hAnsi="Arial" w:cs="Arial"/>
          <w:b/>
          <w:szCs w:val="24"/>
          <w:lang w:val="es-ES_tradnl" w:eastAsia="es-ES_tradnl"/>
        </w:rPr>
        <w:t xml:space="preserve"> y su competencia temporal</w:t>
      </w:r>
    </w:p>
    <w:p w14:paraId="0A518FFB" w14:textId="77777777" w:rsidR="00606090" w:rsidRPr="00EF69F0" w:rsidRDefault="00606090" w:rsidP="00606090">
      <w:pPr>
        <w:autoSpaceDE w:val="0"/>
        <w:autoSpaceDN w:val="0"/>
        <w:adjustRightInd w:val="0"/>
        <w:spacing w:after="0" w:line="276" w:lineRule="auto"/>
        <w:jc w:val="both"/>
        <w:rPr>
          <w:rFonts w:ascii="Arial" w:eastAsia="Calibri" w:hAnsi="Arial" w:cs="Arial"/>
          <w:b/>
          <w:color w:val="000000"/>
          <w:szCs w:val="24"/>
          <w:lang w:eastAsia="es-ES_tradnl"/>
        </w:rPr>
      </w:pPr>
    </w:p>
    <w:p w14:paraId="760D34E5" w14:textId="77777777" w:rsidR="00606090" w:rsidRPr="00EF69F0" w:rsidRDefault="00606090" w:rsidP="00606090">
      <w:pPr>
        <w:spacing w:after="0" w:line="276" w:lineRule="auto"/>
        <w:jc w:val="both"/>
        <w:rPr>
          <w:rFonts w:ascii="Arial" w:eastAsia="Calibri" w:hAnsi="Arial" w:cs="Arial"/>
          <w:color w:val="000000"/>
          <w:lang w:val="es-ES_tradnl"/>
        </w:rPr>
      </w:pPr>
      <w:r w:rsidRPr="00EF69F0">
        <w:rPr>
          <w:rFonts w:ascii="Arial" w:eastAsia="Calibri" w:hAnsi="Arial" w:cs="Arial"/>
          <w:color w:val="000000"/>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Pr="00EF69F0">
        <w:rPr>
          <w:rFonts w:ascii="Arial" w:eastAsia="Calibri" w:hAnsi="Arial" w:cs="Arial"/>
          <w:color w:val="000000"/>
          <w:vertAlign w:val="superscript"/>
          <w:lang w:val="es-ES_tradnl"/>
        </w:rPr>
        <w:footnoteReference w:id="4"/>
      </w:r>
      <w:r w:rsidRPr="00EF69F0">
        <w:rPr>
          <w:rFonts w:ascii="Arial" w:eastAsia="Calibri" w:hAnsi="Arial" w:cs="Arial"/>
          <w:color w:val="000000"/>
          <w:lang w:val="es-ES_tradnl"/>
        </w:rPr>
        <w:t>. En armonía con lo anterior, la doctrina ha definido la liquidación de la siguiente manera:</w:t>
      </w:r>
    </w:p>
    <w:p w14:paraId="73B3358A" w14:textId="77777777" w:rsidR="00606090" w:rsidRPr="00EF69F0" w:rsidRDefault="00606090" w:rsidP="00606090">
      <w:pPr>
        <w:spacing w:after="0" w:line="276" w:lineRule="auto"/>
        <w:jc w:val="both"/>
        <w:rPr>
          <w:rFonts w:ascii="Arial" w:eastAsia="Calibri" w:hAnsi="Arial" w:cs="Arial"/>
          <w:color w:val="000000"/>
          <w:lang w:val="es-ES_tradnl"/>
        </w:rPr>
      </w:pPr>
    </w:p>
    <w:p w14:paraId="3D19F52E" w14:textId="433BCB37" w:rsidR="00606090" w:rsidRPr="00EF69F0" w:rsidRDefault="002648FD" w:rsidP="00606090">
      <w:pPr>
        <w:spacing w:after="0" w:line="240" w:lineRule="auto"/>
        <w:ind w:left="709" w:right="758"/>
        <w:jc w:val="both"/>
        <w:rPr>
          <w:rFonts w:ascii="Arial" w:eastAsia="Calibri" w:hAnsi="Arial" w:cs="Arial"/>
          <w:sz w:val="20"/>
          <w:szCs w:val="20"/>
          <w:lang w:val="es-MX"/>
        </w:rPr>
      </w:pPr>
      <w:r>
        <w:rPr>
          <w:rFonts w:ascii="Arial" w:eastAsia="Calibri" w:hAnsi="Arial" w:cs="Arial"/>
          <w:i/>
          <w:iCs/>
          <w:color w:val="000000"/>
          <w:lang w:val="es-ES_tradnl"/>
        </w:rPr>
        <w:t>“</w:t>
      </w:r>
      <w:r w:rsidR="00606090" w:rsidRPr="00EF69F0">
        <w:rPr>
          <w:rFonts w:ascii="Arial" w:eastAsia="Calibri" w:hAnsi="Arial" w:cs="Arial"/>
          <w:sz w:val="20"/>
          <w:szCs w:val="20"/>
          <w:lang w:val="es-MX"/>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00606090" w:rsidRPr="00EF69F0">
        <w:rPr>
          <w:rFonts w:ascii="Calibri" w:eastAsia="Calibri" w:hAnsi="Calibri" w:cs="Arial"/>
          <w:sz w:val="20"/>
          <w:szCs w:val="20"/>
          <w:vertAlign w:val="superscript"/>
          <w:lang w:val="es-MX"/>
        </w:rPr>
        <w:footnoteReference w:id="5"/>
      </w:r>
      <w:r w:rsidR="00606090" w:rsidRPr="00EF69F0">
        <w:rPr>
          <w:rFonts w:ascii="Arial" w:eastAsia="Calibri" w:hAnsi="Arial" w:cs="Arial"/>
          <w:sz w:val="20"/>
          <w:szCs w:val="20"/>
          <w:lang w:val="es-MX"/>
        </w:rPr>
        <w:t>.</w:t>
      </w:r>
      <w:r>
        <w:rPr>
          <w:rFonts w:ascii="Arial" w:eastAsia="Calibri" w:hAnsi="Arial" w:cs="Arial"/>
          <w:i/>
          <w:iCs/>
          <w:color w:val="000000"/>
          <w:lang w:val="es-ES_tradnl"/>
        </w:rPr>
        <w:t>”</w:t>
      </w:r>
      <w:r w:rsidR="00606090" w:rsidRPr="00EF69F0">
        <w:rPr>
          <w:rFonts w:ascii="Arial" w:eastAsia="Calibri" w:hAnsi="Arial" w:cs="Arial"/>
          <w:sz w:val="20"/>
          <w:szCs w:val="20"/>
          <w:lang w:val="es-MX"/>
        </w:rPr>
        <w:t xml:space="preserve"> </w:t>
      </w:r>
    </w:p>
    <w:p w14:paraId="27DFBDE7" w14:textId="77777777" w:rsidR="00606090" w:rsidRPr="00EF69F0" w:rsidRDefault="00606090" w:rsidP="00606090">
      <w:pPr>
        <w:spacing w:after="0" w:line="276" w:lineRule="auto"/>
        <w:jc w:val="both"/>
        <w:rPr>
          <w:rFonts w:ascii="Arial" w:eastAsia="Calibri" w:hAnsi="Arial" w:cs="Arial"/>
          <w:color w:val="000000"/>
          <w:lang w:val="es-ES_tradnl"/>
        </w:rPr>
      </w:pPr>
    </w:p>
    <w:p w14:paraId="4D8518BD" w14:textId="77777777" w:rsidR="00606090" w:rsidRPr="00EF69F0" w:rsidRDefault="00606090" w:rsidP="00606090">
      <w:pPr>
        <w:spacing w:after="120" w:line="276" w:lineRule="auto"/>
        <w:ind w:firstLine="709"/>
        <w:jc w:val="both"/>
        <w:rPr>
          <w:rFonts w:ascii="Arial" w:eastAsia="Times New Roman" w:hAnsi="Arial" w:cs="Arial"/>
          <w:color w:val="000000"/>
          <w:sz w:val="21"/>
          <w:szCs w:val="21"/>
          <w:lang w:val="es-ES_tradnl" w:eastAsia="es-ES_tradnl"/>
        </w:rPr>
      </w:pPr>
      <w:r w:rsidRPr="00EF69F0">
        <w:rPr>
          <w:rFonts w:ascii="Arial" w:eastAsia="Times New Roman" w:hAnsi="Arial" w:cs="Arial"/>
          <w:color w:val="000000"/>
          <w:szCs w:val="24"/>
          <w:lang w:val="es-ES_tradnl" w:eastAsia="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EF69F0">
        <w:rPr>
          <w:rFonts w:ascii="Arial" w:eastAsia="Times New Roman" w:hAnsi="Arial" w:cs="Arial"/>
          <w:i/>
          <w:iCs/>
          <w:color w:val="000000"/>
          <w:szCs w:val="24"/>
          <w:lang w:val="es-ES_tradnl" w:eastAsia="es-ES_tradnl"/>
        </w:rPr>
        <w:t>liquidar</w:t>
      </w:r>
      <w:r w:rsidRPr="00EF69F0">
        <w:rPr>
          <w:rFonts w:ascii="Arial" w:eastAsia="Times New Roman" w:hAnsi="Arial" w:cs="Arial"/>
          <w:color w:val="000000"/>
          <w:szCs w:val="24"/>
          <w:lang w:val="es-ES_tradnl" w:eastAsia="es-ES_tradnl"/>
        </w:rPr>
        <w:t xml:space="preserve"> supone un ajuste en relación con las cuentas y el estado de cumplimiento del contrato estatal y, por el otro, que la </w:t>
      </w:r>
      <w:r w:rsidRPr="00EF69F0">
        <w:rPr>
          <w:rFonts w:ascii="Arial" w:eastAsia="Times New Roman" w:hAnsi="Arial" w:cs="Arial"/>
          <w:i/>
          <w:iCs/>
          <w:color w:val="000000"/>
          <w:szCs w:val="24"/>
          <w:lang w:val="es-ES_tradnl" w:eastAsia="es-ES_tradnl"/>
        </w:rPr>
        <w:t>liquidación</w:t>
      </w:r>
      <w:r w:rsidRPr="00EF69F0">
        <w:rPr>
          <w:rFonts w:ascii="Arial" w:eastAsia="Times New Roman" w:hAnsi="Arial"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EF69F0">
        <w:rPr>
          <w:rFonts w:ascii="Arial" w:eastAsia="Times New Roman" w:hAnsi="Arial" w:cs="Arial"/>
          <w:color w:val="000000"/>
          <w:szCs w:val="24"/>
          <w:vertAlign w:val="superscript"/>
          <w:lang w:val="es-ES_tradnl" w:eastAsia="es-ES_tradnl"/>
        </w:rPr>
        <w:footnoteReference w:id="6"/>
      </w:r>
      <w:r w:rsidRPr="00EF69F0">
        <w:rPr>
          <w:rFonts w:ascii="Arial" w:eastAsia="Times New Roman" w:hAnsi="Arial" w:cs="Arial"/>
          <w:color w:val="000000"/>
          <w:szCs w:val="24"/>
          <w:lang w:val="es-ES_tradnl" w:eastAsia="es-ES_tradnl"/>
        </w:rPr>
        <w:t xml:space="preserve">. </w:t>
      </w:r>
    </w:p>
    <w:p w14:paraId="0612F1FD" w14:textId="77777777" w:rsidR="00606090" w:rsidRPr="00EF69F0" w:rsidRDefault="00606090" w:rsidP="00606090">
      <w:pPr>
        <w:spacing w:after="0" w:line="276" w:lineRule="auto"/>
        <w:ind w:firstLine="709"/>
        <w:jc w:val="both"/>
        <w:rPr>
          <w:rFonts w:ascii="Arial" w:eastAsia="Calibri" w:hAnsi="Arial" w:cs="Arial"/>
          <w:color w:val="000000"/>
          <w:lang w:val="es-ES_tradnl"/>
        </w:rPr>
      </w:pPr>
      <w:r w:rsidRPr="00EF69F0">
        <w:rPr>
          <w:rFonts w:ascii="Arial" w:eastAsia="Calibri" w:hAnsi="Arial" w:cs="Arial"/>
          <w:color w:val="00000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1FDA3CE5" w14:textId="77777777" w:rsidR="00606090" w:rsidRPr="00342E13" w:rsidRDefault="00606090" w:rsidP="00606090">
      <w:pPr>
        <w:spacing w:after="0" w:line="276" w:lineRule="auto"/>
        <w:ind w:firstLine="708"/>
        <w:jc w:val="both"/>
        <w:rPr>
          <w:rFonts w:ascii="Arial" w:eastAsia="Calibri" w:hAnsi="Arial" w:cs="Arial"/>
          <w:sz w:val="20"/>
          <w:szCs w:val="20"/>
          <w:lang w:val="es-ES"/>
        </w:rPr>
      </w:pPr>
    </w:p>
    <w:p w14:paraId="125EE9B2" w14:textId="608FC43C" w:rsidR="00606090" w:rsidRPr="00342E13" w:rsidRDefault="002648FD" w:rsidP="00606090">
      <w:pPr>
        <w:spacing w:after="0" w:line="240" w:lineRule="auto"/>
        <w:ind w:left="709" w:right="758"/>
        <w:jc w:val="both"/>
        <w:rPr>
          <w:rFonts w:ascii="Arial" w:eastAsia="Calibri" w:hAnsi="Arial" w:cs="Arial"/>
          <w:sz w:val="20"/>
          <w:szCs w:val="20"/>
          <w:lang w:val="es-MX"/>
        </w:rPr>
      </w:pPr>
      <w:r>
        <w:rPr>
          <w:rFonts w:ascii="Arial" w:eastAsia="Calibri" w:hAnsi="Arial" w:cs="Arial"/>
          <w:sz w:val="20"/>
          <w:szCs w:val="20"/>
          <w:lang w:val="es-ES"/>
        </w:rPr>
        <w:t>“</w:t>
      </w:r>
      <w:r w:rsidR="00606090" w:rsidRPr="00342E13">
        <w:rPr>
          <w:rFonts w:ascii="Arial" w:eastAsia="Calibri" w:hAnsi="Arial" w:cs="Arial"/>
          <w:sz w:val="20"/>
          <w:szCs w:val="20"/>
          <w:lang w:val="es-MX"/>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w:t>
      </w:r>
      <w:r>
        <w:rPr>
          <w:rFonts w:ascii="Arial" w:eastAsia="Calibri" w:hAnsi="Arial" w:cs="Arial"/>
          <w:sz w:val="20"/>
          <w:szCs w:val="20"/>
          <w:lang w:val="es-MX"/>
        </w:rPr>
        <w:t>“</w:t>
      </w:r>
      <w:r w:rsidR="00606090" w:rsidRPr="00342E13">
        <w:rPr>
          <w:rFonts w:ascii="Arial" w:eastAsia="Calibri" w:hAnsi="Arial" w:cs="Arial"/>
          <w:sz w:val="20"/>
          <w:szCs w:val="20"/>
          <w:lang w:val="es-MX"/>
        </w:rPr>
        <w:t>los acuerdos, conciliaciones y transacciones a que llegaren las partes para poner fin a las divergencias presentadas y poder declararse a paz y salvo</w:t>
      </w:r>
      <w:r>
        <w:rPr>
          <w:rFonts w:ascii="Arial" w:eastAsia="Calibri" w:hAnsi="Arial" w:cs="Arial"/>
          <w:sz w:val="20"/>
          <w:szCs w:val="20"/>
          <w:lang w:val="es-MX"/>
        </w:rPr>
        <w:t>”</w:t>
      </w:r>
      <w:r w:rsidR="00606090" w:rsidRPr="00342E13">
        <w:rPr>
          <w:rFonts w:ascii="Arial" w:eastAsia="Calibri" w:hAnsi="Arial" w:cs="Arial"/>
          <w:sz w:val="20"/>
          <w:szCs w:val="20"/>
          <w:lang w:val="es-MX"/>
        </w:rPr>
        <w:footnoteReference w:id="7"/>
      </w:r>
    </w:p>
    <w:p w14:paraId="5E381699" w14:textId="77777777" w:rsidR="00606090" w:rsidRPr="00342E13" w:rsidRDefault="00606090" w:rsidP="00606090">
      <w:pPr>
        <w:spacing w:after="0" w:line="240" w:lineRule="auto"/>
        <w:ind w:left="709" w:right="758"/>
        <w:jc w:val="both"/>
        <w:rPr>
          <w:rFonts w:ascii="Arial" w:eastAsia="Calibri" w:hAnsi="Arial" w:cs="Arial"/>
          <w:sz w:val="20"/>
          <w:szCs w:val="20"/>
          <w:lang w:val="es-ES"/>
        </w:rPr>
      </w:pPr>
    </w:p>
    <w:p w14:paraId="28C7C99E" w14:textId="63D4D861" w:rsidR="00606090" w:rsidRPr="00EF69F0" w:rsidRDefault="00606090" w:rsidP="00606090">
      <w:pPr>
        <w:spacing w:after="120" w:line="276" w:lineRule="auto"/>
        <w:ind w:firstLine="708"/>
        <w:jc w:val="both"/>
        <w:rPr>
          <w:rFonts w:ascii="Arial" w:eastAsia="Calibri" w:hAnsi="Arial" w:cs="Arial"/>
          <w:color w:val="000000"/>
          <w:lang w:val="es-ES_tradnl"/>
        </w:rPr>
      </w:pPr>
      <w:r w:rsidRPr="00EF69F0">
        <w:rPr>
          <w:rFonts w:ascii="Arial" w:eastAsia="Calibri" w:hAnsi="Arial" w:cs="Arial"/>
          <w:color w:val="000000"/>
          <w:lang w:val="es-ES_tradnl"/>
        </w:rPr>
        <w:t xml:space="preserve">Así las cosas, de acuerdo con el artículo 60 de la Ley 80 de 1993, los contratos de tracto sucesivo, aquellos cuyo cumplimiento o ejecución se prolongue en el tiempo y los demás que lo requieran </w:t>
      </w:r>
      <w:r w:rsidR="002648FD">
        <w:rPr>
          <w:rFonts w:ascii="Arial" w:eastAsia="Calibri" w:hAnsi="Arial" w:cs="Arial"/>
          <w:color w:val="000000"/>
          <w:lang w:val="es-ES_tradnl"/>
        </w:rPr>
        <w:t>“</w:t>
      </w:r>
      <w:r w:rsidRPr="00EF69F0">
        <w:rPr>
          <w:rFonts w:ascii="Arial" w:eastAsia="Calibri" w:hAnsi="Arial" w:cs="Arial"/>
          <w:i/>
          <w:iCs/>
          <w:color w:val="000000"/>
          <w:lang w:val="es-ES_tradnl"/>
        </w:rPr>
        <w:t>serán objeto de liquidación</w:t>
      </w:r>
      <w:r w:rsidR="002648FD">
        <w:rPr>
          <w:rFonts w:ascii="Arial" w:eastAsia="Calibri" w:hAnsi="Arial" w:cs="Arial"/>
          <w:color w:val="000000"/>
          <w:lang w:val="es-ES_tradnl"/>
        </w:rPr>
        <w:t>”</w:t>
      </w:r>
      <w:r w:rsidRPr="00EF69F0">
        <w:rPr>
          <w:rFonts w:ascii="Arial" w:eastAsia="Calibri" w:hAnsi="Arial"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EF69F0">
        <w:rPr>
          <w:rFonts w:ascii="Arial" w:eastAsia="Calibri" w:hAnsi="Arial" w:cs="Arial"/>
          <w:color w:val="000000"/>
          <w:vertAlign w:val="superscript"/>
          <w:lang w:val="es-ES_tradnl"/>
        </w:rPr>
        <w:footnoteReference w:id="8"/>
      </w:r>
      <w:r w:rsidRPr="00EF69F0">
        <w:rPr>
          <w:rFonts w:ascii="Arial" w:eastAsia="Calibri" w:hAnsi="Arial" w:cs="Arial"/>
          <w:color w:val="000000"/>
          <w:lang w:val="es-ES_tradnl"/>
        </w:rPr>
        <w:t xml:space="preserve">, así como la probabilidad de que puedan surgir diferencias durante la ejecución del contrato; sin perjuicio de que, como se indicó, todos los contratos estatales de </w:t>
      </w:r>
      <w:r w:rsidRPr="00EF69F0">
        <w:rPr>
          <w:rFonts w:ascii="Arial" w:eastAsia="Calibri" w:hAnsi="Arial" w:cs="Arial"/>
          <w:i/>
          <w:iCs/>
          <w:color w:val="000000"/>
          <w:lang w:val="es-ES_tradnl"/>
        </w:rPr>
        <w:t>tracto sucesivo</w:t>
      </w:r>
      <w:r w:rsidRPr="00EF69F0">
        <w:rPr>
          <w:rFonts w:ascii="Arial" w:eastAsia="Calibri" w:hAnsi="Arial"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138E8AAB" w14:textId="77777777" w:rsidR="00606090" w:rsidRPr="00EF69F0" w:rsidRDefault="00606090" w:rsidP="00606090">
      <w:pPr>
        <w:spacing w:after="120" w:line="276" w:lineRule="auto"/>
        <w:ind w:firstLine="708"/>
        <w:jc w:val="both"/>
        <w:rPr>
          <w:rFonts w:ascii="Arial" w:eastAsia="Calibri" w:hAnsi="Arial" w:cs="Arial"/>
          <w:color w:val="000000"/>
          <w:lang w:val="es-ES_tradnl"/>
        </w:rPr>
      </w:pPr>
      <w:r w:rsidRPr="00EF69F0">
        <w:rPr>
          <w:rFonts w:ascii="Arial" w:eastAsia="Calibri" w:hAnsi="Arial" w:cs="Arial"/>
          <w:color w:val="000000"/>
          <w:lang w:val="es-ES_tradnl"/>
        </w:rPr>
        <w:t>Por su parte, el artículo 11 de la Ley 1150 de 2007</w:t>
      </w:r>
      <w:r w:rsidRPr="00EF69F0">
        <w:rPr>
          <w:rFonts w:ascii="Arial" w:eastAsia="Calibri" w:hAnsi="Arial" w:cs="Arial"/>
          <w:color w:val="000000"/>
          <w:vertAlign w:val="superscript"/>
          <w:lang w:val="es-ES_tradnl"/>
        </w:rPr>
        <w:footnoteReference w:id="9"/>
      </w:r>
      <w:r w:rsidRPr="00EF69F0">
        <w:rPr>
          <w:rFonts w:ascii="Arial" w:eastAsia="Calibri" w:hAnsi="Arial" w:cs="Arial"/>
          <w:color w:val="000000"/>
          <w:lang w:val="es-ES_tradnl"/>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5E6A748C" w14:textId="4ADFF306" w:rsidR="00606090" w:rsidRPr="00EF69F0" w:rsidRDefault="00606090" w:rsidP="00606090">
      <w:pPr>
        <w:spacing w:after="120" w:line="276" w:lineRule="auto"/>
        <w:ind w:firstLine="709"/>
        <w:jc w:val="both"/>
        <w:rPr>
          <w:rFonts w:ascii="Arial" w:eastAsia="Times New Roman" w:hAnsi="Arial" w:cs="Arial"/>
          <w:lang w:val="es-ES_tradnl" w:eastAsia="es-ES_tradnl"/>
        </w:rPr>
      </w:pPr>
      <w:r w:rsidRPr="00EF69F0">
        <w:rPr>
          <w:rFonts w:ascii="Arial" w:eastAsia="Times New Roman" w:hAnsi="Arial" w:cs="Arial"/>
          <w:szCs w:val="24"/>
          <w:lang w:val="es-ES_tradnl" w:eastAsia="es-ES_tradnl"/>
        </w:rPr>
        <w:t xml:space="preserve">El artículo 11 de la Ley 1150 de 2007 señala que la liquidación de mutuo acuerdo deberá realizar dentro del plazo previsto en </w:t>
      </w:r>
      <w:r w:rsidR="002648FD">
        <w:rPr>
          <w:rFonts w:ascii="Arial" w:eastAsia="Times New Roman" w:hAnsi="Arial" w:cs="Arial"/>
          <w:i/>
          <w:iCs/>
          <w:szCs w:val="24"/>
          <w:lang w:val="es-ES_tradnl" w:eastAsia="es-ES_tradnl"/>
        </w:rPr>
        <w:t>“</w:t>
      </w:r>
      <w:r w:rsidRPr="00EF69F0">
        <w:rPr>
          <w:rFonts w:ascii="Arial" w:eastAsia="Times New Roman" w:hAnsi="Arial" w:cs="Arial"/>
          <w:i/>
          <w:iCs/>
          <w:lang w:val="es-ES_tradnl" w:eastAsia="es-ES_tradnl"/>
        </w:rPr>
        <w:t>los pliegos de condiciones o sus equivalentes, o dentro del que acuerden las partes para el efecto</w:t>
      </w:r>
      <w:r w:rsidR="002648FD">
        <w:rPr>
          <w:rFonts w:ascii="Arial" w:eastAsia="Times New Roman" w:hAnsi="Arial" w:cs="Arial"/>
          <w:i/>
          <w:iCs/>
          <w:lang w:val="es-ES_tradnl" w:eastAsia="es-ES_tradnl"/>
        </w:rPr>
        <w:t>”</w:t>
      </w:r>
      <w:r w:rsidRPr="00EF69F0">
        <w:rPr>
          <w:rFonts w:ascii="Arial" w:eastAsia="Times New Roman" w:hAnsi="Arial" w:cs="Arial"/>
          <w:i/>
          <w:iCs/>
          <w:lang w:val="es-ES_tradnl" w:eastAsia="es-ES_tradnl"/>
        </w:rPr>
        <w:t>.</w:t>
      </w:r>
      <w:r w:rsidRPr="00EF69F0">
        <w:rPr>
          <w:rFonts w:ascii="Arial" w:eastAsia="Times New Roman" w:hAnsi="Arial" w:cs="Arial"/>
          <w:lang w:val="es-ES_tradnl" w:eastAsia="es-ES_tradnl"/>
        </w:rPr>
        <w:t xml:space="preserve"> Para dilucidar a qué se refiere la norma con </w:t>
      </w:r>
      <w:r w:rsidR="002648FD">
        <w:rPr>
          <w:rFonts w:ascii="Arial" w:eastAsia="Times New Roman" w:hAnsi="Arial" w:cs="Arial"/>
          <w:lang w:val="es-ES_tradnl" w:eastAsia="es-ES_tradnl"/>
        </w:rPr>
        <w:t>“</w:t>
      </w:r>
      <w:r w:rsidRPr="00EF69F0">
        <w:rPr>
          <w:rFonts w:ascii="Arial" w:eastAsia="Times New Roman" w:hAnsi="Arial" w:cs="Arial"/>
          <w:lang w:val="es-ES_tradnl" w:eastAsia="es-ES_tradnl"/>
        </w:rPr>
        <w:t>equivalentes</w:t>
      </w:r>
      <w:r w:rsidR="002648FD">
        <w:rPr>
          <w:rFonts w:ascii="Arial" w:eastAsia="Times New Roman" w:hAnsi="Arial" w:cs="Arial"/>
          <w:lang w:val="es-ES_tradnl" w:eastAsia="es-ES_tradnl"/>
        </w:rPr>
        <w:t>”</w:t>
      </w:r>
      <w:r w:rsidRPr="00EF69F0">
        <w:rPr>
          <w:rFonts w:ascii="Arial" w:eastAsia="Times New Roman" w:hAnsi="Arial" w:cs="Arial"/>
          <w:lang w:val="es-ES_tradnl" w:eastAsia="es-ES_tradnl"/>
        </w:rPr>
        <w:t xml:space="preserve"> resulta necesario tener presente que el pliego de condiciones es un documento contentivo de las reglas aplicables a un determinado proceso de selección, que </w:t>
      </w:r>
      <w:r w:rsidR="002648FD">
        <w:rPr>
          <w:rFonts w:ascii="Arial" w:eastAsia="Times New Roman" w:hAnsi="Arial" w:cs="Arial"/>
          <w:i/>
          <w:iCs/>
          <w:lang w:val="es-ES_tradnl" w:eastAsia="es-ES_tradnl"/>
        </w:rPr>
        <w:t>“</w:t>
      </w:r>
      <w:r w:rsidRPr="00EF69F0">
        <w:rPr>
          <w:rFonts w:ascii="Arial" w:eastAsia="Times New Roman" w:hAnsi="Arial" w:cs="Arial"/>
          <w:i/>
          <w:iCs/>
          <w:szCs w:val="24"/>
          <w:lang w:val="es-ES_tradnl" w:eastAsia="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EF69F0">
        <w:rPr>
          <w:rFonts w:ascii="Arial" w:eastAsia="Times New Roman" w:hAnsi="Arial" w:cs="Arial"/>
          <w:i/>
          <w:iCs/>
          <w:lang w:val="es-ES_tradnl" w:eastAsia="es-ES_tradnl"/>
        </w:rPr>
        <w:t>] constituye la ley tanto del procedimiento administrativo de selección del contratista, como del contrato a</w:t>
      </w:r>
      <w:r w:rsidRPr="00EF69F0">
        <w:rPr>
          <w:rFonts w:ascii="Arial" w:eastAsia="Times New Roman" w:hAnsi="Arial" w:cs="Arial"/>
          <w:i/>
          <w:iCs/>
          <w:spacing w:val="-7"/>
          <w:lang w:val="es-ES_tradnl" w:eastAsia="es-ES_tradnl"/>
        </w:rPr>
        <w:t xml:space="preserve"> </w:t>
      </w:r>
      <w:r w:rsidRPr="00EF69F0">
        <w:rPr>
          <w:rFonts w:ascii="Arial" w:eastAsia="Times New Roman" w:hAnsi="Arial" w:cs="Arial"/>
          <w:i/>
          <w:iCs/>
          <w:lang w:val="es-ES_tradnl" w:eastAsia="es-ES_tradnl"/>
        </w:rPr>
        <w:t>celebrar</w:t>
      </w:r>
      <w:r w:rsidR="002648FD">
        <w:rPr>
          <w:rFonts w:ascii="Arial" w:eastAsia="Times New Roman" w:hAnsi="Arial" w:cs="Arial"/>
          <w:i/>
          <w:iCs/>
          <w:lang w:val="es-ES_tradnl" w:eastAsia="es-ES_tradnl"/>
        </w:rPr>
        <w:t>”</w:t>
      </w:r>
      <w:r w:rsidRPr="00EF69F0">
        <w:rPr>
          <w:rFonts w:ascii="Arial" w:eastAsia="Times New Roman" w:hAnsi="Arial" w:cs="Arial"/>
          <w:i/>
          <w:iCs/>
          <w:vertAlign w:val="superscript"/>
          <w:lang w:val="es-ES_tradnl" w:eastAsia="es-ES_tradnl"/>
        </w:rPr>
        <w:footnoteReference w:id="10"/>
      </w:r>
      <w:r w:rsidRPr="00EF69F0">
        <w:rPr>
          <w:rFonts w:ascii="Arial" w:eastAsia="Times New Roman" w:hAnsi="Arial" w:cs="Arial"/>
          <w:i/>
          <w:iCs/>
          <w:lang w:val="es-ES_tradnl" w:eastAsia="es-ES_tradnl"/>
        </w:rPr>
        <w:t>.</w:t>
      </w:r>
      <w:r w:rsidRPr="00EF69F0">
        <w:rPr>
          <w:rFonts w:ascii="Arial" w:eastAsia="Times New Roman" w:hAnsi="Arial" w:cs="Arial"/>
          <w:lang w:val="es-ES_tradnl" w:eastAsia="es-ES_tradnl"/>
        </w:rPr>
        <w:t xml:space="preserve"> A partir de tales características debe determinarse la equivalencia de un documento con un pliego de condiciones, la cual se puede ejemplificar claramente con la invitación a participar en los procesos de mínima cuantía</w:t>
      </w:r>
      <w:r w:rsidRPr="00EF69F0">
        <w:rPr>
          <w:rFonts w:ascii="Arial" w:eastAsia="Times New Roman" w:hAnsi="Arial" w:cs="Arial"/>
          <w:vertAlign w:val="superscript"/>
          <w:lang w:val="es-ES_tradnl" w:eastAsia="es-ES_tradnl"/>
        </w:rPr>
        <w:footnoteReference w:id="11"/>
      </w:r>
      <w:r w:rsidRPr="00EF69F0">
        <w:rPr>
          <w:rFonts w:ascii="Arial" w:eastAsia="Times New Roman" w:hAnsi="Arial" w:cs="Arial"/>
          <w:lang w:val="es-ES_tradnl" w:eastAsia="es-ES_tradnl"/>
        </w:rPr>
        <w:t xml:space="preserve">, documento dentro del cual la entidad contratante debe fijar las reglas aplicables al procedimiento de selección, cumpliendo con la función del pliego de condiciones. En tal sentido, es un documento </w:t>
      </w:r>
      <w:r w:rsidR="002648FD">
        <w:rPr>
          <w:rFonts w:ascii="Arial" w:eastAsia="Times New Roman" w:hAnsi="Arial" w:cs="Arial"/>
          <w:lang w:val="es-ES_tradnl" w:eastAsia="es-ES_tradnl"/>
        </w:rPr>
        <w:t>“</w:t>
      </w:r>
      <w:r w:rsidRPr="00EF69F0">
        <w:rPr>
          <w:rFonts w:ascii="Arial" w:eastAsia="Times New Roman" w:hAnsi="Arial" w:cs="Arial"/>
          <w:lang w:val="es-ES_tradnl" w:eastAsia="es-ES_tradnl"/>
        </w:rPr>
        <w:t>equivalente</w:t>
      </w:r>
      <w:r w:rsidR="002648FD">
        <w:rPr>
          <w:rFonts w:ascii="Arial" w:eastAsia="Times New Roman" w:hAnsi="Arial" w:cs="Arial"/>
          <w:lang w:val="es-ES_tradnl" w:eastAsia="es-ES_tradnl"/>
        </w:rPr>
        <w:t>”</w:t>
      </w:r>
      <w:r w:rsidRPr="00EF69F0">
        <w:rPr>
          <w:rFonts w:ascii="Arial" w:eastAsia="Times New Roman" w:hAnsi="Arial" w:cs="Arial"/>
          <w:lang w:val="es-ES_tradnl" w:eastAsia="es-ES_tradnl"/>
        </w:rPr>
        <w:t xml:space="preserve"> del mismo en los términos del artículo 11 </w:t>
      </w:r>
      <w:r w:rsidRPr="00EF69F0">
        <w:rPr>
          <w:rFonts w:ascii="Arial" w:eastAsia="Times New Roman" w:hAnsi="Arial" w:cs="Arial"/>
          <w:i/>
          <w:iCs/>
          <w:lang w:val="es-ES_tradnl" w:eastAsia="es-ES_tradnl"/>
        </w:rPr>
        <w:t xml:space="preserve">Ibídem, </w:t>
      </w:r>
      <w:r w:rsidRPr="00EF69F0">
        <w:rPr>
          <w:rFonts w:ascii="Arial" w:eastAsia="Times New Roman" w:hAnsi="Arial" w:cs="Arial"/>
          <w:lang w:val="es-ES_tradnl" w:eastAsia="es-ES_tradnl"/>
        </w:rPr>
        <w:t xml:space="preserve">dentro del cual es viable establecer el plazo para la liquidación de mutuo acuerdo. </w:t>
      </w:r>
    </w:p>
    <w:p w14:paraId="35060211" w14:textId="6561CCA7" w:rsidR="00606090" w:rsidRPr="00EF69F0" w:rsidRDefault="00606090" w:rsidP="00606090">
      <w:pPr>
        <w:spacing w:after="120" w:line="276" w:lineRule="auto"/>
        <w:ind w:firstLine="709"/>
        <w:jc w:val="both"/>
        <w:rPr>
          <w:rFonts w:ascii="Arial" w:eastAsia="Times New Roman" w:hAnsi="Arial" w:cs="Arial"/>
          <w:lang w:val="es-ES_tradnl" w:eastAsia="es-ES_tradnl"/>
        </w:rPr>
      </w:pPr>
      <w:r w:rsidRPr="00EF69F0">
        <w:rPr>
          <w:rFonts w:ascii="Arial" w:eastAsia="Times New Roman" w:hAnsi="Arial" w:cs="Arial"/>
          <w:lang w:val="es-ES_tradnl" w:eastAsia="es-ES_tradnl"/>
        </w:rPr>
        <w:t xml:space="preserve">De otra parte, cuando el artículo 11 de la Ley 1150 de 2007 hace referencia al término que </w:t>
      </w:r>
      <w:r w:rsidR="002648FD">
        <w:rPr>
          <w:rFonts w:ascii="Arial" w:eastAsia="Times New Roman" w:hAnsi="Arial" w:cs="Arial"/>
          <w:lang w:val="es-ES_tradnl" w:eastAsia="es-ES_tradnl"/>
        </w:rPr>
        <w:t>“</w:t>
      </w:r>
      <w:r w:rsidRPr="00EF69F0">
        <w:rPr>
          <w:rFonts w:ascii="Arial" w:eastAsia="Times New Roman" w:hAnsi="Arial" w:cs="Arial"/>
          <w:i/>
          <w:iCs/>
          <w:lang w:val="es-ES_tradnl" w:eastAsia="es-ES_tradnl"/>
        </w:rPr>
        <w:t>acuerden las partes</w:t>
      </w:r>
      <w:r w:rsidR="002648FD">
        <w:rPr>
          <w:rFonts w:ascii="Arial" w:eastAsia="Times New Roman" w:hAnsi="Arial" w:cs="Arial"/>
          <w:lang w:val="es-ES_tradnl" w:eastAsia="es-ES_tradnl"/>
        </w:rPr>
        <w:t>”</w:t>
      </w:r>
      <w:r w:rsidRPr="00EF69F0">
        <w:rPr>
          <w:rFonts w:ascii="Arial" w:eastAsia="Times New Roman" w:hAnsi="Arial" w:cs="Arial"/>
          <w:lang w:val="es-ES_tradnl" w:eastAsia="es-ES_tradnl"/>
        </w:rPr>
        <w:t xml:space="preserve">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sidRPr="00EF69F0">
        <w:rPr>
          <w:rFonts w:ascii="Arial" w:eastAsia="Times New Roman" w:hAnsi="Arial" w:cs="Arial"/>
          <w:vertAlign w:val="superscript"/>
          <w:lang w:val="es-ES_tradnl" w:eastAsia="es-ES_tradnl"/>
        </w:rPr>
        <w:footnoteReference w:id="12"/>
      </w:r>
      <w:r w:rsidRPr="00EF69F0">
        <w:rPr>
          <w:rFonts w:ascii="Arial" w:eastAsia="Times New Roman" w:hAnsi="Arial" w:cs="Arial"/>
          <w:lang w:val="es-ES_tradnl" w:eastAsia="es-ES_tradnl"/>
        </w:rPr>
        <w:t xml:space="preserve">. </w:t>
      </w:r>
    </w:p>
    <w:p w14:paraId="428A0C89" w14:textId="77777777" w:rsidR="00606090" w:rsidRPr="00EF69F0" w:rsidRDefault="00606090" w:rsidP="00606090">
      <w:pPr>
        <w:spacing w:after="120" w:line="276" w:lineRule="auto"/>
        <w:ind w:firstLine="709"/>
        <w:jc w:val="both"/>
        <w:rPr>
          <w:rFonts w:ascii="Arial" w:eastAsia="Calibri" w:hAnsi="Arial" w:cs="Arial"/>
          <w:lang w:val="es-ES_tradnl"/>
        </w:rPr>
      </w:pPr>
      <w:r w:rsidRPr="00EF69F0">
        <w:rPr>
          <w:rFonts w:ascii="Arial" w:eastAsia="Calibri" w:hAnsi="Arial" w:cs="Arial"/>
          <w:lang w:val="es-ES_tradn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EF69F0">
        <w:rPr>
          <w:rFonts w:ascii="Arial" w:eastAsia="Calibri" w:hAnsi="Arial" w:cs="Arial"/>
          <w:vertAlign w:val="superscript"/>
          <w:lang w:val="es-ES_tradnl"/>
        </w:rPr>
        <w:footnoteReference w:id="13"/>
      </w:r>
      <w:r w:rsidRPr="00EF69F0">
        <w:rPr>
          <w:rFonts w:ascii="Arial" w:eastAsia="Calibri" w:hAnsi="Arial" w:cs="Arial"/>
          <w:lang w:val="es-ES_tradnl"/>
        </w:rPr>
        <w:t>, lo cual implica que las mismas se desarrollen en procura de la economía y la celeridad</w:t>
      </w:r>
      <w:r w:rsidRPr="00EF69F0">
        <w:rPr>
          <w:rFonts w:ascii="Arial" w:eastAsia="Calibri" w:hAnsi="Arial" w:cs="Arial"/>
          <w:vertAlign w:val="superscript"/>
          <w:lang w:val="es-ES_tradnl"/>
        </w:rPr>
        <w:footnoteReference w:id="14"/>
      </w:r>
      <w:r w:rsidRPr="00EF69F0">
        <w:rPr>
          <w:rFonts w:ascii="Arial" w:eastAsia="Calibri" w:hAnsi="Arial" w:cs="Arial"/>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14:paraId="450FACC0" w14:textId="77777777" w:rsidR="00606090" w:rsidRPr="00EF69F0" w:rsidRDefault="00606090" w:rsidP="00606090">
      <w:pPr>
        <w:spacing w:after="120" w:line="276" w:lineRule="auto"/>
        <w:ind w:firstLine="709"/>
        <w:jc w:val="both"/>
        <w:rPr>
          <w:rFonts w:ascii="Arial" w:eastAsia="Calibri" w:hAnsi="Arial" w:cs="Arial"/>
          <w:color w:val="000000"/>
          <w:lang w:val="es-ES_tradnl"/>
        </w:rPr>
      </w:pPr>
      <w:r w:rsidRPr="00EF69F0">
        <w:rPr>
          <w:rFonts w:ascii="Arial" w:eastAsia="Calibri" w:hAnsi="Arial" w:cs="Arial"/>
          <w:color w:val="00000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EF69F0">
        <w:rPr>
          <w:rFonts w:ascii="Arial" w:eastAsia="Calibri" w:hAnsi="Arial" w:cs="Arial"/>
          <w:color w:val="000000"/>
          <w:vertAlign w:val="superscript"/>
          <w:lang w:val="es-ES_tradnl"/>
        </w:rPr>
        <w:footnoteReference w:id="15"/>
      </w:r>
      <w:r w:rsidRPr="00EF69F0">
        <w:rPr>
          <w:rFonts w:ascii="Arial" w:eastAsia="Calibri" w:hAnsi="Arial" w:cs="Arial"/>
          <w:color w:val="00000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EF69F0">
        <w:rPr>
          <w:rFonts w:ascii="Arial" w:eastAsia="Calibri" w:hAnsi="Arial" w:cs="Arial"/>
          <w:iCs/>
          <w:color w:val="000000"/>
          <w:vertAlign w:val="superscript"/>
          <w:lang w:val="es-ES_tradnl"/>
        </w:rPr>
        <w:footnoteReference w:id="16"/>
      </w:r>
      <w:r w:rsidRPr="00EF69F0">
        <w:rPr>
          <w:rFonts w:ascii="Arial" w:eastAsia="Calibri" w:hAnsi="Arial" w:cs="Arial"/>
          <w:color w:val="000000"/>
          <w:lang w:val="es-ES_tradnl"/>
        </w:rPr>
        <w:t xml:space="preserve">, y </w:t>
      </w:r>
      <w:r w:rsidRPr="00EF69F0">
        <w:rPr>
          <w:rFonts w:ascii="Arial" w:eastAsia="Calibri" w:hAnsi="Arial" w:cs="Arial"/>
          <w:iCs/>
          <w:color w:val="000000"/>
          <w:lang w:val="es-ES_tradnl"/>
        </w:rPr>
        <w:t>el documento que la contiene presta mérito ejecutivo, siempre que se satisfagan los elementos para considerarlo como tal</w:t>
      </w:r>
      <w:r w:rsidRPr="00EF69F0">
        <w:rPr>
          <w:rFonts w:ascii="Arial" w:eastAsia="Calibri" w:hAnsi="Arial" w:cs="Arial"/>
          <w:color w:val="000000"/>
          <w:lang w:val="es-ES_tradnl"/>
        </w:rPr>
        <w:t>.</w:t>
      </w:r>
    </w:p>
    <w:p w14:paraId="05631872" w14:textId="77EAF553" w:rsidR="00606090" w:rsidRPr="00EF69F0" w:rsidRDefault="00606090" w:rsidP="00606090">
      <w:pPr>
        <w:spacing w:after="0" w:line="276" w:lineRule="auto"/>
        <w:ind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val="es-ES" w:eastAsia="es-ES_tradnl"/>
        </w:rPr>
        <w:t>Si no es posible efectuar la liquidación de manera bilateral, el ordenamiento jurídico prevé una facultad, de carácter subsidiario, para que la Entidad Estatal realice la liquidación</w:t>
      </w:r>
      <w:r w:rsidR="000D5930">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unilateralmente. En relación con este aspecto,</w:t>
      </w:r>
      <w:r w:rsidR="000D5930">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 xml:space="preserve">la </w:t>
      </w:r>
      <w:r w:rsidRPr="00EF69F0">
        <w:rPr>
          <w:rFonts w:ascii="Arial" w:eastAsia="Times New Roman" w:hAnsi="Arial" w:cs="Arial"/>
          <w:color w:val="000000"/>
          <w:bdr w:val="none" w:sz="0" w:space="0" w:color="auto" w:frame="1"/>
          <w:shd w:val="clear" w:color="auto" w:fill="FFFFFF"/>
          <w:lang w:val="es-MX" w:eastAsia="es-ES_tradnl"/>
        </w:rPr>
        <w:t xml:space="preserve">Sala de Consulta y Servicio Civil del </w:t>
      </w:r>
      <w:r w:rsidRPr="00EF69F0">
        <w:rPr>
          <w:rFonts w:ascii="Arial" w:eastAsia="Times New Roman" w:hAnsi="Arial" w:cs="Arial"/>
          <w:color w:val="000000"/>
          <w:bdr w:val="none" w:sz="0" w:space="0" w:color="auto" w:frame="1"/>
          <w:shd w:val="clear" w:color="auto" w:fill="FFFFFF"/>
          <w:lang w:val="es-ES" w:eastAsia="es-ES_tradnl"/>
        </w:rPr>
        <w:t>Consejo de Estado</w:t>
      </w:r>
      <w:r w:rsidRPr="00EF69F0">
        <w:rPr>
          <w:rFonts w:ascii="Arial" w:eastAsia="Times New Roman" w:hAnsi="Arial" w:cs="Arial"/>
          <w:color w:val="000000"/>
          <w:bdr w:val="none" w:sz="0" w:space="0" w:color="auto" w:frame="1"/>
          <w:shd w:val="clear" w:color="auto" w:fill="FFFFFF"/>
          <w:lang w:val="es-MX" w:eastAsia="es-ES_tradnl"/>
        </w:rPr>
        <w:t>, en concepto del 28 de junio de 2016</w:t>
      </w:r>
      <w:r w:rsidRPr="00EF69F0">
        <w:rPr>
          <w:rFonts w:ascii="Arial" w:eastAsia="Times New Roman" w:hAnsi="Arial" w:cs="Arial"/>
          <w:color w:val="000000"/>
          <w:bdr w:val="none" w:sz="0" w:space="0" w:color="auto" w:frame="1"/>
          <w:shd w:val="clear" w:color="auto" w:fill="FFFFFF"/>
          <w:vertAlign w:val="superscript"/>
          <w:lang w:val="es-MX" w:eastAsia="es-ES_tradnl"/>
        </w:rPr>
        <w:footnoteReference w:id="17"/>
      </w:r>
      <w:r w:rsidRPr="00EF69F0">
        <w:rPr>
          <w:rFonts w:ascii="Arial" w:eastAsia="Times New Roman" w:hAnsi="Arial" w:cs="Arial"/>
          <w:color w:val="000000"/>
          <w:bdr w:val="none" w:sz="0" w:space="0" w:color="auto" w:frame="1"/>
          <w:shd w:val="clear" w:color="auto" w:fill="FFFFFF"/>
          <w:lang w:val="es-MX" w:eastAsia="es-ES_tradnl"/>
        </w:rPr>
        <w:t>, manifestó que:  </w:t>
      </w:r>
    </w:p>
    <w:p w14:paraId="45AD86F5" w14:textId="77777777" w:rsidR="00606090" w:rsidRPr="00EF69F0" w:rsidRDefault="00606090" w:rsidP="00606090">
      <w:pPr>
        <w:spacing w:after="0" w:line="276" w:lineRule="auto"/>
        <w:ind w:left="705" w:right="750"/>
        <w:jc w:val="both"/>
        <w:rPr>
          <w:rFonts w:ascii="Arial" w:eastAsia="Times New Roman" w:hAnsi="Arial" w:cs="Arial"/>
          <w:color w:val="000000"/>
          <w:lang w:eastAsia="es-ES_tradnl"/>
        </w:rPr>
      </w:pPr>
    </w:p>
    <w:p w14:paraId="2D1F5207" w14:textId="1AEC1D5B" w:rsidR="00606090" w:rsidRPr="00EF69F0" w:rsidRDefault="002648FD" w:rsidP="00606090">
      <w:pPr>
        <w:spacing w:after="0" w:line="240" w:lineRule="auto"/>
        <w:ind w:left="705" w:right="750"/>
        <w:jc w:val="both"/>
        <w:rPr>
          <w:rFonts w:ascii="Arial" w:eastAsia="Times New Roman" w:hAnsi="Arial" w:cs="Arial"/>
          <w:color w:val="000000"/>
          <w:sz w:val="20"/>
          <w:szCs w:val="20"/>
          <w:lang w:eastAsia="es-ES_tradnl"/>
        </w:rPr>
      </w:pPr>
      <w:r>
        <w:rPr>
          <w:rFonts w:ascii="Arial" w:eastAsia="Times New Roman" w:hAnsi="Arial" w:cs="Arial"/>
          <w:i/>
          <w:iCs/>
          <w:sz w:val="20"/>
          <w:szCs w:val="20"/>
          <w:lang w:val="es-ES_tradnl" w:eastAsia="es-ES_tradnl"/>
        </w:rPr>
        <w:t>“</w:t>
      </w:r>
      <w:r w:rsidR="00606090" w:rsidRPr="00EF69F0">
        <w:rPr>
          <w:rFonts w:ascii="Arial" w:eastAsia="Calibri" w:hAnsi="Arial" w:cs="Arial"/>
          <w:color w:val="000000"/>
          <w:sz w:val="20"/>
          <w:szCs w:val="20"/>
          <w:lang w:val="es-ES" w:eastAsia="es-ES_tradnl"/>
        </w:rPr>
        <w:t>[</w:t>
      </w:r>
      <w:r w:rsidR="00606090" w:rsidRPr="00EF69F0">
        <w:rPr>
          <w:rFonts w:ascii="Arial" w:eastAsia="Times New Roman" w:hAnsi="Arial" w:cs="Arial"/>
          <w:color w:val="000000"/>
          <w:sz w:val="20"/>
          <w:szCs w:val="20"/>
          <w:bdr w:val="none" w:sz="0" w:space="0" w:color="auto" w:frame="1"/>
          <w:shd w:val="clear" w:color="auto" w:fill="FFFFFF"/>
          <w:lang w:eastAsia="es-ES_tradnl"/>
        </w:rPr>
        <w:t>…]</w:t>
      </w:r>
      <w:r w:rsidR="00606090" w:rsidRPr="00EF69F0">
        <w:rPr>
          <w:rFonts w:ascii="Arial" w:eastAsia="Times New Roman" w:hAnsi="Arial" w:cs="Arial"/>
          <w:color w:val="000000"/>
          <w:sz w:val="20"/>
          <w:szCs w:val="20"/>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Arial" w:eastAsia="Times New Roman" w:hAnsi="Arial" w:cs="Arial"/>
          <w:i/>
          <w:iCs/>
          <w:sz w:val="20"/>
          <w:szCs w:val="20"/>
          <w:lang w:val="es-ES_tradnl" w:eastAsia="es-ES_tradnl"/>
        </w:rPr>
        <w:t>”</w:t>
      </w:r>
      <w:r w:rsidR="00606090" w:rsidRPr="00EF69F0">
        <w:rPr>
          <w:rFonts w:ascii="Arial" w:eastAsia="Times New Roman" w:hAnsi="Arial" w:cs="Arial"/>
          <w:color w:val="000000"/>
          <w:sz w:val="20"/>
          <w:szCs w:val="20"/>
          <w:bdr w:val="none" w:sz="0" w:space="0" w:color="auto" w:frame="1"/>
          <w:shd w:val="clear" w:color="auto" w:fill="FFFFFF"/>
          <w:lang w:val="es-ES" w:eastAsia="es-ES_tradnl"/>
        </w:rPr>
        <w:t> </w:t>
      </w:r>
      <w:r w:rsidR="00606090" w:rsidRPr="00EF69F0">
        <w:rPr>
          <w:rFonts w:ascii="Arial" w:eastAsia="Times New Roman" w:hAnsi="Arial" w:cs="Arial"/>
          <w:color w:val="000000"/>
          <w:sz w:val="20"/>
          <w:szCs w:val="20"/>
          <w:bdr w:val="none" w:sz="0" w:space="0" w:color="auto" w:frame="1"/>
          <w:shd w:val="clear" w:color="auto" w:fill="FFFFFF"/>
          <w:lang w:eastAsia="es-ES_tradnl"/>
        </w:rPr>
        <w:t>  </w:t>
      </w:r>
    </w:p>
    <w:p w14:paraId="259A9509" w14:textId="77777777" w:rsidR="00606090" w:rsidRPr="00EF69F0" w:rsidRDefault="00606090" w:rsidP="00606090">
      <w:pPr>
        <w:spacing w:after="0" w:line="276" w:lineRule="auto"/>
        <w:ind w:left="705" w:right="750"/>
        <w:jc w:val="both"/>
        <w:rPr>
          <w:rFonts w:ascii="Arial" w:eastAsia="Times New Roman" w:hAnsi="Arial" w:cs="Arial"/>
          <w:color w:val="000000"/>
          <w:lang w:eastAsia="es-ES_tradnl"/>
        </w:rPr>
      </w:pPr>
    </w:p>
    <w:p w14:paraId="3654407A" w14:textId="79F0C79B" w:rsidR="00606090" w:rsidRPr="00EF69F0" w:rsidRDefault="00606090" w:rsidP="00606090">
      <w:pPr>
        <w:spacing w:after="120" w:line="276" w:lineRule="auto"/>
        <w:ind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w:t>
      </w:r>
      <w:r w:rsidR="000D5930">
        <w:rPr>
          <w:rFonts w:ascii="Arial" w:eastAsia="Times New Roman" w:hAnsi="Arial" w:cs="Arial"/>
          <w:color w:val="000000"/>
          <w:bdr w:val="none" w:sz="0" w:space="0" w:color="auto" w:frame="1"/>
          <w:shd w:val="clear" w:color="auto" w:fill="FFFFFF"/>
          <w:lang w:val="es-ES" w:eastAsia="es-ES_tradnl"/>
        </w:rPr>
        <w:t xml:space="preserve">e </w:t>
      </w:r>
      <w:r w:rsidRPr="00EF69F0">
        <w:rPr>
          <w:rFonts w:ascii="Arial" w:eastAsia="Times New Roman" w:hAnsi="Arial" w:cs="Arial"/>
          <w:color w:val="000000"/>
          <w:bdr w:val="none" w:sz="0" w:space="0" w:color="auto" w:frame="1"/>
          <w:shd w:val="clear" w:color="auto" w:fill="FFFFFF"/>
          <w:lang w:val="es-ES" w:eastAsia="es-ES_tradnl"/>
        </w:rPr>
        <w:t>2</w:t>
      </w:r>
      <w:r w:rsidR="000D5930">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meses</w:t>
      </w:r>
      <w:r w:rsidR="000D5930">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contados a partir del vencimiento del plazo que acuerden las partes para liquidar bilateralmente o, ante el silencio de estas, del vencimiento de los 4 meses supletivo establecido por la ley. </w:t>
      </w:r>
    </w:p>
    <w:p w14:paraId="593A69BA" w14:textId="77777777" w:rsidR="00606090" w:rsidRPr="00EF69F0" w:rsidRDefault="00606090" w:rsidP="00606090">
      <w:pPr>
        <w:spacing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En este sentido, en decisión de unificación de la </w:t>
      </w:r>
      <w:r w:rsidRPr="00EF69F0">
        <w:rPr>
          <w:rFonts w:ascii="Arial" w:eastAsia="Times New Roman" w:hAnsi="Arial" w:cs="Arial"/>
          <w:color w:val="000000"/>
          <w:bdr w:val="none" w:sz="0" w:space="0" w:color="auto" w:frame="1"/>
          <w:shd w:val="clear" w:color="auto" w:fill="FFFFFF"/>
          <w:lang w:val="es-MX" w:eastAsia="es-ES_tradnl"/>
        </w:rPr>
        <w:t>Sección Tercera</w:t>
      </w:r>
      <w:r w:rsidRPr="00EF69F0">
        <w:rPr>
          <w:rFonts w:ascii="Arial" w:eastAsia="Times New Roman" w:hAnsi="Arial" w:cs="Arial"/>
          <w:color w:val="000000"/>
          <w:bdr w:val="none" w:sz="0" w:space="0" w:color="auto" w:frame="1"/>
          <w:shd w:val="clear" w:color="auto" w:fill="FFFFFF"/>
          <w:lang w:val="es-ES" w:eastAsia="es-ES_tradnl"/>
        </w:rPr>
        <w:t xml:space="preserve"> del Consejo de Estado, del</w:t>
      </w:r>
      <w:r w:rsidRPr="00EF69F0">
        <w:rPr>
          <w:rFonts w:ascii="Arial" w:eastAsia="Times New Roman" w:hAnsi="Arial" w:cs="Arial"/>
          <w:color w:val="000000"/>
          <w:bdr w:val="none" w:sz="0" w:space="0" w:color="auto" w:frame="1"/>
          <w:shd w:val="clear" w:color="auto" w:fill="FFFFFF"/>
          <w:lang w:val="es-MX" w:eastAsia="es-ES_tradnl"/>
        </w:rPr>
        <w:t> </w:t>
      </w:r>
      <w:r w:rsidRPr="00EF69F0">
        <w:rPr>
          <w:rFonts w:ascii="Arial" w:eastAsia="Times New Roman" w:hAnsi="Arial" w:cs="Arial"/>
          <w:color w:val="000000"/>
          <w:bdr w:val="none" w:sz="0" w:space="0" w:color="auto" w:frame="1"/>
          <w:shd w:val="clear" w:color="auto" w:fill="FFFFFF"/>
          <w:lang w:eastAsia="es-ES_tradnl"/>
        </w:rPr>
        <w:t>1 de agosto de 2019</w:t>
      </w:r>
      <w:r w:rsidRPr="00EF69F0">
        <w:rPr>
          <w:rFonts w:ascii="Arial" w:eastAsia="Times New Roman" w:hAnsi="Arial" w:cs="Arial"/>
          <w:color w:val="000000"/>
          <w:bdr w:val="none" w:sz="0" w:space="0" w:color="auto" w:frame="1"/>
          <w:shd w:val="clear" w:color="auto" w:fill="FFFFFF"/>
          <w:vertAlign w:val="superscript"/>
          <w:lang w:eastAsia="es-ES_tradnl"/>
        </w:rPr>
        <w:footnoteReference w:id="18"/>
      </w:r>
      <w:r w:rsidRPr="00EF69F0">
        <w:rPr>
          <w:rFonts w:ascii="Arial" w:eastAsia="Times New Roman" w:hAnsi="Arial" w:cs="Arial"/>
          <w:color w:val="000000"/>
          <w:bdr w:val="none" w:sz="0" w:space="0" w:color="auto" w:frame="1"/>
          <w:shd w:val="clear" w:color="auto" w:fill="FFFFFF"/>
          <w:lang w:eastAsia="es-ES_tradnl"/>
        </w:rPr>
        <w:t>, se expresó: </w:t>
      </w:r>
    </w:p>
    <w:p w14:paraId="30F6E381" w14:textId="77777777" w:rsidR="00606090" w:rsidRPr="00EF69F0" w:rsidRDefault="00606090" w:rsidP="00606090">
      <w:pPr>
        <w:spacing w:after="0" w:line="276" w:lineRule="auto"/>
        <w:ind w:firstLine="705"/>
        <w:jc w:val="both"/>
        <w:rPr>
          <w:rFonts w:ascii="Arial" w:eastAsia="Times New Roman" w:hAnsi="Arial" w:cs="Arial"/>
          <w:color w:val="000000"/>
          <w:lang w:eastAsia="es-ES_tradnl"/>
        </w:rPr>
      </w:pPr>
    </w:p>
    <w:p w14:paraId="0A82AB07" w14:textId="74E35532" w:rsidR="00606090" w:rsidRPr="00EF69F0" w:rsidRDefault="002648FD" w:rsidP="00606090">
      <w:pPr>
        <w:spacing w:after="0" w:line="240" w:lineRule="auto"/>
        <w:ind w:left="705" w:right="750"/>
        <w:jc w:val="both"/>
        <w:rPr>
          <w:rFonts w:ascii="Arial" w:eastAsia="Times New Roman" w:hAnsi="Arial" w:cs="Arial"/>
          <w:color w:val="000000"/>
          <w:sz w:val="20"/>
          <w:szCs w:val="20"/>
          <w:lang w:eastAsia="es-ES_tradnl"/>
        </w:rPr>
      </w:pPr>
      <w:r>
        <w:rPr>
          <w:rFonts w:ascii="Arial" w:eastAsia="Times New Roman" w:hAnsi="Arial" w:cs="Arial"/>
          <w:i/>
          <w:iCs/>
          <w:sz w:val="20"/>
          <w:szCs w:val="20"/>
          <w:lang w:val="es-ES_tradnl" w:eastAsia="es-ES_tradnl"/>
        </w:rPr>
        <w:t>“</w:t>
      </w:r>
      <w:r w:rsidR="00606090" w:rsidRPr="00EF69F0">
        <w:rPr>
          <w:rFonts w:ascii="Arial" w:eastAsia="Times New Roman" w:hAnsi="Arial" w:cs="Arial"/>
          <w:color w:val="000000"/>
          <w:sz w:val="20"/>
          <w:szCs w:val="20"/>
          <w:bdr w:val="none" w:sz="0" w:space="0" w:color="auto" w:frame="1"/>
          <w:shd w:val="clear" w:color="auto" w:fill="FFFFFF"/>
          <w:lang w:val="es-ES" w:eastAsia="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00606090" w:rsidRPr="00EF69F0">
        <w:rPr>
          <w:rFonts w:ascii="Arial" w:eastAsia="Calibri" w:hAnsi="Arial" w:cs="Arial"/>
          <w:color w:val="000000"/>
          <w:sz w:val="20"/>
          <w:szCs w:val="20"/>
          <w:lang w:val="es-ES" w:eastAsia="es-ES_tradnl"/>
        </w:rPr>
        <w:t>.</w:t>
      </w:r>
      <w:r>
        <w:rPr>
          <w:rFonts w:ascii="Arial" w:eastAsia="Times New Roman" w:hAnsi="Arial" w:cs="Arial"/>
          <w:i/>
          <w:iCs/>
          <w:sz w:val="20"/>
          <w:szCs w:val="20"/>
          <w:lang w:val="es-ES_tradnl" w:eastAsia="es-ES_tradnl"/>
        </w:rPr>
        <w:t>”</w:t>
      </w:r>
      <w:r w:rsidR="00606090" w:rsidRPr="00EF69F0">
        <w:rPr>
          <w:rFonts w:ascii="Arial" w:eastAsia="Times New Roman" w:hAnsi="Arial" w:cs="Arial"/>
          <w:color w:val="000000"/>
          <w:sz w:val="20"/>
          <w:szCs w:val="20"/>
          <w:bdr w:val="none" w:sz="0" w:space="0" w:color="auto" w:frame="1"/>
          <w:shd w:val="clear" w:color="auto" w:fill="FFFFFF"/>
          <w:lang w:val="es-ES" w:eastAsia="es-ES_tradnl"/>
        </w:rPr>
        <w:t> </w:t>
      </w:r>
    </w:p>
    <w:p w14:paraId="51E7D2E1" w14:textId="77777777" w:rsidR="00606090" w:rsidRPr="00EF69F0" w:rsidRDefault="00606090" w:rsidP="00606090">
      <w:pPr>
        <w:spacing w:after="0" w:line="276" w:lineRule="auto"/>
        <w:ind w:firstLine="708"/>
        <w:jc w:val="both"/>
        <w:rPr>
          <w:rFonts w:ascii="Arial" w:eastAsia="Times New Roman" w:hAnsi="Arial" w:cs="Arial"/>
          <w:color w:val="000000"/>
          <w:lang w:eastAsia="es-ES_tradnl"/>
        </w:rPr>
      </w:pPr>
    </w:p>
    <w:p w14:paraId="4591E970" w14:textId="77777777" w:rsidR="00606090" w:rsidRPr="00EF69F0" w:rsidRDefault="00606090" w:rsidP="0060609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eastAsia="es-ES_tradnl"/>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09B55684" w14:textId="77777777" w:rsidR="00606090" w:rsidRPr="00EF69F0" w:rsidRDefault="00606090" w:rsidP="0060609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p>
    <w:p w14:paraId="0CC4BDDA" w14:textId="035CEC73" w:rsidR="00606090" w:rsidRPr="00EF69F0" w:rsidRDefault="002648FD" w:rsidP="00606090">
      <w:pPr>
        <w:spacing w:after="0" w:line="240" w:lineRule="auto"/>
        <w:ind w:left="709" w:right="758"/>
        <w:jc w:val="both"/>
        <w:rPr>
          <w:rFonts w:ascii="Arial" w:eastAsia="Times New Roman" w:hAnsi="Arial" w:cs="Arial"/>
          <w:color w:val="000000"/>
          <w:sz w:val="20"/>
          <w:szCs w:val="20"/>
          <w:bdr w:val="none" w:sz="0" w:space="0" w:color="auto" w:frame="1"/>
          <w:shd w:val="clear" w:color="auto" w:fill="FFFFFF"/>
          <w:lang w:eastAsia="es-ES_tradnl"/>
        </w:rPr>
      </w:pPr>
      <w:r>
        <w:rPr>
          <w:rFonts w:ascii="Arial" w:eastAsia="Times New Roman" w:hAnsi="Arial" w:cs="Arial"/>
          <w:i/>
          <w:iCs/>
          <w:sz w:val="20"/>
          <w:szCs w:val="20"/>
          <w:lang w:val="es-ES_tradnl" w:eastAsia="es-ES_tradnl"/>
        </w:rPr>
        <w:t>“</w:t>
      </w:r>
      <w:r w:rsidR="00606090" w:rsidRPr="00EF69F0">
        <w:rPr>
          <w:rFonts w:ascii="Arial" w:eastAsia="Times New Roman" w:hAnsi="Arial" w:cs="Arial"/>
          <w:color w:val="000000"/>
          <w:sz w:val="20"/>
          <w:szCs w:val="20"/>
          <w:bdr w:val="none" w:sz="0" w:space="0" w:color="auto" w:frame="1"/>
          <w:shd w:val="clear" w:color="auto" w:fill="FFFFFF"/>
          <w:lang w:eastAsia="es-ES_tradnl"/>
        </w:rPr>
        <w:t>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Pr>
          <w:rFonts w:ascii="Arial" w:eastAsia="Times New Roman" w:hAnsi="Arial" w:cs="Arial"/>
          <w:i/>
          <w:iCs/>
          <w:sz w:val="20"/>
          <w:szCs w:val="20"/>
          <w:lang w:val="es-ES_tradnl" w:eastAsia="es-ES_tradnl"/>
        </w:rPr>
        <w:t>”</w:t>
      </w:r>
      <w:r w:rsidR="00606090" w:rsidRPr="00EF69F0">
        <w:rPr>
          <w:rFonts w:ascii="Arial" w:eastAsia="Times New Roman" w:hAnsi="Arial" w:cs="Arial"/>
          <w:color w:val="000000"/>
          <w:sz w:val="20"/>
          <w:szCs w:val="20"/>
          <w:bdr w:val="none" w:sz="0" w:space="0" w:color="auto" w:frame="1"/>
          <w:shd w:val="clear" w:color="auto" w:fill="FFFFFF"/>
          <w:lang w:val="es-ES" w:eastAsia="es-ES_tradnl"/>
        </w:rPr>
        <w:t> </w:t>
      </w:r>
    </w:p>
    <w:p w14:paraId="72B41B00" w14:textId="77777777" w:rsidR="00606090" w:rsidRPr="00EF69F0" w:rsidRDefault="00606090" w:rsidP="0060609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p>
    <w:p w14:paraId="027CC1CB" w14:textId="77777777" w:rsidR="00606090" w:rsidRPr="00EF69F0" w:rsidRDefault="00606090" w:rsidP="00606090">
      <w:pPr>
        <w:spacing w:after="0" w:line="276" w:lineRule="auto"/>
        <w:ind w:right="106"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eastAsia="es-ES_tradnl"/>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 </w:t>
      </w:r>
    </w:p>
    <w:p w14:paraId="072346B7" w14:textId="77777777" w:rsidR="00606090" w:rsidRPr="00EF69F0" w:rsidRDefault="00606090" w:rsidP="00606090">
      <w:pPr>
        <w:spacing w:before="120" w:after="0" w:line="276" w:lineRule="auto"/>
        <w:ind w:right="110"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eastAsia="es-ES_tradnl"/>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w:t>
      </w:r>
      <w:r w:rsidRPr="00EF69F0">
        <w:rPr>
          <w:rFonts w:ascii="Arial" w:eastAsia="Times New Roman" w:hAnsi="Arial" w:cs="Arial"/>
          <w:color w:val="000000"/>
          <w:spacing w:val="-25"/>
          <w:bdr w:val="none" w:sz="0" w:space="0" w:color="auto" w:frame="1"/>
          <w:shd w:val="clear" w:color="auto" w:fill="FFFFFF"/>
          <w:lang w:eastAsia="es-ES_tradnl"/>
        </w:rPr>
        <w:t> </w:t>
      </w:r>
      <w:r w:rsidRPr="00EF69F0">
        <w:rPr>
          <w:rFonts w:ascii="Arial" w:eastAsia="Times New Roman" w:hAnsi="Arial" w:cs="Arial"/>
          <w:color w:val="000000"/>
          <w:bdr w:val="none" w:sz="0" w:space="0" w:color="auto" w:frame="1"/>
          <w:shd w:val="clear" w:color="auto" w:fill="FFFFFF"/>
          <w:lang w:eastAsia="es-ES_tradnl"/>
        </w:rPr>
        <w:t>2011. </w:t>
      </w:r>
    </w:p>
    <w:p w14:paraId="6F5C9646" w14:textId="68871804" w:rsidR="00606090" w:rsidRPr="00EF69F0" w:rsidRDefault="00606090" w:rsidP="00606090">
      <w:pPr>
        <w:spacing w:before="120"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val="es-ES" w:eastAsia="es-ES_tradnl"/>
        </w:rPr>
        <w:t>Así las cosas,</w:t>
      </w:r>
      <w:r w:rsidR="004D6C55">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es claro que el ordenamiento jurídico vigente permite la liquidación</w:t>
      </w:r>
      <w:r w:rsidR="00DB681D">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unilateral, bilateral, incluso judicial</w:t>
      </w:r>
      <w:r w:rsidR="00FF78AC">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una vez vencido</w:t>
      </w:r>
      <w:r w:rsidR="00FF78AC">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el plazo establecido por el artículo 11 de la Ley 1150 de 2007. En otras palabras, la liquidación final de los contratos estatales tiene un ámbito temporal que empieza con la terminación</w:t>
      </w:r>
      <w:r w:rsidR="00743DAF">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del contrato</w:t>
      </w:r>
      <w:r w:rsidR="00743DAF">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y comprende el período contractual</w:t>
      </w:r>
      <w:r w:rsidR="00743DAF">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pactado por las partes</w:t>
      </w:r>
      <w:r w:rsidR="00743DAF">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o supletivo legal –de 4 meses–</w:t>
      </w:r>
      <w:r w:rsidR="0016624A">
        <w:rPr>
          <w:rFonts w:ascii="Arial" w:eastAsia="Times New Roman" w:hAnsi="Arial" w:cs="Arial"/>
          <w:color w:val="000000"/>
          <w:bdr w:val="none" w:sz="0" w:space="0" w:color="auto" w:frame="1"/>
          <w:shd w:val="clear" w:color="auto" w:fill="FFFFFF"/>
          <w:lang w:val="es-ES" w:eastAsia="es-ES_tradnl"/>
        </w:rPr>
        <w:t xml:space="preserve"> </w:t>
      </w:r>
      <w:r w:rsidRPr="00EF69F0">
        <w:rPr>
          <w:rFonts w:ascii="Arial" w:eastAsia="Times New Roman" w:hAnsi="Arial" w:cs="Arial"/>
          <w:color w:val="000000"/>
          <w:bdr w:val="none" w:sz="0" w:space="0" w:color="auto" w:frame="1"/>
          <w:shd w:val="clear" w:color="auto" w:fill="FFFFFF"/>
          <w:lang w:val="es-ES" w:eastAsia="es-ES_tradnl"/>
        </w:rPr>
        <w:t>para la liquidación bilateral, más el período legal para la liquidación unilateral –de 2 meses</w:t>
      </w:r>
      <w:r w:rsidR="0017085C" w:rsidRPr="00EF69F0">
        <w:rPr>
          <w:rFonts w:ascii="Arial" w:eastAsia="Times New Roman" w:hAnsi="Arial" w:cs="Arial"/>
          <w:color w:val="000000"/>
          <w:bdr w:val="none" w:sz="0" w:space="0" w:color="auto" w:frame="1"/>
          <w:shd w:val="clear" w:color="auto" w:fill="FFFFFF"/>
          <w:lang w:val="es-ES" w:eastAsia="es-ES_tradnl"/>
        </w:rPr>
        <w:t>–, más</w:t>
      </w:r>
      <w:r w:rsidRPr="00EF69F0">
        <w:rPr>
          <w:rFonts w:ascii="Arial" w:eastAsia="Times New Roman" w:hAnsi="Arial" w:cs="Arial"/>
          <w:color w:val="000000"/>
          <w:bdr w:val="none" w:sz="0" w:space="0" w:color="auto" w:frame="1"/>
          <w:shd w:val="clear" w:color="auto" w:fill="FFFFFF"/>
          <w:lang w:val="es-ES" w:eastAsia="es-ES_tradnl"/>
        </w:rPr>
        <w:t xml:space="preserve"> el plazo de dos años para hacerlo de mutuo acuerdo o unilateralmente, sin perjuicio de que se solicite la liquidación judicial.</w:t>
      </w:r>
      <w:r w:rsidRPr="00EF69F0">
        <w:rPr>
          <w:rFonts w:ascii="Arial" w:eastAsia="Times New Roman" w:hAnsi="Arial" w:cs="Arial"/>
          <w:color w:val="000000"/>
          <w:bdr w:val="none" w:sz="0" w:space="0" w:color="auto" w:frame="1"/>
          <w:shd w:val="clear" w:color="auto" w:fill="FFFFFF"/>
          <w:lang w:eastAsia="es-ES_tradnl"/>
        </w:rPr>
        <w:t> </w:t>
      </w:r>
    </w:p>
    <w:p w14:paraId="4DFDEA50" w14:textId="6DC0B54A" w:rsidR="00606090" w:rsidRPr="00EF69F0" w:rsidRDefault="00606090" w:rsidP="00606090">
      <w:pPr>
        <w:spacing w:before="120"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szCs w:val="24"/>
          <w:lang w:val="es-ES_tradnl" w:eastAsia="es-ES_tradnl"/>
        </w:rPr>
        <w:t xml:space="preserve">Por tanto, si se trata de un contrato en el cual no existe pacto sobre el término para la liquidación bilateral, el término supletivo aplicaría, y se podría liquidar el contrato dentro de los 4 meses siguientes </w:t>
      </w:r>
      <w:r w:rsidR="0017085C">
        <w:rPr>
          <w:rFonts w:ascii="Arial" w:eastAsia="Times New Roman" w:hAnsi="Arial" w:cs="Arial"/>
          <w:szCs w:val="24"/>
          <w:lang w:val="es-ES_tradnl" w:eastAsia="es-ES_tradnl"/>
        </w:rPr>
        <w:t>a la terminación del contrato,</w:t>
      </w:r>
      <w:r w:rsidRPr="00EF69F0">
        <w:rPr>
          <w:rFonts w:ascii="Arial" w:eastAsia="Times New Roman" w:hAnsi="Arial" w:cs="Arial"/>
          <w:szCs w:val="24"/>
          <w:lang w:val="es-ES_tradnl" w:eastAsia="es-ES_tradnl"/>
        </w:rPr>
        <w:t xml:space="preserve">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6D960AE1" w14:textId="77777777" w:rsidR="00606090" w:rsidRPr="00EF69F0" w:rsidRDefault="00606090" w:rsidP="00606090">
      <w:pPr>
        <w:spacing w:after="0" w:line="240" w:lineRule="auto"/>
        <w:rPr>
          <w:rFonts w:ascii="Calibri" w:eastAsia="Times New Roman" w:hAnsi="Calibri" w:cs="Times New Roman"/>
          <w:color w:val="000000"/>
          <w:lang w:eastAsia="es-ES_tradnl"/>
        </w:rPr>
      </w:pPr>
    </w:p>
    <w:p w14:paraId="302C38F9" w14:textId="77777777" w:rsidR="00606090" w:rsidRPr="00EF69F0" w:rsidRDefault="00606090" w:rsidP="00606090">
      <w:pPr>
        <w:tabs>
          <w:tab w:val="left" w:pos="426"/>
        </w:tabs>
        <w:spacing w:after="0" w:line="276" w:lineRule="auto"/>
        <w:jc w:val="both"/>
        <w:rPr>
          <w:rFonts w:ascii="Arial" w:eastAsia="Times New Roman" w:hAnsi="Arial" w:cs="Arial"/>
          <w:b/>
          <w:lang w:eastAsia="es-ES_tradnl"/>
        </w:rPr>
      </w:pPr>
      <w:r w:rsidRPr="00EF69F0">
        <w:rPr>
          <w:rFonts w:ascii="Arial" w:eastAsia="Times New Roman" w:hAnsi="Arial" w:cs="Arial"/>
          <w:b/>
          <w:lang w:eastAsia="es-ES_tradnl"/>
        </w:rPr>
        <w:t>2.2.</w:t>
      </w:r>
      <w:r w:rsidRPr="00EF69F0">
        <w:rPr>
          <w:rFonts w:ascii="Arial" w:eastAsia="Times New Roman" w:hAnsi="Arial" w:cs="Arial"/>
          <w:b/>
          <w:lang w:eastAsia="es-ES_tradnl"/>
        </w:rPr>
        <w:tab/>
      </w:r>
      <w:r w:rsidRPr="00EF69F0">
        <w:rPr>
          <w:rFonts w:ascii="Arial" w:eastAsia="Calibri" w:hAnsi="Arial" w:cs="Arial"/>
          <w:b/>
          <w:color w:val="000000"/>
          <w:lang w:eastAsia="es-ES_tradnl"/>
        </w:rPr>
        <w:t xml:space="preserve">Garantía de cumplimiento: noción y vigencia </w:t>
      </w:r>
    </w:p>
    <w:p w14:paraId="2B927D34" w14:textId="77777777" w:rsidR="00606090" w:rsidRPr="00EF69F0" w:rsidRDefault="00606090" w:rsidP="00606090">
      <w:pPr>
        <w:spacing w:after="0" w:line="276" w:lineRule="auto"/>
        <w:jc w:val="both"/>
        <w:rPr>
          <w:rFonts w:ascii="Arial" w:eastAsia="Calibri" w:hAnsi="Arial" w:cs="Arial"/>
          <w:lang w:val="es-ES_tradnl" w:eastAsia="es-ES_tradnl"/>
        </w:rPr>
      </w:pPr>
    </w:p>
    <w:p w14:paraId="2DD9F814" w14:textId="37DBF57E" w:rsidR="00606090" w:rsidRPr="00EF69F0" w:rsidRDefault="00606090" w:rsidP="00606090">
      <w:pPr>
        <w:spacing w:after="0" w:line="276" w:lineRule="auto"/>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La Guía de garantías en Procesos de Contratación </w:t>
      </w:r>
      <w:r w:rsidR="00C86E7D">
        <w:rPr>
          <w:rFonts w:ascii="Arial" w:eastAsia="Times New Roman" w:hAnsi="Arial" w:cs="Arial"/>
          <w:bCs/>
          <w:color w:val="000000"/>
          <w:szCs w:val="24"/>
          <w:lang w:val="es-ES_tradnl" w:eastAsia="es-ES_tradnl"/>
        </w:rPr>
        <w:t xml:space="preserve">emitido por esta Agencia, </w:t>
      </w:r>
      <w:r w:rsidRPr="00EF69F0">
        <w:rPr>
          <w:rFonts w:ascii="Arial" w:eastAsia="Times New Roman" w:hAnsi="Arial" w:cs="Arial"/>
          <w:bCs/>
          <w:color w:val="000000"/>
          <w:szCs w:val="24"/>
          <w:lang w:val="es-ES_tradnl" w:eastAsia="es-ES_tradnl"/>
        </w:rPr>
        <w:t xml:space="preserve">señala que </w:t>
      </w:r>
      <w:r w:rsidR="002648FD">
        <w:rPr>
          <w:rFonts w:ascii="Arial" w:eastAsia="Times New Roman" w:hAnsi="Arial" w:cs="Arial"/>
          <w:bCs/>
          <w:i/>
          <w:iCs/>
          <w:color w:val="000000"/>
          <w:lang w:val="es-ES_tradnl" w:eastAsia="es-ES_tradnl"/>
        </w:rPr>
        <w:t>“</w:t>
      </w:r>
      <w:r w:rsidRPr="00EF69F0">
        <w:rPr>
          <w:rFonts w:ascii="Arial" w:eastAsia="Times New Roman" w:hAnsi="Arial" w:cs="Arial"/>
          <w:bCs/>
          <w:i/>
          <w:iCs/>
          <w:color w:val="000000"/>
          <w:lang w:val="es-ES_tradnl" w:eastAsia="es-ES_tradnl"/>
        </w:rPr>
        <w:t>Las garantías son instrumentos de cobertura de algunos Riesgos comunes en Procesos de Contratación</w:t>
      </w:r>
      <w:r w:rsidR="002648FD">
        <w:rPr>
          <w:rFonts w:ascii="Arial" w:eastAsia="Times New Roman" w:hAnsi="Arial" w:cs="Arial"/>
          <w:bCs/>
          <w:i/>
          <w:iCs/>
          <w:color w:val="000000"/>
          <w:lang w:val="es-ES_tradnl" w:eastAsia="es-ES_tradnl"/>
        </w:rPr>
        <w:t>”</w:t>
      </w:r>
      <w:r w:rsidRPr="00EF69F0">
        <w:rPr>
          <w:rFonts w:ascii="Arial" w:eastAsia="Times New Roman" w:hAnsi="Arial" w:cs="Arial"/>
          <w:bCs/>
          <w:i/>
          <w:iCs/>
          <w:color w:val="000000"/>
          <w:sz w:val="21"/>
          <w:szCs w:val="21"/>
          <w:vertAlign w:val="superscript"/>
          <w:lang w:val="es-ES_tradnl" w:eastAsia="es-ES_tradnl"/>
        </w:rPr>
        <w:footnoteReference w:id="19"/>
      </w:r>
      <w:r w:rsidRPr="00EF69F0">
        <w:rPr>
          <w:rFonts w:ascii="Arial" w:eastAsia="Times New Roman" w:hAnsi="Arial" w:cs="Arial"/>
          <w:bCs/>
          <w:i/>
          <w:iCs/>
          <w:color w:val="000000"/>
          <w:sz w:val="21"/>
          <w:szCs w:val="21"/>
          <w:lang w:val="es-ES_tradnl" w:eastAsia="es-ES_tradnl"/>
        </w:rPr>
        <w:t>.</w:t>
      </w:r>
      <w:r w:rsidRPr="00EF69F0">
        <w:rPr>
          <w:rFonts w:ascii="Arial" w:eastAsia="Times New Roman" w:hAnsi="Arial" w:cs="Arial"/>
          <w:bCs/>
          <w:color w:val="000000"/>
          <w:sz w:val="21"/>
          <w:szCs w:val="21"/>
          <w:lang w:val="es-ES_tradnl" w:eastAsia="es-ES_tradnl"/>
        </w:rPr>
        <w:t xml:space="preserve"> </w:t>
      </w:r>
      <w:r w:rsidRPr="00EF69F0">
        <w:rPr>
          <w:rFonts w:ascii="Arial" w:eastAsia="Times New Roman" w:hAnsi="Arial" w:cs="Arial"/>
          <w:bCs/>
          <w:color w:val="000000"/>
          <w:szCs w:val="24"/>
          <w:lang w:val="es-ES_tradnl" w:eastAsia="es-ES_tradnl"/>
        </w:rPr>
        <w:t xml:space="preserve"> En relación con la garantía de cumplimiento, la Agencia Nacional de Contratación Pública ha sostenido lo siguiente:</w:t>
      </w:r>
    </w:p>
    <w:p w14:paraId="1E0ED5FC" w14:textId="77777777" w:rsidR="00606090" w:rsidRPr="00EF69F0" w:rsidRDefault="00606090" w:rsidP="00606090">
      <w:pPr>
        <w:spacing w:after="0" w:line="240" w:lineRule="auto"/>
        <w:ind w:left="709" w:right="758"/>
        <w:jc w:val="both"/>
        <w:rPr>
          <w:rFonts w:ascii="Arial" w:eastAsia="Times New Roman" w:hAnsi="Arial" w:cs="Arial"/>
          <w:bCs/>
          <w:color w:val="000000"/>
          <w:sz w:val="21"/>
          <w:szCs w:val="21"/>
          <w:lang w:val="es-ES_tradnl" w:eastAsia="es-ES_tradnl"/>
        </w:rPr>
      </w:pPr>
    </w:p>
    <w:p w14:paraId="3A33D94C" w14:textId="501072BC" w:rsidR="00606090" w:rsidRPr="00EF69F0" w:rsidRDefault="002648FD" w:rsidP="00606090">
      <w:pPr>
        <w:spacing w:after="0" w:line="240" w:lineRule="auto"/>
        <w:ind w:left="709" w:right="758"/>
        <w:jc w:val="both"/>
        <w:rPr>
          <w:rFonts w:ascii="Arial" w:eastAsia="Times New Roman" w:hAnsi="Arial" w:cs="Arial"/>
          <w:bCs/>
          <w:color w:val="000000"/>
          <w:sz w:val="20"/>
          <w:szCs w:val="20"/>
          <w:lang w:val="es-ES_tradnl" w:eastAsia="es-ES_tradnl"/>
        </w:rPr>
      </w:pPr>
      <w:r>
        <w:rPr>
          <w:rFonts w:ascii="Arial" w:eastAsia="Times New Roman" w:hAnsi="Arial" w:cs="Arial"/>
          <w:i/>
          <w:iCs/>
          <w:sz w:val="20"/>
          <w:szCs w:val="20"/>
          <w:lang w:val="es-ES_tradnl" w:eastAsia="es-ES_tradnl"/>
        </w:rPr>
        <w:t>“</w:t>
      </w:r>
      <w:r w:rsidR="00606090" w:rsidRPr="00EF69F0">
        <w:rPr>
          <w:rFonts w:ascii="Arial" w:eastAsia="Times New Roman" w:hAnsi="Arial" w:cs="Arial"/>
          <w:bCs/>
          <w:color w:val="000000"/>
          <w:sz w:val="20"/>
          <w:szCs w:val="20"/>
          <w:lang w:val="es-ES_tradnl" w:eastAsia="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72240DA6" w14:textId="77777777" w:rsidR="00606090" w:rsidRPr="00EF69F0" w:rsidRDefault="00606090" w:rsidP="00606090">
      <w:pPr>
        <w:spacing w:after="0" w:line="240" w:lineRule="auto"/>
        <w:ind w:left="709" w:right="758"/>
        <w:jc w:val="both"/>
        <w:rPr>
          <w:rFonts w:ascii="Arial" w:eastAsia="Times New Roman" w:hAnsi="Arial" w:cs="Arial"/>
          <w:bCs/>
          <w:color w:val="000000"/>
          <w:sz w:val="20"/>
          <w:szCs w:val="20"/>
          <w:lang w:val="es-ES_tradnl" w:eastAsia="es-ES_tradnl"/>
        </w:rPr>
      </w:pPr>
    </w:p>
    <w:p w14:paraId="6C2C9FB9" w14:textId="281EFB86" w:rsidR="00606090" w:rsidRPr="00EF69F0" w:rsidRDefault="00606090" w:rsidP="00606090">
      <w:pPr>
        <w:spacing w:after="0" w:line="240" w:lineRule="auto"/>
        <w:ind w:left="709" w:right="758"/>
        <w:jc w:val="both"/>
        <w:rPr>
          <w:rFonts w:ascii="Arial" w:eastAsia="Times New Roman" w:hAnsi="Arial" w:cs="Arial"/>
          <w:color w:val="000000"/>
          <w:sz w:val="20"/>
          <w:szCs w:val="20"/>
          <w:lang w:val="es-ES" w:eastAsia="es-ES"/>
        </w:rPr>
      </w:pPr>
      <w:r w:rsidRPr="6C2B77A5">
        <w:rPr>
          <w:rFonts w:ascii="Arial" w:eastAsia="Times New Roman" w:hAnsi="Arial" w:cs="Arial"/>
          <w:color w:val="000000"/>
          <w:sz w:val="20"/>
          <w:szCs w:val="20"/>
          <w:lang w:val="es-ES" w:eastAsia="es-ES"/>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6C2B77A5">
        <w:rPr>
          <w:rFonts w:ascii="Arial" w:eastAsia="Times New Roman" w:hAnsi="Arial" w:cs="Arial"/>
          <w:i/>
          <w:iCs/>
          <w:sz w:val="20"/>
          <w:szCs w:val="20"/>
          <w:lang w:val="es-ES" w:eastAsia="es-ES"/>
        </w:rPr>
        <w:t xml:space="preserve"> </w:t>
      </w:r>
      <w:r w:rsidR="002648FD">
        <w:rPr>
          <w:rFonts w:ascii="Arial" w:eastAsia="Times New Roman" w:hAnsi="Arial" w:cs="Arial"/>
          <w:i/>
          <w:iCs/>
          <w:sz w:val="20"/>
          <w:szCs w:val="20"/>
          <w:lang w:val="es-ES" w:eastAsia="es-ES"/>
        </w:rPr>
        <w:t>“</w:t>
      </w:r>
      <w:r w:rsidRPr="6C2B77A5">
        <w:rPr>
          <w:rFonts w:ascii="Arial" w:eastAsia="Times New Roman" w:hAnsi="Arial" w:cs="Arial"/>
          <w:color w:val="000000"/>
          <w:sz w:val="20"/>
          <w:szCs w:val="20"/>
          <w:vertAlign w:val="superscript"/>
          <w:lang w:val="es-ES" w:eastAsia="es-ES"/>
        </w:rPr>
        <w:footnoteReference w:id="20"/>
      </w:r>
      <w:r w:rsidRPr="6C2B77A5">
        <w:rPr>
          <w:rFonts w:ascii="Arial" w:eastAsia="Calibri" w:hAnsi="Arial" w:cs="Arial"/>
          <w:color w:val="000000"/>
          <w:sz w:val="20"/>
          <w:szCs w:val="20"/>
          <w:lang w:val="es-ES" w:eastAsia="es-ES"/>
        </w:rPr>
        <w:t>.</w:t>
      </w:r>
    </w:p>
    <w:p w14:paraId="06F87751" w14:textId="77777777" w:rsidR="00606090" w:rsidRPr="00EF69F0" w:rsidRDefault="00606090" w:rsidP="00606090">
      <w:pPr>
        <w:spacing w:after="0" w:line="276" w:lineRule="auto"/>
        <w:jc w:val="both"/>
        <w:rPr>
          <w:rFonts w:ascii="Arial" w:eastAsia="Times New Roman" w:hAnsi="Arial" w:cs="Arial"/>
          <w:bCs/>
          <w:color w:val="000000"/>
          <w:szCs w:val="24"/>
          <w:lang w:val="es-ES_tradnl" w:eastAsia="es-ES_tradnl"/>
        </w:rPr>
      </w:pPr>
    </w:p>
    <w:p w14:paraId="050622B0" w14:textId="77777777"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76D7F9F" w14:textId="4C1EB379"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En efecto, según el </w:t>
      </w:r>
      <w:r w:rsidR="0028051E">
        <w:rPr>
          <w:rFonts w:ascii="Arial" w:eastAsia="Times New Roman" w:hAnsi="Arial" w:cs="Arial"/>
          <w:bCs/>
          <w:color w:val="000000"/>
          <w:szCs w:val="24"/>
          <w:lang w:val="es-ES_tradnl" w:eastAsia="es-ES_tradnl"/>
        </w:rPr>
        <w:t xml:space="preserve">artículo </w:t>
      </w:r>
      <w:r w:rsidRPr="00EF69F0">
        <w:rPr>
          <w:rFonts w:ascii="Arial" w:eastAsia="Times New Roman" w:hAnsi="Arial" w:cs="Arial"/>
          <w:bCs/>
          <w:color w:val="000000"/>
          <w:szCs w:val="24"/>
          <w:lang w:val="es-ES_tradnl" w:eastAsia="es-ES_tradnl"/>
        </w:rPr>
        <w:t>2.2.1.2.3.1.7. del Decreto 1082 de 2015</w:t>
      </w:r>
      <w:r w:rsidRPr="00EF69F0">
        <w:rPr>
          <w:rFonts w:ascii="Arial" w:eastAsia="Times New Roman" w:hAnsi="Arial" w:cs="Arial"/>
          <w:bCs/>
          <w:color w:val="000000"/>
          <w:szCs w:val="24"/>
          <w:vertAlign w:val="superscript"/>
          <w:lang w:val="es-ES_tradnl" w:eastAsia="es-ES_tradnl"/>
        </w:rPr>
        <w:footnoteReference w:id="21"/>
      </w:r>
      <w:r w:rsidRPr="00EF69F0">
        <w:rPr>
          <w:rFonts w:ascii="Arial" w:eastAsia="Times New Roman" w:hAnsi="Arial" w:cs="Arial"/>
          <w:bCs/>
          <w:color w:val="000000"/>
          <w:szCs w:val="24"/>
          <w:lang w:val="es-ES_tradnl" w:eastAsia="es-ES_tradnl"/>
        </w:rPr>
        <w:t>,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1EC5CDC1" w14:textId="77777777"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bookmarkStart w:id="10" w:name="_Hlk127975343"/>
      <w:r w:rsidRPr="00EF69F0">
        <w:rPr>
          <w:rFonts w:ascii="Arial" w:eastAsia="Times New Roman" w:hAnsi="Arial" w:cs="Arial"/>
          <w:bCs/>
          <w:color w:val="000000"/>
          <w:szCs w:val="24"/>
          <w:lang w:val="es-ES_tradnl" w:eastAsia="es-ES_tradnl"/>
        </w:rPr>
        <w:t xml:space="preserve">Por tanto, el amparo de cumplimiento es uno de los múltiples amparos que conforman la garantía única de cumplimiento. Al tenor de lo preceptuado en el artículo 2.2.1.2.3.1.7. </w:t>
      </w:r>
      <w:r w:rsidRPr="00EF69F0">
        <w:rPr>
          <w:rFonts w:ascii="Arial" w:eastAsia="Times New Roman" w:hAnsi="Arial" w:cs="Arial"/>
          <w:bCs/>
          <w:i/>
          <w:iCs/>
          <w:color w:val="000000"/>
          <w:szCs w:val="24"/>
          <w:lang w:val="es-ES_tradnl" w:eastAsia="es-ES_tradnl"/>
        </w:rPr>
        <w:t>ibídem</w:t>
      </w:r>
      <w:r w:rsidRPr="00EF69F0">
        <w:rPr>
          <w:rFonts w:ascii="Arial" w:eastAsia="Times New Roman" w:hAnsi="Arial" w:cs="Arial"/>
          <w:bCs/>
          <w:color w:val="000000"/>
          <w:szCs w:val="24"/>
          <w:lang w:val="es-ES_tradnl" w:eastAsia="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bookmarkEnd w:id="10"/>
    <w:p w14:paraId="25733A89" w14:textId="78A6A731"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De otra parte, en relación con la vigencia de las garantías, el artículo 2.2.1.2.3.1.12. del citado Decreto señala expresamente que </w:t>
      </w:r>
      <w:r w:rsidR="002648FD">
        <w:rPr>
          <w:rFonts w:ascii="Arial" w:eastAsia="Times New Roman" w:hAnsi="Arial" w:cs="Arial"/>
          <w:bCs/>
          <w:i/>
          <w:iCs/>
          <w:color w:val="000000"/>
          <w:szCs w:val="24"/>
          <w:lang w:val="es-ES_tradnl" w:eastAsia="es-ES_tradnl"/>
        </w:rPr>
        <w:t>“</w:t>
      </w:r>
      <w:r w:rsidRPr="00EF69F0">
        <w:rPr>
          <w:rFonts w:ascii="Arial" w:eastAsia="Times New Roman" w:hAnsi="Arial" w:cs="Arial"/>
          <w:bCs/>
          <w:i/>
          <w:iCs/>
          <w:color w:val="000000"/>
          <w:szCs w:val="24"/>
          <w:lang w:val="es-ES_tradnl" w:eastAsia="es-ES_tradnl"/>
        </w:rPr>
        <w:t>[l]a garantía de cumplimiento del contrato debe tener una vigencia mínima hasta la liquidación del contrato</w:t>
      </w:r>
      <w:r w:rsidR="002648FD">
        <w:rPr>
          <w:rFonts w:ascii="Arial" w:eastAsia="Times New Roman" w:hAnsi="Arial" w:cs="Arial"/>
          <w:bCs/>
          <w:i/>
          <w:iCs/>
          <w:color w:val="000000"/>
          <w:szCs w:val="24"/>
          <w:lang w:val="es-ES_tradnl" w:eastAsia="es-ES_tradnl"/>
        </w:rPr>
        <w:t>”</w:t>
      </w:r>
      <w:r w:rsidRPr="00EF69F0">
        <w:rPr>
          <w:rFonts w:ascii="Arial" w:eastAsia="Times New Roman" w:hAnsi="Arial" w:cs="Arial"/>
          <w:bCs/>
          <w:i/>
          <w:iCs/>
          <w:color w:val="000000"/>
          <w:szCs w:val="24"/>
          <w:lang w:val="es-ES_tradnl" w:eastAsia="es-ES_tradnl"/>
        </w:rPr>
        <w:t>.</w:t>
      </w:r>
      <w:r w:rsidRPr="00EF69F0">
        <w:rPr>
          <w:rFonts w:ascii="Arial" w:eastAsia="Times New Roman" w:hAnsi="Arial" w:cs="Arial"/>
          <w:bCs/>
          <w:color w:val="000000"/>
          <w:szCs w:val="24"/>
          <w:lang w:val="es-ES_tradnl" w:eastAsia="es-ES_tradnl"/>
        </w:rPr>
        <w:t xml:space="preserve"> </w:t>
      </w:r>
    </w:p>
    <w:p w14:paraId="50994FF1" w14:textId="77777777"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Pr="00EF69F0">
        <w:rPr>
          <w:rFonts w:ascii="Arial" w:eastAsia="Times New Roman" w:hAnsi="Arial" w:cs="Arial"/>
          <w:bCs/>
          <w:i/>
          <w:iCs/>
          <w:color w:val="000000"/>
          <w:szCs w:val="24"/>
          <w:lang w:val="es-ES_tradnl" w:eastAsia="es-ES_tradnl"/>
        </w:rPr>
        <w:t>Ibídem</w:t>
      </w:r>
      <w:r w:rsidRPr="00EF69F0">
        <w:rPr>
          <w:rFonts w:ascii="Arial" w:eastAsia="Times New Roman" w:hAnsi="Arial" w:cs="Arial"/>
          <w:bCs/>
          <w:color w:val="000000"/>
          <w:szCs w:val="24"/>
          <w:lang w:val="es-ES_tradnl" w:eastAsia="es-ES_tradnl"/>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249CB6E8" w14:textId="58DA3C34"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Al respecto, en Concepto C-479 de esta Agencia, </w:t>
      </w:r>
      <w:r w:rsidR="00696E14">
        <w:rPr>
          <w:rFonts w:ascii="Arial" w:eastAsia="Times New Roman" w:hAnsi="Arial" w:cs="Arial"/>
          <w:bCs/>
          <w:color w:val="000000"/>
          <w:szCs w:val="24"/>
          <w:lang w:val="es-ES_tradnl" w:eastAsia="es-ES_tradnl"/>
        </w:rPr>
        <w:t>se</w:t>
      </w:r>
      <w:r w:rsidRPr="00EF69F0">
        <w:rPr>
          <w:rFonts w:ascii="Arial" w:eastAsia="Times New Roman" w:hAnsi="Arial" w:cs="Arial"/>
          <w:bCs/>
          <w:color w:val="000000"/>
          <w:szCs w:val="24"/>
          <w:lang w:val="es-ES_tradnl" w:eastAsia="es-ES_tradnl"/>
        </w:rPr>
        <w:t xml:space="preserve"> </w:t>
      </w:r>
      <w:r w:rsidR="00696E14" w:rsidRPr="00EF69F0">
        <w:rPr>
          <w:rFonts w:ascii="Arial" w:eastAsia="Times New Roman" w:hAnsi="Arial" w:cs="Arial"/>
          <w:bCs/>
          <w:color w:val="000000"/>
          <w:szCs w:val="24"/>
          <w:lang w:val="es-ES_tradnl" w:eastAsia="es-ES_tradnl"/>
        </w:rPr>
        <w:t>precisó</w:t>
      </w:r>
      <w:r w:rsidRPr="00EF69F0">
        <w:rPr>
          <w:rFonts w:ascii="Arial" w:eastAsia="Times New Roman" w:hAnsi="Arial" w:cs="Arial"/>
          <w:bCs/>
          <w:color w:val="000000"/>
          <w:szCs w:val="24"/>
          <w:lang w:val="es-ES_tradnl" w:eastAsia="es-ES_tradnl"/>
        </w:rPr>
        <w:t xml:space="preserve"> </w:t>
      </w:r>
      <w:r w:rsidR="00696E14">
        <w:rPr>
          <w:rFonts w:ascii="Arial" w:eastAsia="Times New Roman" w:hAnsi="Arial" w:cs="Arial"/>
          <w:bCs/>
          <w:color w:val="000000"/>
          <w:szCs w:val="24"/>
          <w:lang w:val="es-ES_tradnl" w:eastAsia="es-ES_tradnl"/>
        </w:rPr>
        <w:t xml:space="preserve">que hay </w:t>
      </w:r>
      <w:r w:rsidRPr="00EF69F0">
        <w:rPr>
          <w:rFonts w:ascii="Arial" w:eastAsia="Times New Roman" w:hAnsi="Arial" w:cs="Arial"/>
          <w:bCs/>
          <w:color w:val="000000"/>
          <w:szCs w:val="24"/>
          <w:lang w:val="es-ES_tradnl" w:eastAsia="es-ES_tradnl"/>
        </w:rPr>
        <w:t>dos conceptos jurídicos relevantes para comprender el alcance del artículo 2.2.1.2.3.1.12</w:t>
      </w:r>
      <w:r w:rsidR="00706EF5">
        <w:rPr>
          <w:rFonts w:ascii="Arial" w:eastAsia="Times New Roman" w:hAnsi="Arial" w:cs="Arial"/>
          <w:bCs/>
          <w:color w:val="000000"/>
          <w:szCs w:val="24"/>
          <w:lang w:val="es-ES_tradnl" w:eastAsia="es-ES_tradnl"/>
        </w:rPr>
        <w:t xml:space="preserve"> del Decreto 1082 de 2015</w:t>
      </w:r>
      <w:r w:rsidRPr="00EF69F0">
        <w:rPr>
          <w:rFonts w:ascii="Arial" w:eastAsia="Times New Roman" w:hAnsi="Arial" w:cs="Arial"/>
          <w:bCs/>
          <w:color w:val="000000"/>
          <w:szCs w:val="24"/>
          <w:lang w:val="es-ES_tradnl" w:eastAsia="es-ES_tradnl"/>
        </w:rPr>
        <w:t>.,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 como se pasa a explicar.</w:t>
      </w:r>
    </w:p>
    <w:p w14:paraId="2B219A67" w14:textId="51AE05AB" w:rsidR="00606090" w:rsidRPr="00EF69F0" w:rsidRDefault="00606090" w:rsidP="00606090">
      <w:pPr>
        <w:spacing w:after="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En relación con este aspecto, el artículo 1047 del Código de Comercio establece que la póliza debe expresar, entre otros, </w:t>
      </w:r>
      <w:r w:rsidR="002648FD">
        <w:rPr>
          <w:rFonts w:ascii="Arial" w:eastAsia="Times New Roman" w:hAnsi="Arial" w:cs="Arial"/>
          <w:bCs/>
          <w:i/>
          <w:iCs/>
          <w:color w:val="000000"/>
          <w:szCs w:val="24"/>
          <w:lang w:val="es-ES_tradnl" w:eastAsia="es-ES_tradnl"/>
        </w:rPr>
        <w:t>“</w:t>
      </w:r>
      <w:r w:rsidRPr="00EF69F0">
        <w:rPr>
          <w:rFonts w:ascii="Arial" w:eastAsia="Times New Roman" w:hAnsi="Arial" w:cs="Arial"/>
          <w:bCs/>
          <w:i/>
          <w:iCs/>
          <w:color w:val="000000"/>
          <w:szCs w:val="24"/>
          <w:lang w:val="es-ES_tradnl" w:eastAsia="es-ES_tradnl"/>
        </w:rPr>
        <w:t>ii) la vigencia del contrato, con indicación de las fechas y horas de iniciación y vencimiento, o el modo de determinar unas y otras</w:t>
      </w:r>
      <w:r w:rsidR="002648FD">
        <w:rPr>
          <w:rFonts w:ascii="Arial" w:eastAsia="Times New Roman" w:hAnsi="Arial" w:cs="Arial"/>
          <w:bCs/>
          <w:i/>
          <w:iCs/>
          <w:color w:val="000000"/>
          <w:szCs w:val="24"/>
          <w:lang w:val="es-ES_tradnl" w:eastAsia="es-ES_tradnl"/>
        </w:rPr>
        <w:t>”</w:t>
      </w:r>
      <w:r w:rsidRPr="00EF69F0">
        <w:rPr>
          <w:rFonts w:ascii="Arial" w:eastAsia="Times New Roman" w:hAnsi="Arial" w:cs="Arial"/>
          <w:bCs/>
          <w:i/>
          <w:iCs/>
          <w:color w:val="000000"/>
          <w:szCs w:val="24"/>
          <w:lang w:val="es-ES_tradnl" w:eastAsia="es-ES_tradnl"/>
        </w:rPr>
        <w:t>.</w:t>
      </w:r>
      <w:r w:rsidRPr="00EF69F0">
        <w:rPr>
          <w:rFonts w:ascii="Arial" w:eastAsia="Times New Roman" w:hAnsi="Arial" w:cs="Arial"/>
          <w:bCs/>
          <w:color w:val="000000"/>
          <w:szCs w:val="24"/>
          <w:lang w:val="es-ES_tradnl" w:eastAsia="es-ES_tradnl"/>
        </w:rPr>
        <w:t xml:space="preserve"> El Consejo de Estado se pronunció sobre esta disposición en los siguientes términos: </w:t>
      </w:r>
    </w:p>
    <w:p w14:paraId="432D3D21" w14:textId="77777777" w:rsidR="00606090" w:rsidRPr="00EF69F0" w:rsidRDefault="00606090" w:rsidP="00606090">
      <w:pPr>
        <w:spacing w:after="0" w:line="240" w:lineRule="auto"/>
        <w:ind w:left="709" w:right="758"/>
        <w:jc w:val="both"/>
        <w:rPr>
          <w:rFonts w:ascii="Arial" w:eastAsia="Times New Roman" w:hAnsi="Arial" w:cs="Arial"/>
          <w:bCs/>
          <w:color w:val="000000"/>
          <w:sz w:val="21"/>
          <w:szCs w:val="21"/>
          <w:lang w:val="es-ES_tradnl" w:eastAsia="es-ES_tradnl"/>
        </w:rPr>
      </w:pPr>
    </w:p>
    <w:p w14:paraId="398F016A" w14:textId="033B3F24" w:rsidR="00606090" w:rsidRPr="00EF69F0" w:rsidRDefault="002648FD" w:rsidP="00606090">
      <w:pPr>
        <w:spacing w:after="0" w:line="240" w:lineRule="auto"/>
        <w:ind w:left="709" w:right="758"/>
        <w:jc w:val="both"/>
        <w:rPr>
          <w:rFonts w:ascii="Arial" w:eastAsia="Times New Roman" w:hAnsi="Arial" w:cs="Arial"/>
          <w:bCs/>
          <w:color w:val="000000"/>
          <w:sz w:val="20"/>
          <w:szCs w:val="20"/>
          <w:lang w:val="es-ES_tradnl" w:eastAsia="es-ES_tradnl"/>
        </w:rPr>
      </w:pPr>
      <w:r>
        <w:rPr>
          <w:rFonts w:ascii="Arial" w:eastAsia="Times New Roman" w:hAnsi="Arial" w:cs="Arial"/>
          <w:bCs/>
          <w:color w:val="000000"/>
          <w:sz w:val="20"/>
          <w:szCs w:val="20"/>
          <w:lang w:val="es-ES_tradnl" w:eastAsia="es-ES_tradnl"/>
        </w:rPr>
        <w:t>“</w:t>
      </w:r>
      <w:r w:rsidR="00606090" w:rsidRPr="00EF69F0">
        <w:rPr>
          <w:rFonts w:ascii="Arial" w:eastAsia="Times New Roman" w:hAnsi="Arial" w:cs="Arial"/>
          <w:bCs/>
          <w:color w:val="000000"/>
          <w:sz w:val="20"/>
          <w:szCs w:val="20"/>
          <w:lang w:val="es-ES_tradnl" w:eastAsia="es-ES_tradnl"/>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00606090" w:rsidRPr="00EF69F0">
        <w:rPr>
          <w:rFonts w:ascii="Arial" w:eastAsia="Times New Roman" w:hAnsi="Arial" w:cs="Arial"/>
          <w:bCs/>
          <w:color w:val="000000"/>
          <w:sz w:val="20"/>
          <w:szCs w:val="20"/>
          <w:vertAlign w:val="superscript"/>
          <w:lang w:val="es-ES_tradnl" w:eastAsia="es-ES_tradnl"/>
        </w:rPr>
        <w:footnoteReference w:id="22"/>
      </w:r>
      <w:r w:rsidR="00606090" w:rsidRPr="00EF69F0">
        <w:rPr>
          <w:rFonts w:ascii="Arial" w:eastAsia="Times New Roman" w:hAnsi="Arial" w:cs="Arial"/>
          <w:bCs/>
          <w:color w:val="000000"/>
          <w:sz w:val="20"/>
          <w:szCs w:val="20"/>
          <w:lang w:val="es-ES_tradnl" w:eastAsia="es-ES_tradnl"/>
        </w:rPr>
        <w:t>.</w:t>
      </w:r>
      <w:r>
        <w:rPr>
          <w:rFonts w:ascii="Arial" w:eastAsia="Times New Roman" w:hAnsi="Arial" w:cs="Arial"/>
          <w:bCs/>
          <w:color w:val="000000"/>
          <w:sz w:val="20"/>
          <w:szCs w:val="20"/>
          <w:lang w:val="es-ES_tradnl" w:eastAsia="es-ES_tradnl"/>
        </w:rPr>
        <w:t>”</w:t>
      </w:r>
      <w:r w:rsidR="00606090" w:rsidRPr="00EF69F0">
        <w:rPr>
          <w:rFonts w:ascii="Arial" w:eastAsia="Times New Roman" w:hAnsi="Arial" w:cs="Arial"/>
          <w:bCs/>
          <w:color w:val="000000"/>
          <w:sz w:val="20"/>
          <w:szCs w:val="20"/>
          <w:lang w:val="es-ES_tradnl" w:eastAsia="es-ES_tradnl"/>
        </w:rPr>
        <w:t xml:space="preserve"> </w:t>
      </w:r>
    </w:p>
    <w:p w14:paraId="3E3624F6" w14:textId="77777777" w:rsidR="00606090" w:rsidRPr="00EF69F0" w:rsidRDefault="00606090" w:rsidP="00606090">
      <w:pPr>
        <w:spacing w:after="0" w:line="240" w:lineRule="auto"/>
        <w:ind w:left="709" w:right="758"/>
        <w:jc w:val="both"/>
        <w:rPr>
          <w:rFonts w:ascii="Arial" w:eastAsia="Times New Roman" w:hAnsi="Arial" w:cs="Arial"/>
          <w:bCs/>
          <w:color w:val="000000"/>
          <w:sz w:val="21"/>
          <w:szCs w:val="21"/>
          <w:lang w:val="es-ES_tradnl" w:eastAsia="es-ES_tradnl"/>
        </w:rPr>
      </w:pPr>
    </w:p>
    <w:p w14:paraId="3E34C8F5" w14:textId="59B332F3"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Resulta claro que el riesgo que se traslada al garante solamente será aquel que se realice dentro del plazo de vigencia de</w:t>
      </w:r>
      <w:r w:rsidR="00A80826">
        <w:rPr>
          <w:rFonts w:ascii="Arial" w:eastAsia="Times New Roman" w:hAnsi="Arial" w:cs="Arial"/>
          <w:bCs/>
          <w:color w:val="000000"/>
          <w:szCs w:val="24"/>
          <w:lang w:val="es-ES_tradnl" w:eastAsia="es-ES_tradnl"/>
        </w:rPr>
        <w:t xml:space="preserve"> la garantía</w:t>
      </w:r>
      <w:r w:rsidRPr="00EF69F0">
        <w:rPr>
          <w:rFonts w:ascii="Arial" w:eastAsia="Times New Roman" w:hAnsi="Arial" w:cs="Arial"/>
          <w:bCs/>
          <w:color w:val="000000"/>
          <w:szCs w:val="24"/>
          <w:lang w:val="es-ES_tradnl" w:eastAsia="es-ES_tradnl"/>
        </w:rPr>
        <w:t xml:space="preserve">,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0A0E45CF" w14:textId="77777777"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Sin perjuicio de lo anterior, el vencimiento del plazo de ejecución del contrato, cuando es suspensivo, sin que el contratista haya ejecutado sus obligaciones, también es determinante para constatar el incumplimiento del contratista. La apreciación general anterior, según lo explicado, indica que muchos de los incumplimientos pueden darse durante la ejecución del contrato, pero es posible que este también ocurra una vez vencido el plazo de ejecución.</w:t>
      </w:r>
    </w:p>
    <w:p w14:paraId="6098D1C4" w14:textId="77777777" w:rsidR="00606090" w:rsidRPr="00EF69F0" w:rsidRDefault="00606090" w:rsidP="0060609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Ahora bien, volviendo sobre la vigencia de la garantía de cumplimiento, en cuanto al amparo de cumplimiento del contrato, la norma reglamentaria citada con anterioridad es clara y exige que la garantía permanezca vigente hasta la liquidación del contrato, esto es, más allá del plazo de ejecución y de vigencia del contrato estatal. Por tanto, en virtud de dicha disposición, el contratista debe cumplir con la obligación consistente en mantener la vigencia mínima del amparo de cumplimiento hasta la liquidación del contrato. </w:t>
      </w:r>
    </w:p>
    <w:p w14:paraId="61B4358D" w14:textId="75D4FFD7" w:rsidR="00606090" w:rsidRPr="00EF69F0" w:rsidRDefault="00606090" w:rsidP="00606090">
      <w:pPr>
        <w:spacing w:after="12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Bajo estas consideraciones, existe la obligación por parte del contratista de mantener la vigencia de la garantía de cumplimiento, en cuanto al amparo de cumplimiento del contrato, hasta la liquidación del contrato</w:t>
      </w:r>
      <w:r w:rsidR="00EF089D">
        <w:rPr>
          <w:rFonts w:ascii="Arial" w:eastAsia="Times New Roman" w:hAnsi="Arial" w:cs="Arial"/>
          <w:bCs/>
          <w:color w:val="000000"/>
          <w:szCs w:val="24"/>
          <w:lang w:eastAsia="es-ES_tradnl"/>
        </w:rPr>
        <w:t xml:space="preserve">, </w:t>
      </w:r>
      <w:r w:rsidRPr="00EF69F0">
        <w:rPr>
          <w:rFonts w:ascii="Arial" w:eastAsia="Times New Roman" w:hAnsi="Arial" w:cs="Arial"/>
          <w:bCs/>
          <w:color w:val="000000"/>
          <w:szCs w:val="24"/>
          <w:lang w:eastAsia="es-ES_tradnl"/>
        </w:rPr>
        <w:t xml:space="preserve">para lo cual se deberá tener en cuenta lo dispuesto por el artículo 11 de la Ley 1150 de 2007, según el cual </w:t>
      </w:r>
      <w:r w:rsidRPr="00EF69F0">
        <w:rPr>
          <w:rFonts w:ascii="Arial" w:eastAsia="Times New Roman" w:hAnsi="Arial" w:cs="Arial"/>
          <w:bCs/>
          <w:color w:val="000000"/>
          <w:szCs w:val="24"/>
          <w:lang w:val="es-ES_tradnl" w:eastAsia="es-ES_tradnl"/>
        </w:rPr>
        <w:t>la liquidación de los contratos se hará de mutuo acuerdo dentro del término fijado en los pliegos de condiciones o sus equivalentes o</w:t>
      </w:r>
      <w:r w:rsidR="004053D1">
        <w:rPr>
          <w:rFonts w:ascii="Arial" w:eastAsia="Times New Roman" w:hAnsi="Arial" w:cs="Arial"/>
          <w:bCs/>
          <w:color w:val="000000"/>
          <w:szCs w:val="24"/>
          <w:lang w:val="es-ES_tradnl" w:eastAsia="es-ES_tradnl"/>
        </w:rPr>
        <w:t xml:space="preserve"> </w:t>
      </w:r>
      <w:r w:rsidRPr="00EF69F0">
        <w:rPr>
          <w:rFonts w:ascii="Arial" w:eastAsia="Times New Roman" w:hAnsi="Arial" w:cs="Arial"/>
          <w:bCs/>
          <w:color w:val="000000"/>
          <w:szCs w:val="24"/>
          <w:lang w:val="es-ES_tradnl" w:eastAsia="es-ES_tradnl"/>
        </w:rPr>
        <w:t>dentro del que acuerden las partes para el efecto</w:t>
      </w:r>
      <w:r w:rsidRPr="00EF69F0">
        <w:rPr>
          <w:rFonts w:ascii="Arial" w:eastAsia="Times New Roman" w:hAnsi="Arial" w:cs="Arial"/>
          <w:bCs/>
          <w:color w:val="000000"/>
          <w:szCs w:val="24"/>
          <w:lang w:eastAsia="es-ES_tradnl"/>
        </w:rPr>
        <w:t xml:space="preserve"> o en su ausencia, el término supletivo establecido para la liquidación bilateral de 4 meses</w:t>
      </w:r>
      <w:r w:rsidR="00A458E8">
        <w:rPr>
          <w:rFonts w:ascii="Arial" w:eastAsia="Times New Roman" w:hAnsi="Arial" w:cs="Arial"/>
          <w:bCs/>
          <w:color w:val="000000"/>
          <w:szCs w:val="24"/>
          <w:lang w:eastAsia="es-ES_tradnl"/>
        </w:rPr>
        <w:t xml:space="preserve"> a partir de la terminación del contrato,</w:t>
      </w:r>
      <w:r w:rsidRPr="00EF69F0">
        <w:rPr>
          <w:rFonts w:ascii="Arial" w:eastAsia="Times New Roman" w:hAnsi="Arial" w:cs="Arial"/>
          <w:bCs/>
          <w:color w:val="000000"/>
          <w:szCs w:val="24"/>
          <w:lang w:eastAsia="es-ES_tradnl"/>
        </w:rPr>
        <w:t xml:space="preserve">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59774AE5" w14:textId="77777777" w:rsidR="00606090" w:rsidRPr="00EF69F0" w:rsidRDefault="00606090" w:rsidP="00606090">
      <w:pPr>
        <w:spacing w:after="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EF69F0">
        <w:rPr>
          <w:rFonts w:ascii="Arial" w:eastAsia="Times New Roman" w:hAnsi="Arial" w:cs="Arial"/>
          <w:bCs/>
          <w:color w:val="000000"/>
          <w:szCs w:val="24"/>
          <w:lang w:val="es-ES_tradnl" w:eastAsia="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508129E1" w14:textId="77777777" w:rsidR="00606090" w:rsidRPr="00EF69F0" w:rsidRDefault="00606090" w:rsidP="00606090">
      <w:pPr>
        <w:tabs>
          <w:tab w:val="left" w:pos="0"/>
          <w:tab w:val="left" w:pos="2190"/>
          <w:tab w:val="left" w:pos="6645"/>
        </w:tabs>
        <w:spacing w:after="0" w:line="276" w:lineRule="auto"/>
        <w:jc w:val="both"/>
        <w:rPr>
          <w:rFonts w:ascii="Arial" w:eastAsia="Calibri" w:hAnsi="Arial" w:cs="Arial"/>
          <w:bCs/>
          <w:szCs w:val="24"/>
          <w:lang w:val="es-ES_tradnl" w:eastAsia="es-ES_tradnl"/>
        </w:rPr>
      </w:pPr>
      <w:r w:rsidRPr="00EF69F0">
        <w:rPr>
          <w:rFonts w:ascii="Arial" w:eastAsia="Calibri" w:hAnsi="Arial" w:cs="Arial"/>
          <w:bCs/>
          <w:szCs w:val="24"/>
          <w:lang w:val="es-ES_tradnl" w:eastAsia="es-ES_tradnl"/>
        </w:rPr>
        <w:tab/>
      </w:r>
      <w:r w:rsidRPr="00EF69F0">
        <w:rPr>
          <w:rFonts w:ascii="Arial" w:eastAsia="Calibri" w:hAnsi="Arial" w:cs="Arial"/>
          <w:bCs/>
          <w:szCs w:val="24"/>
          <w:lang w:val="es-ES_tradnl" w:eastAsia="es-ES_tradnl"/>
        </w:rPr>
        <w:tab/>
      </w:r>
    </w:p>
    <w:p w14:paraId="06306BCB" w14:textId="77777777" w:rsidR="00606090" w:rsidRPr="00EF69F0" w:rsidRDefault="00606090" w:rsidP="00606090">
      <w:pPr>
        <w:tabs>
          <w:tab w:val="left" w:pos="0"/>
        </w:tabs>
        <w:spacing w:after="0" w:line="240" w:lineRule="auto"/>
        <w:jc w:val="both"/>
        <w:rPr>
          <w:rFonts w:ascii="Arial" w:eastAsia="Calibri" w:hAnsi="Arial" w:cs="Arial"/>
          <w:b/>
          <w:color w:val="000000"/>
          <w:szCs w:val="24"/>
          <w:lang w:val="es-ES_tradnl" w:eastAsia="es-ES_tradnl"/>
        </w:rPr>
      </w:pPr>
      <w:r w:rsidRPr="00EF69F0">
        <w:rPr>
          <w:rFonts w:ascii="Arial" w:eastAsia="Calibri" w:hAnsi="Arial" w:cs="Arial"/>
          <w:b/>
          <w:color w:val="000000"/>
          <w:szCs w:val="24"/>
          <w:lang w:val="es-ES_tradnl" w:eastAsia="es-ES_tradnl"/>
        </w:rPr>
        <w:t>3. Respuesta</w:t>
      </w:r>
    </w:p>
    <w:p w14:paraId="0AA3F010" w14:textId="77777777" w:rsidR="00606090" w:rsidRPr="00EF69F0" w:rsidRDefault="00606090" w:rsidP="00606090">
      <w:pPr>
        <w:spacing w:after="0" w:line="276" w:lineRule="auto"/>
        <w:jc w:val="both"/>
        <w:rPr>
          <w:rFonts w:ascii="Arial" w:eastAsia="Times New Roman" w:hAnsi="Arial" w:cs="Arial"/>
          <w:bCs/>
          <w:lang w:eastAsia="es-ES_tradnl"/>
        </w:rPr>
      </w:pPr>
    </w:p>
    <w:p w14:paraId="19016EDD" w14:textId="031B014D" w:rsidR="00CB7090" w:rsidRPr="002648FD" w:rsidRDefault="00CB7090" w:rsidP="00CB7090">
      <w:pPr>
        <w:spacing w:after="0" w:line="240" w:lineRule="auto"/>
        <w:ind w:left="709" w:right="709"/>
        <w:jc w:val="both"/>
        <w:rPr>
          <w:rFonts w:ascii="Arial" w:eastAsia="Times New Roman" w:hAnsi="Arial" w:cs="Arial"/>
          <w:bCs/>
          <w:sz w:val="21"/>
          <w:szCs w:val="21"/>
          <w:lang w:val="es-ES" w:eastAsia="es-ES_tradnl"/>
        </w:rPr>
      </w:pPr>
      <w:r w:rsidRPr="002648FD">
        <w:rPr>
          <w:rFonts w:ascii="Arial" w:eastAsia="Times New Roman" w:hAnsi="Arial" w:cs="Arial"/>
          <w:bCs/>
          <w:sz w:val="21"/>
          <w:szCs w:val="21"/>
          <w:lang w:val="es-ES" w:eastAsia="es-ES_tradnl"/>
        </w:rPr>
        <w:t>“[…] la entidad y el contratista acordaron realizar la liquidación bilateral del contrato sin salvedades (El contratista cumplió con sus obligaciones contractuales). ¿ES NECESARIO QUE EL CONTRATISTA REALICE LA ACTUALIZACIÓN DE PÓLIZAS PARA CONTAR CON VIGENCIA DEL AMPARO DE CUMPLIMIENTO?</w:t>
      </w:r>
      <w:r w:rsidR="005A48B6">
        <w:rPr>
          <w:rFonts w:ascii="Arial" w:eastAsia="Times New Roman" w:hAnsi="Arial" w:cs="Arial"/>
          <w:bCs/>
          <w:sz w:val="21"/>
          <w:szCs w:val="21"/>
          <w:lang w:val="es-ES" w:eastAsia="es-ES_tradnl"/>
        </w:rPr>
        <w:t>”</w:t>
      </w:r>
      <w:r w:rsidR="00590822">
        <w:rPr>
          <w:rFonts w:ascii="Arial" w:eastAsia="Times New Roman" w:hAnsi="Arial" w:cs="Arial"/>
          <w:bCs/>
          <w:sz w:val="21"/>
          <w:szCs w:val="21"/>
          <w:lang w:val="es-ES" w:eastAsia="es-ES_tradnl"/>
        </w:rPr>
        <w:t xml:space="preserve"> (Sic)</w:t>
      </w:r>
    </w:p>
    <w:p w14:paraId="5C4DFF9B" w14:textId="77777777" w:rsidR="005A48B6" w:rsidRDefault="005A48B6" w:rsidP="00CB7090">
      <w:pPr>
        <w:spacing w:after="0" w:line="240" w:lineRule="auto"/>
        <w:ind w:left="709" w:right="709"/>
        <w:jc w:val="both"/>
        <w:rPr>
          <w:rFonts w:ascii="Arial" w:eastAsia="Times New Roman" w:hAnsi="Arial" w:cs="Arial"/>
          <w:bCs/>
          <w:sz w:val="21"/>
          <w:szCs w:val="21"/>
          <w:lang w:val="es-ES" w:eastAsia="es-ES_tradnl"/>
        </w:rPr>
      </w:pPr>
    </w:p>
    <w:p w14:paraId="782A2383" w14:textId="207A5A2B" w:rsidR="00522B18" w:rsidRPr="00EF69F0" w:rsidRDefault="00522B18" w:rsidP="00522B18">
      <w:pPr>
        <w:spacing w:after="120" w:line="276" w:lineRule="auto"/>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De acuerdo con el artículo</w:t>
      </w:r>
      <w:r w:rsidR="008966AC">
        <w:rPr>
          <w:rFonts w:ascii="Arial" w:eastAsia="Times New Roman" w:hAnsi="Arial" w:cs="Arial"/>
          <w:bCs/>
          <w:color w:val="000000"/>
          <w:szCs w:val="24"/>
          <w:lang w:eastAsia="es-ES_tradnl"/>
        </w:rPr>
        <w:t xml:space="preserve"> </w:t>
      </w:r>
      <w:r w:rsidRPr="00EF69F0">
        <w:rPr>
          <w:rFonts w:ascii="Arial" w:eastAsia="Times New Roman" w:hAnsi="Arial" w:cs="Arial"/>
          <w:bCs/>
          <w:color w:val="000000"/>
          <w:szCs w:val="24"/>
          <w:lang w:eastAsia="es-ES_tradnl"/>
        </w:rPr>
        <w:t xml:space="preserve">2.2.1.2.3.1.12. del Decreto 1082 de 2015, existe la obligación por parte del contratista de mantener la vigencia de la garantía de cumplimiento, en cuanto al amparo de cumplimiento del contrato, hasta el momento en que se realice la liquidación del contrato, para lo cual se deberá tener en cuenta lo dispuesto por el artículo 11 de la Ley 1150 de 2007, según el cual </w:t>
      </w:r>
      <w:r w:rsidRPr="00EF69F0">
        <w:rPr>
          <w:rFonts w:ascii="Arial" w:eastAsia="Times New Roman" w:hAnsi="Arial" w:cs="Arial"/>
          <w:bCs/>
          <w:color w:val="000000"/>
          <w:szCs w:val="24"/>
          <w:lang w:val="es-ES_tradnl" w:eastAsia="es-ES_tradnl"/>
        </w:rPr>
        <w:t>la liquidación de los contratos se hará de mutuo acuerdo dentro del término fijado en los pliegos de condiciones o sus equivalentes o</w:t>
      </w:r>
      <w:r>
        <w:rPr>
          <w:rFonts w:ascii="Arial" w:eastAsia="Times New Roman" w:hAnsi="Arial" w:cs="Arial"/>
          <w:bCs/>
          <w:color w:val="000000"/>
          <w:szCs w:val="24"/>
          <w:lang w:val="es-ES_tradnl" w:eastAsia="es-ES_tradnl"/>
        </w:rPr>
        <w:t xml:space="preserve"> </w:t>
      </w:r>
      <w:r w:rsidRPr="00EF69F0">
        <w:rPr>
          <w:rFonts w:ascii="Arial" w:eastAsia="Times New Roman" w:hAnsi="Arial" w:cs="Arial"/>
          <w:bCs/>
          <w:color w:val="000000"/>
          <w:szCs w:val="24"/>
          <w:lang w:val="es-ES_tradnl" w:eastAsia="es-ES_tradnl"/>
        </w:rPr>
        <w:t>dentro del que acuerden las partes para el efecto</w:t>
      </w:r>
      <w:r w:rsidRPr="00EF69F0">
        <w:rPr>
          <w:rFonts w:ascii="Arial" w:eastAsia="Times New Roman" w:hAnsi="Arial" w:cs="Arial"/>
          <w:bCs/>
          <w:color w:val="000000"/>
          <w:szCs w:val="24"/>
          <w:lang w:eastAsia="es-ES_tradnl"/>
        </w:rPr>
        <w:t xml:space="preserve">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03A14EE8" w14:textId="77777777" w:rsidR="00522B18" w:rsidRPr="00EF69F0" w:rsidRDefault="00522B18" w:rsidP="00522B18">
      <w:pPr>
        <w:widowControl w:val="0"/>
        <w:autoSpaceDE w:val="0"/>
        <w:autoSpaceDN w:val="0"/>
        <w:spacing w:after="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EF69F0">
        <w:rPr>
          <w:rFonts w:ascii="Arial" w:eastAsia="Times New Roman" w:hAnsi="Arial" w:cs="Arial"/>
          <w:bCs/>
          <w:color w:val="000000"/>
          <w:szCs w:val="24"/>
          <w:lang w:val="es-ES_tradnl" w:eastAsia="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5E5CC690" w14:textId="54F3E4D7" w:rsidR="00522B18" w:rsidRDefault="00522B18" w:rsidP="00522B18">
      <w:pPr>
        <w:spacing w:before="120" w:after="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Por lo tanto, la vigencia de dicha garantía no entra dentro del ámbito de discrecionalidad de la entidad contratante y, de este modo, es necesario concluir que la garantía debe mantenerse vigente durante los plazos dispuestos en el artículo </w:t>
      </w:r>
      <w:r w:rsidRPr="00EF69F0">
        <w:rPr>
          <w:rFonts w:ascii="Arial" w:eastAsia="Times New Roman" w:hAnsi="Arial" w:cs="Arial"/>
          <w:bCs/>
          <w:color w:val="000000"/>
          <w:szCs w:val="24"/>
          <w:lang w:eastAsia="es-ES_tradnl"/>
        </w:rPr>
        <w:t xml:space="preserve">11 de la ley 1150 de 2007 </w:t>
      </w:r>
      <w:r w:rsidRPr="00EF69F0">
        <w:rPr>
          <w:rFonts w:ascii="Arial" w:eastAsia="Times New Roman" w:hAnsi="Arial" w:cs="Arial"/>
          <w:bCs/>
          <w:color w:val="000000"/>
          <w:szCs w:val="24"/>
          <w:lang w:val="es-ES_tradnl" w:eastAsia="es-ES_tradnl"/>
        </w:rPr>
        <w:t>para la liquidación</w:t>
      </w:r>
      <w:r w:rsidR="00CA19A1">
        <w:rPr>
          <w:rFonts w:ascii="Arial" w:eastAsia="Times New Roman" w:hAnsi="Arial" w:cs="Arial"/>
          <w:bCs/>
          <w:color w:val="000000"/>
          <w:szCs w:val="24"/>
          <w:lang w:val="es-ES_tradnl" w:eastAsia="es-ES_tradnl"/>
        </w:rPr>
        <w:t xml:space="preserve"> del contrato</w:t>
      </w:r>
      <w:r w:rsidRPr="00EF69F0">
        <w:rPr>
          <w:rFonts w:ascii="Arial" w:eastAsia="Times New Roman" w:hAnsi="Arial" w:cs="Arial"/>
          <w:bCs/>
          <w:color w:val="000000"/>
          <w:szCs w:val="24"/>
          <w:lang w:val="es-ES_tradnl" w:eastAsia="es-ES_tradnl"/>
        </w:rPr>
        <w:t>.</w:t>
      </w:r>
    </w:p>
    <w:p w14:paraId="1F37196D" w14:textId="77777777" w:rsidR="005A48B6" w:rsidRPr="002648FD" w:rsidRDefault="005A48B6" w:rsidP="00CB7090">
      <w:pPr>
        <w:spacing w:after="0" w:line="240" w:lineRule="auto"/>
        <w:ind w:left="709" w:right="709"/>
        <w:jc w:val="both"/>
        <w:rPr>
          <w:rFonts w:ascii="Arial" w:eastAsia="Times New Roman" w:hAnsi="Arial" w:cs="Arial"/>
          <w:bCs/>
          <w:sz w:val="21"/>
          <w:szCs w:val="21"/>
          <w:lang w:val="es-ES" w:eastAsia="es-ES_tradnl"/>
        </w:rPr>
      </w:pPr>
    </w:p>
    <w:p w14:paraId="0A2775A5" w14:textId="7B893585" w:rsidR="00CB7090" w:rsidRPr="002648FD" w:rsidRDefault="005A48B6" w:rsidP="00CB7090">
      <w:pPr>
        <w:spacing w:after="0" w:line="240" w:lineRule="auto"/>
        <w:ind w:left="709" w:right="709"/>
        <w:jc w:val="both"/>
        <w:rPr>
          <w:rFonts w:ascii="Arial" w:eastAsia="Times New Roman" w:hAnsi="Arial" w:cs="Arial"/>
          <w:bCs/>
          <w:sz w:val="21"/>
          <w:szCs w:val="21"/>
          <w:lang w:eastAsia="es-ES_tradnl"/>
        </w:rPr>
      </w:pPr>
      <w:r>
        <w:rPr>
          <w:rFonts w:ascii="Arial" w:eastAsia="Times New Roman" w:hAnsi="Arial" w:cs="Arial"/>
          <w:bCs/>
          <w:sz w:val="21"/>
          <w:szCs w:val="21"/>
          <w:lang w:val="es-ES" w:eastAsia="es-ES_tradnl"/>
        </w:rPr>
        <w:t>“</w:t>
      </w:r>
      <w:r w:rsidRPr="002648FD">
        <w:rPr>
          <w:rFonts w:ascii="Arial" w:eastAsia="Times New Roman" w:hAnsi="Arial" w:cs="Arial"/>
          <w:bCs/>
          <w:sz w:val="21"/>
          <w:szCs w:val="21"/>
          <w:lang w:val="es-ES" w:eastAsia="es-ES_tradnl"/>
        </w:rPr>
        <w:t>[…</w:t>
      </w:r>
      <w:r>
        <w:rPr>
          <w:rFonts w:ascii="Arial" w:eastAsia="Times New Roman" w:hAnsi="Arial" w:cs="Arial"/>
          <w:bCs/>
          <w:sz w:val="21"/>
          <w:szCs w:val="21"/>
          <w:lang w:val="es-ES" w:eastAsia="es-ES_tradnl"/>
        </w:rPr>
        <w:t xml:space="preserve"> </w:t>
      </w:r>
      <w:r w:rsidRPr="002648FD">
        <w:rPr>
          <w:rFonts w:ascii="Arial" w:eastAsia="Times New Roman" w:hAnsi="Arial" w:cs="Arial"/>
          <w:bCs/>
          <w:sz w:val="21"/>
          <w:szCs w:val="21"/>
          <w:lang w:val="es-ES" w:eastAsia="es-ES_tradnl"/>
        </w:rPr>
        <w:t>]</w:t>
      </w:r>
      <w:r>
        <w:rPr>
          <w:rFonts w:ascii="Arial" w:eastAsia="Times New Roman" w:hAnsi="Arial" w:cs="Arial"/>
          <w:bCs/>
          <w:sz w:val="21"/>
          <w:szCs w:val="21"/>
          <w:lang w:val="es-ES" w:eastAsia="es-ES_tradnl"/>
        </w:rPr>
        <w:t xml:space="preserve"> </w:t>
      </w:r>
      <w:r w:rsidR="00CB7090" w:rsidRPr="002648FD">
        <w:rPr>
          <w:rStyle w:val="markedcontent"/>
          <w:rFonts w:ascii="Arial" w:hAnsi="Arial" w:cs="Arial"/>
          <w:sz w:val="21"/>
          <w:szCs w:val="21"/>
        </w:rPr>
        <w:t>En ese caso si sumamos los 6 meses para liquidación bilateral o unilateral más los 2 años para liquidación bilateral, unilateral o judicial, lo que suma 30 meses para perdida de competencia para liquidar. Así las cosas, surge la siguiente pregunta: ¿LOS 30 MESES SE CONTABILIZAN DESDE LA TERMINACIÓN DEL PLAZO CONTRACTUAL O DESDE LA SUSCRIPCIÓN DEL ACTA DE RECIBO FINAL?” (Sic).</w:t>
      </w:r>
    </w:p>
    <w:p w14:paraId="4E3D5AD2" w14:textId="2406393D" w:rsidR="00606090" w:rsidRPr="00EF69F0" w:rsidRDefault="00606090" w:rsidP="00606090">
      <w:pPr>
        <w:autoSpaceDE w:val="0"/>
        <w:autoSpaceDN w:val="0"/>
        <w:adjustRightInd w:val="0"/>
        <w:spacing w:after="0" w:line="240" w:lineRule="auto"/>
        <w:ind w:left="709" w:right="709"/>
        <w:jc w:val="both"/>
        <w:rPr>
          <w:rFonts w:ascii="Arial" w:eastAsia="Times New Roman" w:hAnsi="Arial" w:cs="Arial"/>
          <w:bCs/>
          <w:sz w:val="20"/>
          <w:szCs w:val="20"/>
          <w:lang w:val="es-ES" w:eastAsia="es-ES_tradnl"/>
        </w:rPr>
      </w:pPr>
    </w:p>
    <w:p w14:paraId="0D78D11A" w14:textId="6E2C9BD4" w:rsidR="000D5930" w:rsidRPr="00EF69F0" w:rsidRDefault="00606090" w:rsidP="000D5930">
      <w:pPr>
        <w:spacing w:after="120" w:line="276" w:lineRule="auto"/>
        <w:jc w:val="both"/>
        <w:rPr>
          <w:rFonts w:ascii="Arial" w:eastAsia="Calibri" w:hAnsi="Arial" w:cs="Arial"/>
          <w:color w:val="000000"/>
          <w:lang w:val="es-ES_tradnl"/>
        </w:rPr>
      </w:pPr>
      <w:r w:rsidRPr="6C2B77A5">
        <w:rPr>
          <w:rFonts w:ascii="Arial" w:eastAsia="Times New Roman" w:hAnsi="Arial" w:cs="Arial"/>
          <w:color w:val="201F1E"/>
          <w:bdr w:val="none" w:sz="0" w:space="0" w:color="auto" w:frame="1"/>
          <w:shd w:val="clear" w:color="auto" w:fill="FFFFFF"/>
          <w:lang w:eastAsia="es-ES"/>
        </w:rPr>
        <w:t xml:space="preserve">Con base en las consideraciones </w:t>
      </w:r>
      <w:r w:rsidR="0086045E">
        <w:rPr>
          <w:rFonts w:ascii="Arial" w:eastAsia="Times New Roman" w:hAnsi="Arial" w:cs="Arial"/>
          <w:color w:val="201F1E"/>
          <w:bdr w:val="none" w:sz="0" w:space="0" w:color="auto" w:frame="1"/>
          <w:shd w:val="clear" w:color="auto" w:fill="FFFFFF"/>
          <w:lang w:eastAsia="es-ES"/>
        </w:rPr>
        <w:t>expuestas</w:t>
      </w:r>
      <w:r w:rsidRPr="6C2B77A5">
        <w:rPr>
          <w:rFonts w:ascii="Arial" w:eastAsia="Times New Roman" w:hAnsi="Arial" w:cs="Arial"/>
          <w:color w:val="201F1E"/>
          <w:bdr w:val="none" w:sz="0" w:space="0" w:color="auto" w:frame="1"/>
          <w:shd w:val="clear" w:color="auto" w:fill="FFFFFF"/>
          <w:lang w:eastAsia="es-ES"/>
        </w:rPr>
        <w:t xml:space="preserve">, es posible afirmar que el proceso de liquidación cuenta con unos plazos específicos </w:t>
      </w:r>
      <w:r w:rsidR="00FE54B8">
        <w:rPr>
          <w:rFonts w:ascii="Arial" w:eastAsia="Times New Roman" w:hAnsi="Arial" w:cs="Arial"/>
          <w:color w:val="201F1E"/>
          <w:bdr w:val="none" w:sz="0" w:space="0" w:color="auto" w:frame="1"/>
          <w:shd w:val="clear" w:color="auto" w:fill="FFFFFF"/>
          <w:lang w:eastAsia="es-ES"/>
        </w:rPr>
        <w:t>dispuesto</w:t>
      </w:r>
      <w:r w:rsidRPr="6C2B77A5">
        <w:rPr>
          <w:rFonts w:ascii="Arial" w:eastAsia="Times New Roman" w:hAnsi="Arial" w:cs="Arial"/>
          <w:color w:val="201F1E"/>
          <w:bdr w:val="none" w:sz="0" w:space="0" w:color="auto" w:frame="1"/>
          <w:shd w:val="clear" w:color="auto" w:fill="FFFFFF"/>
          <w:lang w:eastAsia="es-ES"/>
        </w:rPr>
        <w:t>s por el artículo 11 de la Ley 1150 de 2007</w:t>
      </w:r>
      <w:r w:rsidR="00C86AFA">
        <w:rPr>
          <w:rFonts w:ascii="Arial" w:eastAsia="Times New Roman" w:hAnsi="Arial" w:cs="Arial"/>
          <w:color w:val="201F1E"/>
          <w:bdr w:val="none" w:sz="0" w:space="0" w:color="auto" w:frame="1"/>
          <w:shd w:val="clear" w:color="auto" w:fill="FFFFFF"/>
          <w:lang w:eastAsia="es-ES"/>
        </w:rPr>
        <w:t>. El primero de ellos corresponde a</w:t>
      </w:r>
      <w:r w:rsidRPr="6C2B77A5">
        <w:rPr>
          <w:rFonts w:ascii="Arial" w:eastAsia="Times New Roman" w:hAnsi="Arial" w:cs="Arial"/>
          <w:color w:val="201F1E"/>
          <w:bdr w:val="none" w:sz="0" w:space="0" w:color="auto" w:frame="1"/>
          <w:shd w:val="clear" w:color="auto" w:fill="FFFFFF"/>
          <w:lang w:eastAsia="es-ES"/>
        </w:rPr>
        <w:t>l plazo convencionalmente establecido por las partes o, en su ausencia, el término supletivo establecido para la liquidación bilateral de 4 meses</w:t>
      </w:r>
      <w:r w:rsidR="009425E9">
        <w:rPr>
          <w:rFonts w:ascii="Arial" w:eastAsia="Times New Roman" w:hAnsi="Arial" w:cs="Arial"/>
          <w:color w:val="201F1E"/>
          <w:bdr w:val="none" w:sz="0" w:space="0" w:color="auto" w:frame="1"/>
          <w:shd w:val="clear" w:color="auto" w:fill="FFFFFF"/>
          <w:lang w:eastAsia="es-ES"/>
        </w:rPr>
        <w:t xml:space="preserve"> </w:t>
      </w:r>
      <w:r w:rsidR="000D5930" w:rsidRPr="00EF69F0">
        <w:rPr>
          <w:rFonts w:ascii="Arial" w:eastAsia="Calibri" w:hAnsi="Arial" w:cs="Arial"/>
          <w:color w:val="000000"/>
          <w:lang w:val="es-ES_tradnl"/>
        </w:rPr>
        <w:t>contados desde: i) el vencimiento del plazo previsto para la ejecución del contrato; ii) la expedición del acto administrativo que ordene la terminación del contrato; o, iii) la fecha del acuerdo que disponga la terminación del contrato</w:t>
      </w:r>
      <w:r w:rsidR="00C86AFA">
        <w:rPr>
          <w:rFonts w:ascii="Arial" w:eastAsia="Calibri" w:hAnsi="Arial" w:cs="Arial"/>
          <w:color w:val="000000"/>
          <w:lang w:val="es-ES_tradnl"/>
        </w:rPr>
        <w:t xml:space="preserve">. </w:t>
      </w:r>
    </w:p>
    <w:p w14:paraId="6FA18463" w14:textId="71ACE259" w:rsidR="00606090" w:rsidRPr="00EF69F0" w:rsidRDefault="00C86AFA" w:rsidP="003418B0">
      <w:pPr>
        <w:spacing w:after="120" w:line="276" w:lineRule="auto"/>
        <w:ind w:firstLine="708"/>
        <w:jc w:val="both"/>
        <w:rPr>
          <w:rFonts w:ascii="Arial" w:eastAsia="Times New Roman" w:hAnsi="Arial" w:cs="Arial"/>
          <w:color w:val="000000"/>
          <w:lang w:eastAsia="es-ES"/>
        </w:rPr>
      </w:pPr>
      <w:r>
        <w:rPr>
          <w:rFonts w:ascii="Arial" w:eastAsia="Times New Roman" w:hAnsi="Arial" w:cs="Arial"/>
          <w:color w:val="201F1E"/>
          <w:bdr w:val="none" w:sz="0" w:space="0" w:color="auto" w:frame="1"/>
          <w:shd w:val="clear" w:color="auto" w:fill="FFFFFF"/>
          <w:lang w:val="es-ES_tradnl" w:eastAsia="es-ES"/>
        </w:rPr>
        <w:t>El segundo plazo y siguiente, correspo</w:t>
      </w:r>
      <w:r w:rsidR="003418B0">
        <w:rPr>
          <w:rFonts w:ascii="Arial" w:eastAsia="Times New Roman" w:hAnsi="Arial" w:cs="Arial"/>
          <w:color w:val="201F1E"/>
          <w:bdr w:val="none" w:sz="0" w:space="0" w:color="auto" w:frame="1"/>
          <w:shd w:val="clear" w:color="auto" w:fill="FFFFFF"/>
          <w:lang w:val="es-ES_tradnl" w:eastAsia="es-ES"/>
        </w:rPr>
        <w:t xml:space="preserve">nde al </w:t>
      </w:r>
      <w:r w:rsidR="00606090" w:rsidRPr="6C2B77A5">
        <w:rPr>
          <w:rFonts w:ascii="Arial" w:eastAsia="Times New Roman" w:hAnsi="Arial" w:cs="Arial"/>
          <w:color w:val="201F1E"/>
          <w:bdr w:val="none" w:sz="0" w:space="0" w:color="auto" w:frame="1"/>
          <w:shd w:val="clear" w:color="auto" w:fill="FFFFFF"/>
          <w:lang w:eastAsia="es-ES"/>
        </w:rPr>
        <w:t>de 2 meses para realizar la liquidación de forma unilateral por parte de la Entidad Estatal</w:t>
      </w:r>
      <w:r w:rsidR="0093787B">
        <w:rPr>
          <w:rFonts w:ascii="Arial" w:eastAsia="Times New Roman" w:hAnsi="Arial" w:cs="Arial"/>
          <w:color w:val="201F1E"/>
          <w:bdr w:val="none" w:sz="0" w:space="0" w:color="auto" w:frame="1"/>
          <w:shd w:val="clear" w:color="auto" w:fill="FFFFFF"/>
          <w:lang w:eastAsia="es-ES"/>
        </w:rPr>
        <w:t xml:space="preserve"> vencido el plazo de la liquidación bilateral</w:t>
      </w:r>
      <w:r w:rsidR="00606090" w:rsidRPr="6C2B77A5">
        <w:rPr>
          <w:rFonts w:ascii="Arial" w:eastAsia="Times New Roman" w:hAnsi="Arial" w:cs="Arial"/>
          <w:color w:val="201F1E"/>
          <w:bdr w:val="none" w:sz="0" w:space="0" w:color="auto" w:frame="1"/>
          <w:shd w:val="clear" w:color="auto" w:fill="FFFFFF"/>
          <w:lang w:eastAsia="es-ES"/>
        </w:rPr>
        <w:t xml:space="preserve">, </w:t>
      </w:r>
      <w:r w:rsidR="003418B0" w:rsidRPr="6C2B77A5">
        <w:rPr>
          <w:rFonts w:ascii="Arial" w:eastAsia="Times New Roman" w:hAnsi="Arial" w:cs="Arial"/>
          <w:color w:val="201F1E"/>
          <w:bdr w:val="none" w:sz="0" w:space="0" w:color="auto" w:frame="1"/>
          <w:shd w:val="clear" w:color="auto" w:fill="FFFFFF"/>
          <w:lang w:eastAsia="es-ES"/>
        </w:rPr>
        <w:t xml:space="preserve">y </w:t>
      </w:r>
      <w:r w:rsidR="003418B0">
        <w:rPr>
          <w:rFonts w:ascii="Arial" w:eastAsia="Times New Roman" w:hAnsi="Arial" w:cs="Arial"/>
          <w:color w:val="201F1E"/>
          <w:bdr w:val="none" w:sz="0" w:space="0" w:color="auto" w:frame="1"/>
          <w:shd w:val="clear" w:color="auto" w:fill="FFFFFF"/>
          <w:lang w:eastAsia="es-ES"/>
        </w:rPr>
        <w:t>finalmente, v</w:t>
      </w:r>
      <w:r w:rsidR="00606090" w:rsidRPr="6C2B77A5">
        <w:rPr>
          <w:rFonts w:ascii="Arial" w:eastAsia="Times New Roman" w:hAnsi="Arial" w:cs="Arial"/>
          <w:color w:val="201F1E"/>
          <w:bdr w:val="none" w:sz="0" w:space="0" w:color="auto" w:frame="1"/>
          <w:shd w:val="clear" w:color="auto" w:fill="FFFFFF"/>
          <w:lang w:eastAsia="es-ES"/>
        </w:rPr>
        <w:t xml:space="preserve">encidos </w:t>
      </w:r>
      <w:r w:rsidR="003418B0">
        <w:rPr>
          <w:rFonts w:ascii="Arial" w:eastAsia="Times New Roman" w:hAnsi="Arial" w:cs="Arial"/>
          <w:color w:val="201F1E"/>
          <w:bdr w:val="none" w:sz="0" w:space="0" w:color="auto" w:frame="1"/>
          <w:shd w:val="clear" w:color="auto" w:fill="FFFFFF"/>
          <w:lang w:eastAsia="es-ES"/>
        </w:rPr>
        <w:t xml:space="preserve">los anteriores </w:t>
      </w:r>
      <w:r w:rsidR="00606090" w:rsidRPr="6C2B77A5">
        <w:rPr>
          <w:rFonts w:ascii="Arial" w:eastAsia="Times New Roman" w:hAnsi="Arial" w:cs="Arial"/>
          <w:color w:val="201F1E"/>
          <w:bdr w:val="none" w:sz="0" w:space="0" w:color="auto" w:frame="1"/>
          <w:shd w:val="clear" w:color="auto" w:fill="FFFFFF"/>
          <w:lang w:eastAsia="es-ES"/>
        </w:rPr>
        <w:t>plazos, existe la posibilidad de liquidar de mutuo acuerdo o unilateralmente el contrato dentro de los 2 años siguientes, sin perjuicio de acudir a un proceso donde se pretenda la liquidación judicial. </w:t>
      </w:r>
    </w:p>
    <w:p w14:paraId="54198879" w14:textId="76108E86" w:rsidR="00606090" w:rsidRDefault="00606090" w:rsidP="00522B18">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eastAsia="es-ES_tradnl"/>
        </w:rPr>
        <w:t xml:space="preserve"> </w:t>
      </w:r>
      <w:r w:rsidR="009425E9">
        <w:rPr>
          <w:rFonts w:ascii="Arial" w:eastAsia="Times New Roman" w:hAnsi="Arial" w:cs="Arial"/>
          <w:bCs/>
          <w:color w:val="000000"/>
          <w:szCs w:val="24"/>
          <w:lang w:eastAsia="es-ES_tradnl"/>
        </w:rPr>
        <w:t xml:space="preserve">En ese orden de ideas, el artículo 11 de la Ley 1150 de 2007 determinó que </w:t>
      </w:r>
      <w:r w:rsidR="008C61DC">
        <w:rPr>
          <w:rFonts w:ascii="Arial" w:eastAsia="Times New Roman" w:hAnsi="Arial" w:cs="Arial"/>
          <w:bCs/>
          <w:color w:val="000000"/>
          <w:szCs w:val="24"/>
          <w:lang w:eastAsia="es-ES_tradnl"/>
        </w:rPr>
        <w:t xml:space="preserve">dichos plazos inician a contarse desde la terminación de la ejecución del contrato, ya sea por </w:t>
      </w:r>
      <w:r w:rsidR="001A6521">
        <w:rPr>
          <w:rFonts w:ascii="Arial" w:eastAsia="Times New Roman" w:hAnsi="Arial" w:cs="Arial"/>
          <w:bCs/>
          <w:color w:val="000000"/>
          <w:szCs w:val="24"/>
          <w:lang w:eastAsia="es-ES_tradnl"/>
        </w:rPr>
        <w:t>vencimiento de plazo, o por expedición de acto administrativo de orden</w:t>
      </w:r>
      <w:r w:rsidR="00EF6EE0">
        <w:rPr>
          <w:rFonts w:ascii="Arial" w:eastAsia="Times New Roman" w:hAnsi="Arial" w:cs="Arial"/>
          <w:bCs/>
          <w:color w:val="000000"/>
          <w:szCs w:val="24"/>
          <w:lang w:eastAsia="es-ES_tradnl"/>
        </w:rPr>
        <w:t>ó su</w:t>
      </w:r>
      <w:r w:rsidR="001A6521">
        <w:rPr>
          <w:rFonts w:ascii="Arial" w:eastAsia="Times New Roman" w:hAnsi="Arial" w:cs="Arial"/>
          <w:bCs/>
          <w:color w:val="000000"/>
          <w:szCs w:val="24"/>
          <w:lang w:eastAsia="es-ES_tradnl"/>
        </w:rPr>
        <w:t xml:space="preserve"> terminación o la fecha de acuerdo entre las partes</w:t>
      </w:r>
      <w:r w:rsidR="000F4654">
        <w:rPr>
          <w:rFonts w:ascii="Arial" w:eastAsia="Times New Roman" w:hAnsi="Arial" w:cs="Arial"/>
          <w:bCs/>
          <w:color w:val="000000"/>
          <w:szCs w:val="24"/>
          <w:lang w:eastAsia="es-ES_tradnl"/>
        </w:rPr>
        <w:t xml:space="preserve"> para ello</w:t>
      </w:r>
      <w:r w:rsidR="00705855">
        <w:rPr>
          <w:rFonts w:ascii="Arial" w:eastAsia="Times New Roman" w:hAnsi="Arial" w:cs="Arial"/>
          <w:bCs/>
          <w:color w:val="000000"/>
          <w:szCs w:val="24"/>
          <w:lang w:eastAsia="es-ES_tradnl"/>
        </w:rPr>
        <w:t>, y no desde otro supuesto de hecho, como lo es la suscripción de un acta final</w:t>
      </w:r>
    </w:p>
    <w:p w14:paraId="0912F9C9" w14:textId="640FFAE8" w:rsidR="00606090" w:rsidRPr="00606090" w:rsidRDefault="00606090" w:rsidP="00606090">
      <w:pPr>
        <w:spacing w:before="120" w:after="0" w:line="276" w:lineRule="auto"/>
        <w:jc w:val="both"/>
        <w:rPr>
          <w:rFonts w:ascii="Arial" w:eastAsia="Times New Roman" w:hAnsi="Arial" w:cs="Arial"/>
          <w:bCs/>
          <w:color w:val="000000"/>
          <w:szCs w:val="24"/>
          <w:lang w:eastAsia="es-ES_tradnl"/>
        </w:rPr>
      </w:pPr>
      <w:r w:rsidRPr="00EF69F0">
        <w:rPr>
          <w:rFonts w:ascii="Arial" w:eastAsia="Times New Roman" w:hAnsi="Arial" w:cs="Arial"/>
          <w:color w:val="000000"/>
          <w:lang w:val="es-ES_tradnl" w:eastAsia="es-ES_tradnl"/>
        </w:rPr>
        <w:t>Este concepto tiene el alcance previsto en el artículo 28 del</w:t>
      </w:r>
      <w:r w:rsidRPr="00EF69F0">
        <w:rPr>
          <w:rFonts w:ascii="Arial" w:eastAsia="Times New Roman" w:hAnsi="Arial" w:cs="Arial"/>
          <w:color w:val="000000"/>
          <w:szCs w:val="24"/>
          <w:lang w:val="es-ES_tradnl" w:eastAsia="es-ES_tradnl"/>
        </w:rPr>
        <w:t xml:space="preserve"> Código de Procedimiento Administrativo y de lo Contencioso Administrativo </w:t>
      </w:r>
      <w:r w:rsidRPr="00EF69F0">
        <w:rPr>
          <w:rFonts w:ascii="Arial" w:eastAsia="Calibri" w:hAnsi="Arial" w:cs="Arial"/>
          <w:lang w:val="es-ES" w:eastAsia="es-MX"/>
        </w:rPr>
        <w:t xml:space="preserve">y </w:t>
      </w:r>
      <w:r w:rsidRPr="00EF69F0">
        <w:rPr>
          <w:rFonts w:ascii="Arial" w:eastAsia="Calibri" w:hAnsi="Arial" w:cs="Arial"/>
          <w:lang w:val="es-MX" w:eastAsia="es-ES_tradnl"/>
        </w:rPr>
        <w:t>las expresiones aquí utilizadas con mayúscula inicial deben ser entendidas con el significado que les otorga el artículo 2.2.1.1.1.3.1. del Decreto 1082 de 2015</w:t>
      </w:r>
      <w:r w:rsidRPr="00EF69F0">
        <w:rPr>
          <w:rFonts w:ascii="Arial" w:eastAsia="Times New Roman" w:hAnsi="Arial" w:cs="Arial"/>
          <w:lang w:val="es-ES_tradnl" w:eastAsia="es-ES_tradnl"/>
        </w:rPr>
        <w:t>.</w:t>
      </w:r>
    </w:p>
    <w:p w14:paraId="38054F97" w14:textId="77777777" w:rsidR="00606090" w:rsidRPr="00EF69F0" w:rsidRDefault="00606090" w:rsidP="00606090">
      <w:pPr>
        <w:widowControl w:val="0"/>
        <w:autoSpaceDE w:val="0"/>
        <w:autoSpaceDN w:val="0"/>
        <w:spacing w:after="0" w:line="276" w:lineRule="auto"/>
        <w:jc w:val="both"/>
        <w:rPr>
          <w:rFonts w:ascii="Arial" w:eastAsia="Times New Roman" w:hAnsi="Arial" w:cs="Arial"/>
          <w:color w:val="000000"/>
          <w:szCs w:val="24"/>
          <w:lang w:val="es-ES_tradnl" w:eastAsia="es-ES_tradnl"/>
        </w:rPr>
      </w:pPr>
    </w:p>
    <w:p w14:paraId="3ECB16D7" w14:textId="77777777" w:rsidR="00606090" w:rsidRPr="00EF69F0" w:rsidRDefault="00606090" w:rsidP="00606090">
      <w:pPr>
        <w:spacing w:after="0" w:line="276" w:lineRule="auto"/>
        <w:jc w:val="both"/>
        <w:rPr>
          <w:rFonts w:ascii="Arial" w:eastAsia="Times New Roman" w:hAnsi="Arial" w:cs="Arial"/>
          <w:color w:val="000000"/>
          <w:lang w:val="es-ES_tradnl" w:eastAsia="es-CO"/>
        </w:rPr>
      </w:pPr>
      <w:r w:rsidRPr="37D4D6AA">
        <w:rPr>
          <w:rFonts w:ascii="Arial" w:eastAsia="Times New Roman" w:hAnsi="Arial" w:cs="Arial"/>
          <w:color w:val="000000" w:themeColor="text1"/>
          <w:lang w:val="es-ES" w:eastAsia="es-CO"/>
        </w:rPr>
        <w:t>Atentamente,</w:t>
      </w:r>
    </w:p>
    <w:p w14:paraId="10381EC9" w14:textId="1BC9F929" w:rsidR="00606090" w:rsidRPr="00EF69F0" w:rsidRDefault="008024CC" w:rsidP="00606090">
      <w:pPr>
        <w:spacing w:after="0" w:line="276" w:lineRule="auto"/>
        <w:jc w:val="center"/>
      </w:pPr>
      <w:r>
        <w:rPr>
          <w:noProof/>
        </w:rPr>
        <w:drawing>
          <wp:inline distT="0" distB="0" distL="0" distR="0" wp14:anchorId="2E684D72" wp14:editId="726FE70D">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p w14:paraId="5401AEFA" w14:textId="77777777" w:rsidR="00606090" w:rsidRPr="00EF69F0" w:rsidRDefault="00606090" w:rsidP="00606090">
      <w:pPr>
        <w:spacing w:after="0" w:line="276" w:lineRule="auto"/>
        <w:jc w:val="center"/>
        <w:rPr>
          <w:rFonts w:ascii="Arial" w:eastAsia="Times New Roman" w:hAnsi="Arial"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06090" w:rsidRPr="00EF69F0" w14:paraId="548C2F98" w14:textId="77777777" w:rsidTr="00415AC1">
        <w:trPr>
          <w:trHeight w:val="160"/>
        </w:trPr>
        <w:tc>
          <w:tcPr>
            <w:tcW w:w="812" w:type="dxa"/>
            <w:vAlign w:val="center"/>
            <w:hideMark/>
          </w:tcPr>
          <w:p w14:paraId="5FA2A23B" w14:textId="77777777" w:rsidR="00606090" w:rsidRPr="00EF69F0" w:rsidRDefault="00606090"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D36A379" w14:textId="03DAFF3C" w:rsidR="00606090" w:rsidRPr="00EF69F0" w:rsidRDefault="00775019"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Any Alejandra Tovar Castillo</w:t>
            </w:r>
          </w:p>
          <w:p w14:paraId="342A4455" w14:textId="1AB8827A" w:rsidR="00606090" w:rsidRPr="00EF69F0" w:rsidRDefault="00775019"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 de la Subdirección de Gestión Contractual</w:t>
            </w:r>
          </w:p>
        </w:tc>
      </w:tr>
      <w:tr w:rsidR="00606090" w:rsidRPr="00EF69F0" w14:paraId="2C7CCB57" w14:textId="77777777" w:rsidTr="00415AC1">
        <w:trPr>
          <w:trHeight w:val="330"/>
        </w:trPr>
        <w:tc>
          <w:tcPr>
            <w:tcW w:w="812" w:type="dxa"/>
            <w:vAlign w:val="center"/>
            <w:hideMark/>
          </w:tcPr>
          <w:p w14:paraId="210AB555" w14:textId="77777777" w:rsidR="00606090" w:rsidRPr="00EF69F0" w:rsidRDefault="00606090"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2DB52EC" w14:textId="26B38B20" w:rsidR="00606090" w:rsidRPr="00EF69F0" w:rsidRDefault="00775019"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Juan David Cárdenas Cabeza</w:t>
            </w:r>
          </w:p>
          <w:p w14:paraId="230907CB" w14:textId="73D7DC70" w:rsidR="00606090" w:rsidRPr="00EF69F0" w:rsidRDefault="00775019"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Contratista</w:t>
            </w:r>
            <w:r w:rsidR="00606090" w:rsidRPr="00EF69F0">
              <w:rPr>
                <w:rFonts w:ascii="Arial" w:eastAsia="Times New Roman" w:hAnsi="Arial" w:cs="Arial"/>
                <w:color w:val="000000"/>
                <w:sz w:val="16"/>
                <w:szCs w:val="16"/>
                <w:lang w:eastAsia="es-ES"/>
              </w:rPr>
              <w:t xml:space="preserve"> de la Subdirección de Gestión Contractual</w:t>
            </w:r>
          </w:p>
        </w:tc>
      </w:tr>
      <w:tr w:rsidR="00606090" w:rsidRPr="00EF69F0" w14:paraId="47EC0F54" w14:textId="77777777" w:rsidTr="00415AC1">
        <w:trPr>
          <w:trHeight w:val="300"/>
        </w:trPr>
        <w:tc>
          <w:tcPr>
            <w:tcW w:w="812" w:type="dxa"/>
            <w:vAlign w:val="center"/>
            <w:hideMark/>
          </w:tcPr>
          <w:p w14:paraId="4A91A537" w14:textId="77777777" w:rsidR="00606090" w:rsidRPr="00EF69F0" w:rsidRDefault="00606090"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507C1C4D" w14:textId="77777777" w:rsidR="00606090" w:rsidRPr="00EF69F0" w:rsidRDefault="00606090" w:rsidP="00415AC1">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Nohelia del Carmen Zawady Palacio</w:t>
            </w:r>
          </w:p>
          <w:p w14:paraId="44569056" w14:textId="77777777" w:rsidR="00606090" w:rsidRPr="00EF69F0" w:rsidRDefault="00606090"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eastAsia="es-ES"/>
              </w:rPr>
              <w:t>Subdirectora de Gestión Contractual</w:t>
            </w:r>
          </w:p>
        </w:tc>
      </w:tr>
      <w:bookmarkEnd w:id="0"/>
    </w:tbl>
    <w:p w14:paraId="0F293BF4" w14:textId="0F6FB6C1" w:rsidR="00127233" w:rsidRPr="00606090" w:rsidRDefault="00127233" w:rsidP="00606090">
      <w:pPr>
        <w:spacing w:after="0" w:line="240" w:lineRule="auto"/>
        <w:jc w:val="right"/>
        <w:textAlignment w:val="baseline"/>
      </w:pPr>
    </w:p>
    <w:sectPr w:rsidR="00127233" w:rsidRPr="0060609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6B98" w14:textId="77777777" w:rsidR="009E7D9F" w:rsidRDefault="009E7D9F" w:rsidP="004A1847">
      <w:pPr>
        <w:spacing w:after="0" w:line="240" w:lineRule="auto"/>
      </w:pPr>
      <w:r>
        <w:separator/>
      </w:r>
    </w:p>
  </w:endnote>
  <w:endnote w:type="continuationSeparator" w:id="0">
    <w:p w14:paraId="16C8C0B7" w14:textId="77777777" w:rsidR="009E7D9F" w:rsidRDefault="009E7D9F" w:rsidP="004A1847">
      <w:pPr>
        <w:spacing w:after="0" w:line="240" w:lineRule="auto"/>
      </w:pPr>
      <w:r>
        <w:continuationSeparator/>
      </w:r>
    </w:p>
  </w:endnote>
  <w:endnote w:type="continuationNotice" w:id="1">
    <w:p w14:paraId="49BA2946" w14:textId="77777777" w:rsidR="009E7D9F" w:rsidRDefault="009E7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Arial MT">
    <w:altName w:val="Arial"/>
    <w:charset w:val="01"/>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A707" w14:textId="77777777" w:rsidR="009E7D9F" w:rsidRDefault="009E7D9F" w:rsidP="004A1847">
      <w:pPr>
        <w:spacing w:after="0" w:line="240" w:lineRule="auto"/>
      </w:pPr>
      <w:r>
        <w:separator/>
      </w:r>
    </w:p>
  </w:footnote>
  <w:footnote w:type="continuationSeparator" w:id="0">
    <w:p w14:paraId="56414D50" w14:textId="77777777" w:rsidR="009E7D9F" w:rsidRDefault="009E7D9F" w:rsidP="004A1847">
      <w:pPr>
        <w:spacing w:after="0" w:line="240" w:lineRule="auto"/>
      </w:pPr>
      <w:r>
        <w:continuationSeparator/>
      </w:r>
    </w:p>
  </w:footnote>
  <w:footnote w:type="continuationNotice" w:id="1">
    <w:p w14:paraId="03CA3198" w14:textId="77777777" w:rsidR="009E7D9F" w:rsidRDefault="009E7D9F">
      <w:pPr>
        <w:spacing w:after="0" w:line="240" w:lineRule="auto"/>
      </w:pPr>
    </w:p>
  </w:footnote>
  <w:footnote w:id="2">
    <w:p w14:paraId="1C8B8F6D" w14:textId="77777777" w:rsidR="00EC6F6B" w:rsidRPr="00260DAF" w:rsidRDefault="00EC6F6B" w:rsidP="00EC6F6B">
      <w:pPr>
        <w:pStyle w:val="Textonotapie"/>
        <w:ind w:firstLine="708"/>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60DAF">
        <w:rPr>
          <w:rFonts w:ascii="Arial" w:hAnsi="Arial" w:cs="Arial"/>
          <w:i/>
          <w:iCs/>
          <w:sz w:val="18"/>
          <w:szCs w:val="18"/>
        </w:rPr>
        <w:t xml:space="preserve">ibidem </w:t>
      </w:r>
      <w:r w:rsidRPr="00260DAF">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10A09DD" w14:textId="77777777" w:rsidR="00EC6F6B" w:rsidRPr="00260DAF" w:rsidRDefault="00EC6F6B" w:rsidP="00EC6F6B">
      <w:pPr>
        <w:pStyle w:val="Textonotapie"/>
        <w:ind w:firstLine="708"/>
        <w:jc w:val="both"/>
        <w:rPr>
          <w:rFonts w:ascii="Arial" w:hAnsi="Arial" w:cs="Arial"/>
          <w:sz w:val="18"/>
          <w:szCs w:val="18"/>
          <w:lang w:val="es-ES"/>
        </w:rPr>
      </w:pPr>
    </w:p>
  </w:footnote>
  <w:footnote w:id="3">
    <w:p w14:paraId="4F424B18" w14:textId="7A77D024" w:rsidR="00606090" w:rsidRPr="00EF69F0" w:rsidRDefault="00606090" w:rsidP="00606090">
      <w:pPr>
        <w:pStyle w:val="Textonotapie"/>
        <w:ind w:firstLine="709"/>
        <w:jc w:val="both"/>
        <w:rPr>
          <w:color w:val="000000"/>
          <w:lang w:val="es-CO"/>
        </w:rPr>
      </w:pPr>
      <w:r w:rsidRPr="00EF69F0">
        <w:rPr>
          <w:rStyle w:val="Refdenotaalpie"/>
          <w:color w:val="000000"/>
        </w:rPr>
        <w:footnoteRef/>
      </w:r>
      <w:r w:rsidRPr="00EF69F0">
        <w:rPr>
          <w:color w:val="000000"/>
        </w:rPr>
        <w:t xml:space="preserve"> </w:t>
      </w:r>
      <w:r w:rsidR="00ED6500" w:rsidRPr="00135E0B">
        <w:rPr>
          <w:rFonts w:ascii="Arial" w:hAnsi="Arial" w:cs="Arial"/>
          <w:sz w:val="18"/>
          <w:szCs w:val="18"/>
        </w:rPr>
        <w:t xml:space="preserve">Estos conceptos pueden ser consultados en la relatoría de Colombia Compra Eficiente en el siguiente enlace:  </w:t>
      </w:r>
      <w:hyperlink r:id="rId1" w:history="1">
        <w:r w:rsidR="00ED6500" w:rsidRPr="00135E0B">
          <w:rPr>
            <w:rStyle w:val="Hipervnculo"/>
            <w:rFonts w:ascii="Arial" w:hAnsi="Arial" w:cs="Arial"/>
            <w:sz w:val="18"/>
            <w:szCs w:val="18"/>
          </w:rPr>
          <w:t>http://relatoria.colombiacompra.gov.co/busqueda/conceptos</w:t>
        </w:r>
      </w:hyperlink>
    </w:p>
  </w:footnote>
  <w:footnote w:id="4">
    <w:p w14:paraId="3D47ACEA" w14:textId="5F91EC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002648FD">
        <w:rPr>
          <w:rFonts w:ascii="Arial" w:hAnsi="Arial" w:cs="Arial"/>
          <w:color w:val="000000"/>
          <w:sz w:val="19"/>
          <w:szCs w:val="19"/>
        </w:rPr>
        <w:t>“</w:t>
      </w:r>
      <w:r w:rsidRPr="00EF69F0">
        <w:rPr>
          <w:rFonts w:ascii="Arial" w:hAnsi="Arial" w:cs="Arial"/>
          <w:color w:val="000000"/>
          <w:sz w:val="19"/>
          <w:szCs w:val="19"/>
        </w:rPr>
        <w:t>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002648FD">
        <w:rPr>
          <w:rFonts w:ascii="Arial" w:hAnsi="Arial" w:cs="Arial"/>
          <w:color w:val="000000"/>
          <w:sz w:val="19"/>
          <w:szCs w:val="19"/>
          <w:shd w:val="clear" w:color="auto" w:fill="FFFFFF"/>
        </w:rPr>
        <w:t>”</w:t>
      </w:r>
      <w:r w:rsidRPr="00EF69F0">
        <w:rPr>
          <w:rFonts w:ascii="Arial" w:hAnsi="Arial" w:cs="Arial"/>
          <w:color w:val="000000"/>
          <w:sz w:val="19"/>
          <w:szCs w:val="19"/>
        </w:rPr>
        <w:t xml:space="preserve"> EXPOSITO, Juan Carlos. Forma y contenido del contrato estatal. Bogotá: Universidad Externado de Colombia, p. 89 y 90.</w:t>
      </w:r>
    </w:p>
    <w:p w14:paraId="01C154A5" w14:textId="77777777" w:rsidR="00606090" w:rsidRPr="00EF69F0" w:rsidRDefault="00606090" w:rsidP="00606090">
      <w:pPr>
        <w:pStyle w:val="Textonotapie"/>
        <w:ind w:firstLine="708"/>
        <w:jc w:val="both"/>
        <w:rPr>
          <w:rFonts w:ascii="Arial" w:hAnsi="Arial" w:cs="Arial"/>
          <w:color w:val="000000"/>
          <w:sz w:val="19"/>
          <w:szCs w:val="19"/>
        </w:rPr>
      </w:pPr>
      <w:r w:rsidRPr="00EF69F0">
        <w:rPr>
          <w:rFonts w:ascii="Arial" w:hAnsi="Arial" w:cs="Arial"/>
          <w:color w:val="000000"/>
          <w:sz w:val="19"/>
          <w:szCs w:val="19"/>
        </w:rPr>
        <w:t xml:space="preserve"> </w:t>
      </w:r>
    </w:p>
  </w:footnote>
  <w:footnote w:id="5">
    <w:p w14:paraId="70D8E3ED" w14:textId="77777777" w:rsidR="00606090" w:rsidRPr="00EF69F0" w:rsidRDefault="00606090" w:rsidP="00606090">
      <w:pPr>
        <w:pStyle w:val="Textonotapie"/>
        <w:ind w:firstLine="708"/>
        <w:jc w:val="both"/>
        <w:rPr>
          <w:rFonts w:ascii="Arial" w:hAnsi="Arial" w:cs="Arial"/>
          <w:color w:val="000000"/>
          <w:sz w:val="19"/>
          <w:szCs w:val="19"/>
          <w:lang w:val="es-CO"/>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DÍAZ DÍEZ, Cristian Andrés. La liquidación. Serie: Las Cláusulas del Contrato Estatal. Medellín: Librería Jurídica Sánchez y Centro de Estudios de Derecho Administrativo –CEDA–, 2013, pp. 53-54.</w:t>
      </w:r>
    </w:p>
  </w:footnote>
  <w:footnote w:id="6">
    <w:p w14:paraId="46B8BBA5" w14:textId="26A1B049" w:rsidR="00606090" w:rsidRPr="00EF69F0" w:rsidRDefault="00606090" w:rsidP="002648FD">
      <w:pPr>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C. 20 de octubre de 2014, M.P: Enrique Gil Botero. Exp. 27.777. Allí se dijo: </w:t>
      </w:r>
      <w:r w:rsidR="002648FD">
        <w:rPr>
          <w:rFonts w:ascii="Arial" w:hAnsi="Arial" w:cs="Arial"/>
          <w:color w:val="000000"/>
          <w:sz w:val="19"/>
          <w:szCs w:val="19"/>
        </w:rPr>
        <w:t>“</w:t>
      </w:r>
      <w:r w:rsidRPr="00EF69F0">
        <w:rPr>
          <w:rFonts w:ascii="Arial" w:hAnsi="Arial" w:cs="Arial"/>
          <w:color w:val="000000"/>
          <w:sz w:val="19"/>
          <w:szCs w:val="19"/>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2648FD">
        <w:rPr>
          <w:rFonts w:ascii="Arial" w:hAnsi="Arial" w:cs="Arial"/>
          <w:color w:val="000000"/>
          <w:sz w:val="19"/>
          <w:szCs w:val="19"/>
        </w:rPr>
        <w:t>”</w:t>
      </w:r>
      <w:r w:rsidRPr="00EF69F0">
        <w:rPr>
          <w:rFonts w:ascii="Arial" w:hAnsi="Arial" w:cs="Arial"/>
          <w:color w:val="000000"/>
          <w:sz w:val="19"/>
          <w:szCs w:val="19"/>
        </w:rPr>
        <w:t>.</w:t>
      </w:r>
    </w:p>
  </w:footnote>
  <w:footnote w:id="7">
    <w:p w14:paraId="38037E5C" w14:textId="777777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Exposito Velez. Juan Carlos. Forma y contenido del contrato estatal, p. 90.</w:t>
      </w:r>
    </w:p>
  </w:footnote>
  <w:footnote w:id="8">
    <w:p w14:paraId="79136BF5" w14:textId="77777777" w:rsidR="00606090" w:rsidRPr="00EF69F0" w:rsidRDefault="00606090" w:rsidP="00606090">
      <w:pPr>
        <w:pStyle w:val="Textonotapie"/>
        <w:ind w:firstLine="708"/>
        <w:jc w:val="both"/>
        <w:rPr>
          <w:rFonts w:ascii="Arial" w:hAnsi="Arial" w:cs="Arial"/>
          <w:color w:val="000000"/>
          <w:sz w:val="19"/>
          <w:szCs w:val="19"/>
        </w:rPr>
      </w:pPr>
    </w:p>
    <w:p w14:paraId="79217C5A" w14:textId="777777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Sala de Consulta y Servicio Civil. Radicado No. 1453. Concepto de 6 de agosto de 2003. MP. Augusto Trejos.</w:t>
      </w:r>
    </w:p>
    <w:p w14:paraId="14AC8DB2" w14:textId="77777777" w:rsidR="00606090" w:rsidRPr="00EF69F0" w:rsidRDefault="00606090" w:rsidP="00606090">
      <w:pPr>
        <w:pStyle w:val="Textonotapie"/>
        <w:ind w:firstLine="708"/>
        <w:jc w:val="both"/>
        <w:rPr>
          <w:rFonts w:ascii="Arial" w:hAnsi="Arial" w:cs="Arial"/>
          <w:color w:val="000000"/>
          <w:sz w:val="19"/>
          <w:szCs w:val="19"/>
        </w:rPr>
      </w:pPr>
    </w:p>
  </w:footnote>
  <w:footnote w:id="9">
    <w:p w14:paraId="3AC4A906" w14:textId="43D87C8A" w:rsidR="00606090" w:rsidRPr="00EF69F0" w:rsidRDefault="00606090" w:rsidP="0060609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 xml:space="preserve">El artículo 11 de la Ley 1150 de 2007 prescribe: </w:t>
      </w:r>
      <w:r w:rsidR="002648FD">
        <w:rPr>
          <w:rFonts w:ascii="Arial" w:hAnsi="Arial" w:cs="Arial"/>
          <w:color w:val="000000"/>
          <w:sz w:val="19"/>
          <w:szCs w:val="19"/>
          <w:lang w:val="es-ES"/>
        </w:rPr>
        <w:t>“</w:t>
      </w:r>
      <w:r w:rsidRPr="00EF69F0">
        <w:rPr>
          <w:rFonts w:ascii="Arial" w:hAnsi="Arial" w:cs="Arial"/>
          <w:color w:val="000000"/>
          <w:sz w:val="19"/>
          <w:szCs w:val="19"/>
          <w:lang w:val="es-ES"/>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5953056" w14:textId="6CCB1814" w:rsidR="00606090" w:rsidRPr="00EF69F0" w:rsidRDefault="002648FD" w:rsidP="00606090">
      <w:pPr>
        <w:pStyle w:val="Textonotapie"/>
        <w:ind w:firstLine="708"/>
        <w:jc w:val="both"/>
        <w:rPr>
          <w:rFonts w:ascii="Arial" w:hAnsi="Arial" w:cs="Arial"/>
          <w:color w:val="000000"/>
          <w:sz w:val="19"/>
          <w:szCs w:val="19"/>
          <w:lang w:val="es-ES"/>
        </w:rPr>
      </w:pPr>
      <w:r>
        <w:rPr>
          <w:rFonts w:ascii="Arial" w:hAnsi="Arial" w:cs="Arial"/>
          <w:color w:val="000000"/>
          <w:sz w:val="19"/>
          <w:szCs w:val="19"/>
          <w:lang w:val="es-ES"/>
        </w:rPr>
        <w:t>“</w:t>
      </w:r>
      <w:r w:rsidR="00606090" w:rsidRPr="00EF69F0">
        <w:rPr>
          <w:rFonts w:ascii="Arial" w:hAnsi="Arial" w:cs="Arial"/>
          <w:color w:val="000000"/>
          <w:sz w:val="19"/>
          <w:szCs w:val="19"/>
          <w:lang w:val="es-ES"/>
        </w:rPr>
        <w:t xml:space="preserve">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676C0EF5" w14:textId="108C6FA9" w:rsidR="00606090" w:rsidRPr="00EF69F0" w:rsidRDefault="002648FD" w:rsidP="00606090">
      <w:pPr>
        <w:pStyle w:val="Textonotapie"/>
        <w:ind w:firstLine="708"/>
        <w:jc w:val="both"/>
        <w:rPr>
          <w:rFonts w:ascii="Arial" w:hAnsi="Arial" w:cs="Arial"/>
          <w:color w:val="000000"/>
          <w:sz w:val="19"/>
          <w:szCs w:val="19"/>
          <w:lang w:val="es-ES"/>
        </w:rPr>
      </w:pPr>
      <w:r>
        <w:rPr>
          <w:rFonts w:ascii="Arial" w:hAnsi="Arial" w:cs="Arial"/>
          <w:color w:val="000000"/>
          <w:sz w:val="19"/>
          <w:szCs w:val="19"/>
          <w:lang w:val="es-ES"/>
        </w:rPr>
        <w:t>“</w:t>
      </w:r>
      <w:r w:rsidR="00606090" w:rsidRPr="00EF69F0">
        <w:rPr>
          <w:rFonts w:ascii="Arial" w:hAnsi="Arial" w:cs="Arial"/>
          <w:color w:val="000000"/>
          <w:sz w:val="19"/>
          <w:szCs w:val="19"/>
          <w:lang w:val="es-ES"/>
        </w:rPr>
        <w:t xml:space="preserve">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3786C44A" w14:textId="6EE132C7" w:rsidR="00606090" w:rsidRPr="00EF69F0" w:rsidRDefault="002648FD" w:rsidP="00606090">
      <w:pPr>
        <w:pStyle w:val="Textonotapie"/>
        <w:ind w:firstLine="708"/>
        <w:jc w:val="both"/>
        <w:rPr>
          <w:rFonts w:ascii="Arial" w:hAnsi="Arial" w:cs="Arial"/>
          <w:color w:val="000000"/>
          <w:sz w:val="19"/>
          <w:szCs w:val="19"/>
          <w:lang w:val="es-ES"/>
        </w:rPr>
      </w:pPr>
      <w:r>
        <w:rPr>
          <w:rFonts w:ascii="Arial" w:hAnsi="Arial" w:cs="Arial"/>
          <w:color w:val="000000"/>
          <w:sz w:val="19"/>
          <w:szCs w:val="19"/>
          <w:lang w:val="es-ES"/>
        </w:rPr>
        <w:t>“</w:t>
      </w:r>
      <w:r w:rsidR="00606090" w:rsidRPr="00EF69F0">
        <w:rPr>
          <w:rFonts w:ascii="Arial" w:hAnsi="Arial" w:cs="Arial"/>
          <w:color w:val="000000"/>
          <w:sz w:val="19"/>
          <w:szCs w:val="19"/>
          <w:lang w:val="es-ES"/>
        </w:rPr>
        <w:t xml:space="preserve"> Los contratistas tendrán derecho a efectuar salvedades a la liquidación por mutuo acuerdo, y en este evento la liquidación unilateral solo procederá en relación con los aspectos que no hayan sido objeto de acuerdo</w:t>
      </w:r>
      <w:r>
        <w:rPr>
          <w:rFonts w:ascii="Arial" w:hAnsi="Arial" w:cs="Arial"/>
          <w:color w:val="000000"/>
          <w:sz w:val="19"/>
          <w:szCs w:val="19"/>
          <w:lang w:val="es-ES"/>
        </w:rPr>
        <w:t>”</w:t>
      </w:r>
      <w:r w:rsidR="00606090" w:rsidRPr="00EF69F0">
        <w:rPr>
          <w:rFonts w:ascii="Arial" w:hAnsi="Arial" w:cs="Arial"/>
          <w:color w:val="000000"/>
          <w:sz w:val="19"/>
          <w:szCs w:val="19"/>
          <w:lang w:val="es-ES"/>
        </w:rPr>
        <w:t>.</w:t>
      </w:r>
    </w:p>
    <w:p w14:paraId="48252B51" w14:textId="77777777" w:rsidR="00606090" w:rsidRPr="00EF69F0" w:rsidRDefault="00606090" w:rsidP="00606090">
      <w:pPr>
        <w:pStyle w:val="Textonotapie"/>
        <w:ind w:firstLine="708"/>
        <w:jc w:val="both"/>
        <w:rPr>
          <w:rFonts w:ascii="Arial" w:hAnsi="Arial" w:cs="Arial"/>
          <w:color w:val="000000"/>
          <w:sz w:val="19"/>
          <w:szCs w:val="19"/>
          <w:lang w:val="es-ES"/>
        </w:rPr>
      </w:pPr>
    </w:p>
  </w:footnote>
  <w:footnote w:id="10">
    <w:p w14:paraId="54FB937F" w14:textId="77777777" w:rsidR="00606090" w:rsidRPr="00EF69F0" w:rsidRDefault="00606090" w:rsidP="00606090">
      <w:pPr>
        <w:pStyle w:val="Textonotapie"/>
        <w:ind w:firstLine="709"/>
        <w:jc w:val="both"/>
        <w:rPr>
          <w:rFonts w:ascii="Arial" w:hAnsi="Arial" w:cs="Arial"/>
          <w:color w:val="000000"/>
          <w:sz w:val="19"/>
          <w:szCs w:val="19"/>
          <w:lang w:val="es-CO"/>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C, Sentencia del 24 de julio de 2013, radicado No. 25.642, Consejero Ponente Enrique Gil Botero.</w:t>
      </w:r>
    </w:p>
  </w:footnote>
  <w:footnote w:id="11">
    <w:p w14:paraId="52565D81" w14:textId="77777777" w:rsidR="00606090" w:rsidRPr="00EF69F0" w:rsidRDefault="00606090" w:rsidP="00606090">
      <w:pPr>
        <w:pStyle w:val="Textonotapie"/>
        <w:jc w:val="both"/>
        <w:rPr>
          <w:rFonts w:ascii="Arial" w:hAnsi="Arial" w:cs="Arial"/>
          <w:color w:val="000000"/>
          <w:sz w:val="19"/>
          <w:szCs w:val="19"/>
        </w:rPr>
      </w:pPr>
    </w:p>
    <w:p w14:paraId="564E0D0E" w14:textId="0ED9A30B" w:rsidR="00606090" w:rsidRPr="00EF69F0" w:rsidRDefault="00606090" w:rsidP="00606090">
      <w:pPr>
        <w:pStyle w:val="NormalWeb"/>
        <w:spacing w:after="0"/>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Decreto 1082 de 2015 </w:t>
      </w:r>
      <w:r w:rsidR="002648FD">
        <w:rPr>
          <w:rFonts w:ascii="Arial" w:hAnsi="Arial" w:cs="Arial"/>
          <w:color w:val="000000"/>
          <w:sz w:val="19"/>
          <w:szCs w:val="19"/>
        </w:rPr>
        <w:t>“</w:t>
      </w:r>
      <w:r w:rsidRPr="00EF69F0">
        <w:rPr>
          <w:rStyle w:val="Textoennegrita"/>
          <w:rFonts w:ascii="Arial" w:hAnsi="Arial" w:cs="Arial"/>
          <w:color w:val="000000"/>
          <w:sz w:val="19"/>
          <w:szCs w:val="19"/>
        </w:rPr>
        <w:t>Artículo 2.2.1.2.1.5.2. </w:t>
      </w:r>
      <w:r w:rsidRPr="00EF69F0">
        <w:rPr>
          <w:rStyle w:val="nfasis"/>
          <w:rFonts w:ascii="Arial" w:eastAsia="MS Mincho" w:hAnsi="Arial" w:cs="Arial"/>
          <w:color w:val="000000"/>
          <w:sz w:val="19"/>
          <w:szCs w:val="19"/>
        </w:rPr>
        <w:t>Procedimiento para la contratación de mínima cuantía. </w:t>
      </w:r>
      <w:r w:rsidRPr="00EF69F0">
        <w:rPr>
          <w:rFonts w:ascii="Arial" w:hAnsi="Arial" w:cs="Arial"/>
          <w:color w:val="000000"/>
          <w:sz w:val="19"/>
          <w:szCs w:val="19"/>
        </w:rPr>
        <w:t>Las siguientes reglas son aplicables a la contratación cuyo valor no excede del 10% de la menor cuantía de la Entidad Estatal, independientemente de su objeto: </w:t>
      </w:r>
    </w:p>
    <w:p w14:paraId="0B57C135" w14:textId="11E0EC7E" w:rsidR="00606090" w:rsidRPr="00EF69F0" w:rsidRDefault="00606090" w:rsidP="0060609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r>
      <w:r w:rsidR="002648FD">
        <w:rPr>
          <w:rFonts w:ascii="Arial" w:hAnsi="Arial" w:cs="Arial"/>
          <w:color w:val="000000"/>
          <w:sz w:val="19"/>
          <w:szCs w:val="19"/>
        </w:rPr>
        <w:t>“</w:t>
      </w:r>
      <w:r w:rsidRPr="00EF69F0">
        <w:rPr>
          <w:rFonts w:ascii="Arial" w:hAnsi="Arial" w:cs="Arial"/>
          <w:color w:val="000000"/>
          <w:sz w:val="19"/>
          <w:szCs w:val="19"/>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r w:rsidR="002648FD">
        <w:rPr>
          <w:rFonts w:ascii="Arial" w:hAnsi="Arial" w:cs="Arial"/>
          <w:color w:val="000000"/>
          <w:sz w:val="19"/>
          <w:szCs w:val="19"/>
        </w:rPr>
        <w:t>”</w:t>
      </w:r>
      <w:r w:rsidRPr="00EF69F0">
        <w:rPr>
          <w:rFonts w:ascii="Arial" w:hAnsi="Arial" w:cs="Arial"/>
          <w:color w:val="000000"/>
          <w:sz w:val="19"/>
          <w:szCs w:val="19"/>
        </w:rPr>
        <w:t>. </w:t>
      </w:r>
    </w:p>
    <w:p w14:paraId="409BD00B" w14:textId="77777777" w:rsidR="00606090" w:rsidRPr="00EF69F0" w:rsidRDefault="00606090" w:rsidP="00606090">
      <w:pPr>
        <w:pStyle w:val="Textonotapie"/>
        <w:ind w:firstLine="709"/>
        <w:jc w:val="both"/>
        <w:rPr>
          <w:rFonts w:ascii="Arial" w:hAnsi="Arial" w:cs="Arial"/>
          <w:color w:val="000000"/>
          <w:sz w:val="19"/>
          <w:szCs w:val="19"/>
          <w:lang w:val="es-CO"/>
        </w:rPr>
      </w:pPr>
      <w:r w:rsidRPr="00EF69F0">
        <w:rPr>
          <w:rFonts w:ascii="Arial" w:hAnsi="Arial" w:cs="Arial"/>
          <w:color w:val="000000"/>
          <w:sz w:val="19"/>
          <w:szCs w:val="19"/>
        </w:rPr>
        <w:t xml:space="preserve"> </w:t>
      </w:r>
    </w:p>
  </w:footnote>
  <w:footnote w:id="12">
    <w:p w14:paraId="3488FBE8" w14:textId="071BDD18" w:rsidR="00606090" w:rsidRPr="00EF69F0" w:rsidRDefault="00606090" w:rsidP="00606090">
      <w:pPr>
        <w:pStyle w:val="NormalWeb"/>
        <w:spacing w:after="0"/>
        <w:ind w:firstLine="720"/>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002648FD">
        <w:rPr>
          <w:rFonts w:ascii="Arial" w:hAnsi="Arial" w:cs="Arial"/>
          <w:color w:val="000000"/>
          <w:sz w:val="19"/>
          <w:szCs w:val="19"/>
        </w:rPr>
        <w:t>“</w:t>
      </w:r>
      <w:r w:rsidRPr="00EF69F0">
        <w:rPr>
          <w:rStyle w:val="Textoennegrita"/>
          <w:rFonts w:ascii="Arial" w:hAnsi="Arial" w:cs="Arial"/>
          <w:color w:val="000000"/>
          <w:sz w:val="19"/>
          <w:szCs w:val="19"/>
        </w:rPr>
        <w:t>Articulo 39. De la forma del contrato estatal. </w:t>
      </w:r>
      <w:r w:rsidRPr="00EF69F0">
        <w:rPr>
          <w:rFonts w:ascii="Arial" w:hAnsi="Arial" w:cs="Arial"/>
          <w:color w:val="000000"/>
          <w:sz w:val="19"/>
          <w:szCs w:val="19"/>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0634B8D2" w14:textId="77777777" w:rsidR="00606090" w:rsidRPr="00EF69F0" w:rsidRDefault="00606090" w:rsidP="0060609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w:t>
      </w:r>
      <w:bookmarkStart w:id="3" w:name="ver_1790147"/>
      <w:bookmarkStart w:id="4" w:name="ver_30220791"/>
      <w:bookmarkStart w:id="5" w:name="ver_1790148"/>
      <w:bookmarkEnd w:id="3"/>
      <w:bookmarkEnd w:id="4"/>
    </w:p>
    <w:p w14:paraId="2FA2F2FB" w14:textId="5365C032" w:rsidR="00606090" w:rsidRPr="00EF69F0" w:rsidRDefault="002648FD" w:rsidP="00606090">
      <w:pPr>
        <w:pStyle w:val="NormalWeb"/>
        <w:spacing w:after="0"/>
        <w:ind w:firstLine="720"/>
        <w:jc w:val="both"/>
        <w:rPr>
          <w:rFonts w:ascii="Arial" w:hAnsi="Arial" w:cs="Arial"/>
          <w:color w:val="000000"/>
          <w:sz w:val="19"/>
          <w:szCs w:val="19"/>
        </w:rPr>
      </w:pPr>
      <w:r>
        <w:rPr>
          <w:rStyle w:val="Textoennegrita"/>
          <w:rFonts w:ascii="Arial" w:hAnsi="Arial" w:cs="Arial"/>
          <w:color w:val="000000"/>
          <w:sz w:val="19"/>
          <w:szCs w:val="19"/>
        </w:rPr>
        <w:t>“</w:t>
      </w:r>
      <w:r w:rsidR="00606090" w:rsidRPr="00EF69F0">
        <w:rPr>
          <w:rStyle w:val="Textoennegrita"/>
          <w:rFonts w:ascii="Arial" w:hAnsi="Arial" w:cs="Arial"/>
          <w:color w:val="000000"/>
          <w:sz w:val="19"/>
          <w:szCs w:val="19"/>
        </w:rPr>
        <w:t>Articulo 40. Del contenido del contrato estatal.</w:t>
      </w:r>
      <w:r w:rsidR="00606090" w:rsidRPr="00EF69F0">
        <w:rPr>
          <w:rFonts w:ascii="Arial" w:hAnsi="Arial" w:cs="Arial"/>
          <w:color w:val="000000"/>
          <w:sz w:val="19"/>
          <w:szCs w:val="19"/>
        </w:rPr>
        <w:t> Las estipulaciones de los contratos serán las que de acuerdo con las normas civiles, comerciales y las previstas en esta ley, correspondan a su esencia y naturaleza. </w:t>
      </w:r>
    </w:p>
    <w:p w14:paraId="195064D9" w14:textId="4FD433A8" w:rsidR="00606090" w:rsidRPr="00EF69F0" w:rsidRDefault="002648FD" w:rsidP="00606090">
      <w:pPr>
        <w:pStyle w:val="NormalWeb"/>
        <w:spacing w:after="0"/>
        <w:ind w:firstLine="720"/>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Las entidades podrán celebrar los contratos y acuerdos que permitan la autonomía de la voluntad y requieran el cumplimiento de los fines estatales. </w:t>
      </w:r>
    </w:p>
    <w:p w14:paraId="3C398E42" w14:textId="77777777" w:rsidR="00606090" w:rsidRPr="00EF69F0" w:rsidRDefault="00606090" w:rsidP="0060609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  </w:t>
      </w:r>
    </w:p>
    <w:p w14:paraId="07134103" w14:textId="52630E62" w:rsidR="00606090" w:rsidRPr="00EF69F0" w:rsidRDefault="002648FD" w:rsidP="00606090">
      <w:pPr>
        <w:pStyle w:val="NormalWeb"/>
        <w:spacing w:after="0"/>
        <w:ind w:firstLine="720"/>
        <w:jc w:val="both"/>
        <w:rPr>
          <w:rFonts w:ascii="Arial" w:hAnsi="Arial" w:cs="Arial"/>
          <w:color w:val="000000"/>
          <w:sz w:val="19"/>
          <w:szCs w:val="19"/>
        </w:rPr>
      </w:pPr>
      <w:bookmarkStart w:id="6" w:name="ver_30161420"/>
      <w:bookmarkStart w:id="7" w:name="ver_1790149"/>
      <w:bookmarkStart w:id="8" w:name="ver_30161408"/>
      <w:bookmarkStart w:id="9" w:name="ver_30161443"/>
      <w:bookmarkEnd w:id="5"/>
      <w:bookmarkEnd w:id="6"/>
      <w:bookmarkEnd w:id="7"/>
      <w:bookmarkEnd w:id="8"/>
      <w:bookmarkEnd w:id="9"/>
      <w:r>
        <w:rPr>
          <w:rStyle w:val="Textoennegrita"/>
          <w:rFonts w:ascii="Arial" w:hAnsi="Arial" w:cs="Arial"/>
          <w:color w:val="000000"/>
          <w:sz w:val="19"/>
          <w:szCs w:val="19"/>
        </w:rPr>
        <w:t>“</w:t>
      </w:r>
      <w:r w:rsidR="00606090" w:rsidRPr="00EF69F0">
        <w:rPr>
          <w:rStyle w:val="Textoennegrita"/>
          <w:rFonts w:ascii="Arial" w:hAnsi="Arial" w:cs="Arial"/>
          <w:color w:val="000000"/>
          <w:sz w:val="19"/>
          <w:szCs w:val="19"/>
        </w:rPr>
        <w:t>Artículo 41. Del perfeccionamiento del contrato.</w:t>
      </w:r>
      <w:r w:rsidR="00606090" w:rsidRPr="00EF69F0">
        <w:rPr>
          <w:rFonts w:ascii="Arial" w:hAnsi="Arial" w:cs="Arial"/>
          <w:color w:val="000000"/>
          <w:sz w:val="19"/>
          <w:szCs w:val="19"/>
        </w:rPr>
        <w:t> Los contratos del Estado se perfeccionan cuando se logre acuerdo sobre el objeto y la contraprestación y éste se eleve a escrito […]</w:t>
      </w:r>
      <w:r>
        <w:rPr>
          <w:rFonts w:ascii="Arial" w:hAnsi="Arial" w:cs="Arial"/>
          <w:color w:val="000000"/>
          <w:sz w:val="19"/>
          <w:szCs w:val="19"/>
        </w:rPr>
        <w:t>”</w:t>
      </w:r>
      <w:r w:rsidR="00606090" w:rsidRPr="00EF69F0">
        <w:rPr>
          <w:rFonts w:ascii="Arial" w:hAnsi="Arial" w:cs="Arial"/>
          <w:color w:val="000000"/>
          <w:sz w:val="19"/>
          <w:szCs w:val="19"/>
        </w:rPr>
        <w:t>.</w:t>
      </w:r>
    </w:p>
    <w:p w14:paraId="08B1CB10" w14:textId="77777777" w:rsidR="00606090" w:rsidRPr="00EF69F0" w:rsidRDefault="00606090" w:rsidP="00606090">
      <w:pPr>
        <w:pStyle w:val="Textonotapie"/>
        <w:jc w:val="both"/>
        <w:rPr>
          <w:rFonts w:ascii="Arial" w:hAnsi="Arial" w:cs="Arial"/>
          <w:color w:val="000000"/>
          <w:sz w:val="19"/>
          <w:szCs w:val="19"/>
          <w:lang w:val="es-CO"/>
        </w:rPr>
      </w:pPr>
    </w:p>
  </w:footnote>
  <w:footnote w:id="13">
    <w:p w14:paraId="27C7D66B" w14:textId="239794BC" w:rsidR="00606090" w:rsidRPr="00EF69F0" w:rsidRDefault="00606090" w:rsidP="00606090">
      <w:pPr>
        <w:pStyle w:val="Textonotapie"/>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002648FD">
        <w:rPr>
          <w:rFonts w:ascii="Arial" w:hAnsi="Arial" w:cs="Arial"/>
          <w:color w:val="000000"/>
          <w:sz w:val="19"/>
          <w:szCs w:val="19"/>
        </w:rPr>
        <w:t>“</w:t>
      </w:r>
      <w:r w:rsidRPr="00EF69F0">
        <w:rPr>
          <w:rStyle w:val="Textoennegrita"/>
          <w:rFonts w:ascii="Arial" w:hAnsi="Arial" w:cs="Arial"/>
          <w:color w:val="000000"/>
          <w:sz w:val="19"/>
          <w:szCs w:val="19"/>
        </w:rPr>
        <w:t>Artículo 77. De la normatividad aplicable en las actuaciones administrativas.</w:t>
      </w:r>
      <w:r w:rsidRPr="00EF69F0">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sidR="002648FD">
        <w:rPr>
          <w:rFonts w:ascii="Arial" w:hAnsi="Arial" w:cs="Arial"/>
          <w:color w:val="000000"/>
          <w:sz w:val="19"/>
          <w:szCs w:val="19"/>
        </w:rPr>
        <w:t>”</w:t>
      </w:r>
      <w:r w:rsidRPr="00EF69F0">
        <w:rPr>
          <w:rFonts w:ascii="Arial" w:hAnsi="Arial" w:cs="Arial"/>
          <w:color w:val="000000"/>
          <w:sz w:val="19"/>
          <w:szCs w:val="19"/>
        </w:rPr>
        <w:t xml:space="preserve"> […]</w:t>
      </w:r>
      <w:r w:rsidR="002648FD">
        <w:rPr>
          <w:rFonts w:ascii="Arial" w:hAnsi="Arial" w:cs="Arial"/>
          <w:color w:val="000000"/>
          <w:sz w:val="19"/>
          <w:szCs w:val="19"/>
        </w:rPr>
        <w:t>”</w:t>
      </w:r>
      <w:r w:rsidRPr="00EF69F0">
        <w:rPr>
          <w:rFonts w:ascii="Arial" w:hAnsi="Arial" w:cs="Arial"/>
          <w:color w:val="000000"/>
          <w:sz w:val="19"/>
          <w:szCs w:val="19"/>
        </w:rPr>
        <w:t>. </w:t>
      </w:r>
    </w:p>
    <w:p w14:paraId="387983CA" w14:textId="77777777" w:rsidR="00606090" w:rsidRPr="00EF69F0" w:rsidRDefault="00606090" w:rsidP="00606090">
      <w:pPr>
        <w:pStyle w:val="Textonotapie"/>
        <w:ind w:firstLine="709"/>
        <w:jc w:val="both"/>
        <w:rPr>
          <w:rFonts w:ascii="Arial" w:hAnsi="Arial" w:cs="Arial"/>
          <w:color w:val="000000"/>
          <w:sz w:val="19"/>
          <w:szCs w:val="19"/>
          <w:lang w:val="es-CO"/>
        </w:rPr>
      </w:pPr>
      <w:r w:rsidRPr="00EF69F0">
        <w:rPr>
          <w:rFonts w:ascii="Arial" w:hAnsi="Arial" w:cs="Arial"/>
          <w:color w:val="000000"/>
          <w:sz w:val="19"/>
          <w:szCs w:val="19"/>
        </w:rPr>
        <w:t xml:space="preserve"> </w:t>
      </w:r>
    </w:p>
  </w:footnote>
  <w:footnote w:id="14">
    <w:p w14:paraId="28C1A9B6" w14:textId="3A527325" w:rsidR="00606090" w:rsidRPr="00EF69F0" w:rsidRDefault="00606090" w:rsidP="00606090">
      <w:pPr>
        <w:pStyle w:val="NormalWeb"/>
        <w:spacing w:after="0"/>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002648FD">
        <w:rPr>
          <w:rFonts w:ascii="Arial" w:hAnsi="Arial" w:cs="Arial"/>
          <w:color w:val="000000"/>
          <w:sz w:val="19"/>
          <w:szCs w:val="19"/>
        </w:rPr>
        <w:t>“</w:t>
      </w:r>
      <w:r w:rsidRPr="00EF69F0">
        <w:rPr>
          <w:rStyle w:val="Textoennegrita"/>
          <w:rFonts w:ascii="Arial" w:hAnsi="Arial" w:cs="Arial"/>
          <w:color w:val="000000"/>
          <w:sz w:val="19"/>
          <w:szCs w:val="19"/>
        </w:rPr>
        <w:t>Artículo 25. Del principio de economía.</w:t>
      </w:r>
      <w:r w:rsidRPr="00EF69F0">
        <w:rPr>
          <w:rFonts w:ascii="Arial" w:hAnsi="Arial" w:cs="Arial"/>
          <w:color w:val="000000"/>
          <w:sz w:val="19"/>
          <w:szCs w:val="19"/>
        </w:rPr>
        <w:t> En virtud de este principio: </w:t>
      </w:r>
    </w:p>
    <w:p w14:paraId="28986FFA" w14:textId="77777777" w:rsidR="00606090" w:rsidRPr="00EF69F0" w:rsidRDefault="00606090" w:rsidP="00606090">
      <w:pPr>
        <w:pStyle w:val="NormalWeb"/>
        <w:spacing w:after="0"/>
        <w:ind w:firstLine="709"/>
        <w:jc w:val="both"/>
        <w:rPr>
          <w:rFonts w:ascii="Arial" w:hAnsi="Arial" w:cs="Arial"/>
          <w:color w:val="000000"/>
          <w:sz w:val="19"/>
          <w:szCs w:val="19"/>
        </w:rPr>
      </w:pPr>
      <w:r w:rsidRPr="00EF69F0">
        <w:rPr>
          <w:rFonts w:ascii="Arial" w:hAnsi="Arial" w:cs="Arial"/>
          <w:color w:val="000000"/>
          <w:sz w:val="19"/>
          <w:szCs w:val="19"/>
        </w:rPr>
        <w:t>[…]</w:t>
      </w:r>
    </w:p>
    <w:p w14:paraId="7B0CA0E2" w14:textId="55751A46" w:rsidR="00606090" w:rsidRPr="00EF69F0" w:rsidRDefault="002648FD" w:rsidP="00606090">
      <w:pPr>
        <w:pStyle w:val="NormalWeb"/>
        <w:spacing w:after="0"/>
        <w:ind w:firstLine="709"/>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4o. Los trámites se adelantarán con austeridad de tiempo, medios y gastos y se impedirán las dilaciones y los retardos en la ejecución del contrato. </w:t>
      </w:r>
    </w:p>
    <w:p w14:paraId="2E8500DA" w14:textId="7751DA1C" w:rsidR="00606090" w:rsidRPr="00EF69F0" w:rsidRDefault="00606090" w:rsidP="0060609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r>
      <w:r w:rsidR="002648FD">
        <w:rPr>
          <w:rFonts w:ascii="Arial" w:hAnsi="Arial" w:cs="Arial"/>
          <w:color w:val="000000"/>
          <w:sz w:val="19"/>
          <w:szCs w:val="19"/>
        </w:rPr>
        <w:t>“</w:t>
      </w:r>
      <w:r w:rsidRPr="00EF69F0">
        <w:rPr>
          <w:rFonts w:ascii="Arial" w:hAnsi="Arial" w:cs="Arial"/>
          <w:color w:val="000000"/>
          <w:sz w:val="19"/>
          <w:szCs w:val="19"/>
        </w:rPr>
        <w:t>5o. Se adoptarán procedimientos que garanticen la pronta solución de las diferencias y controversias que con motivo de la celebración y ejecución del contrato se presenten […]</w:t>
      </w:r>
      <w:r w:rsidR="002648FD">
        <w:rPr>
          <w:rFonts w:ascii="Arial" w:hAnsi="Arial" w:cs="Arial"/>
          <w:color w:val="000000"/>
          <w:sz w:val="19"/>
          <w:szCs w:val="19"/>
        </w:rPr>
        <w:t>”</w:t>
      </w:r>
      <w:r w:rsidRPr="00EF69F0">
        <w:rPr>
          <w:rFonts w:ascii="Arial" w:hAnsi="Arial" w:cs="Arial"/>
          <w:color w:val="000000"/>
          <w:sz w:val="19"/>
          <w:szCs w:val="19"/>
        </w:rPr>
        <w:t>.</w:t>
      </w:r>
    </w:p>
    <w:p w14:paraId="3F7E83B0" w14:textId="77777777" w:rsidR="00606090" w:rsidRPr="00EF69F0" w:rsidRDefault="00606090" w:rsidP="00606090">
      <w:pPr>
        <w:pStyle w:val="Textonotapie"/>
        <w:jc w:val="both"/>
        <w:rPr>
          <w:rFonts w:ascii="Arial" w:hAnsi="Arial" w:cs="Arial"/>
          <w:color w:val="000000"/>
          <w:sz w:val="19"/>
          <w:szCs w:val="19"/>
          <w:lang w:val="es-CO"/>
        </w:rPr>
      </w:pPr>
    </w:p>
  </w:footnote>
  <w:footnote w:id="15">
    <w:p w14:paraId="738EBE44" w14:textId="051EFC41" w:rsidR="00606090" w:rsidRPr="00673C25" w:rsidRDefault="00606090" w:rsidP="00606090">
      <w:pPr>
        <w:pStyle w:val="Textonotapie"/>
        <w:ind w:firstLine="708"/>
        <w:jc w:val="both"/>
        <w:rPr>
          <w:rStyle w:val="Hipervnculo"/>
          <w:rFonts w:ascii="Arial" w:hAnsi="Arial" w:cs="Arial"/>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COLOMBIA COMPRA EFICIENTE. Guía para la Liquidación de los Procesos de Contratación. página 5, disponible en: </w:t>
      </w:r>
      <w:r w:rsidR="00673C25">
        <w:rPr>
          <w:rStyle w:val="Hipervnculo1"/>
          <w:rFonts w:ascii="Arial" w:hAnsi="Arial" w:cs="Arial"/>
          <w:color w:val="000000"/>
          <w:sz w:val="19"/>
          <w:szCs w:val="19"/>
        </w:rPr>
        <w:fldChar w:fldCharType="begin"/>
      </w:r>
      <w:r w:rsidR="00673C25">
        <w:rPr>
          <w:rStyle w:val="Hipervnculo1"/>
          <w:rFonts w:ascii="Arial" w:hAnsi="Arial" w:cs="Arial"/>
          <w:color w:val="000000"/>
          <w:sz w:val="19"/>
          <w:szCs w:val="19"/>
        </w:rPr>
        <w:instrText xml:space="preserve"> HYPERLINK "https://cceficiente.sharepoint.com/sites/SGDEA/TRD_254/EXPEDIENTE_1668/DOCUMENTO_407171/DOCUMENTO_407171.docx" </w:instrText>
      </w:r>
      <w:r w:rsidR="00673C25">
        <w:rPr>
          <w:rStyle w:val="Hipervnculo1"/>
          <w:rFonts w:ascii="Arial" w:hAnsi="Arial" w:cs="Arial"/>
          <w:color w:val="000000"/>
          <w:sz w:val="19"/>
          <w:szCs w:val="19"/>
        </w:rPr>
      </w:r>
      <w:r w:rsidR="00673C25">
        <w:rPr>
          <w:rStyle w:val="Hipervnculo1"/>
          <w:rFonts w:ascii="Arial" w:hAnsi="Arial" w:cs="Arial"/>
          <w:color w:val="000000"/>
          <w:sz w:val="19"/>
          <w:szCs w:val="19"/>
        </w:rPr>
        <w:fldChar w:fldCharType="separate"/>
      </w:r>
      <w:r w:rsidRPr="00673C25">
        <w:rPr>
          <w:rStyle w:val="Hipervnculo"/>
          <w:rFonts w:ascii="Arial" w:hAnsi="Arial" w:cs="Arial"/>
          <w:sz w:val="19"/>
          <w:szCs w:val="19"/>
        </w:rPr>
        <w:t>https://www.colombiacompra.gov.co/sites/cce_public/files/cce_documents/cce_guia_liquidacion_procesos.pdf</w:t>
      </w:r>
      <w:r w:rsidR="00A42B72" w:rsidRPr="00673C25">
        <w:rPr>
          <w:rStyle w:val="Hipervnculo"/>
          <w:rFonts w:ascii="Arial" w:hAnsi="Arial" w:cs="Arial"/>
          <w:sz w:val="19"/>
          <w:szCs w:val="19"/>
        </w:rPr>
        <w:t xml:space="preserve"> </w:t>
      </w:r>
      <w:r w:rsidRPr="00673C25">
        <w:rPr>
          <w:rStyle w:val="Hipervnculo"/>
          <w:rFonts w:ascii="Arial" w:hAnsi="Arial" w:cs="Arial"/>
          <w:sz w:val="19"/>
          <w:szCs w:val="19"/>
        </w:rPr>
        <w:t xml:space="preserve"> </w:t>
      </w:r>
    </w:p>
    <w:p w14:paraId="462633E9" w14:textId="048EC357" w:rsidR="00606090" w:rsidRPr="00EF69F0" w:rsidRDefault="00673C25" w:rsidP="00606090">
      <w:pPr>
        <w:pStyle w:val="Textonotapie"/>
        <w:ind w:firstLine="708"/>
        <w:jc w:val="both"/>
        <w:rPr>
          <w:rFonts w:ascii="Arial" w:hAnsi="Arial" w:cs="Arial"/>
          <w:color w:val="000000"/>
          <w:sz w:val="19"/>
          <w:szCs w:val="19"/>
          <w:lang w:val="es-ES"/>
        </w:rPr>
      </w:pPr>
      <w:r>
        <w:rPr>
          <w:rStyle w:val="Hipervnculo1"/>
          <w:rFonts w:ascii="Arial" w:hAnsi="Arial" w:cs="Arial"/>
          <w:color w:val="000000"/>
          <w:sz w:val="19"/>
          <w:szCs w:val="19"/>
        </w:rPr>
        <w:fldChar w:fldCharType="end"/>
      </w:r>
    </w:p>
  </w:footnote>
  <w:footnote w:id="16">
    <w:p w14:paraId="42A23934" w14:textId="777777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64794546" w14:textId="77777777" w:rsidR="00606090" w:rsidRPr="00EF69F0" w:rsidRDefault="00606090" w:rsidP="00606090">
      <w:pPr>
        <w:pStyle w:val="Textonotapie"/>
        <w:ind w:firstLine="708"/>
        <w:jc w:val="both"/>
        <w:rPr>
          <w:rFonts w:ascii="Arial" w:hAnsi="Arial" w:cs="Arial"/>
          <w:color w:val="000000"/>
          <w:sz w:val="19"/>
          <w:szCs w:val="19"/>
          <w:lang w:val="es-ES"/>
        </w:rPr>
      </w:pPr>
    </w:p>
  </w:footnote>
  <w:footnote w:id="17">
    <w:p w14:paraId="1B636FEA" w14:textId="777777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Sala de Consulta y Servicio Civil. Concepto de 28 de Junio de 2016. Radicación: 2253. C.P. Álvaro Namén Vargas. </w:t>
      </w:r>
    </w:p>
    <w:p w14:paraId="50C9238C" w14:textId="77777777" w:rsidR="00606090" w:rsidRPr="00EF69F0" w:rsidRDefault="00606090" w:rsidP="00606090">
      <w:pPr>
        <w:pStyle w:val="Textonotapie"/>
        <w:jc w:val="both"/>
        <w:rPr>
          <w:rFonts w:ascii="Arial" w:hAnsi="Arial" w:cs="Arial"/>
          <w:color w:val="000000"/>
          <w:sz w:val="19"/>
          <w:szCs w:val="19"/>
          <w:lang w:val="es-ES"/>
        </w:rPr>
      </w:pPr>
    </w:p>
  </w:footnote>
  <w:footnote w:id="18">
    <w:p w14:paraId="4F658CE6" w14:textId="77777777" w:rsidR="00606090" w:rsidRPr="00EF69F0" w:rsidRDefault="00606090" w:rsidP="00606090">
      <w:pPr>
        <w:pStyle w:val="Textonotapie"/>
        <w:ind w:firstLine="708"/>
        <w:jc w:val="both"/>
        <w:rPr>
          <w:color w:val="000000"/>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w:t>
      </w:r>
      <w:r w:rsidRPr="00EF69F0">
        <w:rPr>
          <w:rFonts w:ascii="Arial" w:hAnsi="Arial" w:cs="Arial"/>
          <w:color w:val="000000"/>
          <w:sz w:val="19"/>
          <w:szCs w:val="19"/>
          <w:lang w:val="es-CO"/>
        </w:rPr>
        <w:t xml:space="preserve">Sala Plena. Auto del 1 de agosto de 2019. </w:t>
      </w:r>
      <w:r w:rsidRPr="00EF69F0">
        <w:rPr>
          <w:rFonts w:ascii="Arial" w:hAnsi="Arial" w:cs="Arial"/>
          <w:color w:val="000000"/>
          <w:sz w:val="19"/>
          <w:szCs w:val="19"/>
        </w:rPr>
        <w:t xml:space="preserve">Exp. 62009. C.P. Jaime Enrique Rodríguez Navas. </w:t>
      </w:r>
      <w:r w:rsidRPr="00EF69F0">
        <w:rPr>
          <w:color w:val="000000"/>
          <w:lang w:val="es-ES"/>
        </w:rPr>
        <w:t xml:space="preserve"> </w:t>
      </w:r>
    </w:p>
  </w:footnote>
  <w:footnote w:id="19">
    <w:p w14:paraId="05DB21A2" w14:textId="77777777" w:rsidR="00606090" w:rsidRPr="00EF69F0" w:rsidRDefault="00606090" w:rsidP="0060609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 xml:space="preserve">COLOMBIA COMPRA EFICIENTE. Guía de Garantías en Proceso de Contratación. Disponible en: </w:t>
      </w:r>
      <w:hyperlink r:id="rId2" w:history="1">
        <w:r w:rsidRPr="00EF69F0">
          <w:rPr>
            <w:rStyle w:val="Hipervnculo1"/>
            <w:rFonts w:ascii="Arial" w:hAnsi="Arial" w:cs="Arial"/>
            <w:color w:val="000000"/>
            <w:sz w:val="19"/>
            <w:szCs w:val="19"/>
          </w:rPr>
          <w:t>https://www.colombiacompra.gov.co/sites/cce_public/files/cce_documents/cce_guia_garantias.pdf</w:t>
        </w:r>
      </w:hyperlink>
      <w:r w:rsidRPr="00EF69F0">
        <w:rPr>
          <w:rFonts w:ascii="Arial" w:hAnsi="Arial" w:cs="Arial"/>
          <w:color w:val="000000"/>
          <w:sz w:val="19"/>
          <w:szCs w:val="19"/>
          <w:lang w:val="es-ES"/>
        </w:rPr>
        <w:t xml:space="preserve"> </w:t>
      </w:r>
    </w:p>
    <w:p w14:paraId="42A601AB" w14:textId="77777777" w:rsidR="00606090" w:rsidRPr="00EF69F0" w:rsidRDefault="00606090" w:rsidP="00606090">
      <w:pPr>
        <w:pStyle w:val="Textonotapie"/>
        <w:jc w:val="both"/>
        <w:rPr>
          <w:rFonts w:ascii="Arial" w:hAnsi="Arial" w:cs="Arial"/>
          <w:color w:val="000000"/>
          <w:sz w:val="19"/>
          <w:szCs w:val="19"/>
        </w:rPr>
      </w:pPr>
    </w:p>
  </w:footnote>
  <w:footnote w:id="20">
    <w:p w14:paraId="759AD156" w14:textId="77777777" w:rsidR="00606090" w:rsidRPr="00EF69F0" w:rsidRDefault="00606090" w:rsidP="0060609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 xml:space="preserve">COLOMBIA COMPRA EFICIENTE. Síntesis: 8. Etapa precontractual: Garantía de cumplimiento del contrato estatal. </w:t>
      </w:r>
    </w:p>
    <w:p w14:paraId="4F5DD6BD" w14:textId="77777777" w:rsidR="00606090" w:rsidRPr="00EF69F0" w:rsidRDefault="00606090" w:rsidP="00606090">
      <w:pPr>
        <w:pStyle w:val="Textonotapie"/>
        <w:ind w:firstLine="708"/>
        <w:jc w:val="both"/>
        <w:rPr>
          <w:rFonts w:ascii="Arial" w:hAnsi="Arial" w:cs="Arial"/>
          <w:color w:val="000000"/>
          <w:sz w:val="19"/>
          <w:szCs w:val="19"/>
        </w:rPr>
      </w:pPr>
    </w:p>
  </w:footnote>
  <w:footnote w:id="21">
    <w:p w14:paraId="5E03EC4C" w14:textId="20E0A96B"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La norma citada dispone: </w:t>
      </w:r>
      <w:r w:rsidR="002648FD">
        <w:rPr>
          <w:rFonts w:ascii="Arial" w:hAnsi="Arial" w:cs="Arial"/>
          <w:color w:val="000000"/>
          <w:sz w:val="19"/>
          <w:szCs w:val="19"/>
        </w:rPr>
        <w:t>“</w:t>
      </w:r>
      <w:r w:rsidRPr="00EF69F0">
        <w:rPr>
          <w:rFonts w:ascii="Arial" w:hAnsi="Arial" w:cs="Arial"/>
          <w:color w:val="000000"/>
          <w:sz w:val="19"/>
          <w:szCs w:val="19"/>
        </w:rPr>
        <w:t>Artículo 2.2.1.2.3.1.7. Garantía de cumplimiento. La garantía de cumplimiento del contrato debe cubrir:</w:t>
      </w:r>
    </w:p>
    <w:p w14:paraId="578CFF11" w14:textId="422A5AF8"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572218C0" w14:textId="44D416C4"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521C54F7" w14:textId="4698B2ED"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3.    Cumplimiento del contrato. Este amparo cubre a la Entidad Estatal de los perjuicios derivados de:</w:t>
      </w:r>
    </w:p>
    <w:p w14:paraId="23F4720E" w14:textId="22094669"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3.1.   El incumplimiento total o parcial del contrato, cuando el incumplimiento es imputable al contratista;</w:t>
      </w:r>
    </w:p>
    <w:p w14:paraId="73C85342" w14:textId="7DA0381D"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3.2.   El cumplimiento tardío o defectuoso del contrato, cuando el incumplimiento es imputable al contratista;</w:t>
      </w:r>
    </w:p>
    <w:p w14:paraId="672EF273" w14:textId="36EC5CF1"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3.3.   Los daños imputables al contratista por entregas parciales de la obra, cuando el contrato no prevé entregas parciales; y</w:t>
      </w:r>
    </w:p>
    <w:p w14:paraId="0F182023" w14:textId="058E13CE"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3.4.   El pago del valor de las multas y de la cláusula penal pecuniaria.</w:t>
      </w:r>
    </w:p>
    <w:p w14:paraId="2B95A9F2" w14:textId="5D74F785"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27A56A7A" w14:textId="5A4C2B23"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La Entidad Estatal no debe exigir una garantía para cubrir este Riesgo en los contratos que se ejecuten fuera del territorio nacional con personal contratado bajo un régimen jurídico distinto al colombiano.</w:t>
      </w:r>
    </w:p>
    <w:p w14:paraId="0FF2A1B1" w14:textId="5AB9E740"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5.    Estabilidad y calidad de la obra. Este amparo cubre a la Entidad Estatal de los perjuicios ocasionados por cualquier tipo de daño o deterioro, imputable al contratista, sufrido por la obra entregada a satisfacción.</w:t>
      </w:r>
    </w:p>
    <w:p w14:paraId="6A31AED5" w14:textId="1EF9C7F0"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6.    Calidad del servicio. Este amparo cubre a la Entidad Estatal por los perjuicios deri­vados de la deficiente calidad del servicio prestado.</w:t>
      </w:r>
    </w:p>
    <w:p w14:paraId="0F0D0FAD" w14:textId="6C0C1EE8"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7.    Calidad y correcto funcionamiento de los bienes. Este amparo debe cubrir la calidad y el correcto funcionamiento de los bienes que recibe la Entidad Estatal en cumplimiento de un contrato.</w:t>
      </w:r>
    </w:p>
    <w:p w14:paraId="031F21B7" w14:textId="4CDA44C0" w:rsidR="00606090" w:rsidRPr="00EF69F0" w:rsidRDefault="002648FD" w:rsidP="00606090">
      <w:pPr>
        <w:pStyle w:val="Textonotapie"/>
        <w:ind w:firstLine="708"/>
        <w:jc w:val="both"/>
        <w:rPr>
          <w:rFonts w:ascii="Arial" w:hAnsi="Arial" w:cs="Arial"/>
          <w:color w:val="000000"/>
          <w:sz w:val="19"/>
          <w:szCs w:val="19"/>
        </w:rPr>
      </w:pPr>
      <w:r>
        <w:rPr>
          <w:rFonts w:ascii="Arial" w:hAnsi="Arial" w:cs="Arial"/>
          <w:color w:val="000000"/>
          <w:sz w:val="19"/>
          <w:szCs w:val="19"/>
        </w:rPr>
        <w:t>“</w:t>
      </w:r>
      <w:r w:rsidR="00606090" w:rsidRPr="00EF69F0">
        <w:rPr>
          <w:rFonts w:ascii="Arial" w:hAnsi="Arial" w:cs="Arial"/>
          <w:color w:val="000000"/>
          <w:sz w:val="19"/>
          <w:szCs w:val="19"/>
        </w:rPr>
        <w:t>8.    Los demás incumplimientos de obligaciones que la Entidad Estatal considere deben ser amparados de manera proporcional y acorde a la naturaleza del contrato</w:t>
      </w:r>
      <w:r>
        <w:rPr>
          <w:rFonts w:ascii="Arial" w:hAnsi="Arial" w:cs="Arial"/>
          <w:color w:val="000000"/>
          <w:sz w:val="19"/>
          <w:szCs w:val="19"/>
        </w:rPr>
        <w:t>”</w:t>
      </w:r>
      <w:r w:rsidR="00606090" w:rsidRPr="00EF69F0">
        <w:rPr>
          <w:rFonts w:ascii="Arial" w:hAnsi="Arial" w:cs="Arial"/>
          <w:color w:val="000000"/>
          <w:sz w:val="19"/>
          <w:szCs w:val="19"/>
        </w:rPr>
        <w:t>.</w:t>
      </w:r>
    </w:p>
  </w:footnote>
  <w:footnote w:id="22">
    <w:p w14:paraId="5C5D0FFE" w14:textId="77777777" w:rsidR="00606090" w:rsidRPr="00EF69F0" w:rsidRDefault="00606090" w:rsidP="0060609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B. Sentencia de 19 de junio de 2013. Exp. 25472.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91088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08D"/>
    <w:rsid w:val="000233B3"/>
    <w:rsid w:val="00083334"/>
    <w:rsid w:val="000956CF"/>
    <w:rsid w:val="000A683E"/>
    <w:rsid w:val="000D5930"/>
    <w:rsid w:val="000F4654"/>
    <w:rsid w:val="00105737"/>
    <w:rsid w:val="0011595A"/>
    <w:rsid w:val="001220C5"/>
    <w:rsid w:val="001267F7"/>
    <w:rsid w:val="00127233"/>
    <w:rsid w:val="00130999"/>
    <w:rsid w:val="00164D81"/>
    <w:rsid w:val="0016624A"/>
    <w:rsid w:val="0017085C"/>
    <w:rsid w:val="001A1011"/>
    <w:rsid w:val="001A48D0"/>
    <w:rsid w:val="001A6521"/>
    <w:rsid w:val="00225FFE"/>
    <w:rsid w:val="002648FD"/>
    <w:rsid w:val="002653C1"/>
    <w:rsid w:val="0026611D"/>
    <w:rsid w:val="0028051E"/>
    <w:rsid w:val="002951A0"/>
    <w:rsid w:val="002A64FD"/>
    <w:rsid w:val="002F0839"/>
    <w:rsid w:val="002F511C"/>
    <w:rsid w:val="00301469"/>
    <w:rsid w:val="00306EE1"/>
    <w:rsid w:val="00310B9B"/>
    <w:rsid w:val="00314F01"/>
    <w:rsid w:val="003418B0"/>
    <w:rsid w:val="003504B4"/>
    <w:rsid w:val="00353E60"/>
    <w:rsid w:val="0036461C"/>
    <w:rsid w:val="00367884"/>
    <w:rsid w:val="0039439C"/>
    <w:rsid w:val="003A7A14"/>
    <w:rsid w:val="003B69E7"/>
    <w:rsid w:val="003C013B"/>
    <w:rsid w:val="003D0F4D"/>
    <w:rsid w:val="003F58A1"/>
    <w:rsid w:val="004053D1"/>
    <w:rsid w:val="00410DD6"/>
    <w:rsid w:val="004134C9"/>
    <w:rsid w:val="0043138C"/>
    <w:rsid w:val="00462A59"/>
    <w:rsid w:val="004A1847"/>
    <w:rsid w:val="004B6B0E"/>
    <w:rsid w:val="004D25B3"/>
    <w:rsid w:val="004D6C55"/>
    <w:rsid w:val="004E70FA"/>
    <w:rsid w:val="0050246E"/>
    <w:rsid w:val="00511405"/>
    <w:rsid w:val="00514979"/>
    <w:rsid w:val="00522B18"/>
    <w:rsid w:val="00526E9D"/>
    <w:rsid w:val="00547856"/>
    <w:rsid w:val="00547A74"/>
    <w:rsid w:val="005566E8"/>
    <w:rsid w:val="005746AB"/>
    <w:rsid w:val="005828FC"/>
    <w:rsid w:val="00582A84"/>
    <w:rsid w:val="00590822"/>
    <w:rsid w:val="0059357F"/>
    <w:rsid w:val="005A1130"/>
    <w:rsid w:val="005A48B6"/>
    <w:rsid w:val="005D65C8"/>
    <w:rsid w:val="00602EAF"/>
    <w:rsid w:val="00606090"/>
    <w:rsid w:val="006219F8"/>
    <w:rsid w:val="006227E7"/>
    <w:rsid w:val="00624715"/>
    <w:rsid w:val="00673C25"/>
    <w:rsid w:val="00677717"/>
    <w:rsid w:val="00681FDB"/>
    <w:rsid w:val="00696E14"/>
    <w:rsid w:val="006A7DAD"/>
    <w:rsid w:val="006D70BA"/>
    <w:rsid w:val="00705855"/>
    <w:rsid w:val="00706EF5"/>
    <w:rsid w:val="00743DAF"/>
    <w:rsid w:val="00753B2E"/>
    <w:rsid w:val="007566FE"/>
    <w:rsid w:val="0076726F"/>
    <w:rsid w:val="0077144B"/>
    <w:rsid w:val="00775019"/>
    <w:rsid w:val="00793403"/>
    <w:rsid w:val="007C0CDF"/>
    <w:rsid w:val="007E2A2F"/>
    <w:rsid w:val="007F2B7C"/>
    <w:rsid w:val="008024CC"/>
    <w:rsid w:val="00811651"/>
    <w:rsid w:val="00820F5B"/>
    <w:rsid w:val="00833452"/>
    <w:rsid w:val="0086045E"/>
    <w:rsid w:val="008614E5"/>
    <w:rsid w:val="008678EB"/>
    <w:rsid w:val="0087217B"/>
    <w:rsid w:val="00872737"/>
    <w:rsid w:val="00875894"/>
    <w:rsid w:val="00881C10"/>
    <w:rsid w:val="00890411"/>
    <w:rsid w:val="008966AC"/>
    <w:rsid w:val="008C61DC"/>
    <w:rsid w:val="008D5C70"/>
    <w:rsid w:val="009025AF"/>
    <w:rsid w:val="00904F23"/>
    <w:rsid w:val="00906B3C"/>
    <w:rsid w:val="0093787B"/>
    <w:rsid w:val="009425E9"/>
    <w:rsid w:val="00947F9E"/>
    <w:rsid w:val="0095342C"/>
    <w:rsid w:val="009829FB"/>
    <w:rsid w:val="009A2E21"/>
    <w:rsid w:val="009E7D9F"/>
    <w:rsid w:val="009F33F2"/>
    <w:rsid w:val="009F6C77"/>
    <w:rsid w:val="00A07532"/>
    <w:rsid w:val="00A1085C"/>
    <w:rsid w:val="00A20214"/>
    <w:rsid w:val="00A309E2"/>
    <w:rsid w:val="00A42B72"/>
    <w:rsid w:val="00A458E8"/>
    <w:rsid w:val="00A75773"/>
    <w:rsid w:val="00A8066E"/>
    <w:rsid w:val="00A80826"/>
    <w:rsid w:val="00AA4B8A"/>
    <w:rsid w:val="00AA6BF7"/>
    <w:rsid w:val="00AF7D87"/>
    <w:rsid w:val="00B01ED6"/>
    <w:rsid w:val="00B06D09"/>
    <w:rsid w:val="00B42C5D"/>
    <w:rsid w:val="00B56C1E"/>
    <w:rsid w:val="00B771A9"/>
    <w:rsid w:val="00B809BB"/>
    <w:rsid w:val="00B8248A"/>
    <w:rsid w:val="00BB7726"/>
    <w:rsid w:val="00BD12C1"/>
    <w:rsid w:val="00C00B79"/>
    <w:rsid w:val="00C2329E"/>
    <w:rsid w:val="00C30461"/>
    <w:rsid w:val="00C61B8F"/>
    <w:rsid w:val="00C754BE"/>
    <w:rsid w:val="00C866F6"/>
    <w:rsid w:val="00C86AFA"/>
    <w:rsid w:val="00C86E7D"/>
    <w:rsid w:val="00C87572"/>
    <w:rsid w:val="00C9405D"/>
    <w:rsid w:val="00CA0650"/>
    <w:rsid w:val="00CA19A1"/>
    <w:rsid w:val="00CA653B"/>
    <w:rsid w:val="00CB7090"/>
    <w:rsid w:val="00CC1B26"/>
    <w:rsid w:val="00CD284F"/>
    <w:rsid w:val="00CF23AA"/>
    <w:rsid w:val="00D01921"/>
    <w:rsid w:val="00D45E62"/>
    <w:rsid w:val="00D752B7"/>
    <w:rsid w:val="00DA1854"/>
    <w:rsid w:val="00DB0887"/>
    <w:rsid w:val="00DB681D"/>
    <w:rsid w:val="00DD392E"/>
    <w:rsid w:val="00DF1E43"/>
    <w:rsid w:val="00E20894"/>
    <w:rsid w:val="00E26B7C"/>
    <w:rsid w:val="00E657B8"/>
    <w:rsid w:val="00E90156"/>
    <w:rsid w:val="00EA3003"/>
    <w:rsid w:val="00EB3C91"/>
    <w:rsid w:val="00EB5343"/>
    <w:rsid w:val="00EB66DA"/>
    <w:rsid w:val="00EC6F6B"/>
    <w:rsid w:val="00ED6500"/>
    <w:rsid w:val="00EF089D"/>
    <w:rsid w:val="00EF6EE0"/>
    <w:rsid w:val="00F44A37"/>
    <w:rsid w:val="00F605F2"/>
    <w:rsid w:val="00F76AFC"/>
    <w:rsid w:val="00F8319B"/>
    <w:rsid w:val="00FA5516"/>
    <w:rsid w:val="00FC4409"/>
    <w:rsid w:val="00FD6F73"/>
    <w:rsid w:val="00FE54B8"/>
    <w:rsid w:val="00FF78AC"/>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606090"/>
    <w:rPr>
      <w:rFonts w:ascii="Times New Roman" w:hAnsi="Times New Roman" w:cs="Times New Roman"/>
      <w:sz w:val="24"/>
      <w:szCs w:val="24"/>
    </w:rPr>
  </w:style>
  <w:style w:type="character" w:customStyle="1" w:styleId="Hipervnculo1">
    <w:name w:val="Hipervínculo1"/>
    <w:basedOn w:val="Fuentedeprrafopredeter"/>
    <w:uiPriority w:val="99"/>
    <w:unhideWhenUsed/>
    <w:rsid w:val="00606090"/>
    <w:rPr>
      <w:color w:val="F2F2F2"/>
      <w:u w:val="single"/>
    </w:rPr>
  </w:style>
  <w:style w:type="paragraph" w:customStyle="1" w:styleId="Appelnotedebasde">
    <w:name w:val="Appel note de bas de..."/>
    <w:basedOn w:val="Normal"/>
    <w:link w:val="Refdenotaalpie"/>
    <w:uiPriority w:val="99"/>
    <w:rsid w:val="00606090"/>
    <w:pPr>
      <w:spacing w:line="240" w:lineRule="exact"/>
    </w:pPr>
    <w:rPr>
      <w:vertAlign w:val="superscript"/>
    </w:rPr>
  </w:style>
  <w:style w:type="character" w:styleId="Textoennegrita">
    <w:name w:val="Strong"/>
    <w:basedOn w:val="Fuentedeprrafopredeter"/>
    <w:uiPriority w:val="22"/>
    <w:qFormat/>
    <w:rsid w:val="00606090"/>
    <w:rPr>
      <w:b/>
      <w:bCs/>
    </w:rPr>
  </w:style>
  <w:style w:type="character" w:styleId="nfasis">
    <w:name w:val="Emphasis"/>
    <w:basedOn w:val="Fuentedeprrafopredeter"/>
    <w:uiPriority w:val="20"/>
    <w:qFormat/>
    <w:rsid w:val="00606090"/>
    <w:rPr>
      <w:i/>
      <w:iCs/>
    </w:rPr>
  </w:style>
  <w:style w:type="character" w:customStyle="1" w:styleId="markedcontent">
    <w:name w:val="markedcontent"/>
    <w:basedOn w:val="Fuentedeprrafopredeter"/>
    <w:rsid w:val="002648FD"/>
  </w:style>
  <w:style w:type="character" w:styleId="Hipervnculo">
    <w:name w:val="Hyperlink"/>
    <w:basedOn w:val="Fuentedeprrafopredeter"/>
    <w:uiPriority w:val="99"/>
    <w:unhideWhenUsed/>
    <w:rsid w:val="00ED6500"/>
    <w:rPr>
      <w:color w:val="0563C1" w:themeColor="hyperlink"/>
      <w:u w:val="single"/>
    </w:rPr>
  </w:style>
  <w:style w:type="character" w:styleId="Mencinsinresolver">
    <w:name w:val="Unresolved Mention"/>
    <w:basedOn w:val="Fuentedeprrafopredeter"/>
    <w:uiPriority w:val="99"/>
    <w:semiHidden/>
    <w:unhideWhenUsed/>
    <w:rsid w:val="0067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0117">
      <w:bodyDiv w:val="1"/>
      <w:marLeft w:val="0"/>
      <w:marRight w:val="0"/>
      <w:marTop w:val="0"/>
      <w:marBottom w:val="0"/>
      <w:divBdr>
        <w:top w:val="none" w:sz="0" w:space="0" w:color="auto"/>
        <w:left w:val="none" w:sz="0" w:space="0" w:color="auto"/>
        <w:bottom w:val="none" w:sz="0" w:space="0" w:color="auto"/>
        <w:right w:val="none" w:sz="0" w:space="0" w:color="auto"/>
      </w:divBdr>
      <w:divsChild>
        <w:div w:id="190063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8D86867D-DB3B-44A2-90A0-A1F3542C771B}"/>
</file>

<file path=docProps/app.xml><?xml version="1.0" encoding="utf-8"?>
<Properties xmlns="http://schemas.openxmlformats.org/officeDocument/2006/extended-properties" xmlns:vt="http://schemas.openxmlformats.org/officeDocument/2006/docPropsVTypes">
  <Template>Normal</Template>
  <TotalTime>186</TotalTime>
  <Pages>17</Pages>
  <Words>6125</Words>
  <Characters>33689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3</cp:revision>
  <dcterms:created xsi:type="dcterms:W3CDTF">2023-06-06T02:56:00Z</dcterms:created>
  <dcterms:modified xsi:type="dcterms:W3CDTF">2023-07-27T02:34:00Z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