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57F4" w14:textId="77777777" w:rsidR="00546D73" w:rsidRPr="00546D73" w:rsidRDefault="00F71C67" w:rsidP="00546D73">
      <w:pPr>
        <w:spacing w:line="240" w:lineRule="auto"/>
        <w:jc w:val="both"/>
        <w:rPr>
          <w:rFonts w:ascii="Arial" w:eastAsia="Times New Roman" w:hAnsi="Arial" w:cs="Arial"/>
          <w:b/>
          <w:bCs/>
          <w:sz w:val="20"/>
          <w:szCs w:val="20"/>
          <w:lang w:val="es-ES_tradnl" w:eastAsia="es-ES_tradnl"/>
        </w:rPr>
      </w:pPr>
      <w:r w:rsidRPr="00546D73">
        <w:rPr>
          <w:rFonts w:ascii="Arial" w:eastAsia="Times New Roman" w:hAnsi="Arial" w:cs="Arial"/>
          <w:b/>
          <w:bCs/>
          <w:sz w:val="20"/>
          <w:szCs w:val="20"/>
          <w:lang w:val="es-ES_tradnl" w:eastAsia="es-ES_tradnl"/>
        </w:rPr>
        <w:t>LEY DE GARANTÍAS ELECTORALES – Definición – Finalidad</w:t>
      </w:r>
    </w:p>
    <w:p w14:paraId="3483AFB8" w14:textId="13D7866F" w:rsidR="00546D73"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w:t>
      </w:r>
      <w:r w:rsidRPr="00546D73">
        <w:rPr>
          <w:rFonts w:ascii="Arial" w:hAnsi="Arial" w:cs="Arial"/>
          <w:sz w:val="20"/>
          <w:szCs w:val="20"/>
        </w:rPr>
        <w:t>L</w:t>
      </w:r>
      <w:r w:rsidRPr="00546D73">
        <w:rPr>
          <w:rFonts w:ascii="Arial" w:hAnsi="Arial" w:cs="Arial"/>
          <w:sz w:val="20"/>
          <w:szCs w:val="20"/>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546D73">
        <w:rPr>
          <w:rFonts w:ascii="Arial" w:hAnsi="Arial" w:cs="Arial"/>
          <w:sz w:val="20"/>
          <w:szCs w:val="20"/>
        </w:rPr>
        <w:t>.</w:t>
      </w:r>
    </w:p>
    <w:p w14:paraId="7F8893BF" w14:textId="0F3AE3F8" w:rsidR="00546D73"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w:t>
      </w:r>
    </w:p>
    <w:p w14:paraId="7970D32A" w14:textId="07D293FB" w:rsidR="00546D73" w:rsidRPr="00546D73" w:rsidRDefault="00546D73" w:rsidP="00546D73">
      <w:pPr>
        <w:spacing w:line="240" w:lineRule="auto"/>
        <w:jc w:val="both"/>
        <w:rPr>
          <w:rFonts w:ascii="Arial" w:eastAsia="Times New Roman" w:hAnsi="Arial" w:cs="Arial"/>
          <w:b/>
          <w:bCs/>
          <w:sz w:val="20"/>
          <w:szCs w:val="20"/>
          <w:lang w:val="es-ES_tradnl" w:eastAsia="es-ES_tradnl"/>
        </w:rPr>
      </w:pPr>
      <w:r w:rsidRPr="00546D73">
        <w:rPr>
          <w:rFonts w:ascii="Arial" w:hAnsi="Arial" w:cs="Arial"/>
          <w:sz w:val="20"/>
          <w:szCs w:val="20"/>
        </w:rPr>
        <w:t>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w:t>
      </w:r>
    </w:p>
    <w:p w14:paraId="515FBF10" w14:textId="2A032370" w:rsidR="00F71C67" w:rsidRPr="00546D73" w:rsidRDefault="00F71C67" w:rsidP="00546D73">
      <w:pPr>
        <w:spacing w:line="240" w:lineRule="auto"/>
        <w:jc w:val="both"/>
        <w:rPr>
          <w:rFonts w:ascii="Arial" w:eastAsia="Times New Roman" w:hAnsi="Arial" w:cs="Arial"/>
          <w:b/>
          <w:bCs/>
          <w:sz w:val="20"/>
          <w:szCs w:val="20"/>
          <w:lang w:val="es-ES_tradnl" w:eastAsia="es-ES_tradnl"/>
        </w:rPr>
      </w:pPr>
      <w:r w:rsidRPr="00546D73">
        <w:rPr>
          <w:rFonts w:ascii="Arial" w:eastAsia="Times New Roman" w:hAnsi="Arial" w:cs="Arial"/>
          <w:b/>
          <w:bCs/>
          <w:sz w:val="20"/>
          <w:szCs w:val="20"/>
          <w:lang w:val="es-ES_tradnl" w:eastAsia="es-ES_tradnl"/>
        </w:rPr>
        <w:t>LEY DE GARANTÍAS ELECTORALES – Prohibición por elección de cargos populares – Convenios y contratos interadministrativos – Parágrafo del artículo 38</w:t>
      </w:r>
    </w:p>
    <w:p w14:paraId="4279AFF2" w14:textId="408ECD44" w:rsidR="00F71C67"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 xml:space="preserve">El parágrafo del artículo 38 de la Ley 996 de 2005 dispone que “[l]os Gobernadores, </w:t>
      </w:r>
      <w:proofErr w:type="gramStart"/>
      <w:r w:rsidRPr="00546D73">
        <w:rPr>
          <w:rFonts w:ascii="Arial" w:hAnsi="Arial" w:cs="Arial"/>
          <w:sz w:val="20"/>
          <w:szCs w:val="20"/>
        </w:rPr>
        <w:t>Alcaldes</w:t>
      </w:r>
      <w:proofErr w:type="gramEnd"/>
      <w:r w:rsidRPr="00546D73">
        <w:rPr>
          <w:rFonts w:ascii="Arial" w:hAnsi="Arial" w:cs="Arial"/>
          <w:sz w:val="20"/>
          <w:szCs w:val="20"/>
        </w:rPr>
        <w:t xml:space="preserve">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w:t>
      </w:r>
      <w:r w:rsidRPr="00546D73">
        <w:rPr>
          <w:rFonts w:ascii="Arial" w:hAnsi="Arial" w:cs="Arial"/>
          <w:sz w:val="20"/>
          <w:szCs w:val="20"/>
        </w:rPr>
        <w:t>.</w:t>
      </w:r>
    </w:p>
    <w:p w14:paraId="6D632974" w14:textId="6DD91CCC" w:rsidR="00546D73"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w:t>
      </w:r>
    </w:p>
    <w:p w14:paraId="5D1827B0" w14:textId="3894A24F" w:rsidR="00546D73"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w:t>
      </w:r>
      <w:r w:rsidRPr="00546D73">
        <w:rPr>
          <w:rFonts w:ascii="Arial" w:hAnsi="Arial" w:cs="Arial"/>
          <w:sz w:val="20"/>
          <w:szCs w:val="20"/>
        </w:rPr>
        <w:t>.</w:t>
      </w:r>
    </w:p>
    <w:p w14:paraId="208CE414" w14:textId="08B21533" w:rsidR="00546D73" w:rsidRPr="00546D73" w:rsidRDefault="00546D73" w:rsidP="00546D73">
      <w:pPr>
        <w:spacing w:line="240" w:lineRule="auto"/>
        <w:jc w:val="both"/>
        <w:rPr>
          <w:rFonts w:ascii="Arial" w:hAnsi="Arial" w:cs="Arial"/>
          <w:sz w:val="20"/>
          <w:szCs w:val="20"/>
        </w:rPr>
      </w:pPr>
      <w:r w:rsidRPr="00546D73">
        <w:rPr>
          <w:rFonts w:ascii="Arial" w:hAnsi="Arial" w:cs="Arial"/>
          <w:sz w:val="20"/>
          <w:szCs w:val="20"/>
        </w:rPr>
        <w:t>(…)</w:t>
      </w:r>
    </w:p>
    <w:p w14:paraId="6D4D7E9F" w14:textId="07173746" w:rsidR="00546D73" w:rsidRPr="00546D73" w:rsidRDefault="00546D73" w:rsidP="00546D73">
      <w:pPr>
        <w:spacing w:line="240" w:lineRule="auto"/>
        <w:jc w:val="both"/>
        <w:rPr>
          <w:rFonts w:ascii="Arial" w:eastAsia="Geomanist Light" w:hAnsi="Arial" w:cs="Arial"/>
          <w:color w:val="000000" w:themeColor="text1"/>
          <w:sz w:val="20"/>
          <w:szCs w:val="20"/>
          <w:lang w:val="es-MX"/>
        </w:rPr>
      </w:pPr>
      <w:r w:rsidRPr="00546D73">
        <w:rPr>
          <w:rFonts w:ascii="Arial" w:hAnsi="Arial" w:cs="Arial"/>
          <w:sz w:val="20"/>
          <w:szCs w:val="20"/>
        </w:rPr>
        <w:t>En este sentido, si una o ambas partes de la relación contractual es una de las entidades descritas en el parágrafo ibidem, no podrá celebrar tales convenios o contratos interadministrativos durante la aplicación de la Ley de Garantías Electorales, toda vez que la citada disposición hace referencia a dicha tipología contractual sin que el legislador hubiere contemplado excepción alguna frente a la modalidad de selección o naturaleza de su objeto</w:t>
      </w:r>
      <w:r w:rsidRPr="00546D73">
        <w:rPr>
          <w:rFonts w:ascii="Arial" w:hAnsi="Arial" w:cs="Arial"/>
          <w:sz w:val="20"/>
          <w:szCs w:val="20"/>
        </w:rPr>
        <w:t>.</w:t>
      </w:r>
    </w:p>
    <w:p w14:paraId="4AFCD286" w14:textId="60254E19" w:rsidR="00F71C67" w:rsidRDefault="00F71C67">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062F1ECA" w14:textId="53DF8EE4" w:rsidR="006219F8" w:rsidRPr="00B86930" w:rsidRDefault="00492189" w:rsidP="6B8BD3AC">
      <w:pPr>
        <w:rPr>
          <w:rFonts w:ascii="Arial" w:eastAsia="Geomanist Light" w:hAnsi="Arial" w:cs="Arial"/>
          <w:color w:val="201F1E"/>
          <w:lang w:val="es-MX"/>
        </w:rPr>
      </w:pPr>
      <w:r>
        <w:rPr>
          <w:noProof/>
        </w:rPr>
        <w:lastRenderedPageBreak/>
        <w:drawing>
          <wp:anchor distT="0" distB="0" distL="114300" distR="114300" simplePos="0" relativeHeight="251659264" behindDoc="1" locked="0" layoutInCell="1" allowOverlap="1" wp14:anchorId="7F2FCEDB" wp14:editId="05AA6F8D">
            <wp:simplePos x="0" y="0"/>
            <wp:positionH relativeFrom="margin">
              <wp:align>right</wp:align>
            </wp:positionH>
            <wp:positionV relativeFrom="paragraph">
              <wp:posOffset>7619</wp:posOffset>
            </wp:positionV>
            <wp:extent cx="2413000" cy="668215"/>
            <wp:effectExtent l="0" t="0" r="6350" b="0"/>
            <wp:wrapNone/>
            <wp:docPr id="1751202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2020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13000" cy="668215"/>
                    </a:xfrm>
                    <a:prstGeom prst="rect">
                      <a:avLst/>
                    </a:prstGeom>
                  </pic:spPr>
                </pic:pic>
              </a:graphicData>
            </a:graphic>
            <wp14:sizeRelH relativeFrom="margin">
              <wp14:pctWidth>0</wp14:pctWidth>
            </wp14:sizeRelH>
            <wp14:sizeRelV relativeFrom="margin">
              <wp14:pctHeight>0</wp14:pctHeight>
            </wp14:sizeRelV>
          </wp:anchor>
        </w:drawing>
      </w:r>
      <w:r w:rsidR="1CC63BF5" w:rsidRPr="00B86930">
        <w:rPr>
          <w:rFonts w:ascii="Arial" w:eastAsia="Geomanist Light" w:hAnsi="Arial" w:cs="Arial"/>
          <w:color w:val="000000" w:themeColor="text1"/>
          <w:lang w:val="es-MX"/>
        </w:rPr>
        <w:t>Bogotá D.C.,</w:t>
      </w:r>
      <w:r>
        <w:rPr>
          <w:rFonts w:ascii="Arial" w:eastAsia="Geomanist Light" w:hAnsi="Arial" w:cs="Arial"/>
          <w:color w:val="000000" w:themeColor="text1"/>
          <w:lang w:val="es-MX"/>
        </w:rPr>
        <w:t xml:space="preserve"> 13 de </w:t>
      </w:r>
      <w:proofErr w:type="gramStart"/>
      <w:r>
        <w:rPr>
          <w:rFonts w:ascii="Arial" w:eastAsia="Geomanist Light" w:hAnsi="Arial" w:cs="Arial"/>
          <w:color w:val="000000" w:themeColor="text1"/>
          <w:lang w:val="es-MX"/>
        </w:rPr>
        <w:t>Junio</w:t>
      </w:r>
      <w:proofErr w:type="gramEnd"/>
      <w:r>
        <w:rPr>
          <w:rFonts w:ascii="Arial" w:eastAsia="Geomanist Light" w:hAnsi="Arial" w:cs="Arial"/>
          <w:color w:val="000000" w:themeColor="text1"/>
          <w:lang w:val="es-MX"/>
        </w:rPr>
        <w:t xml:space="preserve"> de 2023</w:t>
      </w:r>
    </w:p>
    <w:p w14:paraId="0C2BC702" w14:textId="4FA43C88" w:rsidR="00B86930" w:rsidRDefault="00B86930" w:rsidP="00F271A1">
      <w:pPr>
        <w:spacing w:after="0" w:line="276" w:lineRule="auto"/>
        <w:contextualSpacing/>
        <w:jc w:val="both"/>
        <w:rPr>
          <w:rFonts w:ascii="Arial" w:eastAsia="Calibri" w:hAnsi="Arial" w:cs="Arial"/>
        </w:rPr>
      </w:pPr>
      <w:bookmarkStart w:id="0" w:name="_Hlk96417464"/>
      <w:bookmarkStart w:id="1" w:name="_Hlk120036210"/>
      <w:bookmarkStart w:id="2" w:name="_Hlk98867631"/>
      <w:bookmarkStart w:id="3" w:name="_Hlk99546921"/>
      <w:bookmarkStart w:id="4" w:name="_Hlk34951122"/>
    </w:p>
    <w:p w14:paraId="0BBB4456" w14:textId="77777777" w:rsidR="009F1F64" w:rsidRDefault="009F1F64" w:rsidP="00F271A1">
      <w:pPr>
        <w:spacing w:after="0" w:line="276" w:lineRule="auto"/>
        <w:contextualSpacing/>
        <w:jc w:val="both"/>
        <w:rPr>
          <w:rFonts w:ascii="Arial" w:eastAsia="Calibri" w:hAnsi="Arial" w:cs="Arial"/>
        </w:rPr>
      </w:pPr>
    </w:p>
    <w:p w14:paraId="5B0B2194" w14:textId="44DAB637" w:rsidR="00F271A1" w:rsidRPr="00B86930" w:rsidRDefault="00F271A1" w:rsidP="00F271A1">
      <w:pPr>
        <w:spacing w:after="0" w:line="276" w:lineRule="auto"/>
        <w:contextualSpacing/>
        <w:jc w:val="both"/>
        <w:rPr>
          <w:rFonts w:ascii="Arial" w:eastAsia="Calibri" w:hAnsi="Arial" w:cs="Arial"/>
        </w:rPr>
      </w:pPr>
      <w:r w:rsidRPr="00B86930">
        <w:rPr>
          <w:rFonts w:ascii="Arial" w:eastAsia="Calibri" w:hAnsi="Arial" w:cs="Arial"/>
        </w:rPr>
        <w:t>Señor</w:t>
      </w:r>
      <w:r w:rsidR="00222B71">
        <w:rPr>
          <w:rFonts w:ascii="Arial" w:eastAsia="Calibri" w:hAnsi="Arial" w:cs="Arial"/>
        </w:rPr>
        <w:t>a</w:t>
      </w:r>
    </w:p>
    <w:p w14:paraId="5513FF49" w14:textId="1ACC88C8" w:rsidR="00F271A1" w:rsidRPr="00B86930" w:rsidRDefault="00EB6E39" w:rsidP="00F271A1">
      <w:pPr>
        <w:spacing w:after="0" w:line="276" w:lineRule="auto"/>
        <w:contextualSpacing/>
        <w:jc w:val="both"/>
        <w:rPr>
          <w:rFonts w:ascii="Arial" w:eastAsia="Calibri" w:hAnsi="Arial" w:cs="Arial"/>
          <w:b/>
          <w:bCs/>
        </w:rPr>
      </w:pPr>
      <w:r>
        <w:rPr>
          <w:rFonts w:ascii="Arial" w:eastAsia="Calibri" w:hAnsi="Arial" w:cs="Arial"/>
          <w:b/>
          <w:bCs/>
        </w:rPr>
        <w:t xml:space="preserve">Marlen Bibiana </w:t>
      </w:r>
      <w:r w:rsidR="008B0C76">
        <w:rPr>
          <w:rFonts w:ascii="Arial" w:eastAsia="Calibri" w:hAnsi="Arial" w:cs="Arial"/>
          <w:b/>
          <w:bCs/>
        </w:rPr>
        <w:t>Romero Olarte</w:t>
      </w:r>
    </w:p>
    <w:p w14:paraId="7B356929" w14:textId="23FE96B2" w:rsidR="00F271A1" w:rsidRDefault="008B0C76" w:rsidP="00F271A1">
      <w:pPr>
        <w:spacing w:after="0" w:line="276" w:lineRule="auto"/>
        <w:contextualSpacing/>
        <w:jc w:val="both"/>
        <w:rPr>
          <w:rFonts w:ascii="Arial" w:eastAsia="Calibri" w:hAnsi="Arial" w:cs="Arial"/>
        </w:rPr>
      </w:pPr>
      <w:r>
        <w:rPr>
          <w:rFonts w:ascii="Arial" w:eastAsia="Calibri" w:hAnsi="Arial" w:cs="Arial"/>
        </w:rPr>
        <w:t>Secretaria de Salud y Seguridad Social</w:t>
      </w:r>
    </w:p>
    <w:p w14:paraId="597822D7" w14:textId="5F822FB8" w:rsidR="0055715F" w:rsidRPr="00B86930" w:rsidRDefault="00AA784C" w:rsidP="00F271A1">
      <w:pPr>
        <w:spacing w:after="0" w:line="276" w:lineRule="auto"/>
        <w:contextualSpacing/>
        <w:jc w:val="both"/>
        <w:rPr>
          <w:rFonts w:ascii="Arial" w:eastAsia="Calibri" w:hAnsi="Arial" w:cs="Arial"/>
        </w:rPr>
      </w:pPr>
      <w:r>
        <w:rPr>
          <w:rFonts w:ascii="Arial" w:eastAsia="Calibri" w:hAnsi="Arial" w:cs="Arial"/>
        </w:rPr>
        <w:t xml:space="preserve">Alcaldía Municipal </w:t>
      </w:r>
      <w:r w:rsidR="0055715F">
        <w:rPr>
          <w:rFonts w:ascii="Arial" w:eastAsia="Calibri" w:hAnsi="Arial" w:cs="Arial"/>
        </w:rPr>
        <w:t>de Dosquebradas</w:t>
      </w:r>
    </w:p>
    <w:p w14:paraId="4B103B56" w14:textId="22723511" w:rsidR="00F271A1" w:rsidRPr="00B86930" w:rsidRDefault="003F795C" w:rsidP="00F271A1">
      <w:pPr>
        <w:spacing w:after="0" w:line="276" w:lineRule="auto"/>
        <w:contextualSpacing/>
        <w:jc w:val="both"/>
        <w:rPr>
          <w:rFonts w:ascii="Arial" w:eastAsia="Calibri" w:hAnsi="Arial" w:cs="Arial"/>
        </w:rPr>
      </w:pPr>
      <w:r>
        <w:rPr>
          <w:rFonts w:ascii="Arial" w:eastAsia="Calibri" w:hAnsi="Arial" w:cs="Arial"/>
        </w:rPr>
        <w:t>Dosquebradas, Risaralda</w:t>
      </w:r>
    </w:p>
    <w:p w14:paraId="48C12C61" w14:textId="77777777" w:rsidR="00F271A1" w:rsidRPr="00B86930" w:rsidRDefault="00F271A1" w:rsidP="00F271A1">
      <w:pPr>
        <w:spacing w:after="0" w:line="240" w:lineRule="auto"/>
        <w:contextualSpacing/>
        <w:jc w:val="both"/>
        <w:rPr>
          <w:rFonts w:ascii="Arial" w:eastAsia="Calibri" w:hAnsi="Arial" w:cs="Arial"/>
        </w:rPr>
      </w:pPr>
    </w:p>
    <w:p w14:paraId="35D072C9" w14:textId="2F6E7549" w:rsidR="00F271A1" w:rsidRPr="00B86930" w:rsidRDefault="00F271A1" w:rsidP="00F271A1">
      <w:pPr>
        <w:spacing w:after="0" w:line="240" w:lineRule="auto"/>
        <w:contextualSpacing/>
        <w:jc w:val="both"/>
        <w:rPr>
          <w:rFonts w:ascii="Arial" w:eastAsia="Calibri" w:hAnsi="Arial" w:cs="Arial"/>
        </w:rPr>
      </w:pPr>
      <w:r w:rsidRPr="00B86930">
        <w:rPr>
          <w:rFonts w:ascii="Arial" w:eastAsia="Calibri" w:hAnsi="Arial" w:cs="Arial"/>
        </w:rPr>
        <w:t xml:space="preserve">                                            </w:t>
      </w:r>
      <w:r w:rsidRPr="00B86930">
        <w:rPr>
          <w:rFonts w:ascii="Arial" w:eastAsia="Calibri" w:hAnsi="Arial" w:cs="Arial"/>
          <w:b/>
        </w:rPr>
        <w:t>Concepto C–1</w:t>
      </w:r>
      <w:r w:rsidR="00C97350">
        <w:rPr>
          <w:rFonts w:ascii="Arial" w:eastAsia="Calibri" w:hAnsi="Arial" w:cs="Arial"/>
          <w:b/>
        </w:rPr>
        <w:t>93</w:t>
      </w:r>
      <w:r w:rsidRPr="00B86930">
        <w:rPr>
          <w:rFonts w:ascii="Arial" w:eastAsia="Calibri" w:hAnsi="Arial" w:cs="Arial"/>
          <w:b/>
        </w:rPr>
        <w:t xml:space="preserve"> de 2023</w:t>
      </w:r>
    </w:p>
    <w:p w14:paraId="18D051ED" w14:textId="77777777" w:rsidR="00F271A1" w:rsidRPr="00B86930" w:rsidRDefault="00F271A1" w:rsidP="00F271A1">
      <w:pPr>
        <w:spacing w:after="0" w:line="240" w:lineRule="auto"/>
        <w:contextualSpacing/>
        <w:jc w:val="both"/>
        <w:rPr>
          <w:rFonts w:ascii="Arial" w:eastAsia="Calibri" w:hAnsi="Arial" w:cs="Arial"/>
          <w:b/>
        </w:rPr>
      </w:pPr>
    </w:p>
    <w:p w14:paraId="0AE3C0D3" w14:textId="77777777" w:rsidR="00F271A1" w:rsidRPr="00B86930" w:rsidRDefault="00F271A1" w:rsidP="00F271A1">
      <w:pPr>
        <w:spacing w:after="0" w:line="240" w:lineRule="auto"/>
        <w:contextualSpacing/>
        <w:jc w:val="both"/>
        <w:rPr>
          <w:rFonts w:ascii="Arial" w:eastAsia="Calibri" w:hAnsi="Arial" w:cs="Arial"/>
          <w:b/>
        </w:rPr>
      </w:pPr>
    </w:p>
    <w:tbl>
      <w:tblPr>
        <w:tblStyle w:val="Tablaconcuadrcula1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271A1" w:rsidRPr="00B86930" w14:paraId="6C79D849" w14:textId="77777777" w:rsidTr="007B413E">
        <w:trPr>
          <w:trHeight w:val="485"/>
        </w:trPr>
        <w:tc>
          <w:tcPr>
            <w:tcW w:w="2689" w:type="dxa"/>
            <w:hideMark/>
          </w:tcPr>
          <w:p w14:paraId="5E691C51" w14:textId="77777777" w:rsidR="00F271A1" w:rsidRPr="00B86930" w:rsidRDefault="00F271A1" w:rsidP="007B413E">
            <w:pPr>
              <w:rPr>
                <w:rFonts w:ascii="Arial" w:eastAsia="Calibri" w:hAnsi="Arial" w:cs="Arial"/>
                <w:noProof/>
                <w:lang w:val="es-ES_tradnl"/>
              </w:rPr>
            </w:pPr>
            <w:r w:rsidRPr="00B86930">
              <w:rPr>
                <w:rFonts w:ascii="Arial" w:eastAsia="Calibri" w:hAnsi="Arial" w:cs="Arial"/>
                <w:b/>
                <w:noProof/>
                <w:lang w:val="es-ES_tradnl"/>
              </w:rPr>
              <w:t>Temas:</w:t>
            </w:r>
            <w:r w:rsidRPr="00B86930">
              <w:rPr>
                <w:rFonts w:ascii="Arial" w:eastAsia="Calibri" w:hAnsi="Arial" w:cs="Arial"/>
                <w:noProof/>
                <w:lang w:val="es-ES_tradnl"/>
              </w:rPr>
              <w:t xml:space="preserve">        </w:t>
            </w:r>
          </w:p>
        </w:tc>
        <w:tc>
          <w:tcPr>
            <w:tcW w:w="6237" w:type="dxa"/>
            <w:hideMark/>
          </w:tcPr>
          <w:p w14:paraId="01703C13" w14:textId="24D0D0F6" w:rsidR="00F271A1" w:rsidRPr="00B86930" w:rsidRDefault="00F271A1" w:rsidP="007B413E">
            <w:pPr>
              <w:spacing w:line="276" w:lineRule="auto"/>
              <w:jc w:val="both"/>
              <w:rPr>
                <w:rFonts w:ascii="Arial" w:eastAsia="Times New Roman" w:hAnsi="Arial" w:cs="Arial"/>
                <w:lang w:val="es-ES_tradnl" w:eastAsia="es-ES_tradnl"/>
              </w:rPr>
            </w:pPr>
            <w:r w:rsidRPr="00B86930">
              <w:rPr>
                <w:rFonts w:ascii="Arial" w:eastAsia="Times New Roman" w:hAnsi="Arial" w:cs="Arial"/>
                <w:lang w:val="es-ES_tradnl" w:eastAsia="es-ES_tradnl"/>
              </w:rPr>
              <w:t>LEY DE GARA</w:t>
            </w:r>
            <w:r w:rsidR="004362E2">
              <w:rPr>
                <w:rFonts w:ascii="Arial" w:eastAsia="Times New Roman" w:hAnsi="Arial" w:cs="Arial"/>
                <w:lang w:val="es-ES_tradnl" w:eastAsia="es-ES_tradnl"/>
              </w:rPr>
              <w:t>N</w:t>
            </w:r>
            <w:r w:rsidRPr="00B86930">
              <w:rPr>
                <w:rFonts w:ascii="Arial" w:eastAsia="Times New Roman" w:hAnsi="Arial" w:cs="Arial"/>
                <w:lang w:val="es-ES_tradnl" w:eastAsia="es-ES_tradnl"/>
              </w:rPr>
              <w:t>TÍAS ELECTORALES – Definición – Finalidad / LEY DE GARANTÍAS ELECTORALES – Prohibición por elección de cargos populares – Convenios y contratos interadministrativos – Parágrafo del artículo 38</w:t>
            </w:r>
          </w:p>
          <w:p w14:paraId="49BD66EA" w14:textId="77777777" w:rsidR="00F271A1" w:rsidRPr="00B86930" w:rsidRDefault="00F271A1" w:rsidP="007B413E">
            <w:pPr>
              <w:jc w:val="both"/>
              <w:rPr>
                <w:rFonts w:ascii="Arial" w:eastAsia="Calibri" w:hAnsi="Arial" w:cs="Arial"/>
                <w:b/>
                <w:bCs/>
                <w:lang w:val="es-MX"/>
              </w:rPr>
            </w:pPr>
          </w:p>
          <w:p w14:paraId="0221F9D3" w14:textId="77777777" w:rsidR="00F271A1" w:rsidRPr="00B86930" w:rsidRDefault="00F271A1" w:rsidP="007B413E">
            <w:pPr>
              <w:ind w:right="703"/>
              <w:jc w:val="both"/>
              <w:rPr>
                <w:rFonts w:ascii="Arial" w:eastAsia="Calibri" w:hAnsi="Arial" w:cs="Arial"/>
                <w:bCs/>
                <w:lang w:val="es-MX"/>
              </w:rPr>
            </w:pPr>
          </w:p>
        </w:tc>
      </w:tr>
      <w:tr w:rsidR="00F271A1" w:rsidRPr="00B86930" w14:paraId="3B091DFA" w14:textId="77777777" w:rsidTr="007B413E">
        <w:tc>
          <w:tcPr>
            <w:tcW w:w="2689" w:type="dxa"/>
          </w:tcPr>
          <w:p w14:paraId="196B510D" w14:textId="77777777" w:rsidR="00F271A1" w:rsidRPr="00B86930" w:rsidRDefault="00F271A1" w:rsidP="007B413E">
            <w:pPr>
              <w:rPr>
                <w:rFonts w:ascii="Arial" w:eastAsia="Calibri" w:hAnsi="Arial" w:cs="Arial"/>
                <w:b/>
                <w:noProof/>
                <w:lang w:val="es-ES_tradnl"/>
              </w:rPr>
            </w:pPr>
            <w:r w:rsidRPr="00B86930">
              <w:rPr>
                <w:rFonts w:ascii="Arial" w:eastAsia="Calibri" w:hAnsi="Arial" w:cs="Arial"/>
                <w:b/>
                <w:noProof/>
                <w:lang w:val="es-ES_tradnl"/>
              </w:rPr>
              <w:t>Radicación:</w:t>
            </w:r>
            <w:r w:rsidRPr="00B86930">
              <w:rPr>
                <w:rFonts w:ascii="Arial" w:eastAsia="Calibri" w:hAnsi="Arial" w:cs="Arial"/>
                <w:noProof/>
                <w:lang w:val="es-ES_tradnl"/>
              </w:rPr>
              <w:t xml:space="preserve">                              </w:t>
            </w:r>
          </w:p>
        </w:tc>
        <w:tc>
          <w:tcPr>
            <w:tcW w:w="6237" w:type="dxa"/>
          </w:tcPr>
          <w:p w14:paraId="451112C0" w14:textId="2ADC2D9B" w:rsidR="00F271A1" w:rsidRPr="00B86930" w:rsidRDefault="00F271A1" w:rsidP="007B413E">
            <w:pPr>
              <w:jc w:val="both"/>
              <w:rPr>
                <w:rFonts w:ascii="Arial" w:eastAsia="Calibri" w:hAnsi="Arial" w:cs="Arial"/>
                <w:noProof/>
                <w:lang w:val="es-ES_tradnl"/>
              </w:rPr>
            </w:pPr>
            <w:r w:rsidRPr="00B86930">
              <w:rPr>
                <w:rFonts w:ascii="Arial" w:eastAsia="Calibri" w:hAnsi="Arial" w:cs="Arial"/>
                <w:noProof/>
                <w:lang w:val="es-ES_tradnl"/>
              </w:rPr>
              <w:t xml:space="preserve">Respuesta a consulta </w:t>
            </w:r>
            <w:r w:rsidR="00426514" w:rsidRPr="00426514">
              <w:rPr>
                <w:rFonts w:ascii="Arial" w:eastAsia="Calibri" w:hAnsi="Arial" w:cs="Arial"/>
                <w:noProof/>
                <w:lang w:val="es-ES_tradnl"/>
              </w:rPr>
              <w:t>P20230427003769</w:t>
            </w:r>
            <w:r w:rsidRPr="00B86930">
              <w:rPr>
                <w:rFonts w:ascii="Arial" w:eastAsia="Calibri" w:hAnsi="Arial" w:cs="Arial"/>
                <w:noProof/>
                <w:lang w:val="es-ES_tradnl"/>
              </w:rPr>
              <w:tab/>
            </w:r>
            <w:r w:rsidRPr="00B86930">
              <w:rPr>
                <w:rFonts w:ascii="Arial" w:eastAsia="Calibri" w:hAnsi="Arial" w:cs="Arial"/>
                <w:noProof/>
                <w:lang w:val="es-ES_tradnl"/>
              </w:rPr>
              <w:tab/>
            </w:r>
          </w:p>
        </w:tc>
      </w:tr>
    </w:tbl>
    <w:p w14:paraId="67CFCB92" w14:textId="77777777" w:rsidR="00F271A1" w:rsidRPr="00B86930" w:rsidRDefault="00F271A1" w:rsidP="00F271A1">
      <w:pPr>
        <w:spacing w:after="0" w:line="240" w:lineRule="auto"/>
        <w:contextualSpacing/>
        <w:jc w:val="both"/>
        <w:rPr>
          <w:rFonts w:ascii="Arial" w:eastAsia="Calibri" w:hAnsi="Arial" w:cs="Arial"/>
        </w:rPr>
      </w:pPr>
    </w:p>
    <w:p w14:paraId="29C19262" w14:textId="77777777" w:rsidR="00F271A1" w:rsidRPr="00B86930" w:rsidRDefault="00F271A1" w:rsidP="00F271A1">
      <w:pPr>
        <w:spacing w:after="0" w:line="240" w:lineRule="auto"/>
        <w:contextualSpacing/>
        <w:jc w:val="both"/>
        <w:rPr>
          <w:rFonts w:ascii="Arial" w:eastAsia="Calibri" w:hAnsi="Arial" w:cs="Arial"/>
        </w:rPr>
      </w:pPr>
    </w:p>
    <w:p w14:paraId="02197420" w14:textId="42D84D42" w:rsidR="00F271A1" w:rsidRPr="00B86930" w:rsidRDefault="00F271A1" w:rsidP="00F271A1">
      <w:pPr>
        <w:spacing w:after="0" w:line="276" w:lineRule="auto"/>
        <w:contextualSpacing/>
        <w:jc w:val="both"/>
        <w:rPr>
          <w:rFonts w:ascii="Arial" w:eastAsia="Calibri" w:hAnsi="Arial" w:cs="Arial"/>
        </w:rPr>
      </w:pPr>
      <w:r w:rsidRPr="00B86930">
        <w:rPr>
          <w:rFonts w:ascii="Arial" w:eastAsia="Calibri" w:hAnsi="Arial" w:cs="Arial"/>
        </w:rPr>
        <w:t>Estimad</w:t>
      </w:r>
      <w:r w:rsidR="00BF4624">
        <w:rPr>
          <w:rFonts w:ascii="Arial" w:eastAsia="Calibri" w:hAnsi="Arial" w:cs="Arial"/>
        </w:rPr>
        <w:t>a</w:t>
      </w:r>
      <w:r w:rsidRPr="00B86930">
        <w:rPr>
          <w:rFonts w:ascii="Arial" w:eastAsia="Calibri" w:hAnsi="Arial" w:cs="Arial"/>
        </w:rPr>
        <w:t xml:space="preserve"> señor</w:t>
      </w:r>
      <w:r w:rsidR="00BF4624">
        <w:rPr>
          <w:rFonts w:ascii="Arial" w:eastAsia="Calibri" w:hAnsi="Arial" w:cs="Arial"/>
        </w:rPr>
        <w:t>a</w:t>
      </w:r>
      <w:r w:rsidRPr="00B86930">
        <w:rPr>
          <w:rFonts w:ascii="Arial" w:eastAsia="Calibri" w:hAnsi="Arial" w:cs="Arial"/>
        </w:rPr>
        <w:t xml:space="preserve"> </w:t>
      </w:r>
      <w:r w:rsidR="00BF4624">
        <w:rPr>
          <w:rFonts w:ascii="Arial" w:eastAsia="Calibri" w:hAnsi="Arial" w:cs="Arial"/>
        </w:rPr>
        <w:t>Romero</w:t>
      </w:r>
      <w:r w:rsidRPr="00B86930">
        <w:rPr>
          <w:rFonts w:ascii="Arial" w:eastAsia="Calibri" w:hAnsi="Arial" w:cs="Arial"/>
        </w:rPr>
        <w:t>:</w:t>
      </w:r>
    </w:p>
    <w:p w14:paraId="25889DC8" w14:textId="77777777" w:rsidR="00F271A1" w:rsidRPr="00B86930" w:rsidRDefault="00F271A1" w:rsidP="00F271A1">
      <w:pPr>
        <w:spacing w:after="0" w:line="276" w:lineRule="auto"/>
        <w:ind w:firstLine="709"/>
        <w:contextualSpacing/>
        <w:jc w:val="both"/>
        <w:rPr>
          <w:rFonts w:ascii="Arial" w:eastAsia="Calibri" w:hAnsi="Arial" w:cs="Arial"/>
        </w:rPr>
      </w:pPr>
    </w:p>
    <w:p w14:paraId="050D8B93" w14:textId="727F43C6" w:rsidR="006726F0" w:rsidRDefault="00F271A1" w:rsidP="00F271A1">
      <w:pPr>
        <w:spacing w:after="0" w:line="276" w:lineRule="auto"/>
        <w:contextualSpacing/>
        <w:jc w:val="both"/>
        <w:rPr>
          <w:rFonts w:ascii="Arial" w:eastAsia="Calibri" w:hAnsi="Arial" w:cs="Arial"/>
        </w:rPr>
      </w:pPr>
      <w:r w:rsidRPr="00B86930">
        <w:rPr>
          <w:rFonts w:ascii="Arial" w:eastAsia="Calibri" w:hAnsi="Arial" w:cs="Arial"/>
        </w:rPr>
        <w:t>En ejercicio de la competencia otorgada por el numeral 8 del artículo 11 y el numeral 5 del artículo 3 del Decreto Ley 4170 de 2011, la Agencia Nacional de Contratación Pública – Colombia Compra Eficiente responde su consulta</w:t>
      </w:r>
      <w:r w:rsidR="004A6913">
        <w:rPr>
          <w:rFonts w:ascii="Arial" w:eastAsia="Calibri" w:hAnsi="Arial" w:cs="Arial"/>
        </w:rPr>
        <w:t xml:space="preserve"> d</w:t>
      </w:r>
      <w:r w:rsidRPr="00B86930">
        <w:rPr>
          <w:rFonts w:ascii="Arial" w:eastAsia="Calibri" w:hAnsi="Arial" w:cs="Arial"/>
        </w:rPr>
        <w:t>el 18 de abril de 2023</w:t>
      </w:r>
      <w:r w:rsidR="004A6913">
        <w:rPr>
          <w:rFonts w:ascii="Arial" w:eastAsia="Calibri" w:hAnsi="Arial" w:cs="Arial"/>
        </w:rPr>
        <w:t>, traslada por el</w:t>
      </w:r>
      <w:r w:rsidR="00AD2A82">
        <w:rPr>
          <w:rFonts w:ascii="Arial" w:eastAsia="Calibri" w:hAnsi="Arial" w:cs="Arial"/>
        </w:rPr>
        <w:t xml:space="preserve"> Departamento Administrativo de la Función Pública </w:t>
      </w:r>
      <w:r w:rsidR="007C4BFD">
        <w:rPr>
          <w:rFonts w:ascii="Arial" w:eastAsia="Calibri" w:hAnsi="Arial" w:cs="Arial"/>
        </w:rPr>
        <w:t xml:space="preserve">el 27 de </w:t>
      </w:r>
      <w:r w:rsidR="006726F0">
        <w:rPr>
          <w:rFonts w:ascii="Arial" w:eastAsia="Calibri" w:hAnsi="Arial" w:cs="Arial"/>
        </w:rPr>
        <w:t>abril de 2023.</w:t>
      </w:r>
    </w:p>
    <w:p w14:paraId="278B34F2" w14:textId="77777777" w:rsidR="006726F0" w:rsidRPr="00B86930" w:rsidRDefault="006726F0" w:rsidP="00F271A1">
      <w:pPr>
        <w:spacing w:after="0" w:line="276" w:lineRule="auto"/>
        <w:contextualSpacing/>
        <w:jc w:val="both"/>
        <w:rPr>
          <w:rFonts w:ascii="Arial" w:eastAsia="Calibri" w:hAnsi="Arial" w:cs="Arial"/>
        </w:rPr>
      </w:pPr>
    </w:p>
    <w:p w14:paraId="10FAF503" w14:textId="77777777" w:rsidR="00F271A1" w:rsidRPr="00B86930" w:rsidRDefault="00F271A1" w:rsidP="00F271A1">
      <w:pPr>
        <w:tabs>
          <w:tab w:val="left" w:pos="284"/>
        </w:tabs>
        <w:spacing w:after="0" w:line="276" w:lineRule="auto"/>
        <w:contextualSpacing/>
        <w:jc w:val="both"/>
        <w:rPr>
          <w:rFonts w:ascii="Arial" w:eastAsia="Calibri" w:hAnsi="Arial" w:cs="Arial"/>
          <w:b/>
        </w:rPr>
      </w:pPr>
      <w:r w:rsidRPr="00B86930">
        <w:rPr>
          <w:rFonts w:ascii="Arial" w:eastAsia="Calibri" w:hAnsi="Arial" w:cs="Arial"/>
          <w:b/>
        </w:rPr>
        <w:t xml:space="preserve">1. Problema planteado </w:t>
      </w:r>
    </w:p>
    <w:p w14:paraId="06962E2A" w14:textId="77777777" w:rsidR="00F271A1" w:rsidRPr="00B86930" w:rsidRDefault="00F271A1" w:rsidP="00F271A1">
      <w:pPr>
        <w:tabs>
          <w:tab w:val="left" w:pos="284"/>
        </w:tabs>
        <w:spacing w:after="0" w:line="276" w:lineRule="auto"/>
        <w:ind w:firstLine="709"/>
        <w:contextualSpacing/>
        <w:jc w:val="both"/>
        <w:rPr>
          <w:rFonts w:ascii="Arial" w:eastAsia="Calibri" w:hAnsi="Arial" w:cs="Arial"/>
          <w:b/>
        </w:rPr>
      </w:pPr>
    </w:p>
    <w:p w14:paraId="4A75ABF7" w14:textId="7ABFEB30" w:rsidR="00F271A1" w:rsidRPr="00B86930" w:rsidRDefault="00F271A1" w:rsidP="00F271A1">
      <w:pPr>
        <w:spacing w:after="0" w:line="276" w:lineRule="auto"/>
        <w:contextualSpacing/>
        <w:jc w:val="both"/>
        <w:rPr>
          <w:rFonts w:ascii="Arial" w:eastAsia="Calibri" w:hAnsi="Arial" w:cs="Arial"/>
        </w:rPr>
      </w:pPr>
      <w:bookmarkStart w:id="5" w:name="_Hlk58917991"/>
      <w:bookmarkStart w:id="6" w:name="_Hlk56103000"/>
      <w:r w:rsidRPr="00B86930">
        <w:rPr>
          <w:rFonts w:ascii="Arial" w:eastAsia="Calibri" w:hAnsi="Arial" w:cs="Arial"/>
        </w:rPr>
        <w:t>Usted plantea la siguiente consulta</w:t>
      </w:r>
      <w:r w:rsidR="009C02C4">
        <w:rPr>
          <w:rFonts w:ascii="Arial" w:eastAsia="Calibri" w:hAnsi="Arial" w:cs="Arial"/>
        </w:rPr>
        <w:t xml:space="preserve"> en el marco</w:t>
      </w:r>
      <w:r w:rsidR="00436372">
        <w:rPr>
          <w:rFonts w:ascii="Arial" w:eastAsia="Calibri" w:hAnsi="Arial" w:cs="Arial"/>
        </w:rPr>
        <w:t xml:space="preserve"> de</w:t>
      </w:r>
      <w:r w:rsidR="00874D12">
        <w:rPr>
          <w:rFonts w:ascii="Arial" w:eastAsia="Calibri" w:hAnsi="Arial" w:cs="Arial"/>
        </w:rPr>
        <w:t xml:space="preserve"> </w:t>
      </w:r>
      <w:r w:rsidR="00436372">
        <w:rPr>
          <w:rFonts w:ascii="Arial" w:eastAsia="Calibri" w:hAnsi="Arial" w:cs="Arial"/>
        </w:rPr>
        <w:t>las restricciones en materia de contratación que dispone la Ley 996 de 2005</w:t>
      </w:r>
      <w:r w:rsidRPr="00B86930">
        <w:rPr>
          <w:rFonts w:ascii="Arial" w:eastAsia="Calibri" w:hAnsi="Arial" w:cs="Arial"/>
        </w:rPr>
        <w:t xml:space="preserve">: </w:t>
      </w:r>
      <w:bookmarkStart w:id="7" w:name="_Hlk116284008"/>
    </w:p>
    <w:p w14:paraId="1F53111A" w14:textId="77777777" w:rsidR="00F271A1" w:rsidRPr="00B86930" w:rsidRDefault="00F271A1" w:rsidP="00F271A1">
      <w:pPr>
        <w:spacing w:after="0" w:line="276" w:lineRule="auto"/>
        <w:contextualSpacing/>
        <w:jc w:val="both"/>
        <w:rPr>
          <w:rFonts w:ascii="Arial" w:eastAsia="Calibri" w:hAnsi="Arial" w:cs="Arial"/>
        </w:rPr>
      </w:pPr>
    </w:p>
    <w:p w14:paraId="04BFFB8D" w14:textId="6B56DD43" w:rsidR="00F271A1" w:rsidRPr="00B86930" w:rsidRDefault="00F271A1" w:rsidP="00285DE7">
      <w:pPr>
        <w:spacing w:before="120" w:after="0" w:line="240" w:lineRule="auto"/>
        <w:ind w:left="709" w:right="709"/>
        <w:contextualSpacing/>
        <w:jc w:val="both"/>
        <w:rPr>
          <w:rFonts w:ascii="Arial" w:eastAsia="Calibri" w:hAnsi="Arial" w:cs="Arial"/>
          <w:sz w:val="21"/>
          <w:szCs w:val="21"/>
          <w:lang w:val="es-MX"/>
        </w:rPr>
      </w:pPr>
      <w:bookmarkStart w:id="8" w:name="_Hlk133573383"/>
      <w:r w:rsidRPr="00B86930">
        <w:rPr>
          <w:rFonts w:ascii="Arial" w:eastAsia="Calibri" w:hAnsi="Arial" w:cs="Arial"/>
          <w:sz w:val="21"/>
          <w:szCs w:val="21"/>
          <w:lang w:val="es-MX"/>
        </w:rPr>
        <w:t>“</w:t>
      </w:r>
      <w:r w:rsidR="0037509D">
        <w:rPr>
          <w:rFonts w:ascii="Arial" w:eastAsia="Calibri" w:hAnsi="Arial" w:cs="Arial"/>
          <w:sz w:val="21"/>
          <w:szCs w:val="21"/>
          <w:lang w:val="es-MX"/>
        </w:rPr>
        <w:t>se solicita conceptuar si la excepción abarca únicamente los contratos</w:t>
      </w:r>
      <w:r w:rsidR="00764F6B">
        <w:rPr>
          <w:rFonts w:ascii="Arial" w:eastAsia="Calibri" w:hAnsi="Arial" w:cs="Arial"/>
          <w:sz w:val="21"/>
          <w:szCs w:val="21"/>
          <w:lang w:val="es-MX"/>
        </w:rPr>
        <w:t xml:space="preserve"> que se deban realizar para continuar adelantando las acciones de IVC como autoridad sanitaria, o si en la misma se encuentran incluidos los que sean necesarios para el cumplimiento</w:t>
      </w:r>
      <w:r w:rsidR="00DA20D4">
        <w:rPr>
          <w:rFonts w:ascii="Arial" w:eastAsia="Calibri" w:hAnsi="Arial" w:cs="Arial"/>
          <w:sz w:val="21"/>
          <w:szCs w:val="21"/>
          <w:lang w:val="es-MX"/>
        </w:rPr>
        <w:t xml:space="preserve"> de los demás programas, tales como aseguramiento, PAI, salud mental, entre otros, </w:t>
      </w:r>
      <w:r w:rsidR="00285DE7">
        <w:rPr>
          <w:rFonts w:ascii="Arial" w:eastAsia="Calibri" w:hAnsi="Arial" w:cs="Arial"/>
          <w:sz w:val="21"/>
          <w:szCs w:val="21"/>
          <w:lang w:val="es-MX"/>
        </w:rPr>
        <w:t xml:space="preserve">de la </w:t>
      </w:r>
      <w:bookmarkStart w:id="9" w:name="_Int_yA0gLens"/>
      <w:proofErr w:type="gramStart"/>
      <w:r w:rsidR="00285DE7">
        <w:rPr>
          <w:rFonts w:ascii="Arial" w:eastAsia="Calibri" w:hAnsi="Arial" w:cs="Arial"/>
          <w:sz w:val="21"/>
          <w:szCs w:val="21"/>
          <w:lang w:val="es-MX"/>
        </w:rPr>
        <w:t>Secretaria</w:t>
      </w:r>
      <w:bookmarkEnd w:id="9"/>
      <w:proofErr w:type="gramEnd"/>
      <w:r w:rsidR="00285DE7">
        <w:rPr>
          <w:rFonts w:ascii="Arial" w:eastAsia="Calibri" w:hAnsi="Arial" w:cs="Arial"/>
          <w:sz w:val="21"/>
          <w:szCs w:val="21"/>
          <w:lang w:val="es-MX"/>
        </w:rPr>
        <w:t xml:space="preserve"> de Salud y Seguridad Social del municipio</w:t>
      </w:r>
      <w:r w:rsidRPr="00B86930">
        <w:rPr>
          <w:rFonts w:ascii="Arial" w:eastAsia="Calibri" w:hAnsi="Arial" w:cs="Arial"/>
          <w:sz w:val="21"/>
          <w:szCs w:val="21"/>
          <w:lang w:val="es-MX"/>
        </w:rPr>
        <w:t>” [sic]</w:t>
      </w:r>
    </w:p>
    <w:p w14:paraId="095A9C8A" w14:textId="77777777" w:rsidR="00F271A1" w:rsidRPr="00B86930" w:rsidRDefault="00F271A1" w:rsidP="00F271A1">
      <w:pPr>
        <w:spacing w:after="0" w:line="276" w:lineRule="auto"/>
        <w:ind w:left="709" w:right="709"/>
        <w:jc w:val="both"/>
        <w:rPr>
          <w:rFonts w:ascii="Arial" w:eastAsia="Calibri" w:hAnsi="Arial" w:cs="Arial"/>
          <w:lang w:val="es-ES"/>
        </w:rPr>
      </w:pPr>
    </w:p>
    <w:bookmarkEnd w:id="5"/>
    <w:bookmarkEnd w:id="6"/>
    <w:bookmarkEnd w:id="7"/>
    <w:bookmarkEnd w:id="8"/>
    <w:p w14:paraId="7433FCD2" w14:textId="77777777" w:rsidR="00F271A1" w:rsidRPr="00B86930" w:rsidRDefault="00F271A1" w:rsidP="00F271A1">
      <w:pPr>
        <w:tabs>
          <w:tab w:val="left" w:pos="284"/>
        </w:tabs>
        <w:spacing w:after="0" w:line="276" w:lineRule="auto"/>
        <w:contextualSpacing/>
        <w:jc w:val="both"/>
        <w:rPr>
          <w:rFonts w:ascii="Arial" w:eastAsia="Calibri" w:hAnsi="Arial" w:cs="Arial"/>
          <w:b/>
        </w:rPr>
      </w:pPr>
      <w:r w:rsidRPr="00B86930">
        <w:rPr>
          <w:rFonts w:ascii="Arial" w:eastAsia="Calibri" w:hAnsi="Arial" w:cs="Arial"/>
          <w:b/>
        </w:rPr>
        <w:t>2. Consideraciones</w:t>
      </w:r>
    </w:p>
    <w:p w14:paraId="09770851" w14:textId="77777777" w:rsidR="00F271A1" w:rsidRPr="00B86930" w:rsidRDefault="00F271A1" w:rsidP="00F271A1">
      <w:pPr>
        <w:tabs>
          <w:tab w:val="left" w:pos="284"/>
        </w:tabs>
        <w:spacing w:after="0" w:line="276" w:lineRule="auto"/>
        <w:contextualSpacing/>
        <w:jc w:val="both"/>
        <w:rPr>
          <w:rFonts w:ascii="Arial" w:eastAsia="Calibri" w:hAnsi="Arial" w:cs="Arial"/>
          <w:b/>
        </w:rPr>
      </w:pPr>
    </w:p>
    <w:p w14:paraId="2C109A04" w14:textId="77777777" w:rsidR="0032386A" w:rsidRPr="000547C2" w:rsidRDefault="0032386A" w:rsidP="0032386A">
      <w:pPr>
        <w:spacing w:line="276" w:lineRule="auto"/>
        <w:jc w:val="both"/>
        <w:rPr>
          <w:rFonts w:ascii="Arial" w:hAnsi="Arial" w:cs="Arial"/>
          <w:lang w:val="es-ES"/>
        </w:rPr>
      </w:pPr>
      <w:r w:rsidRPr="000547C2">
        <w:rPr>
          <w:rFonts w:ascii="Arial" w:hAnsi="Arial" w:cs="Arial"/>
          <w:bCs/>
        </w:rPr>
        <w:lastRenderedPageBreak/>
        <w:t xml:space="preserve">La Agencia Nacional de Contratación Pública – Colombia Compra Eficiente resuelve consultas sobre </w:t>
      </w:r>
      <w:r w:rsidRPr="000547C2">
        <w:rPr>
          <w:rFonts w:ascii="Arial" w:hAnsi="Arial" w:cs="Arial"/>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547C2">
        <w:rPr>
          <w:rFonts w:ascii="Arial" w:hAnsi="Arial" w:cs="Arial"/>
          <w:bCs/>
        </w:rPr>
        <w:t xml:space="preserve"> de todos los partícipes de la contratación estatal ni para interpretar el alcance de cualquier norma vigente en el ordenamiento jurídico.</w:t>
      </w:r>
    </w:p>
    <w:p w14:paraId="13F150C4" w14:textId="77777777" w:rsidR="0032386A" w:rsidRPr="000547C2" w:rsidRDefault="0032386A" w:rsidP="0032386A">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2"/>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219D9030" w14:textId="495C4F03" w:rsidR="00F271A1" w:rsidRPr="00B86930" w:rsidRDefault="0032386A" w:rsidP="0032386A">
      <w:pPr>
        <w:spacing w:before="120" w:after="120" w:line="276" w:lineRule="auto"/>
        <w:ind w:firstLine="709"/>
        <w:jc w:val="both"/>
        <w:rPr>
          <w:rFonts w:ascii="Arial" w:eastAsia="Calibri" w:hAnsi="Arial" w:cs="Arial"/>
          <w:highlight w:val="yellow"/>
          <w:lang w:val="es-ES_tradnl" w:eastAsia="es-MX"/>
        </w:rPr>
      </w:pPr>
      <w:r w:rsidRPr="000547C2">
        <w:rPr>
          <w:rFonts w:ascii="Arial" w:hAnsi="Arial" w:cs="Arial"/>
          <w:lang w:val="es-ES"/>
        </w:rPr>
        <w:t>En este contexto, l</w:t>
      </w:r>
      <w:r w:rsidRPr="000547C2">
        <w:rPr>
          <w:rFonts w:ascii="Arial" w:eastAsia="Calibri" w:hAnsi="Arial" w:cs="Arial"/>
          <w:color w:val="000000" w:themeColor="text1"/>
          <w:lang w:val="es-ES"/>
        </w:rPr>
        <w:t xml:space="preserve">a </w:t>
      </w:r>
      <w:r w:rsidRPr="000547C2">
        <w:rPr>
          <w:rFonts w:ascii="Arial" w:eastAsia="Calibri" w:hAnsi="Arial" w:cs="Arial"/>
          <w:color w:val="000000" w:themeColor="text1"/>
          <w:lang w:val="es-ES_tradnl"/>
        </w:rPr>
        <w:t xml:space="preserve">Agencia Nacional de Contratación Pública – Colombia Compra Eficiente, </w:t>
      </w:r>
      <w:r w:rsidRPr="000547C2">
        <w:rPr>
          <w:rFonts w:ascii="Arial" w:eastAsia="Calibri" w:hAnsi="Arial" w:cs="Arial"/>
          <w:color w:val="000000" w:themeColor="text1"/>
          <w:lang w:val="es-ES"/>
        </w:rPr>
        <w:t>dentro de los límites de sus atribuciones,</w:t>
      </w:r>
      <w:r>
        <w:rPr>
          <w:rFonts w:ascii="Arial" w:eastAsia="Calibri" w:hAnsi="Arial" w:cs="Arial"/>
          <w:lang w:val="es-ES" w:eastAsia="es-ES_tradnl"/>
        </w:rPr>
        <w:t xml:space="preserve"> esto es, haciendo abstracción al caso particular expuesto, </w:t>
      </w:r>
      <w:r w:rsidRPr="00EF69F0">
        <w:rPr>
          <w:rFonts w:ascii="Arial" w:eastAsia="Calibri" w:hAnsi="Arial" w:cs="Arial"/>
          <w:color w:val="000000"/>
          <w:lang w:val="es-ES" w:eastAsia="es-ES_tradnl"/>
        </w:rPr>
        <w:t>resolverá la consulta conforme a las normas generales en materia de contratación estatal. Con este objetivo se analizarán los siguientes temas</w:t>
      </w:r>
      <w:r w:rsidRPr="005445B1">
        <w:rPr>
          <w:rFonts w:ascii="Arial" w:eastAsia="Times New Roman" w:hAnsi="Arial" w:cs="Arial"/>
          <w:szCs w:val="24"/>
          <w:lang w:val="es-ES_tradnl" w:eastAsia="es-ES_tradnl"/>
        </w:rPr>
        <w:t xml:space="preserve">: </w:t>
      </w:r>
      <w:proofErr w:type="spellStart"/>
      <w:r w:rsidRPr="005445B1">
        <w:rPr>
          <w:rFonts w:ascii="Arial" w:eastAsia="Times New Roman" w:hAnsi="Arial" w:cs="Arial"/>
          <w:szCs w:val="24"/>
          <w:lang w:val="es-ES_tradnl" w:eastAsia="es-ES_tradnl"/>
        </w:rPr>
        <w:t>i</w:t>
      </w:r>
      <w:r w:rsidR="00F271A1" w:rsidRPr="00B86930">
        <w:rPr>
          <w:rFonts w:ascii="Arial" w:eastAsia="Calibri" w:hAnsi="Arial" w:cs="Arial"/>
          <w:lang w:val="es-ES_tradnl" w:eastAsia="es-MX"/>
        </w:rPr>
        <w:t>i</w:t>
      </w:r>
      <w:proofErr w:type="spellEnd"/>
      <w:r w:rsidR="00F271A1" w:rsidRPr="00B86930">
        <w:rPr>
          <w:rFonts w:ascii="Arial" w:eastAsia="Calibri" w:hAnsi="Arial" w:cs="Arial"/>
          <w:lang w:val="es-ES_tradnl" w:eastAsia="es-MX"/>
        </w:rPr>
        <w:t>) definición y finalidad de la Ley de Garantías Electorales</w:t>
      </w:r>
      <w:r w:rsidR="00B142A1">
        <w:rPr>
          <w:rFonts w:ascii="Arial" w:eastAsia="Calibri" w:hAnsi="Arial" w:cs="Arial"/>
          <w:lang w:val="es-ES_tradnl" w:eastAsia="es-MX"/>
        </w:rPr>
        <w:t xml:space="preserve"> y </w:t>
      </w:r>
      <w:proofErr w:type="spellStart"/>
      <w:r w:rsidR="00F271A1" w:rsidRPr="00B86930">
        <w:rPr>
          <w:rFonts w:ascii="Arial" w:eastAsia="Calibri" w:hAnsi="Arial" w:cs="Arial"/>
          <w:lang w:val="es-ES_tradnl" w:eastAsia="es-MX"/>
        </w:rPr>
        <w:t>iii</w:t>
      </w:r>
      <w:proofErr w:type="spellEnd"/>
      <w:r w:rsidR="00F271A1" w:rsidRPr="00B86930">
        <w:rPr>
          <w:rFonts w:ascii="Arial" w:eastAsia="Calibri" w:hAnsi="Arial" w:cs="Arial"/>
          <w:lang w:val="es-ES_tradnl" w:eastAsia="es-MX"/>
        </w:rPr>
        <w:t>) restricciones para la celebración de contratos y convenios interadministrativos en los comicios para cargos de elección popular.</w:t>
      </w:r>
    </w:p>
    <w:p w14:paraId="34B133CA" w14:textId="7B8EB569" w:rsidR="00F271A1" w:rsidRPr="00B86930" w:rsidRDefault="00F271A1" w:rsidP="00F271A1">
      <w:pPr>
        <w:spacing w:after="0" w:line="276" w:lineRule="auto"/>
        <w:ind w:firstLine="709"/>
        <w:jc w:val="both"/>
        <w:rPr>
          <w:rFonts w:ascii="Arial" w:eastAsia="Arial" w:hAnsi="Arial" w:cs="Arial"/>
          <w:lang w:val="es-MX" w:eastAsia="es-ES_tradnl"/>
        </w:rPr>
      </w:pPr>
      <w:r w:rsidRPr="00B86930">
        <w:rPr>
          <w:rFonts w:ascii="Arial" w:eastAsia="Times New Roman" w:hAnsi="Arial" w:cs="Arial"/>
          <w:lang w:eastAsia="es-ES_tradnl"/>
        </w:rPr>
        <w:t xml:space="preserve">La Agencia Nacional de Contratación Pública – Colombia Compra Eficiente </w:t>
      </w:r>
      <w:r w:rsidRPr="00B86930">
        <w:rPr>
          <w:rFonts w:ascii="Arial" w:eastAsia="Arial" w:hAnsi="Arial" w:cs="Arial"/>
          <w:lang w:val="es-MX" w:eastAsia="es-ES_tradnl"/>
        </w:rPr>
        <w:t xml:space="preserve">ha analizado diferentes aspectos de la Ley 996 de 2005 en los conceptos con número de radicado </w:t>
      </w:r>
      <w:r w:rsidR="00810923" w:rsidRPr="007A0C25">
        <w:rPr>
          <w:rFonts w:ascii="Arial" w:eastAsia="Calibri" w:hAnsi="Arial" w:cs="Arial"/>
          <w:lang w:val="es-ES_tradnl"/>
        </w:rPr>
        <w:t xml:space="preserve">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w:t>
      </w:r>
      <w:r w:rsidR="00810923" w:rsidRPr="007A0C25">
        <w:rPr>
          <w:rFonts w:ascii="Arial" w:eastAsia="Calibri" w:hAnsi="Arial" w:cs="Arial"/>
          <w:lang w:val="es-ES_tradnl"/>
        </w:rPr>
        <w:lastRenderedPageBreak/>
        <w:t xml:space="preserve">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C-674 del 6 de diciembre de 2021, C-677 del 4 de diciembre de 2021, C-695 de 22 de diciembre de 2021, C-699 del 6 de enero de 2022, C-700 del 6 de enero de 2021, C-723 del 28 de diciembre de 2021, </w:t>
      </w:r>
      <w:r w:rsidR="00810923" w:rsidRPr="007A0C25">
        <w:rPr>
          <w:rFonts w:ascii="Arial" w:eastAsia="Calibri" w:hAnsi="Arial" w:cs="Arial"/>
          <w:bCs/>
        </w:rPr>
        <w:t xml:space="preserve">C-715 del 21 de enero de 2022, C-718 del 24 de enero de 2022 y C-726 del 24 de enero de 2022, </w:t>
      </w:r>
      <w:r w:rsidR="001A1C1C">
        <w:rPr>
          <w:rFonts w:ascii="Arial" w:eastAsia="Calibri" w:hAnsi="Arial" w:cs="Arial"/>
          <w:bCs/>
        </w:rPr>
        <w:t xml:space="preserve">C-015 del 12 de enero de 2022, </w:t>
      </w:r>
      <w:r w:rsidR="006D5611">
        <w:rPr>
          <w:rFonts w:ascii="Arial" w:eastAsia="Calibri" w:hAnsi="Arial" w:cs="Arial"/>
          <w:bCs/>
        </w:rPr>
        <w:t>C-037</w:t>
      </w:r>
      <w:r w:rsidR="009732C7">
        <w:rPr>
          <w:rFonts w:ascii="Arial" w:eastAsia="Calibri" w:hAnsi="Arial" w:cs="Arial"/>
          <w:bCs/>
        </w:rPr>
        <w:t xml:space="preserve"> de 21 enero de 2022, </w:t>
      </w:r>
      <w:r w:rsidR="00810923" w:rsidRPr="007A0C25">
        <w:rPr>
          <w:rFonts w:ascii="Arial" w:eastAsia="Calibri" w:hAnsi="Arial" w:cs="Arial"/>
          <w:bCs/>
        </w:rPr>
        <w:t>C-002 del 15 de febrero de 2022, C</w:t>
      </w:r>
      <w:r w:rsidR="00386B5C">
        <w:rPr>
          <w:rFonts w:ascii="Arial" w:eastAsia="Calibri" w:hAnsi="Arial" w:cs="Arial"/>
          <w:bCs/>
        </w:rPr>
        <w:t>-</w:t>
      </w:r>
      <w:r w:rsidR="00810923" w:rsidRPr="007A0C25">
        <w:rPr>
          <w:rFonts w:ascii="Arial" w:eastAsia="Calibri" w:hAnsi="Arial" w:cs="Arial"/>
          <w:bCs/>
        </w:rPr>
        <w:t xml:space="preserve">005 del 16 de febrero de 2022, C-009 del 15 de febrero de 2022, </w:t>
      </w:r>
      <w:r w:rsidR="006A1FD9">
        <w:rPr>
          <w:rFonts w:ascii="Arial" w:eastAsia="Calibri" w:hAnsi="Arial" w:cs="Arial"/>
          <w:bCs/>
        </w:rPr>
        <w:t xml:space="preserve">C-055 del 17 de febrero de 2022, </w:t>
      </w:r>
      <w:r w:rsidR="00810923" w:rsidRPr="007A0C25">
        <w:rPr>
          <w:rFonts w:ascii="Arial" w:eastAsia="Calibri" w:hAnsi="Arial" w:cs="Arial"/>
          <w:bCs/>
        </w:rPr>
        <w:t xml:space="preserve">C-014 del 18 de febrero de 2022, C-022 del 21 de febrero de 2022, C-023 del 22 de febrero de 2022, C-008 del 24 de febrero de 2022, C-045 del 3 de marzo de 2022, </w:t>
      </w:r>
      <w:r w:rsidR="00576614">
        <w:rPr>
          <w:rFonts w:ascii="Arial" w:eastAsia="Calibri" w:hAnsi="Arial" w:cs="Arial"/>
          <w:bCs/>
        </w:rPr>
        <w:t xml:space="preserve">C- 042 del 4 de marzo de 2023, </w:t>
      </w:r>
      <w:r w:rsidR="00974721">
        <w:rPr>
          <w:rFonts w:ascii="Arial" w:eastAsia="Calibri" w:hAnsi="Arial" w:cs="Arial"/>
          <w:bCs/>
        </w:rPr>
        <w:t>C-051 de</w:t>
      </w:r>
      <w:r w:rsidR="008D1F6D">
        <w:rPr>
          <w:rFonts w:ascii="Arial" w:eastAsia="Calibri" w:hAnsi="Arial" w:cs="Arial"/>
          <w:bCs/>
        </w:rPr>
        <w:t>l</w:t>
      </w:r>
      <w:r w:rsidR="00974721">
        <w:rPr>
          <w:rFonts w:ascii="Arial" w:eastAsia="Calibri" w:hAnsi="Arial" w:cs="Arial"/>
          <w:bCs/>
        </w:rPr>
        <w:t xml:space="preserve"> 4 de marzo de 2022, </w:t>
      </w:r>
      <w:r w:rsidR="00477758">
        <w:rPr>
          <w:rFonts w:ascii="Arial" w:eastAsia="Calibri" w:hAnsi="Arial" w:cs="Arial"/>
          <w:bCs/>
        </w:rPr>
        <w:t xml:space="preserve">C-054 del 7 de marzo de 2022, </w:t>
      </w:r>
      <w:r w:rsidR="00810923" w:rsidRPr="007A0C25">
        <w:rPr>
          <w:rFonts w:ascii="Arial" w:eastAsia="Calibri" w:hAnsi="Arial" w:cs="Arial"/>
          <w:bCs/>
        </w:rPr>
        <w:t xml:space="preserve">C-064 del 8 de marzo de 2022, C-072 del 11 de marzo de 2022, C-109 del 14 de marzo de 2022, C-073 del 14 de marzo de 2022, </w:t>
      </w:r>
      <w:r w:rsidR="00C62925" w:rsidRPr="007A0C25">
        <w:rPr>
          <w:rFonts w:ascii="Arial" w:eastAsia="Calibri" w:hAnsi="Arial" w:cs="Arial"/>
          <w:bCs/>
        </w:rPr>
        <w:t>C-098 de</w:t>
      </w:r>
      <w:r w:rsidR="00423A5F">
        <w:rPr>
          <w:rFonts w:ascii="Arial" w:eastAsia="Calibri" w:hAnsi="Arial" w:cs="Arial"/>
          <w:bCs/>
        </w:rPr>
        <w:t>l</w:t>
      </w:r>
      <w:r w:rsidR="00C62925" w:rsidRPr="007A0C25">
        <w:rPr>
          <w:rFonts w:ascii="Arial" w:eastAsia="Calibri" w:hAnsi="Arial" w:cs="Arial"/>
          <w:bCs/>
        </w:rPr>
        <w:t xml:space="preserve"> 9 de marzo de 2022</w:t>
      </w:r>
      <w:r w:rsidR="00C62925">
        <w:rPr>
          <w:rFonts w:ascii="Arial" w:eastAsia="Calibri" w:hAnsi="Arial" w:cs="Arial"/>
          <w:bCs/>
        </w:rPr>
        <w:t>,</w:t>
      </w:r>
      <w:r w:rsidR="00810923" w:rsidRPr="007A0C25">
        <w:rPr>
          <w:rFonts w:ascii="Arial" w:eastAsia="Calibri" w:hAnsi="Arial" w:cs="Arial"/>
          <w:bCs/>
        </w:rPr>
        <w:t>C-07</w:t>
      </w:r>
      <w:r w:rsidR="00946612">
        <w:rPr>
          <w:rFonts w:ascii="Arial" w:eastAsia="Calibri" w:hAnsi="Arial" w:cs="Arial"/>
          <w:bCs/>
        </w:rPr>
        <w:t>6</w:t>
      </w:r>
      <w:r w:rsidR="00810923" w:rsidRPr="007A0C25">
        <w:rPr>
          <w:rFonts w:ascii="Arial" w:eastAsia="Calibri" w:hAnsi="Arial" w:cs="Arial"/>
          <w:bCs/>
        </w:rPr>
        <w:t xml:space="preserve"> del 10 de marzo de 2022, C-092 del 16 de marzo de 2022, C-094 de</w:t>
      </w:r>
      <w:r w:rsidR="00423A5F">
        <w:rPr>
          <w:rFonts w:ascii="Arial" w:eastAsia="Calibri" w:hAnsi="Arial" w:cs="Arial"/>
          <w:bCs/>
        </w:rPr>
        <w:t>l</w:t>
      </w:r>
      <w:r w:rsidR="00810923" w:rsidRPr="007A0C25">
        <w:rPr>
          <w:rFonts w:ascii="Arial" w:eastAsia="Calibri" w:hAnsi="Arial" w:cs="Arial"/>
          <w:bCs/>
        </w:rPr>
        <w:t xml:space="preserve"> 16 de marzo de 2022, </w:t>
      </w:r>
      <w:r w:rsidR="00D16194" w:rsidRPr="007A0C25">
        <w:rPr>
          <w:rFonts w:ascii="Arial" w:eastAsia="Calibri" w:hAnsi="Arial" w:cs="Arial"/>
          <w:bCs/>
        </w:rPr>
        <w:t>C-077 del 17 de marzo de 2022</w:t>
      </w:r>
      <w:r w:rsidR="00D16194">
        <w:rPr>
          <w:rFonts w:ascii="Arial" w:eastAsia="Calibri" w:hAnsi="Arial" w:cs="Arial"/>
          <w:bCs/>
        </w:rPr>
        <w:t>, C-103</w:t>
      </w:r>
      <w:r w:rsidR="008B38CD">
        <w:rPr>
          <w:rFonts w:ascii="Arial" w:eastAsia="Calibri" w:hAnsi="Arial" w:cs="Arial"/>
          <w:bCs/>
        </w:rPr>
        <w:t xml:space="preserve"> de</w:t>
      </w:r>
      <w:r w:rsidR="00423A5F">
        <w:rPr>
          <w:rFonts w:ascii="Arial" w:eastAsia="Calibri" w:hAnsi="Arial" w:cs="Arial"/>
          <w:bCs/>
        </w:rPr>
        <w:t>l</w:t>
      </w:r>
      <w:r w:rsidR="008B38CD">
        <w:rPr>
          <w:rFonts w:ascii="Arial" w:eastAsia="Calibri" w:hAnsi="Arial" w:cs="Arial"/>
          <w:bCs/>
        </w:rPr>
        <w:t xml:space="preserve"> 17 de marzo de 2022</w:t>
      </w:r>
      <w:r w:rsidR="00810923" w:rsidRPr="007A0C25">
        <w:rPr>
          <w:rFonts w:ascii="Arial" w:eastAsia="Calibri" w:hAnsi="Arial" w:cs="Arial"/>
          <w:bCs/>
        </w:rPr>
        <w:t>, C-097 de</w:t>
      </w:r>
      <w:r w:rsidR="00423A5F">
        <w:rPr>
          <w:rFonts w:ascii="Arial" w:eastAsia="Calibri" w:hAnsi="Arial" w:cs="Arial"/>
          <w:bCs/>
        </w:rPr>
        <w:t>l</w:t>
      </w:r>
      <w:r w:rsidR="00810923" w:rsidRPr="007A0C25">
        <w:rPr>
          <w:rFonts w:ascii="Arial" w:eastAsia="Calibri" w:hAnsi="Arial" w:cs="Arial"/>
          <w:bCs/>
        </w:rPr>
        <w:t xml:space="preserve"> 18 de marzo de 2022,</w:t>
      </w:r>
      <w:r w:rsidR="00D5245B">
        <w:rPr>
          <w:rFonts w:ascii="Arial" w:eastAsia="Calibri" w:hAnsi="Arial" w:cs="Arial"/>
          <w:bCs/>
        </w:rPr>
        <w:t xml:space="preserve"> C-118 del 18 de marzo de 2022</w:t>
      </w:r>
      <w:r w:rsidR="005B3F41">
        <w:rPr>
          <w:rFonts w:ascii="Arial" w:eastAsia="Calibri" w:hAnsi="Arial" w:cs="Arial"/>
          <w:bCs/>
        </w:rPr>
        <w:t>,</w:t>
      </w:r>
      <w:r w:rsidR="00810923" w:rsidRPr="007A0C25">
        <w:rPr>
          <w:rFonts w:ascii="Arial" w:eastAsia="Calibri" w:hAnsi="Arial" w:cs="Arial"/>
          <w:bCs/>
        </w:rPr>
        <w:t xml:space="preserve"> </w:t>
      </w:r>
      <w:r w:rsidR="00306EE0">
        <w:rPr>
          <w:rFonts w:ascii="Arial" w:eastAsia="Calibri" w:hAnsi="Arial" w:cs="Arial"/>
          <w:bCs/>
        </w:rPr>
        <w:t xml:space="preserve">C-122 del 18 de marzo de 2022, </w:t>
      </w:r>
      <w:r w:rsidR="00F81B49">
        <w:rPr>
          <w:rFonts w:ascii="Arial" w:eastAsia="Calibri" w:hAnsi="Arial" w:cs="Arial"/>
          <w:bCs/>
        </w:rPr>
        <w:t xml:space="preserve">C-106 del 19 de marzo de 2022, </w:t>
      </w:r>
      <w:r w:rsidR="00810923" w:rsidRPr="007A0C25">
        <w:rPr>
          <w:rFonts w:ascii="Arial" w:eastAsia="Calibri" w:hAnsi="Arial" w:cs="Arial"/>
          <w:bCs/>
        </w:rPr>
        <w:t>C-099 del 22 de marzo de 2022, C-102 del 22 de marzo de 2022, C-107 de</w:t>
      </w:r>
      <w:r w:rsidR="00423A5F">
        <w:rPr>
          <w:rFonts w:ascii="Arial" w:eastAsia="Calibri" w:hAnsi="Arial" w:cs="Arial"/>
          <w:bCs/>
        </w:rPr>
        <w:t>l</w:t>
      </w:r>
      <w:r w:rsidR="00810923" w:rsidRPr="007A0C25">
        <w:rPr>
          <w:rFonts w:ascii="Arial" w:eastAsia="Calibri" w:hAnsi="Arial" w:cs="Arial"/>
          <w:bCs/>
        </w:rPr>
        <w:t xml:space="preserve"> 18 de marzo de 2022, </w:t>
      </w:r>
      <w:r w:rsidR="00B4621F" w:rsidRPr="007A0C25">
        <w:rPr>
          <w:rFonts w:ascii="Arial" w:eastAsia="Calibri" w:hAnsi="Arial" w:cs="Arial"/>
          <w:bCs/>
        </w:rPr>
        <w:t>C-116 del 18 de marzo de 2022</w:t>
      </w:r>
      <w:r w:rsidR="00B4621F">
        <w:rPr>
          <w:rFonts w:ascii="Arial" w:eastAsia="Calibri" w:hAnsi="Arial" w:cs="Arial"/>
          <w:bCs/>
        </w:rPr>
        <w:t>,</w:t>
      </w:r>
      <w:r w:rsidR="006843C3">
        <w:rPr>
          <w:rFonts w:ascii="Arial" w:eastAsia="Calibri" w:hAnsi="Arial" w:cs="Arial"/>
          <w:bCs/>
        </w:rPr>
        <w:t xml:space="preserve"> </w:t>
      </w:r>
      <w:r w:rsidR="00F81B49" w:rsidRPr="007A0C25">
        <w:rPr>
          <w:rFonts w:ascii="Arial" w:eastAsia="Calibri" w:hAnsi="Arial" w:cs="Arial"/>
          <w:bCs/>
        </w:rPr>
        <w:t>C-096 del 22 de marzo de 2022</w:t>
      </w:r>
      <w:r w:rsidR="00F81B49">
        <w:rPr>
          <w:rFonts w:ascii="Arial" w:eastAsia="Calibri" w:hAnsi="Arial" w:cs="Arial"/>
          <w:bCs/>
        </w:rPr>
        <w:t>, C-100 del 29 de marzo de 2022,</w:t>
      </w:r>
      <w:r w:rsidR="00810923" w:rsidRPr="007A0C25">
        <w:rPr>
          <w:rFonts w:ascii="Arial" w:eastAsia="Calibri" w:hAnsi="Arial" w:cs="Arial"/>
          <w:bCs/>
        </w:rPr>
        <w:t>C-111 del 22 de marzo de 2022</w:t>
      </w:r>
      <w:r w:rsidR="006E14CF">
        <w:rPr>
          <w:rFonts w:ascii="Arial" w:eastAsia="Calibri" w:hAnsi="Arial" w:cs="Arial"/>
          <w:bCs/>
        </w:rPr>
        <w:t>, C-112 de</w:t>
      </w:r>
      <w:r w:rsidR="00423A5F">
        <w:rPr>
          <w:rFonts w:ascii="Arial" w:eastAsia="Calibri" w:hAnsi="Arial" w:cs="Arial"/>
          <w:bCs/>
        </w:rPr>
        <w:t>l</w:t>
      </w:r>
      <w:r w:rsidR="006E14CF">
        <w:rPr>
          <w:rFonts w:ascii="Arial" w:eastAsia="Calibri" w:hAnsi="Arial" w:cs="Arial"/>
          <w:bCs/>
        </w:rPr>
        <w:t xml:space="preserve"> 22 de marzo de 2022,</w:t>
      </w:r>
      <w:r w:rsidR="00810923" w:rsidRPr="007A0C25">
        <w:rPr>
          <w:rFonts w:ascii="Arial" w:eastAsia="Calibri" w:hAnsi="Arial" w:cs="Arial"/>
          <w:bCs/>
        </w:rPr>
        <w:t xml:space="preserve"> C-115 del 22 de marzo de 2022,</w:t>
      </w:r>
      <w:r w:rsidR="0067740E">
        <w:rPr>
          <w:rFonts w:ascii="Arial" w:eastAsia="Calibri" w:hAnsi="Arial" w:cs="Arial"/>
          <w:bCs/>
        </w:rPr>
        <w:t xml:space="preserve"> </w:t>
      </w:r>
      <w:r w:rsidR="00810923" w:rsidRPr="007A0C25">
        <w:rPr>
          <w:rFonts w:ascii="Arial" w:eastAsia="Calibri" w:hAnsi="Arial" w:cs="Arial"/>
          <w:bCs/>
        </w:rPr>
        <w:t>C-127 del 22 de marzo de 2022</w:t>
      </w:r>
      <w:r w:rsidR="00810923">
        <w:rPr>
          <w:rFonts w:ascii="Arial" w:eastAsia="Calibri" w:hAnsi="Arial" w:cs="Arial"/>
          <w:bCs/>
        </w:rPr>
        <w:t xml:space="preserve">, </w:t>
      </w:r>
      <w:r w:rsidR="00A20B90">
        <w:rPr>
          <w:rFonts w:ascii="Arial" w:eastAsia="Calibri" w:hAnsi="Arial" w:cs="Arial"/>
          <w:bCs/>
        </w:rPr>
        <w:t xml:space="preserve">C-129 del 22 de marzo de 2022, </w:t>
      </w:r>
      <w:r w:rsidR="00810923" w:rsidRPr="007A0C25">
        <w:rPr>
          <w:rFonts w:ascii="Arial" w:eastAsia="Calibri" w:hAnsi="Arial" w:cs="Arial"/>
          <w:bCs/>
        </w:rPr>
        <w:t>C-164 del 22 de marzo de 2022</w:t>
      </w:r>
      <w:r w:rsidR="00164740">
        <w:rPr>
          <w:rFonts w:ascii="Arial" w:eastAsia="Calibri" w:hAnsi="Arial" w:cs="Arial"/>
          <w:bCs/>
        </w:rPr>
        <w:t>,</w:t>
      </w:r>
      <w:r w:rsidR="00783C89">
        <w:rPr>
          <w:rFonts w:ascii="Arial" w:eastAsia="Calibri" w:hAnsi="Arial" w:cs="Arial"/>
          <w:bCs/>
        </w:rPr>
        <w:t xml:space="preserve">C-146 del </w:t>
      </w:r>
      <w:r w:rsidR="00566780">
        <w:rPr>
          <w:rFonts w:ascii="Arial" w:eastAsia="Calibri" w:hAnsi="Arial" w:cs="Arial"/>
          <w:bCs/>
        </w:rPr>
        <w:t xml:space="preserve">25 de marzo de 2022, </w:t>
      </w:r>
      <w:r w:rsidR="00147219">
        <w:rPr>
          <w:rFonts w:ascii="Arial" w:eastAsia="Calibri" w:hAnsi="Arial" w:cs="Arial"/>
          <w:bCs/>
        </w:rPr>
        <w:t xml:space="preserve">C-153 del 25 de marzo de 2022, </w:t>
      </w:r>
      <w:r w:rsidR="003A361D">
        <w:rPr>
          <w:rFonts w:ascii="Arial" w:eastAsia="Calibri" w:hAnsi="Arial" w:cs="Arial"/>
          <w:bCs/>
        </w:rPr>
        <w:t xml:space="preserve">C-145 del 28 de marzo de 2022, </w:t>
      </w:r>
      <w:r w:rsidR="007925AD">
        <w:rPr>
          <w:rFonts w:ascii="Arial" w:eastAsia="Calibri" w:hAnsi="Arial" w:cs="Arial"/>
          <w:bCs/>
        </w:rPr>
        <w:t xml:space="preserve">C-156 del 28 de marzo de 2022, </w:t>
      </w:r>
      <w:r w:rsidR="00B23E3A">
        <w:rPr>
          <w:rFonts w:ascii="Arial" w:eastAsia="Calibri" w:hAnsi="Arial" w:cs="Arial"/>
          <w:bCs/>
        </w:rPr>
        <w:t xml:space="preserve">C-148 del 29 de marzo de 2022, </w:t>
      </w:r>
      <w:r w:rsidR="00CA5599">
        <w:rPr>
          <w:rFonts w:ascii="Arial" w:eastAsia="Calibri" w:hAnsi="Arial" w:cs="Arial"/>
          <w:bCs/>
        </w:rPr>
        <w:t xml:space="preserve">C-163 del 29 de marzo de 2023, </w:t>
      </w:r>
      <w:r w:rsidR="0076327B">
        <w:rPr>
          <w:rFonts w:ascii="Arial" w:eastAsia="Calibri" w:hAnsi="Arial" w:cs="Arial"/>
          <w:bCs/>
        </w:rPr>
        <w:t xml:space="preserve">C-150 del 30 de marzo de 2022, </w:t>
      </w:r>
      <w:r w:rsidR="003A0755">
        <w:rPr>
          <w:rFonts w:ascii="Arial" w:eastAsia="Calibri" w:hAnsi="Arial" w:cs="Arial"/>
          <w:bCs/>
        </w:rPr>
        <w:t xml:space="preserve">C-139 de 31 de marzo de 2022, </w:t>
      </w:r>
      <w:r w:rsidR="00CD758D">
        <w:rPr>
          <w:rFonts w:ascii="Arial" w:eastAsia="Calibri" w:hAnsi="Arial" w:cs="Arial"/>
          <w:bCs/>
        </w:rPr>
        <w:t>C-003 de</w:t>
      </w:r>
      <w:r w:rsidR="0067740E">
        <w:rPr>
          <w:rFonts w:ascii="Arial" w:eastAsia="Calibri" w:hAnsi="Arial" w:cs="Arial"/>
          <w:bCs/>
        </w:rPr>
        <w:t>l</w:t>
      </w:r>
      <w:r w:rsidR="00CD758D">
        <w:rPr>
          <w:rFonts w:ascii="Arial" w:eastAsia="Calibri" w:hAnsi="Arial" w:cs="Arial"/>
          <w:bCs/>
        </w:rPr>
        <w:t xml:space="preserve"> </w:t>
      </w:r>
      <w:r w:rsidR="00692815">
        <w:rPr>
          <w:rFonts w:ascii="Arial" w:eastAsia="Calibri" w:hAnsi="Arial" w:cs="Arial"/>
          <w:bCs/>
        </w:rPr>
        <w:t>1 de abril de 2022, C-004 del 1 de abril de 2022</w:t>
      </w:r>
      <w:r w:rsidR="005B248B">
        <w:rPr>
          <w:rFonts w:ascii="Arial" w:eastAsia="Calibri" w:hAnsi="Arial" w:cs="Arial"/>
          <w:bCs/>
        </w:rPr>
        <w:t>, C-134 del 1 de abril de 2022,</w:t>
      </w:r>
      <w:r w:rsidR="00810923">
        <w:rPr>
          <w:rFonts w:ascii="Arial" w:eastAsia="Calibri" w:hAnsi="Arial" w:cs="Arial"/>
          <w:bCs/>
        </w:rPr>
        <w:t xml:space="preserve"> </w:t>
      </w:r>
      <w:r w:rsidR="003A0755">
        <w:rPr>
          <w:rFonts w:ascii="Arial" w:eastAsia="Calibri" w:hAnsi="Arial" w:cs="Arial"/>
          <w:bCs/>
        </w:rPr>
        <w:t xml:space="preserve">C-141 del 1 de abril de 2022, </w:t>
      </w:r>
      <w:r w:rsidR="00E10E69">
        <w:rPr>
          <w:rFonts w:ascii="Arial" w:eastAsia="Calibri" w:hAnsi="Arial" w:cs="Arial"/>
          <w:bCs/>
        </w:rPr>
        <w:t xml:space="preserve">C-155 del 1 de abril de 2022, </w:t>
      </w:r>
      <w:r w:rsidR="00566780">
        <w:rPr>
          <w:rFonts w:ascii="Arial" w:eastAsia="Calibri" w:hAnsi="Arial" w:cs="Arial"/>
          <w:bCs/>
        </w:rPr>
        <w:t xml:space="preserve">C-147 del </w:t>
      </w:r>
      <w:r w:rsidR="00B23E3A">
        <w:rPr>
          <w:rFonts w:ascii="Arial" w:eastAsia="Calibri" w:hAnsi="Arial" w:cs="Arial"/>
          <w:bCs/>
        </w:rPr>
        <w:t xml:space="preserve">4 de abril de 2022, </w:t>
      </w:r>
      <w:r w:rsidR="00BC1B62">
        <w:rPr>
          <w:rFonts w:ascii="Arial" w:eastAsia="Calibri" w:hAnsi="Arial" w:cs="Arial"/>
          <w:bCs/>
        </w:rPr>
        <w:t xml:space="preserve">, </w:t>
      </w:r>
      <w:r w:rsidR="00C85A9D">
        <w:rPr>
          <w:rFonts w:ascii="Arial" w:eastAsia="Calibri" w:hAnsi="Arial" w:cs="Arial"/>
          <w:bCs/>
        </w:rPr>
        <w:t xml:space="preserve">C-151 del 5 </w:t>
      </w:r>
      <w:r w:rsidR="00A94C34">
        <w:rPr>
          <w:rFonts w:ascii="Arial" w:eastAsia="Calibri" w:hAnsi="Arial" w:cs="Arial"/>
          <w:bCs/>
        </w:rPr>
        <w:t xml:space="preserve">de abril </w:t>
      </w:r>
      <w:r w:rsidR="00C85A9D">
        <w:rPr>
          <w:rFonts w:ascii="Arial" w:eastAsia="Calibri" w:hAnsi="Arial" w:cs="Arial"/>
          <w:bCs/>
        </w:rPr>
        <w:t>de 2022,</w:t>
      </w:r>
      <w:r w:rsidR="00962BB1">
        <w:rPr>
          <w:rFonts w:ascii="Arial" w:eastAsia="Calibri" w:hAnsi="Arial" w:cs="Arial"/>
          <w:bCs/>
        </w:rPr>
        <w:t xml:space="preserve"> C-158 del </w:t>
      </w:r>
      <w:r w:rsidR="003464AC">
        <w:rPr>
          <w:rFonts w:ascii="Arial" w:eastAsia="Calibri" w:hAnsi="Arial" w:cs="Arial"/>
          <w:bCs/>
        </w:rPr>
        <w:t>4 de abril de 2022,</w:t>
      </w:r>
      <w:r w:rsidR="00962BB1">
        <w:rPr>
          <w:rFonts w:ascii="Arial" w:eastAsia="Calibri" w:hAnsi="Arial" w:cs="Arial"/>
          <w:bCs/>
        </w:rPr>
        <w:t xml:space="preserve"> C-157 del 5 de abril de 2022, </w:t>
      </w:r>
      <w:r w:rsidR="00811ABD">
        <w:rPr>
          <w:rFonts w:ascii="Arial" w:eastAsia="Calibri" w:hAnsi="Arial" w:cs="Arial"/>
          <w:bCs/>
        </w:rPr>
        <w:t xml:space="preserve">C-169 del 7 de abril de 2022, </w:t>
      </w:r>
      <w:r w:rsidR="003464AC">
        <w:rPr>
          <w:rFonts w:ascii="Arial" w:eastAsia="Calibri" w:hAnsi="Arial" w:cs="Arial"/>
          <w:bCs/>
        </w:rPr>
        <w:t>C-161</w:t>
      </w:r>
      <w:r w:rsidR="009C50B0">
        <w:rPr>
          <w:rFonts w:ascii="Arial" w:eastAsia="Calibri" w:hAnsi="Arial" w:cs="Arial"/>
          <w:bCs/>
        </w:rPr>
        <w:t xml:space="preserve"> del 17 de mayo de 2022,</w:t>
      </w:r>
      <w:r w:rsidR="00973B63">
        <w:rPr>
          <w:rFonts w:ascii="Arial" w:eastAsia="Calibri" w:hAnsi="Arial" w:cs="Arial"/>
          <w:bCs/>
        </w:rPr>
        <w:t xml:space="preserve"> </w:t>
      </w:r>
      <w:r w:rsidR="00D460D9">
        <w:rPr>
          <w:rFonts w:ascii="Arial" w:eastAsia="Calibri" w:hAnsi="Arial" w:cs="Arial"/>
          <w:bCs/>
        </w:rPr>
        <w:t xml:space="preserve">C-364 del 20 de mayo de 2022, </w:t>
      </w:r>
      <w:r w:rsidR="002515B1">
        <w:rPr>
          <w:rFonts w:ascii="Arial" w:eastAsia="Calibri" w:hAnsi="Arial" w:cs="Arial"/>
          <w:bCs/>
        </w:rPr>
        <w:t xml:space="preserve">C-368 del 13 de mayo de 2022, </w:t>
      </w:r>
      <w:r w:rsidR="00233768">
        <w:rPr>
          <w:rFonts w:ascii="Arial" w:eastAsia="Calibri" w:hAnsi="Arial" w:cs="Arial"/>
          <w:bCs/>
        </w:rPr>
        <w:t>C-373</w:t>
      </w:r>
      <w:r w:rsidR="00881874">
        <w:rPr>
          <w:rFonts w:ascii="Arial" w:eastAsia="Calibri" w:hAnsi="Arial" w:cs="Arial"/>
          <w:bCs/>
        </w:rPr>
        <w:t xml:space="preserve"> del 8 de junio de 2023, </w:t>
      </w:r>
      <w:r w:rsidR="0064556C">
        <w:rPr>
          <w:rFonts w:ascii="Arial" w:eastAsia="Calibri" w:hAnsi="Arial" w:cs="Arial"/>
          <w:bCs/>
        </w:rPr>
        <w:t>C-380 del 14</w:t>
      </w:r>
      <w:r w:rsidR="00233768">
        <w:rPr>
          <w:rFonts w:ascii="Arial" w:eastAsia="Calibri" w:hAnsi="Arial" w:cs="Arial"/>
          <w:bCs/>
        </w:rPr>
        <w:t xml:space="preserve"> de junio de 2022, </w:t>
      </w:r>
      <w:r w:rsidR="004D2DD4">
        <w:rPr>
          <w:rFonts w:ascii="Arial" w:eastAsia="Calibri" w:hAnsi="Arial" w:cs="Arial"/>
          <w:bCs/>
        </w:rPr>
        <w:t>C-384</w:t>
      </w:r>
      <w:r w:rsidR="0064556C">
        <w:rPr>
          <w:rFonts w:ascii="Arial" w:eastAsia="Calibri" w:hAnsi="Arial" w:cs="Arial"/>
          <w:bCs/>
        </w:rPr>
        <w:t xml:space="preserve"> del 14 junio de 2022, </w:t>
      </w:r>
      <w:r w:rsidR="005C120F">
        <w:rPr>
          <w:rFonts w:ascii="Arial" w:eastAsia="Calibri" w:hAnsi="Arial" w:cs="Arial"/>
          <w:bCs/>
        </w:rPr>
        <w:t>C-</w:t>
      </w:r>
      <w:r w:rsidR="00F16D72">
        <w:rPr>
          <w:rFonts w:ascii="Arial" w:eastAsia="Calibri" w:hAnsi="Arial" w:cs="Arial"/>
          <w:bCs/>
        </w:rPr>
        <w:t>389</w:t>
      </w:r>
      <w:r w:rsidR="00A60317">
        <w:rPr>
          <w:rFonts w:ascii="Arial" w:eastAsia="Calibri" w:hAnsi="Arial" w:cs="Arial"/>
          <w:bCs/>
        </w:rPr>
        <w:t xml:space="preserve"> del </w:t>
      </w:r>
      <w:r w:rsidR="009529F1">
        <w:rPr>
          <w:rFonts w:ascii="Arial" w:eastAsia="Calibri" w:hAnsi="Arial" w:cs="Arial"/>
          <w:bCs/>
        </w:rPr>
        <w:t>14</w:t>
      </w:r>
      <w:r w:rsidR="00A60317">
        <w:rPr>
          <w:rFonts w:ascii="Arial" w:eastAsia="Calibri" w:hAnsi="Arial" w:cs="Arial"/>
          <w:bCs/>
        </w:rPr>
        <w:t xml:space="preserve"> de junio de 2022, </w:t>
      </w:r>
      <w:r w:rsidR="003758BB">
        <w:rPr>
          <w:rFonts w:ascii="Arial" w:eastAsia="Calibri" w:hAnsi="Arial" w:cs="Arial"/>
          <w:bCs/>
        </w:rPr>
        <w:t>C-401</w:t>
      </w:r>
      <w:r w:rsidR="007B025D">
        <w:rPr>
          <w:rFonts w:ascii="Arial" w:eastAsia="Calibri" w:hAnsi="Arial" w:cs="Arial"/>
          <w:bCs/>
        </w:rPr>
        <w:t xml:space="preserve"> del 21 de junio de 2022, </w:t>
      </w:r>
      <w:r w:rsidR="00E84A45">
        <w:rPr>
          <w:rFonts w:ascii="Arial" w:eastAsia="Calibri" w:hAnsi="Arial" w:cs="Arial"/>
          <w:bCs/>
        </w:rPr>
        <w:t>C-</w:t>
      </w:r>
      <w:r w:rsidR="00F51BB9">
        <w:rPr>
          <w:rFonts w:ascii="Arial" w:eastAsia="Calibri" w:hAnsi="Arial" w:cs="Arial"/>
          <w:bCs/>
        </w:rPr>
        <w:t xml:space="preserve">428 del 6 de julio de 2022, </w:t>
      </w:r>
      <w:r w:rsidR="00167A3B">
        <w:rPr>
          <w:rFonts w:ascii="Arial" w:eastAsia="Calibri" w:hAnsi="Arial" w:cs="Arial"/>
          <w:bCs/>
        </w:rPr>
        <w:t>C-45</w:t>
      </w:r>
      <w:r w:rsidR="008C43CA">
        <w:rPr>
          <w:rFonts w:ascii="Arial" w:eastAsia="Calibri" w:hAnsi="Arial" w:cs="Arial"/>
          <w:bCs/>
        </w:rPr>
        <w:t xml:space="preserve">0 de 12 de julio de 2022, </w:t>
      </w:r>
      <w:r w:rsidR="00DA455A">
        <w:rPr>
          <w:rFonts w:ascii="Arial" w:eastAsia="Calibri" w:hAnsi="Arial" w:cs="Arial"/>
          <w:bCs/>
        </w:rPr>
        <w:t>C-442</w:t>
      </w:r>
      <w:r w:rsidR="00E84A45">
        <w:rPr>
          <w:rFonts w:ascii="Arial" w:eastAsia="Calibri" w:hAnsi="Arial" w:cs="Arial"/>
          <w:bCs/>
        </w:rPr>
        <w:t xml:space="preserve"> del 13 de julio de 2022, </w:t>
      </w:r>
      <w:r w:rsidR="000A4A3C">
        <w:rPr>
          <w:rFonts w:ascii="Arial" w:eastAsia="Calibri" w:hAnsi="Arial" w:cs="Arial"/>
          <w:bCs/>
        </w:rPr>
        <w:t>C-</w:t>
      </w:r>
      <w:r w:rsidR="00195EC8">
        <w:rPr>
          <w:rFonts w:ascii="Arial" w:eastAsia="Calibri" w:hAnsi="Arial" w:cs="Arial"/>
          <w:bCs/>
        </w:rPr>
        <w:t xml:space="preserve">503 del 4 de agosto de 2022, </w:t>
      </w:r>
      <w:r w:rsidR="0043696C">
        <w:rPr>
          <w:rFonts w:ascii="Arial" w:eastAsia="Calibri" w:hAnsi="Arial" w:cs="Arial"/>
          <w:bCs/>
        </w:rPr>
        <w:t xml:space="preserve">C-516 del 11 de agosto de 2022, </w:t>
      </w:r>
      <w:r w:rsidR="00973B63">
        <w:rPr>
          <w:rFonts w:ascii="Arial" w:eastAsia="Calibri" w:hAnsi="Arial" w:cs="Arial"/>
          <w:bCs/>
        </w:rPr>
        <w:t xml:space="preserve">C-583 del 16 de septiembre de 2022, </w:t>
      </w:r>
      <w:r w:rsidR="007924A6">
        <w:rPr>
          <w:rFonts w:ascii="Arial" w:eastAsia="Calibri" w:hAnsi="Arial" w:cs="Arial"/>
          <w:bCs/>
        </w:rPr>
        <w:t>C-58</w:t>
      </w:r>
      <w:r w:rsidR="0058120C">
        <w:rPr>
          <w:rFonts w:ascii="Arial" w:eastAsia="Calibri" w:hAnsi="Arial" w:cs="Arial"/>
          <w:bCs/>
        </w:rPr>
        <w:t>4</w:t>
      </w:r>
      <w:r w:rsidR="007924A6">
        <w:rPr>
          <w:rFonts w:ascii="Arial" w:eastAsia="Calibri" w:hAnsi="Arial" w:cs="Arial"/>
          <w:bCs/>
        </w:rPr>
        <w:t xml:space="preserve"> del </w:t>
      </w:r>
      <w:r w:rsidR="00973B63">
        <w:rPr>
          <w:rFonts w:ascii="Arial" w:eastAsia="Calibri" w:hAnsi="Arial" w:cs="Arial"/>
          <w:bCs/>
        </w:rPr>
        <w:t>2</w:t>
      </w:r>
      <w:r w:rsidR="007924A6">
        <w:rPr>
          <w:rFonts w:ascii="Arial" w:eastAsia="Calibri" w:hAnsi="Arial" w:cs="Arial"/>
          <w:bCs/>
        </w:rPr>
        <w:t>6 de septiembre de 2022,</w:t>
      </w:r>
      <w:r w:rsidR="009C50B0">
        <w:rPr>
          <w:rFonts w:ascii="Arial" w:eastAsia="Calibri" w:hAnsi="Arial" w:cs="Arial"/>
          <w:bCs/>
        </w:rPr>
        <w:t xml:space="preserve"> </w:t>
      </w:r>
      <w:r w:rsidR="00810923">
        <w:rPr>
          <w:rFonts w:ascii="Arial" w:eastAsia="Calibri" w:hAnsi="Arial" w:cs="Arial"/>
          <w:bCs/>
        </w:rPr>
        <w:t>C-608 del 23 de septiembre de 202</w:t>
      </w:r>
      <w:r w:rsidR="00275396">
        <w:rPr>
          <w:rFonts w:ascii="Arial" w:eastAsia="Calibri" w:hAnsi="Arial" w:cs="Arial"/>
          <w:bCs/>
        </w:rPr>
        <w:t>2</w:t>
      </w:r>
      <w:r w:rsidR="00810923">
        <w:rPr>
          <w:rFonts w:ascii="Arial" w:eastAsia="Calibri" w:hAnsi="Arial" w:cs="Arial"/>
          <w:bCs/>
        </w:rPr>
        <w:t>,</w:t>
      </w:r>
      <w:r w:rsidR="006546B2">
        <w:rPr>
          <w:rFonts w:ascii="Arial" w:eastAsia="Calibri" w:hAnsi="Arial" w:cs="Arial"/>
          <w:bCs/>
        </w:rPr>
        <w:t xml:space="preserve"> C-</w:t>
      </w:r>
      <w:r w:rsidR="00E1346C">
        <w:rPr>
          <w:rFonts w:ascii="Arial" w:eastAsia="Calibri" w:hAnsi="Arial" w:cs="Arial"/>
          <w:bCs/>
        </w:rPr>
        <w:t>584</w:t>
      </w:r>
      <w:r w:rsidR="007924A6">
        <w:rPr>
          <w:rFonts w:ascii="Arial" w:eastAsia="Calibri" w:hAnsi="Arial" w:cs="Arial"/>
          <w:bCs/>
        </w:rPr>
        <w:t xml:space="preserve"> del 26 de septiembre de 2022,</w:t>
      </w:r>
      <w:r w:rsidR="007268DF">
        <w:rPr>
          <w:rFonts w:ascii="Arial" w:eastAsia="Calibri" w:hAnsi="Arial" w:cs="Arial"/>
          <w:bCs/>
        </w:rPr>
        <w:t xml:space="preserve"> C-</w:t>
      </w:r>
      <w:r w:rsidR="008D7AFC">
        <w:rPr>
          <w:rFonts w:ascii="Arial" w:eastAsia="Calibri" w:hAnsi="Arial" w:cs="Arial"/>
          <w:bCs/>
        </w:rPr>
        <w:t>027 del 22 de marzo de 2023</w:t>
      </w:r>
      <w:r w:rsidR="002F035F">
        <w:rPr>
          <w:rFonts w:ascii="Arial" w:eastAsia="Calibri" w:hAnsi="Arial" w:cs="Arial"/>
          <w:bCs/>
        </w:rPr>
        <w:t xml:space="preserve">, </w:t>
      </w:r>
      <w:r w:rsidR="00E85FE7">
        <w:rPr>
          <w:rFonts w:ascii="Arial" w:eastAsia="Calibri" w:hAnsi="Arial" w:cs="Arial"/>
          <w:bCs/>
        </w:rPr>
        <w:t>C-049 del 13 de abril de 202</w:t>
      </w:r>
      <w:r w:rsidR="00BE3817">
        <w:rPr>
          <w:rFonts w:ascii="Arial" w:eastAsia="Calibri" w:hAnsi="Arial" w:cs="Arial"/>
          <w:bCs/>
        </w:rPr>
        <w:t>3</w:t>
      </w:r>
      <w:r w:rsidR="00E85FE7">
        <w:rPr>
          <w:rFonts w:ascii="Arial" w:eastAsia="Calibri" w:hAnsi="Arial" w:cs="Arial"/>
          <w:bCs/>
        </w:rPr>
        <w:t xml:space="preserve">, </w:t>
      </w:r>
      <w:r w:rsidR="00BE3817">
        <w:rPr>
          <w:rFonts w:ascii="Arial" w:eastAsia="Calibri" w:hAnsi="Arial" w:cs="Arial"/>
          <w:bCs/>
        </w:rPr>
        <w:t xml:space="preserve">C-052 del 21 de abril de 2023, </w:t>
      </w:r>
      <w:r w:rsidR="008449EB">
        <w:rPr>
          <w:rFonts w:ascii="Arial" w:eastAsia="Calibri" w:hAnsi="Arial" w:cs="Arial"/>
          <w:bCs/>
        </w:rPr>
        <w:t>C-075</w:t>
      </w:r>
      <w:r w:rsidR="00D66073">
        <w:rPr>
          <w:rFonts w:ascii="Arial" w:eastAsia="Calibri" w:hAnsi="Arial" w:cs="Arial"/>
          <w:bCs/>
        </w:rPr>
        <w:t xml:space="preserve"> del 25 de abril de 2023, </w:t>
      </w:r>
      <w:r w:rsidR="003D4586">
        <w:rPr>
          <w:rFonts w:ascii="Arial" w:eastAsia="Calibri" w:hAnsi="Arial" w:cs="Arial"/>
          <w:bCs/>
        </w:rPr>
        <w:t xml:space="preserve">C-076 del 25 de abril de 2023, </w:t>
      </w:r>
      <w:r w:rsidR="00E51D51">
        <w:rPr>
          <w:rFonts w:ascii="Arial" w:eastAsia="Calibri" w:hAnsi="Arial" w:cs="Arial"/>
          <w:bCs/>
        </w:rPr>
        <w:t xml:space="preserve">C-078 del 25 de abril de 2023, </w:t>
      </w:r>
      <w:r w:rsidR="00075F3E">
        <w:rPr>
          <w:rFonts w:ascii="Arial" w:eastAsia="Calibri" w:hAnsi="Arial" w:cs="Arial"/>
          <w:bCs/>
        </w:rPr>
        <w:t xml:space="preserve">C-098 del 4 de mayo de 2023, </w:t>
      </w:r>
      <w:r w:rsidR="004037A9">
        <w:rPr>
          <w:rFonts w:ascii="Arial" w:eastAsia="Calibri" w:hAnsi="Arial" w:cs="Arial"/>
          <w:bCs/>
        </w:rPr>
        <w:t xml:space="preserve">C-114 del 8 de mayo de 2023, </w:t>
      </w:r>
      <w:r w:rsidR="001A22C7">
        <w:rPr>
          <w:rFonts w:ascii="Arial" w:eastAsia="Calibri" w:hAnsi="Arial" w:cs="Arial"/>
          <w:bCs/>
        </w:rPr>
        <w:t xml:space="preserve">C-115 del </w:t>
      </w:r>
      <w:r w:rsidR="00BD10ED">
        <w:rPr>
          <w:rFonts w:ascii="Arial" w:eastAsia="Calibri" w:hAnsi="Arial" w:cs="Arial"/>
          <w:bCs/>
        </w:rPr>
        <w:t xml:space="preserve">8 de mayo de 2023, C-116 del 8 de mayo de 2023, </w:t>
      </w:r>
      <w:r w:rsidR="00A6649E">
        <w:rPr>
          <w:rFonts w:ascii="Arial" w:eastAsia="Calibri" w:hAnsi="Arial" w:cs="Arial"/>
          <w:bCs/>
        </w:rPr>
        <w:t xml:space="preserve">C-118 del 9 de mayo de 2023, </w:t>
      </w:r>
      <w:r w:rsidR="00A2713A">
        <w:rPr>
          <w:rFonts w:ascii="Arial" w:eastAsia="Calibri" w:hAnsi="Arial" w:cs="Arial"/>
          <w:bCs/>
        </w:rPr>
        <w:t xml:space="preserve">C-134 del 26 de mayo de 2023, </w:t>
      </w:r>
      <w:r w:rsidR="0098431C">
        <w:rPr>
          <w:rFonts w:ascii="Arial" w:eastAsia="Calibri" w:hAnsi="Arial" w:cs="Arial"/>
          <w:bCs/>
        </w:rPr>
        <w:t xml:space="preserve">C-145 del 18 </w:t>
      </w:r>
      <w:r w:rsidR="0098431C">
        <w:rPr>
          <w:rFonts w:ascii="Arial" w:eastAsia="Calibri" w:hAnsi="Arial" w:cs="Arial"/>
          <w:bCs/>
        </w:rPr>
        <w:lastRenderedPageBreak/>
        <w:t>de mayo de 2023</w:t>
      </w:r>
      <w:r w:rsidR="008C63D1">
        <w:rPr>
          <w:rFonts w:ascii="Arial" w:eastAsia="Calibri" w:hAnsi="Arial" w:cs="Arial"/>
          <w:bCs/>
        </w:rPr>
        <w:t xml:space="preserve"> y C-149 del 1 de junio de 2023,</w:t>
      </w:r>
      <w:r w:rsidR="00810923">
        <w:rPr>
          <w:rFonts w:ascii="Arial" w:eastAsia="Calibri" w:hAnsi="Arial" w:cs="Arial"/>
          <w:bCs/>
        </w:rPr>
        <w:t xml:space="preserve"> entre otros</w:t>
      </w:r>
      <w:r w:rsidRPr="00B86930">
        <w:rPr>
          <w:rFonts w:ascii="Arial" w:eastAsia="Calibri" w:hAnsi="Arial" w:cs="Arial"/>
          <w:bCs/>
          <w:vertAlign w:val="superscript"/>
        </w:rPr>
        <w:footnoteReference w:id="3"/>
      </w:r>
      <w:r w:rsidRPr="00B86930">
        <w:rPr>
          <w:rFonts w:ascii="Arial" w:eastAsia="Calibri" w:hAnsi="Arial" w:cs="Arial"/>
          <w:lang w:val="es-ES_tradnl"/>
        </w:rPr>
        <w:t>.</w:t>
      </w:r>
      <w:r w:rsidRPr="00B86930">
        <w:rPr>
          <w:rFonts w:ascii="Arial" w:eastAsia="Arial" w:hAnsi="Arial" w:cs="Arial"/>
          <w:lang w:val="es-MX" w:eastAsia="es-ES_tradnl"/>
        </w:rPr>
        <w:t xml:space="preserve"> </w:t>
      </w:r>
      <w:r w:rsidRPr="00B86930">
        <w:rPr>
          <w:rFonts w:ascii="Arial" w:eastAsia="Calibri" w:hAnsi="Arial" w:cs="Arial"/>
          <w:lang w:val="es-ES_tradnl" w:eastAsia="es-ES_tradnl"/>
        </w:rPr>
        <w:t>Algunas de las consideraciones de estos conceptos</w:t>
      </w:r>
      <w:r w:rsidR="00195809">
        <w:rPr>
          <w:rFonts w:ascii="Arial" w:eastAsia="Calibri" w:hAnsi="Arial" w:cs="Arial"/>
          <w:lang w:val="es-ES_tradnl" w:eastAsia="es-ES_tradnl"/>
        </w:rPr>
        <w:t xml:space="preserve"> </w:t>
      </w:r>
      <w:r w:rsidRPr="00B86930">
        <w:rPr>
          <w:rFonts w:ascii="Arial" w:eastAsia="Calibri" w:hAnsi="Arial" w:cs="Arial"/>
          <w:lang w:val="es-ES_tradnl" w:eastAsia="es-ES_tradnl"/>
        </w:rPr>
        <w:t>se reiteran y se complementan en lo pertinente, teniendo en cuenta lo consultado.</w:t>
      </w:r>
    </w:p>
    <w:p w14:paraId="0D1CA89F" w14:textId="77777777" w:rsidR="00F271A1" w:rsidRPr="00B86930" w:rsidRDefault="00F271A1" w:rsidP="00F271A1">
      <w:pPr>
        <w:spacing w:after="0" w:line="276" w:lineRule="auto"/>
        <w:ind w:firstLine="709"/>
        <w:jc w:val="both"/>
        <w:rPr>
          <w:rFonts w:ascii="Arial" w:eastAsia="Times New Roman" w:hAnsi="Arial" w:cs="Arial"/>
          <w:b/>
          <w:bCs/>
          <w:iCs/>
          <w:szCs w:val="24"/>
          <w:lang w:val="es-ES_tradnl" w:eastAsia="es-ES_tradnl"/>
        </w:rPr>
      </w:pPr>
    </w:p>
    <w:p w14:paraId="1F7DA63E" w14:textId="77777777" w:rsidR="00F271A1" w:rsidRPr="00B86930" w:rsidRDefault="00F271A1" w:rsidP="00F271A1">
      <w:pPr>
        <w:spacing w:after="0" w:line="276" w:lineRule="auto"/>
        <w:jc w:val="both"/>
        <w:rPr>
          <w:rFonts w:ascii="Arial" w:eastAsia="Times New Roman" w:hAnsi="Arial" w:cs="Arial"/>
          <w:b/>
          <w:bCs/>
          <w:iCs/>
          <w:szCs w:val="24"/>
          <w:lang w:val="es-ES_tradnl" w:eastAsia="es-ES_tradnl"/>
        </w:rPr>
      </w:pPr>
      <w:r w:rsidRPr="00B86930">
        <w:rPr>
          <w:rFonts w:ascii="Arial" w:eastAsia="Times New Roman" w:hAnsi="Arial" w:cs="Arial"/>
          <w:b/>
          <w:bCs/>
          <w:iCs/>
          <w:szCs w:val="24"/>
          <w:lang w:val="es-ES_tradnl" w:eastAsia="es-ES_tradnl"/>
        </w:rPr>
        <w:t>2.1. Definición y finalidad de la Ley de Garantías Electorales. Reiteración de línea</w:t>
      </w:r>
    </w:p>
    <w:p w14:paraId="325F6121" w14:textId="77777777" w:rsidR="00F271A1" w:rsidRPr="00B86930" w:rsidRDefault="00F271A1" w:rsidP="00F271A1">
      <w:pPr>
        <w:spacing w:after="0" w:line="240" w:lineRule="auto"/>
        <w:ind w:firstLine="709"/>
        <w:jc w:val="both"/>
        <w:rPr>
          <w:rFonts w:ascii="Arial" w:eastAsia="Times New Roman" w:hAnsi="Arial" w:cs="Arial"/>
          <w:iCs/>
          <w:szCs w:val="24"/>
          <w:lang w:val="es-ES_tradnl" w:eastAsia="es-ES_tradnl"/>
        </w:rPr>
      </w:pPr>
    </w:p>
    <w:p w14:paraId="101E0935" w14:textId="00A5A259" w:rsidR="00F271A1" w:rsidRPr="00B86930" w:rsidRDefault="00F271A1" w:rsidP="00F271A1">
      <w:pPr>
        <w:spacing w:after="0" w:line="276" w:lineRule="auto"/>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El ordenamiento jurídico colombiano contempla previsiones claras para evitar la obtención de beneficios personales en asuntos propios de la administración pública. Por ejemplo, el artículo 127 de la Constitución Política, establece una prohibición contractual a los servidores públicos y en cu</w:t>
      </w:r>
      <w:r w:rsidR="00955EC4">
        <w:rPr>
          <w:rFonts w:ascii="Arial" w:eastAsia="Times New Roman" w:hAnsi="Arial" w:cs="Arial"/>
          <w:iCs/>
          <w:szCs w:val="24"/>
          <w:lang w:val="es-ES_tradnl" w:eastAsia="es-ES_tradnl"/>
        </w:rPr>
        <w:t>a</w:t>
      </w:r>
      <w:r w:rsidRPr="00B86930">
        <w:rPr>
          <w:rFonts w:ascii="Arial" w:eastAsia="Times New Roman" w:hAnsi="Arial" w:cs="Arial"/>
          <w:iCs/>
          <w:szCs w:val="24"/>
          <w:lang w:val="es-ES_tradnl" w:eastAsia="es-ES_tradnl"/>
        </w:rPr>
        <w:t>nto a aspectos políticos, consagra restricciones a ciertos empleados del Estado, incluso en época no electoral</w:t>
      </w:r>
      <w:r w:rsidRPr="00B86930">
        <w:rPr>
          <w:rFonts w:ascii="Arial" w:eastAsia="Calibri" w:hAnsi="Arial" w:cs="Arial"/>
          <w:bCs/>
          <w:vertAlign w:val="superscript"/>
          <w:lang w:val="es-MX"/>
        </w:rPr>
        <w:footnoteReference w:id="4"/>
      </w:r>
      <w:r w:rsidRPr="00B86930">
        <w:rPr>
          <w:rFonts w:ascii="Arial" w:eastAsia="Calibri" w:hAnsi="Arial" w:cs="Arial"/>
          <w:bCs/>
          <w:lang w:val="es-MX"/>
        </w:rPr>
        <w:t>.</w:t>
      </w:r>
    </w:p>
    <w:p w14:paraId="6B53DE0A" w14:textId="6F719C6C"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B86930">
        <w:rPr>
          <w:rFonts w:ascii="Arial" w:hAnsi="Arial" w:cs="Arial"/>
          <w:bCs/>
          <w:vertAlign w:val="superscript"/>
          <w:lang w:eastAsia="es-CO"/>
        </w:rPr>
        <w:footnoteReference w:id="5"/>
      </w:r>
      <w:r w:rsidRPr="00B86930">
        <w:rPr>
          <w:rFonts w:ascii="Arial" w:hAnsi="Arial" w:cs="Arial"/>
          <w:bCs/>
          <w:lang w:eastAsia="es-CO"/>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r w:rsidR="009623F0">
        <w:rPr>
          <w:rFonts w:ascii="Arial" w:hAnsi="Arial" w:cs="Arial"/>
          <w:bCs/>
          <w:lang w:eastAsia="es-CO"/>
        </w:rPr>
        <w:t>,</w:t>
      </w:r>
      <w:r w:rsidRPr="00B86930">
        <w:rPr>
          <w:rFonts w:ascii="Arial" w:hAnsi="Arial" w:cs="Arial"/>
          <w:bCs/>
          <w:lang w:eastAsia="es-CO"/>
        </w:rPr>
        <w:t xml:space="preserve"> explica que tiene como propósito:</w:t>
      </w:r>
    </w:p>
    <w:p w14:paraId="0B7A10C9" w14:textId="77777777" w:rsidR="00F271A1" w:rsidRPr="00B86930" w:rsidRDefault="00F271A1" w:rsidP="00F271A1">
      <w:pPr>
        <w:spacing w:after="0" w:line="240" w:lineRule="auto"/>
        <w:ind w:left="709" w:right="709"/>
        <w:contextualSpacing/>
        <w:jc w:val="both"/>
        <w:rPr>
          <w:rFonts w:ascii="Arial" w:hAnsi="Arial" w:cs="Arial"/>
          <w:sz w:val="21"/>
          <w:szCs w:val="21"/>
          <w:lang w:val="es-ES" w:eastAsia="es-CO"/>
        </w:rPr>
      </w:pPr>
    </w:p>
    <w:p w14:paraId="64E298E7" w14:textId="77777777" w:rsidR="00F271A1" w:rsidRPr="00B86930" w:rsidRDefault="00F271A1" w:rsidP="00FD4A2F">
      <w:pPr>
        <w:spacing w:after="0" w:line="240" w:lineRule="auto"/>
        <w:ind w:left="709" w:right="709"/>
        <w:contextualSpacing/>
        <w:jc w:val="both"/>
        <w:rPr>
          <w:rFonts w:ascii="Arial" w:hAnsi="Arial" w:cs="Arial"/>
          <w:bCs/>
          <w:sz w:val="21"/>
          <w:szCs w:val="21"/>
          <w:lang w:val="es-MX" w:eastAsia="es-CO"/>
        </w:rPr>
      </w:pPr>
      <w:r w:rsidRPr="00B86930">
        <w:rPr>
          <w:rFonts w:ascii="Arial" w:hAnsi="Arial" w:cs="Arial"/>
          <w:sz w:val="21"/>
          <w:szCs w:val="21"/>
          <w:lang w:val="es-ES" w:eastAsia="es-CO"/>
        </w:rPr>
        <w:t xml:space="preserve">“[…] </w:t>
      </w:r>
      <w:r w:rsidRPr="00B86930">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6410C45C" w14:textId="77777777" w:rsidR="00F271A1" w:rsidRPr="00B86930" w:rsidRDefault="00F271A1" w:rsidP="00FD4A2F">
      <w:pPr>
        <w:spacing w:before="120" w:after="120" w:line="240" w:lineRule="auto"/>
        <w:ind w:left="709" w:right="709"/>
        <w:jc w:val="both"/>
        <w:rPr>
          <w:rFonts w:ascii="Arial" w:hAnsi="Arial" w:cs="Arial"/>
          <w:bCs/>
          <w:sz w:val="21"/>
          <w:szCs w:val="21"/>
          <w:lang w:val="es-MX" w:eastAsia="es-CO"/>
        </w:rPr>
      </w:pPr>
      <w:r w:rsidRPr="00B86930">
        <w:rPr>
          <w:rFonts w:ascii="Arial" w:hAnsi="Arial" w:cs="Arial"/>
          <w:bCs/>
          <w:sz w:val="21"/>
          <w:szCs w:val="21"/>
          <w:lang w:val="es-MX" w:eastAsia="es-CO"/>
        </w:rPr>
        <w:t xml:space="preserve">[…] </w:t>
      </w:r>
    </w:p>
    <w:p w14:paraId="7249F395" w14:textId="77777777" w:rsidR="00F271A1" w:rsidRPr="00B86930" w:rsidRDefault="00F271A1" w:rsidP="00FD4A2F">
      <w:pPr>
        <w:spacing w:after="0" w:line="240" w:lineRule="auto"/>
        <w:ind w:left="709" w:right="709"/>
        <w:contextualSpacing/>
        <w:jc w:val="both"/>
        <w:rPr>
          <w:rFonts w:ascii="Arial" w:hAnsi="Arial" w:cs="Arial"/>
          <w:bCs/>
          <w:sz w:val="21"/>
          <w:szCs w:val="21"/>
          <w:lang w:val="es-MX" w:eastAsia="es-CO"/>
        </w:rPr>
      </w:pPr>
      <w:r w:rsidRPr="00B86930">
        <w:rPr>
          <w:rFonts w:ascii="Arial" w:hAnsi="Arial" w:cs="Arial"/>
          <w:bCs/>
          <w:sz w:val="21"/>
          <w:szCs w:val="21"/>
          <w:lang w:val="es-MX" w:eastAsia="es-CO"/>
        </w:rPr>
        <w:t xml:space="preserve">Una ley de garantías electorales es una guía para el ejercicio equitativo y transparente de la democracia representativa. Un estatuto diseñado para asegurar que la contienda </w:t>
      </w:r>
      <w:r w:rsidRPr="00B86930">
        <w:rPr>
          <w:rFonts w:ascii="Arial" w:hAnsi="Arial" w:cs="Arial"/>
          <w:bCs/>
          <w:sz w:val="21"/>
          <w:szCs w:val="21"/>
          <w:lang w:val="es-MX" w:eastAsia="es-CO"/>
        </w:rPr>
        <w:lastRenderedPageBreak/>
        <w:t>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B86930">
        <w:rPr>
          <w:rFonts w:ascii="Arial" w:eastAsia="Calibri" w:hAnsi="Arial" w:cs="Arial"/>
          <w:sz w:val="21"/>
          <w:szCs w:val="21"/>
          <w:vertAlign w:val="superscript"/>
          <w:lang w:val="es-MX"/>
        </w:rPr>
        <w:footnoteReference w:id="6"/>
      </w:r>
      <w:r w:rsidRPr="00B86930">
        <w:rPr>
          <w:rFonts w:ascii="Arial" w:hAnsi="Arial" w:cs="Arial"/>
          <w:bCs/>
          <w:sz w:val="21"/>
          <w:szCs w:val="21"/>
          <w:lang w:val="es-MX" w:eastAsia="es-CO"/>
        </w:rPr>
        <w:t>”.</w:t>
      </w:r>
    </w:p>
    <w:p w14:paraId="1A128621" w14:textId="77777777" w:rsidR="00F271A1" w:rsidRPr="00B86930" w:rsidRDefault="00F271A1" w:rsidP="00F271A1">
      <w:pPr>
        <w:spacing w:after="0" w:line="276" w:lineRule="auto"/>
        <w:ind w:left="708" w:right="709"/>
        <w:contextualSpacing/>
        <w:jc w:val="both"/>
        <w:rPr>
          <w:rFonts w:ascii="Arial" w:hAnsi="Arial" w:cs="Arial"/>
          <w:bCs/>
          <w:lang w:val="es-MX" w:eastAsia="es-CO"/>
        </w:rPr>
      </w:pPr>
    </w:p>
    <w:p w14:paraId="53B06226" w14:textId="77777777" w:rsidR="00F271A1" w:rsidRPr="00B86930" w:rsidRDefault="00F271A1" w:rsidP="00F271A1">
      <w:pPr>
        <w:spacing w:after="0" w:line="276" w:lineRule="auto"/>
        <w:contextualSpacing/>
        <w:jc w:val="both"/>
        <w:rPr>
          <w:rFonts w:ascii="Arial" w:hAnsi="Arial" w:cs="Arial"/>
          <w:bCs/>
          <w:lang w:val="es-MX" w:eastAsia="es-CO"/>
        </w:rPr>
      </w:pPr>
      <w:r w:rsidRPr="00B86930">
        <w:rPr>
          <w:rFonts w:ascii="Arial" w:hAnsi="Arial" w:cs="Arial"/>
          <w:bCs/>
          <w:lang w:val="es-MX" w:eastAsia="es-CO"/>
        </w:rPr>
        <w:tab/>
        <w:t xml:space="preserve">En ese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electorales. Por ello, varias de las disposiciones de la Ley 996 de 2005, al contener normas prohibitivas, no admiten una interpretación amplia, sino que deben interpretarse restrictivamente. En efecto, la Sala de Consulta y Servicio del Consejo de Estado, precisó lo siguiente: </w:t>
      </w:r>
    </w:p>
    <w:p w14:paraId="30B2348E" w14:textId="77777777" w:rsidR="00F271A1" w:rsidRPr="00B86930" w:rsidRDefault="00F271A1" w:rsidP="00F271A1">
      <w:pPr>
        <w:spacing w:after="0" w:line="240" w:lineRule="auto"/>
        <w:ind w:left="709" w:right="709"/>
        <w:contextualSpacing/>
        <w:jc w:val="both"/>
        <w:rPr>
          <w:rFonts w:ascii="Arial" w:hAnsi="Arial" w:cs="Arial"/>
          <w:bCs/>
          <w:sz w:val="21"/>
          <w:szCs w:val="21"/>
          <w:lang w:val="es-MX" w:eastAsia="es-CO"/>
        </w:rPr>
      </w:pPr>
    </w:p>
    <w:p w14:paraId="3F9702E1" w14:textId="77777777" w:rsidR="00F271A1" w:rsidRPr="00B86930" w:rsidRDefault="00F271A1" w:rsidP="00F271A1">
      <w:pPr>
        <w:spacing w:after="0" w:line="240" w:lineRule="auto"/>
        <w:ind w:left="709" w:right="709"/>
        <w:contextualSpacing/>
        <w:jc w:val="both"/>
        <w:rPr>
          <w:rFonts w:ascii="Arial" w:hAnsi="Arial" w:cs="Arial"/>
          <w:bCs/>
          <w:sz w:val="21"/>
          <w:szCs w:val="21"/>
          <w:lang w:val="es-MX" w:eastAsia="es-CO"/>
        </w:rPr>
      </w:pPr>
      <w:r w:rsidRPr="00B86930">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B86930">
        <w:rPr>
          <w:rFonts w:ascii="Arial" w:hAnsi="Arial" w:cs="Arial"/>
          <w:bCs/>
          <w:sz w:val="21"/>
          <w:szCs w:val="21"/>
          <w:lang w:val="es-MX" w:eastAsia="es-CO"/>
        </w:rPr>
        <w:t>legis</w:t>
      </w:r>
      <w:proofErr w:type="spellEnd"/>
      <w:r w:rsidRPr="00B86930">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F563CAB" w14:textId="77777777" w:rsidR="00F271A1" w:rsidRPr="00B86930" w:rsidRDefault="00F271A1" w:rsidP="00F271A1">
      <w:pPr>
        <w:spacing w:after="0" w:line="240" w:lineRule="auto"/>
        <w:ind w:left="709" w:right="709"/>
        <w:contextualSpacing/>
        <w:jc w:val="both"/>
        <w:rPr>
          <w:rFonts w:ascii="Arial" w:hAnsi="Arial" w:cs="Arial"/>
          <w:bCs/>
          <w:sz w:val="21"/>
          <w:szCs w:val="21"/>
          <w:lang w:val="es-MX" w:eastAsia="es-CO"/>
        </w:rPr>
      </w:pPr>
    </w:p>
    <w:p w14:paraId="4A62382C" w14:textId="77777777" w:rsidR="00F271A1" w:rsidRPr="0017381E" w:rsidRDefault="00F271A1" w:rsidP="00F271A1">
      <w:pPr>
        <w:spacing w:after="0" w:line="240" w:lineRule="auto"/>
        <w:ind w:left="709" w:right="709"/>
        <w:contextualSpacing/>
        <w:jc w:val="both"/>
        <w:rPr>
          <w:rFonts w:ascii="Arial" w:hAnsi="Arial" w:cs="Arial"/>
          <w:bCs/>
          <w:sz w:val="21"/>
          <w:szCs w:val="21"/>
          <w:lang w:val="es-MX" w:eastAsia="es-CO"/>
        </w:rPr>
      </w:pPr>
      <w:r w:rsidRPr="00B86930">
        <w:rPr>
          <w:rFonts w:ascii="Arial" w:hAnsi="Arial" w:cs="Arial"/>
          <w:bCs/>
          <w:sz w:val="21"/>
          <w:szCs w:val="21"/>
          <w:lang w:val="es-MX" w:eastAsia="es-CO"/>
        </w:rPr>
        <w:t>La jurisprudencia de la Corte Constitucional</w:t>
      </w:r>
      <w:r w:rsidRPr="00B86930">
        <w:rPr>
          <w:rFonts w:ascii="Arial" w:hAnsi="Arial" w:cs="Arial"/>
          <w:bCs/>
          <w:sz w:val="21"/>
          <w:szCs w:val="21"/>
          <w:vertAlign w:val="superscript"/>
          <w:lang w:val="es-MX" w:eastAsia="es-CO"/>
        </w:rPr>
        <w:footnoteReference w:id="7"/>
      </w:r>
      <w:r w:rsidRPr="00B86930">
        <w:rPr>
          <w:rFonts w:ascii="Arial" w:hAnsi="Arial" w:cs="Arial"/>
          <w:bCs/>
          <w:sz w:val="21"/>
          <w:szCs w:val="21"/>
          <w:lang w:val="es-MX" w:eastAsia="es-CO"/>
        </w:rPr>
        <w:t> y del Consejo de Estado</w:t>
      </w:r>
      <w:r w:rsidRPr="00B86930">
        <w:rPr>
          <w:rFonts w:ascii="Arial" w:hAnsi="Arial" w:cs="Arial"/>
          <w:bCs/>
          <w:sz w:val="21"/>
          <w:szCs w:val="21"/>
          <w:vertAlign w:val="superscript"/>
          <w:lang w:val="es-MX" w:eastAsia="es-CO"/>
        </w:rPr>
        <w:footnoteReference w:id="8"/>
      </w:r>
      <w:r w:rsidRPr="00B86930">
        <w:rPr>
          <w:rFonts w:ascii="Arial"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w:t>
      </w:r>
      <w:r w:rsidRPr="0017381E">
        <w:rPr>
          <w:rFonts w:ascii="Arial" w:hAnsi="Arial" w:cs="Arial"/>
          <w:bCs/>
          <w:sz w:val="21"/>
          <w:szCs w:val="21"/>
          <w:lang w:val="es-MX" w:eastAsia="es-CO"/>
        </w:rPr>
        <w:lastRenderedPageBreak/>
        <w:t>obrar, sobrepasar sus precisos términos comporta el desconocimiento de la voluntad del legislador</w:t>
      </w:r>
      <w:r w:rsidRPr="0017381E">
        <w:rPr>
          <w:rFonts w:ascii="Arial" w:hAnsi="Arial" w:cs="Arial"/>
          <w:bCs/>
          <w:sz w:val="21"/>
          <w:szCs w:val="21"/>
          <w:vertAlign w:val="superscript"/>
          <w:lang w:val="es-MX" w:eastAsia="es-CO"/>
        </w:rPr>
        <w:footnoteReference w:id="9"/>
      </w:r>
      <w:r w:rsidRPr="0017381E">
        <w:rPr>
          <w:rFonts w:ascii="Arial" w:hAnsi="Arial" w:cs="Arial"/>
          <w:bCs/>
          <w:sz w:val="21"/>
          <w:szCs w:val="21"/>
          <w:lang w:val="es-MX" w:eastAsia="es-CO"/>
        </w:rPr>
        <w:t>”.</w:t>
      </w:r>
    </w:p>
    <w:p w14:paraId="3511D7D6" w14:textId="77777777" w:rsidR="00F271A1" w:rsidRPr="0017381E" w:rsidRDefault="00F271A1" w:rsidP="00F271A1">
      <w:pPr>
        <w:spacing w:after="0" w:line="276" w:lineRule="auto"/>
        <w:ind w:right="709"/>
        <w:contextualSpacing/>
        <w:jc w:val="both"/>
        <w:rPr>
          <w:rFonts w:ascii="Arial" w:hAnsi="Arial" w:cs="Arial"/>
          <w:bCs/>
          <w:lang w:val="es-MX" w:eastAsia="es-CO"/>
        </w:rPr>
      </w:pPr>
    </w:p>
    <w:p w14:paraId="577AE479" w14:textId="077C02A0" w:rsidR="00A24E5A" w:rsidRDefault="00F271A1" w:rsidP="00FF19FC">
      <w:pPr>
        <w:spacing w:line="276" w:lineRule="auto"/>
        <w:jc w:val="both"/>
        <w:rPr>
          <w:rFonts w:ascii="Arial" w:hAnsi="Arial" w:cs="Arial"/>
          <w:bCs/>
          <w:lang w:val="es-MX" w:eastAsia="es-CO"/>
        </w:rPr>
      </w:pPr>
      <w:r w:rsidRPr="0017381E">
        <w:rPr>
          <w:rFonts w:ascii="Arial" w:hAnsi="Arial" w:cs="Arial"/>
          <w:bCs/>
          <w:lang w:val="es-MX" w:eastAsia="es-CO"/>
        </w:rPr>
        <w:tab/>
        <w:t xml:space="preserve">De conformidad con lo anterior, la Ley de Garantías Electorales fijó una serie de regulaciones </w:t>
      </w:r>
      <w:r w:rsidRPr="00B86930">
        <w:rPr>
          <w:rFonts w:ascii="Arial" w:hAnsi="Arial" w:cs="Arial"/>
          <w:bCs/>
          <w:lang w:val="es-MX" w:eastAsia="es-CO"/>
        </w:rPr>
        <w:t>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w:t>
      </w:r>
      <w:r w:rsidR="005C473D">
        <w:rPr>
          <w:rFonts w:ascii="Arial" w:hAnsi="Arial" w:cs="Arial"/>
          <w:bCs/>
          <w:lang w:val="es-MX" w:eastAsia="es-CO"/>
        </w:rPr>
        <w:t>,</w:t>
      </w:r>
      <w:r w:rsidR="0017381E">
        <w:rPr>
          <w:rFonts w:ascii="Arial" w:hAnsi="Arial" w:cs="Arial"/>
          <w:bCs/>
          <w:lang w:val="es-MX" w:eastAsia="es-CO"/>
        </w:rPr>
        <w:t xml:space="preserve"> </w:t>
      </w:r>
      <w:r w:rsidR="00485F38">
        <w:rPr>
          <w:rFonts w:ascii="Arial" w:hAnsi="Arial" w:cs="Arial"/>
          <w:bCs/>
          <w:lang w:val="es-MX" w:eastAsia="es-CO"/>
        </w:rPr>
        <w:t>e</w:t>
      </w:r>
      <w:r w:rsidRPr="00B86930">
        <w:rPr>
          <w:rFonts w:ascii="Arial" w:hAnsi="Arial" w:cs="Arial"/>
          <w:bCs/>
          <w:lang w:val="es-MX" w:eastAsia="es-CO"/>
        </w:rPr>
        <w:t xml:space="preserve">specíficamente, las restricciones consagradas en la citada ley se dirigen a dos (2) tipo de campañas electorales claramente diferenciadas: </w:t>
      </w:r>
    </w:p>
    <w:p w14:paraId="0217D1CB" w14:textId="3D6F0385" w:rsidR="00A24E5A" w:rsidRDefault="00A24E5A" w:rsidP="00FF19FC">
      <w:pPr>
        <w:spacing w:line="276" w:lineRule="auto"/>
        <w:jc w:val="both"/>
        <w:rPr>
          <w:rFonts w:ascii="Arial" w:hAnsi="Arial" w:cs="Arial"/>
          <w:bCs/>
          <w:lang w:val="es-MX" w:eastAsia="es-CO"/>
        </w:rPr>
      </w:pPr>
      <w:r>
        <w:rPr>
          <w:rFonts w:ascii="Arial" w:hAnsi="Arial" w:cs="Arial"/>
          <w:bCs/>
          <w:lang w:val="es-MX" w:eastAsia="es-CO"/>
        </w:rPr>
        <w:t>1.L</w:t>
      </w:r>
      <w:r w:rsidR="00F271A1" w:rsidRPr="00B86930">
        <w:rPr>
          <w:rFonts w:ascii="Arial" w:hAnsi="Arial" w:cs="Arial"/>
          <w:bCs/>
          <w:lang w:val="es-MX" w:eastAsia="es-CO"/>
        </w:rPr>
        <w:t xml:space="preserve">as presidenciales </w:t>
      </w:r>
      <w:r w:rsidR="00A81B86">
        <w:rPr>
          <w:rFonts w:ascii="Arial" w:hAnsi="Arial" w:cs="Arial"/>
          <w:bCs/>
          <w:lang w:val="es-MX" w:eastAsia="es-CO"/>
        </w:rPr>
        <w:t>de nivel nacional</w:t>
      </w:r>
      <w:r w:rsidR="00F271A1" w:rsidRPr="00B86930">
        <w:rPr>
          <w:rFonts w:ascii="Arial" w:hAnsi="Arial" w:cs="Arial"/>
          <w:bCs/>
          <w:lang w:val="es-MX" w:eastAsia="es-CO"/>
        </w:rPr>
        <w:t xml:space="preserve"> y</w:t>
      </w:r>
      <w:r>
        <w:rPr>
          <w:rFonts w:ascii="Arial" w:hAnsi="Arial" w:cs="Arial"/>
          <w:bCs/>
          <w:lang w:val="es-MX" w:eastAsia="es-CO"/>
        </w:rPr>
        <w:t>,</w:t>
      </w:r>
    </w:p>
    <w:p w14:paraId="578ABF0C" w14:textId="4D8DBBD7" w:rsidR="00FF19FC" w:rsidRPr="0099176C" w:rsidRDefault="00A24E5A" w:rsidP="00FF19FC">
      <w:pPr>
        <w:spacing w:line="276" w:lineRule="auto"/>
        <w:jc w:val="both"/>
        <w:rPr>
          <w:rFonts w:ascii="Arial" w:hAnsi="Arial" w:cs="Arial"/>
          <w:lang w:val="es-MX" w:eastAsia="es-CO"/>
        </w:rPr>
      </w:pPr>
      <w:r>
        <w:rPr>
          <w:rFonts w:ascii="Arial" w:hAnsi="Arial" w:cs="Arial"/>
          <w:bCs/>
          <w:lang w:val="es-MX" w:eastAsia="es-CO"/>
        </w:rPr>
        <w:t>2.L</w:t>
      </w:r>
      <w:r w:rsidR="00F271A1" w:rsidRPr="00B86930">
        <w:rPr>
          <w:rFonts w:ascii="Arial" w:hAnsi="Arial" w:cs="Arial"/>
          <w:bCs/>
          <w:lang w:val="es-MX" w:eastAsia="es-CO"/>
        </w:rPr>
        <w:t>as demás que se adelanten para la elección de los demás cargos de elección popular a nivel territorial</w:t>
      </w:r>
      <w:r w:rsidR="00FF19FC">
        <w:rPr>
          <w:rFonts w:ascii="Arial" w:hAnsi="Arial" w:cs="Arial"/>
          <w:bCs/>
          <w:lang w:val="es-MX" w:eastAsia="es-CO"/>
        </w:rPr>
        <w:t xml:space="preserve">, </w:t>
      </w:r>
      <w:r w:rsidR="00FF19FC">
        <w:rPr>
          <w:rFonts w:ascii="Arial" w:eastAsia="Arial" w:hAnsi="Arial" w:cs="Arial"/>
          <w:lang w:val="es-ES" w:eastAsia="es-ES" w:bidi="es-ES"/>
        </w:rPr>
        <w:t>como, por ejemplo, las que se van a llevar a cabo en este año 2023.</w:t>
      </w:r>
    </w:p>
    <w:p w14:paraId="63A92418"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86930">
        <w:rPr>
          <w:rFonts w:ascii="Arial" w:eastAsia="Calibri" w:hAnsi="Arial" w:cs="Arial"/>
          <w:bCs/>
          <w:vertAlign w:val="superscript"/>
        </w:rPr>
        <w:footnoteReference w:id="10"/>
      </w:r>
      <w:r w:rsidRPr="00B86930">
        <w:rPr>
          <w:rFonts w:ascii="Arial" w:eastAsia="Times New Roman" w:hAnsi="Arial" w:cs="Arial"/>
          <w:iCs/>
          <w:szCs w:val="24"/>
          <w:lang w:val="es-ES_tradnl" w:eastAsia="es-ES_tradnl"/>
        </w:rPr>
        <w:t>”</w:t>
      </w:r>
      <w:r w:rsidRPr="00B86930">
        <w:rPr>
          <w:rFonts w:ascii="Arial" w:eastAsia="Calibri" w:hAnsi="Arial" w:cs="Arial"/>
        </w:rPr>
        <w:t>.</w:t>
      </w:r>
    </w:p>
    <w:p w14:paraId="6ADA9AA3"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w:t>
      </w:r>
      <w:r w:rsidRPr="00B86930">
        <w:rPr>
          <w:rFonts w:ascii="Arial" w:eastAsia="Times New Roman" w:hAnsi="Arial" w:cs="Arial"/>
          <w:iCs/>
          <w:szCs w:val="24"/>
          <w:lang w:val="es-ES_tradnl" w:eastAsia="es-ES_tradnl"/>
        </w:rPr>
        <w:lastRenderedPageBreak/>
        <w:t>recursos públicos de las entidades a su cargo, como tampoco de las que participen como miembros de sus juntas directivas, en o para reuniones de carácter proselitista</w:t>
      </w:r>
      <w:r w:rsidRPr="00B86930">
        <w:rPr>
          <w:rFonts w:ascii="Arial" w:eastAsia="Calibri" w:hAnsi="Arial" w:cs="Arial"/>
          <w:bCs/>
          <w:vertAlign w:val="superscript"/>
        </w:rPr>
        <w:t xml:space="preserve"> </w:t>
      </w:r>
      <w:r w:rsidRPr="00B86930">
        <w:rPr>
          <w:rFonts w:ascii="Arial" w:eastAsia="Calibri" w:hAnsi="Arial" w:cs="Arial"/>
          <w:bCs/>
          <w:vertAlign w:val="superscript"/>
        </w:rPr>
        <w:footnoteReference w:id="11"/>
      </w:r>
      <w:r w:rsidRPr="00B86930">
        <w:rPr>
          <w:rFonts w:ascii="Arial" w:eastAsia="Calibri" w:hAnsi="Arial" w:cs="Arial"/>
        </w:rPr>
        <w:t>”.</w:t>
      </w:r>
    </w:p>
    <w:p w14:paraId="5F6B4AF6"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La Sala de Consulta y Servicio Civil del Consejo de Estado ha aclarado la distinción en la aplicación de las prohibiciones de la Ley 996 de 2005, dependiendo del tipo de elección que se trate. Sobre el particular, consideró:</w:t>
      </w:r>
    </w:p>
    <w:p w14:paraId="3227A100" w14:textId="77777777" w:rsidR="00F271A1" w:rsidRPr="00B86930" w:rsidRDefault="00F271A1" w:rsidP="00F271A1">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p>
    <w:p w14:paraId="35584A7A" w14:textId="77777777" w:rsidR="00F271A1" w:rsidRPr="00B86930" w:rsidRDefault="00F271A1" w:rsidP="00F271A1">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B86930">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2" w:name="_Hlk76109421"/>
      <w:r w:rsidRPr="00B86930">
        <w:rPr>
          <w:rFonts w:ascii="Arial" w:eastAsia="Arial" w:hAnsi="Arial" w:cs="Arial"/>
          <w:sz w:val="21"/>
          <w:szCs w:val="21"/>
          <w:lang w:val="es-ES" w:eastAsia="es-ES" w:bidi="es-ES"/>
        </w:rPr>
        <w:t>se integran parcialmente</w:t>
      </w:r>
      <w:bookmarkEnd w:id="12"/>
      <w:r w:rsidRPr="00B86930">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B86930">
        <w:rPr>
          <w:rFonts w:ascii="Arial" w:eastAsia="Arial" w:hAnsi="Arial" w:cs="Arial"/>
          <w:bCs/>
          <w:i/>
          <w:iCs/>
          <w:sz w:val="21"/>
          <w:szCs w:val="21"/>
          <w:u w:val="single"/>
          <w:lang w:val="es-ES" w:eastAsia="es-ES" w:bidi="es-ES"/>
        </w:rPr>
        <w:t xml:space="preserve">En cambio, para elecciones en general, excluyendo las correspondientes a </w:t>
      </w:r>
      <w:proofErr w:type="gramStart"/>
      <w:r w:rsidRPr="00B86930">
        <w:rPr>
          <w:rFonts w:ascii="Arial" w:eastAsia="Arial" w:hAnsi="Arial" w:cs="Arial"/>
          <w:bCs/>
          <w:i/>
          <w:iCs/>
          <w:sz w:val="21"/>
          <w:szCs w:val="21"/>
          <w:u w:val="single"/>
          <w:lang w:val="es-ES" w:eastAsia="es-ES" w:bidi="es-ES"/>
        </w:rPr>
        <w:t>Presidente</w:t>
      </w:r>
      <w:proofErr w:type="gramEnd"/>
      <w:r w:rsidRPr="00B86930">
        <w:rPr>
          <w:rFonts w:ascii="Arial" w:eastAsia="Arial" w:hAnsi="Arial" w:cs="Arial"/>
          <w:bCs/>
          <w:i/>
          <w:iCs/>
          <w:sz w:val="21"/>
          <w:szCs w:val="21"/>
          <w:u w:val="single"/>
          <w:lang w:val="es-ES" w:eastAsia="es-ES" w:bidi="es-ES"/>
        </w:rPr>
        <w:t xml:space="preserve"> de la República, a las autoridades territoriales allí mencionadas sólo se aplican las restricciones contenidas en el parágrafo del artículo 38</w:t>
      </w:r>
      <w:r w:rsidRPr="00B86930">
        <w:rPr>
          <w:rFonts w:ascii="Arial" w:eastAsia="Arial" w:hAnsi="Arial" w:cs="Arial"/>
          <w:sz w:val="21"/>
          <w:szCs w:val="21"/>
          <w:vertAlign w:val="superscript"/>
          <w:lang w:val="es-ES" w:eastAsia="es-ES" w:bidi="es-ES"/>
        </w:rPr>
        <w:footnoteReference w:id="12"/>
      </w:r>
      <w:r w:rsidRPr="00B86930">
        <w:rPr>
          <w:rFonts w:ascii="Arial" w:eastAsia="Arial" w:hAnsi="Arial" w:cs="Arial"/>
          <w:sz w:val="21"/>
          <w:szCs w:val="21"/>
          <w:lang w:val="es-ES" w:eastAsia="es-ES" w:bidi="es-ES"/>
        </w:rPr>
        <w:t>”. [Énfasis fuera de texto]</w:t>
      </w:r>
    </w:p>
    <w:p w14:paraId="172DFD1E" w14:textId="77777777" w:rsidR="00F271A1" w:rsidRPr="00B86930" w:rsidRDefault="00F271A1" w:rsidP="00F271A1">
      <w:pPr>
        <w:spacing w:after="0" w:line="276" w:lineRule="auto"/>
        <w:ind w:firstLine="709"/>
        <w:jc w:val="both"/>
        <w:rPr>
          <w:rFonts w:ascii="Arial" w:eastAsia="Times New Roman" w:hAnsi="Arial" w:cs="Arial"/>
          <w:i/>
          <w:szCs w:val="24"/>
          <w:lang w:val="es-ES_tradnl" w:eastAsia="es-ES_tradnl"/>
        </w:rPr>
      </w:pPr>
    </w:p>
    <w:p w14:paraId="341D77F8" w14:textId="77777777" w:rsidR="000606CC" w:rsidRDefault="00F271A1" w:rsidP="00F271A1">
      <w:pPr>
        <w:spacing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 xml:space="preserve">De conformidad con lo anterior, la Ley 996 de 2005 establece dos (2) tipos de restricciones en materia de contratación, las cuales coinciden parcialmente. </w:t>
      </w:r>
    </w:p>
    <w:p w14:paraId="7DC5DCCF" w14:textId="77777777" w:rsidR="007537BB" w:rsidRDefault="007537BB" w:rsidP="00F271A1">
      <w:pPr>
        <w:spacing w:after="0" w:line="276" w:lineRule="auto"/>
        <w:ind w:firstLine="709"/>
        <w:jc w:val="both"/>
        <w:rPr>
          <w:rFonts w:ascii="Arial" w:eastAsia="Times New Roman" w:hAnsi="Arial" w:cs="Arial"/>
          <w:iCs/>
          <w:szCs w:val="24"/>
          <w:lang w:val="es-ES_tradnl" w:eastAsia="es-ES_tradnl"/>
        </w:rPr>
      </w:pPr>
    </w:p>
    <w:p w14:paraId="12B22F5C" w14:textId="77777777" w:rsidR="007537BB" w:rsidRDefault="00F271A1" w:rsidP="00F271A1">
      <w:pPr>
        <w:spacing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
          <w:szCs w:val="24"/>
          <w:lang w:val="es-ES_tradnl" w:eastAsia="es-ES_tradnl"/>
        </w:rPr>
        <w:t xml:space="preserve">En primer lugar, </w:t>
      </w:r>
      <w:r w:rsidRPr="00B86930">
        <w:rPr>
          <w:rFonts w:ascii="Arial" w:eastAsia="Times New Roman" w:hAnsi="Arial" w:cs="Arial"/>
          <w:iCs/>
          <w:szCs w:val="24"/>
          <w:lang w:val="es-ES_tradnl" w:eastAsia="es-ES_tradnl"/>
        </w:rPr>
        <w:t xml:space="preserve">la del artículo 33, que opera solo respecto de las elecciones presidenciales, en virtud de la cual queda proscrita la contratación directa dentro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a tres semanas más tarde, en la que sólo participarán los dos candidatos que hubieren obtenido las votaciones más </w:t>
      </w:r>
      <w:r w:rsidRPr="00B86930">
        <w:rPr>
          <w:rFonts w:ascii="Arial" w:eastAsia="Times New Roman" w:hAnsi="Arial" w:cs="Arial"/>
          <w:iCs/>
          <w:szCs w:val="24"/>
          <w:lang w:val="es-ES_tradnl" w:eastAsia="es-ES_tradnl"/>
        </w:rPr>
        <w:lastRenderedPageBreak/>
        <w:t xml:space="preserve">altas, de conformidad con el artículo 190 de la Constitución Política. Para estos efectos, la restricción se extenderá hasta la fecha en la que se realice la segunda vuelta. </w:t>
      </w:r>
    </w:p>
    <w:p w14:paraId="792C131A" w14:textId="77777777" w:rsidR="007537BB" w:rsidRDefault="007537BB" w:rsidP="00F271A1">
      <w:pPr>
        <w:spacing w:after="0" w:line="276" w:lineRule="auto"/>
        <w:ind w:firstLine="709"/>
        <w:jc w:val="both"/>
        <w:rPr>
          <w:rFonts w:ascii="Arial" w:eastAsia="Times New Roman" w:hAnsi="Arial" w:cs="Arial"/>
          <w:iCs/>
          <w:szCs w:val="24"/>
          <w:lang w:val="es-ES_tradnl" w:eastAsia="es-ES_tradnl"/>
        </w:rPr>
      </w:pPr>
    </w:p>
    <w:p w14:paraId="5A5436B9" w14:textId="4CC9EA3D" w:rsidR="00F271A1" w:rsidRPr="00B86930" w:rsidRDefault="00F271A1" w:rsidP="00F271A1">
      <w:pPr>
        <w:spacing w:after="0" w:line="276" w:lineRule="auto"/>
        <w:ind w:firstLine="709"/>
        <w:jc w:val="both"/>
        <w:rPr>
          <w:rFonts w:ascii="Arial" w:hAnsi="Arial" w:cs="Arial"/>
        </w:rPr>
      </w:pPr>
      <w:proofErr w:type="gramStart"/>
      <w:r w:rsidRPr="00B86930">
        <w:rPr>
          <w:rFonts w:ascii="Arial" w:eastAsia="Times New Roman" w:hAnsi="Arial" w:cs="Arial"/>
          <w:iCs/>
          <w:szCs w:val="24"/>
          <w:lang w:val="es-ES_tradnl" w:eastAsia="es-ES_tradnl"/>
        </w:rPr>
        <w:t>Y</w:t>
      </w:r>
      <w:proofErr w:type="gramEnd"/>
      <w:r w:rsidRPr="00B86930">
        <w:rPr>
          <w:rFonts w:ascii="Arial" w:hAnsi="Arial" w:cs="Arial"/>
          <w:i/>
          <w:iCs/>
        </w:rPr>
        <w:t xml:space="preserve"> en segundo lugar, </w:t>
      </w:r>
      <w:r w:rsidRPr="00B86930">
        <w:rPr>
          <w:rFonts w:ascii="Arial" w:hAnsi="Arial" w:cs="Arial"/>
        </w:rPr>
        <w:t>también se encuentra la prohibición de contienda electoral, y que prohíbe la celebración de convenios interadministrativos que impliquen la ejecución de recursos públicos dentro de los cuatro (4) meses anteriores a la respectiva jornada de votaciones.</w:t>
      </w:r>
    </w:p>
    <w:p w14:paraId="6BC43457" w14:textId="7916AFFE" w:rsidR="00F271A1" w:rsidRPr="00B86930" w:rsidRDefault="00F271A1" w:rsidP="00F271A1">
      <w:pPr>
        <w:spacing w:before="120" w:after="0" w:line="276" w:lineRule="auto"/>
        <w:ind w:firstLine="709"/>
        <w:jc w:val="both"/>
        <w:rPr>
          <w:rFonts w:ascii="Arial" w:eastAsia="Times New Roman" w:hAnsi="Arial" w:cs="Arial"/>
          <w:i/>
          <w:szCs w:val="24"/>
          <w:lang w:val="es-ES_tradnl" w:eastAsia="es-ES_tradnl"/>
        </w:rPr>
      </w:pPr>
      <w:r w:rsidRPr="00B86930">
        <w:rPr>
          <w:rFonts w:ascii="Arial" w:eastAsia="Times New Roman" w:hAnsi="Arial" w:cs="Arial"/>
          <w:iCs/>
          <w:szCs w:val="24"/>
          <w:lang w:val="es-ES_tradnl" w:eastAsia="es-ES_tradnl"/>
        </w:rPr>
        <w:t xml:space="preserve">Ambas restricciones no son excluyentes, lo que permite concluir </w:t>
      </w:r>
      <w:r w:rsidR="007537BB" w:rsidRPr="00B86930">
        <w:rPr>
          <w:rFonts w:ascii="Arial" w:eastAsia="Times New Roman" w:hAnsi="Arial" w:cs="Arial"/>
          <w:iCs/>
          <w:szCs w:val="24"/>
          <w:lang w:val="es-ES_tradnl" w:eastAsia="es-ES_tradnl"/>
        </w:rPr>
        <w:t>que,</w:t>
      </w:r>
      <w:r w:rsidRPr="00B86930">
        <w:rPr>
          <w:rFonts w:ascii="Arial" w:eastAsia="Times New Roman" w:hAnsi="Arial" w:cs="Arial"/>
          <w:iCs/>
          <w:szCs w:val="24"/>
          <w:lang w:val="es-ES_tradnl" w:eastAsia="es-ES_tradnl"/>
        </w:rPr>
        <w:t xml:space="preserve"> en el período preelectoral para elección del </w:t>
      </w:r>
      <w:r w:rsidR="0067291D">
        <w:rPr>
          <w:rFonts w:ascii="Arial" w:eastAsia="Times New Roman" w:hAnsi="Arial" w:cs="Arial"/>
          <w:iCs/>
          <w:szCs w:val="24"/>
          <w:lang w:val="es-ES_tradnl" w:eastAsia="es-ES_tradnl"/>
        </w:rPr>
        <w:t>p</w:t>
      </w:r>
      <w:r w:rsidR="007E3DE6" w:rsidRPr="00B86930">
        <w:rPr>
          <w:rFonts w:ascii="Arial" w:eastAsia="Times New Roman" w:hAnsi="Arial" w:cs="Arial"/>
          <w:iCs/>
          <w:szCs w:val="24"/>
          <w:lang w:val="es-ES_tradnl" w:eastAsia="es-ES_tradnl"/>
        </w:rPr>
        <w:t>residente</w:t>
      </w:r>
      <w:r w:rsidRPr="00B86930">
        <w:rPr>
          <w:rFonts w:ascii="Arial" w:eastAsia="Times New Roman" w:hAnsi="Arial" w:cs="Arial"/>
          <w:iCs/>
          <w:szCs w:val="24"/>
          <w:lang w:val="es-ES_tradnl" w:eastAsia="es-ES_tradnl"/>
        </w:rPr>
        <w:t xml:space="preserve"> de la </w:t>
      </w:r>
      <w:r w:rsidR="0067291D">
        <w:rPr>
          <w:rFonts w:ascii="Arial" w:eastAsia="Times New Roman" w:hAnsi="Arial" w:cs="Arial"/>
          <w:iCs/>
          <w:szCs w:val="24"/>
          <w:lang w:val="es-ES_tradnl" w:eastAsia="es-ES_tradnl"/>
        </w:rPr>
        <w:t>r</w:t>
      </w:r>
      <w:r w:rsidRPr="00B86930">
        <w:rPr>
          <w:rFonts w:ascii="Arial" w:eastAsia="Times New Roman" w:hAnsi="Arial" w:cs="Arial"/>
          <w:iCs/>
          <w:szCs w:val="24"/>
          <w:lang w:val="es-ES_tradnl" w:eastAsia="es-ES_tradnl"/>
        </w:rPr>
        <w:t>epública, a todos los entes del Estado, incluidos los territoriales, aplican las restricciones del artículo 33</w:t>
      </w:r>
      <w:r w:rsidR="001C5CB6">
        <w:rPr>
          <w:rFonts w:ascii="Arial" w:eastAsia="Times New Roman" w:hAnsi="Arial" w:cs="Arial"/>
          <w:iCs/>
          <w:szCs w:val="24"/>
          <w:lang w:val="es-ES_tradnl" w:eastAsia="es-ES_tradnl"/>
        </w:rPr>
        <w:t>,</w:t>
      </w:r>
      <w:r w:rsidRPr="00B86930">
        <w:rPr>
          <w:rFonts w:ascii="Arial" w:eastAsia="Times New Roman" w:hAnsi="Arial" w:cs="Arial"/>
          <w:iCs/>
          <w:szCs w:val="24"/>
          <w:lang w:val="es-ES_tradnl" w:eastAsia="es-ES_tradnl"/>
        </w:rPr>
        <w:t xml:space="preserve"> de la Ley 996 de 2005 con sus excepciones, así como las del parágrafo del artículo 38 </w:t>
      </w:r>
      <w:r w:rsidRPr="00B86930">
        <w:rPr>
          <w:rFonts w:ascii="Arial" w:eastAsia="Times New Roman" w:hAnsi="Arial" w:cs="Arial"/>
          <w:i/>
          <w:szCs w:val="24"/>
          <w:lang w:val="es-ES_tradnl" w:eastAsia="es-ES_tradnl"/>
        </w:rPr>
        <w:t>ibidem</w:t>
      </w:r>
      <w:r w:rsidRPr="00B86930">
        <w:rPr>
          <w:rFonts w:ascii="Arial" w:eastAsia="Times New Roman" w:hAnsi="Arial" w:cs="Arial"/>
          <w:iCs/>
          <w:szCs w:val="24"/>
          <w:lang w:val="es-ES_tradnl" w:eastAsia="es-ES_tradnl"/>
        </w:rPr>
        <w:t xml:space="preserve">. En cambio, tratándose de elecciones en general, excluyendo las correspondientes al </w:t>
      </w:r>
      <w:r w:rsidR="007E3DE6" w:rsidRPr="00B86930">
        <w:rPr>
          <w:rFonts w:ascii="Arial" w:eastAsia="Times New Roman" w:hAnsi="Arial" w:cs="Arial"/>
          <w:iCs/>
          <w:szCs w:val="24"/>
          <w:lang w:val="es-ES_tradnl" w:eastAsia="es-ES_tradnl"/>
        </w:rPr>
        <w:t>presidente</w:t>
      </w:r>
      <w:r w:rsidRPr="00B86930">
        <w:rPr>
          <w:rFonts w:ascii="Arial" w:eastAsia="Times New Roman" w:hAnsi="Arial" w:cs="Arial"/>
          <w:iCs/>
          <w:szCs w:val="24"/>
          <w:lang w:val="es-ES_tradnl" w:eastAsia="es-ES_tradnl"/>
        </w:rPr>
        <w:t xml:space="preserve"> de la </w:t>
      </w:r>
      <w:r w:rsidR="008F0113">
        <w:rPr>
          <w:rFonts w:ascii="Arial" w:eastAsia="Times New Roman" w:hAnsi="Arial" w:cs="Arial"/>
          <w:iCs/>
          <w:szCs w:val="24"/>
          <w:lang w:val="es-ES_tradnl" w:eastAsia="es-ES_tradnl"/>
        </w:rPr>
        <w:t>r</w:t>
      </w:r>
      <w:r w:rsidRPr="00B86930">
        <w:rPr>
          <w:rFonts w:ascii="Arial" w:eastAsia="Times New Roman" w:hAnsi="Arial" w:cs="Arial"/>
          <w:iCs/>
          <w:szCs w:val="24"/>
          <w:lang w:val="es-ES_tradnl" w:eastAsia="es-ES_tradnl"/>
        </w:rPr>
        <w:t xml:space="preserve">epública, las autoridades allí mencionadas sólo deben aplicar las restricciones contenidas en el parágrafo del artículo 38 </w:t>
      </w:r>
      <w:r w:rsidRPr="00B86930">
        <w:rPr>
          <w:rFonts w:ascii="Arial" w:eastAsia="Times New Roman" w:hAnsi="Arial" w:cs="Arial"/>
          <w:i/>
          <w:szCs w:val="24"/>
          <w:lang w:val="es-ES_tradnl" w:eastAsia="es-ES_tradnl"/>
        </w:rPr>
        <w:t>ibidem</w:t>
      </w:r>
      <w:r w:rsidRPr="00B86930">
        <w:rPr>
          <w:rFonts w:ascii="Arial" w:eastAsia="Times New Roman" w:hAnsi="Arial" w:cs="Arial"/>
          <w:iCs/>
          <w:szCs w:val="24"/>
          <w:lang w:val="es-ES_tradnl" w:eastAsia="es-ES_tradnl"/>
        </w:rPr>
        <w:t>. Restricción en la que enfatizaremos, según el objeto bajo consulta.</w:t>
      </w:r>
    </w:p>
    <w:p w14:paraId="6118E557" w14:textId="77777777" w:rsidR="00F271A1" w:rsidRPr="00B86930" w:rsidRDefault="00F271A1" w:rsidP="00F271A1">
      <w:pPr>
        <w:spacing w:after="0" w:line="276" w:lineRule="auto"/>
        <w:jc w:val="both"/>
        <w:rPr>
          <w:rFonts w:ascii="Arial" w:eastAsia="Times New Roman" w:hAnsi="Arial" w:cs="Arial"/>
          <w:iCs/>
          <w:szCs w:val="24"/>
          <w:lang w:val="es-ES_tradnl" w:eastAsia="es-ES_tradnl"/>
        </w:rPr>
      </w:pPr>
    </w:p>
    <w:p w14:paraId="34A3FE76" w14:textId="712C23B8" w:rsidR="00F271A1" w:rsidRPr="00B86930" w:rsidRDefault="00F271A1" w:rsidP="00B142A1">
      <w:pPr>
        <w:spacing w:line="276" w:lineRule="auto"/>
        <w:contextualSpacing/>
        <w:jc w:val="both"/>
        <w:rPr>
          <w:rFonts w:ascii="Arial" w:eastAsia="Times New Roman" w:hAnsi="Arial" w:cs="Arial"/>
          <w:b/>
          <w:bCs/>
          <w:iCs/>
          <w:szCs w:val="24"/>
          <w:lang w:val="es-ES_tradnl" w:eastAsia="es-ES_tradnl"/>
        </w:rPr>
      </w:pPr>
      <w:r w:rsidRPr="00B86930">
        <w:rPr>
          <w:rFonts w:ascii="Arial" w:eastAsia="Times New Roman" w:hAnsi="Arial" w:cs="Arial"/>
          <w:b/>
          <w:bCs/>
          <w:iCs/>
          <w:szCs w:val="24"/>
          <w:lang w:val="es-ES_tradnl" w:eastAsia="es-ES_tradnl"/>
        </w:rPr>
        <w:t xml:space="preserve">2.3. Restricciones para la celebración de contratos y convenios interadministrativos en los </w:t>
      </w:r>
      <w:bookmarkStart w:id="13" w:name="_Hlk133573167"/>
      <w:r w:rsidRPr="00B86930">
        <w:rPr>
          <w:rFonts w:ascii="Arial" w:eastAsia="Times New Roman" w:hAnsi="Arial" w:cs="Arial"/>
          <w:b/>
          <w:bCs/>
          <w:iCs/>
          <w:szCs w:val="24"/>
          <w:lang w:val="es-ES_tradnl" w:eastAsia="es-ES_tradnl"/>
        </w:rPr>
        <w:t>comicios para cargos de elección popular</w:t>
      </w:r>
      <w:bookmarkEnd w:id="13"/>
      <w:r w:rsidRPr="00B86930">
        <w:rPr>
          <w:rFonts w:ascii="Arial" w:eastAsia="Times New Roman" w:hAnsi="Arial" w:cs="Arial"/>
          <w:b/>
          <w:bCs/>
          <w:iCs/>
          <w:szCs w:val="24"/>
          <w:lang w:val="es-ES_tradnl" w:eastAsia="es-ES_tradnl"/>
        </w:rPr>
        <w:t>. Reiteración de línea</w:t>
      </w:r>
    </w:p>
    <w:p w14:paraId="1265D647" w14:textId="77777777" w:rsidR="00F271A1" w:rsidRPr="00B86930" w:rsidRDefault="00F271A1" w:rsidP="00F271A1">
      <w:pPr>
        <w:spacing w:after="0" w:line="276" w:lineRule="auto"/>
        <w:jc w:val="both"/>
        <w:rPr>
          <w:rFonts w:ascii="Arial" w:eastAsia="Times New Roman" w:hAnsi="Arial" w:cs="Arial"/>
          <w:iCs/>
          <w:szCs w:val="24"/>
          <w:lang w:val="es-ES_tradnl" w:eastAsia="es-ES_tradnl"/>
        </w:rPr>
      </w:pPr>
    </w:p>
    <w:p w14:paraId="67DA1A5D" w14:textId="77777777" w:rsidR="00F271A1" w:rsidRPr="00B86930" w:rsidRDefault="00F271A1" w:rsidP="00F271A1">
      <w:pPr>
        <w:spacing w:after="0" w:line="276" w:lineRule="auto"/>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 xml:space="preserve">El parágrafo del artículo 38 de la Ley 996 de 2005 dispone que “[l]os Gobernadores, </w:t>
      </w:r>
      <w:proofErr w:type="gramStart"/>
      <w:r w:rsidRPr="00B86930">
        <w:rPr>
          <w:rFonts w:ascii="Arial" w:eastAsia="Times New Roman" w:hAnsi="Arial" w:cs="Arial"/>
          <w:iCs/>
          <w:szCs w:val="24"/>
          <w:lang w:val="es-ES_tradnl" w:eastAsia="es-ES_tradnl"/>
        </w:rPr>
        <w:t>Alcaldes</w:t>
      </w:r>
      <w:proofErr w:type="gramEnd"/>
      <w:r w:rsidRPr="00B86930">
        <w:rPr>
          <w:rFonts w:ascii="Arial" w:eastAsia="Times New Roman" w:hAnsi="Arial" w:cs="Arial"/>
          <w:iCs/>
          <w:szCs w:val="24"/>
          <w:lang w:val="es-ES_tradnl" w:eastAsia="es-ES_tradnl"/>
        </w:rPr>
        <w:t xml:space="preserve"> Municipales y/o Distritales, Secretarios, Gerentes y directores de Entidades Descentralizadas del orden Municipal, Departamental o Distrital, dentro de los cuatro (4) meses anteriores a las elecciones, no podrán celebrar contratos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B86930">
        <w:rPr>
          <w:rFonts w:ascii="Arial" w:hAnsi="Arial" w:cs="Arial"/>
          <w:bCs/>
          <w:iCs/>
          <w:vertAlign w:val="superscript"/>
          <w:lang w:eastAsia="x-none"/>
        </w:rPr>
        <w:footnoteReference w:id="13"/>
      </w:r>
      <w:r w:rsidRPr="00B86930">
        <w:rPr>
          <w:rFonts w:ascii="Arial" w:hAnsi="Arial" w:cs="Arial"/>
          <w:bCs/>
          <w:iCs/>
          <w:lang w:eastAsia="x-none"/>
        </w:rPr>
        <w:t>.</w:t>
      </w:r>
    </w:p>
    <w:p w14:paraId="353240F2"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B86930">
        <w:rPr>
          <w:rFonts w:ascii="Arial" w:eastAsia="Arial" w:hAnsi="Arial" w:cs="Arial"/>
          <w:vertAlign w:val="superscript"/>
          <w:lang w:val="es-ES" w:eastAsia="es-ES" w:bidi="es-ES"/>
        </w:rPr>
        <w:footnoteReference w:id="14"/>
      </w:r>
      <w:r w:rsidRPr="00B86930">
        <w:rPr>
          <w:rFonts w:ascii="Arial" w:eastAsia="Arial" w:hAnsi="Arial" w:cs="Arial"/>
          <w:lang w:val="es-ES" w:eastAsia="es-ES" w:bidi="es-ES"/>
        </w:rPr>
        <w:t xml:space="preserve">. De acuerdo con lo anterior, el contrato o el convenio interadministrativo es el acuerdo </w:t>
      </w:r>
      <w:r w:rsidRPr="00B86930">
        <w:rPr>
          <w:rFonts w:ascii="Arial" w:eastAsia="Arial" w:hAnsi="Arial" w:cs="Arial"/>
          <w:lang w:val="es-ES" w:eastAsia="es-ES" w:bidi="es-ES"/>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3F2519D" w14:textId="77777777" w:rsidR="00F271A1"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 xml:space="preserve">Si bien los contratos o convenios interadministrativos están previstos en la Ley 80 de 1993, en la Ley 1150 de 2007 y el Decreto 1082 de 2015, no quiere decir que solo pueden celebrarse entre entidades estatales que apliquen el régimen de contratación allí previsto, pues una entidad estatal sometida a la Ley 80 de 1993, puede celebrar esta clase de convenios y/o contratos con una entidad estatal de régimen especial y no por ello pierde su calidad de interadministrativo. </w:t>
      </w:r>
    </w:p>
    <w:p w14:paraId="0E7347AD" w14:textId="77777777" w:rsidR="004255CF" w:rsidRPr="007A0C25" w:rsidRDefault="004255CF" w:rsidP="004255CF">
      <w:pPr>
        <w:widowControl w:val="0"/>
        <w:autoSpaceDE w:val="0"/>
        <w:autoSpaceDN w:val="0"/>
        <w:spacing w:before="121" w:line="276" w:lineRule="auto"/>
        <w:ind w:firstLine="707"/>
        <w:jc w:val="both"/>
        <w:rPr>
          <w:rFonts w:ascii="Arial" w:eastAsia="Arial" w:hAnsi="Arial" w:cs="Arial"/>
          <w:lang w:val="es-ES" w:eastAsia="es-ES" w:bidi="es-ES"/>
        </w:rPr>
      </w:pPr>
      <w:bookmarkStart w:id="14" w:name="_Hlk99578261"/>
      <w:r w:rsidRPr="007A0C25">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7A0C25">
        <w:rPr>
          <w:rFonts w:ascii="Arial" w:eastAsia="Arial" w:hAnsi="Arial" w:cs="Arial"/>
          <w:vertAlign w:val="superscript"/>
          <w:lang w:val="es-ES" w:eastAsia="es-ES" w:bidi="es-ES"/>
        </w:rPr>
        <w:footnoteReference w:id="15"/>
      </w:r>
      <w:r w:rsidRPr="007A0C25">
        <w:rPr>
          <w:rFonts w:ascii="Arial" w:eastAsia="Arial" w:hAnsi="Arial" w:cs="Arial"/>
          <w:lang w:val="es-ES" w:eastAsia="es-ES" w:bidi="es-ES"/>
        </w:rPr>
        <w:t>. Nótese que, en este caso, lo que cambia es la modalidad de selección y no la naturaleza de contrato</w:t>
      </w:r>
      <w:r w:rsidRPr="007A0C25">
        <w:rPr>
          <w:rFonts w:ascii="Arial" w:eastAsia="Arial" w:hAnsi="Arial" w:cs="Arial"/>
          <w:spacing w:val="-18"/>
          <w:lang w:val="es-ES" w:eastAsia="es-ES" w:bidi="es-ES"/>
        </w:rPr>
        <w:t xml:space="preserve"> </w:t>
      </w:r>
      <w:r w:rsidRPr="007A0C25">
        <w:rPr>
          <w:rFonts w:ascii="Arial" w:eastAsia="Arial" w:hAnsi="Arial" w:cs="Arial"/>
          <w:lang w:val="es-ES" w:eastAsia="es-ES" w:bidi="es-ES"/>
        </w:rPr>
        <w:t>interadministrativo.</w:t>
      </w:r>
    </w:p>
    <w:bookmarkEnd w:id="14"/>
    <w:p w14:paraId="6231DBBC" w14:textId="766A9C21"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La Corte Constitucional expresó en la Sentencia C-671 de 2015 que “Lo que hace interadministrativo a un contrato o convenio no es el procedimiento de selección aplicable, sino la calidad de los sujetos contratantes, esto es que las dos partes de la re</w:t>
      </w:r>
      <w:r w:rsidR="00FC18E0">
        <w:rPr>
          <w:rFonts w:ascii="Arial" w:eastAsia="Times New Roman" w:hAnsi="Arial" w:cs="Arial"/>
          <w:iCs/>
          <w:szCs w:val="24"/>
          <w:lang w:val="es-ES_tradnl" w:eastAsia="es-ES_tradnl"/>
        </w:rPr>
        <w:t>l</w:t>
      </w:r>
      <w:r w:rsidRPr="00B86930">
        <w:rPr>
          <w:rFonts w:ascii="Arial" w:eastAsia="Times New Roman" w:hAnsi="Arial" w:cs="Arial"/>
          <w:iCs/>
          <w:szCs w:val="24"/>
          <w:lang w:val="es-ES_tradnl" w:eastAsia="es-ES_tradnl"/>
        </w:rPr>
        <w:t>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DC7A41F" w14:textId="77777777" w:rsidR="00F271A1" w:rsidRPr="00B86930" w:rsidRDefault="00F271A1" w:rsidP="00F271A1">
      <w:pPr>
        <w:widowControl w:val="0"/>
        <w:autoSpaceDE w:val="0"/>
        <w:autoSpaceDN w:val="0"/>
        <w:spacing w:after="0" w:line="276" w:lineRule="auto"/>
        <w:ind w:firstLine="707"/>
        <w:contextualSpacing/>
        <w:jc w:val="both"/>
        <w:rPr>
          <w:rFonts w:ascii="Arial" w:eastAsia="Arial" w:hAnsi="Arial" w:cs="Arial"/>
          <w:lang w:val="es-ES" w:eastAsia="es-ES" w:bidi="es-ES"/>
        </w:rPr>
      </w:pPr>
    </w:p>
    <w:p w14:paraId="5EF01785" w14:textId="77777777" w:rsidR="00F271A1" w:rsidRPr="00B86930" w:rsidRDefault="00F271A1" w:rsidP="00F271A1">
      <w:pPr>
        <w:spacing w:after="0" w:line="240" w:lineRule="auto"/>
        <w:ind w:left="709" w:right="709"/>
        <w:contextualSpacing/>
        <w:jc w:val="both"/>
        <w:rPr>
          <w:rFonts w:ascii="Arial" w:eastAsia="Calibri" w:hAnsi="Arial" w:cs="Arial"/>
          <w:sz w:val="21"/>
          <w:lang w:val="es-MX"/>
        </w:rPr>
      </w:pPr>
      <w:r w:rsidRPr="00B86930">
        <w:rPr>
          <w:rFonts w:ascii="Arial" w:eastAsia="Calibri"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B86930">
        <w:rPr>
          <w:rFonts w:ascii="Arial" w:eastAsia="Calibri" w:hAnsi="Arial" w:cs="Arial"/>
          <w:sz w:val="21"/>
          <w:lang w:val="es-MX"/>
        </w:rPr>
        <w:t>ii</w:t>
      </w:r>
      <w:proofErr w:type="spellEnd"/>
      <w:r w:rsidRPr="00B86930">
        <w:rPr>
          <w:rFonts w:ascii="Arial" w:eastAsia="Calibri" w:hAnsi="Arial" w:cs="Arial"/>
          <w:sz w:val="21"/>
          <w:lang w:val="es-MX"/>
        </w:rPr>
        <w:t>) tienen como fuente la autonomía contractual; (</w:t>
      </w:r>
      <w:proofErr w:type="spellStart"/>
      <w:r w:rsidRPr="00B86930">
        <w:rPr>
          <w:rFonts w:ascii="Arial" w:eastAsia="Calibri" w:hAnsi="Arial" w:cs="Arial"/>
          <w:sz w:val="21"/>
          <w:lang w:val="es-MX"/>
        </w:rPr>
        <w:t>iii</w:t>
      </w:r>
      <w:proofErr w:type="spellEnd"/>
      <w:r w:rsidRPr="00B86930">
        <w:rPr>
          <w:rFonts w:ascii="Arial" w:eastAsia="Calibri" w:hAnsi="Arial" w:cs="Arial"/>
          <w:sz w:val="21"/>
          <w:lang w:val="es-MX"/>
        </w:rPr>
        <w:t>) son contratos nominados puesto que están mencionados en la ley; (</w:t>
      </w:r>
      <w:proofErr w:type="spellStart"/>
      <w:r w:rsidRPr="00B86930">
        <w:rPr>
          <w:rFonts w:ascii="Arial" w:eastAsia="Calibri" w:hAnsi="Arial" w:cs="Arial"/>
          <w:sz w:val="21"/>
          <w:lang w:val="es-MX"/>
        </w:rPr>
        <w:t>iv</w:t>
      </w:r>
      <w:proofErr w:type="spellEnd"/>
      <w:r w:rsidRPr="00B86930">
        <w:rPr>
          <w:rFonts w:ascii="Arial" w:eastAsia="Calibri" w:hAnsi="Arial" w:cs="Arial"/>
          <w:sz w:val="21"/>
          <w:lang w:val="es-MX"/>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w:t>
      </w:r>
      <w:r w:rsidRPr="00B86930">
        <w:rPr>
          <w:rFonts w:ascii="Arial" w:eastAsia="Calibri" w:hAnsi="Arial" w:cs="Arial"/>
          <w:sz w:val="21"/>
          <w:lang w:val="es-MX"/>
        </w:rPr>
        <w:lastRenderedPageBreak/>
        <w:t>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B86930">
        <w:rPr>
          <w:rFonts w:ascii="Arial" w:eastAsia="Calibri" w:hAnsi="Arial" w:cs="Arial"/>
          <w:sz w:val="21"/>
          <w:lang w:val="es-MX"/>
        </w:rPr>
        <w:t>vii</w:t>
      </w:r>
      <w:proofErr w:type="spellEnd"/>
      <w:r w:rsidRPr="00B86930">
        <w:rPr>
          <w:rFonts w:ascii="Arial" w:eastAsia="Calibri" w:hAnsi="Arial" w:cs="Arial"/>
          <w:sz w:val="21"/>
          <w:lang w:val="es-MX"/>
        </w:rPr>
        <w:t>) persiguen  una finalidad común a través de la realización de intereses compartidos entre las entidades vinculadas; (</w:t>
      </w:r>
      <w:proofErr w:type="spellStart"/>
      <w:r w:rsidRPr="00B86930">
        <w:rPr>
          <w:rFonts w:ascii="Arial" w:eastAsia="Calibri" w:hAnsi="Arial" w:cs="Arial"/>
          <w:sz w:val="21"/>
          <w:lang w:val="es-MX"/>
        </w:rPr>
        <w:t>viii</w:t>
      </w:r>
      <w:proofErr w:type="spellEnd"/>
      <w:r w:rsidRPr="00B86930">
        <w:rPr>
          <w:rFonts w:ascii="Arial" w:eastAsia="Calibri" w:hAnsi="Arial" w:cs="Arial"/>
          <w:sz w:val="21"/>
          <w:lang w:val="es-MX"/>
        </w:rPr>
        <w:t>) la acción mediante la cual se deben ventilar las diferencias que sobre el particular surjan es la de controversias contractuales</w:t>
      </w:r>
      <w:r w:rsidRPr="00B86930">
        <w:rPr>
          <w:rFonts w:ascii="Arial" w:eastAsia="Calibri" w:hAnsi="Arial" w:cs="Arial"/>
          <w:sz w:val="21"/>
          <w:vertAlign w:val="superscript"/>
          <w:lang w:val="es-MX"/>
        </w:rPr>
        <w:footnoteReference w:id="16"/>
      </w:r>
      <w:r w:rsidRPr="00B86930">
        <w:rPr>
          <w:rFonts w:ascii="Arial" w:eastAsia="Calibri" w:hAnsi="Arial" w:cs="Arial"/>
          <w:sz w:val="21"/>
          <w:lang w:val="es-MX"/>
        </w:rPr>
        <w:t>”.</w:t>
      </w:r>
    </w:p>
    <w:p w14:paraId="3BC3367D" w14:textId="77777777" w:rsidR="00F271A1" w:rsidRPr="00B86930" w:rsidRDefault="00F271A1" w:rsidP="00F271A1">
      <w:pPr>
        <w:spacing w:after="0" w:line="276" w:lineRule="auto"/>
        <w:ind w:firstLine="709"/>
        <w:jc w:val="both"/>
        <w:rPr>
          <w:rFonts w:ascii="Arial" w:eastAsia="Times New Roman" w:hAnsi="Arial" w:cs="Arial"/>
          <w:iCs/>
          <w:szCs w:val="24"/>
          <w:lang w:val="es-ES_tradnl" w:eastAsia="es-ES_tradnl"/>
        </w:rPr>
      </w:pPr>
    </w:p>
    <w:p w14:paraId="4B0E25D6" w14:textId="77777777" w:rsidR="00F271A1" w:rsidRPr="00B86930" w:rsidRDefault="00F271A1" w:rsidP="00F271A1">
      <w:pPr>
        <w:spacing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78CE6711"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celebren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2154FFB3" w14:textId="77777777" w:rsidR="00F271A1" w:rsidRPr="00B86930" w:rsidRDefault="00F271A1" w:rsidP="00F271A1">
      <w:pPr>
        <w:spacing w:before="120" w:after="0" w:line="276" w:lineRule="auto"/>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ab/>
        <w:t xml:space="preserve">Además, es necesario tener en cuenta que para que un contrato o convenio interadministrativo exista, debe cumplir con los siguientes elementos: acuerdo sobre el objeto y la contraprestación, y que se eleve a escrito. Por otra parte, si bien actualmente el Estatuto General de Contratación de la Administración Pública hace referencia de manera expresa al contrato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 </w:t>
      </w:r>
    </w:p>
    <w:p w14:paraId="54E227B4" w14:textId="77777777" w:rsidR="00F271A1" w:rsidRPr="00B86930" w:rsidRDefault="00F271A1" w:rsidP="00F271A1">
      <w:pPr>
        <w:spacing w:before="120" w:after="0" w:line="276" w:lineRule="auto"/>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lastRenderedPageBreak/>
        <w:tab/>
        <w:t>Resulta a bien destacar que el Decreto 1082 de 2015 dispone que los convenios o contratos interadministrativos, así denominados en su artículo 2.2.1.2.1.4.4, se contratan directamente, por lo que no hay lugar a dudas que representan lo mismo en la medida que concurran entidades estatales en el acuerdo de voluntades. De este modo, es posible concluir que en la contratación estatal no existen mayores diferencias entre el convenio y contrato y, dando aplicación al derecho privado y a la definición contenida en el Código Civil, puede afirmarse que se trata de figuras equivalentes.</w:t>
      </w:r>
    </w:p>
    <w:p w14:paraId="031A0EA5"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B86930">
        <w:rPr>
          <w:rFonts w:ascii="Arial" w:eastAsia="Arial" w:hAnsi="Arial" w:cs="Arial"/>
          <w:vertAlign w:val="superscript"/>
        </w:rPr>
        <w:footnoteReference w:id="17"/>
      </w:r>
      <w:r w:rsidRPr="00B86930">
        <w:rPr>
          <w:rFonts w:ascii="Arial" w:eastAsia="Arial" w:hAnsi="Arial" w:cs="Arial"/>
          <w:lang w:val="es-ES_tradnl" w:eastAsia="es-ES" w:bidi="es-ES"/>
        </w:rPr>
        <w:t>”.</w:t>
      </w:r>
    </w:p>
    <w:p w14:paraId="19B072C9"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señaló:</w:t>
      </w:r>
    </w:p>
    <w:p w14:paraId="21304E42" w14:textId="77777777" w:rsidR="00F271A1" w:rsidRPr="00B86930" w:rsidRDefault="00F271A1" w:rsidP="00F271A1">
      <w:pPr>
        <w:spacing w:after="0" w:line="240" w:lineRule="auto"/>
        <w:ind w:left="709" w:right="709"/>
        <w:jc w:val="both"/>
        <w:rPr>
          <w:rFonts w:ascii="Arial" w:eastAsia="Calibri" w:hAnsi="Arial" w:cs="Arial"/>
          <w:sz w:val="21"/>
          <w:szCs w:val="21"/>
          <w:lang w:val="es-ES_tradnl"/>
        </w:rPr>
      </w:pPr>
    </w:p>
    <w:p w14:paraId="5536FE29" w14:textId="77777777" w:rsidR="00F271A1" w:rsidRPr="00B86930" w:rsidRDefault="00F271A1" w:rsidP="00F271A1">
      <w:pPr>
        <w:spacing w:after="0" w:line="240" w:lineRule="auto"/>
        <w:ind w:left="709" w:right="709"/>
        <w:jc w:val="both"/>
        <w:rPr>
          <w:rFonts w:ascii="Arial" w:eastAsia="Calibri" w:hAnsi="Arial" w:cs="Arial"/>
          <w:sz w:val="21"/>
          <w:szCs w:val="21"/>
          <w:lang w:val="es-ES_tradnl"/>
        </w:rPr>
      </w:pPr>
      <w:r w:rsidRPr="00B86930">
        <w:rPr>
          <w:rFonts w:ascii="Arial" w:eastAsia="Calibri" w:hAnsi="Arial" w:cs="Arial"/>
          <w:sz w:val="21"/>
          <w:szCs w:val="21"/>
          <w:lang w:val="es-ES_tradnl"/>
        </w:rPr>
        <w:t>“La Sala de Consulta y Servicio Civil</w:t>
      </w:r>
      <w:r w:rsidRPr="00B86930">
        <w:rPr>
          <w:rFonts w:ascii="Arial" w:eastAsia="Calibri" w:hAnsi="Arial" w:cs="Arial"/>
          <w:sz w:val="21"/>
          <w:szCs w:val="21"/>
          <w:vertAlign w:val="superscript"/>
          <w:lang w:eastAsia="es-ES_tradnl"/>
        </w:rPr>
        <w:footnoteReference w:id="18"/>
      </w:r>
      <w:r w:rsidRPr="00B86930">
        <w:rPr>
          <w:rFonts w:ascii="Arial" w:eastAsia="Calibri" w:hAnsi="Arial" w:cs="Arial"/>
          <w:sz w:val="21"/>
          <w:szCs w:val="21"/>
          <w:lang w:val="es-ES_tradnl"/>
        </w:rPr>
        <w:t xml:space="preserve"> de esta Corporación se ha referido a los </w:t>
      </w:r>
      <w:r w:rsidRPr="00B86930">
        <w:rPr>
          <w:rFonts w:ascii="Arial" w:eastAsia="Calibri" w:hAnsi="Arial" w:cs="Arial"/>
          <w:i/>
          <w:sz w:val="21"/>
          <w:szCs w:val="21"/>
          <w:lang w:val="es-ES_tradnl"/>
        </w:rPr>
        <w:t>“convenios interadministrativos”</w:t>
      </w:r>
      <w:r w:rsidRPr="00B86930">
        <w:rPr>
          <w:rFonts w:ascii="Arial" w:eastAsia="Calibri" w:hAnsi="Arial" w:cs="Arial"/>
          <w:sz w:val="21"/>
          <w:szCs w:val="21"/>
          <w:lang w:val="es-ES_tradnl"/>
        </w:rPr>
        <w:t xml:space="preserve"> a los cuales alude el artículo 95 de la Ley 489 de 1998, calificándolos de </w:t>
      </w:r>
      <w:r w:rsidRPr="00B86930">
        <w:rPr>
          <w:rFonts w:ascii="Arial" w:eastAsia="Calibri" w:hAnsi="Arial" w:cs="Arial"/>
          <w:i/>
          <w:sz w:val="21"/>
          <w:szCs w:val="21"/>
          <w:lang w:val="es-ES_tradnl"/>
        </w:rPr>
        <w:t xml:space="preserve">“puros” </w:t>
      </w:r>
      <w:r w:rsidRPr="00B86930">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B86930">
        <w:rPr>
          <w:rFonts w:ascii="Arial" w:eastAsia="Calibri" w:hAnsi="Arial" w:cs="Arial"/>
          <w:i/>
          <w:sz w:val="21"/>
          <w:szCs w:val="21"/>
          <w:lang w:val="es-ES_tradnl"/>
        </w:rPr>
        <w:t>“intercambio patrimonial”</w:t>
      </w:r>
      <w:r w:rsidRPr="00B86930">
        <w:rPr>
          <w:rFonts w:ascii="Arial" w:eastAsia="Calibri" w:hAnsi="Arial" w:cs="Arial"/>
          <w:sz w:val="21"/>
          <w:szCs w:val="21"/>
          <w:lang w:val="es-ES_tradnl"/>
        </w:rPr>
        <w:t>. Sin perjuicio de lo anterior, en otra oportunidad, la misma Sala</w:t>
      </w:r>
      <w:r w:rsidRPr="00B86930">
        <w:rPr>
          <w:rFonts w:ascii="Arial" w:eastAsia="Calibri" w:hAnsi="Arial" w:cs="Arial"/>
          <w:sz w:val="21"/>
          <w:szCs w:val="21"/>
          <w:vertAlign w:val="superscript"/>
          <w:lang w:eastAsia="es-ES_tradnl"/>
        </w:rPr>
        <w:footnoteReference w:id="19"/>
      </w:r>
      <w:r w:rsidRPr="00B86930">
        <w:rPr>
          <w:rFonts w:ascii="Arial" w:eastAsia="Calibri" w:hAnsi="Arial" w:cs="Arial"/>
          <w:sz w:val="21"/>
          <w:szCs w:val="21"/>
          <w:lang w:val="es-ES_tradnl"/>
        </w:rPr>
        <w:t xml:space="preserve"> había indicado que, si bien en dichos convenios no se daba un </w:t>
      </w:r>
      <w:r w:rsidRPr="00B86930">
        <w:rPr>
          <w:rFonts w:ascii="Arial" w:eastAsia="Calibri" w:hAnsi="Arial" w:cs="Arial"/>
          <w:i/>
          <w:sz w:val="21"/>
          <w:szCs w:val="21"/>
          <w:lang w:val="es-ES_tradnl"/>
        </w:rPr>
        <w:t>“verdadero intercambio de bienes o servicios (contrato conmutativo)”</w:t>
      </w:r>
      <w:r w:rsidRPr="00B86930">
        <w:rPr>
          <w:rFonts w:ascii="Arial" w:eastAsia="Calibri" w:hAnsi="Arial" w:cs="Arial"/>
          <w:sz w:val="21"/>
          <w:szCs w:val="21"/>
          <w:lang w:val="es-ES_tradnl"/>
        </w:rPr>
        <w:t>, ello no impedía que se conviniera una remuneración a cargo de alguna(s) entidad(es).</w:t>
      </w:r>
    </w:p>
    <w:p w14:paraId="39C14FF9" w14:textId="77777777" w:rsidR="00F271A1" w:rsidRPr="00B86930" w:rsidRDefault="00F271A1" w:rsidP="00F271A1">
      <w:pPr>
        <w:widowControl w:val="0"/>
        <w:autoSpaceDE w:val="0"/>
        <w:autoSpaceDN w:val="0"/>
        <w:spacing w:before="120" w:after="0" w:line="240" w:lineRule="auto"/>
        <w:ind w:left="709" w:right="709"/>
        <w:jc w:val="both"/>
        <w:rPr>
          <w:rFonts w:ascii="Arial" w:eastAsia="Arial" w:hAnsi="Arial" w:cs="Arial"/>
          <w:sz w:val="21"/>
          <w:szCs w:val="21"/>
          <w:lang w:val="es-ES_tradnl" w:eastAsia="es-ES" w:bidi="es-ES"/>
        </w:rPr>
      </w:pPr>
      <w:r w:rsidRPr="00B86930">
        <w:rPr>
          <w:rFonts w:ascii="Arial" w:eastAsia="Arial" w:hAnsi="Arial" w:cs="Arial"/>
          <w:sz w:val="21"/>
          <w:szCs w:val="21"/>
          <w:lang w:val="es-ES_tradnl" w:eastAsia="es-ES" w:bidi="es-ES"/>
        </w:rPr>
        <w:t xml:space="preserve">Lo expuesto evidencia que, en general, las interpretaciones en torno a los </w:t>
      </w:r>
      <w:r w:rsidRPr="00B86930">
        <w:rPr>
          <w:rFonts w:ascii="Arial" w:eastAsia="Arial" w:hAnsi="Arial" w:cs="Arial"/>
          <w:i/>
          <w:sz w:val="21"/>
          <w:szCs w:val="21"/>
          <w:lang w:val="es-ES_tradnl" w:eastAsia="es-ES" w:bidi="es-ES"/>
        </w:rPr>
        <w:t>“convenios interadministrativos”</w:t>
      </w:r>
      <w:r w:rsidRPr="00B86930">
        <w:rPr>
          <w:rFonts w:ascii="Arial" w:eastAsia="Arial" w:hAnsi="Arial" w:cs="Arial"/>
          <w:sz w:val="21"/>
          <w:szCs w:val="21"/>
          <w:lang w:val="es-ES_tradnl" w:eastAsia="es-ES" w:bidi="es-ES"/>
        </w:rPr>
        <w:t xml:space="preserve"> previstos en el artículo 95 de la Ley 489 de 1998, en el propósito </w:t>
      </w:r>
      <w:r w:rsidRPr="00B86930">
        <w:rPr>
          <w:rFonts w:ascii="Arial" w:eastAsia="Arial" w:hAnsi="Arial" w:cs="Arial"/>
          <w:sz w:val="21"/>
          <w:szCs w:val="21"/>
          <w:lang w:val="es-ES_tradnl" w:eastAsia="es-ES" w:bidi="es-ES"/>
        </w:rPr>
        <w:lastRenderedPageBreak/>
        <w:t>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B86930">
        <w:rPr>
          <w:rFonts w:ascii="Arial" w:eastAsia="Arial" w:hAnsi="Arial" w:cs="Arial"/>
          <w:sz w:val="21"/>
          <w:szCs w:val="21"/>
          <w:vertAlign w:val="superscript"/>
          <w:lang w:eastAsia="es-ES_tradnl"/>
        </w:rPr>
        <w:footnoteReference w:id="20"/>
      </w:r>
      <w:r w:rsidRPr="00B86930">
        <w:rPr>
          <w:rFonts w:ascii="Arial" w:eastAsia="Arial" w:hAnsi="Arial" w:cs="Arial"/>
          <w:sz w:val="21"/>
          <w:szCs w:val="21"/>
          <w:lang w:val="es-ES_tradnl" w:eastAsia="es-ES" w:bidi="es-ES"/>
        </w:rPr>
        <w:t xml:space="preserve"> </w:t>
      </w:r>
      <w:r w:rsidRPr="00B86930">
        <w:rPr>
          <w:rFonts w:ascii="Arial" w:eastAsia="Arial" w:hAnsi="Arial" w:cs="Arial"/>
          <w:sz w:val="21"/>
          <w:szCs w:val="21"/>
          <w:vertAlign w:val="superscript"/>
          <w:lang w:eastAsia="es-ES_tradnl"/>
        </w:rPr>
        <w:footnoteReference w:id="21"/>
      </w:r>
      <w:r w:rsidRPr="00B86930">
        <w:rPr>
          <w:rFonts w:ascii="Arial" w:eastAsia="Arial" w:hAnsi="Arial" w:cs="Arial"/>
          <w:sz w:val="21"/>
          <w:szCs w:val="21"/>
          <w:lang w:val="es-ES_tradnl" w:eastAsia="es-ES" w:bidi="es-ES"/>
        </w:rPr>
        <w:t>”. [Énfasis propio]</w:t>
      </w:r>
    </w:p>
    <w:p w14:paraId="4825DE92" w14:textId="77777777" w:rsidR="00F271A1" w:rsidRPr="00B86930" w:rsidRDefault="00F271A1" w:rsidP="00F271A1">
      <w:pPr>
        <w:spacing w:after="0" w:line="276" w:lineRule="auto"/>
        <w:ind w:firstLine="709"/>
        <w:jc w:val="both"/>
        <w:rPr>
          <w:rFonts w:ascii="Arial" w:eastAsia="Times New Roman" w:hAnsi="Arial" w:cs="Arial"/>
          <w:iCs/>
          <w:szCs w:val="24"/>
          <w:lang w:val="es-ES_tradnl" w:eastAsia="es-ES_tradnl"/>
        </w:rPr>
      </w:pPr>
    </w:p>
    <w:p w14:paraId="6FD85C15" w14:textId="77777777" w:rsidR="00F271A1" w:rsidRPr="00B86930" w:rsidRDefault="00F271A1" w:rsidP="00F271A1">
      <w:pPr>
        <w:spacing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En ese orden, debe advertirse que el ordenamiento jurídico en distintas ocasiones utiliza de forma indistinta los conceptos de contrato o convenio para referirse a la misma institución jurídica</w:t>
      </w:r>
      <w:r w:rsidRPr="00B86930">
        <w:rPr>
          <w:rFonts w:ascii="Arial" w:eastAsia="Arial" w:hAnsi="Arial" w:cs="Arial"/>
          <w:vertAlign w:val="superscript"/>
        </w:rPr>
        <w:footnoteReference w:id="22"/>
      </w:r>
      <w:r w:rsidRPr="00B86930">
        <w:rPr>
          <w:rFonts w:ascii="Arial" w:eastAsia="Arial" w:hAnsi="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B86930">
        <w:rPr>
          <w:rFonts w:ascii="Arial" w:eastAsia="Arial" w:hAnsi="Arial" w:cs="Arial"/>
          <w:vertAlign w:val="superscript"/>
        </w:rPr>
        <w:footnoteReference w:id="23"/>
      </w:r>
      <w:r w:rsidRPr="00B86930">
        <w:rPr>
          <w:rFonts w:ascii="Arial" w:eastAsia="Arial" w:hAnsi="Arial" w:cs="Arial"/>
          <w:lang w:val="es-ES_tradnl" w:eastAsia="es-ES" w:bidi="es-ES"/>
        </w:rPr>
        <w:t>.</w:t>
      </w:r>
    </w:p>
    <w:p w14:paraId="5A5171B0" w14:textId="77777777" w:rsidR="00F271A1" w:rsidRPr="00B86930" w:rsidRDefault="00F271A1"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 xml:space="preserve">Corolario de lo anterior, se colige que lo que define los contratos o convenios interadministrativos es la naturaleza de las partes, de manera que están determinados por un criterio orgánico, en el sentido de que lo serán aquellos celebrados entre entidades estatales. Además, no existe una diferencia en los conceptos de contrato y convenio, por lo que se asimilaron para la aplicación de la Ley de Garantías Electorales. En tal sentido, las referencias realizadas por el legislador a estos términos deben asimilarse, salvo que de su contenido se logre inferir que se le quiere otorgar un contenido en particular, pues como se expresó, el legislador utiliza estos conceptos de forma indistinta. </w:t>
      </w:r>
    </w:p>
    <w:p w14:paraId="018341AF" w14:textId="091609B1" w:rsidR="00F271A1" w:rsidRPr="00B86930" w:rsidRDefault="00832B7C" w:rsidP="00F271A1">
      <w:pPr>
        <w:spacing w:before="120" w:after="0" w:line="276" w:lineRule="auto"/>
        <w:ind w:firstLine="709"/>
        <w:jc w:val="both"/>
        <w:rPr>
          <w:rFonts w:ascii="Arial" w:eastAsia="Times New Roman" w:hAnsi="Arial" w:cs="Arial"/>
          <w:iCs/>
          <w:szCs w:val="24"/>
          <w:lang w:val="es-ES_tradnl" w:eastAsia="es-ES_tradnl"/>
        </w:rPr>
      </w:pPr>
      <w:r w:rsidRPr="00B86930">
        <w:rPr>
          <w:rFonts w:ascii="Arial" w:eastAsia="Times New Roman" w:hAnsi="Arial" w:cs="Arial"/>
          <w:iCs/>
          <w:szCs w:val="24"/>
          <w:lang w:val="es-ES_tradnl" w:eastAsia="es-ES_tradnl"/>
        </w:rPr>
        <w:t>Finalmente,</w:t>
      </w:r>
      <w:r w:rsidR="00F271A1" w:rsidRPr="00B86930">
        <w:rPr>
          <w:rFonts w:ascii="Arial" w:eastAsia="Times New Roman" w:hAnsi="Arial" w:cs="Arial"/>
          <w:iCs/>
          <w:szCs w:val="24"/>
          <w:lang w:val="es-ES_tradnl" w:eastAsia="es-ES_tradnl"/>
        </w:rPr>
        <w:t xml:space="preserve"> y conforme a todo lo expuesto, debe aclararse que para los comicios que se celebrarán este año, aplicarán las restricciones contractuales establecidas en el parágrafo del </w:t>
      </w:r>
      <w:r w:rsidR="00F271A1" w:rsidRPr="00B86930">
        <w:rPr>
          <w:rFonts w:ascii="Arial" w:eastAsia="Times New Roman" w:hAnsi="Arial" w:cs="Arial"/>
          <w:iCs/>
          <w:szCs w:val="24"/>
          <w:lang w:val="es-ES_tradnl" w:eastAsia="es-ES_tradnl"/>
        </w:rPr>
        <w:lastRenderedPageBreak/>
        <w:t xml:space="preserve">artículo 38 de la Ley 996 de 2005 que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de las entidades descritas en el parágrafo </w:t>
      </w:r>
      <w:r w:rsidR="00F271A1" w:rsidRPr="00B86930">
        <w:rPr>
          <w:rFonts w:ascii="Arial" w:eastAsia="Times New Roman" w:hAnsi="Arial" w:cs="Arial"/>
          <w:i/>
          <w:szCs w:val="24"/>
          <w:lang w:val="es-ES_tradnl" w:eastAsia="es-ES_tradnl"/>
        </w:rPr>
        <w:t xml:space="preserve">ibidem, </w:t>
      </w:r>
      <w:r w:rsidR="00F271A1" w:rsidRPr="00B86930">
        <w:rPr>
          <w:rFonts w:ascii="Arial" w:eastAsia="Times New Roman" w:hAnsi="Arial" w:cs="Arial"/>
          <w:iCs/>
          <w:szCs w:val="24"/>
          <w:lang w:val="es-ES_tradnl" w:eastAsia="es-ES_tradnl"/>
        </w:rPr>
        <w:t xml:space="preserve">no podrá celebrar tales convenios o contratos </w:t>
      </w:r>
      <w:r w:rsidR="00D0074D">
        <w:rPr>
          <w:rFonts w:ascii="Arial" w:eastAsia="Times New Roman" w:hAnsi="Arial" w:cs="Arial"/>
          <w:iCs/>
          <w:szCs w:val="24"/>
          <w:lang w:val="es-ES_tradnl" w:eastAsia="es-ES_tradnl"/>
        </w:rPr>
        <w:t xml:space="preserve">interadministrativos </w:t>
      </w:r>
      <w:r w:rsidR="00F271A1" w:rsidRPr="00B86930">
        <w:rPr>
          <w:rFonts w:ascii="Arial" w:eastAsia="Times New Roman" w:hAnsi="Arial" w:cs="Arial"/>
          <w:iCs/>
          <w:szCs w:val="24"/>
          <w:lang w:val="es-ES_tradnl" w:eastAsia="es-ES_tradnl"/>
        </w:rPr>
        <w:t>durante la aplicación de la Ley de Garantías Electorales, toda vez que la citada disposición hace referencia a dicha tipología contractual sin que el legislador hubiere contemplado excepción alguna frente a la modalidad de selección o naturaleza de su objeto.</w:t>
      </w:r>
    </w:p>
    <w:p w14:paraId="237B9AC3" w14:textId="77777777" w:rsidR="00F271A1" w:rsidRPr="00B86930" w:rsidRDefault="00F271A1" w:rsidP="00F271A1">
      <w:pPr>
        <w:spacing w:after="0" w:line="276" w:lineRule="auto"/>
        <w:ind w:firstLine="709"/>
        <w:jc w:val="both"/>
        <w:rPr>
          <w:rFonts w:ascii="Arial" w:eastAsia="Times New Roman" w:hAnsi="Arial" w:cs="Arial"/>
          <w:iCs/>
          <w:szCs w:val="24"/>
          <w:lang w:val="es-ES_tradnl" w:eastAsia="es-ES_tradnl"/>
        </w:rPr>
      </w:pPr>
    </w:p>
    <w:p w14:paraId="57ECE98E" w14:textId="77777777" w:rsidR="00F271A1" w:rsidRPr="00B86930" w:rsidRDefault="00F271A1" w:rsidP="00F271A1">
      <w:pPr>
        <w:spacing w:after="0" w:line="276" w:lineRule="auto"/>
        <w:contextualSpacing/>
        <w:jc w:val="both"/>
        <w:rPr>
          <w:rFonts w:ascii="Arial" w:eastAsia="Calibri" w:hAnsi="Arial" w:cs="Arial"/>
          <w:b/>
        </w:rPr>
      </w:pPr>
      <w:r w:rsidRPr="00B86930">
        <w:rPr>
          <w:rFonts w:ascii="Arial" w:eastAsia="Calibri" w:hAnsi="Arial" w:cs="Arial"/>
          <w:b/>
        </w:rPr>
        <w:t>3. Respuesta</w:t>
      </w:r>
    </w:p>
    <w:p w14:paraId="36C8D333" w14:textId="77777777" w:rsidR="00F271A1" w:rsidRPr="00B86930" w:rsidRDefault="00F271A1" w:rsidP="00F271A1">
      <w:pPr>
        <w:spacing w:before="120" w:after="0" w:line="240" w:lineRule="auto"/>
        <w:ind w:left="709" w:right="709"/>
        <w:contextualSpacing/>
        <w:jc w:val="both"/>
        <w:rPr>
          <w:rFonts w:ascii="Arial" w:eastAsia="Calibri" w:hAnsi="Arial" w:cs="Arial"/>
          <w:sz w:val="21"/>
          <w:szCs w:val="21"/>
          <w:lang w:val="es-MX"/>
        </w:rPr>
      </w:pPr>
      <w:bookmarkStart w:id="15" w:name="_Hlk57650395"/>
    </w:p>
    <w:p w14:paraId="4BC65267" w14:textId="77777777" w:rsidR="00A06517" w:rsidRPr="00B86930" w:rsidRDefault="00A06517" w:rsidP="00A06517">
      <w:pPr>
        <w:spacing w:before="120" w:after="0" w:line="240" w:lineRule="auto"/>
        <w:ind w:left="709" w:right="709"/>
        <w:contextualSpacing/>
        <w:jc w:val="both"/>
        <w:rPr>
          <w:rFonts w:ascii="Arial" w:eastAsia="Calibri" w:hAnsi="Arial" w:cs="Arial"/>
          <w:sz w:val="21"/>
          <w:szCs w:val="21"/>
          <w:lang w:val="es-MX"/>
        </w:rPr>
      </w:pPr>
      <w:r w:rsidRPr="00B86930">
        <w:rPr>
          <w:rFonts w:ascii="Arial" w:eastAsia="Calibri" w:hAnsi="Arial" w:cs="Arial"/>
          <w:sz w:val="21"/>
          <w:szCs w:val="21"/>
          <w:lang w:val="es-MX"/>
        </w:rPr>
        <w:t>“</w:t>
      </w:r>
      <w:r>
        <w:rPr>
          <w:rFonts w:ascii="Arial" w:eastAsia="Calibri" w:hAnsi="Arial" w:cs="Arial"/>
          <w:sz w:val="21"/>
          <w:szCs w:val="21"/>
          <w:lang w:val="es-MX"/>
        </w:rPr>
        <w:t xml:space="preserve">se solicita conceptuar si la excepción abarca únicamente los contratos que se deban realizar para continuar adelantando las acciones de IVC como autoridad sanitaria, o si en la misma se encuentran incluidos los que sean necesarios para el cumplimiento de los demás programas, tales como aseguramiento, PAI, salud mental, entre otros, de la </w:t>
      </w:r>
      <w:proofErr w:type="gramStart"/>
      <w:r>
        <w:rPr>
          <w:rFonts w:ascii="Arial" w:eastAsia="Calibri" w:hAnsi="Arial" w:cs="Arial"/>
          <w:sz w:val="21"/>
          <w:szCs w:val="21"/>
          <w:lang w:val="es-MX"/>
        </w:rPr>
        <w:t>Secretaria</w:t>
      </w:r>
      <w:proofErr w:type="gramEnd"/>
      <w:r>
        <w:rPr>
          <w:rFonts w:ascii="Arial" w:eastAsia="Calibri" w:hAnsi="Arial" w:cs="Arial"/>
          <w:sz w:val="21"/>
          <w:szCs w:val="21"/>
          <w:lang w:val="es-MX"/>
        </w:rPr>
        <w:t xml:space="preserve"> de Salud y Seguridad Social del municipio</w:t>
      </w:r>
      <w:r w:rsidRPr="00B86930">
        <w:rPr>
          <w:rFonts w:ascii="Arial" w:eastAsia="Calibri" w:hAnsi="Arial" w:cs="Arial"/>
          <w:sz w:val="21"/>
          <w:szCs w:val="21"/>
          <w:lang w:val="es-MX"/>
        </w:rPr>
        <w:t>” [sic]</w:t>
      </w:r>
    </w:p>
    <w:p w14:paraId="2625795B" w14:textId="77777777" w:rsidR="00F271A1" w:rsidRPr="00B86930" w:rsidRDefault="00F271A1" w:rsidP="00F271A1">
      <w:pPr>
        <w:spacing w:after="0" w:line="240" w:lineRule="auto"/>
        <w:ind w:left="709" w:right="709"/>
        <w:jc w:val="both"/>
        <w:rPr>
          <w:rFonts w:ascii="Arial" w:eastAsia="Calibri" w:hAnsi="Arial" w:cs="Arial"/>
          <w:lang w:val="es-ES"/>
        </w:rPr>
      </w:pPr>
    </w:p>
    <w:p w14:paraId="06AD7101" w14:textId="77777777" w:rsidR="00F271A1" w:rsidRPr="00B86930" w:rsidRDefault="00F271A1" w:rsidP="00F271A1">
      <w:pPr>
        <w:spacing w:after="120" w:line="276" w:lineRule="auto"/>
        <w:jc w:val="both"/>
        <w:rPr>
          <w:rFonts w:ascii="Arial" w:eastAsia="Arial" w:hAnsi="Arial" w:cs="Arial"/>
          <w:lang w:val="es-ES" w:eastAsia="es-ES" w:bidi="es-ES"/>
        </w:rPr>
      </w:pPr>
      <w:r w:rsidRPr="00B86930">
        <w:rPr>
          <w:rFonts w:ascii="Arial" w:eastAsia="Arial" w:hAnsi="Arial" w:cs="Arial"/>
          <w:lang w:val="es-MX"/>
        </w:rPr>
        <w:t xml:space="preserve">De acuerdo con la interpretación de las normas generales del sistema de compras y contratación pública, </w:t>
      </w:r>
      <w:r w:rsidRPr="00B86930">
        <w:rPr>
          <w:rFonts w:ascii="Arial" w:eastAsia="Arial" w:hAnsi="Arial" w:cs="Arial"/>
          <w:lang w:val="es-ES" w:eastAsia="es-ES" w:bidi="es-ES"/>
        </w:rPr>
        <w:t>la Ley de Garantías Electorales consagra una serie de restricciones que se dirigen a dos (2) tipos de campañas electorales claramente diferenciadas: las presidenciales y las demás que se adelanten para la elección de los demás cargos de elección popular, tanto a nivel nacional como territorial.</w:t>
      </w:r>
    </w:p>
    <w:p w14:paraId="46D4D7C7" w14:textId="77777777" w:rsidR="00F271A1" w:rsidRPr="00B86930" w:rsidRDefault="00F271A1" w:rsidP="00F271A1">
      <w:pPr>
        <w:spacing w:after="120" w:line="276" w:lineRule="auto"/>
        <w:ind w:firstLine="708"/>
        <w:jc w:val="both"/>
        <w:rPr>
          <w:rFonts w:ascii="Arial" w:hAnsi="Arial" w:cs="Arial"/>
          <w:bCs/>
          <w:lang w:val="es-ES_tradnl" w:eastAsia="es-CO"/>
        </w:rPr>
      </w:pPr>
      <w:r w:rsidRPr="00B86930">
        <w:rPr>
          <w:rFonts w:ascii="Arial" w:hAnsi="Arial" w:cs="Arial"/>
          <w:bCs/>
          <w:lang w:val="es-ES_tradnl" w:eastAsia="es-CO"/>
        </w:rPr>
        <w:t xml:space="preserve">Por un lado, el artículo 33 de la Ley 996 de 2005 establece una restricción en atención a la cual, durante los cuatro meses anteriores a la elección presidencial y hasta la realización de la elección en la segunda vuelta, si fuere el caso, está prohibida la contratación directa por parte de todos las Entidades Estatales. </w:t>
      </w:r>
      <w:r w:rsidRPr="00B86930">
        <w:rPr>
          <w:rFonts w:ascii="Arial" w:hAnsi="Arial" w:cs="Arial"/>
          <w:bCs/>
          <w:lang w:val="es-MX" w:eastAsia="es-CO"/>
        </w:rPr>
        <w:t>Los destinatarios de la prohibición son “todos los entes del Estado”, expresión que contempla a los diferentes organismos o entidades autorizadas por la ley para suscribir contratos. En efecto, como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6E66D1C5" w14:textId="77777777" w:rsidR="00F271A1" w:rsidRPr="00B86930" w:rsidRDefault="00F271A1" w:rsidP="00F271A1">
      <w:pPr>
        <w:spacing w:after="120" w:line="276" w:lineRule="auto"/>
        <w:ind w:firstLine="709"/>
        <w:jc w:val="both"/>
        <w:rPr>
          <w:rFonts w:ascii="Arial" w:hAnsi="Arial" w:cs="Arial"/>
          <w:bCs/>
          <w:lang w:val="es-ES_tradnl" w:eastAsia="es-CO" w:bidi="es-ES"/>
        </w:rPr>
      </w:pPr>
      <w:r w:rsidRPr="00B86930">
        <w:rPr>
          <w:rFonts w:ascii="Arial" w:hAnsi="Arial" w:cs="Arial"/>
          <w:bCs/>
          <w:lang w:val="es-MX" w:eastAsia="es-CO"/>
        </w:rPr>
        <w:t xml:space="preserve">De otro lado, el parágrafo del artículo 38 de la Ley de Garantías Electorales, establece una restricción en virtud de la cual, durante el periodo de cuatro (4) meses anteriores a cualquier jornada de elecciones, las entidades territoriales no pueden suscribir convenios interadministrativos que impliquen la ejecución de recursos públicos. Para determinar el alcance de la prohibición consagrada por la Ley de Garantías Electorales, conviene precisar la tipología de convenios o contratos interadministrativos. </w:t>
      </w:r>
      <w:r w:rsidRPr="00B86930">
        <w:rPr>
          <w:rFonts w:ascii="Arial" w:hAnsi="Arial" w:cs="Arial"/>
          <w:bCs/>
          <w:lang w:val="es-ES_tradnl" w:eastAsia="es-CO" w:bidi="es-ES"/>
        </w:rPr>
        <w:t xml:space="preserve">Aunque la ley no la definió ni desarrolló, el Decreto 1082 de 2015 califica a los convenios o contratos interadministrativos como aquella contratación </w:t>
      </w:r>
      <w:r w:rsidRPr="00B86930">
        <w:rPr>
          <w:rFonts w:ascii="Arial" w:hAnsi="Arial" w:cs="Arial"/>
          <w:bCs/>
          <w:lang w:val="es-ES_tradnl" w:eastAsia="es-CO" w:bidi="es-ES"/>
        </w:rPr>
        <w:lastRenderedPageBreak/>
        <w:t>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98A62A8" w14:textId="2BC24626" w:rsidR="00F271A1" w:rsidRPr="00B86930" w:rsidRDefault="00F271A1" w:rsidP="00F271A1">
      <w:pPr>
        <w:spacing w:after="120" w:line="276" w:lineRule="auto"/>
        <w:ind w:firstLine="709"/>
        <w:jc w:val="both"/>
        <w:rPr>
          <w:rFonts w:ascii="Arial" w:eastAsia="Calibri" w:hAnsi="Arial" w:cs="Arial"/>
          <w:color w:val="000000" w:themeColor="text1"/>
          <w:lang w:val="es-MX"/>
        </w:rPr>
      </w:pPr>
      <w:r w:rsidRPr="00B86930">
        <w:rPr>
          <w:rFonts w:ascii="Arial" w:eastAsia="Times New Roman" w:hAnsi="Arial" w:cs="Arial"/>
          <w:bCs/>
          <w:lang w:val="es-MX" w:eastAsia="es-CO"/>
        </w:rPr>
        <w:t xml:space="preserve">En este sentido y teniendo en cuenta que para los comicios de este año rigen las restricciones contractuales señaladas en </w:t>
      </w:r>
      <w:r w:rsidRPr="00B86930">
        <w:rPr>
          <w:rFonts w:ascii="Arial" w:hAnsi="Arial" w:cs="Arial"/>
          <w:bCs/>
          <w:lang w:val="es-MX" w:eastAsia="es-CO"/>
        </w:rPr>
        <w:t>el parágrafo del artículo 38 de la Ley 996 de 2005</w:t>
      </w:r>
      <w:r w:rsidRPr="00B86930">
        <w:rPr>
          <w:rFonts w:ascii="Arial" w:eastAsia="Times New Roman" w:hAnsi="Arial" w:cs="Arial"/>
          <w:bCs/>
          <w:lang w:val="es-MX" w:eastAsia="es-CO"/>
        </w:rPr>
        <w:t xml:space="preserve">, los entes territoriales no podrán celebrar tales convenios o contratos </w:t>
      </w:r>
      <w:r w:rsidR="00BF220F">
        <w:rPr>
          <w:rFonts w:ascii="Arial" w:eastAsia="Times New Roman" w:hAnsi="Arial" w:cs="Arial"/>
          <w:bCs/>
          <w:lang w:val="es-MX" w:eastAsia="es-CO"/>
        </w:rPr>
        <w:t xml:space="preserve">interadministrativos </w:t>
      </w:r>
      <w:r w:rsidRPr="00B86930">
        <w:rPr>
          <w:rFonts w:ascii="Arial" w:eastAsia="Times New Roman" w:hAnsi="Arial" w:cs="Arial"/>
          <w:bCs/>
          <w:lang w:val="es-MX" w:eastAsia="es-CO"/>
        </w:rPr>
        <w:t xml:space="preserve">durante la aplicación de la Ley de Garantías Electorales, toda vez que la citada disposición hace referencia a dicha tipología contractual sin que el legislador hubiere contemplado excepción alguna frente a la modalidad de selección o naturaleza de su objeto. De esta manera, la prohibición aplica a todos los contratos </w:t>
      </w:r>
      <w:r w:rsidR="005F6D71">
        <w:rPr>
          <w:rFonts w:ascii="Arial" w:eastAsia="Times New Roman" w:hAnsi="Arial" w:cs="Arial"/>
          <w:bCs/>
          <w:lang w:val="es-MX" w:eastAsia="es-CO"/>
        </w:rPr>
        <w:t xml:space="preserve">o convenios </w:t>
      </w:r>
      <w:r w:rsidRPr="00B86930">
        <w:rPr>
          <w:rFonts w:ascii="Arial" w:eastAsia="Times New Roman" w:hAnsi="Arial" w:cs="Arial"/>
          <w:bCs/>
          <w:lang w:val="es-MX" w:eastAsia="es-CO"/>
        </w:rPr>
        <w:t>interadministrativos con independencia de que estén o no precedidos de un procedimiento de selección con pluralidad de oferentes. Esto por cuanto, como se indicó, el contrato o convenio interadministrativo no se define por la modalidad de selección, sino por la naturaleza pública de quienes lo celebran, es decir, por un criterio orgánico.</w:t>
      </w:r>
      <w:r w:rsidRPr="00B86930">
        <w:rPr>
          <w:rFonts w:ascii="Arial" w:eastAsia="Calibri" w:hAnsi="Arial" w:cs="Arial"/>
          <w:color w:val="000000" w:themeColor="text1"/>
          <w:lang w:val="es-MX"/>
        </w:rPr>
        <w:t>  </w:t>
      </w:r>
    </w:p>
    <w:p w14:paraId="4CF7BD0B" w14:textId="77777777" w:rsidR="00F271A1" w:rsidRPr="00B86930" w:rsidRDefault="00F271A1" w:rsidP="00F271A1">
      <w:pPr>
        <w:spacing w:after="0" w:line="276" w:lineRule="auto"/>
        <w:ind w:firstLine="709"/>
        <w:jc w:val="both"/>
        <w:rPr>
          <w:rFonts w:ascii="Arial" w:eastAsia="Calibri" w:hAnsi="Arial" w:cs="Arial"/>
          <w:lang w:val="es-MX"/>
        </w:rPr>
      </w:pPr>
      <w:r w:rsidRPr="00B86930">
        <w:rPr>
          <w:rFonts w:ascii="Arial" w:eastAsia="Calibri" w:hAnsi="Arial" w:cs="Arial"/>
          <w:bCs/>
          <w:lang w:val="es-MX" w:eastAsia="es-CO"/>
        </w:rPr>
        <w:t>Bajo estas consideraciones, corresponde a cada entidad pública, en ejercicio de su competencia y previa valoración de los elementos fácticos y jurídicos, determinar si es procedente o no la celebración de un determinado contrato durante la vigencia de la Ley de Garantías Electorales.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r w:rsidRPr="00B86930">
        <w:rPr>
          <w:rFonts w:ascii="Arial" w:hAnsi="Arial" w:cs="Arial"/>
          <w:bCs/>
          <w:lang w:val="es-ES"/>
        </w:rPr>
        <w:t xml:space="preserve"> </w:t>
      </w:r>
    </w:p>
    <w:p w14:paraId="571C2C22" w14:textId="77777777" w:rsidR="00F271A1" w:rsidRPr="00B86930" w:rsidRDefault="00F271A1" w:rsidP="00F271A1">
      <w:pPr>
        <w:shd w:val="clear" w:color="auto" w:fill="FFFFFF"/>
        <w:spacing w:after="0" w:line="276" w:lineRule="auto"/>
        <w:jc w:val="both"/>
        <w:rPr>
          <w:rFonts w:ascii="Arial" w:hAnsi="Arial" w:cs="Arial"/>
        </w:rPr>
      </w:pPr>
    </w:p>
    <w:p w14:paraId="6ED5E5B9" w14:textId="77777777" w:rsidR="00F271A1" w:rsidRPr="00B86930" w:rsidRDefault="00F271A1" w:rsidP="00F271A1">
      <w:pPr>
        <w:widowControl w:val="0"/>
        <w:autoSpaceDE w:val="0"/>
        <w:autoSpaceDN w:val="0"/>
        <w:spacing w:after="0" w:line="276" w:lineRule="auto"/>
        <w:contextualSpacing/>
        <w:jc w:val="both"/>
        <w:rPr>
          <w:rFonts w:ascii="Arial" w:eastAsia="Times New Roman" w:hAnsi="Arial" w:cs="Arial"/>
          <w:lang w:eastAsia="es-ES_tradnl"/>
        </w:rPr>
      </w:pPr>
      <w:r w:rsidRPr="00B86930">
        <w:rPr>
          <w:rFonts w:ascii="Arial" w:eastAsia="Calibri" w:hAnsi="Arial" w:cs="Arial"/>
        </w:rPr>
        <w:t>Este concepto tiene el alcance previsto en el artículo 28 del Código de Procedimiento Administrativo y de lo Contencioso Administrativo</w:t>
      </w:r>
      <w:r w:rsidRPr="00B86930">
        <w:rPr>
          <w:rFonts w:ascii="Arial" w:eastAsia="Calibri" w:hAnsi="Arial" w:cs="Arial"/>
          <w:noProof/>
          <w:lang w:eastAsia="es-CO"/>
        </w:rPr>
        <mc:AlternateContent>
          <mc:Choice Requires="wps">
            <w:drawing>
              <wp:anchor distT="0" distB="0" distL="114300" distR="114300" simplePos="0" relativeHeight="251658240" behindDoc="0" locked="0" layoutInCell="1" allowOverlap="1" wp14:anchorId="3319B78E" wp14:editId="7CA3A38A">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9A166B9"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r w:rsidRPr="00B86930">
        <w:rPr>
          <w:rFonts w:ascii="Arial" w:eastAsia="Calibri" w:hAnsi="Arial" w:cs="Arial"/>
        </w:rPr>
        <w:t xml:space="preserve"> y las expresiones utilizadas con mayúscula inicial deben ser entendidas con el significado que les otorga el artículo 2.2.1.1.1.3.1 del Decreto 1082 de 2015.</w:t>
      </w:r>
    </w:p>
    <w:p w14:paraId="1EDACE17" w14:textId="77777777" w:rsidR="00F271A1" w:rsidRPr="00B86930" w:rsidRDefault="00F271A1" w:rsidP="00F271A1">
      <w:pPr>
        <w:spacing w:after="120" w:line="276" w:lineRule="auto"/>
        <w:jc w:val="both"/>
        <w:rPr>
          <w:rFonts w:ascii="Arial" w:eastAsia="Times New Roman" w:hAnsi="Arial" w:cs="Arial"/>
          <w:lang w:eastAsia="es-ES_tradnl"/>
        </w:rPr>
      </w:pPr>
    </w:p>
    <w:p w14:paraId="4B2100C7" w14:textId="77777777" w:rsidR="00F271A1" w:rsidRPr="00B86930" w:rsidRDefault="00F271A1" w:rsidP="00F271A1">
      <w:pPr>
        <w:spacing w:after="200" w:line="276" w:lineRule="auto"/>
        <w:jc w:val="both"/>
        <w:rPr>
          <w:rFonts w:ascii="Arial" w:eastAsia="Times New Roman" w:hAnsi="Arial" w:cs="Arial"/>
          <w:lang w:eastAsia="es-CO"/>
        </w:rPr>
      </w:pPr>
      <w:r w:rsidRPr="00B86930">
        <w:rPr>
          <w:rFonts w:ascii="Arial" w:eastAsia="Times New Roman" w:hAnsi="Arial" w:cs="Arial"/>
          <w:lang w:eastAsia="es-CO"/>
        </w:rPr>
        <w:t>Atentamente,</w:t>
      </w:r>
    </w:p>
    <w:p w14:paraId="4C27A384" w14:textId="33F9ABB2" w:rsidR="00F271A1" w:rsidRPr="00B86930" w:rsidRDefault="00546D73" w:rsidP="00F271A1">
      <w:pPr>
        <w:spacing w:after="200" w:line="276" w:lineRule="auto"/>
        <w:jc w:val="center"/>
        <w:rPr>
          <w:rFonts w:ascii="Arial" w:eastAsia="Calibri" w:hAnsi="Arial" w:cs="Arial"/>
          <w:b/>
          <w:bCs/>
          <w:sz w:val="20"/>
          <w:szCs w:val="20"/>
          <w:lang w:val="es-MX"/>
        </w:rPr>
      </w:pPr>
      <w:bookmarkStart w:id="16" w:name="_Hlk130981267"/>
      <w:bookmarkEnd w:id="0"/>
      <w:bookmarkEnd w:id="15"/>
      <w:r>
        <w:rPr>
          <w:noProof/>
        </w:rPr>
        <w:drawing>
          <wp:inline distT="0" distB="0" distL="0" distR="0" wp14:anchorId="4D118437" wp14:editId="340A1809">
            <wp:extent cx="3155950" cy="1212850"/>
            <wp:effectExtent l="0" t="0" r="6350" b="6350"/>
            <wp:docPr id="166816198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F271A1" w:rsidRPr="00B86930" w14:paraId="0DF8C519" w14:textId="77777777" w:rsidTr="007B413E">
        <w:trPr>
          <w:trHeight w:val="315"/>
        </w:trPr>
        <w:tc>
          <w:tcPr>
            <w:tcW w:w="812" w:type="dxa"/>
            <w:vAlign w:val="center"/>
            <w:hideMark/>
          </w:tcPr>
          <w:p w14:paraId="27B8D4E6" w14:textId="77777777" w:rsidR="00F271A1" w:rsidRPr="00B86930" w:rsidRDefault="00F271A1"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lastRenderedPageBreak/>
              <w:t>Elaboró:</w:t>
            </w:r>
          </w:p>
        </w:tc>
        <w:tc>
          <w:tcPr>
            <w:tcW w:w="4291" w:type="dxa"/>
            <w:tcBorders>
              <w:top w:val="nil"/>
              <w:left w:val="nil"/>
              <w:bottom w:val="dotted" w:sz="4" w:space="0" w:color="7F7F7F"/>
              <w:right w:val="nil"/>
            </w:tcBorders>
            <w:vAlign w:val="center"/>
            <w:hideMark/>
          </w:tcPr>
          <w:p w14:paraId="78CC3C24" w14:textId="0AE2CC6E" w:rsidR="00F271A1" w:rsidRPr="00B86930" w:rsidRDefault="00837226"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Any Alejandra Tovar Castillo</w:t>
            </w:r>
          </w:p>
          <w:p w14:paraId="4E2C20F2" w14:textId="532A01BF" w:rsidR="00F271A1" w:rsidRPr="00B86930" w:rsidRDefault="00837226"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Contratista</w:t>
            </w:r>
            <w:r w:rsidR="00F271A1" w:rsidRPr="00B86930">
              <w:rPr>
                <w:rFonts w:ascii="Arial" w:eastAsia="Times New Roman" w:hAnsi="Arial" w:cs="Arial"/>
                <w:sz w:val="16"/>
                <w:szCs w:val="16"/>
                <w:lang w:eastAsia="es-ES"/>
              </w:rPr>
              <w:t xml:space="preserve"> de la Subdirección de Gestión Contractual</w:t>
            </w:r>
          </w:p>
        </w:tc>
      </w:tr>
      <w:tr w:rsidR="00F271A1" w:rsidRPr="00B86930" w14:paraId="56F2526D" w14:textId="77777777" w:rsidTr="007B413E">
        <w:trPr>
          <w:trHeight w:val="330"/>
        </w:trPr>
        <w:tc>
          <w:tcPr>
            <w:tcW w:w="812" w:type="dxa"/>
            <w:vAlign w:val="center"/>
            <w:hideMark/>
          </w:tcPr>
          <w:p w14:paraId="1BAE1A1D" w14:textId="77777777" w:rsidR="00F271A1" w:rsidRPr="00B86930" w:rsidRDefault="00F271A1"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012C8FB3" w14:textId="18FBBCDC" w:rsidR="00F271A1" w:rsidRPr="00B86930" w:rsidRDefault="0037004A"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 xml:space="preserve">Diana Carolina Armenta </w:t>
            </w:r>
            <w:r w:rsidR="009D118E" w:rsidRPr="00B86930">
              <w:rPr>
                <w:rFonts w:ascii="Arial" w:eastAsia="Times New Roman" w:hAnsi="Arial" w:cs="Arial"/>
                <w:sz w:val="16"/>
                <w:szCs w:val="16"/>
                <w:lang w:eastAsia="es-ES"/>
              </w:rPr>
              <w:t>Celis</w:t>
            </w:r>
          </w:p>
          <w:p w14:paraId="25916C3E" w14:textId="0302217F" w:rsidR="00F271A1" w:rsidRPr="00B86930" w:rsidRDefault="009D118E"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Contratista</w:t>
            </w:r>
            <w:r w:rsidR="00F271A1" w:rsidRPr="00B86930">
              <w:rPr>
                <w:rFonts w:ascii="Arial" w:eastAsia="Times New Roman" w:hAnsi="Arial" w:cs="Arial"/>
                <w:sz w:val="16"/>
                <w:szCs w:val="16"/>
                <w:lang w:eastAsia="es-ES"/>
              </w:rPr>
              <w:t xml:space="preserve"> de la Subdirección de Gestión Contractual</w:t>
            </w:r>
          </w:p>
        </w:tc>
      </w:tr>
      <w:tr w:rsidR="00F271A1" w:rsidRPr="00B86930" w14:paraId="455CCD2B" w14:textId="77777777" w:rsidTr="007B413E">
        <w:trPr>
          <w:trHeight w:val="300"/>
        </w:trPr>
        <w:tc>
          <w:tcPr>
            <w:tcW w:w="812" w:type="dxa"/>
            <w:vAlign w:val="center"/>
            <w:hideMark/>
          </w:tcPr>
          <w:p w14:paraId="29510504" w14:textId="77777777" w:rsidR="00F271A1" w:rsidRPr="00B86930" w:rsidRDefault="00F271A1"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243A2B58" w14:textId="77777777" w:rsidR="00F271A1" w:rsidRPr="00B86930" w:rsidRDefault="00F271A1"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 xml:space="preserve">Nohelia del Carmen </w:t>
            </w:r>
            <w:proofErr w:type="spellStart"/>
            <w:r w:rsidRPr="00B86930">
              <w:rPr>
                <w:rFonts w:ascii="Arial" w:eastAsia="Times New Roman" w:hAnsi="Arial" w:cs="Arial"/>
                <w:sz w:val="16"/>
                <w:szCs w:val="16"/>
                <w:lang w:eastAsia="es-ES"/>
              </w:rPr>
              <w:t>Zawady</w:t>
            </w:r>
            <w:proofErr w:type="spellEnd"/>
            <w:r w:rsidRPr="00B86930">
              <w:rPr>
                <w:rFonts w:ascii="Arial" w:eastAsia="Times New Roman" w:hAnsi="Arial" w:cs="Arial"/>
                <w:sz w:val="16"/>
                <w:szCs w:val="16"/>
                <w:lang w:eastAsia="es-ES"/>
              </w:rPr>
              <w:t xml:space="preserve"> Palacio</w:t>
            </w:r>
          </w:p>
          <w:p w14:paraId="669D8DFB" w14:textId="77777777" w:rsidR="00F271A1" w:rsidRPr="00B86930" w:rsidRDefault="00F271A1" w:rsidP="007B413E">
            <w:pPr>
              <w:rPr>
                <w:rFonts w:ascii="Arial" w:eastAsia="Times New Roman" w:hAnsi="Arial" w:cs="Arial"/>
                <w:sz w:val="16"/>
                <w:szCs w:val="16"/>
                <w:lang w:eastAsia="es-ES"/>
              </w:rPr>
            </w:pPr>
            <w:r w:rsidRPr="00B86930">
              <w:rPr>
                <w:rFonts w:ascii="Arial" w:eastAsia="Times New Roman" w:hAnsi="Arial" w:cs="Arial"/>
                <w:sz w:val="16"/>
                <w:szCs w:val="16"/>
                <w:lang w:eastAsia="es-ES"/>
              </w:rPr>
              <w:t>Subdirectora de Gestión Contractual ANCP – CCE</w:t>
            </w:r>
          </w:p>
        </w:tc>
      </w:tr>
      <w:bookmarkEnd w:id="1"/>
      <w:bookmarkEnd w:id="2"/>
      <w:bookmarkEnd w:id="3"/>
      <w:bookmarkEnd w:id="16"/>
      <w:bookmarkEnd w:id="4"/>
    </w:tbl>
    <w:p w14:paraId="0F293BF4" w14:textId="0F6FB6C1" w:rsidR="00127233" w:rsidRPr="00B86930" w:rsidRDefault="00127233" w:rsidP="009F1F64">
      <w:pPr>
        <w:rPr>
          <w:rFonts w:ascii="Arial" w:hAnsi="Arial" w:cs="Arial"/>
        </w:rPr>
      </w:pPr>
    </w:p>
    <w:sectPr w:rsidR="00127233" w:rsidRPr="00B86930"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B596" w14:textId="77777777" w:rsidR="008B2725" w:rsidRDefault="008B2725" w:rsidP="004A1847">
      <w:pPr>
        <w:spacing w:after="0" w:line="240" w:lineRule="auto"/>
      </w:pPr>
      <w:r>
        <w:separator/>
      </w:r>
    </w:p>
  </w:endnote>
  <w:endnote w:type="continuationSeparator" w:id="0">
    <w:p w14:paraId="71526891" w14:textId="77777777" w:rsidR="008B2725" w:rsidRDefault="008B2725" w:rsidP="004A1847">
      <w:pPr>
        <w:spacing w:after="0" w:line="240" w:lineRule="auto"/>
      </w:pPr>
      <w:r>
        <w:continuationSeparator/>
      </w:r>
    </w:p>
  </w:endnote>
  <w:endnote w:type="continuationNotice" w:id="1">
    <w:p w14:paraId="0237F94A" w14:textId="77777777" w:rsidR="008B2725" w:rsidRDefault="008B2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2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6327" w14:textId="77777777" w:rsidR="008B2725" w:rsidRDefault="008B2725" w:rsidP="004A1847">
      <w:pPr>
        <w:spacing w:after="0" w:line="240" w:lineRule="auto"/>
      </w:pPr>
      <w:r>
        <w:separator/>
      </w:r>
    </w:p>
  </w:footnote>
  <w:footnote w:type="continuationSeparator" w:id="0">
    <w:p w14:paraId="0B7890DA" w14:textId="77777777" w:rsidR="008B2725" w:rsidRDefault="008B2725" w:rsidP="004A1847">
      <w:pPr>
        <w:spacing w:after="0" w:line="240" w:lineRule="auto"/>
      </w:pPr>
      <w:r>
        <w:continuationSeparator/>
      </w:r>
    </w:p>
  </w:footnote>
  <w:footnote w:type="continuationNotice" w:id="1">
    <w:p w14:paraId="2B7A838E" w14:textId="77777777" w:rsidR="008B2725" w:rsidRDefault="008B2725">
      <w:pPr>
        <w:spacing w:after="0" w:line="240" w:lineRule="auto"/>
      </w:pPr>
    </w:p>
  </w:footnote>
  <w:footnote w:id="2">
    <w:p w14:paraId="38BD1DB8" w14:textId="77777777" w:rsidR="0032386A" w:rsidRPr="0020245A" w:rsidRDefault="0032386A" w:rsidP="0020245A">
      <w:pPr>
        <w:pStyle w:val="Textonotapie"/>
        <w:ind w:firstLine="708"/>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0245A">
        <w:rPr>
          <w:rFonts w:ascii="Arial" w:hAnsi="Arial" w:cs="Arial"/>
          <w:i/>
          <w:iCs/>
          <w:sz w:val="18"/>
          <w:szCs w:val="18"/>
        </w:rPr>
        <w:t xml:space="preserve">ibidem </w:t>
      </w:r>
      <w:r w:rsidRPr="0020245A">
        <w:rPr>
          <w:rFonts w:ascii="Arial" w:hAnsi="Arial" w:cs="Arial"/>
          <w:sz w:val="18"/>
          <w:szCs w:val="18"/>
        </w:rPr>
        <w:t>señala, de manera precisa, las funciones de Colombia Compra Eficiente. Concretamente, el numeral 5º de este artículo establece que le corresponde a esta entidad: “[a]</w:t>
      </w:r>
      <w:proofErr w:type="spellStart"/>
      <w:r w:rsidRPr="0020245A">
        <w:rPr>
          <w:rFonts w:ascii="Arial" w:hAnsi="Arial" w:cs="Arial"/>
          <w:sz w:val="18"/>
          <w:szCs w:val="18"/>
        </w:rPr>
        <w:t>bsolver</w:t>
      </w:r>
      <w:proofErr w:type="spellEnd"/>
      <w:r w:rsidRPr="0020245A">
        <w:rPr>
          <w:rFonts w:ascii="Arial" w:hAnsi="Arial" w:cs="Arial"/>
          <w:sz w:val="18"/>
          <w:szCs w:val="18"/>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20245A">
        <w:rPr>
          <w:rFonts w:ascii="Arial" w:hAnsi="Arial" w:cs="Arial"/>
          <w:sz w:val="18"/>
          <w:szCs w:val="18"/>
        </w:rPr>
        <w:t>bsolver</w:t>
      </w:r>
      <w:proofErr w:type="spellEnd"/>
      <w:r w:rsidRPr="0020245A">
        <w:rPr>
          <w:rFonts w:ascii="Arial" w:hAnsi="Arial" w:cs="Arial"/>
          <w:sz w:val="18"/>
          <w:szCs w:val="18"/>
        </w:rPr>
        <w:t xml:space="preserve"> consultas sobre la aplicación de normas de carácter general”.</w:t>
      </w:r>
    </w:p>
    <w:p w14:paraId="4A29F682" w14:textId="77777777" w:rsidR="0032386A" w:rsidRPr="0020245A" w:rsidRDefault="0032386A" w:rsidP="0020245A">
      <w:pPr>
        <w:pStyle w:val="Textonotapie"/>
        <w:ind w:firstLine="708"/>
        <w:jc w:val="both"/>
        <w:rPr>
          <w:rFonts w:ascii="Arial" w:hAnsi="Arial" w:cs="Arial"/>
          <w:sz w:val="18"/>
          <w:szCs w:val="18"/>
          <w:lang w:val="es-ES"/>
        </w:rPr>
      </w:pPr>
    </w:p>
  </w:footnote>
  <w:footnote w:id="3">
    <w:p w14:paraId="1ADB04EF" w14:textId="7EBF60C3" w:rsidR="00F271A1" w:rsidRPr="0020245A" w:rsidRDefault="00F271A1" w:rsidP="0020245A">
      <w:pPr>
        <w:pStyle w:val="Textonotapie"/>
        <w:ind w:firstLine="708"/>
        <w:jc w:val="both"/>
        <w:rPr>
          <w:rFonts w:ascii="Arial" w:hAnsi="Arial" w:cs="Arial"/>
          <w:sz w:val="18"/>
          <w:szCs w:val="18"/>
          <w:lang w:val="es-CO"/>
        </w:rPr>
      </w:pPr>
      <w:r w:rsidRPr="0020245A">
        <w:rPr>
          <w:rStyle w:val="Refdenotaalpie"/>
          <w:rFonts w:ascii="Arial" w:hAnsi="Arial" w:cs="Arial"/>
          <w:sz w:val="18"/>
          <w:szCs w:val="18"/>
        </w:rPr>
        <w:footnoteRef/>
      </w:r>
      <w:r w:rsidRPr="0020245A">
        <w:rPr>
          <w:rFonts w:ascii="Arial" w:hAnsi="Arial" w:cs="Arial"/>
          <w:sz w:val="18"/>
          <w:szCs w:val="18"/>
        </w:rPr>
        <w:t xml:space="preserve"> </w:t>
      </w:r>
      <w:r w:rsidR="00CC398D" w:rsidRPr="00A70BAA">
        <w:rPr>
          <w:rFonts w:ascii="Arial" w:hAnsi="Arial"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00CC398D" w:rsidRPr="00517FE5">
          <w:rPr>
            <w:rStyle w:val="Hipervnculo"/>
            <w:rFonts w:ascii="Arial" w:hAnsi="Arial" w:cs="Arial"/>
            <w:sz w:val="18"/>
            <w:szCs w:val="18"/>
          </w:rPr>
          <w:t>https://relatoria.colombiacompra.gov.co/busqueda/conceptos</w:t>
        </w:r>
      </w:hyperlink>
      <w:r w:rsidR="00CC398D" w:rsidRPr="00A70BAA">
        <w:rPr>
          <w:rStyle w:val="Hipervnculo"/>
          <w:rFonts w:ascii="Arial" w:hAnsi="Arial" w:cs="Arial"/>
          <w:sz w:val="18"/>
          <w:szCs w:val="18"/>
        </w:rPr>
        <w:t xml:space="preserve">. </w:t>
      </w:r>
    </w:p>
  </w:footnote>
  <w:footnote w:id="4">
    <w:p w14:paraId="5F5913F2" w14:textId="77777777" w:rsidR="00F271A1" w:rsidRPr="0020245A" w:rsidRDefault="00F271A1" w:rsidP="0020245A">
      <w:pPr>
        <w:pStyle w:val="Textonotapie"/>
        <w:ind w:firstLine="709"/>
        <w:contextualSpacing/>
        <w:jc w:val="both"/>
        <w:rPr>
          <w:rFonts w:ascii="Arial" w:hAnsi="Arial" w:cs="Arial"/>
          <w:sz w:val="18"/>
          <w:szCs w:val="18"/>
        </w:rPr>
      </w:pPr>
    </w:p>
    <w:p w14:paraId="775F23EC"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7F1FBFD" w14:textId="77777777" w:rsidR="00F271A1" w:rsidRPr="0020245A" w:rsidRDefault="00F271A1" w:rsidP="0020245A">
      <w:pPr>
        <w:pStyle w:val="Textonotapie"/>
        <w:ind w:firstLine="709"/>
        <w:contextualSpacing/>
        <w:jc w:val="both"/>
        <w:rPr>
          <w:rFonts w:ascii="Arial" w:hAnsi="Arial" w:cs="Arial"/>
          <w:sz w:val="18"/>
          <w:szCs w:val="18"/>
        </w:rPr>
      </w:pPr>
    </w:p>
    <w:p w14:paraId="395CD813" w14:textId="77777777" w:rsidR="00F271A1" w:rsidRPr="0020245A" w:rsidRDefault="00F271A1" w:rsidP="0020245A">
      <w:pPr>
        <w:pStyle w:val="Textonotapie"/>
        <w:ind w:firstLine="709"/>
        <w:contextualSpacing/>
        <w:jc w:val="both"/>
        <w:rPr>
          <w:rFonts w:ascii="Arial" w:hAnsi="Arial" w:cs="Arial"/>
          <w:sz w:val="18"/>
          <w:szCs w:val="18"/>
        </w:rPr>
      </w:pPr>
      <w:r w:rsidRPr="0020245A">
        <w:rPr>
          <w:rFonts w:ascii="Arial" w:hAnsi="Arial" w:cs="Arial"/>
          <w:sz w:val="18"/>
          <w:szCs w:val="18"/>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9DA2F76" w14:textId="77777777" w:rsidR="00F271A1" w:rsidRPr="0020245A" w:rsidRDefault="00F271A1" w:rsidP="0020245A">
      <w:pPr>
        <w:pStyle w:val="Textonotapie"/>
        <w:ind w:firstLine="709"/>
        <w:contextualSpacing/>
        <w:jc w:val="both"/>
        <w:rPr>
          <w:rFonts w:ascii="Arial" w:hAnsi="Arial" w:cs="Arial"/>
          <w:sz w:val="18"/>
          <w:szCs w:val="18"/>
        </w:rPr>
      </w:pPr>
    </w:p>
  </w:footnote>
  <w:footnote w:id="5">
    <w:p w14:paraId="025BA48D"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Gaceta del Congreso de la República No. 71 del 2005.</w:t>
      </w:r>
    </w:p>
  </w:footnote>
  <w:footnote w:id="6">
    <w:p w14:paraId="10C4712B"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Corte Constitucional, Sentencia C- 1153 de 2005, M.P. Marco Gerardo Monroy Cabra.</w:t>
      </w:r>
    </w:p>
    <w:p w14:paraId="5B363E16" w14:textId="77777777" w:rsidR="00F271A1" w:rsidRPr="0020245A" w:rsidRDefault="00F271A1" w:rsidP="0020245A">
      <w:pPr>
        <w:pStyle w:val="Textonotapie"/>
        <w:ind w:firstLine="709"/>
        <w:contextualSpacing/>
        <w:jc w:val="both"/>
        <w:rPr>
          <w:rFonts w:ascii="Arial" w:hAnsi="Arial" w:cs="Arial"/>
          <w:sz w:val="18"/>
          <w:szCs w:val="18"/>
        </w:rPr>
      </w:pPr>
    </w:p>
  </w:footnote>
  <w:footnote w:id="7">
    <w:p w14:paraId="4AF8BD10"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379FE4E" w14:textId="77777777" w:rsidR="00F271A1" w:rsidRPr="0020245A" w:rsidRDefault="00F271A1" w:rsidP="0020245A">
      <w:pPr>
        <w:pStyle w:val="Textonotapie"/>
        <w:ind w:firstLine="709"/>
        <w:contextualSpacing/>
        <w:jc w:val="both"/>
        <w:rPr>
          <w:rFonts w:ascii="Arial" w:hAnsi="Arial" w:cs="Arial"/>
          <w:sz w:val="18"/>
          <w:szCs w:val="18"/>
        </w:rPr>
      </w:pPr>
    </w:p>
  </w:footnote>
  <w:footnote w:id="8">
    <w:p w14:paraId="3A1DDAF7" w14:textId="77777777" w:rsidR="00F271A1" w:rsidRPr="0020245A" w:rsidRDefault="00F271A1" w:rsidP="0020245A">
      <w:pPr>
        <w:pStyle w:val="Textonotapie"/>
        <w:ind w:firstLine="709"/>
        <w:contextualSpacing/>
        <w:jc w:val="both"/>
        <w:rPr>
          <w:rFonts w:ascii="Arial" w:hAnsi="Arial" w:cs="Arial"/>
          <w:sz w:val="18"/>
          <w:szCs w:val="18"/>
          <w:lang w:val="es-CO"/>
        </w:rPr>
      </w:pPr>
      <w:r w:rsidRPr="0020245A">
        <w:rPr>
          <w:rStyle w:val="Refdenotaalpie"/>
          <w:rFonts w:ascii="Arial" w:hAnsi="Arial" w:cs="Arial"/>
          <w:sz w:val="18"/>
          <w:szCs w:val="18"/>
        </w:rPr>
        <w:footnoteRef/>
      </w:r>
      <w:r w:rsidRPr="0020245A">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26660D66"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Consejo de Estado, Sala de Consulta y Servicio Civil de fecha 24 de julio de 2013, radicado 2166, </w:t>
      </w:r>
      <w:proofErr w:type="gramStart"/>
      <w:r w:rsidRPr="0020245A">
        <w:rPr>
          <w:rFonts w:ascii="Arial" w:hAnsi="Arial" w:cs="Arial"/>
          <w:sz w:val="18"/>
          <w:szCs w:val="18"/>
        </w:rPr>
        <w:t>Consejero</w:t>
      </w:r>
      <w:proofErr w:type="gramEnd"/>
      <w:r w:rsidRPr="0020245A">
        <w:rPr>
          <w:rFonts w:ascii="Arial" w:hAnsi="Arial" w:cs="Arial"/>
          <w:sz w:val="18"/>
          <w:szCs w:val="18"/>
        </w:rPr>
        <w:t xml:space="preserve"> Ponente: Álvaro </w:t>
      </w:r>
      <w:proofErr w:type="spellStart"/>
      <w:r w:rsidRPr="0020245A">
        <w:rPr>
          <w:rFonts w:ascii="Arial" w:hAnsi="Arial" w:cs="Arial"/>
          <w:sz w:val="18"/>
          <w:szCs w:val="18"/>
        </w:rPr>
        <w:t>Namén</w:t>
      </w:r>
      <w:proofErr w:type="spellEnd"/>
      <w:r w:rsidRPr="0020245A">
        <w:rPr>
          <w:rFonts w:ascii="Arial" w:hAnsi="Arial" w:cs="Arial"/>
          <w:sz w:val="18"/>
          <w:szCs w:val="18"/>
        </w:rPr>
        <w:t xml:space="preserve"> Vargas. </w:t>
      </w:r>
    </w:p>
    <w:p w14:paraId="341CC976" w14:textId="77777777" w:rsidR="00F271A1" w:rsidRPr="0020245A" w:rsidRDefault="00F271A1" w:rsidP="0020245A">
      <w:pPr>
        <w:pStyle w:val="Textonotapie"/>
        <w:ind w:firstLine="709"/>
        <w:contextualSpacing/>
        <w:jc w:val="both"/>
        <w:rPr>
          <w:rFonts w:ascii="Arial" w:hAnsi="Arial" w:cs="Arial"/>
          <w:sz w:val="18"/>
          <w:szCs w:val="18"/>
        </w:rPr>
      </w:pPr>
      <w:r w:rsidRPr="0020245A">
        <w:rPr>
          <w:rFonts w:ascii="Arial" w:hAnsi="Arial" w:cs="Arial"/>
          <w:sz w:val="18"/>
          <w:szCs w:val="18"/>
        </w:rPr>
        <w:t xml:space="preserve"> </w:t>
      </w:r>
    </w:p>
  </w:footnote>
  <w:footnote w:id="10">
    <w:p w14:paraId="4F6991AD" w14:textId="77777777" w:rsidR="00F271A1" w:rsidRPr="0020245A" w:rsidRDefault="00F271A1" w:rsidP="0020245A">
      <w:pPr>
        <w:spacing w:line="240" w:lineRule="auto"/>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w:t>
      </w:r>
      <w:bookmarkStart w:id="10" w:name="33"/>
      <w:r w:rsidRPr="0020245A">
        <w:rPr>
          <w:rFonts w:ascii="Arial" w:eastAsia="Calibri" w:hAnsi="Arial" w:cs="Arial"/>
          <w:color w:val="000000"/>
          <w:sz w:val="18"/>
          <w:szCs w:val="18"/>
        </w:rPr>
        <w:t>“</w:t>
      </w:r>
      <w:r w:rsidRPr="0020245A">
        <w:rPr>
          <w:rFonts w:ascii="Arial" w:hAnsi="Arial" w:cs="Arial"/>
          <w:sz w:val="18"/>
          <w:szCs w:val="18"/>
        </w:rPr>
        <w:t>Artículo 33. Restricciones a la contratación pública.</w:t>
      </w:r>
      <w:bookmarkEnd w:id="10"/>
      <w:r w:rsidRPr="0020245A">
        <w:rPr>
          <w:rFonts w:ascii="Arial" w:hAnsi="Arial" w:cs="Arial"/>
          <w:sz w:val="18"/>
          <w:szCs w:val="18"/>
        </w:rPr>
        <w:t> Durante los cuatro (4) meses anteriores a la elección presidencial y hasta la realización de la elección en la segunda vuelta, si fuere el caso, queda prohibida la contratación directa por parte de todos los entes del Estado.</w:t>
      </w:r>
    </w:p>
    <w:p w14:paraId="20068393" w14:textId="77777777" w:rsidR="00F271A1" w:rsidRPr="0020245A" w:rsidRDefault="00F271A1" w:rsidP="0020245A">
      <w:pPr>
        <w:spacing w:line="240" w:lineRule="auto"/>
        <w:ind w:firstLine="709"/>
        <w:contextualSpacing/>
        <w:jc w:val="both"/>
        <w:rPr>
          <w:rFonts w:ascii="Arial" w:hAnsi="Arial" w:cs="Arial"/>
          <w:sz w:val="18"/>
          <w:szCs w:val="18"/>
        </w:rPr>
      </w:pPr>
    </w:p>
    <w:p w14:paraId="34F25D31" w14:textId="77777777" w:rsidR="00F271A1" w:rsidRPr="0020245A" w:rsidRDefault="00F271A1" w:rsidP="0020245A">
      <w:pPr>
        <w:spacing w:after="0" w:line="240" w:lineRule="auto"/>
        <w:ind w:firstLine="709"/>
        <w:contextualSpacing/>
        <w:jc w:val="both"/>
        <w:rPr>
          <w:rFonts w:ascii="Arial" w:hAnsi="Arial" w:cs="Arial"/>
          <w:sz w:val="18"/>
          <w:szCs w:val="18"/>
        </w:rPr>
      </w:pPr>
      <w:r w:rsidRPr="0020245A">
        <w:rPr>
          <w:rFonts w:ascii="Arial" w:hAnsi="Arial" w:cs="Arial"/>
          <w:sz w:val="18"/>
          <w:szCs w:val="18"/>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w:t>
      </w:r>
    </w:p>
  </w:footnote>
  <w:footnote w:id="11">
    <w:p w14:paraId="50EE02E2" w14:textId="77777777" w:rsidR="00F271A1" w:rsidRPr="0020245A" w:rsidRDefault="00F271A1" w:rsidP="0020245A">
      <w:pPr>
        <w:pStyle w:val="NormalWeb"/>
        <w:spacing w:after="0" w:line="240" w:lineRule="auto"/>
        <w:ind w:firstLine="709"/>
        <w:contextualSpacing/>
        <w:jc w:val="both"/>
        <w:rPr>
          <w:rFonts w:ascii="Arial" w:hAnsi="Arial" w:cs="Arial"/>
          <w:sz w:val="18"/>
          <w:szCs w:val="18"/>
        </w:rPr>
      </w:pPr>
    </w:p>
    <w:p w14:paraId="55F16906" w14:textId="77777777" w:rsidR="00F271A1" w:rsidRPr="0020245A" w:rsidRDefault="00F271A1" w:rsidP="0020245A">
      <w:pPr>
        <w:pStyle w:val="NormalWeb"/>
        <w:spacing w:after="0" w:line="240" w:lineRule="auto"/>
        <w:ind w:firstLine="709"/>
        <w:contextualSpacing/>
        <w:jc w:val="both"/>
        <w:rPr>
          <w:rFonts w:ascii="Arial" w:hAnsi="Arial" w:cs="Arial"/>
          <w:sz w:val="18"/>
          <w:szCs w:val="18"/>
          <w:lang w:val="es-MX"/>
        </w:rPr>
      </w:pPr>
      <w:r w:rsidRPr="0020245A">
        <w:rPr>
          <w:rStyle w:val="Refdenotaalpie"/>
          <w:rFonts w:ascii="Arial" w:hAnsi="Arial" w:cs="Arial"/>
          <w:sz w:val="18"/>
          <w:szCs w:val="18"/>
        </w:rPr>
        <w:footnoteRef/>
      </w:r>
      <w:r w:rsidRPr="0020245A">
        <w:rPr>
          <w:rFonts w:ascii="Arial" w:hAnsi="Arial" w:cs="Arial"/>
          <w:sz w:val="18"/>
          <w:szCs w:val="18"/>
        </w:rPr>
        <w:t xml:space="preserve"> </w:t>
      </w:r>
      <w:bookmarkStart w:id="11" w:name="38"/>
      <w:r w:rsidRPr="0020245A">
        <w:rPr>
          <w:rFonts w:ascii="Arial" w:eastAsia="Calibri" w:hAnsi="Arial" w:cs="Arial"/>
          <w:color w:val="000000"/>
          <w:sz w:val="18"/>
          <w:szCs w:val="18"/>
        </w:rPr>
        <w:t>“</w:t>
      </w:r>
      <w:r w:rsidRPr="0020245A">
        <w:rPr>
          <w:rFonts w:ascii="Arial" w:hAnsi="Arial" w:cs="Arial"/>
          <w:sz w:val="18"/>
          <w:szCs w:val="18"/>
          <w:lang w:val="es-MX"/>
        </w:rPr>
        <w:t>Artículo 38. Prohibiciones para los servidores públicos. A los empleados del Estado les está prohibido:</w:t>
      </w:r>
      <w:bookmarkEnd w:id="11"/>
    </w:p>
    <w:p w14:paraId="2956EB9D" w14:textId="77777777" w:rsidR="00F271A1" w:rsidRPr="0020245A" w:rsidRDefault="00F271A1" w:rsidP="0020245A">
      <w:pPr>
        <w:pStyle w:val="NormalWeb"/>
        <w:spacing w:after="0" w:line="240" w:lineRule="auto"/>
        <w:ind w:firstLine="709"/>
        <w:contextualSpacing/>
        <w:jc w:val="both"/>
        <w:rPr>
          <w:rFonts w:ascii="Arial" w:hAnsi="Arial" w:cs="Arial"/>
          <w:sz w:val="18"/>
          <w:szCs w:val="18"/>
          <w:lang w:val="es-MX"/>
        </w:rPr>
      </w:pPr>
      <w:r w:rsidRPr="0020245A">
        <w:rPr>
          <w:rFonts w:ascii="Arial" w:hAnsi="Arial" w:cs="Arial"/>
          <w:sz w:val="18"/>
          <w:szCs w:val="18"/>
          <w:lang w:val="es-MX"/>
        </w:rPr>
        <w:t>[…]</w:t>
      </w:r>
    </w:p>
    <w:p w14:paraId="0699B71D" w14:textId="77777777" w:rsidR="00F271A1" w:rsidRPr="0020245A" w:rsidRDefault="00F271A1" w:rsidP="0020245A">
      <w:pPr>
        <w:pStyle w:val="NormalWeb"/>
        <w:spacing w:after="0" w:line="240" w:lineRule="auto"/>
        <w:ind w:firstLine="709"/>
        <w:contextualSpacing/>
        <w:jc w:val="both"/>
        <w:rPr>
          <w:rFonts w:ascii="Arial" w:eastAsia="Calibri" w:hAnsi="Arial" w:cs="Arial"/>
          <w:color w:val="000000"/>
          <w:sz w:val="18"/>
          <w:szCs w:val="18"/>
        </w:rPr>
      </w:pPr>
      <w:r w:rsidRPr="0020245A">
        <w:rPr>
          <w:rStyle w:val="baj"/>
          <w:rFonts w:ascii="Arial" w:hAnsi="Arial" w:cs="Arial"/>
          <w:sz w:val="18"/>
          <w:szCs w:val="18"/>
          <w:lang w:val="es-MX"/>
        </w:rPr>
        <w:t>Parágrafo.</w:t>
      </w:r>
      <w:r w:rsidRPr="0020245A">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0245A">
        <w:rPr>
          <w:rFonts w:ascii="Arial" w:eastAsia="Calibri" w:hAnsi="Arial" w:cs="Arial"/>
          <w:color w:val="000000"/>
          <w:sz w:val="18"/>
          <w:szCs w:val="18"/>
        </w:rPr>
        <w:t>”.</w:t>
      </w:r>
    </w:p>
    <w:p w14:paraId="5212752D" w14:textId="77777777" w:rsidR="00F271A1" w:rsidRPr="0020245A" w:rsidRDefault="00F271A1" w:rsidP="0020245A">
      <w:pPr>
        <w:pStyle w:val="NormalWeb"/>
        <w:spacing w:after="0" w:line="240" w:lineRule="auto"/>
        <w:ind w:firstLine="709"/>
        <w:contextualSpacing/>
        <w:jc w:val="both"/>
        <w:rPr>
          <w:rFonts w:ascii="Arial" w:hAnsi="Arial" w:cs="Arial"/>
          <w:sz w:val="18"/>
          <w:szCs w:val="18"/>
          <w:lang w:val="es-MX"/>
        </w:rPr>
      </w:pPr>
    </w:p>
  </w:footnote>
  <w:footnote w:id="12">
    <w:p w14:paraId="29262E8B" w14:textId="77777777" w:rsidR="00F271A1" w:rsidRPr="0020245A" w:rsidRDefault="00F271A1" w:rsidP="0020245A">
      <w:pPr>
        <w:spacing w:line="240" w:lineRule="auto"/>
        <w:ind w:left="100" w:right="244" w:firstLine="709"/>
        <w:contextualSpacing/>
        <w:jc w:val="both"/>
        <w:rPr>
          <w:rFonts w:ascii="Arial" w:hAnsi="Arial" w:cs="Arial"/>
          <w:sz w:val="18"/>
          <w:szCs w:val="18"/>
          <w:lang w:val="es-ES"/>
        </w:rPr>
      </w:pPr>
      <w:r w:rsidRPr="0020245A">
        <w:rPr>
          <w:rStyle w:val="Refdenotaalpie"/>
          <w:rFonts w:ascii="Arial" w:hAnsi="Arial" w:cs="Arial"/>
          <w:sz w:val="18"/>
          <w:szCs w:val="18"/>
        </w:rPr>
        <w:footnoteRef/>
      </w:r>
      <w:r w:rsidRPr="0020245A">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3">
    <w:p w14:paraId="579AAE65" w14:textId="77777777" w:rsidR="00F271A1" w:rsidRPr="0020245A" w:rsidRDefault="00F271A1" w:rsidP="0020245A">
      <w:pPr>
        <w:pStyle w:val="Textonotapie"/>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Consejo de Estado. Sala de Consulta y Servicio Civil. Concepto de 20 de febrero de2006. Radicación 11001-03-06-000-2006-00023-00(1724). Consejero Ponente: Flavio Augusto Rodríguez Arce.</w:t>
      </w:r>
    </w:p>
    <w:p w14:paraId="64213620" w14:textId="77777777" w:rsidR="00F271A1" w:rsidRPr="0020245A" w:rsidRDefault="00F271A1" w:rsidP="0020245A">
      <w:pPr>
        <w:pStyle w:val="Textonotapie"/>
        <w:ind w:firstLine="709"/>
        <w:contextualSpacing/>
        <w:jc w:val="both"/>
        <w:rPr>
          <w:rFonts w:ascii="Arial" w:hAnsi="Arial" w:cs="Arial"/>
          <w:sz w:val="18"/>
          <w:szCs w:val="18"/>
        </w:rPr>
      </w:pPr>
    </w:p>
  </w:footnote>
  <w:footnote w:id="14">
    <w:p w14:paraId="692656DE" w14:textId="77777777" w:rsidR="00F271A1" w:rsidRPr="0020245A" w:rsidRDefault="00F271A1" w:rsidP="0020245A">
      <w:pPr>
        <w:spacing w:line="240" w:lineRule="auto"/>
        <w:ind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20245A">
        <w:rPr>
          <w:rFonts w:ascii="Arial" w:hAnsi="Arial" w:cs="Arial"/>
          <w:sz w:val="18"/>
          <w:szCs w:val="18"/>
        </w:rPr>
        <w:t>y</w:t>
      </w:r>
      <w:proofErr w:type="gramEnd"/>
      <w:r w:rsidRPr="0020245A">
        <w:rPr>
          <w:rFonts w:ascii="Arial" w:hAnsi="Arial" w:cs="Arial"/>
          <w:sz w:val="18"/>
          <w:szCs w:val="18"/>
        </w:rPr>
        <w:t xml:space="preserve"> en consecuencia, le es aplicable lo establecido en el artículo 2.2.1.2.1.4.1 del presente decreto.</w:t>
      </w:r>
    </w:p>
    <w:p w14:paraId="7EDF7C67" w14:textId="77777777" w:rsidR="00F271A1" w:rsidRPr="0020245A" w:rsidRDefault="00F271A1" w:rsidP="0020245A">
      <w:pPr>
        <w:spacing w:line="240" w:lineRule="auto"/>
        <w:ind w:firstLine="709"/>
        <w:contextualSpacing/>
        <w:jc w:val="both"/>
        <w:rPr>
          <w:rFonts w:ascii="Arial" w:hAnsi="Arial" w:cs="Arial"/>
          <w:sz w:val="18"/>
          <w:szCs w:val="18"/>
        </w:rPr>
      </w:pPr>
    </w:p>
    <w:p w14:paraId="5EB481FD" w14:textId="77777777" w:rsidR="00F271A1" w:rsidRPr="0020245A" w:rsidRDefault="00F271A1" w:rsidP="0020245A">
      <w:pPr>
        <w:spacing w:line="240" w:lineRule="auto"/>
        <w:ind w:firstLine="709"/>
        <w:contextualSpacing/>
        <w:jc w:val="both"/>
        <w:rPr>
          <w:rFonts w:ascii="Arial" w:hAnsi="Arial" w:cs="Arial"/>
          <w:sz w:val="18"/>
          <w:szCs w:val="18"/>
        </w:rPr>
      </w:pPr>
      <w:r w:rsidRPr="0020245A">
        <w:rPr>
          <w:rFonts w:ascii="Arial" w:hAnsi="Arial" w:cs="Arial"/>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20245A">
        <w:rPr>
          <w:rFonts w:ascii="Arial" w:hAnsi="Arial" w:cs="Arial"/>
          <w:spacing w:val="-1"/>
          <w:sz w:val="18"/>
          <w:szCs w:val="18"/>
        </w:rPr>
        <w:t xml:space="preserve"> </w:t>
      </w:r>
      <w:r w:rsidRPr="0020245A">
        <w:rPr>
          <w:rFonts w:ascii="Arial" w:hAnsi="Arial" w:cs="Arial"/>
          <w:sz w:val="18"/>
          <w:szCs w:val="18"/>
        </w:rPr>
        <w:t>Estatales”.</w:t>
      </w:r>
    </w:p>
    <w:p w14:paraId="4DEBA971" w14:textId="77777777" w:rsidR="00F271A1" w:rsidRPr="0020245A" w:rsidRDefault="00F271A1" w:rsidP="0020245A">
      <w:pPr>
        <w:spacing w:line="240" w:lineRule="auto"/>
        <w:ind w:firstLine="709"/>
        <w:contextualSpacing/>
        <w:jc w:val="both"/>
        <w:rPr>
          <w:rFonts w:ascii="Arial" w:hAnsi="Arial" w:cs="Arial"/>
          <w:sz w:val="18"/>
          <w:szCs w:val="18"/>
        </w:rPr>
      </w:pPr>
    </w:p>
  </w:footnote>
  <w:footnote w:id="15">
    <w:p w14:paraId="7791707E" w14:textId="77777777" w:rsidR="004255CF" w:rsidRPr="00A70BAA" w:rsidRDefault="004255CF" w:rsidP="004255CF">
      <w:pPr>
        <w:spacing w:after="0" w:line="240" w:lineRule="auto"/>
        <w:ind w:firstLine="709"/>
        <w:contextualSpacing/>
        <w:jc w:val="both"/>
        <w:rPr>
          <w:rFonts w:ascii="Arial" w:hAnsi="Arial" w:cs="Arial"/>
          <w:sz w:val="18"/>
          <w:szCs w:val="18"/>
        </w:rPr>
      </w:pPr>
      <w:r w:rsidRPr="00A70BAA">
        <w:rPr>
          <w:rStyle w:val="Refdenotaalpie"/>
          <w:rFonts w:ascii="Arial" w:hAnsi="Arial" w:cs="Arial"/>
          <w:sz w:val="18"/>
          <w:szCs w:val="18"/>
        </w:rPr>
        <w:footnoteRef/>
      </w:r>
      <w:r w:rsidRPr="00A70BAA">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70BAA">
        <w:rPr>
          <w:rFonts w:ascii="Arial" w:hAnsi="Arial" w:cs="Arial"/>
          <w:spacing w:val="-6"/>
          <w:sz w:val="18"/>
          <w:szCs w:val="18"/>
        </w:rPr>
        <w:t xml:space="preserve"> </w:t>
      </w:r>
      <w:r w:rsidRPr="00A70BAA">
        <w:rPr>
          <w:rFonts w:ascii="Arial" w:hAnsi="Arial" w:cs="Arial"/>
          <w:sz w:val="18"/>
          <w:szCs w:val="18"/>
        </w:rPr>
        <w:t>artículo».</w:t>
      </w:r>
    </w:p>
  </w:footnote>
  <w:footnote w:id="16">
    <w:p w14:paraId="64D0286B" w14:textId="77777777" w:rsidR="00F271A1" w:rsidRPr="0020245A" w:rsidRDefault="00F271A1" w:rsidP="0020245A">
      <w:pPr>
        <w:spacing w:line="240" w:lineRule="auto"/>
        <w:ind w:right="454" w:firstLine="709"/>
        <w:contextualSpacing/>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position w:val="7"/>
          <w:sz w:val="18"/>
          <w:szCs w:val="18"/>
        </w:rPr>
        <w:t xml:space="preserve"> </w:t>
      </w:r>
      <w:r w:rsidRPr="0020245A">
        <w:rPr>
          <w:rFonts w:ascii="Arial" w:hAnsi="Arial" w:cs="Arial"/>
          <w:sz w:val="18"/>
          <w:szCs w:val="18"/>
        </w:rPr>
        <w:t>Consejo de Estado. Sección Tercera. Sentencia del 23 de junio de 2010. Radicación No. 66001-23-31-000-1998-00261-01(17.860). Consejero Ponente: Mauricio Fajardo Gómez.</w:t>
      </w:r>
    </w:p>
  </w:footnote>
  <w:footnote w:id="17">
    <w:p w14:paraId="20AB7EF1" w14:textId="77777777" w:rsidR="00F271A1" w:rsidRPr="0020245A" w:rsidRDefault="00F271A1" w:rsidP="0020245A">
      <w:pPr>
        <w:spacing w:after="0" w:line="240" w:lineRule="auto"/>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Consejo de Estado. Sección Tercera. Subsección C. Sentencia del 11 de diciembre de 2019. </w:t>
      </w:r>
      <w:proofErr w:type="spellStart"/>
      <w:r w:rsidRPr="0020245A">
        <w:rPr>
          <w:rFonts w:ascii="Arial" w:hAnsi="Arial" w:cs="Arial"/>
          <w:sz w:val="18"/>
          <w:szCs w:val="18"/>
        </w:rPr>
        <w:t>Exp</w:t>
      </w:r>
      <w:proofErr w:type="spellEnd"/>
      <w:r w:rsidRPr="0020245A">
        <w:rPr>
          <w:rFonts w:ascii="Arial" w:hAnsi="Arial" w:cs="Arial"/>
          <w:sz w:val="18"/>
          <w:szCs w:val="18"/>
        </w:rPr>
        <w:t>. 46.986. C.P. Jaime Enrique Rodríguez Navas.</w:t>
      </w:r>
    </w:p>
    <w:p w14:paraId="6E31B6DE" w14:textId="77777777" w:rsidR="00F271A1" w:rsidRPr="0020245A" w:rsidRDefault="00F271A1" w:rsidP="0020245A">
      <w:pPr>
        <w:spacing w:after="0" w:line="240" w:lineRule="auto"/>
        <w:ind w:firstLine="709"/>
        <w:jc w:val="both"/>
        <w:rPr>
          <w:rFonts w:ascii="Arial" w:hAnsi="Arial" w:cs="Arial"/>
          <w:sz w:val="18"/>
          <w:szCs w:val="18"/>
        </w:rPr>
      </w:pPr>
    </w:p>
  </w:footnote>
  <w:footnote w:id="18">
    <w:p w14:paraId="04416241" w14:textId="77777777" w:rsidR="00F271A1" w:rsidRPr="0020245A" w:rsidRDefault="00F271A1" w:rsidP="0020245A">
      <w:pPr>
        <w:pStyle w:val="Textonotapie"/>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[Referencia propia de la cita] “CE. SCSC. Concepto de 1 de noviembre de 2016 [Rad. 11001-03-06-000-2016-00125-00(2305)]. MP. Germán Alberto Bula Escobar”.</w:t>
      </w:r>
    </w:p>
    <w:p w14:paraId="5B6317FA" w14:textId="77777777" w:rsidR="00F271A1" w:rsidRPr="0020245A" w:rsidRDefault="00F271A1" w:rsidP="0020245A">
      <w:pPr>
        <w:pStyle w:val="Textonotapie"/>
        <w:ind w:firstLine="709"/>
        <w:jc w:val="both"/>
        <w:rPr>
          <w:rFonts w:ascii="Arial" w:hAnsi="Arial" w:cs="Arial"/>
          <w:sz w:val="18"/>
          <w:szCs w:val="18"/>
        </w:rPr>
      </w:pPr>
    </w:p>
  </w:footnote>
  <w:footnote w:id="19">
    <w:p w14:paraId="039BACCA" w14:textId="77777777" w:rsidR="00F271A1" w:rsidRPr="0020245A" w:rsidRDefault="00F271A1" w:rsidP="0020245A">
      <w:pPr>
        <w:pStyle w:val="Textonotapie"/>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20245A">
        <w:rPr>
          <w:rFonts w:ascii="Arial" w:hAnsi="Arial" w:cs="Arial"/>
          <w:i/>
          <w:sz w:val="18"/>
          <w:szCs w:val="18"/>
        </w:rPr>
        <w:t>“obligacional”</w:t>
      </w:r>
      <w:r w:rsidRPr="0020245A">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20">
    <w:p w14:paraId="06406221" w14:textId="77777777" w:rsidR="00F271A1" w:rsidRPr="0020245A" w:rsidRDefault="00F271A1" w:rsidP="0020245A">
      <w:pPr>
        <w:pStyle w:val="Textonotapie"/>
        <w:ind w:firstLine="709"/>
        <w:jc w:val="both"/>
        <w:rPr>
          <w:rFonts w:ascii="Arial" w:hAnsi="Arial" w:cs="Arial"/>
          <w:sz w:val="18"/>
          <w:szCs w:val="18"/>
        </w:rPr>
      </w:pPr>
    </w:p>
    <w:p w14:paraId="6F014DEC" w14:textId="77777777" w:rsidR="00F271A1" w:rsidRPr="0020245A" w:rsidRDefault="00F271A1" w:rsidP="0020245A">
      <w:pPr>
        <w:pStyle w:val="Textonotapie"/>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[Referencia propia de la cita] “La normativa vigente del EGCAP </w:t>
      </w:r>
      <w:r w:rsidRPr="0020245A">
        <w:rPr>
          <w:rFonts w:ascii="Arial" w:hAnsi="Arial" w:cs="Arial"/>
          <w:i/>
          <w:sz w:val="18"/>
          <w:szCs w:val="18"/>
        </w:rPr>
        <w:t>[literal c) del numeral 4. del artículo 2 de la Ley 1150/07]</w:t>
      </w:r>
      <w:r w:rsidRPr="0020245A">
        <w:rPr>
          <w:rFonts w:ascii="Arial" w:hAnsi="Arial" w:cs="Arial"/>
          <w:sz w:val="18"/>
          <w:szCs w:val="18"/>
        </w:rPr>
        <w:t xml:space="preserve"> se refiere a </w:t>
      </w:r>
      <w:r w:rsidRPr="0020245A">
        <w:rPr>
          <w:rFonts w:ascii="Arial" w:hAnsi="Arial" w:cs="Arial"/>
          <w:i/>
          <w:sz w:val="18"/>
          <w:szCs w:val="18"/>
        </w:rPr>
        <w:t>“contratos interadministrativos”</w:t>
      </w:r>
      <w:r w:rsidRPr="0020245A">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201750F2" w14:textId="77777777" w:rsidR="00F271A1" w:rsidRPr="0020245A" w:rsidRDefault="00F271A1" w:rsidP="0020245A">
      <w:pPr>
        <w:pStyle w:val="Textonotapie"/>
        <w:ind w:firstLine="709"/>
        <w:jc w:val="both"/>
        <w:rPr>
          <w:rFonts w:ascii="Arial" w:hAnsi="Arial" w:cs="Arial"/>
          <w:sz w:val="18"/>
          <w:szCs w:val="18"/>
        </w:rPr>
      </w:pPr>
    </w:p>
  </w:footnote>
  <w:footnote w:id="21">
    <w:p w14:paraId="39891148" w14:textId="77777777" w:rsidR="00F271A1" w:rsidRPr="0020245A" w:rsidRDefault="00F271A1" w:rsidP="0020245A">
      <w:pPr>
        <w:pStyle w:val="Textonotapie"/>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20245A">
        <w:rPr>
          <w:rFonts w:ascii="Arial" w:hAnsi="Arial" w:cs="Arial"/>
          <w:sz w:val="18"/>
          <w:szCs w:val="18"/>
        </w:rPr>
        <w:t>Exp</w:t>
      </w:r>
      <w:proofErr w:type="spellEnd"/>
      <w:r w:rsidRPr="0020245A">
        <w:rPr>
          <w:rFonts w:ascii="Arial" w:hAnsi="Arial" w:cs="Arial"/>
          <w:sz w:val="18"/>
          <w:szCs w:val="18"/>
        </w:rPr>
        <w:t xml:space="preserve">. 2.257. M.P. Álvaro </w:t>
      </w:r>
      <w:proofErr w:type="spellStart"/>
      <w:r w:rsidRPr="0020245A">
        <w:rPr>
          <w:rFonts w:ascii="Arial" w:hAnsi="Arial" w:cs="Arial"/>
          <w:sz w:val="18"/>
          <w:szCs w:val="18"/>
        </w:rPr>
        <w:t>Namén</w:t>
      </w:r>
      <w:proofErr w:type="spellEnd"/>
      <w:r w:rsidRPr="0020245A">
        <w:rPr>
          <w:rFonts w:ascii="Arial" w:hAnsi="Arial" w:cs="Arial"/>
          <w:sz w:val="18"/>
          <w:szCs w:val="18"/>
        </w:rPr>
        <w:t xml:space="preserve"> Vargas).</w:t>
      </w:r>
    </w:p>
    <w:p w14:paraId="5A68C7ED" w14:textId="77777777" w:rsidR="00F271A1" w:rsidRPr="0020245A" w:rsidRDefault="00F271A1" w:rsidP="0020245A">
      <w:pPr>
        <w:pStyle w:val="Textonotapie"/>
        <w:ind w:firstLine="709"/>
        <w:jc w:val="both"/>
        <w:rPr>
          <w:rFonts w:ascii="Arial" w:hAnsi="Arial" w:cs="Arial"/>
          <w:sz w:val="18"/>
          <w:szCs w:val="18"/>
        </w:rPr>
      </w:pPr>
    </w:p>
  </w:footnote>
  <w:footnote w:id="22">
    <w:p w14:paraId="00CAC7F6" w14:textId="77777777" w:rsidR="00F271A1" w:rsidRPr="0020245A" w:rsidRDefault="00F271A1" w:rsidP="0020245A">
      <w:pPr>
        <w:pStyle w:val="Textonotapie"/>
        <w:ind w:firstLine="709"/>
        <w:jc w:val="both"/>
        <w:rPr>
          <w:rFonts w:ascii="Arial" w:hAnsi="Arial" w:cs="Arial"/>
          <w:sz w:val="18"/>
          <w:szCs w:val="18"/>
        </w:rPr>
      </w:pPr>
      <w:r w:rsidRPr="0020245A">
        <w:rPr>
          <w:rStyle w:val="Refdenotaalpie"/>
          <w:rFonts w:ascii="Arial" w:hAnsi="Arial" w:cs="Arial"/>
          <w:sz w:val="18"/>
          <w:szCs w:val="18"/>
        </w:rPr>
        <w:footnoteRef/>
      </w:r>
      <w:r w:rsidRPr="0020245A">
        <w:rPr>
          <w:rFonts w:ascii="Arial" w:hAnsi="Arial" w:cs="Arial"/>
          <w:sz w:val="18"/>
          <w:szCs w:val="18"/>
        </w:rPr>
        <w:t xml:space="preserve"> Es lo que sucede, por ejemplo, con el Decreto 092 de 2017, que en su desarrollo hace referencia tanto a los “contratos” como a los “convenios”. </w:t>
      </w:r>
    </w:p>
    <w:p w14:paraId="7E65DB51" w14:textId="77777777" w:rsidR="00F271A1" w:rsidRPr="0020245A" w:rsidRDefault="00F271A1" w:rsidP="0020245A">
      <w:pPr>
        <w:pStyle w:val="Textonotapie"/>
        <w:ind w:firstLine="709"/>
        <w:jc w:val="both"/>
        <w:rPr>
          <w:rFonts w:ascii="Arial" w:hAnsi="Arial" w:cs="Arial"/>
          <w:sz w:val="18"/>
          <w:szCs w:val="18"/>
          <w:lang w:val="es-CO"/>
        </w:rPr>
      </w:pPr>
    </w:p>
  </w:footnote>
  <w:footnote w:id="23">
    <w:p w14:paraId="249BA00D" w14:textId="77777777" w:rsidR="00F271A1" w:rsidRPr="0020245A" w:rsidRDefault="00F271A1" w:rsidP="0020245A">
      <w:pPr>
        <w:pStyle w:val="Textonotapie"/>
        <w:ind w:firstLine="709"/>
        <w:jc w:val="both"/>
        <w:rPr>
          <w:rFonts w:ascii="Arial" w:hAnsi="Arial" w:cs="Arial"/>
          <w:sz w:val="18"/>
          <w:szCs w:val="18"/>
          <w:lang w:val="es-CO"/>
        </w:rPr>
      </w:pPr>
      <w:r w:rsidRPr="0020245A">
        <w:rPr>
          <w:rStyle w:val="Refdenotaalpie"/>
          <w:rFonts w:ascii="Arial" w:hAnsi="Arial" w:cs="Arial"/>
          <w:sz w:val="18"/>
          <w:szCs w:val="18"/>
        </w:rPr>
        <w:footnoteRef/>
      </w:r>
      <w:r w:rsidRPr="0020245A">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yA0gLens" int2:invalidationBookmarkName="" int2:hashCode="ny7RoT2mw/7cwt" int2:id="hJVfIz5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2"/>
  </w:num>
  <w:num w:numId="2" w16cid:durableId="1408454564">
    <w:abstractNumId w:val="0"/>
  </w:num>
  <w:num w:numId="3" w16cid:durableId="189762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06CC"/>
    <w:rsid w:val="00075F3E"/>
    <w:rsid w:val="00083334"/>
    <w:rsid w:val="000956CF"/>
    <w:rsid w:val="000A4A3C"/>
    <w:rsid w:val="000A683E"/>
    <w:rsid w:val="000C63F2"/>
    <w:rsid w:val="0011595A"/>
    <w:rsid w:val="001220C5"/>
    <w:rsid w:val="001267F7"/>
    <w:rsid w:val="00127233"/>
    <w:rsid w:val="00130999"/>
    <w:rsid w:val="00147219"/>
    <w:rsid w:val="00164740"/>
    <w:rsid w:val="00164D81"/>
    <w:rsid w:val="00167A3B"/>
    <w:rsid w:val="0017381E"/>
    <w:rsid w:val="001806EE"/>
    <w:rsid w:val="00195809"/>
    <w:rsid w:val="00195EC8"/>
    <w:rsid w:val="001A1011"/>
    <w:rsid w:val="001A1C1C"/>
    <w:rsid w:val="001A22C7"/>
    <w:rsid w:val="001A48D0"/>
    <w:rsid w:val="001C5CB6"/>
    <w:rsid w:val="0020245A"/>
    <w:rsid w:val="00222B71"/>
    <w:rsid w:val="00233768"/>
    <w:rsid w:val="002515B1"/>
    <w:rsid w:val="002653C1"/>
    <w:rsid w:val="0026611D"/>
    <w:rsid w:val="00275396"/>
    <w:rsid w:val="00285DE7"/>
    <w:rsid w:val="002951A0"/>
    <w:rsid w:val="002A64FD"/>
    <w:rsid w:val="002F035F"/>
    <w:rsid w:val="002F0839"/>
    <w:rsid w:val="00301469"/>
    <w:rsid w:val="00306EE0"/>
    <w:rsid w:val="00306EE1"/>
    <w:rsid w:val="00310B9B"/>
    <w:rsid w:val="0032386A"/>
    <w:rsid w:val="0033170C"/>
    <w:rsid w:val="00345930"/>
    <w:rsid w:val="003464AC"/>
    <w:rsid w:val="0036461C"/>
    <w:rsid w:val="00367884"/>
    <w:rsid w:val="0037004A"/>
    <w:rsid w:val="0037509D"/>
    <w:rsid w:val="003758BB"/>
    <w:rsid w:val="00386B5C"/>
    <w:rsid w:val="0039439C"/>
    <w:rsid w:val="003A0755"/>
    <w:rsid w:val="003A361D"/>
    <w:rsid w:val="003B69E7"/>
    <w:rsid w:val="003C013B"/>
    <w:rsid w:val="003D0F4D"/>
    <w:rsid w:val="003D4586"/>
    <w:rsid w:val="003F58A1"/>
    <w:rsid w:val="003F795C"/>
    <w:rsid w:val="0040031B"/>
    <w:rsid w:val="004037A9"/>
    <w:rsid w:val="00410DD6"/>
    <w:rsid w:val="004134C9"/>
    <w:rsid w:val="00423A5F"/>
    <w:rsid w:val="004255CF"/>
    <w:rsid w:val="00426514"/>
    <w:rsid w:val="0043138C"/>
    <w:rsid w:val="004362E2"/>
    <w:rsid w:val="00436372"/>
    <w:rsid w:val="0043696C"/>
    <w:rsid w:val="00462A59"/>
    <w:rsid w:val="00477758"/>
    <w:rsid w:val="00485F38"/>
    <w:rsid w:val="00490065"/>
    <w:rsid w:val="00492189"/>
    <w:rsid w:val="004A1847"/>
    <w:rsid w:val="004A6913"/>
    <w:rsid w:val="004B6B0E"/>
    <w:rsid w:val="004D25B3"/>
    <w:rsid w:val="004D2DD4"/>
    <w:rsid w:val="00511405"/>
    <w:rsid w:val="00526E9D"/>
    <w:rsid w:val="00546D73"/>
    <w:rsid w:val="00547856"/>
    <w:rsid w:val="00547A74"/>
    <w:rsid w:val="005566E8"/>
    <w:rsid w:val="0055715F"/>
    <w:rsid w:val="00566780"/>
    <w:rsid w:val="005746AB"/>
    <w:rsid w:val="00576614"/>
    <w:rsid w:val="005774BC"/>
    <w:rsid w:val="0058120C"/>
    <w:rsid w:val="0059357F"/>
    <w:rsid w:val="005A1130"/>
    <w:rsid w:val="005B248B"/>
    <w:rsid w:val="005B3F41"/>
    <w:rsid w:val="005C120F"/>
    <w:rsid w:val="005C473D"/>
    <w:rsid w:val="005D65C8"/>
    <w:rsid w:val="005F008F"/>
    <w:rsid w:val="005F6D71"/>
    <w:rsid w:val="006219F8"/>
    <w:rsid w:val="0064556C"/>
    <w:rsid w:val="006546B2"/>
    <w:rsid w:val="006726F0"/>
    <w:rsid w:val="0067291D"/>
    <w:rsid w:val="0067740E"/>
    <w:rsid w:val="00681FDB"/>
    <w:rsid w:val="006843C3"/>
    <w:rsid w:val="00692815"/>
    <w:rsid w:val="006A1FD9"/>
    <w:rsid w:val="006A7DAD"/>
    <w:rsid w:val="006D5611"/>
    <w:rsid w:val="006D70BA"/>
    <w:rsid w:val="006E14CF"/>
    <w:rsid w:val="007268DF"/>
    <w:rsid w:val="007537BB"/>
    <w:rsid w:val="007566FE"/>
    <w:rsid w:val="0076327B"/>
    <w:rsid w:val="00764F6B"/>
    <w:rsid w:val="0076726F"/>
    <w:rsid w:val="0077144B"/>
    <w:rsid w:val="007834B2"/>
    <w:rsid w:val="00783C89"/>
    <w:rsid w:val="007924A6"/>
    <w:rsid w:val="007925AD"/>
    <w:rsid w:val="00793403"/>
    <w:rsid w:val="007B025D"/>
    <w:rsid w:val="007B3922"/>
    <w:rsid w:val="007C0CDF"/>
    <w:rsid w:val="007C4BFD"/>
    <w:rsid w:val="007E2A2F"/>
    <w:rsid w:val="007E3DE6"/>
    <w:rsid w:val="007F2B7C"/>
    <w:rsid w:val="00810923"/>
    <w:rsid w:val="00811651"/>
    <w:rsid w:val="00811ABD"/>
    <w:rsid w:val="00820F5B"/>
    <w:rsid w:val="00832B7C"/>
    <w:rsid w:val="00833452"/>
    <w:rsid w:val="00837226"/>
    <w:rsid w:val="008449EB"/>
    <w:rsid w:val="008614E5"/>
    <w:rsid w:val="008678EB"/>
    <w:rsid w:val="00874D12"/>
    <w:rsid w:val="00875894"/>
    <w:rsid w:val="00881874"/>
    <w:rsid w:val="00881C10"/>
    <w:rsid w:val="00890411"/>
    <w:rsid w:val="008B0C76"/>
    <w:rsid w:val="008B2725"/>
    <w:rsid w:val="008B38CD"/>
    <w:rsid w:val="008C03CA"/>
    <w:rsid w:val="008C43CA"/>
    <w:rsid w:val="008C63D1"/>
    <w:rsid w:val="008D1F6D"/>
    <w:rsid w:val="008D5C70"/>
    <w:rsid w:val="008D7AFC"/>
    <w:rsid w:val="008F0113"/>
    <w:rsid w:val="008F019F"/>
    <w:rsid w:val="009025AF"/>
    <w:rsid w:val="00904F23"/>
    <w:rsid w:val="00906B3C"/>
    <w:rsid w:val="00946612"/>
    <w:rsid w:val="009529F1"/>
    <w:rsid w:val="0095342C"/>
    <w:rsid w:val="00955EC4"/>
    <w:rsid w:val="009623F0"/>
    <w:rsid w:val="00962BB1"/>
    <w:rsid w:val="009732C7"/>
    <w:rsid w:val="00973B63"/>
    <w:rsid w:val="00974721"/>
    <w:rsid w:val="0098431C"/>
    <w:rsid w:val="0099176C"/>
    <w:rsid w:val="009C02C4"/>
    <w:rsid w:val="009C50B0"/>
    <w:rsid w:val="009D118E"/>
    <w:rsid w:val="009F1F64"/>
    <w:rsid w:val="009F33F2"/>
    <w:rsid w:val="009F6C77"/>
    <w:rsid w:val="00A06517"/>
    <w:rsid w:val="00A07532"/>
    <w:rsid w:val="00A1085C"/>
    <w:rsid w:val="00A20B90"/>
    <w:rsid w:val="00A24E5A"/>
    <w:rsid w:val="00A2713A"/>
    <w:rsid w:val="00A309E2"/>
    <w:rsid w:val="00A60317"/>
    <w:rsid w:val="00A6649E"/>
    <w:rsid w:val="00A8066E"/>
    <w:rsid w:val="00A81B86"/>
    <w:rsid w:val="00A94C34"/>
    <w:rsid w:val="00AA4B8A"/>
    <w:rsid w:val="00AA6BF7"/>
    <w:rsid w:val="00AA784C"/>
    <w:rsid w:val="00AD2A82"/>
    <w:rsid w:val="00AD75F8"/>
    <w:rsid w:val="00B01ED6"/>
    <w:rsid w:val="00B06D09"/>
    <w:rsid w:val="00B142A1"/>
    <w:rsid w:val="00B23E3A"/>
    <w:rsid w:val="00B4621F"/>
    <w:rsid w:val="00B771A9"/>
    <w:rsid w:val="00B809BB"/>
    <w:rsid w:val="00B8248A"/>
    <w:rsid w:val="00B86930"/>
    <w:rsid w:val="00BB7726"/>
    <w:rsid w:val="00BC1B62"/>
    <w:rsid w:val="00BD10ED"/>
    <w:rsid w:val="00BE260E"/>
    <w:rsid w:val="00BE3817"/>
    <w:rsid w:val="00BF220F"/>
    <w:rsid w:val="00BF4624"/>
    <w:rsid w:val="00C2329E"/>
    <w:rsid w:val="00C30461"/>
    <w:rsid w:val="00C57651"/>
    <w:rsid w:val="00C62925"/>
    <w:rsid w:val="00C754BE"/>
    <w:rsid w:val="00C85A9D"/>
    <w:rsid w:val="00C87572"/>
    <w:rsid w:val="00C9405D"/>
    <w:rsid w:val="00C97350"/>
    <w:rsid w:val="00CA5599"/>
    <w:rsid w:val="00CC1B26"/>
    <w:rsid w:val="00CC398D"/>
    <w:rsid w:val="00CD284F"/>
    <w:rsid w:val="00CD758D"/>
    <w:rsid w:val="00CE4A74"/>
    <w:rsid w:val="00CF23AA"/>
    <w:rsid w:val="00D0074D"/>
    <w:rsid w:val="00D01921"/>
    <w:rsid w:val="00D16194"/>
    <w:rsid w:val="00D460D9"/>
    <w:rsid w:val="00D5245B"/>
    <w:rsid w:val="00D66073"/>
    <w:rsid w:val="00D752B7"/>
    <w:rsid w:val="00DA1854"/>
    <w:rsid w:val="00DA20D4"/>
    <w:rsid w:val="00DA455A"/>
    <w:rsid w:val="00DB0887"/>
    <w:rsid w:val="00DF1E43"/>
    <w:rsid w:val="00E10E69"/>
    <w:rsid w:val="00E1346C"/>
    <w:rsid w:val="00E15F41"/>
    <w:rsid w:val="00E20894"/>
    <w:rsid w:val="00E26B7C"/>
    <w:rsid w:val="00E51D51"/>
    <w:rsid w:val="00E84A45"/>
    <w:rsid w:val="00E85FE7"/>
    <w:rsid w:val="00EA3003"/>
    <w:rsid w:val="00EB3C91"/>
    <w:rsid w:val="00EB66DA"/>
    <w:rsid w:val="00EB6E39"/>
    <w:rsid w:val="00EE234E"/>
    <w:rsid w:val="00F16D72"/>
    <w:rsid w:val="00F271A1"/>
    <w:rsid w:val="00F51BB9"/>
    <w:rsid w:val="00F605F2"/>
    <w:rsid w:val="00F71C67"/>
    <w:rsid w:val="00F76AFC"/>
    <w:rsid w:val="00F81B49"/>
    <w:rsid w:val="00F8319B"/>
    <w:rsid w:val="00F96C63"/>
    <w:rsid w:val="00FA5516"/>
    <w:rsid w:val="00FC18E0"/>
    <w:rsid w:val="00FD4A2F"/>
    <w:rsid w:val="00FD6F73"/>
    <w:rsid w:val="00FF19FC"/>
    <w:rsid w:val="1CC63BF5"/>
    <w:rsid w:val="2F9951DC"/>
    <w:rsid w:val="3EA2D60F"/>
    <w:rsid w:val="49E9F335"/>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styleId="NormalWeb">
    <w:name w:val="Normal (Web)"/>
    <w:basedOn w:val="Normal"/>
    <w:uiPriority w:val="99"/>
    <w:semiHidden/>
    <w:unhideWhenUsed/>
    <w:rsid w:val="00F271A1"/>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F271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271A1"/>
    <w:pPr>
      <w:spacing w:line="240" w:lineRule="exact"/>
      <w:jc w:val="both"/>
    </w:pPr>
    <w:rPr>
      <w:vertAlign w:val="superscript"/>
    </w:rPr>
  </w:style>
  <w:style w:type="table" w:customStyle="1" w:styleId="Tablaconcuadrcula11">
    <w:name w:val="Tabla con cuadrícula11"/>
    <w:basedOn w:val="Tablanormal"/>
    <w:next w:val="Tablaconcuadrcula"/>
    <w:uiPriority w:val="39"/>
    <w:rsid w:val="00F2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271A1"/>
  </w:style>
  <w:style w:type="paragraph" w:customStyle="1" w:styleId="paragraph">
    <w:name w:val="paragraph"/>
    <w:basedOn w:val="Normal"/>
    <w:rsid w:val="00F271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F271A1"/>
  </w:style>
  <w:style w:type="character" w:styleId="Hipervnculo">
    <w:name w:val="Hyperlink"/>
    <w:basedOn w:val="Fuentedeprrafopredeter"/>
    <w:uiPriority w:val="99"/>
    <w:unhideWhenUsed/>
    <w:rsid w:val="00CC3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31687">
      <w:bodyDiv w:val="1"/>
      <w:marLeft w:val="0"/>
      <w:marRight w:val="0"/>
      <w:marTop w:val="0"/>
      <w:marBottom w:val="0"/>
      <w:divBdr>
        <w:top w:val="none" w:sz="0" w:space="0" w:color="auto"/>
        <w:left w:val="none" w:sz="0" w:space="0" w:color="auto"/>
        <w:bottom w:val="none" w:sz="0" w:space="0" w:color="auto"/>
        <w:right w:val="none" w:sz="0" w:space="0" w:color="auto"/>
      </w:divBdr>
      <w:divsChild>
        <w:div w:id="139519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3EAFD-C9A0-402A-B013-DBDA4CF79699}"/>
</file>

<file path=customXml/itemProps2.xml><?xml version="1.0" encoding="utf-8"?>
<ds:datastoreItem xmlns:ds="http://schemas.openxmlformats.org/officeDocument/2006/customXml" ds:itemID="{163618BE-28CB-4D69-955E-CDA788483BED}">
  <ds:schemaRefs>
    <ds:schemaRef ds:uri="http://schemas.microsoft.com/office/2006/documentManagement/types"/>
    <ds:schemaRef ds:uri="http://purl.org/dc/terms/"/>
    <ds:schemaRef ds:uri="http://schemas.openxmlformats.org/package/2006/metadata/core-properties"/>
    <ds:schemaRef ds:uri="8ae15d26-076e-464e-81a7-6f76a0fb3917"/>
    <ds:schemaRef ds:uri="http://www.w3.org/XML/1998/namespace"/>
    <ds:schemaRef ds:uri="cabc2350-70b2-4dba-bb42-96a3175f4d5a"/>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5865</Words>
  <Characters>32262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Any Alejandra Tovar Castillo</cp:lastModifiedBy>
  <cp:revision>2</cp:revision>
  <dcterms:created xsi:type="dcterms:W3CDTF">2023-07-28T21:37:00Z</dcterms:created>
  <dcterms:modified xsi:type="dcterms:W3CDTF">2023-07-28T21:37:00Z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