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9831" w14:textId="77777777" w:rsidR="00795F6F" w:rsidRPr="00D3097B" w:rsidRDefault="00795F6F" w:rsidP="00795F6F">
      <w:pPr>
        <w:spacing w:after="0" w:line="240" w:lineRule="auto"/>
        <w:rPr>
          <w:rFonts w:ascii="Arial" w:eastAsia="Calibri" w:hAnsi="Arial" w:cs="Arial"/>
          <w:b/>
          <w:sz w:val="24"/>
          <w:lang w:val="es-ES"/>
        </w:rPr>
      </w:pPr>
      <w:bookmarkStart w:id="0" w:name="_Hlk28946138"/>
      <w:bookmarkStart w:id="1" w:name="_Hlk29548183"/>
      <w:bookmarkStart w:id="2" w:name="_Hlk66111612"/>
      <w:bookmarkStart w:id="3" w:name="_Hlk100041022"/>
      <w:r w:rsidRPr="00D3097B">
        <w:rPr>
          <w:rFonts w:ascii="Arial" w:eastAsia="Calibri" w:hAnsi="Arial" w:cs="Arial"/>
          <w:b/>
          <w:sz w:val="24"/>
          <w:lang w:val="es-ES"/>
        </w:rPr>
        <w:t xml:space="preserve">SUBSANABILIDAD – Concepto – Límites </w:t>
      </w:r>
    </w:p>
    <w:p w14:paraId="558E5748" w14:textId="77777777" w:rsidR="00795F6F" w:rsidRPr="00D3097B" w:rsidRDefault="00795F6F" w:rsidP="00795F6F">
      <w:pPr>
        <w:spacing w:after="0" w:line="240" w:lineRule="auto"/>
        <w:rPr>
          <w:rFonts w:ascii="Arial" w:eastAsia="Calibri" w:hAnsi="Arial" w:cs="Arial"/>
          <w:bCs/>
          <w:sz w:val="20"/>
          <w:szCs w:val="20"/>
          <w:lang w:val="es-ES"/>
        </w:rPr>
      </w:pPr>
    </w:p>
    <w:p w14:paraId="50B749EF" w14:textId="77777777" w:rsidR="00795F6F" w:rsidRPr="00D3097B" w:rsidRDefault="00795F6F" w:rsidP="00795F6F">
      <w:pPr>
        <w:spacing w:after="120" w:line="240" w:lineRule="auto"/>
        <w:jc w:val="both"/>
        <w:rPr>
          <w:rFonts w:ascii="Arial" w:eastAsia="Calibri" w:hAnsi="Arial" w:cs="Arial"/>
          <w:bCs/>
          <w:sz w:val="20"/>
          <w:szCs w:val="20"/>
          <w:lang w:val="es-ES"/>
        </w:rPr>
      </w:pPr>
      <w:r w:rsidRPr="00D3097B">
        <w:rPr>
          <w:rFonts w:ascii="Arial" w:eastAsia="Calibri" w:hAnsi="Arial" w:cs="Arial"/>
          <w:bCs/>
          <w:sz w:val="20"/>
          <w:szCs w:val="20"/>
          <w:lang w:val="es-ES"/>
        </w:rPr>
        <w:t xml:space="preserve">La </w:t>
      </w:r>
      <w:proofErr w:type="spellStart"/>
      <w:r w:rsidRPr="00D3097B">
        <w:rPr>
          <w:rFonts w:ascii="Arial" w:eastAsia="Calibri" w:hAnsi="Arial" w:cs="Arial"/>
          <w:bCs/>
          <w:sz w:val="20"/>
          <w:szCs w:val="20"/>
          <w:lang w:val="es-ES"/>
        </w:rPr>
        <w:t>subsanabilidad</w:t>
      </w:r>
      <w:proofErr w:type="spellEnd"/>
      <w:r w:rsidRPr="00D3097B">
        <w:rPr>
          <w:rFonts w:ascii="Arial" w:eastAsia="Calibri" w:hAnsi="Arial" w:cs="Arial"/>
          <w:bCs/>
          <w:sz w:val="20"/>
          <w:szCs w:val="20"/>
          <w:lang w:val="es-ES"/>
        </w:rPr>
        <w:t xml:space="preserve">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w:t>
      </w:r>
    </w:p>
    <w:p w14:paraId="229C3B6E" w14:textId="77777777" w:rsidR="00795F6F" w:rsidRPr="00D3097B" w:rsidRDefault="00795F6F" w:rsidP="00795F6F">
      <w:pPr>
        <w:spacing w:after="120" w:line="240" w:lineRule="auto"/>
        <w:jc w:val="both"/>
        <w:rPr>
          <w:rFonts w:ascii="Arial" w:eastAsia="Calibri" w:hAnsi="Arial" w:cs="Arial"/>
          <w:bCs/>
          <w:sz w:val="20"/>
          <w:szCs w:val="20"/>
          <w:lang w:val="es-ES"/>
        </w:rPr>
      </w:pPr>
      <w:r w:rsidRPr="00D3097B">
        <w:rPr>
          <w:rFonts w:ascii="Arial" w:eastAsia="Calibri" w:hAnsi="Arial" w:cs="Arial"/>
          <w:bCs/>
          <w:sz w:val="20"/>
          <w:szCs w:val="20"/>
          <w:lang w:val="es-ES"/>
        </w:rPr>
        <w:t xml:space="preserve">[…] Esta norma [Ley 1882 de 2018]: i) mantiene el criterio de la Ley 80 de 1993, relativo a que todo lo que no sea necesario para la comparación de propuestas no es título suficiente para su rechazo; </w:t>
      </w:r>
      <w:proofErr w:type="spellStart"/>
      <w:r w:rsidRPr="00D3097B">
        <w:rPr>
          <w:rFonts w:ascii="Arial" w:eastAsia="Calibri" w:hAnsi="Arial" w:cs="Arial"/>
          <w:bCs/>
          <w:sz w:val="20"/>
          <w:szCs w:val="20"/>
          <w:lang w:val="es-ES"/>
        </w:rPr>
        <w:t>ii</w:t>
      </w:r>
      <w:proofErr w:type="spellEnd"/>
      <w:r w:rsidRPr="00D3097B">
        <w:rPr>
          <w:rFonts w:ascii="Arial" w:eastAsia="Calibri" w:hAnsi="Arial" w:cs="Arial"/>
          <w:bCs/>
          <w:sz w:val="20"/>
          <w:szCs w:val="20"/>
          <w:lang w:val="es-ES"/>
        </w:rPr>
        <w:t xml:space="preserve">) mantiene el criterio aclaratorio de la Ley 1150 de 2007, según el cual todo lo que no afecte la asignación de puntaje puede subsanarse y, </w:t>
      </w:r>
      <w:proofErr w:type="spellStart"/>
      <w:r w:rsidRPr="00D3097B">
        <w:rPr>
          <w:rFonts w:ascii="Arial" w:eastAsia="Calibri" w:hAnsi="Arial" w:cs="Arial"/>
          <w:bCs/>
          <w:sz w:val="20"/>
          <w:szCs w:val="20"/>
          <w:lang w:val="es-ES"/>
        </w:rPr>
        <w:t>iii</w:t>
      </w:r>
      <w:proofErr w:type="spellEnd"/>
      <w:r w:rsidRPr="00D3097B">
        <w:rPr>
          <w:rFonts w:ascii="Arial" w:eastAsia="Calibri" w:hAnsi="Arial" w:cs="Arial"/>
          <w:bCs/>
          <w:sz w:val="20"/>
          <w:szCs w:val="20"/>
          <w:lang w:val="es-ES"/>
        </w:rPr>
        <w:t>) introduce modificaciones en relación con tres (3) aspectos que se analizarán a continuación:</w:t>
      </w:r>
    </w:p>
    <w:p w14:paraId="5EA0AA20" w14:textId="77777777" w:rsidR="00795F6F" w:rsidRPr="00D3097B" w:rsidRDefault="00795F6F" w:rsidP="00795F6F">
      <w:pPr>
        <w:spacing w:after="120" w:line="240" w:lineRule="auto"/>
        <w:jc w:val="both"/>
        <w:rPr>
          <w:rFonts w:ascii="Arial" w:eastAsia="Calibri" w:hAnsi="Arial" w:cs="Arial"/>
          <w:bCs/>
          <w:sz w:val="20"/>
          <w:szCs w:val="20"/>
          <w:lang w:val="es-ES"/>
        </w:rPr>
      </w:pPr>
      <w:r w:rsidRPr="00D3097B">
        <w:rPr>
          <w:rFonts w:ascii="Arial" w:eastAsia="Calibri" w:hAnsi="Arial" w:cs="Arial"/>
          <w:bCs/>
          <w:sz w:val="20"/>
          <w:szCs w:val="20"/>
          <w:lang w:val="es-ES"/>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p>
    <w:p w14:paraId="54AB6C2F" w14:textId="77777777" w:rsidR="00795F6F" w:rsidRPr="00D3097B" w:rsidRDefault="00795F6F" w:rsidP="00795F6F">
      <w:pPr>
        <w:spacing w:after="120" w:line="240" w:lineRule="auto"/>
        <w:jc w:val="both"/>
        <w:rPr>
          <w:rFonts w:ascii="Arial" w:eastAsia="Calibri" w:hAnsi="Arial" w:cs="Arial"/>
          <w:bCs/>
          <w:i/>
          <w:iCs/>
          <w:sz w:val="20"/>
          <w:szCs w:val="20"/>
          <w:lang w:val="es-ES"/>
        </w:rPr>
      </w:pPr>
      <w:r w:rsidRPr="00D3097B">
        <w:rPr>
          <w:rFonts w:ascii="Arial" w:eastAsia="Calibri" w:hAnsi="Arial" w:cs="Arial"/>
          <w:bCs/>
          <w:sz w:val="20"/>
          <w:szCs w:val="20"/>
          <w:lang w:val="es-ES"/>
        </w:rPr>
        <w:t xml:space="preserve">De otro lado, el segundo cambio importante de la Ley 1882 de 2018 es el correspondiente a la garantía de seriedad. El parágrafo 3 del artículo 5 de la Ley 1150 de 2007, adicionado por el artículo 5 de la Ley 1882 de 2018 dispone que la falta de entrega de la garantía de seriedad es insubsanable. Al respecto, la norma prescribe lo siguiente: </w:t>
      </w:r>
      <w:r w:rsidRPr="00D3097B">
        <w:rPr>
          <w:rFonts w:ascii="Arial" w:eastAsia="Calibri" w:hAnsi="Arial" w:cs="Arial"/>
          <w:bCs/>
          <w:i/>
          <w:iCs/>
          <w:sz w:val="20"/>
          <w:szCs w:val="20"/>
          <w:lang w:val="es-ES"/>
        </w:rPr>
        <w:t xml:space="preserve">“PARÁGRAFO 3o. La no entrega de la garantía de seriedad junto con la propuesta no será subsanable y será causal de rechazo de </w:t>
      </w:r>
      <w:proofErr w:type="gramStart"/>
      <w:r w:rsidRPr="00D3097B">
        <w:rPr>
          <w:rFonts w:ascii="Arial" w:eastAsia="Calibri" w:hAnsi="Arial" w:cs="Arial"/>
          <w:bCs/>
          <w:i/>
          <w:iCs/>
          <w:sz w:val="20"/>
          <w:szCs w:val="20"/>
          <w:lang w:val="es-ES"/>
        </w:rPr>
        <w:t>la misma</w:t>
      </w:r>
      <w:proofErr w:type="gramEnd"/>
      <w:r w:rsidRPr="00D3097B">
        <w:rPr>
          <w:rFonts w:ascii="Arial" w:eastAsia="Calibri" w:hAnsi="Arial" w:cs="Arial"/>
          <w:bCs/>
          <w:i/>
          <w:iCs/>
          <w:sz w:val="20"/>
          <w:szCs w:val="20"/>
          <w:lang w:val="es-ES"/>
        </w:rPr>
        <w:t>”.</w:t>
      </w:r>
    </w:p>
    <w:p w14:paraId="4F6229C1" w14:textId="77777777" w:rsidR="00795F6F" w:rsidRPr="00D3097B" w:rsidRDefault="00795F6F" w:rsidP="00795F6F">
      <w:pPr>
        <w:spacing w:after="0" w:line="240" w:lineRule="auto"/>
        <w:jc w:val="both"/>
        <w:rPr>
          <w:rFonts w:ascii="Arial" w:eastAsia="Calibri" w:hAnsi="Arial" w:cs="Arial"/>
          <w:bCs/>
          <w:sz w:val="20"/>
          <w:szCs w:val="20"/>
          <w:lang w:val="es-ES"/>
        </w:rPr>
      </w:pPr>
      <w:r w:rsidRPr="00D3097B">
        <w:rPr>
          <w:rFonts w:ascii="Arial" w:eastAsia="Calibri" w:hAnsi="Arial" w:cs="Arial"/>
          <w:bCs/>
          <w:sz w:val="20"/>
          <w:szCs w:val="20"/>
          <w:lang w:val="es-ES"/>
        </w:rPr>
        <w:t xml:space="preserve">Finalmente, el último cambio importante de la Ley 1882 de 2018 fue la introducción de un criterio material, directamente relacionado con los aspectos subsanables: “los proponentes no podrán acreditar circunstancias ocurridas con posterioridad al cierre del proceso”. Esta regla tiene una finalidad particular, y es que, al momento de presentar la oferta, el proponente la deberá hacerlo de forma íntegra y así evitar que a lo largo del procedimiento contractual complete o adicione su propuesta, conforme mejora su situación particular. </w:t>
      </w:r>
    </w:p>
    <w:p w14:paraId="03E8B36C" w14:textId="77777777" w:rsidR="00795F6F" w:rsidRPr="00D3097B" w:rsidRDefault="00795F6F" w:rsidP="00795F6F">
      <w:pPr>
        <w:tabs>
          <w:tab w:val="left" w:pos="0"/>
        </w:tabs>
        <w:spacing w:after="0" w:line="240" w:lineRule="auto"/>
        <w:contextualSpacing/>
        <w:jc w:val="both"/>
        <w:rPr>
          <w:rFonts w:ascii="Arial" w:eastAsia="Calibri" w:hAnsi="Arial" w:cs="Arial"/>
          <w:b/>
          <w:bCs/>
          <w:lang w:val="es-ES_tradnl"/>
        </w:rPr>
      </w:pPr>
    </w:p>
    <w:p w14:paraId="1137F5B4" w14:textId="77777777" w:rsidR="00795F6F" w:rsidRPr="00D3097B" w:rsidRDefault="00795F6F" w:rsidP="00795F6F">
      <w:pPr>
        <w:tabs>
          <w:tab w:val="left" w:pos="0"/>
        </w:tabs>
        <w:spacing w:after="0" w:line="240" w:lineRule="auto"/>
        <w:contextualSpacing/>
        <w:jc w:val="both"/>
        <w:rPr>
          <w:rFonts w:ascii="Arial" w:eastAsia="Calibri" w:hAnsi="Arial" w:cs="Arial"/>
          <w:b/>
          <w:bCs/>
          <w:lang w:val="es-ES_tradnl"/>
        </w:rPr>
      </w:pPr>
      <w:r w:rsidRPr="00D3097B">
        <w:rPr>
          <w:rFonts w:ascii="Arial" w:eastAsia="Calibri" w:hAnsi="Arial" w:cs="Arial"/>
          <w:b/>
          <w:bCs/>
          <w:lang w:val="es-ES_tradnl"/>
        </w:rPr>
        <w:t>DECRETO 680 DE 2021 – Regla de origen – Criterios – Identificación – Bienes nacionales relevantes</w:t>
      </w:r>
    </w:p>
    <w:p w14:paraId="2AD9A819" w14:textId="77777777" w:rsidR="00795F6F" w:rsidRPr="00D3097B" w:rsidRDefault="00795F6F" w:rsidP="00795F6F">
      <w:pPr>
        <w:tabs>
          <w:tab w:val="left" w:pos="0"/>
        </w:tabs>
        <w:spacing w:after="0" w:line="240" w:lineRule="auto"/>
        <w:contextualSpacing/>
        <w:jc w:val="both"/>
        <w:rPr>
          <w:rFonts w:ascii="Arial" w:eastAsia="Calibri" w:hAnsi="Arial" w:cs="Arial"/>
          <w:b/>
          <w:bCs/>
          <w:sz w:val="20"/>
          <w:szCs w:val="20"/>
          <w:lang w:val="es-ES_tradnl"/>
        </w:rPr>
      </w:pPr>
    </w:p>
    <w:p w14:paraId="7B129946" w14:textId="77777777" w:rsidR="00795F6F" w:rsidRPr="00D3097B" w:rsidRDefault="00795F6F" w:rsidP="00795F6F">
      <w:pPr>
        <w:tabs>
          <w:tab w:val="left" w:pos="0"/>
        </w:tabs>
        <w:spacing w:after="0" w:line="240" w:lineRule="auto"/>
        <w:contextualSpacing/>
        <w:jc w:val="both"/>
        <w:rPr>
          <w:rFonts w:ascii="Arial" w:eastAsia="Calibri" w:hAnsi="Arial" w:cs="Arial"/>
          <w:bCs/>
          <w:sz w:val="20"/>
          <w:szCs w:val="20"/>
          <w:lang w:val="es-ES_tradnl"/>
        </w:rPr>
      </w:pPr>
      <w:r w:rsidRPr="00D3097B">
        <w:rPr>
          <w:rFonts w:ascii="Arial" w:eastAsia="Calibri" w:hAnsi="Arial" w:cs="Arial"/>
          <w:bCs/>
          <w:sz w:val="20"/>
          <w:szCs w:val="20"/>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además de toda aquella información adicional con la que cuente la entidad estatal recaudada en la etapa de planeación del Proceso de Contratación”, </w:t>
      </w:r>
      <w:proofErr w:type="spellStart"/>
      <w:r w:rsidRPr="00D3097B">
        <w:rPr>
          <w:rFonts w:ascii="Arial" w:eastAsia="Calibri" w:hAnsi="Arial" w:cs="Arial"/>
          <w:bCs/>
          <w:sz w:val="20"/>
          <w:szCs w:val="20"/>
          <w:lang w:val="es-ES_tradnl"/>
        </w:rPr>
        <w:t>ii</w:t>
      </w:r>
      <w:proofErr w:type="spellEnd"/>
      <w:r w:rsidRPr="00D3097B">
        <w:rPr>
          <w:rFonts w:ascii="Arial" w:eastAsia="Calibri" w:hAnsi="Arial" w:cs="Arial"/>
          <w:bCs/>
          <w:sz w:val="20"/>
          <w:szCs w:val="20"/>
          <w:lang w:val="es-ES_tradnl"/>
        </w:rPr>
        <w:t xml:space="preserve">) el porcentaje de participación de los bienes en el presupuesto del Proceso de Contratación y </w:t>
      </w:r>
      <w:proofErr w:type="spellStart"/>
      <w:r w:rsidRPr="00D3097B">
        <w:rPr>
          <w:rFonts w:ascii="Arial" w:eastAsia="Calibri" w:hAnsi="Arial" w:cs="Arial"/>
          <w:bCs/>
          <w:sz w:val="20"/>
          <w:szCs w:val="20"/>
          <w:lang w:val="es-ES_tradnl"/>
        </w:rPr>
        <w:t>iii</w:t>
      </w:r>
      <w:proofErr w:type="spellEnd"/>
      <w:r w:rsidRPr="00D3097B">
        <w:rPr>
          <w:rFonts w:ascii="Arial" w:eastAsia="Calibri" w:hAnsi="Arial" w:cs="Arial"/>
          <w:bCs/>
          <w:sz w:val="20"/>
          <w:szCs w:val="20"/>
          <w:lang w:val="es-ES_tradnl"/>
        </w:rPr>
        <w:t xml:space="preserve">)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p w14:paraId="138F1C9A" w14:textId="77777777" w:rsidR="00795F6F" w:rsidRPr="00D3097B" w:rsidRDefault="00795F6F" w:rsidP="00795F6F">
      <w:pPr>
        <w:tabs>
          <w:tab w:val="left" w:pos="0"/>
        </w:tabs>
        <w:spacing w:after="0" w:line="240" w:lineRule="auto"/>
        <w:contextualSpacing/>
        <w:jc w:val="both"/>
        <w:rPr>
          <w:rFonts w:ascii="Arial" w:eastAsia="Calibri" w:hAnsi="Arial" w:cs="Arial"/>
          <w:bCs/>
          <w:sz w:val="20"/>
          <w:szCs w:val="20"/>
          <w:lang w:val="es-ES_tradnl"/>
        </w:rPr>
      </w:pPr>
    </w:p>
    <w:p w14:paraId="7448F152" w14:textId="77777777" w:rsidR="00795F6F" w:rsidRPr="00D3097B" w:rsidRDefault="00795F6F" w:rsidP="00795F6F">
      <w:pPr>
        <w:tabs>
          <w:tab w:val="left" w:pos="0"/>
        </w:tabs>
        <w:spacing w:after="0" w:line="240" w:lineRule="auto"/>
        <w:contextualSpacing/>
        <w:jc w:val="both"/>
        <w:rPr>
          <w:rFonts w:ascii="Arial" w:eastAsia="Calibri" w:hAnsi="Arial" w:cs="Arial"/>
          <w:bCs/>
          <w:sz w:val="20"/>
          <w:szCs w:val="20"/>
          <w:lang w:val="es-ES_tradnl"/>
        </w:rPr>
      </w:pPr>
      <w:r w:rsidRPr="00D3097B">
        <w:rPr>
          <w:rFonts w:ascii="Arial" w:eastAsia="Calibri" w:hAnsi="Arial" w:cs="Arial"/>
          <w:bCs/>
          <w:sz w:val="20"/>
          <w:szCs w:val="20"/>
          <w:lang w:val="es-ES_tradnl"/>
        </w:rPr>
        <w:lastRenderedPageBreak/>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cuarenta por ciento (40%) del total de empleados y contratistas asociados al cumplimiento del contrato. Conforme con esta regla residual, cuando en el análisis efectuado en la fase de planeación la entidad estatal no logre establecer que el objeto contractual requiere de bienes nacionales que se ajusten a los referidos criterios, deberá otorgar el puntaje por apoyo a la industria nacional a los proponentes que se comprometan a ejecutar el contrato garantizando la participación de personal colombiano en el correspondiente porcentaje mínimo.    </w:t>
      </w:r>
    </w:p>
    <w:p w14:paraId="2D5ECB87" w14:textId="77777777" w:rsidR="00795F6F" w:rsidRPr="00D3097B" w:rsidRDefault="00795F6F" w:rsidP="00795F6F">
      <w:pPr>
        <w:tabs>
          <w:tab w:val="left" w:pos="0"/>
        </w:tabs>
        <w:spacing w:after="0" w:line="240" w:lineRule="auto"/>
        <w:contextualSpacing/>
        <w:jc w:val="both"/>
        <w:rPr>
          <w:rFonts w:ascii="Arial" w:eastAsia="Calibri" w:hAnsi="Arial" w:cs="Arial"/>
          <w:b/>
          <w:bCs/>
          <w:sz w:val="20"/>
          <w:szCs w:val="20"/>
          <w:lang w:val="es-ES_tradnl"/>
        </w:rPr>
      </w:pPr>
    </w:p>
    <w:p w14:paraId="28B2D3E2" w14:textId="77777777" w:rsidR="00795F6F" w:rsidRPr="00D3097B" w:rsidRDefault="00795F6F" w:rsidP="00795F6F">
      <w:pPr>
        <w:tabs>
          <w:tab w:val="left" w:pos="0"/>
        </w:tabs>
        <w:spacing w:after="0" w:line="240" w:lineRule="auto"/>
        <w:contextualSpacing/>
        <w:jc w:val="both"/>
        <w:rPr>
          <w:rFonts w:ascii="Arial" w:eastAsia="Calibri" w:hAnsi="Arial" w:cs="Arial"/>
          <w:b/>
          <w:bCs/>
          <w:lang w:val="es-ES_tradnl"/>
        </w:rPr>
      </w:pPr>
      <w:r w:rsidRPr="00D3097B">
        <w:rPr>
          <w:rFonts w:ascii="Arial" w:eastAsia="Calibri" w:hAnsi="Arial" w:cs="Arial"/>
          <w:b/>
          <w:bCs/>
          <w:lang w:val="es-ES_tradnl"/>
        </w:rPr>
        <w:t>PUNTAJE POR SERVICIOS NACIONALES O CON TRATO NACIONAL – Documentos tipo – Decreto 680 de 2021</w:t>
      </w:r>
    </w:p>
    <w:p w14:paraId="6F7756C5" w14:textId="77777777" w:rsidR="00795F6F" w:rsidRPr="00D3097B" w:rsidRDefault="00795F6F" w:rsidP="00795F6F">
      <w:pPr>
        <w:spacing w:after="0" w:line="240" w:lineRule="auto"/>
        <w:contextualSpacing/>
        <w:jc w:val="both"/>
        <w:rPr>
          <w:rFonts w:ascii="Arial" w:eastAsia="Calibri" w:hAnsi="Arial" w:cs="Arial"/>
          <w:b/>
          <w:bCs/>
          <w:sz w:val="20"/>
          <w:szCs w:val="20"/>
          <w:lang w:val="es-ES_tradnl"/>
        </w:rPr>
      </w:pPr>
    </w:p>
    <w:p w14:paraId="5048C352" w14:textId="77777777" w:rsidR="00795F6F" w:rsidRPr="00D3097B" w:rsidRDefault="00795F6F" w:rsidP="00795F6F">
      <w:pPr>
        <w:spacing w:after="0" w:line="240" w:lineRule="auto"/>
        <w:contextualSpacing/>
        <w:jc w:val="both"/>
        <w:rPr>
          <w:rFonts w:ascii="Arial" w:eastAsia="Calibri" w:hAnsi="Arial" w:cs="Arial"/>
          <w:bCs/>
          <w:sz w:val="20"/>
          <w:szCs w:val="20"/>
          <w:lang w:val="es-ES_tradnl"/>
        </w:rPr>
      </w:pPr>
      <w:r w:rsidRPr="00D3097B">
        <w:rPr>
          <w:rFonts w:ascii="Arial" w:eastAsia="Calibri" w:hAnsi="Arial" w:cs="Arial"/>
          <w:bCs/>
          <w:sz w:val="20"/>
          <w:szCs w:val="20"/>
          <w:lang w:val="es-ES_tradnl"/>
        </w:rPr>
        <w:t>En atención a este mandato, la Agencia Nacional de Contratación Pública – Colombia Compra Eficiente,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común a todos estos procedimientos, a partir de la cual, en aplicación de la definición de Servicios Nacionales del Decreto 680 de 2021,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w:t>
      </w:r>
    </w:p>
    <w:p w14:paraId="1279EF18" w14:textId="77777777" w:rsidR="00795F6F" w:rsidRPr="00D3097B" w:rsidRDefault="00795F6F" w:rsidP="00795F6F">
      <w:pPr>
        <w:tabs>
          <w:tab w:val="left" w:pos="0"/>
        </w:tabs>
        <w:spacing w:after="0" w:line="240" w:lineRule="auto"/>
        <w:contextualSpacing/>
        <w:jc w:val="both"/>
        <w:rPr>
          <w:rFonts w:ascii="Arial" w:eastAsia="Calibri" w:hAnsi="Arial" w:cs="Arial"/>
          <w:b/>
          <w:bCs/>
          <w:sz w:val="20"/>
          <w:szCs w:val="20"/>
          <w:lang w:val="es-ES_tradnl"/>
        </w:rPr>
      </w:pPr>
    </w:p>
    <w:p w14:paraId="6AD61813" w14:textId="77777777" w:rsidR="00795F6F" w:rsidRPr="00D3097B" w:rsidRDefault="00795F6F" w:rsidP="00795F6F">
      <w:pPr>
        <w:tabs>
          <w:tab w:val="left" w:pos="0"/>
        </w:tabs>
        <w:spacing w:after="0" w:line="240" w:lineRule="auto"/>
        <w:contextualSpacing/>
        <w:jc w:val="both"/>
        <w:rPr>
          <w:rFonts w:ascii="Arial" w:eastAsia="Calibri" w:hAnsi="Arial" w:cs="Arial"/>
          <w:b/>
          <w:bCs/>
          <w:lang w:val="es-ES_tradnl"/>
        </w:rPr>
      </w:pPr>
      <w:r w:rsidRPr="00D3097B">
        <w:rPr>
          <w:rFonts w:ascii="Arial" w:eastAsia="Calibri" w:hAnsi="Arial" w:cs="Arial"/>
          <w:b/>
          <w:bCs/>
          <w:lang w:val="es-ES_tradnl"/>
        </w:rPr>
        <w:t xml:space="preserve">PUNTAJE POR SERVICIOS NACIONALES O CON TRATO NACIONAL – Documentos tipo – </w:t>
      </w:r>
      <w:r w:rsidRPr="00D3097B">
        <w:rPr>
          <w:rFonts w:ascii="Arial" w:hAnsi="Arial" w:cs="Arial"/>
          <w:b/>
          <w:bCs/>
          <w:lang w:val="es-MX"/>
        </w:rPr>
        <w:t>Documentos tipo para licitación de obra pública de infraestructura de transporte</w:t>
      </w:r>
    </w:p>
    <w:p w14:paraId="32667F1F" w14:textId="77777777" w:rsidR="00795F6F" w:rsidRPr="00D3097B" w:rsidRDefault="00795F6F" w:rsidP="00795F6F">
      <w:pPr>
        <w:tabs>
          <w:tab w:val="left" w:pos="0"/>
        </w:tabs>
        <w:spacing w:after="0" w:line="240" w:lineRule="auto"/>
        <w:contextualSpacing/>
        <w:jc w:val="both"/>
        <w:rPr>
          <w:rFonts w:ascii="Arial" w:eastAsia="Calibri" w:hAnsi="Arial" w:cs="Arial"/>
          <w:b/>
          <w:bCs/>
          <w:sz w:val="20"/>
          <w:szCs w:val="20"/>
          <w:lang w:val="es-ES_tradnl"/>
        </w:rPr>
      </w:pPr>
    </w:p>
    <w:p w14:paraId="2127A999" w14:textId="77777777" w:rsidR="00795F6F" w:rsidRDefault="00795F6F" w:rsidP="00795F6F">
      <w:pPr>
        <w:spacing w:after="0" w:line="240" w:lineRule="auto"/>
        <w:contextualSpacing/>
        <w:jc w:val="both"/>
        <w:rPr>
          <w:rFonts w:ascii="Arial" w:eastAsia="Calibri" w:hAnsi="Arial" w:cs="Arial"/>
          <w:sz w:val="20"/>
          <w:szCs w:val="20"/>
          <w:lang w:val="es-ES_tradnl"/>
        </w:rPr>
      </w:pPr>
      <w:r w:rsidRPr="00D3097B">
        <w:rPr>
          <w:rFonts w:ascii="Arial" w:hAnsi="Arial" w:cs="Arial"/>
          <w:sz w:val="20"/>
          <w:szCs w:val="20"/>
          <w:lang w:val="es-MX"/>
        </w:rPr>
        <w:t xml:space="preserve">Por un lado, el numeral 4.3 </w:t>
      </w:r>
      <w:r w:rsidRPr="00D3097B">
        <w:rPr>
          <w:rFonts w:ascii="Arial" w:hAnsi="Arial" w:cs="Arial"/>
          <w:i/>
          <w:iCs/>
          <w:sz w:val="20"/>
          <w:szCs w:val="20"/>
          <w:lang w:val="es-MX"/>
        </w:rPr>
        <w:t>“Apoyo a la Industria Nacional”</w:t>
      </w:r>
      <w:r w:rsidRPr="00D3097B">
        <w:rPr>
          <w:rFonts w:ascii="Arial" w:hAnsi="Arial" w:cs="Arial"/>
          <w:sz w:val="20"/>
          <w:szCs w:val="20"/>
          <w:lang w:val="es-MX"/>
        </w:rPr>
        <w:t xml:space="preserve"> del Documento Base de Licitación de Obra Pública de Infraestructura de Transporte - Versión 3 indica que, </w:t>
      </w:r>
      <w:r w:rsidRPr="00D3097B">
        <w:rPr>
          <w:rFonts w:ascii="Arial" w:hAnsi="Arial" w:cs="Arial"/>
          <w:i/>
          <w:iCs/>
          <w:sz w:val="20"/>
          <w:szCs w:val="20"/>
          <w:lang w:val="es-MX"/>
        </w:rPr>
        <w:t xml:space="preserve">“Los proponentes pueden obtener puntaje de apoyo a la industria nacional por: i) Servicios Nacionales o con Trato Nacional o por </w:t>
      </w:r>
      <w:proofErr w:type="spellStart"/>
      <w:r w:rsidRPr="00D3097B">
        <w:rPr>
          <w:rFonts w:ascii="Arial" w:hAnsi="Arial" w:cs="Arial"/>
          <w:i/>
          <w:iCs/>
          <w:sz w:val="20"/>
          <w:szCs w:val="20"/>
          <w:lang w:val="es-MX"/>
        </w:rPr>
        <w:t>ii</w:t>
      </w:r>
      <w:proofErr w:type="spellEnd"/>
      <w:r w:rsidRPr="00D3097B">
        <w:rPr>
          <w:rFonts w:ascii="Arial" w:hAnsi="Arial" w:cs="Arial"/>
          <w:i/>
          <w:iCs/>
          <w:sz w:val="20"/>
          <w:szCs w:val="20"/>
          <w:lang w:val="es-MX"/>
        </w:rPr>
        <w:t xml:space="preserve">) la incorporación de componente nacional en servicios extranjeros […]”, </w:t>
      </w:r>
      <w:r w:rsidRPr="00D3097B">
        <w:rPr>
          <w:rFonts w:ascii="Arial" w:hAnsi="Arial" w:cs="Arial"/>
          <w:sz w:val="20"/>
          <w:szCs w:val="20"/>
          <w:lang w:val="es-MX"/>
        </w:rPr>
        <w:t xml:space="preserve">es decir, que el proponente deberá verificar en primer lugar si accederá al referido puntaje mediante alguno de los dos conceptos mencionados </w:t>
      </w:r>
      <w:r w:rsidRPr="00D3097B">
        <w:rPr>
          <w:rFonts w:ascii="Arial" w:eastAsia="Calibri" w:hAnsi="Arial" w:cs="Arial"/>
          <w:sz w:val="20"/>
          <w:szCs w:val="20"/>
          <w:lang w:val="es-ES_tradnl"/>
        </w:rPr>
        <w:t xml:space="preserve">[…] </w:t>
      </w:r>
    </w:p>
    <w:p w14:paraId="54267DC5" w14:textId="77777777" w:rsidR="0017786D" w:rsidRPr="00D3097B" w:rsidRDefault="0017786D" w:rsidP="00795F6F">
      <w:pPr>
        <w:spacing w:after="0" w:line="240" w:lineRule="auto"/>
        <w:contextualSpacing/>
        <w:jc w:val="both"/>
        <w:rPr>
          <w:rFonts w:ascii="Arial" w:eastAsia="Calibri" w:hAnsi="Arial" w:cs="Arial"/>
          <w:sz w:val="20"/>
          <w:szCs w:val="20"/>
          <w:lang w:val="es-ES_tradnl"/>
        </w:rPr>
      </w:pPr>
    </w:p>
    <w:p w14:paraId="09A20430" w14:textId="77777777" w:rsidR="00795F6F" w:rsidRPr="00D3097B" w:rsidRDefault="00795F6F" w:rsidP="00795F6F">
      <w:pPr>
        <w:tabs>
          <w:tab w:val="left" w:pos="0"/>
        </w:tabs>
        <w:spacing w:after="0" w:line="240" w:lineRule="auto"/>
        <w:jc w:val="both"/>
        <w:rPr>
          <w:rFonts w:ascii="Arial" w:eastAsia="Calibri" w:hAnsi="Arial" w:cs="Arial"/>
          <w:b/>
          <w:bCs/>
          <w:lang w:val="es-ES_tradnl"/>
        </w:rPr>
      </w:pPr>
      <w:r w:rsidRPr="00D3097B">
        <w:rPr>
          <w:rFonts w:ascii="Arial" w:eastAsia="Calibri" w:hAnsi="Arial" w:cs="Arial"/>
          <w:b/>
          <w:bCs/>
          <w:lang w:val="es-ES_tradnl"/>
        </w:rPr>
        <w:t xml:space="preserve">PUNTAJE POR SERVICIOS NACIONALES O CON TRATO NACIONAL – Documentos tipo – </w:t>
      </w:r>
      <w:r w:rsidRPr="00D3097B">
        <w:rPr>
          <w:rFonts w:ascii="Arial" w:hAnsi="Arial" w:cs="Arial"/>
          <w:b/>
          <w:bCs/>
          <w:lang w:val="es-MX"/>
        </w:rPr>
        <w:t xml:space="preserve">Otorgamiento puntaje − </w:t>
      </w:r>
      <w:proofErr w:type="spellStart"/>
      <w:r w:rsidRPr="00D3097B">
        <w:rPr>
          <w:rFonts w:ascii="Arial" w:hAnsi="Arial" w:cs="Arial"/>
          <w:b/>
          <w:bCs/>
          <w:lang w:val="es-MX"/>
        </w:rPr>
        <w:t>Subsanabilidad</w:t>
      </w:r>
      <w:proofErr w:type="spellEnd"/>
    </w:p>
    <w:p w14:paraId="2787625B" w14:textId="77777777" w:rsidR="00795F6F" w:rsidRPr="00D3097B" w:rsidRDefault="00795F6F" w:rsidP="00795F6F">
      <w:pPr>
        <w:spacing w:after="0" w:line="276" w:lineRule="auto"/>
        <w:jc w:val="both"/>
        <w:rPr>
          <w:rFonts w:ascii="Arial" w:hAnsi="Arial" w:cs="Arial"/>
          <w:lang w:val="es-MX"/>
        </w:rPr>
      </w:pPr>
    </w:p>
    <w:p w14:paraId="44733239" w14:textId="77777777" w:rsidR="0017786D" w:rsidRDefault="00795F6F" w:rsidP="0017786D">
      <w:pPr>
        <w:spacing w:after="120" w:line="276" w:lineRule="auto"/>
        <w:jc w:val="both"/>
        <w:rPr>
          <w:rFonts w:ascii="Arial" w:hAnsi="Arial" w:cs="Arial"/>
          <w:lang w:val="es-MX"/>
        </w:rPr>
      </w:pPr>
      <w:r w:rsidRPr="00D3097B">
        <w:rPr>
          <w:rFonts w:ascii="Arial" w:hAnsi="Arial" w:cs="Arial"/>
          <w:lang w:val="es-MX"/>
        </w:rPr>
        <w:t xml:space="preserve">Conforme al numeral 4.3.1.1 del documento base, para el otorgamiento del puntaje por apoyo a la industria nacional, se tiene que: i) las personas naturales colombianas deben presentar la cédula de ciudadanía y </w:t>
      </w:r>
      <w:proofErr w:type="spellStart"/>
      <w:r w:rsidRPr="00D3097B">
        <w:rPr>
          <w:rFonts w:ascii="Arial" w:hAnsi="Arial" w:cs="Arial"/>
          <w:lang w:val="es-MX"/>
        </w:rPr>
        <w:t>ii</w:t>
      </w:r>
      <w:proofErr w:type="spellEnd"/>
      <w:r w:rsidRPr="00D3097B">
        <w:rPr>
          <w:rFonts w:ascii="Arial" w:hAnsi="Arial" w:cs="Arial"/>
          <w:lang w:val="es-MX"/>
        </w:rPr>
        <w:t xml:space="preserve">) las personas jurídicas constituidas en Colombia </w:t>
      </w:r>
      <w:r w:rsidRPr="00D3097B">
        <w:rPr>
          <w:rFonts w:ascii="Arial" w:hAnsi="Arial" w:cs="Arial"/>
          <w:lang w:val="es-MX"/>
        </w:rPr>
        <w:lastRenderedPageBreak/>
        <w:t xml:space="preserve">deben presentar el certificado de existencia y representación legal expedido por una Cámara de Comercio. Como se observa, en el documento tipo no se dispone de un término de vigencia para el certificado de existencia y representación, como sí se exige en el caso de los requisitos habilitantes. </w:t>
      </w:r>
    </w:p>
    <w:p w14:paraId="7AFC3CD2" w14:textId="4E8E4ED5" w:rsidR="00795F6F" w:rsidRPr="00D3097B" w:rsidRDefault="00795F6F" w:rsidP="0017786D">
      <w:pPr>
        <w:spacing w:after="120" w:line="276" w:lineRule="auto"/>
        <w:jc w:val="both"/>
        <w:rPr>
          <w:rFonts w:ascii="Arial" w:hAnsi="Arial" w:cs="Arial"/>
          <w:lang w:val="es-MX"/>
        </w:rPr>
      </w:pPr>
      <w:r w:rsidRPr="00D3097B">
        <w:rPr>
          <w:rFonts w:ascii="Arial" w:hAnsi="Arial" w:cs="Arial"/>
          <w:lang w:val="es-MX"/>
        </w:rPr>
        <w:t>[…]</w:t>
      </w:r>
    </w:p>
    <w:p w14:paraId="20040C62" w14:textId="77777777" w:rsidR="00795F6F" w:rsidRPr="00D3097B" w:rsidRDefault="00795F6F" w:rsidP="0017786D">
      <w:pPr>
        <w:spacing w:after="120" w:line="276" w:lineRule="auto"/>
        <w:jc w:val="both"/>
        <w:rPr>
          <w:rFonts w:ascii="Arial" w:hAnsi="Arial" w:cs="Arial"/>
          <w:lang w:val="es-MX"/>
        </w:rPr>
      </w:pPr>
      <w:r w:rsidRPr="00D3097B">
        <w:rPr>
          <w:rFonts w:ascii="Arial" w:hAnsi="Arial" w:cs="Arial"/>
          <w:lang w:val="es-MX"/>
        </w:rPr>
        <w:t>En armonía con lo anterior, la propuesta es una sola y no es necesario aportar varias veces el mismo documento, exigencia que desconocería el principio de economía. En ese contexto, la entidad deberá evaluar tanto el requisito habilitante como de asignación de puntaje con los documentos aportados, sin que se requieran documentos o formatos adicionales a los señalados en el documento base, ni que se presente dos veces un mismo documento con la oferta.</w:t>
      </w:r>
    </w:p>
    <w:p w14:paraId="1A9E3E58" w14:textId="77777777" w:rsidR="00795F6F" w:rsidRPr="00D3097B" w:rsidRDefault="00795F6F" w:rsidP="0017786D">
      <w:pPr>
        <w:spacing w:after="0" w:line="276" w:lineRule="auto"/>
        <w:jc w:val="both"/>
        <w:rPr>
          <w:rFonts w:ascii="Arial" w:hAnsi="Arial" w:cs="Arial"/>
          <w:lang w:val="es-MX"/>
        </w:rPr>
      </w:pPr>
      <w:r w:rsidRPr="00D3097B">
        <w:rPr>
          <w:rFonts w:ascii="Arial" w:hAnsi="Arial" w:cs="Arial"/>
          <w:lang w:val="es-MX"/>
        </w:rPr>
        <w:t xml:space="preserve">No </w:t>
      </w:r>
      <w:proofErr w:type="gramStart"/>
      <w:r w:rsidRPr="00D3097B">
        <w:rPr>
          <w:rFonts w:ascii="Arial" w:hAnsi="Arial" w:cs="Arial"/>
          <w:lang w:val="es-MX"/>
        </w:rPr>
        <w:t>obstante</w:t>
      </w:r>
      <w:proofErr w:type="gramEnd"/>
      <w:r w:rsidRPr="00D3097B">
        <w:rPr>
          <w:rFonts w:ascii="Arial" w:hAnsi="Arial" w:cs="Arial"/>
          <w:lang w:val="es-MX"/>
        </w:rPr>
        <w:t xml:space="preserve"> lo anterior, es importante señalar que de acuerdo con las reglas de </w:t>
      </w:r>
      <w:proofErr w:type="spellStart"/>
      <w:r w:rsidRPr="00D3097B">
        <w:rPr>
          <w:rFonts w:ascii="Arial" w:hAnsi="Arial" w:cs="Arial"/>
          <w:lang w:val="es-MX"/>
        </w:rPr>
        <w:t>subsanabilidad</w:t>
      </w:r>
      <w:proofErr w:type="spellEnd"/>
      <w:r w:rsidRPr="00D3097B">
        <w:rPr>
          <w:rFonts w:ascii="Arial" w:hAnsi="Arial" w:cs="Arial"/>
          <w:lang w:val="es-MX"/>
        </w:rPr>
        <w:t xml:space="preserve"> de las ofertas y la regulación contenida en el documento tipo de licitación de obra pública de infraestructura de transporte, la falta de presentación del certificado de existencia y representación legal con la propuesta o la cédula de ciudadanía impide que el proponente obtenga el puntaje respectivo. En efecto, en el numeral 4.3.1.1 del documento base se establece que: “El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 En este sentido, si el proponente no aportó la cédula de ciudadanía o el certificado de existencia y representación legal con su propuesta, aunque puede subsanar dicha omisión para acreditar su capacidad jurídica, no podrá subsanar o corregir dicha falencia para obtener el puntaje, ya que la </w:t>
      </w:r>
      <w:proofErr w:type="spellStart"/>
      <w:r w:rsidRPr="00D3097B">
        <w:rPr>
          <w:rFonts w:ascii="Arial" w:hAnsi="Arial" w:cs="Arial"/>
          <w:lang w:val="es-MX"/>
        </w:rPr>
        <w:t>subsanabilidad</w:t>
      </w:r>
      <w:proofErr w:type="spellEnd"/>
      <w:r w:rsidRPr="00D3097B">
        <w:rPr>
          <w:rFonts w:ascii="Arial" w:hAnsi="Arial" w:cs="Arial"/>
          <w:lang w:val="es-MX"/>
        </w:rPr>
        <w:t xml:space="preserve"> no procede frente aquellos requisitos de la oferta que afectan la asignación de puntaje.</w:t>
      </w:r>
    </w:p>
    <w:p w14:paraId="4783E8DA" w14:textId="77777777" w:rsidR="00795F6F" w:rsidRPr="00D3097B" w:rsidRDefault="00795F6F" w:rsidP="0017786D">
      <w:pPr>
        <w:tabs>
          <w:tab w:val="left" w:pos="0"/>
        </w:tabs>
        <w:spacing w:after="0" w:line="240" w:lineRule="auto"/>
        <w:jc w:val="both"/>
        <w:rPr>
          <w:rFonts w:ascii="Arial" w:eastAsia="Calibri" w:hAnsi="Arial" w:cs="Arial"/>
          <w:b/>
          <w:bCs/>
          <w:lang w:val="es-ES_tradnl"/>
        </w:rPr>
      </w:pPr>
    </w:p>
    <w:p w14:paraId="2A88D8A6" w14:textId="77777777" w:rsidR="00795F6F" w:rsidRPr="00D3097B" w:rsidRDefault="00795F6F" w:rsidP="0017786D">
      <w:pPr>
        <w:tabs>
          <w:tab w:val="left" w:pos="0"/>
        </w:tabs>
        <w:spacing w:after="0" w:line="240" w:lineRule="auto"/>
        <w:jc w:val="both"/>
        <w:rPr>
          <w:rFonts w:ascii="Arial" w:eastAsia="Calibri" w:hAnsi="Arial" w:cs="Arial"/>
          <w:b/>
          <w:bCs/>
          <w:lang w:val="es-ES_tradnl"/>
        </w:rPr>
      </w:pPr>
      <w:r w:rsidRPr="00D3097B">
        <w:rPr>
          <w:rFonts w:ascii="Arial" w:eastAsia="Calibri" w:hAnsi="Arial" w:cs="Arial"/>
          <w:b/>
          <w:bCs/>
          <w:lang w:val="es-ES_tradnl"/>
        </w:rPr>
        <w:t xml:space="preserve">PUNTAJE POR SERVICIOS NACIONALES O CON TRATO NACIONAL – Documentos tipo – </w:t>
      </w:r>
      <w:r w:rsidRPr="00D3097B">
        <w:rPr>
          <w:rFonts w:ascii="Arial" w:hAnsi="Arial" w:cs="Arial"/>
          <w:b/>
          <w:bCs/>
          <w:lang w:val="es-MX"/>
        </w:rPr>
        <w:t>Documentos tipo para licitación de obra pública de infraestructura de transporte – Formato 9</w:t>
      </w:r>
    </w:p>
    <w:p w14:paraId="5EEC2FE5" w14:textId="77777777" w:rsidR="00795F6F" w:rsidRPr="00D3097B" w:rsidRDefault="00795F6F" w:rsidP="00795F6F">
      <w:pPr>
        <w:spacing w:after="0" w:line="240" w:lineRule="auto"/>
        <w:contextualSpacing/>
        <w:jc w:val="both"/>
        <w:rPr>
          <w:rFonts w:ascii="Arial" w:hAnsi="Arial" w:cs="Arial"/>
          <w:sz w:val="20"/>
          <w:szCs w:val="20"/>
          <w:lang w:val="es-MX"/>
        </w:rPr>
      </w:pPr>
    </w:p>
    <w:p w14:paraId="25F64AFF" w14:textId="77777777" w:rsidR="00795F6F" w:rsidRPr="00D3097B" w:rsidRDefault="00795F6F" w:rsidP="0017786D">
      <w:pPr>
        <w:spacing w:after="120" w:line="240" w:lineRule="auto"/>
        <w:jc w:val="both"/>
        <w:rPr>
          <w:rFonts w:ascii="Arial" w:hAnsi="Arial" w:cs="Arial"/>
          <w:color w:val="000000" w:themeColor="text1"/>
          <w:sz w:val="20"/>
          <w:szCs w:val="20"/>
          <w:lang w:val="es-MX"/>
        </w:rPr>
      </w:pPr>
      <w:r w:rsidRPr="00D3097B">
        <w:rPr>
          <w:rFonts w:ascii="Arial" w:hAnsi="Arial" w:cs="Arial"/>
          <w:color w:val="000000" w:themeColor="text1"/>
          <w:sz w:val="20"/>
          <w:szCs w:val="20"/>
          <w:lang w:val="es-MX"/>
        </w:rPr>
        <w:t xml:space="preserve">Conforme a esto, para obtener el puntaje por apoyo a la industria nacional, las personas naturales colombianas o residentes en Colombia, las personas jurídicas constituidas conforme a la ley nacional, así como los proponentes plurales conformados por estas, deben presentar el </w:t>
      </w:r>
      <w:r w:rsidRPr="00D3097B">
        <w:rPr>
          <w:rFonts w:ascii="Arial" w:hAnsi="Arial" w:cs="Arial"/>
          <w:sz w:val="20"/>
          <w:szCs w:val="20"/>
          <w:lang w:val="es-MX"/>
        </w:rPr>
        <w:t>“</w:t>
      </w:r>
      <w:r w:rsidRPr="00D3097B">
        <w:rPr>
          <w:rFonts w:ascii="Arial" w:hAnsi="Arial" w:cs="Arial"/>
          <w:color w:val="000000" w:themeColor="text1"/>
          <w:sz w:val="20"/>
          <w:szCs w:val="20"/>
          <w:lang w:val="es-MX"/>
        </w:rPr>
        <w:t>Formato 9A</w:t>
      </w:r>
      <w:r w:rsidRPr="00D3097B">
        <w:rPr>
          <w:rFonts w:ascii="Arial" w:hAnsi="Arial" w:cs="Arial"/>
          <w:sz w:val="20"/>
          <w:szCs w:val="20"/>
          <w:lang w:val="es-MX"/>
        </w:rPr>
        <w:t>”</w:t>
      </w:r>
      <w:r w:rsidRPr="00D3097B">
        <w:rPr>
          <w:rFonts w:ascii="Arial" w:hAnsi="Arial" w:cs="Arial"/>
          <w:color w:val="000000" w:themeColor="text1"/>
          <w:sz w:val="20"/>
          <w:szCs w:val="20"/>
          <w:lang w:val="es-MX"/>
        </w:rPr>
        <w:t xml:space="preserve"> debidamente diligenciado en alguna de las dos primeras opciones, las cuales deben ser diligenciadas en concordancia con la opción establecida por la entidad al diligenciar el numeral 4.3.1. del Documento Base.</w:t>
      </w:r>
    </w:p>
    <w:p w14:paraId="6584B83D" w14:textId="77777777" w:rsidR="00795F6F" w:rsidRPr="00D3097B" w:rsidRDefault="00795F6F" w:rsidP="0017786D">
      <w:pPr>
        <w:spacing w:after="120" w:line="240" w:lineRule="auto"/>
        <w:jc w:val="both"/>
        <w:rPr>
          <w:rFonts w:ascii="Arial" w:hAnsi="Arial" w:cs="Arial"/>
          <w:color w:val="000000" w:themeColor="text1"/>
          <w:sz w:val="20"/>
          <w:szCs w:val="20"/>
          <w:lang w:val="es-MX"/>
        </w:rPr>
      </w:pPr>
      <w:r w:rsidRPr="00D3097B">
        <w:rPr>
          <w:rFonts w:ascii="Arial" w:hAnsi="Arial" w:cs="Arial"/>
          <w:color w:val="000000" w:themeColor="text1"/>
          <w:sz w:val="20"/>
          <w:szCs w:val="20"/>
          <w:lang w:val="es-MX"/>
        </w:rPr>
        <w:t xml:space="preserve">Esto significa que, para acceder al puntaje con ocasión de la inclusión en la propuesta de los bienes nacionales relevantes identificados por la entidad aplicando la metodología prevista en la Matriz 4, el proponente deberá hacer uso de la Opción 1 del </w:t>
      </w:r>
      <w:r w:rsidRPr="00D3097B">
        <w:rPr>
          <w:rFonts w:ascii="Arial" w:hAnsi="Arial" w:cs="Arial"/>
          <w:sz w:val="20"/>
          <w:szCs w:val="20"/>
          <w:lang w:val="es-MX"/>
        </w:rPr>
        <w:t>“</w:t>
      </w:r>
      <w:r w:rsidRPr="00D3097B">
        <w:rPr>
          <w:rFonts w:ascii="Arial" w:hAnsi="Arial" w:cs="Arial"/>
          <w:color w:val="000000" w:themeColor="text1"/>
          <w:sz w:val="20"/>
          <w:szCs w:val="20"/>
          <w:lang w:val="es-MX"/>
        </w:rPr>
        <w:t>Formato 9A</w:t>
      </w:r>
      <w:r w:rsidRPr="00D3097B">
        <w:rPr>
          <w:rFonts w:ascii="Arial" w:hAnsi="Arial" w:cs="Arial"/>
          <w:sz w:val="20"/>
          <w:szCs w:val="20"/>
          <w:lang w:val="es-MX"/>
        </w:rPr>
        <w:t>”</w:t>
      </w:r>
      <w:r w:rsidRPr="00D3097B">
        <w:rPr>
          <w:rFonts w:ascii="Arial" w:hAnsi="Arial" w:cs="Arial"/>
          <w:color w:val="000000" w:themeColor="text1"/>
          <w:sz w:val="20"/>
          <w:szCs w:val="20"/>
          <w:lang w:val="es-MX"/>
        </w:rPr>
        <w:t xml:space="preserve"> diligenciando la tabla dispuesta para el efecto y suscribiendo el formato mediante el cual se compromete a incorporar tales bienes en la ejecución del contrato. Por el contrario, si no existen bienes nacionales relevantes, para acceder </w:t>
      </w:r>
      <w:r w:rsidRPr="00D3097B">
        <w:rPr>
          <w:rFonts w:ascii="Arial" w:hAnsi="Arial" w:cs="Arial"/>
          <w:color w:val="000000" w:themeColor="text1"/>
          <w:sz w:val="20"/>
          <w:szCs w:val="20"/>
          <w:lang w:val="es-MX"/>
        </w:rPr>
        <w:lastRenderedPageBreak/>
        <w:t xml:space="preserve">al puntaje </w:t>
      </w:r>
      <w:proofErr w:type="gramStart"/>
      <w:r w:rsidRPr="00D3097B">
        <w:rPr>
          <w:rFonts w:ascii="Arial" w:hAnsi="Arial" w:cs="Arial"/>
          <w:color w:val="000000" w:themeColor="text1"/>
          <w:sz w:val="20"/>
          <w:szCs w:val="20"/>
          <w:lang w:val="es-MX"/>
        </w:rPr>
        <w:t>en razón de</w:t>
      </w:r>
      <w:proofErr w:type="gramEnd"/>
      <w:r w:rsidRPr="00D3097B">
        <w:rPr>
          <w:rFonts w:ascii="Arial" w:hAnsi="Arial" w:cs="Arial"/>
          <w:color w:val="000000" w:themeColor="text1"/>
          <w:sz w:val="20"/>
          <w:szCs w:val="20"/>
          <w:lang w:val="es-MX"/>
        </w:rPr>
        <w:t xml:space="preserve"> la vinculación de un porcentaje no inferior al cuarenta por ciento (40%) del personal requerido para la ejecución del contrato, los proponentes deben diligenciar la Opción 2 del formato en comento.  </w:t>
      </w:r>
    </w:p>
    <w:p w14:paraId="310975CF" w14:textId="77777777" w:rsidR="00795F6F" w:rsidRPr="00D3097B" w:rsidRDefault="00795F6F" w:rsidP="0017786D">
      <w:pPr>
        <w:spacing w:after="0" w:line="240" w:lineRule="auto"/>
        <w:jc w:val="both"/>
        <w:rPr>
          <w:rFonts w:ascii="Arial" w:hAnsi="Arial" w:cs="Arial"/>
          <w:color w:val="000000" w:themeColor="text1"/>
          <w:sz w:val="20"/>
          <w:szCs w:val="20"/>
          <w:lang w:val="es-MX"/>
        </w:rPr>
      </w:pPr>
      <w:r w:rsidRPr="00D3097B">
        <w:rPr>
          <w:rFonts w:ascii="Arial" w:hAnsi="Arial" w:cs="Arial"/>
          <w:color w:val="000000" w:themeColor="text1"/>
          <w:sz w:val="20"/>
          <w:szCs w:val="20"/>
          <w:lang w:val="es-MX"/>
        </w:rPr>
        <w:t xml:space="preserve">A las anteriores opciones se suma la Opción 3, aplicable solo a los proponentes extranjeros con derecho a trato nacional y proponentes plurales conformados por estos, a quienes, en concordancia con lo establecido en el Decreto 680 de 2021, se les permite obtener al puntaje aplicando las reglas de origen de sus respectivos países. Para definir la regla aplicable al proceso, los Proponentes extranjeros deben manifestarlo con el diligenciamiento de la Opción 3 del </w:t>
      </w:r>
      <w:r w:rsidRPr="00D3097B">
        <w:rPr>
          <w:rFonts w:ascii="Arial" w:hAnsi="Arial" w:cs="Arial"/>
          <w:sz w:val="20"/>
          <w:szCs w:val="20"/>
          <w:lang w:val="es-MX"/>
        </w:rPr>
        <w:t>“</w:t>
      </w:r>
      <w:r w:rsidRPr="00D3097B">
        <w:rPr>
          <w:rFonts w:ascii="Arial" w:hAnsi="Arial" w:cs="Arial"/>
          <w:color w:val="000000" w:themeColor="text1"/>
          <w:sz w:val="20"/>
          <w:szCs w:val="20"/>
          <w:lang w:val="es-MX"/>
        </w:rPr>
        <w:t>Formato 9A</w:t>
      </w:r>
      <w:r w:rsidRPr="00D3097B">
        <w:rPr>
          <w:rFonts w:ascii="Arial" w:hAnsi="Arial" w:cs="Arial"/>
          <w:sz w:val="20"/>
          <w:szCs w:val="20"/>
          <w:lang w:val="es-MX"/>
        </w:rPr>
        <w:t>”</w:t>
      </w:r>
      <w:r w:rsidRPr="00D3097B">
        <w:rPr>
          <w:rFonts w:ascii="Arial" w:hAnsi="Arial" w:cs="Arial"/>
          <w:color w:val="000000" w:themeColor="text1"/>
          <w:sz w:val="20"/>
          <w:szCs w:val="20"/>
          <w:lang w:val="es-MX"/>
        </w:rPr>
        <w:t>, en la que manifiestan su voluntad de acogerse a la regla de origen de su país.  Si no se diligencia este formato, la Entidad Estatal deberá evaluar la oferta de acuerdo con las reglas previstas en el numeral 4.3.1 “Promoción de servicios nacionales o con trato nacional” del documento base o pliego tipo.</w:t>
      </w:r>
    </w:p>
    <w:p w14:paraId="52F94D01" w14:textId="77777777" w:rsidR="00795F6F" w:rsidRPr="00D3097B" w:rsidRDefault="00795F6F" w:rsidP="0017786D">
      <w:pPr>
        <w:spacing w:after="0" w:line="240" w:lineRule="auto"/>
        <w:jc w:val="both"/>
        <w:rPr>
          <w:rFonts w:ascii="Arial" w:hAnsi="Arial" w:cs="Arial"/>
          <w:sz w:val="20"/>
          <w:szCs w:val="20"/>
          <w:lang w:val="es-MX"/>
        </w:rPr>
      </w:pPr>
    </w:p>
    <w:p w14:paraId="410C1227" w14:textId="77777777" w:rsidR="00795F6F" w:rsidRPr="00D3097B" w:rsidRDefault="00795F6F" w:rsidP="0017786D">
      <w:pPr>
        <w:spacing w:after="0" w:line="240" w:lineRule="auto"/>
        <w:jc w:val="both"/>
        <w:rPr>
          <w:rFonts w:ascii="Arial" w:hAnsi="Arial" w:cs="Arial"/>
          <w:sz w:val="20"/>
          <w:szCs w:val="20"/>
          <w:lang w:val="es-MX"/>
        </w:rPr>
      </w:pPr>
      <w:r w:rsidRPr="00D3097B">
        <w:rPr>
          <w:rFonts w:ascii="Arial" w:hAnsi="Arial" w:cs="Arial"/>
          <w:b/>
          <w:bCs/>
          <w:color w:val="000000" w:themeColor="text1"/>
          <w:lang w:val="es-MX"/>
        </w:rPr>
        <w:t xml:space="preserve">FORMATO 9A − Promoción de Servicios Nacionales o con Trato Nacional − </w:t>
      </w:r>
      <w:proofErr w:type="spellStart"/>
      <w:r w:rsidRPr="00D3097B">
        <w:rPr>
          <w:rFonts w:ascii="Arial" w:hAnsi="Arial" w:cs="Arial"/>
          <w:b/>
          <w:bCs/>
          <w:color w:val="000000" w:themeColor="text1"/>
          <w:lang w:val="es-MX"/>
        </w:rPr>
        <w:t>Subsanabilidad</w:t>
      </w:r>
      <w:proofErr w:type="spellEnd"/>
    </w:p>
    <w:p w14:paraId="07214680" w14:textId="77777777" w:rsidR="00795F6F" w:rsidRPr="00D3097B" w:rsidRDefault="00795F6F" w:rsidP="0017786D">
      <w:pPr>
        <w:spacing w:after="0" w:line="240" w:lineRule="auto"/>
        <w:jc w:val="both"/>
        <w:rPr>
          <w:rFonts w:ascii="Arial" w:hAnsi="Arial" w:cs="Arial"/>
          <w:sz w:val="21"/>
          <w:szCs w:val="21"/>
          <w:lang w:val="es-MX" w:eastAsia="es-ES" w:bidi="en-US"/>
        </w:rPr>
      </w:pPr>
    </w:p>
    <w:p w14:paraId="229A584B" w14:textId="77777777" w:rsidR="00795F6F" w:rsidRPr="00D3097B" w:rsidRDefault="00795F6F" w:rsidP="0017786D">
      <w:pPr>
        <w:spacing w:after="120" w:line="276" w:lineRule="auto"/>
        <w:jc w:val="both"/>
        <w:rPr>
          <w:rFonts w:ascii="Arial" w:hAnsi="Arial" w:cs="Arial"/>
          <w:sz w:val="20"/>
          <w:szCs w:val="20"/>
          <w:lang w:val="es-MX" w:eastAsia="es-ES" w:bidi="en-US"/>
        </w:rPr>
      </w:pPr>
      <w:r w:rsidRPr="00D3097B">
        <w:rPr>
          <w:rFonts w:ascii="Arial" w:hAnsi="Arial" w:cs="Arial"/>
          <w:sz w:val="20"/>
          <w:szCs w:val="20"/>
          <w:lang w:val="es-MX" w:eastAsia="es-ES" w:bidi="en-US"/>
        </w:rPr>
        <w:t xml:space="preserve">Como se aprecia, el cuadro que diligenciará el proponente contiene los siguientes aspectos: i) No (corresponderán a tantos como bienes se ofrezcan), </w:t>
      </w:r>
      <w:proofErr w:type="spellStart"/>
      <w:r w:rsidRPr="00D3097B">
        <w:rPr>
          <w:rFonts w:ascii="Arial" w:hAnsi="Arial" w:cs="Arial"/>
          <w:sz w:val="20"/>
          <w:szCs w:val="20"/>
          <w:lang w:val="es-MX" w:eastAsia="es-ES" w:bidi="en-US"/>
        </w:rPr>
        <w:t>ii</w:t>
      </w:r>
      <w:proofErr w:type="spellEnd"/>
      <w:r w:rsidRPr="00D3097B">
        <w:rPr>
          <w:rFonts w:ascii="Arial" w:hAnsi="Arial" w:cs="Arial"/>
          <w:sz w:val="20"/>
          <w:szCs w:val="20"/>
          <w:lang w:val="es-MX" w:eastAsia="es-ES" w:bidi="en-US"/>
        </w:rPr>
        <w:t xml:space="preserve">) bien nacional relevante, </w:t>
      </w:r>
      <w:proofErr w:type="spellStart"/>
      <w:r w:rsidRPr="00D3097B">
        <w:rPr>
          <w:rFonts w:ascii="Arial" w:hAnsi="Arial" w:cs="Arial"/>
          <w:sz w:val="20"/>
          <w:szCs w:val="20"/>
          <w:lang w:val="es-MX" w:eastAsia="es-ES" w:bidi="en-US"/>
        </w:rPr>
        <w:t>iii</w:t>
      </w:r>
      <w:proofErr w:type="spellEnd"/>
      <w:r w:rsidRPr="00D3097B">
        <w:rPr>
          <w:rFonts w:ascii="Arial" w:hAnsi="Arial" w:cs="Arial"/>
          <w:sz w:val="20"/>
          <w:szCs w:val="20"/>
          <w:lang w:val="es-MX" w:eastAsia="es-ES" w:bidi="en-US"/>
        </w:rPr>
        <w:t xml:space="preserve">) fecha de inscripción, </w:t>
      </w:r>
      <w:proofErr w:type="spellStart"/>
      <w:r w:rsidRPr="00D3097B">
        <w:rPr>
          <w:rFonts w:ascii="Arial" w:hAnsi="Arial" w:cs="Arial"/>
          <w:sz w:val="20"/>
          <w:szCs w:val="20"/>
          <w:lang w:val="es-MX" w:eastAsia="es-ES" w:bidi="en-US"/>
        </w:rPr>
        <w:t>iv</w:t>
      </w:r>
      <w:proofErr w:type="spellEnd"/>
      <w:r w:rsidRPr="00D3097B">
        <w:rPr>
          <w:rFonts w:ascii="Arial" w:hAnsi="Arial" w:cs="Arial"/>
          <w:sz w:val="20"/>
          <w:szCs w:val="20"/>
          <w:lang w:val="es-MX" w:eastAsia="es-ES" w:bidi="en-US"/>
        </w:rPr>
        <w:t xml:space="preserve">) fecha de vigencia, v) No. de partida arancelaria, y vi) porcentaje (%) de participación. Esta tabla, se llenará de acuerdo con los bienes nacionales relevantes establecidos por la entidad en la Opción 1 del numeral 4.3.1 “Promoción de servicios nacional o con trato nacional” del documento base, y en consideración a los bienes nacionales relevantes que el proponente se compromete a incorporar durante la ejecución del contrato. En este sentido, el proponente podrá ofrecer uno, algunos o todos los bienes nacionales relevantes determinados por la entidad, los cuales, relacionará en la tabla dispuesta en la Opción 1 del “Formato 9A”, y, además, diligenciará por cada bien nacional relevante que ofrezca la información que se solicita en el cuadro. </w:t>
      </w:r>
    </w:p>
    <w:p w14:paraId="163A0D24" w14:textId="77777777" w:rsidR="00795F6F" w:rsidRPr="00D3097B" w:rsidRDefault="00795F6F" w:rsidP="0017786D">
      <w:pPr>
        <w:spacing w:after="120" w:line="276" w:lineRule="auto"/>
        <w:jc w:val="both"/>
        <w:rPr>
          <w:rFonts w:ascii="Arial" w:eastAsia="Arial" w:hAnsi="Arial" w:cs="Arial"/>
          <w:sz w:val="20"/>
          <w:szCs w:val="20"/>
          <w:lang w:eastAsia="es-MX"/>
        </w:rPr>
      </w:pPr>
      <w:r w:rsidRPr="00D3097B">
        <w:rPr>
          <w:rFonts w:ascii="Arial" w:hAnsi="Arial" w:cs="Arial"/>
          <w:sz w:val="20"/>
          <w:szCs w:val="20"/>
          <w:lang w:val="es-MX" w:eastAsia="es-ES" w:bidi="en-US"/>
        </w:rPr>
        <w:t xml:space="preserve">Ahora bien, en el evento que el proponente ofrezca uno, alguno o todos los bienes nacionales relevante de los dispuestos por la entidad en el documento base, y no diligencie completamente el contenido de la tabla, como la fecha de inscripción, fecha de vigencia, No. de partida arancelaria o porcentaje de participación, la entidad </w:t>
      </w:r>
      <w:r w:rsidRPr="00D3097B">
        <w:rPr>
          <w:rFonts w:ascii="Arial" w:eastAsia="Arial" w:hAnsi="Arial" w:cs="Arial"/>
          <w:sz w:val="20"/>
          <w:szCs w:val="20"/>
          <w:lang w:eastAsia="es-MX"/>
        </w:rPr>
        <w:t xml:space="preserve">podrá solicitar al proponente que aclare o precise la información que hace falta, teniendo en cuenta lo señalado en numeral 2.1 del presente concepto. No obstante, considerando que el proponente no puede completar, adicionar, modificar o mejorar su propuesta en los aspectos que otorgan puntaje, el proponente no podrá agregar otros bienes nacionales relevantes distintos a los que haya diligenciado al momento de la presentación del “Formato 9 A”. En todo caso, le corresponde a la entidad estatal como responsable del proceso de contratación determinar aquellos aspectos que puede aclarar o precisar el proponente en relación con su oferta sin que esto se constituya en una mejora.  </w:t>
      </w:r>
    </w:p>
    <w:p w14:paraId="4C16D407" w14:textId="77777777" w:rsidR="00795F6F" w:rsidRPr="00D3097B" w:rsidRDefault="00795F6F" w:rsidP="00795F6F">
      <w:pPr>
        <w:spacing w:after="0" w:line="240" w:lineRule="auto"/>
        <w:contextualSpacing/>
        <w:jc w:val="both"/>
        <w:rPr>
          <w:rFonts w:ascii="Arial" w:hAnsi="Arial" w:cs="Arial"/>
          <w:sz w:val="20"/>
          <w:szCs w:val="20"/>
          <w:lang w:val="es-MX"/>
        </w:rPr>
      </w:pPr>
    </w:p>
    <w:p w14:paraId="22D0E1FE" w14:textId="77777777" w:rsidR="00795F6F" w:rsidRDefault="00795F6F" w:rsidP="00795F6F">
      <w:pPr>
        <w:spacing w:after="0" w:line="276" w:lineRule="auto"/>
        <w:contextualSpacing/>
        <w:jc w:val="right"/>
        <w:rPr>
          <w:rFonts w:ascii="Arial" w:eastAsia="Calibri" w:hAnsi="Arial" w:cs="Arial"/>
          <w:b/>
          <w:bCs/>
          <w:color w:val="FF0000"/>
          <w:sz w:val="24"/>
          <w:lang w:val="es-ES_tradnl"/>
        </w:rPr>
      </w:pPr>
    </w:p>
    <w:p w14:paraId="76DADC50" w14:textId="77777777" w:rsidR="00136DC0" w:rsidRDefault="00136DC0" w:rsidP="00795F6F">
      <w:pPr>
        <w:spacing w:after="0" w:line="276" w:lineRule="auto"/>
        <w:contextualSpacing/>
        <w:jc w:val="right"/>
        <w:rPr>
          <w:rFonts w:ascii="Arial" w:eastAsia="Calibri" w:hAnsi="Arial" w:cs="Arial"/>
          <w:b/>
          <w:bCs/>
          <w:color w:val="FF0000"/>
          <w:sz w:val="24"/>
          <w:lang w:val="es-ES_tradnl"/>
        </w:rPr>
      </w:pPr>
    </w:p>
    <w:p w14:paraId="2ECB77C4" w14:textId="77777777" w:rsidR="00136DC0" w:rsidRPr="00D3097B" w:rsidRDefault="00136DC0" w:rsidP="00795F6F">
      <w:pPr>
        <w:spacing w:after="0" w:line="276" w:lineRule="auto"/>
        <w:contextualSpacing/>
        <w:jc w:val="right"/>
        <w:rPr>
          <w:rFonts w:ascii="Arial" w:eastAsia="Calibri" w:hAnsi="Arial" w:cs="Arial"/>
          <w:b/>
          <w:bCs/>
          <w:color w:val="FF0000"/>
          <w:sz w:val="24"/>
          <w:lang w:val="es-ES_tradnl"/>
        </w:rPr>
      </w:pPr>
    </w:p>
    <w:p w14:paraId="427A91C2" w14:textId="77777777" w:rsidR="00795F6F" w:rsidRPr="00D3097B" w:rsidRDefault="00795F6F" w:rsidP="00795F6F">
      <w:pPr>
        <w:spacing w:after="0" w:line="276" w:lineRule="auto"/>
        <w:contextualSpacing/>
        <w:jc w:val="right"/>
        <w:rPr>
          <w:rFonts w:ascii="Arial" w:eastAsia="Calibri" w:hAnsi="Arial" w:cs="Arial"/>
          <w:b/>
          <w:bCs/>
          <w:color w:val="FF0000"/>
          <w:sz w:val="24"/>
          <w:lang w:val="es-ES_tradnl"/>
        </w:rPr>
      </w:pPr>
    </w:p>
    <w:p w14:paraId="0155B862" w14:textId="77777777" w:rsidR="00AD2601" w:rsidRDefault="00AD2601" w:rsidP="00795F6F">
      <w:pPr>
        <w:spacing w:after="0" w:line="276" w:lineRule="auto"/>
        <w:contextualSpacing/>
        <w:jc w:val="right"/>
        <w:rPr>
          <w:rFonts w:ascii="Arial" w:eastAsia="Calibri" w:hAnsi="Arial" w:cs="Arial"/>
          <w:b/>
          <w:bCs/>
          <w:color w:val="FF0000"/>
          <w:sz w:val="24"/>
          <w:lang w:val="es-ES_tradnl"/>
        </w:rPr>
      </w:pPr>
    </w:p>
    <w:p w14:paraId="03798DEB" w14:textId="77777777" w:rsidR="00AD2601" w:rsidRDefault="00AD2601" w:rsidP="00795F6F">
      <w:pPr>
        <w:spacing w:after="0" w:line="276" w:lineRule="auto"/>
        <w:contextualSpacing/>
        <w:jc w:val="right"/>
        <w:rPr>
          <w:rFonts w:ascii="Arial" w:eastAsia="Calibri" w:hAnsi="Arial" w:cs="Arial"/>
          <w:b/>
          <w:bCs/>
          <w:color w:val="FF0000"/>
          <w:sz w:val="24"/>
          <w:lang w:val="es-ES_tradnl"/>
        </w:rPr>
      </w:pPr>
    </w:p>
    <w:p w14:paraId="414D5F5A" w14:textId="214F8AC1" w:rsidR="00AD2601" w:rsidRPr="00BF07D0" w:rsidRDefault="00BF07D0" w:rsidP="00BF07D0">
      <w:pPr>
        <w:tabs>
          <w:tab w:val="left" w:pos="802"/>
        </w:tabs>
        <w:spacing w:after="0" w:line="276" w:lineRule="auto"/>
        <w:contextualSpacing/>
        <w:rPr>
          <w:rFonts w:ascii="Arial" w:eastAsia="Calibri" w:hAnsi="Arial" w:cs="Arial"/>
          <w:b/>
          <w:bCs/>
          <w:color w:val="FF0000"/>
          <w:sz w:val="24"/>
          <w:lang w:val="es-ES_tradnl"/>
        </w:rPr>
      </w:pPr>
      <w:r w:rsidRPr="00BF07D0">
        <w:rPr>
          <w:rFonts w:ascii="Arial" w:hAnsi="Arial" w:cs="Arial"/>
        </w:rPr>
        <w:lastRenderedPageBreak/>
        <w:t>Bogotá, 24 Julio 2023</w:t>
      </w:r>
    </w:p>
    <w:p w14:paraId="15CE53EE" w14:textId="630905FB" w:rsidR="00795F6F" w:rsidRPr="00D3097B" w:rsidRDefault="00AD2601" w:rsidP="00795F6F">
      <w:pPr>
        <w:spacing w:after="0" w:line="276" w:lineRule="auto"/>
        <w:contextualSpacing/>
        <w:jc w:val="right"/>
        <w:rPr>
          <w:rFonts w:ascii="Arial" w:eastAsia="Calibri" w:hAnsi="Arial" w:cs="Arial"/>
          <w:b/>
          <w:bCs/>
          <w:color w:val="FF0000"/>
          <w:sz w:val="24"/>
          <w:lang w:val="es-ES_tradnl"/>
        </w:rPr>
      </w:pPr>
      <w:r>
        <w:rPr>
          <w:noProof/>
        </w:rPr>
        <w:drawing>
          <wp:inline distT="0" distB="0" distL="0" distR="0" wp14:anchorId="27F96E86" wp14:editId="067C20F5">
            <wp:extent cx="2119528" cy="595223"/>
            <wp:effectExtent l="0" t="0" r="0" b="0"/>
            <wp:docPr id="278917433"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17433" name="Imagen 1" descr="Interfaz de usuario gráfica, Aplicación&#10;&#10;Descripción generada automáticamente"/>
                    <pic:cNvPicPr/>
                  </pic:nvPicPr>
                  <pic:blipFill rotWithShape="1">
                    <a:blip r:embed="rId10"/>
                    <a:srcRect l="78713" t="40645" r="8696" b="48355"/>
                    <a:stretch/>
                  </pic:blipFill>
                  <pic:spPr bwMode="auto">
                    <a:xfrm>
                      <a:off x="0" y="0"/>
                      <a:ext cx="2147438" cy="603061"/>
                    </a:xfrm>
                    <a:prstGeom prst="rect">
                      <a:avLst/>
                    </a:prstGeom>
                    <a:ln>
                      <a:noFill/>
                    </a:ln>
                    <a:extLst>
                      <a:ext uri="{53640926-AAD7-44D8-BBD7-CCE9431645EC}">
                        <a14:shadowObscured xmlns:a14="http://schemas.microsoft.com/office/drawing/2010/main"/>
                      </a:ext>
                    </a:extLst>
                  </pic:spPr>
                </pic:pic>
              </a:graphicData>
            </a:graphic>
          </wp:inline>
        </w:drawing>
      </w:r>
    </w:p>
    <w:p w14:paraId="27769BF1" w14:textId="77777777" w:rsidR="00795F6F" w:rsidRPr="00D3097B" w:rsidRDefault="00795F6F" w:rsidP="00795F6F">
      <w:pPr>
        <w:spacing w:after="0" w:line="276" w:lineRule="auto"/>
        <w:contextualSpacing/>
        <w:jc w:val="right"/>
        <w:rPr>
          <w:rFonts w:ascii="Arial" w:eastAsia="Calibri" w:hAnsi="Arial" w:cs="Arial"/>
          <w:b/>
          <w:bCs/>
          <w:color w:val="FF0000"/>
          <w:sz w:val="24"/>
          <w:lang w:val="es-ES_tradnl"/>
        </w:rPr>
      </w:pPr>
    </w:p>
    <w:p w14:paraId="5D4753C7" w14:textId="77777777" w:rsidR="00303B8C" w:rsidRPr="00D3097B" w:rsidRDefault="00303B8C" w:rsidP="00795F6F">
      <w:pPr>
        <w:spacing w:after="0" w:line="240" w:lineRule="auto"/>
        <w:contextualSpacing/>
        <w:rPr>
          <w:rFonts w:ascii="Arial" w:eastAsia="Calibri" w:hAnsi="Arial" w:cs="Arial"/>
          <w:lang w:val="es-MX"/>
        </w:rPr>
      </w:pPr>
    </w:p>
    <w:p w14:paraId="070E3E95" w14:textId="6B3EA4DB" w:rsidR="00795F6F" w:rsidRPr="00D3097B" w:rsidRDefault="00795F6F" w:rsidP="00795F6F">
      <w:pPr>
        <w:spacing w:after="0" w:line="240" w:lineRule="auto"/>
        <w:contextualSpacing/>
        <w:rPr>
          <w:rFonts w:ascii="Arial" w:eastAsia="Calibri" w:hAnsi="Arial" w:cs="Arial"/>
          <w:lang w:val="es-MX"/>
        </w:rPr>
      </w:pPr>
      <w:r w:rsidRPr="00D3097B">
        <w:rPr>
          <w:rFonts w:ascii="Arial" w:eastAsia="Calibri" w:hAnsi="Arial" w:cs="Arial"/>
          <w:lang w:val="es-MX"/>
        </w:rPr>
        <w:t>Señora</w:t>
      </w:r>
    </w:p>
    <w:p w14:paraId="48839ADE" w14:textId="77777777" w:rsidR="00795F6F" w:rsidRPr="00D3097B" w:rsidRDefault="00795F6F" w:rsidP="00795F6F">
      <w:pPr>
        <w:spacing w:after="0" w:line="240" w:lineRule="auto"/>
        <w:contextualSpacing/>
        <w:rPr>
          <w:rFonts w:ascii="Arial" w:hAnsi="Arial" w:cs="Arial"/>
          <w:b/>
          <w:bCs/>
          <w:lang w:val="es-MX"/>
        </w:rPr>
      </w:pPr>
      <w:r w:rsidRPr="00D3097B">
        <w:rPr>
          <w:rFonts w:ascii="Arial" w:hAnsi="Arial" w:cs="Arial"/>
          <w:b/>
          <w:bCs/>
          <w:lang w:val="es-MX"/>
        </w:rPr>
        <w:t>Andrea Orjuela Melo</w:t>
      </w:r>
    </w:p>
    <w:p w14:paraId="7BD90E16" w14:textId="77777777" w:rsidR="00795F6F" w:rsidRPr="00D3097B" w:rsidRDefault="00795F6F" w:rsidP="00795F6F">
      <w:pPr>
        <w:spacing w:after="0" w:line="240" w:lineRule="auto"/>
        <w:contextualSpacing/>
        <w:rPr>
          <w:rFonts w:ascii="Arial" w:hAnsi="Arial" w:cs="Arial"/>
          <w:bCs/>
          <w:lang w:val="es-MX"/>
        </w:rPr>
      </w:pPr>
      <w:r w:rsidRPr="00D3097B">
        <w:rPr>
          <w:rFonts w:ascii="Arial" w:hAnsi="Arial" w:cs="Arial"/>
          <w:bCs/>
          <w:lang w:val="es-MX"/>
        </w:rPr>
        <w:t xml:space="preserve">Villavicencio, Meta </w:t>
      </w:r>
    </w:p>
    <w:p w14:paraId="50FE6138" w14:textId="77777777" w:rsidR="00795F6F" w:rsidRPr="00D3097B" w:rsidRDefault="00795F6F" w:rsidP="00795F6F">
      <w:pPr>
        <w:spacing w:after="0" w:line="240" w:lineRule="auto"/>
        <w:contextualSpacing/>
        <w:rPr>
          <w:rFonts w:ascii="Arial" w:hAnsi="Arial" w:cs="Arial"/>
          <w:bCs/>
          <w:lang w:val="es-MX"/>
        </w:rPr>
      </w:pPr>
    </w:p>
    <w:p w14:paraId="49E48BAB" w14:textId="77777777" w:rsidR="00795F6F" w:rsidRPr="00D3097B" w:rsidRDefault="00795F6F" w:rsidP="00795F6F">
      <w:pPr>
        <w:spacing w:after="0" w:line="240" w:lineRule="auto"/>
        <w:contextualSpacing/>
        <w:rPr>
          <w:rFonts w:ascii="Arial" w:hAnsi="Arial" w:cs="Arial"/>
          <w:bCs/>
          <w:lang w:val="es-MX"/>
        </w:rPr>
      </w:pPr>
    </w:p>
    <w:p w14:paraId="5FCEEF4B" w14:textId="77777777" w:rsidR="00795F6F" w:rsidRPr="00D3097B" w:rsidRDefault="00795F6F" w:rsidP="00795F6F">
      <w:pPr>
        <w:spacing w:after="0" w:line="240" w:lineRule="auto"/>
        <w:ind w:left="2124" w:firstLine="708"/>
        <w:contextualSpacing/>
        <w:rPr>
          <w:rFonts w:ascii="Arial" w:hAnsi="Arial" w:cs="Arial"/>
          <w:b/>
          <w:lang w:val="es-MX"/>
        </w:rPr>
      </w:pPr>
      <w:r w:rsidRPr="00D3097B">
        <w:rPr>
          <w:rFonts w:ascii="Arial" w:hAnsi="Arial" w:cs="Arial"/>
          <w:b/>
          <w:lang w:val="es-MX"/>
        </w:rPr>
        <w:t>Concepto C - 292 de 2023</w:t>
      </w:r>
    </w:p>
    <w:p w14:paraId="20BEF7B9" w14:textId="77777777" w:rsidR="00795F6F" w:rsidRPr="00D3097B" w:rsidRDefault="00795F6F" w:rsidP="00795F6F">
      <w:pPr>
        <w:spacing w:after="0" w:line="240" w:lineRule="auto"/>
        <w:contextualSpacing/>
        <w:jc w:val="both"/>
        <w:rPr>
          <w:rFonts w:ascii="Arial" w:hAnsi="Arial" w:cs="Arial"/>
          <w:bCs/>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795F6F" w:rsidRPr="00D3097B" w14:paraId="7F681427" w14:textId="77777777" w:rsidTr="003C5E83">
        <w:trPr>
          <w:trHeight w:val="1477"/>
        </w:trPr>
        <w:tc>
          <w:tcPr>
            <w:tcW w:w="2552" w:type="dxa"/>
            <w:hideMark/>
          </w:tcPr>
          <w:p w14:paraId="59324820" w14:textId="77777777" w:rsidR="00795F6F" w:rsidRPr="00D3097B" w:rsidRDefault="00795F6F" w:rsidP="00795F6F">
            <w:pPr>
              <w:contextualSpacing/>
              <w:jc w:val="both"/>
              <w:rPr>
                <w:rFonts w:ascii="Arial" w:hAnsi="Arial" w:cs="Arial"/>
                <w:b/>
                <w:lang w:val="es-MX"/>
              </w:rPr>
            </w:pPr>
            <w:r w:rsidRPr="00D3097B">
              <w:rPr>
                <w:rFonts w:ascii="Arial" w:hAnsi="Arial" w:cs="Arial"/>
                <w:b/>
                <w:lang w:val="es-MX"/>
              </w:rPr>
              <w:t xml:space="preserve">Temas:           </w:t>
            </w:r>
          </w:p>
          <w:p w14:paraId="7905DE3F" w14:textId="77777777" w:rsidR="00795F6F" w:rsidRPr="00D3097B" w:rsidRDefault="00795F6F" w:rsidP="00795F6F">
            <w:pPr>
              <w:contextualSpacing/>
              <w:jc w:val="both"/>
              <w:rPr>
                <w:rFonts w:ascii="Arial" w:hAnsi="Arial" w:cs="Arial"/>
                <w:bCs/>
                <w:lang w:val="es-MX"/>
              </w:rPr>
            </w:pPr>
            <w:r w:rsidRPr="00D3097B">
              <w:rPr>
                <w:rFonts w:ascii="Arial" w:hAnsi="Arial" w:cs="Arial"/>
                <w:bCs/>
                <w:lang w:val="es-MX"/>
              </w:rPr>
              <w:t xml:space="preserve">                           </w:t>
            </w:r>
          </w:p>
        </w:tc>
        <w:tc>
          <w:tcPr>
            <w:tcW w:w="6374" w:type="dxa"/>
            <w:shd w:val="clear" w:color="auto" w:fill="auto"/>
            <w:hideMark/>
          </w:tcPr>
          <w:p w14:paraId="712C02EE" w14:textId="77777777" w:rsidR="00795F6F" w:rsidRPr="00D3097B" w:rsidRDefault="00795F6F" w:rsidP="00795F6F">
            <w:pPr>
              <w:contextualSpacing/>
              <w:jc w:val="both"/>
              <w:rPr>
                <w:rFonts w:ascii="Arial" w:hAnsi="Arial" w:cs="Arial"/>
                <w:sz w:val="20"/>
                <w:szCs w:val="20"/>
                <w:lang w:val="es-MX"/>
              </w:rPr>
            </w:pPr>
            <w:r w:rsidRPr="00D3097B">
              <w:rPr>
                <w:rFonts w:ascii="Arial" w:eastAsia="Calibri" w:hAnsi="Arial" w:cs="Arial"/>
                <w:bCs/>
                <w:sz w:val="24"/>
                <w:lang w:val="es-ES"/>
              </w:rPr>
              <w:t xml:space="preserve">SUBSANABILIDAD – Concepto – Límites / </w:t>
            </w:r>
            <w:r w:rsidRPr="00D3097B">
              <w:rPr>
                <w:rFonts w:ascii="Arial" w:eastAsia="Calibri" w:hAnsi="Arial" w:cs="Arial"/>
                <w:lang w:val="es-ES_tradnl"/>
              </w:rPr>
              <w:t>DECRETO 680 DE 2021 – Regla de origen – Criterios – Identificación – Bienes nacionales relevantes</w:t>
            </w:r>
            <w:r w:rsidRPr="00D3097B">
              <w:rPr>
                <w:rFonts w:ascii="Arial" w:eastAsia="Calibri" w:hAnsi="Arial" w:cs="Arial"/>
                <w:sz w:val="24"/>
                <w:lang w:val="es-ES_tradnl"/>
              </w:rPr>
              <w:t xml:space="preserve"> / </w:t>
            </w:r>
            <w:r w:rsidRPr="00D3097B">
              <w:rPr>
                <w:rFonts w:ascii="Arial" w:eastAsia="Calibri" w:hAnsi="Arial" w:cs="Arial"/>
                <w:lang w:val="es-ES_tradnl"/>
              </w:rPr>
              <w:t>PUNTAJE POR SERVICIOS NACIONALES O CON TRATO NACIONAL – Documentos tipo – Decreto 680 de 2021</w:t>
            </w:r>
            <w:r w:rsidRPr="00D3097B">
              <w:rPr>
                <w:rFonts w:ascii="Arial" w:eastAsia="Calibri" w:hAnsi="Arial" w:cs="Arial"/>
                <w:sz w:val="24"/>
                <w:lang w:val="es-ES_tradnl"/>
              </w:rPr>
              <w:t xml:space="preserve"> / </w:t>
            </w:r>
            <w:r w:rsidRPr="00D3097B">
              <w:rPr>
                <w:rFonts w:ascii="Arial" w:eastAsia="Calibri" w:hAnsi="Arial" w:cs="Arial"/>
                <w:lang w:val="es-ES_tradnl"/>
              </w:rPr>
              <w:t xml:space="preserve">PUNTAJE POR SERVICIOS NACIONALES O CON TRATO NACIONAL – Documentos tipo – </w:t>
            </w:r>
            <w:r w:rsidRPr="00D3097B">
              <w:rPr>
                <w:rFonts w:ascii="Arial" w:hAnsi="Arial" w:cs="Arial"/>
                <w:lang w:val="es-MX"/>
              </w:rPr>
              <w:t>Documentos tipo para licitación de obra pública de infraestructura de transporte</w:t>
            </w:r>
            <w:r w:rsidRPr="00D3097B">
              <w:rPr>
                <w:rFonts w:ascii="Arial" w:hAnsi="Arial" w:cs="Arial"/>
                <w:sz w:val="24"/>
                <w:lang w:val="es-MX"/>
              </w:rPr>
              <w:t xml:space="preserve"> / </w:t>
            </w:r>
            <w:r w:rsidRPr="00D3097B">
              <w:rPr>
                <w:rFonts w:ascii="Arial" w:eastAsia="Calibri" w:hAnsi="Arial" w:cs="Arial"/>
                <w:lang w:val="es-ES_tradnl"/>
              </w:rPr>
              <w:t xml:space="preserve">PUNTAJE POR SERVICIOS NACIONALES O CON TRATO NACIONAL – Documentos tipo – </w:t>
            </w:r>
            <w:r w:rsidRPr="00D3097B">
              <w:rPr>
                <w:rFonts w:ascii="Arial" w:hAnsi="Arial" w:cs="Arial"/>
                <w:lang w:val="es-MX"/>
              </w:rPr>
              <w:t>Documentos tipo para licitación de obra pública de infraestructura de transporte – Formato 9</w:t>
            </w:r>
            <w:r w:rsidRPr="00D3097B">
              <w:rPr>
                <w:rFonts w:ascii="Arial" w:hAnsi="Arial" w:cs="Arial"/>
                <w:sz w:val="24"/>
                <w:lang w:val="es-MX"/>
              </w:rPr>
              <w:t xml:space="preserve"> / </w:t>
            </w:r>
            <w:r w:rsidRPr="00D3097B">
              <w:rPr>
                <w:rFonts w:ascii="Arial" w:eastAsia="Calibri" w:hAnsi="Arial" w:cs="Arial"/>
                <w:lang w:val="es-ES_tradnl"/>
              </w:rPr>
              <w:t xml:space="preserve">PUNTAJE POR SERVICIOS NACIONALES O CON TRATO NACIONAL – Documentos tipo – </w:t>
            </w:r>
            <w:r w:rsidRPr="00D3097B">
              <w:rPr>
                <w:rFonts w:ascii="Arial" w:hAnsi="Arial" w:cs="Arial"/>
                <w:lang w:val="es-MX"/>
              </w:rPr>
              <w:t xml:space="preserve">Documentos tipo para licitación de obra pública de infraestructura de transporte – Formato 9 / </w:t>
            </w:r>
            <w:r w:rsidRPr="00D3097B">
              <w:rPr>
                <w:rFonts w:ascii="Arial" w:hAnsi="Arial" w:cs="Arial"/>
                <w:color w:val="000000" w:themeColor="text1"/>
                <w:lang w:val="es-MX"/>
              </w:rPr>
              <w:t xml:space="preserve">FORMATO 9A − Promoción de Servicios Nacionales o con Trato Nacional − </w:t>
            </w:r>
            <w:proofErr w:type="spellStart"/>
            <w:r w:rsidRPr="00D3097B">
              <w:rPr>
                <w:rFonts w:ascii="Arial" w:hAnsi="Arial" w:cs="Arial"/>
                <w:color w:val="000000" w:themeColor="text1"/>
                <w:lang w:val="es-MX"/>
              </w:rPr>
              <w:t>Subsanabilidad</w:t>
            </w:r>
            <w:proofErr w:type="spellEnd"/>
          </w:p>
          <w:p w14:paraId="407961F7" w14:textId="77777777" w:rsidR="00795F6F" w:rsidRPr="00D3097B" w:rsidRDefault="00795F6F" w:rsidP="00795F6F">
            <w:pPr>
              <w:tabs>
                <w:tab w:val="left" w:pos="0"/>
              </w:tabs>
              <w:contextualSpacing/>
              <w:jc w:val="both"/>
              <w:rPr>
                <w:rFonts w:ascii="Arial" w:eastAsia="Calibri" w:hAnsi="Arial" w:cs="Arial"/>
                <w:sz w:val="20"/>
                <w:szCs w:val="20"/>
                <w:lang w:val="es-MX"/>
              </w:rPr>
            </w:pPr>
          </w:p>
          <w:p w14:paraId="0BB0242A" w14:textId="77777777" w:rsidR="00795F6F" w:rsidRPr="00D3097B" w:rsidRDefault="00795F6F" w:rsidP="00795F6F">
            <w:pPr>
              <w:contextualSpacing/>
              <w:jc w:val="both"/>
              <w:rPr>
                <w:rFonts w:ascii="Arial" w:hAnsi="Arial" w:cs="Arial"/>
                <w:sz w:val="24"/>
                <w:highlight w:val="yellow"/>
                <w:lang w:val="es-MX"/>
              </w:rPr>
            </w:pPr>
          </w:p>
        </w:tc>
      </w:tr>
      <w:tr w:rsidR="00795F6F" w:rsidRPr="00D3097B" w14:paraId="21794CFF" w14:textId="77777777" w:rsidTr="003C5E83">
        <w:tc>
          <w:tcPr>
            <w:tcW w:w="2552" w:type="dxa"/>
          </w:tcPr>
          <w:p w14:paraId="56DA2583" w14:textId="77777777" w:rsidR="00795F6F" w:rsidRPr="00D3097B" w:rsidRDefault="00795F6F" w:rsidP="00795F6F">
            <w:pPr>
              <w:contextualSpacing/>
              <w:jc w:val="both"/>
              <w:rPr>
                <w:rFonts w:ascii="Arial" w:hAnsi="Arial" w:cs="Arial"/>
                <w:b/>
                <w:lang w:val="es-MX"/>
              </w:rPr>
            </w:pPr>
            <w:r w:rsidRPr="00D3097B">
              <w:rPr>
                <w:rFonts w:ascii="Arial" w:hAnsi="Arial" w:cs="Arial"/>
                <w:b/>
                <w:lang w:val="es-MX"/>
              </w:rPr>
              <w:t xml:space="preserve">Radicación:                              </w:t>
            </w:r>
          </w:p>
        </w:tc>
        <w:tc>
          <w:tcPr>
            <w:tcW w:w="6374" w:type="dxa"/>
          </w:tcPr>
          <w:p w14:paraId="09DDEA7C" w14:textId="77777777" w:rsidR="00795F6F" w:rsidRPr="00D3097B" w:rsidRDefault="00795F6F" w:rsidP="00795F6F">
            <w:pPr>
              <w:contextualSpacing/>
              <w:jc w:val="both"/>
              <w:rPr>
                <w:rFonts w:ascii="Arial" w:hAnsi="Arial" w:cs="Arial"/>
                <w:bCs/>
                <w:lang w:val="es-MX"/>
              </w:rPr>
            </w:pPr>
            <w:r w:rsidRPr="00D3097B">
              <w:rPr>
                <w:rFonts w:ascii="Arial" w:hAnsi="Arial" w:cs="Arial"/>
                <w:bCs/>
                <w:lang w:val="es-MX"/>
              </w:rPr>
              <w:t xml:space="preserve">Respuesta a la consulta No. </w:t>
            </w:r>
            <w:r w:rsidRPr="00D3097B">
              <w:rPr>
                <w:rFonts w:ascii="Arial" w:hAnsi="Arial" w:cs="Arial"/>
                <w:color w:val="000000"/>
                <w:lang w:val="es-MX"/>
              </w:rPr>
              <w:t>P20230606012045</w:t>
            </w:r>
          </w:p>
        </w:tc>
      </w:tr>
    </w:tbl>
    <w:p w14:paraId="458BA415" w14:textId="77777777" w:rsidR="00795F6F" w:rsidRPr="00D3097B" w:rsidRDefault="00795F6F" w:rsidP="00795F6F">
      <w:pPr>
        <w:spacing w:after="0" w:line="240" w:lineRule="auto"/>
        <w:contextualSpacing/>
        <w:rPr>
          <w:rFonts w:ascii="Arial" w:eastAsia="Calibri" w:hAnsi="Arial" w:cs="Arial"/>
          <w:sz w:val="24"/>
          <w:lang w:val="es-MX"/>
        </w:rPr>
      </w:pPr>
    </w:p>
    <w:p w14:paraId="1922A47B" w14:textId="77777777" w:rsidR="00795F6F" w:rsidRPr="00D3097B" w:rsidRDefault="00795F6F" w:rsidP="00795F6F">
      <w:pPr>
        <w:spacing w:after="0" w:line="240" w:lineRule="auto"/>
        <w:ind w:right="49"/>
        <w:contextualSpacing/>
        <w:jc w:val="both"/>
        <w:rPr>
          <w:rFonts w:ascii="Arial" w:eastAsia="Calibri" w:hAnsi="Arial" w:cs="Arial"/>
          <w:sz w:val="24"/>
          <w:lang w:val="es-MX"/>
        </w:rPr>
      </w:pPr>
    </w:p>
    <w:p w14:paraId="610CB6E8" w14:textId="77777777" w:rsidR="00795F6F" w:rsidRPr="00D3097B" w:rsidRDefault="00795F6F" w:rsidP="00795F6F">
      <w:pPr>
        <w:spacing w:after="0" w:line="276" w:lineRule="auto"/>
        <w:ind w:right="49"/>
        <w:contextualSpacing/>
        <w:jc w:val="both"/>
        <w:rPr>
          <w:rFonts w:ascii="Arial" w:eastAsia="Calibri" w:hAnsi="Arial" w:cs="Arial"/>
          <w:sz w:val="24"/>
          <w:lang w:val="es-MX"/>
        </w:rPr>
      </w:pPr>
      <w:r w:rsidRPr="00D3097B">
        <w:rPr>
          <w:rFonts w:ascii="Arial" w:eastAsia="Calibri" w:hAnsi="Arial" w:cs="Arial"/>
          <w:sz w:val="24"/>
          <w:lang w:val="es-MX"/>
        </w:rPr>
        <w:t>Estimada señora</w:t>
      </w:r>
      <w:r w:rsidRPr="00D3097B">
        <w:rPr>
          <w:rFonts w:ascii="Arial" w:hAnsi="Arial" w:cs="Arial"/>
          <w:b/>
          <w:bCs/>
          <w:lang w:val="es-MX"/>
        </w:rPr>
        <w:t xml:space="preserve"> </w:t>
      </w:r>
      <w:r w:rsidRPr="00D3097B">
        <w:rPr>
          <w:rFonts w:ascii="Arial" w:hAnsi="Arial" w:cs="Arial"/>
          <w:lang w:val="es-MX"/>
        </w:rPr>
        <w:t>Orjuela Melo</w:t>
      </w:r>
      <w:r w:rsidRPr="00D3097B">
        <w:rPr>
          <w:rFonts w:ascii="Arial" w:eastAsia="Calibri" w:hAnsi="Arial" w:cs="Arial"/>
          <w:sz w:val="24"/>
          <w:lang w:val="es-MX"/>
        </w:rPr>
        <w:t xml:space="preserve">: </w:t>
      </w:r>
    </w:p>
    <w:p w14:paraId="3FD1D346" w14:textId="77777777" w:rsidR="00795F6F" w:rsidRPr="00D3097B" w:rsidRDefault="00795F6F" w:rsidP="00795F6F">
      <w:pPr>
        <w:spacing w:after="0" w:line="276" w:lineRule="auto"/>
        <w:contextualSpacing/>
        <w:rPr>
          <w:rFonts w:ascii="Arial" w:eastAsia="Calibri" w:hAnsi="Arial" w:cs="Arial"/>
          <w:lang w:val="es-MX"/>
        </w:rPr>
      </w:pPr>
    </w:p>
    <w:p w14:paraId="6FA2FAF8" w14:textId="77777777" w:rsidR="00795F6F" w:rsidRPr="00D3097B" w:rsidRDefault="00795F6F" w:rsidP="00795F6F">
      <w:pPr>
        <w:spacing w:after="0" w:line="276" w:lineRule="auto"/>
        <w:contextualSpacing/>
        <w:jc w:val="both"/>
        <w:rPr>
          <w:rFonts w:ascii="Arial" w:eastAsia="Calibri" w:hAnsi="Arial" w:cs="Arial"/>
          <w:lang w:val="es-ES_tradnl"/>
        </w:rPr>
      </w:pPr>
      <w:r w:rsidRPr="00D3097B">
        <w:rPr>
          <w:rFonts w:ascii="Arial" w:eastAsia="Calibri" w:hAnsi="Arial" w:cs="Arial"/>
          <w:lang w:val="es-ES_tradnl"/>
        </w:rPr>
        <w:t xml:space="preserve">En ejercicio de la competencia otorgada por el numeral 8° del artículo 11 y el numeral 5° del artículo 3 del Decreto Ley 4170 de 2011, la Agencia Nacional de Contratación Pública ― Colombia Compra Eficiente responde su consulta del 6 de junio de 2023. </w:t>
      </w:r>
    </w:p>
    <w:p w14:paraId="5A82F46D" w14:textId="77777777" w:rsidR="00795F6F" w:rsidRPr="00D3097B" w:rsidRDefault="00795F6F" w:rsidP="00795F6F">
      <w:pPr>
        <w:spacing w:after="0" w:line="276" w:lineRule="auto"/>
        <w:contextualSpacing/>
        <w:jc w:val="both"/>
        <w:rPr>
          <w:rFonts w:ascii="Arial" w:eastAsia="Calibri" w:hAnsi="Arial" w:cs="Arial"/>
          <w:lang w:val="es-MX"/>
        </w:rPr>
      </w:pPr>
    </w:p>
    <w:p w14:paraId="6CE7EF02" w14:textId="77777777" w:rsidR="00795F6F" w:rsidRPr="00D3097B" w:rsidRDefault="00795F6F" w:rsidP="00795F6F">
      <w:pPr>
        <w:tabs>
          <w:tab w:val="left" w:pos="284"/>
        </w:tabs>
        <w:spacing w:after="0" w:line="276" w:lineRule="auto"/>
        <w:contextualSpacing/>
        <w:jc w:val="both"/>
        <w:rPr>
          <w:rFonts w:ascii="Arial" w:eastAsia="Calibri" w:hAnsi="Arial" w:cs="Arial"/>
          <w:b/>
          <w:lang w:val="es-ES"/>
        </w:rPr>
      </w:pPr>
      <w:r w:rsidRPr="00D3097B">
        <w:rPr>
          <w:rFonts w:ascii="Arial" w:eastAsia="Calibri" w:hAnsi="Arial" w:cs="Arial"/>
          <w:b/>
          <w:lang w:val="es-ES"/>
        </w:rPr>
        <w:t>1. Problema planteado</w:t>
      </w:r>
    </w:p>
    <w:p w14:paraId="18C911C5" w14:textId="77777777" w:rsidR="00795F6F" w:rsidRPr="00D3097B" w:rsidRDefault="00795F6F" w:rsidP="00795F6F">
      <w:pPr>
        <w:tabs>
          <w:tab w:val="left" w:pos="426"/>
        </w:tabs>
        <w:spacing w:after="0" w:line="276" w:lineRule="auto"/>
        <w:contextualSpacing/>
        <w:jc w:val="both"/>
        <w:rPr>
          <w:rFonts w:ascii="Arial" w:eastAsia="Calibri" w:hAnsi="Arial" w:cs="Arial"/>
          <w:b/>
          <w:lang w:val="es-MX"/>
        </w:rPr>
      </w:pPr>
    </w:p>
    <w:p w14:paraId="74BB77B9" w14:textId="77777777" w:rsidR="00795F6F" w:rsidRPr="00D3097B" w:rsidRDefault="00795F6F" w:rsidP="00795F6F">
      <w:pPr>
        <w:spacing w:after="0" w:line="276" w:lineRule="auto"/>
        <w:contextualSpacing/>
        <w:jc w:val="both"/>
        <w:rPr>
          <w:rFonts w:ascii="Arial" w:eastAsia="Calibri" w:hAnsi="Arial" w:cs="Arial"/>
          <w:lang w:val="es-MX"/>
        </w:rPr>
      </w:pPr>
      <w:bookmarkStart w:id="4" w:name="_Hlk86132155"/>
      <w:bookmarkStart w:id="5" w:name="_Hlk94037257"/>
      <w:r w:rsidRPr="00D3097B">
        <w:rPr>
          <w:rFonts w:ascii="Arial" w:hAnsi="Arial" w:cs="Arial"/>
          <w:lang w:val="es-ES_tradnl"/>
        </w:rPr>
        <w:t xml:space="preserve">Respecto a la asignación de puntaje por servicios nacionales consagrada en los </w:t>
      </w:r>
      <w:r w:rsidRPr="00D3097B">
        <w:rPr>
          <w:rFonts w:ascii="Arial" w:hAnsi="Arial" w:cs="Arial"/>
          <w:sz w:val="24"/>
          <w:lang w:val="es-ES_tradnl"/>
        </w:rPr>
        <w:t>d</w:t>
      </w:r>
      <w:r w:rsidRPr="00D3097B">
        <w:rPr>
          <w:rFonts w:ascii="Arial" w:hAnsi="Arial" w:cs="Arial"/>
          <w:lang w:val="es-ES_tradnl"/>
        </w:rPr>
        <w:t xml:space="preserve">ocumentos </w:t>
      </w:r>
      <w:r w:rsidRPr="00D3097B">
        <w:rPr>
          <w:rFonts w:ascii="Arial" w:hAnsi="Arial" w:cs="Arial"/>
          <w:sz w:val="24"/>
          <w:lang w:val="es-ES_tradnl"/>
        </w:rPr>
        <w:t>t</w:t>
      </w:r>
      <w:r w:rsidRPr="00D3097B">
        <w:rPr>
          <w:rFonts w:ascii="Arial" w:hAnsi="Arial" w:cs="Arial"/>
          <w:lang w:val="es-ES_tradnl"/>
        </w:rPr>
        <w:t>ipo y su forma de acreditación, usted realiza la siguiente consulta:</w:t>
      </w:r>
      <w:r w:rsidRPr="00D3097B">
        <w:rPr>
          <w:rFonts w:ascii="Arial" w:eastAsia="Calibri" w:hAnsi="Arial" w:cs="Arial"/>
          <w:lang w:val="es-MX"/>
        </w:rPr>
        <w:t xml:space="preserve"> </w:t>
      </w:r>
    </w:p>
    <w:p w14:paraId="56ECE725" w14:textId="77777777" w:rsidR="00795F6F" w:rsidRPr="00D3097B" w:rsidRDefault="00795F6F" w:rsidP="00795F6F">
      <w:pPr>
        <w:spacing w:after="0" w:line="276" w:lineRule="auto"/>
        <w:contextualSpacing/>
        <w:jc w:val="both"/>
        <w:rPr>
          <w:rFonts w:ascii="Arial" w:eastAsia="Calibri" w:hAnsi="Arial" w:cs="Arial"/>
          <w:lang w:val="es-MX"/>
        </w:rPr>
      </w:pPr>
    </w:p>
    <w:bookmarkEnd w:id="4"/>
    <w:bookmarkEnd w:id="5"/>
    <w:p w14:paraId="596C68DB" w14:textId="77777777" w:rsidR="00795F6F" w:rsidRPr="00D3097B" w:rsidRDefault="00795F6F" w:rsidP="00795F6F">
      <w:pPr>
        <w:tabs>
          <w:tab w:val="left" w:pos="426"/>
        </w:tabs>
        <w:spacing w:after="120" w:line="240" w:lineRule="auto"/>
        <w:ind w:left="709" w:right="709"/>
        <w:jc w:val="both"/>
        <w:rPr>
          <w:rFonts w:ascii="Arial" w:eastAsia="Calibri" w:hAnsi="Arial" w:cs="Arial"/>
          <w:sz w:val="21"/>
          <w:szCs w:val="21"/>
          <w:lang w:val="es-MX"/>
        </w:rPr>
      </w:pPr>
      <w:r w:rsidRPr="00D3097B">
        <w:rPr>
          <w:rFonts w:ascii="Arial" w:eastAsia="Calibri" w:hAnsi="Arial" w:cs="Arial"/>
          <w:sz w:val="21"/>
          <w:szCs w:val="21"/>
          <w:lang w:val="es-MX"/>
        </w:rPr>
        <w:t xml:space="preserve">“ (…) de acuerdo al apoyo a la industria de los procesos de pliego tipo, la entidad tiene 3 opciones, de las cuales 2 son las más utilizadas, </w:t>
      </w:r>
      <w:proofErr w:type="spellStart"/>
      <w:r w:rsidRPr="00D3097B">
        <w:rPr>
          <w:rFonts w:ascii="Arial" w:eastAsia="Calibri" w:hAnsi="Arial" w:cs="Arial"/>
          <w:sz w:val="21"/>
          <w:szCs w:val="21"/>
          <w:lang w:val="es-MX"/>
        </w:rPr>
        <w:t>esta</w:t>
      </w:r>
      <w:proofErr w:type="spellEnd"/>
      <w:r w:rsidRPr="00D3097B">
        <w:rPr>
          <w:rFonts w:ascii="Arial" w:eastAsia="Calibri" w:hAnsi="Arial" w:cs="Arial"/>
          <w:sz w:val="21"/>
          <w:szCs w:val="21"/>
          <w:lang w:val="es-MX"/>
        </w:rPr>
        <w:t xml:space="preserve"> la opción de bienes relevantes y % de empleados nacionales; de acuerdo a la opción de bienes relevantes en su formato 9A se debe diligenciar el o los bien nacional relevante, fecha de inscripción, fecha de vigencia, </w:t>
      </w:r>
      <w:proofErr w:type="spellStart"/>
      <w:r w:rsidRPr="00D3097B">
        <w:rPr>
          <w:rFonts w:ascii="Arial" w:eastAsia="Calibri" w:hAnsi="Arial" w:cs="Arial"/>
          <w:sz w:val="21"/>
          <w:szCs w:val="21"/>
          <w:lang w:val="es-MX"/>
        </w:rPr>
        <w:t>N°</w:t>
      </w:r>
      <w:proofErr w:type="spellEnd"/>
      <w:r w:rsidRPr="00D3097B">
        <w:rPr>
          <w:rFonts w:ascii="Arial" w:eastAsia="Calibri" w:hAnsi="Arial" w:cs="Arial"/>
          <w:sz w:val="21"/>
          <w:szCs w:val="21"/>
          <w:lang w:val="es-MX"/>
        </w:rPr>
        <w:t xml:space="preserve"> de partida arancelaria, % de participación, de cada uno de los bienes que la entidad haya suministrado en el pliego (después de la evaluación que hacen para generar los bienes). pregunto, en el caso de que un oferente al presentar el formato y no diligencie la fecha de inscripción y/o vigencia o no diligencia alguna de las casillas que se deben diligenciar este se le debe otorgar el puntaje, claramente si es un solo bien y no diligencia alguna de las casillas la entidad le puede otorgar el puntaje, teniendo en cuenta que por donde se observé el pliego expresa que se debe diligenciar debidamente.</w:t>
      </w:r>
    </w:p>
    <w:p w14:paraId="2EFF8169" w14:textId="77777777" w:rsidR="00795F6F" w:rsidRPr="00D3097B" w:rsidRDefault="00795F6F" w:rsidP="00795F6F">
      <w:pPr>
        <w:autoSpaceDE w:val="0"/>
        <w:autoSpaceDN w:val="0"/>
        <w:adjustRightInd w:val="0"/>
        <w:spacing w:after="0" w:line="240" w:lineRule="auto"/>
        <w:ind w:left="709" w:right="709"/>
        <w:jc w:val="both"/>
        <w:rPr>
          <w:rFonts w:ascii="Arial" w:hAnsi="Arial" w:cs="Arial"/>
          <w:sz w:val="21"/>
          <w:szCs w:val="21"/>
          <w14:ligatures w14:val="standardContextual"/>
        </w:rPr>
      </w:pPr>
      <w:r w:rsidRPr="00D3097B">
        <w:rPr>
          <w:rFonts w:ascii="Arial" w:hAnsi="Arial" w:cs="Arial"/>
          <w:sz w:val="21"/>
          <w:szCs w:val="21"/>
          <w14:ligatures w14:val="standardContextual"/>
        </w:rPr>
        <w:t xml:space="preserve">Así mismo, en la propuesta acompañado del formato 9A debe ir el certificado de existencia y representación legal y/o cedula según corresponda, en el caso de que una persona jurídica tenga la obligación de tener revisor fiscal y no lo tenga, deberá subsanar su certificado con el revisor fiscal nombrado. pregunta, ¿al momento de la empresa subsanar el certificado de existencia y representación legal, ya no se le otorgaría el puntaje de apoyo a la industria teniendo en cuenta que tuvo que subsanar el certificado?”. </w:t>
      </w:r>
    </w:p>
    <w:p w14:paraId="1B14698C" w14:textId="77777777" w:rsidR="00795F6F" w:rsidRPr="00D3097B" w:rsidRDefault="00795F6F" w:rsidP="00795F6F">
      <w:pPr>
        <w:autoSpaceDE w:val="0"/>
        <w:autoSpaceDN w:val="0"/>
        <w:adjustRightInd w:val="0"/>
        <w:spacing w:after="0" w:line="240" w:lineRule="auto"/>
        <w:rPr>
          <w:rFonts w:ascii="Arial" w:hAnsi="Arial" w:cs="Arial"/>
          <w:sz w:val="24"/>
          <w:szCs w:val="24"/>
          <w14:ligatures w14:val="standardContextual"/>
        </w:rPr>
      </w:pPr>
    </w:p>
    <w:p w14:paraId="7921CF83" w14:textId="77777777" w:rsidR="00795F6F" w:rsidRPr="00D3097B" w:rsidRDefault="00795F6F" w:rsidP="00795F6F">
      <w:pPr>
        <w:autoSpaceDE w:val="0"/>
        <w:autoSpaceDN w:val="0"/>
        <w:adjustRightInd w:val="0"/>
        <w:spacing w:after="0" w:line="240" w:lineRule="auto"/>
        <w:rPr>
          <w:rFonts w:ascii="Arial" w:hAnsi="Arial" w:cs="Arial"/>
          <w:sz w:val="24"/>
          <w:szCs w:val="24"/>
          <w14:ligatures w14:val="standardContextual"/>
        </w:rPr>
      </w:pPr>
      <w:r w:rsidRPr="00D3097B">
        <w:rPr>
          <w:rFonts w:ascii="Arial" w:eastAsia="Calibri" w:hAnsi="Arial" w:cs="Arial"/>
          <w:b/>
          <w:sz w:val="24"/>
          <w:lang w:val="es-MX"/>
        </w:rPr>
        <w:t>2. Consideraciones</w:t>
      </w:r>
    </w:p>
    <w:bookmarkEnd w:id="0"/>
    <w:p w14:paraId="2122C283" w14:textId="77777777" w:rsidR="00795F6F" w:rsidRPr="00D3097B" w:rsidRDefault="00795F6F" w:rsidP="00795F6F">
      <w:pPr>
        <w:spacing w:after="0" w:line="276" w:lineRule="auto"/>
        <w:contextualSpacing/>
        <w:jc w:val="both"/>
        <w:rPr>
          <w:rFonts w:ascii="Arial" w:hAnsi="Arial" w:cs="Arial"/>
          <w:sz w:val="24"/>
          <w:lang w:val="es-MX"/>
        </w:rPr>
      </w:pPr>
    </w:p>
    <w:p w14:paraId="70DB04D1" w14:textId="77777777" w:rsidR="00842D09" w:rsidRPr="00D3097B" w:rsidRDefault="00842D09" w:rsidP="00842D09">
      <w:pPr>
        <w:pStyle w:val="paragraph"/>
        <w:spacing w:before="0" w:beforeAutospacing="0" w:after="0" w:afterAutospacing="0"/>
        <w:jc w:val="both"/>
        <w:textAlignment w:val="baseline"/>
        <w:rPr>
          <w:rStyle w:val="eop"/>
          <w:rFonts w:ascii="Arial" w:hAnsi="Arial" w:cs="Arial"/>
          <w:sz w:val="22"/>
          <w:szCs w:val="22"/>
        </w:rPr>
      </w:pPr>
      <w:r w:rsidRPr="00D3097B">
        <w:rPr>
          <w:rStyle w:val="normaltextrun"/>
          <w:rFonts w:ascii="Arial" w:hAnsi="Arial" w:cs="Arial"/>
          <w:sz w:val="22"/>
          <w:szCs w:val="22"/>
          <w:lang w:val="es-MX"/>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D3097B">
        <w:rPr>
          <w:rStyle w:val="superscript"/>
          <w:rFonts w:ascii="Arial" w:hAnsi="Arial" w:cs="Arial"/>
          <w:sz w:val="17"/>
          <w:szCs w:val="17"/>
          <w:vertAlign w:val="superscript"/>
          <w:lang w:val="es-MX"/>
        </w:rPr>
        <w:t>1</w:t>
      </w:r>
      <w:r w:rsidRPr="00D3097B">
        <w:rPr>
          <w:rStyle w:val="normaltextrun"/>
          <w:rFonts w:ascii="Arial" w:hAnsi="Arial" w:cs="Arial"/>
          <w:sz w:val="22"/>
          <w:szCs w:val="22"/>
          <w:lang w:val="es-MX"/>
        </w:rPr>
        <w:t xml:space="preserve">. </w:t>
      </w:r>
      <w:r w:rsidRPr="00D3097B">
        <w:rPr>
          <w:rStyle w:val="normaltextrun"/>
          <w:rFonts w:ascii="Arial" w:hAnsi="Arial" w:cs="Arial"/>
          <w:sz w:val="22"/>
          <w:szCs w:val="22"/>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r w:rsidRPr="00D3097B">
        <w:rPr>
          <w:rStyle w:val="eop"/>
          <w:rFonts w:ascii="Arial" w:hAnsi="Arial" w:cs="Arial"/>
          <w:sz w:val="22"/>
          <w:szCs w:val="22"/>
        </w:rPr>
        <w:t> </w:t>
      </w:r>
    </w:p>
    <w:p w14:paraId="60EBB570" w14:textId="77777777" w:rsidR="00842D09" w:rsidRPr="00D3097B" w:rsidRDefault="00842D09" w:rsidP="00842D09">
      <w:pPr>
        <w:pStyle w:val="paragraph"/>
        <w:spacing w:before="0" w:beforeAutospacing="0" w:after="0" w:afterAutospacing="0"/>
        <w:jc w:val="both"/>
        <w:textAlignment w:val="baseline"/>
        <w:rPr>
          <w:rFonts w:ascii="Arial" w:hAnsi="Arial" w:cs="Arial"/>
          <w:sz w:val="18"/>
          <w:szCs w:val="18"/>
        </w:rPr>
      </w:pPr>
    </w:p>
    <w:p w14:paraId="1D54C6E1" w14:textId="77777777" w:rsidR="00842D09" w:rsidRPr="00D3097B" w:rsidRDefault="00842D09" w:rsidP="00842D09">
      <w:pPr>
        <w:pStyle w:val="paragraph"/>
        <w:spacing w:before="0" w:beforeAutospacing="0" w:after="0" w:afterAutospacing="0"/>
        <w:ind w:firstLine="705"/>
        <w:jc w:val="both"/>
        <w:textAlignment w:val="baseline"/>
        <w:rPr>
          <w:rStyle w:val="eop"/>
          <w:rFonts w:ascii="Arial" w:hAnsi="Arial" w:cs="Arial"/>
          <w:sz w:val="22"/>
          <w:szCs w:val="22"/>
        </w:rPr>
      </w:pPr>
      <w:r w:rsidRPr="00D3097B">
        <w:rPr>
          <w:rStyle w:val="normaltextrun"/>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3097B">
        <w:rPr>
          <w:rStyle w:val="eop"/>
          <w:rFonts w:ascii="Arial" w:hAnsi="Arial" w:cs="Arial"/>
          <w:sz w:val="22"/>
          <w:szCs w:val="22"/>
        </w:rPr>
        <w:t> </w:t>
      </w:r>
    </w:p>
    <w:p w14:paraId="69728903" w14:textId="77777777" w:rsidR="00842D09" w:rsidRPr="00D3097B" w:rsidRDefault="00842D09" w:rsidP="00842D09">
      <w:pPr>
        <w:pStyle w:val="paragraph"/>
        <w:spacing w:before="0" w:beforeAutospacing="0" w:after="0" w:afterAutospacing="0"/>
        <w:ind w:firstLine="705"/>
        <w:jc w:val="both"/>
        <w:textAlignment w:val="baseline"/>
        <w:rPr>
          <w:rFonts w:ascii="Arial" w:hAnsi="Arial" w:cs="Arial"/>
          <w:sz w:val="18"/>
          <w:szCs w:val="18"/>
        </w:rPr>
      </w:pPr>
    </w:p>
    <w:p w14:paraId="4D8CE10C" w14:textId="1779B1D2" w:rsidR="00795F6F" w:rsidRPr="00D3097B" w:rsidRDefault="00842D09" w:rsidP="00842D09">
      <w:pPr>
        <w:pStyle w:val="paragraph"/>
        <w:spacing w:before="0" w:beforeAutospacing="0" w:after="0" w:afterAutospacing="0"/>
        <w:ind w:firstLine="705"/>
        <w:jc w:val="both"/>
        <w:textAlignment w:val="baseline"/>
        <w:rPr>
          <w:rFonts w:ascii="Arial" w:eastAsia="Calibri" w:hAnsi="Arial" w:cs="Arial"/>
          <w:lang w:val="es-MX"/>
        </w:rPr>
      </w:pPr>
      <w:r w:rsidRPr="00D3097B">
        <w:rPr>
          <w:rStyle w:val="normaltextrun"/>
          <w:rFonts w:ascii="Arial" w:hAnsi="Arial" w:cs="Arial"/>
          <w:sz w:val="22"/>
          <w:szCs w:val="22"/>
        </w:rPr>
        <w:t xml:space="preserve">Así las cosas, </w:t>
      </w:r>
      <w:r w:rsidRPr="00D3097B">
        <w:rPr>
          <w:rStyle w:val="normaltextrun"/>
          <w:rFonts w:ascii="Arial" w:hAnsi="Arial" w:cs="Arial"/>
          <w:sz w:val="22"/>
          <w:szCs w:val="22"/>
          <w:lang w:val="es-ES"/>
        </w:rPr>
        <w:t>la Agencia –dentro de los límites de sus atribuciones, esto es, haciendo abstracción del caso particular expuesto–, resolverá la consulta conforme a las normas generales en materia de contratación estatal.</w:t>
      </w:r>
      <w:r w:rsidR="00232E97" w:rsidRPr="00D3097B">
        <w:rPr>
          <w:rStyle w:val="normaltextrun"/>
          <w:rFonts w:ascii="Arial" w:hAnsi="Arial" w:cs="Arial"/>
          <w:sz w:val="22"/>
          <w:szCs w:val="22"/>
          <w:lang w:val="es-ES"/>
        </w:rPr>
        <w:t xml:space="preserve"> </w:t>
      </w:r>
      <w:r w:rsidR="00795F6F" w:rsidRPr="00D3097B">
        <w:rPr>
          <w:rFonts w:ascii="Arial" w:eastAsia="Calibri" w:hAnsi="Arial" w:cs="Arial"/>
          <w:lang w:val="es-MX"/>
        </w:rPr>
        <w:t xml:space="preserve">Con el fin abordar los interrogantes planteados, se analizarán los siguientes temas: i) </w:t>
      </w:r>
      <w:proofErr w:type="spellStart"/>
      <w:r w:rsidR="00795F6F" w:rsidRPr="00D3097B">
        <w:rPr>
          <w:rFonts w:ascii="Arial" w:eastAsia="Calibri" w:hAnsi="Arial" w:cs="Arial"/>
          <w:lang w:val="es-MX"/>
        </w:rPr>
        <w:t>subsanabilidad</w:t>
      </w:r>
      <w:proofErr w:type="spellEnd"/>
      <w:r w:rsidR="00795F6F" w:rsidRPr="00D3097B">
        <w:rPr>
          <w:rFonts w:ascii="Arial" w:eastAsia="Calibri" w:hAnsi="Arial" w:cs="Arial"/>
          <w:lang w:val="es-MX"/>
        </w:rPr>
        <w:t xml:space="preserve"> de las ofertas en </w:t>
      </w:r>
      <w:r w:rsidR="00795F6F" w:rsidRPr="00D3097B">
        <w:rPr>
          <w:rFonts w:ascii="Arial" w:eastAsia="Calibri" w:hAnsi="Arial" w:cs="Arial"/>
          <w:lang w:val="es-MX"/>
        </w:rPr>
        <w:lastRenderedPageBreak/>
        <w:t xml:space="preserve">los procesos de selección, </w:t>
      </w:r>
      <w:proofErr w:type="spellStart"/>
      <w:r w:rsidR="00795F6F" w:rsidRPr="00D3097B">
        <w:rPr>
          <w:rFonts w:ascii="Arial" w:eastAsia="Calibri" w:hAnsi="Arial" w:cs="Arial"/>
          <w:lang w:val="es-MX"/>
        </w:rPr>
        <w:t>ii</w:t>
      </w:r>
      <w:proofErr w:type="spellEnd"/>
      <w:r w:rsidR="00795F6F" w:rsidRPr="00D3097B">
        <w:rPr>
          <w:rFonts w:ascii="Arial" w:eastAsia="Calibri" w:hAnsi="Arial" w:cs="Arial"/>
          <w:lang w:val="es-MX"/>
        </w:rPr>
        <w:t xml:space="preserve">) otorgamiento de puntaje por apoyo a la industria nacional de conformidad con la Ley 816 de 2003 y la noción de Servicios Nacionales introducida por el Decreto 680 de 2021, y </w:t>
      </w:r>
      <w:proofErr w:type="spellStart"/>
      <w:r w:rsidR="00795F6F" w:rsidRPr="00D3097B">
        <w:rPr>
          <w:rFonts w:ascii="Arial" w:eastAsia="Calibri" w:hAnsi="Arial" w:cs="Arial"/>
          <w:lang w:val="es-MX"/>
        </w:rPr>
        <w:t>ii</w:t>
      </w:r>
      <w:r w:rsidR="007264D2" w:rsidRPr="00D3097B">
        <w:rPr>
          <w:rFonts w:ascii="Arial" w:eastAsia="Calibri" w:hAnsi="Arial" w:cs="Arial"/>
          <w:lang w:val="es-MX"/>
        </w:rPr>
        <w:t>i</w:t>
      </w:r>
      <w:proofErr w:type="spellEnd"/>
      <w:r w:rsidR="00795F6F" w:rsidRPr="00D3097B">
        <w:rPr>
          <w:rFonts w:ascii="Arial" w:eastAsia="Calibri" w:hAnsi="Arial" w:cs="Arial"/>
          <w:lang w:val="es-MX"/>
        </w:rPr>
        <w:t xml:space="preserve">) la regulación del puntaje por apoyo a la industria nacional en procesos adelantados con documentos tipo después de la expedición del Decreto 680 de 2021. </w:t>
      </w:r>
    </w:p>
    <w:p w14:paraId="117DF15D" w14:textId="77777777" w:rsidR="00232E97" w:rsidRPr="00D3097B" w:rsidRDefault="00232E97" w:rsidP="00842D09">
      <w:pPr>
        <w:pStyle w:val="paragraph"/>
        <w:spacing w:before="0" w:beforeAutospacing="0" w:after="0" w:afterAutospacing="0"/>
        <w:ind w:firstLine="705"/>
        <w:jc w:val="both"/>
        <w:textAlignment w:val="baseline"/>
        <w:rPr>
          <w:rFonts w:ascii="Arial" w:eastAsia="Calibri" w:hAnsi="Arial" w:cs="Arial"/>
          <w:lang w:val="es-MX"/>
        </w:rPr>
      </w:pPr>
    </w:p>
    <w:p w14:paraId="30A271D0" w14:textId="768BF26C" w:rsidR="00795F6F" w:rsidRPr="00D3097B" w:rsidRDefault="00795F6F" w:rsidP="00795F6F">
      <w:pPr>
        <w:spacing w:after="120" w:line="276" w:lineRule="auto"/>
        <w:ind w:firstLine="709"/>
        <w:jc w:val="both"/>
        <w:rPr>
          <w:rFonts w:ascii="Arial" w:eastAsia="Times New Roman" w:hAnsi="Arial" w:cs="Arial"/>
          <w:color w:val="000000" w:themeColor="text1"/>
          <w:lang w:val="es-MX" w:eastAsia="es-ES_tradnl"/>
        </w:rPr>
      </w:pPr>
      <w:r w:rsidRPr="00D3097B">
        <w:rPr>
          <w:rFonts w:ascii="Arial" w:eastAsia="Calibri" w:hAnsi="Arial" w:cs="Arial"/>
          <w:color w:val="000000" w:themeColor="text1"/>
          <w:lang w:val="es-MX" w:eastAsia="es-CO"/>
        </w:rPr>
        <w:t xml:space="preserve">La Agencia Nacional de Contratación Pública − Colombia Compra Eficiente se ha pronunciado sobre el principio de selección objetiva y en específico el tema de la </w:t>
      </w:r>
      <w:proofErr w:type="spellStart"/>
      <w:r w:rsidRPr="00D3097B">
        <w:rPr>
          <w:rFonts w:ascii="Arial" w:eastAsia="Calibri" w:hAnsi="Arial" w:cs="Arial"/>
          <w:color w:val="000000" w:themeColor="text1"/>
          <w:lang w:val="es-MX" w:eastAsia="es-CO"/>
        </w:rPr>
        <w:t>subsanabilidad</w:t>
      </w:r>
      <w:proofErr w:type="spellEnd"/>
      <w:r w:rsidRPr="00D3097B">
        <w:rPr>
          <w:rFonts w:ascii="Arial" w:eastAsia="Calibri" w:hAnsi="Arial" w:cs="Arial"/>
          <w:color w:val="000000" w:themeColor="text1"/>
          <w:lang w:val="es-MX" w:eastAsia="es-CO"/>
        </w:rPr>
        <w:t xml:space="preserve"> de las ofertas, entre otros, en los conceptos </w:t>
      </w:r>
      <w:r w:rsidRPr="00D3097B">
        <w:rPr>
          <w:rFonts w:ascii="Arial" w:hAnsi="Arial" w:cs="Arial"/>
          <w:color w:val="000000" w:themeColor="text1"/>
          <w:lang w:val="es-MX" w:eastAsia="es-CO"/>
        </w:rPr>
        <w:t xml:space="preserve">con radicado No: 4201913000006471 del 28 de octubre de 2019, 4201912000006711 del 12 de noviembre de 2019 y 4201912000006496 del 15 de noviembre de 2019, las cuales se unificaron en el Concepto CU–060 del 24 de febrero de 2020, que se reitera en forma pacífica,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 C–250 del 2 de junio de 2021, C-877 del 22 de diciembre de 2022, C-058 del 10 de mayo de 2023, </w:t>
      </w:r>
      <w:r w:rsidR="008D28C4" w:rsidRPr="00D3097B">
        <w:rPr>
          <w:rFonts w:ascii="Arial" w:hAnsi="Arial" w:cs="Arial"/>
          <w:color w:val="000000" w:themeColor="text1"/>
          <w:lang w:val="es-MX" w:eastAsia="es-CO"/>
        </w:rPr>
        <w:t xml:space="preserve">y </w:t>
      </w:r>
      <w:r w:rsidRPr="00D3097B">
        <w:rPr>
          <w:rFonts w:ascii="Arial" w:hAnsi="Arial" w:cs="Arial"/>
          <w:color w:val="000000" w:themeColor="text1"/>
          <w:lang w:val="es-MX" w:eastAsia="es-CO"/>
        </w:rPr>
        <w:t>C-125 del 11 de mayo de 2023</w:t>
      </w:r>
      <w:r w:rsidR="008D28C4" w:rsidRPr="00D3097B">
        <w:rPr>
          <w:rFonts w:ascii="Arial" w:hAnsi="Arial" w:cs="Arial"/>
          <w:color w:val="000000" w:themeColor="text1"/>
          <w:lang w:val="es-MX" w:eastAsia="es-CO"/>
        </w:rPr>
        <w:t xml:space="preserve">. </w:t>
      </w:r>
    </w:p>
    <w:p w14:paraId="62F4F3FB" w14:textId="77777777" w:rsidR="00795F6F" w:rsidRPr="00D3097B" w:rsidRDefault="00795F6F" w:rsidP="00795F6F">
      <w:pPr>
        <w:spacing w:after="0" w:line="276" w:lineRule="auto"/>
        <w:ind w:firstLine="708"/>
        <w:jc w:val="both"/>
        <w:rPr>
          <w:rFonts w:ascii="Arial" w:eastAsia="Calibri" w:hAnsi="Arial" w:cs="Arial"/>
          <w:lang w:val="es-MX"/>
        </w:rPr>
      </w:pPr>
      <w:r w:rsidRPr="00D3097B">
        <w:rPr>
          <w:rFonts w:ascii="Arial" w:eastAsia="Calibri" w:hAnsi="Arial" w:cs="Arial"/>
          <w:lang w:val="es-MX"/>
        </w:rPr>
        <w:t xml:space="preserve">Por otra parte, la Agencia Nacional de Contratación Pública – Colombia Compra Eficiente analizó la aplicación del Decreto 680 de 2021 y el otorgamiento del puntaje por apoyo a la industria nacional en los procedimientos de selección en los conceptos </w:t>
      </w:r>
      <w:r w:rsidRPr="00D3097B">
        <w:rPr>
          <w:rFonts w:ascii="Arial" w:eastAsia="Calibri" w:hAnsi="Arial" w:cs="Arial"/>
          <w:lang w:val="es-ES_tradnl"/>
        </w:rPr>
        <w:t>C-442 del 26 de agosto de 2021, C-542 del 20 de octubre de 2021, C-549 del 5 de noviembre de 2021, C-020 del 22 de febrero de 2022, C-219 del 21 de abril de 2022, C-265 del 4 de abril de 2022. Asimismo, la Agencia explicó la aplicación de la Resolución 304 de 2021 “</w:t>
      </w:r>
      <w:r w:rsidRPr="00D3097B">
        <w:rPr>
          <w:rFonts w:ascii="Arial" w:eastAsia="Calibri" w:hAnsi="Arial" w:cs="Arial"/>
          <w:lang w:val="es-MX"/>
        </w:rPr>
        <w:t xml:space="preserve">Por la cual se modifican los Documentos Tipo adoptados por la Agencia Nacional de Contratación Pública – Colombia Compra Eficiente” en los conceptos C-549 del 5 de noviembre de 2021, C-647 del 22 de noviembre de 2021, C-688 del 4 de enero de 2022, C-166 del 5 de abril de 2022, C-196 del 13 de abril de 2022, C-201 del 13 de abril de 2022, C-327 del 23 de mayo de 2022, C-352 del 2 de junio de 2022, C-396 del 15 de junio de 2022 y C-571 del 14 de septiembre de 2023. Algunos de los argumentos y tesis expuestos en estos conceptos se reiteran a continuación y se complementan en lo pertinente. </w:t>
      </w:r>
    </w:p>
    <w:p w14:paraId="6A40BF98" w14:textId="77777777" w:rsidR="00795F6F" w:rsidRPr="00D3097B" w:rsidRDefault="00795F6F" w:rsidP="00795F6F">
      <w:pPr>
        <w:spacing w:after="0" w:line="276" w:lineRule="auto"/>
        <w:contextualSpacing/>
        <w:jc w:val="both"/>
        <w:rPr>
          <w:rFonts w:ascii="Arial" w:eastAsia="Calibri" w:hAnsi="Arial" w:cs="Arial"/>
          <w:b/>
          <w:lang w:val="es-ES_tradnl"/>
        </w:rPr>
      </w:pPr>
    </w:p>
    <w:p w14:paraId="51031B23" w14:textId="77777777" w:rsidR="00795F6F" w:rsidRPr="00D3097B" w:rsidRDefault="00795F6F" w:rsidP="00795F6F">
      <w:pPr>
        <w:widowControl w:val="0"/>
        <w:tabs>
          <w:tab w:val="left" w:pos="0"/>
        </w:tabs>
        <w:autoSpaceDE w:val="0"/>
        <w:autoSpaceDN w:val="0"/>
        <w:spacing w:after="0" w:line="276" w:lineRule="auto"/>
        <w:ind w:right="49"/>
        <w:jc w:val="both"/>
        <w:outlineLvl w:val="0"/>
        <w:rPr>
          <w:rFonts w:ascii="Arial" w:eastAsia="Arial" w:hAnsi="Arial" w:cs="Arial"/>
          <w:b/>
          <w:bCs/>
          <w:lang w:val="es-ES"/>
        </w:rPr>
      </w:pPr>
      <w:r w:rsidRPr="00D3097B">
        <w:rPr>
          <w:rFonts w:ascii="Arial" w:eastAsia="Calibri" w:hAnsi="Arial" w:cs="Arial"/>
          <w:b/>
        </w:rPr>
        <w:t xml:space="preserve">2.1. </w:t>
      </w:r>
      <w:proofErr w:type="spellStart"/>
      <w:r w:rsidRPr="00D3097B">
        <w:rPr>
          <w:rFonts w:ascii="Arial" w:eastAsia="Calibri" w:hAnsi="Arial" w:cs="Arial"/>
          <w:b/>
        </w:rPr>
        <w:t>Subsanabilidad</w:t>
      </w:r>
      <w:proofErr w:type="spellEnd"/>
      <w:r w:rsidRPr="00D3097B">
        <w:rPr>
          <w:rFonts w:ascii="Arial" w:eastAsia="Calibri" w:hAnsi="Arial" w:cs="Arial"/>
          <w:b/>
        </w:rPr>
        <w:t xml:space="preserve"> de las ofertas en los procesos de selección. Análisis del artículo 5 de la Ley 1150 de 2007, modificado por el artículo 5 de la Ley 1882 de 2018</w:t>
      </w:r>
    </w:p>
    <w:p w14:paraId="7F34DD49" w14:textId="77777777" w:rsidR="00795F6F" w:rsidRPr="00D3097B" w:rsidRDefault="00795F6F" w:rsidP="00795F6F">
      <w:pPr>
        <w:widowControl w:val="0"/>
        <w:autoSpaceDE w:val="0"/>
        <w:autoSpaceDN w:val="0"/>
        <w:spacing w:after="0" w:line="240" w:lineRule="auto"/>
        <w:rPr>
          <w:rFonts w:ascii="Arial" w:eastAsia="Arial" w:hAnsi="Arial" w:cs="Arial"/>
          <w:b/>
          <w:sz w:val="20"/>
          <w:szCs w:val="20"/>
          <w:lang w:val="es-ES"/>
        </w:rPr>
      </w:pPr>
    </w:p>
    <w:p w14:paraId="2A1A35FA" w14:textId="77777777" w:rsidR="00795F6F" w:rsidRPr="00D3097B" w:rsidRDefault="00795F6F" w:rsidP="00795F6F">
      <w:pPr>
        <w:spacing w:after="0" w:line="276" w:lineRule="auto"/>
        <w:ind w:right="49"/>
        <w:jc w:val="both"/>
        <w:rPr>
          <w:rFonts w:ascii="Arial" w:eastAsia="Calibri" w:hAnsi="Arial" w:cs="Arial"/>
        </w:rPr>
      </w:pPr>
      <w:r w:rsidRPr="00D3097B">
        <w:rPr>
          <w:rFonts w:ascii="Arial" w:eastAsia="Calibri" w:hAnsi="Arial" w:cs="Arial"/>
        </w:rPr>
        <w:t xml:space="preserve">La regla de </w:t>
      </w:r>
      <w:proofErr w:type="spellStart"/>
      <w:r w:rsidRPr="00D3097B">
        <w:rPr>
          <w:rFonts w:ascii="Arial" w:eastAsia="Calibri" w:hAnsi="Arial" w:cs="Arial"/>
        </w:rPr>
        <w:t>subsanabilidad</w:t>
      </w:r>
      <w:proofErr w:type="spellEnd"/>
      <w:r w:rsidRPr="00D3097B">
        <w:rPr>
          <w:rFonts w:ascii="Arial" w:eastAsia="Calibri" w:hAnsi="Arial" w:cs="Arial"/>
        </w:rPr>
        <w:t xml:space="preserve"> es un mecanismo previsto en los procesos de contratación estatal que se rigen por el Estatuto General de Contratación de la Administración Pública. Esta regla, prevista en el artículo 5 de la Ley 1150 de 2007, consiste en permitir que los </w:t>
      </w:r>
      <w:r w:rsidRPr="00D3097B">
        <w:rPr>
          <w:rFonts w:ascii="Arial" w:eastAsia="Calibri" w:hAnsi="Arial" w:cs="Arial"/>
        </w:rPr>
        <w:lastRenderedPageBreak/>
        <w:t>proponentes puedan enmendar, corregir o modificar los errores en los que se incurre en los documentos contentivos de la oferta. Así lo ha establecido el Consejo de Estado, en los siguientes términos:</w:t>
      </w:r>
    </w:p>
    <w:p w14:paraId="4A95866B" w14:textId="77777777" w:rsidR="00795F6F" w:rsidRPr="00D3097B" w:rsidRDefault="00795F6F" w:rsidP="00795F6F">
      <w:pPr>
        <w:spacing w:after="0" w:line="276" w:lineRule="auto"/>
        <w:ind w:right="49"/>
        <w:jc w:val="both"/>
        <w:rPr>
          <w:rFonts w:ascii="Arial" w:eastAsia="Calibri" w:hAnsi="Arial" w:cs="Arial"/>
        </w:rPr>
      </w:pPr>
    </w:p>
    <w:p w14:paraId="6552A577" w14:textId="77777777" w:rsidR="00795F6F" w:rsidRPr="00D3097B" w:rsidRDefault="00795F6F" w:rsidP="00795F6F">
      <w:pPr>
        <w:tabs>
          <w:tab w:val="left" w:pos="567"/>
        </w:tabs>
        <w:spacing w:after="0" w:line="240" w:lineRule="auto"/>
        <w:ind w:left="709" w:right="709"/>
        <w:jc w:val="both"/>
        <w:rPr>
          <w:rFonts w:ascii="Arial" w:eastAsia="Calibri" w:hAnsi="Arial" w:cs="Arial"/>
          <w:sz w:val="21"/>
          <w:szCs w:val="21"/>
        </w:rPr>
      </w:pPr>
      <w:r w:rsidRPr="00D3097B">
        <w:rPr>
          <w:rFonts w:ascii="Arial" w:eastAsia="Calibri" w:hAnsi="Arial" w:cs="Arial"/>
          <w:sz w:val="21"/>
          <w:szCs w:val="21"/>
        </w:rPr>
        <w:t xml:space="preserve">“[…]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w:t>
      </w:r>
      <w:proofErr w:type="gramStart"/>
      <w:r w:rsidRPr="00D3097B">
        <w:rPr>
          <w:rFonts w:ascii="Arial" w:eastAsia="Calibri" w:hAnsi="Arial" w:cs="Arial"/>
          <w:sz w:val="21"/>
          <w:szCs w:val="21"/>
        </w:rPr>
        <w:t>la misma</w:t>
      </w:r>
      <w:proofErr w:type="gramEnd"/>
      <w:r w:rsidRPr="00D3097B">
        <w:rPr>
          <w:rFonts w:ascii="Arial" w:eastAsia="Calibri" w:hAnsi="Arial" w:cs="Arial"/>
          <w:sz w:val="21"/>
          <w:szCs w:val="21"/>
        </w:rPr>
        <w:t>, priven a la administración de considerar una oferta por causa de tales falencias”</w:t>
      </w:r>
      <w:r w:rsidRPr="00D3097B">
        <w:rPr>
          <w:rFonts w:ascii="Arial" w:eastAsia="Calibri" w:hAnsi="Arial" w:cs="Arial"/>
          <w:sz w:val="21"/>
          <w:szCs w:val="21"/>
          <w:vertAlign w:val="superscript"/>
        </w:rPr>
        <w:footnoteReference w:id="1"/>
      </w:r>
      <w:r w:rsidRPr="00D3097B">
        <w:rPr>
          <w:rFonts w:ascii="Arial" w:eastAsia="Calibri" w:hAnsi="Arial" w:cs="Arial"/>
          <w:sz w:val="21"/>
          <w:szCs w:val="21"/>
        </w:rPr>
        <w:t xml:space="preserve">. </w:t>
      </w:r>
    </w:p>
    <w:p w14:paraId="2EA2A3F8" w14:textId="77777777" w:rsidR="00795F6F" w:rsidRPr="00D3097B" w:rsidRDefault="00795F6F" w:rsidP="00795F6F">
      <w:pPr>
        <w:widowControl w:val="0"/>
        <w:autoSpaceDE w:val="0"/>
        <w:autoSpaceDN w:val="0"/>
        <w:spacing w:after="0" w:line="276" w:lineRule="auto"/>
        <w:ind w:left="100" w:right="533" w:firstLine="708"/>
        <w:jc w:val="both"/>
        <w:rPr>
          <w:rFonts w:ascii="Arial" w:eastAsia="Arial" w:hAnsi="Arial" w:cs="Arial"/>
          <w:lang w:val="es-ES"/>
        </w:rPr>
      </w:pPr>
    </w:p>
    <w:p w14:paraId="30791D7D" w14:textId="77777777" w:rsidR="00795F6F" w:rsidRPr="00D3097B" w:rsidRDefault="00795F6F" w:rsidP="00795F6F">
      <w:pPr>
        <w:widowControl w:val="0"/>
        <w:autoSpaceDE w:val="0"/>
        <w:autoSpaceDN w:val="0"/>
        <w:spacing w:after="0" w:line="276" w:lineRule="auto"/>
        <w:ind w:left="100" w:right="49" w:firstLine="609"/>
        <w:jc w:val="both"/>
        <w:rPr>
          <w:rFonts w:ascii="Arial" w:eastAsia="Calibri" w:hAnsi="Arial" w:cs="Arial"/>
        </w:rPr>
      </w:pPr>
      <w:bookmarkStart w:id="6" w:name="_Hlk98838626"/>
      <w:r w:rsidRPr="00D3097B">
        <w:rPr>
          <w:rFonts w:ascii="Arial" w:eastAsia="Calibri" w:hAnsi="Arial" w:cs="Arial"/>
        </w:rPr>
        <w:t xml:space="preserve">Esta Subdirección se ha pronunciado en diversas oportunidades acerca del alcance de la regla de la </w:t>
      </w:r>
      <w:proofErr w:type="spellStart"/>
      <w:r w:rsidRPr="00D3097B">
        <w:rPr>
          <w:rFonts w:ascii="Arial" w:eastAsia="Calibri" w:hAnsi="Arial" w:cs="Arial"/>
        </w:rPr>
        <w:t>subsanabilidad</w:t>
      </w:r>
      <w:proofErr w:type="spellEnd"/>
      <w:r w:rsidRPr="00D3097B">
        <w:rPr>
          <w:rFonts w:ascii="Arial" w:eastAsia="Calibri" w:hAnsi="Arial" w:cs="Arial"/>
        </w:rPr>
        <w:t>, contenida actualmente en el parágrafo 1 del artículo 5 de la Ley 1150 de 2007, modificado por el artículo 5 de la Ley 1882 de 2018</w:t>
      </w:r>
      <w:r w:rsidRPr="00D3097B">
        <w:rPr>
          <w:rFonts w:ascii="Arial" w:eastAsia="Calibri" w:hAnsi="Arial" w:cs="Arial"/>
          <w:vertAlign w:val="superscript"/>
        </w:rPr>
        <w:footnoteReference w:id="2"/>
      </w:r>
      <w:r w:rsidRPr="00D3097B">
        <w:rPr>
          <w:rFonts w:ascii="Arial" w:eastAsia="Calibri" w:hAnsi="Arial" w:cs="Arial"/>
        </w:rPr>
        <w:t xml:space="preserve">. Al respecto, la postura que se reitera en el presente concepto es la siguiente: por regla general, la falta de entrega o los defectos frente a los requisitos que no asignan puntaje son subsanables. La excepción se encuentra en los casos, previstos en la ley, que limitan la </w:t>
      </w:r>
      <w:proofErr w:type="spellStart"/>
      <w:r w:rsidRPr="00D3097B">
        <w:rPr>
          <w:rFonts w:ascii="Arial" w:eastAsia="Calibri" w:hAnsi="Arial" w:cs="Arial"/>
        </w:rPr>
        <w:t>subsanabilidad</w:t>
      </w:r>
      <w:proofErr w:type="spellEnd"/>
      <w:r w:rsidRPr="00D3097B">
        <w:rPr>
          <w:rFonts w:ascii="Arial" w:eastAsia="Calibri" w:hAnsi="Arial" w:cs="Arial"/>
        </w:rPr>
        <w:t>, como, por ejemplo, la prohibición de permitir la entrega de la garantía de seriedad de la oferta que no fue aportada con la propuesta y de permitir la acreditación de circunstancias ocurridas con posterioridad al cierre del proceso.</w:t>
      </w:r>
    </w:p>
    <w:bookmarkEnd w:id="6"/>
    <w:p w14:paraId="316D0753" w14:textId="77777777" w:rsidR="00795F6F" w:rsidRPr="00D3097B" w:rsidRDefault="00795F6F" w:rsidP="00795F6F">
      <w:pPr>
        <w:widowControl w:val="0"/>
        <w:tabs>
          <w:tab w:val="left" w:pos="284"/>
        </w:tabs>
        <w:autoSpaceDE w:val="0"/>
        <w:autoSpaceDN w:val="0"/>
        <w:spacing w:before="120" w:after="0" w:line="276" w:lineRule="auto"/>
        <w:ind w:firstLine="709"/>
        <w:jc w:val="both"/>
        <w:rPr>
          <w:rFonts w:ascii="Arial" w:eastAsia="Arial" w:hAnsi="Arial" w:cs="Arial"/>
          <w:lang w:val="es-ES"/>
        </w:rPr>
      </w:pPr>
      <w:r w:rsidRPr="00D3097B">
        <w:rPr>
          <w:rFonts w:ascii="Arial" w:eastAsia="Calibri" w:hAnsi="Arial" w:cs="Arial"/>
        </w:rPr>
        <w:t xml:space="preserve">En este sentido, bajo la normativa actual que regula la </w:t>
      </w:r>
      <w:proofErr w:type="spellStart"/>
      <w:r w:rsidRPr="00D3097B">
        <w:rPr>
          <w:rFonts w:ascii="Arial" w:eastAsia="Calibri" w:hAnsi="Arial" w:cs="Arial"/>
        </w:rPr>
        <w:t>subsanabilidad</w:t>
      </w:r>
      <w:proofErr w:type="spellEnd"/>
      <w:r w:rsidRPr="00D3097B">
        <w:rPr>
          <w:rFonts w:ascii="Arial" w:eastAsia="Calibri" w:hAnsi="Arial" w:cs="Arial"/>
        </w:rPr>
        <w:t xml:space="preserve"> de las ofertas debe tenerse en cuenta que </w:t>
      </w:r>
      <w:r w:rsidRPr="00D3097B">
        <w:rPr>
          <w:rFonts w:ascii="Arial" w:eastAsia="Arial" w:hAnsi="Arial" w:cs="Arial"/>
          <w:lang w:val="es-ES"/>
        </w:rPr>
        <w:t>el</w:t>
      </w:r>
      <w:r w:rsidRPr="00D3097B">
        <w:rPr>
          <w:rFonts w:ascii="Arial" w:eastAsia="Arial" w:hAnsi="Arial" w:cs="Arial"/>
          <w:spacing w:val="-12"/>
          <w:lang w:val="es-ES"/>
        </w:rPr>
        <w:t xml:space="preserve"> </w:t>
      </w:r>
      <w:r w:rsidRPr="00D3097B">
        <w:rPr>
          <w:rFonts w:ascii="Arial" w:eastAsia="Arial" w:hAnsi="Arial" w:cs="Arial"/>
          <w:lang w:val="es-ES"/>
        </w:rPr>
        <w:t>legislador</w:t>
      </w:r>
      <w:r w:rsidRPr="00D3097B">
        <w:rPr>
          <w:rFonts w:ascii="Arial" w:eastAsia="Arial" w:hAnsi="Arial" w:cs="Arial"/>
          <w:spacing w:val="-12"/>
          <w:lang w:val="es-ES"/>
        </w:rPr>
        <w:t xml:space="preserve"> </w:t>
      </w:r>
      <w:r w:rsidRPr="00D3097B">
        <w:rPr>
          <w:rFonts w:ascii="Arial" w:eastAsia="Arial" w:hAnsi="Arial" w:cs="Arial"/>
          <w:lang w:val="es-ES"/>
        </w:rPr>
        <w:t>expidió</w:t>
      </w:r>
      <w:r w:rsidRPr="00D3097B">
        <w:rPr>
          <w:rFonts w:ascii="Arial" w:eastAsia="Arial" w:hAnsi="Arial" w:cs="Arial"/>
          <w:spacing w:val="-13"/>
          <w:lang w:val="es-ES"/>
        </w:rPr>
        <w:t xml:space="preserve"> </w:t>
      </w:r>
      <w:r w:rsidRPr="00D3097B">
        <w:rPr>
          <w:rFonts w:ascii="Arial" w:eastAsia="Arial" w:hAnsi="Arial" w:cs="Arial"/>
          <w:lang w:val="es-ES"/>
        </w:rPr>
        <w:t>la</w:t>
      </w:r>
      <w:r w:rsidRPr="00D3097B">
        <w:rPr>
          <w:rFonts w:ascii="Arial" w:eastAsia="Arial" w:hAnsi="Arial" w:cs="Arial"/>
          <w:spacing w:val="-12"/>
          <w:lang w:val="es-ES"/>
        </w:rPr>
        <w:t xml:space="preserve"> </w:t>
      </w:r>
      <w:r w:rsidRPr="00D3097B">
        <w:rPr>
          <w:rFonts w:ascii="Arial" w:eastAsia="Arial" w:hAnsi="Arial" w:cs="Arial"/>
          <w:lang w:val="es-ES"/>
        </w:rPr>
        <w:t>Ley</w:t>
      </w:r>
      <w:r w:rsidRPr="00D3097B">
        <w:rPr>
          <w:rFonts w:ascii="Arial" w:eastAsia="Arial" w:hAnsi="Arial" w:cs="Arial"/>
          <w:spacing w:val="-13"/>
          <w:lang w:val="es-ES"/>
        </w:rPr>
        <w:t xml:space="preserve"> </w:t>
      </w:r>
      <w:r w:rsidRPr="00D3097B">
        <w:rPr>
          <w:rFonts w:ascii="Arial" w:eastAsia="Arial" w:hAnsi="Arial" w:cs="Arial"/>
          <w:lang w:val="es-ES"/>
        </w:rPr>
        <w:t>1882</w:t>
      </w:r>
      <w:r w:rsidRPr="00D3097B">
        <w:rPr>
          <w:rFonts w:ascii="Arial" w:eastAsia="Arial" w:hAnsi="Arial" w:cs="Arial"/>
          <w:spacing w:val="-13"/>
          <w:lang w:val="es-ES"/>
        </w:rPr>
        <w:t xml:space="preserve"> </w:t>
      </w:r>
      <w:r w:rsidRPr="00D3097B">
        <w:rPr>
          <w:rFonts w:ascii="Arial" w:eastAsia="Arial" w:hAnsi="Arial" w:cs="Arial"/>
          <w:lang w:val="es-ES"/>
        </w:rPr>
        <w:t>de</w:t>
      </w:r>
      <w:r w:rsidRPr="00D3097B">
        <w:rPr>
          <w:rFonts w:ascii="Arial" w:eastAsia="Arial" w:hAnsi="Arial" w:cs="Arial"/>
          <w:spacing w:val="-12"/>
          <w:lang w:val="es-ES"/>
        </w:rPr>
        <w:t xml:space="preserve"> </w:t>
      </w:r>
      <w:r w:rsidRPr="00D3097B">
        <w:rPr>
          <w:rFonts w:ascii="Arial" w:eastAsia="Arial" w:hAnsi="Arial" w:cs="Arial"/>
          <w:lang w:val="es-ES"/>
        </w:rPr>
        <w:t>2018,</w:t>
      </w:r>
      <w:r w:rsidRPr="00D3097B">
        <w:rPr>
          <w:rFonts w:ascii="Arial" w:eastAsia="Arial" w:hAnsi="Arial" w:cs="Arial"/>
          <w:spacing w:val="-13"/>
          <w:lang w:val="es-ES"/>
        </w:rPr>
        <w:t xml:space="preserve"> </w:t>
      </w:r>
      <w:r w:rsidRPr="00D3097B">
        <w:rPr>
          <w:rFonts w:ascii="Arial" w:eastAsia="Arial" w:hAnsi="Arial" w:cs="Arial"/>
          <w:lang w:val="es-ES"/>
        </w:rPr>
        <w:t>con</w:t>
      </w:r>
      <w:r w:rsidRPr="00D3097B">
        <w:rPr>
          <w:rFonts w:ascii="Arial" w:eastAsia="Arial" w:hAnsi="Arial" w:cs="Arial"/>
          <w:spacing w:val="-12"/>
          <w:lang w:val="es-ES"/>
        </w:rPr>
        <w:t xml:space="preserve"> </w:t>
      </w:r>
      <w:r w:rsidRPr="00D3097B">
        <w:rPr>
          <w:rFonts w:ascii="Arial" w:eastAsia="Arial" w:hAnsi="Arial" w:cs="Arial"/>
          <w:lang w:val="es-ES"/>
        </w:rPr>
        <w:t>la</w:t>
      </w:r>
      <w:r w:rsidRPr="00D3097B">
        <w:rPr>
          <w:rFonts w:ascii="Arial" w:eastAsia="Arial" w:hAnsi="Arial" w:cs="Arial"/>
          <w:spacing w:val="-13"/>
          <w:lang w:val="es-ES"/>
        </w:rPr>
        <w:t xml:space="preserve"> </w:t>
      </w:r>
      <w:r w:rsidRPr="00D3097B">
        <w:rPr>
          <w:rFonts w:ascii="Arial" w:eastAsia="Arial" w:hAnsi="Arial" w:cs="Arial"/>
          <w:lang w:val="es-ES"/>
        </w:rPr>
        <w:t xml:space="preserve">finalidad de introducir cambios y ajustes para fortalecer la contratación pública. Particularmente, el artículo 5 modificó el parágrafo 1º del artículo 5 de la Ley 1150 de 2007: </w:t>
      </w:r>
    </w:p>
    <w:p w14:paraId="3EBEB67F" w14:textId="77777777" w:rsidR="00795F6F" w:rsidRPr="00D3097B" w:rsidRDefault="00795F6F" w:rsidP="00795F6F">
      <w:pPr>
        <w:spacing w:after="0" w:line="276" w:lineRule="auto"/>
        <w:jc w:val="both"/>
        <w:rPr>
          <w:rFonts w:ascii="Arial" w:eastAsia="Calibri" w:hAnsi="Arial" w:cs="Arial"/>
          <w:sz w:val="24"/>
          <w:lang w:val="es-ES_tradnl"/>
        </w:rPr>
      </w:pPr>
    </w:p>
    <w:p w14:paraId="356BFA95" w14:textId="77777777" w:rsidR="00795F6F" w:rsidRPr="00D3097B" w:rsidRDefault="00795F6F" w:rsidP="00795F6F">
      <w:pPr>
        <w:spacing w:after="0" w:line="240" w:lineRule="auto"/>
        <w:ind w:left="709" w:right="709"/>
        <w:jc w:val="both"/>
        <w:rPr>
          <w:rFonts w:ascii="Arial" w:eastAsia="Calibri" w:hAnsi="Arial" w:cs="Arial"/>
          <w:sz w:val="21"/>
          <w:szCs w:val="21"/>
          <w:lang w:val="es-ES_tradnl"/>
        </w:rPr>
      </w:pPr>
      <w:r w:rsidRPr="00D3097B">
        <w:rPr>
          <w:rFonts w:ascii="Arial" w:eastAsia="Calibri" w:hAnsi="Arial" w:cs="Arial"/>
          <w:sz w:val="21"/>
          <w:szCs w:val="21"/>
          <w:lang w:val="es-ES_tradnl"/>
        </w:rPr>
        <w:t xml:space="preserve">“Artículo 5°. De la selección objetiva. </w:t>
      </w:r>
    </w:p>
    <w:p w14:paraId="0A78F4CF" w14:textId="77777777" w:rsidR="00795F6F" w:rsidRPr="00D3097B" w:rsidRDefault="00795F6F" w:rsidP="00795F6F">
      <w:pPr>
        <w:spacing w:after="120" w:line="240" w:lineRule="auto"/>
        <w:ind w:left="709" w:right="709"/>
        <w:jc w:val="both"/>
        <w:rPr>
          <w:rFonts w:ascii="Arial" w:eastAsia="Calibri" w:hAnsi="Arial" w:cs="Arial"/>
          <w:sz w:val="21"/>
          <w:szCs w:val="21"/>
          <w:lang w:val="es-ES_tradnl"/>
        </w:rPr>
      </w:pPr>
      <w:r w:rsidRPr="00D3097B">
        <w:rPr>
          <w:rFonts w:ascii="Arial" w:eastAsia="Calibri" w:hAnsi="Arial" w:cs="Arial"/>
          <w:sz w:val="21"/>
          <w:szCs w:val="21"/>
          <w:lang w:val="es-ES_tradnl"/>
        </w:rPr>
        <w:t xml:space="preserve">[...] </w:t>
      </w:r>
    </w:p>
    <w:p w14:paraId="5D545209" w14:textId="77777777" w:rsidR="00795F6F" w:rsidRPr="00D3097B" w:rsidRDefault="00795F6F" w:rsidP="00795F6F">
      <w:pPr>
        <w:spacing w:after="0" w:line="240" w:lineRule="auto"/>
        <w:ind w:left="709" w:right="709"/>
        <w:jc w:val="both"/>
        <w:rPr>
          <w:rFonts w:ascii="Arial" w:eastAsia="Calibri" w:hAnsi="Arial" w:cs="Arial"/>
          <w:sz w:val="21"/>
          <w:szCs w:val="21"/>
          <w:lang w:val="es-ES_tradnl"/>
        </w:rPr>
      </w:pPr>
      <w:r w:rsidRPr="00D3097B">
        <w:rPr>
          <w:rFonts w:ascii="Arial" w:eastAsia="Calibri" w:hAnsi="Arial" w:cs="Arial"/>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D3097B">
        <w:rPr>
          <w:rFonts w:ascii="Arial" w:eastAsia="Calibri" w:hAnsi="Arial" w:cs="Arial"/>
          <w:sz w:val="21"/>
          <w:szCs w:val="21"/>
          <w:lang w:val="es-ES_tradnl"/>
        </w:rPr>
        <w:t>puntaje,</w:t>
      </w:r>
      <w:proofErr w:type="gramEnd"/>
      <w:r w:rsidRPr="00D3097B">
        <w:rPr>
          <w:rFonts w:ascii="Arial" w:eastAsia="Calibri" w:hAnsi="Arial" w:cs="Arial"/>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w:t>
      </w:r>
      <w:r w:rsidRPr="00D3097B">
        <w:rPr>
          <w:rFonts w:ascii="Arial" w:eastAsia="Calibri" w:hAnsi="Arial" w:cs="Arial"/>
          <w:sz w:val="21"/>
          <w:szCs w:val="21"/>
          <w:lang w:val="es-ES_tradnl"/>
        </w:rPr>
        <w:lastRenderedPageBreak/>
        <w:t xml:space="preserve">proponentes no podrán acreditar circunstancias ocurridas con posterioridad al cierre del proceso”. </w:t>
      </w:r>
    </w:p>
    <w:p w14:paraId="06DBFCE3" w14:textId="77777777" w:rsidR="00795F6F" w:rsidRPr="00D3097B" w:rsidRDefault="00795F6F" w:rsidP="00795F6F">
      <w:pPr>
        <w:spacing w:after="0" w:line="276" w:lineRule="auto"/>
        <w:jc w:val="both"/>
        <w:rPr>
          <w:rFonts w:ascii="Arial" w:eastAsia="Calibri" w:hAnsi="Arial" w:cs="Arial"/>
          <w:b/>
          <w:sz w:val="24"/>
          <w:lang w:val="es-ES_tradnl"/>
        </w:rPr>
      </w:pPr>
    </w:p>
    <w:p w14:paraId="40814D3B" w14:textId="77777777" w:rsidR="00795F6F" w:rsidRPr="00D3097B" w:rsidRDefault="00795F6F" w:rsidP="00795F6F">
      <w:pPr>
        <w:spacing w:after="120" w:line="276" w:lineRule="auto"/>
        <w:ind w:firstLine="709"/>
        <w:jc w:val="both"/>
        <w:rPr>
          <w:rFonts w:ascii="Arial" w:eastAsia="Arial" w:hAnsi="Arial" w:cs="Arial"/>
          <w:szCs w:val="24"/>
          <w:lang w:val="es-ES" w:eastAsia="es-MX"/>
        </w:rPr>
      </w:pPr>
      <w:r w:rsidRPr="00D3097B">
        <w:rPr>
          <w:rFonts w:ascii="Arial" w:eastAsia="Calibri" w:hAnsi="Arial" w:cs="Arial"/>
          <w:lang w:val="es-ES_tradnl"/>
        </w:rPr>
        <w:t xml:space="preserve">De la norma citada se desprende lo siguiente: i) mantiene el criterio de la Ley 80 de 1993, relativo a que todo lo que no sea necesario para la comparación de propuestas no es título suficiente para su rechazo; </w:t>
      </w:r>
      <w:proofErr w:type="spellStart"/>
      <w:r w:rsidRPr="00D3097B">
        <w:rPr>
          <w:rFonts w:ascii="Arial" w:eastAsia="Calibri" w:hAnsi="Arial" w:cs="Arial"/>
          <w:lang w:val="es-ES_tradnl"/>
        </w:rPr>
        <w:t>ii</w:t>
      </w:r>
      <w:proofErr w:type="spellEnd"/>
      <w:r w:rsidRPr="00D3097B">
        <w:rPr>
          <w:rFonts w:ascii="Arial" w:eastAsia="Calibri" w:hAnsi="Arial" w:cs="Arial"/>
          <w:lang w:val="es-ES_tradnl"/>
        </w:rPr>
        <w:t xml:space="preserve">) mantiene el criterio aclaratorio de la Ley 1150 de 2007, según el cual todo lo que no afecte la asignación de puntaje puede subsanarse y </w:t>
      </w:r>
      <w:proofErr w:type="spellStart"/>
      <w:r w:rsidRPr="00D3097B">
        <w:rPr>
          <w:rFonts w:ascii="Arial" w:eastAsia="Calibri" w:hAnsi="Arial" w:cs="Arial"/>
          <w:lang w:val="es-ES_tradnl"/>
        </w:rPr>
        <w:t>iii</w:t>
      </w:r>
      <w:proofErr w:type="spellEnd"/>
      <w:r w:rsidRPr="00D3097B">
        <w:rPr>
          <w:rFonts w:ascii="Arial" w:eastAsia="Calibri" w:hAnsi="Arial" w:cs="Arial"/>
          <w:lang w:val="es-ES_tradnl"/>
        </w:rPr>
        <w:t xml:space="preserve">) introduce modificaciones en relación con tres aspectos que se analizarán a </w:t>
      </w:r>
      <w:proofErr w:type="spellStart"/>
      <w:r w:rsidRPr="00D3097B">
        <w:rPr>
          <w:rFonts w:ascii="Arial" w:eastAsia="Calibri" w:hAnsi="Arial" w:cs="Arial"/>
          <w:lang w:val="es-ES_tradnl"/>
        </w:rPr>
        <w:t>conti</w:t>
      </w:r>
      <w:r w:rsidRPr="00D3097B">
        <w:rPr>
          <w:rFonts w:ascii="Arial" w:eastAsia="Arial" w:hAnsi="Arial" w:cs="Arial"/>
          <w:szCs w:val="24"/>
          <w:lang w:val="es-ES" w:eastAsia="es-MX"/>
        </w:rPr>
        <w:t>nuación</w:t>
      </w:r>
      <w:proofErr w:type="spellEnd"/>
      <w:r w:rsidRPr="00D3097B">
        <w:rPr>
          <w:rFonts w:ascii="Arial" w:eastAsia="Arial" w:hAnsi="Arial" w:cs="Arial"/>
          <w:szCs w:val="24"/>
          <w:lang w:val="es-ES" w:eastAsia="es-MX"/>
        </w:rPr>
        <w:t xml:space="preserve">: </w:t>
      </w:r>
    </w:p>
    <w:p w14:paraId="3B7CB630" w14:textId="5625928C" w:rsidR="00795F6F" w:rsidRPr="00D3097B" w:rsidRDefault="00795F6F" w:rsidP="00795F6F">
      <w:pPr>
        <w:spacing w:after="120" w:line="276" w:lineRule="auto"/>
        <w:ind w:firstLine="709"/>
        <w:jc w:val="both"/>
        <w:rPr>
          <w:rFonts w:ascii="Arial" w:eastAsia="Arial" w:hAnsi="Arial" w:cs="Arial"/>
          <w:szCs w:val="24"/>
          <w:lang w:val="es-ES" w:eastAsia="es-MX"/>
        </w:rPr>
      </w:pPr>
      <w:r w:rsidRPr="00D3097B">
        <w:rPr>
          <w:rFonts w:ascii="Arial" w:eastAsia="Arial" w:hAnsi="Arial" w:cs="Arial"/>
          <w:szCs w:val="24"/>
          <w:lang w:val="es-ES" w:eastAsia="es-MX"/>
        </w:rPr>
        <w:t xml:space="preserve">El </w:t>
      </w:r>
      <w:r w:rsidRPr="00D3097B">
        <w:rPr>
          <w:rFonts w:ascii="Arial" w:eastAsia="Arial" w:hAnsi="Arial" w:cs="Arial"/>
          <w:i/>
          <w:iCs/>
          <w:szCs w:val="24"/>
          <w:lang w:val="es-ES" w:eastAsia="es-MX"/>
        </w:rPr>
        <w:t>primero</w:t>
      </w:r>
      <w:r w:rsidRPr="00D3097B">
        <w:rPr>
          <w:rFonts w:ascii="Arial" w:eastAsia="Arial" w:hAnsi="Arial" w:cs="Arial"/>
          <w:szCs w:val="24"/>
          <w:lang w:val="es-ES" w:eastAsia="es-MX"/>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el proceso de selección a través del sistema de subasta: en este último los documentos o requisitos subsanables deben solicitarse, como límite final, hasta el momento previo a su realización</w:t>
      </w:r>
      <w:r w:rsidRPr="00D3097B">
        <w:rPr>
          <w:rFonts w:ascii="Arial" w:eastAsia="Arial" w:hAnsi="Arial" w:cs="Arial"/>
          <w:vertAlign w:val="superscript"/>
          <w:lang w:eastAsia="es-MX"/>
        </w:rPr>
        <w:footnoteReference w:id="3"/>
      </w:r>
      <w:r w:rsidRPr="00D3097B">
        <w:rPr>
          <w:rFonts w:ascii="Arial" w:eastAsia="Arial" w:hAnsi="Arial" w:cs="Arial"/>
          <w:szCs w:val="24"/>
          <w:lang w:val="es-ES" w:eastAsia="es-MX"/>
        </w:rPr>
        <w:t>.</w:t>
      </w:r>
    </w:p>
    <w:p w14:paraId="3A661C8A" w14:textId="77777777" w:rsidR="00795F6F" w:rsidRPr="00D3097B" w:rsidRDefault="00795F6F" w:rsidP="00795F6F">
      <w:pPr>
        <w:spacing w:after="120" w:line="276" w:lineRule="auto"/>
        <w:ind w:firstLine="709"/>
        <w:jc w:val="both"/>
        <w:rPr>
          <w:rFonts w:ascii="Arial" w:eastAsia="Arial" w:hAnsi="Arial" w:cs="Arial"/>
          <w:szCs w:val="24"/>
          <w:lang w:val="es-ES" w:eastAsia="es-MX"/>
        </w:rPr>
      </w:pPr>
      <w:r w:rsidRPr="00D3097B">
        <w:rPr>
          <w:rFonts w:ascii="Arial" w:eastAsia="Times New Roman" w:hAnsi="Arial" w:cs="Arial"/>
          <w:szCs w:val="24"/>
          <w:shd w:val="clear" w:color="auto" w:fill="FFFFFF"/>
          <w:lang w:eastAsia="es-MX"/>
        </w:rPr>
        <w:t>Frente a la regla general, como se explica en el Concepto CU-060 del 24 de febrero de 2020</w:t>
      </w:r>
      <w:r w:rsidRPr="00D3097B">
        <w:rPr>
          <w:rFonts w:ascii="Arial" w:eastAsia="Times New Roman" w:hAnsi="Arial" w:cs="Arial"/>
          <w:szCs w:val="24"/>
          <w:shd w:val="clear" w:color="auto" w:fill="FFFFFF"/>
          <w:vertAlign w:val="superscript"/>
          <w:lang w:eastAsia="es-MX"/>
        </w:rPr>
        <w:footnoteReference w:id="4"/>
      </w:r>
      <w:r w:rsidRPr="00D3097B">
        <w:rPr>
          <w:rFonts w:ascii="Arial" w:eastAsia="Times New Roman" w:hAnsi="Arial" w:cs="Arial"/>
          <w:szCs w:val="24"/>
          <w:shd w:val="clear" w:color="auto" w:fill="FFFFFF"/>
          <w:lang w:eastAsia="es-MX"/>
        </w:rPr>
        <w:t xml:space="preserve">, la norma fijó un límite final para que la Administración y los oferentes subsanen los requisitos o documentos que puedan y deban ser subsanados; pero nada impide, y la norma no lo hace, que la Administración requiera al proponente antes de publicar el informe de evaluación, el cual en todo caso podrá subsanar </w:t>
      </w:r>
      <w:r w:rsidRPr="00D3097B">
        <w:rPr>
          <w:rFonts w:ascii="Arial" w:eastAsia="Times New Roman" w:hAnsi="Arial" w:cs="Arial"/>
          <w:i/>
          <w:iCs/>
          <w:szCs w:val="24"/>
          <w:shd w:val="clear" w:color="auto" w:fill="FFFFFF"/>
          <w:lang w:eastAsia="es-MX"/>
        </w:rPr>
        <w:t xml:space="preserve">hasta </w:t>
      </w:r>
      <w:r w:rsidRPr="00D3097B">
        <w:rPr>
          <w:rFonts w:ascii="Arial" w:eastAsia="Times New Roman" w:hAnsi="Arial" w:cs="Arial"/>
          <w:szCs w:val="24"/>
          <w:shd w:val="clear" w:color="auto" w:fill="FFFFFF"/>
          <w:lang w:eastAsia="es-MX"/>
        </w:rPr>
        <w:t>el término del traslado del informe de evaluación.</w:t>
      </w:r>
    </w:p>
    <w:p w14:paraId="7A61B072" w14:textId="77777777" w:rsidR="00795F6F" w:rsidRPr="00D3097B" w:rsidRDefault="00795F6F" w:rsidP="00795F6F">
      <w:pPr>
        <w:spacing w:after="120" w:line="276" w:lineRule="auto"/>
        <w:ind w:firstLine="720"/>
        <w:jc w:val="both"/>
        <w:rPr>
          <w:rFonts w:ascii="Arial" w:eastAsia="Calibri" w:hAnsi="Arial" w:cs="Arial"/>
          <w:sz w:val="21"/>
          <w:szCs w:val="21"/>
          <w:lang w:eastAsia="es-MX"/>
        </w:rPr>
      </w:pPr>
      <w:r w:rsidRPr="00D3097B">
        <w:rPr>
          <w:rFonts w:ascii="Arial" w:eastAsia="Arial" w:hAnsi="Arial" w:cs="Arial"/>
          <w:szCs w:val="24"/>
          <w:lang w:val="es-ES" w:eastAsia="es-MX"/>
        </w:rPr>
        <w:t xml:space="preserve">De otro lado, el </w:t>
      </w:r>
      <w:r w:rsidRPr="00D3097B">
        <w:rPr>
          <w:rFonts w:ascii="Arial" w:eastAsia="Arial" w:hAnsi="Arial" w:cs="Arial"/>
          <w:i/>
          <w:iCs/>
          <w:szCs w:val="24"/>
          <w:lang w:val="es-ES" w:eastAsia="es-MX"/>
        </w:rPr>
        <w:t>segundo</w:t>
      </w:r>
      <w:r w:rsidRPr="00D3097B">
        <w:rPr>
          <w:rFonts w:ascii="Arial" w:eastAsia="Arial" w:hAnsi="Arial" w:cs="Arial"/>
          <w:szCs w:val="24"/>
          <w:lang w:val="es-ES" w:eastAsia="es-MX"/>
        </w:rPr>
        <w:t xml:space="preserve"> cambio importante de la Ley 1882 de 2018</w:t>
      </w:r>
      <w:r w:rsidRPr="00D3097B">
        <w:rPr>
          <w:rFonts w:ascii="Arial" w:eastAsia="Arial" w:hAnsi="Arial" w:cs="Arial"/>
          <w:szCs w:val="24"/>
          <w:lang w:eastAsia="es-MX"/>
        </w:rPr>
        <w:t xml:space="preserve"> </w:t>
      </w:r>
      <w:r w:rsidRPr="00D3097B">
        <w:rPr>
          <w:rFonts w:ascii="Arial" w:eastAsia="Calibri" w:hAnsi="Arial" w:cs="Arial"/>
          <w:szCs w:val="24"/>
          <w:lang w:eastAsia="es-MX"/>
        </w:rPr>
        <w:t xml:space="preserve">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w:t>
      </w:r>
      <w:proofErr w:type="gramStart"/>
      <w:r w:rsidRPr="00D3097B">
        <w:rPr>
          <w:rFonts w:ascii="Arial" w:eastAsia="Calibri" w:hAnsi="Arial" w:cs="Arial"/>
          <w:szCs w:val="24"/>
          <w:lang w:eastAsia="es-MX"/>
        </w:rPr>
        <w:t>la misma</w:t>
      </w:r>
      <w:proofErr w:type="gramEnd"/>
      <w:r w:rsidRPr="00D3097B">
        <w:rPr>
          <w:rFonts w:ascii="Arial" w:eastAsia="Calibri" w:hAnsi="Arial" w:cs="Arial"/>
          <w:szCs w:val="24"/>
          <w:lang w:eastAsia="es-MX"/>
        </w:rPr>
        <w:t>”.</w:t>
      </w:r>
    </w:p>
    <w:p w14:paraId="10BB0F36" w14:textId="77777777" w:rsidR="00795F6F" w:rsidRPr="00D3097B" w:rsidRDefault="00795F6F" w:rsidP="00795F6F">
      <w:pPr>
        <w:spacing w:before="120" w:after="120" w:line="276" w:lineRule="auto"/>
        <w:ind w:firstLine="709"/>
        <w:jc w:val="both"/>
        <w:rPr>
          <w:rFonts w:ascii="Arial" w:eastAsia="Times New Roman" w:hAnsi="Arial" w:cs="Arial"/>
          <w:szCs w:val="24"/>
          <w:lang w:val="es-ES_tradnl" w:eastAsia="es-ES_tradnl"/>
        </w:rPr>
      </w:pPr>
      <w:r w:rsidRPr="00D3097B">
        <w:rPr>
          <w:rFonts w:ascii="Arial" w:eastAsia="Arial" w:hAnsi="Arial" w:cs="Arial"/>
          <w:szCs w:val="24"/>
          <w:lang w:eastAsia="es-MX"/>
        </w:rPr>
        <w:t>Finalmente, el último cambio</w:t>
      </w:r>
      <w:r w:rsidRPr="00D3097B">
        <w:rPr>
          <w:rFonts w:ascii="Arial" w:eastAsia="Arial" w:hAnsi="Arial" w:cs="Arial"/>
          <w:szCs w:val="24"/>
          <w:lang w:val="es-ES" w:eastAsia="es-MX"/>
        </w:rPr>
        <w:t xml:space="preserve"> importante de la Ley 1882 de 2018 fue la introducción de un criterio material, directamente relacionado con los aspectos subsanables: </w:t>
      </w:r>
      <w:r w:rsidRPr="00D3097B">
        <w:rPr>
          <w:rFonts w:ascii="Arial" w:eastAsia="Arial" w:hAnsi="Arial" w:cs="Arial"/>
          <w:i/>
          <w:iCs/>
          <w:szCs w:val="24"/>
          <w:lang w:val="es-ES" w:eastAsia="es-MX"/>
        </w:rPr>
        <w:t>“</w:t>
      </w:r>
      <w:r w:rsidRPr="00D3097B">
        <w:rPr>
          <w:rFonts w:ascii="Arial" w:eastAsia="Arial" w:hAnsi="Arial" w:cs="Arial"/>
          <w:szCs w:val="24"/>
          <w:lang w:val="es-ES" w:eastAsia="es-MX"/>
        </w:rPr>
        <w:t>los proponentes no podrán acreditar circunstancias ocurridas con posterioridad al cierre del proceso”.</w:t>
      </w:r>
      <w:r w:rsidRPr="00D3097B">
        <w:rPr>
          <w:rFonts w:ascii="Arial" w:eastAsia="Times New Roman" w:hAnsi="Arial" w:cs="Arial"/>
          <w:szCs w:val="24"/>
          <w:bdr w:val="none" w:sz="0" w:space="0" w:color="auto" w:frame="1"/>
          <w:lang w:val="es-ES_tradnl" w:eastAsia="es-MX"/>
        </w:rPr>
        <w:t xml:space="preserve"> </w:t>
      </w:r>
      <w:r w:rsidRPr="00D3097B">
        <w:rPr>
          <w:rFonts w:ascii="Arial" w:eastAsia="Times New Roman" w:hAnsi="Arial" w:cs="Arial"/>
          <w:szCs w:val="24"/>
          <w:lang w:val="es-ES_tradnl" w:eastAsia="es-ES_tradnl"/>
        </w:rPr>
        <w:t xml:space="preserve">Lo anterior ofrece dos aspectos que merecen clarificación: </w:t>
      </w:r>
      <w:r w:rsidRPr="00D3097B">
        <w:rPr>
          <w:rFonts w:ascii="Arial" w:eastAsia="Times New Roman" w:hAnsi="Arial" w:cs="Arial"/>
          <w:i/>
          <w:iCs/>
          <w:szCs w:val="24"/>
          <w:lang w:val="es-ES_tradnl" w:eastAsia="es-ES_tradnl"/>
        </w:rPr>
        <w:t>primero</w:t>
      </w:r>
      <w:r w:rsidRPr="00D3097B">
        <w:rPr>
          <w:rFonts w:ascii="Arial" w:eastAsia="Times New Roman" w:hAnsi="Arial" w:cs="Arial"/>
          <w:szCs w:val="24"/>
          <w:lang w:val="es-ES_tradnl" w:eastAsia="es-ES_tradnl"/>
        </w:rPr>
        <w:t xml:space="preserve">, qué debe entenderse por circunstancias ocurridas con posterioridad; y </w:t>
      </w:r>
      <w:r w:rsidRPr="00D3097B">
        <w:rPr>
          <w:rFonts w:ascii="Arial" w:eastAsia="Times New Roman" w:hAnsi="Arial" w:cs="Arial"/>
          <w:i/>
          <w:iCs/>
          <w:szCs w:val="24"/>
          <w:lang w:val="es-ES_tradnl" w:eastAsia="es-ES_tradnl"/>
        </w:rPr>
        <w:t>segundo</w:t>
      </w:r>
      <w:r w:rsidRPr="00D3097B">
        <w:rPr>
          <w:rFonts w:ascii="Arial" w:eastAsia="Times New Roman" w:hAnsi="Arial" w:cs="Arial"/>
          <w:szCs w:val="24"/>
          <w:lang w:val="es-ES_tradnl" w:eastAsia="es-ES_tradnl"/>
        </w:rPr>
        <w:t>, qué es el cierre del proceso.</w:t>
      </w:r>
    </w:p>
    <w:p w14:paraId="73433F97" w14:textId="77777777" w:rsidR="00795F6F" w:rsidRPr="00D3097B" w:rsidRDefault="00795F6F" w:rsidP="00795F6F">
      <w:pPr>
        <w:spacing w:after="0" w:line="276" w:lineRule="auto"/>
        <w:ind w:firstLine="709"/>
        <w:jc w:val="both"/>
        <w:rPr>
          <w:rFonts w:ascii="Arial" w:eastAsia="Times New Roman" w:hAnsi="Arial" w:cs="Arial"/>
          <w:szCs w:val="24"/>
          <w:lang w:val="es-ES_tradnl" w:eastAsia="es-ES_tradnl"/>
        </w:rPr>
      </w:pPr>
      <w:r w:rsidRPr="00D3097B">
        <w:rPr>
          <w:rFonts w:ascii="Arial" w:eastAsia="Times New Roman" w:hAnsi="Arial" w:cs="Arial"/>
          <w:szCs w:val="24"/>
          <w:lang w:val="es-ES_tradnl" w:eastAsia="es-ES_tradnl"/>
        </w:rPr>
        <w:lastRenderedPageBreak/>
        <w:t>La Sala de Consulta y Servicio Civil del Consejo de Estado ya había tenido la oportunidad de precisar estas expresiones, a propósito de un concepto en el que se refirió al artículo 10 del derogado Decreto 2474 de 2008</w:t>
      </w:r>
      <w:r w:rsidRPr="00D3097B">
        <w:rPr>
          <w:rFonts w:ascii="Arial" w:eastAsia="Times New Roman" w:hAnsi="Arial" w:cs="Arial"/>
          <w:szCs w:val="24"/>
          <w:vertAlign w:val="superscript"/>
          <w:lang w:val="es-ES_tradnl" w:eastAsia="es-ES_tradnl"/>
        </w:rPr>
        <w:footnoteReference w:id="5"/>
      </w:r>
      <w:r w:rsidRPr="00D3097B">
        <w:rPr>
          <w:rFonts w:ascii="Arial" w:eastAsia="Times New Roman" w:hAnsi="Arial" w:cs="Arial"/>
          <w:szCs w:val="24"/>
          <w:lang w:val="es-ES_tradnl" w:eastAsia="es-ES_tradnl"/>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75EB6DCD" w14:textId="77777777" w:rsidR="00795F6F" w:rsidRPr="00D3097B" w:rsidRDefault="00795F6F" w:rsidP="00795F6F">
      <w:pPr>
        <w:spacing w:after="0" w:line="240" w:lineRule="auto"/>
        <w:ind w:left="709" w:right="709"/>
        <w:jc w:val="both"/>
        <w:rPr>
          <w:rFonts w:ascii="Arial" w:eastAsia="Times New Roman" w:hAnsi="Arial" w:cs="Arial"/>
          <w:sz w:val="21"/>
          <w:szCs w:val="21"/>
          <w:lang w:val="es-ES_tradnl" w:eastAsia="es-ES_tradnl"/>
        </w:rPr>
      </w:pPr>
    </w:p>
    <w:p w14:paraId="63E04BAE" w14:textId="77777777" w:rsidR="00795F6F" w:rsidRPr="00D3097B" w:rsidRDefault="00795F6F" w:rsidP="00795F6F">
      <w:pPr>
        <w:spacing w:after="0" w:line="240" w:lineRule="auto"/>
        <w:ind w:left="709" w:right="709"/>
        <w:jc w:val="both"/>
        <w:rPr>
          <w:rFonts w:ascii="Arial" w:eastAsia="Times New Roman" w:hAnsi="Arial" w:cs="Arial"/>
          <w:sz w:val="21"/>
          <w:szCs w:val="21"/>
          <w:lang w:val="es-ES_tradnl" w:eastAsia="es-ES_tradnl"/>
        </w:rPr>
      </w:pPr>
      <w:r w:rsidRPr="00D3097B">
        <w:rPr>
          <w:rFonts w:ascii="Arial" w:eastAsia="Times New Roman" w:hAnsi="Arial" w:cs="Arial"/>
          <w:sz w:val="21"/>
          <w:szCs w:val="21"/>
          <w:lang w:val="es-ES_tradnl" w:eastAsia="es-ES_tradnl"/>
        </w:rPr>
        <w:t xml:space="preserve">“Sin embargo, debe tenerse en cuenta que la última norma en cita -Decreto 2474 de 2008, aparte subrayado-, establece un límite a la </w:t>
      </w:r>
      <w:proofErr w:type="spellStart"/>
      <w:r w:rsidRPr="00D3097B">
        <w:rPr>
          <w:rFonts w:ascii="Arial" w:eastAsia="Times New Roman" w:hAnsi="Arial" w:cs="Arial"/>
          <w:sz w:val="21"/>
          <w:szCs w:val="21"/>
          <w:lang w:val="es-ES_tradnl" w:eastAsia="es-ES_tradnl"/>
        </w:rPr>
        <w:t>subsanabilidad</w:t>
      </w:r>
      <w:proofErr w:type="spellEnd"/>
      <w:r w:rsidRPr="00D3097B">
        <w:rPr>
          <w:rFonts w:ascii="Arial" w:eastAsia="Times New Roman" w:hAnsi="Arial" w:cs="Arial"/>
          <w:sz w:val="21"/>
          <w:szCs w:val="21"/>
          <w:lang w:val="es-ES_tradnl" w:eastAsia="es-ES_tradnl"/>
        </w:rPr>
        <w:t>, puesto que en cualquier caso debe referirse o recaer sobre circunstancias ocurridas antes del cierre del respectivo proceso, esto es, del vencimiento del plazo para presentar ofertas.</w:t>
      </w:r>
    </w:p>
    <w:p w14:paraId="2EC435F1" w14:textId="77777777" w:rsidR="00795F6F" w:rsidRPr="00D3097B" w:rsidRDefault="00795F6F" w:rsidP="00795F6F">
      <w:pPr>
        <w:spacing w:after="0" w:line="240" w:lineRule="auto"/>
        <w:ind w:left="709" w:right="709"/>
        <w:jc w:val="both"/>
        <w:rPr>
          <w:rFonts w:ascii="Arial" w:eastAsia="Times New Roman" w:hAnsi="Arial" w:cs="Arial"/>
          <w:sz w:val="21"/>
          <w:szCs w:val="21"/>
          <w:lang w:val="es-ES_tradnl" w:eastAsia="es-ES_tradnl"/>
        </w:rPr>
      </w:pPr>
      <w:r w:rsidRPr="00D3097B">
        <w:rPr>
          <w:rFonts w:ascii="Arial" w:eastAsia="Times New Roman" w:hAnsi="Arial" w:cs="Arial"/>
          <w:sz w:val="21"/>
          <w:szCs w:val="21"/>
          <w:lang w:val="es-ES_tradnl" w:eastAsia="es-ES_tradnl"/>
        </w:rPr>
        <w:t> </w:t>
      </w:r>
    </w:p>
    <w:p w14:paraId="38562F53" w14:textId="77777777" w:rsidR="00795F6F" w:rsidRPr="00D3097B" w:rsidRDefault="00795F6F" w:rsidP="00795F6F">
      <w:pPr>
        <w:spacing w:after="0" w:line="240" w:lineRule="auto"/>
        <w:ind w:left="709" w:right="709"/>
        <w:jc w:val="both"/>
        <w:rPr>
          <w:rFonts w:ascii="Arial" w:eastAsia="Times New Roman" w:hAnsi="Arial" w:cs="Arial"/>
          <w:sz w:val="21"/>
          <w:szCs w:val="21"/>
          <w:lang w:val="es-ES_tradnl" w:eastAsia="es-ES_tradnl"/>
        </w:rPr>
      </w:pPr>
      <w:r w:rsidRPr="00D3097B">
        <w:rPr>
          <w:rFonts w:ascii="Arial" w:eastAsia="Times New Roman" w:hAnsi="Arial" w:cs="Arial"/>
          <w:sz w:val="21"/>
          <w:szCs w:val="21"/>
          <w:lang w:val="es-ES_tradnl" w:eastAsia="es-ES_tradnl"/>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w:t>
      </w:r>
      <w:proofErr w:type="gramStart"/>
      <w:r w:rsidRPr="00D3097B">
        <w:rPr>
          <w:rFonts w:ascii="Arial" w:eastAsia="Times New Roman" w:hAnsi="Arial" w:cs="Arial"/>
          <w:sz w:val="21"/>
          <w:szCs w:val="21"/>
          <w:lang w:val="es-ES_tradnl" w:eastAsia="es-ES_tradnl"/>
        </w:rPr>
        <w:t>la misma</w:t>
      </w:r>
      <w:proofErr w:type="gramEnd"/>
      <w:r w:rsidRPr="00D3097B">
        <w:rPr>
          <w:rFonts w:ascii="Arial" w:eastAsia="Times New Roman" w:hAnsi="Arial" w:cs="Arial"/>
          <w:sz w:val="21"/>
          <w:szCs w:val="21"/>
          <w:lang w:val="es-ES_tradnl" w:eastAsia="es-ES_tradnl"/>
        </w:rPr>
        <w:t xml:space="preserve">,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w:t>
      </w:r>
      <w:proofErr w:type="gramStart"/>
      <w:r w:rsidRPr="00D3097B">
        <w:rPr>
          <w:rFonts w:ascii="Arial" w:eastAsia="Times New Roman" w:hAnsi="Arial" w:cs="Arial"/>
          <w:sz w:val="21"/>
          <w:szCs w:val="21"/>
          <w:lang w:val="es-ES_tradnl" w:eastAsia="es-ES_tradnl"/>
        </w:rPr>
        <w:t>del mismo</w:t>
      </w:r>
      <w:proofErr w:type="gramEnd"/>
      <w:r w:rsidRPr="00D3097B">
        <w:rPr>
          <w:rFonts w:ascii="Arial" w:eastAsia="Times New Roman" w:hAnsi="Arial" w:cs="Arial"/>
          <w:sz w:val="21"/>
          <w:szCs w:val="21"/>
          <w:lang w:val="es-ES_tradnl" w:eastAsia="es-ES_tradnl"/>
        </w:rPr>
        <w:t xml:space="preserve"> o lo actualice, pero no para que se constituya la sociedad con posterioridad al cierre del proceso, pues si ello no se había hecho, significa simplemente que el oferente no tenía la condición para participar”</w:t>
      </w:r>
      <w:r w:rsidRPr="00D3097B">
        <w:rPr>
          <w:rFonts w:ascii="Arial" w:eastAsia="Times New Roman" w:hAnsi="Arial" w:cs="Arial"/>
          <w:sz w:val="21"/>
          <w:szCs w:val="21"/>
          <w:vertAlign w:val="superscript"/>
          <w:lang w:val="es-ES_tradnl" w:eastAsia="es-ES_tradnl"/>
        </w:rPr>
        <w:footnoteReference w:id="6"/>
      </w:r>
      <w:r w:rsidRPr="00D3097B">
        <w:rPr>
          <w:rFonts w:ascii="Arial" w:eastAsia="Times New Roman" w:hAnsi="Arial" w:cs="Arial"/>
          <w:sz w:val="21"/>
          <w:szCs w:val="21"/>
          <w:lang w:val="es-ES_tradnl" w:eastAsia="es-ES_tradnl"/>
        </w:rPr>
        <w:t>.</w:t>
      </w:r>
    </w:p>
    <w:p w14:paraId="5D6255A6" w14:textId="77777777" w:rsidR="00795F6F" w:rsidRPr="00D3097B" w:rsidRDefault="00795F6F" w:rsidP="00795F6F">
      <w:pPr>
        <w:spacing w:after="0" w:line="276" w:lineRule="auto"/>
        <w:jc w:val="both"/>
        <w:rPr>
          <w:rFonts w:ascii="Arial" w:eastAsia="Times New Roman" w:hAnsi="Arial" w:cs="Arial"/>
          <w:szCs w:val="24"/>
          <w:lang w:val="es-ES_tradnl" w:eastAsia="es-ES_tradnl"/>
        </w:rPr>
      </w:pPr>
    </w:p>
    <w:p w14:paraId="207C9A9F" w14:textId="77777777" w:rsidR="00795F6F" w:rsidRPr="00D3097B" w:rsidRDefault="00795F6F" w:rsidP="00795F6F">
      <w:pPr>
        <w:spacing w:after="120" w:line="276" w:lineRule="auto"/>
        <w:ind w:firstLine="709"/>
        <w:jc w:val="both"/>
        <w:rPr>
          <w:rFonts w:ascii="Arial" w:eastAsia="Calibri" w:hAnsi="Arial" w:cs="Arial"/>
          <w:szCs w:val="24"/>
          <w:lang w:val="es-ES_tradnl" w:eastAsia="es-ES_tradnl"/>
        </w:rPr>
      </w:pPr>
      <w:r w:rsidRPr="00D3097B">
        <w:rPr>
          <w:rFonts w:ascii="Arial" w:eastAsia="Calibri" w:hAnsi="Arial" w:cs="Arial"/>
          <w:szCs w:val="24"/>
          <w:lang w:val="es-ES_tradnl" w:eastAsia="es-ES_tradnl"/>
        </w:rPr>
        <w:lastRenderedPageBreak/>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w:t>
      </w:r>
    </w:p>
    <w:p w14:paraId="67448D04" w14:textId="77777777" w:rsidR="00795F6F" w:rsidRPr="00D3097B" w:rsidRDefault="00795F6F" w:rsidP="00795F6F">
      <w:pPr>
        <w:spacing w:after="120" w:line="276" w:lineRule="auto"/>
        <w:ind w:firstLine="709"/>
        <w:jc w:val="both"/>
        <w:rPr>
          <w:rFonts w:ascii="Arial" w:eastAsia="Times New Roman" w:hAnsi="Arial" w:cs="Arial"/>
          <w:szCs w:val="24"/>
          <w:bdr w:val="none" w:sz="0" w:space="0" w:color="auto" w:frame="1"/>
          <w:lang w:val="es-ES_tradnl" w:eastAsia="es-MX"/>
        </w:rPr>
      </w:pPr>
      <w:r w:rsidRPr="00D3097B">
        <w:rPr>
          <w:rFonts w:ascii="Arial" w:eastAsia="Calibri" w:hAnsi="Arial" w:cs="Arial"/>
          <w:szCs w:val="24"/>
          <w:lang w:val="es-ES_tradnl" w:eastAsia="es-ES_tradnl"/>
        </w:rPr>
        <w:t xml:space="preserve">Un mejor entendimiento del significado de la expresión “circunstancias ocurridas con posterioridad al cierre del proceso” lleva necesariamente a distinguir entre la prueba de un hecho y el hecho mismo. En el caso de la </w:t>
      </w:r>
      <w:proofErr w:type="spellStart"/>
      <w:r w:rsidRPr="00D3097B">
        <w:rPr>
          <w:rFonts w:ascii="Arial" w:eastAsia="Calibri" w:hAnsi="Arial" w:cs="Arial"/>
          <w:szCs w:val="24"/>
          <w:lang w:val="es-ES_tradnl" w:eastAsia="es-ES_tradnl"/>
        </w:rPr>
        <w:t>subsanabilidad</w:t>
      </w:r>
      <w:proofErr w:type="spellEnd"/>
      <w:r w:rsidRPr="00D3097B">
        <w:rPr>
          <w:rFonts w:ascii="Arial" w:eastAsia="Calibri" w:hAnsi="Arial" w:cs="Arial"/>
          <w:szCs w:val="24"/>
          <w:lang w:val="es-ES_tradnl" w:eastAsia="es-ES_tradnl"/>
        </w:rPr>
        <w:t xml:space="preserve">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4BE2C8B1" w14:textId="77777777" w:rsidR="00795F6F" w:rsidRPr="00D3097B" w:rsidRDefault="00795F6F" w:rsidP="00795F6F">
      <w:pPr>
        <w:spacing w:before="120" w:after="120" w:line="276" w:lineRule="auto"/>
        <w:ind w:firstLine="709"/>
        <w:jc w:val="both"/>
        <w:rPr>
          <w:rFonts w:ascii="Arial" w:eastAsia="Calibri" w:hAnsi="Arial" w:cs="Arial"/>
          <w:szCs w:val="24"/>
          <w:lang w:val="es-ES_tradnl" w:eastAsia="es-ES_tradnl"/>
        </w:rPr>
      </w:pPr>
      <w:r w:rsidRPr="00D3097B">
        <w:rPr>
          <w:rFonts w:ascii="Arial" w:eastAsia="Calibri" w:hAnsi="Arial" w:cs="Arial"/>
          <w:szCs w:val="24"/>
          <w:lang w:val="es-ES_tradnl" w:eastAsia="es-ES_tradnl"/>
        </w:rPr>
        <w:t xml:space="preserve">Visto lo anterior, una vez verificada la ausencia de requisitos y/o documentos de la oferta, para saber si se puede subsanar, la Administración se debe preguntar, en primer lugar, si lo que hace falta es un </w:t>
      </w:r>
      <w:r w:rsidRPr="00D3097B">
        <w:rPr>
          <w:rFonts w:ascii="Arial" w:eastAsia="Calibri" w:hAnsi="Arial" w:cs="Arial"/>
          <w:iCs/>
          <w:szCs w:val="24"/>
          <w:lang w:val="es-ES_tradnl" w:eastAsia="es-ES_tradnl"/>
        </w:rPr>
        <w:t>documento o información</w:t>
      </w:r>
      <w:r w:rsidRPr="00D3097B">
        <w:rPr>
          <w:rFonts w:ascii="Arial" w:eastAsia="Calibri" w:hAnsi="Arial" w:cs="Arial"/>
          <w:szCs w:val="24"/>
          <w:lang w:val="es-ES_tradnl" w:eastAsia="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5639F9E7" w14:textId="77777777" w:rsidR="00795F6F" w:rsidRPr="00D3097B" w:rsidRDefault="00795F6F" w:rsidP="00795F6F">
      <w:pPr>
        <w:spacing w:after="0" w:line="276" w:lineRule="auto"/>
        <w:ind w:firstLine="709"/>
        <w:jc w:val="both"/>
        <w:rPr>
          <w:rFonts w:ascii="Arial" w:eastAsia="Arial" w:hAnsi="Arial" w:cs="Arial"/>
          <w:sz w:val="21"/>
          <w:szCs w:val="21"/>
          <w:lang w:eastAsia="es-MX"/>
        </w:rPr>
      </w:pPr>
      <w:r w:rsidRPr="00D3097B">
        <w:rPr>
          <w:rFonts w:ascii="Arial" w:eastAsia="Arial" w:hAnsi="Arial" w:cs="Arial"/>
          <w:szCs w:val="24"/>
          <w:lang w:eastAsia="es-MX"/>
        </w:rPr>
        <w:t xml:space="preserve">De igual manera, en los documentos tipo adoptados mediante la Resolución </w:t>
      </w:r>
      <w:r w:rsidRPr="00D3097B">
        <w:rPr>
          <w:rFonts w:ascii="Arial" w:eastAsia="Times New Roman" w:hAnsi="Arial" w:cs="Arial"/>
          <w:szCs w:val="24"/>
          <w:bdr w:val="none" w:sz="0" w:space="0" w:color="auto" w:frame="1"/>
          <w:lang w:eastAsia="es-CO"/>
        </w:rPr>
        <w:t>No. 240 del 27 de noviembre 2020</w:t>
      </w:r>
      <w:r w:rsidRPr="00D3097B">
        <w:rPr>
          <w:rFonts w:ascii="Arial" w:eastAsia="Arial" w:hAnsi="Arial" w:cs="Arial"/>
          <w:szCs w:val="24"/>
          <w:lang w:eastAsia="es-MX"/>
        </w:rPr>
        <w:t>, la obligación del proponente de presentar su oferta de manera íntegra es congruente con el numeral 1.6. del Documento Base. Al respecto, el Pliego Tipo dispone que</w:t>
      </w:r>
      <w:r w:rsidRPr="00D3097B">
        <w:rPr>
          <w:rFonts w:ascii="Arial" w:eastAsia="Arial" w:hAnsi="Arial" w:cs="Arial"/>
          <w:sz w:val="21"/>
          <w:szCs w:val="21"/>
          <w:lang w:eastAsia="es-MX"/>
        </w:rPr>
        <w:t>:</w:t>
      </w:r>
    </w:p>
    <w:p w14:paraId="0934F753" w14:textId="77777777" w:rsidR="00795F6F" w:rsidRPr="00D3097B" w:rsidRDefault="00795F6F" w:rsidP="00795F6F">
      <w:pPr>
        <w:spacing w:after="0" w:line="276" w:lineRule="auto"/>
        <w:ind w:firstLine="360"/>
        <w:jc w:val="both"/>
        <w:rPr>
          <w:rFonts w:ascii="Arial" w:eastAsia="Arial" w:hAnsi="Arial" w:cs="Arial"/>
          <w:sz w:val="21"/>
          <w:szCs w:val="21"/>
          <w:lang w:eastAsia="es-MX"/>
        </w:rPr>
      </w:pPr>
    </w:p>
    <w:p w14:paraId="5000EDEA" w14:textId="77777777" w:rsidR="00795F6F" w:rsidRPr="00D3097B" w:rsidRDefault="00795F6F" w:rsidP="00795F6F">
      <w:pPr>
        <w:spacing w:after="120" w:line="240" w:lineRule="auto"/>
        <w:ind w:left="709" w:right="709"/>
        <w:jc w:val="both"/>
        <w:rPr>
          <w:rFonts w:ascii="Arial" w:eastAsia="Arial" w:hAnsi="Arial" w:cs="Arial"/>
          <w:sz w:val="21"/>
          <w:szCs w:val="21"/>
          <w:lang w:eastAsia="es-MX"/>
        </w:rPr>
      </w:pPr>
      <w:r w:rsidRPr="00D3097B">
        <w:rPr>
          <w:rFonts w:ascii="Arial" w:eastAsia="Arial" w:hAnsi="Arial" w:cs="Arial"/>
          <w:sz w:val="21"/>
          <w:szCs w:val="21"/>
          <w:lang w:eastAsia="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4EB3FDC7" w14:textId="77777777" w:rsidR="00795F6F" w:rsidRPr="00D3097B" w:rsidRDefault="00795F6F" w:rsidP="00795F6F">
      <w:pPr>
        <w:spacing w:after="120" w:line="240" w:lineRule="auto"/>
        <w:ind w:left="709" w:right="709"/>
        <w:jc w:val="both"/>
        <w:rPr>
          <w:rFonts w:ascii="Arial" w:eastAsia="Arial" w:hAnsi="Arial" w:cs="Arial"/>
          <w:sz w:val="21"/>
          <w:szCs w:val="21"/>
          <w:lang w:eastAsia="es-MX"/>
        </w:rPr>
      </w:pPr>
      <w:r w:rsidRPr="00D3097B">
        <w:rPr>
          <w:rFonts w:ascii="Arial" w:eastAsia="Arial" w:hAnsi="Arial" w:cs="Arial"/>
          <w:sz w:val="21"/>
          <w:szCs w:val="21"/>
          <w:lang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w:t>
      </w:r>
      <w:r w:rsidRPr="00D3097B">
        <w:rPr>
          <w:rFonts w:ascii="Arial" w:eastAsia="Arial" w:hAnsi="Arial" w:cs="Arial"/>
          <w:sz w:val="21"/>
          <w:szCs w:val="21"/>
          <w:lang w:eastAsia="es-MX"/>
        </w:rPr>
        <w:lastRenderedPageBreak/>
        <w:t xml:space="preserve">evaluación, es decir, dentro de los cinco (5) días hábiles siguientes, contados a partir del día hábil siguiente a la expedición del informe de evaluación. </w:t>
      </w:r>
    </w:p>
    <w:p w14:paraId="6A1B97FA" w14:textId="77777777" w:rsidR="00795F6F" w:rsidRPr="00D3097B" w:rsidRDefault="00795F6F" w:rsidP="00795F6F">
      <w:pPr>
        <w:spacing w:after="120" w:line="240" w:lineRule="auto"/>
        <w:ind w:left="709" w:right="709"/>
        <w:jc w:val="both"/>
        <w:rPr>
          <w:rFonts w:ascii="Arial" w:eastAsia="Arial" w:hAnsi="Arial" w:cs="Arial"/>
          <w:sz w:val="21"/>
          <w:szCs w:val="21"/>
          <w:u w:val="single"/>
          <w:lang w:eastAsia="es-MX"/>
        </w:rPr>
      </w:pPr>
      <w:r w:rsidRPr="00D3097B">
        <w:rPr>
          <w:rFonts w:ascii="Arial" w:eastAsia="Arial" w:hAnsi="Arial" w:cs="Arial"/>
          <w:sz w:val="21"/>
          <w:szCs w:val="21"/>
          <w:lang w:eastAsia="es-MX"/>
        </w:rPr>
        <w:t>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w:t>
      </w:r>
    </w:p>
    <w:p w14:paraId="3FA2461C" w14:textId="77777777" w:rsidR="00795F6F" w:rsidRPr="00D3097B" w:rsidRDefault="00795F6F" w:rsidP="00795F6F">
      <w:pPr>
        <w:spacing w:after="0" w:line="276" w:lineRule="auto"/>
        <w:ind w:firstLine="709"/>
        <w:jc w:val="both"/>
        <w:rPr>
          <w:rFonts w:ascii="Arial" w:eastAsia="Times New Roman" w:hAnsi="Arial" w:cs="Arial"/>
          <w:szCs w:val="24"/>
          <w:shd w:val="clear" w:color="auto" w:fill="FFFFFF"/>
          <w:lang w:val="es-ES" w:eastAsia="es-MX"/>
        </w:rPr>
      </w:pPr>
    </w:p>
    <w:p w14:paraId="4F68766A" w14:textId="77777777" w:rsidR="00795F6F" w:rsidRPr="00D3097B" w:rsidRDefault="00795F6F" w:rsidP="00795F6F">
      <w:pPr>
        <w:spacing w:after="120" w:line="276" w:lineRule="auto"/>
        <w:ind w:firstLine="709"/>
        <w:jc w:val="both"/>
        <w:rPr>
          <w:rFonts w:ascii="Arial" w:eastAsia="Times New Roman" w:hAnsi="Arial" w:cs="Arial"/>
          <w:szCs w:val="24"/>
          <w:shd w:val="clear" w:color="auto" w:fill="FFFFFF"/>
          <w:lang w:val="es-ES" w:eastAsia="es-MX"/>
        </w:rPr>
      </w:pPr>
      <w:r w:rsidRPr="00D3097B">
        <w:rPr>
          <w:rFonts w:ascii="Arial" w:eastAsia="Times New Roman" w:hAnsi="Arial" w:cs="Arial"/>
          <w:szCs w:val="24"/>
          <w:shd w:val="clear" w:color="auto" w:fill="FFFFFF"/>
          <w:lang w:val="es-ES" w:eastAsia="es-MX"/>
        </w:rPr>
        <w:t>El texto transcrito, es concordante con el parágrafo 3 del artículo 30 de la Ley 80 de 1993</w:t>
      </w:r>
      <w:r w:rsidRPr="00D3097B">
        <w:rPr>
          <w:rFonts w:ascii="Arial" w:eastAsia="Arial" w:hAnsi="Arial" w:cs="Arial"/>
          <w:szCs w:val="24"/>
          <w:vertAlign w:val="superscript"/>
          <w:lang w:val="es-ES" w:eastAsia="es-MX"/>
        </w:rPr>
        <w:footnoteReference w:id="7"/>
      </w:r>
      <w:r w:rsidRPr="00D3097B">
        <w:rPr>
          <w:rFonts w:ascii="Arial" w:eastAsia="Times New Roman" w:hAnsi="Arial" w:cs="Arial"/>
          <w:szCs w:val="24"/>
          <w:shd w:val="clear" w:color="auto" w:fill="FFFFFF"/>
          <w:lang w:val="es-ES" w:eastAsia="es-MX"/>
        </w:rPr>
        <w:t xml:space="preserve">, adicionado por la Ley 1882 de 2018, el cual regula la elaboración y traslado del informe de evaluación. Conforme indica dicho artículo, la entidad estatal debe publicar un informe de evaluación preliminar, en el que se debe dar cuenta de las posibles inconsistencias o falencias en la acreditación de los requisitos exigidos en el pliego de condiciones, sin perjuicio de que previamente solicite su subsanación durante la evaluación de las ofertas o que lo haga en el informe mismo, tal como se explicó en líneas anteriores. Este informe de evaluación debe ser publicado durante un plazo de cinco (5) días hábiles, término hasta el cual le corresponde a los proponentes allegar los documentos requeridos para subsanar aquellos referidos a la acreditación de documentos que no afecten la asignación de puntaje. Dicho término de traslado del informe de evaluación es al que se refiere el parágrafo 1 del artículo 5 de la Ley 1150 de 2007, y el 3 del artículo 30 de la Ley 80 de 1993 como oportunidad para subsanar en los procesos de licitación de obra pública. </w:t>
      </w:r>
    </w:p>
    <w:p w14:paraId="75939CF7" w14:textId="77777777" w:rsidR="00795F6F" w:rsidRPr="00D3097B" w:rsidRDefault="00795F6F" w:rsidP="00795F6F">
      <w:pPr>
        <w:spacing w:after="0" w:line="276" w:lineRule="auto"/>
        <w:ind w:firstLine="709"/>
        <w:jc w:val="both"/>
        <w:rPr>
          <w:rFonts w:ascii="Arial" w:eastAsia="Calibri" w:hAnsi="Arial" w:cs="Arial"/>
          <w:lang w:val="es-ES_tradnl"/>
        </w:rPr>
      </w:pPr>
      <w:r w:rsidRPr="00D3097B">
        <w:rPr>
          <w:rFonts w:ascii="Arial" w:eastAsia="Times New Roman" w:hAnsi="Arial" w:cs="Arial"/>
          <w:szCs w:val="24"/>
          <w:lang w:eastAsia="es-ES_tradnl"/>
        </w:rPr>
        <w:t xml:space="preserve">En relación con la </w:t>
      </w:r>
      <w:proofErr w:type="spellStart"/>
      <w:r w:rsidRPr="00D3097B">
        <w:rPr>
          <w:rFonts w:ascii="Arial" w:eastAsia="Times New Roman" w:hAnsi="Arial" w:cs="Arial"/>
          <w:szCs w:val="24"/>
          <w:lang w:eastAsia="es-ES_tradnl"/>
        </w:rPr>
        <w:t>subsanabilidad</w:t>
      </w:r>
      <w:proofErr w:type="spellEnd"/>
      <w:r w:rsidRPr="00D3097B">
        <w:rPr>
          <w:rFonts w:ascii="Arial" w:eastAsia="Times New Roman" w:hAnsi="Arial" w:cs="Arial"/>
          <w:szCs w:val="24"/>
          <w:lang w:eastAsia="es-ES_tradnl"/>
        </w:rPr>
        <w:t xml:space="preserve"> de las ofertas, teniendo en cuenta las reglas dispuestas en </w:t>
      </w:r>
      <w:r w:rsidRPr="00D3097B">
        <w:rPr>
          <w:rFonts w:ascii="Arial" w:eastAsia="Calibri" w:hAnsi="Arial" w:cs="Arial"/>
          <w:lang w:val="es-ES_tradnl"/>
        </w:rPr>
        <w:t>la Ley 1882 de 2018, se establece que mantiene el criterio de la Ley 80 de 1993, relativo a que todo lo que no sea necesario para la comparación de propuestas no es título suficiente para su rechazo; y se mantiene el criterio aclaratorio de la Ley 1150 de 2007, según el cual todo lo que no afecte la asignación de puntaje puede subsanarse. Por ello, si los requisitos no otorgan puntaje y tienen el carácter de habilitantes para la participación en el proceso de contratación, se entiende que, en principio, pueden subsanarse.</w:t>
      </w:r>
    </w:p>
    <w:p w14:paraId="3AF9B57A" w14:textId="77777777" w:rsidR="00795F6F" w:rsidRPr="00D3097B" w:rsidRDefault="00795F6F" w:rsidP="00795F6F">
      <w:pPr>
        <w:spacing w:after="0" w:line="276" w:lineRule="auto"/>
        <w:contextualSpacing/>
        <w:jc w:val="both"/>
        <w:rPr>
          <w:rFonts w:ascii="Arial" w:eastAsia="Calibri" w:hAnsi="Arial" w:cs="Arial"/>
          <w:b/>
          <w:lang w:val="es-ES_tradnl"/>
        </w:rPr>
      </w:pPr>
    </w:p>
    <w:p w14:paraId="18B3EC01" w14:textId="77777777" w:rsidR="00795F6F" w:rsidRPr="00D3097B" w:rsidRDefault="00795F6F" w:rsidP="00795F6F">
      <w:pPr>
        <w:spacing w:after="0" w:line="276" w:lineRule="auto"/>
        <w:contextualSpacing/>
        <w:jc w:val="both"/>
        <w:rPr>
          <w:rFonts w:ascii="Arial" w:eastAsia="Calibri" w:hAnsi="Arial" w:cs="Arial"/>
          <w:b/>
          <w:lang w:val="es-ES_tradnl"/>
        </w:rPr>
      </w:pPr>
      <w:bookmarkStart w:id="7" w:name="_Hlk87025618"/>
      <w:r w:rsidRPr="00D3097B">
        <w:rPr>
          <w:rFonts w:ascii="Arial" w:eastAsia="Calibri" w:hAnsi="Arial" w:cs="Arial"/>
          <w:b/>
          <w:lang w:val="es-ES_tradnl"/>
        </w:rPr>
        <w:lastRenderedPageBreak/>
        <w:t xml:space="preserve">2.2. Otorgamiento de puntaje por apoyo a la industria nacional de conformidad con la Ley 816 de 2003 y la noción de </w:t>
      </w:r>
      <w:r w:rsidRPr="00D3097B">
        <w:rPr>
          <w:rFonts w:ascii="Arial" w:eastAsia="Calibri" w:hAnsi="Arial" w:cs="Arial"/>
          <w:b/>
          <w:i/>
          <w:iCs/>
          <w:lang w:val="es-ES_tradnl"/>
        </w:rPr>
        <w:t>Servicios Nacionales</w:t>
      </w:r>
      <w:r w:rsidRPr="00D3097B">
        <w:rPr>
          <w:rFonts w:ascii="Arial" w:eastAsia="Calibri" w:hAnsi="Arial" w:cs="Arial"/>
          <w:b/>
          <w:lang w:val="es-ES_tradnl"/>
        </w:rPr>
        <w:t xml:space="preserve"> introducida por el Decreto 680 de 2021 </w:t>
      </w:r>
    </w:p>
    <w:p w14:paraId="49719E4E" w14:textId="77777777" w:rsidR="00795F6F" w:rsidRPr="00D3097B" w:rsidRDefault="00795F6F" w:rsidP="00795F6F">
      <w:pPr>
        <w:spacing w:after="0" w:line="276" w:lineRule="auto"/>
        <w:contextualSpacing/>
        <w:jc w:val="both"/>
        <w:rPr>
          <w:rFonts w:ascii="Arial" w:eastAsia="Calibri" w:hAnsi="Arial" w:cs="Arial"/>
          <w:b/>
          <w:lang w:val="es-ES_tradnl"/>
        </w:rPr>
      </w:pPr>
    </w:p>
    <w:p w14:paraId="26D2FC2A" w14:textId="77777777" w:rsidR="00795F6F" w:rsidRPr="00D3097B" w:rsidRDefault="00795F6F" w:rsidP="00795F6F">
      <w:pPr>
        <w:spacing w:after="120" w:line="276" w:lineRule="auto"/>
        <w:ind w:right="51"/>
        <w:jc w:val="both"/>
        <w:rPr>
          <w:rFonts w:ascii="Arial" w:eastAsia="Arial" w:hAnsi="Arial" w:cs="Arial"/>
          <w:lang w:val="es-ES" w:eastAsia="es-CO"/>
        </w:rPr>
      </w:pPr>
      <w:r w:rsidRPr="00D3097B">
        <w:rPr>
          <w:rFonts w:ascii="Arial" w:eastAsia="Arial" w:hAnsi="Arial" w:cs="Arial"/>
          <w:lang w:val="es-ES" w:eastAsia="es-CO"/>
        </w:rPr>
        <w:t>La Ley 816 de 2003, “Por medio de la cual se apoya a la industria nacional a través de la contratación pública”, tiene como objetivo promover una mayor participación de los proveedores de bienes y servicios de origen colombiano en las compras de las entidades públicas. Así mismo, la referida Ley se adoptó con el propósito de crear un factor de preferencia para las propuestas que ofrezcan productos o servicios nacionales</w:t>
      </w:r>
      <w:r w:rsidRPr="00D3097B">
        <w:rPr>
          <w:rFonts w:ascii="Arial" w:eastAsia="Arial" w:hAnsi="Arial" w:cs="Arial"/>
          <w:vertAlign w:val="superscript"/>
          <w:lang w:val="es-MX" w:eastAsia="es-CO"/>
        </w:rPr>
        <w:footnoteReference w:id="8"/>
      </w:r>
      <w:r w:rsidRPr="00D3097B">
        <w:rPr>
          <w:rFonts w:ascii="Arial" w:eastAsia="Arial" w:hAnsi="Arial" w:cs="Arial"/>
          <w:lang w:val="es-ES" w:eastAsia="es-CO"/>
        </w:rPr>
        <w:t xml:space="preserve">. </w:t>
      </w:r>
    </w:p>
    <w:p w14:paraId="0720AB55" w14:textId="77777777" w:rsidR="00795F6F" w:rsidRPr="00D3097B" w:rsidRDefault="00795F6F" w:rsidP="00795F6F">
      <w:pPr>
        <w:tabs>
          <w:tab w:val="left" w:pos="0"/>
        </w:tabs>
        <w:spacing w:after="0" w:line="276" w:lineRule="auto"/>
        <w:jc w:val="both"/>
        <w:rPr>
          <w:rFonts w:ascii="Arial" w:eastAsia="Calibri" w:hAnsi="Arial" w:cs="Arial"/>
          <w:bCs/>
          <w:lang w:val="es-ES_tradnl"/>
        </w:rPr>
      </w:pPr>
      <w:r w:rsidRPr="00D3097B">
        <w:rPr>
          <w:rFonts w:ascii="Arial" w:eastAsia="Calibri" w:hAnsi="Arial" w:cs="Arial"/>
          <w:bCs/>
          <w:lang w:val="es-ES_tradnl"/>
        </w:rPr>
        <w:tab/>
        <w:t>Para el cumplimiento de tales fines, el artículo 1° dispone que las entidades estatales, en los procedimientos de selección que realicen, independientemente del régimen contractual que les sea aplicable, deben adoptar criterios que apoyen la industria nacional. En consonancia con ello, el parágrafo de dicho artículo indica que:</w:t>
      </w:r>
    </w:p>
    <w:p w14:paraId="0B5987B7" w14:textId="77777777" w:rsidR="00795F6F" w:rsidRPr="00D3097B" w:rsidRDefault="00795F6F" w:rsidP="00795F6F">
      <w:pPr>
        <w:tabs>
          <w:tab w:val="left" w:pos="0"/>
        </w:tabs>
        <w:spacing w:after="0" w:line="276" w:lineRule="auto"/>
        <w:ind w:left="709" w:right="709"/>
        <w:contextualSpacing/>
        <w:jc w:val="both"/>
        <w:rPr>
          <w:rFonts w:ascii="Arial" w:eastAsia="Calibri" w:hAnsi="Arial" w:cs="Arial"/>
          <w:bCs/>
          <w:sz w:val="21"/>
          <w:szCs w:val="21"/>
          <w:lang w:val="es-ES_tradnl"/>
        </w:rPr>
      </w:pPr>
    </w:p>
    <w:p w14:paraId="04B834ED"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29D3197A" w14:textId="77777777" w:rsidR="00795F6F" w:rsidRPr="00D3097B" w:rsidRDefault="00795F6F" w:rsidP="00795F6F">
      <w:pPr>
        <w:tabs>
          <w:tab w:val="left" w:pos="0"/>
        </w:tabs>
        <w:spacing w:after="0" w:line="276" w:lineRule="auto"/>
        <w:contextualSpacing/>
        <w:jc w:val="both"/>
        <w:rPr>
          <w:rFonts w:ascii="Arial" w:eastAsia="Calibri" w:hAnsi="Arial" w:cs="Arial"/>
          <w:bCs/>
          <w:lang w:val="es-ES_tradnl"/>
        </w:rPr>
      </w:pPr>
    </w:p>
    <w:p w14:paraId="22852BB3" w14:textId="77777777" w:rsidR="00795F6F" w:rsidRPr="00D3097B" w:rsidRDefault="00795F6F" w:rsidP="00795F6F">
      <w:pPr>
        <w:tabs>
          <w:tab w:val="left" w:pos="0"/>
        </w:tabs>
        <w:spacing w:after="0" w:line="276" w:lineRule="auto"/>
        <w:ind w:firstLine="709"/>
        <w:contextualSpacing/>
        <w:jc w:val="both"/>
        <w:rPr>
          <w:rFonts w:ascii="Arial" w:eastAsia="Calibri" w:hAnsi="Arial" w:cs="Arial"/>
          <w:bCs/>
          <w:lang w:val="es-ES_tradnl"/>
        </w:rPr>
      </w:pPr>
      <w:r w:rsidRPr="00D3097B">
        <w:rPr>
          <w:rFonts w:ascii="Arial" w:eastAsia="Calibri" w:hAnsi="Arial" w:cs="Arial"/>
          <w:bCs/>
          <w:lang w:val="es-ES_tradnl"/>
        </w:rPr>
        <w:t>En materia de contratación pública, dicho trato nacional es aplicable a los proponentes que ofrezcan bienes y servicios nacionales, de conformidad con las definiciones consagradas en el artículo 2.2.1.1.1.3.1 del Decreto 1082 de 2015, así como a los extranjeros que cumplan con los criterios que se encuentran regulados en el artículo 2.2.1.2.4.1.3. del mismo Decreto</w:t>
      </w:r>
      <w:r w:rsidRPr="00D3097B">
        <w:rPr>
          <w:rFonts w:ascii="Arial" w:eastAsia="Calibri" w:hAnsi="Arial" w:cs="Arial"/>
          <w:bCs/>
          <w:vertAlign w:val="superscript"/>
          <w:lang w:val="es-ES_tradnl"/>
        </w:rPr>
        <w:footnoteReference w:id="9"/>
      </w:r>
      <w:r w:rsidRPr="00D3097B">
        <w:rPr>
          <w:rFonts w:ascii="Arial" w:eastAsia="Calibri" w:hAnsi="Arial" w:cs="Arial"/>
          <w:bCs/>
          <w:lang w:val="es-ES_tradnl"/>
        </w:rPr>
        <w:t xml:space="preserve">, en el que se establece la forma como se debe acreditar </w:t>
      </w:r>
      <w:r w:rsidRPr="00D3097B">
        <w:rPr>
          <w:rFonts w:ascii="Arial" w:eastAsia="Calibri" w:hAnsi="Arial" w:cs="Arial"/>
          <w:bCs/>
          <w:lang w:val="es-ES_tradnl"/>
        </w:rPr>
        <w:lastRenderedPageBreak/>
        <w:t>la existencia de 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69EA255A" w14:textId="77777777" w:rsidR="00795F6F" w:rsidRPr="00D3097B" w:rsidRDefault="00795F6F" w:rsidP="00795F6F">
      <w:pPr>
        <w:tabs>
          <w:tab w:val="left" w:pos="0"/>
        </w:tabs>
        <w:spacing w:after="0" w:line="276" w:lineRule="auto"/>
        <w:ind w:left="709" w:right="709"/>
        <w:contextualSpacing/>
        <w:jc w:val="both"/>
        <w:rPr>
          <w:rFonts w:ascii="Arial" w:eastAsia="Calibri" w:hAnsi="Arial" w:cs="Arial"/>
          <w:bCs/>
          <w:lang w:val="es-ES_tradnl"/>
        </w:rPr>
      </w:pPr>
    </w:p>
    <w:p w14:paraId="56A7D7CB" w14:textId="7A73F5B3"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Las entidades de que trata el artículo 1</w:t>
      </w:r>
      <w:r w:rsidR="00570440" w:rsidRPr="00D3097B">
        <w:rPr>
          <w:rFonts w:ascii="Arial" w:eastAsia="Calibri" w:hAnsi="Arial" w:cs="Arial"/>
          <w:bCs/>
          <w:sz w:val="21"/>
          <w:szCs w:val="21"/>
          <w:lang w:val="es-ES_tradnl"/>
        </w:rPr>
        <w:t>°</w:t>
      </w:r>
      <w:r w:rsidRPr="00D3097B">
        <w:rPr>
          <w:rFonts w:ascii="Arial" w:eastAsia="Calibri" w:hAnsi="Arial" w:cs="Arial"/>
          <w:bCs/>
          <w:sz w:val="21"/>
          <w:szCs w:val="21"/>
          <w:lang w:val="es-ES_tradnl"/>
        </w:rPr>
        <w:t xml:space="preserve"> asignarán, dentro de los criterios de calificación de las propuestas, un puntaje comprendido entre el diez (10) y el veinte por ciento (20%), para estimular la industria colombiana cuando los proponentes oferten bienes o servicios nacionales.</w:t>
      </w:r>
    </w:p>
    <w:p w14:paraId="000E6862"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43C71EB7"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48F22547"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0C8CF142"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Si una vez efectuada la calificación correspondiente, la oferta de un proponente extranjero se encuentra en igualdad de condiciones con la de un proponente nacional, se adjudicará al nacional.</w:t>
      </w:r>
    </w:p>
    <w:p w14:paraId="16102A00" w14:textId="77777777" w:rsidR="00795F6F" w:rsidRPr="00D3097B" w:rsidRDefault="00795F6F" w:rsidP="00795F6F">
      <w:pPr>
        <w:tabs>
          <w:tab w:val="left" w:pos="0"/>
        </w:tabs>
        <w:spacing w:after="0" w:line="276" w:lineRule="auto"/>
        <w:jc w:val="both"/>
        <w:rPr>
          <w:rFonts w:ascii="Arial" w:eastAsia="Calibri" w:hAnsi="Arial" w:cs="Arial"/>
          <w:bCs/>
          <w:color w:val="FF0000"/>
          <w:sz w:val="24"/>
          <w:lang w:val="es-ES_tradnl"/>
        </w:rPr>
      </w:pPr>
      <w:r w:rsidRPr="00D3097B">
        <w:rPr>
          <w:rFonts w:ascii="Arial" w:eastAsia="Calibri" w:hAnsi="Arial" w:cs="Arial"/>
          <w:bCs/>
          <w:color w:val="FF0000"/>
          <w:sz w:val="24"/>
          <w:lang w:val="es-ES_tradnl"/>
        </w:rPr>
        <w:tab/>
      </w:r>
    </w:p>
    <w:p w14:paraId="0527FE3F" w14:textId="77777777" w:rsidR="00795F6F" w:rsidRPr="00D3097B" w:rsidRDefault="00795F6F" w:rsidP="00795F6F">
      <w:pPr>
        <w:tabs>
          <w:tab w:val="left" w:pos="0"/>
        </w:tabs>
        <w:spacing w:after="120" w:line="276" w:lineRule="auto"/>
        <w:jc w:val="both"/>
        <w:rPr>
          <w:rFonts w:ascii="Arial" w:eastAsia="Calibri" w:hAnsi="Arial" w:cs="Arial"/>
          <w:bCs/>
          <w:lang w:val="es-ES_tradnl"/>
        </w:rPr>
      </w:pPr>
      <w:r w:rsidRPr="00D3097B">
        <w:rPr>
          <w:rFonts w:ascii="Arial" w:eastAsia="Calibri" w:hAnsi="Arial" w:cs="Arial"/>
          <w:bCs/>
          <w:color w:val="FF0000"/>
          <w:szCs w:val="20"/>
          <w:lang w:val="es-ES_tradnl"/>
        </w:rPr>
        <w:tab/>
      </w:r>
      <w:bookmarkStart w:id="9" w:name="_Hlk100755932"/>
      <w:r w:rsidRPr="00D3097B">
        <w:rPr>
          <w:rFonts w:ascii="Arial" w:eastAsia="Calibri" w:hAnsi="Arial" w:cs="Arial"/>
          <w:bCs/>
          <w:lang w:val="es-ES_tradnl"/>
        </w:rPr>
        <w:t>De acuerdo con esta norma, las ofertas de bienes y servicios nacionales –o extranjeros con derecho a trato nacional– deberán beneficiarse de la obtención de un puntaje comprendido entre el diez (10) y el veinte por ciento (20%) del total de los puntos, según lo haya definido la entidad estatal contratante en el pliego de condiciones o documento equivalente, con la finalidad de incentivar la industria nacional. Al respecto, conviene señalar que es la entidad pública la que, en el pliego de condiciones o en el documento equivalente, debe fijar los criterios de asignación de puntaje –o factores de evaluación–. De este modo, las entidades cuentan con la discrecionalidad administrativa para determinar a partir de qué elementos o circunstancias se realizará la calificación de las propuestas. Por supuesto, tal discrecionalidad no es absoluta, sino que está limitada por las normas de orden público, que incluyen reglas imperativas para la elaboración del pliego de condiciones, y el deber de selección objetiva.</w:t>
      </w:r>
    </w:p>
    <w:p w14:paraId="6A516BDC" w14:textId="77777777" w:rsidR="00795F6F" w:rsidRPr="00D3097B" w:rsidRDefault="00795F6F" w:rsidP="00795F6F">
      <w:pPr>
        <w:tabs>
          <w:tab w:val="left" w:pos="0"/>
        </w:tabs>
        <w:spacing w:before="120" w:after="120" w:line="276" w:lineRule="auto"/>
        <w:jc w:val="both"/>
        <w:rPr>
          <w:rFonts w:ascii="Arial" w:eastAsia="Calibri" w:hAnsi="Arial" w:cs="Arial"/>
          <w:bCs/>
          <w:lang w:val="es-ES_tradnl"/>
        </w:rPr>
      </w:pPr>
      <w:r w:rsidRPr="00D3097B">
        <w:rPr>
          <w:rFonts w:ascii="Arial" w:eastAsia="Calibri" w:hAnsi="Arial" w:cs="Arial"/>
          <w:bCs/>
          <w:lang w:val="es-ES_tradnl"/>
        </w:rPr>
        <w:tab/>
      </w:r>
      <w:bookmarkStart w:id="10" w:name="_Hlk100348291"/>
      <w:r w:rsidRPr="00D3097B">
        <w:rPr>
          <w:rFonts w:ascii="Arial" w:eastAsia="Calibri" w:hAnsi="Arial" w:cs="Arial"/>
          <w:bCs/>
          <w:lang w:val="es-ES_tradnl"/>
        </w:rPr>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D3097B">
        <w:rPr>
          <w:rFonts w:ascii="Arial" w:eastAsia="Calibri" w:hAnsi="Arial" w:cs="Arial"/>
          <w:lang w:val="es-ES_tradnl"/>
        </w:rPr>
        <w:t xml:space="preserve">[…] </w:t>
      </w:r>
      <w:r w:rsidRPr="00D3097B">
        <w:rPr>
          <w:rFonts w:ascii="Arial" w:eastAsia="Calibri" w:hAnsi="Arial" w:cs="Arial"/>
          <w:bCs/>
          <w:lang w:val="es-ES_tradnl"/>
        </w:rPr>
        <w:t xml:space="preserve">un puntaje comprendido entre el diez (10) y el veinte por ciento (20%)” para estimular la industria nacional, cuando se oferten bienes o servicios nacionales” –inciso primero o “Franja 1”–. Adicionalmente, la norma indica que, si no se ofertan bienes o servicios nacionales, sino bienes o servicios </w:t>
      </w:r>
      <w:r w:rsidRPr="00D3097B">
        <w:rPr>
          <w:rFonts w:ascii="Arial" w:eastAsia="Calibri" w:hAnsi="Arial" w:cs="Arial"/>
          <w:bCs/>
          <w:i/>
          <w:iCs/>
          <w:lang w:val="es-ES_tradnl"/>
        </w:rPr>
        <w:t>extranjeros</w:t>
      </w:r>
      <w:r w:rsidRPr="00D3097B">
        <w:rPr>
          <w:rFonts w:ascii="Arial" w:eastAsia="Calibri" w:hAnsi="Arial" w:cs="Arial"/>
          <w:bCs/>
          <w:lang w:val="es-ES_tradnl"/>
        </w:rPr>
        <w:t xml:space="preserve">, “[…] la entidad contratante establecerá un puntaje comprendido entre el cinco (5) y el quince por ciento (15%), para incentivar la </w:t>
      </w:r>
      <w:r w:rsidRPr="00D3097B">
        <w:rPr>
          <w:rFonts w:ascii="Arial" w:eastAsia="Calibri" w:hAnsi="Arial" w:cs="Arial"/>
          <w:bCs/>
          <w:lang w:val="es-ES_tradnl"/>
        </w:rPr>
        <w:lastRenderedPageBreak/>
        <w:t xml:space="preserve">incorporación de componente colombiano de bienes y servicios profesionales, técnicos y operativos” –inciso segundo o </w:t>
      </w:r>
      <w:r w:rsidRPr="00D3097B">
        <w:rPr>
          <w:rFonts w:ascii="Arial" w:eastAsia="Calibri" w:hAnsi="Arial" w:cs="Arial"/>
          <w:bCs/>
          <w:lang w:val="es-MX"/>
        </w:rPr>
        <w:t>“</w:t>
      </w:r>
      <w:r w:rsidRPr="00D3097B">
        <w:rPr>
          <w:rFonts w:ascii="Arial" w:eastAsia="Calibri" w:hAnsi="Arial" w:cs="Arial"/>
          <w:bCs/>
          <w:lang w:val="es-ES_tradnl"/>
        </w:rPr>
        <w:t xml:space="preserve">Franja 2”–. </w:t>
      </w:r>
    </w:p>
    <w:bookmarkEnd w:id="9"/>
    <w:bookmarkEnd w:id="10"/>
    <w:p w14:paraId="50A3C0DF" w14:textId="77777777" w:rsidR="00795F6F" w:rsidRPr="00D3097B" w:rsidRDefault="00795F6F" w:rsidP="00795F6F">
      <w:pPr>
        <w:spacing w:after="0" w:line="276" w:lineRule="auto"/>
        <w:jc w:val="both"/>
        <w:rPr>
          <w:rFonts w:ascii="Arial" w:eastAsia="Calibri" w:hAnsi="Arial" w:cs="Arial"/>
          <w:bCs/>
          <w:lang w:val="es-ES_tradnl"/>
        </w:rPr>
      </w:pPr>
      <w:r w:rsidRPr="00D3097B">
        <w:rPr>
          <w:rFonts w:ascii="Arial" w:eastAsia="Calibri" w:hAnsi="Arial" w:cs="Arial"/>
          <w:bCs/>
          <w:color w:val="FF0000"/>
          <w:lang w:val="es-ES_tradnl"/>
        </w:rPr>
        <w:tab/>
      </w:r>
      <w:r w:rsidRPr="00D3097B">
        <w:rPr>
          <w:rFonts w:ascii="Arial" w:eastAsia="Calibri" w:hAnsi="Arial" w:cs="Arial"/>
          <w:bCs/>
          <w:lang w:val="es-ES_tradnl"/>
        </w:rPr>
        <w:t xml:space="preserve">Aclarado el alcance de la norma que promueve el factor de evaluación de apoyo a la industria nacional en las compras públicas, es importante señalar que la aplicación del puntaje al que se refiere el artículo 2 de la Ley 816 de 2003 fue reglamentada mediante el Decreto 680 de 2021. Por lo tanto, ha de tenerse en cuenta la nueva regulación de la regla de origen contemplada en este Decreto. En primer lugar, el artículo 1° modificó parcialmente el artículo 2.2.1.1.1.3.1. del Decreto 1082 de 2015, para definir los </w:t>
      </w:r>
      <w:r w:rsidRPr="00D3097B">
        <w:rPr>
          <w:rFonts w:ascii="Arial" w:eastAsia="Calibri" w:hAnsi="Arial" w:cs="Arial"/>
          <w:bCs/>
          <w:i/>
          <w:iCs/>
          <w:lang w:val="es-ES_tradnl"/>
        </w:rPr>
        <w:t>Servicios Nacionales</w:t>
      </w:r>
      <w:r w:rsidRPr="00D3097B">
        <w:rPr>
          <w:rFonts w:ascii="Arial" w:eastAsia="Calibri" w:hAnsi="Arial" w:cs="Arial"/>
          <w:bCs/>
          <w:lang w:val="es-ES_tradnl"/>
        </w:rPr>
        <w:t xml:space="preserve"> de una forma distinta, en los siguientes términos:</w:t>
      </w:r>
    </w:p>
    <w:p w14:paraId="352AFEB5" w14:textId="77777777" w:rsidR="00795F6F" w:rsidRPr="00D3097B" w:rsidRDefault="00795F6F" w:rsidP="00795F6F">
      <w:pPr>
        <w:spacing w:after="0" w:line="276" w:lineRule="auto"/>
        <w:contextualSpacing/>
        <w:jc w:val="both"/>
        <w:rPr>
          <w:rFonts w:ascii="Arial" w:eastAsia="Calibri" w:hAnsi="Arial" w:cs="Arial"/>
          <w:bCs/>
          <w:color w:val="FF0000"/>
          <w:szCs w:val="20"/>
          <w:lang w:val="es-ES_tradnl"/>
        </w:rPr>
      </w:pPr>
    </w:p>
    <w:p w14:paraId="4D7A3B79"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65486300"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250AF33C"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3021FE6B"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232A1C80"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219414DF" w14:textId="77777777" w:rsidR="00795F6F" w:rsidRPr="00D3097B" w:rsidRDefault="00795F6F" w:rsidP="00795F6F">
      <w:pPr>
        <w:tabs>
          <w:tab w:val="left" w:pos="0"/>
        </w:tabs>
        <w:spacing w:after="0" w:line="276" w:lineRule="auto"/>
        <w:contextualSpacing/>
        <w:jc w:val="both"/>
        <w:rPr>
          <w:rFonts w:ascii="Arial" w:eastAsia="Calibri" w:hAnsi="Arial" w:cs="Arial"/>
          <w:bCs/>
          <w:color w:val="FF0000"/>
          <w:sz w:val="24"/>
          <w:lang w:val="es-ES_tradnl"/>
        </w:rPr>
      </w:pPr>
    </w:p>
    <w:p w14:paraId="48F17598" w14:textId="77777777" w:rsidR="00795F6F" w:rsidRPr="00D3097B" w:rsidRDefault="00795F6F" w:rsidP="00795F6F">
      <w:pPr>
        <w:tabs>
          <w:tab w:val="left" w:pos="0"/>
        </w:tabs>
        <w:spacing w:after="120" w:line="276" w:lineRule="auto"/>
        <w:ind w:firstLine="709"/>
        <w:jc w:val="both"/>
        <w:rPr>
          <w:rFonts w:ascii="Arial" w:eastAsia="Calibri" w:hAnsi="Arial" w:cs="Arial"/>
          <w:bCs/>
          <w:szCs w:val="20"/>
          <w:lang w:val="es-ES_tradnl"/>
        </w:rPr>
      </w:pPr>
      <w:bookmarkStart w:id="11" w:name="_Hlk86820071"/>
      <w:r w:rsidRPr="00D3097B">
        <w:rPr>
          <w:rFonts w:ascii="Arial" w:eastAsia="Calibri" w:hAnsi="Arial" w:cs="Arial"/>
          <w:bCs/>
          <w:szCs w:val="20"/>
          <w:lang w:val="es-ES_tradnl"/>
        </w:rPr>
        <w:t xml:space="preserve">De acuerdo con lo anterior, </w:t>
      </w:r>
      <w:bookmarkStart w:id="12" w:name="_Hlk100755966"/>
      <w:r w:rsidRPr="00D3097B">
        <w:rPr>
          <w:rFonts w:ascii="Arial" w:eastAsia="Calibri" w:hAnsi="Arial" w:cs="Arial"/>
          <w:bCs/>
          <w:szCs w:val="20"/>
          <w:lang w:val="es-ES_tradnl"/>
        </w:rPr>
        <w:t xml:space="preserve">la noción de </w:t>
      </w:r>
      <w:r w:rsidRPr="00D3097B">
        <w:rPr>
          <w:rFonts w:ascii="Arial" w:eastAsia="Calibri" w:hAnsi="Arial" w:cs="Arial"/>
          <w:bCs/>
          <w:i/>
          <w:iCs/>
          <w:szCs w:val="20"/>
          <w:lang w:val="es-ES_tradnl"/>
        </w:rPr>
        <w:t>Servicios Nacionales</w:t>
      </w:r>
      <w:r w:rsidRPr="00D3097B">
        <w:rPr>
          <w:rFonts w:ascii="Arial" w:eastAsia="Calibri" w:hAnsi="Arial" w:cs="Arial"/>
          <w:bCs/>
          <w:szCs w:val="20"/>
          <w:lang w:val="es-ES_tradnl"/>
        </w:rPr>
        <w:t xml:space="preserve"> no está determinada únicamente por la naturaleza jurídica de </w:t>
      </w:r>
      <w:bookmarkStart w:id="13" w:name="_Hlk100348480"/>
      <w:r w:rsidRPr="00D3097B">
        <w:rPr>
          <w:rFonts w:ascii="Arial" w:eastAsia="Calibri" w:hAnsi="Arial" w:cs="Arial"/>
          <w:bCs/>
          <w:szCs w:val="20"/>
          <w:lang w:val="es-ES_tradnl"/>
        </w:rPr>
        <w:t xml:space="preserve">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D3097B">
        <w:rPr>
          <w:rFonts w:ascii="Arial" w:eastAsia="Calibri" w:hAnsi="Arial" w:cs="Arial"/>
          <w:bCs/>
          <w:i/>
          <w:iCs/>
          <w:szCs w:val="20"/>
          <w:lang w:val="es-ES_tradnl"/>
        </w:rPr>
        <w:t xml:space="preserve">Servicios Nacionales </w:t>
      </w:r>
      <w:r w:rsidRPr="00D3097B">
        <w:rPr>
          <w:rFonts w:ascii="Arial" w:eastAsia="Calibri" w:hAnsi="Arial" w:cs="Arial"/>
          <w:bCs/>
          <w:szCs w:val="20"/>
          <w:lang w:val="es-ES_tradnl"/>
        </w:rPr>
        <w:t xml:space="preserve">remite a la noción de </w:t>
      </w:r>
      <w:r w:rsidRPr="00D3097B">
        <w:rPr>
          <w:rFonts w:ascii="Arial" w:eastAsia="Calibri" w:hAnsi="Arial" w:cs="Arial"/>
          <w:bCs/>
          <w:i/>
          <w:iCs/>
          <w:szCs w:val="20"/>
          <w:lang w:val="es-ES_tradnl"/>
        </w:rPr>
        <w:t>Bienes Nacionales</w:t>
      </w:r>
      <w:r w:rsidRPr="00D3097B">
        <w:rPr>
          <w:rFonts w:ascii="Arial" w:eastAsia="Calibri" w:hAnsi="Arial" w:cs="Arial"/>
          <w:bCs/>
          <w:szCs w:val="20"/>
          <w:lang w:val="es-ES_tradnl"/>
        </w:rPr>
        <w:t xml:space="preserve"> establecida en el mismo artículo 2.2.1.1.1.3.1. del Decreto 1082 de 2015, que dispone que son aquellos “Bienes definidos como nacionales en el Registro de Productores de Bienes Nacionales, de conformidad con el Decreto 2680 de </w:t>
      </w:r>
      <w:r w:rsidRPr="00D3097B">
        <w:rPr>
          <w:rFonts w:ascii="Arial" w:eastAsia="Calibri" w:hAnsi="Arial" w:cs="Arial"/>
          <w:bCs/>
          <w:szCs w:val="20"/>
          <w:lang w:val="es-ES_tradnl"/>
        </w:rPr>
        <w:lastRenderedPageBreak/>
        <w:t>2009 o las normas que lo modifiquen, aclaren, adicionen o sustituyan”. El artículo 1° del Decreto 2680 de 2009 señala que “Se entiende como bienes nacionales, aquellos bienes totalmente obtenidos, bienes elaborados con materiales nacionales o productos que sufran una transformación sustancial de conformidad con lo previsto en el presente decreto</w:t>
      </w:r>
      <w:bookmarkEnd w:id="11"/>
      <w:r w:rsidRPr="00D3097B">
        <w:rPr>
          <w:rFonts w:ascii="Arial" w:eastAsia="Calibri" w:hAnsi="Arial" w:cs="Arial"/>
          <w:bCs/>
          <w:szCs w:val="20"/>
          <w:lang w:val="es-ES_tradnl"/>
        </w:rPr>
        <w:t>”.</w:t>
      </w:r>
      <w:bookmarkEnd w:id="13"/>
    </w:p>
    <w:bookmarkEnd w:id="12"/>
    <w:p w14:paraId="7239261A" w14:textId="77777777" w:rsidR="00795F6F" w:rsidRPr="00D3097B" w:rsidRDefault="00795F6F" w:rsidP="00795F6F">
      <w:pPr>
        <w:tabs>
          <w:tab w:val="left" w:pos="0"/>
        </w:tabs>
        <w:spacing w:before="120" w:after="120" w:line="276" w:lineRule="auto"/>
        <w:ind w:firstLine="709"/>
        <w:jc w:val="both"/>
        <w:rPr>
          <w:rFonts w:ascii="Arial" w:eastAsia="Calibri" w:hAnsi="Arial" w:cs="Arial"/>
          <w:bCs/>
          <w:szCs w:val="20"/>
          <w:lang w:val="es-ES_tradnl"/>
        </w:rPr>
      </w:pPr>
      <w:r w:rsidRPr="00D3097B">
        <w:rPr>
          <w:rFonts w:ascii="Arial" w:eastAsia="Calibri" w:hAnsi="Arial" w:cs="Arial"/>
          <w:bCs/>
          <w:szCs w:val="20"/>
          <w:lang w:val="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1577A424" w14:textId="77777777" w:rsidR="00795F6F" w:rsidRPr="00D3097B" w:rsidRDefault="00795F6F" w:rsidP="00795F6F">
      <w:pPr>
        <w:tabs>
          <w:tab w:val="left" w:pos="0"/>
        </w:tabs>
        <w:spacing w:before="120" w:after="120" w:line="276" w:lineRule="auto"/>
        <w:ind w:firstLine="709"/>
        <w:jc w:val="both"/>
        <w:rPr>
          <w:rFonts w:ascii="Arial" w:eastAsia="Calibri" w:hAnsi="Arial" w:cs="Arial"/>
          <w:bCs/>
          <w:szCs w:val="20"/>
          <w:lang w:val="es-ES_tradnl"/>
        </w:rPr>
      </w:pPr>
      <w:r w:rsidRPr="00D3097B">
        <w:rPr>
          <w:rFonts w:ascii="Arial" w:eastAsia="Calibri" w:hAnsi="Arial" w:cs="Arial"/>
          <w:bCs/>
          <w:szCs w:val="20"/>
          <w:lang w:val="es-ES_tradnl"/>
        </w:rPr>
        <w:t xml:space="preserve">De otra parte, el último inciso de la definición transcrita establece una prerrogativa aplicable solo a los proponentes extranjeros con derecho a trato nacional. Conforme a esta, es posible establecer si se acoge la regla de origen establecida en el Decreto 1082 de 2015, o si por el contrario se acredita el origen de los servicios conforme a las reglas de sus correspondientes países o la contemplada en los respectivos Acuerdos Comerciales. Esto es aplicable a oferentes de países con Acuerdos Comerciales vigentes, los provenientes de países que tengan trato nacional por reciprocidad y a los miembros de la Comunidad Andina de Naciones.  </w:t>
      </w:r>
    </w:p>
    <w:p w14:paraId="29E0B3C0" w14:textId="77777777" w:rsidR="00795F6F" w:rsidRPr="00D3097B" w:rsidRDefault="00795F6F" w:rsidP="00795F6F">
      <w:pPr>
        <w:tabs>
          <w:tab w:val="left" w:pos="0"/>
        </w:tabs>
        <w:spacing w:after="0" w:line="276" w:lineRule="auto"/>
        <w:ind w:firstLine="709"/>
        <w:jc w:val="both"/>
        <w:rPr>
          <w:rFonts w:ascii="Arial" w:eastAsia="Calibri" w:hAnsi="Arial" w:cs="Arial"/>
          <w:bCs/>
          <w:szCs w:val="20"/>
          <w:lang w:val="es-ES_tradnl"/>
        </w:rPr>
      </w:pPr>
      <w:r w:rsidRPr="00D3097B">
        <w:rPr>
          <w:rFonts w:ascii="Arial" w:eastAsia="Calibri" w:hAnsi="Arial" w:cs="Arial"/>
          <w:bCs/>
          <w:szCs w:val="20"/>
          <w:lang w:val="es-ES_tradnl"/>
        </w:rPr>
        <w:t xml:space="preserve">De otra parte, el Decreto 680 de 2021 consagra, en su artículo 2, unos lineamientos que deben seguir las entidades estatales para definir los </w:t>
      </w:r>
      <w:r w:rsidRPr="00D3097B">
        <w:rPr>
          <w:rFonts w:ascii="Arial" w:eastAsia="Calibri" w:hAnsi="Arial" w:cs="Arial"/>
          <w:bCs/>
          <w:i/>
          <w:iCs/>
          <w:szCs w:val="20"/>
          <w:lang w:val="es-ES_tradnl"/>
        </w:rPr>
        <w:t>bienes colombianos relevantes</w:t>
      </w:r>
      <w:r w:rsidRPr="00D3097B">
        <w:rPr>
          <w:rFonts w:ascii="Arial" w:eastAsia="Calibri" w:hAnsi="Arial" w:cs="Arial"/>
          <w:bCs/>
          <w:szCs w:val="20"/>
          <w:lang w:val="es-ES_tradnl"/>
        </w:rPr>
        <w:t xml:space="preserve"> y otorgar el puntaje de que trata el inciso 1° del artículo 2 de la Ley 816 de 2003. En efecto, el artículo 2 del Decreto en comento, establece: </w:t>
      </w:r>
    </w:p>
    <w:p w14:paraId="2C5C88D8"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74FA93DE"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Adiciónese el artículo 2.2.1.2.4.2.9. a la Subsección 2 de la Sección 4 del Capítulo 2 del Título 1 de la Parte 2 del Libro 2 del Decreto 1082 de 2015, Único Reglamentario del Sector Administrativo de Planeación Nacional, cuyo texto será el siguiente:</w:t>
      </w:r>
    </w:p>
    <w:p w14:paraId="4C079DD7"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5B3F140D"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1DF1137C"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448550F1"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lastRenderedPageBreak/>
        <w:t>En los contratos que deban cumplirse en Colombia, la Entidad Estatal definirá de manera razonable y proporcionada los bienes colombianos relevantes teniendo en cuenta:</w:t>
      </w:r>
    </w:p>
    <w:p w14:paraId="497EFFAC"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28234653"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1. El análisis del sector económico y de los oferentes, y, toda aquella información adicional con la que cuente la Entidad Estatal en la etapa de planeación del Proceso de Contratación;</w:t>
      </w:r>
    </w:p>
    <w:p w14:paraId="6C4D93A6"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77263BAA"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2. El porcentaje de participación de los bienes en el presupuesto del Proceso de Contratación; y</w:t>
      </w:r>
    </w:p>
    <w:p w14:paraId="10CBEC69"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7A393129"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3. La existencia de los bienes en el Registro de Productores de Bienes Nacionales, en los términos del Decreto 2680 de 2009 o las normas que lo modifiquen, aclaren, adicionen o sustituyan.</w:t>
      </w:r>
    </w:p>
    <w:p w14:paraId="7F1FFADC"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08E7CBA0"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3F7B7CC9"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7F6F05AE"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La Entidad Estatal documentará este análisis y dejará constancia en los Documentos del Proceso”.</w:t>
      </w:r>
    </w:p>
    <w:p w14:paraId="6139DC2B" w14:textId="77777777" w:rsidR="00795F6F" w:rsidRPr="00D3097B" w:rsidRDefault="00795F6F" w:rsidP="00795F6F">
      <w:pPr>
        <w:tabs>
          <w:tab w:val="left" w:pos="0"/>
        </w:tabs>
        <w:spacing w:after="0" w:line="276" w:lineRule="auto"/>
        <w:ind w:left="709" w:right="709"/>
        <w:contextualSpacing/>
        <w:jc w:val="both"/>
        <w:rPr>
          <w:rFonts w:ascii="Arial" w:eastAsia="Calibri" w:hAnsi="Arial" w:cs="Arial"/>
          <w:bCs/>
          <w:sz w:val="21"/>
          <w:szCs w:val="21"/>
          <w:lang w:val="es-ES_tradnl"/>
        </w:rPr>
      </w:pPr>
    </w:p>
    <w:p w14:paraId="03C0567C" w14:textId="77777777" w:rsidR="00795F6F" w:rsidRPr="00D3097B" w:rsidRDefault="00795F6F" w:rsidP="00795F6F">
      <w:pPr>
        <w:tabs>
          <w:tab w:val="left" w:pos="0"/>
        </w:tabs>
        <w:spacing w:after="120" w:line="276" w:lineRule="auto"/>
        <w:ind w:firstLine="709"/>
        <w:jc w:val="both"/>
        <w:rPr>
          <w:rFonts w:ascii="Arial" w:eastAsia="Calibri" w:hAnsi="Arial" w:cs="Arial"/>
          <w:bCs/>
          <w:lang w:val="es-ES_tradnl"/>
        </w:rPr>
      </w:pPr>
      <w:bookmarkStart w:id="14" w:name="_Hlk86820149"/>
      <w:bookmarkStart w:id="15" w:name="_Hlk87025682"/>
      <w:r w:rsidRPr="00D3097B">
        <w:rPr>
          <w:rFonts w:ascii="Arial" w:eastAsia="Calibri" w:hAnsi="Arial" w:cs="Arial"/>
          <w:bCs/>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además de toda aquella información adicional con la que cuente la entidad estatal recaudada en la etapa de planeación del Proceso de Contratación”, </w:t>
      </w:r>
      <w:proofErr w:type="spellStart"/>
      <w:r w:rsidRPr="00D3097B">
        <w:rPr>
          <w:rFonts w:ascii="Arial" w:eastAsia="Calibri" w:hAnsi="Arial" w:cs="Arial"/>
          <w:bCs/>
          <w:lang w:val="es-ES_tradnl"/>
        </w:rPr>
        <w:t>ii</w:t>
      </w:r>
      <w:proofErr w:type="spellEnd"/>
      <w:r w:rsidRPr="00D3097B">
        <w:rPr>
          <w:rFonts w:ascii="Arial" w:eastAsia="Calibri" w:hAnsi="Arial" w:cs="Arial"/>
          <w:bCs/>
          <w:lang w:val="es-ES_tradnl"/>
        </w:rPr>
        <w:t xml:space="preserve">) el porcentaje de participación de los bienes en el presupuesto del Proceso de Contratación y </w:t>
      </w:r>
      <w:proofErr w:type="spellStart"/>
      <w:r w:rsidRPr="00D3097B">
        <w:rPr>
          <w:rFonts w:ascii="Arial" w:eastAsia="Calibri" w:hAnsi="Arial" w:cs="Arial"/>
          <w:bCs/>
          <w:lang w:val="es-ES_tradnl"/>
        </w:rPr>
        <w:t>iii</w:t>
      </w:r>
      <w:proofErr w:type="spellEnd"/>
      <w:r w:rsidRPr="00D3097B">
        <w:rPr>
          <w:rFonts w:ascii="Arial" w:eastAsia="Calibri" w:hAnsi="Arial" w:cs="Arial"/>
          <w:bCs/>
          <w:lang w:val="es-ES_tradnl"/>
        </w:rPr>
        <w:t xml:space="preserve">)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bookmarkEnd w:id="14"/>
    <w:p w14:paraId="04C28601" w14:textId="77777777" w:rsidR="00795F6F" w:rsidRPr="00D3097B" w:rsidRDefault="00795F6F" w:rsidP="00795F6F">
      <w:pPr>
        <w:tabs>
          <w:tab w:val="left" w:pos="0"/>
        </w:tabs>
        <w:spacing w:after="120" w:line="276" w:lineRule="auto"/>
        <w:ind w:firstLine="709"/>
        <w:jc w:val="both"/>
        <w:rPr>
          <w:rFonts w:ascii="Arial" w:eastAsia="Calibri" w:hAnsi="Arial" w:cs="Arial"/>
          <w:bCs/>
          <w:szCs w:val="20"/>
          <w:lang w:val="es-ES_tradnl"/>
        </w:rPr>
      </w:pPr>
      <w:r w:rsidRPr="00D3097B">
        <w:rPr>
          <w:rFonts w:ascii="Arial" w:eastAsia="Calibri" w:hAnsi="Arial" w:cs="Arial"/>
          <w:bCs/>
          <w:szCs w:val="20"/>
          <w:lang w:val="es-ES_tradnl"/>
        </w:rPr>
        <w:lastRenderedPageBreak/>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cuarenta por ciento (40%) del total de empleados y contratistas asociados al cumplimiento del contrato. Conforme con esta regla residual, cuando en el análisis efectuado en la fase de planeación la entidad estatal no logre establecer que el objeto contractual requiere de bienes nacionales que se ajusten a los referidos criterios, deberá otorgar el puntaje por apoyo a la industria nacional a los proponentes que se comprometan a ejecutar el contrato garantizando la participación de personal colombiano en el correspondiente porcentaje mínimo.    </w:t>
      </w:r>
    </w:p>
    <w:bookmarkEnd w:id="15"/>
    <w:p w14:paraId="359B7542" w14:textId="77777777" w:rsidR="00795F6F" w:rsidRPr="00D3097B" w:rsidRDefault="00795F6F" w:rsidP="00795F6F">
      <w:pPr>
        <w:tabs>
          <w:tab w:val="left" w:pos="0"/>
        </w:tabs>
        <w:spacing w:before="120" w:after="120" w:line="276" w:lineRule="auto"/>
        <w:jc w:val="both"/>
        <w:rPr>
          <w:rFonts w:ascii="Arial" w:eastAsia="Calibri" w:hAnsi="Arial" w:cs="Arial"/>
          <w:bCs/>
          <w:szCs w:val="20"/>
          <w:lang w:val="es-MX"/>
        </w:rPr>
      </w:pPr>
      <w:r w:rsidRPr="00D3097B">
        <w:rPr>
          <w:rFonts w:ascii="Arial" w:eastAsia="Calibri" w:hAnsi="Arial" w:cs="Arial"/>
          <w:bCs/>
          <w:szCs w:val="20"/>
          <w:lang w:val="es-MX"/>
        </w:rPr>
        <w:tab/>
        <w:t>De acuerdo con lo anterior, corresponde a las entidades estatales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Proceso. Adicionalmente, en la medida en que el Decreto 680 de 2021 no establece ninguna regla especifica al respecto, se estima indispensable que las entidades estatales, de conformidad con el artículo 2.2.1.1.2.1.3 del Decreto 1082 de 2015</w:t>
      </w:r>
      <w:r w:rsidRPr="00D3097B">
        <w:rPr>
          <w:rFonts w:ascii="Arial" w:eastAsia="Calibri" w:hAnsi="Arial" w:cs="Arial"/>
          <w:bCs/>
          <w:szCs w:val="20"/>
          <w:vertAlign w:val="superscript"/>
          <w:lang w:val="es-MX"/>
        </w:rPr>
        <w:footnoteReference w:id="10"/>
      </w:r>
      <w:r w:rsidRPr="00D3097B">
        <w:rPr>
          <w:rFonts w:ascii="Arial" w:eastAsia="Calibri" w:hAnsi="Arial" w:cs="Arial"/>
          <w:bCs/>
          <w:szCs w:val="20"/>
          <w:lang w:val="es-MX"/>
        </w:rPr>
        <w:t xml:space="preserve">, establezcan en los pliegos de condiciones las reglas por las que deben seguirse los proponentes al momento de presentar sus ofertas para poder obtener el puntaje por apoyo a la industria nacional. </w:t>
      </w:r>
    </w:p>
    <w:p w14:paraId="27EE34DA" w14:textId="77777777" w:rsidR="00795F6F" w:rsidRPr="00D3097B" w:rsidRDefault="00795F6F" w:rsidP="00795F6F">
      <w:pPr>
        <w:tabs>
          <w:tab w:val="left" w:pos="0"/>
        </w:tabs>
        <w:spacing w:before="120" w:after="0" w:line="276" w:lineRule="auto"/>
        <w:contextualSpacing/>
        <w:jc w:val="both"/>
        <w:rPr>
          <w:rFonts w:ascii="Arial" w:eastAsia="Calibri" w:hAnsi="Arial" w:cs="Arial"/>
          <w:bCs/>
          <w:szCs w:val="20"/>
          <w:lang w:val="es-MX"/>
        </w:rPr>
      </w:pPr>
      <w:r w:rsidRPr="00D3097B">
        <w:rPr>
          <w:rFonts w:ascii="Arial" w:eastAsia="Calibri" w:hAnsi="Arial" w:cs="Arial"/>
          <w:bCs/>
          <w:szCs w:val="20"/>
          <w:lang w:val="es-MX"/>
        </w:rPr>
        <w:tab/>
        <w:t xml:space="preserve">En consonancia con lo explicado, tales reglas aplicables a la asignación del puntaje por apoyo a la industria nacional no solo deberán tener en cuenta si el oferente es una persona natural colombiana, una persona jurídica constituida conforme a la ley nacional, un proponente extranjero con derecho a trato nacional o un proponente plural conformado por estos, sino que además deben procurar en que se satisfaga el criterio adicional necesario para hablar de </w:t>
      </w:r>
      <w:r w:rsidRPr="00D3097B">
        <w:rPr>
          <w:rFonts w:ascii="Arial" w:eastAsia="Calibri" w:hAnsi="Arial" w:cs="Arial"/>
          <w:bCs/>
          <w:i/>
          <w:iCs/>
          <w:szCs w:val="20"/>
          <w:lang w:val="es-MX"/>
        </w:rPr>
        <w:t>Servicio Nacional</w:t>
      </w:r>
      <w:r w:rsidRPr="00D3097B">
        <w:rPr>
          <w:rFonts w:ascii="Arial" w:eastAsia="Calibri" w:hAnsi="Arial" w:cs="Arial"/>
          <w:bCs/>
          <w:szCs w:val="20"/>
          <w:lang w:val="es-MX"/>
        </w:rPr>
        <w:t xml:space="preserve">, en cualquiera de las dos alternativas por las que se haya decantado la entidad tras aplicar el </w:t>
      </w:r>
      <w:r w:rsidRPr="00D3097B">
        <w:rPr>
          <w:rFonts w:ascii="Arial" w:eastAsia="Calibri" w:hAnsi="Arial" w:cs="Arial"/>
          <w:bCs/>
          <w:szCs w:val="20"/>
          <w:lang w:val="es-ES_tradnl"/>
        </w:rPr>
        <w:t xml:space="preserve">artículo del 2.2.1.2.4.2.9 del Decreto 1082 de 2015, adicionado por el Decreto 680 de 2021. En ese sentido, si se determinó que existen bienes con una participación importante en el presupuesto incluidos en el Registro de Productores de Bienes Nacionales, para otorgar el puntaje la entidad deberá verificar que el oferente efectivamente se haya comprometido a hacer uso de esos bienes en la ejecución del </w:t>
      </w:r>
      <w:r w:rsidRPr="00D3097B">
        <w:rPr>
          <w:rFonts w:ascii="Arial" w:eastAsia="Calibri" w:hAnsi="Arial" w:cs="Arial"/>
          <w:bCs/>
          <w:szCs w:val="20"/>
          <w:lang w:val="es-ES_tradnl"/>
        </w:rPr>
        <w:lastRenderedPageBreak/>
        <w:t xml:space="preserve">contrato en caso de resultar adjudicatario, o en su defecto, que se haya hecho el compromiso de vincular el personal mínimo establecido por la entidad, el cual, se reitera, no podrá ser inferior al cuarenta por ciento (40%).    </w:t>
      </w:r>
    </w:p>
    <w:p w14:paraId="786E5ACB" w14:textId="77777777" w:rsidR="00795F6F" w:rsidRPr="00D3097B" w:rsidRDefault="00795F6F" w:rsidP="00795F6F">
      <w:pPr>
        <w:tabs>
          <w:tab w:val="left" w:pos="0"/>
        </w:tabs>
        <w:spacing w:after="0" w:line="276" w:lineRule="auto"/>
        <w:contextualSpacing/>
        <w:jc w:val="both"/>
        <w:rPr>
          <w:rFonts w:ascii="Arial" w:eastAsia="Calibri" w:hAnsi="Arial" w:cs="Arial"/>
          <w:bCs/>
          <w:sz w:val="24"/>
          <w:lang w:val="es-MX"/>
        </w:rPr>
      </w:pPr>
    </w:p>
    <w:bookmarkEnd w:id="7"/>
    <w:p w14:paraId="3C9E2884" w14:textId="77777777" w:rsidR="00795F6F" w:rsidRPr="00D3097B" w:rsidRDefault="00795F6F" w:rsidP="00795F6F">
      <w:pPr>
        <w:tabs>
          <w:tab w:val="left" w:pos="0"/>
        </w:tabs>
        <w:spacing w:after="0" w:line="276" w:lineRule="auto"/>
        <w:contextualSpacing/>
        <w:jc w:val="both"/>
        <w:rPr>
          <w:rFonts w:ascii="Arial" w:eastAsia="Calibri" w:hAnsi="Arial" w:cs="Arial"/>
          <w:b/>
          <w:lang w:val="es-ES_tradnl"/>
        </w:rPr>
      </w:pPr>
      <w:r w:rsidRPr="00D3097B">
        <w:rPr>
          <w:rFonts w:ascii="Arial" w:eastAsia="Calibri" w:hAnsi="Arial" w:cs="Arial"/>
          <w:b/>
          <w:lang w:val="es-ES_tradnl"/>
        </w:rPr>
        <w:t xml:space="preserve">2.3. Regulación del puntaje por apoyo a la industria nacional en procesos adelantados con Documentos Tipo </w:t>
      </w:r>
      <w:bookmarkStart w:id="16" w:name="_Hlk102716010"/>
      <w:r w:rsidRPr="00D3097B">
        <w:rPr>
          <w:rFonts w:ascii="Arial" w:eastAsia="Calibri" w:hAnsi="Arial" w:cs="Arial"/>
          <w:b/>
          <w:lang w:val="es-ES_tradnl"/>
        </w:rPr>
        <w:t xml:space="preserve">después de la expedición del Decreto 680 de 2021 </w:t>
      </w:r>
      <w:bookmarkEnd w:id="16"/>
    </w:p>
    <w:p w14:paraId="1A8512B8" w14:textId="77777777" w:rsidR="00795F6F" w:rsidRPr="00D3097B" w:rsidRDefault="00795F6F" w:rsidP="00795F6F">
      <w:pPr>
        <w:tabs>
          <w:tab w:val="left" w:pos="0"/>
        </w:tabs>
        <w:spacing w:after="0" w:line="276" w:lineRule="auto"/>
        <w:contextualSpacing/>
        <w:jc w:val="both"/>
        <w:rPr>
          <w:rFonts w:ascii="Arial" w:eastAsia="Calibri" w:hAnsi="Arial" w:cs="Arial"/>
          <w:b/>
          <w:sz w:val="24"/>
          <w:lang w:val="es-ES_tradnl"/>
        </w:rPr>
      </w:pPr>
    </w:p>
    <w:p w14:paraId="7E2BCA3F" w14:textId="77777777" w:rsidR="00795F6F" w:rsidRPr="00D3097B" w:rsidRDefault="00795F6F" w:rsidP="00795F6F">
      <w:pPr>
        <w:spacing w:after="120" w:line="276" w:lineRule="auto"/>
        <w:jc w:val="both"/>
        <w:rPr>
          <w:rFonts w:ascii="Arial" w:eastAsia="Calibri" w:hAnsi="Arial" w:cs="Arial"/>
          <w:bCs/>
          <w:color w:val="FF0000"/>
          <w:lang w:val="es-ES_tradnl"/>
        </w:rPr>
      </w:pPr>
      <w:bookmarkStart w:id="17" w:name="_Hlk96463303"/>
      <w:r w:rsidRPr="00D3097B">
        <w:rPr>
          <w:rFonts w:ascii="Arial" w:eastAsia="Calibri" w:hAnsi="Arial" w:cs="Arial"/>
          <w:bCs/>
          <w:color w:val="000000"/>
          <w:lang w:val="es-ES_tradnl"/>
        </w:rPr>
        <w:t xml:space="preserve">La modificación de la noción de </w:t>
      </w:r>
      <w:r w:rsidRPr="00D3097B">
        <w:rPr>
          <w:rFonts w:ascii="Arial" w:eastAsia="Calibri" w:hAnsi="Arial" w:cs="Arial"/>
          <w:bCs/>
          <w:i/>
          <w:iCs/>
          <w:color w:val="000000"/>
          <w:lang w:val="es-ES_tradnl"/>
        </w:rPr>
        <w:t xml:space="preserve">Servicios Nacionales </w:t>
      </w:r>
      <w:r w:rsidRPr="00D3097B">
        <w:rPr>
          <w:rFonts w:ascii="Arial" w:eastAsia="Calibri" w:hAnsi="Arial" w:cs="Arial"/>
          <w:lang w:val="es-MX"/>
        </w:rPr>
        <w:t>dispuesta</w:t>
      </w:r>
      <w:r w:rsidRPr="00D3097B">
        <w:rPr>
          <w:rFonts w:ascii="Arial" w:eastAsia="Calibri" w:hAnsi="Arial" w:cs="Arial"/>
          <w:i/>
          <w:iCs/>
          <w:lang w:val="es-MX"/>
        </w:rPr>
        <w:t xml:space="preserve"> </w:t>
      </w:r>
      <w:r w:rsidRPr="00D3097B">
        <w:rPr>
          <w:rFonts w:ascii="Arial" w:eastAsia="Calibri" w:hAnsi="Arial" w:cs="Arial"/>
          <w:lang w:val="es-MX"/>
        </w:rPr>
        <w:t>por el Decreto 680 de 2021</w:t>
      </w:r>
      <w:r w:rsidRPr="00D3097B">
        <w:rPr>
          <w:rFonts w:ascii="Arial" w:eastAsia="Calibri" w:hAnsi="Arial" w:cs="Arial"/>
          <w:bCs/>
          <w:color w:val="000000"/>
          <w:lang w:val="es-ES_tradnl"/>
        </w:rPr>
        <w:t xml:space="preserve">, generó la necesidad de adecuar los documentos tipo expedidos por la Agencia Nacional de Contratación Pública – Colombia Compra </w:t>
      </w:r>
      <w:r w:rsidRPr="00D3097B">
        <w:rPr>
          <w:rFonts w:ascii="Arial" w:eastAsia="Calibri" w:hAnsi="Arial" w:cs="Arial"/>
          <w:bCs/>
          <w:lang w:val="es-ES_tradnl"/>
        </w:rPr>
        <w:t>Eficiente en ejercicio de las potestades conferidas por la Ley 2022 de 2020</w:t>
      </w:r>
      <w:r w:rsidRPr="00D3097B">
        <w:rPr>
          <w:rFonts w:ascii="Arial" w:eastAsia="Calibri" w:hAnsi="Arial" w:cs="Arial"/>
          <w:bCs/>
          <w:vertAlign w:val="superscript"/>
          <w:lang w:val="es-ES_tradnl"/>
        </w:rPr>
        <w:footnoteReference w:id="11"/>
      </w:r>
      <w:r w:rsidRPr="00D3097B">
        <w:rPr>
          <w:rFonts w:ascii="Arial" w:eastAsia="Calibri" w:hAnsi="Arial" w:cs="Arial"/>
          <w:bCs/>
          <w:lang w:val="es-ES_tradnl"/>
        </w:rPr>
        <w:t>. Lo anterior considerando que, en los documentos tipo vigentes antes de dicho Decreto, el puntaje por apoyo a la industria nacional y la verificación de la procedencia del trato nacional se encontraban desarrolladas conforme a la antigua concepción de Servicio Nacional, por lo que para acceder al máximo puntaje, anteriormente, bastaba con acreditar ser una persona natural colombiana o una persona jurídica constituida de acuerdo con la ley colombiana. En virtud de la modificación introducida, el parágrafo segundo del artículo 3 de tal decreto, contempló un plazo de tres (3) meses para que esta Agencia realizara la adecuación de los documentos tipo</w:t>
      </w:r>
      <w:r w:rsidRPr="00D3097B">
        <w:rPr>
          <w:rFonts w:ascii="Arial" w:eastAsia="Calibri" w:hAnsi="Arial" w:cs="Arial"/>
          <w:bCs/>
          <w:vertAlign w:val="superscript"/>
          <w:lang w:val="es-ES_tradnl"/>
        </w:rPr>
        <w:footnoteReference w:id="12"/>
      </w:r>
      <w:r w:rsidRPr="00D3097B">
        <w:rPr>
          <w:rFonts w:ascii="Arial" w:eastAsia="Calibri" w:hAnsi="Arial" w:cs="Arial"/>
          <w:bCs/>
          <w:lang w:val="es-ES_tradnl"/>
        </w:rPr>
        <w:t xml:space="preserve">. </w:t>
      </w:r>
      <w:bookmarkEnd w:id="17"/>
    </w:p>
    <w:p w14:paraId="70FAD5EF" w14:textId="77777777" w:rsidR="00795F6F" w:rsidRPr="00D3097B" w:rsidRDefault="00795F6F" w:rsidP="00795F6F">
      <w:pPr>
        <w:spacing w:after="120" w:line="276" w:lineRule="auto"/>
        <w:ind w:firstLine="709"/>
        <w:jc w:val="both"/>
        <w:rPr>
          <w:rFonts w:ascii="Arial" w:eastAsia="Calibri" w:hAnsi="Arial" w:cs="Arial"/>
          <w:bCs/>
          <w:lang w:val="es-ES_tradnl"/>
        </w:rPr>
      </w:pPr>
      <w:bookmarkStart w:id="19" w:name="_Hlk114042361"/>
      <w:r w:rsidRPr="00D3097B">
        <w:rPr>
          <w:rFonts w:ascii="Arial" w:eastAsia="Calibri" w:hAnsi="Arial" w:cs="Arial"/>
          <w:bCs/>
          <w:lang w:val="es-ES_tradnl"/>
        </w:rPr>
        <w:t xml:space="preserve">En atención a este mandato, la Agencia Nacional de Contratación Pública – Colombia Compra Eficiente,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común a todos estos procedimientos, a partir de la cual, en aplicación de la definición de Servicios Nacionales del Decreto 680 de 2021,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w:t>
      </w:r>
      <w:r w:rsidRPr="00D3097B">
        <w:rPr>
          <w:rFonts w:ascii="Arial" w:eastAsia="Calibri" w:hAnsi="Arial" w:cs="Arial"/>
          <w:bCs/>
          <w:lang w:val="es-ES_tradnl"/>
        </w:rPr>
        <w:lastRenderedPageBreak/>
        <w:t>contractual, que al estar incluidos en el Registro de Productores de Bienes Nacionales son determinantes para la asignación del puntaje por apoyo a la industria nacional.</w:t>
      </w:r>
    </w:p>
    <w:bookmarkEnd w:id="19"/>
    <w:p w14:paraId="61EE2630" w14:textId="77777777" w:rsidR="00795F6F" w:rsidRPr="00D3097B" w:rsidRDefault="00795F6F" w:rsidP="00795F6F">
      <w:pPr>
        <w:spacing w:before="120" w:after="120" w:line="276" w:lineRule="auto"/>
        <w:ind w:firstLine="709"/>
        <w:jc w:val="both"/>
        <w:rPr>
          <w:rFonts w:ascii="Arial" w:hAnsi="Arial" w:cs="Arial"/>
          <w:lang w:val="es-MX"/>
        </w:rPr>
      </w:pPr>
      <w:r w:rsidRPr="00D3097B">
        <w:rPr>
          <w:rFonts w:ascii="Arial" w:eastAsia="Calibri" w:hAnsi="Arial" w:cs="Arial"/>
          <w:bCs/>
          <w:lang w:val="es-ES"/>
        </w:rPr>
        <w:t xml:space="preserve">En este punto es necesario advertir que las modificaciones realizadas por la Resolución 304 de 2021 </w:t>
      </w:r>
      <w:r w:rsidRPr="00D3097B">
        <w:rPr>
          <w:rFonts w:ascii="Arial" w:eastAsia="Calibri" w:hAnsi="Arial" w:cs="Arial"/>
          <w:bCs/>
          <w:lang w:val="es-MX"/>
        </w:rPr>
        <w:t>se encuentran vigentes para los procesos cuyo aviso de convocatoria se haya publicado a partir del 2 de noviembre de 2021.</w:t>
      </w:r>
      <w:r w:rsidRPr="00D3097B">
        <w:rPr>
          <w:rFonts w:ascii="Arial" w:eastAsia="Calibri" w:hAnsi="Arial" w:cs="Arial"/>
          <w:bCs/>
          <w:lang w:val="es-ES_tradnl"/>
        </w:rPr>
        <w:t xml:space="preserve"> Para efectos de la petición objeto de este concepto, resulta relevante precisar que en la consulta no se mencionó algún documento tipo en particular</w:t>
      </w:r>
      <w:r w:rsidRPr="00D3097B">
        <w:rPr>
          <w:rFonts w:ascii="Arial" w:hAnsi="Arial" w:cs="Arial"/>
          <w:lang w:val="es-MX"/>
        </w:rPr>
        <w:t>, por lo que la misma se resolverá tomando como referencia los documentos tipo para licitación de obra pública de infraestructura de transporte.</w:t>
      </w:r>
    </w:p>
    <w:p w14:paraId="083BDCBA" w14:textId="77777777" w:rsidR="00795F6F" w:rsidRPr="00D3097B" w:rsidRDefault="00795F6F" w:rsidP="00795F6F">
      <w:pPr>
        <w:widowControl w:val="0"/>
        <w:autoSpaceDE w:val="0"/>
        <w:autoSpaceDN w:val="0"/>
        <w:spacing w:after="120" w:line="276" w:lineRule="auto"/>
        <w:ind w:firstLine="709"/>
        <w:jc w:val="both"/>
        <w:rPr>
          <w:rFonts w:ascii="Arial" w:eastAsia="Arial" w:hAnsi="Arial" w:cs="Arial"/>
          <w:bCs/>
          <w:lang w:val="es-MX" w:eastAsia="es-ES" w:bidi="es-ES"/>
        </w:rPr>
      </w:pPr>
      <w:r w:rsidRPr="00D3097B">
        <w:rPr>
          <w:rFonts w:ascii="Arial" w:eastAsia="Arial" w:hAnsi="Arial" w:cs="Arial"/>
          <w:bCs/>
          <w:lang w:val="es-MX" w:eastAsia="es-ES" w:bidi="es-ES"/>
        </w:rPr>
        <w:t xml:space="preserve">Concretamente, el Capítulo I de la Resolución modifica los documentos tipo de infraestructura de transporte. En </w:t>
      </w:r>
      <w:r w:rsidRPr="00D3097B">
        <w:rPr>
          <w:rFonts w:ascii="Arial" w:eastAsia="Arial" w:hAnsi="Arial" w:cs="Arial"/>
          <w:bCs/>
          <w:sz w:val="24"/>
          <w:lang w:val="es-MX" w:eastAsia="es-ES" w:bidi="es-ES"/>
        </w:rPr>
        <w:t>atención a</w:t>
      </w:r>
      <w:r w:rsidRPr="00D3097B">
        <w:rPr>
          <w:rFonts w:ascii="Arial" w:eastAsia="Arial" w:hAnsi="Arial" w:cs="Arial"/>
          <w:bCs/>
          <w:lang w:val="es-MX" w:eastAsia="es-ES" w:bidi="es-ES"/>
        </w:rPr>
        <w:t xml:space="preserve"> las disposiciones </w:t>
      </w:r>
      <w:r w:rsidRPr="00D3097B">
        <w:rPr>
          <w:rFonts w:ascii="Arial" w:eastAsia="Arial" w:hAnsi="Arial" w:cs="Arial"/>
          <w:bCs/>
          <w:sz w:val="24"/>
          <w:lang w:val="es-MX" w:eastAsia="es-ES" w:bidi="es-ES"/>
        </w:rPr>
        <w:t xml:space="preserve">contenidas en </w:t>
      </w:r>
      <w:r w:rsidRPr="00D3097B">
        <w:rPr>
          <w:rFonts w:ascii="Arial" w:eastAsia="Arial" w:hAnsi="Arial" w:cs="Arial"/>
          <w:bCs/>
          <w:lang w:val="es-MX" w:eastAsia="es-ES" w:bidi="es-ES"/>
        </w:rPr>
        <w:t xml:space="preserve">el Decreto 680 de 2021, </w:t>
      </w:r>
      <w:r w:rsidRPr="00D3097B">
        <w:rPr>
          <w:rFonts w:ascii="Arial" w:eastAsia="Arial" w:hAnsi="Arial" w:cs="Arial"/>
          <w:bCs/>
          <w:sz w:val="24"/>
          <w:lang w:val="es-MX" w:eastAsia="es-ES" w:bidi="es-ES"/>
        </w:rPr>
        <w:t xml:space="preserve">fueron reformados </w:t>
      </w:r>
      <w:r w:rsidRPr="00D3097B">
        <w:rPr>
          <w:rFonts w:ascii="Arial" w:eastAsia="Arial" w:hAnsi="Arial" w:cs="Arial"/>
          <w:bCs/>
          <w:lang w:val="es-MX" w:eastAsia="es-ES" w:bidi="es-ES"/>
        </w:rPr>
        <w:t xml:space="preserve">los siguientes numerales del documento base: 4.3 “Apoyo a la industria nacional”, 4.3.1 “Promoción de servicios nacionales o con trato nacional”, 4.3.1.1 “Acreditación del puntaje por servicios nacionales o con trato nacional” y 4.3.2. “Incorporación de componente nacional en servicios extranjeros”. Además, se incluye la Matriz 4 - Bienes nacionales relevantes para la obra pública del sector transporte y se modifican los formatos y anexos respectivos. </w:t>
      </w:r>
    </w:p>
    <w:p w14:paraId="7B8F8483" w14:textId="77777777" w:rsidR="00795F6F" w:rsidRPr="00D3097B" w:rsidRDefault="00795F6F" w:rsidP="00795F6F">
      <w:pPr>
        <w:spacing w:after="0" w:line="276" w:lineRule="auto"/>
        <w:ind w:firstLine="709"/>
        <w:contextualSpacing/>
        <w:jc w:val="both"/>
        <w:rPr>
          <w:rFonts w:ascii="Arial" w:hAnsi="Arial" w:cs="Arial"/>
          <w:lang w:val="es-MX"/>
        </w:rPr>
      </w:pPr>
      <w:bookmarkStart w:id="20" w:name="_Hlk114042381"/>
      <w:r w:rsidRPr="00D3097B">
        <w:rPr>
          <w:rFonts w:ascii="Arial" w:hAnsi="Arial" w:cs="Arial"/>
          <w:lang w:val="es-MX"/>
        </w:rPr>
        <w:t xml:space="preserve">Por un lado, el numeral 4.3 </w:t>
      </w:r>
      <w:r w:rsidRPr="00D3097B">
        <w:rPr>
          <w:rFonts w:ascii="Arial" w:hAnsi="Arial" w:cs="Arial"/>
          <w:i/>
          <w:iCs/>
          <w:lang w:val="es-MX"/>
        </w:rPr>
        <w:t>“Apoyo a la Industria Nacional”</w:t>
      </w:r>
      <w:r w:rsidRPr="00D3097B">
        <w:rPr>
          <w:rFonts w:ascii="Arial" w:hAnsi="Arial" w:cs="Arial"/>
          <w:lang w:val="es-MX"/>
        </w:rPr>
        <w:t xml:space="preserve"> del Documento Base de Licitación de Obra Pública de Infraestructura de Transporte - Versión 3 indica que, </w:t>
      </w:r>
      <w:r w:rsidRPr="00D3097B">
        <w:rPr>
          <w:rFonts w:ascii="Arial" w:hAnsi="Arial" w:cs="Arial"/>
          <w:i/>
          <w:iCs/>
          <w:lang w:val="es-MX"/>
        </w:rPr>
        <w:t xml:space="preserve">“Los proponentes pueden obtener puntaje de apoyo a la industria nacional por: i) Servicios Nacionales o con Trato Nacional o por </w:t>
      </w:r>
      <w:proofErr w:type="spellStart"/>
      <w:r w:rsidRPr="00D3097B">
        <w:rPr>
          <w:rFonts w:ascii="Arial" w:hAnsi="Arial" w:cs="Arial"/>
          <w:i/>
          <w:iCs/>
          <w:lang w:val="es-MX"/>
        </w:rPr>
        <w:t>ii</w:t>
      </w:r>
      <w:proofErr w:type="spellEnd"/>
      <w:r w:rsidRPr="00D3097B">
        <w:rPr>
          <w:rFonts w:ascii="Arial" w:hAnsi="Arial" w:cs="Arial"/>
          <w:i/>
          <w:iCs/>
          <w:lang w:val="es-MX"/>
        </w:rPr>
        <w:t xml:space="preserve">) la incorporación de componente nacional en servicios extranjeros […]”, </w:t>
      </w:r>
      <w:r w:rsidRPr="00D3097B">
        <w:rPr>
          <w:rFonts w:ascii="Arial" w:hAnsi="Arial" w:cs="Arial"/>
          <w:lang w:val="es-MX"/>
        </w:rPr>
        <w:t xml:space="preserve">es decir, que el proponente deberá verificar en primer lugar si accederá al referido puntaje mediante alguno de los dos conceptos mencionados </w:t>
      </w:r>
      <w:bookmarkEnd w:id="20"/>
      <w:r w:rsidRPr="00D3097B">
        <w:rPr>
          <w:rFonts w:ascii="Arial" w:hAnsi="Arial" w:cs="Arial"/>
          <w:lang w:val="es-MX"/>
        </w:rPr>
        <w:t>que se relacionan así en la siguiente tabla:</w:t>
      </w:r>
    </w:p>
    <w:p w14:paraId="4BDB9797" w14:textId="77777777" w:rsidR="00795F6F" w:rsidRPr="00D3097B" w:rsidRDefault="00795F6F" w:rsidP="00795F6F">
      <w:pPr>
        <w:spacing w:after="0" w:line="276" w:lineRule="auto"/>
        <w:ind w:firstLine="709"/>
        <w:contextualSpacing/>
        <w:jc w:val="both"/>
        <w:rPr>
          <w:rFonts w:ascii="Arial" w:hAnsi="Arial" w:cs="Arial"/>
          <w:lang w:val="es-MX"/>
        </w:rPr>
      </w:pPr>
    </w:p>
    <w:tbl>
      <w:tblPr>
        <w:tblW w:w="48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529"/>
        <w:gridCol w:w="1276"/>
      </w:tblGrid>
      <w:tr w:rsidR="00795F6F" w:rsidRPr="00D3097B" w14:paraId="163CAF53" w14:textId="77777777" w:rsidTr="003C5E83">
        <w:trPr>
          <w:trHeight w:val="340"/>
          <w:tblHeader/>
          <w:jc w:val="center"/>
        </w:trPr>
        <w:tc>
          <w:tcPr>
            <w:tcW w:w="3529"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42535B64" w14:textId="77777777" w:rsidR="00795F6F" w:rsidRPr="00D3097B" w:rsidRDefault="00795F6F" w:rsidP="00795F6F">
            <w:pPr>
              <w:spacing w:after="0" w:line="276" w:lineRule="auto"/>
              <w:contextualSpacing/>
              <w:jc w:val="center"/>
              <w:rPr>
                <w:rFonts w:ascii="Arial" w:eastAsia="Times New Roman" w:hAnsi="Arial" w:cs="Arial"/>
                <w:b/>
                <w:caps/>
                <w:noProof/>
                <w:lang w:val="es-ES"/>
              </w:rPr>
            </w:pPr>
            <w:r w:rsidRPr="00D3097B">
              <w:rPr>
                <w:rFonts w:ascii="Arial" w:hAnsi="Arial" w:cs="Arial"/>
                <w:b/>
                <w:bCs/>
                <w:noProof/>
                <w:lang w:val="es-ES"/>
              </w:rPr>
              <w:t>Concepto</w:t>
            </w:r>
          </w:p>
        </w:tc>
        <w:tc>
          <w:tcPr>
            <w:tcW w:w="1276"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12E5D583" w14:textId="77777777" w:rsidR="00795F6F" w:rsidRPr="00D3097B" w:rsidRDefault="00795F6F" w:rsidP="00795F6F">
            <w:pPr>
              <w:spacing w:after="0" w:line="276" w:lineRule="auto"/>
              <w:contextualSpacing/>
              <w:jc w:val="center"/>
              <w:rPr>
                <w:rFonts w:ascii="Arial" w:eastAsia="Times New Roman" w:hAnsi="Arial" w:cs="Arial"/>
                <w:b/>
                <w:caps/>
                <w:noProof/>
                <w:lang w:val="es-ES"/>
              </w:rPr>
            </w:pPr>
            <w:r w:rsidRPr="00D3097B">
              <w:rPr>
                <w:rFonts w:ascii="Arial" w:hAnsi="Arial" w:cs="Arial"/>
                <w:b/>
                <w:bCs/>
                <w:noProof/>
                <w:lang w:val="es-ES"/>
              </w:rPr>
              <w:t>Puntaje</w:t>
            </w:r>
          </w:p>
        </w:tc>
      </w:tr>
      <w:tr w:rsidR="00795F6F" w:rsidRPr="00D3097B" w14:paraId="66C8DFAE" w14:textId="77777777" w:rsidTr="003C5E83">
        <w:trPr>
          <w:trHeight w:val="20"/>
          <w:jc w:val="center"/>
        </w:trPr>
        <w:tc>
          <w:tcPr>
            <w:tcW w:w="3529" w:type="dxa"/>
            <w:tcBorders>
              <w:top w:val="single" w:sz="6" w:space="0" w:color="auto"/>
              <w:left w:val="double" w:sz="4" w:space="0" w:color="auto"/>
              <w:bottom w:val="single" w:sz="6" w:space="0" w:color="auto"/>
              <w:right w:val="single" w:sz="6" w:space="0" w:color="auto"/>
            </w:tcBorders>
            <w:vAlign w:val="center"/>
            <w:hideMark/>
          </w:tcPr>
          <w:p w14:paraId="311EC77D" w14:textId="77777777" w:rsidR="00795F6F" w:rsidRPr="00D3097B" w:rsidRDefault="00795F6F" w:rsidP="00795F6F">
            <w:pPr>
              <w:spacing w:after="0" w:line="276" w:lineRule="auto"/>
              <w:contextualSpacing/>
              <w:jc w:val="both"/>
              <w:rPr>
                <w:rFonts w:ascii="Arial" w:eastAsia="Times New Roman" w:hAnsi="Arial" w:cs="Arial"/>
                <w:caps/>
                <w:lang w:val="es-ES"/>
              </w:rPr>
            </w:pPr>
            <w:r w:rsidRPr="00D3097B">
              <w:rPr>
                <w:rFonts w:ascii="Arial" w:eastAsia="Times New Roman" w:hAnsi="Arial" w:cs="Arial"/>
                <w:lang w:val="es-ES"/>
              </w:rPr>
              <w:t>Promoción de Servicios Nacionales o con Trato Nacional</w:t>
            </w:r>
          </w:p>
        </w:tc>
        <w:tc>
          <w:tcPr>
            <w:tcW w:w="1276" w:type="dxa"/>
            <w:tcBorders>
              <w:top w:val="single" w:sz="6" w:space="0" w:color="auto"/>
              <w:left w:val="single" w:sz="6" w:space="0" w:color="auto"/>
              <w:bottom w:val="single" w:sz="6" w:space="0" w:color="auto"/>
              <w:right w:val="double" w:sz="4" w:space="0" w:color="auto"/>
            </w:tcBorders>
            <w:vAlign w:val="center"/>
            <w:hideMark/>
          </w:tcPr>
          <w:p w14:paraId="04D7D311" w14:textId="77777777" w:rsidR="00795F6F" w:rsidRPr="00D3097B" w:rsidRDefault="00795F6F" w:rsidP="00795F6F">
            <w:pPr>
              <w:spacing w:after="0" w:line="276" w:lineRule="auto"/>
              <w:contextualSpacing/>
              <w:jc w:val="center"/>
              <w:rPr>
                <w:rFonts w:ascii="Arial" w:eastAsia="Times New Roman" w:hAnsi="Arial" w:cs="Arial"/>
                <w:caps/>
                <w:lang w:val="es-ES"/>
              </w:rPr>
            </w:pPr>
            <w:r w:rsidRPr="00D3097B">
              <w:rPr>
                <w:rFonts w:ascii="Arial" w:eastAsia="Times New Roman" w:hAnsi="Arial" w:cs="Arial"/>
                <w:lang w:val="es-ES"/>
              </w:rPr>
              <w:t>20</w:t>
            </w:r>
          </w:p>
        </w:tc>
      </w:tr>
      <w:tr w:rsidR="00795F6F" w:rsidRPr="00D3097B" w14:paraId="09381202" w14:textId="77777777" w:rsidTr="003C5E83">
        <w:trPr>
          <w:trHeight w:val="20"/>
          <w:jc w:val="center"/>
        </w:trPr>
        <w:tc>
          <w:tcPr>
            <w:tcW w:w="3529" w:type="dxa"/>
            <w:tcBorders>
              <w:top w:val="single" w:sz="6" w:space="0" w:color="auto"/>
              <w:left w:val="double" w:sz="4" w:space="0" w:color="auto"/>
              <w:bottom w:val="double" w:sz="4" w:space="0" w:color="auto"/>
              <w:right w:val="single" w:sz="6" w:space="0" w:color="auto"/>
            </w:tcBorders>
            <w:vAlign w:val="center"/>
            <w:hideMark/>
          </w:tcPr>
          <w:p w14:paraId="433A125E" w14:textId="77777777" w:rsidR="00795F6F" w:rsidRPr="00D3097B" w:rsidRDefault="00795F6F" w:rsidP="00795F6F">
            <w:pPr>
              <w:spacing w:after="0" w:line="276" w:lineRule="auto"/>
              <w:contextualSpacing/>
              <w:jc w:val="both"/>
              <w:rPr>
                <w:rFonts w:ascii="Arial" w:eastAsia="Times New Roman" w:hAnsi="Arial" w:cs="Arial"/>
                <w:caps/>
                <w:noProof/>
                <w:lang w:val="es-ES"/>
              </w:rPr>
            </w:pPr>
            <w:r w:rsidRPr="00D3097B">
              <w:rPr>
                <w:rFonts w:ascii="Arial" w:eastAsia="Times New Roman" w:hAnsi="Arial" w:cs="Arial"/>
                <w:noProof/>
                <w:lang w:val="es-ES"/>
              </w:rPr>
              <w:t>Incorporación de componente nacional en servicios extranjeros</w:t>
            </w:r>
          </w:p>
        </w:tc>
        <w:tc>
          <w:tcPr>
            <w:tcW w:w="1276" w:type="dxa"/>
            <w:tcBorders>
              <w:top w:val="single" w:sz="6" w:space="0" w:color="auto"/>
              <w:left w:val="single" w:sz="6" w:space="0" w:color="auto"/>
              <w:bottom w:val="double" w:sz="4" w:space="0" w:color="auto"/>
              <w:right w:val="double" w:sz="4" w:space="0" w:color="auto"/>
            </w:tcBorders>
            <w:vAlign w:val="center"/>
            <w:hideMark/>
          </w:tcPr>
          <w:p w14:paraId="25DF792A" w14:textId="77777777" w:rsidR="00795F6F" w:rsidRPr="00D3097B" w:rsidRDefault="00795F6F" w:rsidP="00795F6F">
            <w:pPr>
              <w:spacing w:after="0" w:line="276" w:lineRule="auto"/>
              <w:contextualSpacing/>
              <w:jc w:val="center"/>
              <w:rPr>
                <w:rFonts w:ascii="Arial" w:eastAsia="Times New Roman" w:hAnsi="Arial" w:cs="Arial"/>
                <w:caps/>
                <w:noProof/>
                <w:lang w:val="es-ES"/>
              </w:rPr>
            </w:pPr>
            <w:r w:rsidRPr="00D3097B">
              <w:rPr>
                <w:rFonts w:ascii="Arial" w:eastAsia="Times New Roman" w:hAnsi="Arial" w:cs="Arial"/>
                <w:noProof/>
                <w:lang w:val="es-ES"/>
              </w:rPr>
              <w:t>5</w:t>
            </w:r>
          </w:p>
        </w:tc>
      </w:tr>
    </w:tbl>
    <w:p w14:paraId="471790B9" w14:textId="77777777" w:rsidR="00795F6F" w:rsidRPr="00D3097B" w:rsidRDefault="00795F6F" w:rsidP="00795F6F">
      <w:pPr>
        <w:spacing w:after="0" w:line="276" w:lineRule="auto"/>
        <w:ind w:firstLine="709"/>
        <w:contextualSpacing/>
        <w:jc w:val="both"/>
        <w:rPr>
          <w:rFonts w:ascii="Arial" w:hAnsi="Arial" w:cs="Arial"/>
          <w:lang w:val="es-MX"/>
        </w:rPr>
      </w:pPr>
    </w:p>
    <w:p w14:paraId="6E17D34F" w14:textId="77777777" w:rsidR="00795F6F" w:rsidRPr="00D3097B" w:rsidRDefault="00795F6F" w:rsidP="00795F6F">
      <w:pPr>
        <w:widowControl w:val="0"/>
        <w:autoSpaceDE w:val="0"/>
        <w:autoSpaceDN w:val="0"/>
        <w:spacing w:after="0" w:line="276" w:lineRule="auto"/>
        <w:ind w:firstLine="708"/>
        <w:contextualSpacing/>
        <w:jc w:val="both"/>
        <w:rPr>
          <w:rFonts w:ascii="Arial" w:eastAsia="Arial" w:hAnsi="Arial" w:cs="Arial"/>
          <w:bCs/>
          <w:lang w:val="es-MX" w:eastAsia="es-ES" w:bidi="es-ES"/>
        </w:rPr>
      </w:pPr>
      <w:r w:rsidRPr="00D3097B">
        <w:rPr>
          <w:rFonts w:ascii="Arial" w:eastAsia="Arial" w:hAnsi="Arial" w:cs="Arial"/>
          <w:bCs/>
          <w:lang w:val="es-MX" w:eastAsia="es-ES" w:bidi="es-ES"/>
        </w:rPr>
        <w:t xml:space="preserve">Por otro lado, el numeral “4.3.1 Promoción de servicios nacionales o con trato nacional”, del respectivo documento base, en sus tres (3) primeros incisos, </w:t>
      </w:r>
      <w:r w:rsidRPr="00D3097B">
        <w:rPr>
          <w:rFonts w:ascii="Arial" w:eastAsia="Calibri" w:hAnsi="Arial" w:cs="Arial"/>
          <w:bCs/>
          <w:color w:val="000000" w:themeColor="text1"/>
          <w:lang w:val="es-ES_tradnl"/>
        </w:rPr>
        <w:t xml:space="preserve">dispone la modificación parcial que introdujo el artículo 1° del Decreto 680 de 2021 al artículo 2.2.1.1.1.3.1. del Decreto 1082 de 2015, para definir los </w:t>
      </w:r>
      <w:r w:rsidRPr="00D3097B">
        <w:rPr>
          <w:rFonts w:ascii="Arial" w:eastAsia="Calibri" w:hAnsi="Arial" w:cs="Arial"/>
          <w:bCs/>
          <w:i/>
          <w:iCs/>
          <w:color w:val="000000" w:themeColor="text1"/>
          <w:lang w:val="es-ES_tradnl"/>
        </w:rPr>
        <w:t>Servicios Nacionales</w:t>
      </w:r>
      <w:r w:rsidRPr="00D3097B">
        <w:rPr>
          <w:rFonts w:ascii="Arial" w:eastAsia="Calibri" w:hAnsi="Arial" w:cs="Arial"/>
          <w:bCs/>
          <w:color w:val="000000" w:themeColor="text1"/>
          <w:lang w:val="es-ES_tradnl"/>
        </w:rPr>
        <w:t xml:space="preserve"> en forma distinta, así:</w:t>
      </w:r>
    </w:p>
    <w:p w14:paraId="23127031" w14:textId="77777777" w:rsidR="00795F6F" w:rsidRPr="00D3097B" w:rsidRDefault="00795F6F" w:rsidP="00795F6F">
      <w:pPr>
        <w:widowControl w:val="0"/>
        <w:autoSpaceDE w:val="0"/>
        <w:autoSpaceDN w:val="0"/>
        <w:spacing w:after="0" w:line="276" w:lineRule="auto"/>
        <w:contextualSpacing/>
        <w:jc w:val="both"/>
        <w:rPr>
          <w:rFonts w:ascii="Arial" w:eastAsia="Arial" w:hAnsi="Arial" w:cs="Arial"/>
          <w:bCs/>
          <w:sz w:val="24"/>
          <w:lang w:val="es-MX" w:eastAsia="es-ES" w:bidi="es-ES"/>
        </w:rPr>
      </w:pPr>
    </w:p>
    <w:p w14:paraId="1566D042" w14:textId="77777777" w:rsidR="00795F6F" w:rsidRPr="00D3097B" w:rsidRDefault="00795F6F" w:rsidP="00795F6F">
      <w:pPr>
        <w:widowControl w:val="0"/>
        <w:autoSpaceDE w:val="0"/>
        <w:autoSpaceDN w:val="0"/>
        <w:spacing w:after="0" w:line="240" w:lineRule="auto"/>
        <w:ind w:left="709" w:right="709"/>
        <w:contextualSpacing/>
        <w:jc w:val="both"/>
        <w:rPr>
          <w:rFonts w:ascii="Arial" w:hAnsi="Arial" w:cs="Arial"/>
          <w:b/>
          <w:bCs/>
          <w:sz w:val="21"/>
          <w:szCs w:val="21"/>
          <w:lang w:val="es-MX"/>
        </w:rPr>
      </w:pPr>
      <w:r w:rsidRPr="00D3097B">
        <w:rPr>
          <w:rFonts w:ascii="Arial" w:hAnsi="Arial" w:cs="Arial"/>
          <w:b/>
          <w:bCs/>
          <w:sz w:val="21"/>
          <w:szCs w:val="21"/>
          <w:lang w:val="es-MX"/>
        </w:rPr>
        <w:lastRenderedPageBreak/>
        <w:t>4.3.1 Promoción de servicios nacionales o con trato nacional</w:t>
      </w:r>
    </w:p>
    <w:p w14:paraId="24504041" w14:textId="77777777" w:rsidR="00795F6F" w:rsidRPr="00D3097B" w:rsidRDefault="00795F6F" w:rsidP="00795F6F">
      <w:pPr>
        <w:widowControl w:val="0"/>
        <w:autoSpaceDE w:val="0"/>
        <w:autoSpaceDN w:val="0"/>
        <w:spacing w:after="0" w:line="240" w:lineRule="auto"/>
        <w:ind w:left="709" w:right="709"/>
        <w:contextualSpacing/>
        <w:jc w:val="both"/>
        <w:rPr>
          <w:rFonts w:ascii="Arial" w:hAnsi="Arial" w:cs="Arial"/>
          <w:b/>
          <w:bCs/>
          <w:sz w:val="21"/>
          <w:szCs w:val="21"/>
          <w:lang w:val="es-MX"/>
        </w:rPr>
      </w:pPr>
    </w:p>
    <w:p w14:paraId="35BDD402" w14:textId="77777777" w:rsidR="00795F6F" w:rsidRPr="00D3097B" w:rsidRDefault="00795F6F" w:rsidP="00795F6F">
      <w:pPr>
        <w:spacing w:after="120" w:line="240" w:lineRule="auto"/>
        <w:ind w:left="709" w:right="709"/>
        <w:jc w:val="both"/>
        <w:rPr>
          <w:rFonts w:ascii="Arial" w:hAnsi="Arial" w:cs="Arial"/>
          <w:sz w:val="21"/>
          <w:szCs w:val="21"/>
          <w:lang w:val="es-MX"/>
        </w:rPr>
      </w:pPr>
      <w:r w:rsidRPr="00D3097B">
        <w:rPr>
          <w:rFonts w:ascii="Arial" w:hAnsi="Arial" w:cs="Arial"/>
          <w:sz w:val="21"/>
          <w:szCs w:val="21"/>
          <w:lang w:val="es-MX"/>
        </w:rPr>
        <w:t>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 la obra o (</w:t>
      </w:r>
      <w:proofErr w:type="spellStart"/>
      <w:r w:rsidRPr="00D3097B">
        <w:rPr>
          <w:rFonts w:ascii="Arial" w:hAnsi="Arial" w:cs="Arial"/>
          <w:sz w:val="21"/>
          <w:szCs w:val="21"/>
          <w:lang w:val="es-MX"/>
        </w:rPr>
        <w:t>ii</w:t>
      </w:r>
      <w:proofErr w:type="spellEnd"/>
      <w:r w:rsidRPr="00D3097B">
        <w:rPr>
          <w:rFonts w:ascii="Arial" w:hAnsi="Arial" w:cs="Arial"/>
          <w:sz w:val="21"/>
          <w:szCs w:val="21"/>
          <w:lang w:val="es-MX"/>
        </w:rPr>
        <w:t>) vincula el porcentaje mínimo de personal colombiano, según corresponda.</w:t>
      </w:r>
    </w:p>
    <w:p w14:paraId="4E7B14C3" w14:textId="77777777" w:rsidR="00795F6F" w:rsidRPr="00D3097B" w:rsidRDefault="00795F6F" w:rsidP="00795F6F">
      <w:pPr>
        <w:spacing w:after="120" w:line="240" w:lineRule="auto"/>
        <w:ind w:left="709" w:right="709"/>
        <w:jc w:val="both"/>
        <w:rPr>
          <w:rFonts w:ascii="Arial" w:hAnsi="Arial" w:cs="Arial"/>
          <w:sz w:val="21"/>
          <w:szCs w:val="21"/>
          <w:lang w:val="es-MX"/>
        </w:rPr>
      </w:pPr>
      <w:r w:rsidRPr="00D3097B">
        <w:rPr>
          <w:rFonts w:ascii="Arial" w:hAnsi="Arial" w:cs="Arial"/>
          <w:sz w:val="21"/>
          <w:szCs w:val="21"/>
          <w:lang w:val="es-MX"/>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por un Proponente Plural conformado por estos, sin que sea necesario el uso de bienes colombianos o la vinculación de personal colombiano.</w:t>
      </w:r>
    </w:p>
    <w:p w14:paraId="62D853FB" w14:textId="77777777" w:rsidR="00795F6F" w:rsidRPr="00D3097B" w:rsidRDefault="00795F6F" w:rsidP="00795F6F">
      <w:pPr>
        <w:spacing w:after="0" w:line="240" w:lineRule="auto"/>
        <w:ind w:left="709" w:right="709"/>
        <w:jc w:val="both"/>
        <w:rPr>
          <w:rFonts w:ascii="Arial" w:hAnsi="Arial" w:cs="Arial"/>
          <w:sz w:val="21"/>
          <w:szCs w:val="21"/>
          <w:lang w:val="es-MX"/>
        </w:rPr>
      </w:pPr>
      <w:r w:rsidRPr="00D3097B">
        <w:rPr>
          <w:rFonts w:ascii="Arial" w:hAnsi="Arial" w:cs="Arial"/>
          <w:sz w:val="21"/>
          <w:szCs w:val="21"/>
          <w:lang w:val="es-MX"/>
        </w:rPr>
        <w:t xml:space="preserve">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 Para definir la regla aplicable al proceso, el Proponente extranjero con trato nacional así lo manifestará con el diligenciamiento de la opción 3 del Formato 9A – Promoción de Servicios Nacionales o con Trato Nacional. En el caso que no se diligencie la opción 3 del Formato 9A – Promoción de Servicios Nacionales o con Trato Nacional, la Entidad Estatal deberá evaluar la oferta de acuerdo con las reglas previstas en este numeral. </w:t>
      </w:r>
    </w:p>
    <w:p w14:paraId="201AA78A" w14:textId="77777777" w:rsidR="00795F6F" w:rsidRPr="00D3097B" w:rsidRDefault="00795F6F" w:rsidP="00795F6F">
      <w:pPr>
        <w:spacing w:after="0" w:line="276" w:lineRule="auto"/>
        <w:ind w:left="709"/>
        <w:jc w:val="both"/>
        <w:rPr>
          <w:rFonts w:ascii="Arial" w:hAnsi="Arial" w:cs="Arial"/>
          <w:sz w:val="21"/>
          <w:szCs w:val="21"/>
          <w:lang w:val="es-MX"/>
        </w:rPr>
      </w:pPr>
    </w:p>
    <w:p w14:paraId="399A2D6E" w14:textId="77777777" w:rsidR="00795F6F" w:rsidRPr="00D3097B" w:rsidRDefault="00795F6F" w:rsidP="00795F6F">
      <w:pPr>
        <w:widowControl w:val="0"/>
        <w:autoSpaceDE w:val="0"/>
        <w:autoSpaceDN w:val="0"/>
        <w:spacing w:after="120" w:line="276" w:lineRule="auto"/>
        <w:ind w:firstLine="709"/>
        <w:jc w:val="both"/>
        <w:rPr>
          <w:rFonts w:ascii="Arial" w:eastAsia="Calibri" w:hAnsi="Arial" w:cs="Arial"/>
          <w:bCs/>
          <w:color w:val="000000"/>
          <w:lang w:val="es-ES_tradnl"/>
        </w:rPr>
      </w:pPr>
      <w:r w:rsidRPr="00D3097B">
        <w:rPr>
          <w:rFonts w:ascii="Arial" w:eastAsia="Arial" w:hAnsi="Arial" w:cs="Arial"/>
          <w:bCs/>
          <w:lang w:val="es-MX" w:eastAsia="es-ES" w:bidi="es-ES"/>
        </w:rPr>
        <w:t xml:space="preserve">Conforme con lo anterior, los documentos tipo se adecuaron de tal manera que el puntaje de industria nacional sea otorgado a los proponentes que presten servicios nacionales en los términos del Decreto 680 de 2021. </w:t>
      </w:r>
      <w:r w:rsidRPr="00D3097B">
        <w:rPr>
          <w:rFonts w:ascii="Arial" w:eastAsia="Calibri" w:hAnsi="Arial" w:cs="Arial"/>
          <w:bCs/>
          <w:color w:val="000000" w:themeColor="text1"/>
          <w:lang w:val="es-ES_tradnl"/>
        </w:rPr>
        <w:t xml:space="preserve">Mediante esta modificación, la noción de Servicios Nacionales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w:t>
      </w:r>
      <w:r w:rsidRPr="00D3097B">
        <w:rPr>
          <w:rFonts w:ascii="Arial" w:eastAsia="Calibri" w:hAnsi="Arial" w:cs="Arial"/>
          <w:bCs/>
          <w:color w:val="000000"/>
          <w:lang w:val="es-ES_tradnl"/>
        </w:rPr>
        <w:t xml:space="preserve">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no es necesario que se usen bienes o personal colombianos, para que el servicio sea nacional,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w:t>
      </w:r>
      <w:r w:rsidRPr="00D3097B">
        <w:rPr>
          <w:rFonts w:ascii="Arial" w:eastAsia="Calibri" w:hAnsi="Arial" w:cs="Arial"/>
          <w:bCs/>
          <w:color w:val="000000"/>
          <w:lang w:val="es-ES_tradnl"/>
        </w:rPr>
        <w:lastRenderedPageBreak/>
        <w:t>de 2021.</w:t>
      </w:r>
    </w:p>
    <w:p w14:paraId="6ACD95B2" w14:textId="77777777" w:rsidR="00795F6F" w:rsidRPr="00D3097B" w:rsidRDefault="00795F6F" w:rsidP="00795F6F">
      <w:pPr>
        <w:spacing w:after="120" w:line="276" w:lineRule="auto"/>
        <w:ind w:firstLine="709"/>
        <w:jc w:val="both"/>
        <w:rPr>
          <w:rFonts w:ascii="Arial" w:hAnsi="Arial" w:cs="Arial"/>
          <w:lang w:val="es-MX"/>
        </w:rPr>
      </w:pPr>
      <w:r w:rsidRPr="00D3097B">
        <w:rPr>
          <w:rFonts w:ascii="Arial" w:eastAsia="Arial" w:hAnsi="Arial" w:cs="Arial"/>
          <w:bCs/>
          <w:lang w:val="es-MX" w:eastAsia="es-ES" w:bidi="es-ES"/>
        </w:rPr>
        <w:t xml:space="preserve">Para los </w:t>
      </w:r>
      <w:r w:rsidRPr="00D3097B">
        <w:rPr>
          <w:rFonts w:ascii="Arial" w:hAnsi="Arial" w:cs="Arial"/>
          <w:lang w:val="es-MX"/>
        </w:rPr>
        <w:t>Proponentes extranjeros con trato nacional que participen en el Proceso de Contratación de manera singular o mediante la conformación de un Proponente Plural −según se dispone en el inciso tercero del numeral 4.3.1−, estos podrán definir si aplican las reglas previstas en el numeral 4</w:t>
      </w:r>
      <w:r w:rsidRPr="00D3097B">
        <w:rPr>
          <w:rFonts w:ascii="Arial" w:eastAsia="Arial" w:hAnsi="Arial" w:cs="Arial"/>
          <w:bCs/>
          <w:lang w:val="es-MX" w:eastAsia="es-ES" w:bidi="es-ES"/>
        </w:rPr>
        <w:t xml:space="preserve">.3.1 “Promoción de servicios nacionales o con trato nacional”, de los documentos tipo de obra pública de infraestructura de transporte – Versión 3, </w:t>
      </w:r>
      <w:r w:rsidRPr="00D3097B">
        <w:rPr>
          <w:rFonts w:ascii="Arial" w:hAnsi="Arial" w:cs="Arial"/>
          <w:lang w:val="es-MX"/>
        </w:rPr>
        <w:t xml:space="preserve">o, si por el contrario, se acogen a la regla de origen de su país. </w:t>
      </w:r>
    </w:p>
    <w:p w14:paraId="6BF4CB77" w14:textId="77777777" w:rsidR="00795F6F" w:rsidRPr="00D3097B" w:rsidRDefault="00795F6F" w:rsidP="00795F6F">
      <w:pPr>
        <w:widowControl w:val="0"/>
        <w:autoSpaceDE w:val="0"/>
        <w:autoSpaceDN w:val="0"/>
        <w:spacing w:after="0" w:line="276" w:lineRule="auto"/>
        <w:ind w:firstLine="709"/>
        <w:jc w:val="both"/>
        <w:rPr>
          <w:rFonts w:ascii="Arial" w:eastAsia="Arial" w:hAnsi="Arial" w:cs="Arial"/>
          <w:bCs/>
          <w:lang w:val="es-MX" w:eastAsia="es-ES" w:bidi="es-ES"/>
        </w:rPr>
      </w:pPr>
      <w:r w:rsidRPr="00D3097B">
        <w:rPr>
          <w:rFonts w:ascii="Arial" w:eastAsia="Arial" w:hAnsi="Arial" w:cs="Arial"/>
          <w:bCs/>
          <w:lang w:val="es-MX" w:eastAsia="es-ES" w:bidi="es-ES"/>
        </w:rPr>
        <w:t>As</w:t>
      </w:r>
      <w:r w:rsidRPr="00D3097B">
        <w:rPr>
          <w:rFonts w:ascii="Arial" w:eastAsia="Arial" w:hAnsi="Arial" w:cs="Arial"/>
          <w:bCs/>
          <w:sz w:val="24"/>
          <w:lang w:val="es-MX" w:eastAsia="es-ES" w:bidi="es-ES"/>
        </w:rPr>
        <w:t xml:space="preserve">í </w:t>
      </w:r>
      <w:r w:rsidRPr="00D3097B">
        <w:rPr>
          <w:rFonts w:ascii="Arial" w:eastAsia="Arial" w:hAnsi="Arial" w:cs="Arial"/>
          <w:bCs/>
          <w:lang w:val="es-MX" w:eastAsia="es-ES" w:bidi="es-ES"/>
        </w:rPr>
        <w:t xml:space="preserve">mismo, en el numeral </w:t>
      </w:r>
      <w:r w:rsidRPr="00D3097B">
        <w:rPr>
          <w:rFonts w:ascii="Arial" w:hAnsi="Arial" w:cs="Arial"/>
          <w:lang w:val="es-MX"/>
        </w:rPr>
        <w:t>4</w:t>
      </w:r>
      <w:r w:rsidRPr="00D3097B">
        <w:rPr>
          <w:rFonts w:ascii="Arial" w:eastAsia="Arial" w:hAnsi="Arial" w:cs="Arial"/>
          <w:bCs/>
          <w:lang w:val="es-MX" w:eastAsia="es-ES" w:bidi="es-ES"/>
        </w:rPr>
        <w:t>.3.1 “Promoción de servicios nacionales o con trato nacional”, de los documentos tipo de licitación de obra pública de infraestructura de transporte – Versión 3, se implementan reglas que garantizan que las entidades estatales en sus procesos de contratación definan de manera razonable y proporcional los bienes nacionales relevantes. En este sentido, en el citado numeral se establece que:</w:t>
      </w:r>
    </w:p>
    <w:p w14:paraId="292E9389" w14:textId="77777777" w:rsidR="00795F6F" w:rsidRPr="00D3097B" w:rsidRDefault="00795F6F" w:rsidP="00795F6F">
      <w:pPr>
        <w:spacing w:after="0" w:line="240" w:lineRule="auto"/>
        <w:ind w:left="709" w:right="709"/>
        <w:contextualSpacing/>
        <w:jc w:val="both"/>
        <w:rPr>
          <w:rFonts w:ascii="Arial" w:hAnsi="Arial" w:cs="Arial"/>
          <w:color w:val="000000" w:themeColor="text1"/>
          <w:sz w:val="21"/>
          <w:szCs w:val="21"/>
          <w:lang w:val="es-MX"/>
        </w:rPr>
      </w:pPr>
    </w:p>
    <w:p w14:paraId="7ADEB99F" w14:textId="77777777" w:rsidR="00795F6F" w:rsidRPr="00D3097B" w:rsidRDefault="00795F6F" w:rsidP="00795F6F">
      <w:pPr>
        <w:spacing w:after="0" w:line="240" w:lineRule="auto"/>
        <w:ind w:left="709" w:right="709"/>
        <w:contextualSpacing/>
        <w:jc w:val="both"/>
        <w:rPr>
          <w:rFonts w:ascii="Arial" w:hAnsi="Arial" w:cs="Arial"/>
          <w:color w:val="000000" w:themeColor="text1"/>
          <w:sz w:val="21"/>
          <w:szCs w:val="21"/>
          <w:lang w:val="es-MX"/>
        </w:rPr>
      </w:pPr>
      <w:r w:rsidRPr="00D3097B">
        <w:rPr>
          <w:rFonts w:ascii="Arial" w:hAnsi="Arial" w:cs="Arial"/>
          <w:color w:val="000000" w:themeColor="text1"/>
          <w:sz w:val="21"/>
          <w:szCs w:val="21"/>
          <w:lang w:val="es-MX"/>
        </w:rPr>
        <w:t>[Para determinar uno o varios bienes nacionales relevantes, la Entidad Estatal debe aplicar los criterios establecidos en el artículo 2.2.1.2.4.2.9. del Decreto 1082 de 2015, lo cual constará en los estudios y documentos previos y en las reglas definidas en la Matriz 4 – Bienes nacionales relevantes para la obra pública del sector transporte]:</w:t>
      </w:r>
    </w:p>
    <w:p w14:paraId="4D83F435" w14:textId="77777777" w:rsidR="00795F6F" w:rsidRPr="00D3097B" w:rsidRDefault="00795F6F" w:rsidP="00795F6F">
      <w:pPr>
        <w:spacing w:after="0" w:line="240" w:lineRule="auto"/>
        <w:ind w:left="709" w:right="709"/>
        <w:contextualSpacing/>
        <w:jc w:val="both"/>
        <w:rPr>
          <w:rFonts w:ascii="Arial" w:hAnsi="Arial" w:cs="Arial"/>
          <w:color w:val="000000" w:themeColor="text1"/>
          <w:sz w:val="21"/>
          <w:szCs w:val="21"/>
          <w:lang w:val="es-MX"/>
        </w:rPr>
      </w:pPr>
    </w:p>
    <w:p w14:paraId="5A3C8160" w14:textId="77777777" w:rsidR="00795F6F" w:rsidRPr="00D3097B" w:rsidRDefault="00795F6F" w:rsidP="00795F6F">
      <w:pPr>
        <w:widowControl w:val="0"/>
        <w:autoSpaceDE w:val="0"/>
        <w:autoSpaceDN w:val="0"/>
        <w:spacing w:after="120" w:line="276" w:lineRule="auto"/>
        <w:ind w:firstLine="709"/>
        <w:jc w:val="both"/>
        <w:rPr>
          <w:rFonts w:ascii="Arial" w:eastAsia="Arial" w:hAnsi="Arial" w:cs="Arial"/>
          <w:bCs/>
          <w:lang w:val="es-MX" w:eastAsia="es-ES" w:bidi="es-ES"/>
        </w:rPr>
      </w:pPr>
      <w:r w:rsidRPr="00D3097B">
        <w:rPr>
          <w:rFonts w:ascii="Arial" w:eastAsia="Arial" w:hAnsi="Arial" w:cs="Arial"/>
          <w:bCs/>
          <w:lang w:val="es-MX" w:eastAsia="es-ES" w:bidi="es-ES"/>
        </w:rPr>
        <w:t>Lo anterior guarda relación con los dispuesto en el artículo 2 del Decreto 680 de 2021, en donde se consagra la metodología con fundamento en la cual la entidad estatal debe definir los bienes colombianos relevantes y otorgar el puntaje de que trata el inciso 1</w:t>
      </w:r>
      <w:r w:rsidRPr="00D3097B">
        <w:rPr>
          <w:rFonts w:ascii="Arial" w:eastAsia="Arial" w:hAnsi="Arial" w:cs="Arial"/>
          <w:bCs/>
          <w:sz w:val="24"/>
          <w:lang w:val="es-MX" w:eastAsia="es-ES" w:bidi="es-ES"/>
        </w:rPr>
        <w:t>°</w:t>
      </w:r>
      <w:r w:rsidRPr="00D3097B">
        <w:rPr>
          <w:rFonts w:ascii="Arial" w:eastAsia="Arial" w:hAnsi="Arial" w:cs="Arial"/>
          <w:bCs/>
          <w:lang w:val="es-MX" w:eastAsia="es-ES" w:bidi="es-ES"/>
        </w:rPr>
        <w:t xml:space="preserve"> del artículo 2 de la Ley 816 de 2003. </w:t>
      </w:r>
    </w:p>
    <w:p w14:paraId="5E3C1DD5" w14:textId="77777777" w:rsidR="00795F6F" w:rsidRPr="00D3097B" w:rsidRDefault="00795F6F" w:rsidP="00795F6F">
      <w:pPr>
        <w:widowControl w:val="0"/>
        <w:autoSpaceDE w:val="0"/>
        <w:autoSpaceDN w:val="0"/>
        <w:spacing w:after="120" w:line="276" w:lineRule="auto"/>
        <w:ind w:firstLine="709"/>
        <w:jc w:val="both"/>
        <w:rPr>
          <w:rFonts w:ascii="Arial" w:eastAsia="Calibri" w:hAnsi="Arial" w:cs="Arial"/>
          <w:bCs/>
          <w:color w:val="000000" w:themeColor="text1"/>
          <w:lang w:val="es-ES_tradnl"/>
        </w:rPr>
      </w:pPr>
      <w:r w:rsidRPr="00D3097B">
        <w:rPr>
          <w:rFonts w:ascii="Arial" w:eastAsia="Arial" w:hAnsi="Arial" w:cs="Arial"/>
          <w:bCs/>
          <w:lang w:eastAsia="es-ES" w:bidi="es-ES"/>
        </w:rPr>
        <w:t xml:space="preserve">Para determinar uno o varios bienes nacionales relevantes la entidad estatal debe aplicar los criterios establecidos en el artículo </w:t>
      </w:r>
      <w:r w:rsidRPr="00D3097B">
        <w:rPr>
          <w:rFonts w:ascii="Arial" w:eastAsia="Arial" w:hAnsi="Arial" w:cs="Arial"/>
          <w:lang w:val="es-419"/>
        </w:rPr>
        <w:t xml:space="preserve">2.2.1.2.4.2.9. del Decreto 1082 de 2015 </w:t>
      </w:r>
      <w:r w:rsidRPr="00D3097B">
        <w:rPr>
          <w:rFonts w:ascii="Arial" w:eastAsia="Calibri" w:hAnsi="Arial" w:cs="Arial"/>
          <w:bCs/>
          <w:color w:val="000000" w:themeColor="text1"/>
          <w:lang w:val="es-ES_tradnl"/>
        </w:rPr>
        <w:t xml:space="preserve">adicionado por el Decreto 680 de 2021, a saber: i) “el análisis del sector económico y de los oferentes, y, toda aquella información adicional con la que cuente la entidad estatal en la etapa de planeación del Proceso de Contratación”, </w:t>
      </w:r>
      <w:proofErr w:type="spellStart"/>
      <w:r w:rsidRPr="00D3097B">
        <w:rPr>
          <w:rFonts w:ascii="Arial" w:eastAsia="Calibri" w:hAnsi="Arial" w:cs="Arial"/>
          <w:bCs/>
          <w:color w:val="000000" w:themeColor="text1"/>
          <w:lang w:val="es-ES_tradnl"/>
        </w:rPr>
        <w:t>ii</w:t>
      </w:r>
      <w:proofErr w:type="spellEnd"/>
      <w:r w:rsidRPr="00D3097B">
        <w:rPr>
          <w:rFonts w:ascii="Arial" w:eastAsia="Calibri" w:hAnsi="Arial" w:cs="Arial"/>
          <w:bCs/>
          <w:color w:val="000000" w:themeColor="text1"/>
          <w:lang w:val="es-ES_tradnl"/>
        </w:rPr>
        <w:t xml:space="preserve">) el porcentaje de participación de los bienes en el presupuesto del Proceso de Contratación y </w:t>
      </w:r>
      <w:proofErr w:type="spellStart"/>
      <w:r w:rsidRPr="00D3097B">
        <w:rPr>
          <w:rFonts w:ascii="Arial" w:eastAsia="Calibri" w:hAnsi="Arial" w:cs="Arial"/>
          <w:bCs/>
          <w:color w:val="000000" w:themeColor="text1"/>
          <w:lang w:val="es-ES_tradnl"/>
        </w:rPr>
        <w:t>iii</w:t>
      </w:r>
      <w:proofErr w:type="spellEnd"/>
      <w:r w:rsidRPr="00D3097B">
        <w:rPr>
          <w:rFonts w:ascii="Arial" w:eastAsia="Calibri" w:hAnsi="Arial" w:cs="Arial"/>
          <w:bCs/>
          <w:color w:val="000000" w:themeColor="text1"/>
          <w:lang w:val="es-ES_tradnl"/>
        </w:rPr>
        <w:t xml:space="preserve">) la existencia de los bienes en el Registro de Productores de Bienes Nacionales, en los términos del Decreto 2680 de 2009. </w:t>
      </w:r>
      <w:r w:rsidRPr="00D3097B">
        <w:rPr>
          <w:rFonts w:ascii="Arial" w:eastAsia="Arial" w:hAnsi="Arial" w:cs="Arial"/>
          <w:lang w:val="es-419"/>
        </w:rPr>
        <w:t xml:space="preserve">Además de estos tres criterios, la entidad estatal deberá aplicar los parámetros contenidos en la </w:t>
      </w:r>
      <w:r w:rsidRPr="00D3097B">
        <w:rPr>
          <w:rFonts w:ascii="Arial" w:eastAsia="Arial" w:hAnsi="Arial" w:cs="Arial"/>
          <w:bCs/>
          <w:lang w:eastAsia="es-ES" w:bidi="es-ES"/>
        </w:rPr>
        <w:t>Matriz 4 – Bienes nacionales relevantes para la obra pública del sector transporte, en la que s</w:t>
      </w:r>
      <w:proofErr w:type="spellStart"/>
      <w:r w:rsidRPr="00D3097B">
        <w:rPr>
          <w:rFonts w:ascii="Arial" w:eastAsia="Calibri" w:hAnsi="Arial" w:cs="Arial"/>
          <w:bCs/>
          <w:color w:val="000000" w:themeColor="text1"/>
          <w:lang w:val="es-ES_tradnl"/>
        </w:rPr>
        <w:t>e</w:t>
      </w:r>
      <w:proofErr w:type="spellEnd"/>
      <w:r w:rsidRPr="00D3097B">
        <w:rPr>
          <w:rFonts w:ascii="Arial" w:eastAsia="Calibri" w:hAnsi="Arial" w:cs="Arial"/>
          <w:bCs/>
          <w:color w:val="000000" w:themeColor="text1"/>
          <w:lang w:val="es-ES_tradnl"/>
        </w:rPr>
        <w:t xml:space="preserve"> desarrolla una metodología para identificar los bienes nacionales relevantes para la ejecución del objeto a contratar. </w:t>
      </w:r>
    </w:p>
    <w:p w14:paraId="43516C0A" w14:textId="77777777" w:rsidR="00795F6F" w:rsidRPr="00D3097B" w:rsidRDefault="00795F6F" w:rsidP="00795F6F">
      <w:pPr>
        <w:autoSpaceDE w:val="0"/>
        <w:autoSpaceDN w:val="0"/>
        <w:adjustRightInd w:val="0"/>
        <w:spacing w:after="0" w:line="240" w:lineRule="auto"/>
        <w:ind w:firstLine="708"/>
        <w:jc w:val="both"/>
        <w:rPr>
          <w:rFonts w:ascii="Arial" w:eastAsia="Calibri" w:hAnsi="Arial" w:cs="Arial"/>
          <w:bCs/>
          <w:color w:val="000000" w:themeColor="text1"/>
          <w:lang w:val="es-ES_tradnl"/>
        </w:rPr>
      </w:pPr>
      <w:r w:rsidRPr="00D3097B">
        <w:rPr>
          <w:rFonts w:ascii="Arial" w:eastAsia="Calibri" w:hAnsi="Arial" w:cs="Arial"/>
          <w:bCs/>
          <w:color w:val="000000" w:themeColor="text1"/>
          <w:lang w:val="es-ES_tradnl"/>
        </w:rPr>
        <w:t>A continuación, se enuncian los pasos a seguir que contiene la Matriz 4 – Bienes nacionales relevantes para la obra pública del sector transporte, para la identificación de los bienes nacionales relevantes:</w:t>
      </w:r>
    </w:p>
    <w:p w14:paraId="25AA988C" w14:textId="77777777" w:rsidR="00795F6F" w:rsidRPr="00D3097B" w:rsidRDefault="00795F6F" w:rsidP="00795F6F">
      <w:pPr>
        <w:autoSpaceDE w:val="0"/>
        <w:autoSpaceDN w:val="0"/>
        <w:adjustRightInd w:val="0"/>
        <w:spacing w:after="0" w:line="240" w:lineRule="auto"/>
        <w:ind w:firstLine="708"/>
        <w:jc w:val="both"/>
        <w:rPr>
          <w:rFonts w:ascii="Arial" w:eastAsia="Calibri" w:hAnsi="Arial" w:cs="Arial"/>
          <w:bCs/>
          <w:color w:val="000000" w:themeColor="text1"/>
          <w:lang w:val="es-ES_tradnl"/>
        </w:rPr>
      </w:pPr>
    </w:p>
    <w:p w14:paraId="1CAAEF54" w14:textId="77777777" w:rsidR="00795F6F" w:rsidRPr="00D3097B" w:rsidRDefault="00795F6F" w:rsidP="00795F6F">
      <w:pPr>
        <w:numPr>
          <w:ilvl w:val="0"/>
          <w:numId w:val="7"/>
        </w:numPr>
        <w:tabs>
          <w:tab w:val="left" w:pos="1134"/>
        </w:tabs>
        <w:spacing w:after="120" w:line="240" w:lineRule="auto"/>
        <w:ind w:left="1069" w:right="709"/>
        <w:jc w:val="both"/>
        <w:rPr>
          <w:rFonts w:ascii="Arial" w:eastAsia="Arial" w:hAnsi="Arial" w:cs="Arial"/>
          <w:i/>
          <w:color w:val="000000"/>
          <w:sz w:val="21"/>
          <w:szCs w:val="21"/>
        </w:rPr>
      </w:pPr>
      <w:r w:rsidRPr="00D3097B">
        <w:rPr>
          <w:rFonts w:ascii="Arial" w:eastAsia="Arial" w:hAnsi="Arial" w:cs="Arial"/>
          <w:iCs/>
          <w:color w:val="000000"/>
          <w:sz w:val="21"/>
          <w:szCs w:val="21"/>
        </w:rPr>
        <w:lastRenderedPageBreak/>
        <w:t xml:space="preserve">Identificar dentro del Presupuesto </w:t>
      </w:r>
      <w:r w:rsidRPr="00D3097B">
        <w:rPr>
          <w:rFonts w:ascii="Arial" w:eastAsia="Arial" w:hAnsi="Arial" w:cs="Arial"/>
          <w:color w:val="000000"/>
          <w:sz w:val="21"/>
          <w:szCs w:val="21"/>
        </w:rPr>
        <w:t>O</w:t>
      </w:r>
      <w:r w:rsidRPr="00D3097B">
        <w:rPr>
          <w:rFonts w:ascii="Arial" w:eastAsia="Arial" w:hAnsi="Arial" w:cs="Arial"/>
          <w:iCs/>
          <w:color w:val="000000"/>
          <w:sz w:val="21"/>
          <w:szCs w:val="21"/>
        </w:rPr>
        <w:t>ficial los bienes o insumos requeridos para la ejecución del proyecto.</w:t>
      </w:r>
    </w:p>
    <w:p w14:paraId="64AC3365" w14:textId="77777777" w:rsidR="00795F6F" w:rsidRPr="00D3097B" w:rsidRDefault="00795F6F" w:rsidP="00795F6F">
      <w:pPr>
        <w:numPr>
          <w:ilvl w:val="0"/>
          <w:numId w:val="7"/>
        </w:numPr>
        <w:tabs>
          <w:tab w:val="left" w:pos="1134"/>
        </w:tabs>
        <w:spacing w:after="120" w:line="240" w:lineRule="auto"/>
        <w:ind w:left="1069" w:right="709"/>
        <w:jc w:val="both"/>
        <w:rPr>
          <w:rFonts w:ascii="Arial" w:hAnsi="Arial" w:cs="Arial"/>
          <w:i/>
          <w:color w:val="000000"/>
          <w:sz w:val="21"/>
          <w:szCs w:val="21"/>
        </w:rPr>
      </w:pPr>
      <w:r w:rsidRPr="00D3097B">
        <w:rPr>
          <w:rFonts w:ascii="Arial" w:hAnsi="Arial" w:cs="Arial"/>
          <w:color w:val="000000"/>
          <w:sz w:val="21"/>
          <w:szCs w:val="21"/>
        </w:rPr>
        <w:t xml:space="preserve">Calcular el </w:t>
      </w:r>
      <w:r w:rsidRPr="00D3097B">
        <w:rPr>
          <w:rFonts w:ascii="Arial" w:hAnsi="Arial" w:cs="Arial"/>
          <w:b/>
          <w:i/>
          <w:color w:val="000000"/>
          <w:sz w:val="21"/>
          <w:szCs w:val="21"/>
        </w:rPr>
        <w:t xml:space="preserve">valor parcial </w:t>
      </w:r>
      <w:r w:rsidRPr="00D3097B">
        <w:rPr>
          <w:rFonts w:ascii="Arial" w:hAnsi="Arial" w:cs="Arial"/>
          <w:color w:val="000000"/>
          <w:sz w:val="21"/>
          <w:szCs w:val="21"/>
        </w:rPr>
        <w:t>de los bienes o insumos identificados, para lo cual se deberá multiplicar el valor unitario de cada uno por la cantidad requerida.</w:t>
      </w:r>
    </w:p>
    <w:p w14:paraId="3D3C8747" w14:textId="77777777" w:rsidR="00795F6F" w:rsidRPr="00D3097B" w:rsidRDefault="00795F6F" w:rsidP="00795F6F">
      <w:pPr>
        <w:numPr>
          <w:ilvl w:val="0"/>
          <w:numId w:val="7"/>
        </w:numPr>
        <w:tabs>
          <w:tab w:val="left" w:pos="1134"/>
        </w:tabs>
        <w:spacing w:after="120" w:line="240" w:lineRule="auto"/>
        <w:ind w:left="1069" w:right="709"/>
        <w:jc w:val="both"/>
        <w:rPr>
          <w:rFonts w:ascii="Arial" w:hAnsi="Arial" w:cs="Arial"/>
          <w:i/>
          <w:color w:val="000000"/>
          <w:sz w:val="21"/>
          <w:szCs w:val="21"/>
        </w:rPr>
      </w:pPr>
      <w:r w:rsidRPr="00D3097B">
        <w:rPr>
          <w:rFonts w:ascii="Arial" w:hAnsi="Arial" w:cs="Arial"/>
          <w:color w:val="000000"/>
          <w:sz w:val="21"/>
          <w:szCs w:val="21"/>
        </w:rPr>
        <w:t>Calcular el</w:t>
      </w:r>
      <w:r w:rsidRPr="00D3097B">
        <w:rPr>
          <w:rFonts w:ascii="Arial" w:hAnsi="Arial" w:cs="Arial"/>
          <w:b/>
          <w:i/>
          <w:color w:val="000000"/>
          <w:sz w:val="21"/>
          <w:szCs w:val="21"/>
        </w:rPr>
        <w:t xml:space="preserve"> valor total</w:t>
      </w:r>
      <w:r w:rsidRPr="00D3097B">
        <w:rPr>
          <w:rFonts w:ascii="Arial" w:hAnsi="Arial" w:cs="Arial"/>
          <w:bCs/>
          <w:iCs/>
          <w:color w:val="000000"/>
          <w:sz w:val="21"/>
          <w:szCs w:val="21"/>
        </w:rPr>
        <w:t xml:space="preserve"> </w:t>
      </w:r>
      <w:r w:rsidRPr="00D3097B">
        <w:rPr>
          <w:rFonts w:ascii="Arial" w:hAnsi="Arial" w:cs="Arial"/>
          <w:color w:val="000000"/>
          <w:sz w:val="21"/>
          <w:szCs w:val="21"/>
        </w:rPr>
        <w:t>realizando la sumatoria</w:t>
      </w:r>
      <w:r w:rsidRPr="00D3097B">
        <w:rPr>
          <w:rFonts w:ascii="Arial" w:hAnsi="Arial" w:cs="Arial"/>
          <w:b/>
          <w:i/>
          <w:color w:val="000000"/>
          <w:sz w:val="21"/>
          <w:szCs w:val="21"/>
        </w:rPr>
        <w:t xml:space="preserve"> </w:t>
      </w:r>
      <w:r w:rsidRPr="00D3097B">
        <w:rPr>
          <w:rFonts w:ascii="Arial" w:hAnsi="Arial" w:cs="Arial"/>
          <w:color w:val="000000"/>
          <w:sz w:val="21"/>
          <w:szCs w:val="21"/>
        </w:rPr>
        <w:t xml:space="preserve">de los </w:t>
      </w:r>
      <w:r w:rsidRPr="00D3097B">
        <w:rPr>
          <w:rFonts w:ascii="Arial" w:hAnsi="Arial" w:cs="Arial"/>
          <w:b/>
          <w:i/>
          <w:color w:val="000000"/>
          <w:sz w:val="21"/>
          <w:szCs w:val="21"/>
        </w:rPr>
        <w:t>valores parciales</w:t>
      </w:r>
      <w:r w:rsidRPr="00D3097B">
        <w:rPr>
          <w:rFonts w:ascii="Arial" w:hAnsi="Arial" w:cs="Arial"/>
          <w:color w:val="000000"/>
          <w:sz w:val="21"/>
          <w:szCs w:val="21"/>
        </w:rPr>
        <w:t xml:space="preserve"> de los bienes o insumos requeridos en el proyecto.</w:t>
      </w:r>
    </w:p>
    <w:p w14:paraId="561E839C" w14:textId="77777777" w:rsidR="00795F6F" w:rsidRPr="00D3097B" w:rsidRDefault="00795F6F" w:rsidP="00795F6F">
      <w:pPr>
        <w:numPr>
          <w:ilvl w:val="0"/>
          <w:numId w:val="7"/>
        </w:numPr>
        <w:tabs>
          <w:tab w:val="left" w:pos="1134"/>
        </w:tabs>
        <w:spacing w:after="120" w:line="240" w:lineRule="auto"/>
        <w:ind w:left="1069" w:right="709"/>
        <w:jc w:val="both"/>
        <w:rPr>
          <w:rFonts w:ascii="Arial" w:hAnsi="Arial" w:cs="Arial"/>
          <w:i/>
          <w:color w:val="000000"/>
          <w:sz w:val="21"/>
          <w:szCs w:val="21"/>
        </w:rPr>
      </w:pPr>
      <w:r w:rsidRPr="00D3097B">
        <w:rPr>
          <w:rFonts w:ascii="Arial" w:hAnsi="Arial" w:cs="Arial"/>
          <w:color w:val="000000"/>
          <w:sz w:val="21"/>
          <w:szCs w:val="21"/>
        </w:rPr>
        <w:t xml:space="preserve">Determinar el </w:t>
      </w:r>
      <w:r w:rsidRPr="00D3097B">
        <w:rPr>
          <w:rFonts w:ascii="Arial" w:hAnsi="Arial" w:cs="Arial"/>
          <w:b/>
          <w:i/>
          <w:color w:val="000000"/>
          <w:sz w:val="21"/>
          <w:szCs w:val="21"/>
        </w:rPr>
        <w:t>porcentaje de participación</w:t>
      </w:r>
      <w:r w:rsidRPr="00D3097B">
        <w:rPr>
          <w:rFonts w:ascii="Arial" w:hAnsi="Arial" w:cs="Arial"/>
          <w:i/>
          <w:color w:val="000000"/>
          <w:sz w:val="21"/>
          <w:szCs w:val="21"/>
        </w:rPr>
        <w:t xml:space="preserve"> </w:t>
      </w:r>
      <w:r w:rsidRPr="00D3097B">
        <w:rPr>
          <w:rFonts w:ascii="Arial" w:hAnsi="Arial" w:cs="Arial"/>
          <w:color w:val="000000"/>
          <w:sz w:val="21"/>
          <w:szCs w:val="21"/>
        </w:rPr>
        <w:t xml:space="preserve">de cada bien o insumo usando su </w:t>
      </w:r>
      <w:r w:rsidRPr="00D3097B">
        <w:rPr>
          <w:rFonts w:ascii="Arial" w:hAnsi="Arial" w:cs="Arial"/>
          <w:b/>
          <w:i/>
          <w:color w:val="000000"/>
          <w:sz w:val="21"/>
          <w:szCs w:val="21"/>
        </w:rPr>
        <w:t>valor parcial</w:t>
      </w:r>
      <w:r w:rsidRPr="00D3097B">
        <w:rPr>
          <w:rFonts w:ascii="Arial" w:hAnsi="Arial" w:cs="Arial"/>
          <w:color w:val="000000"/>
          <w:sz w:val="21"/>
          <w:szCs w:val="21"/>
        </w:rPr>
        <w:t xml:space="preserve"> divido por el </w:t>
      </w:r>
      <w:r w:rsidRPr="00D3097B">
        <w:rPr>
          <w:rFonts w:ascii="Arial" w:hAnsi="Arial" w:cs="Arial"/>
          <w:b/>
          <w:i/>
          <w:color w:val="000000"/>
          <w:sz w:val="21"/>
          <w:szCs w:val="21"/>
        </w:rPr>
        <w:t>valor total</w:t>
      </w:r>
      <w:r w:rsidRPr="00D3097B">
        <w:rPr>
          <w:rFonts w:ascii="Arial" w:hAnsi="Arial" w:cs="Arial"/>
          <w:color w:val="000000"/>
          <w:sz w:val="21"/>
          <w:szCs w:val="21"/>
        </w:rPr>
        <w:t>, cociente que deberá ser multiplicado por cien (100). Para esto se aplicará la siguiente fórmula:</w:t>
      </w:r>
    </w:p>
    <w:p w14:paraId="6BABE930" w14:textId="77777777" w:rsidR="00795F6F" w:rsidRPr="00D3097B" w:rsidRDefault="00795F6F" w:rsidP="00795F6F">
      <w:pPr>
        <w:tabs>
          <w:tab w:val="left" w:pos="1134"/>
        </w:tabs>
        <w:spacing w:after="120" w:line="240" w:lineRule="auto"/>
        <w:ind w:left="709" w:right="709"/>
        <w:jc w:val="center"/>
        <w:rPr>
          <w:rFonts w:ascii="Arial" w:eastAsia="Arial" w:hAnsi="Arial" w:cs="Arial"/>
          <w:i/>
          <w:color w:val="000000"/>
          <w:sz w:val="21"/>
          <w:szCs w:val="21"/>
        </w:rPr>
      </w:pPr>
      <w:r w:rsidRPr="00D3097B">
        <w:rPr>
          <w:rFonts w:ascii="Arial" w:hAnsi="Arial" w:cs="Arial"/>
          <w:noProof/>
          <w:sz w:val="21"/>
          <w:szCs w:val="21"/>
        </w:rPr>
        <w:drawing>
          <wp:inline distT="0" distB="0" distL="0" distR="0" wp14:anchorId="56D20069" wp14:editId="5166B155">
            <wp:extent cx="2668905" cy="425450"/>
            <wp:effectExtent l="0" t="0" r="0" b="0"/>
            <wp:docPr id="386411001" name="Imagen 38641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8905" cy="425450"/>
                    </a:xfrm>
                    <a:prstGeom prst="rect">
                      <a:avLst/>
                    </a:prstGeom>
                    <a:noFill/>
                    <a:ln>
                      <a:noFill/>
                    </a:ln>
                  </pic:spPr>
                </pic:pic>
              </a:graphicData>
            </a:graphic>
          </wp:inline>
        </w:drawing>
      </w:r>
    </w:p>
    <w:p w14:paraId="3D1DB765" w14:textId="77777777" w:rsidR="00795F6F" w:rsidRPr="00D3097B" w:rsidRDefault="00795F6F" w:rsidP="00795F6F">
      <w:pPr>
        <w:numPr>
          <w:ilvl w:val="0"/>
          <w:numId w:val="7"/>
        </w:numPr>
        <w:tabs>
          <w:tab w:val="left" w:pos="1134"/>
        </w:tabs>
        <w:spacing w:after="120" w:line="240" w:lineRule="auto"/>
        <w:ind w:left="1069" w:right="709"/>
        <w:jc w:val="both"/>
        <w:rPr>
          <w:rFonts w:ascii="Arial" w:eastAsia="Arial" w:hAnsi="Arial" w:cs="Arial"/>
          <w:iCs/>
          <w:color w:val="000000"/>
          <w:sz w:val="21"/>
          <w:szCs w:val="21"/>
        </w:rPr>
      </w:pPr>
      <w:r w:rsidRPr="00D3097B">
        <w:rPr>
          <w:rFonts w:ascii="Arial" w:eastAsia="Arial" w:hAnsi="Arial" w:cs="Arial"/>
          <w:color w:val="000000"/>
          <w:sz w:val="21"/>
          <w:szCs w:val="21"/>
        </w:rPr>
        <w:t>Determinar el</w:t>
      </w:r>
      <w:r w:rsidRPr="00D3097B">
        <w:rPr>
          <w:rFonts w:ascii="Arial" w:eastAsia="Arial" w:hAnsi="Arial" w:cs="Arial"/>
          <w:b/>
          <w:i/>
          <w:color w:val="000000"/>
          <w:sz w:val="21"/>
          <w:szCs w:val="21"/>
        </w:rPr>
        <w:t xml:space="preserve"> porcentaje acumulado </w:t>
      </w:r>
      <w:r w:rsidRPr="00D3097B">
        <w:rPr>
          <w:rFonts w:ascii="Arial" w:eastAsia="Arial" w:hAnsi="Arial" w:cs="Arial"/>
          <w:bCs/>
          <w:iCs/>
          <w:color w:val="000000"/>
          <w:sz w:val="21"/>
          <w:szCs w:val="21"/>
        </w:rPr>
        <w:t>entendido como la sumatoria de los porcentajes de participación definidos en el numeral anterior. P</w:t>
      </w:r>
      <w:r w:rsidRPr="00D3097B">
        <w:rPr>
          <w:rFonts w:ascii="Arial" w:eastAsia="Arial" w:hAnsi="Arial" w:cs="Arial"/>
          <w:color w:val="000000"/>
          <w:sz w:val="21"/>
          <w:szCs w:val="21"/>
        </w:rPr>
        <w:t xml:space="preserve">ara lo cual, se sugiere, organizar los bienes en una tabla, en orden descendente según su </w:t>
      </w:r>
      <w:r w:rsidRPr="00D3097B">
        <w:rPr>
          <w:rFonts w:ascii="Arial" w:eastAsia="Arial" w:hAnsi="Arial" w:cs="Arial"/>
          <w:b/>
          <w:i/>
          <w:color w:val="000000"/>
          <w:sz w:val="21"/>
          <w:szCs w:val="21"/>
        </w:rPr>
        <w:t>porcentaje de participación,</w:t>
      </w:r>
      <w:r w:rsidRPr="00D3097B">
        <w:rPr>
          <w:rFonts w:ascii="Arial" w:eastAsia="Arial" w:hAnsi="Arial" w:cs="Arial"/>
          <w:color w:val="000000"/>
          <w:sz w:val="21"/>
          <w:szCs w:val="21"/>
        </w:rPr>
        <w:t xml:space="preserve"> disponiendo una fila por cada bien, una columna para el nombre o descripción del bien, otra para el </w:t>
      </w:r>
      <w:r w:rsidRPr="00D3097B">
        <w:rPr>
          <w:rFonts w:ascii="Arial" w:eastAsia="Arial" w:hAnsi="Arial" w:cs="Arial"/>
          <w:b/>
          <w:i/>
          <w:color w:val="000000"/>
          <w:sz w:val="21"/>
          <w:szCs w:val="21"/>
        </w:rPr>
        <w:t>porcentaje de participación</w:t>
      </w:r>
      <w:r w:rsidRPr="00D3097B">
        <w:rPr>
          <w:rFonts w:ascii="Arial" w:eastAsia="Arial" w:hAnsi="Arial" w:cs="Arial"/>
          <w:b/>
          <w:color w:val="000000"/>
          <w:sz w:val="21"/>
          <w:szCs w:val="21"/>
        </w:rPr>
        <w:t xml:space="preserve"> </w:t>
      </w:r>
      <w:r w:rsidRPr="00D3097B">
        <w:rPr>
          <w:rFonts w:ascii="Arial" w:eastAsia="Arial" w:hAnsi="Arial" w:cs="Arial"/>
          <w:color w:val="000000"/>
          <w:sz w:val="21"/>
          <w:szCs w:val="21"/>
        </w:rPr>
        <w:t xml:space="preserve">y otra en la que se consignará el </w:t>
      </w:r>
      <w:r w:rsidRPr="00D3097B">
        <w:rPr>
          <w:rFonts w:ascii="Arial" w:eastAsia="Arial" w:hAnsi="Arial" w:cs="Arial"/>
          <w:b/>
          <w:i/>
          <w:color w:val="000000"/>
          <w:sz w:val="21"/>
          <w:szCs w:val="21"/>
        </w:rPr>
        <w:t>porcentaje acumulado.</w:t>
      </w:r>
      <w:r w:rsidRPr="00D3097B">
        <w:rPr>
          <w:rFonts w:ascii="Arial" w:eastAsia="Arial" w:hAnsi="Arial" w:cs="Arial"/>
          <w:b/>
          <w:color w:val="000000"/>
          <w:sz w:val="21"/>
          <w:szCs w:val="21"/>
        </w:rPr>
        <w:t xml:space="preserve"> </w:t>
      </w:r>
    </w:p>
    <w:p w14:paraId="38117954" w14:textId="77777777" w:rsidR="00795F6F" w:rsidRPr="00D3097B" w:rsidRDefault="00795F6F" w:rsidP="00795F6F">
      <w:pPr>
        <w:tabs>
          <w:tab w:val="left" w:pos="1134"/>
        </w:tabs>
        <w:spacing w:after="120" w:line="240" w:lineRule="auto"/>
        <w:ind w:left="709" w:right="709"/>
        <w:jc w:val="both"/>
        <w:rPr>
          <w:rFonts w:ascii="Arial" w:eastAsia="Arial" w:hAnsi="Arial" w:cs="Arial"/>
          <w:iCs/>
          <w:color w:val="000000"/>
          <w:sz w:val="21"/>
          <w:szCs w:val="21"/>
        </w:rPr>
      </w:pPr>
    </w:p>
    <w:p w14:paraId="11686AFA" w14:textId="77777777" w:rsidR="00795F6F" w:rsidRPr="00D3097B" w:rsidRDefault="00795F6F" w:rsidP="00795F6F">
      <w:pPr>
        <w:tabs>
          <w:tab w:val="left" w:pos="1134"/>
        </w:tabs>
        <w:spacing w:after="120" w:line="240" w:lineRule="auto"/>
        <w:ind w:left="1069" w:right="709"/>
        <w:jc w:val="both"/>
        <w:rPr>
          <w:rFonts w:ascii="Arial" w:eastAsia="Arial" w:hAnsi="Arial" w:cs="Arial"/>
          <w:color w:val="000000"/>
          <w:sz w:val="21"/>
          <w:szCs w:val="21"/>
        </w:rPr>
      </w:pPr>
      <w:r w:rsidRPr="00D3097B">
        <w:rPr>
          <w:rFonts w:ascii="Arial" w:eastAsia="Arial" w:hAnsi="Arial" w:cs="Arial"/>
          <w:color w:val="000000"/>
          <w:sz w:val="21"/>
          <w:szCs w:val="21"/>
        </w:rPr>
        <w:tab/>
        <w:t xml:space="preserve">Al bien o insumo que tiene la mayor participación, es decir, el que ocupa el primer lugar en el listado, le corresponderá como </w:t>
      </w:r>
      <w:r w:rsidRPr="00D3097B">
        <w:rPr>
          <w:rFonts w:ascii="Arial" w:eastAsia="Arial" w:hAnsi="Arial" w:cs="Arial"/>
          <w:b/>
          <w:i/>
          <w:color w:val="000000"/>
          <w:sz w:val="21"/>
          <w:szCs w:val="21"/>
        </w:rPr>
        <w:t>porcentaje acumulado</w:t>
      </w:r>
      <w:r w:rsidRPr="00D3097B">
        <w:rPr>
          <w:rFonts w:ascii="Arial" w:eastAsia="Arial" w:hAnsi="Arial" w:cs="Arial"/>
          <w:color w:val="000000"/>
          <w:sz w:val="21"/>
          <w:szCs w:val="21"/>
        </w:rPr>
        <w:t xml:space="preserve"> el valor asignado como </w:t>
      </w:r>
      <w:r w:rsidRPr="00D3097B">
        <w:rPr>
          <w:rFonts w:ascii="Arial" w:eastAsia="Arial" w:hAnsi="Arial" w:cs="Arial"/>
          <w:b/>
          <w:i/>
          <w:color w:val="000000"/>
          <w:sz w:val="21"/>
          <w:szCs w:val="21"/>
        </w:rPr>
        <w:t>porcentaje de participación</w:t>
      </w:r>
      <w:r w:rsidRPr="00D3097B">
        <w:rPr>
          <w:rFonts w:ascii="Arial" w:eastAsia="Arial" w:hAnsi="Arial" w:cs="Arial"/>
          <w:color w:val="000000"/>
          <w:sz w:val="21"/>
          <w:szCs w:val="21"/>
        </w:rPr>
        <w:t xml:space="preserve">. Para el segundo bien el </w:t>
      </w:r>
      <w:r w:rsidRPr="00D3097B">
        <w:rPr>
          <w:rFonts w:ascii="Arial" w:eastAsia="Arial" w:hAnsi="Arial" w:cs="Arial"/>
          <w:b/>
          <w:bCs/>
          <w:i/>
          <w:iCs/>
          <w:color w:val="000000"/>
          <w:sz w:val="21"/>
          <w:szCs w:val="21"/>
        </w:rPr>
        <w:t xml:space="preserve">porcentaje acumulado </w:t>
      </w:r>
      <w:r w:rsidRPr="00D3097B">
        <w:rPr>
          <w:rFonts w:ascii="Arial" w:eastAsia="Arial" w:hAnsi="Arial" w:cs="Arial"/>
          <w:color w:val="000000"/>
          <w:sz w:val="21"/>
          <w:szCs w:val="21"/>
        </w:rPr>
        <w:t xml:space="preserve">será la suma de su porcentaje de participación con el </w:t>
      </w:r>
      <w:r w:rsidRPr="00D3097B">
        <w:rPr>
          <w:rFonts w:ascii="Arial" w:eastAsia="Arial" w:hAnsi="Arial" w:cs="Arial"/>
          <w:b/>
          <w:bCs/>
          <w:i/>
          <w:iCs/>
          <w:color w:val="000000"/>
          <w:sz w:val="21"/>
          <w:szCs w:val="21"/>
        </w:rPr>
        <w:t>porcentaje acumulado</w:t>
      </w:r>
      <w:r w:rsidRPr="00D3097B">
        <w:rPr>
          <w:rFonts w:ascii="Arial" w:eastAsia="Arial" w:hAnsi="Arial" w:cs="Arial"/>
          <w:color w:val="000000"/>
          <w:sz w:val="21"/>
          <w:szCs w:val="21"/>
        </w:rPr>
        <w:t xml:space="preserve"> asignado al bien que lo antecede en el listado. Del mismo modo, para el tercer bien el </w:t>
      </w:r>
      <w:r w:rsidRPr="00D3097B">
        <w:rPr>
          <w:rFonts w:ascii="Arial" w:eastAsia="Arial" w:hAnsi="Arial" w:cs="Arial"/>
          <w:b/>
          <w:bCs/>
          <w:i/>
          <w:iCs/>
          <w:color w:val="000000"/>
          <w:sz w:val="21"/>
          <w:szCs w:val="21"/>
        </w:rPr>
        <w:t>porcentaje acumulado</w:t>
      </w:r>
      <w:r w:rsidRPr="00D3097B">
        <w:rPr>
          <w:rFonts w:ascii="Arial" w:eastAsia="Arial" w:hAnsi="Arial" w:cs="Arial"/>
          <w:color w:val="000000"/>
          <w:sz w:val="21"/>
          <w:szCs w:val="21"/>
        </w:rPr>
        <w:t xml:space="preserve"> será la suma de su porcentaje de participación con el </w:t>
      </w:r>
      <w:r w:rsidRPr="00D3097B">
        <w:rPr>
          <w:rFonts w:ascii="Arial" w:eastAsia="Arial" w:hAnsi="Arial" w:cs="Arial"/>
          <w:b/>
          <w:bCs/>
          <w:i/>
          <w:iCs/>
          <w:color w:val="000000"/>
          <w:sz w:val="21"/>
          <w:szCs w:val="21"/>
        </w:rPr>
        <w:t>porcentaje acumulado</w:t>
      </w:r>
      <w:r w:rsidRPr="00D3097B">
        <w:rPr>
          <w:rFonts w:ascii="Arial" w:eastAsia="Arial" w:hAnsi="Arial" w:cs="Arial"/>
          <w:color w:val="000000"/>
          <w:sz w:val="21"/>
          <w:szCs w:val="21"/>
        </w:rPr>
        <w:t xml:space="preserve"> calculado para el anterior bien, y así sucesivamente deberá procederse respecto de los demás bienes hasta completar todos los porcentajes acumulados. Para mayor claridad se aplicará la siguiente fórmula.</w:t>
      </w:r>
    </w:p>
    <w:p w14:paraId="6DDCBC07" w14:textId="77777777" w:rsidR="00795F6F" w:rsidRPr="00D3097B" w:rsidRDefault="00795F6F" w:rsidP="00795F6F">
      <w:pPr>
        <w:tabs>
          <w:tab w:val="left" w:pos="1134"/>
        </w:tabs>
        <w:spacing w:after="120" w:line="240" w:lineRule="auto"/>
        <w:ind w:left="709" w:right="709"/>
        <w:jc w:val="center"/>
        <w:rPr>
          <w:rFonts w:ascii="Arial" w:eastAsia="Arial" w:hAnsi="Arial" w:cs="Arial"/>
          <w:iCs/>
          <w:color w:val="000000"/>
          <w:sz w:val="21"/>
          <w:szCs w:val="21"/>
        </w:rPr>
      </w:pPr>
      <w:r w:rsidRPr="00D3097B">
        <w:rPr>
          <w:rFonts w:ascii="Arial" w:hAnsi="Arial" w:cs="Arial"/>
          <w:noProof/>
          <w:sz w:val="21"/>
          <w:szCs w:val="21"/>
        </w:rPr>
        <w:drawing>
          <wp:inline distT="0" distB="0" distL="0" distR="0" wp14:anchorId="6BADE703" wp14:editId="098455D4">
            <wp:extent cx="3061970" cy="510540"/>
            <wp:effectExtent l="0" t="0" r="5080" b="3810"/>
            <wp:docPr id="6" name="Imagen 6"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ibujo de una persona&#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1970" cy="510540"/>
                    </a:xfrm>
                    <a:prstGeom prst="rect">
                      <a:avLst/>
                    </a:prstGeom>
                    <a:noFill/>
                    <a:ln>
                      <a:noFill/>
                    </a:ln>
                  </pic:spPr>
                </pic:pic>
              </a:graphicData>
            </a:graphic>
          </wp:inline>
        </w:drawing>
      </w:r>
    </w:p>
    <w:p w14:paraId="4826561F" w14:textId="77777777" w:rsidR="00795F6F" w:rsidRPr="00D3097B" w:rsidRDefault="00795F6F" w:rsidP="00795F6F">
      <w:pPr>
        <w:tabs>
          <w:tab w:val="left" w:pos="1134"/>
        </w:tabs>
        <w:spacing w:after="120" w:line="240" w:lineRule="auto"/>
        <w:ind w:left="1134" w:right="709"/>
        <w:jc w:val="both"/>
        <w:rPr>
          <w:rFonts w:ascii="Arial" w:eastAsia="Arial" w:hAnsi="Arial" w:cs="Arial"/>
          <w:color w:val="000000"/>
          <w:sz w:val="21"/>
          <w:szCs w:val="21"/>
        </w:rPr>
      </w:pPr>
      <w:r w:rsidRPr="00D3097B">
        <w:rPr>
          <w:rFonts w:ascii="Arial" w:eastAsia="Arial" w:hAnsi="Arial" w:cs="Arial"/>
          <w:color w:val="000000"/>
          <w:sz w:val="21"/>
          <w:szCs w:val="21"/>
        </w:rPr>
        <w:t xml:space="preserve">Donde </w:t>
      </w:r>
      <m:oMath>
        <m:sSub>
          <m:sSubPr>
            <m:ctrlPr>
              <w:rPr>
                <w:rFonts w:ascii="Cambria Math" w:eastAsia="Arial" w:hAnsi="Cambria Math" w:cs="Arial"/>
                <w:color w:val="000000"/>
                <w:sz w:val="21"/>
                <w:szCs w:val="21"/>
              </w:rPr>
            </m:ctrlPr>
          </m:sSubPr>
          <m:e>
            <m:r>
              <w:rPr>
                <w:rFonts w:ascii="Cambria Math" w:eastAsia="Arial" w:hAnsi="Cambria Math" w:cs="Arial"/>
                <w:color w:val="000000"/>
                <w:sz w:val="21"/>
                <w:szCs w:val="21"/>
              </w:rPr>
              <m:t>participacion</m:t>
            </m:r>
            <m:r>
              <m:rPr>
                <m:sty m:val="p"/>
              </m:rPr>
              <w:rPr>
                <w:rFonts w:ascii="Cambria Math" w:eastAsia="Arial" w:hAnsi="Cambria Math" w:cs="Arial"/>
                <w:color w:val="000000"/>
                <w:sz w:val="21"/>
                <w:szCs w:val="21"/>
              </w:rPr>
              <m:t xml:space="preserve"> (%)</m:t>
            </m:r>
          </m:e>
          <m:sub>
            <m:r>
              <w:rPr>
                <w:rFonts w:ascii="Cambria Math" w:eastAsia="Arial" w:hAnsi="Cambria Math" w:cs="Arial"/>
                <w:color w:val="000000"/>
                <w:sz w:val="21"/>
                <w:szCs w:val="21"/>
              </w:rPr>
              <m:t>i</m:t>
            </m:r>
          </m:sub>
        </m:sSub>
      </m:oMath>
      <w:r w:rsidRPr="00D3097B">
        <w:rPr>
          <w:rFonts w:ascii="Arial" w:eastAsia="Arial" w:hAnsi="Arial" w:cs="Arial"/>
          <w:color w:val="000000"/>
          <w:sz w:val="21"/>
          <w:szCs w:val="21"/>
        </w:rPr>
        <w:t xml:space="preserve"> son las frecuencias acumuladas o porcentaje de participación (%) calculado.</w:t>
      </w:r>
    </w:p>
    <w:p w14:paraId="01C2CD97" w14:textId="77777777" w:rsidR="00795F6F" w:rsidRPr="00D3097B" w:rsidRDefault="00795F6F" w:rsidP="00795F6F">
      <w:pPr>
        <w:numPr>
          <w:ilvl w:val="0"/>
          <w:numId w:val="7"/>
        </w:numPr>
        <w:tabs>
          <w:tab w:val="left" w:pos="1134"/>
        </w:tabs>
        <w:spacing w:after="120" w:line="240" w:lineRule="auto"/>
        <w:ind w:left="1069" w:right="709"/>
        <w:jc w:val="both"/>
        <w:rPr>
          <w:rFonts w:ascii="Arial" w:eastAsia="Arial" w:hAnsi="Arial" w:cs="Arial"/>
          <w:iCs/>
          <w:color w:val="000000"/>
          <w:sz w:val="21"/>
          <w:szCs w:val="21"/>
        </w:rPr>
      </w:pPr>
      <w:r w:rsidRPr="00D3097B">
        <w:rPr>
          <w:rFonts w:ascii="Arial" w:eastAsia="Arial" w:hAnsi="Arial" w:cs="Arial"/>
          <w:iCs/>
          <w:color w:val="000000"/>
          <w:sz w:val="21"/>
          <w:szCs w:val="21"/>
        </w:rPr>
        <w:t>Identificar los bienes o insumos cuyo porcentaje acumulado esté dentro del ochenta por ciento (80%) o un valor aproximado por debajo.</w:t>
      </w:r>
    </w:p>
    <w:p w14:paraId="2955C3AB" w14:textId="77777777" w:rsidR="00795F6F" w:rsidRPr="00D3097B" w:rsidRDefault="00795F6F" w:rsidP="00795F6F">
      <w:pPr>
        <w:numPr>
          <w:ilvl w:val="0"/>
          <w:numId w:val="7"/>
        </w:numPr>
        <w:tabs>
          <w:tab w:val="left" w:pos="1134"/>
        </w:tabs>
        <w:spacing w:after="120" w:line="240" w:lineRule="auto"/>
        <w:ind w:left="1069" w:right="709"/>
        <w:jc w:val="both"/>
        <w:rPr>
          <w:rFonts w:ascii="Arial" w:eastAsia="Arial" w:hAnsi="Arial" w:cs="Arial"/>
          <w:iCs/>
          <w:color w:val="000000"/>
          <w:sz w:val="21"/>
          <w:szCs w:val="21"/>
        </w:rPr>
      </w:pPr>
      <w:r w:rsidRPr="00D3097B">
        <w:rPr>
          <w:rFonts w:ascii="Arial" w:eastAsia="Arial" w:hAnsi="Arial" w:cs="Arial"/>
          <w:iCs/>
          <w:color w:val="000000"/>
          <w:sz w:val="21"/>
          <w:szCs w:val="21"/>
        </w:rPr>
        <w:t xml:space="preserve">Identificar los bienes o insumos que cumplan con la condición anterior y en relación con estos se calculará el promedio de su porcentaje de participación. El promedio se calculará realizando la sumatoria de los porcentajes de participación de cada bien, resultado que luego se dividirá entre el número de bienes que se promedian. </w:t>
      </w:r>
    </w:p>
    <w:p w14:paraId="5A40383C" w14:textId="77777777" w:rsidR="00795F6F" w:rsidRPr="00D3097B" w:rsidRDefault="00795F6F" w:rsidP="00795F6F">
      <w:pPr>
        <w:numPr>
          <w:ilvl w:val="0"/>
          <w:numId w:val="7"/>
        </w:numPr>
        <w:tabs>
          <w:tab w:val="left" w:pos="1134"/>
        </w:tabs>
        <w:spacing w:after="120" w:line="240" w:lineRule="auto"/>
        <w:ind w:left="1069" w:right="709"/>
        <w:jc w:val="both"/>
        <w:rPr>
          <w:rFonts w:ascii="Arial" w:eastAsia="Arial" w:hAnsi="Arial" w:cs="Arial"/>
          <w:iCs/>
          <w:color w:val="000000"/>
          <w:sz w:val="21"/>
          <w:szCs w:val="21"/>
        </w:rPr>
      </w:pPr>
      <w:r w:rsidRPr="00D3097B">
        <w:rPr>
          <w:rFonts w:ascii="Arial" w:eastAsia="Arial" w:hAnsi="Arial" w:cs="Arial"/>
          <w:iCs/>
          <w:color w:val="000000"/>
          <w:sz w:val="21"/>
          <w:szCs w:val="21"/>
        </w:rPr>
        <w:lastRenderedPageBreak/>
        <w:t xml:space="preserve">Los bienes relevantes serán aquellos cuyo porcentaje de participación sea igual o superior al promedio calculado en el paso anterior. </w:t>
      </w:r>
    </w:p>
    <w:p w14:paraId="6CBA40B8" w14:textId="77777777" w:rsidR="00795F6F" w:rsidRPr="00D3097B" w:rsidRDefault="00795F6F" w:rsidP="00795F6F">
      <w:pPr>
        <w:numPr>
          <w:ilvl w:val="0"/>
          <w:numId w:val="7"/>
        </w:numPr>
        <w:tabs>
          <w:tab w:val="left" w:pos="1134"/>
        </w:tabs>
        <w:spacing w:after="120" w:line="240" w:lineRule="auto"/>
        <w:ind w:left="1069" w:right="709"/>
        <w:jc w:val="both"/>
        <w:rPr>
          <w:rFonts w:ascii="Arial" w:eastAsia="Arial" w:hAnsi="Arial" w:cs="Arial"/>
          <w:iCs/>
          <w:color w:val="000000"/>
          <w:sz w:val="21"/>
          <w:szCs w:val="21"/>
        </w:rPr>
      </w:pPr>
      <w:r w:rsidRPr="00D3097B">
        <w:rPr>
          <w:rFonts w:ascii="Arial" w:eastAsia="Arial" w:hAnsi="Arial" w:cs="Arial"/>
          <w:iCs/>
          <w:color w:val="000000"/>
          <w:sz w:val="21"/>
          <w:szCs w:val="21"/>
        </w:rPr>
        <w:t>Verificar si uno o varios bienes que cumplan con lo previsto en el numeral anterior se encuentran incluidos en el Registro de Productores de Bienes Nacionales, en los términos del Decreto 2680 de 2009. De estar incorporados, la Entidad Estatal verificará al momento de publicar el pliego de condiciones definitivo que el registro del bien o insumo esté vigente hasta una fecha posterior a la del cierre del proceso. Para tal efecto, se entiende por fecha del cierre la publicada en el pliego de condiciones definitivo. Verificada la fecha de registro de estos bienes estos serán los que incluya en el numeral 4.3.1 del Pliego de Condiciones.</w:t>
      </w:r>
    </w:p>
    <w:p w14:paraId="4051B467" w14:textId="77777777" w:rsidR="00795F6F" w:rsidRPr="00D3097B" w:rsidRDefault="00795F6F" w:rsidP="00795F6F">
      <w:pPr>
        <w:numPr>
          <w:ilvl w:val="0"/>
          <w:numId w:val="7"/>
        </w:numPr>
        <w:spacing w:after="120" w:line="240" w:lineRule="auto"/>
        <w:ind w:left="1069" w:right="709"/>
        <w:jc w:val="both"/>
        <w:rPr>
          <w:rFonts w:ascii="Arial" w:eastAsia="Arial" w:hAnsi="Arial" w:cs="Arial"/>
          <w:sz w:val="21"/>
          <w:szCs w:val="21"/>
        </w:rPr>
      </w:pPr>
      <w:r w:rsidRPr="00D3097B">
        <w:rPr>
          <w:rFonts w:ascii="Arial" w:eastAsia="Arial" w:hAnsi="Arial" w:cs="Arial"/>
          <w:color w:val="000000"/>
          <w:sz w:val="21"/>
          <w:szCs w:val="21"/>
        </w:rPr>
        <w:t xml:space="preserve">Si </w:t>
      </w:r>
      <w:proofErr w:type="gramStart"/>
      <w:r w:rsidRPr="00D3097B">
        <w:rPr>
          <w:rFonts w:ascii="Arial" w:eastAsia="Arial" w:hAnsi="Arial" w:cs="Arial"/>
          <w:color w:val="000000"/>
          <w:sz w:val="21"/>
          <w:szCs w:val="21"/>
        </w:rPr>
        <w:t>ninguno de los bienes relevantes están</w:t>
      </w:r>
      <w:proofErr w:type="gramEnd"/>
      <w:r w:rsidRPr="00D3097B">
        <w:rPr>
          <w:rFonts w:ascii="Arial" w:eastAsia="Arial" w:hAnsi="Arial" w:cs="Arial"/>
          <w:color w:val="000000"/>
          <w:sz w:val="21"/>
          <w:szCs w:val="21"/>
        </w:rPr>
        <w:t xml:space="preserve"> incluidos en el Registro de Productores de Bienes Nacionales, la Entidad Estatal otorgará el puntaje a los Proponentes que se comprometan a vincular un porcentaje de empleados o contratistas por prestación de servicios colombianos de al menos el </w:t>
      </w:r>
      <w:r w:rsidRPr="00D3097B">
        <w:rPr>
          <w:rFonts w:ascii="Arial" w:eastAsia="Arial" w:hAnsi="Arial" w:cs="Arial"/>
          <w:color w:val="000000"/>
          <w:sz w:val="21"/>
          <w:szCs w:val="21"/>
          <w:highlight w:val="lightGray"/>
        </w:rPr>
        <w:t>[</w:t>
      </w:r>
      <w:r w:rsidRPr="00D3097B">
        <w:rPr>
          <w:rFonts w:ascii="Arial" w:eastAsia="Arial" w:hAnsi="Arial" w:cs="Arial"/>
          <w:sz w:val="21"/>
          <w:szCs w:val="21"/>
          <w:highlight w:val="lightGray"/>
          <w:lang w:val="es-MX" w:bidi="en-US"/>
        </w:rPr>
        <w:t>l</w:t>
      </w:r>
      <w:r w:rsidRPr="00D3097B">
        <w:rPr>
          <w:rFonts w:ascii="Arial" w:eastAsia="Arial" w:hAnsi="Arial" w:cs="Arial"/>
          <w:color w:val="000000"/>
          <w:sz w:val="21"/>
          <w:szCs w:val="21"/>
          <w:highlight w:val="lightGray"/>
        </w:rPr>
        <w:t>a Entidad Estatal incluirá el porcentaje definido en el numeral 4.3.1 del documento base]</w:t>
      </w:r>
      <w:r w:rsidRPr="00D3097B">
        <w:rPr>
          <w:rFonts w:ascii="Arial" w:eastAsia="Arial" w:hAnsi="Arial" w:cs="Arial"/>
          <w:color w:val="000000"/>
          <w:sz w:val="21"/>
          <w:szCs w:val="21"/>
        </w:rPr>
        <w:t xml:space="preserve"> del personal requerido para el cumplimiento del contrato. </w:t>
      </w:r>
    </w:p>
    <w:p w14:paraId="19829A14" w14:textId="77777777" w:rsidR="00795F6F" w:rsidRPr="00D3097B" w:rsidRDefault="00795F6F" w:rsidP="00795F6F">
      <w:pPr>
        <w:autoSpaceDE w:val="0"/>
        <w:autoSpaceDN w:val="0"/>
        <w:adjustRightInd w:val="0"/>
        <w:spacing w:after="0" w:line="240" w:lineRule="auto"/>
        <w:jc w:val="both"/>
        <w:rPr>
          <w:rFonts w:ascii="Arial" w:eastAsia="Calibri" w:hAnsi="Arial" w:cs="Arial"/>
          <w:bCs/>
          <w:color w:val="000000" w:themeColor="text1"/>
          <w:lang w:val="es-ES_tradnl"/>
        </w:rPr>
      </w:pPr>
    </w:p>
    <w:p w14:paraId="425DAFC2" w14:textId="77777777" w:rsidR="00795F6F" w:rsidRPr="00D3097B" w:rsidRDefault="00795F6F" w:rsidP="00795F6F">
      <w:pPr>
        <w:widowControl w:val="0"/>
        <w:autoSpaceDE w:val="0"/>
        <w:autoSpaceDN w:val="0"/>
        <w:spacing w:after="120" w:line="276" w:lineRule="auto"/>
        <w:ind w:firstLine="709"/>
        <w:jc w:val="both"/>
        <w:rPr>
          <w:rFonts w:ascii="Arial" w:eastAsia="Calibri" w:hAnsi="Arial" w:cs="Arial"/>
          <w:bCs/>
          <w:color w:val="000000" w:themeColor="text1"/>
          <w:lang w:val="es-ES_tradnl"/>
        </w:rPr>
      </w:pPr>
      <w:r w:rsidRPr="00D3097B">
        <w:rPr>
          <w:rFonts w:ascii="Arial" w:eastAsia="Calibri" w:hAnsi="Arial" w:cs="Arial"/>
          <w:bCs/>
          <w:color w:val="000000" w:themeColor="text1"/>
          <w:lang w:val="es-ES_tradnl"/>
        </w:rPr>
        <w:t xml:space="preserve">Aplicando estos numerales las entidades estatales obligadas a observar los documentos tipo </w:t>
      </w:r>
      <w:bookmarkStart w:id="21" w:name="_Hlk89626908"/>
      <w:r w:rsidRPr="00D3097B">
        <w:rPr>
          <w:rFonts w:ascii="Arial" w:eastAsia="Calibri" w:hAnsi="Arial" w:cs="Arial"/>
          <w:bCs/>
          <w:color w:val="000000" w:themeColor="text1"/>
          <w:lang w:val="es-ES_tradnl"/>
        </w:rPr>
        <w:t>deben definir los bienes nacionales que resultan relevantes para el cumplimiento del objeto contractual, que, en cumplimiento de lo dispuesto en el Decreto 680 de 2021, son relevantes para considerar un servicio como nacional y, por tanto, para determinar la aplicabilidad del puntaje por apoyo a la industria nacional regulado por el artículo 2 de la Ley 816 de 2003</w:t>
      </w:r>
      <w:bookmarkEnd w:id="21"/>
      <w:r w:rsidRPr="00D3097B">
        <w:rPr>
          <w:rFonts w:ascii="Arial" w:eastAsia="Calibri" w:hAnsi="Arial" w:cs="Arial"/>
          <w:bCs/>
          <w:color w:val="000000" w:themeColor="text1"/>
          <w:lang w:val="es-ES_tradnl"/>
        </w:rPr>
        <w:t xml:space="preserve">. </w:t>
      </w:r>
    </w:p>
    <w:p w14:paraId="1F2C6BB0" w14:textId="77777777" w:rsidR="00795F6F" w:rsidRPr="00D3097B" w:rsidRDefault="00795F6F" w:rsidP="00795F6F">
      <w:pPr>
        <w:widowControl w:val="0"/>
        <w:autoSpaceDE w:val="0"/>
        <w:autoSpaceDN w:val="0"/>
        <w:spacing w:after="0" w:line="276" w:lineRule="auto"/>
        <w:ind w:firstLine="709"/>
        <w:jc w:val="both"/>
        <w:rPr>
          <w:rFonts w:ascii="Arial" w:eastAsia="Arial" w:hAnsi="Arial" w:cs="Arial"/>
          <w:bCs/>
          <w:lang w:eastAsia="es-ES" w:bidi="es-ES"/>
        </w:rPr>
      </w:pPr>
      <w:r w:rsidRPr="00D3097B">
        <w:rPr>
          <w:rFonts w:ascii="Arial" w:eastAsia="Calibri" w:hAnsi="Arial" w:cs="Arial"/>
          <w:bCs/>
          <w:color w:val="000000" w:themeColor="text1"/>
          <w:lang w:val="es-ES_tradnl"/>
        </w:rPr>
        <w:t xml:space="preserve">Si luego de aplicar la metodología para determinar los bienes nacionales relevantes −descrita con anterioridad− , la entidad determina uno o varios bienes nacionales relevantes para el proceso de contratación, deberá incluir la </w:t>
      </w:r>
      <w:r w:rsidRPr="00D3097B">
        <w:rPr>
          <w:rFonts w:ascii="Arial" w:eastAsia="Calibri" w:hAnsi="Arial" w:cs="Arial"/>
          <w:b/>
          <w:i/>
          <w:iCs/>
          <w:color w:val="000000" w:themeColor="text1"/>
          <w:lang w:val="es-ES_tradnl"/>
        </w:rPr>
        <w:t>opción 1</w:t>
      </w:r>
      <w:r w:rsidRPr="00D3097B">
        <w:rPr>
          <w:rFonts w:ascii="Arial" w:eastAsia="Calibri" w:hAnsi="Arial" w:cs="Arial"/>
          <w:bCs/>
          <w:color w:val="000000" w:themeColor="text1"/>
          <w:lang w:val="es-ES_tradnl"/>
        </w:rPr>
        <w:t xml:space="preserve"> del numeral </w:t>
      </w:r>
      <w:r w:rsidRPr="00D3097B">
        <w:rPr>
          <w:rFonts w:ascii="Arial" w:hAnsi="Arial" w:cs="Arial"/>
          <w:lang w:val="es-MX"/>
        </w:rPr>
        <w:t>4</w:t>
      </w:r>
      <w:r w:rsidRPr="00D3097B">
        <w:rPr>
          <w:rFonts w:ascii="Arial" w:eastAsia="Arial" w:hAnsi="Arial" w:cs="Arial"/>
          <w:bCs/>
          <w:lang w:eastAsia="es-ES" w:bidi="es-ES"/>
        </w:rPr>
        <w:t xml:space="preserve">.3.1 “Promoción de servicios nacionales o con trato nacional”, en la que se señalarán los bienes nacionales relevantes en el proceso de contratación, diligenciando una tabla con la información tomada del Registro de Productores de Bienes Nacionales, en la que se señalará: i) el bien nacional relevante, </w:t>
      </w:r>
      <w:proofErr w:type="spellStart"/>
      <w:r w:rsidRPr="00D3097B">
        <w:rPr>
          <w:rFonts w:ascii="Arial" w:eastAsia="Arial" w:hAnsi="Arial" w:cs="Arial"/>
          <w:bCs/>
          <w:lang w:eastAsia="es-ES" w:bidi="es-ES"/>
        </w:rPr>
        <w:t>ii</w:t>
      </w:r>
      <w:proofErr w:type="spellEnd"/>
      <w:r w:rsidRPr="00D3097B">
        <w:rPr>
          <w:rFonts w:ascii="Arial" w:eastAsia="Arial" w:hAnsi="Arial" w:cs="Arial"/>
          <w:bCs/>
          <w:lang w:eastAsia="es-ES" w:bidi="es-ES"/>
        </w:rPr>
        <w:t xml:space="preserve">) la fecha de inscripción, </w:t>
      </w:r>
      <w:proofErr w:type="spellStart"/>
      <w:r w:rsidRPr="00D3097B">
        <w:rPr>
          <w:rFonts w:ascii="Arial" w:eastAsia="Arial" w:hAnsi="Arial" w:cs="Arial"/>
          <w:bCs/>
          <w:lang w:eastAsia="es-ES" w:bidi="es-ES"/>
        </w:rPr>
        <w:t>iii</w:t>
      </w:r>
      <w:proofErr w:type="spellEnd"/>
      <w:r w:rsidRPr="00D3097B">
        <w:rPr>
          <w:rFonts w:ascii="Arial" w:eastAsia="Arial" w:hAnsi="Arial" w:cs="Arial"/>
          <w:bCs/>
          <w:lang w:eastAsia="es-ES" w:bidi="es-ES"/>
        </w:rPr>
        <w:t xml:space="preserve">) la fecha de vigencia, </w:t>
      </w:r>
      <w:proofErr w:type="spellStart"/>
      <w:r w:rsidRPr="00D3097B">
        <w:rPr>
          <w:rFonts w:ascii="Arial" w:eastAsia="Arial" w:hAnsi="Arial" w:cs="Arial"/>
          <w:bCs/>
          <w:lang w:eastAsia="es-ES" w:bidi="es-ES"/>
        </w:rPr>
        <w:t>iv</w:t>
      </w:r>
      <w:proofErr w:type="spellEnd"/>
      <w:r w:rsidRPr="00D3097B">
        <w:rPr>
          <w:rFonts w:ascii="Arial" w:eastAsia="Arial" w:hAnsi="Arial" w:cs="Arial"/>
          <w:bCs/>
          <w:lang w:eastAsia="es-ES" w:bidi="es-ES"/>
        </w:rPr>
        <w:t>) el número de partida arancelaria, v) el porcentaje (%) de participación del bien y vi) el puntaje individual de cada bien, de la siguiente forma:</w:t>
      </w:r>
    </w:p>
    <w:p w14:paraId="062BF9FC" w14:textId="77777777" w:rsidR="00795F6F" w:rsidRPr="00D3097B" w:rsidRDefault="00795F6F" w:rsidP="00795F6F">
      <w:pPr>
        <w:widowControl w:val="0"/>
        <w:autoSpaceDE w:val="0"/>
        <w:autoSpaceDN w:val="0"/>
        <w:spacing w:after="0" w:line="276" w:lineRule="auto"/>
        <w:ind w:firstLine="709"/>
        <w:jc w:val="both"/>
        <w:rPr>
          <w:rFonts w:ascii="Arial" w:eastAsia="Arial" w:hAnsi="Arial" w:cs="Arial"/>
          <w:bCs/>
          <w:lang w:eastAsia="es-ES" w:bidi="es-ES"/>
        </w:rPr>
      </w:pPr>
    </w:p>
    <w:p w14:paraId="6021F11E" w14:textId="77777777" w:rsidR="00795F6F" w:rsidRPr="00D3097B" w:rsidRDefault="00795F6F" w:rsidP="00795F6F">
      <w:pPr>
        <w:spacing w:after="120"/>
        <w:ind w:left="709" w:right="709"/>
        <w:jc w:val="both"/>
        <w:rPr>
          <w:rFonts w:ascii="Arial" w:hAnsi="Arial" w:cs="Arial"/>
          <w:sz w:val="21"/>
          <w:szCs w:val="21"/>
          <w:lang w:val="es-MX"/>
        </w:rPr>
      </w:pPr>
      <w:r w:rsidRPr="00D3097B">
        <w:rPr>
          <w:rFonts w:ascii="Arial" w:hAnsi="Arial" w:cs="Arial"/>
          <w:sz w:val="21"/>
          <w:szCs w:val="21"/>
          <w:highlight w:val="lightGray"/>
          <w:lang w:val="es-MX"/>
        </w:rPr>
        <w:t>[</w:t>
      </w:r>
      <w:r w:rsidRPr="00D3097B">
        <w:rPr>
          <w:rFonts w:ascii="Arial" w:hAnsi="Arial" w:cs="Arial"/>
          <w:b/>
          <w:bCs/>
          <w:sz w:val="21"/>
          <w:szCs w:val="21"/>
          <w:highlight w:val="lightGray"/>
          <w:lang w:val="es-MX"/>
        </w:rPr>
        <w:t>Opción 1.</w:t>
      </w:r>
      <w:r w:rsidRPr="00D3097B">
        <w:rPr>
          <w:rFonts w:ascii="Arial" w:hAnsi="Arial" w:cs="Arial"/>
          <w:sz w:val="21"/>
          <w:szCs w:val="21"/>
          <w:highlight w:val="lightGray"/>
          <w:lang w:val="es-MX"/>
        </w:rPr>
        <w:t xml:space="preserve"> Si la Entidad Estatal luego de aplicar la metodología para identificar los bienes nacionales relevantes prevista en la Matriz 4, determina uno o varios bienes nacionales relevantes para el Proceso de Contratación, incluirá los siguientes párrafos:]</w:t>
      </w:r>
    </w:p>
    <w:p w14:paraId="112BEB10" w14:textId="77777777" w:rsidR="00795F6F" w:rsidRPr="00D3097B" w:rsidRDefault="00795F6F" w:rsidP="00795F6F">
      <w:pPr>
        <w:spacing w:after="120"/>
        <w:ind w:left="709" w:right="709"/>
        <w:jc w:val="both"/>
        <w:rPr>
          <w:rFonts w:ascii="Arial" w:hAnsi="Arial" w:cs="Arial"/>
          <w:sz w:val="21"/>
          <w:szCs w:val="21"/>
          <w:lang w:val="es-MX"/>
        </w:rPr>
      </w:pPr>
      <w:r w:rsidRPr="00D3097B">
        <w:rPr>
          <w:rFonts w:ascii="Arial" w:hAnsi="Arial" w:cs="Arial"/>
          <w:sz w:val="21"/>
          <w:szCs w:val="21"/>
          <w:lang w:val="es-MX"/>
        </w:rPr>
        <w:t xml:space="preserve">En el presente Proceso de Contratación los bienes nacionales relevantes son: </w:t>
      </w:r>
    </w:p>
    <w:p w14:paraId="5CE56C26" w14:textId="77777777" w:rsidR="00795F6F" w:rsidRPr="00D3097B" w:rsidRDefault="00795F6F" w:rsidP="00795F6F">
      <w:pPr>
        <w:ind w:left="709" w:right="709"/>
        <w:jc w:val="both"/>
        <w:rPr>
          <w:rFonts w:ascii="Arial" w:hAnsi="Arial" w:cs="Arial"/>
          <w:sz w:val="21"/>
          <w:szCs w:val="21"/>
          <w:lang w:val="es-MX"/>
        </w:rPr>
      </w:pPr>
      <w:r w:rsidRPr="00D3097B">
        <w:rPr>
          <w:rFonts w:ascii="Arial" w:hAnsi="Arial" w:cs="Arial"/>
          <w:sz w:val="21"/>
          <w:szCs w:val="21"/>
          <w:highlight w:val="lightGray"/>
          <w:lang w:val="es-MX"/>
        </w:rPr>
        <w:lastRenderedPageBreak/>
        <w:t>[La Entidad debe diligenciar la siguiente tabla con la información tomada del Registro de Productores de Bienes Nacionales]</w:t>
      </w:r>
    </w:p>
    <w:tbl>
      <w:tblPr>
        <w:tblW w:w="569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79"/>
        <w:gridCol w:w="1063"/>
        <w:gridCol w:w="1261"/>
        <w:gridCol w:w="981"/>
        <w:gridCol w:w="1250"/>
        <w:gridCol w:w="1447"/>
        <w:gridCol w:w="1121"/>
      </w:tblGrid>
      <w:tr w:rsidR="00795F6F" w:rsidRPr="00D3097B" w14:paraId="5816BFEB" w14:textId="77777777" w:rsidTr="003C5E83">
        <w:trPr>
          <w:trHeight w:val="248"/>
          <w:tblHeader/>
          <w:jc w:val="center"/>
        </w:trPr>
        <w:tc>
          <w:tcPr>
            <w:tcW w:w="365" w:type="dxa"/>
            <w:tcBorders>
              <w:top w:val="double" w:sz="4" w:space="0" w:color="auto"/>
              <w:left w:val="double" w:sz="4" w:space="0" w:color="auto"/>
              <w:bottom w:val="single" w:sz="4" w:space="0" w:color="000000"/>
              <w:right w:val="single" w:sz="6" w:space="0" w:color="auto"/>
            </w:tcBorders>
            <w:shd w:val="clear" w:color="auto" w:fill="3B3838" w:themeFill="background2" w:themeFillShade="40"/>
            <w:vAlign w:val="center"/>
            <w:hideMark/>
          </w:tcPr>
          <w:p w14:paraId="6872D581" w14:textId="77777777" w:rsidR="00795F6F" w:rsidRPr="00D3097B" w:rsidRDefault="00795F6F" w:rsidP="00795F6F">
            <w:pPr>
              <w:jc w:val="both"/>
              <w:rPr>
                <w:rFonts w:ascii="Arial" w:hAnsi="Arial" w:cs="Arial"/>
                <w:b/>
                <w:caps/>
                <w:color w:val="FFFFFF" w:themeColor="background1"/>
                <w:sz w:val="21"/>
                <w:szCs w:val="21"/>
              </w:rPr>
            </w:pPr>
            <w:r w:rsidRPr="00D3097B">
              <w:rPr>
                <w:rFonts w:ascii="Arial" w:hAnsi="Arial" w:cs="Arial"/>
                <w:b/>
                <w:color w:val="FFFFFF" w:themeColor="background1"/>
                <w:sz w:val="21"/>
                <w:szCs w:val="21"/>
              </w:rPr>
              <w:t>No.</w:t>
            </w:r>
          </w:p>
        </w:tc>
        <w:tc>
          <w:tcPr>
            <w:tcW w:w="796"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hideMark/>
          </w:tcPr>
          <w:p w14:paraId="18759EB1" w14:textId="77777777" w:rsidR="00795F6F" w:rsidRPr="00D3097B" w:rsidRDefault="00795F6F" w:rsidP="00795F6F">
            <w:pPr>
              <w:jc w:val="both"/>
              <w:rPr>
                <w:rFonts w:ascii="Arial" w:hAnsi="Arial" w:cs="Arial"/>
                <w:b/>
                <w:caps/>
                <w:color w:val="FFFFFF" w:themeColor="background1"/>
                <w:sz w:val="21"/>
                <w:szCs w:val="21"/>
              </w:rPr>
            </w:pPr>
            <w:r w:rsidRPr="00D3097B">
              <w:rPr>
                <w:rFonts w:ascii="Arial" w:hAnsi="Arial" w:cs="Arial"/>
                <w:b/>
                <w:color w:val="FFFFFF" w:themeColor="background1"/>
                <w:sz w:val="21"/>
                <w:szCs w:val="21"/>
              </w:rPr>
              <w:t>Bien nacional relevante</w:t>
            </w:r>
          </w:p>
        </w:tc>
        <w:tc>
          <w:tcPr>
            <w:tcW w:w="942"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tcPr>
          <w:p w14:paraId="7355A432" w14:textId="77777777" w:rsidR="00795F6F" w:rsidRPr="00D3097B" w:rsidRDefault="00795F6F" w:rsidP="00795F6F">
            <w:pPr>
              <w:jc w:val="both"/>
              <w:rPr>
                <w:rFonts w:ascii="Arial" w:hAnsi="Arial" w:cs="Arial"/>
                <w:b/>
                <w:color w:val="FFFFFF" w:themeColor="background1"/>
                <w:sz w:val="21"/>
                <w:szCs w:val="21"/>
              </w:rPr>
            </w:pPr>
            <w:r w:rsidRPr="00D3097B">
              <w:rPr>
                <w:rFonts w:ascii="Arial" w:hAnsi="Arial" w:cs="Arial"/>
                <w:b/>
                <w:color w:val="FFFFFF" w:themeColor="background1"/>
                <w:sz w:val="21"/>
                <w:szCs w:val="21"/>
              </w:rPr>
              <w:t>Fecha de inscripción</w:t>
            </w:r>
          </w:p>
        </w:tc>
        <w:tc>
          <w:tcPr>
            <w:tcW w:w="736"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3788FF56" w14:textId="77777777" w:rsidR="00795F6F" w:rsidRPr="00D3097B" w:rsidRDefault="00795F6F" w:rsidP="00795F6F">
            <w:pPr>
              <w:jc w:val="both"/>
              <w:rPr>
                <w:rFonts w:ascii="Arial" w:hAnsi="Arial" w:cs="Arial"/>
                <w:b/>
                <w:color w:val="FFFFFF" w:themeColor="background1"/>
                <w:sz w:val="21"/>
                <w:szCs w:val="21"/>
              </w:rPr>
            </w:pPr>
            <w:r w:rsidRPr="00D3097B">
              <w:rPr>
                <w:rFonts w:ascii="Arial" w:hAnsi="Arial" w:cs="Arial"/>
                <w:b/>
                <w:color w:val="FFFFFF" w:themeColor="background1"/>
                <w:sz w:val="21"/>
                <w:szCs w:val="21"/>
              </w:rPr>
              <w:t>Fecha de vigencia</w:t>
            </w:r>
          </w:p>
        </w:tc>
        <w:tc>
          <w:tcPr>
            <w:tcW w:w="934"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1DB852BF" w14:textId="77777777" w:rsidR="00795F6F" w:rsidRPr="00D3097B" w:rsidRDefault="00795F6F" w:rsidP="00795F6F">
            <w:pPr>
              <w:jc w:val="both"/>
              <w:rPr>
                <w:rFonts w:ascii="Arial" w:hAnsi="Arial" w:cs="Arial"/>
                <w:b/>
                <w:color w:val="FFFFFF" w:themeColor="background1"/>
                <w:sz w:val="21"/>
                <w:szCs w:val="21"/>
              </w:rPr>
            </w:pPr>
            <w:r w:rsidRPr="00D3097B">
              <w:rPr>
                <w:rFonts w:ascii="Arial" w:hAnsi="Arial" w:cs="Arial"/>
                <w:b/>
                <w:color w:val="FFFFFF" w:themeColor="background1"/>
                <w:sz w:val="21"/>
                <w:szCs w:val="21"/>
              </w:rPr>
              <w:t>No. de partida arancelaria</w:t>
            </w:r>
          </w:p>
        </w:tc>
        <w:tc>
          <w:tcPr>
            <w:tcW w:w="1081"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vAlign w:val="center"/>
          </w:tcPr>
          <w:p w14:paraId="434B2E52" w14:textId="77777777" w:rsidR="00795F6F" w:rsidRPr="00D3097B" w:rsidRDefault="00795F6F" w:rsidP="00795F6F">
            <w:pPr>
              <w:jc w:val="both"/>
              <w:rPr>
                <w:rFonts w:ascii="Arial" w:hAnsi="Arial" w:cs="Arial"/>
                <w:b/>
                <w:color w:val="FFFFFF" w:themeColor="background1"/>
                <w:sz w:val="21"/>
                <w:szCs w:val="21"/>
              </w:rPr>
            </w:pPr>
            <w:r w:rsidRPr="00D3097B">
              <w:rPr>
                <w:rFonts w:ascii="Arial" w:hAnsi="Arial" w:cs="Arial"/>
                <w:b/>
                <w:color w:val="FFFFFF" w:themeColor="background1"/>
                <w:sz w:val="21"/>
                <w:szCs w:val="21"/>
              </w:rPr>
              <w:t>% de participación</w:t>
            </w:r>
          </w:p>
        </w:tc>
        <w:tc>
          <w:tcPr>
            <w:tcW w:w="839"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tcPr>
          <w:p w14:paraId="363CDDD3" w14:textId="77777777" w:rsidR="00795F6F" w:rsidRPr="00D3097B" w:rsidRDefault="00795F6F" w:rsidP="00795F6F">
            <w:pPr>
              <w:jc w:val="both"/>
              <w:rPr>
                <w:rFonts w:ascii="Arial" w:hAnsi="Arial" w:cs="Arial"/>
                <w:b/>
                <w:color w:val="FFFFFF" w:themeColor="background1"/>
                <w:sz w:val="21"/>
                <w:szCs w:val="21"/>
              </w:rPr>
            </w:pPr>
            <w:r w:rsidRPr="00D3097B">
              <w:rPr>
                <w:rFonts w:ascii="Arial" w:hAnsi="Arial" w:cs="Arial"/>
                <w:b/>
                <w:color w:val="FFFFFF" w:themeColor="background1"/>
                <w:sz w:val="21"/>
                <w:szCs w:val="21"/>
              </w:rPr>
              <w:t xml:space="preserve">Puntaje individual de cada bien </w:t>
            </w:r>
          </w:p>
        </w:tc>
      </w:tr>
      <w:tr w:rsidR="00795F6F" w:rsidRPr="00D3097B" w14:paraId="15648B52" w14:textId="77777777" w:rsidTr="003C5E83">
        <w:trPr>
          <w:trHeight w:val="177"/>
          <w:tblHeader/>
          <w:jc w:val="center"/>
        </w:trPr>
        <w:tc>
          <w:tcPr>
            <w:tcW w:w="365" w:type="dxa"/>
            <w:tcBorders>
              <w:top w:val="single" w:sz="4" w:space="0" w:color="000000"/>
              <w:left w:val="double" w:sz="4" w:space="0" w:color="auto"/>
              <w:right w:val="single" w:sz="6" w:space="0" w:color="auto"/>
            </w:tcBorders>
            <w:shd w:val="clear" w:color="auto" w:fill="auto"/>
            <w:vAlign w:val="center"/>
          </w:tcPr>
          <w:p w14:paraId="7BCD7328" w14:textId="77777777" w:rsidR="00795F6F" w:rsidRPr="00D3097B" w:rsidRDefault="00795F6F" w:rsidP="00795F6F">
            <w:pPr>
              <w:jc w:val="both"/>
              <w:rPr>
                <w:rFonts w:ascii="Arial" w:hAnsi="Arial" w:cs="Arial"/>
                <w:caps/>
                <w:sz w:val="21"/>
                <w:szCs w:val="21"/>
              </w:rPr>
            </w:pPr>
            <w:r w:rsidRPr="00D3097B">
              <w:rPr>
                <w:rFonts w:ascii="Arial" w:hAnsi="Arial" w:cs="Arial"/>
                <w:caps/>
                <w:sz w:val="21"/>
                <w:szCs w:val="21"/>
              </w:rPr>
              <w:t>1.</w:t>
            </w:r>
          </w:p>
        </w:tc>
        <w:tc>
          <w:tcPr>
            <w:tcW w:w="796" w:type="dxa"/>
            <w:tcBorders>
              <w:top w:val="single" w:sz="4" w:space="0" w:color="000000"/>
              <w:left w:val="single" w:sz="6" w:space="0" w:color="auto"/>
              <w:right w:val="single" w:sz="4" w:space="0" w:color="000000"/>
            </w:tcBorders>
            <w:shd w:val="clear" w:color="auto" w:fill="auto"/>
            <w:vAlign w:val="center"/>
          </w:tcPr>
          <w:p w14:paraId="13C7CF1A" w14:textId="77777777" w:rsidR="00795F6F" w:rsidRPr="00D3097B" w:rsidRDefault="00795F6F" w:rsidP="00795F6F">
            <w:pPr>
              <w:jc w:val="both"/>
              <w:rPr>
                <w:rFonts w:ascii="Arial" w:hAnsi="Arial" w:cs="Arial"/>
                <w:b/>
                <w:color w:val="FFFFFF" w:themeColor="background1"/>
                <w:sz w:val="21"/>
                <w:szCs w:val="21"/>
              </w:rPr>
            </w:pPr>
          </w:p>
        </w:tc>
        <w:tc>
          <w:tcPr>
            <w:tcW w:w="942" w:type="dxa"/>
            <w:tcBorders>
              <w:top w:val="single" w:sz="4" w:space="0" w:color="000000"/>
              <w:left w:val="single" w:sz="6" w:space="0" w:color="auto"/>
              <w:right w:val="single" w:sz="4" w:space="0" w:color="000000"/>
            </w:tcBorders>
            <w:shd w:val="clear" w:color="auto" w:fill="auto"/>
          </w:tcPr>
          <w:p w14:paraId="7360DECD" w14:textId="77777777" w:rsidR="00795F6F" w:rsidRPr="00D3097B" w:rsidRDefault="00795F6F" w:rsidP="00795F6F">
            <w:pPr>
              <w:jc w:val="both"/>
              <w:rPr>
                <w:rFonts w:ascii="Arial" w:hAnsi="Arial" w:cs="Arial"/>
                <w:b/>
                <w:color w:val="FFFFFF" w:themeColor="background1"/>
                <w:sz w:val="21"/>
                <w:szCs w:val="21"/>
              </w:rPr>
            </w:pPr>
          </w:p>
        </w:tc>
        <w:tc>
          <w:tcPr>
            <w:tcW w:w="736" w:type="dxa"/>
            <w:tcBorders>
              <w:top w:val="single" w:sz="4" w:space="0" w:color="000000"/>
              <w:left w:val="single" w:sz="4" w:space="0" w:color="000000"/>
              <w:right w:val="single" w:sz="4" w:space="0" w:color="000000"/>
            </w:tcBorders>
            <w:shd w:val="clear" w:color="auto" w:fill="auto"/>
          </w:tcPr>
          <w:p w14:paraId="66504DD0" w14:textId="77777777" w:rsidR="00795F6F" w:rsidRPr="00D3097B" w:rsidRDefault="00795F6F" w:rsidP="00795F6F">
            <w:pPr>
              <w:jc w:val="both"/>
              <w:rPr>
                <w:rFonts w:ascii="Arial" w:hAnsi="Arial" w:cs="Arial"/>
                <w:b/>
                <w:color w:val="FFFFFF" w:themeColor="background1"/>
                <w:sz w:val="21"/>
                <w:szCs w:val="21"/>
              </w:rPr>
            </w:pPr>
          </w:p>
        </w:tc>
        <w:tc>
          <w:tcPr>
            <w:tcW w:w="934" w:type="dxa"/>
            <w:tcBorders>
              <w:top w:val="single" w:sz="4" w:space="0" w:color="000000"/>
              <w:left w:val="single" w:sz="4" w:space="0" w:color="000000"/>
              <w:right w:val="single" w:sz="4" w:space="0" w:color="000000"/>
            </w:tcBorders>
            <w:shd w:val="clear" w:color="auto" w:fill="auto"/>
          </w:tcPr>
          <w:p w14:paraId="31C621C5" w14:textId="77777777" w:rsidR="00795F6F" w:rsidRPr="00D3097B" w:rsidRDefault="00795F6F" w:rsidP="00795F6F">
            <w:pPr>
              <w:jc w:val="both"/>
              <w:rPr>
                <w:rFonts w:ascii="Arial" w:hAnsi="Arial" w:cs="Arial"/>
                <w:b/>
                <w:color w:val="FFFFFF" w:themeColor="background1"/>
                <w:sz w:val="21"/>
                <w:szCs w:val="21"/>
              </w:rPr>
            </w:pPr>
          </w:p>
        </w:tc>
        <w:tc>
          <w:tcPr>
            <w:tcW w:w="1081" w:type="dxa"/>
            <w:tcBorders>
              <w:top w:val="single" w:sz="4" w:space="0" w:color="000000"/>
              <w:left w:val="single" w:sz="4" w:space="0" w:color="000000"/>
              <w:right w:val="double" w:sz="4" w:space="0" w:color="auto"/>
            </w:tcBorders>
            <w:shd w:val="clear" w:color="auto" w:fill="auto"/>
          </w:tcPr>
          <w:p w14:paraId="190A4A0D" w14:textId="77777777" w:rsidR="00795F6F" w:rsidRPr="00D3097B" w:rsidRDefault="00795F6F" w:rsidP="00795F6F">
            <w:pPr>
              <w:jc w:val="both"/>
              <w:rPr>
                <w:rFonts w:ascii="Arial" w:hAnsi="Arial" w:cs="Arial"/>
                <w:b/>
                <w:color w:val="FFFFFF" w:themeColor="background1"/>
                <w:sz w:val="21"/>
                <w:szCs w:val="21"/>
              </w:rPr>
            </w:pPr>
          </w:p>
        </w:tc>
        <w:tc>
          <w:tcPr>
            <w:tcW w:w="839" w:type="dxa"/>
            <w:tcBorders>
              <w:top w:val="single" w:sz="4" w:space="0" w:color="000000"/>
              <w:left w:val="single" w:sz="4" w:space="0" w:color="000000"/>
              <w:right w:val="double" w:sz="4" w:space="0" w:color="auto"/>
            </w:tcBorders>
          </w:tcPr>
          <w:p w14:paraId="3AC79323" w14:textId="77777777" w:rsidR="00795F6F" w:rsidRPr="00D3097B" w:rsidRDefault="00795F6F" w:rsidP="00795F6F">
            <w:pPr>
              <w:jc w:val="both"/>
              <w:rPr>
                <w:rFonts w:ascii="Arial" w:hAnsi="Arial" w:cs="Arial"/>
                <w:b/>
                <w:color w:val="FFFFFF" w:themeColor="background1"/>
                <w:sz w:val="21"/>
                <w:szCs w:val="21"/>
              </w:rPr>
            </w:pPr>
          </w:p>
        </w:tc>
      </w:tr>
      <w:tr w:rsidR="00795F6F" w:rsidRPr="00D3097B" w14:paraId="2935BAFD" w14:textId="77777777" w:rsidTr="003C5E83">
        <w:trPr>
          <w:trHeight w:val="193"/>
          <w:tblHeader/>
          <w:jc w:val="center"/>
        </w:trPr>
        <w:tc>
          <w:tcPr>
            <w:tcW w:w="365" w:type="dxa"/>
            <w:tcBorders>
              <w:top w:val="double" w:sz="4" w:space="0" w:color="auto"/>
              <w:left w:val="double" w:sz="4" w:space="0" w:color="auto"/>
              <w:bottom w:val="double" w:sz="4" w:space="0" w:color="auto"/>
              <w:right w:val="single" w:sz="6" w:space="0" w:color="auto"/>
            </w:tcBorders>
            <w:shd w:val="clear" w:color="auto" w:fill="auto"/>
            <w:vAlign w:val="center"/>
          </w:tcPr>
          <w:p w14:paraId="4D4187F4" w14:textId="77777777" w:rsidR="00795F6F" w:rsidRPr="00D3097B" w:rsidRDefault="00795F6F" w:rsidP="00795F6F">
            <w:pPr>
              <w:jc w:val="both"/>
              <w:rPr>
                <w:rFonts w:ascii="Arial" w:hAnsi="Arial" w:cs="Arial"/>
                <w:b/>
                <w:color w:val="FFFFFF" w:themeColor="background1"/>
                <w:sz w:val="21"/>
                <w:szCs w:val="21"/>
              </w:rPr>
            </w:pPr>
            <w:r w:rsidRPr="00D3097B">
              <w:rPr>
                <w:rFonts w:ascii="Arial" w:hAnsi="Arial" w:cs="Arial"/>
                <w:caps/>
                <w:sz w:val="21"/>
                <w:szCs w:val="21"/>
              </w:rPr>
              <w:t>2.</w:t>
            </w:r>
          </w:p>
        </w:tc>
        <w:tc>
          <w:tcPr>
            <w:tcW w:w="796" w:type="dxa"/>
            <w:tcBorders>
              <w:top w:val="double" w:sz="4" w:space="0" w:color="auto"/>
              <w:left w:val="single" w:sz="6" w:space="0" w:color="auto"/>
              <w:bottom w:val="double" w:sz="4" w:space="0" w:color="auto"/>
              <w:right w:val="single" w:sz="4" w:space="0" w:color="000000"/>
            </w:tcBorders>
            <w:shd w:val="clear" w:color="auto" w:fill="auto"/>
            <w:vAlign w:val="center"/>
          </w:tcPr>
          <w:p w14:paraId="66097A33" w14:textId="77777777" w:rsidR="00795F6F" w:rsidRPr="00D3097B" w:rsidRDefault="00795F6F" w:rsidP="00795F6F">
            <w:pPr>
              <w:jc w:val="both"/>
              <w:rPr>
                <w:rFonts w:ascii="Arial" w:hAnsi="Arial" w:cs="Arial"/>
                <w:b/>
                <w:color w:val="FFFFFF" w:themeColor="background1"/>
                <w:sz w:val="21"/>
                <w:szCs w:val="21"/>
              </w:rPr>
            </w:pPr>
          </w:p>
        </w:tc>
        <w:tc>
          <w:tcPr>
            <w:tcW w:w="942" w:type="dxa"/>
            <w:tcBorders>
              <w:top w:val="double" w:sz="4" w:space="0" w:color="auto"/>
              <w:left w:val="single" w:sz="6" w:space="0" w:color="auto"/>
              <w:bottom w:val="double" w:sz="4" w:space="0" w:color="auto"/>
              <w:right w:val="single" w:sz="4" w:space="0" w:color="000000"/>
            </w:tcBorders>
            <w:shd w:val="clear" w:color="auto" w:fill="auto"/>
          </w:tcPr>
          <w:p w14:paraId="14A1D936" w14:textId="77777777" w:rsidR="00795F6F" w:rsidRPr="00D3097B" w:rsidRDefault="00795F6F" w:rsidP="00795F6F">
            <w:pPr>
              <w:jc w:val="both"/>
              <w:rPr>
                <w:rFonts w:ascii="Arial" w:hAnsi="Arial" w:cs="Arial"/>
                <w:b/>
                <w:color w:val="FFFFFF" w:themeColor="background1"/>
                <w:sz w:val="21"/>
                <w:szCs w:val="21"/>
              </w:rPr>
            </w:pPr>
          </w:p>
        </w:tc>
        <w:tc>
          <w:tcPr>
            <w:tcW w:w="736" w:type="dxa"/>
            <w:tcBorders>
              <w:top w:val="double" w:sz="4" w:space="0" w:color="auto"/>
              <w:left w:val="single" w:sz="4" w:space="0" w:color="000000"/>
              <w:bottom w:val="double" w:sz="4" w:space="0" w:color="auto"/>
              <w:right w:val="single" w:sz="4" w:space="0" w:color="000000"/>
            </w:tcBorders>
            <w:shd w:val="clear" w:color="auto" w:fill="auto"/>
          </w:tcPr>
          <w:p w14:paraId="2016A890" w14:textId="77777777" w:rsidR="00795F6F" w:rsidRPr="00D3097B" w:rsidRDefault="00795F6F" w:rsidP="00795F6F">
            <w:pPr>
              <w:jc w:val="both"/>
              <w:rPr>
                <w:rFonts w:ascii="Arial" w:hAnsi="Arial" w:cs="Arial"/>
                <w:b/>
                <w:color w:val="FFFFFF" w:themeColor="background1"/>
                <w:sz w:val="21"/>
                <w:szCs w:val="21"/>
              </w:rPr>
            </w:pPr>
          </w:p>
        </w:tc>
        <w:tc>
          <w:tcPr>
            <w:tcW w:w="934" w:type="dxa"/>
            <w:tcBorders>
              <w:top w:val="double" w:sz="4" w:space="0" w:color="auto"/>
              <w:left w:val="single" w:sz="4" w:space="0" w:color="000000"/>
              <w:bottom w:val="double" w:sz="4" w:space="0" w:color="auto"/>
              <w:right w:val="double" w:sz="4" w:space="0" w:color="auto"/>
            </w:tcBorders>
            <w:shd w:val="clear" w:color="auto" w:fill="auto"/>
          </w:tcPr>
          <w:p w14:paraId="204D5BC7" w14:textId="77777777" w:rsidR="00795F6F" w:rsidRPr="00D3097B" w:rsidRDefault="00795F6F" w:rsidP="00795F6F">
            <w:pPr>
              <w:jc w:val="both"/>
              <w:rPr>
                <w:rFonts w:ascii="Arial" w:hAnsi="Arial" w:cs="Arial"/>
                <w:b/>
                <w:color w:val="FFFFFF" w:themeColor="background1"/>
                <w:sz w:val="21"/>
                <w:szCs w:val="21"/>
              </w:rPr>
            </w:pPr>
          </w:p>
        </w:tc>
        <w:tc>
          <w:tcPr>
            <w:tcW w:w="1081" w:type="dxa"/>
            <w:tcBorders>
              <w:top w:val="double" w:sz="4" w:space="0" w:color="auto"/>
              <w:left w:val="single" w:sz="4" w:space="0" w:color="000000"/>
              <w:bottom w:val="double" w:sz="4" w:space="0" w:color="auto"/>
              <w:right w:val="double" w:sz="4" w:space="0" w:color="auto"/>
            </w:tcBorders>
            <w:shd w:val="clear" w:color="auto" w:fill="auto"/>
          </w:tcPr>
          <w:p w14:paraId="52C6B55D" w14:textId="77777777" w:rsidR="00795F6F" w:rsidRPr="00D3097B" w:rsidRDefault="00795F6F" w:rsidP="00795F6F">
            <w:pPr>
              <w:jc w:val="both"/>
              <w:rPr>
                <w:rFonts w:ascii="Arial" w:hAnsi="Arial" w:cs="Arial"/>
                <w:b/>
                <w:color w:val="FFFFFF" w:themeColor="background1"/>
                <w:sz w:val="21"/>
                <w:szCs w:val="21"/>
              </w:rPr>
            </w:pPr>
          </w:p>
        </w:tc>
        <w:tc>
          <w:tcPr>
            <w:tcW w:w="839" w:type="dxa"/>
            <w:tcBorders>
              <w:top w:val="double" w:sz="4" w:space="0" w:color="auto"/>
              <w:left w:val="single" w:sz="4" w:space="0" w:color="000000"/>
              <w:bottom w:val="double" w:sz="4" w:space="0" w:color="auto"/>
              <w:right w:val="double" w:sz="4" w:space="0" w:color="auto"/>
            </w:tcBorders>
          </w:tcPr>
          <w:p w14:paraId="2C2882FC" w14:textId="77777777" w:rsidR="00795F6F" w:rsidRPr="00D3097B" w:rsidRDefault="00795F6F" w:rsidP="00795F6F">
            <w:pPr>
              <w:jc w:val="both"/>
              <w:rPr>
                <w:rFonts w:ascii="Arial" w:hAnsi="Arial" w:cs="Arial"/>
                <w:b/>
                <w:color w:val="FFFFFF" w:themeColor="background1"/>
                <w:sz w:val="21"/>
                <w:szCs w:val="21"/>
              </w:rPr>
            </w:pPr>
          </w:p>
        </w:tc>
      </w:tr>
      <w:tr w:rsidR="00795F6F" w:rsidRPr="00D3097B" w14:paraId="13858C50" w14:textId="77777777" w:rsidTr="003C5E83">
        <w:trPr>
          <w:trHeight w:val="193"/>
          <w:tblHeader/>
          <w:jc w:val="center"/>
        </w:trPr>
        <w:tc>
          <w:tcPr>
            <w:tcW w:w="365" w:type="dxa"/>
            <w:tcBorders>
              <w:top w:val="double" w:sz="4" w:space="0" w:color="auto"/>
              <w:left w:val="double" w:sz="4" w:space="0" w:color="auto"/>
              <w:bottom w:val="double" w:sz="4" w:space="0" w:color="auto"/>
              <w:right w:val="single" w:sz="6" w:space="0" w:color="auto"/>
            </w:tcBorders>
            <w:shd w:val="clear" w:color="auto" w:fill="auto"/>
            <w:vAlign w:val="center"/>
          </w:tcPr>
          <w:p w14:paraId="0D5353A8" w14:textId="77777777" w:rsidR="00795F6F" w:rsidRPr="00D3097B" w:rsidRDefault="00795F6F" w:rsidP="00795F6F">
            <w:pPr>
              <w:jc w:val="both"/>
              <w:rPr>
                <w:rFonts w:ascii="Arial" w:hAnsi="Arial" w:cs="Arial"/>
                <w:caps/>
                <w:sz w:val="21"/>
                <w:szCs w:val="21"/>
              </w:rPr>
            </w:pPr>
            <w:r w:rsidRPr="00D3097B">
              <w:rPr>
                <w:rFonts w:ascii="Arial" w:hAnsi="Arial" w:cs="Arial"/>
                <w:caps/>
                <w:sz w:val="21"/>
                <w:szCs w:val="21"/>
              </w:rPr>
              <w:t>3</w:t>
            </w:r>
          </w:p>
        </w:tc>
        <w:tc>
          <w:tcPr>
            <w:tcW w:w="796" w:type="dxa"/>
            <w:tcBorders>
              <w:top w:val="double" w:sz="4" w:space="0" w:color="auto"/>
              <w:left w:val="single" w:sz="6" w:space="0" w:color="auto"/>
              <w:bottom w:val="double" w:sz="4" w:space="0" w:color="auto"/>
              <w:right w:val="single" w:sz="4" w:space="0" w:color="000000"/>
            </w:tcBorders>
            <w:shd w:val="clear" w:color="auto" w:fill="auto"/>
            <w:vAlign w:val="center"/>
          </w:tcPr>
          <w:p w14:paraId="50BCFC0B" w14:textId="77777777" w:rsidR="00795F6F" w:rsidRPr="00D3097B" w:rsidRDefault="00795F6F" w:rsidP="00795F6F">
            <w:pPr>
              <w:jc w:val="both"/>
              <w:rPr>
                <w:rFonts w:ascii="Arial" w:hAnsi="Arial" w:cs="Arial"/>
                <w:b/>
                <w:color w:val="FFFFFF" w:themeColor="background1"/>
                <w:sz w:val="21"/>
                <w:szCs w:val="21"/>
              </w:rPr>
            </w:pPr>
          </w:p>
        </w:tc>
        <w:tc>
          <w:tcPr>
            <w:tcW w:w="942" w:type="dxa"/>
            <w:tcBorders>
              <w:top w:val="double" w:sz="4" w:space="0" w:color="auto"/>
              <w:left w:val="single" w:sz="6" w:space="0" w:color="auto"/>
              <w:bottom w:val="double" w:sz="4" w:space="0" w:color="auto"/>
              <w:right w:val="single" w:sz="4" w:space="0" w:color="000000"/>
            </w:tcBorders>
            <w:shd w:val="clear" w:color="auto" w:fill="auto"/>
          </w:tcPr>
          <w:p w14:paraId="7D1E0BAF" w14:textId="77777777" w:rsidR="00795F6F" w:rsidRPr="00D3097B" w:rsidRDefault="00795F6F" w:rsidP="00795F6F">
            <w:pPr>
              <w:jc w:val="both"/>
              <w:rPr>
                <w:rFonts w:ascii="Arial" w:hAnsi="Arial" w:cs="Arial"/>
                <w:b/>
                <w:color w:val="FFFFFF" w:themeColor="background1"/>
                <w:sz w:val="21"/>
                <w:szCs w:val="21"/>
              </w:rPr>
            </w:pPr>
          </w:p>
        </w:tc>
        <w:tc>
          <w:tcPr>
            <w:tcW w:w="736" w:type="dxa"/>
            <w:tcBorders>
              <w:top w:val="double" w:sz="4" w:space="0" w:color="auto"/>
              <w:left w:val="single" w:sz="4" w:space="0" w:color="000000"/>
              <w:bottom w:val="double" w:sz="4" w:space="0" w:color="auto"/>
              <w:right w:val="single" w:sz="4" w:space="0" w:color="000000"/>
            </w:tcBorders>
            <w:shd w:val="clear" w:color="auto" w:fill="auto"/>
          </w:tcPr>
          <w:p w14:paraId="04B322AD" w14:textId="77777777" w:rsidR="00795F6F" w:rsidRPr="00D3097B" w:rsidRDefault="00795F6F" w:rsidP="00795F6F">
            <w:pPr>
              <w:jc w:val="both"/>
              <w:rPr>
                <w:rFonts w:ascii="Arial" w:hAnsi="Arial" w:cs="Arial"/>
                <w:b/>
                <w:color w:val="FFFFFF" w:themeColor="background1"/>
                <w:sz w:val="21"/>
                <w:szCs w:val="21"/>
              </w:rPr>
            </w:pPr>
          </w:p>
        </w:tc>
        <w:tc>
          <w:tcPr>
            <w:tcW w:w="934" w:type="dxa"/>
            <w:tcBorders>
              <w:top w:val="double" w:sz="4" w:space="0" w:color="auto"/>
              <w:left w:val="single" w:sz="4" w:space="0" w:color="000000"/>
              <w:bottom w:val="double" w:sz="4" w:space="0" w:color="auto"/>
              <w:right w:val="double" w:sz="4" w:space="0" w:color="auto"/>
            </w:tcBorders>
            <w:shd w:val="clear" w:color="auto" w:fill="auto"/>
          </w:tcPr>
          <w:p w14:paraId="6746021D" w14:textId="77777777" w:rsidR="00795F6F" w:rsidRPr="00D3097B" w:rsidRDefault="00795F6F" w:rsidP="00795F6F">
            <w:pPr>
              <w:jc w:val="both"/>
              <w:rPr>
                <w:rFonts w:ascii="Arial" w:hAnsi="Arial" w:cs="Arial"/>
                <w:b/>
                <w:color w:val="FFFFFF" w:themeColor="background1"/>
                <w:sz w:val="21"/>
                <w:szCs w:val="21"/>
              </w:rPr>
            </w:pPr>
          </w:p>
        </w:tc>
        <w:tc>
          <w:tcPr>
            <w:tcW w:w="1081" w:type="dxa"/>
            <w:tcBorders>
              <w:top w:val="double" w:sz="4" w:space="0" w:color="auto"/>
              <w:left w:val="single" w:sz="4" w:space="0" w:color="000000"/>
              <w:bottom w:val="double" w:sz="4" w:space="0" w:color="auto"/>
              <w:right w:val="double" w:sz="4" w:space="0" w:color="auto"/>
            </w:tcBorders>
            <w:shd w:val="clear" w:color="auto" w:fill="auto"/>
          </w:tcPr>
          <w:p w14:paraId="03CC0661" w14:textId="77777777" w:rsidR="00795F6F" w:rsidRPr="00D3097B" w:rsidRDefault="00795F6F" w:rsidP="00795F6F">
            <w:pPr>
              <w:jc w:val="both"/>
              <w:rPr>
                <w:rFonts w:ascii="Arial" w:hAnsi="Arial" w:cs="Arial"/>
                <w:b/>
                <w:color w:val="FFFFFF" w:themeColor="background1"/>
                <w:sz w:val="21"/>
                <w:szCs w:val="21"/>
              </w:rPr>
            </w:pPr>
          </w:p>
        </w:tc>
        <w:tc>
          <w:tcPr>
            <w:tcW w:w="839" w:type="dxa"/>
            <w:tcBorders>
              <w:top w:val="double" w:sz="4" w:space="0" w:color="auto"/>
              <w:left w:val="single" w:sz="4" w:space="0" w:color="000000"/>
              <w:bottom w:val="double" w:sz="4" w:space="0" w:color="auto"/>
              <w:right w:val="double" w:sz="4" w:space="0" w:color="auto"/>
            </w:tcBorders>
          </w:tcPr>
          <w:p w14:paraId="451D63AC" w14:textId="77777777" w:rsidR="00795F6F" w:rsidRPr="00D3097B" w:rsidRDefault="00795F6F" w:rsidP="00795F6F">
            <w:pPr>
              <w:jc w:val="both"/>
              <w:rPr>
                <w:rFonts w:ascii="Arial" w:hAnsi="Arial" w:cs="Arial"/>
                <w:b/>
                <w:color w:val="FFFFFF" w:themeColor="background1"/>
                <w:sz w:val="21"/>
                <w:szCs w:val="21"/>
              </w:rPr>
            </w:pPr>
          </w:p>
        </w:tc>
      </w:tr>
      <w:tr w:rsidR="00795F6F" w:rsidRPr="00D3097B" w14:paraId="1EE0DAB7" w14:textId="77777777" w:rsidTr="003C5E83">
        <w:trPr>
          <w:trHeight w:val="36"/>
          <w:tblHeader/>
          <w:jc w:val="center"/>
        </w:trPr>
        <w:tc>
          <w:tcPr>
            <w:tcW w:w="365" w:type="dxa"/>
            <w:tcBorders>
              <w:top w:val="double" w:sz="4" w:space="0" w:color="auto"/>
              <w:left w:val="double" w:sz="4" w:space="0" w:color="auto"/>
              <w:right w:val="single" w:sz="6" w:space="0" w:color="auto"/>
            </w:tcBorders>
            <w:shd w:val="clear" w:color="auto" w:fill="auto"/>
            <w:vAlign w:val="center"/>
          </w:tcPr>
          <w:p w14:paraId="05648FD7" w14:textId="77777777" w:rsidR="00795F6F" w:rsidRPr="00D3097B" w:rsidRDefault="00795F6F" w:rsidP="00795F6F">
            <w:pPr>
              <w:jc w:val="both"/>
              <w:rPr>
                <w:rFonts w:ascii="Arial" w:hAnsi="Arial" w:cs="Arial"/>
                <w:caps/>
                <w:sz w:val="21"/>
                <w:szCs w:val="21"/>
              </w:rPr>
            </w:pPr>
            <w:r w:rsidRPr="00D3097B">
              <w:rPr>
                <w:rFonts w:ascii="Arial" w:hAnsi="Arial" w:cs="Arial"/>
                <w:caps/>
                <w:sz w:val="21"/>
                <w:szCs w:val="21"/>
              </w:rPr>
              <w:t>4</w:t>
            </w:r>
          </w:p>
        </w:tc>
        <w:tc>
          <w:tcPr>
            <w:tcW w:w="796" w:type="dxa"/>
            <w:tcBorders>
              <w:top w:val="double" w:sz="4" w:space="0" w:color="auto"/>
              <w:left w:val="single" w:sz="6" w:space="0" w:color="auto"/>
              <w:right w:val="single" w:sz="4" w:space="0" w:color="000000"/>
            </w:tcBorders>
            <w:shd w:val="clear" w:color="auto" w:fill="auto"/>
            <w:vAlign w:val="center"/>
          </w:tcPr>
          <w:p w14:paraId="7DEED61C" w14:textId="77777777" w:rsidR="00795F6F" w:rsidRPr="00D3097B" w:rsidRDefault="00795F6F" w:rsidP="00795F6F">
            <w:pPr>
              <w:jc w:val="both"/>
              <w:rPr>
                <w:rFonts w:ascii="Arial" w:hAnsi="Arial" w:cs="Arial"/>
                <w:b/>
                <w:i/>
                <w:color w:val="FFFFFF" w:themeColor="background1"/>
                <w:sz w:val="21"/>
                <w:szCs w:val="21"/>
              </w:rPr>
            </w:pPr>
          </w:p>
        </w:tc>
        <w:tc>
          <w:tcPr>
            <w:tcW w:w="942" w:type="dxa"/>
            <w:tcBorders>
              <w:top w:val="double" w:sz="4" w:space="0" w:color="auto"/>
              <w:left w:val="single" w:sz="6" w:space="0" w:color="auto"/>
              <w:right w:val="single" w:sz="4" w:space="0" w:color="000000"/>
            </w:tcBorders>
            <w:shd w:val="clear" w:color="auto" w:fill="auto"/>
          </w:tcPr>
          <w:p w14:paraId="4E98FA6A" w14:textId="77777777" w:rsidR="00795F6F" w:rsidRPr="00D3097B" w:rsidRDefault="00795F6F" w:rsidP="00795F6F">
            <w:pPr>
              <w:jc w:val="both"/>
              <w:rPr>
                <w:rFonts w:ascii="Arial" w:hAnsi="Arial" w:cs="Arial"/>
                <w:b/>
                <w:i/>
                <w:color w:val="FFFFFF" w:themeColor="background1"/>
                <w:sz w:val="21"/>
                <w:szCs w:val="21"/>
              </w:rPr>
            </w:pPr>
          </w:p>
        </w:tc>
        <w:tc>
          <w:tcPr>
            <w:tcW w:w="736" w:type="dxa"/>
            <w:tcBorders>
              <w:top w:val="double" w:sz="4" w:space="0" w:color="auto"/>
              <w:left w:val="single" w:sz="4" w:space="0" w:color="000000"/>
              <w:right w:val="single" w:sz="4" w:space="0" w:color="000000"/>
            </w:tcBorders>
            <w:shd w:val="clear" w:color="auto" w:fill="auto"/>
          </w:tcPr>
          <w:p w14:paraId="5DCB934A" w14:textId="77777777" w:rsidR="00795F6F" w:rsidRPr="00D3097B" w:rsidRDefault="00795F6F" w:rsidP="00795F6F">
            <w:pPr>
              <w:jc w:val="both"/>
              <w:rPr>
                <w:rFonts w:ascii="Arial" w:hAnsi="Arial" w:cs="Arial"/>
                <w:b/>
                <w:i/>
                <w:color w:val="FFFFFF" w:themeColor="background1"/>
                <w:sz w:val="21"/>
                <w:szCs w:val="21"/>
              </w:rPr>
            </w:pPr>
          </w:p>
        </w:tc>
        <w:tc>
          <w:tcPr>
            <w:tcW w:w="934" w:type="dxa"/>
            <w:tcBorders>
              <w:top w:val="double" w:sz="4" w:space="0" w:color="auto"/>
              <w:left w:val="single" w:sz="4" w:space="0" w:color="000000"/>
              <w:right w:val="double" w:sz="4" w:space="0" w:color="auto"/>
            </w:tcBorders>
            <w:shd w:val="clear" w:color="auto" w:fill="auto"/>
          </w:tcPr>
          <w:p w14:paraId="65DE7577" w14:textId="77777777" w:rsidR="00795F6F" w:rsidRPr="00D3097B" w:rsidRDefault="00795F6F" w:rsidP="00795F6F">
            <w:pPr>
              <w:jc w:val="both"/>
              <w:rPr>
                <w:rFonts w:ascii="Arial" w:hAnsi="Arial" w:cs="Arial"/>
                <w:b/>
                <w:i/>
                <w:color w:val="FFFFFF" w:themeColor="background1"/>
                <w:sz w:val="21"/>
                <w:szCs w:val="21"/>
              </w:rPr>
            </w:pPr>
          </w:p>
        </w:tc>
        <w:tc>
          <w:tcPr>
            <w:tcW w:w="1081" w:type="dxa"/>
            <w:tcBorders>
              <w:top w:val="double" w:sz="4" w:space="0" w:color="auto"/>
              <w:left w:val="single" w:sz="4" w:space="0" w:color="000000"/>
              <w:right w:val="double" w:sz="4" w:space="0" w:color="auto"/>
            </w:tcBorders>
            <w:shd w:val="clear" w:color="auto" w:fill="auto"/>
          </w:tcPr>
          <w:p w14:paraId="224D528A" w14:textId="77777777" w:rsidR="00795F6F" w:rsidRPr="00D3097B" w:rsidRDefault="00795F6F" w:rsidP="00795F6F">
            <w:pPr>
              <w:jc w:val="both"/>
              <w:rPr>
                <w:rFonts w:ascii="Arial" w:hAnsi="Arial" w:cs="Arial"/>
                <w:b/>
                <w:i/>
                <w:color w:val="FFFFFF" w:themeColor="background1"/>
                <w:sz w:val="21"/>
                <w:szCs w:val="21"/>
              </w:rPr>
            </w:pPr>
          </w:p>
        </w:tc>
        <w:tc>
          <w:tcPr>
            <w:tcW w:w="839" w:type="dxa"/>
            <w:tcBorders>
              <w:top w:val="double" w:sz="4" w:space="0" w:color="auto"/>
              <w:left w:val="single" w:sz="4" w:space="0" w:color="000000"/>
              <w:right w:val="double" w:sz="4" w:space="0" w:color="auto"/>
            </w:tcBorders>
          </w:tcPr>
          <w:p w14:paraId="0B6438B9" w14:textId="77777777" w:rsidR="00795F6F" w:rsidRPr="00D3097B" w:rsidRDefault="00795F6F" w:rsidP="00795F6F">
            <w:pPr>
              <w:jc w:val="both"/>
              <w:rPr>
                <w:rFonts w:ascii="Arial" w:hAnsi="Arial" w:cs="Arial"/>
                <w:b/>
                <w:i/>
                <w:color w:val="FFFFFF" w:themeColor="background1"/>
                <w:sz w:val="21"/>
                <w:szCs w:val="21"/>
              </w:rPr>
            </w:pPr>
          </w:p>
        </w:tc>
      </w:tr>
    </w:tbl>
    <w:p w14:paraId="3333593A" w14:textId="77777777" w:rsidR="00795F6F" w:rsidRPr="00D3097B" w:rsidRDefault="00795F6F" w:rsidP="00795F6F">
      <w:pPr>
        <w:widowControl w:val="0"/>
        <w:autoSpaceDE w:val="0"/>
        <w:autoSpaceDN w:val="0"/>
        <w:spacing w:after="120" w:line="276" w:lineRule="auto"/>
        <w:ind w:firstLine="709"/>
        <w:jc w:val="both"/>
        <w:rPr>
          <w:rFonts w:ascii="Arial" w:eastAsia="Arial" w:hAnsi="Arial" w:cs="Arial"/>
          <w:bCs/>
          <w:sz w:val="21"/>
          <w:szCs w:val="21"/>
          <w:lang w:eastAsia="es-ES" w:bidi="es-ES"/>
        </w:rPr>
      </w:pPr>
      <w:r w:rsidRPr="00D3097B">
        <w:rPr>
          <w:rFonts w:ascii="Arial" w:eastAsia="Arial" w:hAnsi="Arial" w:cs="Arial"/>
          <w:bCs/>
          <w:sz w:val="21"/>
          <w:szCs w:val="21"/>
          <w:lang w:eastAsia="es-ES" w:bidi="es-ES"/>
        </w:rPr>
        <w:t xml:space="preserve"> </w:t>
      </w:r>
    </w:p>
    <w:p w14:paraId="53F2C921" w14:textId="77777777" w:rsidR="00795F6F" w:rsidRPr="00D3097B" w:rsidRDefault="00795F6F" w:rsidP="00795F6F">
      <w:pPr>
        <w:widowControl w:val="0"/>
        <w:tabs>
          <w:tab w:val="left" w:pos="2143"/>
        </w:tabs>
        <w:autoSpaceDE w:val="0"/>
        <w:autoSpaceDN w:val="0"/>
        <w:spacing w:after="120" w:line="276" w:lineRule="auto"/>
        <w:ind w:firstLine="709"/>
        <w:jc w:val="both"/>
        <w:rPr>
          <w:rFonts w:ascii="Arial" w:hAnsi="Arial" w:cs="Arial"/>
          <w:iCs/>
        </w:rPr>
      </w:pPr>
      <w:r w:rsidRPr="00D3097B">
        <w:rPr>
          <w:rFonts w:ascii="Arial" w:eastAsia="Arial" w:hAnsi="Arial" w:cs="Arial"/>
          <w:bCs/>
          <w:lang w:eastAsia="es-ES" w:bidi="es-ES"/>
        </w:rPr>
        <w:t xml:space="preserve">Para la asignación de puntajes por apoyo a la industria nacional por promoción de servicios o con trato nacional, la entidad estatal deberá tener en cuenta que: i) el puntaje se asignará a los proponentes que se comprometan a adquirir uno, varios o todos los bienes nacionales relevantes, sin someter a condicionamientos la oferta, </w:t>
      </w:r>
      <w:proofErr w:type="spellStart"/>
      <w:r w:rsidRPr="00D3097B">
        <w:rPr>
          <w:rFonts w:ascii="Arial" w:eastAsia="Arial" w:hAnsi="Arial" w:cs="Arial"/>
          <w:bCs/>
          <w:lang w:eastAsia="es-ES" w:bidi="es-ES"/>
        </w:rPr>
        <w:t>ii</w:t>
      </w:r>
      <w:proofErr w:type="spellEnd"/>
      <w:r w:rsidRPr="00D3097B">
        <w:rPr>
          <w:rFonts w:ascii="Arial" w:eastAsia="Arial" w:hAnsi="Arial" w:cs="Arial"/>
          <w:bCs/>
          <w:lang w:eastAsia="es-ES" w:bidi="es-ES"/>
        </w:rPr>
        <w:t xml:space="preserve">) si la entidad determina la existencia de bienes nacionales relevantes, no se otorgará puntaje si el proponente no oferta alguno de esos bienes, </w:t>
      </w:r>
      <w:proofErr w:type="spellStart"/>
      <w:r w:rsidRPr="00D3097B">
        <w:rPr>
          <w:rFonts w:ascii="Arial" w:eastAsia="Arial" w:hAnsi="Arial" w:cs="Arial"/>
          <w:bCs/>
          <w:lang w:eastAsia="es-ES" w:bidi="es-ES"/>
        </w:rPr>
        <w:t>iii</w:t>
      </w:r>
      <w:proofErr w:type="spellEnd"/>
      <w:r w:rsidRPr="00D3097B">
        <w:rPr>
          <w:rFonts w:ascii="Arial" w:eastAsia="Arial" w:hAnsi="Arial" w:cs="Arial"/>
          <w:bCs/>
          <w:lang w:eastAsia="es-ES" w:bidi="es-ES"/>
        </w:rPr>
        <w:t xml:space="preserve">) si hay más de un bien nacional relevante, se otorgará el puntaje de forma proporcional a la cantidad de estos bienes −que el proponente se comprometa a incorporar a la ejecución del contrato− y dependiendo del porcentaje de participación de estos en el proceso de contratación, así mismo, una vez definido el porcentaje de participación de cada bien nacional relevante, entidad estatal otorgará el puntaje a cada proponente, </w:t>
      </w:r>
      <w:r w:rsidRPr="00D3097B">
        <w:rPr>
          <w:rFonts w:ascii="Arial" w:hAnsi="Arial" w:cs="Arial"/>
          <w:iCs/>
        </w:rPr>
        <w:t xml:space="preserve">dependiendo de la cantidad de bienes nacionales relevantes ofertados y el puntaje individual asignado a cada uno de ello, sin que supere los veinte (20) puntos, y </w:t>
      </w:r>
      <w:proofErr w:type="spellStart"/>
      <w:r w:rsidRPr="00D3097B">
        <w:rPr>
          <w:rFonts w:ascii="Arial" w:hAnsi="Arial" w:cs="Arial"/>
          <w:iCs/>
        </w:rPr>
        <w:t>iv</w:t>
      </w:r>
      <w:proofErr w:type="spellEnd"/>
      <w:r w:rsidRPr="00D3097B">
        <w:rPr>
          <w:rFonts w:ascii="Arial" w:hAnsi="Arial" w:cs="Arial"/>
          <w:iCs/>
        </w:rPr>
        <w:t>) para el caso de los proponentes plurales, todos, varios o cualquiera de sus integrantes podrán incorporar todos o algunos de los bienes nacionales relevantes, además su composición, deberá estar acorde con la definición de Servicios Nacionales prevista en el artículo 2.2.1.1.1.3.1 del Decreto 1082 de 2015, de lo que dependerá la franja del puntaje aplicable en lo referente con el apoyo de la industria nacional</w:t>
      </w:r>
      <w:r w:rsidRPr="00D3097B">
        <w:rPr>
          <w:rFonts w:ascii="Arial" w:hAnsi="Arial" w:cs="Arial"/>
          <w:iCs/>
          <w:vertAlign w:val="superscript"/>
        </w:rPr>
        <w:footnoteReference w:id="13"/>
      </w:r>
      <w:r w:rsidRPr="00D3097B">
        <w:rPr>
          <w:rFonts w:ascii="Arial" w:hAnsi="Arial" w:cs="Arial"/>
          <w:iCs/>
        </w:rPr>
        <w:t xml:space="preserve">. </w:t>
      </w:r>
    </w:p>
    <w:p w14:paraId="241AE6A2" w14:textId="77777777" w:rsidR="00795F6F" w:rsidRPr="00D3097B" w:rsidRDefault="00795F6F" w:rsidP="00795F6F">
      <w:pPr>
        <w:widowControl w:val="0"/>
        <w:tabs>
          <w:tab w:val="left" w:pos="2143"/>
        </w:tabs>
        <w:autoSpaceDE w:val="0"/>
        <w:autoSpaceDN w:val="0"/>
        <w:spacing w:after="0" w:line="276" w:lineRule="auto"/>
        <w:ind w:firstLine="709"/>
        <w:jc w:val="both"/>
        <w:rPr>
          <w:rFonts w:ascii="Arial" w:eastAsia="Arial" w:hAnsi="Arial" w:cs="Arial"/>
          <w:bCs/>
          <w:lang w:eastAsia="es-ES" w:bidi="es-ES"/>
        </w:rPr>
      </w:pPr>
      <w:r w:rsidRPr="00D3097B">
        <w:rPr>
          <w:rFonts w:ascii="Arial" w:eastAsia="Arial" w:hAnsi="Arial" w:cs="Arial"/>
          <w:bCs/>
          <w:lang w:eastAsia="es-ES" w:bidi="es-ES"/>
        </w:rPr>
        <w:lastRenderedPageBreak/>
        <w:t xml:space="preserve">Por otra parte, si luego de aplicar la metodología para identificar los bienes nacionales relevantes, prevista en la “Matriz 4 - Bienes nacionales relevantes para la obra pública del sector transporte”, la entidad estatal demuestra que los bienes nacionales relevantes no están registrados en el Registro de Productos de Bienes Nacionales Relevantes, deberá aplicar la </w:t>
      </w:r>
      <w:r w:rsidRPr="00D3097B">
        <w:rPr>
          <w:rFonts w:ascii="Arial" w:eastAsia="Arial" w:hAnsi="Arial" w:cs="Arial"/>
          <w:b/>
          <w:i/>
          <w:iCs/>
          <w:lang w:eastAsia="es-ES" w:bidi="es-ES"/>
        </w:rPr>
        <w:t>opción 2</w:t>
      </w:r>
      <w:r w:rsidRPr="00D3097B">
        <w:rPr>
          <w:rFonts w:ascii="Arial" w:eastAsia="Arial" w:hAnsi="Arial" w:cs="Arial"/>
          <w:bCs/>
          <w:lang w:eastAsia="es-ES" w:bidi="es-ES"/>
        </w:rPr>
        <w:t xml:space="preserve"> del numeral 4.3.1 “Promoción de servicios nacionales o con trato nacional”. Así, la entidad, otorgará el puntaje a los proponentes que se comprometan a vincular al desarrollo del objeto contractual un porcentaje de empleados o contratistas por prestación de servicios colombianos de al menos el cuarenta (40%) del personal requerido para el cumplimento del contrato, y deberá incluir los siguientes párrafos:</w:t>
      </w:r>
    </w:p>
    <w:p w14:paraId="370EA10E" w14:textId="77777777" w:rsidR="00795F6F" w:rsidRPr="00D3097B" w:rsidRDefault="00795F6F" w:rsidP="00795F6F">
      <w:pPr>
        <w:widowControl w:val="0"/>
        <w:tabs>
          <w:tab w:val="left" w:pos="2143"/>
        </w:tabs>
        <w:autoSpaceDE w:val="0"/>
        <w:autoSpaceDN w:val="0"/>
        <w:spacing w:after="0" w:line="276" w:lineRule="auto"/>
        <w:jc w:val="both"/>
        <w:rPr>
          <w:rFonts w:ascii="Arial" w:eastAsia="Arial" w:hAnsi="Arial" w:cs="Arial"/>
          <w:bCs/>
          <w:lang w:eastAsia="es-ES" w:bidi="es-ES"/>
        </w:rPr>
      </w:pPr>
      <w:r w:rsidRPr="00D3097B">
        <w:rPr>
          <w:rFonts w:ascii="Arial" w:eastAsia="Arial" w:hAnsi="Arial" w:cs="Arial"/>
          <w:bCs/>
          <w:lang w:eastAsia="es-ES" w:bidi="es-ES"/>
        </w:rPr>
        <w:tab/>
      </w:r>
    </w:p>
    <w:p w14:paraId="47456583" w14:textId="77777777" w:rsidR="00795F6F" w:rsidRPr="00D3097B" w:rsidRDefault="00795F6F" w:rsidP="00795F6F">
      <w:pPr>
        <w:spacing w:after="120" w:line="240" w:lineRule="auto"/>
        <w:ind w:left="709" w:right="709"/>
        <w:jc w:val="both"/>
        <w:rPr>
          <w:rFonts w:ascii="Arial" w:hAnsi="Arial" w:cs="Arial"/>
          <w:iCs/>
          <w:color w:val="000000"/>
          <w:sz w:val="20"/>
          <w:szCs w:val="20"/>
        </w:rPr>
      </w:pPr>
      <w:r w:rsidRPr="00D3097B">
        <w:rPr>
          <w:rFonts w:ascii="Arial" w:hAnsi="Arial" w:cs="Arial"/>
          <w:iCs/>
          <w:color w:val="000000"/>
          <w:sz w:val="20"/>
          <w:szCs w:val="20"/>
        </w:rPr>
        <w:t xml:space="preserve">De conformidad con la consulta del Registro de Productores de Bienes Nacionales, realizada en fecha </w:t>
      </w:r>
      <w:r w:rsidRPr="00D3097B">
        <w:rPr>
          <w:rFonts w:ascii="Arial" w:hAnsi="Arial" w:cs="Arial"/>
          <w:iCs/>
          <w:color w:val="000000"/>
          <w:sz w:val="20"/>
          <w:szCs w:val="20"/>
          <w:highlight w:val="lightGray"/>
        </w:rPr>
        <w:t>[Ingresar fecha en formato DD/MM/AAAA],</w:t>
      </w:r>
      <w:r w:rsidRPr="00D3097B">
        <w:rPr>
          <w:rFonts w:ascii="Arial" w:hAnsi="Arial" w:cs="Arial"/>
          <w:iCs/>
          <w:color w:val="000000"/>
          <w:sz w:val="20"/>
          <w:szCs w:val="20"/>
        </w:rPr>
        <w:t xml:space="preserve"> se determinó que los </w:t>
      </w:r>
      <w:r w:rsidRPr="00D3097B">
        <w:rPr>
          <w:rFonts w:ascii="Arial" w:hAnsi="Arial" w:cs="Arial"/>
          <w:iCs/>
          <w:color w:val="000000"/>
          <w:sz w:val="20"/>
          <w:szCs w:val="20"/>
        </w:rPr>
        <w:lastRenderedPageBreak/>
        <w:t xml:space="preserve">bienes relevantes para el desarrollo de la obra no se encuentran incluidos en dicho registro de conformidad con el numeral 3 del artículo 2.2.1.2.4.2.9. del Decreto 1082 de 2015. Por tal motivo, se otorgará el puntaje de apoyo a la industria nacional a los Proponentes que se comprometan a vincular al desarrollo del objeto contractual un porcentaje de empleados o contratistas por prestación de servicios colombianos, de al menos el </w:t>
      </w:r>
      <w:r w:rsidRPr="00D3097B">
        <w:rPr>
          <w:rFonts w:ascii="Arial" w:hAnsi="Arial" w:cs="Arial"/>
          <w:iCs/>
          <w:color w:val="000000"/>
          <w:sz w:val="20"/>
          <w:szCs w:val="20"/>
          <w:highlight w:val="lightGray"/>
        </w:rPr>
        <w:t>[la Entidad Estatal definirá el porcentaje requerido que sea por lo menos del cuarenta por ciento (40 %), sin perjuicio de incluir uno superior]</w:t>
      </w:r>
      <w:r w:rsidRPr="00D3097B">
        <w:rPr>
          <w:rFonts w:ascii="Arial" w:hAnsi="Arial" w:cs="Arial"/>
          <w:iCs/>
          <w:color w:val="000000"/>
          <w:sz w:val="20"/>
          <w:szCs w:val="20"/>
        </w:rPr>
        <w:t xml:space="preserve"> del personal requerido para el cumplimiento del contrato. </w:t>
      </w:r>
    </w:p>
    <w:p w14:paraId="4C541ABF" w14:textId="77777777" w:rsidR="00795F6F" w:rsidRPr="00D3097B" w:rsidRDefault="00795F6F" w:rsidP="00795F6F">
      <w:pPr>
        <w:spacing w:after="0" w:line="240" w:lineRule="auto"/>
        <w:ind w:left="705" w:right="709"/>
        <w:jc w:val="both"/>
        <w:rPr>
          <w:rFonts w:ascii="Arial" w:eastAsiaTheme="minorEastAsia" w:hAnsi="Arial" w:cs="Arial"/>
          <w:iCs/>
          <w:color w:val="000000"/>
          <w:sz w:val="21"/>
          <w:szCs w:val="21"/>
        </w:rPr>
      </w:pPr>
      <w:r w:rsidRPr="00D3097B">
        <w:rPr>
          <w:rFonts w:ascii="Arial" w:eastAsiaTheme="minorEastAsia" w:hAnsi="Arial" w:cs="Arial"/>
          <w:iCs/>
          <w:sz w:val="21"/>
          <w:szCs w:val="21"/>
        </w:rPr>
        <w:t xml:space="preserve">En el caso de Proponentes Plurales, </w:t>
      </w:r>
      <w:r w:rsidRPr="00D3097B">
        <w:rPr>
          <w:rFonts w:ascii="Arial" w:eastAsia="Arial Narrow" w:hAnsi="Arial" w:cs="Arial"/>
          <w:iCs/>
          <w:sz w:val="21"/>
          <w:szCs w:val="21"/>
          <w:lang w:eastAsia="es-ES"/>
        </w:rPr>
        <w:t xml:space="preserve">todos, varios o cualquiera </w:t>
      </w:r>
      <w:r w:rsidRPr="00D3097B">
        <w:rPr>
          <w:rFonts w:ascii="Arial" w:eastAsiaTheme="minorEastAsia" w:hAnsi="Arial" w:cs="Arial"/>
          <w:iCs/>
          <w:sz w:val="21"/>
          <w:szCs w:val="21"/>
        </w:rPr>
        <w:t xml:space="preserve">de sus integrantes podrá vincular un porcentaje de empleados o contratistas por prestación de servicios colombianos, de al menos el </w:t>
      </w:r>
      <w:r w:rsidRPr="00D3097B">
        <w:rPr>
          <w:rFonts w:ascii="Arial" w:eastAsiaTheme="minorEastAsia" w:hAnsi="Arial" w:cs="Arial"/>
          <w:iCs/>
          <w:sz w:val="21"/>
          <w:szCs w:val="21"/>
          <w:highlight w:val="lightGray"/>
        </w:rPr>
        <w:t>[la Entidad Estatal definirá el porcentaje requerido que sea por lo menos del cuarenta por ciento (40 %), sin perjuicio de incluir uno superior]</w:t>
      </w:r>
      <w:r w:rsidRPr="00D3097B">
        <w:rPr>
          <w:rFonts w:ascii="Arial" w:eastAsiaTheme="minorEastAsia" w:hAnsi="Arial" w:cs="Arial"/>
          <w:iCs/>
          <w:sz w:val="21"/>
          <w:szCs w:val="21"/>
        </w:rPr>
        <w:t xml:space="preserve"> del personal requerido para el cumplimiento del contrato. </w:t>
      </w:r>
    </w:p>
    <w:p w14:paraId="5192E827" w14:textId="77777777" w:rsidR="00795F6F" w:rsidRPr="00D3097B" w:rsidRDefault="00795F6F" w:rsidP="00795F6F">
      <w:pPr>
        <w:spacing w:after="0" w:line="240" w:lineRule="auto"/>
        <w:ind w:right="709"/>
        <w:jc w:val="both"/>
        <w:rPr>
          <w:rFonts w:ascii="Arial" w:hAnsi="Arial" w:cs="Arial"/>
          <w:iCs/>
          <w:color w:val="000000"/>
          <w:sz w:val="20"/>
          <w:szCs w:val="20"/>
        </w:rPr>
      </w:pPr>
    </w:p>
    <w:p w14:paraId="0BE1070C" w14:textId="77777777" w:rsidR="00795F6F" w:rsidRPr="00D3097B" w:rsidRDefault="00795F6F" w:rsidP="00795F6F">
      <w:pPr>
        <w:spacing w:after="120" w:line="276" w:lineRule="auto"/>
        <w:ind w:firstLine="708"/>
        <w:jc w:val="both"/>
        <w:rPr>
          <w:rFonts w:ascii="Arial" w:hAnsi="Arial" w:cs="Arial"/>
          <w:iCs/>
          <w:color w:val="000000"/>
        </w:rPr>
      </w:pPr>
      <w:r w:rsidRPr="00D3097B">
        <w:rPr>
          <w:rFonts w:ascii="Arial" w:hAnsi="Arial" w:cs="Arial"/>
          <w:iCs/>
          <w:color w:val="000000"/>
        </w:rPr>
        <w:t xml:space="preserve">Para el caso de los Proponentes Plurales, todos, varios o cualquiera de sus integrantes podrá vincular un porcentaje de empleados o contratistas </w:t>
      </w:r>
      <w:r w:rsidRPr="00D3097B">
        <w:rPr>
          <w:rFonts w:ascii="Arial" w:eastAsia="Arial" w:hAnsi="Arial" w:cs="Arial"/>
          <w:bCs/>
          <w:lang w:eastAsia="es-ES" w:bidi="es-ES"/>
        </w:rPr>
        <w:t xml:space="preserve">por prestación de servicios colombianos de al menos el cuarenta (40%) del personal requerido para el cumplimento del contrato. </w:t>
      </w:r>
      <w:r w:rsidRPr="00D3097B">
        <w:rPr>
          <w:rFonts w:ascii="Arial" w:eastAsiaTheme="minorEastAsia" w:hAnsi="Arial" w:cs="Arial"/>
          <w:iCs/>
          <w:color w:val="000000" w:themeColor="text1"/>
        </w:rPr>
        <w:t xml:space="preserve">Así mismo, </w:t>
      </w:r>
      <w:r w:rsidRPr="00D3097B">
        <w:rPr>
          <w:rFonts w:ascii="Arial" w:eastAsia="Arial" w:hAnsi="Arial" w:cs="Arial"/>
          <w:bCs/>
          <w:lang w:eastAsia="es-ES" w:bidi="es-ES"/>
        </w:rPr>
        <w:t xml:space="preserve">su composición deberá estar acorde con lo exigido por la noción de Servicios Nacionales prevista en el </w:t>
      </w:r>
      <w:r w:rsidRPr="00D3097B">
        <w:rPr>
          <w:rFonts w:ascii="Arial" w:hAnsi="Arial" w:cs="Arial"/>
          <w:iCs/>
          <w:color w:val="000000"/>
        </w:rPr>
        <w:t xml:space="preserve">en el artículo 2.2.1.1.1.3.1 del Decreto 1082 de 2015, de lo que dependerá la franja del puntaje aplicable en lo referente al apoyo de la industria nacional. </w:t>
      </w:r>
    </w:p>
    <w:p w14:paraId="52D819E5" w14:textId="77777777" w:rsidR="00795F6F" w:rsidRPr="00D3097B" w:rsidRDefault="00795F6F" w:rsidP="00795F6F">
      <w:pPr>
        <w:spacing w:after="0" w:line="276" w:lineRule="auto"/>
        <w:ind w:firstLine="709"/>
        <w:jc w:val="both"/>
        <w:rPr>
          <w:rFonts w:ascii="Arial" w:eastAsia="Arial" w:hAnsi="Arial" w:cs="Arial"/>
          <w:szCs w:val="20"/>
          <w:lang w:val="es-MX"/>
        </w:rPr>
      </w:pPr>
      <w:r w:rsidRPr="00D3097B">
        <w:rPr>
          <w:rFonts w:ascii="Arial" w:hAnsi="Arial" w:cs="Arial"/>
          <w:szCs w:val="20"/>
          <w:lang w:val="es-MX"/>
        </w:rPr>
        <w:t xml:space="preserve">En conclusión, el numeral 4.3.1 del documento base “Promoción De Servicios Nacionales o Con Trato Nacional” explica cómo el proponente se hace acreedor para el otorgamiento de puntaje, las reglas que las entidades deben tener en cuenta para definir los Bienes Nacionales Relevantes y el porcentaje de empleados o contratistas por prestación de servicios colombianos al que deberán comprometerse los proponentes en caso de que </w:t>
      </w:r>
      <w:r w:rsidRPr="00D3097B">
        <w:rPr>
          <w:rFonts w:ascii="Arial" w:eastAsia="Arial" w:hAnsi="Arial" w:cs="Arial"/>
          <w:szCs w:val="20"/>
          <w:lang w:val="es-MX"/>
        </w:rPr>
        <w:t>ninguno de los bienes relevantes estén incluidos en el Registro de Productores de Bienes Nacionales, con el fin de que la entidad estatal otorgue el puntaje.</w:t>
      </w:r>
    </w:p>
    <w:p w14:paraId="47664B6B" w14:textId="77777777" w:rsidR="00795F6F" w:rsidRPr="00D3097B" w:rsidRDefault="00795F6F" w:rsidP="00795F6F">
      <w:pPr>
        <w:spacing w:after="0" w:line="276" w:lineRule="auto"/>
        <w:jc w:val="both"/>
        <w:rPr>
          <w:rFonts w:ascii="Arial" w:eastAsia="Arial" w:hAnsi="Arial" w:cs="Arial"/>
          <w:szCs w:val="20"/>
          <w:lang w:val="es-MX"/>
        </w:rPr>
      </w:pPr>
    </w:p>
    <w:p w14:paraId="3A6830EC" w14:textId="77777777" w:rsidR="00795F6F" w:rsidRPr="00D3097B" w:rsidRDefault="00795F6F" w:rsidP="00795F6F">
      <w:pPr>
        <w:spacing w:after="0" w:line="276" w:lineRule="auto"/>
        <w:jc w:val="both"/>
        <w:rPr>
          <w:rFonts w:ascii="Arial" w:eastAsia="Arial" w:hAnsi="Arial" w:cs="Arial"/>
          <w:b/>
          <w:bCs/>
          <w:szCs w:val="20"/>
          <w:lang w:val="es-MX"/>
        </w:rPr>
      </w:pPr>
      <w:r w:rsidRPr="00D3097B">
        <w:rPr>
          <w:rFonts w:ascii="Arial" w:eastAsia="Arial" w:hAnsi="Arial" w:cs="Arial"/>
          <w:b/>
          <w:bCs/>
          <w:szCs w:val="20"/>
          <w:lang w:val="es-MX"/>
        </w:rPr>
        <w:t>2.3.1 Acreditación del Puntaje por Servicios Nacionales o Con Trato Nacional</w:t>
      </w:r>
    </w:p>
    <w:p w14:paraId="4A299A89" w14:textId="77777777" w:rsidR="00795F6F" w:rsidRPr="00D3097B" w:rsidRDefault="00795F6F" w:rsidP="00795F6F">
      <w:pPr>
        <w:spacing w:after="0" w:line="276" w:lineRule="auto"/>
        <w:jc w:val="both"/>
        <w:rPr>
          <w:rFonts w:ascii="Arial" w:eastAsia="Arial" w:hAnsi="Arial" w:cs="Arial"/>
          <w:szCs w:val="20"/>
          <w:lang w:val="es-MX"/>
        </w:rPr>
      </w:pPr>
    </w:p>
    <w:p w14:paraId="391A5A94" w14:textId="77777777" w:rsidR="00795F6F" w:rsidRPr="00D3097B" w:rsidRDefault="00795F6F" w:rsidP="00795F6F">
      <w:pPr>
        <w:spacing w:after="0" w:line="276" w:lineRule="auto"/>
        <w:jc w:val="both"/>
        <w:rPr>
          <w:rFonts w:ascii="Arial" w:eastAsia="Arial" w:hAnsi="Arial" w:cs="Arial"/>
          <w:bCs/>
          <w:szCs w:val="20"/>
          <w:lang w:val="es-MX"/>
        </w:rPr>
      </w:pPr>
      <w:bookmarkStart w:id="22" w:name="_Hlk141069319"/>
      <w:r w:rsidRPr="00D3097B">
        <w:rPr>
          <w:rFonts w:ascii="Arial" w:eastAsia="Arial" w:hAnsi="Arial" w:cs="Arial"/>
          <w:szCs w:val="20"/>
          <w:lang w:val="es-MX"/>
        </w:rPr>
        <w:t xml:space="preserve">Para la </w:t>
      </w:r>
      <w:bookmarkStart w:id="23" w:name="_Toc84413961"/>
      <w:r w:rsidRPr="00D3097B">
        <w:rPr>
          <w:rFonts w:ascii="Arial" w:hAnsi="Arial" w:cs="Arial"/>
          <w:szCs w:val="20"/>
          <w:lang w:val="es-MX"/>
        </w:rPr>
        <w:t>“</w:t>
      </w:r>
      <w:r w:rsidRPr="00D3097B">
        <w:rPr>
          <w:rFonts w:ascii="Arial" w:eastAsia="Arial" w:hAnsi="Arial" w:cs="Arial"/>
          <w:bCs/>
          <w:szCs w:val="20"/>
          <w:lang w:val="es-MX"/>
        </w:rPr>
        <w:t>Acreditación del Puntaje por Servicios Nacionales o Con Trato Nacional</w:t>
      </w:r>
      <w:bookmarkEnd w:id="23"/>
      <w:r w:rsidRPr="00D3097B">
        <w:rPr>
          <w:rFonts w:ascii="Arial" w:hAnsi="Arial" w:cs="Arial"/>
          <w:szCs w:val="20"/>
          <w:lang w:val="es-MX"/>
        </w:rPr>
        <w:t>”</w:t>
      </w:r>
      <w:r w:rsidRPr="00D3097B">
        <w:rPr>
          <w:rFonts w:ascii="Arial" w:eastAsia="Arial" w:hAnsi="Arial" w:cs="Arial"/>
          <w:bCs/>
          <w:i/>
          <w:iCs/>
          <w:szCs w:val="20"/>
          <w:lang w:val="es-MX"/>
        </w:rPr>
        <w:t xml:space="preserve"> </w:t>
      </w:r>
      <w:r w:rsidRPr="00D3097B">
        <w:rPr>
          <w:rFonts w:ascii="Arial" w:eastAsia="Arial" w:hAnsi="Arial" w:cs="Arial"/>
          <w:bCs/>
          <w:szCs w:val="20"/>
          <w:lang w:val="es-MX"/>
        </w:rPr>
        <w:t>el numeral 4.3.1.1 prevé que:</w:t>
      </w:r>
    </w:p>
    <w:p w14:paraId="4311AD51" w14:textId="77777777" w:rsidR="00795F6F" w:rsidRPr="00D3097B" w:rsidRDefault="00795F6F" w:rsidP="00795F6F">
      <w:pPr>
        <w:spacing w:after="0" w:line="276" w:lineRule="auto"/>
        <w:ind w:firstLine="709"/>
        <w:contextualSpacing/>
        <w:jc w:val="both"/>
        <w:rPr>
          <w:rFonts w:ascii="Arial" w:eastAsia="Arial" w:hAnsi="Arial" w:cs="Arial"/>
          <w:bCs/>
          <w:sz w:val="24"/>
          <w:lang w:val="es-MX"/>
        </w:rPr>
      </w:pPr>
    </w:p>
    <w:p w14:paraId="1832D631" w14:textId="77777777" w:rsidR="00795F6F" w:rsidRPr="00D3097B" w:rsidRDefault="00795F6F" w:rsidP="00795F6F">
      <w:pPr>
        <w:spacing w:after="120" w:line="240" w:lineRule="auto"/>
        <w:ind w:left="709" w:right="709"/>
        <w:jc w:val="both"/>
        <w:rPr>
          <w:rFonts w:ascii="Arial" w:hAnsi="Arial" w:cs="Arial"/>
          <w:sz w:val="21"/>
          <w:szCs w:val="21"/>
          <w:lang w:val="es-MX"/>
        </w:rPr>
      </w:pPr>
      <w:r w:rsidRPr="00D3097B">
        <w:rPr>
          <w:rFonts w:ascii="Arial" w:hAnsi="Arial" w:cs="Arial"/>
          <w:sz w:val="21"/>
          <w:szCs w:val="21"/>
          <w:lang w:val="es-MX"/>
        </w:rPr>
        <w:t xml:space="preserve">“Para que el Proponente nacional obtenga puntaje por Servicios Nacionales debe presentar, además del </w:t>
      </w:r>
      <w:r w:rsidRPr="00D3097B">
        <w:rPr>
          <w:rFonts w:ascii="Arial" w:hAnsi="Arial" w:cs="Arial"/>
          <w:i/>
          <w:iCs/>
          <w:sz w:val="21"/>
          <w:szCs w:val="21"/>
          <w:lang w:val="es-MX"/>
        </w:rPr>
        <w:t>Formato 9 A – Promoción de Servicios Nacionales o con Trato Nacional</w:t>
      </w:r>
      <w:r w:rsidRPr="00D3097B">
        <w:rPr>
          <w:rFonts w:ascii="Arial" w:hAnsi="Arial" w:cs="Arial"/>
          <w:sz w:val="21"/>
          <w:szCs w:val="21"/>
          <w:lang w:val="es-MX"/>
        </w:rPr>
        <w:t xml:space="preserve">, alguno de los siguientes documentos, según corresponda: </w:t>
      </w:r>
    </w:p>
    <w:p w14:paraId="714FE080" w14:textId="77777777" w:rsidR="00795F6F" w:rsidRPr="00D3097B" w:rsidRDefault="00795F6F" w:rsidP="00795F6F">
      <w:pPr>
        <w:numPr>
          <w:ilvl w:val="0"/>
          <w:numId w:val="6"/>
        </w:numPr>
        <w:spacing w:after="120" w:line="240" w:lineRule="auto"/>
        <w:ind w:left="709" w:right="709" w:firstLine="142"/>
        <w:jc w:val="both"/>
        <w:rPr>
          <w:rFonts w:ascii="Arial" w:hAnsi="Arial" w:cs="Arial"/>
          <w:sz w:val="21"/>
          <w:szCs w:val="21"/>
          <w:lang w:val="es-MX"/>
        </w:rPr>
      </w:pPr>
      <w:r w:rsidRPr="00D3097B">
        <w:rPr>
          <w:rFonts w:ascii="Arial" w:hAnsi="Arial" w:cs="Arial"/>
          <w:sz w:val="21"/>
          <w:szCs w:val="21"/>
          <w:lang w:val="es-MX"/>
        </w:rPr>
        <w:t>Persona natural colombiana: La cédula de ciudadanía del Proponente.</w:t>
      </w:r>
    </w:p>
    <w:p w14:paraId="20649260" w14:textId="77777777" w:rsidR="00795F6F" w:rsidRPr="00D3097B" w:rsidRDefault="00795F6F" w:rsidP="00795F6F">
      <w:pPr>
        <w:numPr>
          <w:ilvl w:val="0"/>
          <w:numId w:val="6"/>
        </w:numPr>
        <w:spacing w:after="120" w:line="240" w:lineRule="auto"/>
        <w:ind w:left="709" w:right="709" w:firstLine="142"/>
        <w:jc w:val="both"/>
        <w:rPr>
          <w:rFonts w:ascii="Arial" w:hAnsi="Arial" w:cs="Arial"/>
          <w:sz w:val="21"/>
          <w:szCs w:val="21"/>
          <w:lang w:val="es-MX"/>
        </w:rPr>
      </w:pPr>
      <w:bookmarkStart w:id="24" w:name="_Hlk80648891"/>
      <w:r w:rsidRPr="00D3097B">
        <w:rPr>
          <w:rFonts w:ascii="Arial" w:hAnsi="Arial" w:cs="Arial"/>
          <w:sz w:val="21"/>
          <w:szCs w:val="21"/>
          <w:lang w:val="es-MX"/>
        </w:rPr>
        <w:t xml:space="preserve">Persona natural extranjera residente en Colombia: La visa de residencia que le permita la ejecución del objeto contractual de conformidad con la ley. </w:t>
      </w:r>
    </w:p>
    <w:bookmarkEnd w:id="24"/>
    <w:p w14:paraId="4D503ABA" w14:textId="77777777" w:rsidR="00795F6F" w:rsidRPr="00D3097B" w:rsidRDefault="00795F6F" w:rsidP="00795F6F">
      <w:pPr>
        <w:numPr>
          <w:ilvl w:val="0"/>
          <w:numId w:val="6"/>
        </w:numPr>
        <w:spacing w:after="0" w:line="240" w:lineRule="auto"/>
        <w:ind w:left="709" w:right="709" w:firstLine="142"/>
        <w:jc w:val="both"/>
        <w:rPr>
          <w:rFonts w:ascii="Arial" w:hAnsi="Arial" w:cs="Arial"/>
          <w:i/>
          <w:sz w:val="21"/>
          <w:szCs w:val="21"/>
          <w:lang w:val="es-MX"/>
        </w:rPr>
      </w:pPr>
      <w:r w:rsidRPr="00D3097B">
        <w:rPr>
          <w:rFonts w:ascii="Arial" w:hAnsi="Arial" w:cs="Arial"/>
          <w:i/>
          <w:sz w:val="21"/>
          <w:szCs w:val="21"/>
          <w:lang w:val="es-MX"/>
        </w:rPr>
        <w:lastRenderedPageBreak/>
        <w:t>Persona jurídica constituida en Colombia: El certificado de existencia y representación legal emitido por alguna de las cámaras de comercio del país</w:t>
      </w:r>
      <w:r w:rsidRPr="00D3097B">
        <w:rPr>
          <w:rFonts w:ascii="Arial" w:hAnsi="Arial" w:cs="Arial"/>
          <w:i/>
          <w:iCs/>
          <w:sz w:val="21"/>
          <w:szCs w:val="21"/>
          <w:lang w:val="es-MX"/>
        </w:rPr>
        <w:t xml:space="preserve">” </w:t>
      </w:r>
      <w:r w:rsidRPr="00D3097B">
        <w:rPr>
          <w:rFonts w:ascii="Arial" w:hAnsi="Arial" w:cs="Arial"/>
          <w:iCs/>
          <w:sz w:val="21"/>
          <w:szCs w:val="21"/>
          <w:lang w:val="es-MX"/>
        </w:rPr>
        <w:t xml:space="preserve">(Énfasis fuera de texto). </w:t>
      </w:r>
    </w:p>
    <w:p w14:paraId="19E9C0D9" w14:textId="77777777" w:rsidR="00795F6F" w:rsidRPr="00D3097B" w:rsidRDefault="00795F6F" w:rsidP="00795F6F">
      <w:pPr>
        <w:tabs>
          <w:tab w:val="left" w:pos="2940"/>
        </w:tabs>
        <w:spacing w:after="0" w:line="240" w:lineRule="auto"/>
        <w:ind w:right="758"/>
        <w:jc w:val="both"/>
        <w:rPr>
          <w:rFonts w:ascii="Arial" w:hAnsi="Arial" w:cs="Arial"/>
          <w:iCs/>
          <w:color w:val="FF0000"/>
          <w:sz w:val="24"/>
          <w:lang w:val="es-MX"/>
        </w:rPr>
      </w:pPr>
    </w:p>
    <w:p w14:paraId="3797FF0D" w14:textId="77777777" w:rsidR="00795F6F" w:rsidRPr="00D3097B" w:rsidRDefault="00795F6F" w:rsidP="00795F6F">
      <w:pPr>
        <w:spacing w:after="0" w:line="276" w:lineRule="auto"/>
        <w:ind w:right="51" w:firstLine="709"/>
        <w:jc w:val="both"/>
        <w:rPr>
          <w:rFonts w:ascii="Arial" w:eastAsia="Arial" w:hAnsi="Arial" w:cs="Arial"/>
          <w:lang w:val="es-MX"/>
        </w:rPr>
      </w:pPr>
      <w:r w:rsidRPr="00D3097B">
        <w:rPr>
          <w:rFonts w:ascii="Arial" w:hAnsi="Arial" w:cs="Arial"/>
          <w:color w:val="000000" w:themeColor="text1"/>
          <w:lang w:val="es-MX"/>
        </w:rPr>
        <w:t>Conforme con lo anterior</w:t>
      </w:r>
      <w:r w:rsidRPr="00D3097B">
        <w:rPr>
          <w:rFonts w:ascii="Arial" w:hAnsi="Arial" w:cs="Arial"/>
          <w:iCs/>
          <w:lang w:val="es-MX"/>
        </w:rPr>
        <w:t xml:space="preserve">, para el otorgamiento del puntaje por apoyo a la industria nacional, se tiene que: i) las personas naturales colombianas deben presentar la cédula de ciudadanía y </w:t>
      </w:r>
      <w:proofErr w:type="spellStart"/>
      <w:r w:rsidRPr="00D3097B">
        <w:rPr>
          <w:rFonts w:ascii="Arial" w:hAnsi="Arial" w:cs="Arial"/>
          <w:iCs/>
          <w:lang w:val="es-MX"/>
        </w:rPr>
        <w:t>ii</w:t>
      </w:r>
      <w:proofErr w:type="spellEnd"/>
      <w:r w:rsidRPr="00D3097B">
        <w:rPr>
          <w:rFonts w:ascii="Arial" w:hAnsi="Arial" w:cs="Arial"/>
          <w:iCs/>
          <w:lang w:val="es-MX"/>
        </w:rPr>
        <w:t xml:space="preserve">) las personas jurídicas constituidas en Colombia deben presentar el certificado de existencia y representación legal expedido por una Cámara de Comercio. Como se observa, en el documento tipo no se dispone de un término de vigencia para el certificado de existencia y representación, como sí se exige en el caso de los requisitos habilitantes. </w:t>
      </w:r>
    </w:p>
    <w:p w14:paraId="5D2074BB" w14:textId="77777777" w:rsidR="00795F6F" w:rsidRPr="00D3097B" w:rsidRDefault="00795F6F" w:rsidP="00795F6F">
      <w:pPr>
        <w:spacing w:after="120" w:line="276" w:lineRule="auto"/>
        <w:ind w:right="51" w:firstLine="709"/>
        <w:jc w:val="both"/>
        <w:rPr>
          <w:rFonts w:ascii="Arial" w:hAnsi="Arial" w:cs="Arial"/>
          <w:color w:val="000000" w:themeColor="text1"/>
        </w:rPr>
      </w:pPr>
      <w:bookmarkStart w:id="25" w:name="_Hlk100353988"/>
      <w:r w:rsidRPr="00D3097B">
        <w:rPr>
          <w:rFonts w:ascii="Arial" w:hAnsi="Arial" w:cs="Arial"/>
          <w:iCs/>
        </w:rPr>
        <w:t xml:space="preserve">Así las cosas, vale la pena aclarar que para el otorgamiento del puntaje por servicios nacionales o con trato nacional, de acuerdo con la versión 3 de los documentos tipo que se analizan, no se exige que el certificado de existencia y representación legal que aporte el proponente tenga una expedición menor a treinta (30) días para efectos de la asignación de puntaje, por lo cual el puntaje por este criterio se otorgará con la presentación del </w:t>
      </w:r>
      <w:r w:rsidRPr="00D3097B">
        <w:rPr>
          <w:rFonts w:ascii="Arial" w:hAnsi="Arial" w:cs="Arial"/>
          <w:color w:val="000000" w:themeColor="text1"/>
        </w:rPr>
        <w:t>Formato  9A y el certificado de existencia y representación legal de la persona jurídica, independientemente de su fecha de expedición, tal y como se indica en el Documento Base de Licitación de Obra Pública de Infraestructura de Transporte – Versión 3.</w:t>
      </w:r>
    </w:p>
    <w:p w14:paraId="412B1010" w14:textId="77777777" w:rsidR="00795F6F" w:rsidRPr="00D3097B" w:rsidRDefault="00795F6F" w:rsidP="00795F6F">
      <w:pPr>
        <w:spacing w:after="120" w:line="276" w:lineRule="auto"/>
        <w:ind w:right="51" w:firstLine="709"/>
        <w:jc w:val="both"/>
        <w:rPr>
          <w:rFonts w:ascii="Arial" w:hAnsi="Arial" w:cs="Arial"/>
          <w:color w:val="000000" w:themeColor="text1"/>
        </w:rPr>
      </w:pPr>
      <w:r w:rsidRPr="00D3097B">
        <w:rPr>
          <w:rFonts w:ascii="Arial" w:hAnsi="Arial" w:cs="Arial"/>
          <w:color w:val="000000" w:themeColor="text1"/>
        </w:rPr>
        <w:t xml:space="preserve">De otro lado, para el caso del proponente persona natural, se otorgará el puntaje por el criterio de apoyo a la industria nacional con la presentación del Formato 9A y la cédula de ciudadanía del proponente. Es de resaltar que el debido diligenciamiento del Formato 9A exige que la opción diligenciada por el proponente sea congruente con lo establecido por la entidad como criterio para la asignación de puntaje. </w:t>
      </w:r>
    </w:p>
    <w:p w14:paraId="2C13FF65" w14:textId="77777777" w:rsidR="00795F6F" w:rsidRPr="00D3097B" w:rsidRDefault="00795F6F" w:rsidP="00795F6F">
      <w:pPr>
        <w:spacing w:after="120" w:line="276" w:lineRule="auto"/>
        <w:ind w:firstLine="708"/>
        <w:jc w:val="both"/>
        <w:rPr>
          <w:rFonts w:ascii="Arial" w:hAnsi="Arial" w:cs="Arial"/>
          <w:color w:val="000000" w:themeColor="text1"/>
        </w:rPr>
      </w:pPr>
      <w:r w:rsidRPr="00D3097B">
        <w:rPr>
          <w:rFonts w:ascii="Arial" w:hAnsi="Arial" w:cs="Arial"/>
          <w:color w:val="000000" w:themeColor="text1"/>
        </w:rPr>
        <w:t xml:space="preserve">Así pues, en relación con la consulta planteada, para poder optar a los puntos de la primera franja del puntaje por apoyo a la industria nacional, en el marco de procesos adelantados con documentos tipo, resulta indispensable acompañar la cédula de ciudadanía, la visa de residencia o el certificado de existencia y representación con el Formato 9A debidamente diligenciado. </w:t>
      </w:r>
    </w:p>
    <w:p w14:paraId="16398768" w14:textId="77777777" w:rsidR="00795F6F" w:rsidRPr="00D3097B" w:rsidRDefault="00795F6F" w:rsidP="00795F6F">
      <w:pPr>
        <w:spacing w:after="120" w:line="276" w:lineRule="auto"/>
        <w:ind w:firstLine="708"/>
        <w:jc w:val="both"/>
        <w:rPr>
          <w:rFonts w:ascii="Arial" w:hAnsi="Arial" w:cs="Arial"/>
        </w:rPr>
      </w:pPr>
      <w:r w:rsidRPr="00D3097B">
        <w:rPr>
          <w:rFonts w:ascii="Arial" w:hAnsi="Arial" w:cs="Arial"/>
          <w:color w:val="000000" w:themeColor="text1"/>
        </w:rPr>
        <w:t xml:space="preserve">Al respecto, se precisa que </w:t>
      </w:r>
      <w:r w:rsidRPr="00D3097B">
        <w:rPr>
          <w:rFonts w:ascii="Arial" w:hAnsi="Arial" w:cs="Arial"/>
        </w:rPr>
        <w:t xml:space="preserve">existen documentos que permiten tanto la acreditación de requisitos habilitantes como de asignación de puntaje. Tal es el caso de la fotocopia de la cédula de ciudadanía del proponente, tratándose de una persona natural colombiana; o del certificado de existencia y representación legal, para las personas jurídicas. Ambos documentos permiten acreditar parte de la capacidad jurídica como requisito habilitante –numeral 3.3. del Documento Base–; y, a su vez, están contemplados en el Documento Base como parte de los documentos idóneos para obtener puntaje por concepto de apoyo a la industria nacional. </w:t>
      </w:r>
    </w:p>
    <w:p w14:paraId="380C5FB9" w14:textId="77777777" w:rsidR="00795F6F" w:rsidRPr="00D3097B" w:rsidRDefault="00795F6F" w:rsidP="00795F6F">
      <w:pPr>
        <w:spacing w:after="120" w:line="276" w:lineRule="auto"/>
        <w:ind w:firstLine="708"/>
        <w:jc w:val="both"/>
        <w:rPr>
          <w:rFonts w:ascii="Arial" w:hAnsi="Arial" w:cs="Arial"/>
        </w:rPr>
      </w:pPr>
      <w:r w:rsidRPr="00D3097B">
        <w:rPr>
          <w:rFonts w:ascii="Arial" w:hAnsi="Arial" w:cs="Arial"/>
        </w:rPr>
        <w:lastRenderedPageBreak/>
        <w:t>En armonía con lo anterior, la propuesta es una sola y no es necesario aportar varias veces el mismo documento, exigencia que desconocería el principio de economía. En ese contexto, la entidad deberá evaluar tanto el requisito habilitante como de asignación de puntaje con los documentos aportados, sin que se requieran documentos o formatos adicionales a los señalados en el Documento Base, ni que se presente dos veces un mismo documento con la oferta.</w:t>
      </w:r>
      <w:bookmarkEnd w:id="25"/>
    </w:p>
    <w:p w14:paraId="4DC105DC" w14:textId="77777777" w:rsidR="00795F6F" w:rsidRPr="00D3097B" w:rsidRDefault="00795F6F" w:rsidP="00795F6F">
      <w:pPr>
        <w:spacing w:after="0" w:line="276" w:lineRule="auto"/>
        <w:ind w:firstLine="708"/>
        <w:jc w:val="both"/>
        <w:rPr>
          <w:rFonts w:ascii="Arial" w:hAnsi="Arial" w:cs="Arial"/>
        </w:rPr>
      </w:pPr>
      <w:r w:rsidRPr="00D3097B">
        <w:rPr>
          <w:rFonts w:ascii="Arial" w:hAnsi="Arial" w:cs="Arial"/>
        </w:rPr>
        <w:t xml:space="preserve">No </w:t>
      </w:r>
      <w:proofErr w:type="gramStart"/>
      <w:r w:rsidRPr="00D3097B">
        <w:rPr>
          <w:rFonts w:ascii="Arial" w:hAnsi="Arial" w:cs="Arial"/>
        </w:rPr>
        <w:t>obstante</w:t>
      </w:r>
      <w:proofErr w:type="gramEnd"/>
      <w:r w:rsidRPr="00D3097B">
        <w:rPr>
          <w:rFonts w:ascii="Arial" w:hAnsi="Arial" w:cs="Arial"/>
        </w:rPr>
        <w:t xml:space="preserve"> lo anterior, es importante señalar que de acuerdo con las reglas de </w:t>
      </w:r>
      <w:proofErr w:type="spellStart"/>
      <w:r w:rsidRPr="00D3097B">
        <w:rPr>
          <w:rFonts w:ascii="Arial" w:hAnsi="Arial" w:cs="Arial"/>
        </w:rPr>
        <w:t>subsanabilidad</w:t>
      </w:r>
      <w:proofErr w:type="spellEnd"/>
      <w:r w:rsidRPr="00D3097B">
        <w:rPr>
          <w:rFonts w:ascii="Arial" w:hAnsi="Arial" w:cs="Arial"/>
        </w:rPr>
        <w:t xml:space="preserve"> de las ofertas y la regulación contenida en el documento tipo de licitación de obra pública de infraestructura de transporte, la falta de presentación del certificado de existencia y representación legal con la propuesta o la cédula de ciudadanía impide que el proponente obtenga el puntaje respectivo. En efecto, en el numeral 4.3.1.1 del documento base se establece que: “El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 En este sentido, si el proponente no aportó la cédula de ciudadanía o el certificado de existencia y representación legal con su propuesta, aunque puede subsanar dicha omisión para acreditar su capacidad jurídica, no podrá subsanar o corregir dicha falencia para obtener el puntaje, ya que la </w:t>
      </w:r>
      <w:proofErr w:type="spellStart"/>
      <w:r w:rsidRPr="00D3097B">
        <w:rPr>
          <w:rFonts w:ascii="Arial" w:hAnsi="Arial" w:cs="Arial"/>
        </w:rPr>
        <w:t>subsanabilidad</w:t>
      </w:r>
      <w:proofErr w:type="spellEnd"/>
      <w:r w:rsidRPr="00D3097B">
        <w:rPr>
          <w:rFonts w:ascii="Arial" w:hAnsi="Arial" w:cs="Arial"/>
        </w:rPr>
        <w:t xml:space="preserve"> no procede frente aquellos requisitos de la oferta que afectan la asignación de puntaje.</w:t>
      </w:r>
    </w:p>
    <w:bookmarkEnd w:id="22"/>
    <w:p w14:paraId="010AB7F8" w14:textId="77777777" w:rsidR="00795F6F" w:rsidRPr="00D3097B" w:rsidRDefault="00795F6F" w:rsidP="00795F6F">
      <w:pPr>
        <w:tabs>
          <w:tab w:val="left" w:pos="2940"/>
        </w:tabs>
        <w:spacing w:after="0" w:line="240" w:lineRule="auto"/>
        <w:ind w:right="758"/>
        <w:jc w:val="both"/>
        <w:rPr>
          <w:rFonts w:ascii="Arial" w:hAnsi="Arial" w:cs="Arial"/>
          <w:iCs/>
          <w:color w:val="FF0000"/>
          <w:sz w:val="24"/>
          <w:lang w:val="es-MX"/>
        </w:rPr>
      </w:pPr>
    </w:p>
    <w:p w14:paraId="13405FEA" w14:textId="77777777" w:rsidR="00795F6F" w:rsidRPr="00D3097B" w:rsidRDefault="00795F6F" w:rsidP="00795F6F">
      <w:pPr>
        <w:spacing w:after="0" w:line="276" w:lineRule="auto"/>
        <w:jc w:val="both"/>
        <w:rPr>
          <w:rFonts w:ascii="Arial" w:eastAsia="Calibri" w:hAnsi="Arial" w:cs="Arial"/>
          <w:b/>
          <w:bCs/>
          <w:color w:val="000000" w:themeColor="text1"/>
        </w:rPr>
      </w:pPr>
      <w:bookmarkStart w:id="26" w:name="_Hlk100756799"/>
      <w:bookmarkStart w:id="27" w:name="_Hlk113813956"/>
      <w:r w:rsidRPr="00D3097B">
        <w:rPr>
          <w:rFonts w:ascii="Arial" w:eastAsia="Arial" w:hAnsi="Arial" w:cs="Arial"/>
          <w:b/>
          <w:bCs/>
          <w:sz w:val="24"/>
          <w:lang w:val="es-MX"/>
        </w:rPr>
        <w:t xml:space="preserve">2.3.2. </w:t>
      </w:r>
      <w:bookmarkStart w:id="28" w:name="_Hlk114042441"/>
      <w:r w:rsidRPr="00D3097B">
        <w:rPr>
          <w:rFonts w:ascii="Arial" w:hAnsi="Arial" w:cs="Arial"/>
          <w:b/>
          <w:bCs/>
          <w:color w:val="000000" w:themeColor="text1"/>
          <w:lang w:val="es-MX"/>
        </w:rPr>
        <w:t>Formato 9A - Promoción de Servicios Nacionales o con Trato Nacional</w:t>
      </w:r>
    </w:p>
    <w:bookmarkEnd w:id="28"/>
    <w:p w14:paraId="27AC5E0A" w14:textId="77777777" w:rsidR="00795F6F" w:rsidRPr="00D3097B" w:rsidRDefault="00795F6F" w:rsidP="00795F6F">
      <w:pPr>
        <w:spacing w:after="0" w:line="276" w:lineRule="auto"/>
        <w:ind w:right="51"/>
        <w:jc w:val="both"/>
        <w:rPr>
          <w:rFonts w:ascii="Arial" w:hAnsi="Arial" w:cs="Arial"/>
          <w:lang w:val="es-MX"/>
        </w:rPr>
      </w:pPr>
    </w:p>
    <w:bookmarkEnd w:id="26"/>
    <w:p w14:paraId="1AA0764C" w14:textId="77777777" w:rsidR="00795F6F" w:rsidRPr="00D3097B" w:rsidRDefault="00795F6F" w:rsidP="00795F6F">
      <w:pPr>
        <w:spacing w:after="0" w:line="276" w:lineRule="auto"/>
        <w:ind w:right="51"/>
        <w:jc w:val="both"/>
        <w:rPr>
          <w:rFonts w:ascii="Arial" w:hAnsi="Arial" w:cs="Arial"/>
          <w:lang w:val="es-MX"/>
        </w:rPr>
      </w:pPr>
      <w:r w:rsidRPr="00D3097B">
        <w:rPr>
          <w:rFonts w:ascii="Arial" w:hAnsi="Arial" w:cs="Arial"/>
          <w:iCs/>
          <w:lang w:val="es-MX"/>
        </w:rPr>
        <w:t xml:space="preserve">Como se ha venido señalando, para optar al otorgamiento del puntaje por apoyo a la industria nacional los proponentes nacionales deben presentar los documentos anteriormente enunciados, acompañados del </w:t>
      </w:r>
      <w:bookmarkStart w:id="29" w:name="_Hlk106095227"/>
      <w:r w:rsidRPr="00D3097B">
        <w:rPr>
          <w:rFonts w:ascii="Arial" w:hAnsi="Arial" w:cs="Arial"/>
          <w:lang w:val="es-MX"/>
        </w:rPr>
        <w:t>“Formato 9A - Promoción de Servicios Nacionales o con Trato Nacional”.</w:t>
      </w:r>
      <w:bookmarkEnd w:id="29"/>
      <w:r w:rsidRPr="00D3097B">
        <w:rPr>
          <w:rFonts w:ascii="Arial" w:hAnsi="Arial" w:cs="Arial"/>
          <w:lang w:val="es-MX"/>
        </w:rPr>
        <w:t xml:space="preserve"> Este formato comienza con la siguiente nota aclaratoria de su alcance: </w:t>
      </w:r>
    </w:p>
    <w:p w14:paraId="18E6F679" w14:textId="77777777" w:rsidR="00795F6F" w:rsidRPr="00D3097B" w:rsidRDefault="00795F6F" w:rsidP="00795F6F">
      <w:pPr>
        <w:spacing w:after="0" w:line="276" w:lineRule="auto"/>
        <w:ind w:right="49" w:firstLine="709"/>
        <w:contextualSpacing/>
        <w:jc w:val="both"/>
        <w:rPr>
          <w:rFonts w:ascii="Arial" w:hAnsi="Arial" w:cs="Arial"/>
          <w:color w:val="000000" w:themeColor="text1"/>
          <w:lang w:val="es-MX"/>
        </w:rPr>
      </w:pPr>
    </w:p>
    <w:p w14:paraId="6F8A4C45" w14:textId="77777777" w:rsidR="00795F6F" w:rsidRPr="00D3097B" w:rsidRDefault="00795F6F" w:rsidP="00795F6F">
      <w:pPr>
        <w:spacing w:after="0" w:line="240" w:lineRule="auto"/>
        <w:ind w:left="709" w:right="709"/>
        <w:contextualSpacing/>
        <w:jc w:val="both"/>
        <w:rPr>
          <w:rFonts w:ascii="Arial" w:hAnsi="Arial" w:cs="Arial"/>
          <w:color w:val="000000" w:themeColor="text1"/>
          <w:sz w:val="21"/>
          <w:szCs w:val="21"/>
          <w:lang w:val="es-MX"/>
        </w:rPr>
      </w:pPr>
      <w:r w:rsidRPr="00D3097B">
        <w:rPr>
          <w:rFonts w:ascii="Arial" w:hAnsi="Arial" w:cs="Arial"/>
          <w:color w:val="000000" w:themeColor="text1"/>
          <w:sz w:val="21"/>
          <w:szCs w:val="21"/>
          <w:lang w:val="es-MX"/>
        </w:rPr>
        <w:t xml:space="preserve">“[Este Formato ÚNICAMENTE debe ser diligenciado por los Proponentes nacionales o extranjeros con trato nacional, o los Proponentes Plurales integrados por estos. En ningún caso el Formato debe diligenciarse por los Proponentes extranjeros sin derecho a trato nacional que opten por el puntaje correspondiente a la incorporación de componente nacional en servicios extranjeros]”. </w:t>
      </w:r>
    </w:p>
    <w:p w14:paraId="279CE020" w14:textId="77777777" w:rsidR="00795F6F" w:rsidRPr="00D3097B" w:rsidRDefault="00795F6F" w:rsidP="00795F6F">
      <w:pPr>
        <w:spacing w:after="0" w:line="276" w:lineRule="auto"/>
        <w:ind w:left="709" w:right="709"/>
        <w:contextualSpacing/>
        <w:jc w:val="both"/>
        <w:rPr>
          <w:rFonts w:ascii="Arial" w:hAnsi="Arial" w:cs="Arial"/>
          <w:color w:val="000000" w:themeColor="text1"/>
          <w:lang w:val="es-MX"/>
        </w:rPr>
      </w:pPr>
    </w:p>
    <w:p w14:paraId="484F00D1" w14:textId="77777777" w:rsidR="00795F6F" w:rsidRPr="00D3097B" w:rsidRDefault="00795F6F" w:rsidP="00795F6F">
      <w:pPr>
        <w:spacing w:after="120" w:line="276" w:lineRule="auto"/>
        <w:ind w:firstLine="709"/>
        <w:jc w:val="both"/>
        <w:rPr>
          <w:rFonts w:ascii="Arial" w:hAnsi="Arial" w:cs="Arial"/>
          <w:color w:val="000000" w:themeColor="text1"/>
          <w:lang w:val="es-MX"/>
        </w:rPr>
      </w:pPr>
      <w:r w:rsidRPr="00D3097B">
        <w:rPr>
          <w:rFonts w:ascii="Arial" w:hAnsi="Arial" w:cs="Arial"/>
          <w:color w:val="000000" w:themeColor="text1"/>
          <w:lang w:val="es-MX"/>
        </w:rPr>
        <w:t xml:space="preserve">De acuerdo con el ámbito de aplicación de la primera franja del puntaje por apoyo a la industria nacional, el </w:t>
      </w:r>
      <w:r w:rsidRPr="00D3097B">
        <w:rPr>
          <w:rFonts w:ascii="Arial" w:hAnsi="Arial" w:cs="Arial"/>
          <w:lang w:val="es-MX"/>
        </w:rPr>
        <w:t>“</w:t>
      </w:r>
      <w:r w:rsidRPr="00D3097B">
        <w:rPr>
          <w:rFonts w:ascii="Arial" w:hAnsi="Arial" w:cs="Arial"/>
          <w:color w:val="000000" w:themeColor="text1"/>
          <w:lang w:val="es-MX"/>
        </w:rPr>
        <w:t>Formato 9ª</w:t>
      </w:r>
      <w:r w:rsidRPr="00D3097B">
        <w:rPr>
          <w:rFonts w:ascii="Arial" w:hAnsi="Arial" w:cs="Arial"/>
          <w:lang w:val="es-MX"/>
        </w:rPr>
        <w:t>”</w:t>
      </w:r>
      <w:r w:rsidRPr="00D3097B">
        <w:rPr>
          <w:rFonts w:ascii="Arial" w:hAnsi="Arial" w:cs="Arial"/>
          <w:color w:val="000000" w:themeColor="text1"/>
          <w:lang w:val="es-MX"/>
        </w:rPr>
        <w:t xml:space="preserve"> solo debe ser diligenciado por proponentes nacionales o extranjeros con derecho a trato nacional, al igual que por los proponentes plurales que </w:t>
      </w:r>
      <w:r w:rsidRPr="00D3097B">
        <w:rPr>
          <w:rFonts w:ascii="Arial" w:hAnsi="Arial" w:cs="Arial"/>
          <w:color w:val="000000" w:themeColor="text1"/>
          <w:lang w:val="es-MX"/>
        </w:rPr>
        <w:lastRenderedPageBreak/>
        <w:t xml:space="preserve">estos conformen. Lo anterior comoquiera que son estos los sujetos habilitados para acceder al puntaje al que se refiere el primer inciso del artículo 2 de la Ley 816 de 2003.  </w:t>
      </w:r>
    </w:p>
    <w:bookmarkEnd w:id="27"/>
    <w:p w14:paraId="19DF3FEC" w14:textId="62FD67CB" w:rsidR="00795F6F" w:rsidRPr="00D3097B" w:rsidRDefault="00795F6F" w:rsidP="00795F6F">
      <w:pPr>
        <w:spacing w:after="0" w:line="276" w:lineRule="auto"/>
        <w:ind w:firstLine="709"/>
        <w:jc w:val="both"/>
        <w:rPr>
          <w:rFonts w:ascii="Arial" w:hAnsi="Arial" w:cs="Arial"/>
          <w:color w:val="000000" w:themeColor="text1"/>
          <w:sz w:val="24"/>
          <w:lang w:val="es-MX"/>
        </w:rPr>
      </w:pPr>
      <w:r w:rsidRPr="00D3097B">
        <w:rPr>
          <w:rFonts w:ascii="Arial" w:hAnsi="Arial" w:cs="Arial"/>
          <w:color w:val="000000" w:themeColor="text1"/>
          <w:lang w:val="es-MX"/>
        </w:rPr>
        <w:t xml:space="preserve">El </w:t>
      </w:r>
      <w:r w:rsidRPr="00D3097B">
        <w:rPr>
          <w:rFonts w:ascii="Arial" w:hAnsi="Arial" w:cs="Arial"/>
          <w:lang w:val="es-MX"/>
        </w:rPr>
        <w:t>“</w:t>
      </w:r>
      <w:r w:rsidRPr="00D3097B">
        <w:rPr>
          <w:rFonts w:ascii="Arial" w:hAnsi="Arial" w:cs="Arial"/>
          <w:color w:val="000000" w:themeColor="text1"/>
          <w:lang w:val="es-MX"/>
        </w:rPr>
        <w:t>Formato 9A</w:t>
      </w:r>
      <w:r w:rsidRPr="00D3097B">
        <w:rPr>
          <w:rFonts w:ascii="Arial" w:hAnsi="Arial" w:cs="Arial"/>
          <w:lang w:val="es-MX"/>
        </w:rPr>
        <w:t>”</w:t>
      </w:r>
      <w:r w:rsidRPr="00D3097B">
        <w:rPr>
          <w:rFonts w:ascii="Arial" w:hAnsi="Arial" w:cs="Arial"/>
          <w:color w:val="000000" w:themeColor="text1"/>
          <w:lang w:val="es-MX"/>
        </w:rPr>
        <w:t xml:space="preserve"> recoge en su contenido los diferentes parámetros introducidos por el Decreto 680 de 2021, a efectos de calificar el servicio ofertado como nacional, y, en consecuencia, otorgar el puntaje por apoyo a la industria nacional proponente que presente el mencionado formato debidamente diligenciado, acompañado de la documentación correspondiente. Conforme a esto, el Formato 9A es el documento destinado a recoger el compromiso de los proponentes de incorporar los bienes nacionales relevantes establecidos por la entidad, o en su defecto de vincular el porcentaje mínimo de personal para la ejecución del contrato y, en el caso de los proponentes extranjeros con derecho a trato nacional, para manifestar su voluntad de acogerse a la regla de origen del respectivo país. Para estos efectos, el </w:t>
      </w:r>
      <w:r w:rsidRPr="00D3097B">
        <w:rPr>
          <w:rFonts w:ascii="Arial" w:hAnsi="Arial" w:cs="Arial"/>
          <w:lang w:val="es-MX"/>
        </w:rPr>
        <w:t>“</w:t>
      </w:r>
      <w:r w:rsidRPr="00D3097B">
        <w:rPr>
          <w:rFonts w:ascii="Arial" w:hAnsi="Arial" w:cs="Arial"/>
          <w:color w:val="000000" w:themeColor="text1"/>
          <w:lang w:val="es-MX"/>
        </w:rPr>
        <w:t xml:space="preserve">Formato </w:t>
      </w:r>
      <w:r w:rsidR="00A66F8D" w:rsidRPr="00D3097B">
        <w:rPr>
          <w:rFonts w:ascii="Arial" w:hAnsi="Arial" w:cs="Arial"/>
          <w:color w:val="000000" w:themeColor="text1"/>
          <w:lang w:val="es-MX"/>
        </w:rPr>
        <w:t>9A</w:t>
      </w:r>
      <w:r w:rsidRPr="00D3097B">
        <w:rPr>
          <w:rFonts w:ascii="Arial" w:hAnsi="Arial" w:cs="Arial"/>
          <w:lang w:val="es-MX"/>
        </w:rPr>
        <w:t>”</w:t>
      </w:r>
      <w:r w:rsidRPr="00D3097B">
        <w:rPr>
          <w:rFonts w:ascii="Arial" w:hAnsi="Arial" w:cs="Arial"/>
          <w:color w:val="000000" w:themeColor="text1"/>
          <w:lang w:val="es-MX"/>
        </w:rPr>
        <w:t xml:space="preserve"> contempla las siguientes opciones:</w:t>
      </w:r>
    </w:p>
    <w:p w14:paraId="24A40D17" w14:textId="77777777" w:rsidR="00795F6F" w:rsidRPr="00D3097B" w:rsidRDefault="00795F6F" w:rsidP="00795F6F">
      <w:pPr>
        <w:spacing w:after="0" w:line="276" w:lineRule="auto"/>
        <w:ind w:firstLine="709"/>
        <w:contextualSpacing/>
        <w:jc w:val="both"/>
        <w:rPr>
          <w:rFonts w:ascii="Arial" w:hAnsi="Arial" w:cs="Arial"/>
          <w:color w:val="000000" w:themeColor="text1"/>
          <w:lang w:val="es-MX"/>
        </w:rPr>
      </w:pPr>
    </w:p>
    <w:p w14:paraId="4496E25A" w14:textId="77777777" w:rsidR="00795F6F" w:rsidRPr="00D3097B" w:rsidRDefault="00795F6F" w:rsidP="00795F6F">
      <w:pPr>
        <w:spacing w:after="120" w:line="240" w:lineRule="auto"/>
        <w:ind w:left="709" w:right="709"/>
        <w:jc w:val="both"/>
        <w:rPr>
          <w:rFonts w:ascii="Arial" w:hAnsi="Arial" w:cs="Arial"/>
          <w:color w:val="000000"/>
          <w:sz w:val="21"/>
          <w:szCs w:val="21"/>
          <w:lang w:val="es-MX" w:eastAsia="es-ES"/>
        </w:rPr>
      </w:pPr>
      <w:r w:rsidRPr="00D3097B">
        <w:rPr>
          <w:rFonts w:ascii="Arial" w:hAnsi="Arial" w:cs="Arial"/>
          <w:color w:val="000000"/>
          <w:sz w:val="20"/>
          <w:szCs w:val="20"/>
          <w:lang w:val="es-MX" w:eastAsia="es-ES"/>
        </w:rPr>
        <w:t>[</w:t>
      </w:r>
      <w:r w:rsidRPr="00D3097B">
        <w:rPr>
          <w:rFonts w:ascii="Arial" w:hAnsi="Arial" w:cs="Arial"/>
          <w:b/>
          <w:bCs/>
          <w:color w:val="000000"/>
          <w:sz w:val="21"/>
          <w:szCs w:val="21"/>
          <w:lang w:val="es-MX" w:eastAsia="es-ES"/>
        </w:rPr>
        <w:t>Opción 1.</w:t>
      </w:r>
      <w:r w:rsidRPr="00D3097B">
        <w:rPr>
          <w:rFonts w:ascii="Arial" w:hAnsi="Arial" w:cs="Arial"/>
          <w:color w:val="000000"/>
          <w:sz w:val="21"/>
          <w:szCs w:val="21"/>
          <w:lang w:val="es-MX" w:eastAsia="es-ES"/>
        </w:rPr>
        <w:t xml:space="preserve"> Incorporar si la Entidad Estatal determina que existe al menos un bien nacional relevante contenido en el Registro de Productores de Bienes Nacionales, aplicando la definición de Servicios Nacionales del artículo 2.2.1.1.1.3.1 del Decreto 1082 de 2015 y la metodología definida en la Matriz 4- Bienes nacionales relevantes para la obra pública del sector transporte]</w:t>
      </w:r>
    </w:p>
    <w:p w14:paraId="6B767CF8" w14:textId="77777777" w:rsidR="00795F6F" w:rsidRPr="00D3097B" w:rsidRDefault="00795F6F" w:rsidP="00795F6F">
      <w:pPr>
        <w:spacing w:after="120" w:line="240" w:lineRule="auto"/>
        <w:ind w:left="709" w:right="709"/>
        <w:jc w:val="both"/>
        <w:rPr>
          <w:rFonts w:ascii="Arial" w:hAnsi="Arial" w:cs="Arial"/>
          <w:sz w:val="21"/>
          <w:szCs w:val="21"/>
          <w:lang w:val="es-MX" w:eastAsia="es-ES" w:bidi="en-US"/>
        </w:rPr>
      </w:pPr>
      <w:r w:rsidRPr="00D3097B">
        <w:rPr>
          <w:rFonts w:ascii="Arial" w:hAnsi="Arial" w:cs="Arial"/>
          <w:sz w:val="21"/>
          <w:szCs w:val="21"/>
          <w:lang w:val="es-MX" w:eastAsia="es-ES" w:bidi="en-US"/>
        </w:rPr>
        <w:t xml:space="preserve">Manifiesto bajo la gravedad del juramento que en caso de resultar adjudicatario incorporaré a la ejecución del contrato los bienes nacionales relevantes establecidos por la Entidad Estatal en el Pliego de Condiciones: </w:t>
      </w:r>
    </w:p>
    <w:p w14:paraId="3BA533F9" w14:textId="77777777" w:rsidR="00795F6F" w:rsidRPr="00D3097B" w:rsidRDefault="00795F6F" w:rsidP="00795F6F">
      <w:pPr>
        <w:spacing w:after="0" w:line="240" w:lineRule="auto"/>
        <w:ind w:left="709" w:right="709"/>
        <w:contextualSpacing/>
        <w:jc w:val="both"/>
        <w:rPr>
          <w:rFonts w:ascii="Arial" w:hAnsi="Arial" w:cs="Arial"/>
          <w:sz w:val="21"/>
          <w:szCs w:val="21"/>
          <w:lang w:val="es-MX" w:eastAsia="es-ES" w:bidi="en-US"/>
        </w:rPr>
      </w:pPr>
    </w:p>
    <w:tbl>
      <w:tblPr>
        <w:tblW w:w="71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79"/>
        <w:gridCol w:w="1244"/>
        <w:gridCol w:w="1261"/>
        <w:gridCol w:w="1092"/>
        <w:gridCol w:w="1539"/>
        <w:gridCol w:w="1529"/>
      </w:tblGrid>
      <w:tr w:rsidR="00795F6F" w:rsidRPr="00D3097B" w14:paraId="75592505" w14:textId="77777777" w:rsidTr="003C5E83">
        <w:trPr>
          <w:trHeight w:val="685"/>
          <w:tblHeader/>
          <w:jc w:val="center"/>
        </w:trPr>
        <w:tc>
          <w:tcPr>
            <w:tcW w:w="479"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4BC7B74A" w14:textId="77777777" w:rsidR="00795F6F" w:rsidRPr="00D3097B" w:rsidRDefault="00795F6F" w:rsidP="00795F6F">
            <w:pPr>
              <w:spacing w:after="0" w:line="240" w:lineRule="auto"/>
              <w:contextualSpacing/>
              <w:jc w:val="center"/>
              <w:rPr>
                <w:rFonts w:ascii="Arial" w:hAnsi="Arial" w:cs="Arial"/>
                <w:b/>
                <w:caps/>
                <w:noProof/>
                <w:color w:val="FFFFFF"/>
                <w:sz w:val="21"/>
                <w:szCs w:val="21"/>
                <w:lang w:val="es-ES" w:eastAsia="es-ES"/>
              </w:rPr>
            </w:pPr>
            <w:r w:rsidRPr="00D3097B">
              <w:rPr>
                <w:rFonts w:ascii="Arial" w:hAnsi="Arial" w:cs="Arial"/>
                <w:b/>
                <w:bCs/>
                <w:noProof/>
                <w:color w:val="FFFFFF"/>
                <w:sz w:val="21"/>
                <w:szCs w:val="21"/>
                <w:lang w:val="es-ES" w:eastAsia="es-ES"/>
              </w:rPr>
              <w:t>No.</w:t>
            </w:r>
          </w:p>
        </w:tc>
        <w:tc>
          <w:tcPr>
            <w:tcW w:w="1244"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47CF77EF" w14:textId="77777777" w:rsidR="00795F6F" w:rsidRPr="00D3097B" w:rsidRDefault="00795F6F" w:rsidP="00795F6F">
            <w:pPr>
              <w:spacing w:after="0" w:line="240" w:lineRule="auto"/>
              <w:contextualSpacing/>
              <w:jc w:val="center"/>
              <w:rPr>
                <w:rFonts w:ascii="Arial" w:hAnsi="Arial" w:cs="Arial"/>
                <w:b/>
                <w:caps/>
                <w:color w:val="FFFFFF"/>
                <w:sz w:val="21"/>
                <w:szCs w:val="21"/>
                <w:lang w:val="es-ES" w:eastAsia="es-ES"/>
              </w:rPr>
            </w:pPr>
            <w:r w:rsidRPr="00D3097B">
              <w:rPr>
                <w:rFonts w:ascii="Arial" w:hAnsi="Arial" w:cs="Arial"/>
                <w:b/>
                <w:bCs/>
                <w:color w:val="FFFFFF"/>
                <w:sz w:val="21"/>
                <w:szCs w:val="21"/>
                <w:lang w:val="es-ES" w:eastAsia="es-ES"/>
              </w:rPr>
              <w:t>Bien nacional relevante</w:t>
            </w:r>
          </w:p>
        </w:tc>
        <w:tc>
          <w:tcPr>
            <w:tcW w:w="1261" w:type="dxa"/>
            <w:tcBorders>
              <w:top w:val="double" w:sz="4" w:space="0" w:color="auto"/>
              <w:left w:val="single" w:sz="6" w:space="0" w:color="auto"/>
              <w:bottom w:val="single" w:sz="6" w:space="0" w:color="auto"/>
              <w:right w:val="double" w:sz="4" w:space="0" w:color="auto"/>
            </w:tcBorders>
            <w:shd w:val="clear" w:color="auto" w:fill="3B3838"/>
          </w:tcPr>
          <w:p w14:paraId="7D38F4CC" w14:textId="77777777" w:rsidR="00795F6F" w:rsidRPr="00D3097B" w:rsidRDefault="00795F6F" w:rsidP="00795F6F">
            <w:pPr>
              <w:spacing w:after="0" w:line="240" w:lineRule="auto"/>
              <w:contextualSpacing/>
              <w:jc w:val="both"/>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Fecha de inscripción</w:t>
            </w:r>
          </w:p>
        </w:tc>
        <w:tc>
          <w:tcPr>
            <w:tcW w:w="1092" w:type="dxa"/>
            <w:tcBorders>
              <w:top w:val="double" w:sz="4" w:space="0" w:color="auto"/>
              <w:left w:val="single" w:sz="6" w:space="0" w:color="auto"/>
              <w:bottom w:val="single" w:sz="6" w:space="0" w:color="auto"/>
              <w:right w:val="double" w:sz="4" w:space="0" w:color="auto"/>
            </w:tcBorders>
            <w:shd w:val="clear" w:color="auto" w:fill="3B3838"/>
          </w:tcPr>
          <w:p w14:paraId="0D14224F" w14:textId="77777777" w:rsidR="00795F6F" w:rsidRPr="00D3097B" w:rsidRDefault="00795F6F" w:rsidP="00795F6F">
            <w:pPr>
              <w:spacing w:after="0" w:line="240" w:lineRule="auto"/>
              <w:contextualSpacing/>
              <w:jc w:val="both"/>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Fecha de vigencia</w:t>
            </w:r>
          </w:p>
        </w:tc>
        <w:tc>
          <w:tcPr>
            <w:tcW w:w="1539" w:type="dxa"/>
            <w:tcBorders>
              <w:top w:val="double" w:sz="4" w:space="0" w:color="auto"/>
              <w:left w:val="single" w:sz="6" w:space="0" w:color="auto"/>
              <w:bottom w:val="single" w:sz="6" w:space="0" w:color="auto"/>
              <w:right w:val="double" w:sz="4" w:space="0" w:color="auto"/>
            </w:tcBorders>
            <w:shd w:val="clear" w:color="auto" w:fill="3B3838"/>
          </w:tcPr>
          <w:p w14:paraId="5874EF43" w14:textId="77777777" w:rsidR="00795F6F" w:rsidRPr="00D3097B" w:rsidRDefault="00795F6F" w:rsidP="00795F6F">
            <w:pPr>
              <w:spacing w:after="0" w:line="240" w:lineRule="auto"/>
              <w:contextualSpacing/>
              <w:jc w:val="center"/>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No. de partida arancelaria</w:t>
            </w:r>
          </w:p>
        </w:tc>
        <w:tc>
          <w:tcPr>
            <w:tcW w:w="1529" w:type="dxa"/>
            <w:tcBorders>
              <w:top w:val="double" w:sz="4" w:space="0" w:color="auto"/>
              <w:left w:val="single" w:sz="6" w:space="0" w:color="auto"/>
              <w:bottom w:val="single" w:sz="6" w:space="0" w:color="auto"/>
              <w:right w:val="double" w:sz="4" w:space="0" w:color="auto"/>
            </w:tcBorders>
            <w:shd w:val="clear" w:color="auto" w:fill="3B3838"/>
          </w:tcPr>
          <w:p w14:paraId="190BD0E2" w14:textId="77777777" w:rsidR="00795F6F" w:rsidRPr="00D3097B" w:rsidRDefault="00795F6F" w:rsidP="00795F6F">
            <w:pPr>
              <w:spacing w:after="0" w:line="240" w:lineRule="auto"/>
              <w:contextualSpacing/>
              <w:jc w:val="center"/>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 xml:space="preserve">% de participación </w:t>
            </w:r>
          </w:p>
        </w:tc>
      </w:tr>
      <w:tr w:rsidR="00795F6F" w:rsidRPr="00D3097B" w14:paraId="599B5829" w14:textId="77777777" w:rsidTr="003C5E83">
        <w:trPr>
          <w:trHeight w:val="17"/>
          <w:jc w:val="center"/>
        </w:trPr>
        <w:tc>
          <w:tcPr>
            <w:tcW w:w="479" w:type="dxa"/>
            <w:tcBorders>
              <w:top w:val="single" w:sz="6" w:space="0" w:color="auto"/>
              <w:left w:val="double" w:sz="4" w:space="0" w:color="auto"/>
              <w:bottom w:val="single" w:sz="6" w:space="0" w:color="auto"/>
              <w:right w:val="single" w:sz="6" w:space="0" w:color="auto"/>
            </w:tcBorders>
            <w:vAlign w:val="center"/>
          </w:tcPr>
          <w:p w14:paraId="77EE367C" w14:textId="77777777" w:rsidR="00795F6F" w:rsidRPr="00D3097B" w:rsidRDefault="00795F6F" w:rsidP="00795F6F">
            <w:pPr>
              <w:spacing w:after="0" w:line="240" w:lineRule="auto"/>
              <w:contextualSpacing/>
              <w:jc w:val="center"/>
              <w:rPr>
                <w:rFonts w:ascii="Arial" w:hAnsi="Arial" w:cs="Arial"/>
                <w:caps/>
                <w:sz w:val="21"/>
                <w:szCs w:val="21"/>
                <w:lang w:val="es-ES" w:eastAsia="es-ES"/>
              </w:rPr>
            </w:pPr>
            <w:r w:rsidRPr="00D3097B">
              <w:rPr>
                <w:rFonts w:ascii="Arial" w:hAnsi="Arial" w:cs="Arial"/>
                <w:caps/>
                <w:sz w:val="21"/>
                <w:szCs w:val="21"/>
                <w:lang w:val="es-ES" w:eastAsia="es-ES"/>
              </w:rPr>
              <w:t>1.</w:t>
            </w:r>
          </w:p>
        </w:tc>
        <w:tc>
          <w:tcPr>
            <w:tcW w:w="1244" w:type="dxa"/>
            <w:tcBorders>
              <w:top w:val="single" w:sz="6" w:space="0" w:color="auto"/>
              <w:left w:val="single" w:sz="6" w:space="0" w:color="auto"/>
              <w:bottom w:val="single" w:sz="6" w:space="0" w:color="auto"/>
              <w:right w:val="double" w:sz="4" w:space="0" w:color="auto"/>
            </w:tcBorders>
            <w:vAlign w:val="center"/>
          </w:tcPr>
          <w:p w14:paraId="08AD350D" w14:textId="77777777" w:rsidR="00795F6F" w:rsidRPr="00D3097B" w:rsidRDefault="00795F6F" w:rsidP="00795F6F">
            <w:pPr>
              <w:spacing w:after="0" w:line="240" w:lineRule="auto"/>
              <w:ind w:left="284"/>
              <w:contextualSpacing/>
              <w:jc w:val="center"/>
              <w:rPr>
                <w:rFonts w:ascii="Arial" w:hAnsi="Arial" w:cs="Arial"/>
                <w:caps/>
                <w:sz w:val="21"/>
                <w:szCs w:val="21"/>
                <w:lang w:val="es-ES" w:eastAsia="es-ES"/>
              </w:rPr>
            </w:pPr>
          </w:p>
        </w:tc>
        <w:tc>
          <w:tcPr>
            <w:tcW w:w="1261" w:type="dxa"/>
            <w:tcBorders>
              <w:top w:val="single" w:sz="6" w:space="0" w:color="auto"/>
              <w:left w:val="single" w:sz="6" w:space="0" w:color="auto"/>
              <w:bottom w:val="single" w:sz="6" w:space="0" w:color="auto"/>
              <w:right w:val="double" w:sz="4" w:space="0" w:color="auto"/>
            </w:tcBorders>
          </w:tcPr>
          <w:p w14:paraId="77D8ECE4"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c>
          <w:tcPr>
            <w:tcW w:w="1092" w:type="dxa"/>
            <w:tcBorders>
              <w:top w:val="single" w:sz="6" w:space="0" w:color="auto"/>
              <w:left w:val="single" w:sz="6" w:space="0" w:color="auto"/>
              <w:bottom w:val="single" w:sz="6" w:space="0" w:color="auto"/>
              <w:right w:val="double" w:sz="4" w:space="0" w:color="auto"/>
            </w:tcBorders>
          </w:tcPr>
          <w:p w14:paraId="5804D75F"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c>
          <w:tcPr>
            <w:tcW w:w="1539" w:type="dxa"/>
            <w:tcBorders>
              <w:top w:val="single" w:sz="6" w:space="0" w:color="auto"/>
              <w:left w:val="single" w:sz="6" w:space="0" w:color="auto"/>
              <w:bottom w:val="single" w:sz="6" w:space="0" w:color="auto"/>
              <w:right w:val="double" w:sz="4" w:space="0" w:color="auto"/>
            </w:tcBorders>
          </w:tcPr>
          <w:p w14:paraId="4CC72AC2"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c>
          <w:tcPr>
            <w:tcW w:w="1529" w:type="dxa"/>
            <w:tcBorders>
              <w:top w:val="single" w:sz="6" w:space="0" w:color="auto"/>
              <w:left w:val="single" w:sz="6" w:space="0" w:color="auto"/>
              <w:bottom w:val="single" w:sz="6" w:space="0" w:color="auto"/>
              <w:right w:val="double" w:sz="4" w:space="0" w:color="auto"/>
            </w:tcBorders>
          </w:tcPr>
          <w:p w14:paraId="0FC026C0"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r>
      <w:tr w:rsidR="00795F6F" w:rsidRPr="00D3097B" w14:paraId="50173431" w14:textId="77777777" w:rsidTr="003C5E83">
        <w:trPr>
          <w:trHeight w:val="17"/>
          <w:jc w:val="center"/>
        </w:trPr>
        <w:tc>
          <w:tcPr>
            <w:tcW w:w="479" w:type="dxa"/>
            <w:tcBorders>
              <w:top w:val="single" w:sz="6" w:space="0" w:color="auto"/>
              <w:left w:val="double" w:sz="4" w:space="0" w:color="auto"/>
              <w:bottom w:val="double" w:sz="4" w:space="0" w:color="auto"/>
              <w:right w:val="single" w:sz="6" w:space="0" w:color="auto"/>
            </w:tcBorders>
            <w:vAlign w:val="center"/>
          </w:tcPr>
          <w:p w14:paraId="3791F084" w14:textId="77777777" w:rsidR="00795F6F" w:rsidRPr="00D3097B" w:rsidRDefault="00795F6F" w:rsidP="00795F6F">
            <w:pPr>
              <w:spacing w:after="0" w:line="240" w:lineRule="auto"/>
              <w:contextualSpacing/>
              <w:jc w:val="center"/>
              <w:rPr>
                <w:rFonts w:ascii="Arial" w:hAnsi="Arial" w:cs="Arial"/>
                <w:caps/>
                <w:noProof/>
                <w:sz w:val="21"/>
                <w:szCs w:val="21"/>
                <w:lang w:val="es-ES" w:eastAsia="es-ES"/>
              </w:rPr>
            </w:pPr>
            <w:r w:rsidRPr="00D3097B">
              <w:rPr>
                <w:rFonts w:ascii="Arial" w:hAnsi="Arial" w:cs="Arial"/>
                <w:caps/>
                <w:noProof/>
                <w:sz w:val="21"/>
                <w:szCs w:val="21"/>
                <w:lang w:val="es-ES" w:eastAsia="es-ES"/>
              </w:rPr>
              <w:t>2.</w:t>
            </w:r>
          </w:p>
        </w:tc>
        <w:tc>
          <w:tcPr>
            <w:tcW w:w="1244" w:type="dxa"/>
            <w:tcBorders>
              <w:top w:val="single" w:sz="6" w:space="0" w:color="auto"/>
              <w:left w:val="single" w:sz="6" w:space="0" w:color="auto"/>
              <w:bottom w:val="double" w:sz="4" w:space="0" w:color="auto"/>
              <w:right w:val="double" w:sz="4" w:space="0" w:color="auto"/>
            </w:tcBorders>
            <w:vAlign w:val="center"/>
          </w:tcPr>
          <w:p w14:paraId="74C4C6B3" w14:textId="77777777" w:rsidR="00795F6F" w:rsidRPr="00D3097B" w:rsidRDefault="00795F6F" w:rsidP="00795F6F">
            <w:pPr>
              <w:spacing w:after="0" w:line="240" w:lineRule="auto"/>
              <w:ind w:left="284"/>
              <w:contextualSpacing/>
              <w:jc w:val="center"/>
              <w:rPr>
                <w:rFonts w:ascii="Arial" w:hAnsi="Arial" w:cs="Arial"/>
                <w:caps/>
                <w:sz w:val="21"/>
                <w:szCs w:val="21"/>
                <w:lang w:val="es-ES" w:eastAsia="es-ES"/>
              </w:rPr>
            </w:pPr>
          </w:p>
        </w:tc>
        <w:tc>
          <w:tcPr>
            <w:tcW w:w="1261" w:type="dxa"/>
            <w:tcBorders>
              <w:top w:val="single" w:sz="6" w:space="0" w:color="auto"/>
              <w:left w:val="single" w:sz="6" w:space="0" w:color="auto"/>
              <w:bottom w:val="double" w:sz="4" w:space="0" w:color="auto"/>
              <w:right w:val="double" w:sz="4" w:space="0" w:color="auto"/>
            </w:tcBorders>
          </w:tcPr>
          <w:p w14:paraId="3C07BD8F"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c>
          <w:tcPr>
            <w:tcW w:w="1092" w:type="dxa"/>
            <w:tcBorders>
              <w:top w:val="single" w:sz="6" w:space="0" w:color="auto"/>
              <w:left w:val="single" w:sz="6" w:space="0" w:color="auto"/>
              <w:bottom w:val="double" w:sz="4" w:space="0" w:color="auto"/>
              <w:right w:val="double" w:sz="4" w:space="0" w:color="auto"/>
            </w:tcBorders>
          </w:tcPr>
          <w:p w14:paraId="0FFFEC98"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c>
          <w:tcPr>
            <w:tcW w:w="1539" w:type="dxa"/>
            <w:tcBorders>
              <w:top w:val="single" w:sz="6" w:space="0" w:color="auto"/>
              <w:left w:val="single" w:sz="6" w:space="0" w:color="auto"/>
              <w:bottom w:val="double" w:sz="4" w:space="0" w:color="auto"/>
              <w:right w:val="double" w:sz="4" w:space="0" w:color="auto"/>
            </w:tcBorders>
          </w:tcPr>
          <w:p w14:paraId="68244E4B"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c>
          <w:tcPr>
            <w:tcW w:w="1529" w:type="dxa"/>
            <w:tcBorders>
              <w:top w:val="single" w:sz="6" w:space="0" w:color="auto"/>
              <w:left w:val="single" w:sz="6" w:space="0" w:color="auto"/>
              <w:bottom w:val="double" w:sz="4" w:space="0" w:color="auto"/>
              <w:right w:val="double" w:sz="4" w:space="0" w:color="auto"/>
            </w:tcBorders>
          </w:tcPr>
          <w:p w14:paraId="53DC9399"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r>
    </w:tbl>
    <w:p w14:paraId="253A0CF3" w14:textId="77777777" w:rsidR="00795F6F" w:rsidRPr="00D3097B" w:rsidRDefault="00795F6F" w:rsidP="00795F6F">
      <w:pPr>
        <w:spacing w:after="0" w:line="240" w:lineRule="auto"/>
        <w:ind w:left="284"/>
        <w:contextualSpacing/>
        <w:jc w:val="both"/>
        <w:rPr>
          <w:rFonts w:ascii="Arial" w:hAnsi="Arial" w:cs="Arial"/>
          <w:sz w:val="21"/>
          <w:szCs w:val="21"/>
          <w:lang w:val="es-MX" w:eastAsia="es-ES" w:bidi="en-US"/>
        </w:rPr>
      </w:pPr>
    </w:p>
    <w:p w14:paraId="3F0F9541" w14:textId="77777777" w:rsidR="00795F6F" w:rsidRPr="00D3097B" w:rsidRDefault="00795F6F" w:rsidP="00795F6F">
      <w:pPr>
        <w:spacing w:after="120" w:line="240" w:lineRule="auto"/>
        <w:ind w:left="709" w:right="709"/>
        <w:jc w:val="both"/>
        <w:rPr>
          <w:rFonts w:ascii="Arial" w:hAnsi="Arial" w:cs="Arial"/>
          <w:sz w:val="21"/>
          <w:szCs w:val="21"/>
          <w:lang w:val="es-MX" w:eastAsia="es-ES" w:bidi="en-US"/>
        </w:rPr>
      </w:pPr>
      <w:r w:rsidRPr="00D3097B">
        <w:rPr>
          <w:rFonts w:ascii="Arial" w:hAnsi="Arial" w:cs="Arial"/>
          <w:sz w:val="21"/>
          <w:szCs w:val="21"/>
          <w:lang w:val="es-MX" w:eastAsia="es-ES" w:bidi="en-US"/>
        </w:rPr>
        <w:t xml:space="preserve">El cumplimiento de esta obligación será verificado por la interventoría o la supervisión, según corresponda, durante la ejecución del contrato. A tales efectos, se deberán presentar facturas, órdenes de compras, certificaciones y cualquier otro documento que permita establecer que los bienes empleados para el desarrollo de la obra efectivamente fueron adquiridos a proveedores inscritos en el Registro de Productores de Bienes Nacionales y que fueron obtenidos durante la vigencia del registro de los respectivos bienes. </w:t>
      </w:r>
    </w:p>
    <w:p w14:paraId="53DDA352" w14:textId="77777777" w:rsidR="00795F6F" w:rsidRPr="00D3097B" w:rsidRDefault="00795F6F" w:rsidP="00795F6F">
      <w:pPr>
        <w:spacing w:after="120" w:line="240" w:lineRule="auto"/>
        <w:ind w:left="709" w:right="709"/>
        <w:jc w:val="both"/>
        <w:rPr>
          <w:rFonts w:ascii="Arial" w:hAnsi="Arial" w:cs="Arial"/>
          <w:color w:val="000000"/>
          <w:sz w:val="21"/>
          <w:szCs w:val="21"/>
          <w:lang w:val="es-MX" w:eastAsia="es-ES"/>
        </w:rPr>
      </w:pPr>
      <w:r w:rsidRPr="00D3097B">
        <w:rPr>
          <w:rFonts w:ascii="Arial" w:hAnsi="Arial" w:cs="Arial"/>
          <w:color w:val="000000"/>
          <w:sz w:val="21"/>
          <w:szCs w:val="21"/>
          <w:lang w:val="es-MX" w:eastAsia="es-ES"/>
        </w:rPr>
        <w:t>[</w:t>
      </w:r>
      <w:r w:rsidRPr="00D3097B">
        <w:rPr>
          <w:rFonts w:ascii="Arial" w:hAnsi="Arial" w:cs="Arial"/>
          <w:b/>
          <w:bCs/>
          <w:color w:val="000000"/>
          <w:sz w:val="21"/>
          <w:szCs w:val="21"/>
          <w:lang w:val="es-MX" w:eastAsia="es-ES"/>
        </w:rPr>
        <w:t>Opción 2.</w:t>
      </w:r>
      <w:r w:rsidRPr="00D3097B">
        <w:rPr>
          <w:rFonts w:ascii="Arial" w:hAnsi="Arial" w:cs="Arial"/>
          <w:color w:val="000000"/>
          <w:sz w:val="21"/>
          <w:szCs w:val="21"/>
          <w:lang w:val="es-MX" w:eastAsia="es-ES"/>
        </w:rPr>
        <w:t xml:space="preserve"> Incorporar si la Entidad determina que no existen bienes nacionales relevantes incluidos en el Registro de Productores de Bienes Nacionales, aplicando la definición de Servicios Nacionales del artículo 2.2.1.1.1.3.1 del Decreto 1082 de 2015]  </w:t>
      </w:r>
    </w:p>
    <w:p w14:paraId="78CF7047" w14:textId="77777777" w:rsidR="00795F6F" w:rsidRPr="00D3097B" w:rsidRDefault="00795F6F" w:rsidP="00795F6F">
      <w:pPr>
        <w:spacing w:after="120" w:line="240" w:lineRule="auto"/>
        <w:ind w:left="709" w:right="709"/>
        <w:jc w:val="both"/>
        <w:rPr>
          <w:rFonts w:ascii="Arial" w:hAnsi="Arial" w:cs="Arial"/>
          <w:sz w:val="21"/>
          <w:szCs w:val="21"/>
          <w:lang w:val="es-MX" w:eastAsia="es-ES" w:bidi="en-US"/>
        </w:rPr>
      </w:pPr>
      <w:r w:rsidRPr="00D3097B">
        <w:rPr>
          <w:rFonts w:ascii="Arial" w:hAnsi="Arial" w:cs="Arial"/>
          <w:color w:val="000000"/>
          <w:sz w:val="21"/>
          <w:szCs w:val="21"/>
          <w:lang w:val="es-MX" w:eastAsia="es-ES"/>
        </w:rPr>
        <w:t>Manifiesto bajo la gravedad del juramento que en caso de</w:t>
      </w:r>
      <w:r w:rsidRPr="00D3097B">
        <w:rPr>
          <w:rFonts w:ascii="Arial" w:hAnsi="Arial" w:cs="Arial"/>
          <w:sz w:val="21"/>
          <w:szCs w:val="21"/>
          <w:lang w:val="es-MX" w:eastAsia="es-ES" w:bidi="en-US"/>
        </w:rPr>
        <w:t xml:space="preserve"> resultar adjudicatario para la ejecución del objeto contractual destinaré un porcentaje de empleados o contratistas por prestación de servicios colombianos, de al menos el [el </w:t>
      </w:r>
      <w:r w:rsidRPr="00D3097B">
        <w:rPr>
          <w:rFonts w:ascii="Arial" w:hAnsi="Arial" w:cs="Arial"/>
          <w:sz w:val="21"/>
          <w:szCs w:val="21"/>
          <w:lang w:val="es-MX" w:eastAsia="es-ES" w:bidi="en-US"/>
        </w:rPr>
        <w:lastRenderedPageBreak/>
        <w:t>Proponente</w:t>
      </w:r>
      <w:r w:rsidRPr="00D3097B">
        <w:rPr>
          <w:rFonts w:ascii="Arial" w:eastAsia="Calibri" w:hAnsi="Arial" w:cs="Arial"/>
          <w:color w:val="000000"/>
          <w:sz w:val="21"/>
          <w:szCs w:val="21"/>
          <w:lang w:val="es-ES" w:eastAsia="es-ES"/>
        </w:rPr>
        <w:t xml:space="preserve"> incluirá el porcentaje definido por la Entidad Estatal en el numeral 4.3.1 del documento base que sea por lo menos del cuarenta por ciento (40 %), sin perjuicio de incluir uno superior] </w:t>
      </w:r>
      <w:r w:rsidRPr="00D3097B">
        <w:rPr>
          <w:rFonts w:ascii="Arial" w:hAnsi="Arial" w:cs="Arial"/>
          <w:sz w:val="21"/>
          <w:szCs w:val="21"/>
          <w:lang w:val="es-MX" w:eastAsia="es-ES" w:bidi="en-US"/>
        </w:rPr>
        <w:t>del total del personal requerido para el cumplimiento del contrato.</w:t>
      </w:r>
    </w:p>
    <w:p w14:paraId="49135EC9" w14:textId="77777777" w:rsidR="00795F6F" w:rsidRPr="00D3097B" w:rsidRDefault="00795F6F" w:rsidP="00795F6F">
      <w:pPr>
        <w:spacing w:after="120" w:line="240" w:lineRule="auto"/>
        <w:ind w:left="709" w:right="709"/>
        <w:jc w:val="both"/>
        <w:rPr>
          <w:rFonts w:ascii="Arial" w:hAnsi="Arial" w:cs="Arial"/>
          <w:sz w:val="21"/>
          <w:szCs w:val="21"/>
          <w:lang w:val="es-MX" w:eastAsia="es-ES" w:bidi="en-US"/>
        </w:rPr>
      </w:pPr>
      <w:r w:rsidRPr="00D3097B">
        <w:rPr>
          <w:rFonts w:ascii="Arial" w:hAnsi="Arial" w:cs="Arial"/>
          <w:sz w:val="21"/>
          <w:szCs w:val="21"/>
          <w:lang w:val="es-MX" w:eastAsia="es-ES" w:bidi="en-US"/>
        </w:rPr>
        <w:t xml:space="preserve">Para el cumplimiento de esta obligación, tendrá que verificarse la nacionalidad del personal, para lo que deberá presentarse alguno de los documentos previstos en el numeral 4.3.1.1 del documento base de las personas con las cuales se cumple el porcentaje de personal no inferior al [el Proponente incluirá el porcentaje definido por la Entidad Estatal en el numeral 4.3.1 del documento base que sea por lo menos del cuarenta por ciento (40 %), sin perjuicio de incluir uno superior]. Adicionalmente, el Contratista, a partir de iniciar la ejecución del contrato, deberá allegar mensualmente una declaración expedida por su representante legal en la que conste que mantiene el porcentaje de personal nacional y adjuntar el soporte de la vinculación laboral o por prestación de servicios de ese personal. </w:t>
      </w:r>
    </w:p>
    <w:p w14:paraId="07281CC4" w14:textId="77777777" w:rsidR="00795F6F" w:rsidRPr="00D3097B" w:rsidRDefault="00795F6F" w:rsidP="00795F6F">
      <w:pPr>
        <w:spacing w:after="120" w:line="240" w:lineRule="auto"/>
        <w:ind w:left="709" w:right="709"/>
        <w:jc w:val="both"/>
        <w:rPr>
          <w:rFonts w:ascii="Arial" w:hAnsi="Arial" w:cs="Arial"/>
          <w:color w:val="000000"/>
          <w:sz w:val="21"/>
          <w:szCs w:val="21"/>
          <w:lang w:val="es-MX" w:eastAsia="es-ES"/>
        </w:rPr>
      </w:pPr>
      <w:r w:rsidRPr="00D3097B">
        <w:rPr>
          <w:rFonts w:ascii="Arial" w:hAnsi="Arial" w:cs="Arial"/>
          <w:color w:val="000000"/>
          <w:sz w:val="21"/>
          <w:szCs w:val="21"/>
          <w:lang w:val="es-MX" w:eastAsia="es-ES"/>
        </w:rPr>
        <w:t>[</w:t>
      </w:r>
      <w:r w:rsidRPr="00D3097B">
        <w:rPr>
          <w:rFonts w:ascii="Arial" w:hAnsi="Arial" w:cs="Arial"/>
          <w:b/>
          <w:bCs/>
          <w:color w:val="000000"/>
          <w:sz w:val="21"/>
          <w:szCs w:val="21"/>
          <w:lang w:val="es-MX" w:eastAsia="es-ES"/>
        </w:rPr>
        <w:t>Opción 3.</w:t>
      </w:r>
      <w:r w:rsidRPr="00D3097B">
        <w:rPr>
          <w:rFonts w:ascii="Arial" w:hAnsi="Arial" w:cs="Arial"/>
          <w:color w:val="000000"/>
          <w:sz w:val="21"/>
          <w:szCs w:val="21"/>
          <w:lang w:val="es-MX" w:eastAsia="es-ES"/>
        </w:rPr>
        <w:t xml:space="preserve"> Esta opción ÚNICAMENTE puede ser diligenciada por los proponentes extranjeros con derecho a trato nacional o Proponentes Plurales conformados por estos, que manifiesten su voluntad de acogerse a la regla de origen de su país] </w:t>
      </w:r>
    </w:p>
    <w:p w14:paraId="28E43337" w14:textId="77777777" w:rsidR="00795F6F" w:rsidRPr="00D3097B" w:rsidRDefault="00795F6F" w:rsidP="00795F6F">
      <w:pPr>
        <w:spacing w:after="120" w:line="240" w:lineRule="auto"/>
        <w:ind w:left="709" w:right="709"/>
        <w:jc w:val="both"/>
        <w:rPr>
          <w:rFonts w:ascii="Arial" w:hAnsi="Arial" w:cs="Arial"/>
          <w:sz w:val="21"/>
          <w:szCs w:val="21"/>
          <w:lang w:val="es-MX" w:eastAsia="es-ES" w:bidi="en-US"/>
        </w:rPr>
      </w:pPr>
      <w:r w:rsidRPr="00D3097B">
        <w:rPr>
          <w:rFonts w:ascii="Arial" w:hAnsi="Arial" w:cs="Arial"/>
          <w:sz w:val="21"/>
          <w:szCs w:val="21"/>
          <w:lang w:val="es-MX" w:eastAsia="es-ES" w:bidi="en-US"/>
        </w:rPr>
        <w:t>Manifiesto que los servicios ofrecidos para la eventual ejecución del objeto contractual son originarios de [indicar nombre del país de origen de los servicios], país con el que la República de Colombia [indicar si: A) tiene vigente un Acuerdo Comercial, en los términos del Capítulo VI del documento base; B) ha certificado Trato Nacional por reciprocidad; o C) se trata de un país miembro de la Comunidad Andina de Naciones].</w:t>
      </w:r>
    </w:p>
    <w:p w14:paraId="558D9EAB" w14:textId="77777777" w:rsidR="00795F6F" w:rsidRPr="00D3097B" w:rsidRDefault="00795F6F" w:rsidP="00795F6F">
      <w:pPr>
        <w:spacing w:after="120" w:line="240" w:lineRule="auto"/>
        <w:ind w:left="709" w:right="709"/>
        <w:jc w:val="both"/>
        <w:rPr>
          <w:rFonts w:ascii="Arial" w:hAnsi="Arial" w:cs="Arial"/>
          <w:sz w:val="21"/>
          <w:szCs w:val="21"/>
          <w:lang w:val="es-MX" w:eastAsia="es-ES" w:bidi="en-US"/>
        </w:rPr>
      </w:pPr>
      <w:r w:rsidRPr="00D3097B">
        <w:rPr>
          <w:rFonts w:ascii="Arial" w:hAnsi="Arial" w:cs="Arial"/>
          <w:sz w:val="21"/>
          <w:szCs w:val="21"/>
          <w:lang w:val="es-MX" w:eastAsia="es-ES" w:bidi="en-US"/>
        </w:rPr>
        <w:t xml:space="preserve">A efectos de demostrar el origen de los servicios, me acojo a la regla de origen prevista en [Indicar el instrumento jurídico o comercial en el que se regula la regla de origen del correspondiente país], para lo cual adjunto la siguiente documentación: [Señalar anexos al Formato 9, requeridos para demostrar el origen de los servicios en el correspondiente país]. </w:t>
      </w:r>
    </w:p>
    <w:p w14:paraId="350CF038" w14:textId="2E83C830" w:rsidR="00795F6F" w:rsidRPr="00D3097B" w:rsidRDefault="00795F6F" w:rsidP="00795F6F">
      <w:pPr>
        <w:spacing w:after="120" w:line="276" w:lineRule="auto"/>
        <w:jc w:val="both"/>
        <w:rPr>
          <w:rFonts w:ascii="Arial" w:hAnsi="Arial" w:cs="Arial"/>
          <w:color w:val="000000" w:themeColor="text1"/>
          <w:lang w:val="es-MX"/>
        </w:rPr>
      </w:pPr>
      <w:r w:rsidRPr="00D3097B">
        <w:rPr>
          <w:rFonts w:ascii="Arial" w:hAnsi="Arial" w:cs="Arial"/>
          <w:color w:val="000000" w:themeColor="text1"/>
          <w:lang w:val="es-MX"/>
        </w:rPr>
        <w:tab/>
      </w:r>
      <w:bookmarkStart w:id="30" w:name="_Hlk114042422"/>
      <w:r w:rsidRPr="00D3097B">
        <w:rPr>
          <w:rFonts w:ascii="Arial" w:hAnsi="Arial" w:cs="Arial"/>
          <w:color w:val="000000" w:themeColor="text1"/>
          <w:lang w:val="es-MX"/>
        </w:rPr>
        <w:t xml:space="preserve">Conforme a esto, para obtener el puntaje por apoyo a la industria nacional, las personas naturales colombianas o residentes en Colombia, las personas jurídicas constituidas conforme a la ley nacional, así como los proponentes plurales conformados por estas, deben presentar el </w:t>
      </w:r>
      <w:r w:rsidRPr="00D3097B">
        <w:rPr>
          <w:rFonts w:ascii="Arial" w:hAnsi="Arial" w:cs="Arial"/>
          <w:lang w:val="es-MX"/>
        </w:rPr>
        <w:t>“</w:t>
      </w:r>
      <w:r w:rsidRPr="00D3097B">
        <w:rPr>
          <w:rFonts w:ascii="Arial" w:hAnsi="Arial" w:cs="Arial"/>
          <w:color w:val="000000" w:themeColor="text1"/>
          <w:lang w:val="es-MX"/>
        </w:rPr>
        <w:t xml:space="preserve">Formato </w:t>
      </w:r>
      <w:r w:rsidR="00F96EFE" w:rsidRPr="00D3097B">
        <w:rPr>
          <w:rFonts w:ascii="Arial" w:hAnsi="Arial" w:cs="Arial"/>
          <w:color w:val="000000" w:themeColor="text1"/>
          <w:lang w:val="es-MX"/>
        </w:rPr>
        <w:t>9A</w:t>
      </w:r>
      <w:r w:rsidRPr="00D3097B">
        <w:rPr>
          <w:rFonts w:ascii="Arial" w:hAnsi="Arial" w:cs="Arial"/>
          <w:lang w:val="es-MX"/>
        </w:rPr>
        <w:t>”</w:t>
      </w:r>
      <w:r w:rsidRPr="00D3097B">
        <w:rPr>
          <w:rFonts w:ascii="Arial" w:hAnsi="Arial" w:cs="Arial"/>
          <w:color w:val="000000" w:themeColor="text1"/>
          <w:lang w:val="es-MX"/>
        </w:rPr>
        <w:t xml:space="preserve"> debidamente diligenciado en alguna de las dos primeras opciones, las cuales deben ser diligenciadas en concordancia con la opción establecida por la entidad al diligenciar el numeral 4.3.1. del Documento Base.</w:t>
      </w:r>
    </w:p>
    <w:p w14:paraId="4C6875FA" w14:textId="10A3B36E" w:rsidR="00795F6F" w:rsidRPr="00D3097B" w:rsidRDefault="00795F6F" w:rsidP="00795F6F">
      <w:pPr>
        <w:spacing w:after="120" w:line="276" w:lineRule="auto"/>
        <w:ind w:firstLine="708"/>
        <w:jc w:val="both"/>
        <w:rPr>
          <w:rFonts w:ascii="Arial" w:hAnsi="Arial" w:cs="Arial"/>
          <w:color w:val="000000" w:themeColor="text1"/>
          <w:lang w:val="es-MX"/>
        </w:rPr>
      </w:pPr>
      <w:r w:rsidRPr="00D3097B">
        <w:rPr>
          <w:rFonts w:ascii="Arial" w:hAnsi="Arial" w:cs="Arial"/>
          <w:color w:val="000000" w:themeColor="text1"/>
          <w:lang w:val="es-MX"/>
        </w:rPr>
        <w:t xml:space="preserve"> Esto significa que, para acceder al puntaje con ocasión de la inclusión en la propuesta de los bienes nacionales relevantes identificados por la entidad aplicando la metodología prevista en la Matriz 4, el proponente deberá hacer uso de la Opción 1 del </w:t>
      </w:r>
      <w:r w:rsidRPr="00D3097B">
        <w:rPr>
          <w:rFonts w:ascii="Arial" w:hAnsi="Arial" w:cs="Arial"/>
          <w:lang w:val="es-MX"/>
        </w:rPr>
        <w:t>“</w:t>
      </w:r>
      <w:r w:rsidRPr="00D3097B">
        <w:rPr>
          <w:rFonts w:ascii="Arial" w:hAnsi="Arial" w:cs="Arial"/>
          <w:color w:val="000000" w:themeColor="text1"/>
          <w:lang w:val="es-MX"/>
        </w:rPr>
        <w:t xml:space="preserve">Formato </w:t>
      </w:r>
      <w:r w:rsidR="00A66F8D" w:rsidRPr="00D3097B">
        <w:rPr>
          <w:rFonts w:ascii="Arial" w:hAnsi="Arial" w:cs="Arial"/>
          <w:color w:val="000000" w:themeColor="text1"/>
          <w:lang w:val="es-MX"/>
        </w:rPr>
        <w:t>9A</w:t>
      </w:r>
      <w:r w:rsidRPr="00D3097B">
        <w:rPr>
          <w:rFonts w:ascii="Arial" w:hAnsi="Arial" w:cs="Arial"/>
          <w:lang w:val="es-MX"/>
        </w:rPr>
        <w:t>”</w:t>
      </w:r>
      <w:r w:rsidRPr="00D3097B">
        <w:rPr>
          <w:rFonts w:ascii="Arial" w:hAnsi="Arial" w:cs="Arial"/>
          <w:color w:val="000000" w:themeColor="text1"/>
          <w:lang w:val="es-MX"/>
        </w:rPr>
        <w:t xml:space="preserve"> diligenciando la tabla dispuesta para el efecto y suscribiendo el formato mediante el cual se compromete a incorporar tales bienes en la ejecución del contrato. Por el contrario, si no existen bienes nacionales relevantes, para acceder al puntaje </w:t>
      </w:r>
      <w:proofErr w:type="gramStart"/>
      <w:r w:rsidRPr="00D3097B">
        <w:rPr>
          <w:rFonts w:ascii="Arial" w:hAnsi="Arial" w:cs="Arial"/>
          <w:color w:val="000000" w:themeColor="text1"/>
          <w:lang w:val="es-MX"/>
        </w:rPr>
        <w:t xml:space="preserve">en razón </w:t>
      </w:r>
      <w:r w:rsidRPr="00D3097B">
        <w:rPr>
          <w:rFonts w:ascii="Arial" w:hAnsi="Arial" w:cs="Arial"/>
          <w:color w:val="000000" w:themeColor="text1"/>
          <w:lang w:val="es-MX"/>
        </w:rPr>
        <w:lastRenderedPageBreak/>
        <w:t>de</w:t>
      </w:r>
      <w:proofErr w:type="gramEnd"/>
      <w:r w:rsidRPr="00D3097B">
        <w:rPr>
          <w:rFonts w:ascii="Arial" w:hAnsi="Arial" w:cs="Arial"/>
          <w:color w:val="000000" w:themeColor="text1"/>
          <w:lang w:val="es-MX"/>
        </w:rPr>
        <w:t xml:space="preserve"> la vinculación de un porcentaje no inferior al cuarenta por ciento (40%) del personal requerido para la ejecución del contrato, los proponentes deben diligenciar la Opción 2 del formato en comento.  </w:t>
      </w:r>
    </w:p>
    <w:p w14:paraId="5E82C54B" w14:textId="73273C34" w:rsidR="00795F6F" w:rsidRPr="00D3097B" w:rsidRDefault="00795F6F" w:rsidP="00795F6F">
      <w:pPr>
        <w:spacing w:after="120" w:line="276" w:lineRule="auto"/>
        <w:ind w:firstLine="708"/>
        <w:jc w:val="both"/>
        <w:rPr>
          <w:rFonts w:ascii="Arial" w:hAnsi="Arial" w:cs="Arial"/>
          <w:color w:val="000000" w:themeColor="text1"/>
          <w:lang w:val="es-MX"/>
        </w:rPr>
      </w:pPr>
      <w:r w:rsidRPr="00D3097B">
        <w:rPr>
          <w:rFonts w:ascii="Arial" w:hAnsi="Arial" w:cs="Arial"/>
          <w:color w:val="000000" w:themeColor="text1"/>
          <w:lang w:val="es-MX"/>
        </w:rPr>
        <w:t xml:space="preserve">A las anteriores opciones se suma la </w:t>
      </w:r>
      <w:bookmarkStart w:id="31" w:name="_Hlk113813957"/>
      <w:r w:rsidRPr="00D3097B">
        <w:rPr>
          <w:rFonts w:ascii="Arial" w:hAnsi="Arial" w:cs="Arial"/>
          <w:color w:val="000000" w:themeColor="text1"/>
          <w:lang w:val="es-MX"/>
        </w:rPr>
        <w:t xml:space="preserve">Opción 3, aplicable solo a los proponentes extranjeros con derecho a trato nacional y proponentes plurales conformados por estos, a quienes, en concordancia con lo establecido en el Decreto 680 de 2021, se les permite obtener al puntaje aplicando las reglas de origen de sus respectivos países. Para definir la regla aplicable al proceso, los Proponentes extranjeros deben manifestarlo con el diligenciamiento de la Opción 3 del </w:t>
      </w:r>
      <w:r w:rsidRPr="00D3097B">
        <w:rPr>
          <w:rFonts w:ascii="Arial" w:hAnsi="Arial" w:cs="Arial"/>
          <w:lang w:val="es-MX"/>
        </w:rPr>
        <w:t>“</w:t>
      </w:r>
      <w:r w:rsidRPr="00D3097B">
        <w:rPr>
          <w:rFonts w:ascii="Arial" w:hAnsi="Arial" w:cs="Arial"/>
          <w:color w:val="000000" w:themeColor="text1"/>
          <w:lang w:val="es-MX"/>
        </w:rPr>
        <w:t xml:space="preserve">Formato </w:t>
      </w:r>
      <w:r w:rsidR="003000AA" w:rsidRPr="00D3097B">
        <w:rPr>
          <w:rFonts w:ascii="Arial" w:hAnsi="Arial" w:cs="Arial"/>
          <w:color w:val="000000" w:themeColor="text1"/>
          <w:lang w:val="es-MX"/>
        </w:rPr>
        <w:t>9A</w:t>
      </w:r>
      <w:r w:rsidRPr="00D3097B">
        <w:rPr>
          <w:rFonts w:ascii="Arial" w:hAnsi="Arial" w:cs="Arial"/>
          <w:lang w:val="es-MX"/>
        </w:rPr>
        <w:t>”</w:t>
      </w:r>
      <w:r w:rsidRPr="00D3097B">
        <w:rPr>
          <w:rFonts w:ascii="Arial" w:hAnsi="Arial" w:cs="Arial"/>
          <w:color w:val="000000" w:themeColor="text1"/>
          <w:lang w:val="es-MX"/>
        </w:rPr>
        <w:t>, en la que manifiestan su voluntad de acogerse a la regla de origen de su país.  Si no se diligencia este formato, la Entidad Estatal deberá evaluar la oferta de acuerdo con las reglas previstas en el numeral 4.3.1 “Promoción de servicios nacionales o con trato nacional” del documento base o pliego tipo.</w:t>
      </w:r>
    </w:p>
    <w:bookmarkEnd w:id="30"/>
    <w:bookmarkEnd w:id="31"/>
    <w:p w14:paraId="59D7C767" w14:textId="52A211AC" w:rsidR="00795F6F" w:rsidRPr="00D3097B" w:rsidRDefault="00795F6F" w:rsidP="00795F6F">
      <w:pPr>
        <w:spacing w:after="120" w:line="276" w:lineRule="auto"/>
        <w:ind w:firstLine="709"/>
        <w:jc w:val="both"/>
        <w:rPr>
          <w:rFonts w:ascii="Arial" w:hAnsi="Arial" w:cs="Arial"/>
          <w:color w:val="000000" w:themeColor="text1"/>
          <w:lang w:val="es-MX"/>
        </w:rPr>
      </w:pPr>
      <w:r w:rsidRPr="00D3097B">
        <w:rPr>
          <w:rFonts w:ascii="Arial" w:hAnsi="Arial" w:cs="Arial"/>
          <w:color w:val="000000" w:themeColor="text1"/>
          <w:lang w:val="es-MX"/>
        </w:rPr>
        <w:t xml:space="preserve">Es de anotar que el debido diligenciamiento del </w:t>
      </w:r>
      <w:r w:rsidRPr="00D3097B">
        <w:rPr>
          <w:rFonts w:ascii="Arial" w:hAnsi="Arial" w:cs="Arial"/>
          <w:lang w:val="es-MX"/>
        </w:rPr>
        <w:t>“</w:t>
      </w:r>
      <w:r w:rsidRPr="00D3097B">
        <w:rPr>
          <w:rFonts w:ascii="Arial" w:hAnsi="Arial" w:cs="Arial"/>
          <w:color w:val="000000" w:themeColor="text1"/>
          <w:lang w:val="es-MX"/>
        </w:rPr>
        <w:t xml:space="preserve">Formato </w:t>
      </w:r>
      <w:r w:rsidR="00631357" w:rsidRPr="00D3097B">
        <w:rPr>
          <w:rFonts w:ascii="Arial" w:hAnsi="Arial" w:cs="Arial"/>
          <w:color w:val="000000" w:themeColor="text1"/>
          <w:lang w:val="es-MX"/>
        </w:rPr>
        <w:t>9A</w:t>
      </w:r>
      <w:r w:rsidRPr="00D3097B">
        <w:rPr>
          <w:rFonts w:ascii="Arial" w:hAnsi="Arial" w:cs="Arial"/>
          <w:lang w:val="es-MX"/>
        </w:rPr>
        <w:t xml:space="preserve">” </w:t>
      </w:r>
      <w:r w:rsidRPr="00D3097B">
        <w:rPr>
          <w:rFonts w:ascii="Arial" w:hAnsi="Arial" w:cs="Arial"/>
          <w:color w:val="000000" w:themeColor="text1"/>
          <w:lang w:val="es-MX"/>
        </w:rPr>
        <w:t xml:space="preserve">exige que la opción diligenciada por el proponente sea congruente con lo establecido por la entidad como criterio para la asignación de puntaje. Esto significa que, si la entidad señala unos bienes nacionales relevantes en el pliego de condiciones, solo se podrá otorgar el puntaje a los proponentes que ofrezcan tales bienes diligenciando la Opción 1, no resultando procedente otorgar puntos a proponentes por incorporar otros bienes, ni por vincular porcentajes de personal colombiano a la ejecución de la obra. Del mismo modo, si la entidad estableció que dentro del proceso se otorgaría el puntaje a los proponentes que vinculen a la ejecución del contrato el porcentaje mínimo de personal colombiano señalado, solo se podrá otorgar el puntaje a quienes diligencien la Opción 2, no siendo procedente otorgar punto por este factor por otros criterios.  Al margen de lo anterior, los proponentes extranjeros con derecho a trato nacional o los proponentes plurales conformados por estos, podrán acogerse a la Opción 3, independientemente de que la entidad haya determinado la existencia o no de bienes nacionales.     </w:t>
      </w:r>
    </w:p>
    <w:p w14:paraId="4609AF9B" w14:textId="77777777" w:rsidR="00795F6F" w:rsidRPr="00D3097B" w:rsidRDefault="00795F6F" w:rsidP="00795F6F">
      <w:pPr>
        <w:spacing w:after="0" w:line="276" w:lineRule="auto"/>
        <w:jc w:val="both"/>
        <w:rPr>
          <w:rFonts w:ascii="Arial" w:hAnsi="Arial" w:cs="Arial"/>
          <w:color w:val="000000" w:themeColor="text1"/>
          <w:lang w:val="es-MX"/>
        </w:rPr>
      </w:pPr>
      <w:r w:rsidRPr="00D3097B">
        <w:rPr>
          <w:rFonts w:ascii="Arial" w:hAnsi="Arial" w:cs="Arial"/>
          <w:b/>
          <w:sz w:val="24"/>
          <w:lang w:val="es-MX"/>
        </w:rPr>
        <w:tab/>
      </w:r>
      <w:r w:rsidRPr="00D3097B">
        <w:rPr>
          <w:rFonts w:ascii="Arial" w:hAnsi="Arial" w:cs="Arial"/>
          <w:bCs/>
          <w:lang w:val="es-MX"/>
        </w:rPr>
        <w:t xml:space="preserve">En relación con su solicitud, es pertinente mencionar que, −tal como se estableció en el párrafo precedente−, </w:t>
      </w:r>
      <w:r w:rsidRPr="00D3097B">
        <w:rPr>
          <w:rFonts w:ascii="Arial" w:hAnsi="Arial" w:cs="Arial"/>
          <w:lang w:val="es-MX"/>
        </w:rPr>
        <w:t xml:space="preserve">cuando </w:t>
      </w:r>
      <w:r w:rsidRPr="00D3097B">
        <w:rPr>
          <w:rFonts w:ascii="Arial" w:hAnsi="Arial" w:cs="Arial"/>
          <w:color w:val="000000" w:themeColor="text1"/>
          <w:lang w:val="es-MX"/>
        </w:rPr>
        <w:t xml:space="preserve">la entidad determina que existe al menos un bien nacional relevante contenido en el Registro de Productores de Bienes Nacionales, se otorgará el puntaje a los proponentes que ofrezcan tales bienes diligenciando la Opción 1 del “Formato 9A”. De esta forma, el proponente, bajo la gravedad de juramento, manifiesta </w:t>
      </w:r>
      <w:proofErr w:type="gramStart"/>
      <w:r w:rsidRPr="00D3097B">
        <w:rPr>
          <w:rFonts w:ascii="Arial" w:hAnsi="Arial" w:cs="Arial"/>
          <w:color w:val="000000" w:themeColor="text1"/>
          <w:lang w:val="es-MX"/>
        </w:rPr>
        <w:t>que</w:t>
      </w:r>
      <w:proofErr w:type="gramEnd"/>
      <w:r w:rsidRPr="00D3097B">
        <w:rPr>
          <w:rFonts w:ascii="Arial" w:hAnsi="Arial" w:cs="Arial"/>
          <w:color w:val="000000" w:themeColor="text1"/>
          <w:lang w:val="es-MX"/>
        </w:rPr>
        <w:t xml:space="preserve"> en caso de resultar adjudicatario del proceso, incorporará a la ejecución del contrato los bienes nacionales relevantes establecidos por la Entidad Estatal en el Pliego de Condiciones, para lo cual, deberá diligenciar la siguiente tabla:  </w:t>
      </w:r>
    </w:p>
    <w:p w14:paraId="7CA2AA71" w14:textId="77777777" w:rsidR="00795F6F" w:rsidRPr="00D3097B" w:rsidRDefault="00795F6F" w:rsidP="00795F6F">
      <w:pPr>
        <w:spacing w:after="0" w:line="276" w:lineRule="auto"/>
        <w:jc w:val="both"/>
        <w:rPr>
          <w:rFonts w:ascii="Arial" w:hAnsi="Arial" w:cs="Arial"/>
          <w:sz w:val="21"/>
          <w:szCs w:val="21"/>
          <w:lang w:val="es-MX" w:eastAsia="es-ES" w:bidi="en-US"/>
        </w:rPr>
      </w:pPr>
    </w:p>
    <w:tbl>
      <w:tblPr>
        <w:tblW w:w="71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79"/>
        <w:gridCol w:w="1244"/>
        <w:gridCol w:w="1261"/>
        <w:gridCol w:w="1092"/>
        <w:gridCol w:w="1539"/>
        <w:gridCol w:w="1529"/>
      </w:tblGrid>
      <w:tr w:rsidR="00795F6F" w:rsidRPr="00D3097B" w14:paraId="53A145D8" w14:textId="77777777" w:rsidTr="003C5E83">
        <w:trPr>
          <w:trHeight w:val="685"/>
          <w:tblHeader/>
          <w:jc w:val="center"/>
        </w:trPr>
        <w:tc>
          <w:tcPr>
            <w:tcW w:w="479"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0771A8CA" w14:textId="77777777" w:rsidR="00795F6F" w:rsidRPr="00D3097B" w:rsidRDefault="00795F6F" w:rsidP="00795F6F">
            <w:pPr>
              <w:spacing w:after="0" w:line="240" w:lineRule="auto"/>
              <w:jc w:val="center"/>
              <w:rPr>
                <w:rFonts w:ascii="Arial" w:hAnsi="Arial" w:cs="Arial"/>
                <w:b/>
                <w:caps/>
                <w:noProof/>
                <w:color w:val="FFFFFF"/>
                <w:sz w:val="21"/>
                <w:szCs w:val="21"/>
                <w:lang w:val="es-ES" w:eastAsia="es-ES"/>
              </w:rPr>
            </w:pPr>
            <w:r w:rsidRPr="00D3097B">
              <w:rPr>
                <w:rFonts w:ascii="Arial" w:hAnsi="Arial" w:cs="Arial"/>
                <w:b/>
                <w:bCs/>
                <w:noProof/>
                <w:color w:val="FFFFFF"/>
                <w:sz w:val="21"/>
                <w:szCs w:val="21"/>
                <w:lang w:val="es-ES" w:eastAsia="es-ES"/>
              </w:rPr>
              <w:lastRenderedPageBreak/>
              <w:t>No.</w:t>
            </w:r>
          </w:p>
        </w:tc>
        <w:tc>
          <w:tcPr>
            <w:tcW w:w="1244"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2E650B0D" w14:textId="77777777" w:rsidR="00795F6F" w:rsidRPr="00D3097B" w:rsidRDefault="00795F6F" w:rsidP="00795F6F">
            <w:pPr>
              <w:spacing w:after="0" w:line="240" w:lineRule="auto"/>
              <w:jc w:val="center"/>
              <w:rPr>
                <w:rFonts w:ascii="Arial" w:hAnsi="Arial" w:cs="Arial"/>
                <w:b/>
                <w:caps/>
                <w:color w:val="FFFFFF"/>
                <w:sz w:val="21"/>
                <w:szCs w:val="21"/>
                <w:lang w:val="es-ES" w:eastAsia="es-ES"/>
              </w:rPr>
            </w:pPr>
            <w:r w:rsidRPr="00D3097B">
              <w:rPr>
                <w:rFonts w:ascii="Arial" w:hAnsi="Arial" w:cs="Arial"/>
                <w:b/>
                <w:bCs/>
                <w:color w:val="FFFFFF"/>
                <w:sz w:val="21"/>
                <w:szCs w:val="21"/>
                <w:lang w:val="es-ES" w:eastAsia="es-ES"/>
              </w:rPr>
              <w:t>Bien nacional relevante</w:t>
            </w:r>
          </w:p>
        </w:tc>
        <w:tc>
          <w:tcPr>
            <w:tcW w:w="1261" w:type="dxa"/>
            <w:tcBorders>
              <w:top w:val="double" w:sz="4" w:space="0" w:color="auto"/>
              <w:left w:val="single" w:sz="6" w:space="0" w:color="auto"/>
              <w:bottom w:val="single" w:sz="6" w:space="0" w:color="auto"/>
              <w:right w:val="double" w:sz="4" w:space="0" w:color="auto"/>
            </w:tcBorders>
            <w:shd w:val="clear" w:color="auto" w:fill="3B3838"/>
          </w:tcPr>
          <w:p w14:paraId="7565B801" w14:textId="77777777" w:rsidR="00795F6F" w:rsidRPr="00D3097B" w:rsidRDefault="00795F6F" w:rsidP="00795F6F">
            <w:pPr>
              <w:spacing w:after="0" w:line="240" w:lineRule="auto"/>
              <w:jc w:val="both"/>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Fecha de inscripción</w:t>
            </w:r>
          </w:p>
        </w:tc>
        <w:tc>
          <w:tcPr>
            <w:tcW w:w="1092" w:type="dxa"/>
            <w:tcBorders>
              <w:top w:val="double" w:sz="4" w:space="0" w:color="auto"/>
              <w:left w:val="single" w:sz="6" w:space="0" w:color="auto"/>
              <w:bottom w:val="single" w:sz="6" w:space="0" w:color="auto"/>
              <w:right w:val="double" w:sz="4" w:space="0" w:color="auto"/>
            </w:tcBorders>
            <w:shd w:val="clear" w:color="auto" w:fill="3B3838"/>
          </w:tcPr>
          <w:p w14:paraId="5A50E6BD" w14:textId="77777777" w:rsidR="00795F6F" w:rsidRPr="00D3097B" w:rsidRDefault="00795F6F" w:rsidP="00795F6F">
            <w:pPr>
              <w:spacing w:after="0" w:line="240" w:lineRule="auto"/>
              <w:jc w:val="both"/>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Fecha de vigencia</w:t>
            </w:r>
          </w:p>
        </w:tc>
        <w:tc>
          <w:tcPr>
            <w:tcW w:w="1539" w:type="dxa"/>
            <w:tcBorders>
              <w:top w:val="double" w:sz="4" w:space="0" w:color="auto"/>
              <w:left w:val="single" w:sz="6" w:space="0" w:color="auto"/>
              <w:bottom w:val="single" w:sz="6" w:space="0" w:color="auto"/>
              <w:right w:val="double" w:sz="4" w:space="0" w:color="auto"/>
            </w:tcBorders>
            <w:shd w:val="clear" w:color="auto" w:fill="3B3838"/>
          </w:tcPr>
          <w:p w14:paraId="6CB0BB8C" w14:textId="77777777" w:rsidR="00795F6F" w:rsidRPr="00D3097B" w:rsidRDefault="00795F6F" w:rsidP="00795F6F">
            <w:pPr>
              <w:spacing w:after="0" w:line="240" w:lineRule="auto"/>
              <w:jc w:val="center"/>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No. de partida arancelaria</w:t>
            </w:r>
          </w:p>
        </w:tc>
        <w:tc>
          <w:tcPr>
            <w:tcW w:w="1529" w:type="dxa"/>
            <w:tcBorders>
              <w:top w:val="double" w:sz="4" w:space="0" w:color="auto"/>
              <w:left w:val="single" w:sz="6" w:space="0" w:color="auto"/>
              <w:bottom w:val="single" w:sz="6" w:space="0" w:color="auto"/>
              <w:right w:val="double" w:sz="4" w:space="0" w:color="auto"/>
            </w:tcBorders>
            <w:shd w:val="clear" w:color="auto" w:fill="3B3838"/>
          </w:tcPr>
          <w:p w14:paraId="5317D05C" w14:textId="77777777" w:rsidR="00795F6F" w:rsidRPr="00D3097B" w:rsidRDefault="00795F6F" w:rsidP="00795F6F">
            <w:pPr>
              <w:spacing w:after="0" w:line="240" w:lineRule="auto"/>
              <w:jc w:val="center"/>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 xml:space="preserve">% de participación </w:t>
            </w:r>
          </w:p>
        </w:tc>
      </w:tr>
      <w:tr w:rsidR="00795F6F" w:rsidRPr="00D3097B" w14:paraId="0F4B7992" w14:textId="77777777" w:rsidTr="003C5E83">
        <w:trPr>
          <w:trHeight w:val="17"/>
          <w:jc w:val="center"/>
        </w:trPr>
        <w:tc>
          <w:tcPr>
            <w:tcW w:w="479" w:type="dxa"/>
            <w:tcBorders>
              <w:top w:val="single" w:sz="6" w:space="0" w:color="auto"/>
              <w:left w:val="double" w:sz="4" w:space="0" w:color="auto"/>
              <w:bottom w:val="single" w:sz="6" w:space="0" w:color="auto"/>
              <w:right w:val="single" w:sz="6" w:space="0" w:color="auto"/>
            </w:tcBorders>
            <w:vAlign w:val="center"/>
          </w:tcPr>
          <w:p w14:paraId="6D0142F0" w14:textId="77777777" w:rsidR="00795F6F" w:rsidRPr="00D3097B" w:rsidRDefault="00795F6F" w:rsidP="00795F6F">
            <w:pPr>
              <w:spacing w:after="0" w:line="240" w:lineRule="auto"/>
              <w:jc w:val="center"/>
              <w:rPr>
                <w:rFonts w:ascii="Arial" w:hAnsi="Arial" w:cs="Arial"/>
                <w:caps/>
                <w:sz w:val="21"/>
                <w:szCs w:val="21"/>
                <w:lang w:val="es-ES" w:eastAsia="es-ES"/>
              </w:rPr>
            </w:pPr>
            <w:r w:rsidRPr="00D3097B">
              <w:rPr>
                <w:rFonts w:ascii="Arial" w:hAnsi="Arial" w:cs="Arial"/>
                <w:caps/>
                <w:sz w:val="21"/>
                <w:szCs w:val="21"/>
                <w:lang w:val="es-ES" w:eastAsia="es-ES"/>
              </w:rPr>
              <w:t>1.</w:t>
            </w:r>
          </w:p>
        </w:tc>
        <w:tc>
          <w:tcPr>
            <w:tcW w:w="1244" w:type="dxa"/>
            <w:tcBorders>
              <w:top w:val="single" w:sz="6" w:space="0" w:color="auto"/>
              <w:left w:val="single" w:sz="6" w:space="0" w:color="auto"/>
              <w:bottom w:val="single" w:sz="6" w:space="0" w:color="auto"/>
              <w:right w:val="double" w:sz="4" w:space="0" w:color="auto"/>
            </w:tcBorders>
            <w:vAlign w:val="center"/>
          </w:tcPr>
          <w:p w14:paraId="6471D85D" w14:textId="77777777" w:rsidR="00795F6F" w:rsidRPr="00D3097B" w:rsidRDefault="00795F6F" w:rsidP="00795F6F">
            <w:pPr>
              <w:spacing w:after="0" w:line="240" w:lineRule="auto"/>
              <w:ind w:left="284"/>
              <w:jc w:val="center"/>
              <w:rPr>
                <w:rFonts w:ascii="Arial" w:hAnsi="Arial" w:cs="Arial"/>
                <w:caps/>
                <w:sz w:val="21"/>
                <w:szCs w:val="21"/>
                <w:lang w:val="es-ES" w:eastAsia="es-ES"/>
              </w:rPr>
            </w:pPr>
          </w:p>
        </w:tc>
        <w:tc>
          <w:tcPr>
            <w:tcW w:w="1261" w:type="dxa"/>
            <w:tcBorders>
              <w:top w:val="single" w:sz="6" w:space="0" w:color="auto"/>
              <w:left w:val="single" w:sz="6" w:space="0" w:color="auto"/>
              <w:bottom w:val="single" w:sz="6" w:space="0" w:color="auto"/>
              <w:right w:val="double" w:sz="4" w:space="0" w:color="auto"/>
            </w:tcBorders>
          </w:tcPr>
          <w:p w14:paraId="7E864644"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092" w:type="dxa"/>
            <w:tcBorders>
              <w:top w:val="single" w:sz="6" w:space="0" w:color="auto"/>
              <w:left w:val="single" w:sz="6" w:space="0" w:color="auto"/>
              <w:bottom w:val="single" w:sz="6" w:space="0" w:color="auto"/>
              <w:right w:val="double" w:sz="4" w:space="0" w:color="auto"/>
            </w:tcBorders>
          </w:tcPr>
          <w:p w14:paraId="0042A0C8"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39" w:type="dxa"/>
            <w:tcBorders>
              <w:top w:val="single" w:sz="6" w:space="0" w:color="auto"/>
              <w:left w:val="single" w:sz="6" w:space="0" w:color="auto"/>
              <w:bottom w:val="single" w:sz="6" w:space="0" w:color="auto"/>
              <w:right w:val="double" w:sz="4" w:space="0" w:color="auto"/>
            </w:tcBorders>
          </w:tcPr>
          <w:p w14:paraId="171ED8B9"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29" w:type="dxa"/>
            <w:tcBorders>
              <w:top w:val="single" w:sz="6" w:space="0" w:color="auto"/>
              <w:left w:val="single" w:sz="6" w:space="0" w:color="auto"/>
              <w:bottom w:val="single" w:sz="6" w:space="0" w:color="auto"/>
              <w:right w:val="double" w:sz="4" w:space="0" w:color="auto"/>
            </w:tcBorders>
          </w:tcPr>
          <w:p w14:paraId="156CF04D"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r>
      <w:tr w:rsidR="00795F6F" w:rsidRPr="00D3097B" w14:paraId="55365CFE" w14:textId="77777777" w:rsidTr="003C5E83">
        <w:trPr>
          <w:trHeight w:val="17"/>
          <w:jc w:val="center"/>
        </w:trPr>
        <w:tc>
          <w:tcPr>
            <w:tcW w:w="479" w:type="dxa"/>
            <w:tcBorders>
              <w:top w:val="single" w:sz="6" w:space="0" w:color="auto"/>
              <w:left w:val="double" w:sz="4" w:space="0" w:color="auto"/>
              <w:bottom w:val="double" w:sz="4" w:space="0" w:color="auto"/>
              <w:right w:val="single" w:sz="6" w:space="0" w:color="auto"/>
            </w:tcBorders>
            <w:vAlign w:val="center"/>
          </w:tcPr>
          <w:p w14:paraId="5D839987" w14:textId="77777777" w:rsidR="00795F6F" w:rsidRPr="00D3097B" w:rsidRDefault="00795F6F" w:rsidP="00795F6F">
            <w:pPr>
              <w:spacing w:after="0" w:line="240" w:lineRule="auto"/>
              <w:jc w:val="center"/>
              <w:rPr>
                <w:rFonts w:ascii="Arial" w:hAnsi="Arial" w:cs="Arial"/>
                <w:caps/>
                <w:noProof/>
                <w:sz w:val="21"/>
                <w:szCs w:val="21"/>
                <w:lang w:val="es-ES" w:eastAsia="es-ES"/>
              </w:rPr>
            </w:pPr>
            <w:r w:rsidRPr="00D3097B">
              <w:rPr>
                <w:rFonts w:ascii="Arial" w:hAnsi="Arial" w:cs="Arial"/>
                <w:caps/>
                <w:noProof/>
                <w:sz w:val="21"/>
                <w:szCs w:val="21"/>
                <w:lang w:val="es-ES" w:eastAsia="es-ES"/>
              </w:rPr>
              <w:t>2.</w:t>
            </w:r>
          </w:p>
        </w:tc>
        <w:tc>
          <w:tcPr>
            <w:tcW w:w="1244" w:type="dxa"/>
            <w:tcBorders>
              <w:top w:val="single" w:sz="6" w:space="0" w:color="auto"/>
              <w:left w:val="single" w:sz="6" w:space="0" w:color="auto"/>
              <w:bottom w:val="double" w:sz="4" w:space="0" w:color="auto"/>
              <w:right w:val="double" w:sz="4" w:space="0" w:color="auto"/>
            </w:tcBorders>
            <w:vAlign w:val="center"/>
          </w:tcPr>
          <w:p w14:paraId="1CA5CAFC" w14:textId="77777777" w:rsidR="00795F6F" w:rsidRPr="00D3097B" w:rsidRDefault="00795F6F" w:rsidP="00795F6F">
            <w:pPr>
              <w:spacing w:after="0" w:line="240" w:lineRule="auto"/>
              <w:ind w:left="284"/>
              <w:jc w:val="center"/>
              <w:rPr>
                <w:rFonts w:ascii="Arial" w:hAnsi="Arial" w:cs="Arial"/>
                <w:caps/>
                <w:sz w:val="21"/>
                <w:szCs w:val="21"/>
                <w:lang w:val="es-ES" w:eastAsia="es-ES"/>
              </w:rPr>
            </w:pPr>
          </w:p>
        </w:tc>
        <w:tc>
          <w:tcPr>
            <w:tcW w:w="1261" w:type="dxa"/>
            <w:tcBorders>
              <w:top w:val="single" w:sz="6" w:space="0" w:color="auto"/>
              <w:left w:val="single" w:sz="6" w:space="0" w:color="auto"/>
              <w:bottom w:val="double" w:sz="4" w:space="0" w:color="auto"/>
              <w:right w:val="double" w:sz="4" w:space="0" w:color="auto"/>
            </w:tcBorders>
          </w:tcPr>
          <w:p w14:paraId="1F68E3AA"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092" w:type="dxa"/>
            <w:tcBorders>
              <w:top w:val="single" w:sz="6" w:space="0" w:color="auto"/>
              <w:left w:val="single" w:sz="6" w:space="0" w:color="auto"/>
              <w:bottom w:val="double" w:sz="4" w:space="0" w:color="auto"/>
              <w:right w:val="double" w:sz="4" w:space="0" w:color="auto"/>
            </w:tcBorders>
          </w:tcPr>
          <w:p w14:paraId="15F2BA7D"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39" w:type="dxa"/>
            <w:tcBorders>
              <w:top w:val="single" w:sz="6" w:space="0" w:color="auto"/>
              <w:left w:val="single" w:sz="6" w:space="0" w:color="auto"/>
              <w:bottom w:val="double" w:sz="4" w:space="0" w:color="auto"/>
              <w:right w:val="double" w:sz="4" w:space="0" w:color="auto"/>
            </w:tcBorders>
          </w:tcPr>
          <w:p w14:paraId="1BE91D10"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29" w:type="dxa"/>
            <w:tcBorders>
              <w:top w:val="single" w:sz="6" w:space="0" w:color="auto"/>
              <w:left w:val="single" w:sz="6" w:space="0" w:color="auto"/>
              <w:bottom w:val="double" w:sz="4" w:space="0" w:color="auto"/>
              <w:right w:val="double" w:sz="4" w:space="0" w:color="auto"/>
            </w:tcBorders>
          </w:tcPr>
          <w:p w14:paraId="590CA582"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r>
    </w:tbl>
    <w:p w14:paraId="219A6447" w14:textId="77777777" w:rsidR="00795F6F" w:rsidRPr="00D3097B" w:rsidRDefault="00795F6F" w:rsidP="00795F6F">
      <w:pPr>
        <w:spacing w:after="0" w:line="240" w:lineRule="auto"/>
        <w:jc w:val="both"/>
        <w:rPr>
          <w:rFonts w:ascii="Arial" w:hAnsi="Arial" w:cs="Arial"/>
          <w:sz w:val="21"/>
          <w:szCs w:val="21"/>
          <w:lang w:val="es-MX" w:eastAsia="es-ES" w:bidi="en-US"/>
        </w:rPr>
      </w:pPr>
    </w:p>
    <w:p w14:paraId="3B05AFC4" w14:textId="77777777" w:rsidR="00795F6F" w:rsidRPr="00D3097B" w:rsidRDefault="00795F6F" w:rsidP="00795F6F">
      <w:pPr>
        <w:spacing w:after="120" w:line="276" w:lineRule="auto"/>
        <w:ind w:firstLine="709"/>
        <w:jc w:val="both"/>
        <w:rPr>
          <w:rFonts w:ascii="Arial" w:hAnsi="Arial" w:cs="Arial"/>
          <w:lang w:val="es-MX" w:eastAsia="es-ES" w:bidi="en-US"/>
        </w:rPr>
      </w:pPr>
      <w:r w:rsidRPr="00D3097B">
        <w:rPr>
          <w:rFonts w:ascii="Arial" w:hAnsi="Arial" w:cs="Arial"/>
          <w:lang w:val="es-MX" w:eastAsia="es-ES" w:bidi="en-US"/>
        </w:rPr>
        <w:t xml:space="preserve">Como se aprecia, el cuadro que diligenciará el proponente contiene los siguientes aspectos: i) No (corresponderán a tantos como bienes se ofrezcan), </w:t>
      </w:r>
      <w:proofErr w:type="spellStart"/>
      <w:r w:rsidRPr="00D3097B">
        <w:rPr>
          <w:rFonts w:ascii="Arial" w:hAnsi="Arial" w:cs="Arial"/>
          <w:lang w:val="es-MX" w:eastAsia="es-ES" w:bidi="en-US"/>
        </w:rPr>
        <w:t>ii</w:t>
      </w:r>
      <w:proofErr w:type="spellEnd"/>
      <w:r w:rsidRPr="00D3097B">
        <w:rPr>
          <w:rFonts w:ascii="Arial" w:hAnsi="Arial" w:cs="Arial"/>
          <w:lang w:val="es-MX" w:eastAsia="es-ES" w:bidi="en-US"/>
        </w:rPr>
        <w:t xml:space="preserve">) bien nacional relevante, </w:t>
      </w:r>
      <w:proofErr w:type="spellStart"/>
      <w:r w:rsidRPr="00D3097B">
        <w:rPr>
          <w:rFonts w:ascii="Arial" w:hAnsi="Arial" w:cs="Arial"/>
          <w:lang w:val="es-MX" w:eastAsia="es-ES" w:bidi="en-US"/>
        </w:rPr>
        <w:t>iii</w:t>
      </w:r>
      <w:proofErr w:type="spellEnd"/>
      <w:r w:rsidRPr="00D3097B">
        <w:rPr>
          <w:rFonts w:ascii="Arial" w:hAnsi="Arial" w:cs="Arial"/>
          <w:lang w:val="es-MX" w:eastAsia="es-ES" w:bidi="en-US"/>
        </w:rPr>
        <w:t xml:space="preserve">) fecha de inscripción, </w:t>
      </w:r>
      <w:proofErr w:type="spellStart"/>
      <w:r w:rsidRPr="00D3097B">
        <w:rPr>
          <w:rFonts w:ascii="Arial" w:hAnsi="Arial" w:cs="Arial"/>
          <w:lang w:val="es-MX" w:eastAsia="es-ES" w:bidi="en-US"/>
        </w:rPr>
        <w:t>iv</w:t>
      </w:r>
      <w:proofErr w:type="spellEnd"/>
      <w:r w:rsidRPr="00D3097B">
        <w:rPr>
          <w:rFonts w:ascii="Arial" w:hAnsi="Arial" w:cs="Arial"/>
          <w:lang w:val="es-MX" w:eastAsia="es-ES" w:bidi="en-US"/>
        </w:rPr>
        <w:t xml:space="preserve">) fecha de vigencia, v) No. de partida arancelaria, y vi) porcentaje (%) de participación. Esta tabla, se llenará de acuerdo con los bienes nacionales relevantes establecidos por la entidad en la Opción 1 del numeral 4.3.1 “Promoción de servicios nacional o con trato nacional” del documento base, y en consideración a los bienes nacionales relevantes que el proponente se compromete a incorporar durante la ejecución del contrato. En este sentido, el proponente podrá ofrecer uno, algunos o todos los bienes nacionales relevantes determinados por la entidad, los cuales, relacionará en la tabla dispuesta en la Opción 1 del “Formato 9A”, y, además, diligenciará por cada bien nacional relevante que ofrezca la información que se solicita en el cuadro. </w:t>
      </w:r>
    </w:p>
    <w:p w14:paraId="6434BFFA" w14:textId="77777777" w:rsidR="00795F6F" w:rsidRPr="00D3097B" w:rsidRDefault="00795F6F" w:rsidP="00795F6F">
      <w:pPr>
        <w:spacing w:after="0" w:line="276" w:lineRule="auto"/>
        <w:ind w:firstLine="709"/>
        <w:jc w:val="both"/>
        <w:rPr>
          <w:rFonts w:ascii="Arial" w:eastAsia="Arial" w:hAnsi="Arial" w:cs="Arial"/>
          <w:lang w:eastAsia="es-MX"/>
        </w:rPr>
      </w:pPr>
      <w:r w:rsidRPr="00D3097B">
        <w:rPr>
          <w:rFonts w:ascii="Arial" w:hAnsi="Arial" w:cs="Arial"/>
          <w:lang w:val="es-MX" w:eastAsia="es-ES" w:bidi="en-US"/>
        </w:rPr>
        <w:t xml:space="preserve">Ahora bien, en el evento que el proponente ofrezca uno, alguno o todos los bienes nacionales relevante de los dispuestos por la entidad en el documento base, y no diligencie completamente el contenido de la tabla, como la fecha de inscripción, fecha de vigencia, No. de partida arancelaria o porcentaje de participación, la entidad </w:t>
      </w:r>
      <w:r w:rsidRPr="00D3097B">
        <w:rPr>
          <w:rFonts w:ascii="Arial" w:eastAsia="Arial" w:hAnsi="Arial" w:cs="Arial"/>
          <w:lang w:eastAsia="es-MX"/>
        </w:rPr>
        <w:t xml:space="preserve">podrá solicitar al proponente que aclare o precise la información que hace falta, teniendo en cuenta lo señalado en numeral 2.1 del presente concepto. No obstante, considerando que el proponente no puede completar, adicionar, modificar o mejorar su propuesta en los aspectos que otorgan puntaje, el proponente no podrá agregar otros bienes nacionales relevantes distintos a los que haya diligenciado al momento de la presentación del “Formato 9 A”. En todo caso, le corresponde a la entidad estatal como responsable del proceso de contratación determinar aquellos aspectos que puede aclarar o precisar el proponente en relación con su oferta sin que esto se constituya en una mejora.  </w:t>
      </w:r>
    </w:p>
    <w:p w14:paraId="56B5C87D" w14:textId="77777777" w:rsidR="00795F6F" w:rsidRPr="00D3097B" w:rsidRDefault="00795F6F" w:rsidP="00795F6F">
      <w:pPr>
        <w:spacing w:after="0" w:line="276" w:lineRule="auto"/>
        <w:ind w:firstLine="709"/>
        <w:jc w:val="both"/>
        <w:rPr>
          <w:rFonts w:ascii="Arial" w:hAnsi="Arial" w:cs="Arial"/>
          <w:b/>
          <w:sz w:val="24"/>
          <w:lang w:val="es-MX"/>
        </w:rPr>
      </w:pPr>
    </w:p>
    <w:p w14:paraId="16D9481E" w14:textId="77777777" w:rsidR="00795F6F" w:rsidRPr="00D3097B" w:rsidRDefault="00795F6F" w:rsidP="00795F6F">
      <w:pPr>
        <w:spacing w:after="0" w:line="276" w:lineRule="auto"/>
        <w:contextualSpacing/>
        <w:jc w:val="both"/>
        <w:rPr>
          <w:rFonts w:ascii="Arial" w:hAnsi="Arial" w:cs="Arial"/>
          <w:b/>
          <w:sz w:val="24"/>
          <w:lang w:val="es-MX"/>
        </w:rPr>
      </w:pPr>
      <w:r w:rsidRPr="00D3097B">
        <w:rPr>
          <w:rFonts w:ascii="Arial" w:hAnsi="Arial" w:cs="Arial"/>
          <w:b/>
          <w:sz w:val="24"/>
          <w:lang w:val="es-MX"/>
        </w:rPr>
        <w:t>3. Respuesta</w:t>
      </w:r>
    </w:p>
    <w:p w14:paraId="28B05F2C" w14:textId="77777777" w:rsidR="00795F6F" w:rsidRPr="00D3097B" w:rsidRDefault="00795F6F" w:rsidP="00795F6F">
      <w:pPr>
        <w:tabs>
          <w:tab w:val="left" w:pos="426"/>
        </w:tabs>
        <w:spacing w:after="0" w:line="240" w:lineRule="auto"/>
        <w:ind w:left="360"/>
        <w:contextualSpacing/>
        <w:jc w:val="both"/>
        <w:rPr>
          <w:rFonts w:ascii="Arial" w:eastAsia="Calibri" w:hAnsi="Arial" w:cs="Arial"/>
          <w:sz w:val="20"/>
          <w:szCs w:val="20"/>
          <w:lang w:val="es-ES"/>
        </w:rPr>
      </w:pPr>
    </w:p>
    <w:p w14:paraId="113FDE46" w14:textId="77777777" w:rsidR="00795F6F" w:rsidRPr="00D3097B" w:rsidRDefault="00795F6F" w:rsidP="00795F6F">
      <w:pPr>
        <w:tabs>
          <w:tab w:val="left" w:pos="426"/>
        </w:tabs>
        <w:spacing w:after="0" w:line="240" w:lineRule="auto"/>
        <w:ind w:left="709" w:right="709"/>
        <w:jc w:val="both"/>
        <w:rPr>
          <w:rFonts w:ascii="Arial" w:eastAsia="Calibri" w:hAnsi="Arial" w:cs="Arial"/>
          <w:sz w:val="21"/>
          <w:szCs w:val="21"/>
          <w:lang w:val="es-MX"/>
        </w:rPr>
      </w:pPr>
      <w:proofErr w:type="gramStart"/>
      <w:r w:rsidRPr="00D3097B">
        <w:rPr>
          <w:rFonts w:ascii="Arial" w:eastAsia="Calibri" w:hAnsi="Arial" w:cs="Arial"/>
          <w:sz w:val="21"/>
          <w:szCs w:val="21"/>
          <w:lang w:val="es-MX"/>
        </w:rPr>
        <w:t>“ (</w:t>
      </w:r>
      <w:proofErr w:type="gramEnd"/>
      <w:r w:rsidRPr="00D3097B">
        <w:rPr>
          <w:rFonts w:ascii="Arial" w:eastAsia="Calibri" w:hAnsi="Arial" w:cs="Arial"/>
          <w:sz w:val="21"/>
          <w:szCs w:val="21"/>
          <w:lang w:val="es-MX"/>
        </w:rPr>
        <w:t xml:space="preserve">…) de acuerdo a la opción de bienes relevantes en su formato 9A se debe diligenciar el o los bien nacional relevante, fecha de inscripción, fecha de vigencia, </w:t>
      </w:r>
      <w:proofErr w:type="spellStart"/>
      <w:r w:rsidRPr="00D3097B">
        <w:rPr>
          <w:rFonts w:ascii="Arial" w:eastAsia="Calibri" w:hAnsi="Arial" w:cs="Arial"/>
          <w:sz w:val="21"/>
          <w:szCs w:val="21"/>
          <w:lang w:val="es-MX"/>
        </w:rPr>
        <w:t>N°</w:t>
      </w:r>
      <w:proofErr w:type="spellEnd"/>
      <w:r w:rsidRPr="00D3097B">
        <w:rPr>
          <w:rFonts w:ascii="Arial" w:eastAsia="Calibri" w:hAnsi="Arial" w:cs="Arial"/>
          <w:sz w:val="21"/>
          <w:szCs w:val="21"/>
          <w:lang w:val="es-MX"/>
        </w:rPr>
        <w:t xml:space="preserve"> de partida arancelaria, % de participación, de cada uno de los bienes que la entidad haya suministrado en el pliego (después de la evaluación que hacen para generar los bienes). pregunto, en el caso de que un oferente al presentar el formato y no diligencie la fecha de inscripción y/o vigencia o no diligencia alguna de las casillas que se deben diligenciar este se le debe otorgar el puntaje, claramente si es un solo bien y no diligencia alguna de las casillas la </w:t>
      </w:r>
      <w:r w:rsidRPr="00D3097B">
        <w:rPr>
          <w:rFonts w:ascii="Arial" w:eastAsia="Calibri" w:hAnsi="Arial" w:cs="Arial"/>
          <w:sz w:val="21"/>
          <w:szCs w:val="21"/>
          <w:lang w:val="es-MX"/>
        </w:rPr>
        <w:lastRenderedPageBreak/>
        <w:t>entidad le puede otorgar el puntaje, teniendo en cuenta que por donde se observé el pliego expresa que se debe diligenciar debidamente”.</w:t>
      </w:r>
    </w:p>
    <w:p w14:paraId="5A3EDB40" w14:textId="77777777" w:rsidR="00795F6F" w:rsidRPr="00D3097B" w:rsidRDefault="00795F6F" w:rsidP="00795F6F">
      <w:pPr>
        <w:tabs>
          <w:tab w:val="left" w:pos="426"/>
        </w:tabs>
        <w:spacing w:after="0" w:line="240" w:lineRule="auto"/>
        <w:ind w:left="709" w:right="709"/>
        <w:jc w:val="both"/>
        <w:rPr>
          <w:rFonts w:ascii="Arial" w:eastAsia="Calibri" w:hAnsi="Arial" w:cs="Arial"/>
          <w:sz w:val="21"/>
          <w:szCs w:val="21"/>
          <w:lang w:val="es-MX"/>
        </w:rPr>
      </w:pPr>
    </w:p>
    <w:p w14:paraId="386E0C74" w14:textId="77777777" w:rsidR="00795F6F" w:rsidRPr="00D3097B" w:rsidRDefault="00795F6F" w:rsidP="00795F6F">
      <w:pPr>
        <w:spacing w:after="0" w:line="276" w:lineRule="auto"/>
        <w:ind w:firstLine="708"/>
        <w:jc w:val="both"/>
        <w:rPr>
          <w:rFonts w:ascii="Arial" w:hAnsi="Arial" w:cs="Arial"/>
          <w:color w:val="000000" w:themeColor="text1"/>
          <w:lang w:val="es-MX"/>
        </w:rPr>
      </w:pPr>
      <w:r w:rsidRPr="00D3097B">
        <w:rPr>
          <w:rFonts w:ascii="Arial" w:hAnsi="Arial" w:cs="Arial"/>
          <w:lang w:val="es-MX"/>
        </w:rPr>
        <w:t xml:space="preserve">Cuando </w:t>
      </w:r>
      <w:r w:rsidRPr="00D3097B">
        <w:rPr>
          <w:rFonts w:ascii="Arial" w:hAnsi="Arial" w:cs="Arial"/>
          <w:color w:val="000000" w:themeColor="text1"/>
          <w:lang w:val="es-MX"/>
        </w:rPr>
        <w:t xml:space="preserve">la entidad determina que existe al menos un bien nacional relevante contenido en el Registro de Productores de Bienes Nacionales, se otorgará el puntaje a los proponentes que ofrezcan tales bienes diligenciando la Opción 1 del “Formato 9A”. De esta forma, el proponente, bajo la gravedad de juramento, manifiesta </w:t>
      </w:r>
      <w:proofErr w:type="gramStart"/>
      <w:r w:rsidRPr="00D3097B">
        <w:rPr>
          <w:rFonts w:ascii="Arial" w:hAnsi="Arial" w:cs="Arial"/>
          <w:color w:val="000000" w:themeColor="text1"/>
          <w:lang w:val="es-MX"/>
        </w:rPr>
        <w:t>que</w:t>
      </w:r>
      <w:proofErr w:type="gramEnd"/>
      <w:r w:rsidRPr="00D3097B">
        <w:rPr>
          <w:rFonts w:ascii="Arial" w:hAnsi="Arial" w:cs="Arial"/>
          <w:color w:val="000000" w:themeColor="text1"/>
          <w:lang w:val="es-MX"/>
        </w:rPr>
        <w:t xml:space="preserve"> en caso de resultar adjudicatario del proceso, incorporará a la ejecución del contrato los bienes nacionales relevantes establecidos por la Entidad Estatal en el Pliego de Condiciones, para lo cual, deberá diligenciar la siguiente tabla:  </w:t>
      </w:r>
    </w:p>
    <w:p w14:paraId="70E08EB0" w14:textId="77777777" w:rsidR="00795F6F" w:rsidRPr="00D3097B" w:rsidRDefault="00795F6F" w:rsidP="00795F6F">
      <w:pPr>
        <w:spacing w:after="0" w:line="276" w:lineRule="auto"/>
        <w:jc w:val="both"/>
        <w:rPr>
          <w:rFonts w:ascii="Arial" w:hAnsi="Arial" w:cs="Arial"/>
          <w:sz w:val="21"/>
          <w:szCs w:val="21"/>
          <w:lang w:val="es-MX" w:eastAsia="es-ES" w:bidi="en-US"/>
        </w:rPr>
      </w:pPr>
    </w:p>
    <w:tbl>
      <w:tblPr>
        <w:tblW w:w="71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79"/>
        <w:gridCol w:w="1244"/>
        <w:gridCol w:w="1261"/>
        <w:gridCol w:w="1092"/>
        <w:gridCol w:w="1539"/>
        <w:gridCol w:w="1529"/>
      </w:tblGrid>
      <w:tr w:rsidR="00795F6F" w:rsidRPr="00D3097B" w14:paraId="3425887F" w14:textId="77777777" w:rsidTr="003C5E83">
        <w:trPr>
          <w:trHeight w:val="685"/>
          <w:tblHeader/>
          <w:jc w:val="center"/>
        </w:trPr>
        <w:tc>
          <w:tcPr>
            <w:tcW w:w="479"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71CED9E4" w14:textId="77777777" w:rsidR="00795F6F" w:rsidRPr="00D3097B" w:rsidRDefault="00795F6F" w:rsidP="00795F6F">
            <w:pPr>
              <w:spacing w:after="0" w:line="240" w:lineRule="auto"/>
              <w:jc w:val="center"/>
              <w:rPr>
                <w:rFonts w:ascii="Arial" w:hAnsi="Arial" w:cs="Arial"/>
                <w:b/>
                <w:caps/>
                <w:noProof/>
                <w:color w:val="FFFFFF"/>
                <w:sz w:val="21"/>
                <w:szCs w:val="21"/>
                <w:lang w:val="es-ES" w:eastAsia="es-ES"/>
              </w:rPr>
            </w:pPr>
            <w:r w:rsidRPr="00D3097B">
              <w:rPr>
                <w:rFonts w:ascii="Arial" w:hAnsi="Arial" w:cs="Arial"/>
                <w:b/>
                <w:bCs/>
                <w:noProof/>
                <w:color w:val="FFFFFF"/>
                <w:sz w:val="21"/>
                <w:szCs w:val="21"/>
                <w:lang w:val="es-ES" w:eastAsia="es-ES"/>
              </w:rPr>
              <w:t>No.</w:t>
            </w:r>
          </w:p>
        </w:tc>
        <w:tc>
          <w:tcPr>
            <w:tcW w:w="1244"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2789E5A8" w14:textId="77777777" w:rsidR="00795F6F" w:rsidRPr="00D3097B" w:rsidRDefault="00795F6F" w:rsidP="00795F6F">
            <w:pPr>
              <w:spacing w:after="0" w:line="240" w:lineRule="auto"/>
              <w:jc w:val="center"/>
              <w:rPr>
                <w:rFonts w:ascii="Arial" w:hAnsi="Arial" w:cs="Arial"/>
                <w:b/>
                <w:caps/>
                <w:color w:val="FFFFFF"/>
                <w:sz w:val="21"/>
                <w:szCs w:val="21"/>
                <w:lang w:val="es-ES" w:eastAsia="es-ES"/>
              </w:rPr>
            </w:pPr>
            <w:r w:rsidRPr="00D3097B">
              <w:rPr>
                <w:rFonts w:ascii="Arial" w:hAnsi="Arial" w:cs="Arial"/>
                <w:b/>
                <w:bCs/>
                <w:color w:val="FFFFFF"/>
                <w:sz w:val="21"/>
                <w:szCs w:val="21"/>
                <w:lang w:val="es-ES" w:eastAsia="es-ES"/>
              </w:rPr>
              <w:t>Bien nacional relevante</w:t>
            </w:r>
          </w:p>
        </w:tc>
        <w:tc>
          <w:tcPr>
            <w:tcW w:w="1261" w:type="dxa"/>
            <w:tcBorders>
              <w:top w:val="double" w:sz="4" w:space="0" w:color="auto"/>
              <w:left w:val="single" w:sz="6" w:space="0" w:color="auto"/>
              <w:bottom w:val="single" w:sz="6" w:space="0" w:color="auto"/>
              <w:right w:val="double" w:sz="4" w:space="0" w:color="auto"/>
            </w:tcBorders>
            <w:shd w:val="clear" w:color="auto" w:fill="3B3838"/>
          </w:tcPr>
          <w:p w14:paraId="703C322C" w14:textId="77777777" w:rsidR="00795F6F" w:rsidRPr="00D3097B" w:rsidRDefault="00795F6F" w:rsidP="00795F6F">
            <w:pPr>
              <w:spacing w:after="0" w:line="240" w:lineRule="auto"/>
              <w:jc w:val="both"/>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Fecha de inscripción</w:t>
            </w:r>
          </w:p>
        </w:tc>
        <w:tc>
          <w:tcPr>
            <w:tcW w:w="1092" w:type="dxa"/>
            <w:tcBorders>
              <w:top w:val="double" w:sz="4" w:space="0" w:color="auto"/>
              <w:left w:val="single" w:sz="6" w:space="0" w:color="auto"/>
              <w:bottom w:val="single" w:sz="6" w:space="0" w:color="auto"/>
              <w:right w:val="double" w:sz="4" w:space="0" w:color="auto"/>
            </w:tcBorders>
            <w:shd w:val="clear" w:color="auto" w:fill="3B3838"/>
          </w:tcPr>
          <w:p w14:paraId="505DC183" w14:textId="77777777" w:rsidR="00795F6F" w:rsidRPr="00D3097B" w:rsidRDefault="00795F6F" w:rsidP="00795F6F">
            <w:pPr>
              <w:spacing w:after="0" w:line="240" w:lineRule="auto"/>
              <w:jc w:val="both"/>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Fecha de vigencia</w:t>
            </w:r>
          </w:p>
        </w:tc>
        <w:tc>
          <w:tcPr>
            <w:tcW w:w="1539" w:type="dxa"/>
            <w:tcBorders>
              <w:top w:val="double" w:sz="4" w:space="0" w:color="auto"/>
              <w:left w:val="single" w:sz="6" w:space="0" w:color="auto"/>
              <w:bottom w:val="single" w:sz="6" w:space="0" w:color="auto"/>
              <w:right w:val="double" w:sz="4" w:space="0" w:color="auto"/>
            </w:tcBorders>
            <w:shd w:val="clear" w:color="auto" w:fill="3B3838"/>
          </w:tcPr>
          <w:p w14:paraId="37D59E6D" w14:textId="77777777" w:rsidR="00795F6F" w:rsidRPr="00D3097B" w:rsidRDefault="00795F6F" w:rsidP="00795F6F">
            <w:pPr>
              <w:spacing w:after="0" w:line="240" w:lineRule="auto"/>
              <w:jc w:val="center"/>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No. de partida arancelaria</w:t>
            </w:r>
          </w:p>
        </w:tc>
        <w:tc>
          <w:tcPr>
            <w:tcW w:w="1529" w:type="dxa"/>
            <w:tcBorders>
              <w:top w:val="double" w:sz="4" w:space="0" w:color="auto"/>
              <w:left w:val="single" w:sz="6" w:space="0" w:color="auto"/>
              <w:bottom w:val="single" w:sz="6" w:space="0" w:color="auto"/>
              <w:right w:val="double" w:sz="4" w:space="0" w:color="auto"/>
            </w:tcBorders>
            <w:shd w:val="clear" w:color="auto" w:fill="3B3838"/>
          </w:tcPr>
          <w:p w14:paraId="192B7B4A" w14:textId="77777777" w:rsidR="00795F6F" w:rsidRPr="00D3097B" w:rsidRDefault="00795F6F" w:rsidP="00795F6F">
            <w:pPr>
              <w:spacing w:after="0" w:line="240" w:lineRule="auto"/>
              <w:jc w:val="center"/>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 xml:space="preserve">% de participación </w:t>
            </w:r>
          </w:p>
        </w:tc>
      </w:tr>
      <w:tr w:rsidR="00795F6F" w:rsidRPr="00D3097B" w14:paraId="55D4F86B" w14:textId="77777777" w:rsidTr="003C5E83">
        <w:trPr>
          <w:trHeight w:val="17"/>
          <w:jc w:val="center"/>
        </w:trPr>
        <w:tc>
          <w:tcPr>
            <w:tcW w:w="479" w:type="dxa"/>
            <w:tcBorders>
              <w:top w:val="single" w:sz="6" w:space="0" w:color="auto"/>
              <w:left w:val="double" w:sz="4" w:space="0" w:color="auto"/>
              <w:bottom w:val="single" w:sz="6" w:space="0" w:color="auto"/>
              <w:right w:val="single" w:sz="6" w:space="0" w:color="auto"/>
            </w:tcBorders>
            <w:vAlign w:val="center"/>
          </w:tcPr>
          <w:p w14:paraId="1EF235F9" w14:textId="77777777" w:rsidR="00795F6F" w:rsidRPr="00D3097B" w:rsidRDefault="00795F6F" w:rsidP="00795F6F">
            <w:pPr>
              <w:spacing w:after="0" w:line="240" w:lineRule="auto"/>
              <w:jc w:val="center"/>
              <w:rPr>
                <w:rFonts w:ascii="Arial" w:hAnsi="Arial" w:cs="Arial"/>
                <w:caps/>
                <w:sz w:val="21"/>
                <w:szCs w:val="21"/>
                <w:lang w:val="es-ES" w:eastAsia="es-ES"/>
              </w:rPr>
            </w:pPr>
            <w:r w:rsidRPr="00D3097B">
              <w:rPr>
                <w:rFonts w:ascii="Arial" w:hAnsi="Arial" w:cs="Arial"/>
                <w:caps/>
                <w:sz w:val="21"/>
                <w:szCs w:val="21"/>
                <w:lang w:val="es-ES" w:eastAsia="es-ES"/>
              </w:rPr>
              <w:t>1.</w:t>
            </w:r>
          </w:p>
        </w:tc>
        <w:tc>
          <w:tcPr>
            <w:tcW w:w="1244" w:type="dxa"/>
            <w:tcBorders>
              <w:top w:val="single" w:sz="6" w:space="0" w:color="auto"/>
              <w:left w:val="single" w:sz="6" w:space="0" w:color="auto"/>
              <w:bottom w:val="single" w:sz="6" w:space="0" w:color="auto"/>
              <w:right w:val="double" w:sz="4" w:space="0" w:color="auto"/>
            </w:tcBorders>
            <w:vAlign w:val="center"/>
          </w:tcPr>
          <w:p w14:paraId="4D0D5006" w14:textId="77777777" w:rsidR="00795F6F" w:rsidRPr="00D3097B" w:rsidRDefault="00795F6F" w:rsidP="00795F6F">
            <w:pPr>
              <w:spacing w:after="0" w:line="240" w:lineRule="auto"/>
              <w:ind w:left="284"/>
              <w:jc w:val="center"/>
              <w:rPr>
                <w:rFonts w:ascii="Arial" w:hAnsi="Arial" w:cs="Arial"/>
                <w:caps/>
                <w:sz w:val="21"/>
                <w:szCs w:val="21"/>
                <w:lang w:val="es-ES" w:eastAsia="es-ES"/>
              </w:rPr>
            </w:pPr>
          </w:p>
        </w:tc>
        <w:tc>
          <w:tcPr>
            <w:tcW w:w="1261" w:type="dxa"/>
            <w:tcBorders>
              <w:top w:val="single" w:sz="6" w:space="0" w:color="auto"/>
              <w:left w:val="single" w:sz="6" w:space="0" w:color="auto"/>
              <w:bottom w:val="single" w:sz="6" w:space="0" w:color="auto"/>
              <w:right w:val="double" w:sz="4" w:space="0" w:color="auto"/>
            </w:tcBorders>
          </w:tcPr>
          <w:p w14:paraId="12C3C35C"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092" w:type="dxa"/>
            <w:tcBorders>
              <w:top w:val="single" w:sz="6" w:space="0" w:color="auto"/>
              <w:left w:val="single" w:sz="6" w:space="0" w:color="auto"/>
              <w:bottom w:val="single" w:sz="6" w:space="0" w:color="auto"/>
              <w:right w:val="double" w:sz="4" w:space="0" w:color="auto"/>
            </w:tcBorders>
          </w:tcPr>
          <w:p w14:paraId="7B2A5757"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39" w:type="dxa"/>
            <w:tcBorders>
              <w:top w:val="single" w:sz="6" w:space="0" w:color="auto"/>
              <w:left w:val="single" w:sz="6" w:space="0" w:color="auto"/>
              <w:bottom w:val="single" w:sz="6" w:space="0" w:color="auto"/>
              <w:right w:val="double" w:sz="4" w:space="0" w:color="auto"/>
            </w:tcBorders>
          </w:tcPr>
          <w:p w14:paraId="2265AA48"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29" w:type="dxa"/>
            <w:tcBorders>
              <w:top w:val="single" w:sz="6" w:space="0" w:color="auto"/>
              <w:left w:val="single" w:sz="6" w:space="0" w:color="auto"/>
              <w:bottom w:val="single" w:sz="6" w:space="0" w:color="auto"/>
              <w:right w:val="double" w:sz="4" w:space="0" w:color="auto"/>
            </w:tcBorders>
          </w:tcPr>
          <w:p w14:paraId="3142416E"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r>
      <w:tr w:rsidR="00795F6F" w:rsidRPr="00D3097B" w14:paraId="546D0475" w14:textId="77777777" w:rsidTr="003C5E83">
        <w:trPr>
          <w:trHeight w:val="17"/>
          <w:jc w:val="center"/>
        </w:trPr>
        <w:tc>
          <w:tcPr>
            <w:tcW w:w="479" w:type="dxa"/>
            <w:tcBorders>
              <w:top w:val="single" w:sz="6" w:space="0" w:color="auto"/>
              <w:left w:val="double" w:sz="4" w:space="0" w:color="auto"/>
              <w:bottom w:val="double" w:sz="4" w:space="0" w:color="auto"/>
              <w:right w:val="single" w:sz="6" w:space="0" w:color="auto"/>
            </w:tcBorders>
            <w:vAlign w:val="center"/>
          </w:tcPr>
          <w:p w14:paraId="664B0A71" w14:textId="77777777" w:rsidR="00795F6F" w:rsidRPr="00D3097B" w:rsidRDefault="00795F6F" w:rsidP="00795F6F">
            <w:pPr>
              <w:spacing w:after="0" w:line="240" w:lineRule="auto"/>
              <w:jc w:val="center"/>
              <w:rPr>
                <w:rFonts w:ascii="Arial" w:hAnsi="Arial" w:cs="Arial"/>
                <w:caps/>
                <w:noProof/>
                <w:sz w:val="21"/>
                <w:szCs w:val="21"/>
                <w:lang w:val="es-ES" w:eastAsia="es-ES"/>
              </w:rPr>
            </w:pPr>
            <w:r w:rsidRPr="00D3097B">
              <w:rPr>
                <w:rFonts w:ascii="Arial" w:hAnsi="Arial" w:cs="Arial"/>
                <w:caps/>
                <w:noProof/>
                <w:sz w:val="21"/>
                <w:szCs w:val="21"/>
                <w:lang w:val="es-ES" w:eastAsia="es-ES"/>
              </w:rPr>
              <w:t>2.</w:t>
            </w:r>
          </w:p>
        </w:tc>
        <w:tc>
          <w:tcPr>
            <w:tcW w:w="1244" w:type="dxa"/>
            <w:tcBorders>
              <w:top w:val="single" w:sz="6" w:space="0" w:color="auto"/>
              <w:left w:val="single" w:sz="6" w:space="0" w:color="auto"/>
              <w:bottom w:val="double" w:sz="4" w:space="0" w:color="auto"/>
              <w:right w:val="double" w:sz="4" w:space="0" w:color="auto"/>
            </w:tcBorders>
            <w:vAlign w:val="center"/>
          </w:tcPr>
          <w:p w14:paraId="67DC8EA1" w14:textId="77777777" w:rsidR="00795F6F" w:rsidRPr="00D3097B" w:rsidRDefault="00795F6F" w:rsidP="00795F6F">
            <w:pPr>
              <w:spacing w:after="0" w:line="240" w:lineRule="auto"/>
              <w:ind w:left="284"/>
              <w:jc w:val="center"/>
              <w:rPr>
                <w:rFonts w:ascii="Arial" w:hAnsi="Arial" w:cs="Arial"/>
                <w:caps/>
                <w:sz w:val="21"/>
                <w:szCs w:val="21"/>
                <w:lang w:val="es-ES" w:eastAsia="es-ES"/>
              </w:rPr>
            </w:pPr>
          </w:p>
        </w:tc>
        <w:tc>
          <w:tcPr>
            <w:tcW w:w="1261" w:type="dxa"/>
            <w:tcBorders>
              <w:top w:val="single" w:sz="6" w:space="0" w:color="auto"/>
              <w:left w:val="single" w:sz="6" w:space="0" w:color="auto"/>
              <w:bottom w:val="double" w:sz="4" w:space="0" w:color="auto"/>
              <w:right w:val="double" w:sz="4" w:space="0" w:color="auto"/>
            </w:tcBorders>
          </w:tcPr>
          <w:p w14:paraId="1358A0D1"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092" w:type="dxa"/>
            <w:tcBorders>
              <w:top w:val="single" w:sz="6" w:space="0" w:color="auto"/>
              <w:left w:val="single" w:sz="6" w:space="0" w:color="auto"/>
              <w:bottom w:val="double" w:sz="4" w:space="0" w:color="auto"/>
              <w:right w:val="double" w:sz="4" w:space="0" w:color="auto"/>
            </w:tcBorders>
          </w:tcPr>
          <w:p w14:paraId="4A1E1BBC"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39" w:type="dxa"/>
            <w:tcBorders>
              <w:top w:val="single" w:sz="6" w:space="0" w:color="auto"/>
              <w:left w:val="single" w:sz="6" w:space="0" w:color="auto"/>
              <w:bottom w:val="double" w:sz="4" w:space="0" w:color="auto"/>
              <w:right w:val="double" w:sz="4" w:space="0" w:color="auto"/>
            </w:tcBorders>
          </w:tcPr>
          <w:p w14:paraId="001AE2C7"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29" w:type="dxa"/>
            <w:tcBorders>
              <w:top w:val="single" w:sz="6" w:space="0" w:color="auto"/>
              <w:left w:val="single" w:sz="6" w:space="0" w:color="auto"/>
              <w:bottom w:val="double" w:sz="4" w:space="0" w:color="auto"/>
              <w:right w:val="double" w:sz="4" w:space="0" w:color="auto"/>
            </w:tcBorders>
          </w:tcPr>
          <w:p w14:paraId="227A99DA"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r>
    </w:tbl>
    <w:p w14:paraId="7550D092" w14:textId="77777777" w:rsidR="00795F6F" w:rsidRPr="00D3097B" w:rsidRDefault="00795F6F" w:rsidP="00795F6F">
      <w:pPr>
        <w:spacing w:after="0" w:line="240" w:lineRule="auto"/>
        <w:jc w:val="both"/>
        <w:rPr>
          <w:rFonts w:ascii="Arial" w:hAnsi="Arial" w:cs="Arial"/>
          <w:sz w:val="21"/>
          <w:szCs w:val="21"/>
          <w:lang w:val="es-MX" w:eastAsia="es-ES" w:bidi="en-US"/>
        </w:rPr>
      </w:pPr>
    </w:p>
    <w:p w14:paraId="385E6999" w14:textId="77777777" w:rsidR="00795F6F" w:rsidRPr="00D3097B" w:rsidRDefault="00795F6F" w:rsidP="00795F6F">
      <w:pPr>
        <w:spacing w:after="120" w:line="276" w:lineRule="auto"/>
        <w:ind w:firstLine="709"/>
        <w:jc w:val="both"/>
        <w:rPr>
          <w:rFonts w:ascii="Arial" w:hAnsi="Arial" w:cs="Arial"/>
          <w:lang w:val="es-MX" w:eastAsia="es-ES" w:bidi="en-US"/>
        </w:rPr>
      </w:pPr>
      <w:r w:rsidRPr="00D3097B">
        <w:rPr>
          <w:rFonts w:ascii="Arial" w:hAnsi="Arial" w:cs="Arial"/>
          <w:lang w:val="es-MX" w:eastAsia="es-ES" w:bidi="en-US"/>
        </w:rPr>
        <w:t xml:space="preserve">Como se aprecia, el cuadro que diligenciará el proponente contiene los siguientes aspectos: i) No (corresponderán a tantos como bienes se ofrezcan), </w:t>
      </w:r>
      <w:proofErr w:type="spellStart"/>
      <w:r w:rsidRPr="00D3097B">
        <w:rPr>
          <w:rFonts w:ascii="Arial" w:hAnsi="Arial" w:cs="Arial"/>
          <w:lang w:val="es-MX" w:eastAsia="es-ES" w:bidi="en-US"/>
        </w:rPr>
        <w:t>ii</w:t>
      </w:r>
      <w:proofErr w:type="spellEnd"/>
      <w:r w:rsidRPr="00D3097B">
        <w:rPr>
          <w:rFonts w:ascii="Arial" w:hAnsi="Arial" w:cs="Arial"/>
          <w:lang w:val="es-MX" w:eastAsia="es-ES" w:bidi="en-US"/>
        </w:rPr>
        <w:t xml:space="preserve">) bien nacional relevante, </w:t>
      </w:r>
      <w:proofErr w:type="spellStart"/>
      <w:r w:rsidRPr="00D3097B">
        <w:rPr>
          <w:rFonts w:ascii="Arial" w:hAnsi="Arial" w:cs="Arial"/>
          <w:lang w:val="es-MX" w:eastAsia="es-ES" w:bidi="en-US"/>
        </w:rPr>
        <w:t>iii</w:t>
      </w:r>
      <w:proofErr w:type="spellEnd"/>
      <w:r w:rsidRPr="00D3097B">
        <w:rPr>
          <w:rFonts w:ascii="Arial" w:hAnsi="Arial" w:cs="Arial"/>
          <w:lang w:val="es-MX" w:eastAsia="es-ES" w:bidi="en-US"/>
        </w:rPr>
        <w:t xml:space="preserve">) fecha de inscripción, </w:t>
      </w:r>
      <w:proofErr w:type="spellStart"/>
      <w:r w:rsidRPr="00D3097B">
        <w:rPr>
          <w:rFonts w:ascii="Arial" w:hAnsi="Arial" w:cs="Arial"/>
          <w:lang w:val="es-MX" w:eastAsia="es-ES" w:bidi="en-US"/>
        </w:rPr>
        <w:t>iv</w:t>
      </w:r>
      <w:proofErr w:type="spellEnd"/>
      <w:r w:rsidRPr="00D3097B">
        <w:rPr>
          <w:rFonts w:ascii="Arial" w:hAnsi="Arial" w:cs="Arial"/>
          <w:lang w:val="es-MX" w:eastAsia="es-ES" w:bidi="en-US"/>
        </w:rPr>
        <w:t xml:space="preserve">) fecha de vigencia, v) No. de partida arancelaria, y vi) porcentaje (%) de participación. Esta tabla, se llenará de acuerdo con los bienes nacionales relevantes establecidos por la entidad en la Opción 1 del numeral 4.3.1 “Promoción de servicios nacional o con trato nacional” del documento base, y en consideración a los bienes nacionales relevantes que el proponente se compromete a incorporar durante la ejecución del contrato. En este sentido, el proponente podrá ofrecer uno, algunos o todos los bienes nacionales relevantes determinados por la entidad, los cuales, relacionará en la tabla dispuesta en la Opción 1 del “Formato 9A”, y, además, diligenciará por cada bien nacional relevante que ofrezca la información que se solicita en el cuadro. </w:t>
      </w:r>
    </w:p>
    <w:p w14:paraId="1905F677" w14:textId="77777777" w:rsidR="00795F6F" w:rsidRPr="00D3097B" w:rsidRDefault="00795F6F" w:rsidP="00795F6F">
      <w:pPr>
        <w:spacing w:after="0" w:line="276" w:lineRule="auto"/>
        <w:ind w:firstLine="709"/>
        <w:jc w:val="both"/>
        <w:rPr>
          <w:rFonts w:ascii="Arial" w:eastAsia="Arial" w:hAnsi="Arial" w:cs="Arial"/>
          <w:lang w:eastAsia="es-MX"/>
        </w:rPr>
      </w:pPr>
      <w:r w:rsidRPr="00D3097B">
        <w:rPr>
          <w:rFonts w:ascii="Arial" w:hAnsi="Arial" w:cs="Arial"/>
          <w:lang w:val="es-MX" w:eastAsia="es-ES" w:bidi="en-US"/>
        </w:rPr>
        <w:t xml:space="preserve">Ahora bien, en el evento que el proponente ofrezca uno, alguno o todos los bienes nacionales relevante de los dispuestos por la entidad en el documento base, y no diligencie completamente el contenido de la tabla, como la fecha de inscripción, fecha de vigencia, No. de partida arancelaria o porcentaje de participación, la entidad </w:t>
      </w:r>
      <w:r w:rsidRPr="00D3097B">
        <w:rPr>
          <w:rFonts w:ascii="Arial" w:eastAsia="Arial" w:hAnsi="Arial" w:cs="Arial"/>
          <w:lang w:eastAsia="es-MX"/>
        </w:rPr>
        <w:t xml:space="preserve">podrá solicitar al proponente que aclare o precise la información que hace falta, teniendo en cuenta lo señalado en numeral 2.1 del presente concepto. No obstante, considerando que el proponente no puede completar, adicionar, modificar o mejorar su propuesta en los aspectos que otorgan puntaje, el proponente no podrá agregar otros bienes nacionales relevantes distintos a los que haya diligenciado al momento de la presentación del “Formato 9 A”. En todo caso, le corresponde a la entidad estatal como responsable del proceso de contratación determinar aquellos aspectos que puede aclarar o precisar el proponente en relación con su oferta sin que esto se constituya en una mejora.  </w:t>
      </w:r>
    </w:p>
    <w:p w14:paraId="14CCEB94" w14:textId="77777777" w:rsidR="00795F6F" w:rsidRPr="00D3097B" w:rsidRDefault="00795F6F" w:rsidP="00795F6F">
      <w:pPr>
        <w:tabs>
          <w:tab w:val="left" w:pos="426"/>
        </w:tabs>
        <w:spacing w:after="0" w:line="240" w:lineRule="auto"/>
        <w:ind w:right="709"/>
        <w:jc w:val="both"/>
        <w:rPr>
          <w:rFonts w:ascii="Arial" w:eastAsia="Calibri" w:hAnsi="Arial" w:cs="Arial"/>
          <w:sz w:val="21"/>
          <w:szCs w:val="21"/>
          <w:lang w:val="es-MX"/>
        </w:rPr>
      </w:pPr>
    </w:p>
    <w:p w14:paraId="14765706" w14:textId="77777777" w:rsidR="00795F6F" w:rsidRPr="00D3097B" w:rsidRDefault="00795F6F" w:rsidP="00795F6F">
      <w:pPr>
        <w:autoSpaceDE w:val="0"/>
        <w:autoSpaceDN w:val="0"/>
        <w:adjustRightInd w:val="0"/>
        <w:spacing w:after="0" w:line="240" w:lineRule="auto"/>
        <w:ind w:left="709" w:right="709"/>
        <w:jc w:val="both"/>
        <w:rPr>
          <w:rFonts w:ascii="Arial" w:hAnsi="Arial" w:cs="Arial"/>
          <w:sz w:val="21"/>
          <w:szCs w:val="21"/>
          <w14:ligatures w14:val="standardContextual"/>
        </w:rPr>
      </w:pPr>
      <w:r w:rsidRPr="00D3097B">
        <w:rPr>
          <w:rFonts w:ascii="Arial" w:hAnsi="Arial" w:cs="Arial"/>
          <w:sz w:val="21"/>
          <w:szCs w:val="21"/>
          <w14:ligatures w14:val="standardContextual"/>
        </w:rPr>
        <w:t xml:space="preserve">Así mismo, en la propuesta acompañado del formato 9A debe ir el certificado de existencia y representación legal y/o cedula según corresponda, en el caso de que una persona jurídica tenga la obligación de tener revisor fiscal y no lo tenga, deberá subsanar su certificado con el revisor fiscal nombrado. pregunta, ¿al momento de la empresa subsanar el certificado de existencia y representación legal, ya no se le otorgaría el puntaje de apoyo a la industria teniendo en cuenta que tuvo que subsanar el certificado?”. </w:t>
      </w:r>
    </w:p>
    <w:p w14:paraId="1AF534E2" w14:textId="77777777" w:rsidR="00795F6F" w:rsidRPr="00D3097B" w:rsidRDefault="00795F6F" w:rsidP="00795F6F">
      <w:pPr>
        <w:spacing w:after="0" w:line="240" w:lineRule="auto"/>
        <w:ind w:firstLine="708"/>
        <w:jc w:val="both"/>
        <w:rPr>
          <w:rFonts w:ascii="Arial" w:hAnsi="Arial" w:cs="Arial"/>
          <w:lang w:val="es-MX"/>
        </w:rPr>
      </w:pPr>
    </w:p>
    <w:p w14:paraId="4BFA8251" w14:textId="77777777" w:rsidR="00795F6F" w:rsidRPr="00D3097B" w:rsidRDefault="00795F6F" w:rsidP="00795F6F">
      <w:pPr>
        <w:spacing w:after="120" w:line="276" w:lineRule="auto"/>
        <w:ind w:firstLine="709"/>
        <w:jc w:val="both"/>
        <w:rPr>
          <w:rFonts w:ascii="Arial" w:hAnsi="Arial" w:cs="Arial"/>
          <w:lang w:val="es-MX"/>
        </w:rPr>
      </w:pPr>
      <w:r w:rsidRPr="00D3097B">
        <w:rPr>
          <w:rFonts w:ascii="Arial" w:hAnsi="Arial" w:cs="Arial"/>
          <w:lang w:val="es-MX"/>
        </w:rPr>
        <w:t xml:space="preserve">Conforme al numeral 4.3.1.1 del documento base, para el otorgamiento del puntaje por apoyo a la industria nacional, se tiene que: i) las personas naturales colombianas deben presentar la cédula de ciudadanía y </w:t>
      </w:r>
      <w:proofErr w:type="spellStart"/>
      <w:r w:rsidRPr="00D3097B">
        <w:rPr>
          <w:rFonts w:ascii="Arial" w:hAnsi="Arial" w:cs="Arial"/>
          <w:lang w:val="es-MX"/>
        </w:rPr>
        <w:t>ii</w:t>
      </w:r>
      <w:proofErr w:type="spellEnd"/>
      <w:r w:rsidRPr="00D3097B">
        <w:rPr>
          <w:rFonts w:ascii="Arial" w:hAnsi="Arial" w:cs="Arial"/>
          <w:lang w:val="es-MX"/>
        </w:rPr>
        <w:t xml:space="preserve">) las personas jurídicas constituidas en Colombia deben presentar el certificado de existencia y representación legal expedido por una Cámara de Comercio. Como se observa, en el documento tipo no se dispone de un término de vigencia para el certificado de existencia y representación, como sí se exige en el caso de los requisitos habilitantes. </w:t>
      </w:r>
    </w:p>
    <w:p w14:paraId="64662A73" w14:textId="77777777" w:rsidR="00795F6F" w:rsidRPr="00D3097B" w:rsidRDefault="00795F6F" w:rsidP="00795F6F">
      <w:pPr>
        <w:spacing w:after="120" w:line="276" w:lineRule="auto"/>
        <w:ind w:firstLine="709"/>
        <w:jc w:val="both"/>
        <w:rPr>
          <w:rFonts w:ascii="Arial" w:hAnsi="Arial" w:cs="Arial"/>
          <w:lang w:val="es-MX"/>
        </w:rPr>
      </w:pPr>
      <w:r w:rsidRPr="00D3097B">
        <w:rPr>
          <w:rFonts w:ascii="Arial" w:hAnsi="Arial" w:cs="Arial"/>
          <w:lang w:val="es-MX"/>
        </w:rPr>
        <w:t xml:space="preserve">Así las cosas, para el caso del proponente persona natural, se otorgará el puntaje por el criterio de apoyo a la industria nacional con la presentación del Formato 9A y la cédula de ciudadanía del proponente. Es de resaltar que el debido diligenciamiento del Formato 9A exige que la opción diligenciada por el proponente sea congruente con lo establecido por la entidad como criterio para la asignación de puntaje. </w:t>
      </w:r>
    </w:p>
    <w:p w14:paraId="3E77737D" w14:textId="77777777" w:rsidR="00795F6F" w:rsidRPr="00D3097B" w:rsidRDefault="00795F6F" w:rsidP="00795F6F">
      <w:pPr>
        <w:spacing w:after="120" w:line="276" w:lineRule="auto"/>
        <w:ind w:firstLine="709"/>
        <w:jc w:val="both"/>
        <w:rPr>
          <w:rFonts w:ascii="Arial" w:hAnsi="Arial" w:cs="Arial"/>
          <w:lang w:val="es-MX"/>
        </w:rPr>
      </w:pPr>
      <w:r w:rsidRPr="00D3097B">
        <w:rPr>
          <w:rFonts w:ascii="Arial" w:hAnsi="Arial" w:cs="Arial"/>
          <w:lang w:val="es-MX"/>
        </w:rPr>
        <w:t xml:space="preserve">Así pues, en relación con la consulta planteada, para poder optar a los puntos de la primera franja del puntaje por apoyo a la industria nacional, en el marco de procesos adelantados con documentos tipo, resulta indispensable acompañar la cédula de ciudadanía, la visa de residencia o el certificado de existencia y representación con el Formato 9A debidamente diligenciado. </w:t>
      </w:r>
    </w:p>
    <w:p w14:paraId="079669F7" w14:textId="77777777" w:rsidR="00795F6F" w:rsidRPr="00D3097B" w:rsidRDefault="00795F6F" w:rsidP="00795F6F">
      <w:pPr>
        <w:spacing w:after="120" w:line="276" w:lineRule="auto"/>
        <w:ind w:firstLine="709"/>
        <w:jc w:val="both"/>
        <w:rPr>
          <w:rFonts w:ascii="Arial" w:hAnsi="Arial" w:cs="Arial"/>
          <w:lang w:val="es-MX"/>
        </w:rPr>
      </w:pPr>
      <w:r w:rsidRPr="00D3097B">
        <w:rPr>
          <w:rFonts w:ascii="Arial" w:hAnsi="Arial" w:cs="Arial"/>
          <w:lang w:val="es-MX"/>
        </w:rPr>
        <w:t xml:space="preserve">Al respecto, se precisa que existen documentos que permiten tanto la acreditación de requisitos habilitantes como de asignación de puntaje. Tal es el caso de la fotocopia de la cédula de ciudadanía del proponente, tratándose de una persona natural colombiana; o del certificado de existencia y representación legal, para las personas jurídicas. Ambos documentos permiten acreditar parte de la capacidad jurídica como requisito habilitante –numeral 3.3. del Documento Base–; y, a su vez, están contemplados en el documento base como parte de los documentos idóneos para obtener puntaje por concepto de apoyo a la industria nacional. </w:t>
      </w:r>
    </w:p>
    <w:p w14:paraId="306BDD42" w14:textId="77777777" w:rsidR="00795F6F" w:rsidRPr="00D3097B" w:rsidRDefault="00795F6F" w:rsidP="00795F6F">
      <w:pPr>
        <w:spacing w:after="120" w:line="276" w:lineRule="auto"/>
        <w:ind w:firstLine="709"/>
        <w:jc w:val="both"/>
        <w:rPr>
          <w:rFonts w:ascii="Arial" w:hAnsi="Arial" w:cs="Arial"/>
          <w:lang w:val="es-MX"/>
        </w:rPr>
      </w:pPr>
      <w:r w:rsidRPr="00D3097B">
        <w:rPr>
          <w:rFonts w:ascii="Arial" w:hAnsi="Arial" w:cs="Arial"/>
          <w:lang w:val="es-MX"/>
        </w:rPr>
        <w:t xml:space="preserve">En armonía con lo anterior, la propuesta es una sola y no es necesario aportar varias veces el mismo documento, exigencia que desconocería el principio de economía. En ese contexto, la entidad deberá evaluar tanto el requisito habilitante como de asignación de puntaje con los documentos aportados, sin que se requieran documentos o formatos </w:t>
      </w:r>
      <w:r w:rsidRPr="00D3097B">
        <w:rPr>
          <w:rFonts w:ascii="Arial" w:hAnsi="Arial" w:cs="Arial"/>
          <w:lang w:val="es-MX"/>
        </w:rPr>
        <w:lastRenderedPageBreak/>
        <w:t>adicionales a los señalados en el documento base, ni que se presente dos veces un mismo documento con la oferta.</w:t>
      </w:r>
    </w:p>
    <w:p w14:paraId="3513ED1E" w14:textId="77777777" w:rsidR="00795F6F" w:rsidRPr="00D3097B" w:rsidRDefault="00795F6F" w:rsidP="00795F6F">
      <w:pPr>
        <w:spacing w:after="120" w:line="276" w:lineRule="auto"/>
        <w:ind w:firstLine="709"/>
        <w:jc w:val="both"/>
        <w:rPr>
          <w:rFonts w:ascii="Arial" w:hAnsi="Arial" w:cs="Arial"/>
          <w:lang w:val="es-MX"/>
        </w:rPr>
      </w:pPr>
      <w:r w:rsidRPr="00D3097B">
        <w:rPr>
          <w:rFonts w:ascii="Arial" w:hAnsi="Arial" w:cs="Arial"/>
          <w:lang w:val="es-MX"/>
        </w:rPr>
        <w:t xml:space="preserve">No </w:t>
      </w:r>
      <w:proofErr w:type="gramStart"/>
      <w:r w:rsidRPr="00D3097B">
        <w:rPr>
          <w:rFonts w:ascii="Arial" w:hAnsi="Arial" w:cs="Arial"/>
          <w:lang w:val="es-MX"/>
        </w:rPr>
        <w:t>obstante</w:t>
      </w:r>
      <w:proofErr w:type="gramEnd"/>
      <w:r w:rsidRPr="00D3097B">
        <w:rPr>
          <w:rFonts w:ascii="Arial" w:hAnsi="Arial" w:cs="Arial"/>
          <w:lang w:val="es-MX"/>
        </w:rPr>
        <w:t xml:space="preserve"> lo anterior, es importante señalar que de acuerdo con las reglas de </w:t>
      </w:r>
      <w:proofErr w:type="spellStart"/>
      <w:r w:rsidRPr="00D3097B">
        <w:rPr>
          <w:rFonts w:ascii="Arial" w:hAnsi="Arial" w:cs="Arial"/>
          <w:lang w:val="es-MX"/>
        </w:rPr>
        <w:t>subsanabilidad</w:t>
      </w:r>
      <w:proofErr w:type="spellEnd"/>
      <w:r w:rsidRPr="00D3097B">
        <w:rPr>
          <w:rFonts w:ascii="Arial" w:hAnsi="Arial" w:cs="Arial"/>
          <w:lang w:val="es-MX"/>
        </w:rPr>
        <w:t xml:space="preserve"> de las ofertas y la regulación contenida en el documento tipo de licitación de obra pública de infraestructura de transporte, la falta de presentación del certificado de existencia y representación legal con la propuesta o la cédula de ciudadanía impide que el proponente obtenga el puntaje respectivo. En efecto, en el numeral 4.3.1.1 del documento base se establece que: “El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 En este sentido, si el proponente no aportó la cédula de ciudadanía o el certificado de existencia y representación legal con su propuesta, aunque puede subsanar dicha omisión para acreditar su capacidad jurídica, no podrá subsanar o corregir dicha falencia para obtener el puntaje, ya que la </w:t>
      </w:r>
      <w:proofErr w:type="spellStart"/>
      <w:r w:rsidRPr="00D3097B">
        <w:rPr>
          <w:rFonts w:ascii="Arial" w:hAnsi="Arial" w:cs="Arial"/>
          <w:lang w:val="es-MX"/>
        </w:rPr>
        <w:t>subsanabilidad</w:t>
      </w:r>
      <w:proofErr w:type="spellEnd"/>
      <w:r w:rsidRPr="00D3097B">
        <w:rPr>
          <w:rFonts w:ascii="Arial" w:hAnsi="Arial" w:cs="Arial"/>
          <w:lang w:val="es-MX"/>
        </w:rPr>
        <w:t xml:space="preserve"> no procede frente aquellos requisitos de la oferta que afectan la asignación de puntaje.</w:t>
      </w:r>
    </w:p>
    <w:p w14:paraId="587C5DF5" w14:textId="77777777" w:rsidR="00795F6F" w:rsidRPr="00D3097B" w:rsidRDefault="00795F6F" w:rsidP="00795F6F">
      <w:pPr>
        <w:spacing w:after="120" w:line="276" w:lineRule="auto"/>
        <w:ind w:firstLine="709"/>
        <w:jc w:val="both"/>
        <w:rPr>
          <w:rFonts w:ascii="Arial" w:hAnsi="Arial" w:cs="Arial"/>
          <w:lang w:val="es-MX"/>
        </w:rPr>
      </w:pPr>
    </w:p>
    <w:p w14:paraId="362D537A" w14:textId="77777777" w:rsidR="00795F6F" w:rsidRPr="00D3097B" w:rsidRDefault="00795F6F" w:rsidP="00795F6F">
      <w:pPr>
        <w:spacing w:after="0" w:line="276" w:lineRule="auto"/>
        <w:ind w:right="51"/>
        <w:jc w:val="both"/>
        <w:rPr>
          <w:rFonts w:ascii="Arial" w:hAnsi="Arial" w:cs="Arial"/>
          <w:szCs w:val="20"/>
          <w:lang w:val="es-MX"/>
        </w:rPr>
      </w:pPr>
      <w:r w:rsidRPr="00D3097B">
        <w:rPr>
          <w:rFonts w:ascii="Arial" w:hAnsi="Arial" w:cs="Arial"/>
          <w:szCs w:val="20"/>
          <w:lang w:val="es-MX"/>
        </w:rPr>
        <w:t>Este concepto tiene el alcance previsto en el artículo 28 del Código de Procedimiento Administrativo y de lo Contencioso Administrativo.</w:t>
      </w:r>
    </w:p>
    <w:bookmarkEnd w:id="1"/>
    <w:p w14:paraId="03E83023" w14:textId="77777777" w:rsidR="00795F6F" w:rsidRPr="00D3097B" w:rsidRDefault="00795F6F" w:rsidP="00795F6F">
      <w:pPr>
        <w:spacing w:after="0" w:line="276" w:lineRule="auto"/>
        <w:jc w:val="both"/>
        <w:rPr>
          <w:rFonts w:ascii="Arial" w:eastAsia="Calibri" w:hAnsi="Arial" w:cs="Arial"/>
          <w:sz w:val="24"/>
          <w:lang w:val="es-MX"/>
        </w:rPr>
      </w:pPr>
      <w:r w:rsidRPr="00D3097B">
        <w:rPr>
          <w:rFonts w:ascii="Arial" w:hAnsi="Arial" w:cs="Arial"/>
          <w:noProof/>
          <w:sz w:val="24"/>
          <w:lang w:val="es-MX" w:eastAsia="es-CO"/>
        </w:rPr>
        <mc:AlternateContent>
          <mc:Choice Requires="wps">
            <w:drawing>
              <wp:anchor distT="0" distB="0" distL="114300" distR="114300" simplePos="0" relativeHeight="251659264" behindDoc="0" locked="0" layoutInCell="1" allowOverlap="1" wp14:anchorId="34DD63AF" wp14:editId="2C45F6DC">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B0E89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7D8B66C2" w14:textId="77777777" w:rsidR="00795F6F" w:rsidRPr="00D3097B" w:rsidRDefault="00795F6F" w:rsidP="00795F6F">
      <w:pPr>
        <w:spacing w:after="0" w:line="276" w:lineRule="auto"/>
        <w:rPr>
          <w:rFonts w:ascii="Arial" w:eastAsia="Times New Roman" w:hAnsi="Arial" w:cs="Arial"/>
          <w:sz w:val="24"/>
          <w:lang w:val="es-MX" w:eastAsia="es-CO"/>
        </w:rPr>
      </w:pPr>
      <w:bookmarkStart w:id="32" w:name="_Hlk50986665"/>
      <w:bookmarkStart w:id="33" w:name="_Hlk55258198"/>
      <w:r w:rsidRPr="00D3097B">
        <w:rPr>
          <w:rFonts w:ascii="Arial" w:hAnsi="Arial" w:cs="Arial"/>
          <w:sz w:val="24"/>
          <w:lang w:val="es-MX" w:eastAsia="es-CO"/>
        </w:rPr>
        <w:t>Atentamente,</w:t>
      </w:r>
    </w:p>
    <w:p w14:paraId="67F21B95" w14:textId="77777777" w:rsidR="00795F6F" w:rsidRPr="00D3097B" w:rsidRDefault="00795F6F" w:rsidP="00795F6F">
      <w:pPr>
        <w:spacing w:before="120" w:after="0" w:line="276" w:lineRule="auto"/>
        <w:jc w:val="center"/>
        <w:rPr>
          <w:rFonts w:ascii="Arial" w:hAnsi="Arial" w:cs="Arial"/>
          <w:sz w:val="18"/>
          <w:szCs w:val="20"/>
          <w:lang w:val="es-ES_tradnl" w:eastAsia="es-CO"/>
        </w:rPr>
      </w:pPr>
      <w:bookmarkStart w:id="34" w:name="_Hlk108446929"/>
      <w:bookmarkEnd w:id="2"/>
      <w:bookmarkEnd w:id="3"/>
      <w:bookmarkEnd w:id="32"/>
      <w:bookmarkEnd w:id="33"/>
    </w:p>
    <w:bookmarkEnd w:id="34"/>
    <w:p w14:paraId="4E190DC0" w14:textId="24C197BB" w:rsidR="00795F6F" w:rsidRPr="00D3097B" w:rsidRDefault="00023165" w:rsidP="00795F6F">
      <w:pPr>
        <w:spacing w:after="0" w:line="276" w:lineRule="auto"/>
        <w:jc w:val="center"/>
        <w:rPr>
          <w:rFonts w:ascii="Arial" w:eastAsia="Times New Roman" w:hAnsi="Arial" w:cs="Arial"/>
          <w:color w:val="000000" w:themeColor="text1"/>
          <w:sz w:val="24"/>
          <w:lang w:val="es-ES_tradnl" w:eastAsia="es-CO"/>
        </w:rPr>
      </w:pPr>
      <w:r>
        <w:rPr>
          <w:noProof/>
        </w:rPr>
        <w:drawing>
          <wp:inline distT="0" distB="0" distL="0" distR="0" wp14:anchorId="31E6AFE9" wp14:editId="79F7425A">
            <wp:extent cx="2532241" cy="971585"/>
            <wp:effectExtent l="0" t="0" r="1905" b="0"/>
            <wp:docPr id="124789439" name="Imagen 12478943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548596" cy="977860"/>
                    </a:xfrm>
                    <a:prstGeom prst="rect">
                      <a:avLst/>
                    </a:prstGeom>
                  </pic:spPr>
                </pic:pic>
              </a:graphicData>
            </a:graphic>
          </wp:inline>
        </w:drawing>
      </w:r>
    </w:p>
    <w:p w14:paraId="32316ACC" w14:textId="77777777" w:rsidR="00795F6F" w:rsidRPr="00D3097B" w:rsidRDefault="00795F6F" w:rsidP="00795F6F">
      <w:pPr>
        <w:spacing w:after="0" w:line="276" w:lineRule="auto"/>
        <w:jc w:val="center"/>
        <w:rPr>
          <w:rFonts w:ascii="Arial" w:eastAsia="Times New Roman" w:hAnsi="Arial" w:cs="Arial"/>
          <w:color w:val="000000" w:themeColor="text1"/>
          <w:sz w:val="24"/>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4640"/>
      </w:tblGrid>
      <w:tr w:rsidR="00795F6F" w:rsidRPr="00D3097B" w14:paraId="464ED1A4" w14:textId="77777777" w:rsidTr="00303B8C">
        <w:trPr>
          <w:trHeight w:val="441"/>
        </w:trPr>
        <w:tc>
          <w:tcPr>
            <w:tcW w:w="898" w:type="dxa"/>
            <w:vAlign w:val="center"/>
            <w:hideMark/>
          </w:tcPr>
          <w:p w14:paraId="2CDAEB1A" w14:textId="77777777" w:rsidR="00795F6F" w:rsidRPr="00D3097B" w:rsidRDefault="00795F6F" w:rsidP="00795F6F">
            <w:pPr>
              <w:rPr>
                <w:rFonts w:ascii="Arial" w:eastAsia="Times New Roman" w:hAnsi="Arial" w:cs="Arial"/>
                <w:sz w:val="16"/>
                <w:szCs w:val="16"/>
                <w:lang w:val="es-MX" w:eastAsia="es-ES"/>
              </w:rPr>
            </w:pPr>
            <w:r w:rsidRPr="00D3097B">
              <w:rPr>
                <w:rFonts w:ascii="Arial" w:eastAsia="Times New Roman" w:hAnsi="Arial" w:cs="Arial"/>
                <w:sz w:val="16"/>
                <w:szCs w:val="16"/>
                <w:lang w:val="es-MX" w:eastAsia="es-ES"/>
              </w:rPr>
              <w:t>Elaboró:</w:t>
            </w:r>
          </w:p>
        </w:tc>
        <w:tc>
          <w:tcPr>
            <w:tcW w:w="4640" w:type="dxa"/>
            <w:tcBorders>
              <w:top w:val="nil"/>
              <w:left w:val="nil"/>
              <w:bottom w:val="dotted" w:sz="4" w:space="0" w:color="7F7F7F" w:themeColor="text1" w:themeTint="80"/>
              <w:right w:val="nil"/>
            </w:tcBorders>
            <w:vAlign w:val="center"/>
            <w:hideMark/>
          </w:tcPr>
          <w:p w14:paraId="657A19DD" w14:textId="77777777" w:rsidR="00795F6F" w:rsidRPr="00D3097B" w:rsidRDefault="00795F6F" w:rsidP="00795F6F">
            <w:pPr>
              <w:rPr>
                <w:rFonts w:ascii="Arial" w:eastAsia="Times New Roman" w:hAnsi="Arial" w:cs="Arial"/>
                <w:sz w:val="16"/>
                <w:szCs w:val="16"/>
                <w:lang w:val="es-MX" w:eastAsia="es-ES"/>
              </w:rPr>
            </w:pPr>
            <w:r w:rsidRPr="00D3097B">
              <w:rPr>
                <w:rFonts w:ascii="Arial" w:eastAsia="Times New Roman" w:hAnsi="Arial" w:cs="Arial"/>
                <w:sz w:val="16"/>
                <w:szCs w:val="16"/>
                <w:lang w:val="es-MX" w:eastAsia="es-ES"/>
              </w:rPr>
              <w:t xml:space="preserve">Carlos Mario Castrillón Endo </w:t>
            </w:r>
          </w:p>
          <w:p w14:paraId="183F0FD3" w14:textId="77777777" w:rsidR="00795F6F" w:rsidRPr="00D3097B" w:rsidRDefault="00795F6F" w:rsidP="00795F6F">
            <w:pPr>
              <w:rPr>
                <w:rFonts w:ascii="Arial" w:eastAsia="Times New Roman" w:hAnsi="Arial" w:cs="Arial"/>
                <w:sz w:val="16"/>
                <w:szCs w:val="16"/>
                <w:lang w:val="es-MX" w:eastAsia="es-ES"/>
              </w:rPr>
            </w:pPr>
            <w:r w:rsidRPr="00D3097B">
              <w:rPr>
                <w:rFonts w:ascii="Arial" w:eastAsia="Times New Roman" w:hAnsi="Arial" w:cs="Arial"/>
                <w:sz w:val="16"/>
                <w:szCs w:val="16"/>
                <w:lang w:val="es-MX" w:eastAsia="es-ES"/>
              </w:rPr>
              <w:t>Contratista de la Subdirección de Gestión Contractual</w:t>
            </w:r>
          </w:p>
        </w:tc>
      </w:tr>
      <w:tr w:rsidR="00795F6F" w:rsidRPr="00D3097B" w14:paraId="57800443" w14:textId="77777777" w:rsidTr="00303B8C">
        <w:trPr>
          <w:trHeight w:val="464"/>
        </w:trPr>
        <w:tc>
          <w:tcPr>
            <w:tcW w:w="898" w:type="dxa"/>
            <w:vAlign w:val="center"/>
            <w:hideMark/>
          </w:tcPr>
          <w:p w14:paraId="58CD5F10" w14:textId="77777777" w:rsidR="00795F6F" w:rsidRPr="00D3097B" w:rsidRDefault="00795F6F" w:rsidP="00795F6F">
            <w:pPr>
              <w:rPr>
                <w:rFonts w:ascii="Arial" w:eastAsia="Times New Roman" w:hAnsi="Arial" w:cs="Arial"/>
                <w:sz w:val="16"/>
                <w:szCs w:val="16"/>
                <w:lang w:val="es-MX" w:eastAsia="es-ES"/>
              </w:rPr>
            </w:pPr>
            <w:r w:rsidRPr="00D3097B">
              <w:rPr>
                <w:rFonts w:ascii="Arial" w:eastAsia="Times New Roman" w:hAnsi="Arial" w:cs="Arial"/>
                <w:sz w:val="16"/>
                <w:szCs w:val="16"/>
                <w:lang w:val="es-MX" w:eastAsia="es-ES"/>
              </w:rPr>
              <w:t>Revisó:</w:t>
            </w:r>
          </w:p>
        </w:tc>
        <w:tc>
          <w:tcPr>
            <w:tcW w:w="4640" w:type="dxa"/>
            <w:tcBorders>
              <w:top w:val="dotted" w:sz="4" w:space="0" w:color="7F7F7F" w:themeColor="text1" w:themeTint="80"/>
              <w:left w:val="nil"/>
              <w:bottom w:val="dotted" w:sz="4" w:space="0" w:color="7F7F7F" w:themeColor="text1" w:themeTint="80"/>
              <w:right w:val="nil"/>
            </w:tcBorders>
            <w:vAlign w:val="center"/>
            <w:hideMark/>
          </w:tcPr>
          <w:p w14:paraId="59C4C486" w14:textId="77777777" w:rsidR="00795F6F" w:rsidRPr="00D3097B" w:rsidRDefault="00795F6F" w:rsidP="00795F6F">
            <w:pPr>
              <w:rPr>
                <w:rFonts w:ascii="Arial" w:eastAsia="Calibri" w:hAnsi="Arial" w:cs="Arial"/>
                <w:sz w:val="16"/>
                <w:szCs w:val="16"/>
                <w:lang w:val="es-ES_tradnl" w:eastAsia="es-ES"/>
              </w:rPr>
            </w:pPr>
            <w:r w:rsidRPr="00D3097B">
              <w:rPr>
                <w:rFonts w:ascii="Arial" w:eastAsia="Calibri" w:hAnsi="Arial" w:cs="Arial"/>
                <w:sz w:val="16"/>
                <w:szCs w:val="16"/>
                <w:lang w:val="es-ES_tradnl" w:eastAsia="es-ES"/>
              </w:rPr>
              <w:t>Diana Carolina Armenta Celis</w:t>
            </w:r>
          </w:p>
          <w:p w14:paraId="6CB42F1B" w14:textId="77777777" w:rsidR="00795F6F" w:rsidRPr="00D3097B" w:rsidRDefault="00795F6F" w:rsidP="00795F6F">
            <w:pPr>
              <w:rPr>
                <w:rFonts w:ascii="Arial" w:eastAsia="Times New Roman" w:hAnsi="Arial" w:cs="Arial"/>
                <w:sz w:val="16"/>
                <w:szCs w:val="16"/>
                <w:lang w:val="es-MX" w:eastAsia="es-ES"/>
              </w:rPr>
            </w:pPr>
            <w:r w:rsidRPr="00D3097B">
              <w:rPr>
                <w:rFonts w:ascii="Arial" w:eastAsia="Times New Roman" w:hAnsi="Arial" w:cs="Arial"/>
                <w:sz w:val="16"/>
                <w:szCs w:val="16"/>
                <w:lang w:val="es-MX" w:eastAsia="es-ES"/>
              </w:rPr>
              <w:t>Contratista de la Subdirección de Gestión Contractual</w:t>
            </w:r>
          </w:p>
        </w:tc>
      </w:tr>
      <w:tr w:rsidR="00795F6F" w:rsidRPr="00D3097B" w14:paraId="0E941ED3" w14:textId="77777777" w:rsidTr="00303B8C">
        <w:trPr>
          <w:trHeight w:val="421"/>
        </w:trPr>
        <w:tc>
          <w:tcPr>
            <w:tcW w:w="898" w:type="dxa"/>
            <w:vAlign w:val="center"/>
            <w:hideMark/>
          </w:tcPr>
          <w:p w14:paraId="65305614" w14:textId="77777777" w:rsidR="00795F6F" w:rsidRPr="00D3097B" w:rsidRDefault="00795F6F" w:rsidP="00795F6F">
            <w:pPr>
              <w:rPr>
                <w:rFonts w:ascii="Arial" w:eastAsia="Times New Roman" w:hAnsi="Arial" w:cs="Arial"/>
                <w:sz w:val="16"/>
                <w:szCs w:val="16"/>
                <w:lang w:val="es-MX" w:eastAsia="es-ES"/>
              </w:rPr>
            </w:pPr>
            <w:r w:rsidRPr="00D3097B">
              <w:rPr>
                <w:rFonts w:ascii="Arial" w:eastAsia="Times New Roman" w:hAnsi="Arial" w:cs="Arial"/>
                <w:sz w:val="16"/>
                <w:szCs w:val="16"/>
                <w:lang w:val="es-MX" w:eastAsia="es-ES"/>
              </w:rPr>
              <w:t>Aprobó:</w:t>
            </w:r>
          </w:p>
        </w:tc>
        <w:tc>
          <w:tcPr>
            <w:tcW w:w="4640" w:type="dxa"/>
            <w:tcBorders>
              <w:top w:val="dotted" w:sz="4" w:space="0" w:color="7F7F7F" w:themeColor="text1" w:themeTint="80"/>
              <w:left w:val="nil"/>
              <w:bottom w:val="dotted" w:sz="4" w:space="0" w:color="7F7F7F" w:themeColor="text1" w:themeTint="80"/>
              <w:right w:val="nil"/>
            </w:tcBorders>
            <w:vAlign w:val="center"/>
            <w:hideMark/>
          </w:tcPr>
          <w:p w14:paraId="0A633202" w14:textId="77777777" w:rsidR="00795F6F" w:rsidRPr="00D3097B" w:rsidRDefault="00795F6F" w:rsidP="00795F6F">
            <w:pPr>
              <w:rPr>
                <w:rFonts w:ascii="Arial" w:eastAsia="Calibri" w:hAnsi="Arial" w:cs="Arial"/>
                <w:sz w:val="16"/>
                <w:szCs w:val="16"/>
                <w:lang w:val="pt-BR" w:eastAsia="es-ES"/>
              </w:rPr>
            </w:pPr>
            <w:r w:rsidRPr="00D3097B">
              <w:rPr>
                <w:rFonts w:ascii="Arial" w:eastAsia="Calibri" w:hAnsi="Arial" w:cs="Arial"/>
                <w:sz w:val="16"/>
                <w:szCs w:val="16"/>
                <w:lang w:val="pt-BR" w:eastAsia="es-ES"/>
              </w:rPr>
              <w:t>Nohelia del Carmen Zawady Palacio</w:t>
            </w:r>
          </w:p>
          <w:p w14:paraId="1A822A0E" w14:textId="77777777" w:rsidR="00795F6F" w:rsidRPr="00D3097B" w:rsidRDefault="00795F6F" w:rsidP="00795F6F">
            <w:pPr>
              <w:rPr>
                <w:rFonts w:ascii="Arial" w:eastAsia="Times New Roman" w:hAnsi="Arial" w:cs="Arial"/>
                <w:sz w:val="16"/>
                <w:szCs w:val="16"/>
                <w:lang w:val="es-MX" w:eastAsia="es-ES"/>
              </w:rPr>
            </w:pPr>
            <w:proofErr w:type="spellStart"/>
            <w:r w:rsidRPr="00D3097B">
              <w:rPr>
                <w:rFonts w:ascii="Arial" w:eastAsia="Calibri" w:hAnsi="Arial" w:cs="Arial"/>
                <w:sz w:val="16"/>
                <w:szCs w:val="16"/>
                <w:lang w:val="pt-BR" w:eastAsia="es-ES"/>
              </w:rPr>
              <w:t>Subdirectora</w:t>
            </w:r>
            <w:proofErr w:type="spellEnd"/>
            <w:r w:rsidRPr="00D3097B">
              <w:rPr>
                <w:rFonts w:ascii="Arial" w:eastAsia="Calibri" w:hAnsi="Arial" w:cs="Arial"/>
                <w:sz w:val="16"/>
                <w:szCs w:val="16"/>
                <w:lang w:val="pt-BR" w:eastAsia="es-ES"/>
              </w:rPr>
              <w:t xml:space="preserve"> de Gestión Contractual ANCP – CCE </w:t>
            </w:r>
          </w:p>
        </w:tc>
      </w:tr>
    </w:tbl>
    <w:p w14:paraId="636F3FEB" w14:textId="77777777" w:rsidR="00795F6F" w:rsidRPr="00D3097B" w:rsidRDefault="00795F6F" w:rsidP="00795F6F">
      <w:pPr>
        <w:spacing w:after="0" w:line="240" w:lineRule="auto"/>
        <w:rPr>
          <w:rFonts w:ascii="Arial" w:hAnsi="Arial" w:cs="Arial"/>
          <w:sz w:val="24"/>
          <w:lang w:val="es-MX" w:eastAsia="es-CO"/>
        </w:rPr>
      </w:pPr>
    </w:p>
    <w:sectPr w:rsidR="00795F6F" w:rsidRPr="00D3097B" w:rsidSect="00923EEF">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11CC" w14:textId="77777777" w:rsidR="00071A1E" w:rsidRDefault="00071A1E" w:rsidP="004A1847">
      <w:pPr>
        <w:spacing w:after="0" w:line="240" w:lineRule="auto"/>
      </w:pPr>
      <w:r>
        <w:separator/>
      </w:r>
    </w:p>
  </w:endnote>
  <w:endnote w:type="continuationSeparator" w:id="0">
    <w:p w14:paraId="1233C9FF" w14:textId="77777777" w:rsidR="00071A1E" w:rsidRDefault="00071A1E"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manist Bold">
    <w:altName w:val="Corbel"/>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F355" w14:textId="77777777" w:rsidR="00071A1E" w:rsidRDefault="00071A1E" w:rsidP="004A1847">
      <w:pPr>
        <w:spacing w:after="0" w:line="240" w:lineRule="auto"/>
      </w:pPr>
      <w:r>
        <w:separator/>
      </w:r>
    </w:p>
  </w:footnote>
  <w:footnote w:type="continuationSeparator" w:id="0">
    <w:p w14:paraId="32BE96B3" w14:textId="77777777" w:rsidR="00071A1E" w:rsidRDefault="00071A1E" w:rsidP="004A1847">
      <w:pPr>
        <w:spacing w:after="0" w:line="240" w:lineRule="auto"/>
      </w:pPr>
      <w:r>
        <w:continuationSeparator/>
      </w:r>
    </w:p>
  </w:footnote>
  <w:footnote w:id="1">
    <w:p w14:paraId="1C3E7AC0" w14:textId="77777777" w:rsidR="00795F6F" w:rsidRPr="00795F6F" w:rsidRDefault="00795F6F" w:rsidP="00795F6F">
      <w:pPr>
        <w:pStyle w:val="Textonotapie"/>
        <w:spacing w:after="120"/>
        <w:ind w:firstLine="708"/>
        <w:jc w:val="both"/>
        <w:rPr>
          <w:rFonts w:ascii="Century Gothic" w:eastAsia="Times New Roman" w:hAnsi="Century Gothic" w:cs="Arial"/>
          <w:color w:val="000000"/>
          <w:sz w:val="12"/>
          <w:szCs w:val="12"/>
        </w:rPr>
      </w:pPr>
      <w:r w:rsidRPr="00795F6F">
        <w:rPr>
          <w:rStyle w:val="Refdenotaalpie"/>
          <w:rFonts w:ascii="Century Gothic" w:hAnsi="Century Gothic" w:cs="Arial"/>
          <w:color w:val="000000"/>
          <w:sz w:val="12"/>
          <w:szCs w:val="12"/>
        </w:rPr>
        <w:footnoteRef/>
      </w:r>
      <w:r w:rsidRPr="00795F6F">
        <w:rPr>
          <w:rFonts w:ascii="Century Gothic" w:hAnsi="Century Gothic" w:cs="Arial"/>
          <w:color w:val="000000"/>
          <w:sz w:val="12"/>
          <w:szCs w:val="12"/>
        </w:rPr>
        <w:t xml:space="preserve"> </w:t>
      </w:r>
      <w:r w:rsidRPr="00795F6F">
        <w:rPr>
          <w:rFonts w:ascii="Century Gothic" w:eastAsia="Times New Roman" w:hAnsi="Century Gothic" w:cs="Arial"/>
          <w:color w:val="000000"/>
          <w:sz w:val="12"/>
          <w:szCs w:val="12"/>
        </w:rPr>
        <w:t>CONSEJO DE ESTADO. Sala de Consulta y Servicio Civil. Concepto del 20 de mayo de 2010. Exp. 1.992. C.P. Enrique José Arboleda Perdomo.</w:t>
      </w:r>
    </w:p>
  </w:footnote>
  <w:footnote w:id="2">
    <w:p w14:paraId="23F7E1EE" w14:textId="77777777" w:rsidR="00795F6F" w:rsidRPr="00795F6F" w:rsidRDefault="00795F6F" w:rsidP="00795F6F">
      <w:pPr>
        <w:pStyle w:val="Textonotapie"/>
        <w:spacing w:after="120"/>
        <w:ind w:firstLine="708"/>
        <w:jc w:val="both"/>
        <w:rPr>
          <w:rFonts w:ascii="Century Gothic" w:eastAsia="Times New Roman" w:hAnsi="Century Gothic" w:cs="Arial"/>
          <w:color w:val="000000"/>
          <w:sz w:val="12"/>
          <w:szCs w:val="12"/>
        </w:rPr>
      </w:pPr>
      <w:r w:rsidRPr="00795F6F">
        <w:rPr>
          <w:rStyle w:val="Refdenotaalpie"/>
          <w:rFonts w:ascii="Century Gothic" w:hAnsi="Century Gothic" w:cs="Arial"/>
          <w:color w:val="000000"/>
          <w:sz w:val="12"/>
          <w:szCs w:val="12"/>
        </w:rPr>
        <w:footnoteRef/>
      </w:r>
      <w:r w:rsidRPr="00795F6F">
        <w:rPr>
          <w:rFonts w:ascii="Century Gothic" w:hAnsi="Century Gothic" w:cs="Arial"/>
          <w:color w:val="000000"/>
          <w:sz w:val="12"/>
          <w:szCs w:val="12"/>
        </w:rPr>
        <w:t xml:space="preserve"> </w:t>
      </w:r>
      <w:r w:rsidRPr="00795F6F">
        <w:rPr>
          <w:rFonts w:ascii="Century Gothic" w:eastAsia="Times New Roman" w:hAnsi="Century Gothic" w:cs="Arial"/>
          <w:color w:val="000000"/>
          <w:sz w:val="12"/>
          <w:szCs w:val="12"/>
        </w:rPr>
        <w:t>Ver conceptos: C-008 del 4 de mayo de 2020, C-267 del 4 de mayo de 2020, C-283 del 4 de mayo de 2020, C-365 del 30 de junio de 2020 y C-730 del 14 de diciembre del 2020 y C-779 de 18 de enero de 2021.</w:t>
      </w:r>
    </w:p>
  </w:footnote>
  <w:footnote w:id="3">
    <w:p w14:paraId="77A33A8E" w14:textId="77777777" w:rsidR="00795F6F" w:rsidRPr="00795F6F" w:rsidRDefault="00795F6F" w:rsidP="00795F6F">
      <w:pPr>
        <w:pBdr>
          <w:top w:val="nil"/>
          <w:left w:val="nil"/>
          <w:bottom w:val="nil"/>
          <w:right w:val="nil"/>
          <w:between w:val="nil"/>
        </w:pBdr>
        <w:spacing w:after="120" w:line="240" w:lineRule="auto"/>
        <w:ind w:firstLine="709"/>
        <w:jc w:val="both"/>
        <w:rPr>
          <w:rFonts w:ascii="Century Gothic" w:eastAsia="Arial" w:hAnsi="Century Gothic" w:cs="Arial"/>
          <w:color w:val="000000"/>
          <w:sz w:val="12"/>
          <w:szCs w:val="12"/>
        </w:rPr>
      </w:pPr>
      <w:r w:rsidRPr="00795F6F">
        <w:rPr>
          <w:rFonts w:ascii="Century Gothic" w:hAnsi="Century Gothic" w:cs="Arial"/>
          <w:sz w:val="12"/>
          <w:szCs w:val="12"/>
          <w:vertAlign w:val="superscript"/>
        </w:rPr>
        <w:footnoteRef/>
      </w:r>
      <w:r w:rsidRPr="00795F6F">
        <w:rPr>
          <w:rFonts w:ascii="Century Gothic" w:eastAsia="Arial" w:hAnsi="Century Gothic" w:cs="Arial"/>
          <w:color w:val="000000"/>
          <w:sz w:val="12"/>
          <w:szCs w:val="12"/>
          <w:vertAlign w:val="superscript"/>
        </w:rPr>
        <w:t xml:space="preserve"> </w:t>
      </w:r>
      <w:r w:rsidRPr="00795F6F">
        <w:rPr>
          <w:rFonts w:ascii="Century Gothic" w:eastAsia="Arial" w:hAnsi="Century Gothic" w:cs="Arial"/>
          <w:color w:val="000000"/>
          <w:sz w:val="12"/>
          <w:szCs w:val="12"/>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4">
    <w:p w14:paraId="4C0A4449" w14:textId="77777777" w:rsidR="00795F6F" w:rsidRPr="00795F6F" w:rsidRDefault="00795F6F" w:rsidP="00795F6F">
      <w:pPr>
        <w:pStyle w:val="Textonotapie"/>
        <w:spacing w:after="120"/>
        <w:ind w:firstLine="708"/>
        <w:jc w:val="both"/>
        <w:rPr>
          <w:rFonts w:ascii="Century Gothic" w:hAnsi="Century Gothic" w:cs="Arial"/>
          <w:sz w:val="12"/>
          <w:szCs w:val="12"/>
        </w:rPr>
      </w:pPr>
      <w:r w:rsidRPr="00795F6F">
        <w:rPr>
          <w:rStyle w:val="Refdenotaalpie"/>
          <w:rFonts w:ascii="Century Gothic" w:hAnsi="Century Gothic" w:cs="Arial"/>
          <w:sz w:val="12"/>
          <w:szCs w:val="12"/>
        </w:rPr>
        <w:footnoteRef/>
      </w:r>
      <w:r w:rsidRPr="00795F6F">
        <w:rPr>
          <w:rFonts w:ascii="Century Gothic" w:hAnsi="Century Gothic" w:cs="Arial"/>
          <w:sz w:val="12"/>
          <w:szCs w:val="12"/>
        </w:rPr>
        <w:t xml:space="preserve"> Disponible en: https://relatoria.colombiacompra.gov.co/ficha/CU-060%20%20de%202020</w:t>
      </w:r>
    </w:p>
  </w:footnote>
  <w:footnote w:id="5">
    <w:p w14:paraId="40EA712C" w14:textId="77777777" w:rsidR="00795F6F" w:rsidRPr="00795F6F" w:rsidRDefault="00795F6F" w:rsidP="00795F6F">
      <w:pPr>
        <w:spacing w:after="120" w:line="240" w:lineRule="auto"/>
        <w:ind w:firstLine="709"/>
        <w:jc w:val="both"/>
        <w:rPr>
          <w:rFonts w:ascii="Century Gothic" w:hAnsi="Century Gothic" w:cs="Arial"/>
          <w:color w:val="000000"/>
          <w:sz w:val="12"/>
          <w:szCs w:val="12"/>
        </w:rPr>
      </w:pPr>
      <w:r w:rsidRPr="00795F6F">
        <w:rPr>
          <w:rStyle w:val="Refdenotaalpie"/>
          <w:rFonts w:ascii="Century Gothic" w:hAnsi="Century Gothic" w:cs="Arial"/>
          <w:color w:val="000000"/>
          <w:sz w:val="12"/>
          <w:szCs w:val="12"/>
        </w:rPr>
        <w:footnoteRef/>
      </w:r>
      <w:r w:rsidRPr="00795F6F">
        <w:rPr>
          <w:rFonts w:ascii="Century Gothic" w:hAnsi="Century Gothic" w:cs="Arial"/>
          <w:color w:val="000000"/>
          <w:sz w:val="12"/>
          <w:szCs w:val="12"/>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795F6F">
          <w:rPr>
            <w:rFonts w:ascii="Century Gothic" w:hAnsi="Century Gothic" w:cs="Arial"/>
            <w:color w:val="000000"/>
            <w:sz w:val="12"/>
            <w:szCs w:val="12"/>
          </w:rPr>
          <w:t>Ley 1150 de 2007</w:t>
        </w:r>
      </w:hyperlink>
      <w:r w:rsidRPr="00795F6F">
        <w:rPr>
          <w:rFonts w:ascii="Century Gothic" w:hAnsi="Century Gothic" w:cs="Arial"/>
          <w:color w:val="000000"/>
          <w:sz w:val="12"/>
          <w:szCs w:val="12"/>
        </w:rPr>
        <w:t> y en el presente decreto.</w:t>
      </w:r>
    </w:p>
    <w:p w14:paraId="7D0477DA" w14:textId="77777777" w:rsidR="00795F6F" w:rsidRPr="00795F6F" w:rsidRDefault="00795F6F" w:rsidP="00795F6F">
      <w:pPr>
        <w:spacing w:after="120" w:line="240" w:lineRule="auto"/>
        <w:ind w:firstLine="709"/>
        <w:jc w:val="both"/>
        <w:rPr>
          <w:rFonts w:ascii="Century Gothic" w:hAnsi="Century Gothic" w:cs="Arial"/>
          <w:color w:val="000000"/>
          <w:sz w:val="12"/>
          <w:szCs w:val="12"/>
        </w:rPr>
      </w:pPr>
      <w:r w:rsidRPr="00795F6F">
        <w:rPr>
          <w:rFonts w:ascii="Century Gothic" w:hAnsi="Century Gothic" w:cs="Arial"/>
          <w:color w:val="000000"/>
          <w:sz w:val="12"/>
          <w:szCs w:val="12"/>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2F76E25A" w14:textId="77777777" w:rsidR="00795F6F" w:rsidRPr="00795F6F" w:rsidRDefault="00795F6F" w:rsidP="00795F6F">
      <w:pPr>
        <w:spacing w:after="120" w:line="240" w:lineRule="auto"/>
        <w:ind w:firstLine="709"/>
        <w:jc w:val="both"/>
        <w:rPr>
          <w:rFonts w:ascii="Century Gothic" w:hAnsi="Century Gothic" w:cs="Arial"/>
          <w:color w:val="000000"/>
          <w:sz w:val="12"/>
          <w:szCs w:val="12"/>
        </w:rPr>
      </w:pPr>
      <w:r w:rsidRPr="00795F6F">
        <w:rPr>
          <w:rFonts w:ascii="Century Gothic" w:hAnsi="Century Gothic" w:cs="Arial"/>
          <w:color w:val="000000"/>
          <w:sz w:val="12"/>
          <w:szCs w:val="12"/>
        </w:rPr>
        <w:t>Será rechazada la oferta del proponente que dentro del término previsto en el pliego o en la solicitud, no responda al requerimiento que le haga la entidad para subsanarla.</w:t>
      </w:r>
    </w:p>
    <w:p w14:paraId="7ED66FC8" w14:textId="77777777" w:rsidR="00795F6F" w:rsidRPr="00795F6F" w:rsidRDefault="00795F6F" w:rsidP="00795F6F">
      <w:pPr>
        <w:spacing w:after="120" w:line="240" w:lineRule="auto"/>
        <w:ind w:firstLine="709"/>
        <w:jc w:val="both"/>
        <w:rPr>
          <w:rFonts w:ascii="Century Gothic" w:hAnsi="Century Gothic" w:cs="Arial"/>
          <w:color w:val="000000"/>
          <w:sz w:val="12"/>
          <w:szCs w:val="12"/>
        </w:rPr>
      </w:pPr>
      <w:r w:rsidRPr="00795F6F">
        <w:rPr>
          <w:rFonts w:ascii="Century Gothic" w:hAnsi="Century Gothic" w:cs="Arial"/>
          <w:color w:val="000000"/>
          <w:sz w:val="12"/>
          <w:szCs w:val="12"/>
        </w:rPr>
        <w:t>Cuando se utilice el mecanismo de subasta esta posibilidad deberá ejercerse hasta el momento previo a su realización, de conformidad con el artículo 22 del presente decreto.</w:t>
      </w:r>
    </w:p>
    <w:p w14:paraId="038B4ABD" w14:textId="77777777" w:rsidR="00795F6F" w:rsidRPr="00795F6F" w:rsidRDefault="00795F6F" w:rsidP="00795F6F">
      <w:pPr>
        <w:spacing w:after="120" w:line="240" w:lineRule="auto"/>
        <w:ind w:firstLine="709"/>
        <w:jc w:val="both"/>
        <w:rPr>
          <w:rFonts w:ascii="Century Gothic" w:hAnsi="Century Gothic" w:cs="Arial"/>
          <w:color w:val="000000"/>
          <w:sz w:val="12"/>
          <w:szCs w:val="12"/>
        </w:rPr>
      </w:pPr>
      <w:r w:rsidRPr="00795F6F">
        <w:rPr>
          <w:rFonts w:ascii="Century Gothic" w:hAnsi="Century Gothic" w:cs="Arial"/>
          <w:color w:val="000000"/>
          <w:sz w:val="12"/>
          <w:szCs w:val="12"/>
        </w:rPr>
        <w:t xml:space="preserve">En ningún caso la entidad podrá señalar taxativamente los requisitos o documentos subsanables o no subsanables en el pliego de condiciones, </w:t>
      </w:r>
      <w:r w:rsidRPr="00795F6F">
        <w:rPr>
          <w:rFonts w:ascii="Century Gothic" w:hAnsi="Century Gothic" w:cs="Arial"/>
          <w:bCs/>
          <w:i/>
          <w:iCs/>
          <w:color w:val="000000"/>
          <w:sz w:val="12"/>
          <w:szCs w:val="12"/>
        </w:rPr>
        <w:t>ni permitir que se subsane la falta de capacidad para presentar la oferta, ni que se acrediten circunstancias ocurridas con posterioridad al cierre del proceso</w:t>
      </w:r>
      <w:r w:rsidRPr="00795F6F">
        <w:rPr>
          <w:rFonts w:ascii="Century Gothic" w:hAnsi="Century Gothic" w:cs="Arial"/>
          <w:color w:val="000000"/>
          <w:sz w:val="12"/>
          <w:szCs w:val="12"/>
        </w:rPr>
        <w:t xml:space="preserve">”. (Cursivas fuera de texto). </w:t>
      </w:r>
    </w:p>
  </w:footnote>
  <w:footnote w:id="6">
    <w:p w14:paraId="11BEEA89" w14:textId="77777777" w:rsidR="00795F6F" w:rsidRPr="00795F6F" w:rsidRDefault="00795F6F" w:rsidP="00795F6F">
      <w:pPr>
        <w:pStyle w:val="Textonotapie"/>
        <w:spacing w:after="120"/>
        <w:ind w:firstLine="709"/>
        <w:jc w:val="both"/>
        <w:rPr>
          <w:rFonts w:ascii="Century Gothic" w:hAnsi="Century Gothic" w:cs="Arial"/>
          <w:color w:val="000000"/>
          <w:sz w:val="12"/>
          <w:szCs w:val="12"/>
          <w:lang w:val="es-CO"/>
        </w:rPr>
      </w:pPr>
      <w:r w:rsidRPr="00795F6F">
        <w:rPr>
          <w:rStyle w:val="Refdenotaalpie"/>
          <w:rFonts w:ascii="Century Gothic" w:hAnsi="Century Gothic" w:cs="Arial"/>
          <w:color w:val="000000"/>
          <w:sz w:val="12"/>
          <w:szCs w:val="12"/>
        </w:rPr>
        <w:footnoteRef/>
      </w:r>
      <w:r w:rsidRPr="00795F6F">
        <w:rPr>
          <w:rFonts w:ascii="Century Gothic" w:hAnsi="Century Gothic" w:cs="Arial"/>
          <w:color w:val="000000"/>
          <w:sz w:val="12"/>
          <w:szCs w:val="12"/>
        </w:rPr>
        <w:t xml:space="preserve"> </w:t>
      </w:r>
      <w:r w:rsidRPr="00795F6F">
        <w:rPr>
          <w:rFonts w:ascii="Century Gothic" w:hAnsi="Century Gothic" w:cs="Arial"/>
          <w:color w:val="000000"/>
          <w:sz w:val="12"/>
          <w:szCs w:val="12"/>
          <w:lang w:val="es-CO"/>
        </w:rPr>
        <w:t>Consejo de Estado, Sala de Consulta y Servicio Civil, concepto del 6 de noviembre de 2008. C.P. William Zambrano Cetina. Rad. 2008-00079-00(1927).</w:t>
      </w:r>
    </w:p>
    <w:p w14:paraId="6438543F" w14:textId="77777777" w:rsidR="00795F6F" w:rsidRPr="00795F6F" w:rsidRDefault="00795F6F" w:rsidP="00795F6F">
      <w:pPr>
        <w:pStyle w:val="Textonotapie"/>
        <w:spacing w:after="120"/>
        <w:ind w:firstLine="709"/>
        <w:jc w:val="both"/>
        <w:rPr>
          <w:rFonts w:ascii="Century Gothic" w:hAnsi="Century Gothic" w:cs="Arial"/>
          <w:color w:val="000000"/>
          <w:sz w:val="12"/>
          <w:szCs w:val="12"/>
        </w:rPr>
      </w:pPr>
      <w:r w:rsidRPr="00795F6F">
        <w:rPr>
          <w:rFonts w:ascii="Century Gothic" w:hAnsi="Century Gothic" w:cs="Arial"/>
          <w:color w:val="000000"/>
          <w:sz w:val="12"/>
          <w:szCs w:val="12"/>
        </w:rPr>
        <w:t xml:space="preserve">  </w:t>
      </w:r>
    </w:p>
  </w:footnote>
  <w:footnote w:id="7">
    <w:p w14:paraId="6004E3DB" w14:textId="77777777" w:rsidR="00795F6F" w:rsidRPr="00795F6F" w:rsidRDefault="00795F6F" w:rsidP="00795F6F">
      <w:pPr>
        <w:pStyle w:val="Textonotapie"/>
        <w:spacing w:after="120"/>
        <w:ind w:firstLine="709"/>
        <w:jc w:val="both"/>
        <w:rPr>
          <w:rFonts w:ascii="Century Gothic" w:hAnsi="Century Gothic" w:cs="Arial"/>
          <w:sz w:val="12"/>
          <w:szCs w:val="12"/>
        </w:rPr>
      </w:pPr>
      <w:r w:rsidRPr="00795F6F">
        <w:rPr>
          <w:rStyle w:val="Refdenotaalpie"/>
          <w:rFonts w:ascii="Century Gothic" w:hAnsi="Century Gothic" w:cs="Arial"/>
          <w:sz w:val="12"/>
          <w:szCs w:val="12"/>
        </w:rPr>
        <w:footnoteRef/>
      </w:r>
      <w:r w:rsidRPr="00795F6F">
        <w:rPr>
          <w:rFonts w:ascii="Century Gothic" w:hAnsi="Century Gothic" w:cs="Arial"/>
          <w:sz w:val="12"/>
          <w:szCs w:val="12"/>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36A622C6" w14:textId="77777777" w:rsidR="00795F6F" w:rsidRPr="00795F6F" w:rsidRDefault="00795F6F" w:rsidP="00795F6F">
      <w:pPr>
        <w:pStyle w:val="Textonotapie"/>
        <w:spacing w:after="120"/>
        <w:ind w:firstLine="709"/>
        <w:jc w:val="both"/>
        <w:rPr>
          <w:rFonts w:ascii="Century Gothic" w:hAnsi="Century Gothic" w:cs="Arial"/>
          <w:sz w:val="12"/>
          <w:szCs w:val="12"/>
          <w:lang w:val="es-ES"/>
        </w:rPr>
      </w:pPr>
      <w:r w:rsidRPr="00795F6F">
        <w:rPr>
          <w:rFonts w:ascii="Century Gothic" w:hAnsi="Century Gothic" w:cs="Arial"/>
          <w:sz w:val="12"/>
          <w:szCs w:val="12"/>
        </w:rPr>
        <w:t xml:space="preserve">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 </w:t>
      </w:r>
    </w:p>
  </w:footnote>
  <w:footnote w:id="8">
    <w:p w14:paraId="1E90D415" w14:textId="77777777" w:rsidR="00795F6F" w:rsidRPr="00795F6F" w:rsidRDefault="00795F6F" w:rsidP="00795F6F">
      <w:pPr>
        <w:pStyle w:val="Textonotapie"/>
        <w:ind w:firstLine="708"/>
        <w:contextualSpacing/>
        <w:jc w:val="both"/>
        <w:rPr>
          <w:rFonts w:ascii="Century Gothic" w:hAnsi="Century Gothic" w:cs="Arial"/>
          <w:sz w:val="12"/>
          <w:szCs w:val="12"/>
          <w:lang w:val="es-ES"/>
        </w:rPr>
      </w:pPr>
      <w:r w:rsidRPr="00795F6F">
        <w:rPr>
          <w:rStyle w:val="Refdenotaalpie"/>
          <w:rFonts w:ascii="Century Gothic" w:hAnsi="Century Gothic" w:cs="Arial"/>
          <w:sz w:val="12"/>
          <w:szCs w:val="12"/>
        </w:rPr>
        <w:footnoteRef/>
      </w:r>
      <w:r w:rsidRPr="00795F6F">
        <w:rPr>
          <w:rFonts w:ascii="Century Gothic" w:hAnsi="Century Gothic" w:cs="Arial"/>
          <w:sz w:val="12"/>
          <w:szCs w:val="12"/>
        </w:rPr>
        <w:t xml:space="preserve"> </w:t>
      </w:r>
      <w:r w:rsidRPr="00795F6F">
        <w:rPr>
          <w:rFonts w:ascii="Century Gothic" w:hAnsi="Century Gothic" w:cs="Arial"/>
          <w:sz w:val="12"/>
          <w:szCs w:val="12"/>
          <w:lang w:val="es-ES"/>
        </w:rPr>
        <w:t xml:space="preserve">Gaceta del Congreso. Cámara de Representantes. Año X – No. 642, 11 de diciembre de 2001. Disponible en: </w:t>
      </w:r>
      <w:hyperlink r:id="rId2" w:history="1">
        <w:r w:rsidRPr="00795F6F">
          <w:rPr>
            <w:rFonts w:ascii="Century Gothic" w:hAnsi="Century Gothic" w:cs="Arial"/>
            <w:sz w:val="12"/>
            <w:szCs w:val="12"/>
            <w:lang w:val="es-ES"/>
          </w:rPr>
          <w:t>GACETAS DEL CONGRESO (imprenta.gov.co)</w:t>
        </w:r>
      </w:hyperlink>
    </w:p>
    <w:p w14:paraId="3524EE6A" w14:textId="77777777" w:rsidR="00795F6F" w:rsidRPr="00795F6F" w:rsidRDefault="00795F6F" w:rsidP="00795F6F">
      <w:pPr>
        <w:pStyle w:val="Textonotapie"/>
        <w:ind w:firstLine="708"/>
        <w:contextualSpacing/>
        <w:jc w:val="both"/>
        <w:rPr>
          <w:rFonts w:ascii="Century Gothic" w:hAnsi="Century Gothic" w:cs="Arial"/>
          <w:sz w:val="12"/>
          <w:szCs w:val="12"/>
          <w:lang w:val="es-ES"/>
        </w:rPr>
      </w:pPr>
    </w:p>
  </w:footnote>
  <w:footnote w:id="9">
    <w:p w14:paraId="64DB289B" w14:textId="77777777" w:rsidR="00795F6F" w:rsidRPr="00795F6F" w:rsidRDefault="00795F6F" w:rsidP="00795F6F">
      <w:pPr>
        <w:pStyle w:val="NormalWeb"/>
        <w:shd w:val="clear" w:color="auto" w:fill="FFFFFF"/>
        <w:spacing w:before="0" w:beforeAutospacing="0" w:after="60" w:afterAutospacing="0"/>
        <w:ind w:firstLine="709"/>
        <w:jc w:val="both"/>
        <w:rPr>
          <w:rFonts w:ascii="Century Gothic" w:hAnsi="Century Gothic" w:cs="Arial"/>
          <w:sz w:val="12"/>
          <w:szCs w:val="12"/>
        </w:rPr>
      </w:pPr>
      <w:r w:rsidRPr="00795F6F">
        <w:rPr>
          <w:rStyle w:val="Refdenotaalpie"/>
          <w:rFonts w:ascii="Century Gothic" w:hAnsi="Century Gothic" w:cs="Arial"/>
          <w:sz w:val="12"/>
          <w:szCs w:val="12"/>
        </w:rPr>
        <w:footnoteRef/>
      </w:r>
      <w:r w:rsidRPr="00795F6F">
        <w:rPr>
          <w:rFonts w:ascii="Century Gothic" w:hAnsi="Century Gothic" w:cs="Arial"/>
          <w:sz w:val="12"/>
          <w:szCs w:val="12"/>
        </w:rPr>
        <w:t xml:space="preserve"> Decreto 1082 de 2015: “Artículo </w:t>
      </w:r>
      <w:bookmarkStart w:id="8" w:name="2.2.1.2.4.1.3"/>
      <w:bookmarkEnd w:id="8"/>
      <w:r w:rsidRPr="00795F6F">
        <w:rPr>
          <w:rFonts w:ascii="Century Gothic" w:hAnsi="Century Gothic" w:cs="Arial"/>
          <w:sz w:val="12"/>
          <w:szCs w:val="12"/>
        </w:rPr>
        <w:t>2.2.1.2.4.1.3.</w:t>
      </w:r>
      <w:r w:rsidRPr="00795F6F">
        <w:rPr>
          <w:rFonts w:ascii="Century Gothic" w:hAnsi="Century Gothic" w:cs="Arial"/>
          <w:i/>
          <w:iCs/>
          <w:sz w:val="12"/>
          <w:szCs w:val="12"/>
        </w:rPr>
        <w:t> </w:t>
      </w:r>
      <w:r w:rsidRPr="00795F6F">
        <w:rPr>
          <w:rFonts w:ascii="Century Gothic" w:hAnsi="Century Gothic" w:cs="Arial"/>
          <w:sz w:val="12"/>
          <w:szCs w:val="12"/>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46B1A2D1" w14:textId="77777777" w:rsidR="00795F6F" w:rsidRPr="00795F6F" w:rsidRDefault="00795F6F" w:rsidP="00795F6F">
      <w:pPr>
        <w:shd w:val="clear" w:color="auto" w:fill="FFFFFF"/>
        <w:spacing w:after="60"/>
        <w:ind w:firstLine="709"/>
        <w:jc w:val="both"/>
        <w:rPr>
          <w:rFonts w:ascii="Century Gothic" w:eastAsia="Times New Roman" w:hAnsi="Century Gothic" w:cs="Arial"/>
          <w:sz w:val="12"/>
          <w:szCs w:val="12"/>
          <w:lang w:eastAsia="es-CO"/>
        </w:rPr>
      </w:pPr>
      <w:r w:rsidRPr="00795F6F">
        <w:rPr>
          <w:rFonts w:ascii="Century Gothic" w:eastAsia="Times New Roman" w:hAnsi="Century Gothic" w:cs="Arial"/>
          <w:sz w:val="12"/>
          <w:szCs w:val="12"/>
          <w:lang w:eastAsia="es-CO"/>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27C003F8" w14:textId="77777777" w:rsidR="00795F6F" w:rsidRPr="00795F6F" w:rsidRDefault="00795F6F" w:rsidP="00795F6F">
      <w:pPr>
        <w:shd w:val="clear" w:color="auto" w:fill="FFFFFF"/>
        <w:ind w:firstLine="708"/>
        <w:contextualSpacing/>
        <w:jc w:val="both"/>
        <w:rPr>
          <w:rFonts w:ascii="Century Gothic" w:eastAsia="Times New Roman" w:hAnsi="Century Gothic" w:cs="Arial"/>
          <w:sz w:val="12"/>
          <w:szCs w:val="12"/>
          <w:lang w:eastAsia="es-CO"/>
        </w:rPr>
      </w:pPr>
      <w:r w:rsidRPr="00795F6F">
        <w:rPr>
          <w:rFonts w:ascii="Century Gothic" w:eastAsia="Times New Roman" w:hAnsi="Century Gothic" w:cs="Arial"/>
          <w:sz w:val="12"/>
          <w:szCs w:val="12"/>
          <w:lang w:eastAsia="es-CO"/>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0C6504FB" w14:textId="77777777" w:rsidR="00795F6F" w:rsidRPr="00795F6F" w:rsidRDefault="00795F6F" w:rsidP="00795F6F">
      <w:pPr>
        <w:pStyle w:val="Textonotapie"/>
        <w:contextualSpacing/>
        <w:jc w:val="both"/>
        <w:rPr>
          <w:rFonts w:ascii="Century Gothic" w:hAnsi="Century Gothic" w:cs="Arial"/>
          <w:sz w:val="12"/>
          <w:szCs w:val="12"/>
          <w:lang w:val="es-CO"/>
        </w:rPr>
      </w:pPr>
    </w:p>
  </w:footnote>
  <w:footnote w:id="10">
    <w:p w14:paraId="1A7CDA64" w14:textId="77777777" w:rsidR="00795F6F" w:rsidRPr="00795F6F" w:rsidRDefault="00795F6F" w:rsidP="00795F6F">
      <w:pPr>
        <w:ind w:firstLine="708"/>
        <w:contextualSpacing/>
        <w:jc w:val="both"/>
        <w:rPr>
          <w:rFonts w:ascii="Century Gothic" w:eastAsia="Times New Roman" w:hAnsi="Century Gothic" w:cs="Arial"/>
          <w:sz w:val="12"/>
          <w:szCs w:val="12"/>
          <w:lang w:eastAsia="es-CO"/>
        </w:rPr>
      </w:pPr>
      <w:r w:rsidRPr="00795F6F">
        <w:rPr>
          <w:rStyle w:val="Refdenotaalpie"/>
          <w:rFonts w:ascii="Century Gothic" w:hAnsi="Century Gothic" w:cs="Arial"/>
          <w:sz w:val="12"/>
          <w:szCs w:val="12"/>
        </w:rPr>
        <w:footnoteRef/>
      </w:r>
      <w:r w:rsidRPr="00795F6F">
        <w:rPr>
          <w:rFonts w:ascii="Century Gothic" w:hAnsi="Century Gothic" w:cs="Arial"/>
          <w:sz w:val="12"/>
          <w:szCs w:val="12"/>
        </w:rPr>
        <w:t xml:space="preserve"> Decreto 1082 de 2015: </w:t>
      </w:r>
      <w:r w:rsidRPr="00795F6F">
        <w:rPr>
          <w:rFonts w:ascii="Century Gothic" w:eastAsia="Times New Roman" w:hAnsi="Century Gothic" w:cs="Arial"/>
          <w:sz w:val="12"/>
          <w:szCs w:val="12"/>
          <w:lang w:eastAsia="es-CO"/>
        </w:rPr>
        <w:t>“Artículo 2.2.1.1.2.1.3. Pliegos de condiciones. Los pliegos de condiciones deben contener por lo menos la siguiente información: </w:t>
      </w:r>
    </w:p>
    <w:p w14:paraId="42D2F390" w14:textId="77777777" w:rsidR="00795F6F" w:rsidRPr="00795F6F" w:rsidRDefault="00795F6F" w:rsidP="00795F6F">
      <w:pPr>
        <w:ind w:firstLine="708"/>
        <w:contextualSpacing/>
        <w:jc w:val="both"/>
        <w:rPr>
          <w:rFonts w:ascii="Century Gothic" w:eastAsia="Times New Roman" w:hAnsi="Century Gothic" w:cs="Arial"/>
          <w:sz w:val="12"/>
          <w:szCs w:val="12"/>
          <w:lang w:eastAsia="es-CO"/>
        </w:rPr>
      </w:pPr>
      <w:r w:rsidRPr="00795F6F">
        <w:rPr>
          <w:rFonts w:ascii="Century Gothic" w:eastAsia="Times New Roman" w:hAnsi="Century Gothic" w:cs="Arial"/>
          <w:sz w:val="12"/>
          <w:szCs w:val="12"/>
          <w:lang w:eastAsia="es-CO"/>
        </w:rPr>
        <w:t>[…]</w:t>
      </w:r>
    </w:p>
    <w:p w14:paraId="31D6AEDC" w14:textId="77777777" w:rsidR="00795F6F" w:rsidRPr="00795F6F" w:rsidRDefault="00795F6F" w:rsidP="00795F6F">
      <w:pPr>
        <w:contextualSpacing/>
        <w:jc w:val="both"/>
        <w:rPr>
          <w:rFonts w:ascii="Century Gothic" w:eastAsia="Times New Roman" w:hAnsi="Century Gothic" w:cs="Arial"/>
          <w:sz w:val="12"/>
          <w:szCs w:val="12"/>
          <w:lang w:eastAsia="es-CO"/>
        </w:rPr>
      </w:pPr>
      <w:r w:rsidRPr="00795F6F">
        <w:rPr>
          <w:rFonts w:ascii="Century Gothic" w:eastAsia="Times New Roman" w:hAnsi="Century Gothic" w:cs="Arial"/>
          <w:sz w:val="12"/>
          <w:szCs w:val="12"/>
          <w:lang w:eastAsia="es-CO"/>
        </w:rPr>
        <w:t>  </w:t>
      </w:r>
      <w:r w:rsidRPr="00795F6F">
        <w:rPr>
          <w:rFonts w:ascii="Century Gothic" w:eastAsia="Times New Roman" w:hAnsi="Century Gothic" w:cs="Arial"/>
          <w:sz w:val="12"/>
          <w:szCs w:val="12"/>
          <w:lang w:eastAsia="es-CO"/>
        </w:rPr>
        <w:tab/>
        <w:t>“3. Los criterios de selección, incluyendo los factores de desempate y los incentivos cuando a ello haya lugar. </w:t>
      </w:r>
    </w:p>
    <w:p w14:paraId="13FEF5B5" w14:textId="77777777" w:rsidR="00795F6F" w:rsidRPr="00795F6F" w:rsidRDefault="00795F6F" w:rsidP="00795F6F">
      <w:pPr>
        <w:contextualSpacing/>
        <w:jc w:val="both"/>
        <w:rPr>
          <w:rFonts w:ascii="Century Gothic" w:eastAsia="Times New Roman" w:hAnsi="Century Gothic" w:cs="Arial"/>
          <w:sz w:val="12"/>
          <w:szCs w:val="12"/>
          <w:lang w:eastAsia="es-CO"/>
        </w:rPr>
      </w:pPr>
      <w:r w:rsidRPr="00795F6F">
        <w:rPr>
          <w:rFonts w:ascii="Century Gothic" w:eastAsia="Times New Roman" w:hAnsi="Century Gothic" w:cs="Arial"/>
          <w:sz w:val="12"/>
          <w:szCs w:val="12"/>
          <w:lang w:eastAsia="es-CO"/>
        </w:rPr>
        <w:t>  </w:t>
      </w:r>
      <w:r w:rsidRPr="00795F6F">
        <w:rPr>
          <w:rFonts w:ascii="Century Gothic" w:eastAsia="Times New Roman" w:hAnsi="Century Gothic" w:cs="Arial"/>
          <w:sz w:val="12"/>
          <w:szCs w:val="12"/>
          <w:lang w:eastAsia="es-CO"/>
        </w:rPr>
        <w:tab/>
        <w:t>[…]</w:t>
      </w:r>
    </w:p>
    <w:p w14:paraId="3724D4AE" w14:textId="77777777" w:rsidR="00795F6F" w:rsidRPr="00795F6F" w:rsidRDefault="00795F6F" w:rsidP="00795F6F">
      <w:pPr>
        <w:ind w:firstLine="708"/>
        <w:contextualSpacing/>
        <w:jc w:val="both"/>
        <w:rPr>
          <w:rFonts w:ascii="Century Gothic" w:hAnsi="Century Gothic" w:cs="Arial"/>
          <w:sz w:val="12"/>
          <w:szCs w:val="12"/>
        </w:rPr>
      </w:pPr>
      <w:r w:rsidRPr="00795F6F">
        <w:rPr>
          <w:rFonts w:ascii="Century Gothic" w:eastAsia="Times New Roman" w:hAnsi="Century Gothic" w:cs="Arial"/>
          <w:sz w:val="12"/>
          <w:szCs w:val="12"/>
          <w:lang w:eastAsia="es-CO"/>
        </w:rPr>
        <w:t>“5. Las reglas aplicables a la presentación de las ofertas, su evaluación y a la adjudicación del contrato […]”.</w:t>
      </w:r>
    </w:p>
  </w:footnote>
  <w:footnote w:id="11">
    <w:p w14:paraId="1AFFEC55" w14:textId="77777777" w:rsidR="00795F6F" w:rsidRPr="00795F6F" w:rsidRDefault="00795F6F" w:rsidP="00795F6F">
      <w:pPr>
        <w:pStyle w:val="NormalWeb"/>
        <w:spacing w:before="0" w:beforeAutospacing="0" w:after="0" w:afterAutospacing="0"/>
        <w:ind w:firstLine="708"/>
        <w:contextualSpacing/>
        <w:jc w:val="both"/>
        <w:rPr>
          <w:rFonts w:ascii="Century Gothic" w:hAnsi="Century Gothic" w:cs="Arial"/>
          <w:sz w:val="12"/>
          <w:szCs w:val="12"/>
        </w:rPr>
      </w:pPr>
      <w:r w:rsidRPr="00795F6F">
        <w:rPr>
          <w:rStyle w:val="Refdenotaalpie"/>
          <w:rFonts w:ascii="Century Gothic" w:hAnsi="Century Gothic" w:cs="Arial"/>
          <w:sz w:val="12"/>
          <w:szCs w:val="12"/>
        </w:rPr>
        <w:footnoteRef/>
      </w:r>
      <w:r w:rsidRPr="00795F6F">
        <w:rPr>
          <w:rFonts w:ascii="Century Gothic" w:hAnsi="Century Gothic" w:cs="Arial"/>
          <w:sz w:val="12"/>
          <w:szCs w:val="12"/>
        </w:rPr>
        <w:t xml:space="preserve"> </w:t>
      </w:r>
      <w:bookmarkStart w:id="18" w:name="1"/>
      <w:r w:rsidRPr="00795F6F">
        <w:rPr>
          <w:rFonts w:ascii="Century Gothic" w:hAnsi="Century Gothic" w:cs="Arial"/>
          <w:sz w:val="12"/>
          <w:szCs w:val="12"/>
        </w:rPr>
        <w:t>“Artículo 1o.</w:t>
      </w:r>
      <w:bookmarkEnd w:id="18"/>
      <w:r w:rsidRPr="00795F6F">
        <w:rPr>
          <w:rFonts w:ascii="Century Gothic" w:hAnsi="Century Gothic" w:cs="Arial"/>
          <w:sz w:val="12"/>
          <w:szCs w:val="12"/>
        </w:rPr>
        <w:t> Modifíquese el artículo </w:t>
      </w:r>
      <w:hyperlink r:id="rId3" w:anchor="4" w:history="1">
        <w:r w:rsidRPr="00795F6F">
          <w:rPr>
            <w:rStyle w:val="Hipervnculo"/>
            <w:rFonts w:ascii="Century Gothic" w:hAnsi="Century Gothic" w:cs="Arial"/>
            <w:sz w:val="12"/>
            <w:szCs w:val="12"/>
          </w:rPr>
          <w:t>4o</w:t>
        </w:r>
      </w:hyperlink>
      <w:r w:rsidRPr="00795F6F">
        <w:rPr>
          <w:rFonts w:ascii="Century Gothic" w:hAnsi="Century Gothic" w:cs="Arial"/>
          <w:sz w:val="12"/>
          <w:szCs w:val="12"/>
        </w:rPr>
        <w:t> de la Ley 1882 de 2018, el cual quedará así:</w:t>
      </w:r>
    </w:p>
    <w:p w14:paraId="671A398A" w14:textId="77777777" w:rsidR="00795F6F" w:rsidRPr="00795F6F" w:rsidRDefault="00795F6F" w:rsidP="00795F6F">
      <w:pPr>
        <w:pStyle w:val="NormalWeb"/>
        <w:spacing w:before="0" w:beforeAutospacing="0" w:after="0" w:afterAutospacing="0"/>
        <w:ind w:firstLine="708"/>
        <w:contextualSpacing/>
        <w:jc w:val="both"/>
        <w:rPr>
          <w:rFonts w:ascii="Century Gothic" w:hAnsi="Century Gothic" w:cs="Arial"/>
          <w:sz w:val="12"/>
          <w:szCs w:val="12"/>
        </w:rPr>
      </w:pPr>
      <w:r w:rsidRPr="00795F6F">
        <w:rPr>
          <w:rStyle w:val="baj"/>
          <w:rFonts w:ascii="Century Gothic" w:hAnsi="Century Gothic" w:cs="Arial"/>
          <w:sz w:val="12"/>
          <w:szCs w:val="12"/>
        </w:rPr>
        <w:t>“Artículo </w:t>
      </w:r>
      <w:hyperlink r:id="rId4" w:anchor="4" w:history="1">
        <w:r w:rsidRPr="00795F6F">
          <w:rPr>
            <w:rStyle w:val="Hipervnculo"/>
            <w:rFonts w:ascii="Century Gothic" w:hAnsi="Century Gothic" w:cs="Arial"/>
            <w:sz w:val="12"/>
            <w:szCs w:val="12"/>
          </w:rPr>
          <w:t>4o</w:t>
        </w:r>
      </w:hyperlink>
      <w:r w:rsidRPr="00795F6F">
        <w:rPr>
          <w:rStyle w:val="baj"/>
          <w:rFonts w:ascii="Century Gothic" w:hAnsi="Century Gothic" w:cs="Arial"/>
          <w:sz w:val="12"/>
          <w:szCs w:val="12"/>
        </w:rPr>
        <w:t>. </w:t>
      </w:r>
      <w:r w:rsidRPr="00795F6F">
        <w:rPr>
          <w:rFonts w:ascii="Century Gothic" w:hAnsi="Century Gothic" w:cs="Arial"/>
          <w:sz w:val="12"/>
          <w:szCs w:val="12"/>
        </w:rPr>
        <w:t>Adiciónese el siguiente parágrafo al artículo </w:t>
      </w:r>
      <w:hyperlink r:id="rId5" w:anchor="2" w:history="1">
        <w:r w:rsidRPr="00795F6F">
          <w:rPr>
            <w:rStyle w:val="Hipervnculo"/>
            <w:rFonts w:ascii="Century Gothic" w:hAnsi="Century Gothic" w:cs="Arial"/>
            <w:sz w:val="12"/>
            <w:szCs w:val="12"/>
          </w:rPr>
          <w:t>2o</w:t>
        </w:r>
      </w:hyperlink>
      <w:r w:rsidRPr="00795F6F">
        <w:rPr>
          <w:rFonts w:ascii="Century Gothic" w:hAnsi="Century Gothic" w:cs="Arial"/>
          <w:sz w:val="12"/>
          <w:szCs w:val="12"/>
        </w:rPr>
        <w:t> de la Ley 1150 de 2007.</w:t>
      </w:r>
    </w:p>
    <w:p w14:paraId="741E59F7" w14:textId="77777777" w:rsidR="00795F6F" w:rsidRPr="00795F6F" w:rsidRDefault="00795F6F" w:rsidP="00795F6F">
      <w:pPr>
        <w:pStyle w:val="NormalWeb"/>
        <w:spacing w:before="0" w:beforeAutospacing="0" w:after="0" w:afterAutospacing="0"/>
        <w:ind w:firstLine="708"/>
        <w:contextualSpacing/>
        <w:jc w:val="both"/>
        <w:rPr>
          <w:rFonts w:ascii="Century Gothic" w:hAnsi="Century Gothic" w:cs="Arial"/>
          <w:sz w:val="12"/>
          <w:szCs w:val="12"/>
        </w:rPr>
      </w:pPr>
      <w:r w:rsidRPr="00795F6F">
        <w:rPr>
          <w:rStyle w:val="baj"/>
          <w:rFonts w:ascii="Century Gothic" w:hAnsi="Century Gothic" w:cs="Arial"/>
          <w:sz w:val="12"/>
          <w:szCs w:val="12"/>
        </w:rPr>
        <w:t>“Parágrafo 7o.</w:t>
      </w:r>
      <w:r w:rsidRPr="00795F6F">
        <w:rPr>
          <w:rStyle w:val="baj"/>
          <w:rFonts w:ascii="Century Gothic" w:hAnsi="Century Gothic" w:cs="Arial"/>
          <w:b/>
          <w:bCs/>
          <w:sz w:val="12"/>
          <w:szCs w:val="12"/>
        </w:rPr>
        <w:t> </w:t>
      </w:r>
      <w:r w:rsidRPr="00795F6F">
        <w:rPr>
          <w:rFonts w:ascii="Century Gothic" w:hAnsi="Century Gothic" w:cs="Arial"/>
          <w:sz w:val="12"/>
          <w:szCs w:val="12"/>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B6E5C14" w14:textId="77777777" w:rsidR="00795F6F" w:rsidRPr="00795F6F" w:rsidRDefault="00795F6F" w:rsidP="00795F6F">
      <w:pPr>
        <w:pStyle w:val="NormalWeb"/>
        <w:spacing w:before="0" w:beforeAutospacing="0" w:after="0" w:afterAutospacing="0"/>
        <w:ind w:firstLine="708"/>
        <w:contextualSpacing/>
        <w:jc w:val="both"/>
        <w:rPr>
          <w:rFonts w:ascii="Century Gothic" w:hAnsi="Century Gothic" w:cs="Arial"/>
          <w:sz w:val="12"/>
          <w:szCs w:val="12"/>
        </w:rPr>
      </w:pPr>
      <w:r w:rsidRPr="00795F6F">
        <w:rPr>
          <w:rFonts w:ascii="Century Gothic" w:hAnsi="Century Gothic" w:cs="Arial"/>
          <w:sz w:val="12"/>
          <w:szCs w:val="12"/>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3CF5523" w14:textId="77777777" w:rsidR="00795F6F" w:rsidRPr="00795F6F" w:rsidRDefault="00795F6F" w:rsidP="00795F6F">
      <w:pPr>
        <w:pStyle w:val="Textonotapie"/>
        <w:contextualSpacing/>
        <w:jc w:val="both"/>
        <w:rPr>
          <w:rFonts w:ascii="Century Gothic" w:hAnsi="Century Gothic" w:cs="Arial"/>
          <w:sz w:val="12"/>
          <w:szCs w:val="12"/>
        </w:rPr>
      </w:pPr>
    </w:p>
  </w:footnote>
  <w:footnote w:id="12">
    <w:p w14:paraId="240212CF" w14:textId="77777777" w:rsidR="00795F6F" w:rsidRPr="00795F6F" w:rsidRDefault="00795F6F" w:rsidP="00795F6F">
      <w:pPr>
        <w:pStyle w:val="Textonotapie"/>
        <w:ind w:firstLine="708"/>
        <w:contextualSpacing/>
        <w:jc w:val="both"/>
        <w:rPr>
          <w:rFonts w:ascii="Century Gothic" w:hAnsi="Century Gothic" w:cs="Arial"/>
          <w:sz w:val="12"/>
          <w:szCs w:val="12"/>
          <w:shd w:val="clear" w:color="auto" w:fill="FFFFFF"/>
        </w:rPr>
      </w:pPr>
      <w:r w:rsidRPr="00795F6F">
        <w:rPr>
          <w:rStyle w:val="Refdenotaalpie"/>
          <w:rFonts w:ascii="Century Gothic" w:hAnsi="Century Gothic" w:cs="Arial"/>
          <w:b/>
          <w:bCs/>
          <w:sz w:val="12"/>
          <w:szCs w:val="12"/>
        </w:rPr>
        <w:footnoteRef/>
      </w:r>
      <w:r w:rsidRPr="00795F6F">
        <w:rPr>
          <w:rFonts w:ascii="Century Gothic" w:hAnsi="Century Gothic" w:cs="Arial"/>
          <w:b/>
          <w:bCs/>
          <w:sz w:val="12"/>
          <w:szCs w:val="12"/>
          <w:shd w:val="clear" w:color="auto" w:fill="FFFFFF"/>
        </w:rPr>
        <w:t xml:space="preserve"> </w:t>
      </w:r>
      <w:r w:rsidRPr="00795F6F">
        <w:rPr>
          <w:rFonts w:ascii="Century Gothic" w:eastAsia="Times New Roman" w:hAnsi="Century Gothic" w:cs="Arial"/>
          <w:sz w:val="12"/>
          <w:szCs w:val="12"/>
          <w:lang w:eastAsia="es-CO"/>
        </w:rPr>
        <w:t>“</w:t>
      </w:r>
      <w:r w:rsidRPr="00795F6F">
        <w:rPr>
          <w:rFonts w:ascii="Century Gothic" w:hAnsi="Century Gothic" w:cs="Arial"/>
          <w:sz w:val="12"/>
          <w:szCs w:val="12"/>
          <w:shd w:val="clear" w:color="auto" w:fill="FFFFFF"/>
        </w:rPr>
        <w:t>Artículo 3</w:t>
      </w:r>
      <w:r w:rsidRPr="00795F6F">
        <w:rPr>
          <w:rFonts w:ascii="Century Gothic" w:hAnsi="Century Gothic" w:cs="Arial"/>
          <w:b/>
          <w:bCs/>
          <w:sz w:val="12"/>
          <w:szCs w:val="12"/>
          <w:shd w:val="clear" w:color="auto" w:fill="FFFFFF"/>
        </w:rPr>
        <w:t>.</w:t>
      </w:r>
      <w:r w:rsidRPr="00795F6F">
        <w:rPr>
          <w:rFonts w:ascii="Century Gothic" w:hAnsi="Century Gothic" w:cs="Arial"/>
          <w:sz w:val="12"/>
          <w:szCs w:val="12"/>
          <w:shd w:val="clear" w:color="auto" w:fill="FFFFFF"/>
        </w:rPr>
        <w:t xml:space="preserve"> Vigencia y régimen de transición.</w:t>
      </w:r>
    </w:p>
    <w:p w14:paraId="7E9842AC" w14:textId="77777777" w:rsidR="00795F6F" w:rsidRPr="00795F6F" w:rsidRDefault="00795F6F" w:rsidP="00795F6F">
      <w:pPr>
        <w:pStyle w:val="Textonotapie"/>
        <w:ind w:firstLine="708"/>
        <w:contextualSpacing/>
        <w:jc w:val="both"/>
        <w:rPr>
          <w:rFonts w:ascii="Century Gothic" w:eastAsia="Times New Roman" w:hAnsi="Century Gothic" w:cs="Arial"/>
          <w:sz w:val="12"/>
          <w:szCs w:val="12"/>
          <w:lang w:eastAsia="es-CO"/>
        </w:rPr>
      </w:pPr>
      <w:r w:rsidRPr="00795F6F">
        <w:rPr>
          <w:rFonts w:ascii="Century Gothic" w:eastAsia="Times New Roman" w:hAnsi="Century Gothic" w:cs="Arial"/>
          <w:sz w:val="12"/>
          <w:szCs w:val="12"/>
          <w:lang w:eastAsia="es-CO"/>
        </w:rPr>
        <w:t>“[…]</w:t>
      </w:r>
    </w:p>
    <w:p w14:paraId="3242B885" w14:textId="77777777" w:rsidR="00795F6F" w:rsidRPr="00795F6F" w:rsidRDefault="00795F6F" w:rsidP="00795F6F">
      <w:pPr>
        <w:pStyle w:val="Textonotapie"/>
        <w:contextualSpacing/>
        <w:jc w:val="both"/>
        <w:rPr>
          <w:rFonts w:ascii="Century Gothic" w:eastAsia="Times New Roman" w:hAnsi="Century Gothic" w:cs="Arial"/>
          <w:sz w:val="12"/>
          <w:szCs w:val="12"/>
          <w:lang w:eastAsia="es-CO"/>
        </w:rPr>
      </w:pPr>
      <w:r w:rsidRPr="00795F6F">
        <w:rPr>
          <w:rFonts w:ascii="Century Gothic" w:hAnsi="Century Gothic" w:cs="Arial"/>
          <w:sz w:val="12"/>
          <w:szCs w:val="12"/>
          <w:shd w:val="clear" w:color="auto" w:fill="FFFFFF"/>
        </w:rPr>
        <w:tab/>
        <w:t>“Parágrafo 2. La Agencia Nacional de Contratación Pública -Colombia Compra Eficiente</w:t>
      </w:r>
      <w:r w:rsidRPr="00795F6F">
        <w:rPr>
          <w:rFonts w:ascii="Century Gothic" w:hAnsi="Century Gothic" w:cs="Arial"/>
          <w:sz w:val="12"/>
          <w:szCs w:val="12"/>
          <w:shd w:val="clear" w:color="auto" w:fill="FFFFFF"/>
        </w:rPr>
        <w:softHyphen/>
        <w:t xml:space="preserve"> tendrá un plazo máximo de tres (3) meses contados a partir de la expedición de este Decreto para adecuar los Documentos Tipo a las disposiciones previstas en este Decreto</w:t>
      </w:r>
      <w:r w:rsidRPr="00795F6F">
        <w:rPr>
          <w:rFonts w:ascii="Century Gothic" w:hAnsi="Century Gothic" w:cs="Arial"/>
          <w:sz w:val="12"/>
          <w:szCs w:val="12"/>
        </w:rPr>
        <w:t xml:space="preserve"> </w:t>
      </w:r>
      <w:r w:rsidRPr="00795F6F">
        <w:rPr>
          <w:rFonts w:ascii="Century Gothic" w:eastAsia="Times New Roman" w:hAnsi="Century Gothic" w:cs="Arial"/>
          <w:sz w:val="12"/>
          <w:szCs w:val="12"/>
          <w:lang w:eastAsia="es-CO"/>
        </w:rPr>
        <w:t>[…]”.</w:t>
      </w:r>
    </w:p>
    <w:p w14:paraId="44AD9FDB" w14:textId="77777777" w:rsidR="00795F6F" w:rsidRPr="00795F6F" w:rsidRDefault="00795F6F" w:rsidP="00795F6F">
      <w:pPr>
        <w:pStyle w:val="Textonotapie"/>
        <w:ind w:firstLine="708"/>
        <w:contextualSpacing/>
        <w:jc w:val="both"/>
        <w:rPr>
          <w:rFonts w:ascii="Century Gothic" w:hAnsi="Century Gothic" w:cs="Arial"/>
          <w:sz w:val="12"/>
          <w:szCs w:val="12"/>
        </w:rPr>
      </w:pPr>
    </w:p>
  </w:footnote>
  <w:footnote w:id="13">
    <w:p w14:paraId="53DA70B8" w14:textId="77777777" w:rsidR="00795F6F" w:rsidRPr="00795F6F" w:rsidRDefault="00795F6F" w:rsidP="00795F6F">
      <w:pPr>
        <w:ind w:firstLine="708"/>
        <w:jc w:val="both"/>
        <w:rPr>
          <w:rFonts w:ascii="Century Gothic" w:hAnsi="Century Gothic" w:cs="Arial"/>
          <w:iCs/>
          <w:sz w:val="12"/>
          <w:szCs w:val="12"/>
        </w:rPr>
      </w:pPr>
      <w:r w:rsidRPr="00795F6F">
        <w:rPr>
          <w:rStyle w:val="Refdenotaalpie"/>
          <w:rFonts w:ascii="Century Gothic" w:hAnsi="Century Gothic" w:cs="Arial"/>
          <w:sz w:val="12"/>
          <w:szCs w:val="12"/>
        </w:rPr>
        <w:footnoteRef/>
      </w:r>
      <w:r w:rsidRPr="00795F6F">
        <w:rPr>
          <w:rFonts w:ascii="Century Gothic" w:hAnsi="Century Gothic" w:cs="Arial"/>
          <w:sz w:val="12"/>
          <w:szCs w:val="12"/>
        </w:rPr>
        <w:t xml:space="preserve"> </w:t>
      </w:r>
      <w:r w:rsidRPr="00795F6F">
        <w:rPr>
          <w:rFonts w:ascii="Century Gothic" w:hAnsi="Century Gothic" w:cs="Arial"/>
          <w:iCs/>
          <w:sz w:val="12"/>
          <w:szCs w:val="12"/>
        </w:rPr>
        <w:t xml:space="preserve">Para asignar el puntaje deberán tenerse en cuenta las siguientes consideraciones: </w:t>
      </w:r>
    </w:p>
    <w:p w14:paraId="7E232CB7"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A. Los puntajes por apoyo a la industria nacional por promoción de Servicios Nacionales o con Trato Nacional solo se otorgarán a los Proponentes que se comprometan a adquirir uno, varios o todos los bienes nacionales relevantes para el cumplimiento del contrato. Para efectos de obtener el puntaje, la oferta respectiva no podrá someterse a condicionamientos.</w:t>
      </w:r>
    </w:p>
    <w:p w14:paraId="26775B92"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B. Cuando se determine la existencia de oferta de los bienes nacionales relevantes requeridos para el desarrollo del presente objeto contractual dentro del Registro de Productores de Bienes Nacionales, no se otorgará puntaje a los Proponentes que no ofrezcan alguno de los bienes mencionados. Esto aunque se comprometan a vincular al cumplimiento del objeto contractual un porcentaje de empleados o contratistas por prestación de servicios colombianos.</w:t>
      </w:r>
    </w:p>
    <w:p w14:paraId="4C00C9E1"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C. Cuando la Entidad Estatal haya determinado la existencia de más de un bien nacional relevante, se otorgará el puntaje de manera proporcional a la cantidad de bienes nacionales relevantes que los Proponentes se comprometan a incorporar durante la ejecución del contrato y dependiendo del porcentaje de participación de estos bienes, en los términos de la Matriz 4 – Bienes nacionales relevantes para la obra pública del sector transporte:</w:t>
      </w:r>
    </w:p>
    <w:p w14:paraId="554D8E69"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 xml:space="preserve">Para efectos de la asignación de puntaje, la Entidad Estatal definirá el puntaje de cada bien nacional relevante de acuerdo con su porcentaje de participación, para lo cual aplicará la siguiente fórmula. </w:t>
      </w:r>
    </w:p>
    <w:p w14:paraId="1B5D2B89" w14:textId="77777777" w:rsidR="00795F6F" w:rsidRPr="00795F6F" w:rsidRDefault="00795F6F" w:rsidP="00795F6F">
      <w:pPr>
        <w:jc w:val="both"/>
        <w:rPr>
          <w:rFonts w:ascii="Century Gothic" w:hAnsi="Century Gothic" w:cs="Arial"/>
          <w:i/>
          <w:sz w:val="12"/>
          <w:szCs w:val="12"/>
        </w:rPr>
      </w:pPr>
      <m:oMathPara>
        <m:oMath>
          <m:r>
            <w:rPr>
              <w:rFonts w:ascii="Cambria Math" w:hAnsi="Cambria Math" w:cs="Arial"/>
              <w:sz w:val="12"/>
              <w:szCs w:val="12"/>
            </w:rPr>
            <m:t>Pi=</m:t>
          </m:r>
          <m:f>
            <m:fPr>
              <m:ctrlPr>
                <w:rPr>
                  <w:rFonts w:ascii="Cambria Math" w:hAnsi="Cambria Math" w:cs="Arial"/>
                  <w:i/>
                  <w:sz w:val="12"/>
                  <w:szCs w:val="12"/>
                </w:rPr>
              </m:ctrlPr>
            </m:fPr>
            <m:num>
              <m:sSub>
                <m:sSubPr>
                  <m:ctrlPr>
                    <w:rPr>
                      <w:rFonts w:ascii="Cambria Math" w:hAnsi="Cambria Math" w:cs="Arial"/>
                      <w:i/>
                      <w:sz w:val="12"/>
                      <w:szCs w:val="12"/>
                    </w:rPr>
                  </m:ctrlPr>
                </m:sSubPr>
                <m:e>
                  <m:r>
                    <w:rPr>
                      <w:rFonts w:ascii="Cambria Math" w:hAnsi="Cambria Math" w:cs="Arial"/>
                      <w:sz w:val="12"/>
                      <w:szCs w:val="12"/>
                    </w:rPr>
                    <m:t>Participación (%)</m:t>
                  </m:r>
                </m:e>
                <m:sub>
                  <m:r>
                    <w:rPr>
                      <w:rFonts w:ascii="Cambria Math" w:hAnsi="Cambria Math" w:cs="Arial"/>
                      <w:sz w:val="12"/>
                      <w:szCs w:val="12"/>
                    </w:rPr>
                    <m:t>i</m:t>
                  </m:r>
                </m:sub>
              </m:sSub>
              <m:r>
                <w:rPr>
                  <w:rFonts w:ascii="Cambria Math" w:hAnsi="Cambria Math" w:cs="Arial"/>
                  <w:sz w:val="12"/>
                  <w:szCs w:val="12"/>
                </w:rPr>
                <m:t>*(Pmax)</m:t>
              </m:r>
            </m:num>
            <m:den>
              <m:nary>
                <m:naryPr>
                  <m:chr m:val="∑"/>
                  <m:limLoc m:val="undOvr"/>
                  <m:ctrlPr>
                    <w:rPr>
                      <w:rFonts w:ascii="Cambria Math" w:hAnsi="Cambria Math" w:cs="Arial"/>
                      <w:i/>
                      <w:sz w:val="12"/>
                      <w:szCs w:val="12"/>
                    </w:rPr>
                  </m:ctrlPr>
                </m:naryPr>
                <m:sub>
                  <m:r>
                    <w:rPr>
                      <w:rFonts w:ascii="Cambria Math" w:hAnsi="Cambria Math" w:cs="Arial"/>
                      <w:sz w:val="12"/>
                      <w:szCs w:val="12"/>
                    </w:rPr>
                    <m:t>i</m:t>
                  </m:r>
                </m:sub>
                <m:sup>
                  <m:r>
                    <w:rPr>
                      <w:rFonts w:ascii="Cambria Math" w:hAnsi="Cambria Math" w:cs="Arial"/>
                      <w:sz w:val="12"/>
                      <w:szCs w:val="12"/>
                    </w:rPr>
                    <m:t>n</m:t>
                  </m:r>
                </m:sup>
                <m:e>
                  <m:r>
                    <w:rPr>
                      <w:rFonts w:ascii="Cambria Math" w:hAnsi="Cambria Math" w:cs="Arial"/>
                      <w:sz w:val="12"/>
                      <w:szCs w:val="12"/>
                    </w:rPr>
                    <m:t>Participación (%)</m:t>
                  </m:r>
                </m:e>
              </m:nary>
            </m:den>
          </m:f>
        </m:oMath>
      </m:oMathPara>
    </w:p>
    <w:p w14:paraId="605BF4FE"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Donde:</w:t>
      </w:r>
    </w:p>
    <w:p w14:paraId="42D2A664"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Pi: Puntaje de cada bien relevante</w:t>
      </w:r>
    </w:p>
    <w:p w14:paraId="2646164F"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 xml:space="preserve">i: Bien o bienes nacionales relevantes </w:t>
      </w:r>
    </w:p>
    <w:p w14:paraId="69D28F37"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 xml:space="preserve">n: Número de bienes nacionales relevantes </w:t>
      </w:r>
    </w:p>
    <w:p w14:paraId="4DCD2BDD"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Participación (%)i : Porcentaje de participación del bien</w:t>
      </w:r>
    </w:p>
    <w:p w14:paraId="531892ED"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 xml:space="preserve">Pmax =Puntaje máximo para el factor de evaluación de apoyo a la industria nacional (20 puntos) </w:t>
      </w:r>
    </w:p>
    <w:p w14:paraId="70C97F89" w14:textId="77777777" w:rsidR="00795F6F" w:rsidRPr="00795F6F" w:rsidRDefault="00000000" w:rsidP="00795F6F">
      <w:pPr>
        <w:jc w:val="both"/>
        <w:rPr>
          <w:rFonts w:ascii="Century Gothic" w:hAnsi="Century Gothic" w:cs="Arial"/>
          <w:iCs/>
          <w:sz w:val="12"/>
          <w:szCs w:val="12"/>
        </w:rPr>
      </w:pPr>
      <m:oMath>
        <m:nary>
          <m:naryPr>
            <m:chr m:val="∑"/>
            <m:limLoc m:val="undOvr"/>
            <m:ctrlPr>
              <w:rPr>
                <w:rFonts w:ascii="Cambria Math" w:hAnsi="Cambria Math" w:cs="Arial"/>
                <w:iCs/>
                <w:sz w:val="12"/>
                <w:szCs w:val="12"/>
              </w:rPr>
            </m:ctrlPr>
          </m:naryPr>
          <m:sub>
            <m:r>
              <m:rPr>
                <m:sty m:val="p"/>
              </m:rPr>
              <w:rPr>
                <w:rFonts w:ascii="Cambria Math" w:hAnsi="Cambria Math" w:cs="Arial"/>
                <w:sz w:val="12"/>
                <w:szCs w:val="12"/>
              </w:rPr>
              <m:t>i</m:t>
            </m:r>
          </m:sub>
          <m:sup>
            <m:r>
              <m:rPr>
                <m:sty m:val="p"/>
              </m:rPr>
              <w:rPr>
                <w:rFonts w:ascii="Cambria Math" w:hAnsi="Cambria Math" w:cs="Arial"/>
                <w:sz w:val="12"/>
                <w:szCs w:val="12"/>
              </w:rPr>
              <m:t>n</m:t>
            </m:r>
          </m:sup>
          <m:e>
            <m:r>
              <m:rPr>
                <m:sty m:val="p"/>
              </m:rPr>
              <w:rPr>
                <w:rFonts w:ascii="Cambria Math" w:hAnsi="Cambria Math" w:cs="Arial"/>
                <w:sz w:val="12"/>
                <w:szCs w:val="12"/>
              </w:rPr>
              <m:t>Participación (%)</m:t>
            </m:r>
          </m:e>
        </m:nary>
      </m:oMath>
      <w:r w:rsidR="00795F6F" w:rsidRPr="00795F6F">
        <w:rPr>
          <w:rFonts w:ascii="Century Gothic" w:hAnsi="Century Gothic" w:cs="Arial"/>
          <w:iCs/>
          <w:sz w:val="12"/>
          <w:szCs w:val="12"/>
        </w:rPr>
        <w:t xml:space="preserve">: Sumatoria de los porcentajes de participación de los bienes </w:t>
      </w:r>
    </w:p>
    <w:p w14:paraId="7D2EAB1E"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 xml:space="preserve">Para efectos de la asignación de los puntajes indicados, la Entidad Estatal tendrá en cuenta hasta el séptimo decimal. </w:t>
      </w:r>
    </w:p>
    <w:p w14:paraId="0267A3F3"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Definido el puntaje de cada bien nacional relevante, la Entidad Estatal otorgará el puntaje a cada Proponente dependiendo de la cantidad de bienes nacionales relevantes ofertados y el puntaje individual asignado a cada uno de ellos. Para la asignación de este puntaje se aplicará la siguiente fórmula.</w:t>
      </w:r>
    </w:p>
    <w:p w14:paraId="5D09531A" w14:textId="77777777" w:rsidR="00795F6F" w:rsidRPr="00795F6F" w:rsidRDefault="00795F6F" w:rsidP="00795F6F">
      <w:pPr>
        <w:jc w:val="both"/>
        <w:rPr>
          <w:rFonts w:ascii="Century Gothic" w:hAnsi="Century Gothic" w:cs="Arial"/>
          <w:i/>
          <w:sz w:val="12"/>
          <w:szCs w:val="12"/>
        </w:rPr>
      </w:pPr>
      <m:oMathPara>
        <m:oMath>
          <m:r>
            <w:rPr>
              <w:rFonts w:ascii="Cambria Math" w:hAnsi="Cambria Math" w:cs="Arial"/>
              <w:sz w:val="12"/>
              <w:szCs w:val="12"/>
            </w:rPr>
            <m:t xml:space="preserve">Puntaje proponente= </m:t>
          </m:r>
          <m:nary>
            <m:naryPr>
              <m:chr m:val="∑"/>
              <m:limLoc m:val="undOvr"/>
              <m:ctrlPr>
                <w:rPr>
                  <w:rFonts w:ascii="Cambria Math" w:hAnsi="Cambria Math" w:cs="Arial"/>
                  <w:i/>
                  <w:sz w:val="12"/>
                  <w:szCs w:val="12"/>
                </w:rPr>
              </m:ctrlPr>
            </m:naryPr>
            <m:sub>
              <m:r>
                <w:rPr>
                  <w:rFonts w:ascii="Cambria Math" w:hAnsi="Cambria Math" w:cs="Arial"/>
                  <w:sz w:val="12"/>
                  <w:szCs w:val="12"/>
                </w:rPr>
                <m:t>j=0</m:t>
              </m:r>
            </m:sub>
            <m:sup>
              <m:r>
                <w:rPr>
                  <w:rFonts w:ascii="Cambria Math" w:hAnsi="Cambria Math" w:cs="Arial"/>
                  <w:sz w:val="12"/>
                  <w:szCs w:val="12"/>
                </w:rPr>
                <m:t>i</m:t>
              </m:r>
            </m:sup>
            <m:e>
              <m:sSub>
                <m:sSubPr>
                  <m:ctrlPr>
                    <w:rPr>
                      <w:rFonts w:ascii="Cambria Math" w:hAnsi="Cambria Math" w:cs="Arial"/>
                      <w:i/>
                      <w:sz w:val="12"/>
                      <w:szCs w:val="12"/>
                    </w:rPr>
                  </m:ctrlPr>
                </m:sSubPr>
                <m:e>
                  <m:r>
                    <w:rPr>
                      <w:rFonts w:ascii="Cambria Math" w:hAnsi="Cambria Math" w:cs="Arial"/>
                      <w:sz w:val="12"/>
                      <w:szCs w:val="12"/>
                    </w:rPr>
                    <m:t>P</m:t>
                  </m:r>
                </m:e>
                <m:sub>
                  <m:r>
                    <w:rPr>
                      <w:rFonts w:ascii="Cambria Math" w:hAnsi="Cambria Math" w:cs="Arial"/>
                      <w:sz w:val="12"/>
                      <w:szCs w:val="12"/>
                    </w:rPr>
                    <m:t>i</m:t>
                  </m:r>
                </m:sub>
              </m:sSub>
            </m:e>
          </m:nary>
        </m:oMath>
      </m:oMathPara>
    </w:p>
    <w:p w14:paraId="49C604A2"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Donde:</w:t>
      </w:r>
    </w:p>
    <w:p w14:paraId="4CAC92D1"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 xml:space="preserve">Puntaje proponente: Puntaje asignado al Proponente </w:t>
      </w:r>
    </w:p>
    <w:p w14:paraId="13893F35" w14:textId="77777777" w:rsidR="00795F6F" w:rsidRPr="00795F6F" w:rsidRDefault="00000000" w:rsidP="00795F6F">
      <w:pPr>
        <w:jc w:val="both"/>
        <w:rPr>
          <w:rFonts w:ascii="Century Gothic" w:hAnsi="Century Gothic" w:cs="Arial"/>
          <w:iCs/>
          <w:sz w:val="12"/>
          <w:szCs w:val="12"/>
        </w:rPr>
      </w:pPr>
      <m:oMath>
        <m:nary>
          <m:naryPr>
            <m:chr m:val="∑"/>
            <m:limLoc m:val="undOvr"/>
            <m:ctrlPr>
              <w:rPr>
                <w:rFonts w:ascii="Cambria Math" w:hAnsi="Cambria Math" w:cs="Arial"/>
                <w:iCs/>
                <w:sz w:val="12"/>
                <w:szCs w:val="12"/>
              </w:rPr>
            </m:ctrlPr>
          </m:naryPr>
          <m:sub>
            <m:r>
              <m:rPr>
                <m:sty m:val="p"/>
              </m:rPr>
              <w:rPr>
                <w:rFonts w:ascii="Cambria Math" w:hAnsi="Cambria Math" w:cs="Arial"/>
                <w:sz w:val="12"/>
                <w:szCs w:val="12"/>
              </w:rPr>
              <m:t>j=0</m:t>
            </m:r>
          </m:sub>
          <m:sup>
            <m:r>
              <m:rPr>
                <m:sty m:val="p"/>
              </m:rPr>
              <w:rPr>
                <w:rFonts w:ascii="Cambria Math" w:hAnsi="Cambria Math" w:cs="Arial"/>
                <w:sz w:val="12"/>
                <w:szCs w:val="12"/>
              </w:rPr>
              <m:t>i</m:t>
            </m:r>
          </m:sup>
          <m:e>
            <m:sSub>
              <m:sSubPr>
                <m:ctrlPr>
                  <w:rPr>
                    <w:rFonts w:ascii="Cambria Math" w:hAnsi="Cambria Math" w:cs="Arial"/>
                    <w:iCs/>
                    <w:sz w:val="12"/>
                    <w:szCs w:val="12"/>
                  </w:rPr>
                </m:ctrlPr>
              </m:sSubPr>
              <m:e>
                <m:r>
                  <m:rPr>
                    <m:sty m:val="p"/>
                  </m:rPr>
                  <w:rPr>
                    <w:rFonts w:ascii="Cambria Math" w:hAnsi="Cambria Math" w:cs="Arial"/>
                    <w:sz w:val="12"/>
                    <w:szCs w:val="12"/>
                  </w:rPr>
                  <m:t>P</m:t>
                </m:r>
              </m:e>
              <m:sub>
                <m:r>
                  <m:rPr>
                    <m:sty m:val="p"/>
                  </m:rPr>
                  <w:rPr>
                    <w:rFonts w:ascii="Cambria Math" w:hAnsi="Cambria Math" w:cs="Arial"/>
                    <w:sz w:val="12"/>
                    <w:szCs w:val="12"/>
                  </w:rPr>
                  <m:t>i</m:t>
                </m:r>
              </m:sub>
            </m:sSub>
          </m:e>
        </m:nary>
      </m:oMath>
      <w:r w:rsidR="00795F6F" w:rsidRPr="00795F6F">
        <w:rPr>
          <w:rFonts w:ascii="Century Gothic" w:hAnsi="Century Gothic" w:cs="Arial"/>
          <w:iCs/>
          <w:sz w:val="12"/>
          <w:szCs w:val="12"/>
        </w:rPr>
        <w:t>: Sumatoria de los puntajes de los bienes relevantes seleccionados por el Proponente</w:t>
      </w:r>
    </w:p>
    <w:p w14:paraId="134AA195"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Para efectos de la asignación del puntaje a los Proponentes, la Entidad Estatal tendrá en cuenta hasta el séptimo decimal. En todo caso, el puntaje asignado a los Proponentes no podrá superar los veinte (20) puntos.</w:t>
      </w:r>
    </w:p>
    <w:p w14:paraId="312595FD"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 xml:space="preserve">D. En el caso de Proponentes Plurales, todos, varios o cualquiera de sus integrantes podrá incorporar todos o algunos de los bienes nacionales relevantes. Además de la incorporación del bien nacional relevante, tratándose de Proponentes Plurales, su composición deberá estar acorde con la definición de Servicios Nacionales prevista en el artículo 2.2.1.1.1.3.1 del Decreto 1082 de 2015, de lo que dependerá la franja del puntaje aplicable en lo referente con el apoyo de la industria nacional. </w:t>
      </w:r>
    </w:p>
    <w:p w14:paraId="09F7E1FB" w14:textId="77777777" w:rsidR="00795F6F" w:rsidRPr="00795F6F" w:rsidRDefault="00795F6F" w:rsidP="00795F6F">
      <w:pPr>
        <w:pStyle w:val="Textonotapie"/>
        <w:rPr>
          <w:rFonts w:ascii="Century Gothic" w:hAnsi="Century Gothic"/>
          <w:sz w:val="12"/>
          <w:szCs w:val="12"/>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22566D79"/>
    <w:multiLevelType w:val="hybridMultilevel"/>
    <w:tmpl w:val="52E0DF1C"/>
    <w:lvl w:ilvl="0" w:tplc="240A0015">
      <w:start w:val="1"/>
      <w:numFmt w:val="upperLetter"/>
      <w:lvlText w:val="%1."/>
      <w:lvlJc w:val="left"/>
      <w:pPr>
        <w:ind w:left="3072" w:hanging="360"/>
      </w:pPr>
    </w:lvl>
    <w:lvl w:ilvl="1" w:tplc="240A0019">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1B32BE"/>
    <w:multiLevelType w:val="hybridMultilevel"/>
    <w:tmpl w:val="1648147C"/>
    <w:lvl w:ilvl="0" w:tplc="1D164DA4">
      <w:start w:val="1"/>
      <w:numFmt w:val="decimal"/>
      <w:lvlText w:val="%1."/>
      <w:lvlJc w:val="left"/>
      <w:pPr>
        <w:ind w:left="502" w:hanging="360"/>
      </w:pPr>
      <w:rPr>
        <w:rFonts w:ascii="Arial" w:eastAsiaTheme="minorHAnsi" w:hAnsi="Arial" w:cs="Arial" w:hint="default"/>
        <w:b/>
        <w:bCs/>
        <w:i w:val="0"/>
        <w:iCs/>
        <w:sz w:val="20"/>
        <w:szCs w:val="20"/>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num w:numId="1" w16cid:durableId="948779781">
    <w:abstractNumId w:val="3"/>
  </w:num>
  <w:num w:numId="2" w16cid:durableId="19822139">
    <w:abstractNumId w:val="0"/>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 w:numId="6" w16cid:durableId="1151169457">
    <w:abstractNumId w:val="1"/>
  </w:num>
  <w:num w:numId="7" w16cid:durableId="1192649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3165"/>
    <w:rsid w:val="0004175C"/>
    <w:rsid w:val="00071A1E"/>
    <w:rsid w:val="000A683E"/>
    <w:rsid w:val="000B19B9"/>
    <w:rsid w:val="000D0334"/>
    <w:rsid w:val="000F6486"/>
    <w:rsid w:val="00125105"/>
    <w:rsid w:val="00127233"/>
    <w:rsid w:val="00136DC0"/>
    <w:rsid w:val="0017786D"/>
    <w:rsid w:val="001E4177"/>
    <w:rsid w:val="00232E97"/>
    <w:rsid w:val="002951A0"/>
    <w:rsid w:val="002962BC"/>
    <w:rsid w:val="002A093D"/>
    <w:rsid w:val="002A1AD3"/>
    <w:rsid w:val="002A49AC"/>
    <w:rsid w:val="002A64FD"/>
    <w:rsid w:val="002C7A84"/>
    <w:rsid w:val="003000AA"/>
    <w:rsid w:val="00303B8C"/>
    <w:rsid w:val="00310744"/>
    <w:rsid w:val="003448F4"/>
    <w:rsid w:val="003A779E"/>
    <w:rsid w:val="003D0F4D"/>
    <w:rsid w:val="003E0499"/>
    <w:rsid w:val="003F3941"/>
    <w:rsid w:val="00400548"/>
    <w:rsid w:val="004A1847"/>
    <w:rsid w:val="004A305D"/>
    <w:rsid w:val="004B0392"/>
    <w:rsid w:val="004F21C4"/>
    <w:rsid w:val="004F685F"/>
    <w:rsid w:val="00504243"/>
    <w:rsid w:val="005566E8"/>
    <w:rsid w:val="00570440"/>
    <w:rsid w:val="00574867"/>
    <w:rsid w:val="005C5CDC"/>
    <w:rsid w:val="005D476C"/>
    <w:rsid w:val="006219F8"/>
    <w:rsid w:val="00631357"/>
    <w:rsid w:val="00665D70"/>
    <w:rsid w:val="00706C16"/>
    <w:rsid w:val="007264D2"/>
    <w:rsid w:val="00756841"/>
    <w:rsid w:val="007649AB"/>
    <w:rsid w:val="007833AC"/>
    <w:rsid w:val="00795F6F"/>
    <w:rsid w:val="007B7171"/>
    <w:rsid w:val="007C3DC2"/>
    <w:rsid w:val="007E5497"/>
    <w:rsid w:val="00806F5F"/>
    <w:rsid w:val="00820278"/>
    <w:rsid w:val="00842D09"/>
    <w:rsid w:val="008843B6"/>
    <w:rsid w:val="00891928"/>
    <w:rsid w:val="008A446D"/>
    <w:rsid w:val="008D28C4"/>
    <w:rsid w:val="008F0EA7"/>
    <w:rsid w:val="00923EEF"/>
    <w:rsid w:val="009419F9"/>
    <w:rsid w:val="00961B09"/>
    <w:rsid w:val="00965334"/>
    <w:rsid w:val="0097093E"/>
    <w:rsid w:val="009C71FA"/>
    <w:rsid w:val="009C72E7"/>
    <w:rsid w:val="00A17F13"/>
    <w:rsid w:val="00A20739"/>
    <w:rsid w:val="00A33C78"/>
    <w:rsid w:val="00A66F8D"/>
    <w:rsid w:val="00AB0ADB"/>
    <w:rsid w:val="00AD2601"/>
    <w:rsid w:val="00B53FDB"/>
    <w:rsid w:val="00B72CD3"/>
    <w:rsid w:val="00B72FFF"/>
    <w:rsid w:val="00BD7F72"/>
    <w:rsid w:val="00BF07D0"/>
    <w:rsid w:val="00C04FB3"/>
    <w:rsid w:val="00C07B2A"/>
    <w:rsid w:val="00C330EB"/>
    <w:rsid w:val="00C754BE"/>
    <w:rsid w:val="00CB6357"/>
    <w:rsid w:val="00CC1B26"/>
    <w:rsid w:val="00D3097B"/>
    <w:rsid w:val="00D423A2"/>
    <w:rsid w:val="00D63AC2"/>
    <w:rsid w:val="00D7383B"/>
    <w:rsid w:val="00DA231B"/>
    <w:rsid w:val="00E16408"/>
    <w:rsid w:val="00E20894"/>
    <w:rsid w:val="00E245AB"/>
    <w:rsid w:val="00E2782D"/>
    <w:rsid w:val="00E50AFE"/>
    <w:rsid w:val="00E771DC"/>
    <w:rsid w:val="00E8772A"/>
    <w:rsid w:val="00E90F6B"/>
    <w:rsid w:val="00E92C27"/>
    <w:rsid w:val="00EA0E3D"/>
    <w:rsid w:val="00EE1AA8"/>
    <w:rsid w:val="00F204AB"/>
    <w:rsid w:val="00F31EDC"/>
    <w:rsid w:val="00F5664F"/>
    <w:rsid w:val="00F76AFC"/>
    <w:rsid w:val="00F96EFE"/>
    <w:rsid w:val="00FB5DD1"/>
    <w:rsid w:val="00FC2B5D"/>
    <w:rsid w:val="00FE2C41"/>
    <w:rsid w:val="00FF1449"/>
    <w:rsid w:val="48F42A56"/>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numbering" w:customStyle="1" w:styleId="Sinlista1">
    <w:name w:val="Sin lista1"/>
    <w:next w:val="Sinlista"/>
    <w:uiPriority w:val="99"/>
    <w:semiHidden/>
    <w:unhideWhenUsed/>
    <w:rsid w:val="002A1AD3"/>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A1AD3"/>
    <w:rPr>
      <w:rFonts w:ascii="Geomanist Light" w:hAnsi="Geomanist Light"/>
      <w:lang w:val="es-ES"/>
    </w:rPr>
  </w:style>
  <w:style w:type="paragraph" w:customStyle="1" w:styleId="Appelnotedebasde">
    <w:name w:val="Appel note de bas de..."/>
    <w:basedOn w:val="Normal"/>
    <w:link w:val="Refdenotaalpie"/>
    <w:uiPriority w:val="99"/>
    <w:rsid w:val="002A1AD3"/>
    <w:pPr>
      <w:spacing w:line="240" w:lineRule="exact"/>
    </w:pPr>
    <w:rPr>
      <w:vertAlign w:val="superscript"/>
    </w:rPr>
  </w:style>
  <w:style w:type="table" w:customStyle="1" w:styleId="Tablaconcuadrcula1">
    <w:name w:val="Tabla con cuadrícula1"/>
    <w:basedOn w:val="Tablanormal"/>
    <w:next w:val="Tablaconcuadrcula"/>
    <w:uiPriority w:val="59"/>
    <w:rsid w:val="002A1AD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2A1AD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2A1AD3"/>
    <w:pPr>
      <w:spacing w:after="0" w:line="240" w:lineRule="auto"/>
    </w:pPr>
    <w:rPr>
      <w:sz w:val="24"/>
      <w:lang w:val="es-MX"/>
    </w:rPr>
  </w:style>
  <w:style w:type="character" w:customStyle="1" w:styleId="NormalWebCar">
    <w:name w:val="Normal (Web) Car"/>
    <w:link w:val="NormalWeb"/>
    <w:uiPriority w:val="99"/>
    <w:locked/>
    <w:rsid w:val="002A1AD3"/>
    <w:rPr>
      <w:rFonts w:ascii="Times New Roman" w:eastAsia="Times New Roman" w:hAnsi="Times New Roman" w:cs="Times New Roman"/>
      <w:sz w:val="24"/>
      <w:szCs w:val="24"/>
      <w:lang w:eastAsia="es-CO"/>
    </w:rPr>
  </w:style>
  <w:style w:type="character" w:customStyle="1" w:styleId="baj">
    <w:name w:val="b_aj"/>
    <w:basedOn w:val="Fuentedeprrafopredeter"/>
    <w:rsid w:val="002A1AD3"/>
  </w:style>
  <w:style w:type="numbering" w:customStyle="1" w:styleId="Sinlista2">
    <w:name w:val="Sin lista2"/>
    <w:next w:val="Sinlista"/>
    <w:uiPriority w:val="99"/>
    <w:semiHidden/>
    <w:unhideWhenUsed/>
    <w:rsid w:val="00795F6F"/>
  </w:style>
  <w:style w:type="paragraph" w:styleId="Revisin">
    <w:name w:val="Revision"/>
    <w:hidden/>
    <w:uiPriority w:val="99"/>
    <w:semiHidden/>
    <w:rsid w:val="00C07B2A"/>
    <w:pPr>
      <w:spacing w:after="0" w:line="240" w:lineRule="auto"/>
    </w:pPr>
  </w:style>
  <w:style w:type="paragraph" w:customStyle="1" w:styleId="paragraph">
    <w:name w:val="paragraph"/>
    <w:basedOn w:val="Normal"/>
    <w:rsid w:val="00842D0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842D09"/>
  </w:style>
  <w:style w:type="character" w:customStyle="1" w:styleId="eop">
    <w:name w:val="eop"/>
    <w:basedOn w:val="Fuentedeprrafopredeter"/>
    <w:rsid w:val="0084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596785704">
      <w:bodyDiv w:val="1"/>
      <w:marLeft w:val="0"/>
      <w:marRight w:val="0"/>
      <w:marTop w:val="0"/>
      <w:marBottom w:val="0"/>
      <w:divBdr>
        <w:top w:val="none" w:sz="0" w:space="0" w:color="auto"/>
        <w:left w:val="none" w:sz="0" w:space="0" w:color="auto"/>
        <w:bottom w:val="none" w:sz="0" w:space="0" w:color="auto"/>
        <w:right w:val="none" w:sz="0" w:space="0" w:color="auto"/>
      </w:divBdr>
      <w:divsChild>
        <w:div w:id="224797799">
          <w:marLeft w:val="0"/>
          <w:marRight w:val="0"/>
          <w:marTop w:val="0"/>
          <w:marBottom w:val="0"/>
          <w:divBdr>
            <w:top w:val="none" w:sz="0" w:space="0" w:color="auto"/>
            <w:left w:val="none" w:sz="0" w:space="0" w:color="auto"/>
            <w:bottom w:val="none" w:sz="0" w:space="0" w:color="auto"/>
            <w:right w:val="none" w:sz="0" w:space="0" w:color="auto"/>
          </w:divBdr>
        </w:div>
        <w:div w:id="489490742">
          <w:marLeft w:val="0"/>
          <w:marRight w:val="0"/>
          <w:marTop w:val="0"/>
          <w:marBottom w:val="0"/>
          <w:divBdr>
            <w:top w:val="none" w:sz="0" w:space="0" w:color="auto"/>
            <w:left w:val="none" w:sz="0" w:space="0" w:color="auto"/>
            <w:bottom w:val="none" w:sz="0" w:space="0" w:color="auto"/>
            <w:right w:val="none" w:sz="0" w:space="0" w:color="auto"/>
          </w:divBdr>
        </w:div>
        <w:div w:id="155466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882_2018.html" TargetMode="External"/><Relationship Id="rId2" Type="http://schemas.openxmlformats.org/officeDocument/2006/relationships/hyperlink" Target="http://svrpubindc.imprenta.gov.co/senado/" TargetMode="External"/><Relationship Id="rId1" Type="http://schemas.openxmlformats.org/officeDocument/2006/relationships/hyperlink" Target="http://www.lexbase.biz/lexbase/normas/leyes/2007/L1150de2007.htm" TargetMode="External"/><Relationship Id="rId5" Type="http://schemas.openxmlformats.org/officeDocument/2006/relationships/hyperlink" Target="http://www.secretariasenado.gov.co/senado/basedoc/ley_1150_2007.html" TargetMode="External"/><Relationship Id="rId4" Type="http://schemas.openxmlformats.org/officeDocument/2006/relationships/hyperlink" Target="http://www.secretariasenado.gov.co/senado/basedoc/ley_1882_2018.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01797917-AF47-4D09-9904-66A7C5129CDC}"/>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14767</Words>
  <Characters>81221</Characters>
  <Application>Microsoft Office Word</Application>
  <DocSecurity>0</DocSecurity>
  <Lines>676</Lines>
  <Paragraphs>191</Paragraphs>
  <ScaleCrop>false</ScaleCrop>
  <Company/>
  <LinksUpToDate>false</LinksUpToDate>
  <CharactersWithSpaces>95797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Carlos Mario Castrillon Endo</cp:lastModifiedBy>
  <cp:revision>10</cp:revision>
  <cp:lastPrinted>2023-01-10T21:18:00Z</cp:lastPrinted>
  <dcterms:created xsi:type="dcterms:W3CDTF">2023-07-24T21:54:00Z</dcterms:created>
  <dcterms:modified xsi:type="dcterms:W3CDTF">2023-08-01T15:30:00Z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