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4953" w14:textId="77777777" w:rsidR="00E23AAB" w:rsidRPr="00361FEA" w:rsidRDefault="00E23AAB" w:rsidP="00E23AAB">
      <w:pPr>
        <w:spacing w:after="0" w:line="240" w:lineRule="auto"/>
        <w:jc w:val="both"/>
        <w:rPr>
          <w:rFonts w:ascii="Arial" w:eastAsia="Calibri" w:hAnsi="Arial" w:cs="Arial"/>
          <w:b/>
          <w:color w:val="000000"/>
          <w:lang w:val="es-MX"/>
        </w:rPr>
      </w:pPr>
      <w:bookmarkStart w:id="0" w:name="_Hlk28946138"/>
      <w:bookmarkStart w:id="1" w:name="_Hlk29548183"/>
      <w:r w:rsidRPr="00361FEA">
        <w:rPr>
          <w:rFonts w:ascii="Arial" w:eastAsia="Calibri" w:hAnsi="Arial" w:cs="Arial"/>
          <w:b/>
          <w:color w:val="000000"/>
          <w:lang w:val="es-MX"/>
        </w:rPr>
        <w:t>INTERVENTORÍA – Características</w:t>
      </w:r>
    </w:p>
    <w:p w14:paraId="78B7E3E5" w14:textId="77777777" w:rsidR="00E23AAB" w:rsidRPr="00361FEA" w:rsidRDefault="00E23AAB" w:rsidP="00E23AAB">
      <w:pPr>
        <w:spacing w:after="0" w:line="240" w:lineRule="auto"/>
        <w:jc w:val="both"/>
        <w:rPr>
          <w:rFonts w:ascii="Arial" w:eastAsia="Calibri" w:hAnsi="Arial" w:cs="Arial"/>
          <w:b/>
          <w:color w:val="000000"/>
          <w:sz w:val="20"/>
          <w:szCs w:val="20"/>
          <w:lang w:val="es-MX"/>
        </w:rPr>
      </w:pPr>
    </w:p>
    <w:p w14:paraId="41AEB3DD" w14:textId="77777777" w:rsidR="00E23AAB" w:rsidRPr="00361FEA" w:rsidRDefault="00E23AAB" w:rsidP="00E23AAB">
      <w:pPr>
        <w:spacing w:after="0" w:line="240" w:lineRule="auto"/>
        <w:jc w:val="both"/>
        <w:rPr>
          <w:rFonts w:ascii="Arial" w:eastAsia="Calibri" w:hAnsi="Arial" w:cs="Arial"/>
          <w:color w:val="000000"/>
          <w:sz w:val="20"/>
          <w:szCs w:val="20"/>
        </w:rPr>
      </w:pPr>
      <w:r w:rsidRPr="00361FEA">
        <w:rPr>
          <w:rFonts w:ascii="Arial" w:eastAsia="Calibri" w:hAnsi="Arial" w:cs="Arial"/>
          <w:color w:val="000000"/>
          <w:sz w:val="20"/>
          <w:szCs w:val="20"/>
        </w:rPr>
        <w:t xml:space="preserve">La interventoría: i) será un mecanismo de vigilancia contingente en la medida que solo es obligatorio para el seguimiento de los contratos de obra adjudicados por licitación pública </w:t>
      </w:r>
      <w:r w:rsidRPr="00E23AAB">
        <w:rPr>
          <w:rFonts w:ascii="Arial" w:eastAsia="Calibri" w:hAnsi="Arial" w:cs="Arial"/>
          <w:color w:val="000000"/>
          <w:sz w:val="20"/>
          <w:szCs w:val="20"/>
        </w:rPr>
        <w:t>‒</w:t>
      </w:r>
      <w:r w:rsidRPr="00361FEA">
        <w:rPr>
          <w:rFonts w:ascii="Arial" w:eastAsia="Calibri" w:hAnsi="Arial" w:cs="Arial"/>
          <w:color w:val="000000"/>
          <w:sz w:val="20"/>
          <w:szCs w:val="20"/>
        </w:rPr>
        <w:t>art. 32, numeral 1</w:t>
      </w:r>
      <w:r w:rsidRPr="00E23AAB">
        <w:rPr>
          <w:rFonts w:ascii="Arial" w:eastAsia="Calibri" w:hAnsi="Arial" w:cs="Arial"/>
          <w:color w:val="000000"/>
          <w:sz w:val="20"/>
          <w:szCs w:val="20"/>
        </w:rPr>
        <w:t>‒</w:t>
      </w:r>
      <w:r w:rsidRPr="00361FEA">
        <w:rPr>
          <w:rFonts w:ascii="Arial" w:eastAsia="Calibri" w:hAnsi="Arial" w:cs="Arial"/>
          <w:color w:val="000000"/>
          <w:sz w:val="20"/>
          <w:szCs w:val="20"/>
        </w:rPr>
        <w:t xml:space="preserve">; en los demás casos se requerirá cuando “el seguimiento del contrato suponga conocimiento especializado en la materia, o cuando la complejidad o la extensión </w:t>
      </w:r>
      <w:proofErr w:type="gramStart"/>
      <w:r w:rsidRPr="00361FEA">
        <w:rPr>
          <w:rFonts w:ascii="Arial" w:eastAsia="Calibri" w:hAnsi="Arial" w:cs="Arial"/>
          <w:color w:val="000000"/>
          <w:sz w:val="20"/>
          <w:szCs w:val="20"/>
        </w:rPr>
        <w:t>del mismo</w:t>
      </w:r>
      <w:proofErr w:type="gramEnd"/>
      <w:r w:rsidRPr="00361FEA">
        <w:rPr>
          <w:rFonts w:ascii="Arial" w:eastAsia="Calibri" w:hAnsi="Arial" w:cs="Arial"/>
          <w:color w:val="000000"/>
          <w:sz w:val="20"/>
          <w:szCs w:val="20"/>
        </w:rPr>
        <w:t xml:space="preserve"> lo justifiquen” </w:t>
      </w:r>
      <w:r w:rsidRPr="00E23AAB">
        <w:rPr>
          <w:rFonts w:ascii="Arial" w:eastAsia="Calibri" w:hAnsi="Arial" w:cs="Arial"/>
          <w:color w:val="000000"/>
          <w:sz w:val="20"/>
          <w:szCs w:val="20"/>
        </w:rPr>
        <w:t>‒</w:t>
      </w:r>
      <w:r w:rsidRPr="00361FEA">
        <w:rPr>
          <w:rFonts w:ascii="Arial" w:eastAsia="Calibri" w:hAnsi="Arial" w:cs="Arial"/>
          <w:color w:val="000000"/>
          <w:sz w:val="20"/>
          <w:szCs w:val="20"/>
        </w:rPr>
        <w:t>art. 83, Ley 1474 de 2011</w:t>
      </w:r>
      <w:r w:rsidRPr="00E23AAB">
        <w:rPr>
          <w:rFonts w:ascii="Arial" w:eastAsia="Calibri" w:hAnsi="Arial" w:cs="Arial"/>
          <w:color w:val="000000"/>
          <w:sz w:val="20"/>
          <w:szCs w:val="20"/>
        </w:rPr>
        <w:t>‒</w:t>
      </w:r>
      <w:r w:rsidRPr="00361FEA">
        <w:rPr>
          <w:rFonts w:ascii="Arial" w:eastAsia="Calibri" w:hAnsi="Arial" w:cs="Arial"/>
          <w:color w:val="000000"/>
          <w:sz w:val="20"/>
          <w:szCs w:val="20"/>
        </w:rPr>
        <w:t xml:space="preserve">. </w:t>
      </w:r>
      <w:proofErr w:type="spellStart"/>
      <w:r w:rsidRPr="00361FEA">
        <w:rPr>
          <w:rFonts w:ascii="Arial" w:eastAsia="Calibri" w:hAnsi="Arial" w:cs="Arial"/>
          <w:color w:val="000000"/>
          <w:sz w:val="20"/>
          <w:szCs w:val="20"/>
        </w:rPr>
        <w:t>ii</w:t>
      </w:r>
      <w:proofErr w:type="spellEnd"/>
      <w:r w:rsidRPr="00361FEA">
        <w:rPr>
          <w:rFonts w:ascii="Arial" w:eastAsia="Calibri" w:hAnsi="Arial" w:cs="Arial"/>
          <w:color w:val="000000"/>
          <w:sz w:val="20"/>
          <w:szCs w:val="20"/>
        </w:rPr>
        <w:t xml:space="preserve">) Este mecanismo de vigilancia exige, en su ejecución, la utilización de conocimientos especializados. </w:t>
      </w:r>
      <w:proofErr w:type="spellStart"/>
      <w:r w:rsidRPr="00361FEA">
        <w:rPr>
          <w:rFonts w:ascii="Arial" w:eastAsia="Calibri" w:hAnsi="Arial" w:cs="Arial"/>
          <w:color w:val="000000"/>
          <w:sz w:val="20"/>
          <w:szCs w:val="20"/>
        </w:rPr>
        <w:t>iii</w:t>
      </w:r>
      <w:proofErr w:type="spellEnd"/>
      <w:r w:rsidRPr="00361FEA">
        <w:rPr>
          <w:rFonts w:ascii="Arial" w:eastAsia="Calibri" w:hAnsi="Arial" w:cs="Arial"/>
          <w:color w:val="000000"/>
          <w:sz w:val="20"/>
          <w:szCs w:val="20"/>
        </w:rPr>
        <w:t xml:space="preserve">) Por lo anterior, la entidad contrata un experto a través de un concurso de méritos, al tratarse la interventoría de una especie del contrato de consultoría </w:t>
      </w:r>
      <w:r w:rsidRPr="00E23AAB">
        <w:rPr>
          <w:rFonts w:ascii="Arial" w:eastAsia="Calibri" w:hAnsi="Arial" w:cs="Arial"/>
          <w:color w:val="000000"/>
          <w:sz w:val="20"/>
          <w:szCs w:val="20"/>
        </w:rPr>
        <w:t>‒</w:t>
      </w:r>
      <w:r w:rsidRPr="00361FEA">
        <w:rPr>
          <w:rFonts w:ascii="Arial" w:eastAsia="Calibri" w:hAnsi="Arial" w:cs="Arial"/>
          <w:color w:val="000000"/>
          <w:sz w:val="20"/>
          <w:szCs w:val="20"/>
        </w:rPr>
        <w:t xml:space="preserve">art. 32, numeral 2, inciso 2, Ley 80 de 1993 </w:t>
      </w:r>
      <w:r w:rsidRPr="00E23AAB">
        <w:rPr>
          <w:rFonts w:ascii="Arial" w:eastAsia="Calibri" w:hAnsi="Arial" w:cs="Arial"/>
          <w:color w:val="000000"/>
          <w:sz w:val="20"/>
          <w:szCs w:val="20"/>
        </w:rPr>
        <w:t>‒</w:t>
      </w:r>
      <w:r w:rsidRPr="00361FEA">
        <w:rPr>
          <w:rFonts w:ascii="Arial" w:eastAsia="Calibri" w:hAnsi="Arial" w:cs="Arial"/>
          <w:color w:val="000000"/>
          <w:sz w:val="20"/>
          <w:szCs w:val="20"/>
        </w:rPr>
        <w:t xml:space="preserve">, de manera que la interventoría es realizada por una “persona natural o jurídica contratada para tal fin por la Entidad Estatal” </w:t>
      </w:r>
      <w:r w:rsidRPr="00E23AAB">
        <w:rPr>
          <w:rFonts w:ascii="Arial" w:eastAsia="Calibri" w:hAnsi="Arial" w:cs="Arial"/>
          <w:color w:val="000000"/>
          <w:sz w:val="20"/>
          <w:szCs w:val="20"/>
        </w:rPr>
        <w:t>‒</w:t>
      </w:r>
      <w:r w:rsidRPr="00361FEA">
        <w:rPr>
          <w:rFonts w:ascii="Arial" w:eastAsia="Calibri" w:hAnsi="Arial" w:cs="Arial"/>
          <w:color w:val="000000"/>
          <w:sz w:val="20"/>
          <w:szCs w:val="20"/>
        </w:rPr>
        <w:t>art. 83, Ley 1474</w:t>
      </w:r>
      <w:r w:rsidRPr="00E23AAB">
        <w:rPr>
          <w:rFonts w:ascii="Arial" w:eastAsia="Calibri" w:hAnsi="Arial" w:cs="Arial"/>
          <w:color w:val="000000"/>
          <w:sz w:val="20"/>
          <w:szCs w:val="20"/>
        </w:rPr>
        <w:t>‒</w:t>
      </w:r>
      <w:r w:rsidRPr="00361FEA">
        <w:rPr>
          <w:rFonts w:ascii="Arial" w:eastAsia="Calibri" w:hAnsi="Arial" w:cs="Arial"/>
          <w:color w:val="000000"/>
          <w:sz w:val="20"/>
          <w:szCs w:val="20"/>
        </w:rPr>
        <w:t xml:space="preserve">. </w:t>
      </w:r>
      <w:proofErr w:type="spellStart"/>
      <w:r w:rsidRPr="00361FEA">
        <w:rPr>
          <w:rFonts w:ascii="Arial" w:eastAsia="Calibri" w:hAnsi="Arial" w:cs="Arial"/>
          <w:color w:val="000000"/>
          <w:sz w:val="20"/>
          <w:szCs w:val="20"/>
        </w:rPr>
        <w:t>iv</w:t>
      </w:r>
      <w:proofErr w:type="spellEnd"/>
      <w:r w:rsidRPr="00361FEA">
        <w:rPr>
          <w:rFonts w:ascii="Arial" w:eastAsia="Calibri" w:hAnsi="Arial" w:cs="Arial"/>
          <w:color w:val="000000"/>
          <w:sz w:val="20"/>
          <w:szCs w:val="20"/>
        </w:rP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w:t>
      </w:r>
      <w:r w:rsidRPr="00E23AAB">
        <w:rPr>
          <w:rFonts w:ascii="Arial" w:eastAsia="Calibri" w:hAnsi="Arial" w:cs="Arial"/>
          <w:color w:val="000000"/>
          <w:sz w:val="20"/>
          <w:szCs w:val="20"/>
        </w:rPr>
        <w:t>‒</w:t>
      </w:r>
      <w:r w:rsidRPr="00361FEA">
        <w:rPr>
          <w:rFonts w:ascii="Arial" w:eastAsia="Calibri" w:hAnsi="Arial" w:cs="Arial"/>
          <w:color w:val="000000"/>
          <w:sz w:val="20"/>
          <w:szCs w:val="20"/>
        </w:rPr>
        <w:t>art. 83, inciso 3</w:t>
      </w:r>
      <w:r w:rsidRPr="00E23AAB">
        <w:rPr>
          <w:rFonts w:ascii="Arial" w:eastAsia="Calibri" w:hAnsi="Arial" w:cs="Arial"/>
          <w:color w:val="000000"/>
          <w:sz w:val="20"/>
          <w:szCs w:val="20"/>
        </w:rPr>
        <w:t>‒</w:t>
      </w:r>
      <w:r w:rsidRPr="00361FEA">
        <w:rPr>
          <w:rFonts w:ascii="Arial" w:eastAsia="Calibri" w:hAnsi="Arial" w:cs="Arial"/>
          <w:color w:val="000000"/>
          <w:sz w:val="20"/>
          <w:szCs w:val="20"/>
        </w:rPr>
        <w:t xml:space="preserve">. Finalmente, vi) el contrato de interventoría será supervisado directamente por la entidad </w:t>
      </w:r>
      <w:r w:rsidRPr="00E23AAB">
        <w:rPr>
          <w:rFonts w:ascii="Arial" w:eastAsia="Calibri" w:hAnsi="Arial" w:cs="Arial"/>
          <w:color w:val="000000"/>
          <w:sz w:val="20"/>
          <w:szCs w:val="20"/>
        </w:rPr>
        <w:t>‒</w:t>
      </w:r>
      <w:r w:rsidRPr="00361FEA">
        <w:rPr>
          <w:rFonts w:ascii="Arial" w:eastAsia="Calibri" w:hAnsi="Arial" w:cs="Arial"/>
          <w:color w:val="000000"/>
          <w:sz w:val="20"/>
          <w:szCs w:val="20"/>
        </w:rPr>
        <w:t>art. 83, inciso 4</w:t>
      </w:r>
      <w:r w:rsidRPr="00E23AAB">
        <w:rPr>
          <w:rFonts w:ascii="Arial" w:eastAsia="Calibri" w:hAnsi="Arial" w:cs="Arial"/>
          <w:color w:val="000000"/>
          <w:sz w:val="20"/>
          <w:szCs w:val="20"/>
        </w:rPr>
        <w:t>‒</w:t>
      </w:r>
      <w:r w:rsidRPr="00361FEA">
        <w:rPr>
          <w:rFonts w:ascii="Arial" w:eastAsia="Calibri" w:hAnsi="Arial" w:cs="Arial"/>
          <w:color w:val="000000"/>
          <w:sz w:val="20"/>
          <w:szCs w:val="20"/>
        </w:rPr>
        <w:t>.</w:t>
      </w:r>
    </w:p>
    <w:p w14:paraId="6636FFDF" w14:textId="77777777" w:rsidR="00E23AAB" w:rsidRPr="00361FEA" w:rsidRDefault="00E23AAB" w:rsidP="00E23AAB">
      <w:pPr>
        <w:spacing w:after="0" w:line="240" w:lineRule="auto"/>
        <w:jc w:val="both"/>
        <w:rPr>
          <w:rFonts w:ascii="Arial" w:eastAsia="Calibri" w:hAnsi="Arial" w:cs="Arial"/>
          <w:color w:val="000000"/>
          <w:sz w:val="20"/>
          <w:szCs w:val="20"/>
        </w:rPr>
      </w:pPr>
    </w:p>
    <w:p w14:paraId="6702FF00" w14:textId="77777777" w:rsidR="00E23AAB" w:rsidRPr="00361FEA" w:rsidRDefault="00E23AAB" w:rsidP="00E23AAB">
      <w:pPr>
        <w:spacing w:after="0" w:line="240" w:lineRule="auto"/>
        <w:jc w:val="both"/>
        <w:rPr>
          <w:rFonts w:ascii="Arial" w:hAnsi="Arial" w:cs="Arial"/>
          <w:b/>
          <w:kern w:val="2"/>
          <w:lang w:val="es-ES_tradnl" w:eastAsia="es-ES"/>
          <w14:ligatures w14:val="standardContextual"/>
        </w:rPr>
      </w:pPr>
      <w:r w:rsidRPr="00361FEA">
        <w:rPr>
          <w:rFonts w:ascii="Arial" w:hAnsi="Arial" w:cs="Arial"/>
          <w:b/>
          <w:kern w:val="2"/>
          <w:lang w:val="es-ES_tradnl" w:eastAsia="es-ES"/>
          <w14:ligatures w14:val="standardContextual"/>
        </w:rPr>
        <w:t xml:space="preserve">LIQUIDACIÓN DEL CONTRATO – Definición – Objetivo </w:t>
      </w:r>
    </w:p>
    <w:p w14:paraId="78FD9FE7" w14:textId="77777777" w:rsidR="00E23AAB" w:rsidRPr="00361FEA" w:rsidRDefault="00E23AAB" w:rsidP="00E23AAB">
      <w:pPr>
        <w:spacing w:after="0" w:line="240" w:lineRule="auto"/>
        <w:jc w:val="both"/>
        <w:rPr>
          <w:rFonts w:ascii="Arial" w:hAnsi="Arial" w:cs="Arial"/>
          <w:b/>
          <w:kern w:val="2"/>
          <w:sz w:val="20"/>
          <w:szCs w:val="20"/>
          <w:lang w:val="es-ES_tradnl" w:eastAsia="es-ES"/>
          <w14:ligatures w14:val="standardContextual"/>
        </w:rPr>
      </w:pPr>
    </w:p>
    <w:p w14:paraId="34EC5941"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r w:rsidRPr="00361FEA">
        <w:rPr>
          <w:rFonts w:ascii="Arial" w:hAnsi="Arial" w:cs="Arial"/>
          <w:kern w:val="2"/>
          <w:sz w:val="20"/>
          <w:szCs w:val="20"/>
          <w:lang w:val="es-ES_tradnl" w:eastAsia="es-ES"/>
          <w14:ligatures w14:val="standardContextual"/>
        </w:rPr>
        <w:t xml:space="preserve">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6A28E1A9"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p>
    <w:p w14:paraId="3D660270" w14:textId="77777777" w:rsidR="00E23AAB" w:rsidRPr="00361FEA" w:rsidRDefault="00E23AAB" w:rsidP="00E23AAB">
      <w:pPr>
        <w:spacing w:after="0" w:line="240" w:lineRule="auto"/>
        <w:jc w:val="both"/>
        <w:rPr>
          <w:rFonts w:ascii="Arial" w:hAnsi="Arial" w:cs="Arial"/>
          <w:b/>
          <w:kern w:val="2"/>
          <w:lang w:val="es-ES_tradnl" w:eastAsia="es-ES"/>
          <w14:ligatures w14:val="standardContextual"/>
        </w:rPr>
      </w:pPr>
      <w:r w:rsidRPr="00361FEA">
        <w:rPr>
          <w:rFonts w:ascii="Arial" w:hAnsi="Arial" w:cs="Arial"/>
          <w:b/>
          <w:kern w:val="2"/>
          <w:lang w:val="es-ES_tradnl" w:eastAsia="es-ES"/>
          <w14:ligatures w14:val="standardContextual"/>
        </w:rPr>
        <w:t xml:space="preserve">LIQUIDACIÓN DEL CONTRATO – Normativa </w:t>
      </w:r>
    </w:p>
    <w:p w14:paraId="0D7847B3"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p>
    <w:p w14:paraId="5A635CAB"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r w:rsidRPr="00361FEA">
        <w:rPr>
          <w:rFonts w:ascii="Arial" w:hAnsi="Arial" w:cs="Arial"/>
          <w:kern w:val="2"/>
          <w:sz w:val="20"/>
          <w:szCs w:val="20"/>
          <w:lang w:val="es-ES_tradnl" w:eastAsia="es-ES"/>
          <w14:ligatures w14:val="standardContextual"/>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30E6E044"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p>
    <w:p w14:paraId="243669DF" w14:textId="77777777" w:rsidR="00E23AAB" w:rsidRPr="00361FEA" w:rsidRDefault="00E23AAB" w:rsidP="00E23AAB">
      <w:pPr>
        <w:spacing w:after="0" w:line="240" w:lineRule="auto"/>
        <w:jc w:val="both"/>
        <w:rPr>
          <w:rFonts w:ascii="Arial" w:hAnsi="Arial" w:cs="Arial"/>
          <w:b/>
          <w:kern w:val="2"/>
          <w:lang w:val="es-ES_tradnl" w:eastAsia="es-ES"/>
          <w14:ligatures w14:val="standardContextual"/>
        </w:rPr>
      </w:pPr>
      <w:r w:rsidRPr="00361FEA">
        <w:rPr>
          <w:rFonts w:ascii="Arial" w:hAnsi="Arial" w:cs="Arial"/>
          <w:b/>
          <w:kern w:val="2"/>
          <w:lang w:val="es-ES_tradnl" w:eastAsia="es-ES"/>
          <w14:ligatures w14:val="standardContextual"/>
        </w:rPr>
        <w:t xml:space="preserve">LIQUIDACIÓN DEL CONTRATO – Oportunidad </w:t>
      </w:r>
    </w:p>
    <w:p w14:paraId="56884955"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p>
    <w:p w14:paraId="457219FF"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r w:rsidRPr="00361FEA">
        <w:rPr>
          <w:rFonts w:ascii="Arial" w:hAnsi="Arial" w:cs="Arial"/>
          <w:kern w:val="2"/>
          <w:sz w:val="20"/>
          <w:szCs w:val="20"/>
          <w:lang w:val="es-ES_tradnl" w:eastAsia="es-ES"/>
          <w14:ligatures w14:val="standardContextual"/>
        </w:rPr>
        <w:t>[…]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361FEA">
        <w:rPr>
          <w:rFonts w:ascii="Arial" w:hAnsi="Arial" w:cs="Arial"/>
          <w:kern w:val="2"/>
          <w:sz w:val="20"/>
          <w:szCs w:val="20"/>
          <w:lang w:val="es-ES_tradnl" w:eastAsia="es-ES"/>
          <w14:ligatures w14:val="standardContextual"/>
        </w:rPr>
        <w:t>ii</w:t>
      </w:r>
      <w:proofErr w:type="spellEnd"/>
      <w:r w:rsidRPr="00361FEA">
        <w:rPr>
          <w:rFonts w:ascii="Arial" w:hAnsi="Arial" w:cs="Arial"/>
          <w:kern w:val="2"/>
          <w:sz w:val="20"/>
          <w:szCs w:val="20"/>
          <w:lang w:val="es-ES_tradnl" w:eastAsia="es-ES"/>
          <w14:ligatures w14:val="standardContextual"/>
        </w:rPr>
        <w:t>) la expedición del acto administrativo que ordene la terminación del contrato o (</w:t>
      </w:r>
      <w:proofErr w:type="spellStart"/>
      <w:r w:rsidRPr="00361FEA">
        <w:rPr>
          <w:rFonts w:ascii="Arial" w:hAnsi="Arial" w:cs="Arial"/>
          <w:kern w:val="2"/>
          <w:sz w:val="20"/>
          <w:szCs w:val="20"/>
          <w:lang w:val="es-ES_tradnl" w:eastAsia="es-ES"/>
          <w14:ligatures w14:val="standardContextual"/>
        </w:rPr>
        <w:t>iii</w:t>
      </w:r>
      <w:proofErr w:type="spellEnd"/>
      <w:r w:rsidRPr="00361FEA">
        <w:rPr>
          <w:rFonts w:ascii="Arial" w:hAnsi="Arial" w:cs="Arial"/>
          <w:kern w:val="2"/>
          <w:sz w:val="20"/>
          <w:szCs w:val="20"/>
          <w:lang w:val="es-ES_tradnl" w:eastAsia="es-ES"/>
          <w14:ligatures w14:val="standardContextual"/>
        </w:rPr>
        <w:t>) la fecha del acuerdo que disponga la terminación del contrato. […]</w:t>
      </w:r>
    </w:p>
    <w:p w14:paraId="455C167D"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p>
    <w:p w14:paraId="78D7A4DB" w14:textId="77777777" w:rsidR="00E23AAB" w:rsidRPr="00361FEA" w:rsidRDefault="00E23AAB" w:rsidP="00E23AAB">
      <w:pPr>
        <w:spacing w:after="0" w:line="240" w:lineRule="auto"/>
        <w:jc w:val="both"/>
        <w:rPr>
          <w:rFonts w:ascii="Arial" w:hAnsi="Arial" w:cs="Arial"/>
          <w:kern w:val="2"/>
          <w:sz w:val="20"/>
          <w:szCs w:val="20"/>
          <w:lang w:val="es-ES_tradnl" w:eastAsia="es-ES"/>
          <w14:ligatures w14:val="standardContextual"/>
        </w:rPr>
      </w:pPr>
      <w:r w:rsidRPr="00361FEA">
        <w:rPr>
          <w:rFonts w:ascii="Arial" w:hAnsi="Arial" w:cs="Arial"/>
          <w:kern w:val="2"/>
          <w:sz w:val="20"/>
          <w:szCs w:val="20"/>
          <w:lang w:val="es-ES_tradnl" w:eastAsia="es-ES"/>
          <w14:ligatures w14:val="standardContextual"/>
        </w:rPr>
        <w:t xml:space="preserve">Durante este término, el contratista puede solicitar que se adelante el trámite de liquidación. Sin embargo, es responsabilidad de la Entidad Estatal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w:t>
      </w:r>
      <w:r w:rsidRPr="00361FEA">
        <w:rPr>
          <w:rFonts w:ascii="Arial" w:hAnsi="Arial" w:cs="Arial"/>
          <w:kern w:val="2"/>
          <w:sz w:val="20"/>
          <w:szCs w:val="20"/>
          <w:lang w:val="es-ES_tradnl" w:eastAsia="es-ES"/>
          <w14:ligatures w14:val="standardContextual"/>
        </w:rPr>
        <w:lastRenderedPageBreak/>
        <w:t>puede ser total o parcial, y el documento que la contiene presta mérito ejecutivo, siempre que se satisfagan los elementos para considerarlo como tal.</w:t>
      </w:r>
    </w:p>
    <w:p w14:paraId="03DC5189" w14:textId="77777777" w:rsidR="00E23AAB" w:rsidRPr="00E23AAB" w:rsidRDefault="00E23AAB" w:rsidP="00E23AAB">
      <w:pPr>
        <w:spacing w:after="0" w:line="240" w:lineRule="auto"/>
        <w:jc w:val="both"/>
        <w:rPr>
          <w:rFonts w:ascii="Arial" w:hAnsi="Arial" w:cs="Arial"/>
          <w:kern w:val="2"/>
          <w:sz w:val="20"/>
          <w:szCs w:val="20"/>
          <w:lang w:val="es-ES_tradnl" w:eastAsia="es-ES"/>
          <w14:ligatures w14:val="standardContextual"/>
        </w:rPr>
      </w:pPr>
    </w:p>
    <w:p w14:paraId="36309E81" w14:textId="77777777" w:rsidR="00E23AAB" w:rsidRPr="00361FEA" w:rsidRDefault="00E23AAB" w:rsidP="00E23AAB">
      <w:pPr>
        <w:spacing w:after="0" w:line="240" w:lineRule="auto"/>
        <w:jc w:val="both"/>
        <w:rPr>
          <w:rFonts w:ascii="Arial" w:eastAsia="Calibri" w:hAnsi="Arial" w:cs="Arial"/>
          <w:color w:val="000000"/>
          <w:sz w:val="20"/>
          <w:szCs w:val="20"/>
        </w:rPr>
      </w:pPr>
    </w:p>
    <w:p w14:paraId="023D9B60" w14:textId="77777777" w:rsidR="00E23AAB" w:rsidRPr="00361FEA" w:rsidRDefault="00E23AAB" w:rsidP="00E23AAB">
      <w:pPr>
        <w:spacing w:after="0" w:line="240" w:lineRule="auto"/>
        <w:jc w:val="both"/>
        <w:rPr>
          <w:rFonts w:ascii="Arial" w:eastAsia="Calibri" w:hAnsi="Arial" w:cs="Arial"/>
          <w:color w:val="000000"/>
          <w:sz w:val="20"/>
          <w:szCs w:val="20"/>
        </w:rPr>
      </w:pPr>
    </w:p>
    <w:p w14:paraId="107E638E" w14:textId="77777777" w:rsidR="00E23AAB" w:rsidRPr="00361FEA" w:rsidRDefault="00E23AAB" w:rsidP="00E23AAB">
      <w:pPr>
        <w:spacing w:after="0" w:line="240" w:lineRule="auto"/>
        <w:jc w:val="both"/>
        <w:rPr>
          <w:rFonts w:ascii="Arial" w:eastAsia="Calibri" w:hAnsi="Arial" w:cs="Arial"/>
          <w:color w:val="000000"/>
          <w:sz w:val="20"/>
          <w:szCs w:val="20"/>
        </w:rPr>
      </w:pPr>
    </w:p>
    <w:p w14:paraId="5BBE0279" w14:textId="77777777" w:rsidR="00E23AAB" w:rsidRPr="00361FEA" w:rsidRDefault="00E23AAB" w:rsidP="00E23AAB">
      <w:pPr>
        <w:spacing w:after="0" w:line="240" w:lineRule="auto"/>
        <w:jc w:val="both"/>
        <w:rPr>
          <w:rFonts w:ascii="Arial" w:eastAsia="Calibri" w:hAnsi="Arial" w:cs="Arial"/>
          <w:color w:val="000000"/>
          <w:sz w:val="20"/>
          <w:szCs w:val="20"/>
        </w:rPr>
      </w:pPr>
    </w:p>
    <w:p w14:paraId="2371BC2B" w14:textId="77777777" w:rsidR="00E23AAB" w:rsidRPr="00361FEA" w:rsidRDefault="00E23AAB" w:rsidP="00E23AAB">
      <w:pPr>
        <w:spacing w:after="0" w:line="240" w:lineRule="auto"/>
        <w:jc w:val="both"/>
        <w:rPr>
          <w:rFonts w:ascii="Arial" w:eastAsia="Calibri" w:hAnsi="Arial" w:cs="Arial"/>
          <w:color w:val="000000"/>
          <w:sz w:val="20"/>
          <w:szCs w:val="20"/>
        </w:rPr>
      </w:pPr>
    </w:p>
    <w:p w14:paraId="5D4C79C9" w14:textId="77777777" w:rsidR="00E23AAB" w:rsidRPr="00361FEA" w:rsidRDefault="00E23AAB" w:rsidP="00E23AAB">
      <w:pPr>
        <w:spacing w:after="0" w:line="240" w:lineRule="auto"/>
        <w:jc w:val="both"/>
        <w:rPr>
          <w:rFonts w:ascii="Arial" w:eastAsia="Calibri" w:hAnsi="Arial" w:cs="Arial"/>
          <w:color w:val="000000"/>
          <w:sz w:val="20"/>
          <w:szCs w:val="20"/>
        </w:rPr>
      </w:pPr>
    </w:p>
    <w:p w14:paraId="59E90EC0" w14:textId="77777777" w:rsidR="00E23AAB" w:rsidRPr="00361FEA" w:rsidRDefault="00E23AAB" w:rsidP="00E23AAB">
      <w:pPr>
        <w:spacing w:after="0" w:line="240" w:lineRule="auto"/>
        <w:jc w:val="both"/>
        <w:rPr>
          <w:rFonts w:ascii="Arial" w:eastAsia="Calibri" w:hAnsi="Arial" w:cs="Arial"/>
          <w:color w:val="000000"/>
          <w:sz w:val="20"/>
          <w:szCs w:val="20"/>
        </w:rPr>
      </w:pPr>
    </w:p>
    <w:p w14:paraId="5CE7C9D1" w14:textId="77777777" w:rsidR="00E23AAB" w:rsidRPr="00361FEA" w:rsidRDefault="00E23AAB" w:rsidP="00E23AAB">
      <w:pPr>
        <w:spacing w:after="0" w:line="240" w:lineRule="auto"/>
        <w:jc w:val="both"/>
        <w:rPr>
          <w:rFonts w:ascii="Arial" w:eastAsia="Calibri" w:hAnsi="Arial" w:cs="Arial"/>
          <w:color w:val="000000"/>
          <w:sz w:val="20"/>
          <w:szCs w:val="20"/>
        </w:rPr>
      </w:pPr>
    </w:p>
    <w:p w14:paraId="4336509C" w14:textId="77777777" w:rsidR="00E23AAB" w:rsidRPr="00361FEA" w:rsidRDefault="00E23AAB" w:rsidP="00E23AAB">
      <w:pPr>
        <w:spacing w:after="0" w:line="240" w:lineRule="auto"/>
        <w:jc w:val="both"/>
        <w:rPr>
          <w:rFonts w:ascii="Arial" w:eastAsia="Calibri" w:hAnsi="Arial" w:cs="Arial"/>
          <w:color w:val="000000"/>
          <w:sz w:val="20"/>
          <w:szCs w:val="20"/>
        </w:rPr>
      </w:pPr>
    </w:p>
    <w:p w14:paraId="15BF49EA" w14:textId="77777777" w:rsidR="00E23AAB" w:rsidRPr="00361FEA" w:rsidRDefault="00E23AAB" w:rsidP="00E23AAB">
      <w:pPr>
        <w:spacing w:after="0" w:line="240" w:lineRule="auto"/>
        <w:jc w:val="both"/>
        <w:rPr>
          <w:rFonts w:ascii="Arial" w:eastAsia="Calibri" w:hAnsi="Arial" w:cs="Arial"/>
          <w:color w:val="000000"/>
          <w:sz w:val="20"/>
          <w:szCs w:val="20"/>
        </w:rPr>
      </w:pPr>
    </w:p>
    <w:p w14:paraId="6683564B" w14:textId="77777777" w:rsidR="00E23AAB" w:rsidRPr="00361FEA" w:rsidRDefault="00E23AAB" w:rsidP="00E23AAB">
      <w:pPr>
        <w:spacing w:after="0" w:line="240" w:lineRule="auto"/>
        <w:jc w:val="both"/>
        <w:rPr>
          <w:rFonts w:ascii="Arial" w:eastAsia="Calibri" w:hAnsi="Arial" w:cs="Arial"/>
          <w:color w:val="000000"/>
          <w:sz w:val="20"/>
          <w:szCs w:val="20"/>
        </w:rPr>
      </w:pPr>
    </w:p>
    <w:p w14:paraId="5792759A" w14:textId="77777777" w:rsidR="00E23AAB" w:rsidRPr="00361FEA" w:rsidRDefault="00E23AAB" w:rsidP="00E23AAB">
      <w:pPr>
        <w:spacing w:after="0" w:line="240" w:lineRule="auto"/>
        <w:jc w:val="both"/>
        <w:rPr>
          <w:rFonts w:ascii="Arial" w:eastAsia="Calibri" w:hAnsi="Arial" w:cs="Arial"/>
          <w:color w:val="000000"/>
          <w:sz w:val="20"/>
          <w:szCs w:val="20"/>
        </w:rPr>
      </w:pPr>
    </w:p>
    <w:p w14:paraId="28B6868A" w14:textId="77777777" w:rsidR="00E23AAB" w:rsidRPr="00361FEA" w:rsidRDefault="00E23AAB" w:rsidP="00E23AAB">
      <w:pPr>
        <w:spacing w:after="0" w:line="240" w:lineRule="auto"/>
        <w:jc w:val="both"/>
        <w:rPr>
          <w:rFonts w:ascii="Arial" w:eastAsia="Calibri" w:hAnsi="Arial" w:cs="Arial"/>
          <w:color w:val="000000"/>
          <w:sz w:val="20"/>
          <w:szCs w:val="20"/>
        </w:rPr>
      </w:pPr>
    </w:p>
    <w:p w14:paraId="7D541DB1" w14:textId="77777777" w:rsidR="00E23AAB" w:rsidRPr="00361FEA" w:rsidRDefault="00E23AAB" w:rsidP="00E23AAB">
      <w:pPr>
        <w:spacing w:after="0" w:line="240" w:lineRule="auto"/>
        <w:jc w:val="both"/>
        <w:rPr>
          <w:rFonts w:ascii="Arial" w:eastAsia="Calibri" w:hAnsi="Arial" w:cs="Arial"/>
          <w:color w:val="000000"/>
          <w:sz w:val="20"/>
          <w:szCs w:val="20"/>
        </w:rPr>
      </w:pPr>
    </w:p>
    <w:p w14:paraId="1F040D08" w14:textId="77777777" w:rsidR="00E23AAB" w:rsidRPr="00361FEA" w:rsidRDefault="00E23AAB" w:rsidP="00E23AAB">
      <w:pPr>
        <w:spacing w:after="0" w:line="240" w:lineRule="auto"/>
        <w:jc w:val="both"/>
        <w:rPr>
          <w:rFonts w:ascii="Arial" w:eastAsia="Calibri" w:hAnsi="Arial" w:cs="Arial"/>
          <w:color w:val="000000"/>
          <w:sz w:val="20"/>
          <w:szCs w:val="20"/>
        </w:rPr>
      </w:pPr>
    </w:p>
    <w:p w14:paraId="7974BDF3" w14:textId="77777777" w:rsidR="00E23AAB" w:rsidRPr="00361FEA" w:rsidRDefault="00E23AAB" w:rsidP="00E23AAB">
      <w:pPr>
        <w:spacing w:after="0" w:line="240" w:lineRule="auto"/>
        <w:jc w:val="both"/>
        <w:rPr>
          <w:rFonts w:ascii="Arial" w:eastAsia="Calibri" w:hAnsi="Arial" w:cs="Arial"/>
          <w:color w:val="000000"/>
          <w:sz w:val="20"/>
          <w:szCs w:val="20"/>
        </w:rPr>
      </w:pPr>
    </w:p>
    <w:p w14:paraId="0EA80F83" w14:textId="77777777" w:rsidR="00E23AAB" w:rsidRPr="00361FEA" w:rsidRDefault="00E23AAB" w:rsidP="00E23AAB">
      <w:pPr>
        <w:spacing w:after="0" w:line="240" w:lineRule="auto"/>
        <w:jc w:val="both"/>
        <w:rPr>
          <w:rFonts w:ascii="Arial" w:eastAsia="Calibri" w:hAnsi="Arial" w:cs="Arial"/>
          <w:color w:val="000000"/>
          <w:sz w:val="20"/>
          <w:szCs w:val="20"/>
        </w:rPr>
      </w:pPr>
    </w:p>
    <w:p w14:paraId="6067CE5C" w14:textId="77777777" w:rsidR="00E23AAB" w:rsidRPr="00361FEA" w:rsidRDefault="00E23AAB" w:rsidP="00E23AAB">
      <w:pPr>
        <w:spacing w:after="0" w:line="240" w:lineRule="auto"/>
        <w:jc w:val="both"/>
        <w:rPr>
          <w:rFonts w:ascii="Arial" w:eastAsia="Calibri" w:hAnsi="Arial" w:cs="Arial"/>
          <w:color w:val="000000"/>
          <w:sz w:val="20"/>
          <w:szCs w:val="20"/>
        </w:rPr>
      </w:pPr>
    </w:p>
    <w:p w14:paraId="09647AFD" w14:textId="77777777" w:rsidR="00E23AAB" w:rsidRPr="00361FEA" w:rsidRDefault="00E23AAB" w:rsidP="00E23AAB">
      <w:pPr>
        <w:spacing w:after="0" w:line="240" w:lineRule="auto"/>
        <w:jc w:val="both"/>
        <w:rPr>
          <w:rFonts w:ascii="Arial" w:eastAsia="Calibri" w:hAnsi="Arial" w:cs="Arial"/>
          <w:color w:val="000000"/>
          <w:sz w:val="20"/>
          <w:szCs w:val="20"/>
        </w:rPr>
      </w:pPr>
    </w:p>
    <w:p w14:paraId="6ECEEE09" w14:textId="77777777" w:rsidR="00E23AAB" w:rsidRPr="00361FEA" w:rsidRDefault="00E23AAB" w:rsidP="00E23AAB">
      <w:pPr>
        <w:spacing w:after="0" w:line="240" w:lineRule="auto"/>
        <w:jc w:val="both"/>
        <w:rPr>
          <w:rFonts w:ascii="Arial" w:eastAsia="Calibri" w:hAnsi="Arial" w:cs="Arial"/>
          <w:color w:val="000000"/>
          <w:sz w:val="20"/>
          <w:szCs w:val="20"/>
        </w:rPr>
      </w:pPr>
    </w:p>
    <w:p w14:paraId="138EBCF8" w14:textId="77777777" w:rsidR="00E23AAB" w:rsidRPr="00361FEA" w:rsidRDefault="00E23AAB" w:rsidP="00E23AAB">
      <w:pPr>
        <w:spacing w:after="0" w:line="240" w:lineRule="auto"/>
        <w:jc w:val="both"/>
        <w:rPr>
          <w:rFonts w:ascii="Arial" w:eastAsia="Calibri" w:hAnsi="Arial" w:cs="Arial"/>
          <w:color w:val="000000"/>
          <w:sz w:val="20"/>
          <w:szCs w:val="20"/>
        </w:rPr>
      </w:pPr>
    </w:p>
    <w:p w14:paraId="65F42692" w14:textId="77777777" w:rsidR="00E23AAB" w:rsidRPr="00361FEA" w:rsidRDefault="00E23AAB" w:rsidP="00E23AAB">
      <w:pPr>
        <w:spacing w:after="0" w:line="240" w:lineRule="auto"/>
        <w:jc w:val="both"/>
        <w:rPr>
          <w:rFonts w:ascii="Arial" w:eastAsia="Calibri" w:hAnsi="Arial" w:cs="Arial"/>
          <w:color w:val="000000"/>
          <w:sz w:val="20"/>
          <w:szCs w:val="20"/>
        </w:rPr>
      </w:pPr>
    </w:p>
    <w:p w14:paraId="62789CE2" w14:textId="77777777" w:rsidR="00E23AAB" w:rsidRPr="00361FEA" w:rsidRDefault="00E23AAB" w:rsidP="00E23AAB">
      <w:pPr>
        <w:spacing w:after="0" w:line="240" w:lineRule="auto"/>
        <w:jc w:val="both"/>
        <w:rPr>
          <w:rFonts w:ascii="Arial" w:eastAsia="Calibri" w:hAnsi="Arial" w:cs="Arial"/>
          <w:color w:val="000000"/>
          <w:sz w:val="20"/>
          <w:szCs w:val="20"/>
        </w:rPr>
      </w:pPr>
    </w:p>
    <w:p w14:paraId="48276EE1" w14:textId="77777777" w:rsidR="00E23AAB" w:rsidRPr="00361FEA" w:rsidRDefault="00E23AAB" w:rsidP="00E23AAB">
      <w:pPr>
        <w:spacing w:after="0" w:line="240" w:lineRule="auto"/>
        <w:jc w:val="both"/>
        <w:rPr>
          <w:rFonts w:ascii="Arial" w:eastAsia="Calibri" w:hAnsi="Arial" w:cs="Arial"/>
          <w:color w:val="000000"/>
          <w:sz w:val="20"/>
          <w:szCs w:val="20"/>
        </w:rPr>
      </w:pPr>
    </w:p>
    <w:p w14:paraId="2BD59358" w14:textId="77777777" w:rsidR="00E23AAB" w:rsidRPr="00361FEA" w:rsidRDefault="00E23AAB" w:rsidP="00E23AAB">
      <w:pPr>
        <w:spacing w:after="0" w:line="240" w:lineRule="auto"/>
        <w:jc w:val="both"/>
        <w:rPr>
          <w:rFonts w:ascii="Arial" w:eastAsia="Calibri" w:hAnsi="Arial" w:cs="Arial"/>
          <w:color w:val="000000"/>
          <w:sz w:val="20"/>
          <w:szCs w:val="20"/>
        </w:rPr>
      </w:pPr>
    </w:p>
    <w:p w14:paraId="3B825622" w14:textId="77777777" w:rsidR="00E23AAB" w:rsidRPr="00361FEA" w:rsidRDefault="00E23AAB" w:rsidP="00E23AAB">
      <w:pPr>
        <w:spacing w:after="0" w:line="240" w:lineRule="auto"/>
        <w:jc w:val="both"/>
        <w:rPr>
          <w:rFonts w:ascii="Arial" w:eastAsia="Calibri" w:hAnsi="Arial" w:cs="Arial"/>
          <w:color w:val="000000"/>
          <w:sz w:val="20"/>
          <w:szCs w:val="20"/>
        </w:rPr>
      </w:pPr>
    </w:p>
    <w:p w14:paraId="122F34EA" w14:textId="77777777" w:rsidR="00E23AAB" w:rsidRPr="00361FEA" w:rsidRDefault="00E23AAB" w:rsidP="00E23AAB">
      <w:pPr>
        <w:spacing w:after="0" w:line="240" w:lineRule="auto"/>
        <w:jc w:val="both"/>
        <w:rPr>
          <w:rFonts w:ascii="Arial" w:eastAsia="Calibri" w:hAnsi="Arial" w:cs="Arial"/>
          <w:color w:val="000000"/>
          <w:sz w:val="20"/>
          <w:szCs w:val="20"/>
        </w:rPr>
      </w:pPr>
    </w:p>
    <w:p w14:paraId="380DB153" w14:textId="77777777" w:rsidR="00E23AAB" w:rsidRPr="00361FEA" w:rsidRDefault="00E23AAB" w:rsidP="00E23AAB">
      <w:pPr>
        <w:spacing w:after="0" w:line="240" w:lineRule="auto"/>
        <w:jc w:val="both"/>
        <w:rPr>
          <w:rFonts w:ascii="Arial" w:eastAsia="Calibri" w:hAnsi="Arial" w:cs="Arial"/>
          <w:color w:val="000000"/>
          <w:sz w:val="20"/>
          <w:szCs w:val="20"/>
        </w:rPr>
      </w:pPr>
    </w:p>
    <w:p w14:paraId="00589F76" w14:textId="77777777" w:rsidR="00E23AAB" w:rsidRPr="00361FEA" w:rsidRDefault="00E23AAB" w:rsidP="00E23AAB">
      <w:pPr>
        <w:spacing w:after="0" w:line="240" w:lineRule="auto"/>
        <w:jc w:val="both"/>
        <w:rPr>
          <w:rFonts w:ascii="Arial" w:eastAsia="Calibri" w:hAnsi="Arial" w:cs="Arial"/>
          <w:color w:val="000000"/>
          <w:sz w:val="20"/>
          <w:szCs w:val="20"/>
        </w:rPr>
      </w:pPr>
    </w:p>
    <w:p w14:paraId="62EA3154" w14:textId="77777777" w:rsidR="00E23AAB" w:rsidRPr="00361FEA" w:rsidRDefault="00E23AAB" w:rsidP="00E23AAB">
      <w:pPr>
        <w:spacing w:after="0" w:line="240" w:lineRule="auto"/>
        <w:jc w:val="both"/>
        <w:rPr>
          <w:rFonts w:ascii="Arial" w:eastAsia="Calibri" w:hAnsi="Arial" w:cs="Arial"/>
          <w:color w:val="000000"/>
          <w:sz w:val="20"/>
          <w:szCs w:val="20"/>
        </w:rPr>
      </w:pPr>
    </w:p>
    <w:p w14:paraId="4D735DF3" w14:textId="77777777" w:rsidR="00E23AAB" w:rsidRPr="00361FEA" w:rsidRDefault="00E23AAB" w:rsidP="00E23AAB">
      <w:pPr>
        <w:spacing w:after="0" w:line="240" w:lineRule="auto"/>
        <w:jc w:val="both"/>
        <w:rPr>
          <w:rFonts w:ascii="Arial" w:eastAsia="Calibri" w:hAnsi="Arial" w:cs="Arial"/>
          <w:color w:val="000000"/>
          <w:sz w:val="20"/>
          <w:szCs w:val="20"/>
        </w:rPr>
      </w:pPr>
    </w:p>
    <w:p w14:paraId="5DE813DC" w14:textId="77777777" w:rsidR="00E23AAB" w:rsidRPr="00361FEA" w:rsidRDefault="00E23AAB" w:rsidP="00E23AAB">
      <w:pPr>
        <w:spacing w:after="0" w:line="240" w:lineRule="auto"/>
        <w:jc w:val="both"/>
        <w:rPr>
          <w:rFonts w:ascii="Arial" w:eastAsia="Calibri" w:hAnsi="Arial" w:cs="Arial"/>
          <w:color w:val="000000"/>
          <w:sz w:val="20"/>
          <w:szCs w:val="20"/>
        </w:rPr>
      </w:pPr>
    </w:p>
    <w:p w14:paraId="2B4EBDEF" w14:textId="77777777" w:rsidR="00E23AAB" w:rsidRPr="00361FEA" w:rsidRDefault="00E23AAB" w:rsidP="00E23AAB">
      <w:pPr>
        <w:spacing w:after="0" w:line="240" w:lineRule="auto"/>
        <w:jc w:val="both"/>
        <w:rPr>
          <w:rFonts w:ascii="Arial" w:eastAsia="Calibri" w:hAnsi="Arial" w:cs="Arial"/>
          <w:color w:val="000000"/>
          <w:sz w:val="20"/>
          <w:szCs w:val="20"/>
        </w:rPr>
      </w:pPr>
    </w:p>
    <w:p w14:paraId="06D93998" w14:textId="77777777" w:rsidR="00E23AAB" w:rsidRPr="00361FEA" w:rsidRDefault="00E23AAB" w:rsidP="00E23AAB">
      <w:pPr>
        <w:spacing w:after="0" w:line="240" w:lineRule="auto"/>
        <w:jc w:val="both"/>
        <w:rPr>
          <w:rFonts w:ascii="Arial" w:eastAsia="Calibri" w:hAnsi="Arial" w:cs="Arial"/>
          <w:color w:val="000000"/>
          <w:sz w:val="20"/>
          <w:szCs w:val="20"/>
        </w:rPr>
      </w:pPr>
    </w:p>
    <w:p w14:paraId="56831F6F" w14:textId="11F24B8F" w:rsidR="00E23AAB" w:rsidRDefault="00E23AAB" w:rsidP="00E23AAB">
      <w:pPr>
        <w:spacing w:after="0" w:line="240" w:lineRule="auto"/>
        <w:jc w:val="both"/>
        <w:rPr>
          <w:rFonts w:ascii="Arial" w:eastAsia="Calibri" w:hAnsi="Arial" w:cs="Arial"/>
          <w:color w:val="000000"/>
          <w:sz w:val="20"/>
          <w:szCs w:val="20"/>
        </w:rPr>
      </w:pPr>
    </w:p>
    <w:p w14:paraId="17496EE4" w14:textId="3050BD04" w:rsidR="00361FEA" w:rsidRDefault="00361FEA" w:rsidP="00E23AAB">
      <w:pPr>
        <w:spacing w:after="0" w:line="240" w:lineRule="auto"/>
        <w:jc w:val="both"/>
        <w:rPr>
          <w:rFonts w:ascii="Arial" w:eastAsia="Calibri" w:hAnsi="Arial" w:cs="Arial"/>
          <w:color w:val="000000"/>
          <w:sz w:val="20"/>
          <w:szCs w:val="20"/>
        </w:rPr>
      </w:pPr>
    </w:p>
    <w:p w14:paraId="247000A6" w14:textId="77D59846" w:rsidR="00361FEA" w:rsidRDefault="00361FEA" w:rsidP="00E23AAB">
      <w:pPr>
        <w:spacing w:after="0" w:line="240" w:lineRule="auto"/>
        <w:jc w:val="both"/>
        <w:rPr>
          <w:rFonts w:ascii="Arial" w:eastAsia="Calibri" w:hAnsi="Arial" w:cs="Arial"/>
          <w:color w:val="000000"/>
          <w:sz w:val="20"/>
          <w:szCs w:val="20"/>
        </w:rPr>
      </w:pPr>
    </w:p>
    <w:p w14:paraId="583FA991" w14:textId="1D590E7F" w:rsidR="00361FEA" w:rsidRDefault="00361FEA" w:rsidP="00E23AAB">
      <w:pPr>
        <w:spacing w:after="0" w:line="240" w:lineRule="auto"/>
        <w:jc w:val="both"/>
        <w:rPr>
          <w:rFonts w:ascii="Arial" w:eastAsia="Calibri" w:hAnsi="Arial" w:cs="Arial"/>
          <w:color w:val="000000"/>
          <w:sz w:val="20"/>
          <w:szCs w:val="20"/>
        </w:rPr>
      </w:pPr>
    </w:p>
    <w:p w14:paraId="7C8DEA69" w14:textId="6B66BAE6" w:rsidR="00361FEA" w:rsidRDefault="00361FEA" w:rsidP="00E23AAB">
      <w:pPr>
        <w:spacing w:after="0" w:line="240" w:lineRule="auto"/>
        <w:jc w:val="both"/>
        <w:rPr>
          <w:rFonts w:ascii="Arial" w:eastAsia="Calibri" w:hAnsi="Arial" w:cs="Arial"/>
          <w:color w:val="000000"/>
          <w:sz w:val="20"/>
          <w:szCs w:val="20"/>
        </w:rPr>
      </w:pPr>
    </w:p>
    <w:p w14:paraId="5F1CF407" w14:textId="74CA8EBA" w:rsidR="00361FEA" w:rsidRDefault="00361FEA" w:rsidP="00E23AAB">
      <w:pPr>
        <w:spacing w:after="0" w:line="240" w:lineRule="auto"/>
        <w:jc w:val="both"/>
        <w:rPr>
          <w:rFonts w:ascii="Arial" w:eastAsia="Calibri" w:hAnsi="Arial" w:cs="Arial"/>
          <w:color w:val="000000"/>
          <w:sz w:val="20"/>
          <w:szCs w:val="20"/>
        </w:rPr>
      </w:pPr>
    </w:p>
    <w:p w14:paraId="564A2683" w14:textId="3BD306C1" w:rsidR="3E08FB86" w:rsidRDefault="3E08FB86">
      <w:r>
        <w:br w:type="page"/>
      </w:r>
    </w:p>
    <w:p w14:paraId="3329A75C" w14:textId="51510837" w:rsidR="00E23AAB" w:rsidRPr="00262273" w:rsidRDefault="00262273" w:rsidP="00E23AAB">
      <w:pPr>
        <w:spacing w:after="0" w:line="240" w:lineRule="auto"/>
        <w:jc w:val="both"/>
        <w:rPr>
          <w:rFonts w:ascii="Arial" w:eastAsia="Calibri" w:hAnsi="Arial" w:cs="Arial"/>
          <w:color w:val="000000"/>
        </w:rPr>
      </w:pPr>
      <w:r w:rsidRPr="00262273">
        <w:rPr>
          <w:rFonts w:ascii="Arial" w:hAnsi="Arial" w:cs="Arial"/>
        </w:rPr>
        <w:lastRenderedPageBreak/>
        <w:t>Bogotá D.C., 25 Julio 2023</w:t>
      </w:r>
    </w:p>
    <w:p w14:paraId="45546ABD" w14:textId="6F14962B" w:rsidR="00E23AAB" w:rsidRPr="00361FEA" w:rsidRDefault="00560145" w:rsidP="00560145">
      <w:pPr>
        <w:spacing w:after="0"/>
        <w:jc w:val="right"/>
        <w:rPr>
          <w:rFonts w:ascii="Arial" w:hAnsi="Arial" w:cs="Arial"/>
        </w:rPr>
      </w:pPr>
      <w:r>
        <w:rPr>
          <w:noProof/>
        </w:rPr>
        <w:drawing>
          <wp:inline distT="0" distB="0" distL="0" distR="0" wp14:anchorId="03D1EC4E" wp14:editId="69987379">
            <wp:extent cx="2688720" cy="793630"/>
            <wp:effectExtent l="0" t="0" r="0" b="6985"/>
            <wp:docPr id="180234993"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4993" name="Imagen 1" descr="Interfaz de usuario gráfica, Aplicación, Word&#10;&#10;Descripción generada automáticamente"/>
                    <pic:cNvPicPr/>
                  </pic:nvPicPr>
                  <pic:blipFill rotWithShape="1">
                    <a:blip r:embed="rId10"/>
                    <a:srcRect l="78279" t="40166" r="8696" b="47873"/>
                    <a:stretch/>
                  </pic:blipFill>
                  <pic:spPr bwMode="auto">
                    <a:xfrm>
                      <a:off x="0" y="0"/>
                      <a:ext cx="2738886" cy="808438"/>
                    </a:xfrm>
                    <a:prstGeom prst="rect">
                      <a:avLst/>
                    </a:prstGeom>
                    <a:ln>
                      <a:noFill/>
                    </a:ln>
                    <a:extLst>
                      <a:ext uri="{53640926-AAD7-44D8-BBD7-CCE9431645EC}">
                        <a14:shadowObscured xmlns:a14="http://schemas.microsoft.com/office/drawing/2010/main"/>
                      </a:ext>
                    </a:extLst>
                  </pic:spPr>
                </pic:pic>
              </a:graphicData>
            </a:graphic>
          </wp:inline>
        </w:drawing>
      </w:r>
      <w:r w:rsidR="00E23AAB" w:rsidRPr="00361FEA">
        <w:rPr>
          <w:rFonts w:ascii="Arial" w:hAnsi="Arial" w:cs="Arial"/>
        </w:rPr>
        <w:tab/>
      </w:r>
    </w:p>
    <w:p w14:paraId="795ECFBC" w14:textId="77777777" w:rsidR="00E23AAB" w:rsidRPr="00361FEA" w:rsidRDefault="00E23AAB" w:rsidP="00E23AAB">
      <w:pPr>
        <w:spacing w:after="0" w:line="240" w:lineRule="auto"/>
        <w:jc w:val="both"/>
        <w:rPr>
          <w:rFonts w:ascii="Arial" w:eastAsia="Calibri" w:hAnsi="Arial" w:cs="Arial"/>
          <w:color w:val="000000"/>
          <w:lang w:val="es-MX"/>
        </w:rPr>
      </w:pPr>
    </w:p>
    <w:p w14:paraId="6A884DF2" w14:textId="4A4CA4E5" w:rsidR="00E23AAB" w:rsidRPr="00361FEA" w:rsidRDefault="00E23AAB" w:rsidP="00E23AAB">
      <w:pPr>
        <w:spacing w:after="0" w:line="240" w:lineRule="auto"/>
        <w:jc w:val="both"/>
        <w:rPr>
          <w:rFonts w:ascii="Arial" w:eastAsia="Calibri" w:hAnsi="Arial" w:cs="Arial"/>
          <w:color w:val="000000"/>
          <w:sz w:val="20"/>
          <w:szCs w:val="20"/>
        </w:rPr>
      </w:pPr>
      <w:r w:rsidRPr="00361FEA">
        <w:rPr>
          <w:rFonts w:ascii="Arial" w:eastAsia="Calibri" w:hAnsi="Arial" w:cs="Arial"/>
          <w:color w:val="000000"/>
          <w:lang w:val="es-MX"/>
        </w:rPr>
        <w:t>Señor</w:t>
      </w:r>
    </w:p>
    <w:p w14:paraId="0A231E1A" w14:textId="77777777" w:rsidR="00E23AAB" w:rsidRPr="00361FEA" w:rsidRDefault="00E23AAB" w:rsidP="00E23AAB">
      <w:pPr>
        <w:spacing w:after="0" w:line="240" w:lineRule="auto"/>
        <w:rPr>
          <w:rFonts w:ascii="Arial" w:eastAsia="Calibri" w:hAnsi="Arial" w:cs="Arial"/>
          <w:b/>
          <w:color w:val="000000"/>
          <w:lang w:val="es-MX"/>
        </w:rPr>
      </w:pPr>
      <w:r w:rsidRPr="00361FEA">
        <w:rPr>
          <w:rFonts w:ascii="Arial" w:eastAsia="Calibri" w:hAnsi="Arial" w:cs="Arial"/>
          <w:b/>
          <w:color w:val="000000"/>
          <w:lang w:val="es-MX"/>
        </w:rPr>
        <w:t>Andrés Mauricio Quinceno Arenas</w:t>
      </w:r>
    </w:p>
    <w:p w14:paraId="00466F1E" w14:textId="77777777" w:rsidR="00E23AAB" w:rsidRPr="00361FEA" w:rsidRDefault="00E23AAB" w:rsidP="00E23AAB">
      <w:pPr>
        <w:spacing w:after="0" w:line="240" w:lineRule="auto"/>
        <w:rPr>
          <w:rFonts w:ascii="Arial" w:eastAsia="Calibri" w:hAnsi="Arial" w:cs="Arial"/>
          <w:color w:val="000000"/>
          <w:lang w:val="es-MX"/>
        </w:rPr>
      </w:pPr>
      <w:r w:rsidRPr="00361FEA">
        <w:rPr>
          <w:rFonts w:ascii="Arial" w:eastAsia="Calibri" w:hAnsi="Arial" w:cs="Arial"/>
          <w:color w:val="000000"/>
          <w:lang w:val="es-MX"/>
        </w:rPr>
        <w:t xml:space="preserve">Armenia, Quindío </w:t>
      </w:r>
    </w:p>
    <w:p w14:paraId="292170B2" w14:textId="77777777" w:rsidR="00E23AAB" w:rsidRPr="00361FEA" w:rsidRDefault="00E23AAB" w:rsidP="00E23AAB">
      <w:pPr>
        <w:spacing w:after="0" w:line="240" w:lineRule="auto"/>
        <w:rPr>
          <w:rFonts w:ascii="Arial" w:eastAsia="Calibri" w:hAnsi="Arial" w:cs="Arial"/>
          <w:color w:val="000000"/>
          <w:lang w:val="es-MX"/>
        </w:rPr>
      </w:pPr>
    </w:p>
    <w:p w14:paraId="02ED293F" w14:textId="77777777" w:rsidR="00E23AAB" w:rsidRPr="00361FEA" w:rsidRDefault="00E23AAB" w:rsidP="00E23AAB">
      <w:pPr>
        <w:spacing w:after="0" w:line="240" w:lineRule="auto"/>
        <w:rPr>
          <w:rFonts w:ascii="Arial" w:eastAsia="Calibri" w:hAnsi="Arial" w:cs="Arial"/>
          <w:color w:val="000000"/>
          <w:lang w:val="es-MX"/>
        </w:rPr>
      </w:pPr>
    </w:p>
    <w:p w14:paraId="5F5409CF" w14:textId="77777777" w:rsidR="00E23AAB" w:rsidRPr="00361FEA" w:rsidRDefault="00E23AAB" w:rsidP="00E23AAB">
      <w:pPr>
        <w:spacing w:after="0" w:line="240" w:lineRule="auto"/>
        <w:ind w:left="2124"/>
        <w:rPr>
          <w:rFonts w:ascii="Arial" w:eastAsia="Calibri" w:hAnsi="Arial" w:cs="Arial"/>
          <w:b/>
          <w:color w:val="000000"/>
          <w:lang w:val="es-MX"/>
        </w:rPr>
      </w:pPr>
      <w:r w:rsidRPr="00361FEA">
        <w:rPr>
          <w:rFonts w:ascii="Arial" w:eastAsia="Calibri" w:hAnsi="Arial" w:cs="Arial"/>
          <w:color w:val="000000"/>
          <w:lang w:val="es-MX"/>
        </w:rPr>
        <w:t xml:space="preserve">         </w:t>
      </w:r>
      <w:r w:rsidRPr="00361FEA">
        <w:rPr>
          <w:rFonts w:ascii="Arial" w:eastAsia="Calibri" w:hAnsi="Arial" w:cs="Arial"/>
          <w:b/>
          <w:color w:val="000000"/>
          <w:lang w:val="es-MX"/>
        </w:rPr>
        <w:t>Concepto C – 307 de 2023</w:t>
      </w:r>
    </w:p>
    <w:p w14:paraId="360945AF" w14:textId="77777777" w:rsidR="00E23AAB" w:rsidRPr="00361FEA" w:rsidRDefault="00E23AAB" w:rsidP="00E23AAB">
      <w:pPr>
        <w:spacing w:after="0" w:line="240" w:lineRule="auto"/>
        <w:rPr>
          <w:rFonts w:ascii="Arial" w:eastAsia="Calibri" w:hAnsi="Arial" w:cs="Arial"/>
          <w:color w:val="000000"/>
          <w:lang w:val="es-MX"/>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E23AAB" w:rsidRPr="00E23AAB" w14:paraId="7628ABCA" w14:textId="77777777" w:rsidTr="00251C89">
        <w:tc>
          <w:tcPr>
            <w:tcW w:w="2689" w:type="dxa"/>
            <w:hideMark/>
          </w:tcPr>
          <w:p w14:paraId="1CC3223E" w14:textId="77777777" w:rsidR="00E23AAB" w:rsidRPr="00361FEA" w:rsidRDefault="00E23AAB" w:rsidP="00E23AAB">
            <w:pPr>
              <w:rPr>
                <w:rFonts w:ascii="Arial" w:eastAsia="Calibri" w:hAnsi="Arial" w:cs="Arial"/>
                <w:lang w:val="es-MX"/>
              </w:rPr>
            </w:pPr>
            <w:r w:rsidRPr="00361FEA">
              <w:rPr>
                <w:rFonts w:ascii="Arial" w:eastAsia="Calibri" w:hAnsi="Arial" w:cs="Arial"/>
                <w:b/>
                <w:lang w:val="es-MX"/>
              </w:rPr>
              <w:t>Temas:</w:t>
            </w:r>
            <w:r w:rsidRPr="00361FEA">
              <w:rPr>
                <w:rFonts w:ascii="Arial" w:eastAsia="Calibri" w:hAnsi="Arial" w:cs="Arial"/>
                <w:lang w:val="es-MX"/>
              </w:rPr>
              <w:t xml:space="preserve">           </w:t>
            </w:r>
          </w:p>
          <w:p w14:paraId="05056BEF" w14:textId="77777777" w:rsidR="00E23AAB" w:rsidRPr="00361FEA" w:rsidRDefault="00E23AAB" w:rsidP="00E23AAB">
            <w:pPr>
              <w:rPr>
                <w:rFonts w:ascii="Arial" w:eastAsia="Calibri" w:hAnsi="Arial" w:cs="Arial"/>
                <w:lang w:val="es-MX"/>
              </w:rPr>
            </w:pPr>
            <w:r w:rsidRPr="00361FEA">
              <w:rPr>
                <w:rFonts w:ascii="Arial" w:eastAsia="Calibri" w:hAnsi="Arial" w:cs="Arial"/>
                <w:lang w:val="es-MX"/>
              </w:rPr>
              <w:t xml:space="preserve">                           </w:t>
            </w:r>
          </w:p>
        </w:tc>
        <w:tc>
          <w:tcPr>
            <w:tcW w:w="6383" w:type="dxa"/>
            <w:hideMark/>
          </w:tcPr>
          <w:p w14:paraId="3C0A6746" w14:textId="77777777" w:rsidR="00E23AAB" w:rsidRPr="00361FEA" w:rsidRDefault="00E23AAB" w:rsidP="00E23AAB">
            <w:pPr>
              <w:spacing w:after="120"/>
              <w:jc w:val="both"/>
              <w:rPr>
                <w:rFonts w:ascii="Arial" w:eastAsia="Calibri" w:hAnsi="Arial" w:cs="Arial"/>
                <w:lang w:val="es-MX"/>
              </w:rPr>
            </w:pPr>
            <w:r w:rsidRPr="00361FEA">
              <w:rPr>
                <w:rFonts w:ascii="Arial" w:eastAsia="Calibri" w:hAnsi="Arial" w:cs="Arial"/>
                <w:lang w:val="es-MX"/>
              </w:rPr>
              <w:t>INTERVENTORÍA – Características / LIQUIDACIÓN DEL CONTRATO – Definición – Objetivo / LIQUIDACIÓN DEL CONTRATO – Normativa / LIQUIDACIÓN DEL CONTRATO – Oportunidad</w:t>
            </w:r>
          </w:p>
        </w:tc>
      </w:tr>
      <w:tr w:rsidR="00E23AAB" w:rsidRPr="00E23AAB" w14:paraId="7A35B1DB" w14:textId="77777777" w:rsidTr="00251C89">
        <w:tc>
          <w:tcPr>
            <w:tcW w:w="2689" w:type="dxa"/>
          </w:tcPr>
          <w:p w14:paraId="1153498A" w14:textId="77777777" w:rsidR="00E23AAB" w:rsidRPr="00361FEA" w:rsidRDefault="00E23AAB" w:rsidP="00E23AAB">
            <w:pPr>
              <w:rPr>
                <w:rFonts w:ascii="Arial" w:eastAsia="Calibri" w:hAnsi="Arial" w:cs="Arial"/>
                <w:b/>
                <w:lang w:val="es-MX"/>
              </w:rPr>
            </w:pPr>
            <w:r w:rsidRPr="00361FEA">
              <w:rPr>
                <w:rFonts w:ascii="Arial" w:eastAsia="Calibri" w:hAnsi="Arial" w:cs="Arial"/>
                <w:b/>
                <w:lang w:val="es-MX"/>
              </w:rPr>
              <w:t>Radicación:</w:t>
            </w:r>
            <w:r w:rsidRPr="00361FEA">
              <w:rPr>
                <w:rFonts w:ascii="Arial" w:eastAsia="Calibri" w:hAnsi="Arial" w:cs="Arial"/>
                <w:lang w:val="es-MX"/>
              </w:rPr>
              <w:t xml:space="preserve">                              </w:t>
            </w:r>
          </w:p>
        </w:tc>
        <w:tc>
          <w:tcPr>
            <w:tcW w:w="6383" w:type="dxa"/>
          </w:tcPr>
          <w:p w14:paraId="4338EF00" w14:textId="77777777" w:rsidR="00E23AAB" w:rsidRPr="00361FEA" w:rsidRDefault="00E23AAB" w:rsidP="00E23AAB">
            <w:pPr>
              <w:jc w:val="both"/>
              <w:rPr>
                <w:rFonts w:ascii="Arial" w:eastAsia="Calibri" w:hAnsi="Arial" w:cs="Arial"/>
                <w:lang w:val="es-MX"/>
              </w:rPr>
            </w:pPr>
            <w:r w:rsidRPr="00361FEA">
              <w:rPr>
                <w:rFonts w:ascii="Arial" w:eastAsia="Calibri" w:hAnsi="Arial" w:cs="Arial"/>
                <w:lang w:val="es-MX"/>
              </w:rPr>
              <w:t>Respuesta a consulta P20230608012196</w:t>
            </w:r>
          </w:p>
        </w:tc>
      </w:tr>
    </w:tbl>
    <w:p w14:paraId="78F51D1C" w14:textId="77777777" w:rsidR="00E23AAB" w:rsidRPr="00361FEA" w:rsidRDefault="00E23AAB" w:rsidP="00E23AAB">
      <w:pPr>
        <w:spacing w:after="0" w:line="276" w:lineRule="auto"/>
        <w:rPr>
          <w:rFonts w:ascii="Arial" w:eastAsia="Calibri" w:hAnsi="Arial" w:cs="Arial"/>
          <w:color w:val="000000"/>
          <w:lang w:val="es-MX"/>
        </w:rPr>
      </w:pPr>
    </w:p>
    <w:p w14:paraId="6E6AB36E" w14:textId="77777777" w:rsidR="00E23AAB" w:rsidRPr="00361FEA" w:rsidRDefault="00E23AAB" w:rsidP="00E23AAB">
      <w:pPr>
        <w:spacing w:after="0" w:line="276" w:lineRule="auto"/>
        <w:rPr>
          <w:rFonts w:ascii="Arial" w:eastAsia="Calibri" w:hAnsi="Arial" w:cs="Arial"/>
          <w:color w:val="000000"/>
          <w:lang w:val="es-MX"/>
        </w:rPr>
      </w:pPr>
      <w:r w:rsidRPr="00361FEA">
        <w:rPr>
          <w:rFonts w:ascii="Arial" w:eastAsia="Calibri" w:hAnsi="Arial" w:cs="Arial"/>
          <w:color w:val="000000"/>
          <w:lang w:val="es-MX"/>
        </w:rPr>
        <w:t>Estimado señor Quinceno Arenas;</w:t>
      </w:r>
    </w:p>
    <w:p w14:paraId="0E727155" w14:textId="77777777" w:rsidR="00E23AAB" w:rsidRPr="00361FEA" w:rsidRDefault="00E23AAB" w:rsidP="00E23AAB">
      <w:pPr>
        <w:spacing w:after="0" w:line="276" w:lineRule="auto"/>
        <w:rPr>
          <w:rFonts w:ascii="Arial" w:eastAsia="Calibri" w:hAnsi="Arial" w:cs="Arial"/>
          <w:color w:val="000000"/>
          <w:lang w:val="es-MX"/>
        </w:rPr>
      </w:pPr>
    </w:p>
    <w:p w14:paraId="577292C8" w14:textId="77777777" w:rsidR="00E23AAB" w:rsidRPr="00361FEA" w:rsidRDefault="00E23AAB" w:rsidP="00E23AAB">
      <w:pPr>
        <w:spacing w:after="0" w:line="276" w:lineRule="auto"/>
        <w:ind w:right="49"/>
        <w:jc w:val="both"/>
        <w:rPr>
          <w:rFonts w:ascii="Arial" w:eastAsia="Calibri" w:hAnsi="Arial" w:cs="Arial"/>
          <w:color w:val="000000"/>
          <w:lang w:val="es-MX"/>
        </w:rPr>
      </w:pPr>
      <w:r w:rsidRPr="00361FEA">
        <w:rPr>
          <w:rFonts w:ascii="Arial" w:eastAsia="Calibri" w:hAnsi="Arial" w:cs="Arial"/>
          <w:color w:val="000000"/>
          <w:lang w:val="es-MX"/>
        </w:rPr>
        <w:t xml:space="preserve">La Agencia Nacional de Contratación Pública – Colombia Compra Eficiente, en ejercicio de la competencia otorgada por el numeral 8 del artículo 11 y el numeral 5 del artículo 3 del Decreto Ley 4170 de 2011, responde su consulta del 8 de junio de 2023. </w:t>
      </w:r>
    </w:p>
    <w:p w14:paraId="6175F8BE" w14:textId="77777777" w:rsidR="00E23AAB" w:rsidRPr="00361FEA" w:rsidRDefault="00E23AAB" w:rsidP="00E23AAB">
      <w:pPr>
        <w:spacing w:after="0" w:line="276" w:lineRule="auto"/>
        <w:ind w:right="49"/>
        <w:jc w:val="both"/>
        <w:rPr>
          <w:rFonts w:ascii="Arial" w:eastAsia="Calibri" w:hAnsi="Arial" w:cs="Arial"/>
          <w:color w:val="000000"/>
          <w:lang w:val="es-MX"/>
        </w:rPr>
      </w:pPr>
    </w:p>
    <w:p w14:paraId="05D4750E" w14:textId="77777777" w:rsidR="00E23AAB" w:rsidRPr="00361FEA" w:rsidRDefault="00E23AAB" w:rsidP="00E23AAB">
      <w:pPr>
        <w:numPr>
          <w:ilvl w:val="0"/>
          <w:numId w:val="6"/>
        </w:numPr>
        <w:tabs>
          <w:tab w:val="left" w:pos="284"/>
        </w:tabs>
        <w:spacing w:after="0" w:line="276" w:lineRule="auto"/>
        <w:jc w:val="both"/>
        <w:rPr>
          <w:rFonts w:ascii="Arial" w:eastAsia="Calibri" w:hAnsi="Arial" w:cs="Arial"/>
          <w:b/>
          <w:color w:val="000000"/>
          <w:lang w:val="es-MX"/>
        </w:rPr>
      </w:pPr>
      <w:r w:rsidRPr="00361FEA">
        <w:rPr>
          <w:rFonts w:ascii="Arial" w:eastAsia="Calibri" w:hAnsi="Arial" w:cs="Arial"/>
          <w:b/>
          <w:color w:val="000000"/>
          <w:lang w:val="es-MX"/>
        </w:rPr>
        <w:t xml:space="preserve">Problemas planteados </w:t>
      </w:r>
    </w:p>
    <w:p w14:paraId="429B605E" w14:textId="77777777" w:rsidR="00E23AAB" w:rsidRPr="00361FEA" w:rsidRDefault="00E23AAB" w:rsidP="00E23AAB">
      <w:pPr>
        <w:shd w:val="clear" w:color="auto" w:fill="FFFFFF"/>
        <w:spacing w:after="0" w:line="276" w:lineRule="auto"/>
        <w:jc w:val="both"/>
        <w:rPr>
          <w:rFonts w:ascii="Arial" w:eastAsia="Calibri" w:hAnsi="Arial" w:cs="Arial"/>
          <w:szCs w:val="24"/>
          <w:lang w:val="es-ES" w:eastAsia="es-CO"/>
        </w:rPr>
      </w:pPr>
    </w:p>
    <w:p w14:paraId="5DCCDE86" w14:textId="77777777" w:rsidR="00E23AAB" w:rsidRPr="00361FEA" w:rsidRDefault="00E23AAB" w:rsidP="00E23AAB">
      <w:pPr>
        <w:shd w:val="clear" w:color="auto" w:fill="FFFFFF"/>
        <w:spacing w:after="0" w:line="276" w:lineRule="auto"/>
        <w:jc w:val="both"/>
        <w:rPr>
          <w:rFonts w:ascii="Arial" w:eastAsia="Calibri" w:hAnsi="Arial" w:cs="Arial"/>
          <w:szCs w:val="24"/>
          <w:lang w:val="es-ES" w:eastAsia="es-CO"/>
        </w:rPr>
      </w:pPr>
      <w:r w:rsidRPr="00361FEA">
        <w:rPr>
          <w:rFonts w:ascii="Arial" w:eastAsia="Calibri" w:hAnsi="Arial" w:cs="Arial"/>
          <w:szCs w:val="24"/>
          <w:lang w:val="es-ES" w:eastAsia="es-CO"/>
        </w:rPr>
        <w:t xml:space="preserve">Usted realiza la siguiente pregunta: </w:t>
      </w:r>
    </w:p>
    <w:p w14:paraId="1781957F" w14:textId="77777777" w:rsidR="00E23AAB" w:rsidRPr="00361FEA" w:rsidRDefault="00E23AAB" w:rsidP="00E23AAB">
      <w:pPr>
        <w:shd w:val="clear" w:color="auto" w:fill="FFFFFF"/>
        <w:spacing w:after="0" w:line="240" w:lineRule="auto"/>
        <w:jc w:val="both"/>
        <w:rPr>
          <w:rFonts w:ascii="Arial" w:eastAsia="Calibri" w:hAnsi="Arial" w:cs="Arial"/>
          <w:szCs w:val="24"/>
          <w:lang w:val="es-ES" w:eastAsia="es-CO"/>
        </w:rPr>
      </w:pPr>
    </w:p>
    <w:p w14:paraId="6150E24E" w14:textId="77777777" w:rsidR="00E23AAB" w:rsidRPr="00361FEA" w:rsidRDefault="00E23AAB" w:rsidP="00E23AAB">
      <w:pPr>
        <w:shd w:val="clear" w:color="auto" w:fill="FFFFFF"/>
        <w:spacing w:after="0" w:line="240" w:lineRule="auto"/>
        <w:ind w:left="709" w:right="709"/>
        <w:jc w:val="both"/>
        <w:rPr>
          <w:rFonts w:ascii="Arial" w:hAnsi="Arial" w:cs="Arial"/>
          <w:kern w:val="2"/>
          <w:sz w:val="21"/>
          <w:szCs w:val="21"/>
          <w14:ligatures w14:val="standardContextual"/>
        </w:rPr>
      </w:pPr>
      <w:r w:rsidRPr="00361FEA">
        <w:rPr>
          <w:rFonts w:ascii="Arial" w:hAnsi="Arial" w:cs="Arial"/>
          <w:kern w:val="2"/>
          <w:sz w:val="21"/>
          <w:szCs w:val="21"/>
          <w14:ligatures w14:val="standardContextual"/>
        </w:rPr>
        <w:t>“¿Es obligatorio para una persona jurídica que ejerció la interventoría suscriba el acta de liquidación del contrato, dos años después de la terminación del plazo del contrato de interventoría?”.</w:t>
      </w:r>
    </w:p>
    <w:p w14:paraId="152B0228" w14:textId="77777777" w:rsidR="00E23AAB" w:rsidRPr="00361FEA" w:rsidRDefault="00E23AAB" w:rsidP="00E23AAB">
      <w:pPr>
        <w:shd w:val="clear" w:color="auto" w:fill="FFFFFF"/>
        <w:spacing w:after="0" w:line="276" w:lineRule="auto"/>
        <w:ind w:left="709" w:right="709"/>
        <w:jc w:val="both"/>
        <w:rPr>
          <w:rFonts w:ascii="Arial" w:eastAsia="Calibri" w:hAnsi="Arial" w:cs="Arial"/>
          <w:szCs w:val="24"/>
          <w:lang w:val="es-ES" w:eastAsia="es-CO"/>
        </w:rPr>
      </w:pPr>
    </w:p>
    <w:p w14:paraId="2DFE65CA" w14:textId="77777777" w:rsidR="00E23AAB" w:rsidRPr="00361FEA" w:rsidRDefault="00E23AAB" w:rsidP="00E23AAB">
      <w:pPr>
        <w:numPr>
          <w:ilvl w:val="0"/>
          <w:numId w:val="6"/>
        </w:numPr>
        <w:tabs>
          <w:tab w:val="left" w:pos="426"/>
        </w:tabs>
        <w:spacing w:after="0" w:line="276" w:lineRule="auto"/>
        <w:ind w:left="284" w:hanging="284"/>
        <w:jc w:val="both"/>
        <w:rPr>
          <w:rFonts w:ascii="Arial" w:eastAsia="Calibri" w:hAnsi="Arial" w:cs="Arial"/>
          <w:b/>
          <w:color w:val="000000"/>
          <w:lang w:val="es-MX"/>
        </w:rPr>
      </w:pPr>
      <w:r w:rsidRPr="00361FEA">
        <w:rPr>
          <w:rFonts w:ascii="Arial" w:eastAsia="Calibri" w:hAnsi="Arial" w:cs="Arial"/>
          <w:b/>
          <w:color w:val="000000"/>
          <w:lang w:val="es-MX"/>
        </w:rPr>
        <w:t>Consideraciones</w:t>
      </w:r>
      <w:bookmarkEnd w:id="0"/>
      <w:bookmarkEnd w:id="1"/>
    </w:p>
    <w:p w14:paraId="1393C523" w14:textId="77777777" w:rsidR="00E23AAB" w:rsidRPr="00361FEA" w:rsidRDefault="00E23AAB" w:rsidP="00E23AAB">
      <w:pPr>
        <w:tabs>
          <w:tab w:val="left" w:pos="426"/>
        </w:tabs>
        <w:spacing w:after="0" w:line="276" w:lineRule="auto"/>
        <w:ind w:left="284"/>
        <w:jc w:val="both"/>
        <w:rPr>
          <w:rFonts w:ascii="Arial" w:eastAsia="Calibri" w:hAnsi="Arial" w:cs="Arial"/>
          <w:b/>
          <w:color w:val="000000"/>
          <w:lang w:val="es-MX"/>
        </w:rPr>
      </w:pPr>
    </w:p>
    <w:p w14:paraId="26FE7F85" w14:textId="77777777" w:rsidR="00E23AAB" w:rsidRPr="00361FEA" w:rsidRDefault="00E23AAB" w:rsidP="00E23AAB">
      <w:pPr>
        <w:spacing w:after="120" w:line="276" w:lineRule="auto"/>
        <w:jc w:val="both"/>
        <w:rPr>
          <w:rFonts w:ascii="Arial" w:hAnsi="Arial" w:cs="Arial"/>
          <w:lang w:val="es-ES_tradnl"/>
        </w:rPr>
      </w:pPr>
      <w:r w:rsidRPr="00361FEA">
        <w:rPr>
          <w:rFonts w:ascii="Arial" w:eastAsia="Arial MT" w:hAnsi="Arial" w:cs="Arial"/>
          <w:color w:val="000000" w:themeColor="text1"/>
          <w:lang w:val="es-ES"/>
        </w:rPr>
        <w:t>Como</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cuestión</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preliminar,</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es</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relevante</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señalar</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que,</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en</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ejercicio</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las</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competencias</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establecidas en los artículos 3.5 y 11.8 del Decreto Ley 4170 de 2011, la Agencia Nacional de</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Contratación Pública – Colombia Compra Eficiente resuelve las consultas sobre los asuntos de</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su competencia, esto es, sobre las temáticas de la contratación estatal y compras públicas</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relacionadas en los artículos citados. En este sentido, la Agencia –dentro de los límites de sus</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atribuciones–</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resolverá</w:t>
      </w:r>
      <w:r w:rsidRPr="00361FEA">
        <w:rPr>
          <w:rFonts w:ascii="Arial" w:eastAsia="Arial MT" w:hAnsi="Arial" w:cs="Arial"/>
          <w:color w:val="000000" w:themeColor="text1"/>
          <w:spacing w:val="-3"/>
          <w:lang w:val="es-ES"/>
        </w:rPr>
        <w:t xml:space="preserve"> </w:t>
      </w:r>
      <w:r w:rsidRPr="00361FEA">
        <w:rPr>
          <w:rFonts w:ascii="Arial" w:eastAsia="Arial MT" w:hAnsi="Arial" w:cs="Arial"/>
          <w:color w:val="000000" w:themeColor="text1"/>
          <w:lang w:val="es-ES"/>
        </w:rPr>
        <w:t>la</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consulta</w:t>
      </w:r>
      <w:r w:rsidRPr="00361FEA">
        <w:rPr>
          <w:rFonts w:ascii="Arial" w:eastAsia="Arial MT" w:hAnsi="Arial" w:cs="Arial"/>
          <w:color w:val="000000" w:themeColor="text1"/>
          <w:spacing w:val="-3"/>
          <w:lang w:val="es-ES"/>
        </w:rPr>
        <w:t xml:space="preserve"> </w:t>
      </w:r>
      <w:r w:rsidRPr="00361FEA">
        <w:rPr>
          <w:rFonts w:ascii="Arial" w:eastAsia="Arial MT" w:hAnsi="Arial" w:cs="Arial"/>
          <w:color w:val="000000" w:themeColor="text1"/>
          <w:lang w:val="es-ES"/>
        </w:rPr>
        <w:t>conforme</w:t>
      </w:r>
      <w:r w:rsidRPr="00361FEA">
        <w:rPr>
          <w:rFonts w:ascii="Arial" w:eastAsia="Arial MT" w:hAnsi="Arial" w:cs="Arial"/>
          <w:color w:val="000000" w:themeColor="text1"/>
          <w:spacing w:val="-3"/>
          <w:lang w:val="es-ES"/>
        </w:rPr>
        <w:t xml:space="preserve"> </w:t>
      </w:r>
      <w:r w:rsidRPr="00361FEA">
        <w:rPr>
          <w:rFonts w:ascii="Arial" w:eastAsia="Arial MT" w:hAnsi="Arial" w:cs="Arial"/>
          <w:color w:val="000000" w:themeColor="text1"/>
          <w:lang w:val="es-ES"/>
        </w:rPr>
        <w:t>a</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las</w:t>
      </w:r>
      <w:r w:rsidRPr="00361FEA">
        <w:rPr>
          <w:rFonts w:ascii="Arial" w:eastAsia="Arial MT" w:hAnsi="Arial" w:cs="Arial"/>
          <w:color w:val="000000" w:themeColor="text1"/>
          <w:spacing w:val="-3"/>
          <w:lang w:val="es-ES"/>
        </w:rPr>
        <w:t xml:space="preserve"> </w:t>
      </w:r>
      <w:r w:rsidRPr="00361FEA">
        <w:rPr>
          <w:rFonts w:ascii="Arial" w:eastAsia="Arial MT" w:hAnsi="Arial" w:cs="Arial"/>
          <w:color w:val="000000" w:themeColor="text1"/>
          <w:lang w:val="es-ES"/>
        </w:rPr>
        <w:t>normas</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generales</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lastRenderedPageBreak/>
        <w:t>en</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materia</w:t>
      </w:r>
      <w:r w:rsidRPr="00361FEA">
        <w:rPr>
          <w:rFonts w:ascii="Arial" w:eastAsia="Arial MT" w:hAnsi="Arial" w:cs="Arial"/>
          <w:color w:val="000000" w:themeColor="text1"/>
          <w:spacing w:val="-3"/>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contratación</w:t>
      </w:r>
      <w:r w:rsidRPr="00361FEA">
        <w:rPr>
          <w:rFonts w:ascii="Arial" w:eastAsia="Arial MT" w:hAnsi="Arial" w:cs="Arial"/>
          <w:color w:val="000000" w:themeColor="text1"/>
          <w:spacing w:val="-58"/>
          <w:lang w:val="es-ES"/>
        </w:rPr>
        <w:t xml:space="preserve"> </w:t>
      </w:r>
      <w:r w:rsidRPr="00361FEA">
        <w:rPr>
          <w:rFonts w:ascii="Arial" w:eastAsia="Arial MT" w:hAnsi="Arial" w:cs="Arial"/>
          <w:color w:val="000000" w:themeColor="text1"/>
          <w:lang w:val="es-ES"/>
        </w:rPr>
        <w:t xml:space="preserve">estatal. De este modo, se analizarán los siguientes temas: i) </w:t>
      </w:r>
      <w:r w:rsidRPr="00361FEA">
        <w:rPr>
          <w:rFonts w:ascii="Arial" w:eastAsia="Calibri" w:hAnsi="Arial" w:cs="Arial"/>
          <w:lang w:val="es-MX"/>
        </w:rPr>
        <w:t xml:space="preserve">contrato de interventoría, </w:t>
      </w:r>
      <w:proofErr w:type="spellStart"/>
      <w:r w:rsidRPr="00361FEA">
        <w:rPr>
          <w:rFonts w:ascii="Arial" w:eastAsia="Calibri" w:hAnsi="Arial" w:cs="Arial"/>
          <w:lang w:val="es-MX"/>
        </w:rPr>
        <w:t>ii</w:t>
      </w:r>
      <w:proofErr w:type="spellEnd"/>
      <w:r w:rsidRPr="00361FEA">
        <w:rPr>
          <w:rFonts w:ascii="Arial" w:eastAsia="Calibri" w:hAnsi="Arial" w:cs="Arial"/>
          <w:lang w:val="es-MX"/>
        </w:rPr>
        <w:t xml:space="preserve">) </w:t>
      </w:r>
      <w:r w:rsidRPr="00361FEA">
        <w:rPr>
          <w:rFonts w:ascii="Arial" w:eastAsia="Arial" w:hAnsi="Arial" w:cs="Arial"/>
          <w:lang w:val="es-ES"/>
        </w:rPr>
        <w:t>liquidación</w:t>
      </w:r>
      <w:r w:rsidRPr="00361FEA">
        <w:rPr>
          <w:rFonts w:ascii="Arial" w:eastAsia="Arial" w:hAnsi="Arial" w:cs="Arial"/>
          <w:spacing w:val="-6"/>
          <w:lang w:val="es-ES"/>
        </w:rPr>
        <w:t xml:space="preserve"> </w:t>
      </w:r>
      <w:r w:rsidRPr="00361FEA">
        <w:rPr>
          <w:rFonts w:ascii="Arial" w:eastAsia="Arial" w:hAnsi="Arial" w:cs="Arial"/>
          <w:lang w:val="es-ES"/>
        </w:rPr>
        <w:t>de</w:t>
      </w:r>
      <w:r w:rsidRPr="00361FEA">
        <w:rPr>
          <w:rFonts w:ascii="Arial" w:eastAsia="Arial" w:hAnsi="Arial" w:cs="Arial"/>
          <w:spacing w:val="-6"/>
          <w:lang w:val="es-ES"/>
        </w:rPr>
        <w:t xml:space="preserve"> </w:t>
      </w:r>
      <w:r w:rsidRPr="00361FEA">
        <w:rPr>
          <w:rFonts w:ascii="Arial" w:eastAsia="Arial" w:hAnsi="Arial" w:cs="Arial"/>
          <w:lang w:val="es-ES"/>
        </w:rPr>
        <w:t>los</w:t>
      </w:r>
      <w:r w:rsidRPr="00361FEA">
        <w:rPr>
          <w:rFonts w:ascii="Arial" w:eastAsia="Arial" w:hAnsi="Arial" w:cs="Arial"/>
          <w:spacing w:val="-6"/>
          <w:lang w:val="es-ES"/>
        </w:rPr>
        <w:t xml:space="preserve"> </w:t>
      </w:r>
      <w:r w:rsidRPr="00361FEA">
        <w:rPr>
          <w:rFonts w:ascii="Arial" w:eastAsia="Arial" w:hAnsi="Arial" w:cs="Arial"/>
          <w:lang w:val="es-ES"/>
        </w:rPr>
        <w:t>contratos</w:t>
      </w:r>
      <w:r w:rsidRPr="00361FEA">
        <w:rPr>
          <w:rFonts w:ascii="Arial" w:eastAsia="Arial" w:hAnsi="Arial" w:cs="Arial"/>
          <w:spacing w:val="-5"/>
          <w:lang w:val="es-ES"/>
        </w:rPr>
        <w:t xml:space="preserve"> </w:t>
      </w:r>
      <w:r w:rsidRPr="00361FEA">
        <w:rPr>
          <w:rFonts w:ascii="Arial" w:eastAsia="Arial" w:hAnsi="Arial" w:cs="Arial"/>
          <w:lang w:val="es-ES"/>
        </w:rPr>
        <w:t xml:space="preserve">estatales, </w:t>
      </w:r>
      <w:proofErr w:type="spellStart"/>
      <w:r w:rsidRPr="00361FEA">
        <w:rPr>
          <w:rFonts w:ascii="Arial" w:eastAsia="Arial" w:hAnsi="Arial" w:cs="Arial"/>
          <w:lang w:val="es-ES"/>
        </w:rPr>
        <w:t>iii</w:t>
      </w:r>
      <w:proofErr w:type="spellEnd"/>
      <w:r w:rsidRPr="00361FEA">
        <w:rPr>
          <w:rFonts w:ascii="Arial" w:eastAsia="Arial" w:hAnsi="Arial" w:cs="Arial"/>
          <w:lang w:val="es-ES"/>
        </w:rPr>
        <w:t xml:space="preserve">) </w:t>
      </w:r>
      <w:r w:rsidRPr="00361FEA">
        <w:rPr>
          <w:rFonts w:ascii="Arial" w:hAnsi="Arial" w:cs="Arial"/>
          <w:lang w:val="es-ES_tradnl"/>
        </w:rPr>
        <w:t>tipos de liquidación y término para efectuarla.</w:t>
      </w:r>
    </w:p>
    <w:p w14:paraId="0C6EE6D0" w14:textId="77777777" w:rsidR="00E23AAB" w:rsidRPr="00361FEA" w:rsidRDefault="00E23AAB" w:rsidP="00E23AAB">
      <w:pPr>
        <w:widowControl w:val="0"/>
        <w:tabs>
          <w:tab w:val="left" w:pos="348"/>
        </w:tabs>
        <w:autoSpaceDE w:val="0"/>
        <w:autoSpaceDN w:val="0"/>
        <w:spacing w:after="120" w:line="276" w:lineRule="auto"/>
        <w:jc w:val="both"/>
        <w:rPr>
          <w:rFonts w:ascii="Arial" w:eastAsia="Arial MT" w:hAnsi="Arial" w:cs="Arial"/>
          <w:color w:val="000000" w:themeColor="text1"/>
          <w:lang w:val="es-ES"/>
        </w:rPr>
      </w:pPr>
      <w:r w:rsidRPr="00361FEA">
        <w:rPr>
          <w:rFonts w:ascii="Arial" w:eastAsia="Arial MT" w:hAnsi="Arial" w:cs="Arial"/>
          <w:color w:val="000000" w:themeColor="text1"/>
          <w:lang w:val="es-ES"/>
        </w:rPr>
        <w:tab/>
      </w:r>
      <w:r w:rsidRPr="00361FEA">
        <w:rPr>
          <w:rFonts w:ascii="Arial" w:eastAsia="Arial MT" w:hAnsi="Arial" w:cs="Arial"/>
          <w:color w:val="000000" w:themeColor="text1"/>
          <w:lang w:val="es-ES"/>
        </w:rPr>
        <w:tab/>
        <w:t>Esta Agencia se pronunció sobre la obligación de controlar y vigilar la ejecución de los</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contratos estatales, en los conceptos con radicado 4201913000004799 del 30 de agosto</w:t>
      </w:r>
      <w:r w:rsidRPr="00361FEA">
        <w:rPr>
          <w:rFonts w:ascii="Arial" w:eastAsia="Arial MT" w:hAnsi="Arial" w:cs="Arial"/>
          <w:color w:val="000000" w:themeColor="text1"/>
          <w:spacing w:val="-59"/>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6"/>
          <w:lang w:val="es-ES"/>
        </w:rPr>
        <w:t xml:space="preserve"> </w:t>
      </w:r>
      <w:r w:rsidRPr="00361FEA">
        <w:rPr>
          <w:rFonts w:ascii="Arial" w:eastAsia="Arial MT" w:hAnsi="Arial" w:cs="Arial"/>
          <w:color w:val="000000" w:themeColor="text1"/>
          <w:lang w:val="es-ES"/>
        </w:rPr>
        <w:t>2019</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y</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4201913000008240</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del</w:t>
      </w:r>
      <w:r w:rsidRPr="00361FEA">
        <w:rPr>
          <w:rFonts w:ascii="Arial" w:eastAsia="Arial MT" w:hAnsi="Arial" w:cs="Arial"/>
          <w:color w:val="000000" w:themeColor="text1"/>
          <w:spacing w:val="-6"/>
          <w:lang w:val="es-ES"/>
        </w:rPr>
        <w:t xml:space="preserve"> </w:t>
      </w:r>
      <w:r w:rsidRPr="00361FEA">
        <w:rPr>
          <w:rFonts w:ascii="Arial" w:eastAsia="Arial MT" w:hAnsi="Arial" w:cs="Arial"/>
          <w:color w:val="000000" w:themeColor="text1"/>
          <w:lang w:val="es-ES"/>
        </w:rPr>
        <w:t>20</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diciembre</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2019;</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y</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en</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los</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conceptos</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C-064</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del</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28</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58"/>
          <w:lang w:val="es-ES"/>
        </w:rPr>
        <w:t xml:space="preserve"> </w:t>
      </w:r>
      <w:r w:rsidRPr="00361FEA">
        <w:rPr>
          <w:rFonts w:ascii="Arial" w:eastAsia="Arial MT" w:hAnsi="Arial" w:cs="Arial"/>
          <w:color w:val="000000" w:themeColor="text1"/>
          <w:lang w:val="es-ES"/>
        </w:rPr>
        <w:t>febrero de 2020, C–077 del 18 de marzo de 2020, C–150 del 18 de marzo de 2020, C–134 del</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30 de marzo de 2020, C–180 del 13 de abril de 2020, C-344 de 26 de mayo de 2020, C-765 de</w:t>
      </w:r>
      <w:r w:rsidRPr="00361FEA">
        <w:rPr>
          <w:rFonts w:ascii="Arial" w:eastAsia="Arial MT" w:hAnsi="Arial" w:cs="Arial"/>
          <w:color w:val="000000" w:themeColor="text1"/>
          <w:spacing w:val="1"/>
          <w:lang w:val="es-ES"/>
        </w:rPr>
        <w:t xml:space="preserve"> </w:t>
      </w:r>
      <w:r w:rsidRPr="00361FEA">
        <w:rPr>
          <w:rFonts w:ascii="Arial" w:eastAsia="Arial MT" w:hAnsi="Arial" w:cs="Arial"/>
          <w:color w:val="000000" w:themeColor="text1"/>
          <w:lang w:val="es-ES"/>
        </w:rPr>
        <w:t>1</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enero</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2021,</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C-603</w:t>
      </w:r>
      <w:r w:rsidRPr="00361FEA">
        <w:rPr>
          <w:rFonts w:ascii="Arial" w:eastAsia="Arial MT" w:hAnsi="Arial" w:cs="Arial"/>
          <w:color w:val="000000" w:themeColor="text1"/>
          <w:spacing w:val="-6"/>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02</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noviembre</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2021</w:t>
      </w:r>
      <w:r w:rsidRPr="00361FEA">
        <w:rPr>
          <w:rFonts w:ascii="Arial" w:eastAsia="Arial MT" w:hAnsi="Arial" w:cs="Arial"/>
          <w:color w:val="000000" w:themeColor="text1"/>
          <w:spacing w:val="-4"/>
          <w:lang w:val="es-ES"/>
        </w:rPr>
        <w:t xml:space="preserve">, </w:t>
      </w:r>
      <w:r w:rsidRPr="00361FEA">
        <w:rPr>
          <w:rFonts w:ascii="Arial" w:eastAsia="Arial MT" w:hAnsi="Arial" w:cs="Arial"/>
          <w:color w:val="000000" w:themeColor="text1"/>
          <w:lang w:val="es-ES"/>
        </w:rPr>
        <w:t>C-745</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5"/>
          <w:lang w:val="es-ES"/>
        </w:rPr>
        <w:t xml:space="preserve"> </w:t>
      </w:r>
      <w:r w:rsidRPr="00361FEA">
        <w:rPr>
          <w:rFonts w:ascii="Arial" w:eastAsia="Arial MT" w:hAnsi="Arial" w:cs="Arial"/>
          <w:color w:val="000000" w:themeColor="text1"/>
          <w:lang w:val="es-ES"/>
        </w:rPr>
        <w:t>3</w:t>
      </w:r>
      <w:r w:rsidRPr="00361FEA">
        <w:rPr>
          <w:rFonts w:ascii="Arial" w:eastAsia="Arial MT" w:hAnsi="Arial" w:cs="Arial"/>
          <w:color w:val="000000" w:themeColor="text1"/>
          <w:spacing w:val="-8"/>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7"/>
          <w:lang w:val="es-ES"/>
        </w:rPr>
        <w:t xml:space="preserve"> </w:t>
      </w:r>
      <w:r w:rsidRPr="00361FEA">
        <w:rPr>
          <w:rFonts w:ascii="Arial" w:eastAsia="Arial MT" w:hAnsi="Arial" w:cs="Arial"/>
          <w:color w:val="000000" w:themeColor="text1"/>
          <w:lang w:val="es-ES"/>
        </w:rPr>
        <w:t>febrero</w:t>
      </w:r>
      <w:r w:rsidRPr="00361FEA">
        <w:rPr>
          <w:rFonts w:ascii="Arial" w:eastAsia="Arial MT" w:hAnsi="Arial" w:cs="Arial"/>
          <w:color w:val="000000" w:themeColor="text1"/>
          <w:spacing w:val="-6"/>
          <w:lang w:val="es-ES"/>
        </w:rPr>
        <w:t xml:space="preserve"> </w:t>
      </w:r>
      <w:r w:rsidRPr="00361FEA">
        <w:rPr>
          <w:rFonts w:ascii="Arial" w:eastAsia="Arial MT" w:hAnsi="Arial" w:cs="Arial"/>
          <w:color w:val="000000" w:themeColor="text1"/>
          <w:lang w:val="es-ES"/>
        </w:rPr>
        <w:t>de</w:t>
      </w:r>
      <w:r w:rsidRPr="00361FEA">
        <w:rPr>
          <w:rFonts w:ascii="Arial" w:eastAsia="Arial MT" w:hAnsi="Arial" w:cs="Arial"/>
          <w:color w:val="000000" w:themeColor="text1"/>
          <w:spacing w:val="-6"/>
          <w:lang w:val="es-ES"/>
        </w:rPr>
        <w:t xml:space="preserve"> </w:t>
      </w:r>
      <w:r w:rsidRPr="00361FEA">
        <w:rPr>
          <w:rFonts w:ascii="Arial" w:eastAsia="Arial MT" w:hAnsi="Arial" w:cs="Arial"/>
          <w:color w:val="000000" w:themeColor="text1"/>
          <w:lang w:val="es-ES"/>
        </w:rPr>
        <w:t>2022,</w:t>
      </w:r>
      <w:r w:rsidRPr="00361FEA">
        <w:rPr>
          <w:rFonts w:ascii="Arial" w:eastAsia="Arial MT" w:hAnsi="Arial" w:cs="Arial"/>
          <w:color w:val="000000" w:themeColor="text1"/>
          <w:spacing w:val="-3"/>
          <w:lang w:val="es-ES"/>
        </w:rPr>
        <w:t xml:space="preserve"> </w:t>
      </w:r>
      <w:r w:rsidRPr="00361FEA">
        <w:rPr>
          <w:rFonts w:ascii="Arial" w:eastAsia="Arial MT" w:hAnsi="Arial" w:cs="Arial"/>
          <w:color w:val="000000" w:themeColor="text1"/>
          <w:lang w:val="es-ES"/>
        </w:rPr>
        <w:t>C-506</w:t>
      </w:r>
      <w:r w:rsidRPr="00361FEA">
        <w:rPr>
          <w:rFonts w:ascii="Arial" w:eastAsia="Arial MT" w:hAnsi="Arial" w:cs="Arial"/>
          <w:color w:val="000000" w:themeColor="text1"/>
          <w:spacing w:val="-59"/>
          <w:lang w:val="es-ES"/>
        </w:rPr>
        <w:t xml:space="preserve">       </w:t>
      </w:r>
      <w:r w:rsidRPr="00361FEA">
        <w:rPr>
          <w:rFonts w:ascii="Arial" w:eastAsia="Arial MT" w:hAnsi="Arial" w:cs="Arial"/>
          <w:color w:val="000000" w:themeColor="text1"/>
          <w:lang w:val="es-ES"/>
        </w:rPr>
        <w:t xml:space="preserve"> del 3 de agosto de 2022, C-577 del 15 de septiembre de 2022 y C-620 del 27 de septiembre de 2022</w:t>
      </w:r>
      <w:r w:rsidRPr="00361FEA">
        <w:rPr>
          <w:rFonts w:ascii="Arial" w:eastAsia="Arial MT" w:hAnsi="Arial" w:cs="Arial"/>
          <w:color w:val="000000" w:themeColor="text1"/>
          <w:vertAlign w:val="superscript"/>
          <w:lang w:val="es-ES"/>
        </w:rPr>
        <w:t>.</w:t>
      </w:r>
    </w:p>
    <w:p w14:paraId="159976B5" w14:textId="77777777" w:rsidR="00E23AAB" w:rsidRPr="00E23AAB" w:rsidRDefault="00E23AAB" w:rsidP="00E23AAB">
      <w:pPr>
        <w:widowControl w:val="0"/>
        <w:tabs>
          <w:tab w:val="left" w:pos="348"/>
        </w:tabs>
        <w:autoSpaceDE w:val="0"/>
        <w:autoSpaceDN w:val="0"/>
        <w:spacing w:after="0" w:line="276" w:lineRule="auto"/>
        <w:jc w:val="both"/>
        <w:rPr>
          <w:rFonts w:ascii="Arial" w:eastAsia="Arial MT" w:hAnsi="Arial" w:cs="Arial"/>
          <w:color w:val="000000" w:themeColor="text1"/>
          <w:kern w:val="2"/>
          <w:lang w:val="es-ES"/>
          <w14:ligatures w14:val="standardContextual"/>
        </w:rPr>
      </w:pPr>
      <w:r w:rsidRPr="00361FEA">
        <w:rPr>
          <w:rFonts w:ascii="Arial" w:eastAsia="Calibri" w:hAnsi="Arial" w:cs="Arial"/>
          <w:color w:val="000000"/>
          <w:lang w:val="es-MX"/>
        </w:rPr>
        <w:tab/>
      </w:r>
      <w:r w:rsidRPr="00361FEA">
        <w:rPr>
          <w:rFonts w:ascii="Arial" w:eastAsia="Calibri" w:hAnsi="Arial" w:cs="Arial"/>
          <w:kern w:val="2"/>
          <w14:ligatures w14:val="standardContextual"/>
        </w:rPr>
        <w:t xml:space="preserve">Por otro lado, esta entidad se ha pronunciado en diferentes oportunidades respecto de </w:t>
      </w:r>
      <w:r w:rsidRPr="00361FEA">
        <w:rPr>
          <w:rFonts w:ascii="Arial" w:eastAsia="Calibri" w:hAnsi="Arial" w:cs="Arial"/>
          <w:color w:val="000000"/>
          <w:kern w:val="2"/>
          <w:lang w:val="es-ES_tradnl"/>
          <w14:ligatures w14:val="standardContextual"/>
        </w:rPr>
        <w:t xml:space="preserve">la liquidación de los contratos en el concepto con radicado No. 4201912000004908 del 27 de septiembre de 2019 y los conceptos con número interno CU-028 de 25 de febrero de 2020, C-221 de 21 de abril de 2020 y C-444 del 23 de julio de 2021 </w:t>
      </w:r>
      <w:r w:rsidRPr="00361FEA">
        <w:rPr>
          <w:rFonts w:ascii="Arial" w:eastAsia="Calibri" w:hAnsi="Arial" w:cs="Arial"/>
          <w:color w:val="000000" w:themeColor="text1"/>
          <w:lang w:val="es-ES_tradnl"/>
        </w:rPr>
        <w:t xml:space="preserve">C-765 de 1 de enero de 2021, C-603 de 02 de noviembre de 2021, C-745 de 3 de febrero de 2022, C-506 del 3 de agosto de 2022, C-620 del 27 de septiembre de 2022, C-818 del 28 de noviembre de 2022, C-930 del 30 de diciembre de 2022 y C-033 del 27 de febrero de 2023, </w:t>
      </w:r>
      <w:r w:rsidRPr="00361FEA">
        <w:rPr>
          <w:rFonts w:ascii="Arial" w:eastAsia="Calibri" w:hAnsi="Arial" w:cs="Arial"/>
          <w:color w:val="000000"/>
          <w:kern w:val="2"/>
          <w:lang w:val="es-ES_tradnl"/>
          <w14:ligatures w14:val="standardContextual"/>
        </w:rPr>
        <w:t>entre otros. Las ideas expuestas en dichas oportunidades se reiteran y se complementan a continuación</w:t>
      </w:r>
      <w:r w:rsidRPr="00361FEA">
        <w:rPr>
          <w:rFonts w:ascii="Arial" w:eastAsia="Calibri" w:hAnsi="Arial" w:cs="Arial"/>
          <w:color w:val="000000"/>
          <w:kern w:val="2"/>
          <w:vertAlign w:val="superscript"/>
          <w:lang w:val="es-ES_tradnl"/>
          <w14:ligatures w14:val="standardContextual"/>
        </w:rPr>
        <w:footnoteReference w:id="2"/>
      </w:r>
      <w:r w:rsidRPr="00361FEA">
        <w:rPr>
          <w:rFonts w:ascii="Arial" w:eastAsia="Calibri" w:hAnsi="Arial" w:cs="Arial"/>
          <w:color w:val="000000"/>
          <w:kern w:val="2"/>
          <w:lang w:val="es-ES_tradnl"/>
          <w14:ligatures w14:val="standardContextual"/>
        </w:rPr>
        <w:t>.</w:t>
      </w:r>
    </w:p>
    <w:p w14:paraId="3B6BB99F" w14:textId="77777777" w:rsidR="00E23AAB" w:rsidRPr="00361FEA" w:rsidRDefault="00E23AAB" w:rsidP="00E23AAB">
      <w:pPr>
        <w:spacing w:after="0" w:line="276" w:lineRule="auto"/>
        <w:jc w:val="both"/>
        <w:rPr>
          <w:rFonts w:ascii="Arial" w:eastAsia="Calibri" w:hAnsi="Arial" w:cs="Arial"/>
          <w:b/>
          <w:lang w:val="es-MX"/>
        </w:rPr>
      </w:pPr>
    </w:p>
    <w:p w14:paraId="2EBCE79F" w14:textId="77777777" w:rsidR="00E23AAB" w:rsidRPr="00361FEA" w:rsidRDefault="00E23AAB" w:rsidP="00E23AAB">
      <w:pPr>
        <w:spacing w:after="0" w:line="276" w:lineRule="auto"/>
        <w:jc w:val="both"/>
        <w:rPr>
          <w:rFonts w:ascii="Arial" w:eastAsia="Calibri" w:hAnsi="Arial" w:cs="Arial"/>
          <w:b/>
          <w:lang w:val="es-MX"/>
        </w:rPr>
      </w:pPr>
      <w:r w:rsidRPr="00361FEA">
        <w:rPr>
          <w:rFonts w:ascii="Arial" w:eastAsia="Calibri" w:hAnsi="Arial" w:cs="Arial"/>
          <w:b/>
          <w:lang w:val="es-MX"/>
        </w:rPr>
        <w:t xml:space="preserve">2.1. Contrato de interventoría </w:t>
      </w:r>
    </w:p>
    <w:p w14:paraId="200E96F4" w14:textId="77777777" w:rsidR="00E23AAB" w:rsidRPr="00361FEA" w:rsidRDefault="00E23AAB" w:rsidP="00E23AAB">
      <w:pPr>
        <w:spacing w:after="0" w:line="276" w:lineRule="auto"/>
        <w:jc w:val="both"/>
        <w:rPr>
          <w:rFonts w:ascii="Arial" w:eastAsia="Calibri" w:hAnsi="Arial" w:cs="Arial"/>
          <w:b/>
          <w:lang w:val="es-MX"/>
        </w:rPr>
      </w:pPr>
    </w:p>
    <w:p w14:paraId="6AC1E076" w14:textId="77777777" w:rsidR="00E23AAB" w:rsidRPr="00361FEA" w:rsidRDefault="00E23AAB" w:rsidP="00E23AAB">
      <w:pPr>
        <w:spacing w:after="0" w:line="276" w:lineRule="auto"/>
        <w:jc w:val="both"/>
        <w:rPr>
          <w:rFonts w:ascii="Arial" w:eastAsia="Calibri" w:hAnsi="Arial" w:cs="Arial"/>
          <w:lang w:val="es-MX"/>
        </w:rPr>
      </w:pPr>
      <w:r w:rsidRPr="00361FEA">
        <w:rPr>
          <w:rFonts w:ascii="Arial" w:eastAsia="Calibri" w:hAnsi="Arial" w:cs="Arial"/>
          <w:lang w:val="es-MX"/>
        </w:rPr>
        <w:t xml:space="preserve">La Ley 1474 de 2011 enmarcó el seguimiento, control y vigilancia de la ejecución del contrato estatal dentro del principio de moralidad administrativa. El artículo 83 </w:t>
      </w:r>
      <w:r w:rsidRPr="00361FEA">
        <w:rPr>
          <w:rFonts w:ascii="Arial" w:eastAsia="Calibri" w:hAnsi="Arial" w:cs="Arial"/>
          <w:i/>
          <w:lang w:val="es-MX"/>
        </w:rPr>
        <w:t xml:space="preserve">ibidem </w:t>
      </w:r>
      <w:r w:rsidRPr="00361FEA">
        <w:rPr>
          <w:rFonts w:ascii="Arial" w:eastAsia="Calibri" w:hAnsi="Arial" w:cs="Arial"/>
          <w:lang w:val="es-MX"/>
        </w:rPr>
        <w:t xml:space="preserve">prescribe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w:t>
      </w:r>
      <w:r w:rsidRPr="00361FEA">
        <w:rPr>
          <w:rFonts w:ascii="Arial" w:eastAsia="Calibri" w:hAnsi="Arial" w:cs="Arial"/>
          <w:i/>
          <w:lang w:val="es-MX"/>
        </w:rPr>
        <w:t>supervisión</w:t>
      </w:r>
      <w:r w:rsidRPr="00361FEA">
        <w:rPr>
          <w:rFonts w:ascii="Arial" w:eastAsia="Calibri" w:hAnsi="Arial" w:cs="Arial"/>
          <w:lang w:val="es-MX"/>
        </w:rPr>
        <w:t xml:space="preserve"> e </w:t>
      </w:r>
      <w:r w:rsidRPr="00361FEA">
        <w:rPr>
          <w:rFonts w:ascii="Arial" w:eastAsia="Calibri" w:hAnsi="Arial" w:cs="Arial"/>
          <w:i/>
          <w:lang w:val="es-MX"/>
        </w:rPr>
        <w:t>interventoría</w:t>
      </w:r>
      <w:r w:rsidRPr="00361FEA">
        <w:rPr>
          <w:rFonts w:ascii="Arial" w:eastAsia="Calibri" w:hAnsi="Arial" w:cs="Arial"/>
          <w:lang w:val="es-MX"/>
        </w:rPr>
        <w:t xml:space="preserve">, como mecanismos que pueden usar las entidades estatales para vigilar el contrato, en estos términos: </w:t>
      </w:r>
    </w:p>
    <w:p w14:paraId="2ACCF632" w14:textId="77777777" w:rsidR="00E23AAB" w:rsidRPr="00361FEA" w:rsidRDefault="00E23AAB" w:rsidP="00E23AAB">
      <w:pPr>
        <w:spacing w:after="0" w:line="276" w:lineRule="auto"/>
        <w:jc w:val="both"/>
        <w:rPr>
          <w:rFonts w:ascii="Arial" w:eastAsia="Calibri" w:hAnsi="Arial" w:cs="Arial"/>
          <w:sz w:val="24"/>
          <w:lang w:val="es-MX"/>
        </w:rPr>
      </w:pPr>
    </w:p>
    <w:p w14:paraId="140DA226" w14:textId="77777777" w:rsidR="00E23AAB" w:rsidRPr="00361FEA" w:rsidRDefault="00E23AAB" w:rsidP="00E23AAB">
      <w:pPr>
        <w:spacing w:after="120" w:line="240" w:lineRule="auto"/>
        <w:ind w:left="709" w:right="709"/>
        <w:jc w:val="both"/>
        <w:rPr>
          <w:rFonts w:ascii="Arial" w:eastAsia="Calibri" w:hAnsi="Arial" w:cs="Arial"/>
          <w:sz w:val="21"/>
          <w:szCs w:val="21"/>
          <w:lang w:val="es-MX"/>
        </w:rPr>
      </w:pPr>
      <w:r w:rsidRPr="00361FEA">
        <w:rPr>
          <w:rFonts w:ascii="Arial" w:eastAsia="Calibri" w:hAnsi="Arial" w:cs="Arial"/>
          <w:sz w:val="21"/>
          <w:szCs w:val="21"/>
          <w:lang w:val="es-MX"/>
        </w:rPr>
        <w:t xml:space="preserve">“La supervisión consistirá en el seguimiento técnico, administrativo, financiero, contable, y jurídico </w:t>
      </w:r>
      <w:proofErr w:type="gramStart"/>
      <w:r w:rsidRPr="00361FEA">
        <w:rPr>
          <w:rFonts w:ascii="Arial" w:eastAsia="Calibri" w:hAnsi="Arial" w:cs="Arial"/>
          <w:sz w:val="21"/>
          <w:szCs w:val="21"/>
          <w:lang w:val="es-MX"/>
        </w:rPr>
        <w:t>que</w:t>
      </w:r>
      <w:proofErr w:type="gramEnd"/>
      <w:r w:rsidRPr="00361FEA">
        <w:rPr>
          <w:rFonts w:ascii="Arial" w:eastAsia="Calibri" w:hAnsi="Arial" w:cs="Arial"/>
          <w:sz w:val="21"/>
          <w:szCs w:val="21"/>
          <w:lang w:val="es-MX"/>
        </w:rPr>
        <w:t xml:space="preserve"> sobre el cumplimiento del objeto del contrato, es ejercida por la misma entidad estatal cuando no requieren conocimientos especializados. </w:t>
      </w:r>
      <w:r w:rsidRPr="00361FEA">
        <w:rPr>
          <w:rFonts w:ascii="Arial" w:eastAsia="Calibri" w:hAnsi="Arial" w:cs="Arial"/>
          <w:sz w:val="21"/>
          <w:szCs w:val="21"/>
          <w:lang w:val="es-MX"/>
        </w:rPr>
        <w:lastRenderedPageBreak/>
        <w:t>Para la supervisión, la Entidad estatal podrá contratar personal de apoyo, a través de los contratos de prestación de servicios que sean requeridos.</w:t>
      </w:r>
    </w:p>
    <w:p w14:paraId="6A12584E" w14:textId="77777777" w:rsidR="00E23AAB" w:rsidRPr="00361FEA" w:rsidRDefault="00E23AAB" w:rsidP="00E23AAB">
      <w:pPr>
        <w:spacing w:after="0" w:line="240" w:lineRule="auto"/>
        <w:ind w:left="709" w:right="709"/>
        <w:jc w:val="both"/>
        <w:rPr>
          <w:rFonts w:ascii="Arial" w:eastAsia="Calibri" w:hAnsi="Arial" w:cs="Arial"/>
          <w:sz w:val="21"/>
          <w:szCs w:val="21"/>
          <w:lang w:val="es-MX"/>
        </w:rPr>
      </w:pPr>
      <w:r w:rsidRPr="00361FEA">
        <w:rPr>
          <w:rFonts w:ascii="Arial" w:eastAsia="Calibri" w:hAnsi="Arial" w:cs="Arial"/>
          <w:sz w:val="21"/>
          <w:szCs w:val="21"/>
          <w:lang w:val="es-MX"/>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361FEA">
        <w:rPr>
          <w:rFonts w:ascii="Arial" w:eastAsia="Calibri" w:hAnsi="Arial" w:cs="Arial"/>
          <w:sz w:val="21"/>
          <w:szCs w:val="21"/>
          <w:lang w:val="es-MX"/>
        </w:rPr>
        <w:t>del mismo</w:t>
      </w:r>
      <w:proofErr w:type="gramEnd"/>
      <w:r w:rsidRPr="00361FEA">
        <w:rPr>
          <w:rFonts w:ascii="Arial" w:eastAsia="Calibri" w:hAnsi="Arial" w:cs="Arial"/>
          <w:sz w:val="21"/>
          <w:szCs w:val="21"/>
          <w:lang w:val="es-MX"/>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5CD293A2" w14:textId="77777777" w:rsidR="00E23AAB" w:rsidRPr="00361FEA" w:rsidRDefault="00E23AAB" w:rsidP="00E23AAB">
      <w:pPr>
        <w:spacing w:after="0" w:line="276" w:lineRule="auto"/>
        <w:jc w:val="both"/>
        <w:rPr>
          <w:rFonts w:ascii="Arial" w:eastAsia="Calibri" w:hAnsi="Arial" w:cs="Arial"/>
          <w:sz w:val="24"/>
          <w:lang w:val="es-ES"/>
        </w:rPr>
      </w:pPr>
    </w:p>
    <w:p w14:paraId="15768BE4" w14:textId="77777777" w:rsidR="00E23AAB" w:rsidRPr="00361FEA" w:rsidRDefault="00E23AAB" w:rsidP="00E23AAB">
      <w:pPr>
        <w:spacing w:after="0" w:line="276" w:lineRule="auto"/>
        <w:ind w:firstLine="709"/>
        <w:jc w:val="both"/>
        <w:rPr>
          <w:rFonts w:ascii="Arial" w:eastAsia="Calibri" w:hAnsi="Arial" w:cs="Arial"/>
          <w:lang w:val="es-MX"/>
        </w:rPr>
      </w:pPr>
      <w:r w:rsidRPr="00361FEA">
        <w:rPr>
          <w:rFonts w:ascii="Arial" w:eastAsia="Calibri" w:hAnsi="Arial" w:cs="Arial"/>
          <w:lang w:val="es-MX"/>
        </w:rPr>
        <w:t xml:space="preserve">De este modo, la interventoría: i) será un mecanismo de vigilancia contingente en la medida que solo es obligatorio para el seguimiento de los contratos de obra adjudicados por licitación pública </w:t>
      </w:r>
      <w:r w:rsidRPr="00E23AAB">
        <w:rPr>
          <w:rFonts w:ascii="Arial" w:eastAsia="Calibri" w:hAnsi="Arial" w:cs="Arial"/>
          <w:lang w:val="es-MX"/>
        </w:rPr>
        <w:t>‒</w:t>
      </w:r>
      <w:r w:rsidRPr="00361FEA">
        <w:rPr>
          <w:rFonts w:ascii="Arial" w:eastAsia="Calibri" w:hAnsi="Arial" w:cs="Arial"/>
          <w:lang w:val="es-MX"/>
        </w:rPr>
        <w:t>art. 32, numeral 1</w:t>
      </w:r>
      <w:r w:rsidRPr="00E23AAB">
        <w:rPr>
          <w:rFonts w:ascii="Arial" w:eastAsia="Calibri" w:hAnsi="Arial" w:cs="Arial"/>
          <w:lang w:val="es-MX"/>
        </w:rPr>
        <w:t>‒</w:t>
      </w:r>
      <w:r w:rsidRPr="00361FEA">
        <w:rPr>
          <w:rFonts w:ascii="Arial" w:eastAsia="Calibri" w:hAnsi="Arial" w:cs="Arial"/>
          <w:lang w:val="es-MX"/>
        </w:rPr>
        <w:t xml:space="preserve">; en los demás casos se requerirá cuando “el seguimiento del contrato suponga conocimiento especializado en la materia, o cuando la complejidad o la extensión </w:t>
      </w:r>
      <w:proofErr w:type="gramStart"/>
      <w:r w:rsidRPr="00361FEA">
        <w:rPr>
          <w:rFonts w:ascii="Arial" w:eastAsia="Calibri" w:hAnsi="Arial" w:cs="Arial"/>
          <w:lang w:val="es-MX"/>
        </w:rPr>
        <w:t>del mismo</w:t>
      </w:r>
      <w:proofErr w:type="gramEnd"/>
      <w:r w:rsidRPr="00361FEA">
        <w:rPr>
          <w:rFonts w:ascii="Arial" w:eastAsia="Calibri" w:hAnsi="Arial" w:cs="Arial"/>
          <w:lang w:val="es-MX"/>
        </w:rPr>
        <w:t xml:space="preserve"> lo justifiquen” </w:t>
      </w:r>
      <w:r w:rsidRPr="00E23AAB">
        <w:rPr>
          <w:rFonts w:ascii="Arial" w:eastAsia="Calibri" w:hAnsi="Arial" w:cs="Arial"/>
          <w:lang w:val="es-MX"/>
        </w:rPr>
        <w:t>‒</w:t>
      </w:r>
      <w:r w:rsidRPr="00361FEA">
        <w:rPr>
          <w:rFonts w:ascii="Arial" w:eastAsia="Calibri" w:hAnsi="Arial" w:cs="Arial"/>
          <w:lang w:val="es-MX"/>
        </w:rPr>
        <w:t>art. 83, Ley 1474 de 2011</w:t>
      </w:r>
      <w:r w:rsidRPr="00E23AAB">
        <w:rPr>
          <w:rFonts w:ascii="Arial" w:eastAsia="Calibri" w:hAnsi="Arial" w:cs="Arial"/>
          <w:lang w:val="es-MX"/>
        </w:rPr>
        <w:t>‒</w:t>
      </w:r>
      <w:r w:rsidRPr="00361FEA">
        <w:rPr>
          <w:rFonts w:ascii="Arial" w:eastAsia="Calibri" w:hAnsi="Arial" w:cs="Arial"/>
          <w:lang w:val="es-MX"/>
        </w:rPr>
        <w:t xml:space="preserve">. </w:t>
      </w:r>
      <w:proofErr w:type="spellStart"/>
      <w:r w:rsidRPr="00361FEA">
        <w:rPr>
          <w:rFonts w:ascii="Arial" w:eastAsia="Calibri" w:hAnsi="Arial" w:cs="Arial"/>
          <w:lang w:val="es-MX"/>
        </w:rPr>
        <w:t>ii</w:t>
      </w:r>
      <w:proofErr w:type="spellEnd"/>
      <w:r w:rsidRPr="00361FEA">
        <w:rPr>
          <w:rFonts w:ascii="Arial" w:eastAsia="Calibri" w:hAnsi="Arial" w:cs="Arial"/>
          <w:lang w:val="es-MX"/>
        </w:rPr>
        <w:t xml:space="preserve">) Este mecanismo de vigilancia exige, en su ejecución, la utilización de conocimientos especializados. </w:t>
      </w:r>
      <w:proofErr w:type="spellStart"/>
      <w:r w:rsidRPr="00361FEA">
        <w:rPr>
          <w:rFonts w:ascii="Arial" w:eastAsia="Calibri" w:hAnsi="Arial" w:cs="Arial"/>
          <w:lang w:val="es-MX"/>
        </w:rPr>
        <w:t>iii</w:t>
      </w:r>
      <w:proofErr w:type="spellEnd"/>
      <w:r w:rsidRPr="00361FEA">
        <w:rPr>
          <w:rFonts w:ascii="Arial" w:eastAsia="Calibri" w:hAnsi="Arial" w:cs="Arial"/>
          <w:lang w:val="es-MX"/>
        </w:rPr>
        <w:t xml:space="preserve">) Por lo anterior, la entidad contrata un experto a través de un concurso de méritos, al tratarse la interventoría de una especie del contrato de consultoría </w:t>
      </w:r>
      <w:r w:rsidRPr="00E23AAB">
        <w:rPr>
          <w:rFonts w:ascii="Arial" w:eastAsia="Calibri" w:hAnsi="Arial" w:cs="Arial"/>
          <w:lang w:val="es-MX"/>
        </w:rPr>
        <w:t>‒</w:t>
      </w:r>
      <w:r w:rsidRPr="00361FEA">
        <w:rPr>
          <w:rFonts w:ascii="Arial" w:eastAsia="Calibri" w:hAnsi="Arial" w:cs="Arial"/>
          <w:lang w:val="es-MX"/>
        </w:rPr>
        <w:t>art. 32, numeral 2, inciso 2, Ley 80 de 1993</w:t>
      </w:r>
      <w:r w:rsidRPr="00361FEA">
        <w:rPr>
          <w:rFonts w:ascii="Arial" w:eastAsia="Calibri" w:hAnsi="Arial" w:cs="Arial"/>
          <w:vertAlign w:val="superscript"/>
          <w:lang w:val="es-MX"/>
        </w:rPr>
        <w:footnoteReference w:id="3"/>
      </w:r>
      <w:r w:rsidRPr="00E23AAB">
        <w:rPr>
          <w:rFonts w:ascii="Arial" w:eastAsia="Calibri" w:hAnsi="Arial" w:cs="Arial"/>
          <w:lang w:val="es-MX"/>
        </w:rPr>
        <w:t>‒</w:t>
      </w:r>
      <w:r w:rsidRPr="00361FEA">
        <w:rPr>
          <w:rFonts w:ascii="Arial" w:eastAsia="Calibri" w:hAnsi="Arial" w:cs="Arial"/>
          <w:lang w:val="es-MX"/>
        </w:rPr>
        <w:t xml:space="preserve">, de manera que la interventoría es realizada por una “persona natural o jurídica contratada para tal fin por la Entidad Estatal” </w:t>
      </w:r>
      <w:r w:rsidRPr="00E23AAB">
        <w:rPr>
          <w:rFonts w:ascii="Arial" w:eastAsia="Calibri" w:hAnsi="Arial" w:cs="Arial"/>
          <w:lang w:val="es-MX"/>
        </w:rPr>
        <w:t>‒</w:t>
      </w:r>
      <w:r w:rsidRPr="00361FEA">
        <w:rPr>
          <w:rFonts w:ascii="Arial" w:eastAsia="Calibri" w:hAnsi="Arial" w:cs="Arial"/>
          <w:lang w:val="es-MX"/>
        </w:rPr>
        <w:t>art. 83, Ley 1474</w:t>
      </w:r>
      <w:r w:rsidRPr="00E23AAB">
        <w:rPr>
          <w:rFonts w:ascii="Arial" w:eastAsia="Calibri" w:hAnsi="Arial" w:cs="Arial"/>
          <w:lang w:val="es-MX"/>
        </w:rPr>
        <w:t>‒</w:t>
      </w:r>
      <w:r w:rsidRPr="00361FEA">
        <w:rPr>
          <w:rFonts w:ascii="Arial" w:eastAsia="Calibri" w:hAnsi="Arial" w:cs="Arial"/>
          <w:lang w:val="es-MX"/>
        </w:rPr>
        <w:t xml:space="preserve">. </w:t>
      </w:r>
      <w:proofErr w:type="spellStart"/>
      <w:r w:rsidRPr="00361FEA">
        <w:rPr>
          <w:rFonts w:ascii="Arial" w:eastAsia="Calibri" w:hAnsi="Arial" w:cs="Arial"/>
          <w:lang w:val="es-MX"/>
        </w:rPr>
        <w:t>iv</w:t>
      </w:r>
      <w:proofErr w:type="spellEnd"/>
      <w:r w:rsidRPr="00361FEA">
        <w:rPr>
          <w:rFonts w:ascii="Arial" w:eastAsia="Calibri" w:hAnsi="Arial" w:cs="Arial"/>
          <w:lang w:val="es-MX"/>
        </w:rP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w:t>
      </w:r>
      <w:r w:rsidRPr="00E23AAB">
        <w:rPr>
          <w:rFonts w:ascii="Arial" w:eastAsia="Calibri" w:hAnsi="Arial" w:cs="Arial"/>
          <w:lang w:val="es-MX"/>
        </w:rPr>
        <w:t>‒</w:t>
      </w:r>
      <w:r w:rsidRPr="00361FEA">
        <w:rPr>
          <w:rFonts w:ascii="Arial" w:eastAsia="Calibri" w:hAnsi="Arial" w:cs="Arial"/>
          <w:lang w:val="es-MX"/>
        </w:rPr>
        <w:t>art. 83, inciso 3</w:t>
      </w:r>
      <w:r w:rsidRPr="00E23AAB">
        <w:rPr>
          <w:rFonts w:ascii="Arial" w:eastAsia="Calibri" w:hAnsi="Arial" w:cs="Arial"/>
          <w:lang w:val="es-MX"/>
        </w:rPr>
        <w:t>‒</w:t>
      </w:r>
      <w:r w:rsidRPr="00361FEA">
        <w:rPr>
          <w:rFonts w:ascii="Arial" w:eastAsia="Calibri" w:hAnsi="Arial" w:cs="Arial"/>
          <w:lang w:val="es-MX"/>
        </w:rPr>
        <w:t xml:space="preserve">. Finalmente, vi) el contrato de interventoría será supervisado directamente por la entidad </w:t>
      </w:r>
      <w:r w:rsidRPr="00E23AAB">
        <w:rPr>
          <w:rFonts w:ascii="Arial" w:eastAsia="Calibri" w:hAnsi="Arial" w:cs="Arial"/>
          <w:lang w:val="es-MX"/>
        </w:rPr>
        <w:t>‒</w:t>
      </w:r>
      <w:r w:rsidRPr="00361FEA">
        <w:rPr>
          <w:rFonts w:ascii="Arial" w:eastAsia="Calibri" w:hAnsi="Arial" w:cs="Arial"/>
          <w:lang w:val="es-MX"/>
        </w:rPr>
        <w:t>art. 83, inciso 4</w:t>
      </w:r>
      <w:r w:rsidRPr="00E23AAB">
        <w:rPr>
          <w:rFonts w:ascii="Arial" w:eastAsia="Calibri" w:hAnsi="Arial" w:cs="Arial"/>
          <w:lang w:val="es-MX"/>
        </w:rPr>
        <w:t>‒</w:t>
      </w:r>
      <w:r w:rsidRPr="00361FEA">
        <w:rPr>
          <w:rFonts w:ascii="Arial" w:eastAsia="Calibri" w:hAnsi="Arial" w:cs="Arial"/>
          <w:lang w:val="es-MX"/>
        </w:rPr>
        <w:t>.</w:t>
      </w:r>
    </w:p>
    <w:p w14:paraId="7FE15BBA" w14:textId="77777777" w:rsidR="00E23AAB" w:rsidRPr="00361FEA" w:rsidRDefault="00E23AAB" w:rsidP="00E23AAB">
      <w:pPr>
        <w:spacing w:before="120" w:after="0" w:line="276" w:lineRule="auto"/>
        <w:ind w:firstLine="709"/>
        <w:jc w:val="both"/>
        <w:rPr>
          <w:rFonts w:ascii="Arial" w:eastAsia="Calibri" w:hAnsi="Arial" w:cs="Arial"/>
          <w:lang w:val="es-MX"/>
        </w:rPr>
      </w:pPr>
      <w:r w:rsidRPr="00361FEA">
        <w:rPr>
          <w:rFonts w:ascii="Arial" w:eastAsia="Calibri" w:hAnsi="Arial" w:cs="Arial"/>
          <w:lang w:val="es-MX"/>
        </w:rPr>
        <w:t xml:space="preserve">De lo anterior se desprende que el interventor es un contratista externo a la entidad estatal y al contratista vigilado, de manera que es seleccionado por la entidad estatal mediante los procedimientos del artículo 2 de la Ley 1150 de 2007, en principio, a través del concurso de méritos. 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w:t>
      </w:r>
      <w:r w:rsidRPr="00361FEA">
        <w:rPr>
          <w:rFonts w:ascii="Arial" w:eastAsia="Calibri" w:hAnsi="Arial" w:cs="Arial"/>
          <w:lang w:val="es-MX"/>
        </w:rPr>
        <w:lastRenderedPageBreak/>
        <w:t xml:space="preserve">alguna de las causales establecidas en el artículo 2 de la Ley 1150 de 2007, que dé lugar a acudir a otra modalidad de selección. </w:t>
      </w:r>
    </w:p>
    <w:p w14:paraId="0388EDBA" w14:textId="77777777" w:rsidR="00E23AAB" w:rsidRPr="00361FEA" w:rsidRDefault="00E23AAB" w:rsidP="00E23AAB">
      <w:pPr>
        <w:spacing w:before="120" w:after="0" w:line="276" w:lineRule="auto"/>
        <w:ind w:firstLine="709"/>
        <w:jc w:val="both"/>
        <w:rPr>
          <w:rFonts w:ascii="Arial" w:eastAsia="Calibri" w:hAnsi="Arial" w:cs="Arial"/>
          <w:color w:val="000000"/>
          <w:lang w:val="es-MX"/>
        </w:rPr>
      </w:pPr>
      <w:r w:rsidRPr="00361FEA">
        <w:rPr>
          <w:rFonts w:ascii="Arial" w:eastAsia="Calibri" w:hAnsi="Arial" w:cs="Arial"/>
          <w:color w:val="000000"/>
          <w:lang w:val="es-MX"/>
        </w:rPr>
        <w:t>El interventor contratado usará las facultades previstas en el artículo 84 de la Ley 1474 de 2011 para hacer el seguimiento al cumplimiento obligacional del contrato y estará sometido a los deberes y responsabilidades que implica el ejercicio de dicha actividad. De esta forma, aun cuando el contrato de interventoría se celebra con un tercero a quien se le confía la labor de vigilar la ejecución idónea de otro contrato, por lo general un contrato de obra pública, aquel actúa con facultades similares a las que tiene la entidad estatal cuando ejerce la supervisión por su propia cuenta. Lo anterior en la medida que ambos son mecanismos a través de los cuales las entidades cumplen el deber de vigilar la correcta ejecución de los contratos, por lo que comparten una finalidad común.</w:t>
      </w:r>
    </w:p>
    <w:p w14:paraId="3714B57D" w14:textId="77777777" w:rsidR="00E23AAB" w:rsidRPr="00361FEA" w:rsidRDefault="00E23AAB" w:rsidP="00E23AAB">
      <w:pPr>
        <w:spacing w:before="120" w:after="0" w:line="276" w:lineRule="auto"/>
        <w:ind w:firstLine="709"/>
        <w:jc w:val="both"/>
        <w:rPr>
          <w:rFonts w:ascii="Arial" w:eastAsia="Calibri" w:hAnsi="Arial" w:cs="Arial"/>
          <w:color w:val="000000"/>
          <w:lang w:val="es-MX"/>
        </w:rPr>
      </w:pPr>
      <w:r w:rsidRPr="00361FEA">
        <w:rPr>
          <w:rFonts w:ascii="Arial" w:eastAsia="Calibri" w:hAnsi="Arial" w:cs="Arial"/>
          <w:color w:val="000000"/>
          <w:lang w:val="es-MX"/>
        </w:rPr>
        <w:t>Ahora bien, el contrato de interventoría supone la existencia de otro contrato –es decir, el contrato vigilado–, y por eso la jurisprudencia ha caracterizado la interventoría como un negocio jurídico íntimamente relacionado en su objeto con el contrato respecto del que ejerce las actividades del interventor</w:t>
      </w:r>
      <w:r w:rsidRPr="00361FEA">
        <w:rPr>
          <w:rFonts w:ascii="Arial" w:eastAsia="Calibri" w:hAnsi="Arial" w:cs="Arial"/>
          <w:color w:val="000000"/>
          <w:vertAlign w:val="superscript"/>
          <w:lang w:val="es-MX"/>
        </w:rPr>
        <w:footnoteReference w:id="4"/>
      </w:r>
      <w:r w:rsidRPr="00361FEA">
        <w:rPr>
          <w:rFonts w:ascii="Arial" w:eastAsia="Calibri" w:hAnsi="Arial" w:cs="Arial"/>
          <w:color w:val="000000"/>
          <w:lang w:val="es-MX"/>
        </w:rPr>
        <w:t>. No obstante, a pesar de lo anterior, el contrato de interventoría es independiente del otro contrato en aspectos específicos como, por ejemplo, la prórroga y el incumplimiento. En efecto, la prórroga de la obra no implica de suyo la del interventor, aunque puede realizarse cumpliendo las solemnidades de ley; además, el incumplimiento del contrato vigilado, como lo sería un contrato de obra, no significa por sí solo el incumplimiento del de interventoría</w:t>
      </w:r>
      <w:r w:rsidRPr="00361FEA">
        <w:rPr>
          <w:rFonts w:ascii="Arial" w:eastAsia="Calibri" w:hAnsi="Arial" w:cs="Arial"/>
          <w:color w:val="000000"/>
          <w:vertAlign w:val="superscript"/>
          <w:lang w:val="es-MX"/>
        </w:rPr>
        <w:footnoteReference w:id="5"/>
      </w:r>
      <w:r w:rsidRPr="00361FEA">
        <w:rPr>
          <w:rFonts w:ascii="Arial" w:eastAsia="Calibri" w:hAnsi="Arial" w:cs="Arial"/>
          <w:color w:val="000000"/>
          <w:lang w:val="es-MX"/>
        </w:rPr>
        <w:t xml:space="preserve">.  </w:t>
      </w:r>
    </w:p>
    <w:p w14:paraId="308349BD" w14:textId="77777777" w:rsidR="00E23AAB" w:rsidRPr="00361FEA" w:rsidRDefault="00E23AAB" w:rsidP="00E23AAB">
      <w:pPr>
        <w:spacing w:before="120" w:after="120" w:line="276" w:lineRule="auto"/>
        <w:ind w:firstLine="709"/>
        <w:jc w:val="both"/>
        <w:rPr>
          <w:rFonts w:ascii="Arial" w:eastAsia="Calibri" w:hAnsi="Arial" w:cs="Arial"/>
          <w:color w:val="000000"/>
          <w:lang w:val="es-MX"/>
        </w:rPr>
      </w:pPr>
      <w:r w:rsidRPr="00361FEA">
        <w:rPr>
          <w:rFonts w:ascii="Arial" w:eastAsia="Calibri" w:hAnsi="Arial" w:cs="Arial"/>
          <w:color w:val="000000"/>
          <w:lang w:val="es-MX"/>
        </w:rPr>
        <w:t xml:space="preserve">El contrato de interventoría es un contrato bilateral, conmutativo y oneroso, por lo que crea obligaciones tanto para la entidad contratante como para el contratista interventor. Asimismo, este contrato es de ejecución sucesiva, toda vez que, las prestaciones se prologan en el tiempo, es decir, la satisfacción de las prestaciones no se da con la prestación de un solo servicio, sino que se requiere el desarrollo de dicha actividad durante un periodo de tiempo. No obstante, también puede ser de ejecución inmediata dado que la interventoría recae sobre obligaciones, y en tal sentido, puede recaer una o algunas </w:t>
      </w:r>
      <w:r w:rsidRPr="00361FEA">
        <w:rPr>
          <w:rFonts w:ascii="Arial" w:eastAsia="Calibri" w:hAnsi="Arial" w:cs="Arial"/>
          <w:color w:val="000000"/>
          <w:lang w:val="es-MX"/>
        </w:rPr>
        <w:lastRenderedPageBreak/>
        <w:t>obligaciones de un contrato que sea de ejecución instantánea, en esa medida la interventora compartiría su naturaleza siendo no de ejecución sucesiva sino instantánea</w:t>
      </w:r>
      <w:r w:rsidRPr="00361FEA">
        <w:rPr>
          <w:rFonts w:ascii="Arial" w:eastAsia="Calibri" w:hAnsi="Arial" w:cs="Arial"/>
          <w:color w:val="000000"/>
          <w:vertAlign w:val="superscript"/>
          <w:lang w:val="es-MX"/>
        </w:rPr>
        <w:footnoteReference w:id="6"/>
      </w:r>
      <w:r w:rsidRPr="00361FEA">
        <w:rPr>
          <w:rFonts w:ascii="Arial" w:eastAsia="Calibri" w:hAnsi="Arial" w:cs="Arial"/>
          <w:color w:val="000000"/>
          <w:lang w:val="es-MX"/>
        </w:rPr>
        <w:t xml:space="preserve">. </w:t>
      </w:r>
    </w:p>
    <w:p w14:paraId="37B09C85" w14:textId="77777777" w:rsidR="00E23AAB" w:rsidRPr="00361FEA" w:rsidRDefault="00E23AAB" w:rsidP="00E23AAB">
      <w:pPr>
        <w:spacing w:after="0" w:line="276" w:lineRule="auto"/>
        <w:ind w:firstLine="709"/>
        <w:jc w:val="both"/>
        <w:rPr>
          <w:rFonts w:ascii="Arial" w:hAnsi="Arial" w:cs="Arial"/>
          <w:color w:val="000000" w:themeColor="text1"/>
          <w:kern w:val="2"/>
          <w:lang w:val="es-ES_tradnl"/>
          <w14:ligatures w14:val="standardContextual"/>
        </w:rPr>
      </w:pPr>
      <w:r w:rsidRPr="00361FEA">
        <w:rPr>
          <w:rFonts w:ascii="Arial" w:hAnsi="Arial" w:cs="Arial"/>
          <w:color w:val="000000" w:themeColor="text1"/>
          <w:kern w:val="2"/>
          <w:lang w:val="es-ES_tradnl"/>
          <w14:ligatures w14:val="standardContextual"/>
        </w:rPr>
        <w:t xml:space="preserve">Ahora bien, como se explicó previamente, las obligaciones del interventor se derivan de dos fuentes: i) las disposiciones normativas de carácter legal o reglamentario y </w:t>
      </w:r>
      <w:proofErr w:type="spellStart"/>
      <w:r w:rsidRPr="00361FEA">
        <w:rPr>
          <w:rFonts w:ascii="Arial" w:hAnsi="Arial" w:cs="Arial"/>
          <w:color w:val="000000" w:themeColor="text1"/>
          <w:kern w:val="2"/>
          <w:lang w:val="es-ES_tradnl"/>
          <w14:ligatures w14:val="standardContextual"/>
        </w:rPr>
        <w:t>ii</w:t>
      </w:r>
      <w:proofErr w:type="spellEnd"/>
      <w:r w:rsidRPr="00361FEA">
        <w:rPr>
          <w:rFonts w:ascii="Arial" w:hAnsi="Arial" w:cs="Arial"/>
          <w:color w:val="000000" w:themeColor="text1"/>
          <w:kern w:val="2"/>
          <w:lang w:val="es-ES_tradnl"/>
          <w14:ligatures w14:val="standardContextual"/>
        </w:rPr>
        <w:t xml:space="preserve">) el contrato –lo que incluye no solo la minuta, sino también el pliego de condiciones, o el documento 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el plazo de ejecución del contrato de interventoría vaya por un término adicional a la liquidación del contrato objeto de seguimiento, para que vigile el cumplimiento de las obligaciones </w:t>
      </w:r>
      <w:proofErr w:type="spellStart"/>
      <w:r w:rsidRPr="00361FEA">
        <w:rPr>
          <w:rFonts w:ascii="Arial" w:hAnsi="Arial" w:cs="Arial"/>
          <w:color w:val="000000" w:themeColor="text1"/>
          <w:kern w:val="2"/>
          <w:lang w:val="es-ES_tradnl"/>
          <w14:ligatures w14:val="standardContextual"/>
        </w:rPr>
        <w:t>post-contractuales</w:t>
      </w:r>
      <w:proofErr w:type="spellEnd"/>
      <w:r w:rsidRPr="00361FEA">
        <w:rPr>
          <w:rFonts w:ascii="Arial" w:hAnsi="Arial" w:cs="Arial"/>
          <w:color w:val="000000" w:themeColor="text1"/>
          <w:kern w:val="2"/>
          <w:lang w:val="es-ES_tradnl"/>
          <w14:ligatures w14:val="standardContextual"/>
        </w:rPr>
        <w:t xml:space="preserve"> que queden pendientes, salvaguardando el equilibrio económico del contrato de interventoría.</w:t>
      </w:r>
    </w:p>
    <w:p w14:paraId="0D717163" w14:textId="77777777" w:rsidR="00E23AAB" w:rsidRPr="00361FEA" w:rsidRDefault="00E23AAB" w:rsidP="00E23AAB">
      <w:pPr>
        <w:spacing w:after="0" w:line="276" w:lineRule="auto"/>
        <w:jc w:val="both"/>
        <w:rPr>
          <w:rFonts w:ascii="Arial" w:eastAsia="Calibri" w:hAnsi="Arial" w:cs="Arial"/>
          <w:color w:val="000000"/>
          <w:lang w:val="es-MX"/>
        </w:rPr>
      </w:pPr>
    </w:p>
    <w:p w14:paraId="541798FD" w14:textId="77777777" w:rsidR="00E23AAB" w:rsidRPr="00361FEA" w:rsidRDefault="00E23AAB" w:rsidP="00E23AAB">
      <w:pPr>
        <w:widowControl w:val="0"/>
        <w:tabs>
          <w:tab w:val="left" w:pos="547"/>
        </w:tabs>
        <w:autoSpaceDE w:val="0"/>
        <w:autoSpaceDN w:val="0"/>
        <w:spacing w:after="0" w:line="240" w:lineRule="auto"/>
        <w:jc w:val="both"/>
        <w:outlineLvl w:val="0"/>
        <w:rPr>
          <w:rFonts w:ascii="Arial" w:eastAsia="Arial" w:hAnsi="Arial" w:cs="Arial"/>
          <w:b/>
          <w:lang w:val="es-ES"/>
        </w:rPr>
      </w:pPr>
      <w:r w:rsidRPr="00361FEA">
        <w:rPr>
          <w:rFonts w:ascii="Arial" w:eastAsia="Arial" w:hAnsi="Arial" w:cs="Arial"/>
          <w:b/>
          <w:lang w:val="es-ES"/>
        </w:rPr>
        <w:t>2.3 Liquidación</w:t>
      </w:r>
      <w:r w:rsidRPr="00361FEA">
        <w:rPr>
          <w:rFonts w:ascii="Arial" w:eastAsia="Arial" w:hAnsi="Arial" w:cs="Arial"/>
          <w:b/>
          <w:spacing w:val="-6"/>
          <w:lang w:val="es-ES"/>
        </w:rPr>
        <w:t xml:space="preserve"> </w:t>
      </w:r>
      <w:r w:rsidRPr="00361FEA">
        <w:rPr>
          <w:rFonts w:ascii="Arial" w:eastAsia="Arial" w:hAnsi="Arial" w:cs="Arial"/>
          <w:b/>
          <w:lang w:val="es-ES"/>
        </w:rPr>
        <w:t>de</w:t>
      </w:r>
      <w:r w:rsidRPr="00361FEA">
        <w:rPr>
          <w:rFonts w:ascii="Arial" w:eastAsia="Arial" w:hAnsi="Arial" w:cs="Arial"/>
          <w:b/>
          <w:spacing w:val="-6"/>
          <w:lang w:val="es-ES"/>
        </w:rPr>
        <w:t xml:space="preserve"> </w:t>
      </w:r>
      <w:r w:rsidRPr="00361FEA">
        <w:rPr>
          <w:rFonts w:ascii="Arial" w:eastAsia="Arial" w:hAnsi="Arial" w:cs="Arial"/>
          <w:b/>
          <w:lang w:val="es-ES"/>
        </w:rPr>
        <w:t>los</w:t>
      </w:r>
      <w:r w:rsidRPr="00361FEA">
        <w:rPr>
          <w:rFonts w:ascii="Arial" w:eastAsia="Arial" w:hAnsi="Arial" w:cs="Arial"/>
          <w:b/>
          <w:spacing w:val="-6"/>
          <w:lang w:val="es-ES"/>
        </w:rPr>
        <w:t xml:space="preserve"> </w:t>
      </w:r>
      <w:r w:rsidRPr="00361FEA">
        <w:rPr>
          <w:rFonts w:ascii="Arial" w:eastAsia="Arial" w:hAnsi="Arial" w:cs="Arial"/>
          <w:b/>
          <w:lang w:val="es-ES"/>
        </w:rPr>
        <w:t>contratos</w:t>
      </w:r>
      <w:r w:rsidRPr="00361FEA">
        <w:rPr>
          <w:rFonts w:ascii="Arial" w:eastAsia="Arial" w:hAnsi="Arial" w:cs="Arial"/>
          <w:b/>
          <w:spacing w:val="-5"/>
          <w:lang w:val="es-ES"/>
        </w:rPr>
        <w:t xml:space="preserve"> </w:t>
      </w:r>
      <w:r w:rsidRPr="00361FEA">
        <w:rPr>
          <w:rFonts w:ascii="Arial" w:eastAsia="Arial" w:hAnsi="Arial" w:cs="Arial"/>
          <w:b/>
          <w:lang w:val="es-ES"/>
        </w:rPr>
        <w:t>estatales</w:t>
      </w:r>
    </w:p>
    <w:p w14:paraId="2854FA54" w14:textId="77777777" w:rsidR="00E23AAB" w:rsidRPr="00361FEA" w:rsidRDefault="00E23AAB" w:rsidP="00E23AAB">
      <w:pPr>
        <w:spacing w:after="0" w:line="276" w:lineRule="auto"/>
        <w:jc w:val="both"/>
        <w:rPr>
          <w:rFonts w:ascii="Arial" w:eastAsia="Calibri" w:hAnsi="Arial" w:cs="Arial"/>
          <w:sz w:val="20"/>
          <w:szCs w:val="20"/>
          <w:lang w:val="es-ES_tradnl"/>
        </w:rPr>
      </w:pPr>
    </w:p>
    <w:p w14:paraId="5F1428E1" w14:textId="77777777" w:rsidR="00E23AAB" w:rsidRPr="00361FEA" w:rsidRDefault="00E23AAB" w:rsidP="00E23AAB">
      <w:pPr>
        <w:spacing w:after="0" w:line="276" w:lineRule="auto"/>
        <w:jc w:val="both"/>
        <w:rPr>
          <w:rFonts w:ascii="Arial" w:hAnsi="Arial" w:cs="Arial"/>
          <w:color w:val="000000" w:themeColor="text1"/>
          <w:lang w:val="es-ES_tradnl"/>
        </w:rPr>
      </w:pPr>
      <w:r w:rsidRPr="00361FEA">
        <w:rPr>
          <w:rFonts w:ascii="Arial" w:hAnsi="Arial" w:cs="Arial"/>
          <w:color w:val="000000" w:themeColor="text1"/>
          <w:lang w:val="es-ES_tradnl"/>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w:t>
      </w:r>
      <w:r w:rsidRPr="00361FEA">
        <w:rPr>
          <w:rFonts w:ascii="Arial" w:hAnsi="Arial" w:cs="Arial"/>
          <w:color w:val="000000" w:themeColor="text1"/>
          <w:vertAlign w:val="superscript"/>
          <w:lang w:val="es-ES_tradnl"/>
        </w:rPr>
        <w:footnoteReference w:id="7"/>
      </w:r>
      <w:r w:rsidRPr="00361FEA">
        <w:rPr>
          <w:rFonts w:ascii="Arial" w:hAnsi="Arial" w:cs="Arial"/>
          <w:color w:val="000000" w:themeColor="text1"/>
          <w:lang w:val="es-ES_tradnl"/>
        </w:rPr>
        <w:t>. En armonía con lo anterior, la doctrina ha definido la liquidación de la siguiente manera:</w:t>
      </w:r>
    </w:p>
    <w:p w14:paraId="23711AB4" w14:textId="77777777" w:rsidR="00E23AAB" w:rsidRPr="00361FEA" w:rsidRDefault="00E23AAB" w:rsidP="00E23AAB">
      <w:pPr>
        <w:spacing w:after="0" w:line="276" w:lineRule="auto"/>
        <w:jc w:val="both"/>
        <w:rPr>
          <w:rFonts w:ascii="Arial" w:hAnsi="Arial" w:cs="Arial"/>
          <w:color w:val="000000" w:themeColor="text1"/>
          <w:lang w:val="es-ES_tradnl"/>
        </w:rPr>
      </w:pPr>
    </w:p>
    <w:p w14:paraId="451A327F" w14:textId="77777777" w:rsidR="00E23AAB" w:rsidRPr="00361FEA" w:rsidRDefault="00E23AAB" w:rsidP="00E23AAB">
      <w:pPr>
        <w:spacing w:after="0" w:line="240" w:lineRule="auto"/>
        <w:ind w:left="709" w:right="758"/>
        <w:jc w:val="both"/>
        <w:rPr>
          <w:rFonts w:ascii="Arial" w:hAnsi="Arial" w:cs="Arial"/>
          <w:sz w:val="21"/>
          <w:szCs w:val="21"/>
          <w:lang w:val="es-MX"/>
        </w:rPr>
      </w:pPr>
      <w:r w:rsidRPr="00361FEA">
        <w:rPr>
          <w:rFonts w:ascii="Arial" w:hAnsi="Arial" w:cs="Arial"/>
          <w:i/>
          <w:color w:val="000000" w:themeColor="text1"/>
          <w:sz w:val="21"/>
          <w:szCs w:val="21"/>
          <w:lang w:val="es-ES_tradnl"/>
        </w:rPr>
        <w:lastRenderedPageBreak/>
        <w:t>“</w:t>
      </w:r>
      <w:r w:rsidRPr="00361FEA">
        <w:rPr>
          <w:rFonts w:ascii="Arial" w:hAnsi="Arial" w:cs="Arial"/>
          <w:sz w:val="21"/>
          <w:szCs w:val="21"/>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w:t>
      </w:r>
      <w:proofErr w:type="spellStart"/>
      <w:r w:rsidRPr="00361FEA">
        <w:rPr>
          <w:rFonts w:ascii="Arial" w:hAnsi="Arial" w:cs="Arial"/>
          <w:sz w:val="21"/>
          <w:szCs w:val="21"/>
          <w:lang w:val="es-MX"/>
        </w:rPr>
        <w:t>ii</w:t>
      </w:r>
      <w:proofErr w:type="spellEnd"/>
      <w:r w:rsidRPr="00361FEA">
        <w:rPr>
          <w:rFonts w:ascii="Arial" w:hAnsi="Arial" w:cs="Arial"/>
          <w:sz w:val="21"/>
          <w:szCs w:val="21"/>
          <w:lang w:val="es-MX"/>
        </w:rPr>
        <w:t>) definir la situación jurídica de las partes, estableciendo si pueden constituirse o no a paz y salvo; lo que exige, en la práctica, que los negociantes dialoguen e intenten ponerse de acuerdo (aspecto subjetivo)”</w:t>
      </w:r>
      <w:r w:rsidRPr="00361FEA">
        <w:rPr>
          <w:rFonts w:ascii="Arial" w:hAnsi="Arial" w:cs="Arial"/>
          <w:sz w:val="21"/>
          <w:szCs w:val="21"/>
          <w:vertAlign w:val="superscript"/>
          <w:lang w:val="es-MX"/>
        </w:rPr>
        <w:footnoteReference w:id="8"/>
      </w:r>
      <w:r w:rsidRPr="00361FEA">
        <w:rPr>
          <w:rFonts w:ascii="Arial" w:hAnsi="Arial" w:cs="Arial"/>
          <w:sz w:val="21"/>
          <w:szCs w:val="21"/>
          <w:lang w:val="es-MX"/>
        </w:rPr>
        <w:t xml:space="preserve">. </w:t>
      </w:r>
    </w:p>
    <w:p w14:paraId="19101A71" w14:textId="77777777" w:rsidR="00E23AAB" w:rsidRPr="00361FEA" w:rsidRDefault="00E23AAB" w:rsidP="00E23AAB">
      <w:pPr>
        <w:spacing w:after="0" w:line="240" w:lineRule="auto"/>
        <w:ind w:left="709" w:right="758"/>
        <w:jc w:val="both"/>
        <w:rPr>
          <w:rFonts w:ascii="Arial" w:hAnsi="Arial" w:cs="Arial"/>
          <w:sz w:val="21"/>
          <w:szCs w:val="21"/>
          <w:lang w:val="es-MX"/>
        </w:rPr>
      </w:pPr>
    </w:p>
    <w:p w14:paraId="19D30E89" w14:textId="77777777" w:rsidR="00E23AAB" w:rsidRPr="00361FEA" w:rsidRDefault="00E23AAB" w:rsidP="00E23AAB">
      <w:pPr>
        <w:spacing w:after="120" w:line="276" w:lineRule="auto"/>
        <w:ind w:firstLine="709"/>
        <w:jc w:val="both"/>
        <w:rPr>
          <w:rFonts w:ascii="Arial" w:hAnsi="Arial" w:cs="Arial"/>
          <w:color w:val="000000" w:themeColor="text1"/>
          <w:sz w:val="21"/>
          <w:szCs w:val="21"/>
          <w:lang w:val="es-ES_tradnl"/>
        </w:rPr>
      </w:pPr>
      <w:r w:rsidRPr="00361FEA">
        <w:rPr>
          <w:rFonts w:ascii="Arial" w:hAnsi="Arial" w:cs="Arial"/>
          <w:color w:val="000000" w:themeColor="text1"/>
          <w:lang w:val="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361FEA">
        <w:rPr>
          <w:rFonts w:ascii="Arial" w:hAnsi="Arial" w:cs="Arial"/>
          <w:i/>
          <w:color w:val="000000" w:themeColor="text1"/>
          <w:lang w:val="es-ES_tradnl"/>
        </w:rPr>
        <w:t>liquidar</w:t>
      </w:r>
      <w:r w:rsidRPr="00361FEA">
        <w:rPr>
          <w:rFonts w:ascii="Arial" w:hAnsi="Arial" w:cs="Arial"/>
          <w:color w:val="000000" w:themeColor="text1"/>
          <w:lang w:val="es-ES_tradnl"/>
        </w:rPr>
        <w:t xml:space="preserve"> supone un ajuste en relación con las cuentas y el estado de cumplimiento del contrato estatal y, por el otro, que la </w:t>
      </w:r>
      <w:r w:rsidRPr="00361FEA">
        <w:rPr>
          <w:rFonts w:ascii="Arial" w:hAnsi="Arial" w:cs="Arial"/>
          <w:i/>
          <w:color w:val="000000" w:themeColor="text1"/>
          <w:lang w:val="es-ES_tradnl"/>
        </w:rPr>
        <w:t>liquidación</w:t>
      </w:r>
      <w:r w:rsidRPr="00361FEA">
        <w:rPr>
          <w:rFonts w:ascii="Arial" w:hAnsi="Arial" w:cs="Arial"/>
          <w:color w:val="000000" w:themeColor="text1"/>
          <w:lang w:val="es-ES_tradnl"/>
        </w:rPr>
        <w:t xml:space="preserve"> debe incluir el análisis de las condiciones de calidad y oportunidad en la entrega de los bienes, obras o servicios, así como el balance económico y el comportamiento financiero del negocio</w:t>
      </w:r>
      <w:r w:rsidRPr="00361FEA">
        <w:rPr>
          <w:rFonts w:ascii="Arial" w:hAnsi="Arial" w:cs="Arial"/>
          <w:color w:val="000000" w:themeColor="text1"/>
          <w:vertAlign w:val="superscript"/>
          <w:lang w:val="es-ES_tradnl"/>
        </w:rPr>
        <w:footnoteReference w:id="9"/>
      </w:r>
      <w:r w:rsidRPr="00361FEA">
        <w:rPr>
          <w:rFonts w:ascii="Arial" w:hAnsi="Arial" w:cs="Arial"/>
          <w:color w:val="000000" w:themeColor="text1"/>
          <w:lang w:val="es-ES_tradnl"/>
        </w:rPr>
        <w:t xml:space="preserve">. </w:t>
      </w:r>
    </w:p>
    <w:p w14:paraId="50E15B0F" w14:textId="77777777" w:rsidR="00E23AAB" w:rsidRPr="00361FEA" w:rsidRDefault="00E23AAB" w:rsidP="00E23AAB">
      <w:pPr>
        <w:spacing w:after="0" w:line="276" w:lineRule="auto"/>
        <w:ind w:firstLine="709"/>
        <w:jc w:val="both"/>
        <w:rPr>
          <w:rFonts w:ascii="Arial" w:hAnsi="Arial" w:cs="Arial"/>
          <w:color w:val="000000" w:themeColor="text1"/>
          <w:lang w:val="es-ES_tradnl"/>
        </w:rPr>
      </w:pPr>
      <w:r w:rsidRPr="00361FEA">
        <w:rPr>
          <w:rFonts w:ascii="Arial" w:hAnsi="Arial" w:cs="Arial"/>
          <w:color w:val="000000" w:themeColor="text1"/>
          <w:lang w:val="es-ES_tradnl"/>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w:t>
      </w:r>
      <w:r w:rsidRPr="00361FEA">
        <w:rPr>
          <w:rFonts w:ascii="Arial" w:hAnsi="Arial" w:cs="Arial"/>
          <w:color w:val="000000" w:themeColor="text1"/>
          <w:lang w:val="es-ES_tradnl"/>
        </w:rPr>
        <w:lastRenderedPageBreak/>
        <w:t>segundo contiene reglas procedimentales para su realización. En relación con el artículo 60 referido, la doctrina ha indicado que:</w:t>
      </w:r>
    </w:p>
    <w:p w14:paraId="706F3E9D" w14:textId="77777777" w:rsidR="00E23AAB" w:rsidRPr="00361FEA" w:rsidRDefault="00E23AAB" w:rsidP="00E23AAB">
      <w:pPr>
        <w:spacing w:after="0" w:line="276" w:lineRule="auto"/>
        <w:ind w:firstLine="709"/>
        <w:jc w:val="both"/>
        <w:rPr>
          <w:rFonts w:ascii="Arial" w:hAnsi="Arial" w:cs="Arial"/>
          <w:color w:val="000000" w:themeColor="text1"/>
          <w:lang w:val="es-ES_tradnl"/>
        </w:rPr>
      </w:pPr>
    </w:p>
    <w:p w14:paraId="76C20A03" w14:textId="77777777" w:rsidR="00E23AAB" w:rsidRPr="00361FEA" w:rsidRDefault="00E23AAB" w:rsidP="00E23AAB">
      <w:pPr>
        <w:spacing w:after="0" w:line="240" w:lineRule="auto"/>
        <w:ind w:left="709" w:right="758"/>
        <w:jc w:val="both"/>
        <w:rPr>
          <w:rFonts w:ascii="Arial" w:hAnsi="Arial" w:cs="Arial"/>
          <w:i/>
          <w:color w:val="000000" w:themeColor="text1"/>
          <w:lang w:val="es-ES_tradnl"/>
        </w:rPr>
      </w:pPr>
      <w:r w:rsidRPr="00361FEA">
        <w:rPr>
          <w:rFonts w:ascii="Arial" w:hAnsi="Arial" w:cs="Arial"/>
          <w:i/>
          <w:color w:val="000000" w:themeColor="text1"/>
          <w:lang w:val="es-ES_tradnl"/>
        </w:rPr>
        <w:t>“</w:t>
      </w:r>
      <w:r w:rsidRPr="00361FEA">
        <w:rPr>
          <w:rFonts w:ascii="Arial" w:hAnsi="Arial" w:cs="Arial"/>
          <w:sz w:val="21"/>
          <w:szCs w:val="21"/>
          <w:lang w:val="es-MX"/>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361FEA">
        <w:rPr>
          <w:rFonts w:ascii="Arial" w:hAnsi="Arial" w:cs="Arial"/>
          <w:color w:val="000000"/>
          <w:sz w:val="21"/>
          <w:szCs w:val="21"/>
          <w:shd w:val="clear" w:color="auto" w:fill="FFFFFF"/>
          <w:vertAlign w:val="superscript"/>
          <w:lang w:val="es-MX"/>
        </w:rPr>
        <w:footnoteReference w:id="10"/>
      </w:r>
      <w:r w:rsidRPr="00361FEA">
        <w:rPr>
          <w:rFonts w:ascii="Arial" w:hAnsi="Arial" w:cs="Arial"/>
          <w:color w:val="000000"/>
          <w:sz w:val="21"/>
          <w:szCs w:val="21"/>
          <w:shd w:val="clear" w:color="auto" w:fill="FFFFFF"/>
          <w:lang w:val="es-MX"/>
        </w:rPr>
        <w:t>.</w:t>
      </w:r>
    </w:p>
    <w:p w14:paraId="0D071465" w14:textId="77777777" w:rsidR="00E23AAB" w:rsidRPr="00361FEA" w:rsidRDefault="00E23AAB" w:rsidP="00E23AAB">
      <w:pPr>
        <w:spacing w:after="0" w:line="240" w:lineRule="auto"/>
        <w:ind w:left="709" w:right="758"/>
        <w:jc w:val="both"/>
        <w:rPr>
          <w:rFonts w:ascii="Arial" w:hAnsi="Arial" w:cs="Arial"/>
          <w:color w:val="000000"/>
          <w:sz w:val="21"/>
          <w:szCs w:val="21"/>
          <w:shd w:val="clear" w:color="auto" w:fill="FFFFFF"/>
          <w:lang w:val="es-ES_tradnl"/>
        </w:rPr>
      </w:pPr>
    </w:p>
    <w:p w14:paraId="63A6318B" w14:textId="77777777" w:rsidR="00E23AAB" w:rsidRPr="00361FEA" w:rsidRDefault="00E23AAB" w:rsidP="00E23AAB">
      <w:pPr>
        <w:spacing w:after="0" w:line="276" w:lineRule="auto"/>
        <w:ind w:firstLine="709"/>
        <w:jc w:val="both"/>
        <w:rPr>
          <w:rFonts w:ascii="Arial" w:hAnsi="Arial" w:cs="Arial"/>
          <w:color w:val="000000" w:themeColor="text1"/>
          <w:lang w:val="es-ES_tradnl"/>
        </w:rPr>
      </w:pPr>
      <w:r w:rsidRPr="00361FEA">
        <w:rPr>
          <w:rFonts w:ascii="Arial" w:hAnsi="Arial" w:cs="Arial"/>
          <w:color w:val="000000" w:themeColor="text1"/>
          <w:lang w:val="es-ES_tradnl"/>
        </w:rPr>
        <w:t>Así las cosas, de acuerdo con el artículo 60 de la Ley 80 de 1993, los contratos de tracto sucesivo, aquellos cuyo cumplimiento o ejecución se prolongue en el tiempo y los demás que lo requieran “</w:t>
      </w:r>
      <w:r w:rsidRPr="00361FEA">
        <w:rPr>
          <w:rFonts w:ascii="Arial" w:hAnsi="Arial" w:cs="Arial"/>
          <w:i/>
          <w:color w:val="000000" w:themeColor="text1"/>
          <w:lang w:val="es-ES_tradnl"/>
        </w:rPr>
        <w:t>serán objeto de liquidación</w:t>
      </w:r>
      <w:r w:rsidRPr="00361FEA">
        <w:rPr>
          <w:rFonts w:ascii="Arial" w:hAnsi="Arial" w:cs="Arial"/>
          <w:color w:val="000000" w:themeColor="text1"/>
          <w:lang w:val="es-ES_tradnl"/>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361FEA">
        <w:rPr>
          <w:rFonts w:ascii="Arial" w:hAnsi="Arial" w:cs="Arial"/>
          <w:color w:val="000000" w:themeColor="text1"/>
          <w:vertAlign w:val="superscript"/>
          <w:lang w:val="es-ES_tradnl"/>
        </w:rPr>
        <w:footnoteReference w:id="11"/>
      </w:r>
      <w:r w:rsidRPr="00361FEA">
        <w:rPr>
          <w:rFonts w:ascii="Arial" w:hAnsi="Arial" w:cs="Arial"/>
          <w:color w:val="000000" w:themeColor="text1"/>
          <w:lang w:val="es-ES_tradnl"/>
        </w:rPr>
        <w:t xml:space="preserve">, así como la probabilidad de que puedan surgir diferencias durante la ejecución del contrato; sin perjuicio de que, como se indicó, todos los contratos estatales de </w:t>
      </w:r>
      <w:r w:rsidRPr="00361FEA">
        <w:rPr>
          <w:rFonts w:ascii="Arial" w:hAnsi="Arial" w:cs="Arial"/>
          <w:i/>
          <w:color w:val="000000" w:themeColor="text1"/>
          <w:lang w:val="es-ES_tradnl"/>
        </w:rPr>
        <w:t>tracto sucesivo</w:t>
      </w:r>
      <w:r w:rsidRPr="00361FEA">
        <w:rPr>
          <w:rFonts w:ascii="Arial" w:hAnsi="Arial" w:cs="Arial"/>
          <w:color w:val="000000" w:themeColor="text1"/>
          <w:lang w:val="es-ES_tradnl"/>
        </w:rPr>
        <w:t xml:space="preserve"> o aquellos cuya ejecución se prolongue en el tiempo siempre deban liquidarse, convirtiéndose en estos contratos en una cláusula de la naturaleza, conforme a la clasificación prevista en el Código Civil.</w:t>
      </w:r>
    </w:p>
    <w:p w14:paraId="79C78CF1" w14:textId="77777777" w:rsidR="00E23AAB" w:rsidRPr="00361FEA" w:rsidRDefault="00E23AAB" w:rsidP="00E23AAB">
      <w:pPr>
        <w:spacing w:after="0" w:line="276" w:lineRule="auto"/>
        <w:ind w:firstLine="708"/>
        <w:jc w:val="both"/>
        <w:rPr>
          <w:rFonts w:ascii="Arial" w:hAnsi="Arial" w:cs="Arial"/>
          <w:color w:val="000000" w:themeColor="text1"/>
          <w:lang w:val="es-ES_tradnl"/>
        </w:rPr>
      </w:pPr>
    </w:p>
    <w:p w14:paraId="7776E585" w14:textId="77777777" w:rsidR="00E23AAB" w:rsidRPr="00361FEA" w:rsidRDefault="00E23AAB" w:rsidP="00E23AAB">
      <w:pPr>
        <w:spacing w:after="0" w:line="276" w:lineRule="auto"/>
        <w:jc w:val="both"/>
        <w:rPr>
          <w:rFonts w:ascii="Arial" w:hAnsi="Arial" w:cs="Arial"/>
          <w:b/>
          <w:lang w:val="es-ES_tradnl"/>
        </w:rPr>
      </w:pPr>
      <w:r w:rsidRPr="00361FEA">
        <w:rPr>
          <w:rFonts w:ascii="Arial" w:hAnsi="Arial" w:cs="Arial"/>
          <w:b/>
          <w:lang w:val="es-ES_tradnl"/>
        </w:rPr>
        <w:t>2.2. Tipos de liquidación y término para efectuarla</w:t>
      </w:r>
    </w:p>
    <w:p w14:paraId="275015C8" w14:textId="77777777" w:rsidR="00E23AAB" w:rsidRPr="00361FEA" w:rsidRDefault="00E23AAB" w:rsidP="00E23AAB">
      <w:pPr>
        <w:spacing w:after="0" w:line="276" w:lineRule="auto"/>
        <w:jc w:val="both"/>
        <w:rPr>
          <w:rFonts w:ascii="Arial" w:hAnsi="Arial" w:cs="Arial"/>
          <w:b/>
          <w:lang w:val="es-ES_tradnl"/>
        </w:rPr>
      </w:pPr>
    </w:p>
    <w:p w14:paraId="466053E0" w14:textId="77777777" w:rsidR="00E23AAB" w:rsidRPr="00361FEA" w:rsidRDefault="00E23AAB" w:rsidP="00E23AAB">
      <w:pPr>
        <w:spacing w:after="0" w:line="276" w:lineRule="auto"/>
        <w:jc w:val="both"/>
        <w:rPr>
          <w:rFonts w:ascii="Arial" w:hAnsi="Arial" w:cs="Arial"/>
          <w:color w:val="000000" w:themeColor="text1"/>
          <w:lang w:val="es-ES_tradnl"/>
        </w:rPr>
      </w:pPr>
      <w:r w:rsidRPr="00361FEA">
        <w:rPr>
          <w:rFonts w:ascii="Arial" w:hAnsi="Arial" w:cs="Arial"/>
          <w:color w:val="000000" w:themeColor="text1"/>
          <w:lang w:val="es-ES_tradnl"/>
        </w:rPr>
        <w:t>El artículo 11 de la Ley 1150 de 2007</w:t>
      </w:r>
      <w:r w:rsidRPr="00361FEA">
        <w:rPr>
          <w:rFonts w:ascii="Arial" w:hAnsi="Arial" w:cs="Arial"/>
          <w:color w:val="000000" w:themeColor="text1"/>
          <w:vertAlign w:val="superscript"/>
          <w:lang w:val="es-ES_tradnl"/>
        </w:rPr>
        <w:footnoteReference w:id="12"/>
      </w:r>
      <w:r w:rsidRPr="00361FEA">
        <w:rPr>
          <w:rFonts w:ascii="Arial" w:hAnsi="Arial" w:cs="Arial"/>
          <w:color w:val="000000" w:themeColor="text1"/>
          <w:lang w:val="es-ES_tradnl"/>
        </w:rPr>
        <w:t xml:space="preserve"> contiene las reglas de tipo procedimental para liquidar los contratos estatales, las cuales se pasan a explicar. En primer lugar, en ejercicio </w:t>
      </w:r>
      <w:r w:rsidRPr="00361FEA">
        <w:rPr>
          <w:rFonts w:ascii="Arial" w:hAnsi="Arial" w:cs="Arial"/>
          <w:color w:val="000000" w:themeColor="text1"/>
          <w:lang w:val="es-ES_tradnl"/>
        </w:rPr>
        <w:lastRenderedPageBreak/>
        <w:t xml:space="preserve">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361FEA">
        <w:rPr>
          <w:rFonts w:ascii="Arial" w:hAnsi="Arial" w:cs="Arial"/>
          <w:color w:val="000000" w:themeColor="text1"/>
          <w:lang w:val="es-ES_tradnl"/>
        </w:rPr>
        <w:t>ii</w:t>
      </w:r>
      <w:proofErr w:type="spellEnd"/>
      <w:r w:rsidRPr="00361FEA">
        <w:rPr>
          <w:rFonts w:ascii="Arial" w:hAnsi="Arial" w:cs="Arial"/>
          <w:color w:val="000000" w:themeColor="text1"/>
          <w:lang w:val="es-ES_tradnl"/>
        </w:rPr>
        <w:t xml:space="preserve">) la expedición del acto administrativo que ordene la terminación del contrato; o, </w:t>
      </w:r>
      <w:proofErr w:type="spellStart"/>
      <w:r w:rsidRPr="00361FEA">
        <w:rPr>
          <w:rFonts w:ascii="Arial" w:hAnsi="Arial" w:cs="Arial"/>
          <w:color w:val="000000" w:themeColor="text1"/>
          <w:lang w:val="es-ES_tradnl"/>
        </w:rPr>
        <w:t>iii</w:t>
      </w:r>
      <w:proofErr w:type="spellEnd"/>
      <w:r w:rsidRPr="00361FEA">
        <w:rPr>
          <w:rFonts w:ascii="Arial" w:hAnsi="Arial" w:cs="Arial"/>
          <w:color w:val="000000" w:themeColor="text1"/>
          <w:lang w:val="es-ES_tradnl"/>
        </w:rPr>
        <w:t>) la fecha del acuerdo que disponga la terminación del contrato.</w:t>
      </w:r>
    </w:p>
    <w:p w14:paraId="787E9762" w14:textId="77777777" w:rsidR="00E23AAB" w:rsidRPr="00361FEA" w:rsidRDefault="00E23AAB" w:rsidP="00E23AAB">
      <w:pPr>
        <w:spacing w:after="120" w:line="276" w:lineRule="auto"/>
        <w:ind w:firstLine="709"/>
        <w:jc w:val="both"/>
        <w:rPr>
          <w:rFonts w:ascii="Arial" w:hAnsi="Arial" w:cs="Arial"/>
          <w:lang w:val="es-ES_tradnl"/>
        </w:rPr>
      </w:pPr>
      <w:r w:rsidRPr="00361FEA">
        <w:rPr>
          <w:rFonts w:ascii="Arial" w:hAnsi="Arial" w:cs="Arial"/>
          <w:lang w:val="es-ES_tradnl"/>
        </w:rPr>
        <w:t xml:space="preserve">El artículo 11 de la Ley 1150 de 2007 señala que la liquidación de mutuo acuerdo deberá realizar dentro del plazo previsto en </w:t>
      </w:r>
      <w:r w:rsidRPr="00361FEA">
        <w:rPr>
          <w:rFonts w:ascii="Arial" w:hAnsi="Arial" w:cs="Arial"/>
          <w:i/>
          <w:lang w:val="es-ES_tradnl"/>
        </w:rPr>
        <w:t>“los pliegos de condiciones o sus equivalentes, o dentro del que acuerden las partes para el efecto”.</w:t>
      </w:r>
      <w:r w:rsidRPr="00361FEA">
        <w:rPr>
          <w:rFonts w:ascii="Arial" w:hAnsi="Arial" w:cs="Arial"/>
          <w:lang w:val="es-ES_tradnl"/>
        </w:rPr>
        <w:t xml:space="preserve"> Para dilucidar a qué se refiere la norma con “equivalentes” resulta necesario tener presente que el pliego de condiciones es un documento contentivo de las reglas aplicables a un determinado proceso de selección, que </w:t>
      </w:r>
      <w:r w:rsidRPr="00361FEA">
        <w:rPr>
          <w:rFonts w:ascii="Arial" w:hAnsi="Arial" w:cs="Arial"/>
          <w:i/>
          <w:lang w:val="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w:t>
      </w:r>
      <w:r w:rsidRPr="00361FEA">
        <w:rPr>
          <w:rFonts w:ascii="Arial" w:hAnsi="Arial" w:cs="Arial"/>
          <w:i/>
          <w:spacing w:val="-7"/>
          <w:lang w:val="es-ES_tradnl"/>
        </w:rPr>
        <w:t xml:space="preserve"> </w:t>
      </w:r>
      <w:r w:rsidRPr="00361FEA">
        <w:rPr>
          <w:rFonts w:ascii="Arial" w:hAnsi="Arial" w:cs="Arial"/>
          <w:i/>
          <w:lang w:val="es-ES_tradnl"/>
        </w:rPr>
        <w:t>celebrar”</w:t>
      </w:r>
      <w:r w:rsidRPr="00361FEA">
        <w:rPr>
          <w:rFonts w:ascii="Arial" w:hAnsi="Arial" w:cs="Arial"/>
          <w:i/>
          <w:vertAlign w:val="superscript"/>
          <w:lang w:val="es-ES_tradnl"/>
        </w:rPr>
        <w:footnoteReference w:id="13"/>
      </w:r>
      <w:r w:rsidRPr="00361FEA">
        <w:rPr>
          <w:rFonts w:ascii="Arial" w:hAnsi="Arial" w:cs="Arial"/>
          <w:i/>
          <w:lang w:val="es-ES_tradnl"/>
        </w:rPr>
        <w:t>.</w:t>
      </w:r>
      <w:r w:rsidRPr="00361FEA">
        <w:rPr>
          <w:rFonts w:ascii="Arial" w:hAnsi="Arial" w:cs="Arial"/>
          <w:lang w:val="es-ES_tradnl"/>
        </w:rPr>
        <w:t xml:space="preserve"> A partir de tales características debe determinarse la equivalencia de un documento con un pliego de condiciones, la cual se puede ejemplificar claramente con la invitación a participar en los procesos de mínima cuantía</w:t>
      </w:r>
      <w:r w:rsidRPr="00361FEA">
        <w:rPr>
          <w:rFonts w:ascii="Arial" w:hAnsi="Arial" w:cs="Arial"/>
          <w:vertAlign w:val="superscript"/>
          <w:lang w:val="es-ES_tradnl"/>
        </w:rPr>
        <w:footnoteReference w:id="14"/>
      </w:r>
      <w:r w:rsidRPr="00361FEA">
        <w:rPr>
          <w:rFonts w:ascii="Arial" w:hAnsi="Arial" w:cs="Arial"/>
          <w:lang w:val="es-ES_tradnl"/>
        </w:rPr>
        <w:t xml:space="preserve">, documento dentro del cual la entidad contratante debe fijar las reglas aplicables al procedimiento de selección, cumpliendo con la función del pliego de condiciones. En tal sentido, es un documento </w:t>
      </w:r>
      <w:r w:rsidRPr="00361FEA">
        <w:rPr>
          <w:rFonts w:ascii="Arial" w:hAnsi="Arial" w:cs="Arial"/>
          <w:lang w:val="es-ES_tradnl"/>
        </w:rPr>
        <w:lastRenderedPageBreak/>
        <w:t xml:space="preserve">“equivalente” del mismo en los términos del artículo 11 </w:t>
      </w:r>
      <w:proofErr w:type="spellStart"/>
      <w:r w:rsidRPr="00361FEA">
        <w:rPr>
          <w:rFonts w:ascii="Arial" w:hAnsi="Arial" w:cs="Arial"/>
          <w:i/>
          <w:lang w:val="es-ES_tradnl"/>
        </w:rPr>
        <w:t>Ibídem</w:t>
      </w:r>
      <w:proofErr w:type="spellEnd"/>
      <w:r w:rsidRPr="00361FEA">
        <w:rPr>
          <w:rFonts w:ascii="Arial" w:hAnsi="Arial" w:cs="Arial"/>
          <w:i/>
          <w:lang w:val="es-ES_tradnl"/>
        </w:rPr>
        <w:t xml:space="preserve">, </w:t>
      </w:r>
      <w:r w:rsidRPr="00361FEA">
        <w:rPr>
          <w:rFonts w:ascii="Arial" w:hAnsi="Arial" w:cs="Arial"/>
          <w:lang w:val="es-ES_tradnl"/>
        </w:rPr>
        <w:t xml:space="preserve">dentro del cual es viable establecer el plazo para la liquidación de mutuo acuerdo. </w:t>
      </w:r>
    </w:p>
    <w:p w14:paraId="2B8270BB" w14:textId="77777777" w:rsidR="00E23AAB" w:rsidRPr="00361FEA" w:rsidRDefault="00E23AAB" w:rsidP="00E23AAB">
      <w:pPr>
        <w:spacing w:after="120" w:line="276" w:lineRule="auto"/>
        <w:ind w:firstLine="709"/>
        <w:jc w:val="both"/>
        <w:rPr>
          <w:rFonts w:ascii="Arial" w:hAnsi="Arial" w:cs="Arial"/>
          <w:lang w:val="es-ES_tradnl"/>
        </w:rPr>
      </w:pPr>
      <w:r w:rsidRPr="00361FEA">
        <w:rPr>
          <w:rFonts w:ascii="Arial" w:hAnsi="Arial" w:cs="Arial"/>
          <w:lang w:val="es-ES_tradnl"/>
        </w:rPr>
        <w:t>De otra parte, cuando el artículo 11 de la Ley 1150 de 2007 hace referencia al término que “</w:t>
      </w:r>
      <w:r w:rsidRPr="00361FEA">
        <w:rPr>
          <w:rFonts w:ascii="Arial" w:hAnsi="Arial" w:cs="Arial"/>
          <w:i/>
          <w:lang w:val="es-ES_tradnl"/>
        </w:rPr>
        <w:t>acuerden las partes</w:t>
      </w:r>
      <w:r w:rsidRPr="00361FEA">
        <w:rPr>
          <w:rFonts w:ascii="Arial" w:hAnsi="Arial" w:cs="Arial"/>
          <w:lang w:val="es-ES_tradnl"/>
        </w:rPr>
        <w:t>”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entraña una modificación del contrato. Por tal razón, su celebración debe cumplir con los requisitos del negocio jurídico, ameritando la concurrencia de capacidad jurídica de los agentes, un consentimiento libre de vicios, un objeto y causa lícita, así como la elevación a escrito requerida en materia de contratación estatal</w:t>
      </w:r>
      <w:r w:rsidRPr="00361FEA">
        <w:rPr>
          <w:rFonts w:ascii="Arial" w:hAnsi="Arial" w:cs="Arial"/>
          <w:vertAlign w:val="superscript"/>
          <w:lang w:val="es-ES_tradnl"/>
        </w:rPr>
        <w:footnoteReference w:id="15"/>
      </w:r>
      <w:r w:rsidRPr="00361FEA">
        <w:rPr>
          <w:rFonts w:ascii="Arial" w:hAnsi="Arial" w:cs="Arial"/>
          <w:lang w:val="es-ES_tradnl"/>
        </w:rPr>
        <w:t>. Esto, de cara a lo consultado, significa que para que un documento en el que se fije el plazo para la liquidación de común acuerdo sea válido, requiere de la confluencia de los mencionados elementos.</w:t>
      </w:r>
    </w:p>
    <w:p w14:paraId="462B7F97" w14:textId="77777777" w:rsidR="00E23AAB" w:rsidRPr="00361FEA" w:rsidRDefault="00E23AAB" w:rsidP="00E23AAB">
      <w:pPr>
        <w:spacing w:after="120" w:line="276" w:lineRule="auto"/>
        <w:ind w:firstLine="709"/>
        <w:jc w:val="both"/>
        <w:rPr>
          <w:rFonts w:ascii="Arial" w:hAnsi="Arial" w:cs="Arial"/>
          <w:lang w:val="es-ES_tradnl"/>
        </w:rPr>
      </w:pPr>
      <w:r w:rsidRPr="00361FEA">
        <w:rPr>
          <w:rFonts w:ascii="Arial" w:hAnsi="Arial" w:cs="Arial"/>
          <w:lang w:val="es-ES_tradnl"/>
        </w:rPr>
        <w:t xml:space="preserve">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w:t>
      </w:r>
      <w:r w:rsidRPr="00361FEA">
        <w:rPr>
          <w:rFonts w:ascii="Arial" w:hAnsi="Arial" w:cs="Arial"/>
          <w:lang w:val="es-ES_tradnl"/>
        </w:rPr>
        <w:lastRenderedPageBreak/>
        <w:t>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361FEA">
        <w:rPr>
          <w:rFonts w:ascii="Arial" w:hAnsi="Arial" w:cs="Arial"/>
          <w:vertAlign w:val="superscript"/>
          <w:lang w:val="es-ES_tradnl"/>
        </w:rPr>
        <w:footnoteReference w:id="16"/>
      </w:r>
      <w:r w:rsidRPr="00361FEA">
        <w:rPr>
          <w:rFonts w:ascii="Arial" w:hAnsi="Arial" w:cs="Arial"/>
          <w:lang w:val="es-ES_tradnl"/>
        </w:rPr>
        <w:t>, lo cual implica que las mismas se desarrollen en procura de la economía y la celeridad</w:t>
      </w:r>
      <w:r w:rsidRPr="00361FEA">
        <w:rPr>
          <w:rFonts w:ascii="Arial" w:hAnsi="Arial" w:cs="Arial"/>
          <w:vertAlign w:val="superscript"/>
          <w:lang w:val="es-ES_tradnl"/>
        </w:rPr>
        <w:footnoteReference w:id="17"/>
      </w:r>
      <w:r w:rsidRPr="00361FEA">
        <w:rPr>
          <w:rFonts w:ascii="Arial" w:hAnsi="Arial" w:cs="Arial"/>
          <w:lang w:val="es-ES_tradnl"/>
        </w:rPr>
        <w:t>. Esto significa que, en ejercicio de la facultad que les asiste para fijar el plazo para la liquidación bilateral, las partes deben actuar en garantía de estos principios, por lo que el término que se acuerde debe ser fijado de manera razonable.</w:t>
      </w:r>
    </w:p>
    <w:p w14:paraId="0DCA8C8A" w14:textId="77777777" w:rsidR="00E23AAB" w:rsidRPr="00361FEA" w:rsidRDefault="00E23AAB" w:rsidP="00E23AAB">
      <w:pPr>
        <w:spacing w:after="120" w:line="276" w:lineRule="auto"/>
        <w:ind w:firstLine="709"/>
        <w:jc w:val="both"/>
        <w:rPr>
          <w:rFonts w:ascii="Arial" w:hAnsi="Arial" w:cs="Arial"/>
          <w:color w:val="000000" w:themeColor="text1"/>
          <w:lang w:val="es-ES_tradnl"/>
        </w:rPr>
      </w:pPr>
      <w:r w:rsidRPr="00361FEA">
        <w:rPr>
          <w:rFonts w:ascii="Arial" w:hAnsi="Arial" w:cs="Arial"/>
          <w:color w:val="000000" w:themeColor="text1"/>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361FEA">
        <w:rPr>
          <w:rFonts w:ascii="Arial" w:hAnsi="Arial" w:cs="Arial"/>
          <w:color w:val="000000" w:themeColor="text1"/>
          <w:vertAlign w:val="superscript"/>
          <w:lang w:val="es-ES_tradnl"/>
        </w:rPr>
        <w:footnoteReference w:id="18"/>
      </w:r>
      <w:r w:rsidRPr="00361FEA">
        <w:rPr>
          <w:rFonts w:ascii="Arial" w:hAnsi="Arial" w:cs="Arial"/>
          <w:color w:val="000000" w:themeColor="text1"/>
          <w:lang w:val="es-ES_tradnl"/>
        </w:rPr>
        <w:t>, de manera que el contrato pueda ser liquidado bilateralmente, bien sea en el plazo previsto en el pliego de condiciones, el acordado por las partes, o el supletivo de cuatro meses señalado en la ley, según corresponda. Esta liquidación bilateral puede ser total o parcial</w:t>
      </w:r>
      <w:r w:rsidRPr="00361FEA">
        <w:rPr>
          <w:rFonts w:ascii="Arial" w:hAnsi="Arial" w:cs="Arial"/>
          <w:color w:val="000000" w:themeColor="text1"/>
          <w:vertAlign w:val="superscript"/>
          <w:lang w:val="es-ES_tradnl"/>
        </w:rPr>
        <w:footnoteReference w:id="19"/>
      </w:r>
      <w:r w:rsidRPr="00361FEA">
        <w:rPr>
          <w:rFonts w:ascii="Arial" w:hAnsi="Arial" w:cs="Arial"/>
          <w:color w:val="000000" w:themeColor="text1"/>
          <w:lang w:val="es-ES_tradnl"/>
        </w:rPr>
        <w:t>, y el documento que la contiene presta mérito ejecutivo, siempre que se satisfagan los elementos para considerarlo como tal.</w:t>
      </w:r>
    </w:p>
    <w:p w14:paraId="2E7E44F4" w14:textId="77777777" w:rsidR="00E23AAB" w:rsidRPr="00361FEA" w:rsidRDefault="00E23AAB" w:rsidP="00E23AAB">
      <w:pPr>
        <w:spacing w:after="0" w:line="276" w:lineRule="auto"/>
        <w:ind w:firstLine="705"/>
        <w:jc w:val="both"/>
        <w:rPr>
          <w:rFonts w:ascii="Arial" w:hAnsi="Arial" w:cs="Arial"/>
          <w:color w:val="000000" w:themeColor="text1"/>
          <w:bdr w:val="none" w:sz="0" w:space="0" w:color="auto" w:frame="1"/>
          <w:shd w:val="clear" w:color="auto" w:fill="FFFFFF"/>
          <w:lang w:val="es-MX"/>
        </w:rPr>
      </w:pPr>
      <w:r w:rsidRPr="00361FEA">
        <w:rPr>
          <w:rFonts w:ascii="Arial" w:hAnsi="Arial" w:cs="Arial"/>
          <w:color w:val="000000" w:themeColor="text1"/>
          <w:bdr w:val="none" w:sz="0" w:space="0" w:color="auto" w:frame="1"/>
          <w:shd w:val="clear" w:color="auto" w:fill="FFFFFF"/>
          <w:lang w:val="es-ES"/>
        </w:rPr>
        <w:t xml:space="preserve">Si no es posible efectuar la liquidación de manera bilateral, el ordenamiento jurídico prevé una facultad, de carácter subsidiario, para que la Entidad Estatal realice la </w:t>
      </w:r>
      <w:r w:rsidRPr="00361FEA">
        <w:rPr>
          <w:rFonts w:ascii="Arial" w:hAnsi="Arial" w:cs="Arial"/>
          <w:color w:val="000000" w:themeColor="text1"/>
          <w:bdr w:val="none" w:sz="0" w:space="0" w:color="auto" w:frame="1"/>
          <w:shd w:val="clear" w:color="auto" w:fill="FFFFFF"/>
          <w:lang w:val="es-ES"/>
        </w:rPr>
        <w:lastRenderedPageBreak/>
        <w:t xml:space="preserve">liquidación unilateralmente. En relación con este aspecto, la </w:t>
      </w:r>
      <w:r w:rsidRPr="00361FEA">
        <w:rPr>
          <w:rFonts w:ascii="Arial" w:hAnsi="Arial" w:cs="Arial"/>
          <w:color w:val="000000" w:themeColor="text1"/>
          <w:bdr w:val="none" w:sz="0" w:space="0" w:color="auto" w:frame="1"/>
          <w:shd w:val="clear" w:color="auto" w:fill="FFFFFF"/>
          <w:lang w:val="es-MX"/>
        </w:rPr>
        <w:t xml:space="preserve">Sala de Consulta y Servicio Civil del </w:t>
      </w:r>
      <w:r w:rsidRPr="00361FEA">
        <w:rPr>
          <w:rFonts w:ascii="Arial" w:hAnsi="Arial" w:cs="Arial"/>
          <w:color w:val="000000" w:themeColor="text1"/>
          <w:bdr w:val="none" w:sz="0" w:space="0" w:color="auto" w:frame="1"/>
          <w:shd w:val="clear" w:color="auto" w:fill="FFFFFF"/>
          <w:lang w:val="es-ES"/>
        </w:rPr>
        <w:t>Consejo de Estado</w:t>
      </w:r>
      <w:r w:rsidRPr="00361FEA">
        <w:rPr>
          <w:rFonts w:ascii="Arial" w:hAnsi="Arial" w:cs="Arial"/>
          <w:color w:val="000000" w:themeColor="text1"/>
          <w:bdr w:val="none" w:sz="0" w:space="0" w:color="auto" w:frame="1"/>
          <w:shd w:val="clear" w:color="auto" w:fill="FFFFFF"/>
          <w:lang w:val="es-MX"/>
        </w:rPr>
        <w:t>, en concepto del 28 de junio de 2016</w:t>
      </w:r>
      <w:r w:rsidRPr="00361FEA">
        <w:rPr>
          <w:rFonts w:ascii="Arial" w:hAnsi="Arial" w:cs="Arial"/>
          <w:color w:val="000000" w:themeColor="text1"/>
          <w:bdr w:val="none" w:sz="0" w:space="0" w:color="auto" w:frame="1"/>
          <w:shd w:val="clear" w:color="auto" w:fill="FFFFFF"/>
          <w:vertAlign w:val="superscript"/>
          <w:lang w:val="es-MX"/>
        </w:rPr>
        <w:footnoteReference w:id="20"/>
      </w:r>
      <w:r w:rsidRPr="00361FEA">
        <w:rPr>
          <w:rFonts w:ascii="Arial" w:hAnsi="Arial" w:cs="Arial"/>
          <w:color w:val="000000" w:themeColor="text1"/>
          <w:bdr w:val="none" w:sz="0" w:space="0" w:color="auto" w:frame="1"/>
          <w:shd w:val="clear" w:color="auto" w:fill="FFFFFF"/>
          <w:lang w:val="es-MX"/>
        </w:rPr>
        <w:t>, manifestó que:  </w:t>
      </w:r>
    </w:p>
    <w:p w14:paraId="3D280EAC" w14:textId="77777777" w:rsidR="00E23AAB" w:rsidRPr="00361FEA" w:rsidRDefault="00E23AAB" w:rsidP="00E23AAB">
      <w:pPr>
        <w:spacing w:after="0" w:line="276" w:lineRule="auto"/>
        <w:ind w:firstLine="705"/>
        <w:jc w:val="both"/>
        <w:rPr>
          <w:rFonts w:ascii="Arial" w:hAnsi="Arial" w:cs="Arial"/>
          <w:color w:val="000000" w:themeColor="text1"/>
          <w:lang w:val="es-MX"/>
        </w:rPr>
      </w:pPr>
    </w:p>
    <w:p w14:paraId="44C7A1A5" w14:textId="77777777" w:rsidR="00E23AAB" w:rsidRPr="00361FEA" w:rsidRDefault="00E23AAB" w:rsidP="00E23AAB">
      <w:pPr>
        <w:spacing w:after="0" w:line="240" w:lineRule="auto"/>
        <w:ind w:left="705" w:right="750"/>
        <w:jc w:val="both"/>
        <w:rPr>
          <w:rFonts w:ascii="Arial" w:hAnsi="Arial" w:cs="Arial"/>
          <w:sz w:val="21"/>
          <w:szCs w:val="21"/>
          <w:lang w:val="es-ES_tradnl"/>
        </w:rPr>
      </w:pPr>
      <w:r w:rsidRPr="00361FEA">
        <w:rPr>
          <w:rFonts w:ascii="Arial" w:hAnsi="Arial" w:cs="Arial"/>
          <w:i/>
          <w:sz w:val="21"/>
          <w:szCs w:val="21"/>
          <w:lang w:val="es-ES_tradnl"/>
        </w:rPr>
        <w:t>“</w:t>
      </w:r>
      <w:r w:rsidRPr="00361FEA">
        <w:rPr>
          <w:rFonts w:ascii="Arial" w:eastAsia="Calibri" w:hAnsi="Arial" w:cs="Arial"/>
          <w:color w:val="000000" w:themeColor="text1"/>
          <w:sz w:val="21"/>
          <w:szCs w:val="21"/>
          <w:lang w:val="es-ES"/>
        </w:rPr>
        <w:t>[</w:t>
      </w:r>
      <w:r w:rsidRPr="00361FEA">
        <w:rPr>
          <w:rFonts w:ascii="Arial" w:hAnsi="Arial" w:cs="Arial"/>
          <w:color w:val="000000" w:themeColor="text1"/>
          <w:sz w:val="21"/>
          <w:szCs w:val="21"/>
          <w:bdr w:val="none" w:sz="0" w:space="0" w:color="auto" w:frame="1"/>
          <w:shd w:val="clear" w:color="auto" w:fill="FFFFFF"/>
          <w:lang w:val="es-MX"/>
        </w:rPr>
        <w:t xml:space="preserve">…] </w:t>
      </w:r>
      <w:r w:rsidRPr="00361FEA">
        <w:rPr>
          <w:rFonts w:ascii="Arial" w:hAnsi="Arial" w:cs="Arial"/>
          <w:color w:val="000000" w:themeColor="text1"/>
          <w:sz w:val="21"/>
          <w:szCs w:val="21"/>
          <w:bdr w:val="none" w:sz="0" w:space="0" w:color="auto" w:frame="1"/>
          <w:shd w:val="clear" w:color="auto" w:fill="FFFFFF"/>
          <w:lang w:val="es-ES"/>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361FEA">
        <w:rPr>
          <w:rFonts w:ascii="Arial" w:hAnsi="Arial" w:cs="Arial"/>
          <w:sz w:val="21"/>
          <w:szCs w:val="21"/>
          <w:lang w:val="es-ES_tradnl"/>
        </w:rPr>
        <w:t>”.</w:t>
      </w:r>
    </w:p>
    <w:p w14:paraId="39910385" w14:textId="77777777" w:rsidR="00E23AAB" w:rsidRPr="00361FEA" w:rsidRDefault="00E23AAB" w:rsidP="00E23AAB">
      <w:pPr>
        <w:spacing w:after="0" w:line="240" w:lineRule="auto"/>
        <w:ind w:left="705" w:right="750"/>
        <w:jc w:val="both"/>
        <w:rPr>
          <w:rFonts w:ascii="Arial" w:hAnsi="Arial" w:cs="Arial"/>
          <w:color w:val="000000" w:themeColor="text1"/>
          <w:sz w:val="21"/>
          <w:szCs w:val="21"/>
          <w:lang w:val="es-MX"/>
        </w:rPr>
      </w:pPr>
      <w:r w:rsidRPr="00361FEA">
        <w:rPr>
          <w:rFonts w:ascii="Arial" w:hAnsi="Arial" w:cs="Arial"/>
          <w:color w:val="000000" w:themeColor="text1"/>
          <w:sz w:val="21"/>
          <w:szCs w:val="21"/>
          <w:bdr w:val="none" w:sz="0" w:space="0" w:color="auto" w:frame="1"/>
          <w:shd w:val="clear" w:color="auto" w:fill="FFFFFF"/>
          <w:lang w:val="es-ES"/>
        </w:rPr>
        <w:t> </w:t>
      </w:r>
      <w:r w:rsidRPr="00361FEA">
        <w:rPr>
          <w:rFonts w:ascii="Arial" w:hAnsi="Arial" w:cs="Arial"/>
          <w:color w:val="000000" w:themeColor="text1"/>
          <w:sz w:val="21"/>
          <w:szCs w:val="21"/>
          <w:bdr w:val="none" w:sz="0" w:space="0" w:color="auto" w:frame="1"/>
          <w:shd w:val="clear" w:color="auto" w:fill="FFFFFF"/>
          <w:lang w:val="es-MX"/>
        </w:rPr>
        <w:t>  </w:t>
      </w:r>
    </w:p>
    <w:p w14:paraId="0B40D139" w14:textId="77777777" w:rsidR="00E23AAB" w:rsidRPr="00361FEA" w:rsidRDefault="00E23AAB" w:rsidP="00E23AAB">
      <w:pPr>
        <w:spacing w:after="200" w:line="276" w:lineRule="auto"/>
        <w:ind w:firstLine="705"/>
        <w:jc w:val="both"/>
        <w:rPr>
          <w:rFonts w:ascii="Arial" w:hAnsi="Arial" w:cs="Arial"/>
          <w:color w:val="000000" w:themeColor="text1"/>
          <w:lang w:val="es-MX"/>
        </w:rPr>
      </w:pPr>
      <w:r w:rsidRPr="00361FEA">
        <w:rPr>
          <w:rFonts w:ascii="Arial" w:hAnsi="Arial" w:cs="Arial"/>
          <w:color w:val="000000" w:themeColor="text1"/>
          <w:bdr w:val="none" w:sz="0" w:space="0" w:color="auto" w:frame="1"/>
          <w:shd w:val="clear" w:color="auto" w:fill="FFFFFF"/>
          <w:lang w:val="es-ES"/>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50A72B42" w14:textId="77777777" w:rsidR="00E23AAB" w:rsidRPr="00361FEA" w:rsidRDefault="00E23AAB" w:rsidP="00E23AAB">
      <w:pPr>
        <w:spacing w:after="0" w:line="276" w:lineRule="auto"/>
        <w:ind w:firstLine="705"/>
        <w:jc w:val="both"/>
        <w:rPr>
          <w:rFonts w:ascii="Arial" w:hAnsi="Arial" w:cs="Arial"/>
          <w:color w:val="000000" w:themeColor="text1"/>
          <w:bdr w:val="none" w:sz="0" w:space="0" w:color="auto" w:frame="1"/>
          <w:shd w:val="clear" w:color="auto" w:fill="FFFFFF"/>
          <w:lang w:val="es-MX"/>
        </w:rPr>
      </w:pPr>
      <w:r w:rsidRPr="00361FEA">
        <w:rPr>
          <w:rFonts w:ascii="Arial" w:hAnsi="Arial" w:cs="Arial"/>
          <w:color w:val="000000" w:themeColor="text1"/>
          <w:bdr w:val="none" w:sz="0" w:space="0" w:color="auto" w:frame="1"/>
          <w:shd w:val="clear" w:color="auto" w:fill="FFFFFF"/>
          <w:lang w:val="es-ES"/>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En este sentido, en decisión de unificación de la </w:t>
      </w:r>
      <w:r w:rsidRPr="00361FEA">
        <w:rPr>
          <w:rFonts w:ascii="Arial" w:hAnsi="Arial" w:cs="Arial"/>
          <w:color w:val="000000" w:themeColor="text1"/>
          <w:bdr w:val="none" w:sz="0" w:space="0" w:color="auto" w:frame="1"/>
          <w:shd w:val="clear" w:color="auto" w:fill="FFFFFF"/>
          <w:lang w:val="es-MX"/>
        </w:rPr>
        <w:t>Sección Tercera</w:t>
      </w:r>
      <w:r w:rsidRPr="00361FEA">
        <w:rPr>
          <w:rFonts w:ascii="Arial" w:hAnsi="Arial" w:cs="Arial"/>
          <w:color w:val="000000" w:themeColor="text1"/>
          <w:bdr w:val="none" w:sz="0" w:space="0" w:color="auto" w:frame="1"/>
          <w:shd w:val="clear" w:color="auto" w:fill="FFFFFF"/>
          <w:lang w:val="es-ES"/>
        </w:rPr>
        <w:t xml:space="preserve"> del Consejo de Estado, del</w:t>
      </w:r>
      <w:r w:rsidRPr="00361FEA">
        <w:rPr>
          <w:rFonts w:ascii="Arial" w:hAnsi="Arial" w:cs="Arial"/>
          <w:color w:val="000000" w:themeColor="text1"/>
          <w:bdr w:val="none" w:sz="0" w:space="0" w:color="auto" w:frame="1"/>
          <w:shd w:val="clear" w:color="auto" w:fill="FFFFFF"/>
          <w:lang w:val="es-MX"/>
        </w:rPr>
        <w:t> 1 de agosto de 2019</w:t>
      </w:r>
      <w:r w:rsidRPr="00361FEA">
        <w:rPr>
          <w:rFonts w:ascii="Arial" w:hAnsi="Arial" w:cs="Arial"/>
          <w:color w:val="000000" w:themeColor="text1"/>
          <w:bdr w:val="none" w:sz="0" w:space="0" w:color="auto" w:frame="1"/>
          <w:shd w:val="clear" w:color="auto" w:fill="FFFFFF"/>
          <w:vertAlign w:val="superscript"/>
          <w:lang w:val="es-MX"/>
        </w:rPr>
        <w:footnoteReference w:id="21"/>
      </w:r>
      <w:r w:rsidRPr="00361FEA">
        <w:rPr>
          <w:rFonts w:ascii="Arial" w:hAnsi="Arial" w:cs="Arial"/>
          <w:color w:val="000000" w:themeColor="text1"/>
          <w:bdr w:val="none" w:sz="0" w:space="0" w:color="auto" w:frame="1"/>
          <w:shd w:val="clear" w:color="auto" w:fill="FFFFFF"/>
          <w:lang w:val="es-MX"/>
        </w:rPr>
        <w:t>, se expresó: </w:t>
      </w:r>
    </w:p>
    <w:p w14:paraId="38335B9E" w14:textId="77777777" w:rsidR="00E23AAB" w:rsidRPr="00361FEA" w:rsidRDefault="00E23AAB" w:rsidP="00E23AAB">
      <w:pPr>
        <w:spacing w:after="0" w:line="276" w:lineRule="auto"/>
        <w:ind w:firstLine="705"/>
        <w:jc w:val="both"/>
        <w:rPr>
          <w:rFonts w:ascii="Arial" w:hAnsi="Arial" w:cs="Arial"/>
          <w:color w:val="000000" w:themeColor="text1"/>
          <w:bdr w:val="none" w:sz="0" w:space="0" w:color="auto" w:frame="1"/>
          <w:shd w:val="clear" w:color="auto" w:fill="FFFFFF"/>
          <w:lang w:val="es-MX"/>
        </w:rPr>
      </w:pPr>
    </w:p>
    <w:p w14:paraId="254E91AB" w14:textId="77777777" w:rsidR="00E23AAB" w:rsidRPr="00361FEA" w:rsidRDefault="00E23AAB" w:rsidP="00E23AAB">
      <w:pPr>
        <w:spacing w:after="0" w:line="240" w:lineRule="auto"/>
        <w:ind w:left="705" w:right="750"/>
        <w:jc w:val="both"/>
        <w:rPr>
          <w:rFonts w:ascii="Arial" w:hAnsi="Arial" w:cs="Arial"/>
          <w:i/>
          <w:sz w:val="21"/>
          <w:szCs w:val="21"/>
          <w:lang w:val="es-ES_tradnl"/>
        </w:rPr>
      </w:pPr>
      <w:r w:rsidRPr="00361FEA">
        <w:rPr>
          <w:rFonts w:ascii="Arial" w:hAnsi="Arial" w:cs="Arial"/>
          <w:i/>
          <w:sz w:val="21"/>
          <w:szCs w:val="21"/>
          <w:lang w:val="es-ES_tradnl"/>
        </w:rPr>
        <w:t>“</w:t>
      </w:r>
      <w:r w:rsidRPr="00361FEA">
        <w:rPr>
          <w:rFonts w:ascii="Arial" w:hAnsi="Arial" w:cs="Arial"/>
          <w:color w:val="000000" w:themeColor="text1"/>
          <w:sz w:val="21"/>
          <w:szCs w:val="21"/>
          <w:bdr w:val="none" w:sz="0" w:space="0" w:color="auto" w:frame="1"/>
          <w:shd w:val="clear" w:color="auto" w:fill="FFFFFF"/>
          <w:lang w:val="es-ES"/>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w:t>
      </w:r>
      <w:proofErr w:type="spellStart"/>
      <w:r w:rsidRPr="00361FEA">
        <w:rPr>
          <w:rFonts w:ascii="Arial" w:hAnsi="Arial" w:cs="Arial"/>
          <w:color w:val="000000" w:themeColor="text1"/>
          <w:sz w:val="21"/>
          <w:szCs w:val="21"/>
          <w:bdr w:val="none" w:sz="0" w:space="0" w:color="auto" w:frame="1"/>
          <w:shd w:val="clear" w:color="auto" w:fill="FFFFFF"/>
          <w:lang w:val="es-ES"/>
        </w:rPr>
        <w:t>liquidatorio</w:t>
      </w:r>
      <w:proofErr w:type="spellEnd"/>
      <w:r w:rsidRPr="00361FEA">
        <w:rPr>
          <w:rFonts w:ascii="Arial" w:hAnsi="Arial" w:cs="Arial"/>
          <w:color w:val="000000" w:themeColor="text1"/>
          <w:sz w:val="21"/>
          <w:szCs w:val="21"/>
          <w:bdr w:val="none" w:sz="0" w:space="0" w:color="auto" w:frame="1"/>
          <w:shd w:val="clear" w:color="auto" w:fill="FFFFFF"/>
          <w:lang w:val="es-ES"/>
        </w:rPr>
        <w:t> se logre dentro del lapso de dos años contados a partir del vencimiento del término legalmente conocido para la liquidación unilateral, pues ese es el lapso que el ordenamiento ha fijado para el ejercicio oportuno de la acción</w:t>
      </w:r>
      <w:r w:rsidRPr="00361FEA">
        <w:rPr>
          <w:rFonts w:ascii="Arial" w:hAnsi="Arial" w:cs="Arial"/>
          <w:i/>
          <w:sz w:val="21"/>
          <w:szCs w:val="21"/>
          <w:lang w:val="es-ES_tradnl"/>
        </w:rPr>
        <w:t>”.</w:t>
      </w:r>
    </w:p>
    <w:p w14:paraId="52371BB8" w14:textId="77777777" w:rsidR="00E23AAB" w:rsidRPr="00361FEA" w:rsidRDefault="00E23AAB" w:rsidP="00E23AAB">
      <w:pPr>
        <w:spacing w:after="0" w:line="240" w:lineRule="auto"/>
        <w:ind w:left="705" w:right="750"/>
        <w:jc w:val="both"/>
        <w:rPr>
          <w:rFonts w:ascii="Arial" w:hAnsi="Arial" w:cs="Arial"/>
          <w:color w:val="000000" w:themeColor="text1"/>
          <w:sz w:val="21"/>
          <w:szCs w:val="21"/>
          <w:lang w:val="es-ES"/>
        </w:rPr>
      </w:pPr>
    </w:p>
    <w:p w14:paraId="272F5071" w14:textId="77777777" w:rsidR="00E23AAB" w:rsidRPr="00361FEA" w:rsidRDefault="00E23AAB" w:rsidP="00E23AAB">
      <w:pPr>
        <w:spacing w:after="0" w:line="276" w:lineRule="auto"/>
        <w:ind w:right="106" w:firstLine="705"/>
        <w:jc w:val="both"/>
        <w:rPr>
          <w:rFonts w:ascii="Arial" w:hAnsi="Arial" w:cs="Arial"/>
          <w:color w:val="000000" w:themeColor="text1"/>
          <w:bdr w:val="none" w:sz="0" w:space="0" w:color="auto" w:frame="1"/>
          <w:shd w:val="clear" w:color="auto" w:fill="FFFFFF"/>
          <w:lang w:val="es-MX"/>
        </w:rPr>
      </w:pPr>
      <w:r w:rsidRPr="00361FEA">
        <w:rPr>
          <w:rFonts w:ascii="Arial" w:hAnsi="Arial" w:cs="Arial"/>
          <w:color w:val="000000" w:themeColor="text1"/>
          <w:bdr w:val="none" w:sz="0" w:space="0" w:color="auto" w:frame="1"/>
          <w:shd w:val="clear" w:color="auto" w:fill="FFFFFF"/>
          <w:lang w:val="es-MX"/>
        </w:rPr>
        <w:lastRenderedPageBreak/>
        <w:t>A su turno, en relación con la pérdida de competencia de la administración para liquidar el contrato unilateralmente, ante la presentación de una demanda, el Consejo de Estado, en sentencia del 1 de junio de 2020, varió la línea jurisprudencial, en el sentido de ubicar la pérdida de competencia con la presentación de la demanda, y no en la notificación del auto admisorio, como se sostenía anteriormente. En efecto, se indicó que:</w:t>
      </w:r>
    </w:p>
    <w:p w14:paraId="5D2DB66C" w14:textId="77777777" w:rsidR="00E23AAB" w:rsidRPr="00361FEA" w:rsidRDefault="00E23AAB" w:rsidP="00E23AAB">
      <w:pPr>
        <w:spacing w:after="0" w:line="276" w:lineRule="auto"/>
        <w:ind w:right="106" w:firstLine="705"/>
        <w:jc w:val="both"/>
        <w:rPr>
          <w:rFonts w:ascii="Arial" w:hAnsi="Arial" w:cs="Arial"/>
          <w:color w:val="000000" w:themeColor="text1"/>
          <w:bdr w:val="none" w:sz="0" w:space="0" w:color="auto" w:frame="1"/>
          <w:shd w:val="clear" w:color="auto" w:fill="FFFFFF"/>
          <w:lang w:val="es-MX"/>
        </w:rPr>
      </w:pPr>
    </w:p>
    <w:p w14:paraId="3DBC2FFE" w14:textId="77777777" w:rsidR="00E23AAB" w:rsidRPr="00361FEA" w:rsidRDefault="00E23AAB" w:rsidP="00E23AAB">
      <w:pPr>
        <w:spacing w:after="0" w:line="240" w:lineRule="auto"/>
        <w:ind w:left="709" w:right="758"/>
        <w:jc w:val="both"/>
        <w:rPr>
          <w:rFonts w:ascii="Arial" w:hAnsi="Arial" w:cs="Arial"/>
          <w:color w:val="000000" w:themeColor="text1"/>
          <w:sz w:val="21"/>
          <w:szCs w:val="21"/>
          <w:bdr w:val="none" w:sz="0" w:space="0" w:color="auto" w:frame="1"/>
          <w:shd w:val="clear" w:color="auto" w:fill="FFFFFF"/>
          <w:lang w:val="es-ES"/>
        </w:rPr>
      </w:pPr>
      <w:r w:rsidRPr="00361FEA">
        <w:rPr>
          <w:rFonts w:ascii="Arial" w:hAnsi="Arial" w:cs="Arial"/>
          <w:i/>
          <w:sz w:val="21"/>
          <w:szCs w:val="21"/>
          <w:lang w:val="es-ES_tradnl"/>
        </w:rPr>
        <w:t>“</w:t>
      </w:r>
      <w:r w:rsidRPr="00361FEA">
        <w:rPr>
          <w:rFonts w:ascii="Arial" w:hAnsi="Arial" w:cs="Arial"/>
          <w:color w:val="000000" w:themeColor="text1"/>
          <w:sz w:val="21"/>
          <w:szCs w:val="21"/>
          <w:bdr w:val="none" w:sz="0" w:space="0" w:color="auto" w:frame="1"/>
          <w:shd w:val="clear" w:color="auto" w:fill="FFFFFF"/>
          <w:lang w:val="es-MX"/>
        </w:rPr>
        <w:t xml:space="preserve">La Corporación ha señalado de manera consistente que la Administración pierde la competencia para liquidar el contrato cuando el contratista, previamente, haya instaurado la acción judicial correspondiente, fenómeno que se explica por el traslado de esa competencia a otra autoridad […] La jurisprudencia ha sostenido, a partir de lo preceptuado en el literal d) del numeral 10 del artículo 136 del CCA, [subrogado por el artículo 44 de la ley 446 de 1998] , que la notificación del auto admisorio de la demanda que tenga por objeto la liquidación judicial del contrato es el hito que genera la pérdida de competencia de la entidad para ejercer la facultad de liquidar unilateralmente el contrato, mientras esta no lo haya liquidado unilateral o bilateralmente. […] No obstante, la Sala encuentra que el punto de partida de la pérdida de competencia que se fijó jurisprudencialmente es susceptible de ser revisado, a partir del empleo de un criterio de interpretación que resulte coherente con los efectos procesales que el legislador fijó la presentación de la demanda. […] [L]a demanda produce numerosos e importantes efectos jurídicos materiales que equivalen, en general, a un reforzamiento o intensificación, desde el punto de vista del actor, de una situación jurídica sustantiva.  Este reforzamiento se produce creando consecuencias que originalmente no existían, como la constitución en mora, o conservando consecuencias que existían, pero estaban en trance de desaparecer. La consecuencia típica de conservación es la que produce la presentación de la demanda, al interrumpir la prescripción. Al efecto, el Artículo 90 del Código de Procedimiento Civil, modificado por el decreto 2282 de 1989, aplicable a la presente controversia, […] Frente al vacío que se pretende colmar se hace necesario un ejercicio de integración normativa que esté </w:t>
      </w:r>
      <w:proofErr w:type="spellStart"/>
      <w:r w:rsidRPr="00361FEA">
        <w:rPr>
          <w:rFonts w:ascii="Arial" w:hAnsi="Arial" w:cs="Arial"/>
          <w:color w:val="000000" w:themeColor="text1"/>
          <w:sz w:val="21"/>
          <w:szCs w:val="21"/>
          <w:bdr w:val="none" w:sz="0" w:space="0" w:color="auto" w:frame="1"/>
          <w:shd w:val="clear" w:color="auto" w:fill="FFFFFF"/>
          <w:lang w:val="es-MX"/>
        </w:rPr>
        <w:t>mas</w:t>
      </w:r>
      <w:proofErr w:type="spellEnd"/>
      <w:r w:rsidRPr="00361FEA">
        <w:rPr>
          <w:rFonts w:ascii="Arial" w:hAnsi="Arial" w:cs="Arial"/>
          <w:color w:val="000000" w:themeColor="text1"/>
          <w:sz w:val="21"/>
          <w:szCs w:val="21"/>
          <w:bdr w:val="none" w:sz="0" w:space="0" w:color="auto" w:frame="1"/>
          <w:shd w:val="clear" w:color="auto" w:fill="FFFFFF"/>
          <w:lang w:val="es-MX"/>
        </w:rPr>
        <w:t xml:space="preserve"> (sic) acorde con los efectos que la legislación procesal le atribuye a la presentación de la demanda, y que no están condicionados a su notificación. Desde este enfoque, la Sala declarará que la Administración perdió competencia para liquidar el contrato en forma unilateral, a partir de la fecha en que se presentó la demanda que pretendió su liquidación judicial</w:t>
      </w:r>
      <w:r w:rsidRPr="00361FEA">
        <w:rPr>
          <w:rFonts w:ascii="Arial" w:hAnsi="Arial" w:cs="Arial"/>
          <w:i/>
          <w:sz w:val="21"/>
          <w:szCs w:val="21"/>
          <w:lang w:val="es-ES_tradnl"/>
        </w:rPr>
        <w:t>”</w:t>
      </w:r>
      <w:r w:rsidRPr="00361FEA">
        <w:rPr>
          <w:rFonts w:ascii="Arial" w:hAnsi="Arial" w:cs="Arial"/>
          <w:i/>
          <w:sz w:val="21"/>
          <w:szCs w:val="21"/>
          <w:vertAlign w:val="superscript"/>
          <w:lang w:val="es-ES_tradnl"/>
        </w:rPr>
        <w:footnoteReference w:id="22"/>
      </w:r>
      <w:r w:rsidRPr="00361FEA">
        <w:rPr>
          <w:rFonts w:ascii="Arial" w:hAnsi="Arial" w:cs="Arial"/>
          <w:i/>
          <w:sz w:val="21"/>
          <w:szCs w:val="21"/>
          <w:lang w:val="es-ES_tradnl"/>
        </w:rPr>
        <w:t>.</w:t>
      </w:r>
      <w:r w:rsidRPr="00361FEA">
        <w:rPr>
          <w:rFonts w:ascii="Arial" w:hAnsi="Arial" w:cs="Arial"/>
          <w:color w:val="000000" w:themeColor="text1"/>
          <w:sz w:val="21"/>
          <w:szCs w:val="21"/>
          <w:bdr w:val="none" w:sz="0" w:space="0" w:color="auto" w:frame="1"/>
          <w:shd w:val="clear" w:color="auto" w:fill="FFFFFF"/>
          <w:lang w:val="es-ES"/>
        </w:rPr>
        <w:t> </w:t>
      </w:r>
    </w:p>
    <w:p w14:paraId="7789E62E" w14:textId="77777777" w:rsidR="00E23AAB" w:rsidRPr="00361FEA" w:rsidRDefault="00E23AAB" w:rsidP="00E23AAB">
      <w:pPr>
        <w:spacing w:after="0" w:line="240" w:lineRule="auto"/>
        <w:ind w:left="709" w:right="758"/>
        <w:jc w:val="both"/>
        <w:rPr>
          <w:rFonts w:ascii="Arial" w:hAnsi="Arial" w:cs="Arial"/>
          <w:color w:val="000000" w:themeColor="text1"/>
          <w:sz w:val="21"/>
          <w:szCs w:val="21"/>
          <w:bdr w:val="none" w:sz="0" w:space="0" w:color="auto" w:frame="1"/>
          <w:shd w:val="clear" w:color="auto" w:fill="FFFFFF"/>
          <w:lang w:val="es-ES"/>
        </w:rPr>
      </w:pPr>
    </w:p>
    <w:p w14:paraId="00507AC9" w14:textId="77777777" w:rsidR="00E23AAB" w:rsidRPr="00361FEA" w:rsidRDefault="00E23AAB" w:rsidP="00E23AAB">
      <w:pPr>
        <w:spacing w:after="120" w:line="276" w:lineRule="auto"/>
        <w:ind w:right="108" w:firstLine="703"/>
        <w:jc w:val="both"/>
        <w:rPr>
          <w:rFonts w:ascii="Arial" w:hAnsi="Arial" w:cs="Arial"/>
          <w:color w:val="000000" w:themeColor="text1"/>
          <w:lang w:val="es-MX"/>
        </w:rPr>
      </w:pPr>
      <w:r w:rsidRPr="00361FEA">
        <w:rPr>
          <w:rFonts w:ascii="Arial" w:hAnsi="Arial" w:cs="Arial"/>
          <w:color w:val="000000" w:themeColor="text1"/>
          <w:bdr w:val="none" w:sz="0" w:space="0" w:color="auto" w:frame="1"/>
          <w:shd w:val="clear" w:color="auto" w:fill="FFFFFF"/>
          <w:lang w:val="es-MX"/>
        </w:rPr>
        <w:t xml:space="preserve">En armonía con lo anterior, se podrá, entonces, interponer una demanda ante la jurisdicción de lo contencioso administrativo solicitando la liquidación judicial del contrato mediante el medio de control de controversias contractuales, en los términos del artículo 141 del Código de Procedimiento Administrativo y de lo Contencioso Administrativo –CPACA–. La demanda debe ser presentada dentro del término que establece el artículo </w:t>
      </w:r>
      <w:r w:rsidRPr="00361FEA">
        <w:rPr>
          <w:rFonts w:ascii="Arial" w:hAnsi="Arial" w:cs="Arial"/>
          <w:color w:val="000000" w:themeColor="text1"/>
          <w:bdr w:val="none" w:sz="0" w:space="0" w:color="auto" w:frame="1"/>
          <w:shd w:val="clear" w:color="auto" w:fill="FFFFFF"/>
          <w:lang w:val="es-MX"/>
        </w:rPr>
        <w:lastRenderedPageBreak/>
        <w:t>164 del CPACA, pues de lo contrario operará el fenómeno de la caducidad, por lo cual no sería posible realizar la liquidación del contrato por ningún medio. </w:t>
      </w:r>
    </w:p>
    <w:p w14:paraId="2A831F1A" w14:textId="77777777" w:rsidR="00E23AAB" w:rsidRPr="00361FEA" w:rsidRDefault="00E23AAB" w:rsidP="00E23AAB">
      <w:pPr>
        <w:spacing w:after="120" w:line="276" w:lineRule="auto"/>
        <w:ind w:right="108" w:firstLine="703"/>
        <w:jc w:val="both"/>
        <w:rPr>
          <w:rFonts w:ascii="Arial" w:hAnsi="Arial" w:cs="Arial"/>
          <w:color w:val="000000" w:themeColor="text1"/>
          <w:lang w:val="es-MX"/>
        </w:rPr>
      </w:pPr>
      <w:r w:rsidRPr="00361FEA">
        <w:rPr>
          <w:rFonts w:ascii="Arial" w:hAnsi="Arial" w:cs="Arial"/>
          <w:color w:val="000000" w:themeColor="text1"/>
          <w:bdr w:val="none" w:sz="0" w:space="0" w:color="auto" w:frame="1"/>
          <w:shd w:val="clear" w:color="auto" w:fill="FFFFFF"/>
          <w:lang w:val="es-MX"/>
        </w:rPr>
        <w:t>En este punto, vale la pena aclarar que en relación con el término de caducidad para demandar en aquellos contratos que requieran liquidación, la jurisprudencia unificada del Consejo de Estado ha determinado que, en virtud del artículo 164 de la Ley 1437 de 2011, la regla general es que los dos años comiencen a correr a partir de la fecha de expedición del acta de liquidación, bien sea unilateral o de mutuo acuerdo, y solo en caso de que no exista liquidación de ningún tipo, el término de dos años comienza a contar a partir de la suma de los seis meses que trata en artículo 11 de la Ley 1150 de</w:t>
      </w:r>
      <w:r w:rsidRPr="00361FEA">
        <w:rPr>
          <w:rFonts w:ascii="Arial" w:hAnsi="Arial" w:cs="Arial"/>
          <w:color w:val="000000" w:themeColor="text1"/>
          <w:spacing w:val="-25"/>
          <w:bdr w:val="none" w:sz="0" w:space="0" w:color="auto" w:frame="1"/>
          <w:shd w:val="clear" w:color="auto" w:fill="FFFFFF"/>
          <w:lang w:val="es-MX"/>
        </w:rPr>
        <w:t> </w:t>
      </w:r>
      <w:r w:rsidRPr="00361FEA">
        <w:rPr>
          <w:rFonts w:ascii="Arial" w:hAnsi="Arial" w:cs="Arial"/>
          <w:color w:val="000000" w:themeColor="text1"/>
          <w:bdr w:val="none" w:sz="0" w:space="0" w:color="auto" w:frame="1"/>
          <w:shd w:val="clear" w:color="auto" w:fill="FFFFFF"/>
          <w:lang w:val="es-MX"/>
        </w:rPr>
        <w:t>2011. </w:t>
      </w:r>
    </w:p>
    <w:p w14:paraId="034CF720" w14:textId="77777777" w:rsidR="00E23AAB" w:rsidRPr="00361FEA" w:rsidRDefault="00E23AAB" w:rsidP="00E23AAB">
      <w:pPr>
        <w:spacing w:after="120" w:line="276" w:lineRule="auto"/>
        <w:ind w:firstLine="703"/>
        <w:jc w:val="both"/>
        <w:rPr>
          <w:rFonts w:ascii="Arial" w:hAnsi="Arial" w:cs="Arial"/>
          <w:color w:val="000000" w:themeColor="text1"/>
          <w:bdr w:val="none" w:sz="0" w:space="0" w:color="auto" w:frame="1"/>
          <w:shd w:val="clear" w:color="auto" w:fill="FFFFFF"/>
          <w:lang w:val="es-MX"/>
        </w:rPr>
      </w:pPr>
      <w:r w:rsidRPr="00361FEA">
        <w:rPr>
          <w:rFonts w:ascii="Arial" w:hAnsi="Arial" w:cs="Arial"/>
          <w:color w:val="000000" w:themeColor="text1"/>
          <w:bdr w:val="none" w:sz="0" w:space="0" w:color="auto" w:frame="1"/>
          <w:shd w:val="clear" w:color="auto" w:fill="FFFFFF"/>
          <w:lang w:val="es-ES"/>
        </w:rPr>
        <w:t>Así las cosas, es claro que el ordenamiento jurídico vigente permite la liquidación unilateral, bilateral incluso judicial una vez vencido el plazo establecido por el artículo 11 de la Ley 1150 de 2007. En otras palabras, la liquidación final de los contratos estatales tiene un ámbito temporal que empieza con la terminación del contrato y comprende el período contractual pactado por las partes o supletivo legal –de 4 meses– para la liquidación bilateral, más el período legal para la liquidación unilateral –de 2 meses–, más el plazo de dos años para hacerlo de mutuo acuerdo o unilateralmente, sin perjuicio de que se solicite la liquidación judicial.</w:t>
      </w:r>
      <w:r w:rsidRPr="00361FEA">
        <w:rPr>
          <w:rFonts w:ascii="Arial" w:hAnsi="Arial" w:cs="Arial"/>
          <w:color w:val="000000" w:themeColor="text1"/>
          <w:bdr w:val="none" w:sz="0" w:space="0" w:color="auto" w:frame="1"/>
          <w:shd w:val="clear" w:color="auto" w:fill="FFFFFF"/>
          <w:lang w:val="es-MX"/>
        </w:rPr>
        <w:t> </w:t>
      </w:r>
    </w:p>
    <w:p w14:paraId="3AB13DD9" w14:textId="77777777" w:rsidR="00E23AAB" w:rsidRPr="00361FEA" w:rsidRDefault="00E23AAB" w:rsidP="00E23AAB">
      <w:pPr>
        <w:spacing w:after="120" w:line="276" w:lineRule="auto"/>
        <w:ind w:firstLine="703"/>
        <w:jc w:val="both"/>
        <w:rPr>
          <w:rFonts w:ascii="Arial" w:hAnsi="Arial" w:cs="Arial"/>
          <w:color w:val="000000" w:themeColor="text1"/>
          <w:bdr w:val="none" w:sz="0" w:space="0" w:color="auto" w:frame="1"/>
          <w:shd w:val="clear" w:color="auto" w:fill="FFFFFF"/>
          <w:lang w:val="es-MX"/>
        </w:rPr>
      </w:pPr>
      <w:r w:rsidRPr="00361FEA">
        <w:rPr>
          <w:rFonts w:ascii="Arial" w:hAnsi="Arial" w:cs="Arial"/>
          <w:lang w:val="es-ES_tradnl"/>
        </w:rPr>
        <w:t>Por tanto, si se trata de un contrato en el cual no existe pacto sobre el término para la liquidación bilateral, el término supletivo aplicaría, y se podría liquidar el contrato dentro de los 4 meses siguientes a su terminación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w:t>
      </w:r>
    </w:p>
    <w:p w14:paraId="3C9E82A7" w14:textId="77777777" w:rsidR="00E23AAB" w:rsidRPr="00361FEA" w:rsidRDefault="00E23AAB" w:rsidP="00E23AAB">
      <w:pPr>
        <w:spacing w:after="120" w:line="276" w:lineRule="auto"/>
        <w:ind w:firstLine="709"/>
        <w:jc w:val="both"/>
        <w:rPr>
          <w:rFonts w:ascii="Arial" w:hAnsi="Arial" w:cs="Arial"/>
          <w:lang w:val="es-ES_tradnl"/>
        </w:rPr>
      </w:pPr>
      <w:r w:rsidRPr="00361FEA">
        <w:rPr>
          <w:rFonts w:ascii="Arial" w:hAnsi="Arial" w:cs="Arial"/>
          <w:lang w:val="es-ES_tradnl"/>
        </w:rPr>
        <w:t xml:space="preserve">En suma, de acuerdo con el artículo 11 de la Ley 1150 de 2007, existen tres tipos de liquidación: i) bilateral, </w:t>
      </w:r>
      <w:proofErr w:type="spellStart"/>
      <w:r w:rsidRPr="00361FEA">
        <w:rPr>
          <w:rFonts w:ascii="Arial" w:hAnsi="Arial" w:cs="Arial"/>
          <w:lang w:val="es-ES_tradnl"/>
        </w:rPr>
        <w:t>ii</w:t>
      </w:r>
      <w:proofErr w:type="spellEnd"/>
      <w:r w:rsidRPr="00361FEA">
        <w:rPr>
          <w:rFonts w:ascii="Arial" w:hAnsi="Arial" w:cs="Arial"/>
          <w:lang w:val="es-ES_tradnl"/>
        </w:rPr>
        <w:t xml:space="preserve">) unilateral y </w:t>
      </w:r>
      <w:proofErr w:type="spellStart"/>
      <w:r w:rsidRPr="00361FEA">
        <w:rPr>
          <w:rFonts w:ascii="Arial" w:hAnsi="Arial" w:cs="Arial"/>
          <w:lang w:val="es-ES_tradnl"/>
        </w:rPr>
        <w:t>iii</w:t>
      </w:r>
      <w:proofErr w:type="spellEnd"/>
      <w:r w:rsidRPr="00361FEA">
        <w:rPr>
          <w:rFonts w:ascii="Arial" w:hAnsi="Arial" w:cs="Arial"/>
          <w:lang w:val="es-ES_tradnl"/>
        </w:rPr>
        <w:t>)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280722D3" w14:textId="77777777" w:rsidR="00E23AAB" w:rsidRPr="00361FEA" w:rsidRDefault="00E23AAB" w:rsidP="00E23AAB">
      <w:pPr>
        <w:spacing w:after="0" w:line="276" w:lineRule="auto"/>
        <w:ind w:firstLine="709"/>
        <w:jc w:val="both"/>
        <w:rPr>
          <w:rFonts w:ascii="Arial" w:hAnsi="Arial" w:cs="Arial"/>
          <w:color w:val="000000" w:themeColor="text1"/>
          <w:kern w:val="2"/>
          <w:lang w:val="es-ES_tradnl"/>
          <w14:ligatures w14:val="standardContextual"/>
        </w:rPr>
      </w:pPr>
      <w:r w:rsidRPr="00361FEA">
        <w:rPr>
          <w:rFonts w:ascii="Arial" w:hAnsi="Arial" w:cs="Arial"/>
          <w:color w:val="000000" w:themeColor="text1"/>
          <w:kern w:val="2"/>
          <w:lang w:val="es-ES_tradnl"/>
          <w14:ligatures w14:val="standardContextual"/>
        </w:rPr>
        <w:lastRenderedPageBreak/>
        <w:t xml:space="preserve">De lo expuesto se concluye que, aunque la liquidación del contrato se comporta como un balance técnico, financiero y jurídico de los contratos estatales no siempre produce la extinción de </w:t>
      </w:r>
      <w:r w:rsidRPr="00361FEA">
        <w:rPr>
          <w:rFonts w:ascii="Arial" w:hAnsi="Arial" w:cs="Arial"/>
          <w:i/>
          <w:color w:val="000000" w:themeColor="text1"/>
          <w:kern w:val="2"/>
          <w:lang w:val="es-ES_tradnl"/>
          <w14:ligatures w14:val="standardContextual"/>
        </w:rPr>
        <w:t>todas</w:t>
      </w:r>
      <w:r w:rsidRPr="00361FEA">
        <w:rPr>
          <w:rFonts w:ascii="Arial" w:hAnsi="Arial" w:cs="Arial"/>
          <w:color w:val="000000" w:themeColor="text1"/>
          <w:kern w:val="2"/>
          <w:lang w:val="es-ES_tradnl"/>
          <w14:ligatures w14:val="standardContextual"/>
        </w:rPr>
        <w:t xml:space="preserve"> las obligaciones. En efecto, podrían quedar obligaciones para el contratista principal o para el interventor, derivadas bien de lo establecido en el pliego de condiciones, de lo pactado en el contrato o de los términos de las garantías de estabilidad de la obra y calidad del servicio. En cualquiera de estos casos el contratista principal y el interventor deberán cumplir tales obligaciones </w:t>
      </w:r>
      <w:proofErr w:type="spellStart"/>
      <w:r w:rsidRPr="00361FEA">
        <w:rPr>
          <w:rFonts w:ascii="Arial" w:hAnsi="Arial" w:cs="Arial"/>
          <w:color w:val="000000" w:themeColor="text1"/>
          <w:kern w:val="2"/>
          <w:lang w:val="es-ES_tradnl"/>
          <w14:ligatures w14:val="standardContextual"/>
        </w:rPr>
        <w:t>post-contractuales</w:t>
      </w:r>
      <w:proofErr w:type="spellEnd"/>
      <w:r w:rsidRPr="00361FEA">
        <w:rPr>
          <w:rFonts w:ascii="Arial" w:hAnsi="Arial" w:cs="Arial"/>
          <w:color w:val="000000" w:themeColor="text1"/>
          <w:kern w:val="2"/>
          <w:lang w:val="es-ES_tradnl"/>
          <w14:ligatures w14:val="standardContextual"/>
        </w:rPr>
        <w:t xml:space="preserve">. </w:t>
      </w:r>
    </w:p>
    <w:p w14:paraId="34CFD08B" w14:textId="77777777" w:rsidR="00E23AAB" w:rsidRPr="00361FEA" w:rsidRDefault="00E23AAB" w:rsidP="00E23AAB">
      <w:pPr>
        <w:spacing w:after="0" w:line="276" w:lineRule="auto"/>
        <w:jc w:val="both"/>
        <w:rPr>
          <w:rFonts w:ascii="Arial" w:eastAsia="Calibri" w:hAnsi="Arial" w:cs="Arial"/>
          <w:color w:val="000000"/>
          <w:lang w:val="es-MX"/>
        </w:rPr>
      </w:pPr>
    </w:p>
    <w:p w14:paraId="238040CF" w14:textId="77777777" w:rsidR="00E23AAB" w:rsidRPr="00361FEA" w:rsidRDefault="00E23AAB" w:rsidP="00E23AAB">
      <w:pPr>
        <w:spacing w:after="0" w:line="276" w:lineRule="auto"/>
        <w:contextualSpacing/>
        <w:jc w:val="both"/>
        <w:rPr>
          <w:rFonts w:ascii="Arial" w:eastAsia="Calibri" w:hAnsi="Arial" w:cs="Arial"/>
          <w:b/>
          <w:color w:val="000000"/>
          <w:lang w:val="es-MX"/>
        </w:rPr>
      </w:pPr>
      <w:r w:rsidRPr="00361FEA">
        <w:rPr>
          <w:rFonts w:ascii="Arial" w:eastAsia="Calibri" w:hAnsi="Arial" w:cs="Arial"/>
          <w:b/>
          <w:color w:val="000000"/>
          <w:lang w:val="es-MX"/>
        </w:rPr>
        <w:t>3. Respuesta</w:t>
      </w:r>
    </w:p>
    <w:p w14:paraId="0A4316A6" w14:textId="77777777" w:rsidR="00E23AAB" w:rsidRPr="00361FEA" w:rsidRDefault="00E23AAB" w:rsidP="00E23AAB">
      <w:pPr>
        <w:tabs>
          <w:tab w:val="left" w:pos="426"/>
        </w:tabs>
        <w:spacing w:after="0" w:line="276" w:lineRule="auto"/>
        <w:contextualSpacing/>
        <w:jc w:val="both"/>
        <w:rPr>
          <w:rFonts w:ascii="Arial" w:eastAsia="Calibri" w:hAnsi="Arial" w:cs="Arial"/>
          <w:color w:val="000000"/>
          <w:lang w:val="es-MX"/>
        </w:rPr>
      </w:pPr>
      <w:r w:rsidRPr="00361FEA">
        <w:rPr>
          <w:rFonts w:ascii="Arial" w:eastAsia="Calibri" w:hAnsi="Arial" w:cs="Arial"/>
          <w:color w:val="000000"/>
          <w:lang w:val="es-MX"/>
        </w:rPr>
        <w:tab/>
      </w:r>
    </w:p>
    <w:p w14:paraId="4AC8A2CA" w14:textId="77777777" w:rsidR="00E23AAB" w:rsidRPr="00361FEA" w:rsidRDefault="00E23AAB" w:rsidP="00E23AAB">
      <w:pPr>
        <w:shd w:val="clear" w:color="auto" w:fill="FFFFFF"/>
        <w:spacing w:after="0" w:line="240" w:lineRule="auto"/>
        <w:ind w:left="709" w:right="709"/>
        <w:jc w:val="both"/>
        <w:rPr>
          <w:rFonts w:ascii="Arial" w:hAnsi="Arial" w:cs="Arial"/>
          <w:kern w:val="2"/>
          <w:sz w:val="21"/>
          <w:szCs w:val="21"/>
          <w14:ligatures w14:val="standardContextual"/>
        </w:rPr>
      </w:pPr>
      <w:r w:rsidRPr="00361FEA">
        <w:rPr>
          <w:rFonts w:ascii="Arial" w:hAnsi="Arial" w:cs="Arial"/>
          <w:kern w:val="2"/>
          <w:sz w:val="21"/>
          <w:szCs w:val="21"/>
          <w14:ligatures w14:val="standardContextual"/>
        </w:rPr>
        <w:t>“¿Es obligatorio para una persona jurídica que ejerció la interventoría suscriba el acta de liquidación del contrato, dos años después de la terminación del plazo del contrato de interventoría?”.</w:t>
      </w:r>
    </w:p>
    <w:p w14:paraId="0E19F9F9" w14:textId="77777777" w:rsidR="00E23AAB" w:rsidRPr="00361FEA" w:rsidRDefault="00E23AAB" w:rsidP="00E23AAB">
      <w:pPr>
        <w:spacing w:after="0" w:line="276" w:lineRule="auto"/>
        <w:jc w:val="both"/>
        <w:rPr>
          <w:rFonts w:ascii="Arial" w:eastAsia="Calibri" w:hAnsi="Arial" w:cs="Arial"/>
          <w:color w:val="000000"/>
          <w:lang w:val="es-MX"/>
        </w:rPr>
      </w:pPr>
    </w:p>
    <w:p w14:paraId="15979017" w14:textId="77777777" w:rsidR="00E23AAB" w:rsidRPr="00361FEA" w:rsidRDefault="00E23AAB" w:rsidP="00E23AAB">
      <w:pPr>
        <w:spacing w:after="120" w:line="276" w:lineRule="auto"/>
        <w:ind w:firstLine="709"/>
        <w:jc w:val="both"/>
        <w:rPr>
          <w:rFonts w:ascii="Arial" w:eastAsia="Calibri" w:hAnsi="Arial" w:cs="Arial"/>
          <w:color w:val="000000"/>
          <w:lang w:val="es-MX"/>
        </w:rPr>
      </w:pPr>
      <w:r w:rsidRPr="00361FEA">
        <w:rPr>
          <w:rFonts w:ascii="Arial" w:eastAsia="Calibri" w:hAnsi="Arial" w:cs="Arial"/>
          <w:lang w:val="es-MX"/>
        </w:rPr>
        <w:t xml:space="preserve">En relación con su interrogante le informamos que, </w:t>
      </w:r>
      <w:r w:rsidRPr="00361FEA">
        <w:rPr>
          <w:rFonts w:ascii="Arial" w:eastAsia="Calibri" w:hAnsi="Arial" w:cs="Arial"/>
          <w:color w:val="000000"/>
          <w:lang w:val="es-MX"/>
        </w:rPr>
        <w:t xml:space="preserve">el contrato de interventoría es un contrato bilateral, conmutativo y oneroso, por lo que crea obligaciones tanto para la entidad contratante como para el contratista interventor. Asimismo, este contrato es de ejecución sucesiva, toda vez que, las prestaciones se prologan en el tiempo, es decir, la satisfacción de las prestaciones no se da con la prestación de un solo servicio, sino que se requiere el desarrollo de dicha actividad durante un periodo de tiempo. No obstante, también puede ser de ejecución inmediata dado que la interventoría recae sobre obligaciones, y en tal sentido, puede recaer una o algunas obligaciones de un contrato que sea de ejecución instantánea, en esa medida la interventora compartiría su naturaleza siendo no de ejecución sucesiva sino instantánea. </w:t>
      </w:r>
    </w:p>
    <w:p w14:paraId="727F7288" w14:textId="77777777" w:rsidR="00E23AAB" w:rsidRPr="00361FEA" w:rsidRDefault="00E23AAB" w:rsidP="00E23AAB">
      <w:pPr>
        <w:spacing w:after="120" w:line="276" w:lineRule="auto"/>
        <w:ind w:firstLine="709"/>
        <w:jc w:val="both"/>
        <w:rPr>
          <w:rFonts w:ascii="Arial" w:hAnsi="Arial" w:cs="Arial"/>
          <w:color w:val="000000" w:themeColor="text1"/>
          <w:kern w:val="2"/>
          <w:lang w:val="es-ES_tradnl"/>
          <w14:ligatures w14:val="standardContextual"/>
        </w:rPr>
      </w:pPr>
      <w:r w:rsidRPr="00361FEA">
        <w:rPr>
          <w:rFonts w:ascii="Arial" w:hAnsi="Arial" w:cs="Arial"/>
          <w:color w:val="000000" w:themeColor="text1"/>
          <w:kern w:val="2"/>
          <w:lang w:val="es-ES_tradnl"/>
          <w14:ligatures w14:val="standardContextual"/>
        </w:rPr>
        <w:t xml:space="preserve">Como se explicó previamente, las obligaciones del interventor se derivan de dos fuentes: i) las disposiciones normativas de carácter legal o reglamentario y </w:t>
      </w:r>
      <w:proofErr w:type="spellStart"/>
      <w:r w:rsidRPr="00361FEA">
        <w:rPr>
          <w:rFonts w:ascii="Arial" w:hAnsi="Arial" w:cs="Arial"/>
          <w:color w:val="000000" w:themeColor="text1"/>
          <w:kern w:val="2"/>
          <w:lang w:val="es-ES_tradnl"/>
          <w14:ligatures w14:val="standardContextual"/>
        </w:rPr>
        <w:t>ii</w:t>
      </w:r>
      <w:proofErr w:type="spellEnd"/>
      <w:r w:rsidRPr="00361FEA">
        <w:rPr>
          <w:rFonts w:ascii="Arial" w:hAnsi="Arial" w:cs="Arial"/>
          <w:color w:val="000000" w:themeColor="text1"/>
          <w:kern w:val="2"/>
          <w:lang w:val="es-ES_tradnl"/>
          <w14:ligatures w14:val="standardContextual"/>
        </w:rPr>
        <w:t xml:space="preserve">) el contrato –lo que incluye no solo la minuta, sino también el pliego de condiciones, o el documento 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w:t>
      </w:r>
      <w:r w:rsidRPr="00361FEA">
        <w:rPr>
          <w:rFonts w:ascii="Arial" w:hAnsi="Arial" w:cs="Arial"/>
          <w:color w:val="000000" w:themeColor="text1"/>
          <w:kern w:val="2"/>
          <w:lang w:val="es-ES_tradnl"/>
          <w14:ligatures w14:val="standardContextual"/>
        </w:rPr>
        <w:lastRenderedPageBreak/>
        <w:t xml:space="preserve">el plazo de ejecución del contrato de interventoría vaya por un término adicional a la liquidación del contrato objeto de seguimiento, para que vigile el cumplimiento de las obligaciones </w:t>
      </w:r>
      <w:proofErr w:type="spellStart"/>
      <w:r w:rsidRPr="00361FEA">
        <w:rPr>
          <w:rFonts w:ascii="Arial" w:hAnsi="Arial" w:cs="Arial"/>
          <w:color w:val="000000" w:themeColor="text1"/>
          <w:kern w:val="2"/>
          <w:lang w:val="es-ES_tradnl"/>
          <w14:ligatures w14:val="standardContextual"/>
        </w:rPr>
        <w:t>post-contractuales</w:t>
      </w:r>
      <w:proofErr w:type="spellEnd"/>
      <w:r w:rsidRPr="00361FEA">
        <w:rPr>
          <w:rFonts w:ascii="Arial" w:hAnsi="Arial" w:cs="Arial"/>
          <w:color w:val="000000" w:themeColor="text1"/>
          <w:kern w:val="2"/>
          <w:lang w:val="es-ES_tradnl"/>
          <w14:ligatures w14:val="standardContextual"/>
        </w:rPr>
        <w:t xml:space="preserve"> que queden pendientes, salvaguardando el equilibrio económico del contrato de interventoría.</w:t>
      </w:r>
    </w:p>
    <w:p w14:paraId="1E59C3BE" w14:textId="77777777" w:rsidR="00E23AAB" w:rsidRPr="00361FEA" w:rsidRDefault="00E23AAB" w:rsidP="00E23AAB">
      <w:pPr>
        <w:spacing w:after="120" w:line="276" w:lineRule="auto"/>
        <w:ind w:firstLine="708"/>
        <w:jc w:val="both"/>
        <w:rPr>
          <w:rFonts w:ascii="Arial" w:hAnsi="Arial" w:cs="Arial"/>
          <w:color w:val="000000" w:themeColor="text1"/>
          <w:lang w:val="es-ES_tradnl"/>
        </w:rPr>
      </w:pPr>
      <w:r w:rsidRPr="00361FEA">
        <w:rPr>
          <w:rFonts w:ascii="Arial" w:hAnsi="Arial" w:cs="Arial"/>
          <w:color w:val="000000" w:themeColor="text1"/>
          <w:lang w:val="es-ES_tradnl"/>
        </w:rPr>
        <w:t>Ahora bien, de acuerdo con el artículo 60 de la Ley 80 de 1993, los contratos de tracto sucesivo, aquellos cuyo cumplimiento o ejecución se prolongue en el tiempo y los demás que lo requieran “</w:t>
      </w:r>
      <w:r w:rsidRPr="00361FEA">
        <w:rPr>
          <w:rFonts w:ascii="Arial" w:hAnsi="Arial" w:cs="Arial"/>
          <w:i/>
          <w:color w:val="000000" w:themeColor="text1"/>
          <w:lang w:val="es-ES_tradnl"/>
        </w:rPr>
        <w:t>serán objeto de liquidación</w:t>
      </w:r>
      <w:r w:rsidRPr="00361FEA">
        <w:rPr>
          <w:rFonts w:ascii="Arial" w:hAnsi="Arial" w:cs="Arial"/>
          <w:color w:val="000000" w:themeColor="text1"/>
          <w:lang w:val="es-ES_tradnl"/>
        </w:rPr>
        <w:t xml:space="preserve">”.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 así como la probabilidad de que puedan surgir diferencias durante la ejecución del contrato; sin perjuicio de que, como se indicó, todos los contratos estatales de </w:t>
      </w:r>
      <w:r w:rsidRPr="00361FEA">
        <w:rPr>
          <w:rFonts w:ascii="Arial" w:hAnsi="Arial" w:cs="Arial"/>
          <w:i/>
          <w:color w:val="000000" w:themeColor="text1"/>
          <w:lang w:val="es-ES_tradnl"/>
        </w:rPr>
        <w:t>tracto sucesivo</w:t>
      </w:r>
      <w:r w:rsidRPr="00361FEA">
        <w:rPr>
          <w:rFonts w:ascii="Arial" w:hAnsi="Arial" w:cs="Arial"/>
          <w:color w:val="000000" w:themeColor="text1"/>
          <w:lang w:val="es-ES_tradnl"/>
        </w:rPr>
        <w:t xml:space="preserve"> o aquellos cuya ejecución se prolongue en el tiempo siempre deban liquidarse, convirtiéndose en estos contratos en una cláusula de la naturaleza, conforme a la clasificación prevista en el Código Civil.</w:t>
      </w:r>
    </w:p>
    <w:p w14:paraId="74B71F12" w14:textId="77777777" w:rsidR="00E23AAB" w:rsidRPr="00361FEA" w:rsidRDefault="00E23AAB" w:rsidP="00E23AAB">
      <w:pPr>
        <w:spacing w:after="120" w:line="276" w:lineRule="auto"/>
        <w:ind w:firstLine="703"/>
        <w:jc w:val="both"/>
        <w:rPr>
          <w:rFonts w:ascii="Arial" w:hAnsi="Arial" w:cs="Arial"/>
          <w:color w:val="000000" w:themeColor="text1"/>
          <w:bdr w:val="none" w:sz="0" w:space="0" w:color="auto" w:frame="1"/>
          <w:shd w:val="clear" w:color="auto" w:fill="FFFFFF"/>
          <w:lang w:val="es-MX"/>
        </w:rPr>
      </w:pPr>
      <w:r w:rsidRPr="00361FEA">
        <w:rPr>
          <w:rFonts w:ascii="Arial" w:hAnsi="Arial" w:cs="Arial"/>
          <w:color w:val="000000" w:themeColor="text1"/>
          <w:bdr w:val="none" w:sz="0" w:space="0" w:color="auto" w:frame="1"/>
          <w:shd w:val="clear" w:color="auto" w:fill="FFFFFF"/>
          <w:lang w:val="es-ES"/>
        </w:rPr>
        <w:t xml:space="preserve">Teniendo en cuenta lo anterior, es posible afirmar que el contrato de interventoría es susceptible de liquidación. </w:t>
      </w:r>
      <w:r w:rsidRPr="00361FEA">
        <w:rPr>
          <w:rFonts w:ascii="Arial" w:hAnsi="Arial" w:cs="Arial"/>
          <w:lang w:val="es-ES_tradnl"/>
        </w:rPr>
        <w:t>Por tanto, si se trata de un contrato en el cual no existe pacto sobre el término para la liquidación bilateral, el término supletivo aplicaría, y se podría liquidar el contrato dentro de los 4 meses siguientes a su terminación de manera bilateral, dentro de los 2 meses siguientes a ellos de manera unilateral por la entidad, más un plazo de 2 años para la liquidación unilateral, bilateral o judicial: para un total de 2 años y 6 meses. No obstante, estos términos pueden verse modificados si las partes acuerdan un plazo mayor o menor para realizar la liquidación de mutuo acuerdo, con lo cual dejaría de estar incluido el término supletivo de la Ley 1150 de 2007</w:t>
      </w:r>
    </w:p>
    <w:p w14:paraId="302FE795" w14:textId="77777777" w:rsidR="00E23AAB" w:rsidRPr="00361FEA" w:rsidRDefault="00E23AAB" w:rsidP="00E23AAB">
      <w:pPr>
        <w:spacing w:after="0" w:line="276" w:lineRule="auto"/>
        <w:ind w:firstLine="709"/>
        <w:jc w:val="both"/>
        <w:rPr>
          <w:rFonts w:ascii="Arial" w:hAnsi="Arial" w:cs="Arial"/>
          <w:color w:val="000000" w:themeColor="text1"/>
          <w:kern w:val="2"/>
          <w:lang w:val="es-ES_tradnl"/>
          <w14:ligatures w14:val="standardContextual"/>
        </w:rPr>
      </w:pPr>
      <w:r w:rsidRPr="00361FEA">
        <w:rPr>
          <w:rFonts w:ascii="Arial" w:hAnsi="Arial" w:cs="Arial"/>
          <w:color w:val="000000" w:themeColor="text1"/>
          <w:kern w:val="2"/>
          <w:lang w:val="es-ES_tradnl"/>
          <w14:ligatures w14:val="standardContextual"/>
        </w:rPr>
        <w:t xml:space="preserve">De lo expuesto se concluye que, aunque la liquidación del contrato se comporta como un balance técnico, financiero y jurídico de los contratos estatales no siempre produce la extinción de </w:t>
      </w:r>
      <w:r w:rsidRPr="00361FEA">
        <w:rPr>
          <w:rFonts w:ascii="Arial" w:hAnsi="Arial" w:cs="Arial"/>
          <w:i/>
          <w:color w:val="000000" w:themeColor="text1"/>
          <w:kern w:val="2"/>
          <w:lang w:val="es-ES_tradnl"/>
          <w14:ligatures w14:val="standardContextual"/>
        </w:rPr>
        <w:t>todas</w:t>
      </w:r>
      <w:r w:rsidRPr="00361FEA">
        <w:rPr>
          <w:rFonts w:ascii="Arial" w:hAnsi="Arial" w:cs="Arial"/>
          <w:color w:val="000000" w:themeColor="text1"/>
          <w:kern w:val="2"/>
          <w:lang w:val="es-ES_tradnl"/>
          <w14:ligatures w14:val="standardContextual"/>
        </w:rPr>
        <w:t xml:space="preserve"> las obligaciones. En efecto, podrían quedar obligaciones para el contratista principal o para el interventor, derivadas bien de lo establecido en el pliego de condiciones, de lo pactado en el contrato o de los términos de las garantías de estabilidad de la obra y calidad del servicio. En cualquiera de estos casos el contratista principal y el interventor deberán cumplir tales obligaciones </w:t>
      </w:r>
      <w:proofErr w:type="spellStart"/>
      <w:r w:rsidRPr="00361FEA">
        <w:rPr>
          <w:rFonts w:ascii="Arial" w:hAnsi="Arial" w:cs="Arial"/>
          <w:color w:val="000000" w:themeColor="text1"/>
          <w:kern w:val="2"/>
          <w:lang w:val="es-ES_tradnl"/>
          <w14:ligatures w14:val="standardContextual"/>
        </w:rPr>
        <w:t>post-contractuales</w:t>
      </w:r>
      <w:proofErr w:type="spellEnd"/>
      <w:r w:rsidRPr="00361FEA">
        <w:rPr>
          <w:rFonts w:ascii="Arial" w:hAnsi="Arial" w:cs="Arial"/>
          <w:color w:val="000000" w:themeColor="text1"/>
          <w:kern w:val="2"/>
          <w:lang w:val="es-ES_tradnl"/>
          <w14:ligatures w14:val="standardContextual"/>
        </w:rPr>
        <w:t xml:space="preserve">. </w:t>
      </w:r>
    </w:p>
    <w:p w14:paraId="38D4044A" w14:textId="77777777" w:rsidR="00E23AAB" w:rsidRPr="00361FEA" w:rsidRDefault="00E23AAB" w:rsidP="00E23AAB">
      <w:pPr>
        <w:spacing w:after="0" w:line="276" w:lineRule="auto"/>
        <w:ind w:firstLine="709"/>
        <w:jc w:val="both"/>
        <w:rPr>
          <w:rFonts w:ascii="Arial" w:hAnsi="Arial" w:cs="Arial"/>
          <w:color w:val="000000" w:themeColor="text1"/>
          <w:kern w:val="2"/>
          <w:lang w:val="es-ES_tradnl"/>
          <w14:ligatures w14:val="standardContextual"/>
        </w:rPr>
      </w:pPr>
    </w:p>
    <w:p w14:paraId="38B55776" w14:textId="77777777" w:rsidR="00E23AAB" w:rsidRPr="00361FEA" w:rsidRDefault="00E23AAB" w:rsidP="00E23AAB">
      <w:pPr>
        <w:spacing w:after="0" w:line="276" w:lineRule="auto"/>
        <w:jc w:val="both"/>
        <w:rPr>
          <w:rFonts w:ascii="Arial" w:hAnsi="Arial" w:cs="Arial"/>
          <w:kern w:val="2"/>
          <w:lang w:val="es-ES_tradnl"/>
          <w14:ligatures w14:val="standardContextual"/>
        </w:rPr>
      </w:pPr>
      <w:r w:rsidRPr="00361FEA">
        <w:rPr>
          <w:rFonts w:ascii="Arial" w:hAnsi="Arial" w:cs="Arial"/>
          <w:kern w:val="2"/>
          <w:lang w:val="es-ES_tradnl"/>
          <w14:ligatures w14:val="standardContextu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FE915C6" w14:textId="77777777" w:rsidR="00E23AAB" w:rsidRPr="00361FEA" w:rsidRDefault="00E23AAB" w:rsidP="00E23AAB">
      <w:pPr>
        <w:spacing w:after="0" w:line="276" w:lineRule="auto"/>
        <w:jc w:val="both"/>
        <w:rPr>
          <w:rFonts w:ascii="Arial" w:hAnsi="Arial" w:cs="Arial"/>
          <w:kern w:val="2"/>
          <w:lang w:val="es-ES_tradnl"/>
          <w14:ligatures w14:val="standardContextual"/>
        </w:rPr>
      </w:pPr>
    </w:p>
    <w:p w14:paraId="4BF5007B" w14:textId="77777777" w:rsidR="00E23AAB" w:rsidRPr="00361FEA" w:rsidRDefault="00E23AAB" w:rsidP="00E23AAB">
      <w:pPr>
        <w:tabs>
          <w:tab w:val="left" w:pos="426"/>
        </w:tabs>
        <w:spacing w:after="0" w:line="276" w:lineRule="auto"/>
        <w:jc w:val="both"/>
        <w:rPr>
          <w:rFonts w:ascii="Arial" w:eastAsia="Times New Roman" w:hAnsi="Arial" w:cs="Arial"/>
          <w:color w:val="000000" w:themeColor="text1"/>
          <w:kern w:val="2"/>
          <w14:ligatures w14:val="standardContextual"/>
        </w:rPr>
      </w:pPr>
      <w:r w:rsidRPr="00361FEA">
        <w:rPr>
          <w:rFonts w:ascii="Arial" w:eastAsia="Times New Roman" w:hAnsi="Arial" w:cs="Arial"/>
          <w:color w:val="000000" w:themeColor="text1"/>
          <w:kern w:val="2"/>
          <w14:ligatures w14:val="standardContextual"/>
        </w:rPr>
        <w:lastRenderedPageBreak/>
        <w:t>Atentamente,</w:t>
      </w:r>
    </w:p>
    <w:p w14:paraId="11204754" w14:textId="77777777" w:rsidR="00E23AAB" w:rsidRPr="00361FEA" w:rsidRDefault="00E23AAB" w:rsidP="00E23AAB">
      <w:pPr>
        <w:tabs>
          <w:tab w:val="left" w:pos="0"/>
        </w:tabs>
        <w:spacing w:line="276" w:lineRule="auto"/>
        <w:contextualSpacing/>
        <w:jc w:val="both"/>
        <w:rPr>
          <w:rFonts w:ascii="Arial" w:hAnsi="Arial" w:cs="Arial"/>
          <w:kern w:val="2"/>
          <w:lang w:val="es-MX"/>
          <w14:ligatures w14:val="standardContextual"/>
        </w:rPr>
      </w:pPr>
    </w:p>
    <w:p w14:paraId="1E5D106C" w14:textId="77777777" w:rsidR="00E23AAB" w:rsidRPr="00361FEA" w:rsidRDefault="00E23AAB" w:rsidP="00E23AAB">
      <w:pPr>
        <w:spacing w:after="0"/>
        <w:rPr>
          <w:rFonts w:ascii="Arial" w:eastAsia="Times New Roman" w:hAnsi="Arial" w:cs="Arial"/>
          <w:kern w:val="2"/>
          <w:lang w:eastAsia="es-CO"/>
          <w14:ligatures w14:val="standardContextual"/>
        </w:rPr>
      </w:pPr>
    </w:p>
    <w:p w14:paraId="734BCDD5" w14:textId="7DF85E2E" w:rsidR="00E23AAB" w:rsidRPr="00361FEA" w:rsidRDefault="00552B7F" w:rsidP="00552B7F">
      <w:pPr>
        <w:tabs>
          <w:tab w:val="left" w:pos="1524"/>
          <w:tab w:val="center" w:pos="4702"/>
        </w:tabs>
        <w:spacing w:line="276" w:lineRule="auto"/>
        <w:jc w:val="center"/>
        <w:rPr>
          <w:rFonts w:ascii="Arial" w:eastAsia="Times New Roman" w:hAnsi="Arial" w:cs="Arial"/>
          <w:color w:val="000000" w:themeColor="text1"/>
          <w:kern w:val="2"/>
          <w:lang w:val="es-ES_tradnl" w:eastAsia="es-CO"/>
          <w14:ligatures w14:val="standardContextual"/>
        </w:rPr>
      </w:pPr>
      <w:r>
        <w:rPr>
          <w:noProof/>
        </w:rPr>
        <w:drawing>
          <wp:inline distT="0" distB="0" distL="0" distR="0" wp14:anchorId="17477F98" wp14:editId="2CF69F7F">
            <wp:extent cx="2532241" cy="971585"/>
            <wp:effectExtent l="0" t="0" r="190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548596" cy="97786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56"/>
      </w:tblGrid>
      <w:tr w:rsidR="00E23AAB" w:rsidRPr="00E23AAB" w14:paraId="5B5113EE" w14:textId="77777777" w:rsidTr="00251C89">
        <w:trPr>
          <w:trHeight w:val="449"/>
        </w:trPr>
        <w:tc>
          <w:tcPr>
            <w:tcW w:w="855" w:type="dxa"/>
            <w:vAlign w:val="center"/>
            <w:hideMark/>
          </w:tcPr>
          <w:p w14:paraId="3831528F" w14:textId="77777777" w:rsidR="00E23AAB" w:rsidRPr="00361FEA" w:rsidRDefault="00E23AAB" w:rsidP="00E23AAB">
            <w:pPr>
              <w:rPr>
                <w:rFonts w:ascii="Arial" w:eastAsia="Times New Roman" w:hAnsi="Arial" w:cs="Arial"/>
                <w:sz w:val="16"/>
                <w:szCs w:val="16"/>
                <w:lang w:eastAsia="es-ES"/>
              </w:rPr>
            </w:pPr>
            <w:r w:rsidRPr="00361FEA">
              <w:rPr>
                <w:rFonts w:ascii="Arial" w:eastAsia="Times New Roman" w:hAnsi="Arial" w:cs="Arial"/>
                <w:sz w:val="16"/>
                <w:szCs w:val="16"/>
                <w:lang w:eastAsia="es-ES"/>
              </w:rPr>
              <w:t>Elaboró:</w:t>
            </w:r>
          </w:p>
        </w:tc>
        <w:tc>
          <w:tcPr>
            <w:tcW w:w="4656" w:type="dxa"/>
            <w:tcBorders>
              <w:top w:val="nil"/>
              <w:left w:val="nil"/>
              <w:bottom w:val="dotted" w:sz="4" w:space="0" w:color="7F7F7F" w:themeColor="text1" w:themeTint="80"/>
              <w:right w:val="nil"/>
            </w:tcBorders>
            <w:vAlign w:val="center"/>
            <w:hideMark/>
          </w:tcPr>
          <w:p w14:paraId="5738FADC" w14:textId="77777777" w:rsidR="00E23AAB" w:rsidRPr="00361FEA" w:rsidRDefault="00E23AAB" w:rsidP="00E23AAB">
            <w:pPr>
              <w:rPr>
                <w:rFonts w:ascii="Arial" w:eastAsia="Times New Roman" w:hAnsi="Arial" w:cs="Arial"/>
                <w:sz w:val="16"/>
                <w:szCs w:val="16"/>
                <w:lang w:eastAsia="es-ES"/>
              </w:rPr>
            </w:pPr>
            <w:r w:rsidRPr="00361FEA">
              <w:rPr>
                <w:rFonts w:ascii="Arial" w:eastAsia="Times New Roman" w:hAnsi="Arial" w:cs="Arial"/>
                <w:sz w:val="16"/>
                <w:szCs w:val="16"/>
                <w:lang w:eastAsia="es-ES"/>
              </w:rPr>
              <w:t xml:space="preserve">Carlos Mario Castrillón Endo </w:t>
            </w:r>
          </w:p>
          <w:p w14:paraId="3FFCABA1" w14:textId="77777777" w:rsidR="00E23AAB" w:rsidRPr="00361FEA" w:rsidRDefault="00E23AAB" w:rsidP="00E23AAB">
            <w:pPr>
              <w:rPr>
                <w:rFonts w:ascii="Arial" w:eastAsia="Times New Roman" w:hAnsi="Arial" w:cs="Arial"/>
                <w:sz w:val="16"/>
                <w:szCs w:val="16"/>
                <w:lang w:eastAsia="es-ES"/>
              </w:rPr>
            </w:pPr>
            <w:r w:rsidRPr="00361FEA">
              <w:rPr>
                <w:rFonts w:ascii="Arial" w:eastAsia="Times New Roman" w:hAnsi="Arial" w:cs="Arial"/>
                <w:sz w:val="16"/>
                <w:szCs w:val="16"/>
                <w:lang w:eastAsia="es-ES"/>
              </w:rPr>
              <w:t>Contratista de la Subdirección de Gestión Contractual</w:t>
            </w:r>
          </w:p>
        </w:tc>
      </w:tr>
      <w:tr w:rsidR="00E23AAB" w:rsidRPr="00E23AAB" w14:paraId="25FE35B6" w14:textId="77777777" w:rsidTr="00251C89">
        <w:trPr>
          <w:trHeight w:val="340"/>
        </w:trPr>
        <w:tc>
          <w:tcPr>
            <w:tcW w:w="855" w:type="dxa"/>
            <w:vAlign w:val="center"/>
            <w:hideMark/>
          </w:tcPr>
          <w:p w14:paraId="50768680" w14:textId="77777777" w:rsidR="00E23AAB" w:rsidRPr="00361FEA" w:rsidRDefault="00E23AAB" w:rsidP="00E23AAB">
            <w:pPr>
              <w:rPr>
                <w:rFonts w:ascii="Arial" w:eastAsia="Times New Roman" w:hAnsi="Arial" w:cs="Arial"/>
                <w:sz w:val="16"/>
                <w:szCs w:val="16"/>
                <w:lang w:eastAsia="es-ES"/>
              </w:rPr>
            </w:pPr>
            <w:r w:rsidRPr="00361FEA">
              <w:rPr>
                <w:rFonts w:ascii="Arial" w:eastAsia="Times New Roman" w:hAnsi="Arial" w:cs="Arial"/>
                <w:sz w:val="16"/>
                <w:szCs w:val="16"/>
                <w:lang w:eastAsia="es-ES"/>
              </w:rPr>
              <w:t>Revisó: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6E12ABB2" w14:textId="77777777" w:rsidR="00E23AAB" w:rsidRPr="00361FEA" w:rsidRDefault="00E23AAB" w:rsidP="00E23AAB">
            <w:pPr>
              <w:rPr>
                <w:rFonts w:ascii="Arial" w:eastAsia="Calibri" w:hAnsi="Arial" w:cs="Arial"/>
                <w:sz w:val="16"/>
                <w:szCs w:val="16"/>
                <w:lang w:val="es-ES_tradnl" w:eastAsia="es-ES"/>
              </w:rPr>
            </w:pPr>
            <w:r w:rsidRPr="00361FEA">
              <w:rPr>
                <w:rFonts w:ascii="Arial" w:eastAsia="Calibri" w:hAnsi="Arial" w:cs="Arial"/>
                <w:sz w:val="16"/>
                <w:szCs w:val="16"/>
                <w:lang w:val="es-ES_tradnl" w:eastAsia="es-ES"/>
              </w:rPr>
              <w:t xml:space="preserve">Juan David Cárdenas Cabeza </w:t>
            </w:r>
          </w:p>
          <w:p w14:paraId="5D51CBA4" w14:textId="77777777" w:rsidR="00E23AAB" w:rsidRPr="00361FEA" w:rsidRDefault="00E23AAB" w:rsidP="00E23AAB">
            <w:pPr>
              <w:rPr>
                <w:rFonts w:ascii="Arial" w:eastAsia="Calibri" w:hAnsi="Arial" w:cs="Arial"/>
                <w:sz w:val="16"/>
                <w:szCs w:val="16"/>
                <w:lang w:eastAsia="es-ES"/>
              </w:rPr>
            </w:pPr>
            <w:r w:rsidRPr="00361FEA">
              <w:rPr>
                <w:rFonts w:ascii="Arial" w:eastAsia="Times New Roman" w:hAnsi="Arial" w:cs="Arial"/>
                <w:sz w:val="16"/>
                <w:szCs w:val="16"/>
                <w:lang w:eastAsia="es-ES"/>
              </w:rPr>
              <w:t>Contratista de la Subdirección de Gestión Contractual</w:t>
            </w:r>
          </w:p>
        </w:tc>
      </w:tr>
      <w:tr w:rsidR="00E23AAB" w:rsidRPr="00E23AAB" w14:paraId="697DF0CE" w14:textId="77777777" w:rsidTr="00251C89">
        <w:trPr>
          <w:trHeight w:val="310"/>
        </w:trPr>
        <w:tc>
          <w:tcPr>
            <w:tcW w:w="855" w:type="dxa"/>
            <w:vAlign w:val="center"/>
            <w:hideMark/>
          </w:tcPr>
          <w:p w14:paraId="245F4682" w14:textId="77777777" w:rsidR="00E23AAB" w:rsidRPr="00361FEA" w:rsidRDefault="00E23AAB" w:rsidP="00E23AAB">
            <w:pPr>
              <w:rPr>
                <w:rFonts w:ascii="Arial" w:eastAsia="Times New Roman" w:hAnsi="Arial" w:cs="Arial"/>
                <w:sz w:val="16"/>
                <w:szCs w:val="16"/>
                <w:lang w:eastAsia="es-ES"/>
              </w:rPr>
            </w:pPr>
            <w:r w:rsidRPr="00361FEA">
              <w:rPr>
                <w:rFonts w:ascii="Arial" w:eastAsia="Times New Roman" w:hAnsi="Arial" w:cs="Arial"/>
                <w:sz w:val="16"/>
                <w:szCs w:val="16"/>
                <w:lang w:eastAsia="es-ES"/>
              </w:rPr>
              <w:t>Aprobó: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7620B653" w14:textId="77777777" w:rsidR="00E23AAB" w:rsidRPr="00361FEA" w:rsidRDefault="00E23AAB" w:rsidP="00E23AAB">
            <w:pPr>
              <w:rPr>
                <w:rFonts w:ascii="Arial" w:eastAsia="Calibri" w:hAnsi="Arial" w:cs="Arial"/>
                <w:sz w:val="16"/>
                <w:szCs w:val="16"/>
                <w:lang w:val="pt-BR" w:eastAsia="es-ES"/>
              </w:rPr>
            </w:pPr>
            <w:r w:rsidRPr="00361FEA">
              <w:rPr>
                <w:rFonts w:ascii="Arial" w:eastAsia="Calibri" w:hAnsi="Arial" w:cs="Arial"/>
                <w:sz w:val="16"/>
                <w:szCs w:val="16"/>
                <w:lang w:val="pt-BR" w:eastAsia="es-ES"/>
              </w:rPr>
              <w:t>Nohelia del Carmen Zawady Palacio</w:t>
            </w:r>
          </w:p>
          <w:p w14:paraId="5FFF8AD5" w14:textId="77777777" w:rsidR="00E23AAB" w:rsidRPr="00361FEA" w:rsidRDefault="00E23AAB" w:rsidP="00E23AAB">
            <w:pPr>
              <w:rPr>
                <w:rFonts w:ascii="Arial" w:eastAsia="Times New Roman" w:hAnsi="Arial" w:cs="Arial"/>
                <w:sz w:val="16"/>
                <w:szCs w:val="16"/>
                <w:lang w:eastAsia="es-ES"/>
              </w:rPr>
            </w:pPr>
            <w:proofErr w:type="spellStart"/>
            <w:r w:rsidRPr="00361FEA">
              <w:rPr>
                <w:rFonts w:ascii="Arial" w:eastAsia="Calibri" w:hAnsi="Arial" w:cs="Arial"/>
                <w:sz w:val="16"/>
                <w:szCs w:val="16"/>
                <w:lang w:val="pt-BR" w:eastAsia="es-ES"/>
              </w:rPr>
              <w:t>Subdirectora</w:t>
            </w:r>
            <w:proofErr w:type="spellEnd"/>
            <w:r w:rsidRPr="00361FEA">
              <w:rPr>
                <w:rFonts w:ascii="Arial" w:eastAsia="Calibri" w:hAnsi="Arial" w:cs="Arial"/>
                <w:sz w:val="16"/>
                <w:szCs w:val="16"/>
                <w:lang w:val="pt-BR" w:eastAsia="es-ES"/>
              </w:rPr>
              <w:t xml:space="preserve"> de Gestión Contractual ANCP – CCE </w:t>
            </w:r>
          </w:p>
        </w:tc>
      </w:tr>
    </w:tbl>
    <w:p w14:paraId="1F8C1077" w14:textId="77777777" w:rsidR="00E23AAB" w:rsidRPr="00E23AAB" w:rsidRDefault="00E23AAB" w:rsidP="00E23AAB">
      <w:pPr>
        <w:spacing w:after="0" w:line="240" w:lineRule="auto"/>
        <w:rPr>
          <w:rFonts w:ascii="Arial" w:hAnsi="Arial" w:cs="Arial"/>
          <w:b/>
          <w:color w:val="404040" w:themeColor="text1" w:themeTint="BF"/>
          <w:kern w:val="2"/>
          <w:lang w:val="es-ES"/>
          <w14:ligatures w14:val="standardContextual"/>
        </w:rPr>
      </w:pPr>
    </w:p>
    <w:p w14:paraId="5B6061D9" w14:textId="77777777" w:rsidR="00E23AAB" w:rsidRPr="00E23AAB" w:rsidRDefault="00E23AAB" w:rsidP="00E23AAB">
      <w:pPr>
        <w:rPr>
          <w:rFonts w:ascii="Arial" w:hAnsi="Arial" w:cs="Arial"/>
          <w:kern w:val="2"/>
          <w14:ligatures w14:val="standardContextual"/>
        </w:rPr>
      </w:pPr>
    </w:p>
    <w:p w14:paraId="1B9699A7" w14:textId="77777777" w:rsidR="00E23AAB" w:rsidRPr="00361FEA" w:rsidRDefault="00E23AAB" w:rsidP="00E23AAB">
      <w:pPr>
        <w:rPr>
          <w:rFonts w:ascii="Arial" w:hAnsi="Arial" w:cs="Arial"/>
          <w:kern w:val="2"/>
          <w14:ligatures w14:val="standardContextual"/>
        </w:rPr>
      </w:pPr>
    </w:p>
    <w:p w14:paraId="4499901D" w14:textId="77777777" w:rsidR="00833379" w:rsidRPr="00361FEA" w:rsidRDefault="00833379" w:rsidP="00E245AB">
      <w:pPr>
        <w:spacing w:after="0"/>
        <w:rPr>
          <w:rFonts w:ascii="Arial" w:hAnsi="Arial" w:cs="Arial"/>
        </w:rPr>
      </w:pPr>
    </w:p>
    <w:sectPr w:rsidR="00833379" w:rsidRPr="00361FEA"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9CE3" w14:textId="77777777" w:rsidR="00F204AB" w:rsidRDefault="00F204AB" w:rsidP="004A1847">
      <w:pPr>
        <w:spacing w:after="0" w:line="240" w:lineRule="auto"/>
      </w:pPr>
      <w:r>
        <w:separator/>
      </w:r>
    </w:p>
  </w:endnote>
  <w:endnote w:type="continuationSeparator" w:id="0">
    <w:p w14:paraId="54DCEF97" w14:textId="77777777" w:rsidR="00F204AB" w:rsidRDefault="00F204AB" w:rsidP="004A1847">
      <w:pPr>
        <w:spacing w:after="0" w:line="240" w:lineRule="auto"/>
      </w:pPr>
      <w:r>
        <w:continuationSeparator/>
      </w:r>
    </w:p>
  </w:endnote>
  <w:endnote w:type="continuationNotice" w:id="1">
    <w:p w14:paraId="0CB79E4C" w14:textId="77777777" w:rsidR="00CF5EFA" w:rsidRDefault="00CF5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orbel"/>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F187" w14:textId="77777777" w:rsidR="00F204AB" w:rsidRDefault="00F204AB" w:rsidP="004A1847">
      <w:pPr>
        <w:spacing w:after="0" w:line="240" w:lineRule="auto"/>
      </w:pPr>
      <w:r>
        <w:separator/>
      </w:r>
    </w:p>
  </w:footnote>
  <w:footnote w:type="continuationSeparator" w:id="0">
    <w:p w14:paraId="721FD26C" w14:textId="77777777" w:rsidR="00F204AB" w:rsidRDefault="00F204AB" w:rsidP="004A1847">
      <w:pPr>
        <w:spacing w:after="0" w:line="240" w:lineRule="auto"/>
      </w:pPr>
      <w:r>
        <w:continuationSeparator/>
      </w:r>
    </w:p>
  </w:footnote>
  <w:footnote w:type="continuationNotice" w:id="1">
    <w:p w14:paraId="09D3B98D" w14:textId="77777777" w:rsidR="00CF5EFA" w:rsidRDefault="00CF5EFA">
      <w:pPr>
        <w:spacing w:after="0" w:line="240" w:lineRule="auto"/>
      </w:pPr>
    </w:p>
  </w:footnote>
  <w:footnote w:id="2">
    <w:p w14:paraId="0F7430A3" w14:textId="77777777" w:rsidR="00E23AAB" w:rsidRPr="00361FEA" w:rsidRDefault="00E23AAB" w:rsidP="00E23AAB">
      <w:pPr>
        <w:pStyle w:val="Textonotapie"/>
        <w:ind w:firstLine="708"/>
        <w:rPr>
          <w:rFonts w:ascii="Arial" w:hAnsi="Arial" w:cs="Arial"/>
          <w:sz w:val="18"/>
          <w:szCs w:val="18"/>
          <w:lang w:val="es-CO"/>
        </w:rPr>
      </w:pPr>
      <w:r w:rsidRPr="00361FEA">
        <w:rPr>
          <w:rStyle w:val="Refdenotaalpie"/>
          <w:rFonts w:ascii="Arial" w:hAnsi="Arial" w:cs="Arial"/>
          <w:sz w:val="18"/>
          <w:szCs w:val="18"/>
        </w:rPr>
        <w:footnoteRef/>
      </w:r>
      <w:r w:rsidRPr="00361FEA">
        <w:rPr>
          <w:rFonts w:ascii="Arial" w:hAnsi="Arial" w:cs="Arial"/>
          <w:sz w:val="18"/>
          <w:szCs w:val="18"/>
        </w:rPr>
        <w:t xml:space="preserve"> Los</w:t>
      </w:r>
      <w:r w:rsidRPr="00361FEA">
        <w:rPr>
          <w:rFonts w:ascii="Arial" w:hAnsi="Arial" w:cs="Arial"/>
          <w:sz w:val="18"/>
          <w:szCs w:val="18"/>
        </w:rPr>
        <w:tab/>
        <w:t>conceptos</w:t>
      </w:r>
      <w:r w:rsidRPr="00361FEA">
        <w:rPr>
          <w:rFonts w:ascii="Arial" w:hAnsi="Arial" w:cs="Arial"/>
          <w:sz w:val="18"/>
          <w:szCs w:val="18"/>
        </w:rPr>
        <w:tab/>
        <w:t>indicados</w:t>
      </w:r>
      <w:r w:rsidRPr="00361FEA">
        <w:rPr>
          <w:rFonts w:ascii="Arial" w:hAnsi="Arial" w:cs="Arial"/>
          <w:sz w:val="18"/>
          <w:szCs w:val="18"/>
        </w:rPr>
        <w:tab/>
        <w:t>pueden</w:t>
      </w:r>
      <w:r w:rsidRPr="00361FEA">
        <w:rPr>
          <w:rFonts w:ascii="Arial" w:hAnsi="Arial" w:cs="Arial"/>
          <w:sz w:val="18"/>
          <w:szCs w:val="18"/>
        </w:rPr>
        <w:tab/>
        <w:t>consultarse</w:t>
      </w:r>
      <w:r w:rsidRPr="00361FEA">
        <w:rPr>
          <w:rFonts w:ascii="Arial" w:hAnsi="Arial" w:cs="Arial"/>
          <w:sz w:val="18"/>
          <w:szCs w:val="18"/>
        </w:rPr>
        <w:tab/>
        <w:t>en</w:t>
      </w:r>
      <w:r w:rsidRPr="00361FEA">
        <w:rPr>
          <w:rFonts w:ascii="Arial" w:hAnsi="Arial" w:cs="Arial"/>
          <w:sz w:val="18"/>
          <w:szCs w:val="18"/>
        </w:rPr>
        <w:tab/>
        <w:t>el</w:t>
      </w:r>
      <w:r w:rsidRPr="00361FEA">
        <w:rPr>
          <w:rFonts w:ascii="Arial" w:hAnsi="Arial" w:cs="Arial"/>
          <w:sz w:val="18"/>
          <w:szCs w:val="18"/>
        </w:rPr>
        <w:tab/>
        <w:t>siguiente</w:t>
      </w:r>
      <w:r w:rsidRPr="00361FEA">
        <w:rPr>
          <w:rFonts w:ascii="Arial" w:hAnsi="Arial" w:cs="Arial"/>
          <w:sz w:val="18"/>
          <w:szCs w:val="18"/>
        </w:rPr>
        <w:tab/>
      </w:r>
      <w:r w:rsidRPr="00361FEA">
        <w:rPr>
          <w:rFonts w:ascii="Arial" w:hAnsi="Arial" w:cs="Arial"/>
          <w:spacing w:val="-1"/>
          <w:sz w:val="18"/>
          <w:szCs w:val="18"/>
        </w:rPr>
        <w:t>enlace:</w:t>
      </w:r>
      <w:r w:rsidRPr="00361FEA">
        <w:rPr>
          <w:rFonts w:ascii="Arial" w:hAnsi="Arial" w:cs="Arial"/>
          <w:spacing w:val="-50"/>
          <w:sz w:val="18"/>
          <w:szCs w:val="18"/>
        </w:rPr>
        <w:t xml:space="preserve"> </w:t>
      </w:r>
      <w:hyperlink r:id="rId1">
        <w:r w:rsidRPr="00361FEA">
          <w:rPr>
            <w:rFonts w:ascii="Arial" w:hAnsi="Arial" w:cs="Arial"/>
            <w:color w:val="0462C1"/>
            <w:sz w:val="18"/>
            <w:szCs w:val="18"/>
            <w:u w:val="single" w:color="0462C1"/>
          </w:rPr>
          <w:t>https://relatoria.colombiacompra.gov.co/busqueda/conceptos</w:t>
        </w:r>
        <w:r w:rsidRPr="00361FEA">
          <w:rPr>
            <w:rFonts w:ascii="Arial" w:hAnsi="Arial" w:cs="Arial"/>
            <w:sz w:val="18"/>
            <w:szCs w:val="18"/>
          </w:rPr>
          <w:t>.</w:t>
        </w:r>
      </w:hyperlink>
    </w:p>
  </w:footnote>
  <w:footnote w:id="3">
    <w:p w14:paraId="777AA2E5" w14:textId="77777777" w:rsidR="00E23AAB" w:rsidRPr="00361FEA" w:rsidRDefault="00E23AAB" w:rsidP="00E23AAB">
      <w:pPr>
        <w:pStyle w:val="Textonotapie"/>
        <w:spacing w:before="120" w:after="120"/>
        <w:ind w:firstLine="708"/>
        <w:rPr>
          <w:rFonts w:ascii="Arial" w:hAnsi="Arial" w:cs="Arial"/>
          <w:color w:val="161616"/>
          <w:sz w:val="18"/>
          <w:szCs w:val="18"/>
        </w:rPr>
      </w:pPr>
      <w:r w:rsidRPr="00361FEA">
        <w:rPr>
          <w:rStyle w:val="Refdenotaalpie"/>
          <w:rFonts w:ascii="Arial" w:hAnsi="Arial" w:cs="Arial"/>
          <w:color w:val="161616"/>
          <w:sz w:val="18"/>
          <w:szCs w:val="18"/>
        </w:rPr>
        <w:footnoteRef/>
      </w:r>
      <w:r w:rsidRPr="00361FEA">
        <w:rPr>
          <w:rFonts w:ascii="Arial" w:hAnsi="Arial" w:cs="Arial"/>
          <w:color w:val="161616"/>
          <w:sz w:val="18"/>
          <w:szCs w:val="18"/>
        </w:rPr>
        <w:t xml:space="preserve"> “Son también contratos de consultoría los que tienen por objeto la interventoría […]”.</w:t>
      </w:r>
    </w:p>
    <w:p w14:paraId="36C8288C" w14:textId="77777777" w:rsidR="00E23AAB" w:rsidRPr="00361FEA" w:rsidRDefault="00E23AAB" w:rsidP="00E23AAB">
      <w:pPr>
        <w:pStyle w:val="Textonotapie"/>
        <w:spacing w:before="120" w:after="120"/>
        <w:ind w:firstLine="708"/>
        <w:rPr>
          <w:rFonts w:ascii="Arial" w:hAnsi="Arial" w:cs="Arial"/>
          <w:color w:val="161616"/>
          <w:sz w:val="18"/>
          <w:szCs w:val="18"/>
          <w:lang w:val="es-CO"/>
        </w:rPr>
      </w:pPr>
    </w:p>
  </w:footnote>
  <w:footnote w:id="4">
    <w:p w14:paraId="37C8585A" w14:textId="77777777" w:rsidR="00E23AAB" w:rsidRPr="00361FEA" w:rsidRDefault="00E23AAB" w:rsidP="00E23AAB">
      <w:pPr>
        <w:pStyle w:val="Textonotapie"/>
        <w:spacing w:before="120" w:after="120"/>
        <w:ind w:firstLine="708"/>
        <w:jc w:val="both"/>
        <w:rPr>
          <w:rFonts w:ascii="Arial" w:hAnsi="Arial" w:cs="Arial"/>
          <w:color w:val="161616"/>
          <w:sz w:val="18"/>
          <w:szCs w:val="18"/>
        </w:rPr>
      </w:pPr>
      <w:r w:rsidRPr="00361FEA">
        <w:rPr>
          <w:rStyle w:val="Refdenotaalpie"/>
          <w:rFonts w:ascii="Arial" w:hAnsi="Arial" w:cs="Arial"/>
          <w:sz w:val="18"/>
          <w:szCs w:val="18"/>
        </w:rPr>
        <w:footnoteRef/>
      </w:r>
      <w:r w:rsidRPr="00361FEA">
        <w:rPr>
          <w:rFonts w:ascii="Arial" w:hAnsi="Arial" w:cs="Arial"/>
          <w:sz w:val="18"/>
          <w:szCs w:val="18"/>
        </w:rPr>
        <w:t xml:space="preserve"> </w:t>
      </w:r>
      <w:r w:rsidRPr="00361FEA">
        <w:rPr>
          <w:rFonts w:ascii="Arial" w:hAnsi="Arial" w:cs="Arial"/>
          <w:color w:val="161616"/>
          <w:sz w:val="18"/>
          <w:szCs w:val="18"/>
        </w:rPr>
        <w:t xml:space="preserve">Consejo de Estado. Sección Tercera. Sentencia del 28 de febrero de 2013. </w:t>
      </w:r>
      <w:proofErr w:type="spellStart"/>
      <w:r w:rsidRPr="00361FEA">
        <w:rPr>
          <w:rFonts w:ascii="Arial" w:hAnsi="Arial" w:cs="Arial"/>
          <w:color w:val="161616"/>
          <w:sz w:val="18"/>
          <w:szCs w:val="18"/>
        </w:rPr>
        <w:t>Exp</w:t>
      </w:r>
      <w:proofErr w:type="spellEnd"/>
      <w:r w:rsidRPr="00361FEA">
        <w:rPr>
          <w:rFonts w:ascii="Arial" w:hAnsi="Arial" w:cs="Arial"/>
          <w:color w:val="161616"/>
          <w:sz w:val="18"/>
          <w:szCs w:val="18"/>
        </w:rPr>
        <w:t xml:space="preserve">. 24.266 M.P. Danilo Rojas </w:t>
      </w:r>
      <w:proofErr w:type="spellStart"/>
      <w:r w:rsidRPr="00361FEA">
        <w:rPr>
          <w:rFonts w:ascii="Arial" w:hAnsi="Arial" w:cs="Arial"/>
          <w:color w:val="161616"/>
          <w:sz w:val="18"/>
          <w:szCs w:val="18"/>
        </w:rPr>
        <w:t>Betancourth</w:t>
      </w:r>
      <w:proofErr w:type="spellEnd"/>
      <w:r w:rsidRPr="00361FEA">
        <w:rPr>
          <w:rFonts w:ascii="Arial" w:hAnsi="Arial" w:cs="Arial"/>
          <w:color w:val="161616"/>
          <w:sz w:val="18"/>
          <w:szCs w:val="18"/>
        </w:rPr>
        <w:t>.</w:t>
      </w:r>
    </w:p>
    <w:p w14:paraId="1BF25834" w14:textId="77777777" w:rsidR="00E23AAB" w:rsidRPr="00361FEA" w:rsidRDefault="00E23AAB" w:rsidP="00E23AAB">
      <w:pPr>
        <w:pStyle w:val="Textonotapie"/>
        <w:spacing w:before="120" w:after="120"/>
        <w:ind w:firstLine="708"/>
        <w:rPr>
          <w:rFonts w:ascii="Arial" w:hAnsi="Arial" w:cs="Arial"/>
          <w:sz w:val="18"/>
          <w:szCs w:val="18"/>
        </w:rPr>
      </w:pPr>
    </w:p>
  </w:footnote>
  <w:footnote w:id="5">
    <w:p w14:paraId="3B2E7EC2" w14:textId="77777777" w:rsidR="00E23AAB" w:rsidRPr="00361FEA" w:rsidRDefault="00E23AAB" w:rsidP="00E23AAB">
      <w:pPr>
        <w:pStyle w:val="Textonotapie"/>
        <w:spacing w:before="120" w:after="120"/>
        <w:ind w:firstLine="708"/>
        <w:jc w:val="both"/>
        <w:rPr>
          <w:rFonts w:ascii="Arial" w:hAnsi="Arial" w:cs="Arial"/>
          <w:color w:val="161616"/>
          <w:sz w:val="18"/>
          <w:szCs w:val="18"/>
        </w:rPr>
      </w:pPr>
      <w:r w:rsidRPr="00361FEA">
        <w:rPr>
          <w:rStyle w:val="Refdenotaalpie"/>
          <w:rFonts w:ascii="Arial" w:hAnsi="Arial" w:cs="Arial"/>
          <w:sz w:val="18"/>
          <w:szCs w:val="18"/>
        </w:rPr>
        <w:footnoteRef/>
      </w:r>
      <w:r w:rsidRPr="00361FEA">
        <w:rPr>
          <w:rFonts w:ascii="Arial" w:hAnsi="Arial" w:cs="Arial"/>
          <w:sz w:val="18"/>
          <w:szCs w:val="18"/>
        </w:rPr>
        <w:t xml:space="preserve"> </w:t>
      </w:r>
      <w:r w:rsidRPr="00361FEA">
        <w:rPr>
          <w:rFonts w:ascii="Arial" w:hAnsi="Arial" w:cs="Arial"/>
          <w:color w:val="161616"/>
          <w:sz w:val="18"/>
          <w:szCs w:val="18"/>
        </w:rPr>
        <w:t xml:space="preserve">Consejo de Estado, Sección Tercera. Sentencia del 8 de marzo de 1996, expediente </w:t>
      </w:r>
      <w:proofErr w:type="spellStart"/>
      <w:r w:rsidRPr="00361FEA">
        <w:rPr>
          <w:rFonts w:ascii="Arial" w:hAnsi="Arial" w:cs="Arial"/>
          <w:color w:val="161616"/>
          <w:sz w:val="18"/>
          <w:szCs w:val="18"/>
        </w:rPr>
        <w:t>n.°</w:t>
      </w:r>
      <w:proofErr w:type="spellEnd"/>
      <w:r w:rsidRPr="00361FEA">
        <w:rPr>
          <w:rFonts w:ascii="Arial" w:hAnsi="Arial" w:cs="Arial"/>
          <w:color w:val="161616"/>
          <w:sz w:val="18"/>
          <w:szCs w:val="18"/>
        </w:rPr>
        <w:t xml:space="preserve"> 8070, C.P. Jesús María Carrillo: “el interventor carece de facultades para exigir del contratante un supuesto derecho a prórrogas, como queriendo hacer valer el contrato de </w:t>
      </w:r>
      <w:proofErr w:type="spellStart"/>
      <w:r w:rsidRPr="00361FEA">
        <w:rPr>
          <w:rFonts w:ascii="Arial" w:hAnsi="Arial" w:cs="Arial"/>
          <w:color w:val="161616"/>
          <w:sz w:val="18"/>
          <w:szCs w:val="18"/>
        </w:rPr>
        <w:t>interventoria</w:t>
      </w:r>
      <w:proofErr w:type="spellEnd"/>
      <w:r w:rsidRPr="00361FEA">
        <w:rPr>
          <w:rFonts w:ascii="Arial" w:hAnsi="Arial" w:cs="Arial"/>
          <w:color w:val="161616"/>
          <w:sz w:val="18"/>
          <w:szCs w:val="18"/>
        </w:rPr>
        <w:t xml:space="preserve"> como un contrato accesorio del contrato de obra, y con esa perspectiva alegar que por la sola naturaleza accesoria "debe" obtener la misma suerte que la del contrato principal”. Consejo de Estado, Sala de lo Contencioso Administrativo, Sección Tercera, sentencia del 13 de septiembre de 1991, expediente </w:t>
      </w:r>
      <w:proofErr w:type="spellStart"/>
      <w:r w:rsidRPr="00361FEA">
        <w:rPr>
          <w:rFonts w:ascii="Arial" w:hAnsi="Arial" w:cs="Arial"/>
          <w:color w:val="161616"/>
          <w:sz w:val="18"/>
          <w:szCs w:val="18"/>
        </w:rPr>
        <w:t>n.°</w:t>
      </w:r>
      <w:proofErr w:type="spellEnd"/>
      <w:r w:rsidRPr="00361FEA">
        <w:rPr>
          <w:rFonts w:ascii="Arial" w:hAnsi="Arial" w:cs="Arial"/>
          <w:color w:val="161616"/>
          <w:sz w:val="18"/>
          <w:szCs w:val="18"/>
        </w:rPr>
        <w:t xml:space="preserve"> 5127, C.P. Carlos Betancur: “Debe distinguirse entre el contrato de obra pública y el de interventoría, pues el incumplimiento del contratista de obra no puede imputarse al del interventor como si éste fuera obligado a la ejecución de la obra”.</w:t>
      </w:r>
      <w:r w:rsidRPr="00361FEA">
        <w:rPr>
          <w:rFonts w:ascii="Arial" w:hAnsi="Arial" w:cs="Arial"/>
          <w:sz w:val="18"/>
          <w:szCs w:val="18"/>
        </w:rPr>
        <w:t xml:space="preserve">  </w:t>
      </w:r>
    </w:p>
  </w:footnote>
  <w:footnote w:id="6">
    <w:p w14:paraId="01C1B757" w14:textId="77777777" w:rsidR="00E23AAB" w:rsidRPr="00361FEA" w:rsidRDefault="00E23AAB" w:rsidP="00E23AAB">
      <w:pPr>
        <w:pStyle w:val="Textonotapie"/>
        <w:spacing w:before="120" w:after="120"/>
        <w:ind w:firstLine="708"/>
        <w:jc w:val="both"/>
        <w:rPr>
          <w:rFonts w:ascii="Arial" w:hAnsi="Arial" w:cs="Arial"/>
          <w:sz w:val="18"/>
          <w:szCs w:val="18"/>
          <w:lang w:val="es-CO"/>
        </w:rPr>
      </w:pPr>
      <w:r w:rsidRPr="00361FEA">
        <w:rPr>
          <w:rStyle w:val="Refdenotaalpie"/>
          <w:rFonts w:ascii="Arial" w:hAnsi="Arial" w:cs="Arial"/>
          <w:sz w:val="18"/>
          <w:szCs w:val="18"/>
        </w:rPr>
        <w:footnoteRef/>
      </w:r>
      <w:r w:rsidRPr="00361FEA">
        <w:rPr>
          <w:rFonts w:ascii="Arial" w:hAnsi="Arial" w:cs="Arial"/>
          <w:color w:val="000000" w:themeColor="text1"/>
          <w:sz w:val="18"/>
          <w:szCs w:val="18"/>
        </w:rPr>
        <w:t xml:space="preserve">SANCHEZ CALVO, John Gilberto. La liquidación. Análisis del contrato de interventoría desde la visión de la jurisprudencia colombiana. Disponible en el siguiente enlace: </w:t>
      </w:r>
      <w:hyperlink r:id="rId2" w:history="1">
        <w:r w:rsidRPr="00361FEA">
          <w:rPr>
            <w:rStyle w:val="Hipervnculo"/>
            <w:rFonts w:ascii="Arial" w:hAnsi="Arial" w:cs="Arial"/>
            <w:sz w:val="18"/>
            <w:szCs w:val="18"/>
          </w:rPr>
          <w:t>https://revistas.usergioarboleda.edu.co/index.php/Cuadernos/article/download/1008/844/3102</w:t>
        </w:r>
      </w:hyperlink>
      <w:r w:rsidRPr="00361FEA">
        <w:rPr>
          <w:rFonts w:ascii="Arial" w:hAnsi="Arial" w:cs="Arial"/>
          <w:color w:val="000000" w:themeColor="text1"/>
          <w:sz w:val="18"/>
          <w:szCs w:val="18"/>
        </w:rPr>
        <w:t xml:space="preserve"> </w:t>
      </w:r>
    </w:p>
  </w:footnote>
  <w:footnote w:id="7">
    <w:p w14:paraId="7FA3366E"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361FEA">
        <w:rPr>
          <w:rFonts w:ascii="Arial" w:hAnsi="Arial" w:cs="Arial"/>
          <w:color w:val="000000" w:themeColor="text1"/>
          <w:sz w:val="18"/>
          <w:szCs w:val="18"/>
          <w:shd w:val="clear" w:color="auto" w:fill="FFFFFF"/>
        </w:rPr>
        <w:t>”</w:t>
      </w:r>
      <w:r w:rsidRPr="00361FEA">
        <w:rPr>
          <w:rFonts w:ascii="Arial" w:hAnsi="Arial" w:cs="Arial"/>
          <w:color w:val="000000" w:themeColor="text1"/>
          <w:sz w:val="18"/>
          <w:szCs w:val="18"/>
        </w:rPr>
        <w:t xml:space="preserve"> EXPOSITO, Juan Carlos. Forma y contenido del contrato estatal. Bogotá: Universidad Externado de Colombia, p. 89 y 90. </w:t>
      </w:r>
    </w:p>
  </w:footnote>
  <w:footnote w:id="8">
    <w:p w14:paraId="336C1226"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lang w:val="es-CO"/>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DÍAZ DÍEZ, Cristian Andrés. La liquidación. Serie: Las Cláusulas del Contrato Estatal. Medellín: Librería Jurídica Sánchez y Centro de Estudios de Derecho Administrativo –CEDA–, 2013, pp. 53-54.</w:t>
      </w:r>
    </w:p>
  </w:footnote>
  <w:footnote w:id="9">
    <w:p w14:paraId="540113D8" w14:textId="77777777" w:rsidR="00E23AAB" w:rsidRPr="00361FEA" w:rsidRDefault="00E23AAB" w:rsidP="00E23AAB">
      <w:pPr>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CONSEJO DE ESTADO. Sección Tercera. Subsección C. 20 de octubre de 2014, M.P: Enrique Gil Botero. </w:t>
      </w:r>
      <w:proofErr w:type="spellStart"/>
      <w:r w:rsidRPr="00361FEA">
        <w:rPr>
          <w:rFonts w:ascii="Arial" w:hAnsi="Arial" w:cs="Arial"/>
          <w:color w:val="000000" w:themeColor="text1"/>
          <w:sz w:val="18"/>
          <w:szCs w:val="18"/>
        </w:rPr>
        <w:t>Exp</w:t>
      </w:r>
      <w:proofErr w:type="spellEnd"/>
      <w:r w:rsidRPr="00361FEA">
        <w:rPr>
          <w:rFonts w:ascii="Arial" w:hAnsi="Arial" w:cs="Arial"/>
          <w:color w:val="000000" w:themeColor="text1"/>
          <w:sz w:val="18"/>
          <w:szCs w:val="18"/>
        </w:rPr>
        <w:t>.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10">
    <w:p w14:paraId="48632FB8"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EXPÓSITO VÉLEZ. Juan Carlos. Forma y contenido del contrato estatal, p. 90.</w:t>
      </w:r>
    </w:p>
  </w:footnote>
  <w:footnote w:id="11">
    <w:p w14:paraId="202A6F0D"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CONSEJO DE ESTADO, Sala de Consulta y Servicio Civil. Radicado No. 1453. Concepto de 6 de agosto de 2003. MP. Augusto Trejos.</w:t>
      </w:r>
    </w:p>
  </w:footnote>
  <w:footnote w:id="12">
    <w:p w14:paraId="16F30AF6"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lang w:val="es-ES"/>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w:t>
      </w:r>
      <w:r w:rsidRPr="00361FEA">
        <w:rPr>
          <w:rFonts w:ascii="Arial" w:hAnsi="Arial" w:cs="Arial"/>
          <w:color w:val="000000" w:themeColor="text1"/>
          <w:sz w:val="18"/>
          <w:szCs w:val="18"/>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04F82C8E"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lang w:val="es-ES"/>
        </w:rPr>
      </w:pPr>
      <w:proofErr w:type="gramStart"/>
      <w:r w:rsidRPr="00361FEA">
        <w:rPr>
          <w:rFonts w:ascii="Arial" w:hAnsi="Arial" w:cs="Arial"/>
          <w:color w:val="000000" w:themeColor="text1"/>
          <w:sz w:val="18"/>
          <w:szCs w:val="18"/>
          <w:lang w:val="es-ES"/>
        </w:rPr>
        <w:t>“ En</w:t>
      </w:r>
      <w:proofErr w:type="gramEnd"/>
      <w:r w:rsidRPr="00361FEA">
        <w:rPr>
          <w:rFonts w:ascii="Arial" w:hAnsi="Arial" w:cs="Arial"/>
          <w:color w:val="000000" w:themeColor="text1"/>
          <w:sz w:val="18"/>
          <w:szCs w:val="18"/>
          <w:lang w:val="es-ES"/>
        </w:rPr>
        <w:t xml:space="preserve">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3FD1E501"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lang w:val="es-ES"/>
        </w:rPr>
      </w:pPr>
      <w:proofErr w:type="gramStart"/>
      <w:r w:rsidRPr="00361FEA">
        <w:rPr>
          <w:rFonts w:ascii="Arial" w:hAnsi="Arial" w:cs="Arial"/>
          <w:color w:val="000000" w:themeColor="text1"/>
          <w:sz w:val="18"/>
          <w:szCs w:val="18"/>
          <w:lang w:val="es-ES"/>
        </w:rPr>
        <w:t>“ Si</w:t>
      </w:r>
      <w:proofErr w:type="gramEnd"/>
      <w:r w:rsidRPr="00361FEA">
        <w:rPr>
          <w:rFonts w:ascii="Arial" w:hAnsi="Arial" w:cs="Arial"/>
          <w:color w:val="000000" w:themeColor="text1"/>
          <w:sz w:val="18"/>
          <w:szCs w:val="18"/>
          <w:lang w:val="es-ES"/>
        </w:rPr>
        <w:t xml:space="preserve">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724B31A6"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lang w:val="es-ES"/>
        </w:rPr>
      </w:pPr>
      <w:proofErr w:type="gramStart"/>
      <w:r w:rsidRPr="00361FEA">
        <w:rPr>
          <w:rFonts w:ascii="Arial" w:hAnsi="Arial" w:cs="Arial"/>
          <w:color w:val="000000" w:themeColor="text1"/>
          <w:sz w:val="18"/>
          <w:szCs w:val="18"/>
          <w:lang w:val="es-ES"/>
        </w:rPr>
        <w:t>“ Los</w:t>
      </w:r>
      <w:proofErr w:type="gramEnd"/>
      <w:r w:rsidRPr="00361FEA">
        <w:rPr>
          <w:rFonts w:ascii="Arial" w:hAnsi="Arial" w:cs="Arial"/>
          <w:color w:val="000000" w:themeColor="text1"/>
          <w:sz w:val="18"/>
          <w:szCs w:val="18"/>
          <w:lang w:val="es-ES"/>
        </w:rPr>
        <w:t xml:space="preserve"> contratistas tendrán derecho a efectuar salvedades a la liquidación por mutuo acuerdo, y en este evento la liquidación unilateral solo procederá en relación con los aspectos que no hayan sido objeto de acuerdo”.</w:t>
      </w:r>
    </w:p>
  </w:footnote>
  <w:footnote w:id="13">
    <w:p w14:paraId="49BCA8C9" w14:textId="77777777" w:rsidR="00E23AAB" w:rsidRPr="00361FEA" w:rsidRDefault="00E23AAB" w:rsidP="00E23AAB">
      <w:pPr>
        <w:pStyle w:val="Textonotapie"/>
        <w:spacing w:before="120" w:after="120"/>
        <w:ind w:firstLine="709"/>
        <w:jc w:val="both"/>
        <w:rPr>
          <w:rFonts w:ascii="Arial" w:hAnsi="Arial" w:cs="Arial"/>
          <w:color w:val="000000" w:themeColor="text1"/>
          <w:sz w:val="18"/>
          <w:szCs w:val="18"/>
          <w:lang w:val="es-CO"/>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CONSEJO DE ESTADO, Sección Tercera, Subsección C, Sentencia del 24 de julio de 2013, radicado No. 25.642, </w:t>
      </w:r>
      <w:proofErr w:type="gramStart"/>
      <w:r w:rsidRPr="00361FEA">
        <w:rPr>
          <w:rFonts w:ascii="Arial" w:hAnsi="Arial" w:cs="Arial"/>
          <w:color w:val="000000" w:themeColor="text1"/>
          <w:sz w:val="18"/>
          <w:szCs w:val="18"/>
        </w:rPr>
        <w:t>Consejero</w:t>
      </w:r>
      <w:proofErr w:type="gramEnd"/>
      <w:r w:rsidRPr="00361FEA">
        <w:rPr>
          <w:rFonts w:ascii="Arial" w:hAnsi="Arial" w:cs="Arial"/>
          <w:color w:val="000000" w:themeColor="text1"/>
          <w:sz w:val="18"/>
          <w:szCs w:val="18"/>
        </w:rPr>
        <w:t xml:space="preserve"> Ponente Enrique Gil Botero.</w:t>
      </w:r>
    </w:p>
  </w:footnote>
  <w:footnote w:id="14">
    <w:p w14:paraId="65A40E0B" w14:textId="77777777" w:rsidR="00E23AAB" w:rsidRPr="00361FEA" w:rsidRDefault="00E23AAB" w:rsidP="00E23AAB">
      <w:pPr>
        <w:pStyle w:val="NormalWeb"/>
        <w:spacing w:before="120" w:after="120"/>
        <w:ind w:firstLine="709"/>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Decreto 1082 de 2015 “</w:t>
      </w:r>
      <w:r w:rsidRPr="00361FEA">
        <w:rPr>
          <w:rStyle w:val="Textoennegrita"/>
          <w:rFonts w:ascii="Arial" w:hAnsi="Arial" w:cs="Arial"/>
          <w:color w:val="000000" w:themeColor="text1"/>
          <w:sz w:val="18"/>
          <w:szCs w:val="18"/>
        </w:rPr>
        <w:t>Artículo 2.2.1.2.1.5.2. </w:t>
      </w:r>
      <w:r w:rsidRPr="00361FEA">
        <w:rPr>
          <w:rStyle w:val="nfasis"/>
          <w:rFonts w:ascii="Arial" w:eastAsiaTheme="minorEastAsia" w:hAnsi="Arial" w:cs="Arial"/>
          <w:color w:val="000000" w:themeColor="text1"/>
          <w:sz w:val="18"/>
          <w:szCs w:val="18"/>
        </w:rPr>
        <w:t>Procedimiento para la contratación de mínima cuantía. </w:t>
      </w:r>
      <w:r w:rsidRPr="00361FEA">
        <w:rPr>
          <w:rFonts w:ascii="Arial" w:hAnsi="Arial" w:cs="Arial"/>
          <w:color w:val="000000" w:themeColor="text1"/>
          <w:sz w:val="18"/>
          <w:szCs w:val="18"/>
        </w:rPr>
        <w:t>Las siguientes reglas son aplicables a la contratación cuyo valor no excede del 10% de la menor cuantía de la Entidad Estatal, independientemente de su objeto: </w:t>
      </w:r>
    </w:p>
    <w:p w14:paraId="61BBB2D5" w14:textId="77777777" w:rsidR="00E23AAB" w:rsidRPr="00361FEA" w:rsidRDefault="00E23AAB" w:rsidP="00E23AAB">
      <w:pPr>
        <w:pStyle w:val="NormalWeb"/>
        <w:spacing w:before="120" w:after="120"/>
        <w:jc w:val="both"/>
        <w:rPr>
          <w:rFonts w:ascii="Arial" w:hAnsi="Arial" w:cs="Arial"/>
          <w:color w:val="000000" w:themeColor="text1"/>
          <w:sz w:val="18"/>
          <w:szCs w:val="18"/>
        </w:rPr>
      </w:pPr>
      <w:r w:rsidRPr="00361FEA">
        <w:rPr>
          <w:rFonts w:ascii="Arial" w:hAnsi="Arial" w:cs="Arial"/>
          <w:color w:val="000000" w:themeColor="text1"/>
          <w:sz w:val="18"/>
          <w:szCs w:val="18"/>
        </w:rPr>
        <w:t>  </w:t>
      </w:r>
      <w:r w:rsidRPr="00361FEA">
        <w:rPr>
          <w:rFonts w:ascii="Arial" w:hAnsi="Arial" w:cs="Arial"/>
          <w:color w:val="000000" w:themeColor="text1"/>
          <w:sz w:val="18"/>
          <w:szCs w:val="18"/>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footnote>
  <w:footnote w:id="15">
    <w:p w14:paraId="78C8725D" w14:textId="77777777" w:rsidR="00E23AAB" w:rsidRPr="00361FEA" w:rsidRDefault="00E23AAB" w:rsidP="00E23AAB">
      <w:pPr>
        <w:pStyle w:val="NormalWeb"/>
        <w:spacing w:before="120" w:after="120"/>
        <w:ind w:firstLine="720"/>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Ley 80 de 1993 “</w:t>
      </w:r>
      <w:r w:rsidRPr="00361FEA">
        <w:rPr>
          <w:rStyle w:val="Textoennegrita"/>
          <w:rFonts w:ascii="Arial" w:hAnsi="Arial" w:cs="Arial"/>
          <w:color w:val="000000" w:themeColor="text1"/>
          <w:sz w:val="18"/>
          <w:szCs w:val="18"/>
        </w:rPr>
        <w:t>Articulo 39. De la forma del contrato estatal. </w:t>
      </w:r>
      <w:r w:rsidRPr="00361FEA">
        <w:rPr>
          <w:rFonts w:ascii="Arial" w:hAnsi="Arial" w:cs="Arial"/>
          <w:color w:val="000000" w:themeColor="text1"/>
          <w:sz w:val="18"/>
          <w:szCs w:val="18"/>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3CD84396" w14:textId="77777777" w:rsidR="00E23AAB" w:rsidRPr="00361FEA" w:rsidRDefault="00E23AAB" w:rsidP="00E23AAB">
      <w:pPr>
        <w:pStyle w:val="NormalWeb"/>
        <w:spacing w:before="120" w:after="120"/>
        <w:jc w:val="both"/>
        <w:rPr>
          <w:rFonts w:ascii="Arial" w:hAnsi="Arial" w:cs="Arial"/>
          <w:color w:val="000000" w:themeColor="text1"/>
          <w:sz w:val="18"/>
          <w:szCs w:val="18"/>
        </w:rPr>
      </w:pPr>
      <w:r w:rsidRPr="00361FEA">
        <w:rPr>
          <w:rFonts w:ascii="Arial" w:hAnsi="Arial" w:cs="Arial"/>
          <w:color w:val="000000" w:themeColor="text1"/>
          <w:sz w:val="18"/>
          <w:szCs w:val="18"/>
        </w:rPr>
        <w:t>  </w:t>
      </w:r>
      <w:r w:rsidRPr="00361FEA">
        <w:rPr>
          <w:rFonts w:ascii="Arial" w:hAnsi="Arial" w:cs="Arial"/>
          <w:color w:val="000000" w:themeColor="text1"/>
          <w:sz w:val="18"/>
          <w:szCs w:val="18"/>
        </w:rPr>
        <w:tab/>
        <w:t>[…]</w:t>
      </w:r>
      <w:bookmarkStart w:id="2" w:name="ver_1790147"/>
      <w:bookmarkStart w:id="3" w:name="ver_30220791"/>
      <w:bookmarkStart w:id="4" w:name="ver_1790148"/>
      <w:bookmarkEnd w:id="2"/>
      <w:bookmarkEnd w:id="3"/>
    </w:p>
    <w:p w14:paraId="4FA59740" w14:textId="77777777" w:rsidR="00E23AAB" w:rsidRPr="00361FEA" w:rsidRDefault="00E23AAB" w:rsidP="00E23AAB">
      <w:pPr>
        <w:pStyle w:val="NormalWeb"/>
        <w:spacing w:before="120" w:after="120"/>
        <w:ind w:firstLine="720"/>
        <w:jc w:val="both"/>
        <w:rPr>
          <w:rFonts w:ascii="Arial" w:hAnsi="Arial" w:cs="Arial"/>
          <w:color w:val="000000" w:themeColor="text1"/>
          <w:sz w:val="18"/>
          <w:szCs w:val="18"/>
        </w:rPr>
      </w:pPr>
      <w:r w:rsidRPr="00361FEA">
        <w:rPr>
          <w:rStyle w:val="Textoennegrita"/>
          <w:rFonts w:ascii="Arial" w:hAnsi="Arial" w:cs="Arial"/>
          <w:color w:val="000000" w:themeColor="text1"/>
          <w:sz w:val="18"/>
          <w:szCs w:val="18"/>
        </w:rPr>
        <w:t>“Articulo 40. Del contenido del contrato estatal.</w:t>
      </w:r>
      <w:r w:rsidRPr="00361FEA">
        <w:rPr>
          <w:rFonts w:ascii="Arial" w:hAnsi="Arial" w:cs="Arial"/>
          <w:color w:val="000000" w:themeColor="text1"/>
          <w:sz w:val="18"/>
          <w:szCs w:val="18"/>
        </w:rPr>
        <w:t xml:space="preserve"> Las estipulaciones de los contratos serán las </w:t>
      </w:r>
      <w:proofErr w:type="gramStart"/>
      <w:r w:rsidRPr="00361FEA">
        <w:rPr>
          <w:rFonts w:ascii="Arial" w:hAnsi="Arial" w:cs="Arial"/>
          <w:color w:val="000000" w:themeColor="text1"/>
          <w:sz w:val="18"/>
          <w:szCs w:val="18"/>
        </w:rPr>
        <w:t>que</w:t>
      </w:r>
      <w:proofErr w:type="gramEnd"/>
      <w:r w:rsidRPr="00361FEA">
        <w:rPr>
          <w:rFonts w:ascii="Arial" w:hAnsi="Arial" w:cs="Arial"/>
          <w:color w:val="000000" w:themeColor="text1"/>
          <w:sz w:val="18"/>
          <w:szCs w:val="18"/>
        </w:rPr>
        <w:t xml:space="preserve"> de acuerdo con las normas civiles, comerciales y las previstas en esta ley, correspondan a su esencia y naturaleza. </w:t>
      </w:r>
    </w:p>
    <w:p w14:paraId="1EA85036" w14:textId="77777777" w:rsidR="00E23AAB" w:rsidRPr="00361FEA" w:rsidRDefault="00E23AAB" w:rsidP="00E23AAB">
      <w:pPr>
        <w:pStyle w:val="NormalWeb"/>
        <w:spacing w:before="120" w:after="120"/>
        <w:ind w:firstLine="720"/>
        <w:jc w:val="both"/>
        <w:rPr>
          <w:rFonts w:ascii="Arial" w:hAnsi="Arial" w:cs="Arial"/>
          <w:color w:val="000000" w:themeColor="text1"/>
          <w:sz w:val="18"/>
          <w:szCs w:val="18"/>
        </w:rPr>
      </w:pPr>
      <w:r w:rsidRPr="00361FEA">
        <w:rPr>
          <w:rFonts w:ascii="Arial" w:hAnsi="Arial" w:cs="Arial"/>
          <w:color w:val="000000" w:themeColor="text1"/>
          <w:sz w:val="18"/>
          <w:szCs w:val="18"/>
        </w:rPr>
        <w:t>“Las entidades podrán celebrar los contratos y acuerdos que permitan la autonomía de la voluntad y requieran el cumplimiento de los fines estatales. </w:t>
      </w:r>
    </w:p>
    <w:p w14:paraId="3A19F8EA" w14:textId="77777777" w:rsidR="00E23AAB" w:rsidRPr="00361FEA" w:rsidRDefault="00E23AAB" w:rsidP="00E23AAB">
      <w:pPr>
        <w:pStyle w:val="NormalWeb"/>
        <w:spacing w:before="120" w:after="120"/>
        <w:jc w:val="both"/>
        <w:rPr>
          <w:rFonts w:ascii="Arial" w:hAnsi="Arial" w:cs="Arial"/>
          <w:color w:val="000000" w:themeColor="text1"/>
          <w:sz w:val="18"/>
          <w:szCs w:val="18"/>
        </w:rPr>
      </w:pPr>
      <w:r w:rsidRPr="00361FEA">
        <w:rPr>
          <w:rFonts w:ascii="Arial" w:hAnsi="Arial" w:cs="Arial"/>
          <w:color w:val="000000" w:themeColor="text1"/>
          <w:sz w:val="18"/>
          <w:szCs w:val="18"/>
        </w:rPr>
        <w:t>  </w:t>
      </w:r>
      <w:r w:rsidRPr="00361FEA">
        <w:rPr>
          <w:rFonts w:ascii="Arial" w:hAnsi="Arial" w:cs="Arial"/>
          <w:color w:val="000000" w:themeColor="text1"/>
          <w:sz w:val="18"/>
          <w:szCs w:val="18"/>
        </w:rPr>
        <w:tab/>
        <w:t>[…]  </w:t>
      </w:r>
    </w:p>
    <w:p w14:paraId="116F05EC" w14:textId="77777777" w:rsidR="00E23AAB" w:rsidRPr="00361FEA" w:rsidRDefault="00E23AAB" w:rsidP="00E23AAB">
      <w:pPr>
        <w:pStyle w:val="NormalWeb"/>
        <w:spacing w:before="120" w:after="120"/>
        <w:ind w:firstLine="720"/>
        <w:jc w:val="both"/>
        <w:rPr>
          <w:rFonts w:ascii="Arial" w:hAnsi="Arial" w:cs="Arial"/>
          <w:color w:val="000000" w:themeColor="text1"/>
          <w:sz w:val="18"/>
          <w:szCs w:val="18"/>
        </w:rPr>
      </w:pPr>
      <w:bookmarkStart w:id="5" w:name="ver_30161420"/>
      <w:bookmarkStart w:id="6" w:name="ver_1790149"/>
      <w:bookmarkStart w:id="7" w:name="ver_30161408"/>
      <w:bookmarkStart w:id="8" w:name="ver_30161443"/>
      <w:bookmarkEnd w:id="4"/>
      <w:bookmarkEnd w:id="5"/>
      <w:bookmarkEnd w:id="6"/>
      <w:bookmarkEnd w:id="7"/>
      <w:bookmarkEnd w:id="8"/>
      <w:r w:rsidRPr="00361FEA">
        <w:rPr>
          <w:rStyle w:val="Textoennegrita"/>
          <w:rFonts w:ascii="Arial" w:hAnsi="Arial" w:cs="Arial"/>
          <w:color w:val="000000" w:themeColor="text1"/>
          <w:sz w:val="18"/>
          <w:szCs w:val="18"/>
        </w:rPr>
        <w:t>“Artículo 41. Del perfeccionamiento del contrato.</w:t>
      </w:r>
      <w:r w:rsidRPr="00361FEA">
        <w:rPr>
          <w:rFonts w:ascii="Arial" w:hAnsi="Arial" w:cs="Arial"/>
          <w:color w:val="000000" w:themeColor="text1"/>
          <w:sz w:val="18"/>
          <w:szCs w:val="18"/>
        </w:rPr>
        <w:t> Los contratos del Estado se perfeccionan cuando se logre acuerdo sobre el objeto y la contraprestación y éste se eleve a escrito […]”.</w:t>
      </w:r>
    </w:p>
    <w:p w14:paraId="6B42EB33" w14:textId="77777777" w:rsidR="00E23AAB" w:rsidRPr="00361FEA" w:rsidRDefault="00E23AAB" w:rsidP="00E23AAB">
      <w:pPr>
        <w:pStyle w:val="Textonotapie"/>
        <w:spacing w:before="120" w:after="120"/>
        <w:jc w:val="both"/>
        <w:rPr>
          <w:rFonts w:ascii="Arial" w:hAnsi="Arial" w:cs="Arial"/>
          <w:color w:val="000000" w:themeColor="text1"/>
          <w:sz w:val="18"/>
          <w:szCs w:val="18"/>
          <w:lang w:val="es-CO"/>
        </w:rPr>
      </w:pPr>
    </w:p>
  </w:footnote>
  <w:footnote w:id="16">
    <w:p w14:paraId="0145F3C6" w14:textId="77777777" w:rsidR="00E23AAB" w:rsidRPr="00361FEA" w:rsidRDefault="00E23AAB" w:rsidP="00E23AAB">
      <w:pPr>
        <w:pStyle w:val="Textonotapie"/>
        <w:spacing w:before="120" w:after="120"/>
        <w:ind w:firstLine="709"/>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Ley 80 de 1993 “</w:t>
      </w:r>
      <w:r w:rsidRPr="00361FEA">
        <w:rPr>
          <w:rStyle w:val="Textoennegrita"/>
          <w:rFonts w:ascii="Arial" w:hAnsi="Arial" w:cs="Arial"/>
          <w:color w:val="000000" w:themeColor="text1"/>
          <w:sz w:val="18"/>
          <w:szCs w:val="18"/>
        </w:rPr>
        <w:t>Artículo 77. De la normatividad aplicable en las actuaciones administrativas.</w:t>
      </w:r>
      <w:r w:rsidRPr="00361FEA">
        <w:rPr>
          <w:rFonts w:ascii="Arial" w:hAnsi="Arial" w:cs="Arial"/>
          <w:color w:val="000000" w:themeColor="text1"/>
          <w:sz w:val="18"/>
          <w:szCs w:val="18"/>
        </w:rPr>
        <w:t xml:space="preserve"> En cuanto sean compatibles con la finalidad y los principios de esta ley, las normas que rigen los procedimientos y actuaciones en la función </w:t>
      </w:r>
      <w:proofErr w:type="gramStart"/>
      <w:r w:rsidRPr="00361FEA">
        <w:rPr>
          <w:rFonts w:ascii="Arial" w:hAnsi="Arial" w:cs="Arial"/>
          <w:color w:val="000000" w:themeColor="text1"/>
          <w:sz w:val="18"/>
          <w:szCs w:val="18"/>
        </w:rPr>
        <w:t>administrativa,</w:t>
      </w:r>
      <w:proofErr w:type="gramEnd"/>
      <w:r w:rsidRPr="00361FEA">
        <w:rPr>
          <w:rFonts w:ascii="Arial" w:hAnsi="Arial" w:cs="Arial"/>
          <w:color w:val="000000" w:themeColor="text1"/>
          <w:sz w:val="18"/>
          <w:szCs w:val="18"/>
        </w:rPr>
        <w:t xml:space="preserve"> serán aplicables en las actuaciones contractuales. A falta de estas, regirán las disposiciones del Código de Procedimiento Civil” […]”. </w:t>
      </w:r>
    </w:p>
  </w:footnote>
  <w:footnote w:id="17">
    <w:p w14:paraId="73A5AA4D" w14:textId="77777777" w:rsidR="00E23AAB" w:rsidRPr="00361FEA" w:rsidRDefault="00E23AAB" w:rsidP="00E23AAB">
      <w:pPr>
        <w:pStyle w:val="NormalWeb"/>
        <w:spacing w:before="120" w:after="120"/>
        <w:ind w:firstLine="709"/>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Ley 80 de 1993 “</w:t>
      </w:r>
      <w:r w:rsidRPr="00361FEA">
        <w:rPr>
          <w:rStyle w:val="Textoennegrita"/>
          <w:rFonts w:ascii="Arial" w:hAnsi="Arial" w:cs="Arial"/>
          <w:color w:val="000000" w:themeColor="text1"/>
          <w:sz w:val="18"/>
          <w:szCs w:val="18"/>
        </w:rPr>
        <w:t>Artículo 25. Del principio de economía.</w:t>
      </w:r>
      <w:r w:rsidRPr="00361FEA">
        <w:rPr>
          <w:rFonts w:ascii="Arial" w:hAnsi="Arial" w:cs="Arial"/>
          <w:color w:val="000000" w:themeColor="text1"/>
          <w:sz w:val="18"/>
          <w:szCs w:val="18"/>
        </w:rPr>
        <w:t> En virtud de este principio: </w:t>
      </w:r>
    </w:p>
    <w:p w14:paraId="35832EBB" w14:textId="77777777" w:rsidR="00E23AAB" w:rsidRPr="00361FEA" w:rsidRDefault="00E23AAB" w:rsidP="00E23AAB">
      <w:pPr>
        <w:pStyle w:val="NormalWeb"/>
        <w:spacing w:before="120" w:after="120"/>
        <w:ind w:firstLine="709"/>
        <w:jc w:val="both"/>
        <w:rPr>
          <w:rFonts w:ascii="Arial" w:hAnsi="Arial" w:cs="Arial"/>
          <w:color w:val="000000" w:themeColor="text1"/>
          <w:sz w:val="18"/>
          <w:szCs w:val="18"/>
        </w:rPr>
      </w:pPr>
      <w:r w:rsidRPr="00361FEA">
        <w:rPr>
          <w:rFonts w:ascii="Arial" w:hAnsi="Arial" w:cs="Arial"/>
          <w:color w:val="000000" w:themeColor="text1"/>
          <w:sz w:val="18"/>
          <w:szCs w:val="18"/>
        </w:rPr>
        <w:t>[…]</w:t>
      </w:r>
    </w:p>
    <w:p w14:paraId="04A48A63" w14:textId="77777777" w:rsidR="00E23AAB" w:rsidRPr="00361FEA" w:rsidRDefault="00E23AAB" w:rsidP="00E23AAB">
      <w:pPr>
        <w:pStyle w:val="NormalWeb"/>
        <w:spacing w:before="120" w:after="120"/>
        <w:ind w:firstLine="709"/>
        <w:jc w:val="both"/>
        <w:rPr>
          <w:rFonts w:ascii="Arial" w:hAnsi="Arial" w:cs="Arial"/>
          <w:color w:val="000000" w:themeColor="text1"/>
          <w:sz w:val="18"/>
          <w:szCs w:val="18"/>
        </w:rPr>
      </w:pPr>
      <w:r w:rsidRPr="00361FEA">
        <w:rPr>
          <w:rFonts w:ascii="Arial" w:hAnsi="Arial" w:cs="Arial"/>
          <w:color w:val="000000" w:themeColor="text1"/>
          <w:sz w:val="18"/>
          <w:szCs w:val="18"/>
        </w:rPr>
        <w:t>“4o. Los trámites se adelantarán con austeridad de tiempo, medios y gastos y se impedirán las dilaciones y los retardos en la ejecución del contrato. </w:t>
      </w:r>
    </w:p>
    <w:p w14:paraId="375DB243" w14:textId="77777777" w:rsidR="00E23AAB" w:rsidRPr="00361FEA" w:rsidRDefault="00E23AAB" w:rsidP="00E23AAB">
      <w:pPr>
        <w:pStyle w:val="NormalWeb"/>
        <w:spacing w:before="120" w:after="120"/>
        <w:jc w:val="both"/>
        <w:rPr>
          <w:rFonts w:ascii="Arial" w:hAnsi="Arial" w:cs="Arial"/>
          <w:color w:val="000000" w:themeColor="text1"/>
          <w:sz w:val="18"/>
          <w:szCs w:val="18"/>
        </w:rPr>
      </w:pPr>
      <w:r w:rsidRPr="00361FEA">
        <w:rPr>
          <w:rFonts w:ascii="Arial" w:hAnsi="Arial" w:cs="Arial"/>
          <w:color w:val="000000" w:themeColor="text1"/>
          <w:sz w:val="18"/>
          <w:szCs w:val="18"/>
        </w:rPr>
        <w:t>  </w:t>
      </w:r>
      <w:r w:rsidRPr="00361FEA">
        <w:rPr>
          <w:rFonts w:ascii="Arial" w:hAnsi="Arial" w:cs="Arial"/>
          <w:color w:val="000000" w:themeColor="text1"/>
          <w:sz w:val="18"/>
          <w:szCs w:val="18"/>
        </w:rPr>
        <w:tab/>
        <w:t>“5o. Se adoptarán procedimientos que garanticen la pronta solución de las diferencias y controversias que con motivo de la celebración y ejecución del contrato se presenten […]”.</w:t>
      </w:r>
    </w:p>
  </w:footnote>
  <w:footnote w:id="18">
    <w:p w14:paraId="208C73F5"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COLOMBIA COMPRA EFICIENTE. Guía para la Liquidación de los Procesos de Contratación. página 5, disponible en: </w:t>
      </w:r>
      <w:hyperlink r:id="rId3" w:history="1">
        <w:r w:rsidRPr="00361FEA">
          <w:rPr>
            <w:rStyle w:val="Hipervnculo"/>
            <w:rFonts w:ascii="Arial" w:hAnsi="Arial" w:cs="Arial"/>
            <w:color w:val="000000" w:themeColor="text1"/>
            <w:sz w:val="18"/>
            <w:szCs w:val="18"/>
          </w:rPr>
          <w:t>https://www.colombiacompra.gov.co/sites/cce_public/files/cce_documents/cce_guia_liquidacion_procesos.pdf</w:t>
        </w:r>
      </w:hyperlink>
      <w:r w:rsidRPr="00361FEA">
        <w:rPr>
          <w:rFonts w:ascii="Arial" w:hAnsi="Arial" w:cs="Arial"/>
          <w:color w:val="000000" w:themeColor="text1"/>
          <w:sz w:val="18"/>
          <w:szCs w:val="18"/>
        </w:rPr>
        <w:t xml:space="preserve"> </w:t>
      </w:r>
    </w:p>
  </w:footnote>
  <w:footnote w:id="19">
    <w:p w14:paraId="474939A6"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20">
    <w:p w14:paraId="5F355F42"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CONSEJO DE ESTADO. Sala de Consulta y Servicio Civil. Concepto de 28 de </w:t>
      </w:r>
      <w:proofErr w:type="gramStart"/>
      <w:r w:rsidRPr="00361FEA">
        <w:rPr>
          <w:rFonts w:ascii="Arial" w:hAnsi="Arial" w:cs="Arial"/>
          <w:color w:val="000000" w:themeColor="text1"/>
          <w:sz w:val="18"/>
          <w:szCs w:val="18"/>
        </w:rPr>
        <w:t>Junio</w:t>
      </w:r>
      <w:proofErr w:type="gramEnd"/>
      <w:r w:rsidRPr="00361FEA">
        <w:rPr>
          <w:rFonts w:ascii="Arial" w:hAnsi="Arial" w:cs="Arial"/>
          <w:color w:val="000000" w:themeColor="text1"/>
          <w:sz w:val="18"/>
          <w:szCs w:val="18"/>
        </w:rPr>
        <w:t xml:space="preserve"> de 2016. Radicación: 2253. C.P. Álvaro </w:t>
      </w:r>
      <w:proofErr w:type="spellStart"/>
      <w:r w:rsidRPr="00361FEA">
        <w:rPr>
          <w:rFonts w:ascii="Arial" w:hAnsi="Arial" w:cs="Arial"/>
          <w:color w:val="000000" w:themeColor="text1"/>
          <w:sz w:val="18"/>
          <w:szCs w:val="18"/>
        </w:rPr>
        <w:t>Namén</w:t>
      </w:r>
      <w:proofErr w:type="spellEnd"/>
      <w:r w:rsidRPr="00361FEA">
        <w:rPr>
          <w:rFonts w:ascii="Arial" w:hAnsi="Arial" w:cs="Arial"/>
          <w:color w:val="000000" w:themeColor="text1"/>
          <w:sz w:val="18"/>
          <w:szCs w:val="18"/>
        </w:rPr>
        <w:t xml:space="preserve"> Vargas. </w:t>
      </w:r>
    </w:p>
    <w:p w14:paraId="1D944B88"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rPr>
      </w:pPr>
    </w:p>
  </w:footnote>
  <w:footnote w:id="21">
    <w:p w14:paraId="5D22711A" w14:textId="77777777" w:rsidR="00E23AAB" w:rsidRPr="00361FEA" w:rsidRDefault="00E23AAB" w:rsidP="00E23AAB">
      <w:pPr>
        <w:pStyle w:val="Textonotapie"/>
        <w:spacing w:before="120" w:after="120"/>
        <w:ind w:firstLine="708"/>
        <w:jc w:val="both"/>
        <w:rPr>
          <w:rFonts w:ascii="Arial" w:hAnsi="Arial" w:cs="Arial"/>
          <w:color w:val="000000" w:themeColor="text1"/>
          <w:sz w:val="18"/>
          <w:szCs w:val="18"/>
          <w:lang w:val="es-ES"/>
        </w:rPr>
      </w:pPr>
      <w:r w:rsidRPr="00361FEA">
        <w:rPr>
          <w:rStyle w:val="Refdenotaalpie"/>
          <w:rFonts w:ascii="Arial" w:hAnsi="Arial" w:cs="Arial"/>
          <w:color w:val="000000" w:themeColor="text1"/>
          <w:sz w:val="18"/>
          <w:szCs w:val="18"/>
        </w:rPr>
        <w:footnoteRef/>
      </w:r>
      <w:r w:rsidRPr="00361FEA">
        <w:rPr>
          <w:rFonts w:ascii="Arial" w:hAnsi="Arial" w:cs="Arial"/>
          <w:color w:val="000000" w:themeColor="text1"/>
          <w:sz w:val="18"/>
          <w:szCs w:val="18"/>
        </w:rPr>
        <w:t xml:space="preserve"> CONSEJO DE ESTADO. Sección Tercera. </w:t>
      </w:r>
      <w:r w:rsidRPr="00361FEA">
        <w:rPr>
          <w:rFonts w:ascii="Arial" w:hAnsi="Arial" w:cs="Arial"/>
          <w:color w:val="000000" w:themeColor="text1"/>
          <w:sz w:val="18"/>
          <w:szCs w:val="18"/>
          <w:lang w:val="es-CO"/>
        </w:rPr>
        <w:t xml:space="preserve">Sala Plena. Auto del 1 de agosto de 2019. </w:t>
      </w:r>
      <w:proofErr w:type="spellStart"/>
      <w:r w:rsidRPr="00361FEA">
        <w:rPr>
          <w:rFonts w:ascii="Arial" w:hAnsi="Arial" w:cs="Arial"/>
          <w:color w:val="000000" w:themeColor="text1"/>
          <w:sz w:val="18"/>
          <w:szCs w:val="18"/>
        </w:rPr>
        <w:t>Exp</w:t>
      </w:r>
      <w:proofErr w:type="spellEnd"/>
      <w:r w:rsidRPr="00361FEA">
        <w:rPr>
          <w:rFonts w:ascii="Arial" w:hAnsi="Arial" w:cs="Arial"/>
          <w:color w:val="000000" w:themeColor="text1"/>
          <w:sz w:val="18"/>
          <w:szCs w:val="18"/>
        </w:rPr>
        <w:t xml:space="preserve">. 62009. C.P. Jaime Enrique Rodríguez Navas. </w:t>
      </w:r>
      <w:r w:rsidRPr="00361FEA">
        <w:rPr>
          <w:rFonts w:ascii="Arial" w:hAnsi="Arial" w:cs="Arial"/>
          <w:color w:val="000000" w:themeColor="text1"/>
          <w:sz w:val="18"/>
          <w:szCs w:val="18"/>
          <w:lang w:val="es-ES"/>
        </w:rPr>
        <w:t xml:space="preserve"> </w:t>
      </w:r>
    </w:p>
  </w:footnote>
  <w:footnote w:id="22">
    <w:p w14:paraId="0D59E457" w14:textId="77777777" w:rsidR="00E23AAB" w:rsidRPr="00361FEA" w:rsidRDefault="00E23AAB" w:rsidP="00E23AAB">
      <w:pPr>
        <w:pStyle w:val="Textonotapie"/>
        <w:ind w:firstLine="708"/>
        <w:rPr>
          <w:rFonts w:ascii="Arial" w:hAnsi="Arial" w:cs="Arial"/>
          <w:sz w:val="18"/>
          <w:szCs w:val="18"/>
          <w:lang w:val="es-CO"/>
        </w:rPr>
      </w:pPr>
      <w:r w:rsidRPr="00361FEA">
        <w:rPr>
          <w:rStyle w:val="Refdenotaalpie"/>
          <w:rFonts w:ascii="Arial" w:hAnsi="Arial" w:cs="Arial"/>
          <w:sz w:val="18"/>
          <w:szCs w:val="18"/>
        </w:rPr>
        <w:footnoteRef/>
      </w:r>
      <w:r w:rsidRPr="00361FEA">
        <w:rPr>
          <w:rFonts w:ascii="Arial" w:hAnsi="Arial" w:cs="Arial"/>
          <w:sz w:val="18"/>
          <w:szCs w:val="18"/>
        </w:rPr>
        <w:t xml:space="preserve"> CONSEJO</w:t>
      </w:r>
      <w:r w:rsidRPr="00361FEA">
        <w:rPr>
          <w:rFonts w:ascii="Arial" w:hAnsi="Arial" w:cs="Arial"/>
          <w:spacing w:val="3"/>
          <w:sz w:val="18"/>
          <w:szCs w:val="18"/>
        </w:rPr>
        <w:t xml:space="preserve"> </w:t>
      </w:r>
      <w:r w:rsidRPr="00361FEA">
        <w:rPr>
          <w:rFonts w:ascii="Arial" w:hAnsi="Arial" w:cs="Arial"/>
          <w:sz w:val="18"/>
          <w:szCs w:val="18"/>
        </w:rPr>
        <w:t>DE</w:t>
      </w:r>
      <w:r w:rsidRPr="00361FEA">
        <w:rPr>
          <w:rFonts w:ascii="Arial" w:hAnsi="Arial" w:cs="Arial"/>
          <w:spacing w:val="4"/>
          <w:sz w:val="18"/>
          <w:szCs w:val="18"/>
        </w:rPr>
        <w:t xml:space="preserve"> </w:t>
      </w:r>
      <w:r w:rsidRPr="00361FEA">
        <w:rPr>
          <w:rFonts w:ascii="Arial" w:hAnsi="Arial" w:cs="Arial"/>
          <w:sz w:val="18"/>
          <w:szCs w:val="18"/>
        </w:rPr>
        <w:t>ESTADO.</w:t>
      </w:r>
      <w:r w:rsidRPr="00361FEA">
        <w:rPr>
          <w:rFonts w:ascii="Arial" w:hAnsi="Arial" w:cs="Arial"/>
          <w:spacing w:val="4"/>
          <w:sz w:val="18"/>
          <w:szCs w:val="18"/>
        </w:rPr>
        <w:t xml:space="preserve"> </w:t>
      </w:r>
      <w:r w:rsidRPr="00361FEA">
        <w:rPr>
          <w:rFonts w:ascii="Arial" w:hAnsi="Arial" w:cs="Arial"/>
          <w:sz w:val="18"/>
          <w:szCs w:val="18"/>
        </w:rPr>
        <w:t>Sección</w:t>
      </w:r>
      <w:r w:rsidRPr="00361FEA">
        <w:rPr>
          <w:rFonts w:ascii="Arial" w:hAnsi="Arial" w:cs="Arial"/>
          <w:spacing w:val="4"/>
          <w:sz w:val="18"/>
          <w:szCs w:val="18"/>
        </w:rPr>
        <w:t xml:space="preserve"> </w:t>
      </w:r>
      <w:r w:rsidRPr="00361FEA">
        <w:rPr>
          <w:rFonts w:ascii="Arial" w:hAnsi="Arial" w:cs="Arial"/>
          <w:sz w:val="18"/>
          <w:szCs w:val="18"/>
        </w:rPr>
        <w:t>Tercera. Subsección B. Sentencia</w:t>
      </w:r>
      <w:r w:rsidRPr="00361FEA">
        <w:rPr>
          <w:rFonts w:ascii="Arial" w:hAnsi="Arial" w:cs="Arial"/>
          <w:spacing w:val="5"/>
          <w:sz w:val="18"/>
          <w:szCs w:val="18"/>
        </w:rPr>
        <w:t xml:space="preserve"> </w:t>
      </w:r>
      <w:r w:rsidRPr="00361FEA">
        <w:rPr>
          <w:rFonts w:ascii="Arial" w:hAnsi="Arial" w:cs="Arial"/>
          <w:sz w:val="18"/>
          <w:szCs w:val="18"/>
        </w:rPr>
        <w:t>del</w:t>
      </w:r>
      <w:r w:rsidRPr="00361FEA">
        <w:rPr>
          <w:rFonts w:ascii="Arial" w:hAnsi="Arial" w:cs="Arial"/>
          <w:spacing w:val="3"/>
          <w:sz w:val="18"/>
          <w:szCs w:val="18"/>
        </w:rPr>
        <w:t xml:space="preserve"> </w:t>
      </w:r>
      <w:r w:rsidRPr="00361FEA">
        <w:rPr>
          <w:rFonts w:ascii="Arial" w:hAnsi="Arial" w:cs="Arial"/>
          <w:sz w:val="18"/>
          <w:szCs w:val="18"/>
        </w:rPr>
        <w:t>1</w:t>
      </w:r>
      <w:r w:rsidRPr="00361FEA">
        <w:rPr>
          <w:rFonts w:ascii="Arial" w:hAnsi="Arial" w:cs="Arial"/>
          <w:spacing w:val="3"/>
          <w:sz w:val="18"/>
          <w:szCs w:val="18"/>
        </w:rPr>
        <w:t xml:space="preserve"> </w:t>
      </w:r>
      <w:r w:rsidRPr="00361FEA">
        <w:rPr>
          <w:rFonts w:ascii="Arial" w:hAnsi="Arial" w:cs="Arial"/>
          <w:sz w:val="18"/>
          <w:szCs w:val="18"/>
        </w:rPr>
        <w:t>de</w:t>
      </w:r>
      <w:r w:rsidRPr="00361FEA">
        <w:rPr>
          <w:rFonts w:ascii="Arial" w:hAnsi="Arial" w:cs="Arial"/>
          <w:spacing w:val="4"/>
          <w:sz w:val="18"/>
          <w:szCs w:val="18"/>
        </w:rPr>
        <w:t xml:space="preserve"> </w:t>
      </w:r>
      <w:r w:rsidRPr="00361FEA">
        <w:rPr>
          <w:rFonts w:ascii="Arial" w:hAnsi="Arial" w:cs="Arial"/>
          <w:sz w:val="18"/>
          <w:szCs w:val="18"/>
        </w:rPr>
        <w:t>junio</w:t>
      </w:r>
      <w:r w:rsidRPr="00361FEA">
        <w:rPr>
          <w:rFonts w:ascii="Arial" w:hAnsi="Arial" w:cs="Arial"/>
          <w:spacing w:val="3"/>
          <w:sz w:val="18"/>
          <w:szCs w:val="18"/>
        </w:rPr>
        <w:t xml:space="preserve"> </w:t>
      </w:r>
      <w:r w:rsidRPr="00361FEA">
        <w:rPr>
          <w:rFonts w:ascii="Arial" w:hAnsi="Arial" w:cs="Arial"/>
          <w:sz w:val="18"/>
          <w:szCs w:val="18"/>
        </w:rPr>
        <w:t>de</w:t>
      </w:r>
      <w:r w:rsidRPr="00361FEA">
        <w:rPr>
          <w:rFonts w:ascii="Arial" w:hAnsi="Arial" w:cs="Arial"/>
          <w:spacing w:val="4"/>
          <w:sz w:val="18"/>
          <w:szCs w:val="18"/>
        </w:rPr>
        <w:t xml:space="preserve"> </w:t>
      </w:r>
      <w:r w:rsidRPr="00361FEA">
        <w:rPr>
          <w:rFonts w:ascii="Arial" w:hAnsi="Arial" w:cs="Arial"/>
          <w:sz w:val="18"/>
          <w:szCs w:val="18"/>
        </w:rPr>
        <w:t>2020.</w:t>
      </w:r>
      <w:r w:rsidRPr="00361FEA">
        <w:rPr>
          <w:rFonts w:ascii="Arial" w:hAnsi="Arial" w:cs="Arial"/>
          <w:spacing w:val="3"/>
          <w:sz w:val="18"/>
          <w:szCs w:val="18"/>
        </w:rPr>
        <w:t xml:space="preserve"> </w:t>
      </w:r>
      <w:proofErr w:type="spellStart"/>
      <w:r w:rsidRPr="00361FEA">
        <w:rPr>
          <w:rFonts w:ascii="Arial" w:hAnsi="Arial" w:cs="Arial"/>
          <w:sz w:val="18"/>
          <w:szCs w:val="18"/>
        </w:rPr>
        <w:t>Exp</w:t>
      </w:r>
      <w:proofErr w:type="spellEnd"/>
      <w:r w:rsidRPr="00361FEA">
        <w:rPr>
          <w:rFonts w:ascii="Arial" w:hAnsi="Arial" w:cs="Arial"/>
          <w:sz w:val="18"/>
          <w:szCs w:val="18"/>
        </w:rPr>
        <w:t>.</w:t>
      </w:r>
      <w:r w:rsidRPr="00361FEA">
        <w:rPr>
          <w:rFonts w:ascii="Arial" w:hAnsi="Arial" w:cs="Arial"/>
          <w:spacing w:val="4"/>
          <w:sz w:val="18"/>
          <w:szCs w:val="18"/>
        </w:rPr>
        <w:t xml:space="preserve"> </w:t>
      </w:r>
      <w:r w:rsidRPr="00361FEA">
        <w:rPr>
          <w:rFonts w:ascii="Arial" w:hAnsi="Arial" w:cs="Arial"/>
          <w:sz w:val="18"/>
          <w:szCs w:val="18"/>
        </w:rPr>
        <w:t>48522.</w:t>
      </w:r>
      <w:r w:rsidRPr="00361FEA">
        <w:rPr>
          <w:rFonts w:ascii="Arial" w:hAnsi="Arial" w:cs="Arial"/>
          <w:spacing w:val="4"/>
          <w:sz w:val="18"/>
          <w:szCs w:val="18"/>
        </w:rPr>
        <w:t xml:space="preserve"> </w:t>
      </w:r>
      <w:r w:rsidRPr="00361FEA">
        <w:rPr>
          <w:rFonts w:ascii="Arial" w:hAnsi="Arial" w:cs="Arial"/>
          <w:sz w:val="18"/>
          <w:szCs w:val="18"/>
        </w:rPr>
        <w:t>M.P.</w:t>
      </w:r>
      <w:r w:rsidRPr="00361FEA">
        <w:rPr>
          <w:rFonts w:ascii="Arial" w:hAnsi="Arial" w:cs="Arial"/>
          <w:spacing w:val="3"/>
          <w:sz w:val="18"/>
          <w:szCs w:val="18"/>
        </w:rPr>
        <w:t xml:space="preserve"> </w:t>
      </w:r>
      <w:r w:rsidRPr="00361FEA">
        <w:rPr>
          <w:rFonts w:ascii="Arial" w:hAnsi="Arial" w:cs="Arial"/>
          <w:sz w:val="18"/>
          <w:szCs w:val="18"/>
        </w:rPr>
        <w:t xml:space="preserve">Alberto Montaña Plata.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2387412"/>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08321757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71BD9"/>
    <w:rsid w:val="001E4177"/>
    <w:rsid w:val="00262273"/>
    <w:rsid w:val="002951A0"/>
    <w:rsid w:val="002962BC"/>
    <w:rsid w:val="002A093D"/>
    <w:rsid w:val="002A49AC"/>
    <w:rsid w:val="002A64FD"/>
    <w:rsid w:val="002C5E28"/>
    <w:rsid w:val="002C7A84"/>
    <w:rsid w:val="003448F4"/>
    <w:rsid w:val="00361FEA"/>
    <w:rsid w:val="003A779E"/>
    <w:rsid w:val="003D0F4D"/>
    <w:rsid w:val="003E0499"/>
    <w:rsid w:val="003F3941"/>
    <w:rsid w:val="00400548"/>
    <w:rsid w:val="004A1847"/>
    <w:rsid w:val="004A305D"/>
    <w:rsid w:val="004F21C4"/>
    <w:rsid w:val="004F685F"/>
    <w:rsid w:val="00552B7F"/>
    <w:rsid w:val="005566E8"/>
    <w:rsid w:val="00560145"/>
    <w:rsid w:val="00574867"/>
    <w:rsid w:val="005C5CDC"/>
    <w:rsid w:val="005D476C"/>
    <w:rsid w:val="006219F8"/>
    <w:rsid w:val="00665D70"/>
    <w:rsid w:val="00706C16"/>
    <w:rsid w:val="00756841"/>
    <w:rsid w:val="007649AB"/>
    <w:rsid w:val="007833AC"/>
    <w:rsid w:val="007A418F"/>
    <w:rsid w:val="007B7171"/>
    <w:rsid w:val="007C3DC2"/>
    <w:rsid w:val="007E5497"/>
    <w:rsid w:val="00806F5F"/>
    <w:rsid w:val="00820278"/>
    <w:rsid w:val="00833379"/>
    <w:rsid w:val="00861B0A"/>
    <w:rsid w:val="008843B6"/>
    <w:rsid w:val="00891928"/>
    <w:rsid w:val="008A446D"/>
    <w:rsid w:val="008F0EA7"/>
    <w:rsid w:val="00923EEF"/>
    <w:rsid w:val="009419F9"/>
    <w:rsid w:val="00961B09"/>
    <w:rsid w:val="00965334"/>
    <w:rsid w:val="0097093E"/>
    <w:rsid w:val="009C71FA"/>
    <w:rsid w:val="009C72E7"/>
    <w:rsid w:val="00A17F13"/>
    <w:rsid w:val="00A20739"/>
    <w:rsid w:val="00A33C78"/>
    <w:rsid w:val="00AB0ADB"/>
    <w:rsid w:val="00B72CD3"/>
    <w:rsid w:val="00B72FFF"/>
    <w:rsid w:val="00BD7F72"/>
    <w:rsid w:val="00C04FB3"/>
    <w:rsid w:val="00C330EB"/>
    <w:rsid w:val="00C754BE"/>
    <w:rsid w:val="00CB6357"/>
    <w:rsid w:val="00CC1B26"/>
    <w:rsid w:val="00CF5EFA"/>
    <w:rsid w:val="00D423A2"/>
    <w:rsid w:val="00D63AC2"/>
    <w:rsid w:val="00D7383B"/>
    <w:rsid w:val="00DA231B"/>
    <w:rsid w:val="00E16408"/>
    <w:rsid w:val="00E20894"/>
    <w:rsid w:val="00E23AAB"/>
    <w:rsid w:val="00E245AB"/>
    <w:rsid w:val="00E50AFE"/>
    <w:rsid w:val="00E771DC"/>
    <w:rsid w:val="00E8772A"/>
    <w:rsid w:val="00E90F6B"/>
    <w:rsid w:val="00E92C27"/>
    <w:rsid w:val="00EA0E3D"/>
    <w:rsid w:val="00EE1AA8"/>
    <w:rsid w:val="00F204AB"/>
    <w:rsid w:val="00F31EDC"/>
    <w:rsid w:val="00F5664F"/>
    <w:rsid w:val="00F76AFC"/>
    <w:rsid w:val="00FB5DD1"/>
    <w:rsid w:val="00FC2B5D"/>
    <w:rsid w:val="00FF1449"/>
    <w:rsid w:val="3E08FB86"/>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E23AAB"/>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E23AAB"/>
    <w:pPr>
      <w:spacing w:line="240" w:lineRule="exact"/>
    </w:pPr>
    <w:rPr>
      <w:vertAlign w:val="superscript"/>
    </w:rPr>
  </w:style>
  <w:style w:type="character" w:styleId="Textoennegrita">
    <w:name w:val="Strong"/>
    <w:basedOn w:val="Fuentedeprrafopredeter"/>
    <w:uiPriority w:val="22"/>
    <w:qFormat/>
    <w:rsid w:val="00E23AAB"/>
    <w:rPr>
      <w:b/>
      <w:bCs/>
    </w:rPr>
  </w:style>
  <w:style w:type="character" w:styleId="nfasis">
    <w:name w:val="Emphasis"/>
    <w:basedOn w:val="Fuentedeprrafopredeter"/>
    <w:uiPriority w:val="20"/>
    <w:qFormat/>
    <w:rsid w:val="00E23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liquidacion_procesos.pdf" TargetMode="External"/><Relationship Id="rId2" Type="http://schemas.openxmlformats.org/officeDocument/2006/relationships/hyperlink" Target="https://revistas.usergioarboleda.edu.co/index.php/Cuadernos/article/download/1008/844/310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elements/1.1/"/>
    <ds:schemaRef ds:uri="http://schemas.microsoft.com/office/2006/metadata/properties"/>
    <ds:schemaRef ds:uri="8ae15d26-076e-464e-81a7-6f76a0fb3917"/>
    <ds:schemaRef ds:uri="http://schemas.microsoft.com/office/infopath/2007/PartnerControls"/>
    <ds:schemaRef ds:uri="http://purl.org/dc/dcmitype/"/>
    <ds:schemaRef ds:uri="http://purl.org/dc/terms/"/>
    <ds:schemaRef ds:uri="http://schemas.openxmlformats.org/package/2006/metadata/core-properties"/>
    <ds:schemaRef ds:uri="cabc2350-70b2-4dba-bb42-96a3175f4d5a"/>
    <ds:schemaRef ds:uri="http://www.w3.org/XML/1998/namespace"/>
  </ds:schemaRefs>
</ds:datastoreItem>
</file>

<file path=customXml/itemProps2.xml><?xml version="1.0" encoding="utf-8"?>
<ds:datastoreItem xmlns:ds="http://schemas.openxmlformats.org/officeDocument/2006/customXml" ds:itemID="{1AF3ACC1-C452-405C-9B12-A5FA5AC3E584}"/>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6236</Words>
  <Characters>34304</Characters>
  <Application>Microsoft Office Word</Application>
  <DocSecurity>0</DocSecurity>
  <Lines>285</Lines>
  <Paragraphs>80</Paragraphs>
  <ScaleCrop>false</ScaleCrop>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Carlos Mario Castrillon Endo</cp:lastModifiedBy>
  <cp:revision>6</cp:revision>
  <cp:lastPrinted>2023-01-10T21:18:00Z</cp:lastPrinted>
  <dcterms:created xsi:type="dcterms:W3CDTF">2023-07-25T21:45:00Z</dcterms:created>
  <dcterms:modified xsi:type="dcterms:W3CDTF">2023-08-01T15:53:00Z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