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C019A" w:rsidP="006C019A" w:rsidRDefault="006C019A" w14:paraId="30F2B9C0" w14:textId="77777777">
      <w:pPr>
        <w:spacing w:after="0"/>
        <w:jc w:val="right"/>
        <w:rPr>
          <w:rFonts w:ascii="Century Gothic" w:hAnsi="Century Gothic"/>
        </w:rPr>
      </w:pPr>
    </w:p>
    <w:p w:rsidR="006C019A" w:rsidP="006C019A" w:rsidRDefault="006C019A" w14:paraId="56D543A7" w14:textId="77777777">
      <w:pPr>
        <w:spacing w:after="0"/>
        <w:jc w:val="right"/>
        <w:rPr>
          <w:rFonts w:ascii="Century Gothic" w:hAnsi="Century Gothic"/>
        </w:rPr>
      </w:pPr>
    </w:p>
    <w:p w:rsidR="006C019A" w:rsidP="006C019A" w:rsidRDefault="006C019A" w14:paraId="35B64FD2" w14:textId="77777777">
      <w:pPr>
        <w:spacing w:after="0"/>
        <w:jc w:val="right"/>
        <w:rPr>
          <w:rFonts w:ascii="Century Gothic" w:hAnsi="Century Gothic"/>
        </w:rPr>
      </w:pPr>
    </w:p>
    <w:p w:rsidR="006C019A" w:rsidP="006C019A" w:rsidRDefault="006C019A" w14:paraId="18ECEAFD" w14:textId="21C999A4">
      <w:pPr>
        <w:spacing w:after="0"/>
        <w:rPr>
          <w:rFonts w:ascii="Arial" w:hAnsi="Arial" w:eastAsia="Times New Roman" w:cs="Arial"/>
          <w:b/>
          <w:bCs/>
          <w:lang w:val="es-ES_tradnl" w:eastAsia="es-ES_tradnl"/>
        </w:rPr>
      </w:pPr>
      <w:r w:rsidRPr="003E51FC">
        <w:rPr>
          <w:rFonts w:ascii="Arial" w:hAnsi="Arial" w:eastAsia="Times New Roman" w:cs="Arial"/>
          <w:b/>
          <w:bCs/>
          <w:lang w:val="es-ES_tradnl" w:eastAsia="es-ES_tradnl"/>
        </w:rPr>
        <w:t>LEY DE GARANTÍAS ELECTORALES – Definición – Finalidad</w:t>
      </w:r>
    </w:p>
    <w:p w:rsidR="006C019A" w:rsidP="006C019A" w:rsidRDefault="006C019A" w14:paraId="125BEF99" w14:textId="77777777">
      <w:pPr>
        <w:spacing w:after="0"/>
        <w:rPr>
          <w:rFonts w:ascii="Arial" w:hAnsi="Arial" w:eastAsia="Times New Roman" w:cs="Arial"/>
          <w:b/>
          <w:bCs/>
          <w:lang w:val="es-ES_tradnl" w:eastAsia="es-ES_tradnl"/>
        </w:rPr>
      </w:pPr>
    </w:p>
    <w:p w:rsidR="006C019A" w:rsidP="005178CE" w:rsidRDefault="005178CE" w14:paraId="501C0C5B" w14:textId="473D65FB">
      <w:pPr>
        <w:spacing w:after="0"/>
        <w:jc w:val="both"/>
        <w:rPr>
          <w:rFonts w:ascii="Century Gothic" w:hAnsi="Century Gothic"/>
          <w:sz w:val="18"/>
          <w:szCs w:val="18"/>
        </w:rPr>
      </w:pPr>
      <w:r w:rsidRPr="003E51FC">
        <w:rPr>
          <w:rFonts w:ascii="Century Gothic" w:hAnsi="Century Gothic"/>
          <w:sz w:val="18"/>
          <w:szCs w:val="18"/>
        </w:rPr>
        <w:t>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deben interpretarse restrictivamente.</w:t>
      </w:r>
    </w:p>
    <w:p w:rsidR="005178CE" w:rsidP="005178CE" w:rsidRDefault="005178CE" w14:paraId="107C4DD1" w14:textId="77777777">
      <w:pPr>
        <w:spacing w:after="0"/>
        <w:jc w:val="both"/>
        <w:rPr>
          <w:rFonts w:ascii="Century Gothic" w:hAnsi="Century Gothic"/>
          <w:sz w:val="18"/>
          <w:szCs w:val="18"/>
        </w:rPr>
      </w:pPr>
    </w:p>
    <w:p w:rsidRPr="003E51FC" w:rsidR="005178CE" w:rsidP="003E51FC" w:rsidRDefault="005178CE" w14:paraId="6461B4CC" w14:textId="77777777">
      <w:pPr>
        <w:spacing w:after="0"/>
        <w:jc w:val="both"/>
        <w:rPr>
          <w:rFonts w:ascii="Century Gothic" w:hAnsi="Century Gothic"/>
          <w:sz w:val="18"/>
          <w:szCs w:val="18"/>
        </w:rPr>
      </w:pPr>
    </w:p>
    <w:p w:rsidR="006C019A" w:rsidP="005178CE" w:rsidRDefault="005178CE" w14:paraId="6D760A69" w14:textId="5F1D00CD">
      <w:pPr>
        <w:spacing w:after="0"/>
        <w:jc w:val="both"/>
        <w:rPr>
          <w:rFonts w:ascii="Arial" w:hAnsi="Arial" w:eastAsia="Times New Roman" w:cs="Arial"/>
          <w:b/>
          <w:bCs/>
          <w:lang w:val="es-ES_tradnl" w:eastAsia="es-ES_tradnl"/>
        </w:rPr>
      </w:pPr>
      <w:r w:rsidRPr="003E51FC">
        <w:rPr>
          <w:rFonts w:ascii="Arial" w:hAnsi="Arial" w:eastAsia="Times New Roman" w:cs="Arial"/>
          <w:b/>
          <w:bCs/>
          <w:lang w:val="es-ES_tradnl" w:eastAsia="es-ES_tradnl"/>
        </w:rPr>
        <w:t>LEY DE GARANTÍAS ELECTORALES – Prohibición por elección de cargos populares – Convenios y contratos interadministrativos – Parágrafo del artículo 38</w:t>
      </w:r>
    </w:p>
    <w:p w:rsidR="005178CE" w:rsidP="005178CE" w:rsidRDefault="005178CE" w14:paraId="4BB13CA6" w14:textId="77777777">
      <w:pPr>
        <w:spacing w:after="0"/>
        <w:jc w:val="both"/>
        <w:rPr>
          <w:rFonts w:ascii="Arial" w:hAnsi="Arial" w:eastAsia="Times New Roman" w:cs="Arial"/>
          <w:b/>
          <w:bCs/>
          <w:lang w:val="es-ES_tradnl" w:eastAsia="es-ES_tradnl"/>
        </w:rPr>
      </w:pPr>
    </w:p>
    <w:p w:rsidRPr="003E51FC" w:rsidR="005178CE" w:rsidP="003E51FC" w:rsidRDefault="005178CE" w14:paraId="6F9981F5" w14:textId="77777777">
      <w:pPr>
        <w:spacing w:after="0"/>
        <w:jc w:val="both"/>
        <w:rPr>
          <w:rFonts w:ascii="Arial" w:hAnsi="Arial" w:eastAsia="Times New Roman" w:cs="Arial"/>
          <w:b/>
          <w:bCs/>
          <w:lang w:val="es-ES_tradnl" w:eastAsia="es-ES_tradnl"/>
        </w:rPr>
      </w:pPr>
    </w:p>
    <w:p w:rsidRPr="003E51FC" w:rsidR="006C019A" w:rsidP="003E51FC" w:rsidRDefault="00EF7222" w14:paraId="77722494" w14:textId="1506F304">
      <w:pPr>
        <w:spacing w:after="0"/>
        <w:jc w:val="both"/>
        <w:rPr>
          <w:rFonts w:ascii="Century Gothic" w:hAnsi="Century Gothic"/>
          <w:sz w:val="18"/>
          <w:szCs w:val="18"/>
        </w:rPr>
      </w:pPr>
      <w:r w:rsidRPr="003E51FC">
        <w:rPr>
          <w:rFonts w:ascii="Century Gothic" w:hAnsi="Century Gothic"/>
          <w:sz w:val="18"/>
          <w:szCs w:val="18"/>
        </w:rPr>
        <w:t>Ahora bien, conforme se viene mencionando, debe aclararse que para los comicios que se celebrarán este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006C019A" w:rsidP="006C019A" w:rsidRDefault="006C019A" w14:paraId="43F2AE94" w14:textId="77777777">
      <w:pPr>
        <w:spacing w:after="0"/>
        <w:jc w:val="right"/>
        <w:rPr>
          <w:rFonts w:ascii="Century Gothic" w:hAnsi="Century Gothic"/>
        </w:rPr>
      </w:pPr>
    </w:p>
    <w:p w:rsidR="00EF7222" w:rsidP="006C019A" w:rsidRDefault="00EF7222" w14:paraId="166458B3" w14:textId="77777777">
      <w:pPr>
        <w:spacing w:after="0"/>
        <w:jc w:val="right"/>
        <w:rPr>
          <w:rFonts w:ascii="Century Gothic" w:hAnsi="Century Gothic"/>
        </w:rPr>
      </w:pPr>
    </w:p>
    <w:p w:rsidR="00EF7222" w:rsidP="006C019A" w:rsidRDefault="00EF7222" w14:paraId="6F8502F9" w14:textId="77777777">
      <w:pPr>
        <w:spacing w:after="0"/>
        <w:jc w:val="right"/>
        <w:rPr>
          <w:rFonts w:ascii="Century Gothic" w:hAnsi="Century Gothic"/>
        </w:rPr>
      </w:pPr>
    </w:p>
    <w:p w:rsidR="00EF7222" w:rsidP="006C019A" w:rsidRDefault="00EF7222" w14:paraId="429D48E3" w14:textId="77777777">
      <w:pPr>
        <w:spacing w:after="0"/>
        <w:jc w:val="right"/>
        <w:rPr>
          <w:rFonts w:ascii="Century Gothic" w:hAnsi="Century Gothic"/>
        </w:rPr>
      </w:pPr>
    </w:p>
    <w:p w:rsidR="00EF7222" w:rsidP="006C019A" w:rsidRDefault="00EF7222" w14:paraId="28D993A6" w14:textId="77777777">
      <w:pPr>
        <w:spacing w:after="0"/>
        <w:jc w:val="right"/>
        <w:rPr>
          <w:rFonts w:ascii="Century Gothic" w:hAnsi="Century Gothic"/>
        </w:rPr>
      </w:pPr>
    </w:p>
    <w:p w:rsidR="00EF7222" w:rsidP="006C019A" w:rsidRDefault="00EF7222" w14:paraId="2DEBA2B3" w14:textId="77777777">
      <w:pPr>
        <w:spacing w:after="0"/>
        <w:jc w:val="right"/>
        <w:rPr>
          <w:rFonts w:ascii="Century Gothic" w:hAnsi="Century Gothic"/>
        </w:rPr>
      </w:pPr>
    </w:p>
    <w:p w:rsidR="00EF7222" w:rsidP="006C019A" w:rsidRDefault="00EF7222" w14:paraId="0639536E" w14:textId="77777777">
      <w:pPr>
        <w:spacing w:after="0"/>
        <w:jc w:val="right"/>
        <w:rPr>
          <w:rFonts w:ascii="Century Gothic" w:hAnsi="Century Gothic"/>
        </w:rPr>
      </w:pPr>
    </w:p>
    <w:p w:rsidR="00EF7222" w:rsidP="006C019A" w:rsidRDefault="00EF7222" w14:paraId="4845C0EA" w14:textId="77777777">
      <w:pPr>
        <w:spacing w:after="0"/>
        <w:jc w:val="right"/>
        <w:rPr>
          <w:rFonts w:ascii="Century Gothic" w:hAnsi="Century Gothic"/>
        </w:rPr>
      </w:pPr>
    </w:p>
    <w:p w:rsidR="00EF7222" w:rsidP="006C019A" w:rsidRDefault="00EF7222" w14:paraId="4E812D96" w14:textId="77777777">
      <w:pPr>
        <w:spacing w:after="0"/>
        <w:jc w:val="right"/>
        <w:rPr>
          <w:rFonts w:ascii="Century Gothic" w:hAnsi="Century Gothic"/>
        </w:rPr>
      </w:pPr>
    </w:p>
    <w:p w:rsidR="006C019A" w:rsidP="006C019A" w:rsidRDefault="006C019A" w14:paraId="3BC447A4" w14:textId="77777777">
      <w:pPr>
        <w:spacing w:after="0"/>
        <w:jc w:val="right"/>
        <w:rPr>
          <w:rFonts w:ascii="Century Gothic" w:hAnsi="Century Gothic"/>
        </w:rPr>
      </w:pPr>
    </w:p>
    <w:p w:rsidR="006C019A" w:rsidP="006C019A" w:rsidRDefault="006C019A" w14:paraId="69D3E1C8" w14:textId="77777777">
      <w:pPr>
        <w:spacing w:after="0"/>
        <w:jc w:val="right"/>
        <w:rPr>
          <w:rFonts w:ascii="Century Gothic" w:hAnsi="Century Gothic"/>
        </w:rPr>
      </w:pPr>
    </w:p>
    <w:p w:rsidR="006C019A" w:rsidP="006C019A" w:rsidRDefault="006C019A" w14:paraId="65F00D7D" w14:textId="77777777" w14:noSpellErr="1">
      <w:pPr>
        <w:spacing w:after="0"/>
        <w:jc w:val="right"/>
        <w:rPr>
          <w:rFonts w:ascii="Century Gothic" w:hAnsi="Century Gothic"/>
        </w:rPr>
      </w:pPr>
    </w:p>
    <w:p w:rsidR="5CBE2191" w:rsidP="5CBE2191" w:rsidRDefault="5CBE2191" w14:paraId="793A03EC" w14:textId="3BB4DFE7">
      <w:pPr>
        <w:pStyle w:val="Normal"/>
        <w:spacing w:after="0"/>
        <w:jc w:val="right"/>
        <w:rPr>
          <w:rFonts w:ascii="Century Gothic" w:hAnsi="Century Gothic"/>
        </w:rPr>
      </w:pPr>
    </w:p>
    <w:p w:rsidR="5CBE2191" w:rsidP="5CBE2191" w:rsidRDefault="5CBE2191" w14:paraId="0A79C24F" w14:textId="629F4527">
      <w:pPr>
        <w:pStyle w:val="Normal"/>
        <w:spacing w:after="0"/>
        <w:jc w:val="right"/>
        <w:rPr>
          <w:rFonts w:ascii="Century Gothic" w:hAnsi="Century Gothic"/>
        </w:rPr>
      </w:pPr>
    </w:p>
    <w:p w:rsidR="5CBE2191" w:rsidP="5CBE2191" w:rsidRDefault="5CBE2191" w14:paraId="0884224A" w14:textId="313BDD8A">
      <w:pPr>
        <w:pStyle w:val="Normal"/>
        <w:spacing w:after="0"/>
        <w:jc w:val="right"/>
        <w:rPr>
          <w:rFonts w:ascii="Century Gothic" w:hAnsi="Century Gothic"/>
        </w:rPr>
      </w:pPr>
    </w:p>
    <w:p w:rsidR="5CBE2191" w:rsidP="5CBE2191" w:rsidRDefault="5CBE2191" w14:paraId="07066784" w14:textId="4CDBB9B1">
      <w:pPr>
        <w:pStyle w:val="Normal"/>
        <w:spacing w:after="0"/>
        <w:jc w:val="right"/>
        <w:rPr>
          <w:rFonts w:ascii="Century Gothic" w:hAnsi="Century Gothic"/>
        </w:rPr>
      </w:pPr>
    </w:p>
    <w:p w:rsidR="5CBE2191" w:rsidP="5CBE2191" w:rsidRDefault="5CBE2191" w14:paraId="10709303" w14:textId="20FBC0A9">
      <w:pPr>
        <w:pStyle w:val="Normal"/>
        <w:spacing w:after="0"/>
        <w:jc w:val="right"/>
        <w:rPr>
          <w:rFonts w:ascii="Century Gothic" w:hAnsi="Century Gothic"/>
        </w:rPr>
      </w:pPr>
    </w:p>
    <w:p w:rsidR="006C019A" w:rsidP="006C019A" w:rsidRDefault="006C019A" w14:paraId="192FB8EC" w14:textId="77777777">
      <w:pPr>
        <w:spacing w:after="0"/>
        <w:jc w:val="right"/>
        <w:rPr>
          <w:rFonts w:ascii="Century Gothic" w:hAnsi="Century Gothic"/>
        </w:rPr>
      </w:pPr>
    </w:p>
    <w:p w:rsidR="006C019A" w:rsidP="006C019A" w:rsidRDefault="006C019A" w14:paraId="4690CD92" w14:textId="77777777">
      <w:pPr>
        <w:spacing w:after="0"/>
        <w:jc w:val="right"/>
        <w:rPr>
          <w:rFonts w:ascii="Century Gothic" w:hAnsi="Century Gothic"/>
        </w:rPr>
      </w:pPr>
    </w:p>
    <w:p w:rsidRPr="00C330EB" w:rsidR="00E245AB" w:rsidP="003E51FC" w:rsidRDefault="006C019A" w14:paraId="3FE2184B" w14:textId="54383D9C">
      <w:pPr>
        <w:spacing w:after="0"/>
        <w:jc w:val="right"/>
        <w:rPr>
          <w:rFonts w:ascii="Century Gothic" w:hAnsi="Century Gothic"/>
        </w:rPr>
      </w:pPr>
      <w:r w:rsidRPr="006C019A">
        <w:rPr>
          <w:rFonts w:ascii="Century Gothic" w:hAnsi="Century Gothic"/>
          <w:noProof/>
        </w:rPr>
        <w:drawing>
          <wp:inline distT="0" distB="0" distL="0" distR="0" wp14:anchorId="444E0153" wp14:editId="4BF50610">
            <wp:extent cx="3130062" cy="791210"/>
            <wp:effectExtent l="0" t="0" r="0" b="8890"/>
            <wp:docPr id="164704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9212" cy="793523"/>
                    </a:xfrm>
                    <a:prstGeom prst="rect">
                      <a:avLst/>
                    </a:prstGeom>
                    <a:noFill/>
                    <a:ln>
                      <a:noFill/>
                    </a:ln>
                  </pic:spPr>
                </pic:pic>
              </a:graphicData>
            </a:graphic>
          </wp:inline>
        </w:drawing>
      </w:r>
      <w:r w:rsidR="00E245AB">
        <w:tab/>
      </w:r>
    </w:p>
    <w:p w:rsidRPr="00C330EB" w:rsidR="00E245AB" w:rsidP="00E245AB" w:rsidRDefault="00E245AB" w14:paraId="5FCADBF9" w14:textId="77777777">
      <w:pPr>
        <w:spacing w:after="0"/>
        <w:rPr>
          <w:rFonts w:ascii="Century Gothic" w:hAnsi="Century Gothic"/>
        </w:rPr>
      </w:pPr>
    </w:p>
    <w:p w:rsidRPr="00EB0A4D" w:rsidR="008F48A4" w:rsidP="008F48A4" w:rsidRDefault="008F48A4" w14:paraId="1C0B0B5D" w14:textId="77777777">
      <w:pPr>
        <w:spacing w:after="0" w:line="276" w:lineRule="auto"/>
        <w:contextualSpacing/>
        <w:jc w:val="both"/>
        <w:rPr>
          <w:rFonts w:ascii="Arial" w:hAnsi="Arial" w:eastAsia="Calibri" w:cs="Arial"/>
        </w:rPr>
      </w:pPr>
      <w:r w:rsidRPr="00EB0A4D">
        <w:rPr>
          <w:rFonts w:ascii="Arial" w:hAnsi="Arial" w:eastAsia="Calibri" w:cs="Arial"/>
        </w:rPr>
        <w:t>Señor</w:t>
      </w:r>
      <w:r>
        <w:rPr>
          <w:rFonts w:ascii="Arial" w:hAnsi="Arial" w:eastAsia="Calibri" w:cs="Arial"/>
        </w:rPr>
        <w:t>a</w:t>
      </w:r>
    </w:p>
    <w:p w:rsidRPr="00EB0A4D" w:rsidR="008F48A4" w:rsidP="008F48A4" w:rsidRDefault="008F48A4" w14:paraId="6EBF9E83" w14:textId="77777777">
      <w:pPr>
        <w:spacing w:after="0" w:line="276" w:lineRule="auto"/>
        <w:contextualSpacing/>
        <w:jc w:val="both"/>
        <w:rPr>
          <w:rFonts w:ascii="Arial" w:hAnsi="Arial" w:eastAsia="Calibri" w:cs="Arial"/>
          <w:b/>
          <w:bCs/>
        </w:rPr>
      </w:pPr>
      <w:proofErr w:type="spellStart"/>
      <w:r>
        <w:rPr>
          <w:rFonts w:ascii="Arial" w:hAnsi="Arial" w:eastAsia="Calibri" w:cs="Arial"/>
          <w:b/>
          <w:bCs/>
        </w:rPr>
        <w:t>Mayely</w:t>
      </w:r>
      <w:proofErr w:type="spellEnd"/>
      <w:r>
        <w:rPr>
          <w:rFonts w:ascii="Arial" w:hAnsi="Arial" w:eastAsia="Calibri" w:cs="Arial"/>
          <w:b/>
          <w:bCs/>
        </w:rPr>
        <w:t xml:space="preserve"> Galán Bautista </w:t>
      </w:r>
    </w:p>
    <w:p w:rsidRPr="00EB0A4D" w:rsidR="008F48A4" w:rsidP="008F48A4" w:rsidRDefault="008F48A4" w14:paraId="4830FC7A" w14:textId="77777777">
      <w:pPr>
        <w:spacing w:after="0" w:line="276" w:lineRule="auto"/>
        <w:contextualSpacing/>
        <w:jc w:val="both"/>
        <w:rPr>
          <w:rFonts w:ascii="Arial" w:hAnsi="Arial" w:eastAsia="Calibri" w:cs="Arial"/>
        </w:rPr>
      </w:pPr>
      <w:r>
        <w:rPr>
          <w:rFonts w:ascii="Arial" w:hAnsi="Arial" w:eastAsia="Calibri" w:cs="Arial"/>
        </w:rPr>
        <w:t xml:space="preserve">Bucaramanga, Santander </w:t>
      </w:r>
    </w:p>
    <w:p w:rsidRPr="00EB0A4D" w:rsidR="008F48A4" w:rsidP="008F48A4" w:rsidRDefault="008F48A4" w14:paraId="1A52BBF3" w14:textId="77777777">
      <w:pPr>
        <w:spacing w:after="0" w:line="240" w:lineRule="auto"/>
        <w:contextualSpacing/>
        <w:jc w:val="both"/>
        <w:rPr>
          <w:rFonts w:ascii="Arial" w:hAnsi="Arial" w:eastAsia="Calibri" w:cs="Arial"/>
        </w:rPr>
      </w:pPr>
    </w:p>
    <w:p w:rsidRPr="00EB0A4D" w:rsidR="008F48A4" w:rsidP="008F48A4" w:rsidRDefault="008F48A4" w14:paraId="730114C5" w14:textId="77777777">
      <w:pPr>
        <w:spacing w:after="0" w:line="240" w:lineRule="auto"/>
        <w:contextualSpacing/>
        <w:jc w:val="both"/>
        <w:rPr>
          <w:rFonts w:ascii="Arial" w:hAnsi="Arial" w:eastAsia="Calibri" w:cs="Arial"/>
        </w:rPr>
      </w:pPr>
      <w:r w:rsidRPr="00EB0A4D">
        <w:rPr>
          <w:rFonts w:ascii="Arial" w:hAnsi="Arial" w:eastAsia="Calibri" w:cs="Arial"/>
        </w:rPr>
        <w:t xml:space="preserve">                                            </w:t>
      </w:r>
      <w:r w:rsidRPr="00EB0A4D">
        <w:rPr>
          <w:rFonts w:ascii="Arial" w:hAnsi="Arial" w:eastAsia="Calibri" w:cs="Arial"/>
          <w:b/>
        </w:rPr>
        <w:t>Concepto C–</w:t>
      </w:r>
      <w:r>
        <w:rPr>
          <w:rFonts w:ascii="Arial" w:hAnsi="Arial" w:eastAsia="Calibri" w:cs="Arial"/>
          <w:b/>
        </w:rPr>
        <w:t>233</w:t>
      </w:r>
      <w:r w:rsidRPr="00EB0A4D">
        <w:rPr>
          <w:rFonts w:ascii="Arial" w:hAnsi="Arial" w:eastAsia="Calibri" w:cs="Arial"/>
          <w:b/>
        </w:rPr>
        <w:t xml:space="preserve"> de 2023</w:t>
      </w:r>
    </w:p>
    <w:p w:rsidRPr="00EB0A4D" w:rsidR="008F48A4" w:rsidP="008F48A4" w:rsidRDefault="008F48A4" w14:paraId="0B86ABF3" w14:textId="77777777">
      <w:pPr>
        <w:spacing w:after="0" w:line="240" w:lineRule="auto"/>
        <w:contextualSpacing/>
        <w:jc w:val="both"/>
        <w:rPr>
          <w:rFonts w:ascii="Arial" w:hAnsi="Arial" w:eastAsia="Calibri" w:cs="Arial"/>
          <w:b/>
        </w:rPr>
      </w:pPr>
    </w:p>
    <w:p w:rsidRPr="00EB0A4D" w:rsidR="008F48A4" w:rsidP="008F48A4" w:rsidRDefault="008F48A4" w14:paraId="487F4FC9" w14:textId="77777777">
      <w:pPr>
        <w:spacing w:after="0" w:line="240" w:lineRule="auto"/>
        <w:contextualSpacing/>
        <w:jc w:val="both"/>
        <w:rPr>
          <w:rFonts w:ascii="Arial" w:hAnsi="Arial" w:eastAsia="Calibri" w:cs="Arial"/>
          <w:b/>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B0A4D" w:rsidR="008F48A4" w:rsidTr="000E227B" w14:paraId="0D6951EB" w14:textId="77777777">
        <w:trPr>
          <w:trHeight w:val="485"/>
        </w:trPr>
        <w:tc>
          <w:tcPr>
            <w:tcW w:w="2689" w:type="dxa"/>
            <w:hideMark/>
          </w:tcPr>
          <w:p w:rsidRPr="00EB0A4D" w:rsidR="008F48A4" w:rsidP="000E227B" w:rsidRDefault="008F48A4" w14:paraId="5724A8EF" w14:textId="77777777">
            <w:pPr>
              <w:rPr>
                <w:rFonts w:ascii="Arial" w:hAnsi="Arial" w:eastAsia="Calibri" w:cs="Arial"/>
                <w:noProof/>
                <w:lang w:val="es-ES_tradnl"/>
              </w:rPr>
            </w:pPr>
            <w:r w:rsidRPr="00EB0A4D">
              <w:rPr>
                <w:rFonts w:ascii="Arial" w:hAnsi="Arial" w:eastAsia="Calibri" w:cs="Arial"/>
                <w:b/>
                <w:noProof/>
                <w:lang w:val="es-ES_tradnl"/>
              </w:rPr>
              <w:t>Temas:</w:t>
            </w:r>
            <w:r w:rsidRPr="00EB0A4D">
              <w:rPr>
                <w:rFonts w:ascii="Arial" w:hAnsi="Arial" w:eastAsia="Calibri" w:cs="Arial"/>
                <w:noProof/>
                <w:lang w:val="es-ES_tradnl"/>
              </w:rPr>
              <w:t xml:space="preserve">        </w:t>
            </w:r>
          </w:p>
        </w:tc>
        <w:tc>
          <w:tcPr>
            <w:tcW w:w="6237" w:type="dxa"/>
            <w:hideMark/>
          </w:tcPr>
          <w:p w:rsidRPr="00EB0A4D" w:rsidR="008F48A4" w:rsidP="000E227B" w:rsidRDefault="008F48A4" w14:paraId="3471CDA3" w14:textId="6057B363">
            <w:pPr>
              <w:spacing w:line="276" w:lineRule="auto"/>
              <w:jc w:val="both"/>
              <w:rPr>
                <w:rFonts w:ascii="Arial" w:hAnsi="Arial" w:eastAsia="Times New Roman" w:cs="Arial"/>
                <w:lang w:val="es-ES_tradnl" w:eastAsia="es-ES_tradnl"/>
              </w:rPr>
            </w:pPr>
            <w:r w:rsidRPr="00EB0A4D">
              <w:rPr>
                <w:rFonts w:ascii="Arial" w:hAnsi="Arial" w:eastAsia="Times New Roman" w:cs="Arial"/>
                <w:lang w:val="es-ES_tradnl" w:eastAsia="es-ES_tradnl"/>
              </w:rPr>
              <w:t xml:space="preserve">LEY DE GARANTÍAS ELECTORALES – Definición – Finalidad / LEY DE GARANTÍAS ELECTORALES – Prohibición por elección de cargos populares – Convenios y contratos interadministrativos – Parágrafo del artículo 38 </w:t>
            </w:r>
          </w:p>
          <w:p w:rsidRPr="00EB0A4D" w:rsidR="008F48A4" w:rsidP="000E227B" w:rsidRDefault="008F48A4" w14:paraId="0CEAC6E0" w14:textId="77777777">
            <w:pPr>
              <w:jc w:val="both"/>
              <w:rPr>
                <w:rFonts w:ascii="Arial" w:hAnsi="Arial" w:eastAsia="Calibri" w:cs="Arial"/>
                <w:b/>
                <w:bCs/>
                <w:lang w:val="es-MX"/>
              </w:rPr>
            </w:pPr>
          </w:p>
          <w:p w:rsidRPr="00EB0A4D" w:rsidR="008F48A4" w:rsidP="000E227B" w:rsidRDefault="008F48A4" w14:paraId="25DC3EFE" w14:textId="77777777">
            <w:pPr>
              <w:ind w:right="703"/>
              <w:jc w:val="both"/>
              <w:rPr>
                <w:rFonts w:ascii="Arial" w:hAnsi="Arial" w:eastAsia="Calibri" w:cs="Arial"/>
                <w:bCs/>
                <w:lang w:val="es-MX"/>
              </w:rPr>
            </w:pPr>
          </w:p>
        </w:tc>
      </w:tr>
      <w:tr w:rsidRPr="00EB0A4D" w:rsidR="008F48A4" w:rsidTr="000E227B" w14:paraId="0B97D275" w14:textId="77777777">
        <w:tc>
          <w:tcPr>
            <w:tcW w:w="2689" w:type="dxa"/>
          </w:tcPr>
          <w:p w:rsidRPr="00EB0A4D" w:rsidR="008F48A4" w:rsidP="000E227B" w:rsidRDefault="008F48A4" w14:paraId="1C786E54" w14:textId="77777777">
            <w:pPr>
              <w:rPr>
                <w:rFonts w:ascii="Arial" w:hAnsi="Arial" w:eastAsia="Calibri" w:cs="Arial"/>
                <w:b/>
                <w:noProof/>
                <w:lang w:val="es-ES_tradnl"/>
              </w:rPr>
            </w:pPr>
            <w:r w:rsidRPr="00EB0A4D">
              <w:rPr>
                <w:rFonts w:ascii="Arial" w:hAnsi="Arial" w:eastAsia="Calibri" w:cs="Arial"/>
                <w:b/>
                <w:noProof/>
                <w:lang w:val="es-ES_tradnl"/>
              </w:rPr>
              <w:t>Radicación:</w:t>
            </w:r>
            <w:r w:rsidRPr="00EB0A4D">
              <w:rPr>
                <w:rFonts w:ascii="Arial" w:hAnsi="Arial" w:eastAsia="Calibri" w:cs="Arial"/>
                <w:noProof/>
                <w:lang w:val="es-ES_tradnl"/>
              </w:rPr>
              <w:t xml:space="preserve">                              </w:t>
            </w:r>
          </w:p>
        </w:tc>
        <w:tc>
          <w:tcPr>
            <w:tcW w:w="6237" w:type="dxa"/>
          </w:tcPr>
          <w:p w:rsidRPr="00EB0A4D" w:rsidR="008F48A4" w:rsidP="000E227B" w:rsidRDefault="008F48A4" w14:paraId="532D4AB5" w14:textId="77777777">
            <w:pPr>
              <w:jc w:val="both"/>
              <w:rPr>
                <w:rFonts w:ascii="Arial" w:hAnsi="Arial" w:eastAsia="Calibri" w:cs="Arial"/>
                <w:noProof/>
                <w:lang w:val="es-ES_tradnl"/>
              </w:rPr>
            </w:pPr>
            <w:r w:rsidRPr="00EB0A4D">
              <w:rPr>
                <w:rFonts w:ascii="Arial" w:hAnsi="Arial" w:eastAsia="Calibri" w:cs="Arial"/>
                <w:noProof/>
                <w:lang w:val="es-ES_tradnl"/>
              </w:rPr>
              <w:t>Respuesta a consulta</w:t>
            </w:r>
            <w:r>
              <w:rPr>
                <w:rFonts w:ascii="Arial" w:hAnsi="Arial" w:eastAsia="Calibri" w:cs="Arial"/>
                <w:noProof/>
                <w:lang w:val="es-ES_tradnl"/>
              </w:rPr>
              <w:t>s</w:t>
            </w:r>
            <w:r w:rsidRPr="00EB0A4D">
              <w:rPr>
                <w:rFonts w:ascii="Arial" w:hAnsi="Arial" w:eastAsia="Calibri" w:cs="Arial"/>
                <w:noProof/>
                <w:lang w:val="es-ES_tradnl"/>
              </w:rPr>
              <w:t xml:space="preserve"> P2023</w:t>
            </w:r>
            <w:r>
              <w:rPr>
                <w:rFonts w:ascii="Arial" w:hAnsi="Arial" w:eastAsia="Calibri" w:cs="Arial"/>
                <w:noProof/>
                <w:lang w:val="es-ES_tradnl"/>
              </w:rPr>
              <w:t xml:space="preserve">0609012219 y P20230609012222 (Acumuladas) </w:t>
            </w:r>
            <w:r w:rsidRPr="00EB0A4D">
              <w:rPr>
                <w:rFonts w:ascii="Arial" w:hAnsi="Arial" w:eastAsia="Calibri" w:cs="Arial"/>
                <w:noProof/>
                <w:lang w:val="es-ES_tradnl"/>
              </w:rPr>
              <w:tab/>
            </w:r>
            <w:r w:rsidRPr="00EB0A4D">
              <w:rPr>
                <w:rFonts w:ascii="Arial" w:hAnsi="Arial" w:eastAsia="Calibri" w:cs="Arial"/>
                <w:noProof/>
                <w:lang w:val="es-ES_tradnl"/>
              </w:rPr>
              <w:tab/>
            </w:r>
          </w:p>
        </w:tc>
      </w:tr>
    </w:tbl>
    <w:p w:rsidRPr="00EB0A4D" w:rsidR="008F48A4" w:rsidP="008F48A4" w:rsidRDefault="008F48A4" w14:paraId="5A7177AB" w14:textId="77777777">
      <w:pPr>
        <w:spacing w:after="0" w:line="240" w:lineRule="auto"/>
        <w:contextualSpacing/>
        <w:jc w:val="both"/>
        <w:rPr>
          <w:rFonts w:ascii="Arial" w:hAnsi="Arial" w:eastAsia="Calibri" w:cs="Arial"/>
        </w:rPr>
      </w:pPr>
    </w:p>
    <w:p w:rsidRPr="00EB0A4D" w:rsidR="008F48A4" w:rsidP="008F48A4" w:rsidRDefault="008F48A4" w14:paraId="4E08B88E" w14:textId="77777777">
      <w:pPr>
        <w:spacing w:after="0" w:line="240" w:lineRule="auto"/>
        <w:contextualSpacing/>
        <w:jc w:val="both"/>
        <w:rPr>
          <w:rFonts w:ascii="Arial" w:hAnsi="Arial" w:eastAsia="Calibri" w:cs="Arial"/>
        </w:rPr>
      </w:pPr>
    </w:p>
    <w:p w:rsidRPr="00EB0A4D" w:rsidR="008F48A4" w:rsidP="008F48A4" w:rsidRDefault="008F48A4" w14:paraId="3F9D0CD5" w14:textId="77777777">
      <w:pPr>
        <w:spacing w:after="0" w:line="276" w:lineRule="auto"/>
        <w:contextualSpacing/>
        <w:jc w:val="both"/>
        <w:rPr>
          <w:rFonts w:ascii="Arial" w:hAnsi="Arial" w:eastAsia="Calibri" w:cs="Arial"/>
        </w:rPr>
      </w:pPr>
      <w:r w:rsidRPr="00EB0A4D">
        <w:rPr>
          <w:rFonts w:ascii="Arial" w:hAnsi="Arial" w:eastAsia="Calibri" w:cs="Arial"/>
        </w:rPr>
        <w:t>Estimad</w:t>
      </w:r>
      <w:r>
        <w:rPr>
          <w:rFonts w:ascii="Arial" w:hAnsi="Arial" w:eastAsia="Calibri" w:cs="Arial"/>
        </w:rPr>
        <w:t>a</w:t>
      </w:r>
      <w:r w:rsidRPr="00EB0A4D">
        <w:rPr>
          <w:rFonts w:ascii="Arial" w:hAnsi="Arial" w:eastAsia="Calibri" w:cs="Arial"/>
        </w:rPr>
        <w:t xml:space="preserve"> señor</w:t>
      </w:r>
      <w:r>
        <w:rPr>
          <w:rFonts w:ascii="Arial" w:hAnsi="Arial" w:eastAsia="Calibri" w:cs="Arial"/>
        </w:rPr>
        <w:t>a</w:t>
      </w:r>
      <w:r w:rsidRPr="00EB0A4D">
        <w:rPr>
          <w:rFonts w:ascii="Arial" w:hAnsi="Arial" w:eastAsia="Calibri" w:cs="Arial"/>
        </w:rPr>
        <w:t xml:space="preserve"> </w:t>
      </w:r>
      <w:r>
        <w:rPr>
          <w:rFonts w:ascii="Arial" w:hAnsi="Arial" w:eastAsia="Calibri" w:cs="Arial"/>
        </w:rPr>
        <w:t>Galán Bautista</w:t>
      </w:r>
      <w:r w:rsidRPr="00EB0A4D">
        <w:rPr>
          <w:rFonts w:ascii="Arial" w:hAnsi="Arial" w:eastAsia="Calibri" w:cs="Arial"/>
        </w:rPr>
        <w:t>:</w:t>
      </w:r>
    </w:p>
    <w:p w:rsidRPr="00EB0A4D" w:rsidR="008F48A4" w:rsidP="008F48A4" w:rsidRDefault="008F48A4" w14:paraId="07021AC7" w14:textId="77777777">
      <w:pPr>
        <w:spacing w:after="0" w:line="276" w:lineRule="auto"/>
        <w:ind w:firstLine="709"/>
        <w:contextualSpacing/>
        <w:jc w:val="both"/>
        <w:rPr>
          <w:rFonts w:ascii="Arial" w:hAnsi="Arial" w:eastAsia="Calibri" w:cs="Arial"/>
        </w:rPr>
      </w:pPr>
    </w:p>
    <w:p w:rsidRPr="00EB0A4D" w:rsidR="008F48A4" w:rsidP="008F48A4" w:rsidRDefault="008F48A4" w14:paraId="76C9FE22" w14:textId="77777777">
      <w:pPr>
        <w:spacing w:after="0" w:line="276" w:lineRule="auto"/>
        <w:contextualSpacing/>
        <w:jc w:val="both"/>
        <w:rPr>
          <w:rFonts w:ascii="Arial" w:hAnsi="Arial" w:eastAsia="Calibri" w:cs="Arial"/>
        </w:rPr>
      </w:pPr>
      <w:r w:rsidRPr="00EB0A4D">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su consulta recibida el </w:t>
      </w:r>
      <w:r>
        <w:rPr>
          <w:rFonts w:ascii="Arial" w:hAnsi="Arial" w:eastAsia="Calibri" w:cs="Arial"/>
        </w:rPr>
        <w:t>8</w:t>
      </w:r>
      <w:r w:rsidRPr="00EB0A4D">
        <w:rPr>
          <w:rFonts w:ascii="Arial" w:hAnsi="Arial" w:eastAsia="Calibri" w:cs="Arial"/>
        </w:rPr>
        <w:t xml:space="preserve"> de</w:t>
      </w:r>
      <w:r>
        <w:rPr>
          <w:rFonts w:ascii="Arial" w:hAnsi="Arial" w:eastAsia="Calibri" w:cs="Arial"/>
        </w:rPr>
        <w:t xml:space="preserve"> junio</w:t>
      </w:r>
      <w:r w:rsidRPr="00EB0A4D">
        <w:rPr>
          <w:rFonts w:ascii="Arial" w:hAnsi="Arial" w:eastAsia="Calibri" w:cs="Arial"/>
        </w:rPr>
        <w:t xml:space="preserve"> de 2023.</w:t>
      </w:r>
    </w:p>
    <w:p w:rsidRPr="00EB0A4D" w:rsidR="008F48A4" w:rsidP="008F48A4" w:rsidRDefault="008F48A4" w14:paraId="3E27673F" w14:textId="77777777">
      <w:pPr>
        <w:spacing w:after="0" w:line="276" w:lineRule="auto"/>
        <w:contextualSpacing/>
        <w:jc w:val="both"/>
        <w:rPr>
          <w:rFonts w:ascii="Arial" w:hAnsi="Arial" w:eastAsia="Calibri" w:cs="Arial"/>
        </w:rPr>
      </w:pPr>
    </w:p>
    <w:p w:rsidRPr="00EB0A4D" w:rsidR="008F48A4" w:rsidP="008F48A4" w:rsidRDefault="008F48A4" w14:paraId="08B0B056" w14:textId="77777777">
      <w:pPr>
        <w:tabs>
          <w:tab w:val="left" w:pos="284"/>
        </w:tabs>
        <w:spacing w:after="0" w:line="276" w:lineRule="auto"/>
        <w:contextualSpacing/>
        <w:jc w:val="both"/>
        <w:rPr>
          <w:rFonts w:ascii="Arial" w:hAnsi="Arial" w:eastAsia="Calibri" w:cs="Arial"/>
          <w:b/>
        </w:rPr>
      </w:pPr>
      <w:r w:rsidRPr="00EB0A4D">
        <w:rPr>
          <w:rFonts w:ascii="Arial" w:hAnsi="Arial" w:eastAsia="Calibri" w:cs="Arial"/>
          <w:b/>
        </w:rPr>
        <w:t xml:space="preserve">1. Problema planteado </w:t>
      </w:r>
    </w:p>
    <w:p w:rsidRPr="00EB0A4D" w:rsidR="008F48A4" w:rsidP="008F48A4" w:rsidRDefault="008F48A4" w14:paraId="7D697B8D" w14:textId="77777777">
      <w:pPr>
        <w:tabs>
          <w:tab w:val="left" w:pos="284"/>
        </w:tabs>
        <w:spacing w:after="0" w:line="276" w:lineRule="auto"/>
        <w:ind w:firstLine="709"/>
        <w:contextualSpacing/>
        <w:jc w:val="both"/>
        <w:rPr>
          <w:rFonts w:ascii="Arial" w:hAnsi="Arial" w:eastAsia="Calibri" w:cs="Arial"/>
          <w:b/>
        </w:rPr>
      </w:pPr>
    </w:p>
    <w:p w:rsidRPr="00EB0A4D" w:rsidR="008F48A4" w:rsidP="008F48A4" w:rsidRDefault="008F48A4" w14:paraId="52B5C5C9" w14:textId="77777777">
      <w:pPr>
        <w:spacing w:after="0" w:line="276" w:lineRule="auto"/>
        <w:contextualSpacing/>
        <w:jc w:val="both"/>
        <w:rPr>
          <w:rFonts w:ascii="Arial" w:hAnsi="Arial" w:eastAsia="Calibri" w:cs="Arial"/>
        </w:rPr>
      </w:pPr>
      <w:bookmarkStart w:name="_Hlk58917991" w:id="0"/>
      <w:bookmarkStart w:name="_Hlk56103000" w:id="1"/>
      <w:r w:rsidRPr="00EB0A4D">
        <w:rPr>
          <w:rFonts w:ascii="Arial" w:hAnsi="Arial" w:eastAsia="Calibri" w:cs="Arial"/>
        </w:rPr>
        <w:t xml:space="preserve">En relación con las restricciones de la Ley Garantías, Ley 996 de 2005, </w:t>
      </w:r>
      <w:r>
        <w:rPr>
          <w:rFonts w:ascii="Arial" w:hAnsi="Arial" w:eastAsia="Calibri" w:cs="Arial"/>
        </w:rPr>
        <w:t>para el año 2023</w:t>
      </w:r>
      <w:r w:rsidRPr="00EB0A4D">
        <w:rPr>
          <w:rFonts w:ascii="Arial" w:hAnsi="Arial" w:eastAsia="Calibri" w:cs="Arial"/>
        </w:rPr>
        <w:t xml:space="preserve"> usted plantea la</w:t>
      </w:r>
      <w:r>
        <w:rPr>
          <w:rFonts w:ascii="Arial" w:hAnsi="Arial" w:eastAsia="Calibri" w:cs="Arial"/>
        </w:rPr>
        <w:t>s</w:t>
      </w:r>
      <w:r w:rsidRPr="00EB0A4D">
        <w:rPr>
          <w:rFonts w:ascii="Arial" w:hAnsi="Arial" w:eastAsia="Calibri" w:cs="Arial"/>
        </w:rPr>
        <w:t xml:space="preserve"> siguiente</w:t>
      </w:r>
      <w:r>
        <w:rPr>
          <w:rFonts w:ascii="Arial" w:hAnsi="Arial" w:eastAsia="Calibri" w:cs="Arial"/>
        </w:rPr>
        <w:t>s</w:t>
      </w:r>
      <w:r w:rsidRPr="00EB0A4D">
        <w:rPr>
          <w:rFonts w:ascii="Arial" w:hAnsi="Arial" w:eastAsia="Calibri" w:cs="Arial"/>
        </w:rPr>
        <w:t xml:space="preserve"> </w:t>
      </w:r>
      <w:r>
        <w:rPr>
          <w:rFonts w:ascii="Arial" w:hAnsi="Arial" w:eastAsia="Calibri" w:cs="Arial"/>
        </w:rPr>
        <w:t>preguntas</w:t>
      </w:r>
      <w:r w:rsidRPr="00EB0A4D">
        <w:rPr>
          <w:rFonts w:ascii="Arial" w:hAnsi="Arial" w:eastAsia="Calibri" w:cs="Arial"/>
        </w:rPr>
        <w:t xml:space="preserve">: </w:t>
      </w:r>
      <w:bookmarkStart w:name="_Hlk116284008" w:id="2"/>
    </w:p>
    <w:p w:rsidRPr="00EB0A4D" w:rsidR="008F48A4" w:rsidP="008F48A4" w:rsidRDefault="008F48A4" w14:paraId="227189B6" w14:textId="77777777">
      <w:pPr>
        <w:spacing w:after="0" w:line="276" w:lineRule="auto"/>
        <w:contextualSpacing/>
        <w:jc w:val="both"/>
        <w:rPr>
          <w:rFonts w:ascii="Arial" w:hAnsi="Arial" w:eastAsia="Calibri" w:cs="Arial"/>
        </w:rPr>
      </w:pPr>
    </w:p>
    <w:p w:rsidRPr="00196CAD" w:rsidR="008F48A4" w:rsidP="008F48A4" w:rsidRDefault="008F48A4" w14:paraId="78BCCED9" w14:textId="77777777">
      <w:pPr>
        <w:spacing w:before="120" w:after="0" w:line="240" w:lineRule="auto"/>
        <w:ind w:left="709" w:right="709"/>
        <w:contextualSpacing/>
        <w:jc w:val="both"/>
        <w:rPr>
          <w:rFonts w:ascii="Arial" w:hAnsi="Arial" w:eastAsia="Calibri" w:cs="Arial"/>
          <w:sz w:val="21"/>
          <w:szCs w:val="21"/>
          <w:lang w:val="es-MX"/>
        </w:rPr>
      </w:pPr>
      <w:bookmarkStart w:name="_Hlk133573383" w:id="3"/>
      <w:r w:rsidRPr="00EB0A4D">
        <w:rPr>
          <w:rFonts w:ascii="Arial" w:hAnsi="Arial" w:eastAsia="Calibri" w:cs="Arial"/>
          <w:sz w:val="21"/>
          <w:szCs w:val="21"/>
          <w:lang w:val="es-MX"/>
        </w:rPr>
        <w:t>“</w:t>
      </w:r>
      <w:r w:rsidRPr="00196CAD">
        <w:rPr>
          <w:rFonts w:ascii="Arial" w:hAnsi="Arial" w:eastAsia="Calibri" w:cs="Arial"/>
          <w:sz w:val="21"/>
          <w:szCs w:val="21"/>
          <w:lang w:val="es-MX"/>
        </w:rPr>
        <w:t>1. Si la restricción prevista en el parágrafo del artículo 38 de la Ley 996 de 2005,</w:t>
      </w:r>
    </w:p>
    <w:p w:rsidR="008F48A4" w:rsidP="008F48A4" w:rsidRDefault="008F48A4" w14:paraId="7E5862D3" w14:textId="77777777">
      <w:pPr>
        <w:spacing w:before="120" w:after="0" w:line="240" w:lineRule="auto"/>
        <w:ind w:left="709" w:right="709"/>
        <w:contextualSpacing/>
        <w:jc w:val="both"/>
        <w:rPr>
          <w:rFonts w:ascii="Arial" w:hAnsi="Arial" w:eastAsia="Calibri" w:cs="Arial"/>
          <w:sz w:val="21"/>
          <w:szCs w:val="21"/>
          <w:lang w:val="es-MX"/>
        </w:rPr>
      </w:pPr>
      <w:r w:rsidRPr="00196CAD">
        <w:rPr>
          <w:rFonts w:ascii="Arial" w:hAnsi="Arial" w:eastAsia="Calibri" w:cs="Arial"/>
          <w:sz w:val="21"/>
          <w:szCs w:val="21"/>
          <w:lang w:val="es-MX"/>
        </w:rPr>
        <w:t>para celebrar convenios y contratos interadministrativos por las elecciones territoriales</w:t>
      </w:r>
      <w:r>
        <w:rPr>
          <w:rFonts w:ascii="Arial" w:hAnsi="Arial" w:eastAsia="Calibri" w:cs="Arial"/>
          <w:sz w:val="21"/>
          <w:szCs w:val="21"/>
          <w:lang w:val="es-MX"/>
        </w:rPr>
        <w:t xml:space="preserve"> </w:t>
      </w:r>
      <w:r w:rsidRPr="00196CAD">
        <w:rPr>
          <w:rFonts w:ascii="Arial" w:hAnsi="Arial" w:eastAsia="Calibri" w:cs="Arial"/>
          <w:sz w:val="21"/>
          <w:szCs w:val="21"/>
          <w:lang w:val="es-MX"/>
        </w:rPr>
        <w:t>a realizar este año, le son aplicables a los convenios ENTRE UNA ENTIDAD PUBLICA</w:t>
      </w:r>
      <w:r>
        <w:rPr>
          <w:rFonts w:ascii="Arial" w:hAnsi="Arial" w:eastAsia="Calibri" w:cs="Arial"/>
          <w:sz w:val="21"/>
          <w:szCs w:val="21"/>
          <w:lang w:val="es-MX"/>
        </w:rPr>
        <w:t xml:space="preserve"> </w:t>
      </w:r>
      <w:r w:rsidRPr="00196CAD">
        <w:rPr>
          <w:rFonts w:ascii="Arial" w:hAnsi="Arial" w:eastAsia="Calibri" w:cs="Arial"/>
          <w:sz w:val="21"/>
          <w:szCs w:val="21"/>
          <w:lang w:val="es-MX"/>
        </w:rPr>
        <w:t>Y UNA EMPRESA DE SERVICIOS PÚBLICOS cuyo capital corresponde el 80% al</w:t>
      </w:r>
      <w:r>
        <w:rPr>
          <w:rFonts w:ascii="Arial" w:hAnsi="Arial" w:eastAsia="Calibri" w:cs="Arial"/>
          <w:sz w:val="21"/>
          <w:szCs w:val="21"/>
          <w:lang w:val="es-MX"/>
        </w:rPr>
        <w:t xml:space="preserve"> </w:t>
      </w:r>
      <w:r w:rsidRPr="00196CAD">
        <w:rPr>
          <w:rFonts w:ascii="Arial" w:hAnsi="Arial" w:eastAsia="Calibri" w:cs="Arial"/>
          <w:sz w:val="21"/>
          <w:szCs w:val="21"/>
          <w:lang w:val="es-MX"/>
        </w:rPr>
        <w:t>estado y el 20% a particulares?</w:t>
      </w:r>
    </w:p>
    <w:p w:rsidR="008F48A4" w:rsidP="008F48A4" w:rsidRDefault="008F48A4" w14:paraId="1FD42C92" w14:textId="77777777">
      <w:pPr>
        <w:spacing w:before="120" w:after="0" w:line="240" w:lineRule="auto"/>
        <w:ind w:left="709" w:right="709"/>
        <w:contextualSpacing/>
        <w:jc w:val="both"/>
        <w:rPr>
          <w:rFonts w:ascii="Arial" w:hAnsi="Arial" w:eastAsia="Calibri" w:cs="Arial"/>
          <w:sz w:val="21"/>
          <w:szCs w:val="21"/>
          <w:lang w:val="es-MX"/>
        </w:rPr>
      </w:pPr>
    </w:p>
    <w:p w:rsidR="008F48A4" w:rsidP="008F48A4" w:rsidRDefault="008F48A4" w14:paraId="29BE9084" w14:textId="77777777">
      <w:pPr>
        <w:spacing w:before="120" w:after="0" w:line="240" w:lineRule="auto"/>
        <w:ind w:left="709" w:right="709"/>
        <w:contextualSpacing/>
        <w:jc w:val="both"/>
        <w:rPr>
          <w:rFonts w:ascii="Arial" w:hAnsi="Arial" w:eastAsia="Calibri" w:cs="Arial"/>
          <w:sz w:val="21"/>
          <w:szCs w:val="21"/>
          <w:lang w:val="es-MX"/>
        </w:rPr>
      </w:pPr>
      <w:r>
        <w:rPr>
          <w:rFonts w:ascii="Arial" w:hAnsi="Arial" w:eastAsia="Calibri" w:cs="Arial"/>
          <w:sz w:val="21"/>
          <w:szCs w:val="21"/>
          <w:lang w:val="es-MX"/>
        </w:rPr>
        <w:t xml:space="preserve">[…] </w:t>
      </w:r>
    </w:p>
    <w:p w:rsidRPr="00196CAD" w:rsidR="008F48A4" w:rsidP="008F48A4" w:rsidRDefault="008F48A4" w14:paraId="0EBAE9A1" w14:textId="77777777">
      <w:pPr>
        <w:spacing w:before="120" w:after="0" w:line="240" w:lineRule="auto"/>
        <w:ind w:left="709" w:right="709"/>
        <w:contextualSpacing/>
        <w:jc w:val="both"/>
        <w:rPr>
          <w:rFonts w:ascii="Arial" w:hAnsi="Arial" w:eastAsia="Calibri" w:cs="Arial"/>
          <w:sz w:val="21"/>
          <w:szCs w:val="21"/>
          <w:lang w:val="es-MX"/>
        </w:rPr>
      </w:pPr>
    </w:p>
    <w:p w:rsidRPr="00196CAD" w:rsidR="008F48A4" w:rsidP="008F48A4" w:rsidRDefault="008F48A4" w14:paraId="33A17884" w14:textId="77777777">
      <w:pPr>
        <w:spacing w:before="120" w:after="0" w:line="240" w:lineRule="auto"/>
        <w:ind w:left="709" w:right="709"/>
        <w:contextualSpacing/>
        <w:jc w:val="both"/>
        <w:rPr>
          <w:rFonts w:ascii="Arial" w:hAnsi="Arial" w:eastAsia="Calibri" w:cs="Arial"/>
          <w:sz w:val="21"/>
          <w:szCs w:val="21"/>
          <w:lang w:val="es-MX"/>
        </w:rPr>
      </w:pPr>
      <w:r w:rsidRPr="00196CAD">
        <w:rPr>
          <w:rFonts w:ascii="Arial" w:hAnsi="Arial" w:eastAsia="Calibri" w:cs="Arial"/>
          <w:sz w:val="21"/>
          <w:szCs w:val="21"/>
          <w:lang w:val="es-MX"/>
        </w:rPr>
        <w:t>2. Si la restricción prevista en el parágrafo del artículo 38 de la Ley 996 de 2005,</w:t>
      </w:r>
    </w:p>
    <w:p w:rsidRPr="007D44EB" w:rsidR="008F48A4" w:rsidP="008F48A4" w:rsidRDefault="008F48A4" w14:paraId="54992E2D" w14:textId="77777777">
      <w:pPr>
        <w:spacing w:before="120" w:after="0" w:line="240" w:lineRule="auto"/>
        <w:ind w:left="709" w:right="709"/>
        <w:contextualSpacing/>
        <w:jc w:val="both"/>
        <w:rPr>
          <w:rFonts w:ascii="Arial" w:hAnsi="Arial" w:eastAsia="Calibri" w:cs="Arial"/>
          <w:sz w:val="21"/>
          <w:szCs w:val="21"/>
          <w:lang w:val="es-MX"/>
        </w:rPr>
      </w:pPr>
      <w:r w:rsidRPr="00196CAD">
        <w:rPr>
          <w:rFonts w:ascii="Arial" w:hAnsi="Arial" w:eastAsia="Calibri" w:cs="Arial"/>
          <w:sz w:val="21"/>
          <w:szCs w:val="21"/>
          <w:lang w:val="es-MX"/>
        </w:rPr>
        <w:t>para celebrar convenios y contratos interadministrativos por las elecciones territoriales</w:t>
      </w:r>
      <w:r>
        <w:rPr>
          <w:rFonts w:ascii="Arial" w:hAnsi="Arial" w:eastAsia="Calibri" w:cs="Arial"/>
          <w:sz w:val="21"/>
          <w:szCs w:val="21"/>
          <w:lang w:val="es-MX"/>
        </w:rPr>
        <w:t xml:space="preserve"> </w:t>
      </w:r>
      <w:r w:rsidRPr="00196CAD">
        <w:rPr>
          <w:rFonts w:ascii="Arial" w:hAnsi="Arial" w:eastAsia="Calibri" w:cs="Arial"/>
          <w:sz w:val="21"/>
          <w:szCs w:val="21"/>
          <w:lang w:val="es-MX"/>
        </w:rPr>
        <w:t xml:space="preserve">a realizar este año, le son aplicables a los convenios entre una ENTIDAD </w:t>
      </w:r>
      <w:proofErr w:type="gramStart"/>
      <w:r w:rsidRPr="00196CAD">
        <w:rPr>
          <w:rFonts w:ascii="Arial" w:hAnsi="Arial" w:eastAsia="Calibri" w:cs="Arial"/>
          <w:sz w:val="21"/>
          <w:szCs w:val="21"/>
          <w:lang w:val="es-MX"/>
        </w:rPr>
        <w:t>PUBLICA,UN</w:t>
      </w:r>
      <w:proofErr w:type="gramEnd"/>
      <w:r w:rsidRPr="00196CAD">
        <w:rPr>
          <w:rFonts w:ascii="Arial" w:hAnsi="Arial" w:eastAsia="Calibri" w:cs="Arial"/>
          <w:sz w:val="21"/>
          <w:szCs w:val="21"/>
          <w:lang w:val="es-MX"/>
        </w:rPr>
        <w:t xml:space="preserve"> PRIVADO Y ECOPETROL S.A (convenio tripartito)?</w:t>
      </w:r>
      <w:r w:rsidRPr="007D44EB">
        <w:rPr>
          <w:rFonts w:ascii="Arial" w:hAnsi="Arial" w:eastAsia="Calibri" w:cs="Arial"/>
          <w:sz w:val="21"/>
          <w:szCs w:val="21"/>
          <w:lang w:val="es-MX"/>
        </w:rPr>
        <w:t>”</w:t>
      </w:r>
    </w:p>
    <w:p w:rsidRPr="00EB0A4D" w:rsidR="008F48A4" w:rsidP="008F48A4" w:rsidRDefault="008F48A4" w14:paraId="138D6677" w14:textId="77777777">
      <w:pPr>
        <w:spacing w:before="120" w:after="0" w:line="276" w:lineRule="auto"/>
        <w:ind w:left="709" w:right="709"/>
        <w:jc w:val="both"/>
        <w:rPr>
          <w:rFonts w:ascii="Arial" w:hAnsi="Arial" w:eastAsia="Calibri" w:cs="Arial"/>
          <w:sz w:val="21"/>
          <w:szCs w:val="21"/>
          <w:lang w:val="es-MX"/>
        </w:rPr>
      </w:pPr>
    </w:p>
    <w:p w:rsidRPr="00EB0A4D" w:rsidR="008F48A4" w:rsidP="008F48A4" w:rsidRDefault="008F48A4" w14:paraId="32A0AF35" w14:textId="77777777">
      <w:pPr>
        <w:spacing w:after="0" w:line="276" w:lineRule="auto"/>
        <w:ind w:left="709" w:right="709"/>
        <w:jc w:val="both"/>
        <w:rPr>
          <w:rFonts w:ascii="Arial" w:hAnsi="Arial" w:eastAsia="Calibri" w:cs="Arial"/>
          <w:lang w:val="es-ES"/>
        </w:rPr>
      </w:pPr>
    </w:p>
    <w:bookmarkEnd w:id="0"/>
    <w:bookmarkEnd w:id="1"/>
    <w:bookmarkEnd w:id="2"/>
    <w:bookmarkEnd w:id="3"/>
    <w:p w:rsidRPr="00EB0A4D" w:rsidR="008F48A4" w:rsidP="008F48A4" w:rsidRDefault="008F48A4" w14:paraId="596E6523" w14:textId="77777777">
      <w:pPr>
        <w:tabs>
          <w:tab w:val="left" w:pos="284"/>
        </w:tabs>
        <w:spacing w:after="0" w:line="276" w:lineRule="auto"/>
        <w:contextualSpacing/>
        <w:jc w:val="both"/>
        <w:rPr>
          <w:rFonts w:ascii="Arial" w:hAnsi="Arial" w:eastAsia="Calibri" w:cs="Arial"/>
          <w:b/>
        </w:rPr>
      </w:pPr>
      <w:r w:rsidRPr="00EB0A4D">
        <w:rPr>
          <w:rFonts w:ascii="Arial" w:hAnsi="Arial" w:eastAsia="Calibri" w:cs="Arial"/>
          <w:b/>
        </w:rPr>
        <w:t>2. Consideraciones</w:t>
      </w:r>
    </w:p>
    <w:p w:rsidRPr="00EB0A4D" w:rsidR="008F48A4" w:rsidP="008F48A4" w:rsidRDefault="008F48A4" w14:paraId="7B2AC43B" w14:textId="77777777">
      <w:pPr>
        <w:tabs>
          <w:tab w:val="left" w:pos="284"/>
        </w:tabs>
        <w:spacing w:after="0" w:line="276" w:lineRule="auto"/>
        <w:contextualSpacing/>
        <w:jc w:val="both"/>
        <w:rPr>
          <w:rFonts w:ascii="Arial" w:hAnsi="Arial" w:eastAsia="Calibri" w:cs="Arial"/>
          <w:b/>
        </w:rPr>
      </w:pPr>
    </w:p>
    <w:p w:rsidRPr="007D44EB" w:rsidR="008F48A4" w:rsidP="008F48A4" w:rsidRDefault="008F48A4" w14:paraId="32B70771" w14:textId="77777777">
      <w:pPr>
        <w:spacing w:after="120" w:line="276" w:lineRule="auto"/>
        <w:jc w:val="both"/>
        <w:rPr>
          <w:rFonts w:ascii="Arial" w:hAnsi="Arial" w:eastAsia="Times New Roman" w:cs="Arial"/>
          <w:szCs w:val="24"/>
          <w:lang w:val="es-ES_tradnl" w:eastAsia="es-MX"/>
        </w:rPr>
      </w:pPr>
      <w:r w:rsidRPr="007D44EB">
        <w:rPr>
          <w:rFonts w:ascii="Arial" w:hAnsi="Arial" w:eastAsia="Times New Roman" w:cs="Arial"/>
          <w:bCs/>
          <w:szCs w:val="24"/>
          <w:lang w:val="es-ES_tradnl" w:eastAsia="es-MX"/>
        </w:rPr>
        <w:t xml:space="preserve">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name="_Hlk61701014" w:id="4"/>
      <w:r w:rsidRPr="007D44EB">
        <w:rPr>
          <w:rFonts w:ascii="Arial" w:hAnsi="Arial" w:eastAsia="Times New Roman" w:cs="Arial"/>
          <w:szCs w:val="24"/>
          <w:lang w:val="es-ES_tradnl" w:eastAsia="es-MX"/>
        </w:rPr>
        <w:t xml:space="preserve">Es necesario tener en cuenta que </w:t>
      </w:r>
      <w:bookmarkStart w:name="_Hlk61026958" w:id="5"/>
      <w:r w:rsidRPr="007D44EB">
        <w:rPr>
          <w:rFonts w:ascii="Arial" w:hAnsi="Arial" w:eastAsia="Times New Roman" w:cs="Arial"/>
          <w:szCs w:val="24"/>
          <w:lang w:val="es-ES_tradnl" w:eastAsia="es-MX"/>
        </w:rPr>
        <w:t>esta entidad solo tiene competencia para responder solicitudes sobre la aplicación de normas de carácter general en materia de compras y contratación pública. En ese sentido, resolver casos particulares</w:t>
      </w:r>
      <w:r>
        <w:rPr>
          <w:rFonts w:ascii="Arial" w:hAnsi="Arial" w:eastAsia="Times New Roman" w:cs="Arial"/>
          <w:szCs w:val="24"/>
          <w:lang w:val="es-ES_tradnl" w:eastAsia="es-MX"/>
        </w:rPr>
        <w:t xml:space="preserve"> sobre la vinculación de la nómina estatal</w:t>
      </w:r>
      <w:r w:rsidRPr="007D44EB">
        <w:rPr>
          <w:rFonts w:ascii="Arial" w:hAnsi="Arial" w:eastAsia="Times New Roman" w:cs="Arial"/>
          <w:szCs w:val="24"/>
          <w:lang w:val="es-ES_tradnl" w:eastAsia="es-MX"/>
        </w:rPr>
        <w:t xml:space="preserve"> desborda las atribuciones asignadas por el legislador extraordinario, que no concibió a Colombia Compra Eficiente como una autoridad para solucionar problemas jurídicos particulares</w:t>
      </w:r>
      <w:r w:rsidRPr="007D44EB">
        <w:rPr>
          <w:rFonts w:ascii="Arial" w:hAnsi="Arial" w:eastAsia="Times New Roman" w:cs="Arial"/>
          <w:bCs/>
          <w:szCs w:val="24"/>
          <w:lang w:val="es-ES_tradnl" w:eastAsia="es-MX"/>
        </w:rPr>
        <w:t xml:space="preserve"> de todos los partícipes de la contratación estatal.</w:t>
      </w:r>
    </w:p>
    <w:p w:rsidRPr="007D44EB" w:rsidR="008F48A4" w:rsidP="008F48A4" w:rsidRDefault="008F48A4" w14:paraId="32A54534" w14:textId="77777777">
      <w:pPr>
        <w:spacing w:after="120" w:line="276" w:lineRule="auto"/>
        <w:ind w:firstLine="708"/>
        <w:jc w:val="both"/>
        <w:rPr>
          <w:rFonts w:ascii="Arial" w:hAnsi="Arial" w:eastAsia="Times New Roman" w:cs="Arial"/>
          <w:szCs w:val="24"/>
          <w:lang w:val="es-ES_tradnl" w:eastAsia="es-MX"/>
        </w:rPr>
      </w:pPr>
      <w:r w:rsidRPr="007D44EB">
        <w:rPr>
          <w:rFonts w:ascii="Arial" w:hAnsi="Arial" w:eastAsia="Times New Roman" w:cs="Arial"/>
          <w:szCs w:val="24"/>
          <w:lang w:val="es-ES_tradnl"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D44EB">
        <w:rPr>
          <w:rFonts w:ascii="Arial" w:hAnsi="Arial" w:eastAsia="Times New Roman" w:cs="Arial"/>
          <w:szCs w:val="24"/>
          <w:vertAlign w:val="superscript"/>
          <w:lang w:val="es-ES_tradnl" w:eastAsia="es-MX"/>
        </w:rPr>
        <w:footnoteReference w:id="2"/>
      </w:r>
      <w:r w:rsidRPr="007D44EB">
        <w:rPr>
          <w:rFonts w:ascii="Arial" w:hAnsi="Arial" w:eastAsia="Times New Roman" w:cs="Arial"/>
          <w:szCs w:val="24"/>
          <w:lang w:val="es-ES_tradnl"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7D44EB">
        <w:rPr>
          <w:rFonts w:ascii="Arial" w:hAnsi="Arial" w:eastAsia="Times New Roman" w:cs="Arial"/>
          <w:szCs w:val="24"/>
          <w:lang w:val="es-ES_tradnl"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p w:rsidRPr="007D44EB" w:rsidR="008F48A4" w:rsidP="008F48A4" w:rsidRDefault="008F48A4" w14:paraId="095CBCDA" w14:textId="77777777">
      <w:pPr>
        <w:spacing w:after="120" w:line="276" w:lineRule="auto"/>
        <w:ind w:firstLine="708"/>
        <w:jc w:val="both"/>
        <w:rPr>
          <w:rFonts w:ascii="Arial" w:hAnsi="Arial" w:eastAsia="Times New Roman" w:cs="Arial"/>
          <w:bCs/>
          <w:szCs w:val="24"/>
          <w:lang w:val="es-ES_tradnl" w:eastAsia="es-MX"/>
        </w:rPr>
      </w:pPr>
      <w:r w:rsidRPr="007D44EB">
        <w:rPr>
          <w:rFonts w:ascii="Arial" w:hAnsi="Arial" w:eastAsia="Times New Roman" w:cs="Arial"/>
          <w:szCs w:val="24"/>
          <w:lang w:val="es-ES_tradnl" w:eastAsia="es-MX"/>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w:t>
      </w:r>
      <w:r w:rsidRPr="007D44EB">
        <w:rPr>
          <w:rFonts w:ascii="Arial" w:hAnsi="Arial" w:eastAsia="Times New Roman" w:cs="Arial"/>
          <w:szCs w:val="24"/>
          <w:lang w:val="es-ES_tradnl" w:eastAsia="es-MX"/>
        </w:rPr>
        <w:t>de la Ley 1437 de 2011, de acuerdo con el contenido sustituido por la Ley 1755 de 2015, el cual señala “[…]  los conceptos emitidos por las autoridades como respuestas a peticiones realizadas en ejercicio del derecho a formular consultas no serán de obligatorio cumplimiento o ejecución”. E</w:t>
      </w:r>
      <w:r w:rsidRPr="007D44EB">
        <w:rPr>
          <w:rFonts w:ascii="Arial" w:hAnsi="Arial" w:eastAsia="Times New Roman" w:cs="Arial"/>
          <w:bCs/>
          <w:szCs w:val="24"/>
          <w:lang w:val="es-ES_tradnl" w:eastAsia="es-MX"/>
        </w:rPr>
        <w:t xml:space="preserv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w:t>
      </w:r>
      <w:r>
        <w:rPr>
          <w:rFonts w:ascii="Arial" w:hAnsi="Arial" w:eastAsia="Times New Roman" w:cs="Arial"/>
          <w:bCs/>
          <w:szCs w:val="24"/>
          <w:lang w:val="es-ES_tradnl" w:eastAsia="es-MX"/>
        </w:rPr>
        <w:t>p</w:t>
      </w:r>
      <w:r w:rsidRPr="007D44EB">
        <w:rPr>
          <w:rFonts w:ascii="Arial" w:hAnsi="Arial" w:eastAsia="Times New Roman" w:cs="Arial"/>
          <w:szCs w:val="24"/>
          <w:lang w:val="es-ES_tradnl" w:eastAsia="es-MX"/>
        </w:rPr>
        <w:t>ues a la autoridad que emite el concepto no le compete resolver una controversia o prevenir una problemática</w:t>
      </w:r>
      <w:r w:rsidRPr="007D44EB">
        <w:rPr>
          <w:rFonts w:ascii="Arial" w:hAnsi="Arial" w:eastAsia="Times New Roman" w:cs="Arial"/>
          <w:bCs/>
          <w:szCs w:val="24"/>
          <w:lang w:val="es-ES_tradnl" w:eastAsia="es-MX"/>
        </w:rPr>
        <w:t xml:space="preserve">,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w:t>
      </w:r>
      <w:r w:rsidRPr="007D44EB">
        <w:rPr>
          <w:rFonts w:ascii="Arial" w:hAnsi="Arial" w:eastAsia="Times New Roman" w:cs="Arial"/>
          <w:szCs w:val="24"/>
          <w:lang w:val="es-ES_tradnl" w:eastAsia="es-MX"/>
        </w:rPr>
        <w:t>las competencias consultivas no lo permiten</w:t>
      </w:r>
      <w:r w:rsidRPr="007D44EB">
        <w:rPr>
          <w:rFonts w:ascii="Arial" w:hAnsi="Arial" w:eastAsia="Times New Roman" w:cs="Arial"/>
          <w:bCs/>
          <w:szCs w:val="24"/>
          <w:vertAlign w:val="superscript"/>
          <w:lang w:val="es-ES_tradnl" w:eastAsia="es-MX"/>
        </w:rPr>
        <w:footnoteReference w:id="3"/>
      </w:r>
      <w:r w:rsidRPr="007D44EB">
        <w:rPr>
          <w:rFonts w:ascii="Arial" w:hAnsi="Arial" w:eastAsia="Times New Roman" w:cs="Arial"/>
          <w:bCs/>
          <w:szCs w:val="24"/>
          <w:lang w:val="es-ES_tradnl" w:eastAsia="es-MX"/>
        </w:rPr>
        <w:t>.</w:t>
      </w:r>
    </w:p>
    <w:p w:rsidRPr="00AA75C5" w:rsidR="008F48A4" w:rsidP="008F48A4" w:rsidRDefault="008F48A4" w14:paraId="45C5AC52" w14:textId="141EB982">
      <w:pPr>
        <w:spacing w:before="120" w:after="120" w:line="276" w:lineRule="auto"/>
        <w:ind w:firstLine="708"/>
        <w:jc w:val="both"/>
        <w:rPr>
          <w:rFonts w:ascii="Arial" w:hAnsi="Arial" w:cs="Arial"/>
          <w:bCs/>
        </w:rPr>
      </w:pPr>
      <w:r w:rsidRPr="007D44EB">
        <w:rPr>
          <w:rFonts w:ascii="Arial" w:hAnsi="Arial" w:eastAsia="Times New Roman" w:cs="Arial"/>
          <w:szCs w:val="24"/>
          <w:lang w:val="es-ES_tradnl" w:eastAsia="es-MX"/>
        </w:rPr>
        <w:t xml:space="preserve">Conforme a lo anterior, dentro de los límites de las atribuciones de la función consultiva atribuida a esta entidad, esto es, interpretando de manera general las normas relevantes, la Agencia absolverá </w:t>
      </w:r>
      <w:r>
        <w:rPr>
          <w:rFonts w:ascii="Arial" w:hAnsi="Arial" w:eastAsia="Times New Roman" w:cs="Arial"/>
          <w:szCs w:val="24"/>
          <w:lang w:val="es-ES_tradnl" w:eastAsia="es-MX"/>
        </w:rPr>
        <w:t xml:space="preserve">el </w:t>
      </w:r>
      <w:r w:rsidRPr="007D44EB">
        <w:rPr>
          <w:rFonts w:ascii="Arial" w:hAnsi="Arial" w:eastAsia="Times New Roman" w:cs="Arial"/>
          <w:szCs w:val="24"/>
          <w:lang w:val="es-ES_tradnl" w:eastAsia="es-MX"/>
        </w:rPr>
        <w:t>interrogante formulado, previo análisis de los siguientes temas:</w:t>
      </w:r>
      <w:r>
        <w:rPr>
          <w:rFonts w:ascii="Arial" w:hAnsi="Arial" w:cs="Arial"/>
          <w:bCs/>
        </w:rPr>
        <w:t xml:space="preserve"> </w:t>
      </w:r>
      <w:r w:rsidRPr="00EB0A4D">
        <w:rPr>
          <w:rFonts w:ascii="Arial" w:hAnsi="Arial" w:eastAsia="Calibri" w:cs="Arial"/>
          <w:lang w:val="es-ES_tradnl" w:eastAsia="es-MX"/>
        </w:rPr>
        <w:t>i) definición y finalidad de la Ley de Garantías Electorales</w:t>
      </w:r>
      <w:r>
        <w:rPr>
          <w:rFonts w:ascii="Arial" w:hAnsi="Arial" w:eastAsia="Calibri" w:cs="Arial"/>
          <w:lang w:val="es-ES_tradnl" w:eastAsia="es-MX"/>
        </w:rPr>
        <w:t xml:space="preserve"> y </w:t>
      </w:r>
      <w:r w:rsidRPr="00EB0A4D">
        <w:rPr>
          <w:rFonts w:ascii="Arial" w:hAnsi="Arial" w:eastAsia="Calibri" w:cs="Arial"/>
          <w:lang w:val="es-ES_tradnl" w:eastAsia="es-MX"/>
        </w:rPr>
        <w:t>ii) restricciones para la celebración de contratos y convenios interadministrativos en los comicios para cargos de elección popular</w:t>
      </w:r>
      <w:r>
        <w:rPr>
          <w:rFonts w:ascii="Arial" w:hAnsi="Arial" w:eastAsia="Calibri" w:cs="Arial"/>
          <w:lang w:val="es-ES_tradnl" w:eastAsia="es-MX"/>
        </w:rPr>
        <w:t>.</w:t>
      </w:r>
    </w:p>
    <w:p w:rsidRPr="00EB0A4D" w:rsidR="008F48A4" w:rsidP="008F48A4" w:rsidRDefault="008F48A4" w14:paraId="4B709750" w14:textId="57239E66">
      <w:pPr>
        <w:spacing w:after="0" w:line="276" w:lineRule="auto"/>
        <w:ind w:firstLine="709"/>
        <w:jc w:val="both"/>
        <w:rPr>
          <w:rFonts w:ascii="Arial" w:hAnsi="Arial" w:eastAsia="Arial" w:cs="Arial"/>
          <w:lang w:val="es-MX" w:eastAsia="es-ES_tradnl"/>
        </w:rPr>
      </w:pPr>
      <w:r w:rsidRPr="00EB0A4D">
        <w:rPr>
          <w:rFonts w:ascii="Arial" w:hAnsi="Arial" w:eastAsia="Times New Roman" w:cs="Arial"/>
          <w:lang w:eastAsia="es-ES_tradnl"/>
        </w:rPr>
        <w:t xml:space="preserve">La Agencia Nacional de Contratación Pública – Colombia Compra Eficiente </w:t>
      </w:r>
      <w:r w:rsidRPr="00EB0A4D">
        <w:rPr>
          <w:rFonts w:ascii="Arial" w:hAnsi="Arial" w:eastAsia="Arial" w:cs="Arial"/>
          <w:lang w:val="es-MX" w:eastAsia="es-ES_tradnl"/>
        </w:rPr>
        <w:t xml:space="preserve">ha analizado diferentes aspectos de la Ley 996 de 2005 en los conceptos con número de radicado </w:t>
      </w:r>
      <w:r w:rsidRPr="00EB0A4D">
        <w:rPr>
          <w:rFonts w:ascii="Arial" w:hAnsi="Arial" w:eastAsia="Calibri" w:cs="Arial"/>
          <w:bCs/>
        </w:rPr>
        <w:t>C-099 del 22 de marzo de 2022, C-102 del 22 de marzo de 2022, C-107 del 18 de marzo de 2022, C-111 del 22 de marzo de 2022. C-115 del 22 de marzo de 2022, C-116 del 18 de marzo de 2022, C-127 del 22 de marzo de 2022</w:t>
      </w:r>
      <w:r>
        <w:rPr>
          <w:rFonts w:ascii="Arial" w:hAnsi="Arial" w:eastAsia="Calibri" w:cs="Arial"/>
          <w:bCs/>
        </w:rPr>
        <w:t xml:space="preserve">, </w:t>
      </w:r>
      <w:r w:rsidRPr="00EB0A4D">
        <w:rPr>
          <w:rFonts w:ascii="Arial" w:hAnsi="Arial" w:eastAsia="Calibri" w:cs="Arial"/>
          <w:bCs/>
        </w:rPr>
        <w:t>C-164 del 22 de marzo de 2022</w:t>
      </w:r>
      <w:r>
        <w:rPr>
          <w:rFonts w:ascii="Arial" w:hAnsi="Arial" w:eastAsia="Calibri" w:cs="Arial"/>
          <w:bCs/>
        </w:rPr>
        <w:t>,</w:t>
      </w:r>
      <w:r w:rsidR="00064D93">
        <w:rPr>
          <w:rFonts w:ascii="Arial" w:hAnsi="Arial" w:eastAsia="Calibri" w:cs="Arial"/>
          <w:bCs/>
        </w:rPr>
        <w:t xml:space="preserve"> </w:t>
      </w:r>
      <w:r>
        <w:rPr>
          <w:rFonts w:ascii="Arial" w:hAnsi="Arial" w:eastAsia="Calibri" w:cs="Arial"/>
          <w:bCs/>
        </w:rPr>
        <w:t>C-075 del 25 de abril de 2023 y C-105 del 28 de abril de 2023</w:t>
      </w:r>
      <w:r w:rsidRPr="00EB0A4D">
        <w:rPr>
          <w:rFonts w:ascii="Arial" w:hAnsi="Arial" w:eastAsia="Calibri" w:cs="Arial"/>
          <w:bCs/>
          <w:vertAlign w:val="superscript"/>
        </w:rPr>
        <w:footnoteReference w:id="4"/>
      </w:r>
      <w:r w:rsidRPr="00EB0A4D">
        <w:rPr>
          <w:rFonts w:ascii="Arial" w:hAnsi="Arial" w:eastAsia="Calibri" w:cs="Arial"/>
          <w:lang w:val="es-ES_tradnl"/>
        </w:rPr>
        <w:t>.</w:t>
      </w:r>
      <w:r w:rsidRPr="00EB0A4D">
        <w:rPr>
          <w:rFonts w:ascii="Arial" w:hAnsi="Arial" w:eastAsia="Arial" w:cs="Arial"/>
          <w:lang w:val="es-MX" w:eastAsia="es-ES_tradnl"/>
        </w:rPr>
        <w:t xml:space="preserve"> </w:t>
      </w:r>
      <w:r w:rsidRPr="00EB0A4D">
        <w:rPr>
          <w:rFonts w:ascii="Arial" w:hAnsi="Arial" w:eastAsia="Calibri" w:cs="Arial"/>
          <w:lang w:val="es-ES_tradnl" w:eastAsia="es-ES_tradnl"/>
        </w:rPr>
        <w:t xml:space="preserve">Algunas de las </w:t>
      </w:r>
      <w:r w:rsidRPr="00EB0A4D">
        <w:rPr>
          <w:rFonts w:ascii="Arial" w:hAnsi="Arial" w:eastAsia="Calibri" w:cs="Arial"/>
          <w:lang w:val="es-ES_tradnl" w:eastAsia="es-ES_tradnl"/>
        </w:rPr>
        <w:t>consideraciones de estos conceptos se reiteran y se complementan en lo pertinente, teniendo en cuenta lo consultado.</w:t>
      </w:r>
    </w:p>
    <w:p w:rsidRPr="00EB0A4D" w:rsidR="008F48A4" w:rsidP="008F48A4" w:rsidRDefault="008F48A4" w14:paraId="3969A384" w14:textId="77777777">
      <w:pPr>
        <w:spacing w:after="0" w:line="276" w:lineRule="auto"/>
        <w:ind w:firstLine="709"/>
        <w:jc w:val="both"/>
        <w:rPr>
          <w:rFonts w:ascii="Arial" w:hAnsi="Arial" w:eastAsia="Times New Roman" w:cs="Arial"/>
          <w:b/>
          <w:bCs/>
          <w:iCs/>
          <w:szCs w:val="24"/>
          <w:lang w:val="es-ES_tradnl" w:eastAsia="es-ES_tradnl"/>
        </w:rPr>
      </w:pPr>
    </w:p>
    <w:p w:rsidRPr="00EB0A4D" w:rsidR="008F48A4" w:rsidP="008F48A4" w:rsidRDefault="008F48A4" w14:paraId="24B2D56C" w14:textId="77777777">
      <w:pPr>
        <w:spacing w:after="0" w:line="276" w:lineRule="auto"/>
        <w:jc w:val="both"/>
        <w:rPr>
          <w:rFonts w:ascii="Arial" w:hAnsi="Arial" w:eastAsia="Times New Roman" w:cs="Arial"/>
          <w:b/>
          <w:bCs/>
          <w:iCs/>
          <w:szCs w:val="24"/>
          <w:lang w:val="es-ES_tradnl" w:eastAsia="es-ES_tradnl"/>
        </w:rPr>
      </w:pPr>
      <w:r w:rsidRPr="00EB0A4D">
        <w:rPr>
          <w:rFonts w:ascii="Arial" w:hAnsi="Arial" w:eastAsia="Times New Roman" w:cs="Arial"/>
          <w:b/>
          <w:bCs/>
          <w:iCs/>
          <w:szCs w:val="24"/>
          <w:lang w:val="es-ES_tradnl" w:eastAsia="es-ES_tradnl"/>
        </w:rPr>
        <w:t>2.1. Definición y finalidad de la Ley de Garantías Electorales. Reiteración de línea</w:t>
      </w:r>
    </w:p>
    <w:p w:rsidRPr="00EB0A4D" w:rsidR="008F48A4" w:rsidP="008F48A4" w:rsidRDefault="008F48A4" w14:paraId="7BB25B3C" w14:textId="77777777">
      <w:pPr>
        <w:spacing w:after="0" w:line="240" w:lineRule="auto"/>
        <w:ind w:firstLine="709"/>
        <w:jc w:val="both"/>
        <w:rPr>
          <w:rFonts w:ascii="Arial" w:hAnsi="Arial" w:eastAsia="Times New Roman" w:cs="Arial"/>
          <w:iCs/>
          <w:szCs w:val="24"/>
          <w:lang w:val="es-ES_tradnl" w:eastAsia="es-ES_tradnl"/>
        </w:rPr>
      </w:pPr>
    </w:p>
    <w:p w:rsidRPr="00EB0A4D" w:rsidR="008F48A4" w:rsidP="008F48A4" w:rsidRDefault="008F48A4" w14:paraId="0463062F" w14:textId="77777777">
      <w:pPr>
        <w:spacing w:after="0" w:line="276" w:lineRule="auto"/>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w:t>
      </w:r>
      <w:r>
        <w:rPr>
          <w:rFonts w:ascii="Arial" w:hAnsi="Arial" w:eastAsia="Times New Roman" w:cs="Arial"/>
          <w:iCs/>
          <w:szCs w:val="24"/>
          <w:lang w:val="es-ES_tradnl" w:eastAsia="es-ES_tradnl"/>
        </w:rPr>
        <w:t>uanto</w:t>
      </w:r>
      <w:r w:rsidRPr="00EB0A4D">
        <w:rPr>
          <w:rFonts w:ascii="Arial" w:hAnsi="Arial" w:eastAsia="Times New Roman" w:cs="Arial"/>
          <w:iCs/>
          <w:szCs w:val="24"/>
          <w:lang w:val="es-ES_tradnl" w:eastAsia="es-ES_tradnl"/>
        </w:rPr>
        <w:t xml:space="preserve"> a aspectos políticos, consagra restricciones a ciertos empleados del Estado, incluso en época no electoral</w:t>
      </w:r>
      <w:r w:rsidRPr="00EB0A4D">
        <w:rPr>
          <w:rFonts w:ascii="Arial" w:hAnsi="Arial" w:eastAsia="Calibri" w:cs="Arial"/>
          <w:bCs/>
          <w:vertAlign w:val="superscript"/>
          <w:lang w:val="es-MX"/>
        </w:rPr>
        <w:footnoteReference w:id="5"/>
      </w:r>
      <w:r w:rsidRPr="00EB0A4D">
        <w:rPr>
          <w:rFonts w:ascii="Arial" w:hAnsi="Arial" w:eastAsia="Calibri" w:cs="Arial"/>
          <w:bCs/>
          <w:lang w:val="es-MX"/>
        </w:rPr>
        <w:t>.</w:t>
      </w:r>
    </w:p>
    <w:p w:rsidRPr="00EB0A4D" w:rsidR="008F48A4" w:rsidP="008F48A4" w:rsidRDefault="008F48A4" w14:paraId="65F0F670"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EB0A4D">
        <w:rPr>
          <w:rFonts w:ascii="Arial" w:hAnsi="Arial" w:cs="Arial"/>
          <w:bCs/>
          <w:vertAlign w:val="superscript"/>
          <w:lang w:eastAsia="es-CO"/>
        </w:rPr>
        <w:footnoteReference w:id="6"/>
      </w:r>
      <w:r w:rsidRPr="00EB0A4D">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rsidRPr="00EB0A4D" w:rsidR="008F48A4" w:rsidP="008F48A4" w:rsidRDefault="008F48A4" w14:paraId="682B1DD2" w14:textId="77777777">
      <w:pPr>
        <w:spacing w:after="0" w:line="240" w:lineRule="auto"/>
        <w:ind w:left="709" w:right="709"/>
        <w:contextualSpacing/>
        <w:jc w:val="both"/>
        <w:rPr>
          <w:rFonts w:ascii="Arial" w:hAnsi="Arial" w:cs="Arial"/>
          <w:sz w:val="21"/>
          <w:szCs w:val="21"/>
          <w:lang w:val="es-ES" w:eastAsia="es-CO"/>
        </w:rPr>
      </w:pPr>
    </w:p>
    <w:p w:rsidRPr="00EB0A4D" w:rsidR="008F48A4" w:rsidP="008F48A4" w:rsidRDefault="008F48A4" w14:paraId="5923FA26" w14:textId="77777777">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sz w:val="21"/>
          <w:szCs w:val="21"/>
          <w:lang w:val="es-ES" w:eastAsia="es-CO"/>
        </w:rPr>
        <w:t xml:space="preserve">“[…] </w:t>
      </w:r>
      <w:r w:rsidRPr="00EB0A4D">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rsidRPr="00EB0A4D" w:rsidR="008F48A4" w:rsidP="008F48A4" w:rsidRDefault="008F48A4" w14:paraId="54405D1E" w14:textId="77777777">
      <w:pPr>
        <w:spacing w:before="120" w:after="120" w:line="276" w:lineRule="auto"/>
        <w:ind w:left="709" w:right="709"/>
        <w:jc w:val="both"/>
        <w:rPr>
          <w:rFonts w:ascii="Arial" w:hAnsi="Arial" w:cs="Arial"/>
          <w:bCs/>
          <w:sz w:val="21"/>
          <w:szCs w:val="21"/>
          <w:lang w:val="es-MX" w:eastAsia="es-CO"/>
        </w:rPr>
      </w:pPr>
      <w:r w:rsidRPr="00EB0A4D">
        <w:rPr>
          <w:rFonts w:ascii="Arial" w:hAnsi="Arial" w:cs="Arial"/>
          <w:bCs/>
          <w:sz w:val="21"/>
          <w:szCs w:val="21"/>
          <w:lang w:val="es-MX" w:eastAsia="es-CO"/>
        </w:rPr>
        <w:t xml:space="preserve">[…] </w:t>
      </w:r>
    </w:p>
    <w:p w:rsidRPr="00EB0A4D" w:rsidR="008F48A4" w:rsidP="008F48A4" w:rsidRDefault="008F48A4" w14:paraId="44413585" w14:textId="77777777">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EB0A4D">
        <w:rPr>
          <w:rFonts w:ascii="Arial" w:hAnsi="Arial" w:eastAsia="Calibri" w:cs="Arial"/>
          <w:sz w:val="21"/>
          <w:szCs w:val="21"/>
          <w:vertAlign w:val="superscript"/>
          <w:lang w:val="es-MX"/>
        </w:rPr>
        <w:footnoteReference w:id="7"/>
      </w:r>
      <w:r w:rsidRPr="00EB0A4D">
        <w:rPr>
          <w:rFonts w:ascii="Arial" w:hAnsi="Arial" w:cs="Arial"/>
          <w:bCs/>
          <w:sz w:val="21"/>
          <w:szCs w:val="21"/>
          <w:lang w:val="es-MX" w:eastAsia="es-CO"/>
        </w:rPr>
        <w:t>”.</w:t>
      </w:r>
    </w:p>
    <w:p w:rsidRPr="00EB0A4D" w:rsidR="008F48A4" w:rsidP="008F48A4" w:rsidRDefault="008F48A4" w14:paraId="14AEFF31" w14:textId="77777777">
      <w:pPr>
        <w:spacing w:after="0" w:line="276" w:lineRule="auto"/>
        <w:ind w:left="708" w:right="709"/>
        <w:contextualSpacing/>
        <w:jc w:val="both"/>
        <w:rPr>
          <w:rFonts w:ascii="Arial" w:hAnsi="Arial" w:cs="Arial"/>
          <w:bCs/>
          <w:lang w:val="es-MX" w:eastAsia="es-CO"/>
        </w:rPr>
      </w:pPr>
    </w:p>
    <w:p w:rsidRPr="00EB0A4D" w:rsidR="008F48A4" w:rsidP="008F48A4" w:rsidRDefault="008F48A4" w14:paraId="1880C668" w14:textId="77777777">
      <w:pPr>
        <w:spacing w:after="0" w:line="276" w:lineRule="auto"/>
        <w:contextualSpacing/>
        <w:jc w:val="both"/>
        <w:rPr>
          <w:rFonts w:ascii="Arial" w:hAnsi="Arial" w:cs="Arial"/>
          <w:bCs/>
          <w:lang w:val="es-MX" w:eastAsia="es-CO"/>
        </w:rPr>
      </w:pPr>
      <w:r w:rsidRPr="00EB0A4D">
        <w:rPr>
          <w:rFonts w:ascii="Arial" w:hAnsi="Arial" w:cs="Arial"/>
          <w:bCs/>
          <w:lang w:val="es-MX" w:eastAsia="es-CO"/>
        </w:rPr>
        <w:tab/>
      </w:r>
      <w:r w:rsidRPr="00EB0A4D">
        <w:rPr>
          <w:rFonts w:ascii="Arial" w:hAnsi="Arial" w:cs="Arial"/>
          <w:bCs/>
          <w:lang w:val="es-MX" w:eastAsia="es-CO"/>
        </w:rPr>
        <w:t xml:space="preserve">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w:t>
      </w:r>
      <w:r w:rsidRPr="00AA75C5">
        <w:rPr>
          <w:rFonts w:ascii="Arial" w:hAnsi="Arial" w:cs="Arial"/>
          <w:bCs/>
          <w:u w:val="single"/>
          <w:lang w:val="es-MX" w:eastAsia="es-CO"/>
        </w:rPr>
        <w:t>deben interpretarse restrictivamente</w:t>
      </w:r>
      <w:r w:rsidRPr="00EB0A4D">
        <w:rPr>
          <w:rFonts w:ascii="Arial" w:hAnsi="Arial" w:cs="Arial"/>
          <w:bCs/>
          <w:lang w:val="es-MX" w:eastAsia="es-CO"/>
        </w:rPr>
        <w:t xml:space="preserve">. En efecto, la Sala de Consulta y Servicio del Consejo de Estado, precisó lo siguiente: </w:t>
      </w:r>
    </w:p>
    <w:p w:rsidRPr="00EB0A4D" w:rsidR="008F48A4" w:rsidP="008F48A4" w:rsidRDefault="008F48A4" w14:paraId="1F4841D3" w14:textId="77777777">
      <w:pPr>
        <w:spacing w:after="0" w:line="240" w:lineRule="auto"/>
        <w:ind w:left="709" w:right="709"/>
        <w:contextualSpacing/>
        <w:jc w:val="both"/>
        <w:rPr>
          <w:rFonts w:ascii="Arial" w:hAnsi="Arial" w:cs="Arial"/>
          <w:bCs/>
          <w:sz w:val="21"/>
          <w:szCs w:val="21"/>
          <w:lang w:val="es-MX" w:eastAsia="es-CO"/>
        </w:rPr>
      </w:pPr>
    </w:p>
    <w:p w:rsidRPr="00EB0A4D" w:rsidR="008F48A4" w:rsidP="008F48A4" w:rsidRDefault="008F48A4" w14:paraId="3211FE6A" w14:textId="77777777">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B0A4D">
        <w:rPr>
          <w:rFonts w:ascii="Arial" w:hAnsi="Arial" w:cs="Arial"/>
          <w:bCs/>
          <w:sz w:val="21"/>
          <w:szCs w:val="21"/>
          <w:lang w:val="es-MX" w:eastAsia="es-CO"/>
        </w:rPr>
        <w:t>legis</w:t>
      </w:r>
      <w:proofErr w:type="spellEnd"/>
      <w:r w:rsidRPr="00EB0A4D">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EB0A4D" w:rsidR="008F48A4" w:rsidP="008F48A4" w:rsidRDefault="008F48A4" w14:paraId="7759FC46" w14:textId="77777777">
      <w:pPr>
        <w:spacing w:after="0" w:line="240" w:lineRule="auto"/>
        <w:ind w:left="709" w:right="709"/>
        <w:contextualSpacing/>
        <w:jc w:val="both"/>
        <w:rPr>
          <w:rFonts w:ascii="Arial" w:hAnsi="Arial" w:cs="Arial"/>
          <w:bCs/>
          <w:sz w:val="21"/>
          <w:szCs w:val="21"/>
          <w:lang w:val="es-MX" w:eastAsia="es-CO"/>
        </w:rPr>
      </w:pPr>
    </w:p>
    <w:p w:rsidRPr="00EB0A4D" w:rsidR="008F48A4" w:rsidP="008F48A4" w:rsidRDefault="008F48A4" w14:paraId="52300C7A" w14:textId="77777777">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La jurisprudencia de la Corte Constitucional</w:t>
      </w:r>
      <w:r w:rsidRPr="00EB0A4D">
        <w:rPr>
          <w:rFonts w:ascii="Arial" w:hAnsi="Arial" w:cs="Arial"/>
          <w:bCs/>
          <w:sz w:val="21"/>
          <w:szCs w:val="21"/>
          <w:vertAlign w:val="superscript"/>
          <w:lang w:val="es-MX" w:eastAsia="es-CO"/>
        </w:rPr>
        <w:footnoteReference w:id="8"/>
      </w:r>
      <w:r w:rsidRPr="00EB0A4D">
        <w:rPr>
          <w:rFonts w:ascii="Arial" w:hAnsi="Arial" w:cs="Arial"/>
          <w:bCs/>
          <w:sz w:val="21"/>
          <w:szCs w:val="21"/>
          <w:lang w:val="es-MX" w:eastAsia="es-CO"/>
        </w:rPr>
        <w:t> y del Consejo de Estado</w:t>
      </w:r>
      <w:r w:rsidRPr="00EB0A4D">
        <w:rPr>
          <w:rFonts w:ascii="Arial" w:hAnsi="Arial" w:cs="Arial"/>
          <w:bCs/>
          <w:sz w:val="21"/>
          <w:szCs w:val="21"/>
          <w:vertAlign w:val="superscript"/>
          <w:lang w:val="es-MX" w:eastAsia="es-CO"/>
        </w:rPr>
        <w:footnoteReference w:id="9"/>
      </w:r>
      <w:r w:rsidRPr="00EB0A4D">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B0A4D">
        <w:rPr>
          <w:rFonts w:ascii="Arial" w:hAnsi="Arial" w:cs="Arial"/>
          <w:bCs/>
          <w:sz w:val="21"/>
          <w:szCs w:val="21"/>
          <w:vertAlign w:val="superscript"/>
          <w:lang w:val="es-MX" w:eastAsia="es-CO"/>
        </w:rPr>
        <w:footnoteReference w:id="10"/>
      </w:r>
      <w:r w:rsidRPr="00EB0A4D">
        <w:rPr>
          <w:rFonts w:ascii="Arial" w:hAnsi="Arial" w:cs="Arial"/>
          <w:bCs/>
          <w:sz w:val="21"/>
          <w:szCs w:val="21"/>
          <w:lang w:val="es-MX" w:eastAsia="es-CO"/>
        </w:rPr>
        <w:t>”.</w:t>
      </w:r>
    </w:p>
    <w:p w:rsidRPr="00EB0A4D" w:rsidR="008F48A4" w:rsidP="008F48A4" w:rsidRDefault="008F48A4" w14:paraId="185B98B0" w14:textId="77777777">
      <w:pPr>
        <w:spacing w:after="0" w:line="276" w:lineRule="auto"/>
        <w:ind w:right="709"/>
        <w:contextualSpacing/>
        <w:jc w:val="both"/>
        <w:rPr>
          <w:rFonts w:ascii="Arial" w:hAnsi="Arial" w:cs="Arial"/>
          <w:bCs/>
          <w:color w:val="FF0000"/>
          <w:lang w:val="es-MX" w:eastAsia="es-CO"/>
        </w:rPr>
      </w:pPr>
    </w:p>
    <w:p w:rsidRPr="00EB0A4D" w:rsidR="008F48A4" w:rsidP="008F48A4" w:rsidRDefault="008F48A4" w14:paraId="0CFD4ECA" w14:textId="77777777">
      <w:pPr>
        <w:spacing w:after="0" w:line="276" w:lineRule="auto"/>
        <w:contextualSpacing/>
        <w:jc w:val="both"/>
        <w:rPr>
          <w:rFonts w:ascii="Arial" w:hAnsi="Arial" w:cs="Arial"/>
          <w:bCs/>
          <w:lang w:val="es-MX" w:eastAsia="es-CO"/>
        </w:rPr>
      </w:pPr>
      <w:r w:rsidRPr="00EB0A4D">
        <w:rPr>
          <w:rFonts w:ascii="Arial" w:hAnsi="Arial" w:cs="Arial"/>
          <w:bCs/>
          <w:color w:val="FF0000"/>
          <w:lang w:val="es-MX" w:eastAsia="es-CO"/>
        </w:rPr>
        <w:tab/>
      </w:r>
      <w:r w:rsidRPr="00EB0A4D">
        <w:rPr>
          <w:rFonts w:ascii="Arial" w:hAnsi="Arial" w:cs="Arial"/>
          <w:bCs/>
          <w:lang w:val="es-MX" w:eastAsia="es-CO"/>
        </w:rPr>
        <w:t>De conformidad con lo anterior, la Ley de Garantías Electorales fijó una serie de regulaciones y prohibiciones dirigidas a los servidores públicos. Con la finalidad de preservar la igualdad entre los candidatos en las elecciones, aumentó</w:t>
      </w:r>
      <w:r>
        <w:rPr>
          <w:rFonts w:ascii="Arial" w:hAnsi="Arial" w:cs="Arial"/>
          <w:bCs/>
          <w:lang w:val="es-MX" w:eastAsia="es-CO"/>
        </w:rPr>
        <w:t xml:space="preserve"> de</w:t>
      </w:r>
      <w:r w:rsidRPr="00EB0A4D">
        <w:rPr>
          <w:rFonts w:ascii="Arial" w:hAnsi="Arial" w:cs="Arial"/>
          <w:bCs/>
          <w:lang w:val="es-MX" w:eastAsia="es-CO"/>
        </w:rPr>
        <w:t xml:space="preserve">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 de campañas electorales claramente diferenciadas: las presidenciales y las </w:t>
      </w:r>
      <w:r w:rsidRPr="00EB0A4D">
        <w:rPr>
          <w:rFonts w:ascii="Arial" w:hAnsi="Arial" w:cs="Arial"/>
          <w:bCs/>
          <w:lang w:val="es-MX" w:eastAsia="es-CO"/>
        </w:rPr>
        <w:t>demás que se adelanten para la elección de los demás cargos de elección popular, tanto a nivel nacional como territorial.</w:t>
      </w:r>
    </w:p>
    <w:p w:rsidRPr="00EB0A4D" w:rsidR="008F48A4" w:rsidP="008F48A4" w:rsidRDefault="008F48A4" w14:paraId="6CC44D5C"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B0A4D">
        <w:rPr>
          <w:rFonts w:ascii="Arial" w:hAnsi="Arial" w:eastAsia="Calibri" w:cs="Arial"/>
          <w:bCs/>
          <w:vertAlign w:val="superscript"/>
        </w:rPr>
        <w:footnoteReference w:id="11"/>
      </w:r>
      <w:r w:rsidRPr="00EB0A4D">
        <w:rPr>
          <w:rFonts w:ascii="Arial" w:hAnsi="Arial" w:eastAsia="Times New Roman" w:cs="Arial"/>
          <w:iCs/>
          <w:szCs w:val="24"/>
          <w:lang w:val="es-ES_tradnl" w:eastAsia="es-ES_tradnl"/>
        </w:rPr>
        <w:t>”</w:t>
      </w:r>
      <w:r w:rsidRPr="00EB0A4D">
        <w:rPr>
          <w:rFonts w:ascii="Arial" w:hAnsi="Arial" w:eastAsia="Calibri" w:cs="Arial"/>
        </w:rPr>
        <w:t>.</w:t>
      </w:r>
    </w:p>
    <w:p w:rsidRPr="00EB0A4D" w:rsidR="008F48A4" w:rsidP="008F48A4" w:rsidRDefault="008F48A4" w14:paraId="41D8A22E"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B0A4D">
        <w:rPr>
          <w:rFonts w:ascii="Arial" w:hAnsi="Arial" w:eastAsia="Calibri" w:cs="Arial"/>
          <w:bCs/>
          <w:vertAlign w:val="superscript"/>
        </w:rPr>
        <w:t xml:space="preserve"> </w:t>
      </w:r>
      <w:r w:rsidRPr="00EB0A4D">
        <w:rPr>
          <w:rFonts w:ascii="Arial" w:hAnsi="Arial" w:eastAsia="Calibri" w:cs="Arial"/>
          <w:bCs/>
          <w:vertAlign w:val="superscript"/>
        </w:rPr>
        <w:footnoteReference w:id="12"/>
      </w:r>
      <w:r w:rsidRPr="00EB0A4D">
        <w:rPr>
          <w:rFonts w:ascii="Arial" w:hAnsi="Arial" w:eastAsia="Calibri" w:cs="Arial"/>
        </w:rPr>
        <w:t>”.</w:t>
      </w:r>
    </w:p>
    <w:p w:rsidRPr="00EB0A4D" w:rsidR="008F48A4" w:rsidP="008F48A4" w:rsidRDefault="008F48A4" w14:paraId="2ED29DF2"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La Sala de Consulta y Servicio Civil del Consejo de Estado ha aclarado la distinción en la aplicación de las prohibiciones de la Ley 996 de 2005, dependiendo del tipo de elección que se trate. Sobre el particular, consideró:</w:t>
      </w:r>
    </w:p>
    <w:p w:rsidRPr="00EB0A4D" w:rsidR="008F48A4" w:rsidP="008F48A4" w:rsidRDefault="008F48A4" w14:paraId="61022195"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p>
    <w:p w:rsidRPr="00EB0A4D" w:rsidR="008F48A4" w:rsidP="008F48A4" w:rsidRDefault="008F48A4" w14:paraId="29CF34B6"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EB0A4D">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8"/>
      <w:r w:rsidRPr="00EB0A4D">
        <w:rPr>
          <w:rFonts w:ascii="Arial" w:hAnsi="Arial" w:eastAsia="Arial" w:cs="Arial"/>
          <w:sz w:val="21"/>
          <w:szCs w:val="21"/>
          <w:lang w:val="es-ES" w:eastAsia="es-ES" w:bidi="es-ES"/>
        </w:rPr>
        <w:t>se integran parcialmente</w:t>
      </w:r>
      <w:bookmarkEnd w:id="8"/>
      <w:r w:rsidRPr="00EB0A4D">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w:t>
      </w:r>
      <w:r w:rsidRPr="00EB0A4D">
        <w:rPr>
          <w:rFonts w:ascii="Arial" w:hAnsi="Arial" w:eastAsia="Arial" w:cs="Arial"/>
          <w:sz w:val="21"/>
          <w:szCs w:val="21"/>
          <w:lang w:val="es-ES" w:eastAsia="es-ES" w:bidi="es-ES"/>
        </w:rPr>
        <w:t xml:space="preserve">los territoriales, se aplican las restricciones de los artículos 32 y 33 con sus excepciones, así como las del parágrafo del artículo 38. </w:t>
      </w:r>
      <w:r w:rsidRPr="00EB0A4D">
        <w:rPr>
          <w:rFonts w:ascii="Arial" w:hAnsi="Arial" w:eastAsia="Arial" w:cs="Arial"/>
          <w:bCs/>
          <w:i/>
          <w:iCs/>
          <w:sz w:val="21"/>
          <w:szCs w:val="21"/>
          <w:u w:val="single"/>
          <w:lang w:val="es-ES" w:eastAsia="es-ES" w:bidi="es-ES"/>
        </w:rPr>
        <w:t xml:space="preserve">En cambio, para elecciones en general, excluyendo las correspondientes a </w:t>
      </w:r>
      <w:proofErr w:type="gramStart"/>
      <w:r w:rsidRPr="00EB0A4D">
        <w:rPr>
          <w:rFonts w:ascii="Arial" w:hAnsi="Arial" w:eastAsia="Arial" w:cs="Arial"/>
          <w:bCs/>
          <w:i/>
          <w:iCs/>
          <w:sz w:val="21"/>
          <w:szCs w:val="21"/>
          <w:u w:val="single"/>
          <w:lang w:val="es-ES" w:eastAsia="es-ES" w:bidi="es-ES"/>
        </w:rPr>
        <w:t>Presidente</w:t>
      </w:r>
      <w:proofErr w:type="gramEnd"/>
      <w:r w:rsidRPr="00EB0A4D">
        <w:rPr>
          <w:rFonts w:ascii="Arial" w:hAnsi="Arial" w:eastAsia="Arial" w:cs="Arial"/>
          <w:bCs/>
          <w:i/>
          <w:iCs/>
          <w:sz w:val="21"/>
          <w:szCs w:val="21"/>
          <w:u w:val="single"/>
          <w:lang w:val="es-ES" w:eastAsia="es-ES" w:bidi="es-ES"/>
        </w:rPr>
        <w:t xml:space="preserve"> de la República, a las autoridades territoriales allí mencionadas sólo se aplican las restricciones contenidas en el parágrafo del artículo 38</w:t>
      </w:r>
      <w:r w:rsidRPr="00EB0A4D">
        <w:rPr>
          <w:rFonts w:ascii="Arial" w:hAnsi="Arial" w:eastAsia="Arial" w:cs="Arial"/>
          <w:sz w:val="21"/>
          <w:szCs w:val="21"/>
          <w:vertAlign w:val="superscript"/>
          <w:lang w:val="es-ES" w:eastAsia="es-ES" w:bidi="es-ES"/>
        </w:rPr>
        <w:footnoteReference w:id="13"/>
      </w:r>
      <w:r w:rsidRPr="00EB0A4D">
        <w:rPr>
          <w:rFonts w:ascii="Arial" w:hAnsi="Arial" w:eastAsia="Arial" w:cs="Arial"/>
          <w:sz w:val="21"/>
          <w:szCs w:val="21"/>
          <w:lang w:val="es-ES" w:eastAsia="es-ES" w:bidi="es-ES"/>
        </w:rPr>
        <w:t>”. [Énfasis fuera de texto]</w:t>
      </w:r>
    </w:p>
    <w:p w:rsidRPr="00EB0A4D" w:rsidR="008F48A4" w:rsidP="008F48A4" w:rsidRDefault="008F48A4" w14:paraId="0D25ECF5" w14:textId="77777777">
      <w:pPr>
        <w:spacing w:after="0" w:line="276" w:lineRule="auto"/>
        <w:ind w:firstLine="709"/>
        <w:jc w:val="both"/>
        <w:rPr>
          <w:rFonts w:ascii="Arial" w:hAnsi="Arial" w:eastAsia="Times New Roman" w:cs="Arial"/>
          <w:i/>
          <w:szCs w:val="24"/>
          <w:lang w:val="es-ES_tradnl" w:eastAsia="es-ES_tradnl"/>
        </w:rPr>
      </w:pPr>
    </w:p>
    <w:p w:rsidRPr="00EB0A4D" w:rsidR="008F48A4" w:rsidP="008F48A4" w:rsidRDefault="008F48A4" w14:paraId="03002762" w14:textId="77777777">
      <w:pPr>
        <w:spacing w:after="0" w:line="276" w:lineRule="auto"/>
        <w:ind w:firstLine="709"/>
        <w:jc w:val="both"/>
      </w:pPr>
      <w:r w:rsidRPr="00EB0A4D">
        <w:rPr>
          <w:rFonts w:ascii="Arial" w:hAnsi="Arial" w:eastAsia="Times New Roman" w:cs="Arial"/>
          <w:iCs/>
          <w:szCs w:val="24"/>
          <w:lang w:val="es-ES_tradnl" w:eastAsia="es-ES_tradnl"/>
        </w:rPr>
        <w:t xml:space="preserve">De conformidad con lo anterior, la Ley 996 de 2005 establece dos (2) tipos de restricciones en materia de contratación, las cuales coinciden parcialmente. </w:t>
      </w:r>
      <w:r w:rsidRPr="00EB0A4D">
        <w:rPr>
          <w:rFonts w:ascii="Arial" w:hAnsi="Arial" w:eastAsia="Times New Roman" w:cs="Arial"/>
          <w:i/>
          <w:szCs w:val="24"/>
          <w:u w:val="single"/>
          <w:lang w:val="es-ES_tradnl" w:eastAsia="es-ES_tradnl"/>
        </w:rPr>
        <w:t>En primer lugar</w:t>
      </w:r>
      <w:r w:rsidRPr="00EB0A4D">
        <w:rPr>
          <w:rFonts w:ascii="Arial" w:hAnsi="Arial" w:eastAsia="Times New Roman" w:cs="Arial"/>
          <w:i/>
          <w:szCs w:val="24"/>
          <w:lang w:val="es-ES_tradnl" w:eastAsia="es-ES_tradnl"/>
        </w:rPr>
        <w:t xml:space="preserve">, </w:t>
      </w:r>
      <w:r w:rsidRPr="00EB0A4D">
        <w:rPr>
          <w:rFonts w:ascii="Arial" w:hAnsi="Arial" w:eastAsia="Times New Roman" w:cs="Arial"/>
          <w:iCs/>
          <w:szCs w:val="24"/>
          <w:lang w:val="es-ES_tradnl" w:eastAsia="es-ES_tradnl"/>
        </w:rPr>
        <w:t xml:space="preserve">la del artículo 33, que opera solo respecto de las elecciones presidenciales, en virtud de la cual queda proscrita la contratación directa dentro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a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proofErr w:type="gramStart"/>
      <w:r w:rsidRPr="00EB0A4D">
        <w:rPr>
          <w:rFonts w:ascii="Arial" w:hAnsi="Arial" w:eastAsia="Times New Roman" w:cs="Arial"/>
          <w:iCs/>
          <w:szCs w:val="24"/>
          <w:lang w:val="es-ES_tradnl" w:eastAsia="es-ES_tradnl"/>
        </w:rPr>
        <w:t>Y</w:t>
      </w:r>
      <w:proofErr w:type="gramEnd"/>
      <w:r w:rsidRPr="00EB0A4D">
        <w:rPr>
          <w:rFonts w:ascii="Arial" w:hAnsi="Arial" w:cs="Arial"/>
          <w:i/>
          <w:iCs/>
        </w:rPr>
        <w:t xml:space="preserve"> en </w:t>
      </w:r>
      <w:r w:rsidRPr="00EB0A4D">
        <w:rPr>
          <w:rFonts w:ascii="Arial" w:hAnsi="Arial" w:cs="Arial"/>
          <w:i/>
          <w:iCs/>
          <w:u w:val="single"/>
        </w:rPr>
        <w:t>segundo lugar</w:t>
      </w:r>
      <w:r w:rsidRPr="00EB0A4D">
        <w:rPr>
          <w:rFonts w:ascii="Arial" w:hAnsi="Arial" w:cs="Arial"/>
          <w:i/>
          <w:iCs/>
        </w:rPr>
        <w:t xml:space="preserve">, </w:t>
      </w:r>
      <w:r w:rsidRPr="00EB0A4D">
        <w:rPr>
          <w:rFonts w:ascii="Arial" w:hAnsi="Arial" w:cs="Arial"/>
        </w:rPr>
        <w:t xml:space="preserve">también se encuentra la prohibición de contienda electoral, y que </w:t>
      </w:r>
      <w:r w:rsidRPr="00EB0A4D">
        <w:rPr>
          <w:rFonts w:ascii="Arial" w:hAnsi="Arial" w:cs="Arial"/>
          <w:u w:val="single"/>
        </w:rPr>
        <w:t>prohíbe la celebración de convenios interadministrativos</w:t>
      </w:r>
      <w:r w:rsidRPr="00EB0A4D">
        <w:rPr>
          <w:rFonts w:ascii="Arial" w:hAnsi="Arial" w:cs="Arial"/>
        </w:rPr>
        <w:t xml:space="preserve"> que impliquen la ejecución de recursos públicos dentro de los cuatro (4) meses anteriores a la respectiva jornada de votaciones.</w:t>
      </w:r>
    </w:p>
    <w:p w:rsidRPr="00EB0A4D" w:rsidR="008F48A4" w:rsidP="008F48A4" w:rsidRDefault="008F48A4" w14:paraId="37F38CCE" w14:textId="77777777">
      <w:pPr>
        <w:spacing w:before="120" w:after="0" w:line="276" w:lineRule="auto"/>
        <w:ind w:firstLine="709"/>
        <w:jc w:val="both"/>
        <w:rPr>
          <w:rFonts w:ascii="Arial" w:hAnsi="Arial" w:eastAsia="Times New Roman" w:cs="Arial"/>
          <w:i/>
          <w:szCs w:val="24"/>
          <w:lang w:val="es-ES_tradnl" w:eastAsia="es-ES_tradnl"/>
        </w:rPr>
      </w:pPr>
      <w:r w:rsidRPr="00EB0A4D">
        <w:rPr>
          <w:rFonts w:ascii="Arial" w:hAnsi="Arial" w:eastAsia="Times New Roman" w:cs="Arial"/>
          <w:iCs/>
          <w:szCs w:val="24"/>
          <w:lang w:val="es-ES_tradnl" w:eastAsia="es-ES_tradnl"/>
        </w:rPr>
        <w:t xml:space="preserve">Ambas restricciones no son excluyentes, lo que permite concluir que en el período preelectoral para elección del </w:t>
      </w:r>
      <w:proofErr w:type="gramStart"/>
      <w:r w:rsidRPr="00EB0A4D">
        <w:rPr>
          <w:rFonts w:ascii="Arial" w:hAnsi="Arial" w:eastAsia="Times New Roman" w:cs="Arial"/>
          <w:iCs/>
          <w:szCs w:val="24"/>
          <w:lang w:val="es-ES_tradnl" w:eastAsia="es-ES_tradnl"/>
        </w:rPr>
        <w:t>Presidente</w:t>
      </w:r>
      <w:proofErr w:type="gramEnd"/>
      <w:r w:rsidRPr="00EB0A4D">
        <w:rPr>
          <w:rFonts w:ascii="Arial" w:hAnsi="Arial" w:eastAsia="Times New Roman" w:cs="Arial"/>
          <w:iCs/>
          <w:szCs w:val="24"/>
          <w:lang w:val="es-ES_tradnl" w:eastAsia="es-ES_tradnl"/>
        </w:rPr>
        <w:t xml:space="preserve"> de la República, a todos los entes del Estado, incluidos los territoriales, aplican las restricciones del artículo 33 de la Ley 996 de 2005 con sus excepciones, así como las del parágrafo del artículo 38 </w:t>
      </w:r>
      <w:r w:rsidRPr="00EB0A4D">
        <w:rPr>
          <w:rFonts w:ascii="Arial" w:hAnsi="Arial" w:eastAsia="Times New Roman" w:cs="Arial"/>
          <w:i/>
          <w:szCs w:val="24"/>
          <w:lang w:val="es-ES_tradnl" w:eastAsia="es-ES_tradnl"/>
        </w:rPr>
        <w:t>ibidem</w:t>
      </w:r>
      <w:r w:rsidRPr="00EB0A4D">
        <w:rPr>
          <w:rFonts w:ascii="Arial" w:hAnsi="Arial" w:eastAsia="Times New Roman" w:cs="Arial"/>
          <w:iCs/>
          <w:szCs w:val="24"/>
          <w:lang w:val="es-ES_tradnl" w:eastAsia="es-ES_tradnl"/>
        </w:rPr>
        <w:t xml:space="preserve">. En cambio, tratándose de elecciones en general, excluyendo las correspondientes al </w:t>
      </w:r>
      <w:proofErr w:type="gramStart"/>
      <w:r w:rsidRPr="00EB0A4D">
        <w:rPr>
          <w:rFonts w:ascii="Arial" w:hAnsi="Arial" w:eastAsia="Times New Roman" w:cs="Arial"/>
          <w:iCs/>
          <w:szCs w:val="24"/>
          <w:lang w:val="es-ES_tradnl" w:eastAsia="es-ES_tradnl"/>
        </w:rPr>
        <w:t>Presidente</w:t>
      </w:r>
      <w:proofErr w:type="gramEnd"/>
      <w:r w:rsidRPr="00EB0A4D">
        <w:rPr>
          <w:rFonts w:ascii="Arial" w:hAnsi="Arial" w:eastAsia="Times New Roman" w:cs="Arial"/>
          <w:iCs/>
          <w:szCs w:val="24"/>
          <w:lang w:val="es-ES_tradnl" w:eastAsia="es-ES_tradnl"/>
        </w:rPr>
        <w:t xml:space="preserve"> de la República, las autoridades allí mencionadas sólo deben aplicar las restricciones contenidas en el parágrafo del artículo 38 </w:t>
      </w:r>
      <w:r w:rsidRPr="00EB0A4D">
        <w:rPr>
          <w:rFonts w:ascii="Arial" w:hAnsi="Arial" w:eastAsia="Times New Roman" w:cs="Arial"/>
          <w:i/>
          <w:szCs w:val="24"/>
          <w:lang w:val="es-ES_tradnl" w:eastAsia="es-ES_tradnl"/>
        </w:rPr>
        <w:t>ibidem</w:t>
      </w:r>
      <w:r w:rsidRPr="00EB0A4D">
        <w:rPr>
          <w:rFonts w:ascii="Arial" w:hAnsi="Arial" w:eastAsia="Times New Roman" w:cs="Arial"/>
          <w:iCs/>
          <w:szCs w:val="24"/>
          <w:lang w:val="es-ES_tradnl" w:eastAsia="es-ES_tradnl"/>
        </w:rPr>
        <w:t>. Restricción en la que enfatizaremos, según el objeto bajo consulta.</w:t>
      </w:r>
    </w:p>
    <w:p w:rsidRPr="00EB0A4D" w:rsidR="008F48A4" w:rsidP="008F48A4" w:rsidRDefault="008F48A4" w14:paraId="156D8924" w14:textId="77777777">
      <w:pPr>
        <w:spacing w:after="0" w:line="276" w:lineRule="auto"/>
        <w:jc w:val="both"/>
        <w:rPr>
          <w:rFonts w:ascii="Arial" w:hAnsi="Arial" w:eastAsia="Times New Roman" w:cs="Arial"/>
          <w:iCs/>
          <w:szCs w:val="24"/>
          <w:lang w:val="es-ES_tradnl" w:eastAsia="es-ES_tradnl"/>
        </w:rPr>
      </w:pPr>
    </w:p>
    <w:p w:rsidRPr="00EB0A4D" w:rsidR="008F48A4" w:rsidP="008F48A4" w:rsidRDefault="008F48A4" w14:paraId="3A1772F4" w14:textId="77777777">
      <w:pPr>
        <w:spacing w:after="0" w:line="276" w:lineRule="auto"/>
        <w:jc w:val="both"/>
        <w:rPr>
          <w:rFonts w:ascii="Arial" w:hAnsi="Arial" w:eastAsia="Times New Roman" w:cs="Arial"/>
          <w:b/>
          <w:bCs/>
          <w:iCs/>
          <w:szCs w:val="24"/>
          <w:lang w:val="es-ES_tradnl" w:eastAsia="es-ES_tradnl"/>
        </w:rPr>
      </w:pPr>
    </w:p>
    <w:p w:rsidRPr="00EB0A4D" w:rsidR="008F48A4" w:rsidP="008F48A4" w:rsidRDefault="008F48A4" w14:paraId="30A1DBF9" w14:textId="21B4A3F4">
      <w:pPr>
        <w:spacing w:after="0" w:line="276" w:lineRule="auto"/>
        <w:jc w:val="both"/>
        <w:rPr>
          <w:rFonts w:ascii="Arial" w:hAnsi="Arial" w:eastAsia="Times New Roman" w:cs="Arial"/>
          <w:b/>
          <w:bCs/>
          <w:iCs/>
          <w:szCs w:val="24"/>
          <w:lang w:val="es-ES_tradnl" w:eastAsia="es-ES_tradnl"/>
        </w:rPr>
      </w:pPr>
      <w:r w:rsidRPr="00EB0A4D">
        <w:rPr>
          <w:rFonts w:ascii="Arial" w:hAnsi="Arial" w:eastAsia="Times New Roman" w:cs="Arial"/>
          <w:b/>
          <w:bCs/>
          <w:iCs/>
          <w:szCs w:val="24"/>
          <w:lang w:val="es-ES_tradnl" w:eastAsia="es-ES_tradnl"/>
        </w:rPr>
        <w:t>2.</w:t>
      </w:r>
      <w:r w:rsidR="001D4DDF">
        <w:rPr>
          <w:rFonts w:ascii="Arial" w:hAnsi="Arial" w:eastAsia="Times New Roman" w:cs="Arial"/>
          <w:b/>
          <w:bCs/>
          <w:iCs/>
          <w:szCs w:val="24"/>
          <w:lang w:val="es-ES_tradnl" w:eastAsia="es-ES_tradnl"/>
        </w:rPr>
        <w:t>2</w:t>
      </w:r>
      <w:r w:rsidRPr="00EB0A4D">
        <w:rPr>
          <w:rFonts w:ascii="Arial" w:hAnsi="Arial" w:eastAsia="Times New Roman" w:cs="Arial"/>
          <w:b/>
          <w:bCs/>
          <w:iCs/>
          <w:szCs w:val="24"/>
          <w:lang w:val="es-ES_tradnl" w:eastAsia="es-ES_tradnl"/>
        </w:rPr>
        <w:t xml:space="preserve">. Restricciones para la celebración de contratos y convenios interadministrativos en los </w:t>
      </w:r>
      <w:bookmarkStart w:name="_Hlk133573167" w:id="9"/>
      <w:r w:rsidRPr="00EB0A4D">
        <w:rPr>
          <w:rFonts w:ascii="Arial" w:hAnsi="Arial" w:eastAsia="Times New Roman" w:cs="Arial"/>
          <w:b/>
          <w:bCs/>
          <w:iCs/>
          <w:szCs w:val="24"/>
          <w:lang w:val="es-ES_tradnl" w:eastAsia="es-ES_tradnl"/>
        </w:rPr>
        <w:t>comicios para cargos de elección popular</w:t>
      </w:r>
      <w:bookmarkEnd w:id="9"/>
      <w:r w:rsidRPr="00EB0A4D">
        <w:rPr>
          <w:rFonts w:ascii="Arial" w:hAnsi="Arial" w:eastAsia="Times New Roman" w:cs="Arial"/>
          <w:b/>
          <w:bCs/>
          <w:iCs/>
          <w:szCs w:val="24"/>
          <w:lang w:val="es-ES_tradnl" w:eastAsia="es-ES_tradnl"/>
        </w:rPr>
        <w:t xml:space="preserve"> </w:t>
      </w:r>
    </w:p>
    <w:p w:rsidRPr="00EB0A4D" w:rsidR="008F48A4" w:rsidP="008F48A4" w:rsidRDefault="008F48A4" w14:paraId="4C80B76C" w14:textId="77777777">
      <w:pPr>
        <w:spacing w:after="0" w:line="276" w:lineRule="auto"/>
        <w:jc w:val="both"/>
        <w:rPr>
          <w:rFonts w:ascii="Arial" w:hAnsi="Arial" w:eastAsia="Times New Roman" w:cs="Arial"/>
          <w:iCs/>
          <w:szCs w:val="24"/>
          <w:lang w:val="es-ES_tradnl" w:eastAsia="es-ES_tradnl"/>
        </w:rPr>
      </w:pPr>
    </w:p>
    <w:p w:rsidRPr="00EB0A4D" w:rsidR="008F48A4" w:rsidP="008F48A4" w:rsidRDefault="008F48A4" w14:paraId="01098D85" w14:textId="77777777">
      <w:pPr>
        <w:spacing w:after="0" w:line="276" w:lineRule="auto"/>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 xml:space="preserve">El parágrafo del artículo 38 de la Ley 996 de 2005 dispone que “[l]os Gobernadores, </w:t>
      </w:r>
      <w:proofErr w:type="gramStart"/>
      <w:r w:rsidRPr="00EB0A4D">
        <w:rPr>
          <w:rFonts w:ascii="Arial" w:hAnsi="Arial" w:eastAsia="Times New Roman" w:cs="Arial"/>
          <w:iCs/>
          <w:szCs w:val="24"/>
          <w:lang w:val="es-ES_tradnl" w:eastAsia="es-ES_tradnl"/>
        </w:rPr>
        <w:t>Alcaldes</w:t>
      </w:r>
      <w:proofErr w:type="gramEnd"/>
      <w:r w:rsidRPr="00EB0A4D">
        <w:rPr>
          <w:rFonts w:ascii="Arial" w:hAnsi="Arial" w:eastAsia="Times New Roman" w:cs="Arial"/>
          <w:iCs/>
          <w:szCs w:val="24"/>
          <w:lang w:val="es-ES_tradnl" w:eastAsia="es-ES_tradnl"/>
        </w:rPr>
        <w:t xml:space="preserve"> Municipales y/o Distritales, Secretarios, Gerentes y directores de Entidades </w:t>
      </w:r>
      <w:r w:rsidRPr="00EB0A4D">
        <w:rPr>
          <w:rFonts w:ascii="Arial" w:hAnsi="Arial" w:eastAsia="Times New Roman" w:cs="Arial"/>
          <w:iCs/>
          <w:szCs w:val="24"/>
          <w:lang w:val="es-ES_tradnl" w:eastAsia="es-ES_tradnl"/>
        </w:rPr>
        <w:t>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EB0A4D">
        <w:rPr>
          <w:rFonts w:ascii="Arial" w:hAnsi="Arial" w:cs="Arial"/>
          <w:bCs/>
          <w:iCs/>
          <w:vertAlign w:val="superscript"/>
          <w:lang w:eastAsia="x-none"/>
        </w:rPr>
        <w:footnoteReference w:id="14"/>
      </w:r>
      <w:r w:rsidRPr="00EB0A4D">
        <w:rPr>
          <w:rFonts w:ascii="Arial" w:hAnsi="Arial" w:cs="Arial"/>
          <w:bCs/>
          <w:iCs/>
          <w:lang w:eastAsia="x-none"/>
        </w:rPr>
        <w:t>.</w:t>
      </w:r>
    </w:p>
    <w:p w:rsidRPr="00AC5F71" w:rsidR="008F48A4" w:rsidP="008F48A4" w:rsidRDefault="008F48A4" w14:paraId="6686CE47" w14:textId="77777777">
      <w:pPr>
        <w:spacing w:before="120" w:after="0" w:line="276" w:lineRule="auto"/>
        <w:ind w:firstLine="709"/>
        <w:jc w:val="both"/>
        <w:rPr>
          <w:rFonts w:ascii="Arial" w:hAnsi="Arial" w:eastAsia="Times New Roman" w:cs="Arial"/>
          <w:iCs/>
          <w:szCs w:val="24"/>
          <w:u w:val="single"/>
          <w:lang w:val="es-ES_tradnl" w:eastAsia="es-ES_tradnl"/>
        </w:rPr>
      </w:pPr>
      <w:r w:rsidRPr="00EB0A4D">
        <w:rPr>
          <w:rFonts w:ascii="Arial" w:hAnsi="Arial" w:eastAsia="Times New Roman" w:cs="Arial"/>
          <w:iCs/>
          <w:szCs w:val="24"/>
          <w:lang w:val="es-ES_tradnl" w:eastAsia="es-ES_tradnl"/>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EB0A4D">
        <w:rPr>
          <w:rFonts w:ascii="Arial" w:hAnsi="Arial" w:eastAsia="Arial" w:cs="Arial"/>
          <w:vertAlign w:val="superscript"/>
          <w:lang w:val="es-ES" w:eastAsia="es-ES" w:bidi="es-ES"/>
        </w:rPr>
        <w:footnoteReference w:id="15"/>
      </w:r>
      <w:r w:rsidRPr="00EB0A4D">
        <w:rPr>
          <w:rFonts w:ascii="Arial" w:hAnsi="Arial" w:eastAsia="Arial" w:cs="Arial"/>
          <w:lang w:val="es-ES" w:eastAsia="es-ES" w:bidi="es-ES"/>
        </w:rPr>
        <w:t xml:space="preserve">. De acuerdo con lo anterior, el contrato o el convenio interadministrativo es el acuerdo donde concurre la voluntad de </w:t>
      </w:r>
      <w:r w:rsidRPr="00AC5F71">
        <w:rPr>
          <w:rFonts w:ascii="Arial" w:hAnsi="Arial" w:eastAsia="Arial" w:cs="Arial"/>
          <w:u w:val="single"/>
          <w:lang w:val="es-ES" w:eastAsia="es-ES" w:bidi="es-ES"/>
        </w:rPr>
        <w:t>dos o más personas jurídicas de derecho público</w:t>
      </w:r>
      <w:r w:rsidRPr="00EB0A4D">
        <w:rPr>
          <w:rFonts w:ascii="Arial" w:hAnsi="Arial" w:eastAsia="Arial" w:cs="Arial"/>
          <w:lang w:val="es-ES" w:eastAsia="es-ES" w:bidi="es-ES"/>
        </w:rPr>
        <w:t xml:space="preserve"> con la finalidad de cumplir, en el marco de sus objetivos misionales y sus competencias, con los fines del Estado. Es decir, </w:t>
      </w:r>
      <w:r w:rsidRPr="00AC5F71">
        <w:rPr>
          <w:rFonts w:ascii="Arial" w:hAnsi="Arial" w:eastAsia="Arial" w:cs="Arial"/>
          <w:u w:val="single"/>
          <w:lang w:val="es-ES" w:eastAsia="es-ES" w:bidi="es-ES"/>
        </w:rPr>
        <w:t>los contratos o convenios interadministrativos están determinados por un criterio orgánico</w:t>
      </w:r>
      <w:r w:rsidRPr="00EB0A4D">
        <w:rPr>
          <w:rFonts w:ascii="Arial" w:hAnsi="Arial" w:eastAsia="Arial" w:cs="Arial"/>
          <w:lang w:val="es-ES" w:eastAsia="es-ES" w:bidi="es-ES"/>
        </w:rPr>
        <w:t xml:space="preserve">, </w:t>
      </w:r>
      <w:r w:rsidRPr="00AC5F71">
        <w:rPr>
          <w:rFonts w:ascii="Arial" w:hAnsi="Arial" w:eastAsia="Arial" w:cs="Arial"/>
          <w:u w:val="single"/>
          <w:lang w:val="es-ES" w:eastAsia="es-ES" w:bidi="es-ES"/>
        </w:rPr>
        <w:t>pues es necesario que los extremos de la relación contractual sean entidades estatales.</w:t>
      </w:r>
    </w:p>
    <w:p w:rsidRPr="00EB0A4D" w:rsidR="008F48A4" w:rsidP="008F48A4" w:rsidRDefault="008F48A4" w14:paraId="5CA46504"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rsidRPr="00EB0A4D" w:rsidR="008F48A4" w:rsidP="008F48A4" w:rsidRDefault="008F48A4" w14:paraId="29C42CFC"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La Corte Constitucional expresó en la Sentencia C-671 de 2015 que “Lo que hace interadministrativo a un contrato o convenio no es el procedimiento de selección aplicable, sino la calidad de los sujetos contratantes, esto es que las dos partes de la redacción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EB0A4D" w:rsidR="008F48A4" w:rsidP="008F48A4" w:rsidRDefault="008F48A4" w14:paraId="65FE93EA" w14:textId="77777777">
      <w:pPr>
        <w:widowControl w:val="0"/>
        <w:autoSpaceDE w:val="0"/>
        <w:autoSpaceDN w:val="0"/>
        <w:spacing w:after="0" w:line="276" w:lineRule="auto"/>
        <w:ind w:firstLine="707"/>
        <w:contextualSpacing/>
        <w:jc w:val="both"/>
        <w:rPr>
          <w:rFonts w:ascii="Arial" w:hAnsi="Arial" w:eastAsia="Arial" w:cs="Arial"/>
          <w:lang w:val="es-ES" w:eastAsia="es-ES" w:bidi="es-ES"/>
        </w:rPr>
      </w:pPr>
    </w:p>
    <w:p w:rsidRPr="00EB0A4D" w:rsidR="008F48A4" w:rsidP="008F48A4" w:rsidRDefault="008F48A4" w14:paraId="727D6613" w14:textId="77777777">
      <w:pPr>
        <w:spacing w:after="0" w:line="240" w:lineRule="auto"/>
        <w:ind w:left="709" w:right="709"/>
        <w:contextualSpacing/>
        <w:jc w:val="both"/>
        <w:rPr>
          <w:rFonts w:ascii="Arial" w:hAnsi="Arial" w:eastAsia="Calibri" w:cs="Arial"/>
          <w:sz w:val="21"/>
          <w:lang w:val="es-MX"/>
        </w:rPr>
      </w:pPr>
      <w:r w:rsidRPr="00EB0A4D">
        <w:rPr>
          <w:rFonts w:ascii="Arial" w:hAnsi="Arial" w:eastAsia="Calibri" w:cs="Arial"/>
          <w:sz w:val="21"/>
          <w:lang w:val="es-MX"/>
        </w:rPr>
        <w:t xml:space="preserve">“[…] se puede señalar que los convenios o contratos interadministrativos tienen como características principales las siguientes: (i) constituyen verdaderos </w:t>
      </w:r>
      <w:r w:rsidRPr="00EB0A4D">
        <w:rPr>
          <w:rFonts w:ascii="Arial" w:hAnsi="Arial" w:eastAsia="Calibri" w:cs="Arial"/>
          <w:sz w:val="21"/>
          <w:lang w:val="es-MX"/>
        </w:rPr>
        <w:t>contratos en los términos del Código de Comercio cuando su objeto lo constituyen obligaciones patrimoniales; (ii) tienen como fuente la autonomía contractual; (</w:t>
      </w:r>
      <w:proofErr w:type="spellStart"/>
      <w:r w:rsidRPr="00EB0A4D">
        <w:rPr>
          <w:rFonts w:ascii="Arial" w:hAnsi="Arial" w:eastAsia="Calibri" w:cs="Arial"/>
          <w:sz w:val="21"/>
          <w:lang w:val="es-MX"/>
        </w:rPr>
        <w:t>iii</w:t>
      </w:r>
      <w:proofErr w:type="spellEnd"/>
      <w:r w:rsidRPr="00EB0A4D">
        <w:rPr>
          <w:rFonts w:ascii="Arial" w:hAnsi="Arial" w:eastAsia="Calibri" w:cs="Arial"/>
          <w:sz w:val="21"/>
          <w:lang w:val="es-MX"/>
        </w:rPr>
        <w:t>)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EB0A4D">
        <w:rPr>
          <w:rFonts w:ascii="Arial" w:hAnsi="Arial" w:eastAsia="Calibri" w:cs="Arial"/>
          <w:sz w:val="21"/>
          <w:lang w:val="es-MX"/>
        </w:rPr>
        <w:t>vii</w:t>
      </w:r>
      <w:proofErr w:type="spellEnd"/>
      <w:r w:rsidRPr="00EB0A4D">
        <w:rPr>
          <w:rFonts w:ascii="Arial" w:hAnsi="Arial" w:eastAsia="Calibri" w:cs="Arial"/>
          <w:sz w:val="21"/>
          <w:lang w:val="es-MX"/>
        </w:rPr>
        <w:t>) persiguen  una finalidad común a través de la realización de intereses compartidos entre las entidades vinculadas; (</w:t>
      </w:r>
      <w:proofErr w:type="spellStart"/>
      <w:r w:rsidRPr="00EB0A4D">
        <w:rPr>
          <w:rFonts w:ascii="Arial" w:hAnsi="Arial" w:eastAsia="Calibri" w:cs="Arial"/>
          <w:sz w:val="21"/>
          <w:lang w:val="es-MX"/>
        </w:rPr>
        <w:t>viii</w:t>
      </w:r>
      <w:proofErr w:type="spellEnd"/>
      <w:r w:rsidRPr="00EB0A4D">
        <w:rPr>
          <w:rFonts w:ascii="Arial" w:hAnsi="Arial" w:eastAsia="Calibri" w:cs="Arial"/>
          <w:sz w:val="21"/>
          <w:lang w:val="es-MX"/>
        </w:rPr>
        <w:t>) la acción mediante la cual se deben ventilar las diferencias que sobre el particular surjan es la de controversias contractuales</w:t>
      </w:r>
      <w:r w:rsidRPr="00EB0A4D">
        <w:rPr>
          <w:rFonts w:ascii="Arial" w:hAnsi="Arial" w:eastAsia="Calibri" w:cs="Arial"/>
          <w:sz w:val="21"/>
          <w:vertAlign w:val="superscript"/>
          <w:lang w:val="es-MX"/>
        </w:rPr>
        <w:footnoteReference w:id="16"/>
      </w:r>
      <w:r w:rsidRPr="00EB0A4D">
        <w:rPr>
          <w:rFonts w:ascii="Arial" w:hAnsi="Arial" w:eastAsia="Calibri" w:cs="Arial"/>
          <w:sz w:val="21"/>
          <w:lang w:val="es-MX"/>
        </w:rPr>
        <w:t>”.</w:t>
      </w:r>
    </w:p>
    <w:p w:rsidRPr="00EB0A4D" w:rsidR="008F48A4" w:rsidP="008F48A4" w:rsidRDefault="008F48A4" w14:paraId="4FC1E096" w14:textId="77777777">
      <w:pPr>
        <w:spacing w:after="0" w:line="276" w:lineRule="auto"/>
        <w:ind w:firstLine="709"/>
        <w:jc w:val="both"/>
        <w:rPr>
          <w:rFonts w:ascii="Arial" w:hAnsi="Arial" w:eastAsia="Times New Roman" w:cs="Arial"/>
          <w:iCs/>
          <w:szCs w:val="24"/>
          <w:lang w:val="es-ES_tradnl" w:eastAsia="es-ES_tradnl"/>
        </w:rPr>
      </w:pPr>
    </w:p>
    <w:p w:rsidRPr="00EB0A4D" w:rsidR="008F48A4" w:rsidP="008F48A4" w:rsidRDefault="008F48A4" w14:paraId="5BD1B3BB" w14:textId="77777777">
      <w:pPr>
        <w:spacing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Pr="00EB0A4D" w:rsidR="008F48A4" w:rsidP="008F48A4" w:rsidRDefault="008F48A4" w14:paraId="16E8F397"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rsidRPr="00EB0A4D" w:rsidR="008F48A4" w:rsidP="008F48A4" w:rsidRDefault="008F48A4" w14:paraId="01D5957E" w14:textId="46E513A7">
      <w:pPr>
        <w:spacing w:before="120" w:after="0" w:line="276" w:lineRule="auto"/>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ab/>
      </w:r>
      <w:r w:rsidRPr="00EB0A4D">
        <w:rPr>
          <w:rFonts w:ascii="Arial" w:hAnsi="Arial" w:eastAsia="Times New Roman" w:cs="Arial"/>
          <w:iCs/>
          <w:szCs w:val="24"/>
          <w:lang w:val="es-ES_tradnl" w:eastAsia="es-ES_tradnl"/>
        </w:rPr>
        <w:t xml:space="preserve">Además, es necesario tener en cuenta que para que un contrato o convenio interadministrativo exista, debe cumplir con los siguientes elementos: acuerdo sobre el objeto y la contraprestación, y que se eleve a escrito. Por otra parte, si bien actualmente el Estatuto General de Contratación de la Administración Pública hace referencia de manera expresa al contrato interadministrativo y no al convenio, no por esto puede concluirse que </w:t>
      </w:r>
      <w:r w:rsidRPr="00EB0A4D">
        <w:rPr>
          <w:rFonts w:ascii="Arial" w:hAnsi="Arial" w:eastAsia="Times New Roman" w:cs="Arial"/>
          <w:iCs/>
          <w:szCs w:val="24"/>
          <w:lang w:val="es-ES_tradnl" w:eastAsia="es-ES_tradnl"/>
        </w:rPr>
        <w:t xml:space="preserve">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rsidRPr="00EB0A4D" w:rsidR="008F48A4" w:rsidP="008F48A4" w:rsidRDefault="008F48A4" w14:paraId="79D4A7A3" w14:textId="77777777">
      <w:pPr>
        <w:spacing w:before="120" w:after="0" w:line="276" w:lineRule="auto"/>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ab/>
      </w:r>
      <w:r w:rsidRPr="00EB0A4D">
        <w:rPr>
          <w:rFonts w:ascii="Arial" w:hAnsi="Arial" w:eastAsia="Times New Roman" w:cs="Arial"/>
          <w:iCs/>
          <w:szCs w:val="24"/>
          <w:lang w:val="es-ES_tradnl" w:eastAsia="es-ES_tradnl"/>
        </w:rPr>
        <w:t>Resulta pertinente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 De este modo, es posible concluir que en la contratación estatal no existen mayores diferencias entre el convenio y contrato y, dando aplicación al derecho privado y a la definición contenida en el Código Civil, puede afirmarse que se trata de figuras equivalentes.</w:t>
      </w:r>
    </w:p>
    <w:p w:rsidRPr="00EB0A4D" w:rsidR="008F48A4" w:rsidP="008F48A4" w:rsidRDefault="008F48A4" w14:paraId="6E300024"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EB0A4D">
        <w:rPr>
          <w:rFonts w:eastAsia="Arial"/>
          <w:vertAlign w:val="superscript"/>
        </w:rPr>
        <w:footnoteReference w:id="17"/>
      </w:r>
      <w:r w:rsidRPr="00EB0A4D">
        <w:rPr>
          <w:rFonts w:ascii="Arial" w:hAnsi="Arial" w:eastAsia="Arial" w:cs="Arial"/>
          <w:lang w:val="es-ES_tradnl" w:eastAsia="es-ES" w:bidi="es-ES"/>
        </w:rPr>
        <w:t>”.</w:t>
      </w:r>
    </w:p>
    <w:p w:rsidRPr="00EB0A4D" w:rsidR="008F48A4" w:rsidP="008F48A4" w:rsidRDefault="008F48A4" w14:paraId="42825373"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señaló:</w:t>
      </w:r>
    </w:p>
    <w:p w:rsidRPr="00EB0A4D" w:rsidR="008F48A4" w:rsidP="008F48A4" w:rsidRDefault="008F48A4" w14:paraId="1CC82BAF" w14:textId="77777777">
      <w:pPr>
        <w:spacing w:after="0" w:line="240" w:lineRule="auto"/>
        <w:ind w:left="709" w:right="709"/>
        <w:jc w:val="both"/>
        <w:rPr>
          <w:rFonts w:ascii="Arial" w:hAnsi="Arial" w:eastAsia="Calibri" w:cs="Arial"/>
          <w:sz w:val="21"/>
          <w:szCs w:val="21"/>
          <w:lang w:val="es-ES_tradnl"/>
        </w:rPr>
      </w:pPr>
    </w:p>
    <w:p w:rsidRPr="00EB0A4D" w:rsidR="008F48A4" w:rsidP="008F48A4" w:rsidRDefault="008F48A4" w14:paraId="4640A84C" w14:textId="77777777">
      <w:pPr>
        <w:spacing w:after="0" w:line="240" w:lineRule="auto"/>
        <w:ind w:left="709" w:right="709"/>
        <w:jc w:val="both"/>
        <w:rPr>
          <w:rFonts w:ascii="Arial" w:hAnsi="Arial" w:eastAsia="Calibri" w:cs="Arial"/>
          <w:sz w:val="21"/>
          <w:szCs w:val="21"/>
          <w:lang w:val="es-ES_tradnl"/>
        </w:rPr>
      </w:pPr>
      <w:r w:rsidRPr="00EB0A4D">
        <w:rPr>
          <w:rFonts w:ascii="Arial" w:hAnsi="Arial" w:eastAsia="Calibri" w:cs="Arial"/>
          <w:sz w:val="21"/>
          <w:szCs w:val="21"/>
          <w:lang w:val="es-ES_tradnl"/>
        </w:rPr>
        <w:t>“La Sala de Consulta y Servicio Civil</w:t>
      </w:r>
      <w:r w:rsidRPr="00EB0A4D">
        <w:rPr>
          <w:rFonts w:ascii="Arial" w:hAnsi="Arial" w:eastAsia="Calibri" w:cs="Arial"/>
          <w:sz w:val="21"/>
          <w:szCs w:val="21"/>
          <w:vertAlign w:val="superscript"/>
          <w:lang w:eastAsia="es-ES_tradnl"/>
        </w:rPr>
        <w:footnoteReference w:id="18"/>
      </w:r>
      <w:r w:rsidRPr="00EB0A4D">
        <w:rPr>
          <w:rFonts w:ascii="Arial" w:hAnsi="Arial" w:eastAsia="Calibri" w:cs="Arial"/>
          <w:sz w:val="21"/>
          <w:szCs w:val="21"/>
          <w:lang w:val="es-ES_tradnl"/>
        </w:rPr>
        <w:t xml:space="preserve"> de esta Corporación se ha referido a los </w:t>
      </w:r>
      <w:r w:rsidRPr="00EB0A4D">
        <w:rPr>
          <w:rFonts w:ascii="Arial" w:hAnsi="Arial" w:eastAsia="Calibri" w:cs="Arial"/>
          <w:i/>
          <w:sz w:val="21"/>
          <w:szCs w:val="21"/>
          <w:lang w:val="es-ES_tradnl"/>
        </w:rPr>
        <w:t>“convenios interadministrativos”</w:t>
      </w:r>
      <w:r w:rsidRPr="00EB0A4D">
        <w:rPr>
          <w:rFonts w:ascii="Arial" w:hAnsi="Arial" w:eastAsia="Calibri" w:cs="Arial"/>
          <w:sz w:val="21"/>
          <w:szCs w:val="21"/>
          <w:lang w:val="es-ES_tradnl"/>
        </w:rPr>
        <w:t xml:space="preserve"> a los cuales alude el artículo 95 de la Ley 489 de 1998, calificándolos de </w:t>
      </w:r>
      <w:r w:rsidRPr="00EB0A4D">
        <w:rPr>
          <w:rFonts w:ascii="Arial" w:hAnsi="Arial" w:eastAsia="Calibri" w:cs="Arial"/>
          <w:i/>
          <w:sz w:val="21"/>
          <w:szCs w:val="21"/>
          <w:lang w:val="es-ES_tradnl"/>
        </w:rPr>
        <w:t xml:space="preserve">“puros” </w:t>
      </w:r>
      <w:r w:rsidRPr="00EB0A4D">
        <w:rPr>
          <w:rFonts w:ascii="Arial" w:hAnsi="Arial" w:eastAsia="Calibri" w:cs="Arial"/>
          <w:sz w:val="21"/>
          <w:szCs w:val="21"/>
          <w:lang w:val="es-ES_tradnl"/>
        </w:rPr>
        <w:t xml:space="preserve">y entendiendo que estos, además de perseguir la finalidad de cooperación antes indicada, no implican intereses contrapuestos ni tampoco se circunscriben a un </w:t>
      </w:r>
      <w:r w:rsidRPr="00EB0A4D">
        <w:rPr>
          <w:rFonts w:ascii="Arial" w:hAnsi="Arial" w:eastAsia="Calibri" w:cs="Arial"/>
          <w:i/>
          <w:sz w:val="21"/>
          <w:szCs w:val="21"/>
          <w:lang w:val="es-ES_tradnl"/>
        </w:rPr>
        <w:t>“intercambio patrimonial”</w:t>
      </w:r>
      <w:r w:rsidRPr="00EB0A4D">
        <w:rPr>
          <w:rFonts w:ascii="Arial" w:hAnsi="Arial" w:eastAsia="Calibri" w:cs="Arial"/>
          <w:sz w:val="21"/>
          <w:szCs w:val="21"/>
          <w:lang w:val="es-ES_tradnl"/>
        </w:rPr>
        <w:t xml:space="preserve">. Sin </w:t>
      </w:r>
      <w:r w:rsidRPr="00EB0A4D">
        <w:rPr>
          <w:rFonts w:ascii="Arial" w:hAnsi="Arial" w:eastAsia="Calibri" w:cs="Arial"/>
          <w:sz w:val="21"/>
          <w:szCs w:val="21"/>
          <w:lang w:val="es-ES_tradnl"/>
        </w:rPr>
        <w:t>perjuicio de lo anterior, en otra oportunidad, la misma Sala</w:t>
      </w:r>
      <w:r w:rsidRPr="00EB0A4D">
        <w:rPr>
          <w:rFonts w:ascii="Arial" w:hAnsi="Arial" w:eastAsia="Calibri" w:cs="Arial"/>
          <w:sz w:val="21"/>
          <w:szCs w:val="21"/>
          <w:vertAlign w:val="superscript"/>
          <w:lang w:eastAsia="es-ES_tradnl"/>
        </w:rPr>
        <w:footnoteReference w:id="19"/>
      </w:r>
      <w:r w:rsidRPr="00EB0A4D">
        <w:rPr>
          <w:rFonts w:ascii="Arial" w:hAnsi="Arial" w:eastAsia="Calibri" w:cs="Arial"/>
          <w:sz w:val="21"/>
          <w:szCs w:val="21"/>
          <w:lang w:val="es-ES_tradnl"/>
        </w:rPr>
        <w:t xml:space="preserve"> había indicado que, si bien en dichos convenios no se daba un </w:t>
      </w:r>
      <w:r w:rsidRPr="00EB0A4D">
        <w:rPr>
          <w:rFonts w:ascii="Arial" w:hAnsi="Arial" w:eastAsia="Calibri" w:cs="Arial"/>
          <w:i/>
          <w:sz w:val="21"/>
          <w:szCs w:val="21"/>
          <w:lang w:val="es-ES_tradnl"/>
        </w:rPr>
        <w:t>“verdadero intercambio de bienes o servicios (contrato conmutativo)”</w:t>
      </w:r>
      <w:r w:rsidRPr="00EB0A4D">
        <w:rPr>
          <w:rFonts w:ascii="Arial" w:hAnsi="Arial" w:eastAsia="Calibri" w:cs="Arial"/>
          <w:sz w:val="21"/>
          <w:szCs w:val="21"/>
          <w:lang w:val="es-ES_tradnl"/>
        </w:rPr>
        <w:t>, ello no impedía que se conviniera una remuneración a cargo de alguna(s) entidad(es).</w:t>
      </w:r>
    </w:p>
    <w:p w:rsidRPr="00EB0A4D" w:rsidR="008F48A4" w:rsidP="008F48A4" w:rsidRDefault="008F48A4" w14:paraId="39854FA4" w14:textId="77777777">
      <w:pPr>
        <w:widowControl w:val="0"/>
        <w:autoSpaceDE w:val="0"/>
        <w:autoSpaceDN w:val="0"/>
        <w:spacing w:before="120" w:after="0" w:line="240" w:lineRule="auto"/>
        <w:ind w:left="709" w:right="709"/>
        <w:jc w:val="both"/>
        <w:rPr>
          <w:rFonts w:ascii="Arial" w:hAnsi="Arial" w:eastAsia="Arial" w:cs="Arial"/>
          <w:sz w:val="21"/>
          <w:szCs w:val="21"/>
          <w:lang w:val="es-ES_tradnl" w:eastAsia="es-ES" w:bidi="es-ES"/>
        </w:rPr>
      </w:pPr>
      <w:r w:rsidRPr="00EB0A4D">
        <w:rPr>
          <w:rFonts w:ascii="Arial" w:hAnsi="Arial" w:eastAsia="Arial" w:cs="Arial"/>
          <w:sz w:val="21"/>
          <w:szCs w:val="21"/>
          <w:lang w:val="es-ES_tradnl" w:eastAsia="es-ES" w:bidi="es-ES"/>
        </w:rPr>
        <w:t xml:space="preserve">Lo expuesto evidencia que, en general, las interpretaciones en torno a los </w:t>
      </w:r>
      <w:r w:rsidRPr="00EB0A4D">
        <w:rPr>
          <w:rFonts w:ascii="Arial" w:hAnsi="Arial" w:eastAsia="Arial" w:cs="Arial"/>
          <w:i/>
          <w:sz w:val="21"/>
          <w:szCs w:val="21"/>
          <w:lang w:val="es-ES_tradnl" w:eastAsia="es-ES" w:bidi="es-ES"/>
        </w:rPr>
        <w:t>“convenios interadministrativos”</w:t>
      </w:r>
      <w:r w:rsidRPr="00EB0A4D">
        <w:rPr>
          <w:rFonts w:ascii="Arial" w:hAnsi="Arial" w:eastAsia="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EB0A4D">
        <w:rPr>
          <w:rFonts w:ascii="Arial" w:hAnsi="Arial" w:eastAsia="Arial" w:cs="Arial"/>
          <w:sz w:val="21"/>
          <w:szCs w:val="21"/>
          <w:vertAlign w:val="superscript"/>
          <w:lang w:eastAsia="es-ES_tradnl"/>
        </w:rPr>
        <w:footnoteReference w:id="20"/>
      </w:r>
      <w:r w:rsidRPr="00EB0A4D">
        <w:rPr>
          <w:rFonts w:ascii="Arial" w:hAnsi="Arial" w:eastAsia="Arial" w:cs="Arial"/>
          <w:sz w:val="21"/>
          <w:szCs w:val="21"/>
          <w:lang w:val="es-ES_tradnl" w:eastAsia="es-ES" w:bidi="es-ES"/>
        </w:rPr>
        <w:t xml:space="preserve"> </w:t>
      </w:r>
      <w:r w:rsidRPr="00EB0A4D">
        <w:rPr>
          <w:rFonts w:ascii="Arial" w:hAnsi="Arial" w:eastAsia="Arial" w:cs="Arial"/>
          <w:sz w:val="21"/>
          <w:szCs w:val="21"/>
          <w:vertAlign w:val="superscript"/>
          <w:lang w:eastAsia="es-ES_tradnl"/>
        </w:rPr>
        <w:footnoteReference w:id="21"/>
      </w:r>
      <w:r w:rsidRPr="00EB0A4D">
        <w:rPr>
          <w:rFonts w:ascii="Arial" w:hAnsi="Arial" w:eastAsia="Arial" w:cs="Arial"/>
          <w:sz w:val="21"/>
          <w:szCs w:val="21"/>
          <w:lang w:val="es-ES_tradnl" w:eastAsia="es-ES" w:bidi="es-ES"/>
        </w:rPr>
        <w:t>”. [Énfasis propio]</w:t>
      </w:r>
    </w:p>
    <w:p w:rsidRPr="00EB0A4D" w:rsidR="008F48A4" w:rsidP="008F48A4" w:rsidRDefault="008F48A4" w14:paraId="4A4D0CDC" w14:textId="77777777">
      <w:pPr>
        <w:spacing w:after="0" w:line="276" w:lineRule="auto"/>
        <w:ind w:firstLine="709"/>
        <w:jc w:val="both"/>
        <w:rPr>
          <w:rFonts w:ascii="Arial" w:hAnsi="Arial" w:eastAsia="Times New Roman" w:cs="Arial"/>
          <w:iCs/>
          <w:szCs w:val="24"/>
          <w:lang w:val="es-ES_tradnl" w:eastAsia="es-ES_tradnl"/>
        </w:rPr>
      </w:pPr>
    </w:p>
    <w:p w:rsidRPr="00EB0A4D" w:rsidR="008F48A4" w:rsidP="008F48A4" w:rsidRDefault="008F48A4" w14:paraId="08F33C4D" w14:textId="77777777">
      <w:pPr>
        <w:spacing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En ese orden, debe advertirse que el ordenamiento jurídico en distintas ocasiones utiliza de forma indistinta los conceptos de contrato o convenio para referirse a la misma institución jurídica</w:t>
      </w:r>
      <w:r w:rsidRPr="00EB0A4D">
        <w:rPr>
          <w:rFonts w:eastAsia="Arial"/>
          <w:vertAlign w:val="superscript"/>
        </w:rPr>
        <w:footnoteReference w:id="22"/>
      </w:r>
      <w:r w:rsidRPr="00EB0A4D">
        <w:rPr>
          <w:rFonts w:ascii="Arial" w:hAnsi="Arial" w:eastAsia="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EB0A4D">
        <w:rPr>
          <w:rFonts w:eastAsia="Arial"/>
          <w:vertAlign w:val="superscript"/>
        </w:rPr>
        <w:footnoteReference w:id="23"/>
      </w:r>
      <w:r w:rsidRPr="00EB0A4D">
        <w:rPr>
          <w:rFonts w:ascii="Arial" w:hAnsi="Arial" w:eastAsia="Arial" w:cs="Arial"/>
          <w:lang w:val="es-ES_tradnl" w:eastAsia="es-ES" w:bidi="es-ES"/>
        </w:rPr>
        <w:t>.</w:t>
      </w:r>
    </w:p>
    <w:p w:rsidRPr="00EB0A4D" w:rsidR="008F48A4" w:rsidP="008F48A4" w:rsidRDefault="008F48A4" w14:paraId="765D0A6B"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 xml:space="preserve">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rsidRPr="00182432" w:rsidR="008F48A4" w:rsidP="008F48A4" w:rsidRDefault="008F48A4" w14:paraId="6A65B0C4" w14:textId="77777777">
      <w:pPr>
        <w:spacing w:before="120" w:after="0" w:line="276" w:lineRule="auto"/>
        <w:ind w:firstLine="709"/>
        <w:jc w:val="both"/>
        <w:rPr>
          <w:rFonts w:ascii="Arial" w:hAnsi="Arial" w:eastAsia="Times New Roman" w:cs="Arial"/>
          <w:iCs/>
          <w:szCs w:val="24"/>
          <w:lang w:val="es-ES_tradnl" w:eastAsia="es-ES_tradnl"/>
        </w:rPr>
      </w:pPr>
      <w:r w:rsidRPr="00182432">
        <w:rPr>
          <w:rFonts w:ascii="Arial" w:hAnsi="Arial" w:eastAsia="Times New Roman" w:cs="Arial"/>
          <w:iCs/>
          <w:szCs w:val="24"/>
          <w:lang w:val="es-ES_tradnl" w:eastAsia="es-ES_tradnl"/>
        </w:rPr>
        <w:t>Ahora bien,</w:t>
      </w:r>
      <w:r>
        <w:rPr>
          <w:rFonts w:ascii="Arial" w:hAnsi="Arial" w:eastAsia="Times New Roman" w:cs="Arial"/>
          <w:iCs/>
          <w:szCs w:val="24"/>
          <w:lang w:val="es-ES_tradnl" w:eastAsia="es-ES_tradnl"/>
        </w:rPr>
        <w:t xml:space="preserve"> conforme se viene mencionando,</w:t>
      </w:r>
      <w:r w:rsidRPr="00182432">
        <w:rPr>
          <w:rFonts w:ascii="Arial" w:hAnsi="Arial" w:eastAsia="Times New Roman" w:cs="Arial"/>
          <w:iCs/>
          <w:szCs w:val="24"/>
          <w:lang w:val="es-ES_tradnl" w:eastAsia="es-ES_tradnl"/>
        </w:rPr>
        <w:t xml:space="preserve"> debe aclararse que </w:t>
      </w:r>
      <w:r w:rsidRPr="00182432">
        <w:rPr>
          <w:rFonts w:ascii="Arial" w:hAnsi="Arial" w:eastAsia="Times New Roman" w:cs="Arial"/>
          <w:iCs/>
          <w:szCs w:val="24"/>
          <w:u w:val="single"/>
          <w:lang w:val="es-ES_tradnl" w:eastAsia="es-ES_tradnl"/>
        </w:rPr>
        <w:t>para los comicios que se celebrarán este año</w:t>
      </w:r>
      <w:r w:rsidRPr="00182432">
        <w:rPr>
          <w:rFonts w:ascii="Arial" w:hAnsi="Arial" w:eastAsia="Times New Roman" w:cs="Arial"/>
          <w:iCs/>
          <w:szCs w:val="24"/>
          <w:lang w:val="es-ES_tradnl" w:eastAsia="es-ES_tradnl"/>
        </w:rPr>
        <w:t xml:space="preserve">, aplicarán las restricciones contractuales establecidas en el parágrafo del </w:t>
      </w:r>
      <w:r w:rsidRPr="00182432">
        <w:rPr>
          <w:rFonts w:ascii="Arial" w:hAnsi="Arial" w:eastAsia="Times New Roman" w:cs="Arial"/>
          <w:iCs/>
          <w:szCs w:val="24"/>
          <w:u w:val="single"/>
          <w:lang w:val="es-ES_tradnl" w:eastAsia="es-ES_tradnl"/>
        </w:rPr>
        <w:t>artículo 38 de la Ley 996 de 2005</w:t>
      </w:r>
      <w:r w:rsidRPr="00182432">
        <w:rPr>
          <w:rFonts w:ascii="Arial" w:hAnsi="Arial" w:eastAsia="Times New Roman" w:cs="Arial"/>
          <w:iCs/>
          <w:szCs w:val="24"/>
          <w:lang w:val="es-ES_tradnl" w:eastAsia="es-ES_tradnl"/>
        </w:rPr>
        <w:t xml:space="preserve"> que </w:t>
      </w:r>
      <w:r w:rsidRPr="00182432">
        <w:rPr>
          <w:rFonts w:ascii="Arial" w:hAnsi="Arial" w:eastAsia="Times New Roman" w:cs="Arial"/>
          <w:iCs/>
          <w:szCs w:val="24"/>
          <w:u w:val="single"/>
          <w:lang w:val="es-ES_tradnl" w:eastAsia="es-ES_tradnl"/>
        </w:rPr>
        <w:t>prohíbe</w:t>
      </w:r>
      <w:r w:rsidRPr="00182432">
        <w:rPr>
          <w:rFonts w:ascii="Arial" w:hAnsi="Arial" w:eastAsia="Times New Roman" w:cs="Arial"/>
          <w:iCs/>
          <w:szCs w:val="24"/>
          <w:lang w:val="es-ES_tradnl" w:eastAsia="es-ES_tradnl"/>
        </w:rPr>
        <w:t xml:space="preserve"> a los alcaldes, gobernadores, </w:t>
      </w:r>
      <w:r w:rsidRPr="00182432">
        <w:rPr>
          <w:rFonts w:ascii="Arial" w:hAnsi="Arial" w:eastAsia="Times New Roman" w:cs="Arial"/>
          <w:iCs/>
          <w:szCs w:val="24"/>
          <w:lang w:val="es-ES_tradnl" w:eastAsia="es-ES_tradnl"/>
        </w:rPr>
        <w:t xml:space="preserve">secretarios, gerentes y </w:t>
      </w:r>
      <w:r w:rsidRPr="001D41C1">
        <w:rPr>
          <w:rFonts w:ascii="Arial" w:hAnsi="Arial" w:eastAsia="Times New Roman" w:cs="Arial"/>
          <w:i/>
          <w:szCs w:val="24"/>
          <w:lang w:val="es-ES_tradnl" w:eastAsia="es-ES_tradnl"/>
        </w:rPr>
        <w:t>directores de las entidades del orden municipal, departamental o distrital</w:t>
      </w:r>
      <w:r w:rsidRPr="00182432">
        <w:rPr>
          <w:rFonts w:ascii="Arial" w:hAnsi="Arial" w:eastAsia="Times New Roman" w:cs="Arial"/>
          <w:iCs/>
          <w:szCs w:val="24"/>
          <w:lang w:val="es-ES_tradnl" w:eastAsia="es-ES_tradnl"/>
        </w:rPr>
        <w:t xml:space="preserve"> </w:t>
      </w:r>
      <w:r w:rsidRPr="00182432">
        <w:rPr>
          <w:rFonts w:ascii="Arial" w:hAnsi="Arial" w:eastAsia="Times New Roman" w:cs="Arial"/>
          <w:iCs/>
          <w:szCs w:val="24"/>
          <w:u w:val="single"/>
          <w:lang w:val="es-ES_tradnl" w:eastAsia="es-ES_tradnl"/>
        </w:rPr>
        <w:t>celebrar convenios y contratos interadministrativos para la ejecución de recursos públicos</w:t>
      </w:r>
      <w:r w:rsidRPr="00182432">
        <w:rPr>
          <w:rFonts w:ascii="Arial" w:hAnsi="Arial" w:eastAsia="Times New Roman" w:cs="Arial"/>
          <w:iCs/>
          <w:szCs w:val="24"/>
          <w:lang w:val="es-ES_tradnl" w:eastAsia="es-ES_tradnl"/>
        </w:rPr>
        <w:t xml:space="preserve">. En este sentido, si una o ambas partes de la relación contractual es una de las entidades descritas en el parágrafo </w:t>
      </w:r>
      <w:r w:rsidRPr="00182432">
        <w:rPr>
          <w:rFonts w:ascii="Arial" w:hAnsi="Arial" w:eastAsia="Times New Roman" w:cs="Arial"/>
          <w:i/>
          <w:szCs w:val="24"/>
          <w:lang w:val="es-ES_tradnl" w:eastAsia="es-ES_tradnl"/>
        </w:rPr>
        <w:t xml:space="preserve">ibidem, </w:t>
      </w:r>
      <w:r w:rsidRPr="00182432">
        <w:rPr>
          <w:rFonts w:ascii="Arial" w:hAnsi="Arial" w:eastAsia="Times New Roman"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008F48A4" w:rsidP="008F48A4" w:rsidRDefault="008F48A4" w14:paraId="5A3B3FD2" w14:textId="77777777">
      <w:pPr>
        <w:spacing w:before="120" w:after="0" w:line="276" w:lineRule="auto"/>
        <w:ind w:firstLine="709"/>
        <w:jc w:val="both"/>
        <w:rPr>
          <w:rFonts w:ascii="Arial" w:hAnsi="Arial" w:eastAsia="Times New Roman" w:cs="Arial"/>
          <w:iCs/>
          <w:szCs w:val="24"/>
          <w:lang w:val="es-ES_tradnl" w:eastAsia="es-ES_tradnl"/>
        </w:rPr>
      </w:pPr>
      <w:r w:rsidRPr="00182432">
        <w:rPr>
          <w:rFonts w:ascii="Arial" w:hAnsi="Arial" w:eastAsia="Times New Roman" w:cs="Arial"/>
          <w:iCs/>
          <w:szCs w:val="24"/>
          <w:lang w:val="es-ES_tradnl" w:eastAsia="es-ES_tradnl"/>
        </w:rPr>
        <w:t>Por otro lado, frente al t</w:t>
      </w:r>
      <w:r>
        <w:rPr>
          <w:rFonts w:ascii="Arial" w:hAnsi="Arial" w:eastAsia="Times New Roman" w:cs="Arial"/>
          <w:iCs/>
          <w:szCs w:val="24"/>
          <w:lang w:val="es-ES_tradnl" w:eastAsia="es-ES_tradnl"/>
        </w:rPr>
        <w:t>é</w:t>
      </w:r>
      <w:r w:rsidRPr="00182432">
        <w:rPr>
          <w:rFonts w:ascii="Arial" w:hAnsi="Arial" w:eastAsia="Times New Roman" w:cs="Arial"/>
          <w:iCs/>
          <w:szCs w:val="24"/>
          <w:lang w:val="es-ES_tradnl" w:eastAsia="es-ES_tradnl"/>
        </w:rPr>
        <w:t>rmino en que inician las restricciones del parágrafo del artículo 38 de la Ley de Garantías, la norma es clara en determinar que las mismas inician “dentro de los cuatro (4) meses anteriores a las elecciones” y, se reitera, la restricción opera frente a la celebración de convenios interadministrativos para la ejecución de recursos públicos.</w:t>
      </w:r>
    </w:p>
    <w:p w:rsidRPr="00594128" w:rsidR="008F48A4" w:rsidP="00F20C51" w:rsidRDefault="008F48A4" w14:paraId="2567A446" w14:textId="4BCFE7EA">
      <w:pPr>
        <w:spacing w:before="120" w:after="0" w:line="276" w:lineRule="auto"/>
        <w:ind w:firstLine="709"/>
        <w:jc w:val="both"/>
        <w:rPr>
          <w:rFonts w:ascii="Arial" w:hAnsi="Arial" w:eastAsia="Calibri" w:cs="Arial"/>
          <w:color w:val="000000"/>
          <w:lang w:val="es-ES_tradnl" w:eastAsia="es-ES_tradnl"/>
        </w:rPr>
      </w:pPr>
      <w:r>
        <w:rPr>
          <w:rFonts w:ascii="Arial" w:hAnsi="Arial" w:eastAsia="Times New Roman" w:cs="Arial"/>
          <w:iCs/>
          <w:szCs w:val="24"/>
          <w:lang w:val="es-ES_tradnl" w:eastAsia="es-ES_tradnl"/>
        </w:rPr>
        <w:t xml:space="preserve">Por último, y por estar contemplado en su consulta, resulta pertinente referirnos, de manera puntual, a </w:t>
      </w:r>
      <w:r w:rsidRPr="00EA1DED">
        <w:rPr>
          <w:rFonts w:ascii="Arial" w:hAnsi="Arial" w:eastAsia="Times New Roman" w:cs="Arial"/>
          <w:iCs/>
          <w:szCs w:val="24"/>
          <w:lang w:val="es-ES_tradnl" w:eastAsia="es-ES_tradnl"/>
        </w:rPr>
        <w:t>las empresas prestadoras de servicios públicos mixtas</w:t>
      </w:r>
      <w:r>
        <w:rPr>
          <w:rFonts w:ascii="Arial" w:hAnsi="Arial" w:eastAsia="Times New Roman" w:cs="Arial"/>
          <w:iCs/>
          <w:szCs w:val="24"/>
          <w:lang w:val="es-ES_tradnl" w:eastAsia="es-ES_tradnl"/>
        </w:rPr>
        <w:t xml:space="preserve">. </w:t>
      </w:r>
      <w:r w:rsidRPr="00594128">
        <w:rPr>
          <w:rFonts w:ascii="Arial" w:hAnsi="Arial" w:eastAsia="Calibri" w:cs="Arial"/>
          <w:color w:val="000000"/>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594128">
        <w:rPr>
          <w:rFonts w:ascii="Arial" w:hAnsi="Arial" w:eastAsia="Calibri" w:cs="Arial"/>
          <w:color w:val="000000"/>
          <w:vertAlign w:val="superscript"/>
          <w:lang w:val="es-ES_tradnl" w:eastAsia="es-ES_tradnl"/>
        </w:rPr>
        <w:footnoteReference w:id="24"/>
      </w:r>
      <w:r w:rsidRPr="00594128">
        <w:rPr>
          <w:rFonts w:ascii="Arial" w:hAnsi="Arial" w:eastAsia="Calibri" w:cs="Arial"/>
          <w:color w:val="000000"/>
          <w:lang w:val="es-ES_tradnl" w:eastAsia="es-ES_tradnl"/>
        </w:rPr>
        <w:t>. En tal sentido, el artículo 365 de la Constitución dispone lo siguiente:</w:t>
      </w:r>
      <w:r>
        <w:rPr>
          <w:rFonts w:ascii="Arial" w:hAnsi="Arial" w:eastAsia="Calibri" w:cs="Arial"/>
          <w:color w:val="000000"/>
          <w:lang w:val="es-ES_tradnl" w:eastAsia="es-ES_tradnl"/>
        </w:rPr>
        <w:t xml:space="preserve"> </w:t>
      </w:r>
    </w:p>
    <w:p w:rsidRPr="00594128" w:rsidR="008F48A4" w:rsidP="008F48A4" w:rsidRDefault="008F48A4" w14:paraId="1415DE75" w14:textId="77777777">
      <w:pPr>
        <w:spacing w:after="0" w:line="276" w:lineRule="auto"/>
        <w:ind w:left="709" w:right="709"/>
        <w:contextualSpacing/>
        <w:jc w:val="both"/>
        <w:rPr>
          <w:rFonts w:ascii="Arial" w:hAnsi="Arial" w:eastAsia="Calibri" w:cs="Arial"/>
          <w:color w:val="000000"/>
          <w:lang w:val="es-ES_tradnl" w:eastAsia="es-ES_tradnl"/>
        </w:rPr>
      </w:pPr>
    </w:p>
    <w:p w:rsidRPr="00594128" w:rsidR="008F48A4" w:rsidP="008F48A4" w:rsidRDefault="008F48A4" w14:paraId="2603FDDB" w14:textId="77777777">
      <w:pPr>
        <w:spacing w:after="0" w:line="240" w:lineRule="auto"/>
        <w:ind w:left="709" w:right="709"/>
        <w:contextualSpacing/>
        <w:jc w:val="both"/>
        <w:rPr>
          <w:rFonts w:ascii="Arial" w:hAnsi="Arial" w:eastAsia="Calibri" w:cs="Arial"/>
          <w:color w:val="000000"/>
          <w:sz w:val="21"/>
          <w:szCs w:val="21"/>
          <w:lang w:val="es-ES_tradnl" w:eastAsia="es-ES_tradnl"/>
        </w:rPr>
      </w:pPr>
      <w:r>
        <w:rPr>
          <w:rFonts w:ascii="Arial" w:hAnsi="Arial" w:eastAsia="Calibri" w:cs="Arial"/>
          <w:color w:val="000000"/>
          <w:sz w:val="21"/>
          <w:szCs w:val="21"/>
          <w:lang w:val="es-ES_tradnl" w:eastAsia="es-ES_tradnl"/>
        </w:rPr>
        <w:t>“</w:t>
      </w:r>
      <w:r w:rsidRPr="00594128">
        <w:rPr>
          <w:rFonts w:ascii="Arial" w:hAnsi="Arial" w:eastAsia="Calibri" w:cs="Arial"/>
          <w:color w:val="000000"/>
          <w:sz w:val="21"/>
          <w:szCs w:val="21"/>
          <w:lang w:val="es-ES_tradnl" w:eastAsia="es-ES_tradnl"/>
        </w:rPr>
        <w:t>Los servicios públicos son inherentes a la finalidad social del Estado. Es deber del Estado asegurar su prestación eficiente a todos los habitantes del territorio nacional.</w:t>
      </w:r>
    </w:p>
    <w:p w:rsidRPr="00594128" w:rsidR="008F48A4" w:rsidP="008F48A4" w:rsidRDefault="008F48A4" w14:paraId="022E7BC0" w14:textId="77777777">
      <w:pPr>
        <w:spacing w:after="0" w:line="240" w:lineRule="auto"/>
        <w:ind w:left="709" w:right="709"/>
        <w:contextualSpacing/>
        <w:jc w:val="both"/>
        <w:rPr>
          <w:rFonts w:ascii="Arial" w:hAnsi="Arial" w:eastAsia="Calibri" w:cs="Arial"/>
          <w:color w:val="000000"/>
          <w:sz w:val="21"/>
          <w:szCs w:val="21"/>
          <w:lang w:val="es-ES_tradnl" w:eastAsia="es-ES_tradnl"/>
        </w:rPr>
      </w:pPr>
    </w:p>
    <w:p w:rsidRPr="00594128" w:rsidR="008F48A4" w:rsidP="008F48A4" w:rsidRDefault="008F48A4" w14:paraId="4C4E2946" w14:textId="77777777">
      <w:pPr>
        <w:spacing w:after="0" w:line="240" w:lineRule="auto"/>
        <w:ind w:left="709" w:right="709"/>
        <w:contextualSpacing/>
        <w:jc w:val="both"/>
        <w:rPr>
          <w:rFonts w:ascii="Arial" w:hAnsi="Arial" w:eastAsia="Calibri" w:cs="Arial"/>
          <w:color w:val="000000"/>
          <w:sz w:val="21"/>
          <w:szCs w:val="21"/>
          <w:lang w:val="es-ES_tradnl" w:eastAsia="es-ES_tradnl"/>
        </w:rPr>
      </w:pPr>
      <w:r w:rsidRPr="00594128">
        <w:rPr>
          <w:rFonts w:ascii="Arial" w:hAnsi="Arial" w:eastAsia="Calibri" w:cs="Arial"/>
          <w:color w:val="000000"/>
          <w:sz w:val="21"/>
          <w:szCs w:val="21"/>
          <w:lang w:val="es-ES_tradnl" w:eastAsia="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594128">
        <w:rPr>
          <w:rFonts w:ascii="Arial" w:hAnsi="Arial" w:eastAsia="Calibri" w:cs="Arial"/>
          <w:color w:val="000000"/>
          <w:sz w:val="21"/>
          <w:szCs w:val="21"/>
          <w:lang w:val="es-ES_tradnl" w:eastAsia="es-ES_tradnl"/>
        </w:rPr>
        <w:t>que</w:t>
      </w:r>
      <w:proofErr w:type="gramEnd"/>
      <w:r w:rsidRPr="00594128">
        <w:rPr>
          <w:rFonts w:ascii="Arial" w:hAnsi="Arial" w:eastAsia="Calibri" w:cs="Arial"/>
          <w:color w:val="000000"/>
          <w:sz w:val="21"/>
          <w:szCs w:val="21"/>
          <w:lang w:val="es-ES_tradnl" w:eastAsia="es-ES_tradnl"/>
        </w:rPr>
        <w:t xml:space="preserve"> en virtud de dicha ley, queden privadas del ejercicio de una actividad lícita.</w:t>
      </w:r>
      <w:r>
        <w:rPr>
          <w:rFonts w:ascii="Arial" w:hAnsi="Arial" w:eastAsia="Calibri" w:cs="Arial"/>
          <w:color w:val="000000"/>
          <w:sz w:val="21"/>
          <w:szCs w:val="21"/>
          <w:lang w:val="es-ES_tradnl" w:eastAsia="es-ES_tradnl"/>
        </w:rPr>
        <w:t>”</w:t>
      </w:r>
    </w:p>
    <w:p w:rsidRPr="00594128" w:rsidR="008F48A4" w:rsidP="008F48A4" w:rsidRDefault="008F48A4" w14:paraId="6D9248EE" w14:textId="77777777">
      <w:pPr>
        <w:spacing w:after="0" w:line="276" w:lineRule="auto"/>
        <w:ind w:firstLine="709"/>
        <w:contextualSpacing/>
        <w:jc w:val="both"/>
        <w:rPr>
          <w:rFonts w:ascii="Arial" w:hAnsi="Arial" w:eastAsia="Calibri" w:cs="Arial"/>
          <w:color w:val="000000"/>
          <w:lang w:val="es-ES_tradnl" w:eastAsia="es-ES_tradnl"/>
        </w:rPr>
      </w:pPr>
    </w:p>
    <w:p w:rsidRPr="00594128" w:rsidR="008F48A4" w:rsidP="008F48A4" w:rsidRDefault="008F48A4" w14:paraId="2004D5E3" w14:textId="77777777">
      <w:pPr>
        <w:spacing w:after="120" w:line="276" w:lineRule="auto"/>
        <w:ind w:firstLine="709"/>
        <w:jc w:val="both"/>
        <w:rPr>
          <w:rFonts w:ascii="Arial" w:hAnsi="Arial" w:eastAsia="Calibri" w:cs="Arial"/>
          <w:color w:val="000000"/>
          <w:lang w:val="es-ES_tradnl" w:eastAsia="es-ES_tradnl"/>
        </w:rPr>
      </w:pPr>
      <w:bookmarkStart w:name="_Hlk71791168" w:id="10"/>
      <w:bookmarkStart w:name="_Hlk112245622" w:id="11"/>
      <w:r w:rsidRPr="00594128">
        <w:rPr>
          <w:rFonts w:ascii="Arial" w:hAnsi="Arial" w:eastAsia="Calibri" w:cs="Arial"/>
          <w:color w:val="000000"/>
          <w:bdr w:val="none" w:color="auto" w:sz="0" w:space="0" w:frame="1"/>
          <w:lang w:eastAsia="es-ES_tradnl"/>
        </w:rPr>
        <w:t xml:space="preserve">Con base en este presupuesto constitucional de liberalización de los servicios públicos domiciliarios, el legislador expidió la Ley 142 de 1994, mediante la cual se establece el régimen de los servicios públicos domiciliarios. </w:t>
      </w:r>
      <w:r w:rsidRPr="00594128">
        <w:rPr>
          <w:rFonts w:ascii="Arial" w:hAnsi="Arial" w:eastAsia="Calibri" w:cs="Arial"/>
          <w:color w:val="000000"/>
          <w:lang w:eastAsia="es-ES_tradnl"/>
        </w:rPr>
        <w:t>E</w:t>
      </w:r>
      <w:r w:rsidRPr="00594128">
        <w:rPr>
          <w:rFonts w:ascii="Arial" w:hAnsi="Arial" w:eastAsia="Calibri" w:cs="Arial"/>
          <w:color w:val="000000"/>
          <w:lang w:val="es-ES_tradnl" w:eastAsia="es-ES_tradnl"/>
        </w:rPr>
        <w:t xml:space="preserve">l </w:t>
      </w:r>
      <w:bookmarkStart w:name="_Hlk71294880" w:id="12"/>
      <w:r w:rsidRPr="00594128">
        <w:rPr>
          <w:rFonts w:ascii="Arial" w:hAnsi="Arial" w:eastAsia="Calibri" w:cs="Arial"/>
          <w:color w:val="000000"/>
          <w:lang w:val="es-ES_tradnl" w:eastAsia="es-ES_tradnl"/>
        </w:rPr>
        <w:t xml:space="preserve">artículo 15 </w:t>
      </w:r>
      <w:bookmarkStart w:name="_Hlk71296753" w:id="13"/>
      <w:bookmarkEnd w:id="12"/>
      <w:proofErr w:type="spellStart"/>
      <w:r w:rsidRPr="00594128">
        <w:rPr>
          <w:rFonts w:ascii="Arial" w:hAnsi="Arial" w:eastAsia="Calibri" w:cs="Arial"/>
          <w:i/>
          <w:iCs/>
          <w:color w:val="000000"/>
          <w:lang w:val="es-ES_tradnl" w:eastAsia="es-ES_tradnl"/>
        </w:rPr>
        <w:t>ibídem</w:t>
      </w:r>
      <w:proofErr w:type="spellEnd"/>
      <w:r w:rsidRPr="00594128">
        <w:rPr>
          <w:rFonts w:ascii="Arial" w:hAnsi="Arial" w:eastAsia="Calibri" w:cs="Arial"/>
          <w:color w:val="000000"/>
          <w:lang w:val="es-ES_tradnl" w:eastAsia="es-ES_tradnl"/>
        </w:rPr>
        <w:t xml:space="preserve"> enuncia las </w:t>
      </w:r>
      <w:bookmarkStart w:name="_Hlk71294901" w:id="14"/>
      <w:r w:rsidRPr="00594128">
        <w:rPr>
          <w:rFonts w:ascii="Arial" w:hAnsi="Arial" w:eastAsia="Calibri" w:cs="Arial"/>
          <w:color w:val="000000"/>
          <w:lang w:val="es-ES_tradnl" w:eastAsia="es-ES_tradnl"/>
        </w:rPr>
        <w:t xml:space="preserve">personas autorizadas para prestar los servicios públicos domiciliarios: </w:t>
      </w:r>
      <w:bookmarkEnd w:id="14"/>
      <w:r w:rsidRPr="00594128">
        <w:rPr>
          <w:rFonts w:ascii="Arial" w:hAnsi="Arial" w:eastAsia="Calibri" w:cs="Arial"/>
          <w:color w:val="000000"/>
          <w:lang w:val="es-ES_tradnl" w:eastAsia="es-ES_tradnl"/>
        </w:rPr>
        <w:t xml:space="preserve">i) las empresas de servicios públicos, ii) los productores marginales, </w:t>
      </w:r>
      <w:proofErr w:type="spellStart"/>
      <w:r w:rsidRPr="00594128">
        <w:rPr>
          <w:rFonts w:ascii="Arial" w:hAnsi="Arial" w:eastAsia="Calibri" w:cs="Arial"/>
          <w:color w:val="000000"/>
          <w:lang w:val="es-ES_tradnl" w:eastAsia="es-ES_tradnl"/>
        </w:rPr>
        <w:t>iii</w:t>
      </w:r>
      <w:proofErr w:type="spellEnd"/>
      <w:r w:rsidRPr="00594128">
        <w:rPr>
          <w:rFonts w:ascii="Arial" w:hAnsi="Arial" w:eastAsia="Calibri" w:cs="Arial"/>
          <w:color w:val="000000"/>
          <w:lang w:val="es-ES_tradnl" w:eastAsia="es-ES_tradnl"/>
        </w:rPr>
        <w:t xml:space="preserve">) los municipios, en ciertos casos, iv) las organizaciones autorizadas y v) las </w:t>
      </w:r>
      <w:r w:rsidRPr="00AC5F71">
        <w:rPr>
          <w:rFonts w:ascii="Arial" w:hAnsi="Arial" w:eastAsia="Calibri" w:cs="Arial"/>
          <w:color w:val="000000"/>
          <w:u w:val="single"/>
          <w:lang w:val="es-ES_tradnl" w:eastAsia="es-ES_tradnl"/>
        </w:rPr>
        <w:t>entidades descentralizadas</w:t>
      </w:r>
      <w:r w:rsidRPr="00594128">
        <w:rPr>
          <w:rFonts w:ascii="Arial" w:hAnsi="Arial" w:eastAsia="Calibri" w:cs="Arial"/>
          <w:color w:val="000000"/>
          <w:lang w:val="es-ES_tradnl" w:eastAsia="es-ES_tradnl"/>
        </w:rPr>
        <w:t xml:space="preserve"> que se encontraran prestándolos y cumplan los requisitos establecidos en la le</w:t>
      </w:r>
      <w:bookmarkEnd w:id="13"/>
      <w:r w:rsidRPr="00594128">
        <w:rPr>
          <w:rFonts w:ascii="Arial" w:hAnsi="Arial" w:eastAsia="Calibri" w:cs="Arial"/>
          <w:color w:val="000000"/>
          <w:lang w:val="es-ES_tradnl" w:eastAsia="es-ES_tradnl"/>
        </w:rPr>
        <w:t>y</w:t>
      </w:r>
      <w:bookmarkEnd w:id="10"/>
      <w:r w:rsidRPr="00594128">
        <w:rPr>
          <w:rFonts w:ascii="Arial" w:hAnsi="Arial" w:eastAsia="Calibri" w:cs="Arial"/>
          <w:color w:val="000000"/>
          <w:vertAlign w:val="superscript"/>
          <w:lang w:val="es-ES_tradnl" w:eastAsia="es-ES_tradnl"/>
        </w:rPr>
        <w:footnoteReference w:id="25"/>
      </w:r>
      <w:r w:rsidRPr="00594128">
        <w:rPr>
          <w:rFonts w:ascii="Arial" w:hAnsi="Arial" w:eastAsia="Calibri" w:cs="Arial"/>
          <w:color w:val="000000"/>
          <w:lang w:val="es-ES_tradnl" w:eastAsia="es-ES_tradnl"/>
        </w:rPr>
        <w:t>.</w:t>
      </w:r>
    </w:p>
    <w:p w:rsidR="008F48A4" w:rsidP="008F48A4" w:rsidRDefault="008F48A4" w14:paraId="748E3004" w14:textId="77777777">
      <w:pPr>
        <w:spacing w:after="120" w:line="276" w:lineRule="auto"/>
        <w:ind w:firstLine="709"/>
        <w:jc w:val="both"/>
        <w:rPr>
          <w:rFonts w:ascii="Arial" w:hAnsi="Arial" w:eastAsia="Calibri" w:cs="Arial"/>
          <w:color w:val="000000"/>
          <w:lang w:val="es-ES_tradnl" w:eastAsia="es-ES_tradnl"/>
        </w:rPr>
      </w:pPr>
      <w:bookmarkStart w:name="_Hlk112753075" w:id="15"/>
      <w:bookmarkEnd w:id="11"/>
      <w:r w:rsidRPr="00594128">
        <w:rPr>
          <w:rFonts w:ascii="Arial" w:hAnsi="Arial" w:eastAsia="Calibri" w:cs="Arial"/>
          <w:color w:val="000000"/>
          <w:lang w:val="es-ES_tradnl" w:eastAsia="es-ES_tradnl"/>
        </w:rPr>
        <w:t>El artículo 14 de dicha Ley clasificó a las empresas de servicios públicos domiciliarios así: i) oficial –</w:t>
      </w:r>
      <w:r>
        <w:rPr>
          <w:rFonts w:ascii="Arial" w:hAnsi="Arial" w:eastAsia="Calibri" w:cs="Arial"/>
          <w:color w:val="000000"/>
          <w:lang w:val="es-ES_tradnl" w:eastAsia="es-ES_tradnl"/>
        </w:rPr>
        <w:t>”</w:t>
      </w:r>
      <w:r w:rsidRPr="00594128">
        <w:rPr>
          <w:rFonts w:ascii="Arial" w:hAnsi="Arial" w:eastAsia="Calibri" w:cs="Arial"/>
          <w:color w:val="000000"/>
          <w:lang w:val="es-ES_tradnl" w:eastAsia="es-ES_tradnl"/>
        </w:rPr>
        <w:t>[…] aquella en cuyo capital la Nación, las entidades territoriales, o las entidades descentralizadas de aquella o estas tienen el 100% de los aportes</w:t>
      </w:r>
      <w:r>
        <w:rPr>
          <w:rFonts w:ascii="Arial" w:hAnsi="Arial" w:eastAsia="Calibri" w:cs="Arial"/>
          <w:color w:val="000000"/>
          <w:lang w:val="es-ES_tradnl" w:eastAsia="es-ES_tradnl"/>
        </w:rPr>
        <w:t>”</w:t>
      </w:r>
      <w:r w:rsidRPr="00594128">
        <w:rPr>
          <w:rFonts w:ascii="Arial" w:hAnsi="Arial" w:eastAsia="Calibri" w:cs="Arial"/>
          <w:color w:val="000000"/>
          <w:lang w:val="es-ES_tradnl" w:eastAsia="es-ES_tradnl"/>
        </w:rPr>
        <w:t xml:space="preserve">–, ii) </w:t>
      </w:r>
      <w:r w:rsidRPr="00AC5F71">
        <w:rPr>
          <w:rFonts w:ascii="Arial" w:hAnsi="Arial" w:eastAsia="Calibri" w:cs="Arial"/>
          <w:color w:val="000000"/>
          <w:u w:val="single"/>
          <w:lang w:val="es-ES_tradnl" w:eastAsia="es-ES_tradnl"/>
        </w:rPr>
        <w:t>mixta</w:t>
      </w:r>
      <w:r w:rsidRPr="00594128">
        <w:rPr>
          <w:rFonts w:ascii="Arial" w:hAnsi="Arial" w:eastAsia="Calibri" w:cs="Arial"/>
          <w:color w:val="000000"/>
          <w:lang w:val="es-ES_tradnl" w:eastAsia="es-ES_tradnl"/>
        </w:rPr>
        <w:t xml:space="preserve"> –</w:t>
      </w:r>
      <w:r>
        <w:rPr>
          <w:rFonts w:ascii="Arial" w:hAnsi="Arial" w:eastAsia="Calibri" w:cs="Arial"/>
          <w:color w:val="000000"/>
          <w:lang w:val="es-ES_tradnl" w:eastAsia="es-ES_tradnl"/>
        </w:rPr>
        <w:t>”</w:t>
      </w:r>
      <w:r w:rsidRPr="00594128">
        <w:rPr>
          <w:rFonts w:ascii="Arial" w:hAnsi="Arial" w:eastAsia="Calibri" w:cs="Arial"/>
          <w:color w:val="000000"/>
          <w:lang w:val="es-ES_tradnl" w:eastAsia="es-ES_tradnl"/>
        </w:rPr>
        <w:t>[…] aquella en cuyo capital la Nación, las entidades territoriales, o las entidades descentralizadas de aquella o éstas tienen aportes iguales o superiores al 50%</w:t>
      </w:r>
      <w:r>
        <w:rPr>
          <w:rFonts w:ascii="Arial" w:hAnsi="Arial" w:eastAsia="Calibri" w:cs="Arial"/>
          <w:color w:val="000000"/>
          <w:lang w:val="es-ES_tradnl" w:eastAsia="es-ES_tradnl"/>
        </w:rPr>
        <w:t>”</w:t>
      </w:r>
      <w:r w:rsidRPr="00594128">
        <w:rPr>
          <w:rFonts w:ascii="Arial" w:hAnsi="Arial" w:eastAsia="Calibri" w:cs="Arial"/>
          <w:color w:val="000000"/>
          <w:lang w:val="es-ES_tradnl" w:eastAsia="es-ES_tradnl"/>
        </w:rPr>
        <w:t xml:space="preserve">– y </w:t>
      </w:r>
      <w:proofErr w:type="spellStart"/>
      <w:r w:rsidRPr="00594128">
        <w:rPr>
          <w:rFonts w:ascii="Arial" w:hAnsi="Arial" w:eastAsia="Calibri" w:cs="Arial"/>
          <w:color w:val="000000"/>
          <w:lang w:val="es-ES_tradnl" w:eastAsia="es-ES_tradnl"/>
        </w:rPr>
        <w:t>iii</w:t>
      </w:r>
      <w:proofErr w:type="spellEnd"/>
      <w:r w:rsidRPr="00594128">
        <w:rPr>
          <w:rFonts w:ascii="Arial" w:hAnsi="Arial" w:eastAsia="Calibri" w:cs="Arial"/>
          <w:color w:val="000000"/>
          <w:lang w:val="es-ES_tradnl" w:eastAsia="es-ES_tradnl"/>
        </w:rPr>
        <w:t>) privada –</w:t>
      </w:r>
      <w:r>
        <w:rPr>
          <w:rFonts w:ascii="Arial" w:hAnsi="Arial" w:eastAsia="Calibri" w:cs="Arial"/>
          <w:color w:val="000000"/>
          <w:lang w:val="es-ES_tradnl" w:eastAsia="es-ES_tradnl"/>
        </w:rPr>
        <w:t>”</w:t>
      </w:r>
      <w:r w:rsidRPr="00594128">
        <w:rPr>
          <w:rFonts w:ascii="Arial" w:hAnsi="Arial" w:eastAsia="Calibri" w:cs="Arial"/>
          <w:color w:val="000000"/>
          <w:lang w:val="es-ES_tradnl" w:eastAsia="es-ES_tradnl"/>
        </w:rPr>
        <w:t>[…] aquella cuyo capital pertenece mayoritariamente a particulares, o a entidades surgidas de convenios internacionales que deseen someterse íntegramente para estos efectos a las reglas a las que se someten los particulares</w:t>
      </w:r>
      <w:r>
        <w:rPr>
          <w:rFonts w:ascii="Arial" w:hAnsi="Arial" w:eastAsia="Calibri" w:cs="Arial"/>
          <w:color w:val="000000"/>
          <w:lang w:val="es-ES_tradnl" w:eastAsia="es-ES_tradnl"/>
        </w:rPr>
        <w:t>”</w:t>
      </w:r>
      <w:r w:rsidRPr="00594128">
        <w:rPr>
          <w:rFonts w:ascii="Arial" w:hAnsi="Arial" w:eastAsia="Calibri" w:cs="Arial"/>
          <w:color w:val="000000"/>
          <w:lang w:val="es-ES_tradnl" w:eastAsia="es-ES_tradnl"/>
        </w:rPr>
        <w:t>–.</w:t>
      </w:r>
    </w:p>
    <w:p w:rsidRPr="00594128" w:rsidR="008F48A4" w:rsidP="008F48A4" w:rsidRDefault="008F48A4" w14:paraId="3F567592" w14:textId="66487BEB">
      <w:pPr>
        <w:spacing w:after="120" w:line="276" w:lineRule="auto"/>
        <w:ind w:firstLine="709"/>
        <w:jc w:val="both"/>
        <w:rPr>
          <w:rFonts w:ascii="Arial" w:hAnsi="Arial" w:eastAsia="Calibri" w:cs="Arial"/>
          <w:color w:val="000000"/>
          <w:lang w:val="es-ES_tradnl" w:eastAsia="es-ES_tradnl"/>
        </w:rPr>
      </w:pPr>
      <w:r>
        <w:rPr>
          <w:rFonts w:ascii="Arial" w:hAnsi="Arial" w:eastAsia="Calibri" w:cs="Arial"/>
          <w:color w:val="000000"/>
          <w:lang w:val="es-ES_tradnl" w:eastAsia="es-ES_tradnl"/>
        </w:rPr>
        <w:t xml:space="preserve">En este orden de ideas, y atendiendo al criterio orgánico de los convenios y contratos interadministrativos expuesto con antelación, en el evento en el cual una entidad pública celebre uno de estos contratos con una empresa de servicios públicos domiciliarios de naturaleza mixta, y por ende entidad estatal, que se subsuma dentro de los sujetos descritos en la restricción del parágrafo del artículo 38 de la Ley de Garantías, lo cobijará la respectiva restricción. </w:t>
      </w:r>
    </w:p>
    <w:bookmarkEnd w:id="15"/>
    <w:p w:rsidRPr="00EB0A4D" w:rsidR="008F48A4" w:rsidP="008F48A4" w:rsidRDefault="008F48A4" w14:paraId="72E93E7F" w14:textId="77777777">
      <w:pPr>
        <w:spacing w:before="120" w:after="0" w:line="276" w:lineRule="auto"/>
        <w:ind w:firstLine="709"/>
        <w:jc w:val="both"/>
        <w:rPr>
          <w:rFonts w:ascii="Arial" w:hAnsi="Arial" w:eastAsia="Times New Roman" w:cs="Arial"/>
          <w:iCs/>
          <w:szCs w:val="24"/>
          <w:lang w:val="es-ES_tradnl" w:eastAsia="es-ES_tradnl"/>
        </w:rPr>
      </w:pPr>
    </w:p>
    <w:p w:rsidR="008F48A4" w:rsidP="008F48A4" w:rsidRDefault="008F48A4" w14:paraId="790F93E1"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1E5E77C5"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1DB0925C"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7306B36D"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6925DF80"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615836A2"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496C6C53"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11B5699A"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5AE11B98"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12C0D478" w14:textId="77777777">
      <w:pPr>
        <w:spacing w:before="120" w:after="0" w:line="276" w:lineRule="auto"/>
        <w:ind w:firstLine="709"/>
        <w:jc w:val="both"/>
        <w:rPr>
          <w:rFonts w:ascii="Arial" w:hAnsi="Arial" w:eastAsia="Times New Roman" w:cs="Arial"/>
          <w:iCs/>
          <w:szCs w:val="24"/>
          <w:lang w:val="es-ES_tradnl" w:eastAsia="es-ES_tradnl"/>
        </w:rPr>
      </w:pPr>
    </w:p>
    <w:p w:rsidR="00002528" w:rsidP="008F48A4" w:rsidRDefault="00002528" w14:paraId="76C71617" w14:textId="77777777">
      <w:pPr>
        <w:spacing w:before="120" w:after="0" w:line="276" w:lineRule="auto"/>
        <w:ind w:firstLine="709"/>
        <w:jc w:val="both"/>
        <w:rPr>
          <w:rFonts w:ascii="Arial" w:hAnsi="Arial" w:eastAsia="Times New Roman" w:cs="Arial"/>
          <w:iCs/>
          <w:szCs w:val="24"/>
          <w:lang w:val="es-ES_tradnl" w:eastAsia="es-ES_tradnl"/>
        </w:rPr>
      </w:pPr>
    </w:p>
    <w:p w:rsidRPr="00EB0A4D" w:rsidR="008F48A4" w:rsidP="008F48A4" w:rsidRDefault="008F48A4" w14:paraId="65A927C8" w14:textId="77777777">
      <w:pPr>
        <w:spacing w:after="0" w:line="276" w:lineRule="auto"/>
        <w:jc w:val="both"/>
        <w:rPr>
          <w:rFonts w:ascii="Arial" w:hAnsi="Arial" w:eastAsia="Times New Roman" w:cs="Arial"/>
          <w:iCs/>
          <w:szCs w:val="24"/>
          <w:lang w:val="es-ES_tradnl" w:eastAsia="es-ES_tradnl"/>
        </w:rPr>
      </w:pPr>
    </w:p>
    <w:p w:rsidRPr="00EB0A4D" w:rsidR="008F48A4" w:rsidP="008F48A4" w:rsidRDefault="008F48A4" w14:paraId="2568060A" w14:textId="77777777">
      <w:pPr>
        <w:spacing w:after="0" w:line="276" w:lineRule="auto"/>
        <w:contextualSpacing/>
        <w:jc w:val="both"/>
        <w:rPr>
          <w:rFonts w:ascii="Arial" w:hAnsi="Arial" w:eastAsia="Calibri" w:cs="Arial"/>
          <w:b/>
        </w:rPr>
      </w:pPr>
      <w:r w:rsidRPr="00EB0A4D">
        <w:rPr>
          <w:rFonts w:ascii="Arial" w:hAnsi="Arial" w:eastAsia="Calibri" w:cs="Arial"/>
          <w:b/>
        </w:rPr>
        <w:t>3. Respuesta</w:t>
      </w:r>
    </w:p>
    <w:p w:rsidRPr="00EB0A4D" w:rsidR="008F48A4" w:rsidP="008F48A4" w:rsidRDefault="008F48A4" w14:paraId="22BC7411" w14:textId="77777777">
      <w:pPr>
        <w:spacing w:after="0" w:line="276" w:lineRule="auto"/>
        <w:contextualSpacing/>
        <w:jc w:val="both"/>
        <w:rPr>
          <w:rFonts w:ascii="Arial" w:hAnsi="Arial" w:eastAsia="Calibri" w:cs="Arial"/>
          <w:b/>
        </w:rPr>
      </w:pPr>
    </w:p>
    <w:p w:rsidRPr="00196CAD" w:rsidR="008F48A4" w:rsidP="008F48A4" w:rsidRDefault="008F48A4" w14:paraId="32BD8020" w14:textId="77777777">
      <w:pPr>
        <w:spacing w:before="120" w:after="0" w:line="240" w:lineRule="auto"/>
        <w:ind w:left="709" w:right="709"/>
        <w:contextualSpacing/>
        <w:jc w:val="both"/>
        <w:rPr>
          <w:rFonts w:ascii="Arial" w:hAnsi="Arial" w:eastAsia="Calibri" w:cs="Arial"/>
          <w:sz w:val="21"/>
          <w:szCs w:val="21"/>
          <w:lang w:val="es-MX"/>
        </w:rPr>
      </w:pPr>
      <w:bookmarkStart w:name="_Hlk57650395" w:id="16"/>
      <w:r w:rsidRPr="00EB0A4D">
        <w:rPr>
          <w:rFonts w:ascii="Arial" w:hAnsi="Arial" w:eastAsia="Calibri" w:cs="Arial"/>
          <w:sz w:val="21"/>
          <w:szCs w:val="21"/>
          <w:lang w:val="es-MX"/>
        </w:rPr>
        <w:t>“</w:t>
      </w:r>
      <w:r w:rsidRPr="00196CAD">
        <w:rPr>
          <w:rFonts w:ascii="Arial" w:hAnsi="Arial" w:eastAsia="Calibri" w:cs="Arial"/>
          <w:sz w:val="21"/>
          <w:szCs w:val="21"/>
          <w:lang w:val="es-MX"/>
        </w:rPr>
        <w:t>1. Si la restricción prevista en el parágrafo del artículo 38 de la Ley 996 de 2005,</w:t>
      </w:r>
    </w:p>
    <w:p w:rsidR="008F48A4" w:rsidP="008F48A4" w:rsidRDefault="008F48A4" w14:paraId="2AE91E33" w14:textId="77777777">
      <w:pPr>
        <w:spacing w:before="120" w:after="0" w:line="240" w:lineRule="auto"/>
        <w:ind w:left="709" w:right="709"/>
        <w:contextualSpacing/>
        <w:jc w:val="both"/>
        <w:rPr>
          <w:rFonts w:ascii="Arial" w:hAnsi="Arial" w:eastAsia="Calibri" w:cs="Arial"/>
          <w:sz w:val="21"/>
          <w:szCs w:val="21"/>
          <w:lang w:val="es-MX"/>
        </w:rPr>
      </w:pPr>
      <w:r w:rsidRPr="00196CAD">
        <w:rPr>
          <w:rFonts w:ascii="Arial" w:hAnsi="Arial" w:eastAsia="Calibri" w:cs="Arial"/>
          <w:sz w:val="21"/>
          <w:szCs w:val="21"/>
          <w:lang w:val="es-MX"/>
        </w:rPr>
        <w:t>para celebrar convenios y contratos interadministrativos por las elecciones territoriales</w:t>
      </w:r>
      <w:r>
        <w:rPr>
          <w:rFonts w:ascii="Arial" w:hAnsi="Arial" w:eastAsia="Calibri" w:cs="Arial"/>
          <w:sz w:val="21"/>
          <w:szCs w:val="21"/>
          <w:lang w:val="es-MX"/>
        </w:rPr>
        <w:t xml:space="preserve"> </w:t>
      </w:r>
      <w:r w:rsidRPr="00196CAD">
        <w:rPr>
          <w:rFonts w:ascii="Arial" w:hAnsi="Arial" w:eastAsia="Calibri" w:cs="Arial"/>
          <w:sz w:val="21"/>
          <w:szCs w:val="21"/>
          <w:lang w:val="es-MX"/>
        </w:rPr>
        <w:t>a realizar este año, le son aplicables a los convenios ENTRE UNA ENTIDAD PUBLICA</w:t>
      </w:r>
      <w:r>
        <w:rPr>
          <w:rFonts w:ascii="Arial" w:hAnsi="Arial" w:eastAsia="Calibri" w:cs="Arial"/>
          <w:sz w:val="21"/>
          <w:szCs w:val="21"/>
          <w:lang w:val="es-MX"/>
        </w:rPr>
        <w:t xml:space="preserve"> </w:t>
      </w:r>
      <w:r w:rsidRPr="00196CAD">
        <w:rPr>
          <w:rFonts w:ascii="Arial" w:hAnsi="Arial" w:eastAsia="Calibri" w:cs="Arial"/>
          <w:sz w:val="21"/>
          <w:szCs w:val="21"/>
          <w:lang w:val="es-MX"/>
        </w:rPr>
        <w:t>Y UNA EMPRESA DE SERVICIOS PÚBLICOS cuyo capital corresponde el 80% al</w:t>
      </w:r>
      <w:r>
        <w:rPr>
          <w:rFonts w:ascii="Arial" w:hAnsi="Arial" w:eastAsia="Calibri" w:cs="Arial"/>
          <w:sz w:val="21"/>
          <w:szCs w:val="21"/>
          <w:lang w:val="es-MX"/>
        </w:rPr>
        <w:t xml:space="preserve"> </w:t>
      </w:r>
      <w:r w:rsidRPr="00196CAD">
        <w:rPr>
          <w:rFonts w:ascii="Arial" w:hAnsi="Arial" w:eastAsia="Calibri" w:cs="Arial"/>
          <w:sz w:val="21"/>
          <w:szCs w:val="21"/>
          <w:lang w:val="es-MX"/>
        </w:rPr>
        <w:t>estado y el 20% a particulares?</w:t>
      </w:r>
    </w:p>
    <w:p w:rsidR="008F48A4" w:rsidP="008F48A4" w:rsidRDefault="008F48A4" w14:paraId="4C384472" w14:textId="77777777">
      <w:pPr>
        <w:spacing w:before="120" w:after="0" w:line="240" w:lineRule="auto"/>
        <w:ind w:left="709" w:right="709"/>
        <w:contextualSpacing/>
        <w:jc w:val="both"/>
        <w:rPr>
          <w:rFonts w:ascii="Arial" w:hAnsi="Arial" w:eastAsia="Calibri" w:cs="Arial"/>
          <w:sz w:val="21"/>
          <w:szCs w:val="21"/>
          <w:lang w:val="es-MX"/>
        </w:rPr>
      </w:pPr>
    </w:p>
    <w:p w:rsidR="008F48A4" w:rsidP="008F48A4" w:rsidRDefault="008F48A4" w14:paraId="25A6B2EA" w14:textId="77777777">
      <w:pPr>
        <w:spacing w:before="120" w:after="0" w:line="240" w:lineRule="auto"/>
        <w:ind w:left="709" w:right="709"/>
        <w:contextualSpacing/>
        <w:jc w:val="both"/>
        <w:rPr>
          <w:rFonts w:ascii="Arial" w:hAnsi="Arial" w:eastAsia="Calibri" w:cs="Arial"/>
          <w:sz w:val="21"/>
          <w:szCs w:val="21"/>
          <w:lang w:val="es-MX"/>
        </w:rPr>
      </w:pPr>
      <w:r>
        <w:rPr>
          <w:rFonts w:ascii="Arial" w:hAnsi="Arial" w:eastAsia="Calibri" w:cs="Arial"/>
          <w:sz w:val="21"/>
          <w:szCs w:val="21"/>
          <w:lang w:val="es-MX"/>
        </w:rPr>
        <w:t xml:space="preserve">[…] </w:t>
      </w:r>
    </w:p>
    <w:p w:rsidRPr="00196CAD" w:rsidR="008F48A4" w:rsidP="008F48A4" w:rsidRDefault="008F48A4" w14:paraId="072A8B43" w14:textId="77777777">
      <w:pPr>
        <w:spacing w:before="120" w:after="0" w:line="240" w:lineRule="auto"/>
        <w:ind w:left="709" w:right="709"/>
        <w:contextualSpacing/>
        <w:jc w:val="both"/>
        <w:rPr>
          <w:rFonts w:ascii="Arial" w:hAnsi="Arial" w:eastAsia="Calibri" w:cs="Arial"/>
          <w:sz w:val="21"/>
          <w:szCs w:val="21"/>
          <w:lang w:val="es-MX"/>
        </w:rPr>
      </w:pPr>
    </w:p>
    <w:p w:rsidRPr="00196CAD" w:rsidR="008F48A4" w:rsidP="008F48A4" w:rsidRDefault="008F48A4" w14:paraId="062D2B10" w14:textId="77777777">
      <w:pPr>
        <w:spacing w:before="120" w:after="0" w:line="240" w:lineRule="auto"/>
        <w:ind w:left="709" w:right="709"/>
        <w:contextualSpacing/>
        <w:jc w:val="both"/>
        <w:rPr>
          <w:rFonts w:ascii="Arial" w:hAnsi="Arial" w:eastAsia="Calibri" w:cs="Arial"/>
          <w:sz w:val="21"/>
          <w:szCs w:val="21"/>
          <w:lang w:val="es-MX"/>
        </w:rPr>
      </w:pPr>
      <w:r w:rsidRPr="00196CAD">
        <w:rPr>
          <w:rFonts w:ascii="Arial" w:hAnsi="Arial" w:eastAsia="Calibri" w:cs="Arial"/>
          <w:sz w:val="21"/>
          <w:szCs w:val="21"/>
          <w:lang w:val="es-MX"/>
        </w:rPr>
        <w:t>2. Si la restricción prevista en el parágrafo del artículo 38 de la Ley 996 de 2005,</w:t>
      </w:r>
    </w:p>
    <w:p w:rsidRPr="007D44EB" w:rsidR="008F48A4" w:rsidP="008F48A4" w:rsidRDefault="008F48A4" w14:paraId="0DD9AE40" w14:textId="0DA984BD">
      <w:pPr>
        <w:spacing w:before="120" w:after="0" w:line="240" w:lineRule="auto"/>
        <w:ind w:left="709" w:right="709"/>
        <w:contextualSpacing/>
        <w:jc w:val="both"/>
        <w:rPr>
          <w:rFonts w:ascii="Arial" w:hAnsi="Arial" w:eastAsia="Calibri" w:cs="Arial"/>
          <w:sz w:val="21"/>
          <w:szCs w:val="21"/>
          <w:lang w:val="es-MX"/>
        </w:rPr>
      </w:pPr>
      <w:r w:rsidRPr="00196CAD">
        <w:rPr>
          <w:rFonts w:ascii="Arial" w:hAnsi="Arial" w:eastAsia="Calibri" w:cs="Arial"/>
          <w:sz w:val="21"/>
          <w:szCs w:val="21"/>
          <w:lang w:val="es-MX"/>
        </w:rPr>
        <w:t>para celebrar convenios y contratos interadministrativos por las elecciones territoriales</w:t>
      </w:r>
      <w:r>
        <w:rPr>
          <w:rFonts w:ascii="Arial" w:hAnsi="Arial" w:eastAsia="Calibri" w:cs="Arial"/>
          <w:sz w:val="21"/>
          <w:szCs w:val="21"/>
          <w:lang w:val="es-MX"/>
        </w:rPr>
        <w:t xml:space="preserve"> </w:t>
      </w:r>
      <w:r w:rsidRPr="00196CAD">
        <w:rPr>
          <w:rFonts w:ascii="Arial" w:hAnsi="Arial" w:eastAsia="Calibri" w:cs="Arial"/>
          <w:sz w:val="21"/>
          <w:szCs w:val="21"/>
          <w:lang w:val="es-MX"/>
        </w:rPr>
        <w:t>a realizar este año, le son aplicables a los convenios entre una ENTIDAD PUBLICA, UN PRIVADO Y ECOPETROL S.A (convenio tripartito)?</w:t>
      </w:r>
      <w:r w:rsidRPr="007D44EB">
        <w:rPr>
          <w:rFonts w:ascii="Arial" w:hAnsi="Arial" w:eastAsia="Calibri" w:cs="Arial"/>
          <w:sz w:val="21"/>
          <w:szCs w:val="21"/>
          <w:lang w:val="es-MX"/>
        </w:rPr>
        <w:t>”</w:t>
      </w:r>
    </w:p>
    <w:p w:rsidRPr="00EB0A4D" w:rsidR="008F48A4" w:rsidP="008F48A4" w:rsidRDefault="008F48A4" w14:paraId="72FE91E2" w14:textId="77777777">
      <w:pPr>
        <w:spacing w:before="120" w:after="0" w:line="240" w:lineRule="auto"/>
        <w:ind w:left="709" w:right="709"/>
        <w:contextualSpacing/>
        <w:jc w:val="both"/>
        <w:rPr>
          <w:rFonts w:ascii="Arial" w:hAnsi="Arial" w:eastAsia="Calibri" w:cs="Arial"/>
          <w:sz w:val="21"/>
          <w:szCs w:val="21"/>
          <w:lang w:val="es-MX"/>
        </w:rPr>
      </w:pPr>
    </w:p>
    <w:p w:rsidRPr="00EB0A4D" w:rsidR="008F48A4" w:rsidP="008F48A4" w:rsidRDefault="008F48A4" w14:paraId="2B2F73A1" w14:textId="77777777">
      <w:pPr>
        <w:spacing w:after="120" w:line="276" w:lineRule="auto"/>
        <w:jc w:val="both"/>
        <w:rPr>
          <w:rFonts w:ascii="Arial" w:hAnsi="Arial" w:cs="Arial"/>
          <w:bCs/>
          <w:lang w:val="es-ES_tradnl" w:eastAsia="es-CO" w:bidi="es-ES"/>
        </w:rPr>
      </w:pPr>
      <w:r w:rsidRPr="00EB0A4D">
        <w:rPr>
          <w:rFonts w:ascii="Arial" w:hAnsi="Arial" w:cs="Arial"/>
          <w:bCs/>
          <w:lang w:val="es-MX" w:eastAsia="es-CO"/>
        </w:rPr>
        <w:t xml:space="preserve">Teniendo en cuenta que el parágrafo del artículo 38 de la Ley de Garantías Electorales, establece una restricción en virtud de la cual, durante el periodo de cuatro (4) meses anteriores a cualquier jornada de elecciones, las entidades territoriales </w:t>
      </w:r>
      <w:r w:rsidRPr="00585AEE">
        <w:rPr>
          <w:rFonts w:ascii="Arial" w:hAnsi="Arial" w:cs="Arial"/>
          <w:bCs/>
          <w:u w:val="single"/>
          <w:lang w:val="es-MX" w:eastAsia="es-CO"/>
        </w:rPr>
        <w:t>no pueden suscribir convenios interadministrativos que impliquen la ejecución de recursos públicos</w:t>
      </w:r>
      <w:r w:rsidRPr="00EB0A4D">
        <w:rPr>
          <w:rFonts w:ascii="Arial" w:hAnsi="Arial" w:cs="Arial"/>
          <w:bCs/>
          <w:lang w:val="es-MX" w:eastAsia="es-CO"/>
        </w:rPr>
        <w:t xml:space="preserve">. Para determinar el alcance de la prohibición consagrada por la Ley de Garantías Electorales, conviene precisar la tipología de convenios o contratos interadministrativos. </w:t>
      </w:r>
      <w:r w:rsidRPr="00EB0A4D">
        <w:rPr>
          <w:rFonts w:ascii="Arial" w:hAnsi="Arial" w:cs="Arial"/>
          <w:bCs/>
          <w:lang w:val="es-ES_tradnl" w:eastAsia="es-CO"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Pr="00EB0A4D" w:rsidR="008F48A4" w:rsidP="008F48A4" w:rsidRDefault="008F48A4" w14:paraId="5673A9F3"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 xml:space="preserve">Ahora bien, debe aclararse que </w:t>
      </w:r>
      <w:r w:rsidRPr="00EB0A4D">
        <w:rPr>
          <w:rFonts w:ascii="Arial" w:hAnsi="Arial" w:eastAsia="Times New Roman" w:cs="Arial"/>
          <w:iCs/>
          <w:szCs w:val="24"/>
          <w:u w:val="single"/>
          <w:lang w:val="es-ES_tradnl" w:eastAsia="es-ES_tradnl"/>
        </w:rPr>
        <w:t>para los comicios que se celebrarán este año</w:t>
      </w:r>
      <w:r w:rsidRPr="00EB0A4D">
        <w:rPr>
          <w:rFonts w:ascii="Arial" w:hAnsi="Arial" w:eastAsia="Times New Roman" w:cs="Arial"/>
          <w:iCs/>
          <w:szCs w:val="24"/>
          <w:lang w:val="es-ES_tradnl" w:eastAsia="es-ES_tradnl"/>
        </w:rPr>
        <w:t xml:space="preserve">, aplicarán las restricciones contractuales establecidas en el parágrafo del </w:t>
      </w:r>
      <w:r w:rsidRPr="00EB0A4D">
        <w:rPr>
          <w:rFonts w:ascii="Arial" w:hAnsi="Arial" w:eastAsia="Times New Roman" w:cs="Arial"/>
          <w:iCs/>
          <w:szCs w:val="24"/>
          <w:u w:val="single"/>
          <w:lang w:val="es-ES_tradnl" w:eastAsia="es-ES_tradnl"/>
        </w:rPr>
        <w:t>artículo 38 de la Ley 996 de 2005</w:t>
      </w:r>
      <w:r w:rsidRPr="00EB0A4D">
        <w:rPr>
          <w:rFonts w:ascii="Arial" w:hAnsi="Arial" w:eastAsia="Times New Roman" w:cs="Arial"/>
          <w:iCs/>
          <w:szCs w:val="24"/>
          <w:lang w:val="es-ES_tradnl" w:eastAsia="es-ES_tradnl"/>
        </w:rPr>
        <w:t xml:space="preserve"> que </w:t>
      </w:r>
      <w:r w:rsidRPr="00EB0A4D">
        <w:rPr>
          <w:rFonts w:ascii="Arial" w:hAnsi="Arial" w:eastAsia="Times New Roman" w:cs="Arial"/>
          <w:iCs/>
          <w:szCs w:val="24"/>
          <w:u w:val="single"/>
          <w:lang w:val="es-ES_tradnl" w:eastAsia="es-ES_tradnl"/>
        </w:rPr>
        <w:t>prohíbe</w:t>
      </w:r>
      <w:r w:rsidRPr="00EB0A4D">
        <w:rPr>
          <w:rFonts w:ascii="Arial" w:hAnsi="Arial" w:eastAsia="Times New Roman" w:cs="Arial"/>
          <w:iCs/>
          <w:szCs w:val="24"/>
          <w:lang w:val="es-ES_tradnl" w:eastAsia="es-ES_tradnl"/>
        </w:rPr>
        <w:t xml:space="preserve"> a los alcaldes, gobernadores, secretarios, gerentes y directores de las entidades del orden municipal, departamental o distrital </w:t>
      </w:r>
      <w:r w:rsidRPr="00EB0A4D">
        <w:rPr>
          <w:rFonts w:ascii="Arial" w:hAnsi="Arial" w:eastAsia="Times New Roman" w:cs="Arial"/>
          <w:iCs/>
          <w:szCs w:val="24"/>
          <w:u w:val="single"/>
          <w:lang w:val="es-ES_tradnl" w:eastAsia="es-ES_tradnl"/>
        </w:rPr>
        <w:t xml:space="preserve">celebrar convenios </w:t>
      </w:r>
      <w:r w:rsidRPr="00EB0A4D">
        <w:rPr>
          <w:rFonts w:ascii="Arial" w:hAnsi="Arial" w:eastAsia="Times New Roman" w:cs="Arial"/>
          <w:iCs/>
          <w:szCs w:val="24"/>
          <w:u w:val="single"/>
          <w:lang w:val="es-ES_tradnl" w:eastAsia="es-ES_tradnl"/>
        </w:rPr>
        <w:t>y contratos interadministrativos para la ejecución de recursos públicos</w:t>
      </w:r>
      <w:r w:rsidRPr="00EB0A4D">
        <w:rPr>
          <w:rFonts w:ascii="Arial" w:hAnsi="Arial" w:eastAsia="Times New Roman" w:cs="Arial"/>
          <w:iCs/>
          <w:szCs w:val="24"/>
          <w:lang w:val="es-ES_tradnl" w:eastAsia="es-ES_tradnl"/>
        </w:rPr>
        <w:t xml:space="preserve">. En este sentido, si una o ambas partes de la relación contractual es una de las entidades descritas en el parágrafo </w:t>
      </w:r>
      <w:r w:rsidRPr="00EB0A4D">
        <w:rPr>
          <w:rFonts w:ascii="Arial" w:hAnsi="Arial" w:eastAsia="Times New Roman" w:cs="Arial"/>
          <w:i/>
          <w:szCs w:val="24"/>
          <w:lang w:val="es-ES_tradnl" w:eastAsia="es-ES_tradnl"/>
        </w:rPr>
        <w:t xml:space="preserve">ibidem, </w:t>
      </w:r>
      <w:r w:rsidRPr="00EB0A4D">
        <w:rPr>
          <w:rFonts w:ascii="Arial" w:hAnsi="Arial" w:eastAsia="Times New Roman"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008F48A4" w:rsidP="008F48A4" w:rsidRDefault="008F48A4" w14:paraId="2E4BAD8A" w14:textId="3C78B058">
      <w:pPr>
        <w:spacing w:before="120" w:after="0" w:line="276" w:lineRule="auto"/>
        <w:ind w:firstLine="709"/>
        <w:jc w:val="both"/>
        <w:rPr>
          <w:rFonts w:ascii="Arial" w:hAnsi="Arial" w:eastAsia="Times New Roman" w:cs="Arial"/>
          <w:iCs/>
          <w:szCs w:val="24"/>
          <w:lang w:val="es-ES_tradnl" w:eastAsia="es-ES_tradnl"/>
        </w:rPr>
      </w:pPr>
      <w:r>
        <w:rPr>
          <w:rFonts w:ascii="Arial" w:hAnsi="Arial" w:eastAsia="Times New Roman" w:cs="Arial"/>
          <w:iCs/>
          <w:szCs w:val="24"/>
          <w:lang w:val="es-ES_tradnl" w:eastAsia="es-ES_tradnl"/>
        </w:rPr>
        <w:t xml:space="preserve">Por último, como se desarrolló en las consideraciones del presente concepto </w:t>
      </w:r>
      <w:r w:rsidRPr="00F24730">
        <w:rPr>
          <w:rFonts w:ascii="Arial" w:hAnsi="Arial" w:eastAsia="Times New Roman" w:cs="Arial"/>
          <w:iCs/>
          <w:szCs w:val="24"/>
          <w:lang w:val="es-ES_tradnl" w:eastAsia="es-ES_tradnl"/>
        </w:rPr>
        <w:t xml:space="preserve">y atendiendo al criterio orgánico de los convenios y contratos interadministrativos expuesto con antelación, en el evento en el cual una entidad pública celebre uno de estos contratos  con una empresa de servicios públicos domiciliarios de naturaleza mixta, y por ende entidad estatal, que se subsuma dentro de los sujetos descritos en la restricción del parágrafo del artículo 38 de la Ley de Garantías, lo cobijará la respectiva restricción. </w:t>
      </w:r>
      <w:r w:rsidR="003214D1">
        <w:rPr>
          <w:rFonts w:ascii="Arial" w:hAnsi="Arial" w:eastAsia="Times New Roman" w:cs="Arial"/>
          <w:iCs/>
          <w:szCs w:val="24"/>
          <w:lang w:val="es-ES_tradnl" w:eastAsia="es-ES_tradnl"/>
        </w:rPr>
        <w:t xml:space="preserve">Por otro lado, en el evento </w:t>
      </w:r>
      <w:r w:rsidR="00710BE1">
        <w:rPr>
          <w:rFonts w:ascii="Arial" w:hAnsi="Arial" w:eastAsia="Times New Roman" w:cs="Arial"/>
          <w:iCs/>
          <w:szCs w:val="24"/>
          <w:lang w:val="es-ES_tradnl" w:eastAsia="es-ES_tradnl"/>
        </w:rPr>
        <w:t>en el cual una de las partes se</w:t>
      </w:r>
      <w:r w:rsidR="00EF29F5">
        <w:rPr>
          <w:rFonts w:ascii="Arial" w:hAnsi="Arial" w:eastAsia="Times New Roman" w:cs="Arial"/>
          <w:iCs/>
          <w:szCs w:val="24"/>
          <w:lang w:val="es-ES_tradnl" w:eastAsia="es-ES_tradnl"/>
        </w:rPr>
        <w:t>a</w:t>
      </w:r>
      <w:r w:rsidR="00710BE1">
        <w:rPr>
          <w:rFonts w:ascii="Arial" w:hAnsi="Arial" w:eastAsia="Times New Roman" w:cs="Arial"/>
          <w:iCs/>
          <w:szCs w:val="24"/>
          <w:lang w:val="es-ES_tradnl" w:eastAsia="es-ES_tradnl"/>
        </w:rPr>
        <w:t xml:space="preserve"> de naturaleza privada</w:t>
      </w:r>
      <w:r w:rsidR="00EF29F5">
        <w:rPr>
          <w:rFonts w:ascii="Arial" w:hAnsi="Arial" w:eastAsia="Times New Roman" w:cs="Arial"/>
          <w:iCs/>
          <w:szCs w:val="24"/>
          <w:lang w:val="es-ES_tradnl" w:eastAsia="es-ES_tradnl"/>
        </w:rPr>
        <w:t>, dicho negocio jurídico no se entenderá</w:t>
      </w:r>
      <w:r w:rsidR="006744D1">
        <w:rPr>
          <w:rFonts w:ascii="Arial" w:hAnsi="Arial" w:eastAsia="Times New Roman" w:cs="Arial"/>
          <w:iCs/>
          <w:szCs w:val="24"/>
          <w:lang w:val="es-ES_tradnl" w:eastAsia="es-ES_tradnl"/>
        </w:rPr>
        <w:t xml:space="preserve"> como un </w:t>
      </w:r>
      <w:r w:rsidR="00710BE1">
        <w:rPr>
          <w:rFonts w:ascii="Arial" w:hAnsi="Arial" w:eastAsia="Times New Roman" w:cs="Arial"/>
          <w:iCs/>
          <w:szCs w:val="24"/>
          <w:lang w:val="es-ES_tradnl" w:eastAsia="es-ES_tradnl"/>
        </w:rPr>
        <w:t xml:space="preserve"> </w:t>
      </w:r>
      <w:r w:rsidRPr="006744D1" w:rsidR="006744D1">
        <w:rPr>
          <w:rFonts w:ascii="Arial" w:hAnsi="Arial" w:eastAsia="Times New Roman" w:cs="Arial"/>
          <w:iCs/>
          <w:szCs w:val="24"/>
          <w:lang w:val="es-ES_tradnl" w:eastAsia="es-ES_tradnl"/>
        </w:rPr>
        <w:t xml:space="preserve">convenios </w:t>
      </w:r>
      <w:r w:rsidR="006744D1">
        <w:rPr>
          <w:rFonts w:ascii="Arial" w:hAnsi="Arial" w:eastAsia="Times New Roman" w:cs="Arial"/>
          <w:iCs/>
          <w:szCs w:val="24"/>
          <w:lang w:val="es-ES_tradnl" w:eastAsia="es-ES_tradnl"/>
        </w:rPr>
        <w:t xml:space="preserve">o </w:t>
      </w:r>
      <w:r w:rsidRPr="006744D1" w:rsidR="006744D1">
        <w:rPr>
          <w:rFonts w:ascii="Arial" w:hAnsi="Arial" w:eastAsia="Times New Roman" w:cs="Arial"/>
          <w:iCs/>
          <w:szCs w:val="24"/>
          <w:lang w:val="es-ES_tradnl" w:eastAsia="es-ES_tradnl"/>
        </w:rPr>
        <w:t>contratos interadministrativos</w:t>
      </w:r>
      <w:r w:rsidR="006744D1">
        <w:rPr>
          <w:rFonts w:ascii="Arial" w:hAnsi="Arial" w:eastAsia="Times New Roman" w:cs="Arial"/>
          <w:iCs/>
          <w:szCs w:val="24"/>
          <w:lang w:val="es-ES_tradnl" w:eastAsia="es-ES_tradnl"/>
        </w:rPr>
        <w:t xml:space="preserve"> </w:t>
      </w:r>
      <w:proofErr w:type="gramStart"/>
      <w:r w:rsidR="006744D1">
        <w:rPr>
          <w:rFonts w:ascii="Arial" w:hAnsi="Arial" w:eastAsia="Times New Roman" w:cs="Arial"/>
          <w:iCs/>
          <w:szCs w:val="24"/>
          <w:lang w:val="es-ES_tradnl" w:eastAsia="es-ES_tradnl"/>
        </w:rPr>
        <w:t>en razón del</w:t>
      </w:r>
      <w:proofErr w:type="gramEnd"/>
      <w:r w:rsidR="006744D1">
        <w:rPr>
          <w:rFonts w:ascii="Arial" w:hAnsi="Arial" w:eastAsia="Times New Roman" w:cs="Arial"/>
          <w:iCs/>
          <w:szCs w:val="24"/>
          <w:lang w:val="es-ES_tradnl" w:eastAsia="es-ES_tradnl"/>
        </w:rPr>
        <w:t xml:space="preserve"> criterio orgánico anteriormente expuesto. </w:t>
      </w:r>
    </w:p>
    <w:p w:rsidRPr="00EB0A4D" w:rsidR="008F48A4" w:rsidP="008F48A4" w:rsidRDefault="008F48A4" w14:paraId="38B3E2FA" w14:textId="07C4D2E1">
      <w:pPr>
        <w:spacing w:before="120" w:after="0" w:line="276" w:lineRule="auto"/>
        <w:ind w:firstLine="709"/>
        <w:jc w:val="both"/>
        <w:rPr>
          <w:rFonts w:ascii="Arial" w:hAnsi="Arial" w:eastAsia="Calibri" w:cs="Arial"/>
          <w:lang w:val="es-MX"/>
        </w:rPr>
      </w:pPr>
      <w:r>
        <w:rPr>
          <w:rFonts w:ascii="Arial" w:hAnsi="Arial" w:eastAsia="Calibri" w:cs="Arial"/>
          <w:bCs/>
          <w:lang w:val="es-MX" w:eastAsia="es-CO"/>
        </w:rPr>
        <w:t>En todo caso</w:t>
      </w:r>
      <w:r w:rsidRPr="00EB0A4D">
        <w:rPr>
          <w:rFonts w:ascii="Arial" w:hAnsi="Arial" w:eastAsia="Calibri" w:cs="Arial"/>
          <w:bCs/>
          <w:lang w:val="es-MX" w:eastAsia="es-CO"/>
        </w:rPr>
        <w:t>, corresponde a cada entidad pública, en ejercicio de su competencia y previa valoración de los elementos fácticos y jurídicos, determinar si es 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hAnsi="Arial" w:cs="Arial"/>
          <w:bCs/>
          <w:lang w:val="es-ES"/>
        </w:rPr>
        <w:t xml:space="preserve"> Es menester reiterar, </w:t>
      </w:r>
      <w:r w:rsidR="006B6BF9">
        <w:rPr>
          <w:rFonts w:ascii="Arial" w:hAnsi="Arial" w:cs="Arial"/>
          <w:bCs/>
          <w:lang w:val="es-ES"/>
        </w:rPr>
        <w:t>como</w:t>
      </w:r>
      <w:r>
        <w:rPr>
          <w:rFonts w:ascii="Arial" w:hAnsi="Arial" w:cs="Arial"/>
          <w:bCs/>
          <w:lang w:val="es-ES"/>
        </w:rPr>
        <w:t xml:space="preserve"> se mencionó en la parte inicial del concepto, que </w:t>
      </w:r>
      <w:r w:rsidRPr="00780D43">
        <w:rPr>
          <w:rFonts w:ascii="Arial" w:hAnsi="Arial" w:cs="Arial"/>
          <w:bCs/>
          <w:lang w:val="es-ES"/>
        </w:rPr>
        <w:t xml:space="preserve">resolver casos particulares sobre la vinculación de la nómina estatal desborda </w:t>
      </w:r>
      <w:r>
        <w:rPr>
          <w:rFonts w:ascii="Arial" w:hAnsi="Arial" w:cs="Arial"/>
          <w:bCs/>
          <w:lang w:val="es-ES"/>
        </w:rPr>
        <w:t>las competencias de esta Agencia.</w:t>
      </w:r>
    </w:p>
    <w:p w:rsidRPr="00EB0A4D" w:rsidR="008F48A4" w:rsidP="008F48A4" w:rsidRDefault="008F48A4" w14:paraId="68177526" w14:textId="77777777">
      <w:pPr>
        <w:shd w:val="clear" w:color="auto" w:fill="FFFFFF"/>
        <w:spacing w:after="0" w:line="276" w:lineRule="auto"/>
        <w:jc w:val="both"/>
        <w:rPr>
          <w:rFonts w:ascii="Arial" w:hAnsi="Arial" w:cs="Arial"/>
        </w:rPr>
      </w:pPr>
    </w:p>
    <w:p w:rsidRPr="00EB0A4D" w:rsidR="006B6BF9" w:rsidP="008F48A4" w:rsidRDefault="006B6BF9" w14:paraId="566DC3FF" w14:textId="77777777">
      <w:pPr>
        <w:shd w:val="clear" w:color="auto" w:fill="FFFFFF"/>
        <w:spacing w:after="0" w:line="276" w:lineRule="auto"/>
        <w:jc w:val="both"/>
        <w:rPr>
          <w:rFonts w:ascii="Arial" w:hAnsi="Arial" w:cs="Arial"/>
        </w:rPr>
      </w:pPr>
    </w:p>
    <w:p w:rsidRPr="00EB0A4D" w:rsidR="008F48A4" w:rsidP="008F48A4" w:rsidRDefault="008F48A4" w14:paraId="66F614F5" w14:textId="77777777">
      <w:pPr>
        <w:widowControl w:val="0"/>
        <w:autoSpaceDE w:val="0"/>
        <w:autoSpaceDN w:val="0"/>
        <w:spacing w:after="0" w:line="276" w:lineRule="auto"/>
        <w:contextualSpacing/>
        <w:jc w:val="both"/>
        <w:rPr>
          <w:rFonts w:ascii="Arial" w:hAnsi="Arial" w:eastAsia="Times New Roman" w:cs="Arial"/>
          <w:lang w:eastAsia="es-ES_tradnl"/>
        </w:rPr>
      </w:pPr>
      <w:r w:rsidRPr="00EB0A4D">
        <w:rPr>
          <w:rFonts w:ascii="Arial" w:hAnsi="Arial" w:eastAsia="Calibri" w:cs="Arial"/>
        </w:rPr>
        <w:t>Este concepto tiene el alcance previsto en el artículo 28 del Código de Procedimiento Administrativo y de lo Contencioso Administrativo</w:t>
      </w:r>
      <w:r w:rsidRPr="00EB0A4D">
        <w:rPr>
          <w:rFonts w:ascii="Arial" w:hAnsi="Arial" w:eastAsia="Calibri" w:cs="Arial"/>
          <w:noProof/>
          <w:lang w:eastAsia="es-CO"/>
        </w:rPr>
        <mc:AlternateContent>
          <mc:Choice Requires="wps">
            <w:drawing>
              <wp:anchor distT="0" distB="0" distL="114300" distR="114300" simplePos="0" relativeHeight="251658240" behindDoc="0" locked="0" layoutInCell="1" allowOverlap="1" wp14:anchorId="0C9AE212" wp14:editId="2CDF7FB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525F13E8">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3301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r w:rsidRPr="00EB0A4D">
        <w:rPr>
          <w:rFonts w:ascii="Arial" w:hAnsi="Arial" w:eastAsia="Calibri" w:cs="Arial"/>
        </w:rPr>
        <w:t xml:space="preserve"> y las expresiones utilizadas con mayúscula inicial deben ser entendidas con el significado que les otorga el artículo 2.2.1.1.1.3.1 del Decreto 1082 de 2015.</w:t>
      </w:r>
    </w:p>
    <w:p w:rsidRPr="00EB0A4D" w:rsidR="008F48A4" w:rsidP="008F48A4" w:rsidRDefault="008F48A4" w14:paraId="098EF943" w14:textId="77777777">
      <w:pPr>
        <w:spacing w:after="120" w:line="276" w:lineRule="auto"/>
        <w:jc w:val="both"/>
        <w:rPr>
          <w:rFonts w:ascii="Arial" w:hAnsi="Arial" w:eastAsia="Times New Roman" w:cs="Arial"/>
          <w:lang w:eastAsia="es-ES_tradnl"/>
        </w:rPr>
      </w:pPr>
    </w:p>
    <w:p w:rsidRPr="00EB0A4D" w:rsidR="008F48A4" w:rsidP="008F48A4" w:rsidRDefault="008F48A4" w14:paraId="4CFD354A" w14:textId="77777777">
      <w:pPr>
        <w:spacing w:after="200" w:line="276" w:lineRule="auto"/>
        <w:jc w:val="both"/>
        <w:rPr>
          <w:rFonts w:ascii="Arial" w:hAnsi="Arial" w:eastAsia="Times New Roman" w:cs="Arial"/>
          <w:lang w:eastAsia="es-CO"/>
        </w:rPr>
      </w:pPr>
      <w:r w:rsidRPr="00EB0A4D">
        <w:rPr>
          <w:rFonts w:ascii="Arial" w:hAnsi="Arial" w:eastAsia="Times New Roman" w:cs="Arial"/>
          <w:lang w:eastAsia="es-CO"/>
        </w:rPr>
        <w:t>Atentamente,</w:t>
      </w:r>
    </w:p>
    <w:p w:rsidRPr="00EB0A4D" w:rsidR="008F48A4" w:rsidP="008F48A4" w:rsidRDefault="00601AA3" w14:paraId="28F22955" w14:textId="2735BA23">
      <w:pPr>
        <w:spacing w:after="200" w:line="276" w:lineRule="auto"/>
        <w:jc w:val="center"/>
        <w:rPr>
          <w:rFonts w:ascii="Arial" w:hAnsi="Arial" w:eastAsia="Calibri" w:cs="Arial"/>
          <w:b/>
          <w:bCs/>
          <w:sz w:val="20"/>
          <w:szCs w:val="20"/>
          <w:lang w:val="es-MX"/>
        </w:rPr>
      </w:pPr>
      <w:bookmarkStart w:name="_Hlk130981267" w:id="17"/>
      <w:bookmarkEnd w:id="16"/>
      <w:r w:rsidRPr="00601AA3">
        <w:rPr>
          <w:rFonts w:ascii="Calibri" w:hAnsi="Calibri" w:eastAsia="Calibri" w:cs="Times New Roman"/>
          <w:noProof/>
          <w:lang w:val="es-ES"/>
        </w:rPr>
        <w:drawing>
          <wp:inline distT="0" distB="0" distL="0" distR="0" wp14:anchorId="3A58C89F" wp14:editId="7B155DC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B0A4D" w:rsidR="008F48A4" w:rsidTr="000E227B" w14:paraId="0554FC48" w14:textId="77777777">
        <w:trPr>
          <w:trHeight w:val="315"/>
        </w:trPr>
        <w:tc>
          <w:tcPr>
            <w:tcW w:w="812" w:type="dxa"/>
            <w:vAlign w:val="center"/>
            <w:hideMark/>
          </w:tcPr>
          <w:bookmarkEnd w:id="17"/>
          <w:p w:rsidRPr="00EB0A4D" w:rsidR="008F48A4" w:rsidP="000E227B" w:rsidRDefault="008F48A4" w14:paraId="6D28665C" w14:textId="77777777">
            <w:pPr>
              <w:spacing w:line="276" w:lineRule="auto"/>
              <w:rPr>
                <w:rFonts w:ascii="Arial" w:hAnsi="Arial" w:eastAsia="Times New Roman" w:cs="Arial"/>
                <w:sz w:val="16"/>
                <w:szCs w:val="16"/>
                <w:lang w:eastAsia="es-ES"/>
              </w:rPr>
            </w:pPr>
            <w:r w:rsidRPr="00EB0A4D">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EB0A4D" w:rsidR="008F48A4" w:rsidP="000E227B" w:rsidRDefault="008F48A4" w14:paraId="41EBD860" w14:textId="77777777">
            <w:pPr>
              <w:rPr>
                <w:rFonts w:ascii="Arial" w:hAnsi="Arial" w:eastAsia="Calibri" w:cs="Arial"/>
                <w:sz w:val="16"/>
                <w:szCs w:val="16"/>
                <w:lang w:val="es-ES_tradnl" w:eastAsia="es-ES"/>
              </w:rPr>
            </w:pPr>
            <w:r w:rsidRPr="00EB0A4D">
              <w:rPr>
                <w:rFonts w:ascii="Arial" w:hAnsi="Arial" w:eastAsia="Calibri" w:cs="Arial"/>
                <w:sz w:val="16"/>
                <w:szCs w:val="16"/>
                <w:lang w:val="es-ES_tradnl" w:eastAsia="es-ES"/>
              </w:rPr>
              <w:t>Gabriel Alejandro Murcia Taboada</w:t>
            </w:r>
          </w:p>
          <w:p w:rsidRPr="00EB0A4D" w:rsidR="008F48A4" w:rsidP="000E227B" w:rsidRDefault="008F48A4" w14:paraId="0FD8A595" w14:textId="77777777">
            <w:pPr>
              <w:spacing w:line="276" w:lineRule="auto"/>
              <w:rPr>
                <w:rFonts w:ascii="Arial" w:hAnsi="Arial" w:eastAsia="Times New Roman" w:cs="Arial"/>
                <w:sz w:val="16"/>
                <w:szCs w:val="16"/>
                <w:lang w:eastAsia="es-ES"/>
              </w:rPr>
            </w:pPr>
            <w:r w:rsidRPr="00EB0A4D">
              <w:rPr>
                <w:rFonts w:ascii="Arial" w:hAnsi="Arial" w:eastAsia="Calibri" w:cs="Arial"/>
                <w:sz w:val="16"/>
                <w:szCs w:val="16"/>
                <w:lang w:val="es-ES_tradnl" w:eastAsia="es-ES"/>
              </w:rPr>
              <w:t>Contratista de la Subdirección de Gestión Contractual</w:t>
            </w:r>
          </w:p>
        </w:tc>
      </w:tr>
      <w:tr w:rsidRPr="00EB0A4D" w:rsidR="008F48A4" w:rsidTr="000E227B" w14:paraId="5862DB52" w14:textId="77777777">
        <w:trPr>
          <w:trHeight w:val="330"/>
        </w:trPr>
        <w:tc>
          <w:tcPr>
            <w:tcW w:w="812" w:type="dxa"/>
            <w:vAlign w:val="center"/>
            <w:hideMark/>
          </w:tcPr>
          <w:p w:rsidRPr="00EB0A4D" w:rsidR="008F48A4" w:rsidP="000E227B" w:rsidRDefault="008F48A4" w14:paraId="285EFDA5" w14:textId="77777777">
            <w:pPr>
              <w:spacing w:line="276" w:lineRule="auto"/>
              <w:rPr>
                <w:rFonts w:ascii="Arial" w:hAnsi="Arial" w:eastAsia="Times New Roman" w:cs="Arial"/>
                <w:sz w:val="16"/>
                <w:szCs w:val="16"/>
                <w:lang w:eastAsia="es-ES"/>
              </w:rPr>
            </w:pPr>
            <w:r w:rsidRPr="00EB0A4D">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D44EB" w:rsidR="008F48A4" w:rsidP="000E227B" w:rsidRDefault="008F48A4" w14:paraId="5F357237" w14:textId="77777777">
            <w:pPr>
              <w:rPr>
                <w:rFonts w:ascii="Arial" w:hAnsi="Arial" w:eastAsia="Times New Roman" w:cs="Arial"/>
                <w:color w:val="000000" w:themeColor="text1"/>
                <w:sz w:val="16"/>
                <w:szCs w:val="16"/>
                <w:lang w:val="es-ES" w:eastAsia="es-ES"/>
              </w:rPr>
            </w:pPr>
            <w:r w:rsidRPr="007D44EB">
              <w:rPr>
                <w:rFonts w:ascii="Arial" w:hAnsi="Arial" w:eastAsia="Times New Roman" w:cs="Arial"/>
                <w:color w:val="000000" w:themeColor="text1"/>
                <w:sz w:val="16"/>
                <w:szCs w:val="16"/>
                <w:lang w:val="es-ES" w:eastAsia="es-ES"/>
              </w:rPr>
              <w:t>Ximena Ríos López</w:t>
            </w:r>
          </w:p>
          <w:p w:rsidRPr="00EB0A4D" w:rsidR="008F48A4" w:rsidP="000E227B" w:rsidRDefault="008F48A4" w14:paraId="206B8891" w14:textId="77777777">
            <w:pPr>
              <w:rPr>
                <w:rFonts w:ascii="Arial" w:hAnsi="Arial" w:eastAsia="Times New Roman" w:cs="Arial"/>
                <w:color w:val="000000"/>
                <w:sz w:val="16"/>
                <w:szCs w:val="16"/>
                <w:lang w:val="es-ES" w:eastAsia="es-ES"/>
              </w:rPr>
            </w:pPr>
            <w:r w:rsidRPr="007D44EB">
              <w:rPr>
                <w:rFonts w:ascii="Arial" w:hAnsi="Arial" w:eastAsia="Times New Roman" w:cs="Arial"/>
                <w:color w:val="000000" w:themeColor="text1"/>
                <w:sz w:val="16"/>
                <w:szCs w:val="16"/>
                <w:lang w:val="es-ES" w:eastAsia="es-ES"/>
              </w:rPr>
              <w:t>Gestor T1 ‒ 11 de la Subdirección de Gestión Contractual</w:t>
            </w:r>
          </w:p>
        </w:tc>
      </w:tr>
      <w:tr w:rsidRPr="00EB0A4D" w:rsidR="008F48A4" w:rsidTr="000E227B" w14:paraId="56E8E212" w14:textId="77777777">
        <w:trPr>
          <w:trHeight w:val="300"/>
        </w:trPr>
        <w:tc>
          <w:tcPr>
            <w:tcW w:w="812" w:type="dxa"/>
            <w:vAlign w:val="center"/>
            <w:hideMark/>
          </w:tcPr>
          <w:p w:rsidRPr="00EB0A4D" w:rsidR="008F48A4" w:rsidP="000E227B" w:rsidRDefault="008F48A4" w14:paraId="6384BEEA" w14:textId="77777777">
            <w:pPr>
              <w:spacing w:line="276" w:lineRule="auto"/>
              <w:rPr>
                <w:rFonts w:ascii="Arial" w:hAnsi="Arial" w:eastAsia="Times New Roman" w:cs="Arial"/>
                <w:sz w:val="16"/>
                <w:szCs w:val="16"/>
                <w:lang w:eastAsia="es-ES"/>
              </w:rPr>
            </w:pPr>
            <w:r w:rsidRPr="00EB0A4D">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B0A4D" w:rsidR="008F48A4" w:rsidP="000E227B" w:rsidRDefault="008F48A4" w14:paraId="769D06F3" w14:textId="77777777">
            <w:pPr>
              <w:spacing w:line="276" w:lineRule="auto"/>
              <w:rPr>
                <w:rFonts w:ascii="Arial" w:hAnsi="Arial" w:eastAsia="Calibri" w:cs="Arial"/>
                <w:sz w:val="16"/>
                <w:szCs w:val="16"/>
                <w:lang w:val="es-ES_tradnl" w:eastAsia="es-ES"/>
              </w:rPr>
            </w:pPr>
            <w:r w:rsidRPr="00EB0A4D">
              <w:rPr>
                <w:rFonts w:ascii="Arial" w:hAnsi="Arial" w:eastAsia="Calibri" w:cs="Arial"/>
                <w:sz w:val="16"/>
                <w:szCs w:val="16"/>
                <w:lang w:val="es-ES_tradnl" w:eastAsia="es-ES"/>
              </w:rPr>
              <w:t>Nohelia del Carmen Zawady Palacio</w:t>
            </w:r>
          </w:p>
          <w:p w:rsidRPr="00EB0A4D" w:rsidR="008F48A4" w:rsidP="000E227B" w:rsidRDefault="008F48A4" w14:paraId="0120805B" w14:textId="77777777">
            <w:pPr>
              <w:spacing w:line="276" w:lineRule="auto"/>
              <w:rPr>
                <w:rFonts w:ascii="Arial" w:hAnsi="Arial" w:eastAsia="Times New Roman" w:cs="Arial"/>
                <w:sz w:val="16"/>
                <w:szCs w:val="16"/>
                <w:lang w:eastAsia="es-ES"/>
              </w:rPr>
            </w:pPr>
            <w:r w:rsidRPr="00EB0A4D">
              <w:rPr>
                <w:rFonts w:ascii="Arial" w:hAnsi="Arial" w:eastAsia="Calibri" w:cs="Arial"/>
                <w:sz w:val="16"/>
                <w:szCs w:val="16"/>
                <w:lang w:val="es-ES_tradnl" w:eastAsia="es-ES"/>
              </w:rPr>
              <w:t>Subdirectora de Gestión Contractual</w:t>
            </w:r>
          </w:p>
        </w:tc>
      </w:tr>
    </w:tbl>
    <w:p w:rsidRPr="00C330EB" w:rsidR="00E245AB" w:rsidP="00E245AB" w:rsidRDefault="00E245AB" w14:paraId="0465BA6D" w14:textId="77777777">
      <w:pPr>
        <w:spacing w:after="0"/>
        <w:rPr>
          <w:rFonts w:ascii="Century Gothic" w:hAnsi="Century Gothic"/>
        </w:rPr>
      </w:pPr>
    </w:p>
    <w:sectPr w:rsidRPr="00C330EB" w:rsidR="00E245AB"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4AB" w:rsidP="004A1847" w:rsidRDefault="00F204AB" w14:paraId="7249C32B" w14:textId="77777777">
      <w:pPr>
        <w:spacing w:after="0" w:line="240" w:lineRule="auto"/>
      </w:pPr>
      <w:r>
        <w:separator/>
      </w:r>
    </w:p>
  </w:endnote>
  <w:endnote w:type="continuationSeparator" w:id="0">
    <w:p w:rsidR="00F204AB" w:rsidP="004A1847" w:rsidRDefault="00F204AB" w14:paraId="7FE10F78" w14:textId="77777777">
      <w:pPr>
        <w:spacing w:after="0" w:line="240" w:lineRule="auto"/>
      </w:pPr>
      <w:r>
        <w:continuationSeparator/>
      </w:r>
    </w:p>
  </w:endnote>
  <w:endnote w:type="continuationNotice" w:id="1">
    <w:p w:rsidR="00420BB8" w:rsidRDefault="00420BB8" w14:paraId="77465A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4AB" w:rsidP="004A1847" w:rsidRDefault="00F204AB" w14:paraId="3B439E1D" w14:textId="77777777">
      <w:pPr>
        <w:spacing w:after="0" w:line="240" w:lineRule="auto"/>
      </w:pPr>
      <w:r>
        <w:separator/>
      </w:r>
    </w:p>
  </w:footnote>
  <w:footnote w:type="continuationSeparator" w:id="0">
    <w:p w:rsidR="00F204AB" w:rsidP="004A1847" w:rsidRDefault="00F204AB" w14:paraId="4FD776D6" w14:textId="77777777">
      <w:pPr>
        <w:spacing w:after="0" w:line="240" w:lineRule="auto"/>
      </w:pPr>
      <w:r>
        <w:continuationSeparator/>
      </w:r>
    </w:p>
  </w:footnote>
  <w:footnote w:type="continuationNotice" w:id="1">
    <w:p w:rsidR="00420BB8" w:rsidRDefault="00420BB8" w14:paraId="05BEA201" w14:textId="77777777">
      <w:pPr>
        <w:spacing w:after="0" w:line="240" w:lineRule="auto"/>
      </w:pPr>
    </w:p>
  </w:footnote>
  <w:footnote w:id="2">
    <w:p w:rsidRPr="00AC5F71" w:rsidR="008F48A4" w:rsidP="008F48A4" w:rsidRDefault="008F48A4" w14:paraId="78A89ADD" w14:textId="77777777">
      <w:pPr>
        <w:pStyle w:val="Textonotapie"/>
        <w:ind w:firstLine="708"/>
        <w:contextualSpacing/>
        <w:jc w:val="both"/>
        <w:rPr>
          <w:rFonts w:ascii="Arial" w:hAnsi="Arial" w:cs="Arial"/>
          <w:sz w:val="12"/>
          <w:szCs w:val="12"/>
          <w:lang w:val="es-ES"/>
        </w:rPr>
      </w:pPr>
      <w:r w:rsidRPr="00AC5F71">
        <w:rPr>
          <w:rStyle w:val="Refdenotaalpie"/>
          <w:rFonts w:ascii="Arial" w:hAnsi="Arial" w:cs="Arial"/>
          <w:sz w:val="12"/>
          <w:szCs w:val="12"/>
        </w:rPr>
        <w:footnoteRef/>
      </w:r>
      <w:r w:rsidRPr="00AC5F71">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C5F71">
        <w:rPr>
          <w:rFonts w:ascii="Arial" w:hAnsi="Arial" w:cs="Arial"/>
          <w:i/>
          <w:sz w:val="12"/>
          <w:szCs w:val="12"/>
        </w:rPr>
        <w:t xml:space="preserve">ibidem </w:t>
      </w:r>
      <w:r w:rsidRPr="00AC5F71">
        <w:rPr>
          <w:rFonts w:ascii="Arial" w:hAnsi="Arial" w:cs="Arial"/>
          <w:sz w:val="12"/>
          <w:szCs w:val="12"/>
        </w:rPr>
        <w:t>señala, de manera precisa, las funciones de Colombia Compra Eficiente. Concretamente, el numeral 5º de este artículo establece que le corresponde a esta entidad: “[a]</w:t>
      </w:r>
      <w:proofErr w:type="spellStart"/>
      <w:r w:rsidRPr="00AC5F71">
        <w:rPr>
          <w:rFonts w:ascii="Arial" w:hAnsi="Arial" w:cs="Arial"/>
          <w:sz w:val="12"/>
          <w:szCs w:val="12"/>
        </w:rPr>
        <w:t>bsolver</w:t>
      </w:r>
      <w:proofErr w:type="spellEnd"/>
      <w:r w:rsidRPr="00AC5F71">
        <w:rPr>
          <w:rFonts w:ascii="Arial" w:hAnsi="Arial" w:cs="Arial"/>
          <w:sz w:val="12"/>
          <w:szCs w:val="12"/>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C5F71">
        <w:rPr>
          <w:rFonts w:ascii="Arial" w:hAnsi="Arial" w:cs="Arial"/>
          <w:sz w:val="12"/>
          <w:szCs w:val="12"/>
        </w:rPr>
        <w:t>bsolver</w:t>
      </w:r>
      <w:proofErr w:type="spellEnd"/>
      <w:r w:rsidRPr="00AC5F71">
        <w:rPr>
          <w:rFonts w:ascii="Arial" w:hAnsi="Arial" w:cs="Arial"/>
          <w:sz w:val="12"/>
          <w:szCs w:val="12"/>
        </w:rPr>
        <w:t xml:space="preserve"> consultas sobre la aplicación de normas de carácter general”.</w:t>
      </w:r>
    </w:p>
  </w:footnote>
  <w:footnote w:id="3">
    <w:p w:rsidRPr="00AC5F71" w:rsidR="008F48A4" w:rsidP="008F48A4" w:rsidRDefault="008F48A4" w14:paraId="774A107C" w14:textId="77777777">
      <w:pPr>
        <w:tabs>
          <w:tab w:val="left" w:pos="709"/>
        </w:tabs>
        <w:contextualSpacing/>
        <w:jc w:val="both"/>
        <w:rPr>
          <w:rFonts w:ascii="Arial" w:hAnsi="Arial" w:eastAsia="Calibri" w:cs="Arial"/>
          <w:sz w:val="12"/>
          <w:szCs w:val="12"/>
        </w:rPr>
      </w:pPr>
      <w:r w:rsidRPr="00AC5F71">
        <w:rPr>
          <w:rFonts w:ascii="Arial" w:hAnsi="Arial" w:cs="Arial"/>
          <w:sz w:val="12"/>
          <w:szCs w:val="12"/>
        </w:rPr>
        <w:tab/>
      </w:r>
      <w:r w:rsidRPr="00AC5F71">
        <w:rPr>
          <w:rStyle w:val="Refdenotaalpie"/>
          <w:rFonts w:ascii="Arial" w:hAnsi="Arial" w:cs="Arial"/>
          <w:sz w:val="12"/>
          <w:szCs w:val="12"/>
        </w:rPr>
        <w:footnoteRef/>
      </w:r>
      <w:r w:rsidRPr="00AC5F71">
        <w:rPr>
          <w:rFonts w:ascii="Arial" w:hAnsi="Arial" w:cs="Arial"/>
          <w:sz w:val="12"/>
          <w:szCs w:val="12"/>
        </w:rPr>
        <w:t xml:space="preserve"> </w:t>
      </w:r>
      <w:r w:rsidRPr="00AC5F71">
        <w:rPr>
          <w:rFonts w:ascii="Arial" w:hAnsi="Arial" w:eastAsia="Calibri" w:cs="Arial"/>
          <w:sz w:val="12"/>
          <w:szCs w:val="12"/>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AC5F71">
        <w:rPr>
          <w:rFonts w:ascii="Arial" w:hAnsi="Arial" w:eastAsia="Calibri" w:cs="Arial"/>
          <w:i/>
          <w:sz w:val="12"/>
          <w:szCs w:val="12"/>
        </w:rPr>
        <w:t>no serán de obligatorio cumplimiento o ejecución</w:t>
      </w:r>
      <w:r w:rsidRPr="00AC5F71">
        <w:rPr>
          <w:rFonts w:ascii="Arial" w:hAnsi="Arial" w:eastAsia="Calibri" w:cs="Arial"/>
          <w:sz w:val="12"/>
          <w:szCs w:val="12"/>
        </w:rPr>
        <w:t xml:space="preserve">. De este mandato surgen las siguientes consideraciones: </w:t>
      </w:r>
    </w:p>
    <w:p w:rsidRPr="00AC5F71" w:rsidR="008F48A4" w:rsidP="008F48A4" w:rsidRDefault="008F48A4" w14:paraId="6F675D28" w14:textId="77777777">
      <w:pPr>
        <w:tabs>
          <w:tab w:val="left" w:pos="709"/>
        </w:tabs>
        <w:contextualSpacing/>
        <w:jc w:val="both"/>
        <w:rPr>
          <w:rFonts w:ascii="Arial" w:hAnsi="Arial" w:eastAsia="Calibri" w:cs="Arial"/>
          <w:sz w:val="12"/>
          <w:szCs w:val="12"/>
        </w:rPr>
      </w:pPr>
      <w:r w:rsidRPr="00AC5F71">
        <w:rPr>
          <w:rFonts w:ascii="Arial" w:hAnsi="Arial" w:eastAsia="Calibri" w:cs="Arial"/>
          <w:sz w:val="12"/>
          <w:szCs w:val="12"/>
        </w:rPr>
        <w:tab/>
      </w:r>
      <w:r w:rsidRPr="00AC5F71">
        <w:rPr>
          <w:rFonts w:ascii="Arial" w:hAnsi="Arial" w:eastAsia="Calibri" w:cs="Arial"/>
          <w:sz w:val="12"/>
          <w:szCs w:val="12"/>
        </w:rPr>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rsidRPr="00AC5F71" w:rsidR="008F48A4" w:rsidP="008F48A4" w:rsidRDefault="008F48A4" w14:paraId="6B6DA7F6" w14:textId="77777777">
      <w:pPr>
        <w:tabs>
          <w:tab w:val="left" w:pos="709"/>
        </w:tabs>
        <w:contextualSpacing/>
        <w:jc w:val="both"/>
        <w:rPr>
          <w:rFonts w:ascii="Arial" w:hAnsi="Arial" w:eastAsia="Calibri" w:cs="Arial"/>
          <w:sz w:val="12"/>
          <w:szCs w:val="12"/>
        </w:rPr>
      </w:pPr>
      <w:r w:rsidRPr="00AC5F71">
        <w:rPr>
          <w:rFonts w:ascii="Arial" w:hAnsi="Arial" w:eastAsia="Calibri" w:cs="Arial"/>
          <w:sz w:val="12"/>
          <w:szCs w:val="12"/>
        </w:rPr>
        <w:tab/>
      </w:r>
      <w:r w:rsidRPr="00AC5F71">
        <w:rPr>
          <w:rFonts w:ascii="Arial" w:hAnsi="Arial" w:eastAsia="Calibri" w:cs="Arial"/>
          <w:sz w:val="12"/>
          <w:szCs w:val="12"/>
        </w:rPr>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rsidRPr="00AC5F71" w:rsidR="008F48A4" w:rsidP="008F48A4" w:rsidRDefault="008F48A4" w14:paraId="68D17FE0" w14:textId="77777777">
      <w:pPr>
        <w:pStyle w:val="Textonotapie"/>
        <w:ind w:firstLine="708"/>
        <w:contextualSpacing/>
        <w:jc w:val="both"/>
        <w:rPr>
          <w:rFonts w:ascii="Arial" w:hAnsi="Arial" w:cs="Arial"/>
          <w:sz w:val="12"/>
          <w:szCs w:val="12"/>
        </w:rPr>
      </w:pPr>
      <w:r w:rsidRPr="00AC5F71">
        <w:rPr>
          <w:rFonts w:ascii="Arial" w:hAnsi="Arial" w:eastAsia="Calibri" w:cs="Arial"/>
          <w:sz w:val="12"/>
          <w:szCs w:val="12"/>
        </w:rPr>
        <w:t>“La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AC5F71">
        <w:rPr>
          <w:rFonts w:ascii="Arial" w:hAnsi="Arial" w:cs="Arial"/>
          <w:sz w:val="12"/>
          <w:szCs w:val="12"/>
        </w:rPr>
        <w:t>ARBOLEDA PERDOMO, Enrique José. Comentarios al Nuevo Código de Procedimiento Administrativo y de lo Contencioso Administrativo. 2ª ed. Editorial Legis. Bogotá. 2012. p.59).</w:t>
      </w:r>
    </w:p>
    <w:p w:rsidRPr="00AC5F71" w:rsidR="008F48A4" w:rsidP="008F48A4" w:rsidRDefault="008F48A4" w14:paraId="4823A9CA" w14:textId="77777777">
      <w:pPr>
        <w:pStyle w:val="Textonotapie"/>
        <w:ind w:firstLine="708"/>
        <w:contextualSpacing/>
        <w:jc w:val="both"/>
        <w:rPr>
          <w:rFonts w:ascii="Arial" w:hAnsi="Arial" w:eastAsia="Calibri" w:cs="Arial"/>
          <w:sz w:val="12"/>
          <w:szCs w:val="12"/>
          <w:lang w:val="es-CO"/>
        </w:rPr>
      </w:pPr>
    </w:p>
  </w:footnote>
  <w:footnote w:id="4">
    <w:p w:rsidRPr="008927A7" w:rsidR="008F48A4" w:rsidP="008F48A4" w:rsidRDefault="008F48A4" w14:paraId="1B357610" w14:textId="77777777">
      <w:pPr>
        <w:pStyle w:val="Textonotapie"/>
        <w:ind w:firstLine="708"/>
        <w:jc w:val="both"/>
        <w:rPr>
          <w:rFonts w:ascii="Arial" w:hAnsi="Arial" w:cs="Arial"/>
          <w:sz w:val="12"/>
          <w:szCs w:val="12"/>
          <w:lang w:val="es-CO"/>
        </w:rPr>
      </w:pPr>
      <w:r w:rsidRPr="008927A7">
        <w:rPr>
          <w:rStyle w:val="Refdenotaalpie"/>
          <w:rFonts w:ascii="Arial" w:hAnsi="Arial" w:cs="Arial"/>
          <w:sz w:val="12"/>
          <w:szCs w:val="12"/>
        </w:rPr>
        <w:footnoteRef/>
      </w:r>
      <w:r w:rsidRPr="008927A7">
        <w:rPr>
          <w:rFonts w:ascii="Arial" w:hAnsi="Arial" w:cs="Arial"/>
          <w:sz w:val="12"/>
          <w:szCs w:val="12"/>
        </w:rPr>
        <w:t xml:space="preserve"> Colombia Compra Eficiente, también se pronunció sobre la Ley 996 de 2005 en los Conceptos C-074 del 17 de marzo de 2021, C-075 del 16 de marzo de 2021, C-227 de 2021 del 5 de mayo de 2021, C-259 del 2 de junio de 2021, C-296 del 22 de junio de 2021,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w:t>
      </w:r>
    </w:p>
  </w:footnote>
  <w:footnote w:id="5">
    <w:p w:rsidRPr="008927A7" w:rsidR="008F48A4" w:rsidP="008F48A4" w:rsidRDefault="008F48A4" w14:paraId="6CFF08D2" w14:textId="77777777">
      <w:pPr>
        <w:pStyle w:val="Textonotapie"/>
        <w:ind w:firstLine="709"/>
        <w:contextualSpacing/>
        <w:jc w:val="both"/>
        <w:rPr>
          <w:rFonts w:ascii="Arial" w:hAnsi="Arial" w:cs="Arial"/>
          <w:sz w:val="12"/>
          <w:szCs w:val="12"/>
        </w:rPr>
      </w:pPr>
    </w:p>
    <w:p w:rsidRPr="008927A7" w:rsidR="008F48A4" w:rsidP="008F48A4" w:rsidRDefault="008F48A4" w14:paraId="0F02454C" w14:textId="77777777">
      <w:pPr>
        <w:pStyle w:val="Textonotapie"/>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8927A7" w:rsidR="008F48A4" w:rsidP="008F48A4" w:rsidRDefault="008F48A4" w14:paraId="65292263" w14:textId="77777777">
      <w:pPr>
        <w:pStyle w:val="Textonotapie"/>
        <w:ind w:firstLine="709"/>
        <w:contextualSpacing/>
        <w:jc w:val="both"/>
        <w:rPr>
          <w:rFonts w:ascii="Arial" w:hAnsi="Arial" w:cs="Arial"/>
          <w:sz w:val="12"/>
          <w:szCs w:val="12"/>
        </w:rPr>
      </w:pPr>
    </w:p>
    <w:p w:rsidRPr="008927A7" w:rsidR="008F48A4" w:rsidP="008F48A4" w:rsidRDefault="008F48A4" w14:paraId="76192F7D" w14:textId="77777777">
      <w:pPr>
        <w:pStyle w:val="Textonotapie"/>
        <w:ind w:firstLine="709"/>
        <w:contextualSpacing/>
        <w:jc w:val="both"/>
        <w:rPr>
          <w:rFonts w:ascii="Arial" w:hAnsi="Arial" w:cs="Arial"/>
          <w:sz w:val="12"/>
          <w:szCs w:val="12"/>
        </w:rPr>
      </w:pPr>
      <w:r w:rsidRPr="008927A7">
        <w:rPr>
          <w:rFonts w:ascii="Arial" w:hAnsi="Arial" w:cs="Arial"/>
          <w:sz w:val="12"/>
          <w:szCs w:val="12"/>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8927A7" w:rsidR="008F48A4" w:rsidP="008F48A4" w:rsidRDefault="008F48A4" w14:paraId="3F3FD475" w14:textId="77777777">
      <w:pPr>
        <w:pStyle w:val="Textonotapie"/>
        <w:ind w:firstLine="709"/>
        <w:contextualSpacing/>
        <w:jc w:val="both"/>
        <w:rPr>
          <w:rFonts w:ascii="Arial" w:hAnsi="Arial" w:cs="Arial"/>
          <w:sz w:val="12"/>
          <w:szCs w:val="12"/>
        </w:rPr>
      </w:pPr>
    </w:p>
  </w:footnote>
  <w:footnote w:id="6">
    <w:p w:rsidRPr="008927A7" w:rsidR="008F48A4" w:rsidP="008F48A4" w:rsidRDefault="008F48A4" w14:paraId="0EC664B3" w14:textId="77777777">
      <w:pPr>
        <w:pStyle w:val="Textonotapie"/>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Gaceta del Congreso de la República No. 71 del 2005.</w:t>
      </w:r>
    </w:p>
  </w:footnote>
  <w:footnote w:id="7">
    <w:p w:rsidRPr="008927A7" w:rsidR="008F48A4" w:rsidP="008F48A4" w:rsidRDefault="008F48A4" w14:paraId="6C11D27C" w14:textId="77777777">
      <w:pPr>
        <w:pStyle w:val="Textonotapie"/>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Corte Constitucional, Sentencia C- 1153 de 2005, M.P. Marco Gerardo Monroy Cabra.</w:t>
      </w:r>
    </w:p>
    <w:p w:rsidRPr="008927A7" w:rsidR="008F48A4" w:rsidP="008F48A4" w:rsidRDefault="008F48A4" w14:paraId="02C4C661" w14:textId="77777777">
      <w:pPr>
        <w:pStyle w:val="Textonotapie"/>
        <w:ind w:firstLine="709"/>
        <w:contextualSpacing/>
        <w:jc w:val="both"/>
        <w:rPr>
          <w:rFonts w:ascii="Arial" w:hAnsi="Arial" w:cs="Arial"/>
          <w:sz w:val="12"/>
          <w:szCs w:val="12"/>
        </w:rPr>
      </w:pPr>
    </w:p>
  </w:footnote>
  <w:footnote w:id="8">
    <w:p w:rsidRPr="008927A7" w:rsidR="008F48A4" w:rsidP="008F48A4" w:rsidRDefault="008F48A4" w14:paraId="51FB16EF" w14:textId="77777777">
      <w:pPr>
        <w:pStyle w:val="Textonotapie"/>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rsidRPr="008927A7" w:rsidR="008F48A4" w:rsidP="008F48A4" w:rsidRDefault="008F48A4" w14:paraId="28ABA24C" w14:textId="77777777">
      <w:pPr>
        <w:pStyle w:val="Textonotapie"/>
        <w:ind w:firstLine="709"/>
        <w:contextualSpacing/>
        <w:jc w:val="both"/>
        <w:rPr>
          <w:rFonts w:ascii="Arial" w:hAnsi="Arial" w:cs="Arial"/>
          <w:sz w:val="12"/>
          <w:szCs w:val="12"/>
        </w:rPr>
      </w:pPr>
    </w:p>
  </w:footnote>
  <w:footnote w:id="9">
    <w:p w:rsidRPr="008927A7" w:rsidR="008F48A4" w:rsidP="008F48A4" w:rsidRDefault="008F48A4" w14:paraId="5B7E156D" w14:textId="77777777">
      <w:pPr>
        <w:pStyle w:val="Textonotapie"/>
        <w:ind w:firstLine="709"/>
        <w:contextualSpacing/>
        <w:jc w:val="both"/>
        <w:rPr>
          <w:rFonts w:ascii="Arial" w:hAnsi="Arial" w:cs="Arial"/>
          <w:sz w:val="12"/>
          <w:szCs w:val="12"/>
          <w:lang w:val="es-CO"/>
        </w:rPr>
      </w:pPr>
      <w:r w:rsidRPr="008927A7">
        <w:rPr>
          <w:rStyle w:val="Refdenotaalpie"/>
          <w:rFonts w:ascii="Arial" w:hAnsi="Arial" w:cs="Arial"/>
          <w:sz w:val="12"/>
          <w:szCs w:val="12"/>
        </w:rPr>
        <w:footnoteRef/>
      </w:r>
      <w:r w:rsidRPr="008927A7">
        <w:rPr>
          <w:rFonts w:ascii="Arial" w:hAnsi="Arial" w:cs="Arial"/>
          <w:sz w:val="12"/>
          <w:szCs w:val="12"/>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10">
    <w:p w:rsidRPr="008927A7" w:rsidR="008F48A4" w:rsidP="008F48A4" w:rsidRDefault="008F48A4" w14:paraId="0F08CBF2" w14:textId="77777777">
      <w:pPr>
        <w:pStyle w:val="Textonotapie"/>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Consejo de Estado, Sala de Consulta y Servicio Civil de fecha 24 de julio de 2013, radicado 2166, </w:t>
      </w:r>
      <w:proofErr w:type="gramStart"/>
      <w:r w:rsidRPr="008927A7">
        <w:rPr>
          <w:rFonts w:ascii="Arial" w:hAnsi="Arial" w:cs="Arial"/>
          <w:sz w:val="12"/>
          <w:szCs w:val="12"/>
        </w:rPr>
        <w:t>Consejero</w:t>
      </w:r>
      <w:proofErr w:type="gramEnd"/>
      <w:r w:rsidRPr="008927A7">
        <w:rPr>
          <w:rFonts w:ascii="Arial" w:hAnsi="Arial" w:cs="Arial"/>
          <w:sz w:val="12"/>
          <w:szCs w:val="12"/>
        </w:rPr>
        <w:t xml:space="preserve"> Ponente: Álvaro </w:t>
      </w:r>
      <w:proofErr w:type="spellStart"/>
      <w:r w:rsidRPr="008927A7">
        <w:rPr>
          <w:rFonts w:ascii="Arial" w:hAnsi="Arial" w:cs="Arial"/>
          <w:sz w:val="12"/>
          <w:szCs w:val="12"/>
        </w:rPr>
        <w:t>Namén</w:t>
      </w:r>
      <w:proofErr w:type="spellEnd"/>
      <w:r w:rsidRPr="008927A7">
        <w:rPr>
          <w:rFonts w:ascii="Arial" w:hAnsi="Arial" w:cs="Arial"/>
          <w:sz w:val="12"/>
          <w:szCs w:val="12"/>
        </w:rPr>
        <w:t xml:space="preserve"> Vargas. </w:t>
      </w:r>
    </w:p>
    <w:p w:rsidRPr="008927A7" w:rsidR="008F48A4" w:rsidP="008F48A4" w:rsidRDefault="008F48A4" w14:paraId="5F84B21E" w14:textId="77777777">
      <w:pPr>
        <w:pStyle w:val="Textonotapie"/>
        <w:ind w:firstLine="709"/>
        <w:contextualSpacing/>
        <w:jc w:val="both"/>
        <w:rPr>
          <w:rFonts w:ascii="Arial" w:hAnsi="Arial" w:cs="Arial"/>
          <w:sz w:val="12"/>
          <w:szCs w:val="12"/>
        </w:rPr>
      </w:pPr>
      <w:r w:rsidRPr="008927A7">
        <w:rPr>
          <w:rFonts w:ascii="Arial" w:hAnsi="Arial" w:cs="Arial"/>
          <w:sz w:val="12"/>
          <w:szCs w:val="12"/>
        </w:rPr>
        <w:t xml:space="preserve"> </w:t>
      </w:r>
    </w:p>
  </w:footnote>
  <w:footnote w:id="11">
    <w:p w:rsidRPr="008927A7" w:rsidR="008F48A4" w:rsidP="008F48A4" w:rsidRDefault="008F48A4" w14:paraId="00B21360" w14:textId="77777777">
      <w:pPr>
        <w:spacing w:line="240" w:lineRule="auto"/>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w:t>
      </w:r>
      <w:bookmarkStart w:name="33" w:id="6"/>
      <w:r w:rsidRPr="008927A7">
        <w:rPr>
          <w:rFonts w:ascii="Arial" w:hAnsi="Arial" w:eastAsia="Calibri" w:cs="Arial"/>
          <w:color w:val="000000"/>
          <w:sz w:val="12"/>
          <w:szCs w:val="12"/>
        </w:rPr>
        <w:t>“</w:t>
      </w:r>
      <w:r w:rsidRPr="008927A7">
        <w:rPr>
          <w:rFonts w:ascii="Arial" w:hAnsi="Arial" w:cs="Arial"/>
          <w:sz w:val="12"/>
          <w:szCs w:val="12"/>
        </w:rPr>
        <w:t>Artículo 33. Restricciones a la contratación pública.</w:t>
      </w:r>
      <w:bookmarkEnd w:id="6"/>
      <w:r w:rsidRPr="008927A7">
        <w:rPr>
          <w:rFonts w:ascii="Arial" w:hAnsi="Arial" w:cs="Arial"/>
          <w:sz w:val="12"/>
          <w:szCs w:val="12"/>
        </w:rPr>
        <w:t> Durante los cuatro (4) meses anteriores a la elección presidencial y hasta la realización de la elección en la segunda vuelta, si fuere el caso, queda prohibida la contratación directa por parte de todos los entes del Estado.</w:t>
      </w:r>
    </w:p>
    <w:p w:rsidRPr="008927A7" w:rsidR="008F48A4" w:rsidP="008F48A4" w:rsidRDefault="008F48A4" w14:paraId="4A9E019F" w14:textId="77777777">
      <w:pPr>
        <w:spacing w:line="240" w:lineRule="auto"/>
        <w:ind w:firstLine="709"/>
        <w:contextualSpacing/>
        <w:jc w:val="both"/>
        <w:rPr>
          <w:rFonts w:ascii="Arial" w:hAnsi="Arial" w:cs="Arial"/>
          <w:sz w:val="12"/>
          <w:szCs w:val="12"/>
        </w:rPr>
      </w:pPr>
    </w:p>
    <w:p w:rsidRPr="008927A7" w:rsidR="008F48A4" w:rsidP="008F48A4" w:rsidRDefault="008F48A4" w14:paraId="2AB11000" w14:textId="77777777">
      <w:pPr>
        <w:spacing w:after="0" w:line="240" w:lineRule="auto"/>
        <w:ind w:firstLine="709"/>
        <w:contextualSpacing/>
        <w:jc w:val="both"/>
        <w:rPr>
          <w:rFonts w:ascii="Arial" w:hAnsi="Arial" w:cs="Arial"/>
          <w:sz w:val="12"/>
          <w:szCs w:val="12"/>
        </w:rPr>
      </w:pPr>
      <w:r w:rsidRPr="008927A7">
        <w:rPr>
          <w:rFonts w:ascii="Arial" w:hAnsi="Arial" w:cs="Arial"/>
          <w:sz w:val="12"/>
          <w:szCs w:val="12"/>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w:t>
      </w:r>
    </w:p>
  </w:footnote>
  <w:footnote w:id="12">
    <w:p w:rsidRPr="008927A7" w:rsidR="008F48A4" w:rsidP="008F48A4" w:rsidRDefault="008F48A4" w14:paraId="65BF89C5" w14:textId="77777777">
      <w:pPr>
        <w:pStyle w:val="NormalWeb"/>
        <w:spacing w:after="0" w:line="240" w:lineRule="auto"/>
        <w:ind w:firstLine="709"/>
        <w:contextualSpacing/>
        <w:rPr>
          <w:rFonts w:ascii="Arial" w:hAnsi="Arial" w:cs="Arial"/>
          <w:sz w:val="12"/>
          <w:szCs w:val="12"/>
        </w:rPr>
      </w:pPr>
    </w:p>
    <w:p w:rsidRPr="008927A7" w:rsidR="008F48A4" w:rsidP="008F48A4" w:rsidRDefault="008F48A4" w14:paraId="00152622" w14:textId="77777777">
      <w:pPr>
        <w:pStyle w:val="NormalWeb"/>
        <w:spacing w:after="0" w:line="240" w:lineRule="auto"/>
        <w:ind w:firstLine="709"/>
        <w:contextualSpacing/>
        <w:rPr>
          <w:rFonts w:ascii="Arial" w:hAnsi="Arial" w:cs="Arial"/>
          <w:sz w:val="12"/>
          <w:szCs w:val="12"/>
          <w:lang w:val="es-MX"/>
        </w:rPr>
      </w:pPr>
      <w:r w:rsidRPr="008927A7">
        <w:rPr>
          <w:rStyle w:val="Refdenotaalpie"/>
          <w:rFonts w:ascii="Arial" w:hAnsi="Arial" w:cs="Arial"/>
          <w:sz w:val="12"/>
          <w:szCs w:val="12"/>
        </w:rPr>
        <w:footnoteRef/>
      </w:r>
      <w:r w:rsidRPr="008927A7">
        <w:rPr>
          <w:rFonts w:ascii="Arial" w:hAnsi="Arial" w:cs="Arial"/>
          <w:sz w:val="12"/>
          <w:szCs w:val="12"/>
        </w:rPr>
        <w:t xml:space="preserve"> </w:t>
      </w:r>
      <w:bookmarkStart w:name="38" w:id="7"/>
      <w:r w:rsidRPr="008927A7">
        <w:rPr>
          <w:rFonts w:ascii="Arial" w:hAnsi="Arial" w:eastAsia="Calibri" w:cs="Arial"/>
          <w:color w:val="000000"/>
          <w:sz w:val="12"/>
          <w:szCs w:val="12"/>
        </w:rPr>
        <w:t>“</w:t>
      </w:r>
      <w:r w:rsidRPr="008927A7">
        <w:rPr>
          <w:rFonts w:ascii="Arial" w:hAnsi="Arial" w:cs="Arial"/>
          <w:sz w:val="12"/>
          <w:szCs w:val="12"/>
          <w:lang w:val="es-MX"/>
        </w:rPr>
        <w:t>Artículo 38. Prohibiciones para los servidores públicos. A los empleados del Estado les está prohibido:</w:t>
      </w:r>
      <w:bookmarkEnd w:id="7"/>
    </w:p>
    <w:p w:rsidRPr="008927A7" w:rsidR="008F48A4" w:rsidP="008F48A4" w:rsidRDefault="008F48A4" w14:paraId="4664987B" w14:textId="77777777">
      <w:pPr>
        <w:pStyle w:val="NormalWeb"/>
        <w:spacing w:after="0" w:line="240" w:lineRule="auto"/>
        <w:ind w:firstLine="709"/>
        <w:contextualSpacing/>
        <w:rPr>
          <w:rFonts w:ascii="Arial" w:hAnsi="Arial" w:cs="Arial"/>
          <w:sz w:val="12"/>
          <w:szCs w:val="12"/>
          <w:lang w:val="es-MX"/>
        </w:rPr>
      </w:pPr>
      <w:r w:rsidRPr="008927A7">
        <w:rPr>
          <w:rFonts w:ascii="Arial" w:hAnsi="Arial" w:cs="Arial"/>
          <w:sz w:val="12"/>
          <w:szCs w:val="12"/>
          <w:lang w:val="es-MX"/>
        </w:rPr>
        <w:t>[…]</w:t>
      </w:r>
    </w:p>
    <w:p w:rsidRPr="008927A7" w:rsidR="008F48A4" w:rsidP="008F48A4" w:rsidRDefault="008F48A4" w14:paraId="1C3A6E05" w14:textId="77777777">
      <w:pPr>
        <w:pStyle w:val="NormalWeb"/>
        <w:spacing w:after="0" w:line="240" w:lineRule="auto"/>
        <w:ind w:firstLine="709"/>
        <w:contextualSpacing/>
        <w:rPr>
          <w:rFonts w:ascii="Arial" w:hAnsi="Arial" w:eastAsia="Calibri" w:cs="Arial"/>
          <w:color w:val="000000"/>
          <w:sz w:val="12"/>
          <w:szCs w:val="12"/>
        </w:rPr>
      </w:pPr>
      <w:r w:rsidRPr="008927A7">
        <w:rPr>
          <w:rStyle w:val="baj"/>
          <w:rFonts w:ascii="Arial" w:hAnsi="Arial" w:cs="Arial"/>
          <w:sz w:val="12"/>
          <w:szCs w:val="12"/>
          <w:lang w:val="es-MX"/>
        </w:rPr>
        <w:t>Parágrafo.</w:t>
      </w:r>
      <w:r w:rsidRPr="008927A7">
        <w:rPr>
          <w:rFonts w:ascii="Arial" w:hAnsi="Arial" w:cs="Arial"/>
          <w:sz w:val="12"/>
          <w:szCs w:val="12"/>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927A7">
        <w:rPr>
          <w:rFonts w:ascii="Arial" w:hAnsi="Arial" w:eastAsia="Calibri" w:cs="Arial"/>
          <w:color w:val="000000"/>
          <w:sz w:val="12"/>
          <w:szCs w:val="12"/>
        </w:rPr>
        <w:t>”.</w:t>
      </w:r>
    </w:p>
    <w:p w:rsidRPr="008927A7" w:rsidR="008F48A4" w:rsidP="008F48A4" w:rsidRDefault="008F48A4" w14:paraId="089B73F0" w14:textId="77777777">
      <w:pPr>
        <w:pStyle w:val="NormalWeb"/>
        <w:spacing w:after="0" w:line="240" w:lineRule="auto"/>
        <w:ind w:firstLine="709"/>
        <w:contextualSpacing/>
        <w:rPr>
          <w:rFonts w:ascii="Arial" w:hAnsi="Arial" w:cs="Arial"/>
          <w:sz w:val="12"/>
          <w:szCs w:val="12"/>
          <w:lang w:val="es-MX"/>
        </w:rPr>
      </w:pPr>
    </w:p>
  </w:footnote>
  <w:footnote w:id="13">
    <w:p w:rsidRPr="008927A7" w:rsidR="008F48A4" w:rsidP="008F48A4" w:rsidRDefault="008F48A4" w14:paraId="4EBB618E" w14:textId="77777777">
      <w:pPr>
        <w:spacing w:line="240" w:lineRule="auto"/>
        <w:ind w:left="100" w:right="244" w:firstLine="709"/>
        <w:contextualSpacing/>
        <w:jc w:val="both"/>
        <w:rPr>
          <w:rFonts w:ascii="Arial" w:hAnsi="Arial" w:cs="Arial"/>
          <w:sz w:val="12"/>
          <w:szCs w:val="12"/>
          <w:lang w:val="es-ES"/>
        </w:rPr>
      </w:pPr>
      <w:r w:rsidRPr="008927A7">
        <w:rPr>
          <w:rStyle w:val="Refdenotaalpie"/>
          <w:rFonts w:ascii="Arial" w:hAnsi="Arial" w:cs="Arial"/>
          <w:sz w:val="12"/>
          <w:szCs w:val="12"/>
        </w:rPr>
        <w:footnoteRef/>
      </w:r>
      <w:r w:rsidRPr="008927A7">
        <w:rPr>
          <w:rFonts w:ascii="Arial" w:hAnsi="Arial" w:cs="Arial"/>
          <w:sz w:val="12"/>
          <w:szCs w:val="12"/>
        </w:rPr>
        <w:t xml:space="preserve"> Consejo de Estado. Sala de Consulta y Servicio Civil. Concepto del 17 de febrero de 2015. C.P. William Zambrano Cetina. Radicación No. 11001-03-06-000-2015-00164-00(2269).</w:t>
      </w:r>
    </w:p>
  </w:footnote>
  <w:footnote w:id="14">
    <w:p w:rsidRPr="008927A7" w:rsidR="008F48A4" w:rsidP="008F48A4" w:rsidRDefault="008F48A4" w14:paraId="1E00302D" w14:textId="77777777">
      <w:pPr>
        <w:pStyle w:val="Textonotapie"/>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Consejo de Estado. Sala de Consulta y Servicio Civil. Concepto de 20 de febrero de2006. Radicación 11001-03-06-000-2006-00023-00(1724). Consejero Ponente: Flavio Augusto Rodríguez Arce.</w:t>
      </w:r>
    </w:p>
    <w:p w:rsidRPr="008927A7" w:rsidR="008F48A4" w:rsidP="008F48A4" w:rsidRDefault="008F48A4" w14:paraId="0845026C" w14:textId="77777777">
      <w:pPr>
        <w:pStyle w:val="Textonotapie"/>
        <w:ind w:firstLine="709"/>
        <w:contextualSpacing/>
        <w:jc w:val="both"/>
        <w:rPr>
          <w:rFonts w:ascii="Arial" w:hAnsi="Arial" w:cs="Arial"/>
          <w:sz w:val="12"/>
          <w:szCs w:val="12"/>
        </w:rPr>
      </w:pPr>
    </w:p>
  </w:footnote>
  <w:footnote w:id="15">
    <w:p w:rsidRPr="008927A7" w:rsidR="008F48A4" w:rsidP="008F48A4" w:rsidRDefault="008F48A4" w14:paraId="5A7A9511" w14:textId="77777777">
      <w:pPr>
        <w:spacing w:line="240" w:lineRule="auto"/>
        <w:ind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Decreto 1082 de 2015: “Artículo 2.2.1.2.1.4.4. Convenios o contratos interadministrativos. La modalidad de selección para la contratación entre Entidades Estatales es la contratación directa; </w:t>
      </w:r>
      <w:proofErr w:type="gramStart"/>
      <w:r w:rsidRPr="008927A7">
        <w:rPr>
          <w:rFonts w:ascii="Arial" w:hAnsi="Arial" w:cs="Arial"/>
          <w:sz w:val="12"/>
          <w:szCs w:val="12"/>
        </w:rPr>
        <w:t>y</w:t>
      </w:r>
      <w:proofErr w:type="gramEnd"/>
      <w:r w:rsidRPr="008927A7">
        <w:rPr>
          <w:rFonts w:ascii="Arial" w:hAnsi="Arial" w:cs="Arial"/>
          <w:sz w:val="12"/>
          <w:szCs w:val="12"/>
        </w:rPr>
        <w:t xml:space="preserve"> en consecuencia, le es aplicable lo establecido en el artículo 2.2.1.2.1.4.1 del presente decreto.</w:t>
      </w:r>
    </w:p>
    <w:p w:rsidRPr="008927A7" w:rsidR="008F48A4" w:rsidP="008F48A4" w:rsidRDefault="008F48A4" w14:paraId="2BB590FB" w14:textId="77777777">
      <w:pPr>
        <w:spacing w:line="240" w:lineRule="auto"/>
        <w:ind w:firstLine="709"/>
        <w:contextualSpacing/>
        <w:jc w:val="both"/>
        <w:rPr>
          <w:rFonts w:ascii="Arial" w:hAnsi="Arial" w:cs="Arial"/>
          <w:sz w:val="12"/>
          <w:szCs w:val="12"/>
        </w:rPr>
      </w:pPr>
    </w:p>
    <w:p w:rsidRPr="008927A7" w:rsidR="008F48A4" w:rsidP="008F48A4" w:rsidRDefault="008F48A4" w14:paraId="6F87C4EC" w14:textId="77777777">
      <w:pPr>
        <w:spacing w:line="240" w:lineRule="auto"/>
        <w:ind w:firstLine="709"/>
        <w:contextualSpacing/>
        <w:jc w:val="both"/>
        <w:rPr>
          <w:rFonts w:ascii="Arial" w:hAnsi="Arial" w:cs="Arial"/>
          <w:sz w:val="12"/>
          <w:szCs w:val="12"/>
        </w:rPr>
      </w:pPr>
      <w:r w:rsidRPr="008927A7">
        <w:rPr>
          <w:rFonts w:ascii="Arial" w:hAnsi="Arial"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927A7">
        <w:rPr>
          <w:rFonts w:ascii="Arial" w:hAnsi="Arial" w:cs="Arial"/>
          <w:spacing w:val="-1"/>
          <w:sz w:val="12"/>
          <w:szCs w:val="12"/>
        </w:rPr>
        <w:t xml:space="preserve"> </w:t>
      </w:r>
      <w:r w:rsidRPr="008927A7">
        <w:rPr>
          <w:rFonts w:ascii="Arial" w:hAnsi="Arial" w:cs="Arial"/>
          <w:sz w:val="12"/>
          <w:szCs w:val="12"/>
        </w:rPr>
        <w:t>Estatales”.</w:t>
      </w:r>
    </w:p>
    <w:p w:rsidRPr="008927A7" w:rsidR="008F48A4" w:rsidP="008F48A4" w:rsidRDefault="008F48A4" w14:paraId="469A8679" w14:textId="77777777">
      <w:pPr>
        <w:spacing w:line="240" w:lineRule="auto"/>
        <w:ind w:firstLine="709"/>
        <w:contextualSpacing/>
        <w:jc w:val="both"/>
        <w:rPr>
          <w:rFonts w:ascii="Arial" w:hAnsi="Arial" w:cs="Arial"/>
          <w:sz w:val="12"/>
          <w:szCs w:val="12"/>
        </w:rPr>
      </w:pPr>
    </w:p>
  </w:footnote>
  <w:footnote w:id="16">
    <w:p w:rsidRPr="008927A7" w:rsidR="008F48A4" w:rsidP="008F48A4" w:rsidRDefault="008F48A4" w14:paraId="3125A9CC" w14:textId="77777777">
      <w:pPr>
        <w:spacing w:line="240" w:lineRule="auto"/>
        <w:ind w:right="454" w:firstLine="709"/>
        <w:contextualSpacing/>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position w:val="7"/>
          <w:sz w:val="12"/>
          <w:szCs w:val="12"/>
        </w:rPr>
        <w:t xml:space="preserve"> </w:t>
      </w:r>
      <w:r w:rsidRPr="008927A7">
        <w:rPr>
          <w:rFonts w:ascii="Arial" w:hAnsi="Arial" w:cs="Arial"/>
          <w:sz w:val="12"/>
          <w:szCs w:val="12"/>
        </w:rPr>
        <w:t>Consejo de Estado. Sección Tercera. Sentencia del 23 de junio de 2010. Radicación No. 66001-23-31-000-1998-00261-01(17.860). Consejero Ponente: Mauricio Fajardo Gómez.</w:t>
      </w:r>
    </w:p>
  </w:footnote>
  <w:footnote w:id="17">
    <w:p w:rsidRPr="008927A7" w:rsidR="008F48A4" w:rsidP="008F48A4" w:rsidRDefault="008F48A4" w14:paraId="0CEFC8C9" w14:textId="77777777">
      <w:pPr>
        <w:spacing w:after="0" w:line="240" w:lineRule="auto"/>
        <w:ind w:firstLine="709"/>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Consejo de Estado. Sección Tercera. Subsección C. Sentencia del 11 de diciembre de 2019. </w:t>
      </w:r>
      <w:proofErr w:type="spellStart"/>
      <w:r w:rsidRPr="008927A7">
        <w:rPr>
          <w:rFonts w:ascii="Arial" w:hAnsi="Arial" w:cs="Arial"/>
          <w:sz w:val="12"/>
          <w:szCs w:val="12"/>
        </w:rPr>
        <w:t>Exp</w:t>
      </w:r>
      <w:proofErr w:type="spellEnd"/>
      <w:r w:rsidRPr="008927A7">
        <w:rPr>
          <w:rFonts w:ascii="Arial" w:hAnsi="Arial" w:cs="Arial"/>
          <w:sz w:val="12"/>
          <w:szCs w:val="12"/>
        </w:rPr>
        <w:t>. 46.986. C.P. Jaime Enrique Rodríguez Navas.</w:t>
      </w:r>
    </w:p>
    <w:p w:rsidRPr="008927A7" w:rsidR="008F48A4" w:rsidP="008F48A4" w:rsidRDefault="008F48A4" w14:paraId="65F67A0B" w14:textId="77777777">
      <w:pPr>
        <w:spacing w:after="0" w:line="240" w:lineRule="auto"/>
        <w:ind w:firstLine="709"/>
        <w:jc w:val="both"/>
        <w:rPr>
          <w:rFonts w:ascii="Arial" w:hAnsi="Arial" w:cs="Arial"/>
          <w:sz w:val="12"/>
          <w:szCs w:val="12"/>
        </w:rPr>
      </w:pPr>
    </w:p>
  </w:footnote>
  <w:footnote w:id="18">
    <w:p w:rsidRPr="008927A7" w:rsidR="008F48A4" w:rsidP="008F48A4" w:rsidRDefault="008F48A4" w14:paraId="3BB4EC96" w14:textId="77777777">
      <w:pPr>
        <w:pStyle w:val="Textonotapie"/>
        <w:ind w:firstLine="709"/>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[Referencia propia de la cita] “CE. SCSC. Concepto de 1 de noviembre de 2016 [Rad. 11001-03-06-000-2016-00125-00(2305)]. MP. Germán Alberto Bula Escobar”.</w:t>
      </w:r>
    </w:p>
    <w:p w:rsidRPr="008927A7" w:rsidR="008F48A4" w:rsidP="008F48A4" w:rsidRDefault="008F48A4" w14:paraId="26E5023F" w14:textId="77777777">
      <w:pPr>
        <w:pStyle w:val="Textonotapie"/>
        <w:ind w:firstLine="709"/>
        <w:jc w:val="both"/>
        <w:rPr>
          <w:rFonts w:ascii="Arial" w:hAnsi="Arial" w:cs="Arial"/>
          <w:sz w:val="12"/>
          <w:szCs w:val="12"/>
        </w:rPr>
      </w:pPr>
    </w:p>
  </w:footnote>
  <w:footnote w:id="19">
    <w:p w:rsidRPr="008927A7" w:rsidR="008F48A4" w:rsidP="008F48A4" w:rsidRDefault="008F48A4" w14:paraId="3A93F6DD" w14:textId="77777777">
      <w:pPr>
        <w:pStyle w:val="Textonotapie"/>
        <w:ind w:firstLine="709"/>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[Referencia propia de la cita] “CE. SCSC. Concepto de 30 de abril de 2008 [Rad. 11001-03-06-000-2008-00013-00(1881)]. MP. Enrique José Arboleda Perdomo. En esta oportunidad, la Sala indicó que el contenido </w:t>
      </w:r>
      <w:r w:rsidRPr="008927A7">
        <w:rPr>
          <w:rFonts w:ascii="Arial" w:hAnsi="Arial" w:cs="Arial"/>
          <w:i/>
          <w:sz w:val="12"/>
          <w:szCs w:val="12"/>
        </w:rPr>
        <w:t>“obligacional”</w:t>
      </w:r>
      <w:r w:rsidRPr="008927A7">
        <w:rPr>
          <w:rFonts w:ascii="Arial" w:hAnsi="Arial" w:cs="Arial"/>
          <w:sz w:val="12"/>
          <w:szCs w:val="12"/>
        </w:rPr>
        <w:t xml:space="preserve"> de los convenios se estructura definiendo el resultado querido por las partes y los medios que cada entidad despliega para la obtención del respectivo objeto”.</w:t>
      </w:r>
    </w:p>
  </w:footnote>
  <w:footnote w:id="20">
    <w:p w:rsidRPr="008927A7" w:rsidR="008F48A4" w:rsidP="008F48A4" w:rsidRDefault="008F48A4" w14:paraId="59725D2B" w14:textId="77777777">
      <w:pPr>
        <w:pStyle w:val="Textonotapie"/>
        <w:ind w:firstLine="709"/>
        <w:jc w:val="both"/>
        <w:rPr>
          <w:rFonts w:ascii="Arial" w:hAnsi="Arial" w:cs="Arial"/>
          <w:sz w:val="12"/>
          <w:szCs w:val="12"/>
        </w:rPr>
      </w:pPr>
    </w:p>
    <w:p w:rsidRPr="008927A7" w:rsidR="008F48A4" w:rsidP="008F48A4" w:rsidRDefault="008F48A4" w14:paraId="136D0F25" w14:textId="77777777">
      <w:pPr>
        <w:pStyle w:val="Textonotapie"/>
        <w:ind w:firstLine="709"/>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[Referencia propia de la cita] “La normativa vigente del EGCAP </w:t>
      </w:r>
      <w:r w:rsidRPr="008927A7">
        <w:rPr>
          <w:rFonts w:ascii="Arial" w:hAnsi="Arial" w:cs="Arial"/>
          <w:i/>
          <w:sz w:val="12"/>
          <w:szCs w:val="12"/>
        </w:rPr>
        <w:t>[literal c) del numeral 4. del artículo 2 de la Ley 1150/07]</w:t>
      </w:r>
      <w:r w:rsidRPr="008927A7">
        <w:rPr>
          <w:rFonts w:ascii="Arial" w:hAnsi="Arial" w:cs="Arial"/>
          <w:sz w:val="12"/>
          <w:szCs w:val="12"/>
        </w:rPr>
        <w:t xml:space="preserve"> se refiere a </w:t>
      </w:r>
      <w:r w:rsidRPr="008927A7">
        <w:rPr>
          <w:rFonts w:ascii="Arial" w:hAnsi="Arial" w:cs="Arial"/>
          <w:i/>
          <w:sz w:val="12"/>
          <w:szCs w:val="12"/>
        </w:rPr>
        <w:t>“contratos interadministrativos”</w:t>
      </w:r>
      <w:r w:rsidRPr="008927A7">
        <w:rPr>
          <w:rFonts w:ascii="Arial" w:hAnsi="Arial"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rsidRPr="008927A7" w:rsidR="008F48A4" w:rsidP="008F48A4" w:rsidRDefault="008F48A4" w14:paraId="59EAADB8" w14:textId="77777777">
      <w:pPr>
        <w:pStyle w:val="Textonotapie"/>
        <w:ind w:firstLine="709"/>
        <w:jc w:val="both"/>
        <w:rPr>
          <w:rFonts w:ascii="Arial" w:hAnsi="Arial" w:cs="Arial"/>
          <w:sz w:val="12"/>
          <w:szCs w:val="12"/>
        </w:rPr>
      </w:pPr>
    </w:p>
  </w:footnote>
  <w:footnote w:id="21">
    <w:p w:rsidRPr="008927A7" w:rsidR="008F48A4" w:rsidP="008F48A4" w:rsidRDefault="008F48A4" w14:paraId="1B175D4A" w14:textId="77777777">
      <w:pPr>
        <w:pStyle w:val="Textonotapie"/>
        <w:ind w:firstLine="709"/>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8927A7">
        <w:rPr>
          <w:rFonts w:ascii="Arial" w:hAnsi="Arial" w:cs="Arial"/>
          <w:sz w:val="12"/>
          <w:szCs w:val="12"/>
        </w:rPr>
        <w:t>Exp</w:t>
      </w:r>
      <w:proofErr w:type="spellEnd"/>
      <w:r w:rsidRPr="008927A7">
        <w:rPr>
          <w:rFonts w:ascii="Arial" w:hAnsi="Arial" w:cs="Arial"/>
          <w:sz w:val="12"/>
          <w:szCs w:val="12"/>
        </w:rPr>
        <w:t xml:space="preserve">. 2.257. M.P. Álvaro </w:t>
      </w:r>
      <w:proofErr w:type="spellStart"/>
      <w:r w:rsidRPr="008927A7">
        <w:rPr>
          <w:rFonts w:ascii="Arial" w:hAnsi="Arial" w:cs="Arial"/>
          <w:sz w:val="12"/>
          <w:szCs w:val="12"/>
        </w:rPr>
        <w:t>Namén</w:t>
      </w:r>
      <w:proofErr w:type="spellEnd"/>
      <w:r w:rsidRPr="008927A7">
        <w:rPr>
          <w:rFonts w:ascii="Arial" w:hAnsi="Arial" w:cs="Arial"/>
          <w:sz w:val="12"/>
          <w:szCs w:val="12"/>
        </w:rPr>
        <w:t xml:space="preserve"> Vargas).</w:t>
      </w:r>
    </w:p>
    <w:p w:rsidRPr="008927A7" w:rsidR="008F48A4" w:rsidP="008F48A4" w:rsidRDefault="008F48A4" w14:paraId="6A629382" w14:textId="77777777">
      <w:pPr>
        <w:pStyle w:val="Textonotapie"/>
        <w:ind w:firstLine="709"/>
        <w:jc w:val="both"/>
        <w:rPr>
          <w:rFonts w:ascii="Arial" w:hAnsi="Arial" w:cs="Arial"/>
          <w:sz w:val="12"/>
          <w:szCs w:val="12"/>
        </w:rPr>
      </w:pPr>
    </w:p>
  </w:footnote>
  <w:footnote w:id="22">
    <w:p w:rsidRPr="008927A7" w:rsidR="008F48A4" w:rsidP="008F48A4" w:rsidRDefault="008F48A4" w14:paraId="62C1C1D5" w14:textId="77777777">
      <w:pPr>
        <w:pStyle w:val="Textonotapie"/>
        <w:ind w:firstLine="709"/>
        <w:jc w:val="both"/>
        <w:rPr>
          <w:rFonts w:ascii="Arial" w:hAnsi="Arial" w:cs="Arial"/>
          <w:sz w:val="12"/>
          <w:szCs w:val="12"/>
        </w:rPr>
      </w:pPr>
      <w:r w:rsidRPr="008927A7">
        <w:rPr>
          <w:rStyle w:val="Refdenotaalpie"/>
          <w:rFonts w:ascii="Arial" w:hAnsi="Arial" w:cs="Arial"/>
          <w:sz w:val="12"/>
          <w:szCs w:val="12"/>
        </w:rPr>
        <w:footnoteRef/>
      </w:r>
      <w:r w:rsidRPr="008927A7">
        <w:rPr>
          <w:rFonts w:ascii="Arial" w:hAnsi="Arial" w:cs="Arial"/>
          <w:sz w:val="12"/>
          <w:szCs w:val="12"/>
        </w:rPr>
        <w:t xml:space="preserve"> Es lo que sucede, por ejemplo, con el Decreto 092 de 2017, que en su desarrollo hace referencia tanto a los “contratos” como a los “convenios”. </w:t>
      </w:r>
    </w:p>
    <w:p w:rsidRPr="008927A7" w:rsidR="008F48A4" w:rsidP="008F48A4" w:rsidRDefault="008F48A4" w14:paraId="3E35FFE4" w14:textId="77777777">
      <w:pPr>
        <w:pStyle w:val="Textonotapie"/>
        <w:ind w:firstLine="709"/>
        <w:jc w:val="both"/>
        <w:rPr>
          <w:rFonts w:ascii="Arial" w:hAnsi="Arial" w:cs="Arial"/>
          <w:sz w:val="12"/>
          <w:szCs w:val="12"/>
          <w:lang w:val="es-CO"/>
        </w:rPr>
      </w:pPr>
    </w:p>
  </w:footnote>
  <w:footnote w:id="23">
    <w:p w:rsidRPr="00AC5F71" w:rsidR="008F48A4" w:rsidP="008F48A4" w:rsidRDefault="008F48A4" w14:paraId="38A69CCE" w14:textId="77777777">
      <w:pPr>
        <w:pStyle w:val="Textonotapie"/>
        <w:ind w:firstLine="709"/>
        <w:jc w:val="both"/>
        <w:rPr>
          <w:rFonts w:ascii="Arial" w:hAnsi="Arial" w:cs="Arial"/>
          <w:sz w:val="12"/>
          <w:szCs w:val="12"/>
          <w:lang w:val="es-CO"/>
        </w:rPr>
      </w:pPr>
      <w:r w:rsidRPr="008927A7">
        <w:rPr>
          <w:rStyle w:val="Refdenotaalpie"/>
          <w:rFonts w:ascii="Arial" w:hAnsi="Arial" w:cs="Arial"/>
          <w:sz w:val="12"/>
          <w:szCs w:val="12"/>
        </w:rPr>
        <w:footnoteRef/>
      </w:r>
      <w:r w:rsidRPr="008927A7">
        <w:rPr>
          <w:rFonts w:ascii="Arial" w:hAnsi="Arial" w:cs="Arial"/>
          <w:sz w:val="12"/>
          <w:szCs w:val="12"/>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4">
    <w:p w:rsidRPr="00AC5F71" w:rsidR="008F48A4" w:rsidP="008F48A4" w:rsidRDefault="008F48A4" w14:paraId="6ADA4F8B" w14:textId="77777777">
      <w:pPr>
        <w:pStyle w:val="Textonotapie"/>
        <w:ind w:firstLine="709"/>
        <w:contextualSpacing/>
        <w:jc w:val="both"/>
        <w:rPr>
          <w:rFonts w:ascii="Arial" w:hAnsi="Arial" w:cs="Arial"/>
          <w:color w:val="000000"/>
          <w:sz w:val="12"/>
          <w:szCs w:val="12"/>
          <w:lang w:val="es-ES_tradnl"/>
        </w:rPr>
      </w:pPr>
      <w:r w:rsidRPr="00AC5F71">
        <w:rPr>
          <w:rStyle w:val="Refdenotaalpie"/>
          <w:rFonts w:ascii="Arial" w:hAnsi="Arial" w:cs="Arial"/>
          <w:color w:val="000000"/>
          <w:sz w:val="12"/>
          <w:szCs w:val="12"/>
          <w:lang w:val="es-ES_tradnl"/>
        </w:rPr>
        <w:footnoteRef/>
      </w:r>
      <w:r w:rsidRPr="00AC5F71">
        <w:rPr>
          <w:rFonts w:ascii="Arial" w:hAnsi="Arial" w:cs="Arial"/>
          <w:color w:val="000000"/>
          <w:sz w:val="12"/>
          <w:szCs w:val="12"/>
          <w:lang w:val="es-ES_tradnl"/>
        </w:rPr>
        <w:t xml:space="preserve"> Así lo ha reconocido la doctrina en la materia, al afirmar: </w:t>
      </w:r>
      <w:r>
        <w:rPr>
          <w:rFonts w:ascii="Arial" w:hAnsi="Arial" w:cs="Arial"/>
          <w:color w:val="000000"/>
          <w:sz w:val="12"/>
          <w:szCs w:val="12"/>
          <w:lang w:val="es-ES_tradnl"/>
        </w:rPr>
        <w:t>“</w:t>
      </w:r>
      <w:r w:rsidRPr="00AC5F71">
        <w:rPr>
          <w:rFonts w:ascii="Arial" w:hAnsi="Arial" w:cs="Arial"/>
          <w:color w:val="000000"/>
          <w:sz w:val="12"/>
          <w:szCs w:val="12"/>
          <w:lang w:val="es-ES_tradnl"/>
        </w:rPr>
        <w:t>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rsidRPr="00AC5F71" w:rsidR="008F48A4" w:rsidP="008F48A4" w:rsidRDefault="008F48A4" w14:paraId="542A76FD" w14:textId="77777777">
      <w:pPr>
        <w:pStyle w:val="Textonotapie"/>
        <w:ind w:firstLine="709"/>
        <w:contextualSpacing/>
        <w:jc w:val="both"/>
        <w:rPr>
          <w:rFonts w:ascii="Arial" w:hAnsi="Arial" w:cs="Arial"/>
          <w:color w:val="000000"/>
          <w:sz w:val="12"/>
          <w:szCs w:val="12"/>
          <w:lang w:val="es-ES_tradnl"/>
        </w:rPr>
      </w:pPr>
      <w:r>
        <w:rPr>
          <w:rFonts w:ascii="Arial" w:hAnsi="Arial" w:cs="Arial"/>
          <w:color w:val="000000"/>
          <w:sz w:val="12"/>
          <w:szCs w:val="12"/>
          <w:lang w:val="es-ES_tradnl"/>
        </w:rPr>
        <w:t>“</w:t>
      </w:r>
      <w:r w:rsidRPr="00AC5F71">
        <w:rPr>
          <w:rFonts w:ascii="Arial" w:hAnsi="Arial" w:cs="Arial"/>
          <w:color w:val="000000"/>
          <w:sz w:val="12"/>
          <w:szCs w:val="12"/>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rsidRPr="00AC5F71" w:rsidR="008F48A4" w:rsidP="008F48A4" w:rsidRDefault="008F48A4" w14:paraId="7C23AC89" w14:textId="77777777">
      <w:pPr>
        <w:pStyle w:val="Textonotapie"/>
        <w:ind w:firstLine="709"/>
        <w:contextualSpacing/>
        <w:jc w:val="both"/>
        <w:rPr>
          <w:rFonts w:ascii="Arial" w:hAnsi="Arial" w:cs="Arial"/>
          <w:color w:val="000000"/>
          <w:sz w:val="12"/>
          <w:szCs w:val="12"/>
          <w:lang w:val="es-ES_tradnl"/>
        </w:rPr>
      </w:pPr>
      <w:r>
        <w:rPr>
          <w:rFonts w:ascii="Arial" w:hAnsi="Arial" w:cs="Arial"/>
          <w:color w:val="000000"/>
          <w:sz w:val="12"/>
          <w:szCs w:val="12"/>
          <w:lang w:val="es-ES_tradnl"/>
        </w:rPr>
        <w:t>“</w:t>
      </w:r>
      <w:r w:rsidRPr="00AC5F71">
        <w:rPr>
          <w:rFonts w:ascii="Arial" w:hAnsi="Arial" w:cs="Arial"/>
          <w:color w:val="000000"/>
          <w:sz w:val="12"/>
          <w:szCs w:val="12"/>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w:t>
      </w:r>
      <w:r>
        <w:rPr>
          <w:rFonts w:ascii="Arial" w:hAnsi="Arial" w:cs="Arial"/>
          <w:color w:val="000000"/>
          <w:sz w:val="12"/>
          <w:szCs w:val="12"/>
          <w:lang w:val="es-ES_tradnl"/>
        </w:rPr>
        <w:t>”</w:t>
      </w:r>
      <w:r w:rsidRPr="00AC5F71">
        <w:rPr>
          <w:rFonts w:ascii="Arial" w:hAnsi="Arial" w:cs="Arial"/>
          <w:color w:val="000000"/>
          <w:sz w:val="12"/>
          <w:szCs w:val="12"/>
          <w:lang w:val="es-ES_tradnl"/>
        </w:rPr>
        <w:t xml:space="preserve"> (NÚÑEZ FORERO, Felipe. Servicios públicos domiciliarios, telecomunicaciones e infraestructura (instituciones, regulación y competencia). Bogotá: Universidad Externado de Colombia, 2017. p. 43).</w:t>
      </w:r>
    </w:p>
    <w:p w:rsidRPr="00AC5F71" w:rsidR="008F48A4" w:rsidP="008F48A4" w:rsidRDefault="008F48A4" w14:paraId="7F9F01CC" w14:textId="77777777">
      <w:pPr>
        <w:pStyle w:val="Textonotapie"/>
        <w:ind w:firstLine="709"/>
        <w:contextualSpacing/>
        <w:jc w:val="both"/>
        <w:rPr>
          <w:rFonts w:ascii="Arial" w:hAnsi="Arial" w:cs="Arial"/>
          <w:color w:val="000000"/>
          <w:sz w:val="12"/>
          <w:szCs w:val="12"/>
          <w:lang w:val="es-ES_tradnl"/>
        </w:rPr>
      </w:pPr>
    </w:p>
  </w:footnote>
  <w:footnote w:id="25">
    <w:p w:rsidRPr="00AC5F71" w:rsidR="008F48A4" w:rsidP="008F48A4" w:rsidRDefault="008F48A4" w14:paraId="1214DD08" w14:textId="77777777">
      <w:pPr>
        <w:pStyle w:val="Textonotapie"/>
        <w:ind w:firstLine="709"/>
        <w:contextualSpacing/>
        <w:jc w:val="both"/>
        <w:rPr>
          <w:rFonts w:ascii="Arial" w:hAnsi="Arial" w:cs="Arial"/>
          <w:color w:val="000000"/>
          <w:sz w:val="12"/>
          <w:szCs w:val="12"/>
        </w:rPr>
      </w:pPr>
      <w:r w:rsidRPr="00AC5F71">
        <w:rPr>
          <w:rStyle w:val="Refdenotaalpie"/>
          <w:rFonts w:ascii="Arial" w:hAnsi="Arial" w:cs="Arial"/>
          <w:color w:val="000000"/>
          <w:sz w:val="12"/>
          <w:szCs w:val="12"/>
        </w:rPr>
        <w:footnoteRef/>
      </w:r>
      <w:r w:rsidRPr="00AC5F71">
        <w:rPr>
          <w:rFonts w:ascii="Arial" w:hAnsi="Arial" w:cs="Arial"/>
          <w:color w:val="000000"/>
          <w:sz w:val="12"/>
          <w:szCs w:val="12"/>
        </w:rPr>
        <w:t xml:space="preserve"> En efecto, dicho artículo establece: </w:t>
      </w:r>
      <w:r>
        <w:rPr>
          <w:rFonts w:ascii="Arial" w:hAnsi="Arial" w:cs="Arial"/>
          <w:color w:val="000000"/>
          <w:sz w:val="12"/>
          <w:szCs w:val="12"/>
        </w:rPr>
        <w:t>“</w:t>
      </w:r>
      <w:r w:rsidRPr="00AC5F71">
        <w:rPr>
          <w:rFonts w:ascii="Arial" w:hAnsi="Arial" w:cs="Arial"/>
          <w:color w:val="000000"/>
          <w:sz w:val="12"/>
          <w:szCs w:val="12"/>
        </w:rPr>
        <w:t>Pueden prestar los servicios públicos:</w:t>
      </w:r>
    </w:p>
    <w:p w:rsidRPr="00AC5F71" w:rsidR="008F48A4" w:rsidP="008F48A4" w:rsidRDefault="008F48A4" w14:paraId="4570415D" w14:textId="77777777">
      <w:pPr>
        <w:pStyle w:val="Textonotapie"/>
        <w:ind w:firstLine="709"/>
        <w:contextualSpacing/>
        <w:jc w:val="both"/>
        <w:rPr>
          <w:rFonts w:ascii="Arial" w:hAnsi="Arial" w:cs="Arial"/>
          <w:color w:val="000000"/>
          <w:sz w:val="12"/>
          <w:szCs w:val="12"/>
        </w:rPr>
      </w:pPr>
      <w:r>
        <w:rPr>
          <w:rFonts w:ascii="Arial" w:hAnsi="Arial" w:cs="Arial"/>
          <w:color w:val="000000"/>
          <w:sz w:val="12"/>
          <w:szCs w:val="12"/>
        </w:rPr>
        <w:t>“</w:t>
      </w:r>
      <w:r w:rsidRPr="00AC5F71">
        <w:rPr>
          <w:rFonts w:ascii="Arial" w:hAnsi="Arial" w:cs="Arial"/>
          <w:color w:val="000000"/>
          <w:sz w:val="12"/>
          <w:szCs w:val="12"/>
        </w:rPr>
        <w:t>15.1. Las empresas de servicios públicos.</w:t>
      </w:r>
    </w:p>
    <w:p w:rsidRPr="00AC5F71" w:rsidR="008F48A4" w:rsidP="008F48A4" w:rsidRDefault="008F48A4" w14:paraId="7E88753B" w14:textId="77777777">
      <w:pPr>
        <w:pStyle w:val="Textonotapie"/>
        <w:ind w:firstLine="709"/>
        <w:contextualSpacing/>
        <w:jc w:val="both"/>
        <w:rPr>
          <w:rFonts w:ascii="Arial" w:hAnsi="Arial" w:cs="Arial"/>
          <w:color w:val="000000"/>
          <w:sz w:val="12"/>
          <w:szCs w:val="12"/>
        </w:rPr>
      </w:pPr>
      <w:r>
        <w:rPr>
          <w:rFonts w:ascii="Arial" w:hAnsi="Arial" w:cs="Arial"/>
          <w:color w:val="000000"/>
          <w:sz w:val="12"/>
          <w:szCs w:val="12"/>
        </w:rPr>
        <w:t>“</w:t>
      </w:r>
      <w:r w:rsidRPr="00AC5F71">
        <w:rPr>
          <w:rFonts w:ascii="Arial" w:hAnsi="Arial" w:cs="Arial"/>
          <w:color w:val="000000"/>
          <w:sz w:val="12"/>
          <w:szCs w:val="12"/>
        </w:rPr>
        <w:t>15.2. Las personas naturales o jurídicas que produzcan para ellas mismas, o como consecuencia o complemento de su actividad principal, los bienes y servicios propios del objeto de las empresas de servicios públicos.</w:t>
      </w:r>
    </w:p>
    <w:p w:rsidRPr="00AC5F71" w:rsidR="008F48A4" w:rsidP="008F48A4" w:rsidRDefault="008F48A4" w14:paraId="54066094" w14:textId="77777777">
      <w:pPr>
        <w:pStyle w:val="Textonotapie"/>
        <w:ind w:firstLine="709"/>
        <w:contextualSpacing/>
        <w:jc w:val="both"/>
        <w:rPr>
          <w:rFonts w:ascii="Arial" w:hAnsi="Arial" w:cs="Arial"/>
          <w:color w:val="000000"/>
          <w:sz w:val="12"/>
          <w:szCs w:val="12"/>
        </w:rPr>
      </w:pPr>
      <w:r>
        <w:rPr>
          <w:rFonts w:ascii="Arial" w:hAnsi="Arial" w:cs="Arial"/>
          <w:color w:val="000000"/>
          <w:sz w:val="12"/>
          <w:szCs w:val="12"/>
        </w:rPr>
        <w:t>“</w:t>
      </w:r>
      <w:r w:rsidRPr="00AC5F71">
        <w:rPr>
          <w:rFonts w:ascii="Arial" w:hAnsi="Arial" w:cs="Arial"/>
          <w:color w:val="000000"/>
          <w:sz w:val="12"/>
          <w:szCs w:val="12"/>
        </w:rPr>
        <w:t>15.3. Los municipios cuando asuman en forma directa, a través de su administración central, la prestación de los servicios públicos, conforme a lo dispuesto en esta Ley.</w:t>
      </w:r>
    </w:p>
    <w:p w:rsidRPr="00AC5F71" w:rsidR="008F48A4" w:rsidP="008F48A4" w:rsidRDefault="008F48A4" w14:paraId="13B3E942" w14:textId="77777777">
      <w:pPr>
        <w:pStyle w:val="Textonotapie"/>
        <w:ind w:firstLine="709"/>
        <w:contextualSpacing/>
        <w:jc w:val="both"/>
        <w:rPr>
          <w:rFonts w:ascii="Arial" w:hAnsi="Arial" w:cs="Arial"/>
          <w:color w:val="000000"/>
          <w:sz w:val="12"/>
          <w:szCs w:val="12"/>
        </w:rPr>
      </w:pPr>
      <w:r>
        <w:rPr>
          <w:rFonts w:ascii="Arial" w:hAnsi="Arial" w:cs="Arial"/>
          <w:color w:val="000000"/>
          <w:sz w:val="12"/>
          <w:szCs w:val="12"/>
        </w:rPr>
        <w:t>“</w:t>
      </w:r>
      <w:r w:rsidRPr="00AC5F71">
        <w:rPr>
          <w:rFonts w:ascii="Arial" w:hAnsi="Arial" w:cs="Arial"/>
          <w:color w:val="000000"/>
          <w:sz w:val="12"/>
          <w:szCs w:val="12"/>
        </w:rPr>
        <w:t>15.4. Las organizaciones autorizadas conforme a esta Ley para prestar servicios públicos en municipios menores en zonas rurales y en áreas o zonas urbanas específicas.</w:t>
      </w:r>
    </w:p>
    <w:p w:rsidRPr="00AC5F71" w:rsidR="008F48A4" w:rsidP="008F48A4" w:rsidRDefault="008F48A4" w14:paraId="78083422" w14:textId="77777777">
      <w:pPr>
        <w:pStyle w:val="Textonotapie"/>
        <w:ind w:firstLine="709"/>
        <w:contextualSpacing/>
        <w:jc w:val="both"/>
        <w:rPr>
          <w:rFonts w:ascii="Arial" w:hAnsi="Arial" w:cs="Arial"/>
          <w:color w:val="000000"/>
          <w:sz w:val="12"/>
          <w:szCs w:val="12"/>
        </w:rPr>
      </w:pPr>
      <w:r>
        <w:rPr>
          <w:rFonts w:ascii="Arial" w:hAnsi="Arial" w:cs="Arial"/>
          <w:color w:val="000000"/>
          <w:sz w:val="12"/>
          <w:szCs w:val="12"/>
        </w:rPr>
        <w:t>“</w:t>
      </w:r>
      <w:r w:rsidRPr="00AC5F71">
        <w:rPr>
          <w:rFonts w:ascii="Arial" w:hAnsi="Arial" w:cs="Arial"/>
          <w:color w:val="000000"/>
          <w:sz w:val="12"/>
          <w:szCs w:val="12"/>
        </w:rPr>
        <w:t>15.5. Las entidades autorizadas para prestar servicios públicos durante los períodos de transición previstos en esta Ley.</w:t>
      </w:r>
    </w:p>
    <w:p w:rsidRPr="00AC5F71" w:rsidR="008F48A4" w:rsidP="008F48A4" w:rsidRDefault="008F48A4" w14:paraId="6DC4EE2A" w14:textId="77777777">
      <w:pPr>
        <w:pStyle w:val="Textonotapie"/>
        <w:ind w:firstLine="709"/>
        <w:contextualSpacing/>
        <w:jc w:val="both"/>
        <w:rPr>
          <w:rFonts w:ascii="Arial" w:hAnsi="Arial" w:cs="Arial"/>
          <w:color w:val="000000"/>
          <w:sz w:val="12"/>
          <w:szCs w:val="12"/>
        </w:rPr>
      </w:pPr>
      <w:r>
        <w:rPr>
          <w:rFonts w:ascii="Arial" w:hAnsi="Arial" w:cs="Arial"/>
          <w:color w:val="000000"/>
          <w:sz w:val="12"/>
          <w:szCs w:val="12"/>
        </w:rPr>
        <w:t>“</w:t>
      </w:r>
      <w:r w:rsidRPr="00AC5F71">
        <w:rPr>
          <w:rFonts w:ascii="Arial" w:hAnsi="Arial" w:cs="Arial"/>
          <w:color w:val="000000"/>
          <w:sz w:val="12"/>
          <w:szCs w:val="12"/>
        </w:rPr>
        <w:t>15.6. Las entidades descentralizadas de cualquier orden territorial o nacional que al momento de expedirse esta Ley estén prestando cualquiera de los servicios públicos y se ajusten a lo establecido en el parágrafo del artículo 17</w:t>
      </w:r>
      <w:r>
        <w:rPr>
          <w:rFonts w:ascii="Arial" w:hAnsi="Arial" w:cs="Arial"/>
          <w:color w:val="000000"/>
          <w:sz w:val="12"/>
          <w:szCs w:val="12"/>
        </w:rPr>
        <w:t>”</w:t>
      </w:r>
      <w:r w:rsidRPr="00AC5F71">
        <w:rPr>
          <w:rFonts w:ascii="Arial" w:hAnsi="Arial" w:cs="Arial"/>
          <w:color w:val="000000"/>
          <w:sz w:val="12"/>
          <w:szCs w:val="12"/>
        </w:rPr>
        <w:t>.</w:t>
      </w:r>
    </w:p>
    <w:p w:rsidRPr="00AC5F71" w:rsidR="008F48A4" w:rsidP="008F48A4" w:rsidRDefault="008F48A4" w14:paraId="36F1BE2A" w14:textId="77777777">
      <w:pPr>
        <w:pStyle w:val="Textonotapie"/>
        <w:ind w:firstLine="709"/>
        <w:contextualSpacing/>
        <w:jc w:val="both"/>
        <w:rPr>
          <w:rFonts w:ascii="Arial" w:hAnsi="Arial" w:cs="Arial"/>
          <w:color w:val="000000"/>
          <w:sz w:val="12"/>
          <w:szCs w:val="12"/>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dirty"/>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528"/>
    <w:rsid w:val="0000284E"/>
    <w:rsid w:val="00064D93"/>
    <w:rsid w:val="000A683E"/>
    <w:rsid w:val="000B19B9"/>
    <w:rsid w:val="000D0334"/>
    <w:rsid w:val="000F6486"/>
    <w:rsid w:val="00125105"/>
    <w:rsid w:val="00127233"/>
    <w:rsid w:val="001D4DDF"/>
    <w:rsid w:val="001E2A6E"/>
    <w:rsid w:val="001E4177"/>
    <w:rsid w:val="002951A0"/>
    <w:rsid w:val="002962BC"/>
    <w:rsid w:val="002A093D"/>
    <w:rsid w:val="002A49AC"/>
    <w:rsid w:val="002A64FD"/>
    <w:rsid w:val="002C7A84"/>
    <w:rsid w:val="003214D1"/>
    <w:rsid w:val="003448F4"/>
    <w:rsid w:val="0037285B"/>
    <w:rsid w:val="003A779E"/>
    <w:rsid w:val="003D0F4D"/>
    <w:rsid w:val="003E0499"/>
    <w:rsid w:val="003E51FC"/>
    <w:rsid w:val="003F3941"/>
    <w:rsid w:val="00400548"/>
    <w:rsid w:val="00420BB8"/>
    <w:rsid w:val="004A1847"/>
    <w:rsid w:val="004A305D"/>
    <w:rsid w:val="004F21C4"/>
    <w:rsid w:val="004F685F"/>
    <w:rsid w:val="005178CE"/>
    <w:rsid w:val="00544970"/>
    <w:rsid w:val="005566E8"/>
    <w:rsid w:val="00574867"/>
    <w:rsid w:val="005C5CDC"/>
    <w:rsid w:val="005D476C"/>
    <w:rsid w:val="00601AA3"/>
    <w:rsid w:val="006219F8"/>
    <w:rsid w:val="00627943"/>
    <w:rsid w:val="00635FFA"/>
    <w:rsid w:val="00665D70"/>
    <w:rsid w:val="006744D1"/>
    <w:rsid w:val="006B6BF9"/>
    <w:rsid w:val="006C019A"/>
    <w:rsid w:val="00706C16"/>
    <w:rsid w:val="00710BE1"/>
    <w:rsid w:val="00745862"/>
    <w:rsid w:val="00746975"/>
    <w:rsid w:val="00756841"/>
    <w:rsid w:val="007649AB"/>
    <w:rsid w:val="007833AC"/>
    <w:rsid w:val="007B7171"/>
    <w:rsid w:val="007C3DC2"/>
    <w:rsid w:val="007E5497"/>
    <w:rsid w:val="00806F5F"/>
    <w:rsid w:val="00820278"/>
    <w:rsid w:val="00840D39"/>
    <w:rsid w:val="00863466"/>
    <w:rsid w:val="00875DA8"/>
    <w:rsid w:val="008843B6"/>
    <w:rsid w:val="00886A34"/>
    <w:rsid w:val="00891928"/>
    <w:rsid w:val="008A446D"/>
    <w:rsid w:val="008D33C8"/>
    <w:rsid w:val="008E4FA6"/>
    <w:rsid w:val="008F0EA7"/>
    <w:rsid w:val="008F48A4"/>
    <w:rsid w:val="00923EEF"/>
    <w:rsid w:val="009419F9"/>
    <w:rsid w:val="00961B09"/>
    <w:rsid w:val="00965334"/>
    <w:rsid w:val="0097093E"/>
    <w:rsid w:val="009C71FA"/>
    <w:rsid w:val="009C72E7"/>
    <w:rsid w:val="009E70AE"/>
    <w:rsid w:val="00A17F13"/>
    <w:rsid w:val="00A20739"/>
    <w:rsid w:val="00A33C78"/>
    <w:rsid w:val="00A73EED"/>
    <w:rsid w:val="00AB0ADB"/>
    <w:rsid w:val="00B72CD3"/>
    <w:rsid w:val="00B72FFF"/>
    <w:rsid w:val="00BD7F72"/>
    <w:rsid w:val="00C04FB3"/>
    <w:rsid w:val="00C330EB"/>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A0E3D"/>
    <w:rsid w:val="00EE1AA8"/>
    <w:rsid w:val="00EF29F5"/>
    <w:rsid w:val="00EF7222"/>
    <w:rsid w:val="00F204AB"/>
    <w:rsid w:val="00F20C51"/>
    <w:rsid w:val="00F31EDC"/>
    <w:rsid w:val="00F5664F"/>
    <w:rsid w:val="00F76AFC"/>
    <w:rsid w:val="00FB5DD1"/>
    <w:rsid w:val="00FC2B5D"/>
    <w:rsid w:val="00FF1449"/>
    <w:rsid w:val="5411EC76"/>
    <w:rsid w:val="5CBE2191"/>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8F48A4"/>
    <w:rPr>
      <w:rFonts w:ascii="Times New Roman" w:hAnsi="Times New Roman" w:cs="Times New Roman"/>
      <w:sz w:val="24"/>
      <w:szCs w:val="24"/>
    </w:rPr>
  </w:style>
  <w:style w:type="table" w:styleId="Tablaconcuadrcula1" w:customStyle="1">
    <w:name w:val="Tabla con cuadrícula1"/>
    <w:basedOn w:val="Tablanormal"/>
    <w:next w:val="Tablaconcuadrcula"/>
    <w:uiPriority w:val="39"/>
    <w:rsid w:val="008F48A4"/>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8F48A4"/>
    <w:pPr>
      <w:spacing w:line="240" w:lineRule="exact"/>
      <w:jc w:val="both"/>
    </w:pPr>
    <w:rPr>
      <w:vertAlign w:val="superscript"/>
    </w:rPr>
  </w:style>
  <w:style w:type="table" w:styleId="Tablaconcuadrcula11" w:customStyle="1">
    <w:name w:val="Tabla con cuadrícula11"/>
    <w:basedOn w:val="Tablanormal"/>
    <w:next w:val="Tablaconcuadrcula"/>
    <w:uiPriority w:val="39"/>
    <w:rsid w:val="008F48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8F48A4"/>
  </w:style>
  <w:style w:type="paragraph" w:styleId="Revisin">
    <w:name w:val="Revision"/>
    <w:hidden/>
    <w:uiPriority w:val="99"/>
    <w:semiHidden/>
    <w:rsid w:val="00420BB8"/>
    <w:pPr>
      <w:spacing w:after="0" w:line="240" w:lineRule="auto"/>
    </w:pPr>
  </w:style>
  <w:style w:type="character" w:styleId="Refdecomentario">
    <w:name w:val="annotation reference"/>
    <w:basedOn w:val="Fuentedeprrafopredeter"/>
    <w:uiPriority w:val="99"/>
    <w:semiHidden/>
    <w:unhideWhenUsed/>
    <w:rsid w:val="00420BB8"/>
    <w:rPr>
      <w:sz w:val="16"/>
      <w:szCs w:val="16"/>
    </w:rPr>
  </w:style>
  <w:style w:type="paragraph" w:styleId="Textocomentario">
    <w:name w:val="annotation text"/>
    <w:basedOn w:val="Normal"/>
    <w:link w:val="TextocomentarioCar"/>
    <w:uiPriority w:val="99"/>
    <w:unhideWhenUsed/>
    <w:rsid w:val="00420BB8"/>
    <w:pPr>
      <w:spacing w:line="240" w:lineRule="auto"/>
    </w:pPr>
    <w:rPr>
      <w:sz w:val="20"/>
      <w:szCs w:val="20"/>
    </w:rPr>
  </w:style>
  <w:style w:type="character" w:styleId="TextocomentarioCar" w:customStyle="1">
    <w:name w:val="Texto comentario Car"/>
    <w:basedOn w:val="Fuentedeprrafopredeter"/>
    <w:link w:val="Textocomentario"/>
    <w:uiPriority w:val="99"/>
    <w:rsid w:val="00420BB8"/>
    <w:rPr>
      <w:sz w:val="20"/>
      <w:szCs w:val="20"/>
    </w:rPr>
  </w:style>
  <w:style w:type="paragraph" w:styleId="Asuntodelcomentario">
    <w:name w:val="annotation subject"/>
    <w:basedOn w:val="Textocomentario"/>
    <w:next w:val="Textocomentario"/>
    <w:link w:val="AsuntodelcomentarioCar"/>
    <w:uiPriority w:val="99"/>
    <w:semiHidden/>
    <w:unhideWhenUsed/>
    <w:rsid w:val="00420BB8"/>
    <w:rPr>
      <w:b/>
      <w:bCs/>
    </w:rPr>
  </w:style>
  <w:style w:type="character" w:styleId="AsuntodelcomentarioCar" w:customStyle="1">
    <w:name w:val="Asunto del comentario Car"/>
    <w:basedOn w:val="TextocomentarioCar"/>
    <w:link w:val="Asuntodelcomentario"/>
    <w:uiPriority w:val="99"/>
    <w:semiHidden/>
    <w:rsid w:val="00420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dcmitype/"/>
    <ds:schemaRef ds:uri="http://schemas.microsoft.com/office/2006/documentManagement/types"/>
    <ds:schemaRef ds:uri="http://purl.org/dc/terms/"/>
    <ds:schemaRef ds:uri="cabc2350-70b2-4dba-bb42-96a3175f4d5a"/>
    <ds:schemaRef ds:uri="http://purl.org/dc/elements/1.1/"/>
    <ds:schemaRef ds:uri="http://schemas.microsoft.com/office/infopath/2007/PartnerControls"/>
    <ds:schemaRef ds:uri="http://schemas.openxmlformats.org/package/2006/metadata/core-properties"/>
    <ds:schemaRef ds:uri="8ae15d26-076e-464e-81a7-6f76a0fb391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B3215F-8571-4937-9903-7CAF92BB7151}"/>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Gabriel Alejandro Murcia Taboada</lastModifiedBy>
  <revision>9</revision>
  <lastPrinted>2023-01-10T21:18:00.0000000Z</lastPrinted>
  <dcterms:created xsi:type="dcterms:W3CDTF">2023-07-26T01:12:00.0000000Z</dcterms:created>
  <dcterms:modified xsi:type="dcterms:W3CDTF">2023-08-01T23:57:43.1156375Z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