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6E731" w14:textId="60E801E6" w:rsidR="00B5038F" w:rsidRPr="00374831" w:rsidRDefault="00B5038F" w:rsidP="00374831">
      <w:pPr>
        <w:spacing w:after="0" w:line="240" w:lineRule="auto"/>
        <w:rPr>
          <w:rFonts w:ascii="Arial" w:eastAsia="Calibri" w:hAnsi="Arial" w:cs="Arial"/>
          <w:b/>
          <w:lang w:val="es-MX" w:eastAsia="es-ES_tradnl"/>
        </w:rPr>
      </w:pPr>
      <w:bookmarkStart w:id="0" w:name="_Hlk94281581"/>
      <w:bookmarkStart w:id="1" w:name="_Hlk102489058"/>
      <w:bookmarkStart w:id="2" w:name="_Hlk34951122"/>
      <w:r w:rsidRPr="00374831">
        <w:rPr>
          <w:rFonts w:ascii="Arial" w:eastAsia="Calibri" w:hAnsi="Arial" w:cs="Arial"/>
          <w:b/>
          <w:lang w:val="es-MX" w:eastAsia="es-ES_tradnl"/>
        </w:rPr>
        <w:t>INHABILIDADES – Definición – Finalidad – Limitación capacidad contractual</w:t>
      </w:r>
    </w:p>
    <w:p w14:paraId="1F60688E" w14:textId="77777777" w:rsidR="00B5038F" w:rsidRPr="00374831" w:rsidRDefault="00B5038F" w:rsidP="00374831">
      <w:pPr>
        <w:spacing w:after="0" w:line="240" w:lineRule="auto"/>
        <w:rPr>
          <w:rFonts w:ascii="Arial" w:eastAsia="Calibri" w:hAnsi="Arial" w:cs="Arial"/>
          <w:bCs/>
          <w:sz w:val="20"/>
          <w:szCs w:val="20"/>
          <w:lang w:val="es-MX" w:eastAsia="es-ES_tradnl"/>
        </w:rPr>
      </w:pPr>
    </w:p>
    <w:p w14:paraId="6BEBEE69" w14:textId="6C66154F" w:rsidR="00B5038F" w:rsidRPr="00374831" w:rsidRDefault="00B5038F" w:rsidP="00374831">
      <w:pPr>
        <w:spacing w:after="0" w:line="240" w:lineRule="auto"/>
        <w:jc w:val="both"/>
        <w:rPr>
          <w:rFonts w:ascii="Arial" w:eastAsia="Geomanist Light" w:hAnsi="Arial" w:cs="Arial"/>
          <w:color w:val="000000" w:themeColor="text1"/>
          <w:sz w:val="20"/>
          <w:szCs w:val="20"/>
          <w:lang w:val="es-MX"/>
        </w:rPr>
      </w:pPr>
      <w:r w:rsidRPr="00374831">
        <w:rPr>
          <w:rFonts w:ascii="Arial" w:eastAsia="Geomanist Light" w:hAnsi="Arial" w:cs="Arial"/>
          <w:color w:val="000000" w:themeColor="text1"/>
          <w:sz w:val="20"/>
          <w:szCs w:val="20"/>
          <w:lang w:val="es-MX"/>
        </w:rPr>
        <w:t>Las inhabilidades son circunstancias establecidas por la Constitución o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 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 En esta medida, la Corte Constitucional explica 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 La consagración limitaciones que afectan la capacidad jurídica para contratar desarrolla los principios de la función administrativa consagrados en el artículo 209 de la Constitución Política, con especial énfasis el de moralidad.</w:t>
      </w:r>
    </w:p>
    <w:p w14:paraId="5FA75C43" w14:textId="77777777" w:rsidR="00374831" w:rsidRPr="00374831" w:rsidRDefault="00374831" w:rsidP="00374831">
      <w:pPr>
        <w:spacing w:after="0" w:line="240" w:lineRule="auto"/>
        <w:jc w:val="both"/>
        <w:rPr>
          <w:rFonts w:ascii="Arial" w:eastAsia="Geomanist Light" w:hAnsi="Arial" w:cs="Arial"/>
          <w:color w:val="000000" w:themeColor="text1"/>
          <w:sz w:val="20"/>
          <w:szCs w:val="20"/>
          <w:lang w:val="es-MX"/>
        </w:rPr>
      </w:pPr>
    </w:p>
    <w:p w14:paraId="2550893B" w14:textId="1DAD5D66" w:rsidR="00374831" w:rsidRPr="00374831" w:rsidRDefault="00374831" w:rsidP="00374831">
      <w:pPr>
        <w:spacing w:after="0" w:line="240" w:lineRule="auto"/>
        <w:jc w:val="both"/>
        <w:rPr>
          <w:rFonts w:ascii="Arial" w:eastAsia="Calibri" w:hAnsi="Arial" w:cs="Arial"/>
          <w:b/>
          <w:lang w:val="es-MX" w:eastAsia="es-ES_tradnl"/>
        </w:rPr>
      </w:pPr>
      <w:r w:rsidRPr="00374831">
        <w:rPr>
          <w:rFonts w:ascii="Arial" w:eastAsia="Calibri" w:hAnsi="Arial" w:cs="Arial"/>
          <w:b/>
          <w:lang w:val="es-MX" w:eastAsia="es-ES_tradnl"/>
        </w:rPr>
        <w:t>CONTRATACIÓN ESTATAL – Capacidad – Validez contratos – Régimen de contratación – Inscripción – Limitación de la capacidad</w:t>
      </w:r>
    </w:p>
    <w:p w14:paraId="4C40C422" w14:textId="77777777" w:rsidR="00374831" w:rsidRPr="00374831" w:rsidRDefault="00374831" w:rsidP="00374831">
      <w:pPr>
        <w:spacing w:after="0" w:line="240" w:lineRule="auto"/>
        <w:jc w:val="both"/>
        <w:rPr>
          <w:rFonts w:ascii="Arial" w:eastAsia="Calibri" w:hAnsi="Arial" w:cs="Arial"/>
          <w:bCs/>
          <w:sz w:val="20"/>
          <w:szCs w:val="20"/>
          <w:lang w:val="es-MX" w:eastAsia="es-ES_tradnl"/>
        </w:rPr>
      </w:pPr>
    </w:p>
    <w:p w14:paraId="2D07829D" w14:textId="510F061E" w:rsidR="00374831" w:rsidRPr="00374831" w:rsidRDefault="00374831" w:rsidP="00374831">
      <w:pPr>
        <w:spacing w:after="0" w:line="240" w:lineRule="auto"/>
        <w:jc w:val="both"/>
        <w:rPr>
          <w:rFonts w:ascii="Arial" w:eastAsia="Calibri" w:hAnsi="Arial" w:cs="Arial"/>
          <w:bCs/>
          <w:sz w:val="20"/>
          <w:szCs w:val="20"/>
          <w:lang w:val="es-MX" w:eastAsia="es-ES_tradnl"/>
        </w:rPr>
      </w:pPr>
      <w:r w:rsidRPr="00374831">
        <w:rPr>
          <w:rFonts w:ascii="Arial" w:eastAsia="Calibri" w:hAnsi="Arial" w:cs="Arial"/>
          <w:bCs/>
          <w:sz w:val="20"/>
          <w:szCs w:val="20"/>
          <w:lang w:val="es-MX" w:eastAsia="es-ES_tradnl"/>
        </w:rPr>
        <w:t>[…] en la contratación estatal, la capacidad también es un requisito de validez de los contratos, tanto en el régimen de las entidades sujetas al Estatuto General de Contratación de la Administración Pública como en el de las entidades exceptuadas de aquel. Si bien la regulación de la capacidad se integra por varias disposiciones y exigencias especiales –como el requisito de inscribirse, por regla general, en el Registro Único de Proponentes (RUP), establecido en el artículo 6 de la Ley 1150 de 2007, modificado por el artículo 221 del Decreto 19 de 2012 –, se destaca el régimen de inhabilidades e incompatibilidades como un conjunto de normas que imponen restricciones para los sujetos que, eventualmente, pretendan participar en los procedimientos de selección o celebrar contratos con las entidades estatales.</w:t>
      </w:r>
    </w:p>
    <w:p w14:paraId="43300106" w14:textId="77777777" w:rsidR="00374831" w:rsidRPr="00374831" w:rsidRDefault="00374831" w:rsidP="00374831">
      <w:pPr>
        <w:spacing w:after="0" w:line="240" w:lineRule="auto"/>
        <w:jc w:val="both"/>
        <w:rPr>
          <w:rFonts w:ascii="Arial" w:eastAsia="Calibri" w:hAnsi="Arial" w:cs="Arial"/>
          <w:bCs/>
          <w:sz w:val="20"/>
          <w:szCs w:val="20"/>
          <w:lang w:val="es-MX" w:eastAsia="es-ES_tradnl"/>
        </w:rPr>
      </w:pPr>
    </w:p>
    <w:p w14:paraId="37D44042" w14:textId="7DAC6F4F" w:rsidR="00374831" w:rsidRPr="00374831" w:rsidRDefault="00374831" w:rsidP="00374831">
      <w:pPr>
        <w:spacing w:after="0" w:line="240" w:lineRule="auto"/>
        <w:jc w:val="both"/>
        <w:rPr>
          <w:rFonts w:ascii="Arial" w:eastAsia="Calibri" w:hAnsi="Arial" w:cs="Arial"/>
          <w:bCs/>
          <w:sz w:val="20"/>
          <w:szCs w:val="20"/>
          <w:lang w:val="es-MX" w:eastAsia="es-ES_tradnl"/>
        </w:rPr>
      </w:pPr>
      <w:r w:rsidRPr="00374831">
        <w:rPr>
          <w:rFonts w:ascii="Arial" w:eastAsia="Calibri" w:hAnsi="Arial" w:cs="Arial"/>
          <w:bCs/>
          <w:sz w:val="20"/>
          <w:szCs w:val="20"/>
          <w:lang w:val="es-MX" w:eastAsia="es-ES_tradnl"/>
        </w:rPr>
        <w:t xml:space="preserve">Las inhabilidades son prohibiciones para concurrir a los procedimientos de selección y para contratar con el Estado, que se derivan: i) de la existencia de comportamientos reprochables o de sanciones anteriormente impuestas, ii) de vínculos personales relativos al parentesco o al estado civil o </w:t>
      </w:r>
      <w:proofErr w:type="spellStart"/>
      <w:r w:rsidRPr="00374831">
        <w:rPr>
          <w:rFonts w:ascii="Arial" w:eastAsia="Calibri" w:hAnsi="Arial" w:cs="Arial"/>
          <w:bCs/>
          <w:sz w:val="20"/>
          <w:szCs w:val="20"/>
          <w:lang w:val="es-MX" w:eastAsia="es-ES_tradnl"/>
        </w:rPr>
        <w:t>iii</w:t>
      </w:r>
      <w:proofErr w:type="spellEnd"/>
      <w:r w:rsidRPr="00374831">
        <w:rPr>
          <w:rFonts w:ascii="Arial" w:eastAsia="Calibri" w:hAnsi="Arial" w:cs="Arial"/>
          <w:bCs/>
          <w:sz w:val="20"/>
          <w:szCs w:val="20"/>
          <w:lang w:val="es-MX" w:eastAsia="es-ES_tradnl"/>
        </w:rPr>
        <w:t>) de una actividad u oficio que se desempeñó en el pasado. De otro lado, las incompatibilidades, según un sector de la doctrina,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 En todo caso, a pesar de la existencia de distintos criterios para diferenciar las inhabilidades de las incompatibilidades, de la presencia de ellas se derivan las mismas consecuencias jurídicas, esto es, la limitación de la capacidad contractual, como se desarrolló en el numeral 2.1. de este concepto. De manera que la presencia de ellas impide que se puedan celebrar contratos con el Estado o participar en procedimientos de selección de las entidades estatales, por lo que de cualquiera de ellas se derivan los mismos efectos jurídicos.</w:t>
      </w:r>
    </w:p>
    <w:p w14:paraId="08B0B958" w14:textId="77777777" w:rsidR="00374831" w:rsidRPr="00374831" w:rsidRDefault="00374831" w:rsidP="00374831">
      <w:pPr>
        <w:spacing w:after="0" w:line="240" w:lineRule="auto"/>
        <w:jc w:val="both"/>
        <w:rPr>
          <w:rFonts w:ascii="Arial" w:eastAsia="Geomanist Light" w:hAnsi="Arial" w:cs="Arial"/>
          <w:color w:val="000000" w:themeColor="text1"/>
          <w:sz w:val="20"/>
          <w:szCs w:val="20"/>
          <w:lang w:val="es-MX"/>
        </w:rPr>
      </w:pPr>
    </w:p>
    <w:p w14:paraId="5C4D1B14" w14:textId="3D12AC0D" w:rsidR="00B5038F" w:rsidRPr="00374831" w:rsidRDefault="00374831" w:rsidP="00374831">
      <w:pPr>
        <w:spacing w:after="0" w:line="240" w:lineRule="auto"/>
        <w:rPr>
          <w:rFonts w:ascii="Arial" w:eastAsia="Calibri" w:hAnsi="Arial" w:cs="Arial"/>
          <w:b/>
          <w:lang w:val="es-MX" w:eastAsia="es-ES_tradnl"/>
        </w:rPr>
      </w:pPr>
      <w:r w:rsidRPr="00374831">
        <w:rPr>
          <w:rFonts w:ascii="Arial" w:eastAsia="Calibri" w:hAnsi="Arial" w:cs="Arial"/>
          <w:b/>
          <w:lang w:val="es-MX" w:eastAsia="es-ES_tradnl"/>
        </w:rPr>
        <w:t>INHABILIDADES – Taxatividad – Principio de legalidad – Interpretación restrictiva</w:t>
      </w:r>
    </w:p>
    <w:p w14:paraId="6A680B0F" w14:textId="77777777" w:rsidR="00374831" w:rsidRPr="00374831" w:rsidRDefault="00374831" w:rsidP="00374831">
      <w:pPr>
        <w:spacing w:after="0" w:line="240" w:lineRule="auto"/>
        <w:rPr>
          <w:rFonts w:ascii="Arial" w:eastAsia="Calibri" w:hAnsi="Arial" w:cs="Arial"/>
          <w:bCs/>
          <w:sz w:val="20"/>
          <w:szCs w:val="20"/>
          <w:lang w:val="es-MX" w:eastAsia="es-ES_tradnl"/>
        </w:rPr>
      </w:pPr>
    </w:p>
    <w:p w14:paraId="41249D82" w14:textId="10BD23EC" w:rsidR="00374831" w:rsidRPr="00374831" w:rsidRDefault="00374831" w:rsidP="00374831">
      <w:pPr>
        <w:spacing w:after="0" w:line="240" w:lineRule="auto"/>
        <w:jc w:val="both"/>
        <w:rPr>
          <w:rFonts w:ascii="Arial" w:eastAsia="Calibri" w:hAnsi="Arial" w:cs="Arial"/>
          <w:bCs/>
          <w:sz w:val="20"/>
          <w:szCs w:val="20"/>
          <w:lang w:val="es-MX" w:eastAsia="es-ES_tradnl"/>
        </w:rPr>
      </w:pPr>
      <w:r w:rsidRPr="00374831">
        <w:rPr>
          <w:rFonts w:ascii="Arial" w:eastAsia="Calibri" w:hAnsi="Arial" w:cs="Arial"/>
          <w:bCs/>
          <w:sz w:val="20"/>
          <w:szCs w:val="20"/>
          <w:lang w:val="es-MX" w:eastAsia="es-ES_tradnl"/>
        </w:rPr>
        <w:t xml:space="preserve">[…] la doctrina y la jurisprudencia son pacíficas en considerar que la creación de inhabilidades e incompatibilidades es un asunto con reserva de ley, en tanto, “[…] su previsión y desarrollo es materia exclusiva del legislador (reserva de ley), quien en virtud del principio democrático debe definir y tipificar expresamente sus causas, vigencia, naturaleza y efectos”. En similar sentido, la Sala de Consulta y Servicio Civil del Consejo de Estado expresó que “[…] las causales de inhabilidad e incompatibilidad deben estar expresa y taxativamente establecidas en la Constitución o en la ley y son de aplicación e interpretación </w:t>
      </w:r>
      <w:r w:rsidRPr="00374831">
        <w:rPr>
          <w:rFonts w:ascii="Arial" w:eastAsia="Calibri" w:hAnsi="Arial" w:cs="Arial"/>
          <w:bCs/>
          <w:sz w:val="20"/>
          <w:szCs w:val="20"/>
          <w:lang w:val="es-MX" w:eastAsia="es-ES_tradnl"/>
        </w:rPr>
        <w:lastRenderedPageBreak/>
        <w:t>restrictivas […]”. En este sentido, como se observa, existe consenso, incluso como lo ha expresado esta Agencia en ocasiones anteriores, que la creación de inhabilidades o incompatibilidades está reservada al constituyente o al legislador.</w:t>
      </w:r>
    </w:p>
    <w:p w14:paraId="33894150" w14:textId="77777777" w:rsidR="00374831" w:rsidRDefault="00374831" w:rsidP="00C87232">
      <w:pPr>
        <w:spacing w:after="0"/>
        <w:rPr>
          <w:rFonts w:ascii="Arial" w:eastAsia="Calibri" w:hAnsi="Arial" w:cs="Arial"/>
          <w:bCs/>
          <w:lang w:val="es-MX" w:eastAsia="es-ES_tradnl"/>
        </w:rPr>
      </w:pPr>
    </w:p>
    <w:p w14:paraId="6AA0DA48" w14:textId="77777777" w:rsidR="00374831" w:rsidRDefault="00374831" w:rsidP="00C87232">
      <w:pPr>
        <w:spacing w:after="0"/>
        <w:rPr>
          <w:rFonts w:ascii="Arial" w:eastAsia="Geomanist Light" w:hAnsi="Arial" w:cs="Arial"/>
          <w:color w:val="000000" w:themeColor="text1"/>
          <w:lang w:val="es-MX"/>
        </w:rPr>
      </w:pPr>
    </w:p>
    <w:p w14:paraId="01E8F065" w14:textId="77777777" w:rsidR="000C6092" w:rsidRPr="000C6092" w:rsidRDefault="000C6092" w:rsidP="000C6092">
      <w:pPr>
        <w:widowControl w:val="0"/>
        <w:spacing w:after="0" w:line="247" w:lineRule="auto"/>
        <w:ind w:firstLine="23"/>
        <w:jc w:val="both"/>
        <w:rPr>
          <w:rFonts w:ascii="Arial" w:eastAsia="Arial" w:hAnsi="Arial" w:cs="Times New Roman"/>
          <w:b/>
          <w:bCs/>
        </w:rPr>
      </w:pPr>
      <w:r w:rsidRPr="000C6092">
        <w:rPr>
          <w:rFonts w:ascii="Arial" w:eastAsia="Arial" w:hAnsi="Arial" w:cs="Times New Roman"/>
          <w:b/>
          <w:bCs/>
        </w:rPr>
        <w:t xml:space="preserve">SOCIEDADES COMERCIALES </w:t>
      </w:r>
      <w:r w:rsidRPr="000C6092">
        <w:rPr>
          <w:rFonts w:ascii="Arial" w:eastAsia="Arial" w:hAnsi="Arial" w:cs="Arial"/>
          <w:b/>
          <w:bCs/>
          <w:lang w:val="es-MX"/>
        </w:rPr>
        <w:t>–</w:t>
      </w:r>
      <w:r w:rsidRPr="000C6092">
        <w:rPr>
          <w:rFonts w:ascii="Arial" w:eastAsia="Arial" w:hAnsi="Arial" w:cs="Times New Roman"/>
          <w:b/>
          <w:bCs/>
        </w:rPr>
        <w:t xml:space="preserve"> Clasificaciones</w:t>
      </w:r>
    </w:p>
    <w:p w14:paraId="66E17059" w14:textId="77777777" w:rsidR="000C6092" w:rsidRDefault="000C6092" w:rsidP="00C87232">
      <w:pPr>
        <w:spacing w:after="0"/>
        <w:rPr>
          <w:rFonts w:ascii="Arial" w:eastAsia="Geomanist Light" w:hAnsi="Arial" w:cs="Arial"/>
          <w:color w:val="000000" w:themeColor="text1"/>
          <w:lang w:val="es-MX"/>
        </w:rPr>
      </w:pPr>
    </w:p>
    <w:p w14:paraId="366B0BF2" w14:textId="2CFFC532" w:rsidR="00B5038F" w:rsidRPr="00C82648" w:rsidRDefault="00C82648" w:rsidP="00C82648">
      <w:pPr>
        <w:spacing w:after="0" w:line="240" w:lineRule="auto"/>
        <w:jc w:val="both"/>
        <w:rPr>
          <w:rFonts w:ascii="Arial" w:eastAsia="Calibri" w:hAnsi="Arial" w:cs="Arial"/>
          <w:bCs/>
          <w:sz w:val="20"/>
          <w:szCs w:val="20"/>
          <w:lang w:val="es-MX" w:eastAsia="es-ES_tradnl"/>
        </w:rPr>
      </w:pPr>
      <w:r w:rsidRPr="00C82648">
        <w:rPr>
          <w:rFonts w:ascii="Arial" w:eastAsia="Calibri" w:hAnsi="Arial" w:cs="Arial"/>
          <w:bCs/>
          <w:sz w:val="20"/>
          <w:szCs w:val="20"/>
          <w:lang w:val="es-MX" w:eastAsia="es-ES_tradnl"/>
        </w:rPr>
        <w:t>Las normas citadas se ubican en el Libro Segundo del Código de Comercio, que se ocupa "De las Sociedades Comerciales", y regula las siguientes materias: el contrato de sociedad, la constitución y prueba de la sociedad comercial, los aportes de los asociados, las utilidades sociales, las reformas del contrato social, la transformación y fusión de las sociedades, la asamblea y junta de socios o administradores, el revisor fiscal, la disolución de la sociedad, la liquidación del patrimonio social, las matrices, subordinadas y sucursales, la inspección y vigilancia de las sociedades, los balances y finalmente -lo que más interesa en este concepto- las clases o tipos de sociedades: colectiva, en comandita -simple y por acciones.­ de responsabilidad limitada, anónima, de economía mixta, extranjeras, mercantiles de hecho y cuentas en participación.</w:t>
      </w:r>
    </w:p>
    <w:p w14:paraId="3971CCB4" w14:textId="77777777" w:rsidR="00B5038F" w:rsidRDefault="00B5038F" w:rsidP="00C87232">
      <w:pPr>
        <w:spacing w:after="0"/>
        <w:rPr>
          <w:rFonts w:ascii="Arial" w:eastAsia="Geomanist Light" w:hAnsi="Arial" w:cs="Arial"/>
          <w:color w:val="000000" w:themeColor="text1"/>
          <w:lang w:val="es-MX"/>
        </w:rPr>
      </w:pPr>
    </w:p>
    <w:p w14:paraId="5784AF68" w14:textId="56B8AC05" w:rsidR="00C82648" w:rsidRDefault="00C82648" w:rsidP="00C82648">
      <w:pPr>
        <w:widowControl w:val="0"/>
        <w:spacing w:after="0" w:line="247" w:lineRule="auto"/>
        <w:ind w:firstLine="23"/>
        <w:jc w:val="both"/>
        <w:rPr>
          <w:rFonts w:ascii="Arial" w:eastAsia="Arial" w:hAnsi="Arial" w:cs="Times New Roman"/>
          <w:b/>
          <w:bCs/>
        </w:rPr>
      </w:pPr>
      <w:r w:rsidRPr="00C82648">
        <w:rPr>
          <w:rFonts w:ascii="Arial" w:eastAsia="Arial" w:hAnsi="Arial" w:cs="Times New Roman"/>
          <w:b/>
          <w:bCs/>
        </w:rPr>
        <w:t>ENTIDADES SIN ÁNIMO DE LUCRO – Noción – No constituyen sociedad comercial</w:t>
      </w:r>
    </w:p>
    <w:p w14:paraId="4ACFDAF4" w14:textId="77777777" w:rsidR="00C82648" w:rsidRDefault="00C82648" w:rsidP="00C82648">
      <w:pPr>
        <w:widowControl w:val="0"/>
        <w:spacing w:after="0" w:line="247" w:lineRule="auto"/>
        <w:ind w:firstLine="23"/>
        <w:jc w:val="both"/>
        <w:rPr>
          <w:rFonts w:ascii="Arial" w:eastAsia="Arial" w:hAnsi="Arial" w:cs="Times New Roman"/>
          <w:b/>
          <w:bCs/>
        </w:rPr>
      </w:pPr>
    </w:p>
    <w:p w14:paraId="27AE1AF9" w14:textId="77777777" w:rsidR="00C82648" w:rsidRPr="00C82648" w:rsidRDefault="00C82648" w:rsidP="00C82648">
      <w:pPr>
        <w:widowControl w:val="0"/>
        <w:spacing w:after="0" w:line="247" w:lineRule="auto"/>
        <w:ind w:firstLine="23"/>
        <w:jc w:val="both"/>
        <w:rPr>
          <w:rFonts w:ascii="Arial" w:eastAsia="Arial" w:hAnsi="Arial" w:cs="Times New Roman"/>
          <w:b/>
          <w:bCs/>
        </w:rPr>
      </w:pPr>
    </w:p>
    <w:p w14:paraId="438C55AC" w14:textId="77777777" w:rsidR="00FD64C4" w:rsidRPr="00FD64C4" w:rsidRDefault="00FD64C4" w:rsidP="00FD64C4">
      <w:pPr>
        <w:spacing w:after="0" w:line="240" w:lineRule="auto"/>
        <w:jc w:val="both"/>
        <w:rPr>
          <w:rFonts w:ascii="Arial" w:eastAsia="Calibri" w:hAnsi="Arial" w:cs="Arial"/>
          <w:bCs/>
          <w:sz w:val="20"/>
          <w:szCs w:val="20"/>
          <w:lang w:val="es-MX" w:eastAsia="es-ES_tradnl"/>
        </w:rPr>
      </w:pPr>
      <w:r w:rsidRPr="00FD64C4">
        <w:rPr>
          <w:rFonts w:ascii="Arial" w:eastAsia="Calibri" w:hAnsi="Arial" w:cs="Arial"/>
          <w:bCs/>
          <w:sz w:val="20"/>
          <w:szCs w:val="20"/>
          <w:lang w:val="es-MX" w:eastAsia="es-ES_tradnl"/>
        </w:rPr>
        <w:t xml:space="preserve">El Libro Segundo del Código de Comercio regula con exclusividad a las sociedades comerciales, en los distintos aspectos y ternas que las constituyen, pero en la enumeración de las sociedades comerciales no incluye a las corporaciones o asociaciones ni a las fundaciones, es decir, a las entidades sin ánimo de lucro -ESAL-. La razón de la exclusión es obvia: estas organizaciones no tienen fines comerciales, es decir, carecen de ánimo de lucro, por eso no forman un tipo o clase de sociedad </w:t>
      </w:r>
      <w:proofErr w:type="gramStart"/>
      <w:r w:rsidRPr="00FD64C4">
        <w:rPr>
          <w:rFonts w:ascii="Arial" w:eastAsia="Calibri" w:hAnsi="Arial" w:cs="Arial"/>
          <w:bCs/>
          <w:sz w:val="20"/>
          <w:szCs w:val="20"/>
          <w:lang w:val="es-MX" w:eastAsia="es-ES_tradnl"/>
        </w:rPr>
        <w:t>comercial .</w:t>
      </w:r>
      <w:proofErr w:type="gramEnd"/>
    </w:p>
    <w:p w14:paraId="79BF78DA" w14:textId="77777777" w:rsidR="00FD64C4" w:rsidRPr="00FD64C4" w:rsidRDefault="00FD64C4" w:rsidP="00FD64C4">
      <w:pPr>
        <w:spacing w:after="0" w:line="240" w:lineRule="auto"/>
        <w:jc w:val="both"/>
        <w:rPr>
          <w:rFonts w:ascii="Arial" w:eastAsia="Calibri" w:hAnsi="Arial" w:cs="Arial"/>
          <w:bCs/>
          <w:sz w:val="20"/>
          <w:szCs w:val="20"/>
          <w:lang w:val="es-MX" w:eastAsia="es-ES_tradnl"/>
        </w:rPr>
      </w:pPr>
    </w:p>
    <w:p w14:paraId="6A9E1C12" w14:textId="418C4D70" w:rsidR="00C82648" w:rsidRPr="00FD64C4" w:rsidRDefault="00FD64C4" w:rsidP="00FD64C4">
      <w:pPr>
        <w:spacing w:after="0" w:line="240" w:lineRule="auto"/>
        <w:jc w:val="both"/>
        <w:rPr>
          <w:rFonts w:ascii="Arial" w:eastAsia="Calibri" w:hAnsi="Arial" w:cs="Arial"/>
          <w:bCs/>
          <w:sz w:val="20"/>
          <w:szCs w:val="20"/>
          <w:lang w:val="es-MX" w:eastAsia="es-ES_tradnl"/>
        </w:rPr>
      </w:pPr>
      <w:r w:rsidRPr="00FD64C4">
        <w:rPr>
          <w:rFonts w:ascii="Arial" w:eastAsia="Calibri" w:hAnsi="Arial" w:cs="Arial"/>
          <w:bCs/>
          <w:sz w:val="20"/>
          <w:szCs w:val="20"/>
          <w:lang w:val="es-MX" w:eastAsia="es-ES_tradnl"/>
        </w:rPr>
        <w:t xml:space="preserve">En su lugar, las entidades sin ánimo de lucro -ESAL- (es decir, su tipología y régimen) están reguladas en otro ordenamiento: en el Código Civil -entre otras normas que se armonizan con él-, y definitivamente no constituyen formas de sociedad comercial sino formas de organización civil, con fines esencialmente altruistas o de interés general, que se conforman entre personas que tienen como finalidad contribuir con su esfuerzo, y hasta con sus bienes, a ayudar a la </w:t>
      </w:r>
      <w:proofErr w:type="gramStart"/>
      <w:r w:rsidRPr="00FD64C4">
        <w:rPr>
          <w:rFonts w:ascii="Arial" w:eastAsia="Calibri" w:hAnsi="Arial" w:cs="Arial"/>
          <w:bCs/>
          <w:sz w:val="20"/>
          <w:szCs w:val="20"/>
          <w:lang w:val="es-MX" w:eastAsia="es-ES_tradnl"/>
        </w:rPr>
        <w:t>comunidad .</w:t>
      </w:r>
      <w:proofErr w:type="gramEnd"/>
      <w:r w:rsidRPr="00FD64C4">
        <w:rPr>
          <w:rFonts w:ascii="Arial" w:eastAsia="Calibri" w:hAnsi="Arial" w:cs="Arial"/>
          <w:bCs/>
          <w:sz w:val="20"/>
          <w:szCs w:val="20"/>
          <w:lang w:val="es-MX" w:eastAsia="es-ES_tradnl"/>
        </w:rPr>
        <w:t xml:space="preserve"> La ausencia de ánimo de lucro es la característica determinante de estas organizaciones, tanto que de allí toman su nombre general -ESAL-, y por eso mismo la diferencia fundamental con las sociedades comerciales</w:t>
      </w:r>
    </w:p>
    <w:p w14:paraId="33C8FCA0" w14:textId="77777777" w:rsidR="00B5038F" w:rsidRDefault="00B5038F" w:rsidP="00C87232">
      <w:pPr>
        <w:spacing w:after="0"/>
        <w:rPr>
          <w:rFonts w:ascii="Arial" w:eastAsia="Geomanist Light" w:hAnsi="Arial" w:cs="Arial"/>
          <w:color w:val="000000" w:themeColor="text1"/>
          <w:lang w:val="es-MX"/>
        </w:rPr>
      </w:pPr>
    </w:p>
    <w:p w14:paraId="7A65BEF0" w14:textId="77777777" w:rsidR="00B5038F" w:rsidRDefault="00B5038F" w:rsidP="00C87232">
      <w:pPr>
        <w:spacing w:after="0"/>
        <w:rPr>
          <w:rFonts w:ascii="Arial" w:eastAsia="Geomanist Light" w:hAnsi="Arial" w:cs="Arial"/>
          <w:color w:val="000000" w:themeColor="text1"/>
          <w:lang w:val="es-MX"/>
        </w:rPr>
      </w:pPr>
    </w:p>
    <w:p w14:paraId="39B7B713" w14:textId="77777777" w:rsidR="00B5038F" w:rsidRDefault="00B5038F" w:rsidP="00C87232">
      <w:pPr>
        <w:spacing w:after="0"/>
        <w:rPr>
          <w:rFonts w:ascii="Arial" w:eastAsia="Geomanist Light" w:hAnsi="Arial" w:cs="Arial"/>
          <w:color w:val="000000" w:themeColor="text1"/>
          <w:lang w:val="es-MX"/>
        </w:rPr>
      </w:pPr>
    </w:p>
    <w:p w14:paraId="419CB872" w14:textId="77777777" w:rsidR="00B5038F" w:rsidRDefault="00B5038F" w:rsidP="00C87232">
      <w:pPr>
        <w:spacing w:after="0"/>
        <w:rPr>
          <w:rFonts w:ascii="Arial" w:eastAsia="Geomanist Light" w:hAnsi="Arial" w:cs="Arial"/>
          <w:color w:val="000000" w:themeColor="text1"/>
          <w:lang w:val="es-MX"/>
        </w:rPr>
      </w:pPr>
    </w:p>
    <w:p w14:paraId="6446D1F3" w14:textId="77777777" w:rsidR="00B5038F" w:rsidRDefault="00B5038F" w:rsidP="00C87232">
      <w:pPr>
        <w:spacing w:after="0"/>
        <w:rPr>
          <w:rFonts w:ascii="Arial" w:eastAsia="Geomanist Light" w:hAnsi="Arial" w:cs="Arial"/>
          <w:color w:val="000000" w:themeColor="text1"/>
          <w:lang w:val="es-MX"/>
        </w:rPr>
      </w:pPr>
    </w:p>
    <w:p w14:paraId="42AD92C3" w14:textId="77777777" w:rsidR="00B5038F" w:rsidRDefault="00B5038F" w:rsidP="00C87232">
      <w:pPr>
        <w:spacing w:after="0"/>
        <w:rPr>
          <w:rFonts w:ascii="Arial" w:eastAsia="Geomanist Light" w:hAnsi="Arial" w:cs="Arial"/>
          <w:color w:val="000000" w:themeColor="text1"/>
          <w:lang w:val="es-MX"/>
        </w:rPr>
      </w:pPr>
    </w:p>
    <w:p w14:paraId="27A8544E" w14:textId="77777777" w:rsidR="00B5038F" w:rsidRDefault="00B5038F" w:rsidP="00C87232">
      <w:pPr>
        <w:spacing w:after="0"/>
        <w:rPr>
          <w:rFonts w:ascii="Arial" w:eastAsia="Geomanist Light" w:hAnsi="Arial" w:cs="Arial"/>
          <w:color w:val="000000" w:themeColor="text1"/>
          <w:lang w:val="es-MX"/>
        </w:rPr>
      </w:pPr>
    </w:p>
    <w:p w14:paraId="05C5703E" w14:textId="77777777" w:rsidR="00374831" w:rsidRDefault="00374831" w:rsidP="00C87232">
      <w:pPr>
        <w:spacing w:after="0"/>
        <w:rPr>
          <w:rFonts w:ascii="Arial" w:eastAsia="Geomanist Light" w:hAnsi="Arial" w:cs="Arial"/>
          <w:color w:val="000000" w:themeColor="text1"/>
          <w:lang w:val="es-MX"/>
        </w:rPr>
      </w:pPr>
    </w:p>
    <w:p w14:paraId="136A110B" w14:textId="77777777" w:rsidR="00374831" w:rsidRDefault="00374831" w:rsidP="00C87232">
      <w:pPr>
        <w:spacing w:after="0"/>
        <w:rPr>
          <w:rFonts w:ascii="Arial" w:eastAsia="Geomanist Light" w:hAnsi="Arial" w:cs="Arial"/>
          <w:color w:val="000000" w:themeColor="text1"/>
          <w:lang w:val="es-MX"/>
        </w:rPr>
      </w:pPr>
    </w:p>
    <w:p w14:paraId="4D768C16" w14:textId="77777777" w:rsidR="00374831" w:rsidRDefault="00374831" w:rsidP="00C87232">
      <w:pPr>
        <w:spacing w:after="0"/>
        <w:rPr>
          <w:rFonts w:ascii="Arial" w:eastAsia="Geomanist Light" w:hAnsi="Arial" w:cs="Arial"/>
          <w:color w:val="000000" w:themeColor="text1"/>
          <w:lang w:val="es-MX"/>
        </w:rPr>
      </w:pPr>
    </w:p>
    <w:p w14:paraId="22E0C411" w14:textId="77777777" w:rsidR="00374831" w:rsidRDefault="00374831" w:rsidP="00C87232">
      <w:pPr>
        <w:spacing w:after="0"/>
        <w:rPr>
          <w:rFonts w:ascii="Arial" w:eastAsia="Geomanist Light" w:hAnsi="Arial" w:cs="Arial"/>
          <w:color w:val="000000" w:themeColor="text1"/>
          <w:lang w:val="es-MX"/>
        </w:rPr>
      </w:pPr>
    </w:p>
    <w:p w14:paraId="02B38DB7" w14:textId="77777777" w:rsidR="00374831" w:rsidRDefault="00374831" w:rsidP="00C87232">
      <w:pPr>
        <w:spacing w:after="0"/>
        <w:rPr>
          <w:rFonts w:ascii="Arial" w:eastAsia="Geomanist Light" w:hAnsi="Arial" w:cs="Arial"/>
          <w:color w:val="000000" w:themeColor="text1"/>
          <w:lang w:val="es-MX"/>
        </w:rPr>
      </w:pPr>
    </w:p>
    <w:p w14:paraId="462A9EBF" w14:textId="77777777" w:rsidR="00FD64C4" w:rsidRDefault="00FD64C4" w:rsidP="00C87232">
      <w:pPr>
        <w:spacing w:after="0"/>
        <w:rPr>
          <w:rFonts w:ascii="Arial" w:eastAsia="Geomanist Light" w:hAnsi="Arial" w:cs="Arial"/>
          <w:color w:val="000000" w:themeColor="text1"/>
          <w:lang w:val="es-MX"/>
        </w:rPr>
      </w:pPr>
    </w:p>
    <w:p w14:paraId="132F8F1D" w14:textId="77777777" w:rsidR="00FD64C4" w:rsidRDefault="00FD64C4" w:rsidP="00C87232">
      <w:pPr>
        <w:spacing w:after="0"/>
        <w:rPr>
          <w:rFonts w:ascii="Arial" w:eastAsia="Geomanist Light" w:hAnsi="Arial" w:cs="Arial"/>
          <w:color w:val="000000" w:themeColor="text1"/>
          <w:lang w:val="es-MX"/>
        </w:rPr>
      </w:pPr>
    </w:p>
    <w:p w14:paraId="50A7C733" w14:textId="08DBCC46" w:rsidR="00374831" w:rsidRDefault="00E5499C" w:rsidP="00E5499C">
      <w:pPr>
        <w:spacing w:after="0"/>
        <w:jc w:val="right"/>
        <w:rPr>
          <w:rFonts w:ascii="Arial" w:eastAsia="Geomanist Light" w:hAnsi="Arial" w:cs="Arial"/>
          <w:color w:val="000000" w:themeColor="text1"/>
          <w:lang w:val="es-MX"/>
        </w:rPr>
      </w:pPr>
      <w:r w:rsidRPr="00E5499C">
        <w:rPr>
          <w:rFonts w:ascii="Arial" w:eastAsia="Geomanist Light" w:hAnsi="Arial" w:cs="Arial"/>
          <w:noProof/>
          <w:color w:val="000000" w:themeColor="text1"/>
          <w:lang w:val="es-MX"/>
        </w:rPr>
        <w:drawing>
          <wp:inline distT="0" distB="0" distL="0" distR="0" wp14:anchorId="7723A1A4" wp14:editId="6186845E">
            <wp:extent cx="3135923" cy="738505"/>
            <wp:effectExtent l="0" t="0" r="7620" b="4445"/>
            <wp:docPr id="9478728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41949" cy="739924"/>
                    </a:xfrm>
                    <a:prstGeom prst="rect">
                      <a:avLst/>
                    </a:prstGeom>
                    <a:noFill/>
                    <a:ln>
                      <a:noFill/>
                    </a:ln>
                  </pic:spPr>
                </pic:pic>
              </a:graphicData>
            </a:graphic>
          </wp:inline>
        </w:drawing>
      </w:r>
    </w:p>
    <w:p w14:paraId="0ED5C5C0" w14:textId="77777777" w:rsidR="00C87232" w:rsidRPr="00C046D8" w:rsidRDefault="00C87232" w:rsidP="00C87232">
      <w:pPr>
        <w:spacing w:after="0"/>
        <w:contextualSpacing/>
        <w:jc w:val="both"/>
        <w:rPr>
          <w:rFonts w:ascii="Arial" w:eastAsia="Calibri" w:hAnsi="Arial" w:cs="Arial"/>
          <w:lang w:val="es-ES_tradnl" w:eastAsia="es-ES_tradnl"/>
        </w:rPr>
      </w:pPr>
    </w:p>
    <w:p w14:paraId="3A1013AB" w14:textId="44E1234D" w:rsidR="00C87232" w:rsidRPr="0006291B" w:rsidRDefault="00C87232" w:rsidP="00C87232">
      <w:pPr>
        <w:contextualSpacing/>
        <w:jc w:val="both"/>
        <w:rPr>
          <w:rFonts w:ascii="Arial" w:eastAsia="Calibri" w:hAnsi="Arial" w:cs="Arial"/>
          <w:lang w:eastAsia="es-ES_tradnl"/>
        </w:rPr>
      </w:pPr>
      <w:r w:rsidRPr="0006291B">
        <w:rPr>
          <w:rFonts w:ascii="Arial" w:eastAsia="Calibri" w:hAnsi="Arial" w:cs="Arial"/>
          <w:lang w:eastAsia="es-ES_tradnl"/>
        </w:rPr>
        <w:t>Señor</w:t>
      </w:r>
      <w:r w:rsidR="00BE16F7">
        <w:rPr>
          <w:rFonts w:ascii="Arial" w:eastAsia="Calibri" w:hAnsi="Arial" w:cs="Arial"/>
          <w:lang w:eastAsia="es-ES_tradnl"/>
        </w:rPr>
        <w:t>a</w:t>
      </w:r>
    </w:p>
    <w:p w14:paraId="15CF5473" w14:textId="45E453E6" w:rsidR="00C87232" w:rsidRDefault="00BE16F7" w:rsidP="00C87232">
      <w:pPr>
        <w:contextualSpacing/>
        <w:jc w:val="both"/>
        <w:rPr>
          <w:rFonts w:ascii="Arial" w:eastAsia="Calibri" w:hAnsi="Arial" w:cs="Arial"/>
          <w:b/>
          <w:lang w:eastAsia="es-ES_tradnl"/>
        </w:rPr>
      </w:pPr>
      <w:r>
        <w:rPr>
          <w:rFonts w:ascii="Arial" w:eastAsia="Calibri" w:hAnsi="Arial" w:cs="Arial"/>
          <w:b/>
          <w:lang w:eastAsia="es-ES_tradnl"/>
        </w:rPr>
        <w:t xml:space="preserve">María Helena Hernández de Moreno </w:t>
      </w:r>
    </w:p>
    <w:p w14:paraId="4DE784A3" w14:textId="77777777" w:rsidR="00C87232" w:rsidRPr="0006291B" w:rsidRDefault="00C87232" w:rsidP="00C87232">
      <w:pPr>
        <w:contextualSpacing/>
        <w:jc w:val="both"/>
        <w:rPr>
          <w:rFonts w:ascii="Arial" w:eastAsia="Calibri" w:hAnsi="Arial" w:cs="Arial"/>
          <w:bCs/>
          <w:lang w:eastAsia="es-ES_tradnl"/>
        </w:rPr>
      </w:pPr>
      <w:r w:rsidRPr="00044F0D">
        <w:rPr>
          <w:rFonts w:ascii="Arial" w:eastAsia="Geomanist Light" w:hAnsi="Arial" w:cs="Arial"/>
          <w:color w:val="000000" w:themeColor="text1"/>
          <w:lang w:val="es-MX"/>
        </w:rPr>
        <w:t>Bogotá D.C.</w:t>
      </w:r>
    </w:p>
    <w:p w14:paraId="6308388F" w14:textId="77777777" w:rsidR="00CD0306" w:rsidRDefault="00CD0306" w:rsidP="00CD0306">
      <w:pPr>
        <w:contextualSpacing/>
        <w:rPr>
          <w:rFonts w:ascii="Arial" w:eastAsia="Calibri" w:hAnsi="Arial" w:cs="Arial"/>
          <w:lang w:val="es-ES_tradnl" w:eastAsia="es-ES_tradnl"/>
        </w:rPr>
      </w:pPr>
    </w:p>
    <w:p w14:paraId="056093F9" w14:textId="77777777" w:rsidR="00CD0306" w:rsidRPr="00C046D8" w:rsidRDefault="00CD0306" w:rsidP="00660381">
      <w:pPr>
        <w:contextualSpacing/>
        <w:rPr>
          <w:rFonts w:ascii="Arial" w:eastAsia="Calibri" w:hAnsi="Arial" w:cs="Arial"/>
          <w:lang w:val="es-ES_tradnl" w:eastAsia="es-ES_tradnl"/>
        </w:rPr>
      </w:pPr>
    </w:p>
    <w:p w14:paraId="12F3FE8C" w14:textId="4C9C4452" w:rsidR="00C87232" w:rsidRDefault="00CD0306" w:rsidP="00660381">
      <w:pPr>
        <w:ind w:left="2124"/>
        <w:contextualSpacing/>
        <w:rPr>
          <w:rFonts w:ascii="Arial" w:eastAsia="Calibri" w:hAnsi="Arial" w:cs="Arial"/>
          <w:b/>
          <w:bCs/>
          <w:lang w:val="es-ES_tradnl" w:eastAsia="es-ES_tradnl"/>
        </w:rPr>
      </w:pPr>
      <w:r>
        <w:rPr>
          <w:rFonts w:ascii="Arial" w:eastAsia="Arial" w:hAnsi="Arial" w:cs="Arial"/>
          <w:b/>
          <w:bCs/>
          <w:lang w:val="es-ES"/>
        </w:rPr>
        <w:t xml:space="preserve">         </w:t>
      </w:r>
      <w:r w:rsidR="00A07935" w:rsidRPr="00002BAF">
        <w:rPr>
          <w:rFonts w:ascii="Arial" w:eastAsia="Arial" w:hAnsi="Arial" w:cs="Arial"/>
          <w:b/>
          <w:bCs/>
          <w:lang w:val="es-ES"/>
        </w:rPr>
        <w:t>Concepto</w:t>
      </w:r>
      <w:r w:rsidR="00A07935" w:rsidRPr="00002BAF">
        <w:rPr>
          <w:rFonts w:ascii="Arial" w:eastAsia="Arial" w:hAnsi="Arial" w:cs="Arial"/>
          <w:b/>
          <w:bCs/>
          <w:spacing w:val="-4"/>
          <w:lang w:val="es-ES"/>
        </w:rPr>
        <w:t xml:space="preserve"> </w:t>
      </w:r>
      <w:r w:rsidR="00A07935" w:rsidRPr="00002BAF">
        <w:rPr>
          <w:rFonts w:ascii="Arial" w:eastAsia="Arial" w:hAnsi="Arial" w:cs="Arial"/>
          <w:b/>
          <w:bCs/>
          <w:lang w:val="es-ES"/>
        </w:rPr>
        <w:t>C</w:t>
      </w:r>
      <w:r w:rsidR="00E45E97">
        <w:rPr>
          <w:rFonts w:ascii="Arial" w:eastAsia="Arial" w:hAnsi="Arial" w:cs="Arial"/>
          <w:b/>
          <w:bCs/>
          <w:lang w:val="es-ES"/>
        </w:rPr>
        <w:t xml:space="preserve"> </w:t>
      </w:r>
      <w:r w:rsidR="00A07935" w:rsidRPr="00002BAF">
        <w:rPr>
          <w:rFonts w:ascii="Arial" w:eastAsia="Arial" w:hAnsi="Arial" w:cs="Arial"/>
          <w:b/>
          <w:bCs/>
          <w:lang w:val="es-ES"/>
        </w:rPr>
        <w:t>–</w:t>
      </w:r>
      <w:r w:rsidR="00E45E97">
        <w:rPr>
          <w:rFonts w:ascii="Arial" w:eastAsia="Arial" w:hAnsi="Arial" w:cs="Arial"/>
          <w:b/>
          <w:bCs/>
          <w:spacing w:val="-4"/>
          <w:lang w:val="es-ES"/>
        </w:rPr>
        <w:t xml:space="preserve"> </w:t>
      </w:r>
      <w:r w:rsidR="008E2C58">
        <w:rPr>
          <w:rFonts w:ascii="Arial" w:eastAsia="Arial" w:hAnsi="Arial" w:cs="Arial"/>
          <w:b/>
          <w:bCs/>
          <w:spacing w:val="-4"/>
          <w:lang w:val="es-ES"/>
        </w:rPr>
        <w:t>300</w:t>
      </w:r>
      <w:r w:rsidR="00A07935" w:rsidRPr="00002BAF">
        <w:rPr>
          <w:rFonts w:ascii="Arial" w:eastAsia="Arial" w:hAnsi="Arial" w:cs="Arial"/>
          <w:b/>
          <w:bCs/>
          <w:spacing w:val="-4"/>
          <w:lang w:val="es-ES"/>
        </w:rPr>
        <w:t xml:space="preserve"> </w:t>
      </w:r>
      <w:r w:rsidR="00A07935" w:rsidRPr="00002BAF">
        <w:rPr>
          <w:rFonts w:ascii="Arial" w:eastAsia="Arial" w:hAnsi="Arial" w:cs="Arial"/>
          <w:b/>
          <w:bCs/>
          <w:lang w:val="es-ES"/>
        </w:rPr>
        <w:t>de</w:t>
      </w:r>
      <w:r w:rsidR="00A07935" w:rsidRPr="00002BAF">
        <w:rPr>
          <w:rFonts w:ascii="Arial" w:eastAsia="Arial" w:hAnsi="Arial" w:cs="Arial"/>
          <w:b/>
          <w:bCs/>
          <w:spacing w:val="-3"/>
          <w:lang w:val="es-ES"/>
        </w:rPr>
        <w:t xml:space="preserve"> </w:t>
      </w:r>
      <w:r w:rsidR="00A07935" w:rsidRPr="00002BAF">
        <w:rPr>
          <w:rFonts w:ascii="Arial" w:eastAsia="Arial" w:hAnsi="Arial" w:cs="Arial"/>
          <w:b/>
          <w:bCs/>
          <w:lang w:val="es-ES"/>
        </w:rPr>
        <w:t>2023</w:t>
      </w:r>
    </w:p>
    <w:p w14:paraId="453294A6" w14:textId="77777777" w:rsidR="00A07935" w:rsidRPr="00C046D8" w:rsidRDefault="00A07935" w:rsidP="00C87232">
      <w:pPr>
        <w:contextualSpacing/>
        <w:rPr>
          <w:rFonts w:ascii="Arial" w:eastAsia="Calibri" w:hAnsi="Arial" w:cs="Arial"/>
          <w:b/>
          <w:bCs/>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C87232" w:rsidRPr="00C046D8" w14:paraId="0CA53D95" w14:textId="77777777" w:rsidTr="005A57A6">
        <w:tc>
          <w:tcPr>
            <w:tcW w:w="2689" w:type="dxa"/>
          </w:tcPr>
          <w:p w14:paraId="3578F2EA" w14:textId="77777777" w:rsidR="00C87232" w:rsidRPr="00C046D8" w:rsidRDefault="00C87232" w:rsidP="005A57A6">
            <w:pPr>
              <w:contextualSpacing/>
              <w:jc w:val="both"/>
              <w:rPr>
                <w:rFonts w:ascii="Arial" w:eastAsia="Calibri" w:hAnsi="Arial" w:cs="Arial"/>
                <w:lang w:val="es-ES_tradnl" w:eastAsia="es-ES_tradnl"/>
              </w:rPr>
            </w:pPr>
            <w:r w:rsidRPr="00C046D8">
              <w:rPr>
                <w:rFonts w:ascii="Arial" w:eastAsia="Calibri" w:hAnsi="Arial" w:cs="Arial"/>
                <w:b/>
                <w:lang w:val="es-ES_tradnl" w:eastAsia="es-ES_tradnl"/>
              </w:rPr>
              <w:t>Temas:</w:t>
            </w:r>
            <w:r w:rsidRPr="00C046D8">
              <w:rPr>
                <w:rFonts w:ascii="Arial" w:eastAsia="Calibri" w:hAnsi="Arial" w:cs="Arial"/>
                <w:lang w:val="es-ES_tradnl" w:eastAsia="es-ES_tradnl"/>
              </w:rPr>
              <w:t xml:space="preserve">                                      </w:t>
            </w:r>
          </w:p>
        </w:tc>
        <w:tc>
          <w:tcPr>
            <w:tcW w:w="6237" w:type="dxa"/>
          </w:tcPr>
          <w:p w14:paraId="7C0BBB5E" w14:textId="69A22ECF" w:rsidR="00C87232" w:rsidRDefault="00C87232" w:rsidP="00660381">
            <w:pPr>
              <w:spacing w:after="120" w:line="276" w:lineRule="auto"/>
              <w:contextualSpacing/>
              <w:jc w:val="both"/>
              <w:rPr>
                <w:rFonts w:ascii="Arial" w:eastAsia="Calibri" w:hAnsi="Arial" w:cs="Arial"/>
                <w:bCs/>
                <w:lang w:val="es-MX" w:eastAsia="es-ES_tradnl"/>
              </w:rPr>
            </w:pPr>
            <w:r w:rsidRPr="00C54FBD">
              <w:rPr>
                <w:rFonts w:ascii="Arial" w:eastAsia="Calibri" w:hAnsi="Arial" w:cs="Arial"/>
                <w:bCs/>
                <w:lang w:val="es-MX" w:eastAsia="es-ES_tradnl"/>
              </w:rPr>
              <w:t>INHABILIDADES – Definición – Finalidad – Limitación capacidad contractual</w:t>
            </w:r>
            <w:r w:rsidR="00371459">
              <w:rPr>
                <w:rFonts w:ascii="Arial" w:eastAsia="Calibri" w:hAnsi="Arial" w:cs="Arial"/>
                <w:bCs/>
                <w:lang w:val="es-MX" w:eastAsia="es-ES_tradnl"/>
              </w:rPr>
              <w:t xml:space="preserve"> / </w:t>
            </w:r>
            <w:r w:rsidR="00371459" w:rsidRPr="00371459">
              <w:rPr>
                <w:rFonts w:ascii="Arial" w:eastAsia="Calibri" w:hAnsi="Arial" w:cs="Arial"/>
                <w:bCs/>
                <w:lang w:val="es-MX" w:eastAsia="es-ES_tradnl"/>
              </w:rPr>
              <w:t>CONTRATACIÓN ESTATAL – Capacidad – Validez contratos – Régimen de contratación – Inscripción – Limitación de la capacidad</w:t>
            </w:r>
            <w:r w:rsidR="0017080A">
              <w:rPr>
                <w:rFonts w:ascii="Arial" w:eastAsia="Calibri" w:hAnsi="Arial" w:cs="Arial"/>
                <w:bCs/>
                <w:lang w:val="es-MX" w:eastAsia="es-ES_tradnl"/>
              </w:rPr>
              <w:t xml:space="preserve"> </w:t>
            </w:r>
            <w:r>
              <w:rPr>
                <w:rFonts w:ascii="Arial" w:eastAsia="Calibri" w:hAnsi="Arial" w:cs="Arial"/>
                <w:bCs/>
                <w:lang w:val="es-MX" w:eastAsia="es-ES_tradnl"/>
              </w:rPr>
              <w:t xml:space="preserve">/ </w:t>
            </w:r>
            <w:r w:rsidRPr="00C54FBD">
              <w:rPr>
                <w:rFonts w:ascii="Arial" w:eastAsia="Calibri" w:hAnsi="Arial" w:cs="Arial"/>
                <w:bCs/>
                <w:lang w:val="es-MX" w:eastAsia="es-ES_tradnl"/>
              </w:rPr>
              <w:t>INHABILIDADES – Taxatividad – Principio de legalidad – Interpretación restrictiva</w:t>
            </w:r>
            <w:r w:rsidR="00371459">
              <w:rPr>
                <w:rFonts w:ascii="Arial" w:eastAsia="Calibri" w:hAnsi="Arial" w:cs="Arial"/>
                <w:bCs/>
                <w:lang w:val="es-MX" w:eastAsia="es-ES_tradnl"/>
              </w:rPr>
              <w:t xml:space="preserve"> / </w:t>
            </w:r>
            <w:r>
              <w:rPr>
                <w:rFonts w:ascii="Arial" w:eastAsia="Calibri" w:hAnsi="Arial" w:cs="Arial"/>
                <w:bCs/>
                <w:lang w:val="es-MX" w:eastAsia="es-ES_tradnl"/>
              </w:rPr>
              <w:t xml:space="preserve"> </w:t>
            </w:r>
            <w:r w:rsidR="000C6092" w:rsidRPr="000C6092">
              <w:rPr>
                <w:rFonts w:ascii="Arial" w:eastAsia="Calibri" w:hAnsi="Arial" w:cs="Arial"/>
                <w:bCs/>
                <w:lang w:val="es-MX" w:eastAsia="es-ES_tradnl"/>
              </w:rPr>
              <w:t>SOCIEDADES COMERCIALES – Clasificaciones</w:t>
            </w:r>
            <w:r w:rsidR="000C6092">
              <w:rPr>
                <w:rFonts w:ascii="Arial" w:eastAsia="Calibri" w:hAnsi="Arial" w:cs="Arial"/>
                <w:bCs/>
                <w:lang w:val="es-MX" w:eastAsia="es-ES_tradnl"/>
              </w:rPr>
              <w:t xml:space="preserve"> / </w:t>
            </w:r>
            <w:r w:rsidR="00F56BB5" w:rsidRPr="00F56BB5">
              <w:rPr>
                <w:rFonts w:ascii="Arial" w:eastAsia="Calibri" w:hAnsi="Arial" w:cs="Arial"/>
                <w:bCs/>
                <w:lang w:val="es-MX" w:eastAsia="es-ES_tradnl"/>
              </w:rPr>
              <w:t>ENTIDADES SIN ÁNIMO DE LUCRO – Noción – No constituyen sociedad comercial</w:t>
            </w:r>
            <w:r w:rsidR="00F56BB5">
              <w:rPr>
                <w:rFonts w:ascii="Arial" w:eastAsia="Calibri" w:hAnsi="Arial" w:cs="Arial"/>
                <w:bCs/>
                <w:lang w:val="es-MX" w:eastAsia="es-ES_tradnl"/>
              </w:rPr>
              <w:t xml:space="preserve"> </w:t>
            </w:r>
            <w:r w:rsidR="009B71DB">
              <w:rPr>
                <w:rFonts w:ascii="Arial" w:eastAsia="Calibri" w:hAnsi="Arial" w:cs="Arial"/>
                <w:bCs/>
                <w:lang w:val="es-MX" w:eastAsia="es-ES_tradnl"/>
              </w:rPr>
              <w:t xml:space="preserve">/ </w:t>
            </w:r>
          </w:p>
          <w:p w14:paraId="69200679" w14:textId="77777777" w:rsidR="00C87232" w:rsidRPr="0006291B" w:rsidRDefault="00C87232" w:rsidP="005A57A6">
            <w:pPr>
              <w:spacing w:after="120"/>
              <w:contextualSpacing/>
              <w:jc w:val="both"/>
              <w:rPr>
                <w:rFonts w:ascii="Arial" w:eastAsia="Calibri" w:hAnsi="Arial" w:cs="Arial"/>
                <w:bCs/>
                <w:sz w:val="12"/>
                <w:szCs w:val="12"/>
                <w:lang w:val="es-ES_tradnl" w:eastAsia="es-ES_tradnl"/>
              </w:rPr>
            </w:pPr>
          </w:p>
        </w:tc>
      </w:tr>
      <w:tr w:rsidR="00C87232" w:rsidRPr="00C046D8" w14:paraId="07E5221E" w14:textId="77777777" w:rsidTr="005A57A6">
        <w:trPr>
          <w:trHeight w:val="227"/>
        </w:trPr>
        <w:tc>
          <w:tcPr>
            <w:tcW w:w="2689" w:type="dxa"/>
          </w:tcPr>
          <w:p w14:paraId="3A3826A4" w14:textId="77777777" w:rsidR="00C87232" w:rsidRPr="00C046D8" w:rsidRDefault="00C87232" w:rsidP="005A57A6">
            <w:pPr>
              <w:contextualSpacing/>
              <w:jc w:val="both"/>
              <w:rPr>
                <w:rFonts w:ascii="Arial" w:eastAsia="Calibri" w:hAnsi="Arial" w:cs="Arial"/>
                <w:b/>
                <w:lang w:val="es-ES_tradnl" w:eastAsia="es-ES_tradnl"/>
              </w:rPr>
            </w:pPr>
            <w:r w:rsidRPr="00C046D8">
              <w:rPr>
                <w:rFonts w:ascii="Arial" w:eastAsia="Calibri" w:hAnsi="Arial" w:cs="Arial"/>
                <w:b/>
                <w:lang w:val="es-ES_tradnl" w:eastAsia="es-ES_tradnl"/>
              </w:rPr>
              <w:t>Radicación:</w:t>
            </w:r>
            <w:r w:rsidRPr="00C046D8">
              <w:rPr>
                <w:rFonts w:ascii="Arial" w:eastAsia="Calibri" w:hAnsi="Arial" w:cs="Arial"/>
                <w:lang w:val="es-ES_tradnl" w:eastAsia="es-ES_tradnl"/>
              </w:rPr>
              <w:t xml:space="preserve">                             </w:t>
            </w:r>
          </w:p>
        </w:tc>
        <w:tc>
          <w:tcPr>
            <w:tcW w:w="6237" w:type="dxa"/>
          </w:tcPr>
          <w:p w14:paraId="172F2D2F" w14:textId="5BB7A67C" w:rsidR="00C87232" w:rsidRPr="00C046D8" w:rsidRDefault="00C87232" w:rsidP="005A57A6">
            <w:pPr>
              <w:contextualSpacing/>
              <w:jc w:val="both"/>
              <w:rPr>
                <w:rFonts w:ascii="Arial" w:eastAsia="Calibri" w:hAnsi="Arial" w:cs="Arial"/>
                <w:lang w:val="es-ES_tradnl" w:eastAsia="es-ES_tradnl"/>
              </w:rPr>
            </w:pPr>
            <w:r w:rsidRPr="0006291B">
              <w:rPr>
                <w:rFonts w:ascii="Arial" w:eastAsia="Calibri" w:hAnsi="Arial" w:cs="Arial"/>
                <w:lang w:val="es-ES_tradnl" w:eastAsia="es-ES_tradnl"/>
              </w:rPr>
              <w:t xml:space="preserve">Respuesta a consulta </w:t>
            </w:r>
            <w:r w:rsidRPr="00A002C9">
              <w:rPr>
                <w:rFonts w:ascii="Arial" w:eastAsia="Calibri" w:hAnsi="Arial" w:cs="Arial"/>
                <w:lang w:val="es-ES_tradnl" w:eastAsia="es-ES_tradnl"/>
              </w:rPr>
              <w:t>P2023</w:t>
            </w:r>
            <w:r w:rsidR="00D900A2">
              <w:rPr>
                <w:rFonts w:ascii="Arial" w:eastAsia="Calibri" w:hAnsi="Arial" w:cs="Arial"/>
                <w:lang w:val="es-ES_tradnl" w:eastAsia="es-ES_tradnl"/>
              </w:rPr>
              <w:t>060701</w:t>
            </w:r>
            <w:r w:rsidR="00240889">
              <w:rPr>
                <w:rFonts w:ascii="Arial" w:eastAsia="Calibri" w:hAnsi="Arial" w:cs="Arial"/>
                <w:lang w:val="es-ES_tradnl" w:eastAsia="es-ES_tradnl"/>
              </w:rPr>
              <w:t>2143</w:t>
            </w:r>
          </w:p>
        </w:tc>
      </w:tr>
    </w:tbl>
    <w:p w14:paraId="7C5A9BA8" w14:textId="77777777" w:rsidR="00C87232" w:rsidRPr="00C046D8" w:rsidRDefault="00C87232" w:rsidP="00C87232">
      <w:pPr>
        <w:contextualSpacing/>
        <w:jc w:val="both"/>
        <w:rPr>
          <w:rFonts w:ascii="Arial" w:eastAsia="Calibri" w:hAnsi="Arial" w:cs="Arial"/>
          <w:lang w:val="es-ES_tradnl" w:eastAsia="es-ES_tradnl"/>
        </w:rPr>
      </w:pPr>
    </w:p>
    <w:p w14:paraId="3B12762A" w14:textId="77777777" w:rsidR="00C87232" w:rsidRPr="00C046D8" w:rsidRDefault="00C87232" w:rsidP="00C87232">
      <w:pPr>
        <w:contextualSpacing/>
        <w:jc w:val="both"/>
        <w:rPr>
          <w:rFonts w:ascii="Arial" w:eastAsia="Calibri" w:hAnsi="Arial" w:cs="Arial"/>
          <w:lang w:val="es-ES_tradnl" w:eastAsia="es-ES_tradnl"/>
        </w:rPr>
      </w:pPr>
    </w:p>
    <w:p w14:paraId="4E4C0618" w14:textId="14CD7DFF" w:rsidR="00C87232" w:rsidRPr="00C046D8" w:rsidRDefault="00C87232" w:rsidP="00C87232">
      <w:pPr>
        <w:contextualSpacing/>
        <w:jc w:val="both"/>
        <w:rPr>
          <w:rFonts w:ascii="Arial" w:eastAsia="Calibri" w:hAnsi="Arial" w:cs="Arial"/>
          <w:lang w:val="es-ES" w:eastAsia="es-ES"/>
        </w:rPr>
      </w:pPr>
      <w:r w:rsidRPr="293D6149">
        <w:rPr>
          <w:rFonts w:ascii="Arial" w:eastAsia="Calibri" w:hAnsi="Arial" w:cs="Arial"/>
          <w:lang w:val="es-ES" w:eastAsia="es-ES"/>
        </w:rPr>
        <w:t>Respetad</w:t>
      </w:r>
      <w:r w:rsidR="00BE16F7">
        <w:rPr>
          <w:rFonts w:ascii="Arial" w:eastAsia="Calibri" w:hAnsi="Arial" w:cs="Arial"/>
          <w:lang w:val="es-ES" w:eastAsia="es-ES"/>
        </w:rPr>
        <w:t>a</w:t>
      </w:r>
      <w:r w:rsidRPr="293D6149">
        <w:rPr>
          <w:rFonts w:ascii="Arial" w:eastAsia="Calibri" w:hAnsi="Arial" w:cs="Arial"/>
          <w:lang w:val="es-ES" w:eastAsia="es-ES"/>
        </w:rPr>
        <w:t xml:space="preserve"> señor</w:t>
      </w:r>
      <w:r w:rsidR="00BE16F7">
        <w:rPr>
          <w:rFonts w:ascii="Arial" w:eastAsia="Calibri" w:hAnsi="Arial" w:cs="Arial"/>
          <w:lang w:val="es-ES" w:eastAsia="es-ES"/>
        </w:rPr>
        <w:t>a</w:t>
      </w:r>
      <w:r w:rsidRPr="293D6149">
        <w:rPr>
          <w:rFonts w:ascii="Arial" w:eastAsia="Calibri" w:hAnsi="Arial" w:cs="Arial"/>
          <w:lang w:val="es-ES" w:eastAsia="es-ES"/>
        </w:rPr>
        <w:t xml:space="preserve"> </w:t>
      </w:r>
      <w:r w:rsidR="00BE16F7">
        <w:rPr>
          <w:rFonts w:ascii="Arial" w:eastAsia="Times New Roman" w:hAnsi="Arial" w:cs="Arial"/>
          <w:lang w:eastAsia="es-ES"/>
        </w:rPr>
        <w:t>Hernández</w:t>
      </w:r>
      <w:r w:rsidRPr="293D6149">
        <w:rPr>
          <w:rFonts w:ascii="Arial" w:eastAsia="Calibri" w:hAnsi="Arial" w:cs="Arial"/>
          <w:lang w:val="es-ES" w:eastAsia="es-ES"/>
        </w:rPr>
        <w:t>:</w:t>
      </w:r>
    </w:p>
    <w:p w14:paraId="5592A294" w14:textId="77777777" w:rsidR="00C87232" w:rsidRPr="00C046D8" w:rsidRDefault="00C87232" w:rsidP="00C87232">
      <w:pPr>
        <w:spacing w:line="276" w:lineRule="auto"/>
        <w:contextualSpacing/>
        <w:jc w:val="both"/>
        <w:rPr>
          <w:rFonts w:ascii="Arial" w:eastAsia="Calibri" w:hAnsi="Arial" w:cs="Arial"/>
          <w:szCs w:val="24"/>
          <w:lang w:val="es-ES_tradnl" w:eastAsia="es-ES_tradnl"/>
        </w:rPr>
      </w:pPr>
    </w:p>
    <w:bookmarkEnd w:id="0"/>
    <w:bookmarkEnd w:id="1"/>
    <w:p w14:paraId="6DBFEA00" w14:textId="710ABD27" w:rsidR="000A1197" w:rsidRDefault="00C87232" w:rsidP="00660381">
      <w:pPr>
        <w:spacing w:after="0" w:line="276" w:lineRule="auto"/>
        <w:jc w:val="both"/>
        <w:rPr>
          <w:rFonts w:ascii="Arial" w:eastAsia="Calibri" w:hAnsi="Arial" w:cs="Arial"/>
          <w:color w:val="000000" w:themeColor="text1"/>
          <w:lang w:val="es-ES_tradnl"/>
        </w:rPr>
      </w:pPr>
      <w:r w:rsidRPr="00504597">
        <w:rPr>
          <w:rFonts w:ascii="Arial" w:eastAsia="Calibri" w:hAnsi="Arial" w:cs="Arial"/>
          <w:color w:val="000000" w:themeColor="text1"/>
          <w:lang w:val="es-ES_tradnl"/>
        </w:rPr>
        <w:t>En ejercicio de la competencia otorgada por el numeral 8</w:t>
      </w:r>
      <w:r w:rsidR="000A1197">
        <w:rPr>
          <w:rFonts w:ascii="Arial" w:eastAsia="Calibri" w:hAnsi="Arial" w:cs="Arial"/>
          <w:color w:val="000000" w:themeColor="text1"/>
          <w:lang w:val="es-ES_tradnl"/>
        </w:rPr>
        <w:t>°</w:t>
      </w:r>
      <w:r w:rsidRPr="00504597">
        <w:rPr>
          <w:rFonts w:ascii="Arial" w:eastAsia="Calibri" w:hAnsi="Arial" w:cs="Arial"/>
          <w:color w:val="000000" w:themeColor="text1"/>
          <w:lang w:val="es-ES_tradnl"/>
        </w:rPr>
        <w:t xml:space="preserve"> del artículo 11 y el numeral 5</w:t>
      </w:r>
      <w:r w:rsidR="000A1197">
        <w:rPr>
          <w:rFonts w:ascii="Arial" w:eastAsia="Calibri" w:hAnsi="Arial" w:cs="Arial"/>
          <w:color w:val="000000" w:themeColor="text1"/>
          <w:lang w:val="es-ES_tradnl"/>
        </w:rPr>
        <w:t>°</w:t>
      </w:r>
      <w:r w:rsidRPr="00504597">
        <w:rPr>
          <w:rFonts w:ascii="Arial" w:eastAsia="Calibri" w:hAnsi="Arial" w:cs="Arial"/>
          <w:color w:val="000000" w:themeColor="text1"/>
          <w:lang w:val="es-ES_tradnl"/>
        </w:rPr>
        <w:t xml:space="preserve"> del artículo 3 del Decreto </w:t>
      </w:r>
      <w:r w:rsidRPr="00E87A11">
        <w:rPr>
          <w:rFonts w:ascii="Arial" w:eastAsia="Calibri" w:hAnsi="Arial" w:cs="Arial"/>
          <w:color w:val="000000" w:themeColor="text1"/>
          <w:lang w:val="es-ES_tradnl"/>
        </w:rPr>
        <w:t>Ley 4170 de 2011</w:t>
      </w:r>
      <w:bookmarkStart w:id="3" w:name="_Hlk99120496"/>
      <w:r w:rsidRPr="00E87A11">
        <w:rPr>
          <w:rFonts w:ascii="Arial MT" w:eastAsia="Arial MT" w:hAnsi="Arial MT" w:cs="Arial MT"/>
          <w:lang w:val="es-ES"/>
        </w:rPr>
        <w:t xml:space="preserve">, </w:t>
      </w:r>
      <w:bookmarkEnd w:id="3"/>
      <w:r w:rsidRPr="00E87A11">
        <w:rPr>
          <w:rFonts w:ascii="Arial" w:eastAsia="Calibri" w:hAnsi="Arial" w:cs="Arial"/>
          <w:color w:val="000000" w:themeColor="text1"/>
          <w:lang w:val="es-ES_tradnl"/>
        </w:rPr>
        <w:t>la</w:t>
      </w:r>
      <w:r w:rsidRPr="00504597">
        <w:rPr>
          <w:rFonts w:ascii="Arial" w:eastAsia="Calibri" w:hAnsi="Arial" w:cs="Arial"/>
          <w:color w:val="000000" w:themeColor="text1"/>
          <w:lang w:val="es-ES_tradnl"/>
        </w:rPr>
        <w:t xml:space="preserve"> Agencia Nacional de Contratación Pública </w:t>
      </w:r>
      <w:r>
        <w:rPr>
          <w:rFonts w:ascii="Arial" w:eastAsia="Calibri" w:hAnsi="Arial" w:cs="Arial"/>
          <w:color w:val="000000" w:themeColor="text1"/>
          <w:lang w:val="es-ES_tradnl"/>
        </w:rPr>
        <w:t>–</w:t>
      </w:r>
      <w:r w:rsidRPr="00504597">
        <w:rPr>
          <w:rFonts w:ascii="Arial" w:eastAsia="Calibri" w:hAnsi="Arial" w:cs="Arial"/>
          <w:color w:val="000000" w:themeColor="text1"/>
          <w:lang w:val="es-ES_tradnl"/>
        </w:rPr>
        <w:t xml:space="preserve"> Colombia Compra Eficiente responde </w:t>
      </w:r>
      <w:r>
        <w:rPr>
          <w:rFonts w:ascii="Arial" w:eastAsia="Calibri" w:hAnsi="Arial" w:cs="Arial"/>
          <w:color w:val="000000" w:themeColor="text1"/>
          <w:lang w:val="es-ES_tradnl"/>
        </w:rPr>
        <w:t>la</w:t>
      </w:r>
      <w:r w:rsidRPr="00504597">
        <w:rPr>
          <w:rFonts w:ascii="Arial" w:eastAsia="Calibri" w:hAnsi="Arial" w:cs="Arial"/>
          <w:color w:val="000000" w:themeColor="text1"/>
          <w:lang w:val="es-ES_tradnl"/>
        </w:rPr>
        <w:t xml:space="preserve"> consulta </w:t>
      </w:r>
      <w:r>
        <w:rPr>
          <w:rFonts w:ascii="Arial" w:eastAsia="Calibri" w:hAnsi="Arial" w:cs="Arial"/>
          <w:color w:val="000000" w:themeColor="text1"/>
          <w:lang w:val="es-ES_tradnl"/>
        </w:rPr>
        <w:t xml:space="preserve">radicada </w:t>
      </w:r>
      <w:r w:rsidRPr="00504597">
        <w:rPr>
          <w:rFonts w:ascii="Arial" w:eastAsia="Calibri" w:hAnsi="Arial" w:cs="Arial"/>
          <w:color w:val="000000" w:themeColor="text1"/>
          <w:lang w:val="es-ES_tradnl"/>
        </w:rPr>
        <w:t xml:space="preserve">el </w:t>
      </w:r>
      <w:r w:rsidR="00086C88">
        <w:rPr>
          <w:rFonts w:ascii="Arial" w:eastAsia="Calibri" w:hAnsi="Arial" w:cs="Arial"/>
          <w:color w:val="000000" w:themeColor="text1"/>
          <w:lang w:val="es-ES_tradnl"/>
        </w:rPr>
        <w:t>7</w:t>
      </w:r>
      <w:r>
        <w:rPr>
          <w:rFonts w:ascii="Arial" w:eastAsia="Calibri" w:hAnsi="Arial" w:cs="Arial"/>
          <w:color w:val="000000" w:themeColor="text1"/>
          <w:lang w:val="es-ES_tradnl"/>
        </w:rPr>
        <w:t xml:space="preserve"> de </w:t>
      </w:r>
      <w:r w:rsidR="00086C88">
        <w:rPr>
          <w:rFonts w:ascii="Arial" w:eastAsia="Calibri" w:hAnsi="Arial" w:cs="Arial"/>
          <w:color w:val="000000" w:themeColor="text1"/>
          <w:lang w:val="es-ES_tradnl"/>
        </w:rPr>
        <w:t>junio</w:t>
      </w:r>
      <w:r>
        <w:rPr>
          <w:rFonts w:ascii="Arial" w:eastAsia="Calibri" w:hAnsi="Arial" w:cs="Arial"/>
          <w:color w:val="000000" w:themeColor="text1"/>
          <w:lang w:val="es-ES_tradnl"/>
        </w:rPr>
        <w:t xml:space="preserve"> de 2023</w:t>
      </w:r>
      <w:r w:rsidR="000A1197">
        <w:rPr>
          <w:rFonts w:ascii="Arial" w:eastAsia="Calibri" w:hAnsi="Arial" w:cs="Arial"/>
          <w:color w:val="000000" w:themeColor="text1"/>
          <w:lang w:val="es-ES_tradnl"/>
        </w:rPr>
        <w:t>.</w:t>
      </w:r>
      <w:r>
        <w:rPr>
          <w:rFonts w:ascii="Arial" w:eastAsia="Calibri" w:hAnsi="Arial" w:cs="Arial"/>
          <w:color w:val="000000" w:themeColor="text1"/>
          <w:lang w:val="es-ES_tradnl"/>
        </w:rPr>
        <w:t xml:space="preserve"> </w:t>
      </w:r>
    </w:p>
    <w:p w14:paraId="5FA1DDBF" w14:textId="77777777" w:rsidR="000A1197" w:rsidRDefault="000A1197" w:rsidP="00660381">
      <w:pPr>
        <w:spacing w:after="0" w:line="276" w:lineRule="auto"/>
        <w:jc w:val="both"/>
        <w:rPr>
          <w:rFonts w:ascii="Arial" w:eastAsia="Calibri" w:hAnsi="Arial" w:cs="Arial"/>
          <w:color w:val="000000" w:themeColor="text1"/>
          <w:lang w:val="es-ES_tradnl"/>
        </w:rPr>
      </w:pPr>
    </w:p>
    <w:p w14:paraId="3F2315AB" w14:textId="05D4C1DD" w:rsidR="000A1197" w:rsidRPr="00660381" w:rsidRDefault="000A1197" w:rsidP="00660381">
      <w:pPr>
        <w:pStyle w:val="Prrafodelista"/>
        <w:numPr>
          <w:ilvl w:val="0"/>
          <w:numId w:val="4"/>
        </w:numPr>
        <w:spacing w:after="0" w:line="276" w:lineRule="auto"/>
        <w:ind w:left="284" w:hanging="284"/>
        <w:jc w:val="both"/>
        <w:rPr>
          <w:rFonts w:ascii="Arial" w:eastAsia="Calibri" w:hAnsi="Arial" w:cs="Arial"/>
          <w:b/>
          <w:bCs/>
          <w:color w:val="000000" w:themeColor="text1"/>
          <w:lang w:val="es-ES_tradnl"/>
        </w:rPr>
      </w:pPr>
      <w:r w:rsidRPr="00660381">
        <w:rPr>
          <w:rFonts w:ascii="Arial" w:eastAsia="Calibri" w:hAnsi="Arial" w:cs="Arial"/>
          <w:b/>
          <w:bCs/>
          <w:color w:val="000000" w:themeColor="text1"/>
          <w:lang w:val="es-ES_tradnl"/>
        </w:rPr>
        <w:t>Problema planteado</w:t>
      </w:r>
    </w:p>
    <w:p w14:paraId="48AAD4F9" w14:textId="77777777" w:rsidR="00F51E27" w:rsidRDefault="00F51E27" w:rsidP="00660381">
      <w:pPr>
        <w:spacing w:after="0" w:line="276" w:lineRule="auto"/>
        <w:jc w:val="both"/>
        <w:rPr>
          <w:rFonts w:ascii="Arial" w:eastAsia="Calibri" w:hAnsi="Arial" w:cs="Arial"/>
          <w:color w:val="000000" w:themeColor="text1"/>
          <w:lang w:val="es-ES_tradnl"/>
        </w:rPr>
      </w:pPr>
    </w:p>
    <w:p w14:paraId="1537531F" w14:textId="77777777" w:rsidR="00BE16F7" w:rsidRDefault="00F51E27" w:rsidP="00B5038F">
      <w:pPr>
        <w:spacing w:after="0" w:line="276" w:lineRule="auto"/>
        <w:jc w:val="both"/>
        <w:rPr>
          <w:rFonts w:ascii="Arial" w:eastAsia="Calibri" w:hAnsi="Arial" w:cs="Arial"/>
          <w:color w:val="000000" w:themeColor="text1"/>
          <w:lang w:val="es-ES_tradnl"/>
        </w:rPr>
      </w:pPr>
      <w:r>
        <w:rPr>
          <w:rFonts w:ascii="Arial" w:eastAsia="Calibri" w:hAnsi="Arial" w:cs="Arial"/>
          <w:color w:val="000000" w:themeColor="text1"/>
          <w:lang w:val="es-ES_tradnl"/>
        </w:rPr>
        <w:t xml:space="preserve">En su consulta usted </w:t>
      </w:r>
      <w:r w:rsidR="00C87232">
        <w:rPr>
          <w:rFonts w:ascii="Arial" w:eastAsia="Calibri" w:hAnsi="Arial" w:cs="Arial"/>
          <w:color w:val="000000" w:themeColor="text1"/>
          <w:lang w:val="es-ES_tradnl"/>
        </w:rPr>
        <w:t xml:space="preserve">plantea la siguiente inquietud respecto al régimen de inhabilidades e incompatibilidades: </w:t>
      </w:r>
    </w:p>
    <w:p w14:paraId="717C847C" w14:textId="77777777" w:rsidR="00BE16F7" w:rsidRDefault="00BE16F7" w:rsidP="00B5038F">
      <w:pPr>
        <w:spacing w:after="0" w:line="276" w:lineRule="auto"/>
        <w:jc w:val="both"/>
        <w:rPr>
          <w:rFonts w:ascii="Arial" w:eastAsia="Calibri" w:hAnsi="Arial" w:cs="Arial"/>
          <w:color w:val="000000" w:themeColor="text1"/>
          <w:lang w:val="es-ES_tradnl"/>
        </w:rPr>
      </w:pPr>
    </w:p>
    <w:p w14:paraId="7573FC20" w14:textId="2CAD8438" w:rsidR="00C87232" w:rsidRPr="00BE16F7" w:rsidRDefault="00C87232" w:rsidP="009F7BB1">
      <w:pPr>
        <w:spacing w:after="0" w:line="240" w:lineRule="auto"/>
        <w:ind w:left="709" w:right="709"/>
        <w:jc w:val="both"/>
        <w:rPr>
          <w:rFonts w:ascii="Arial" w:eastAsia="Times New Roman" w:hAnsi="Arial" w:cs="Arial"/>
          <w:color w:val="000000" w:themeColor="text1"/>
          <w:sz w:val="21"/>
          <w:szCs w:val="21"/>
          <w:lang w:val="es-ES_tradnl" w:eastAsia="es-ES_tradnl"/>
        </w:rPr>
      </w:pPr>
      <w:r w:rsidRPr="00BE16F7">
        <w:rPr>
          <w:rFonts w:ascii="Arial" w:eastAsia="Times New Roman" w:hAnsi="Arial" w:cs="Arial"/>
          <w:color w:val="000000" w:themeColor="text1"/>
          <w:sz w:val="21"/>
          <w:szCs w:val="21"/>
          <w:lang w:val="es-ES_tradnl" w:eastAsia="es-ES_tradnl"/>
        </w:rPr>
        <w:t>“</w:t>
      </w:r>
      <w:r w:rsidR="009F7BB1" w:rsidRPr="009F7BB1">
        <w:rPr>
          <w:rFonts w:ascii="Arial" w:eastAsia="Times New Roman" w:hAnsi="Arial" w:cs="Arial"/>
          <w:color w:val="000000" w:themeColor="text1"/>
          <w:sz w:val="21"/>
          <w:szCs w:val="21"/>
          <w:lang w:val="es-ES_tradnl" w:eastAsia="es-ES_tradnl"/>
        </w:rPr>
        <w:t>1. ¿El término "sociedades" comprende también</w:t>
      </w:r>
      <w:r w:rsidR="009F7BB1">
        <w:rPr>
          <w:rFonts w:ascii="Arial" w:eastAsia="Times New Roman" w:hAnsi="Arial" w:cs="Arial"/>
          <w:color w:val="000000" w:themeColor="text1"/>
          <w:sz w:val="21"/>
          <w:szCs w:val="21"/>
          <w:lang w:val="es-ES_tradnl" w:eastAsia="es-ES_tradnl"/>
        </w:rPr>
        <w:t xml:space="preserve"> </w:t>
      </w:r>
      <w:r w:rsidR="009F7BB1" w:rsidRPr="009F7BB1">
        <w:rPr>
          <w:rFonts w:ascii="Arial" w:eastAsia="Times New Roman" w:hAnsi="Arial" w:cs="Arial"/>
          <w:color w:val="000000" w:themeColor="text1"/>
          <w:sz w:val="21"/>
          <w:szCs w:val="21"/>
          <w:lang w:val="es-ES_tradnl" w:eastAsia="es-ES_tradnl"/>
        </w:rPr>
        <w:t>las ESAL o cualquier otra asociación que no tenga ánimo de lucro?; 2. Esta inhabilidad</w:t>
      </w:r>
      <w:r w:rsidR="009F7BB1">
        <w:rPr>
          <w:rFonts w:ascii="Arial" w:eastAsia="Times New Roman" w:hAnsi="Arial" w:cs="Arial"/>
          <w:color w:val="000000" w:themeColor="text1"/>
          <w:sz w:val="21"/>
          <w:szCs w:val="21"/>
          <w:lang w:val="es-ES_tradnl" w:eastAsia="es-ES_tradnl"/>
        </w:rPr>
        <w:t xml:space="preserve"> </w:t>
      </w:r>
      <w:r w:rsidR="009F7BB1" w:rsidRPr="009F7BB1">
        <w:rPr>
          <w:rFonts w:ascii="Arial" w:eastAsia="Times New Roman" w:hAnsi="Arial" w:cs="Arial"/>
          <w:color w:val="000000" w:themeColor="text1"/>
          <w:sz w:val="21"/>
          <w:szCs w:val="21"/>
          <w:lang w:val="es-ES_tradnl" w:eastAsia="es-ES_tradnl"/>
        </w:rPr>
        <w:t xml:space="preserve">o incompatibilidad, ¿también opera cuando el </w:t>
      </w:r>
      <w:proofErr w:type="spellStart"/>
      <w:r w:rsidR="009F7BB1" w:rsidRPr="009F7BB1">
        <w:rPr>
          <w:rFonts w:ascii="Arial" w:eastAsia="Times New Roman" w:hAnsi="Arial" w:cs="Arial"/>
          <w:color w:val="000000" w:themeColor="text1"/>
          <w:sz w:val="21"/>
          <w:szCs w:val="21"/>
          <w:lang w:val="es-ES_tradnl" w:eastAsia="es-ES_tradnl"/>
        </w:rPr>
        <w:t>ex-servidor</w:t>
      </w:r>
      <w:proofErr w:type="spellEnd"/>
      <w:r w:rsidR="009F7BB1" w:rsidRPr="009F7BB1">
        <w:rPr>
          <w:rFonts w:ascii="Arial" w:eastAsia="Times New Roman" w:hAnsi="Arial" w:cs="Arial"/>
          <w:color w:val="000000" w:themeColor="text1"/>
          <w:sz w:val="21"/>
          <w:szCs w:val="21"/>
          <w:lang w:val="es-ES_tradnl" w:eastAsia="es-ES_tradnl"/>
        </w:rPr>
        <w:t xml:space="preserve"> NO ostenta un cargo directivo</w:t>
      </w:r>
      <w:r w:rsidR="009F7BB1">
        <w:rPr>
          <w:rFonts w:ascii="Arial" w:eastAsia="Times New Roman" w:hAnsi="Arial" w:cs="Arial"/>
          <w:color w:val="000000" w:themeColor="text1"/>
          <w:sz w:val="21"/>
          <w:szCs w:val="21"/>
          <w:lang w:val="es-ES_tradnl" w:eastAsia="es-ES_tradnl"/>
        </w:rPr>
        <w:t xml:space="preserve"> </w:t>
      </w:r>
      <w:r w:rsidR="009F7BB1" w:rsidRPr="009F7BB1">
        <w:rPr>
          <w:rFonts w:ascii="Arial" w:eastAsia="Times New Roman" w:hAnsi="Arial" w:cs="Arial"/>
          <w:color w:val="000000" w:themeColor="text1"/>
          <w:sz w:val="21"/>
          <w:szCs w:val="21"/>
          <w:lang w:val="es-ES_tradnl" w:eastAsia="es-ES_tradnl"/>
        </w:rPr>
        <w:t>contractual en la sociedad de la que ahora hace parte?</w:t>
      </w:r>
      <w:r w:rsidRPr="00BE16F7">
        <w:rPr>
          <w:rFonts w:ascii="Arial" w:eastAsia="Times New Roman" w:hAnsi="Arial" w:cs="Arial"/>
          <w:color w:val="000000" w:themeColor="text1"/>
          <w:sz w:val="21"/>
          <w:szCs w:val="21"/>
          <w:lang w:val="es-ES_tradnl" w:eastAsia="es-ES_tradnl"/>
        </w:rPr>
        <w:t>”.</w:t>
      </w:r>
    </w:p>
    <w:p w14:paraId="3094CB29" w14:textId="77777777" w:rsidR="00B5038F" w:rsidRPr="00AE719E" w:rsidRDefault="00B5038F" w:rsidP="00B5038F">
      <w:pPr>
        <w:spacing w:after="0" w:line="276" w:lineRule="auto"/>
        <w:jc w:val="both"/>
        <w:rPr>
          <w:rFonts w:ascii="Arial" w:eastAsia="Calibri" w:hAnsi="Arial" w:cs="Arial"/>
          <w:color w:val="000000" w:themeColor="text1"/>
          <w:lang w:val="es-ES_tradnl"/>
        </w:rPr>
      </w:pPr>
    </w:p>
    <w:p w14:paraId="598B1BC2" w14:textId="4D5AB20A" w:rsidR="00C72540" w:rsidRDefault="00C72540" w:rsidP="00B5038F">
      <w:pPr>
        <w:spacing w:after="0" w:line="276" w:lineRule="auto"/>
        <w:jc w:val="both"/>
        <w:rPr>
          <w:rFonts w:ascii="Arial" w:hAnsi="Arial" w:cs="Arial"/>
          <w:b/>
          <w:bCs/>
        </w:rPr>
      </w:pPr>
      <w:r w:rsidRPr="00660381">
        <w:rPr>
          <w:rFonts w:ascii="Arial" w:hAnsi="Arial" w:cs="Arial"/>
          <w:b/>
          <w:bCs/>
        </w:rPr>
        <w:t>2. Consideraciones</w:t>
      </w:r>
    </w:p>
    <w:p w14:paraId="34B25B46" w14:textId="77777777" w:rsidR="00B5038F" w:rsidRPr="00660381" w:rsidRDefault="00B5038F" w:rsidP="00B5038F">
      <w:pPr>
        <w:spacing w:after="0" w:line="276" w:lineRule="auto"/>
        <w:jc w:val="both"/>
        <w:rPr>
          <w:rFonts w:ascii="Arial" w:hAnsi="Arial" w:cs="Arial"/>
          <w:b/>
          <w:bCs/>
        </w:rPr>
      </w:pPr>
    </w:p>
    <w:p w14:paraId="7D9C5B32" w14:textId="1344CCA4" w:rsidR="00C87232" w:rsidRPr="00781AC2" w:rsidRDefault="00C87232" w:rsidP="00660381">
      <w:pPr>
        <w:spacing w:after="120" w:line="276" w:lineRule="auto"/>
        <w:jc w:val="both"/>
        <w:rPr>
          <w:rFonts w:ascii="Arial" w:hAnsi="Arial" w:cs="Arial"/>
          <w:lang w:val="es-ES"/>
        </w:rPr>
      </w:pPr>
      <w:r w:rsidRPr="00781AC2">
        <w:rPr>
          <w:rFonts w:ascii="Arial" w:hAnsi="Arial" w:cs="Arial"/>
        </w:rPr>
        <w:lastRenderedPageBreak/>
        <w:t>En ejercicio de las competencias establecidas en los artículos 3</w:t>
      </w:r>
      <w:r w:rsidR="0053346A">
        <w:rPr>
          <w:rFonts w:ascii="Arial" w:hAnsi="Arial" w:cs="Arial"/>
        </w:rPr>
        <w:t xml:space="preserve">, numeral </w:t>
      </w:r>
      <w:r w:rsidRPr="00781AC2">
        <w:rPr>
          <w:rFonts w:ascii="Arial" w:hAnsi="Arial" w:cs="Arial"/>
        </w:rPr>
        <w:t>5</w:t>
      </w:r>
      <w:r w:rsidR="0053346A">
        <w:rPr>
          <w:rFonts w:ascii="Arial" w:hAnsi="Arial" w:cs="Arial"/>
        </w:rPr>
        <w:t>°</w:t>
      </w:r>
      <w:r w:rsidRPr="00781AC2">
        <w:rPr>
          <w:rFonts w:ascii="Arial" w:hAnsi="Arial" w:cs="Arial"/>
        </w:rPr>
        <w:t xml:space="preserve"> y 11</w:t>
      </w:r>
      <w:r w:rsidR="0053346A">
        <w:rPr>
          <w:rFonts w:ascii="Arial" w:hAnsi="Arial" w:cs="Arial"/>
        </w:rPr>
        <w:t xml:space="preserve">, numeral </w:t>
      </w:r>
      <w:r w:rsidRPr="00781AC2">
        <w:rPr>
          <w:rFonts w:ascii="Arial" w:hAnsi="Arial" w:cs="Arial"/>
        </w:rPr>
        <w:t>8</w:t>
      </w:r>
      <w:r w:rsidR="0053346A">
        <w:rPr>
          <w:rFonts w:ascii="Arial" w:hAnsi="Arial" w:cs="Arial"/>
        </w:rPr>
        <w:t>°</w:t>
      </w:r>
      <w:r w:rsidRPr="00781AC2">
        <w:rPr>
          <w:rFonts w:ascii="Arial" w:hAnsi="Arial" w:cs="Arial"/>
        </w:rPr>
        <w:t xml:space="preserve"> del Decreto Ley 4170 de 2011, la Agencia Nacional de Contratación Pública – Colombia Compra Eficiente resuelve las consultas sobre los asuntos de su competencia, esto es, sobre las temáticas de la contratación estatal y compras públicas relacionadas en los artículos </w:t>
      </w:r>
      <w:r w:rsidRPr="00535BE1">
        <w:rPr>
          <w:rFonts w:ascii="Arial" w:hAnsi="Arial" w:cs="Arial"/>
          <w:lang w:val="es-ES"/>
        </w:rPr>
        <w:t xml:space="preserve">citados. </w:t>
      </w:r>
      <w:r w:rsidRPr="00781AC2">
        <w:rPr>
          <w:rFonts w:ascii="Arial" w:hAnsi="Arial" w:cs="Arial"/>
          <w:lang w:val="es-ES"/>
        </w:rPr>
        <w:t xml:space="preserve">Es necesario tener en cuenta que esta entidad solo tiene competencia para responder solicitudes sobre la </w:t>
      </w:r>
      <w:r>
        <w:rPr>
          <w:rFonts w:ascii="Arial" w:hAnsi="Arial" w:cs="Arial"/>
          <w:lang w:val="es-ES"/>
        </w:rPr>
        <w:t>interpretación</w:t>
      </w:r>
      <w:r w:rsidRPr="00781AC2">
        <w:rPr>
          <w:rFonts w:ascii="Arial" w:hAnsi="Arial" w:cs="Arial"/>
          <w:lang w:val="es-ES"/>
        </w:rPr>
        <w:t xml:space="preserve">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781AC2">
        <w:rPr>
          <w:rFonts w:ascii="Arial" w:hAnsi="Arial" w:cs="Arial"/>
        </w:rPr>
        <w:t xml:space="preserve"> de todos los partícipes de la contratación estatal.</w:t>
      </w:r>
    </w:p>
    <w:p w14:paraId="72638BDD" w14:textId="77777777" w:rsidR="00C87232" w:rsidRPr="006D7E12" w:rsidRDefault="00C87232" w:rsidP="00C87232">
      <w:pPr>
        <w:spacing w:after="120" w:line="276" w:lineRule="auto"/>
        <w:ind w:firstLine="708"/>
        <w:jc w:val="both"/>
        <w:rPr>
          <w:rFonts w:ascii="Arial" w:hAnsi="Arial" w:cs="Arial"/>
          <w:lang w:val="es-ES"/>
        </w:rPr>
      </w:pPr>
      <w:r w:rsidRPr="006D7E12">
        <w:rPr>
          <w:rFonts w:ascii="Arial"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6D7E12">
        <w:rPr>
          <w:rFonts w:ascii="Arial" w:hAnsi="Arial" w:cs="Arial"/>
          <w:vertAlign w:val="superscript"/>
          <w:lang w:val="es-ES"/>
        </w:rPr>
        <w:footnoteReference w:id="2"/>
      </w:r>
      <w:r w:rsidRPr="006D7E12">
        <w:rPr>
          <w:rFonts w:ascii="Arial" w:hAnsi="Arial" w:cs="Arial"/>
          <w:lang w:val="es-ES"/>
        </w:rPr>
        <w:t>. Esta competencia de interpretación de normas generales, por definición, no puede extenderse a la resolución de controversias</w:t>
      </w:r>
      <w:r>
        <w:rPr>
          <w:rFonts w:ascii="Arial" w:hAnsi="Arial" w:cs="Arial"/>
          <w:lang w:val="es-ES"/>
        </w:rPr>
        <w:t xml:space="preserve"> ni</w:t>
      </w:r>
      <w:r w:rsidRPr="006D7E12">
        <w:rPr>
          <w:rFonts w:ascii="Arial" w:hAnsi="Arial" w:cs="Arial"/>
          <w:lang w:val="es-ES"/>
        </w:rPr>
        <w:t xml:space="preserve"> brindar asesorías sobre casos puntuales. Por lo anterior, previo concepto de sus órganos asesores, la solución de estos temas </w:t>
      </w:r>
      <w:r w:rsidRPr="00642EB6">
        <w:rPr>
          <w:rFonts w:ascii="Arial" w:hAnsi="Arial" w:cs="Arial"/>
          <w:u w:val="single"/>
          <w:lang w:val="es-ES"/>
        </w:rPr>
        <w:t>corresponde a la entidad de adoptar la decisión correspondiente</w:t>
      </w:r>
      <w:r w:rsidRPr="006D7E12">
        <w:rPr>
          <w:rFonts w:ascii="Arial" w:hAnsi="Arial" w:cs="Arial"/>
          <w:lang w:val="es-ES"/>
        </w:rPr>
        <w:t xml:space="preserve"> y, en caso de conflicto, a las </w:t>
      </w:r>
      <w:r w:rsidRPr="00642EB6">
        <w:rPr>
          <w:rFonts w:ascii="Arial" w:hAnsi="Arial" w:cs="Arial"/>
          <w:u w:val="single"/>
          <w:lang w:val="es-ES"/>
        </w:rPr>
        <w:t>autoridades judiciales, fiscales y disciplinarias</w:t>
      </w:r>
      <w:r w:rsidRPr="006D7E12">
        <w:rPr>
          <w:rFonts w:ascii="Arial" w:hAnsi="Arial" w:cs="Arial"/>
          <w:lang w:val="es-ES"/>
        </w:rPr>
        <w:t xml:space="preserve">. De esta manera, le corresponderá a cada entidad definir la viabilidad técnica, jurídica y financiera de </w:t>
      </w:r>
      <w:r>
        <w:rPr>
          <w:rFonts w:ascii="Arial" w:hAnsi="Arial" w:cs="Arial"/>
          <w:lang w:val="es-ES"/>
        </w:rPr>
        <w:t>adelantar alguna gestión contractual en específico</w:t>
      </w:r>
      <w:r w:rsidRPr="006D7E12">
        <w:rPr>
          <w:rFonts w:ascii="Arial" w:hAnsi="Arial" w:cs="Arial"/>
          <w:lang w:val="es-ES"/>
        </w:rPr>
        <w:t>.</w:t>
      </w:r>
    </w:p>
    <w:p w14:paraId="6FF9A37B" w14:textId="18B6134E" w:rsidR="00C87232" w:rsidRPr="009D3976" w:rsidRDefault="00C87232" w:rsidP="00C87232">
      <w:pPr>
        <w:spacing w:line="276" w:lineRule="auto"/>
        <w:ind w:firstLine="708"/>
        <w:jc w:val="both"/>
        <w:rPr>
          <w:rFonts w:ascii="Arial" w:hAnsi="Arial" w:cs="Arial"/>
          <w:color w:val="000000" w:themeColor="text1"/>
          <w:lang w:val="es-ES"/>
        </w:rPr>
      </w:pPr>
      <w:r w:rsidRPr="00781AC2">
        <w:rPr>
          <w:rFonts w:ascii="Arial" w:hAnsi="Arial" w:cs="Arial"/>
        </w:rPr>
        <w:t xml:space="preserve">Sin perjuicio de lo anterior, la Subdirección –dentro de los límites de sus atribuciones, resolverá la consulta conforme a las normas generales en materia de contratación estatal. Con este objetivo se </w:t>
      </w:r>
      <w:r>
        <w:rPr>
          <w:rFonts w:ascii="Arial" w:hAnsi="Arial" w:cs="Arial"/>
        </w:rPr>
        <w:t>abordarán</w:t>
      </w:r>
      <w:r w:rsidRPr="00781AC2">
        <w:rPr>
          <w:rFonts w:ascii="Arial" w:hAnsi="Arial" w:cs="Arial"/>
        </w:rPr>
        <w:t xml:space="preserve"> </w:t>
      </w:r>
      <w:r w:rsidRPr="00781AC2">
        <w:rPr>
          <w:rFonts w:ascii="Arial" w:eastAsia="Calibri" w:hAnsi="Arial" w:cs="Arial"/>
          <w:lang w:val="es-ES"/>
        </w:rPr>
        <w:t>los siguientes temas</w:t>
      </w:r>
      <w:r w:rsidRPr="00504597">
        <w:rPr>
          <w:rFonts w:ascii="Arial" w:hAnsi="Arial" w:cs="Arial"/>
          <w:color w:val="000000" w:themeColor="text1"/>
          <w:lang w:val="es-ES"/>
        </w:rPr>
        <w:t xml:space="preserve">:  </w:t>
      </w:r>
      <w:r w:rsidRPr="00C461A7">
        <w:rPr>
          <w:rFonts w:ascii="Arial" w:hAnsi="Arial" w:cs="Arial"/>
          <w:color w:val="000000" w:themeColor="text1"/>
          <w:lang w:val="es-ES"/>
        </w:rPr>
        <w:t>i) régimen de inhabilidades e incompatibilidades para contratar con el Estado</w:t>
      </w:r>
      <w:r w:rsidR="0017080A">
        <w:rPr>
          <w:rFonts w:ascii="Arial" w:hAnsi="Arial" w:cs="Arial"/>
          <w:color w:val="000000" w:themeColor="text1"/>
          <w:lang w:val="es-ES"/>
        </w:rPr>
        <w:t xml:space="preserve"> </w:t>
      </w:r>
      <w:r w:rsidR="00870183">
        <w:rPr>
          <w:rFonts w:ascii="Arial" w:hAnsi="Arial" w:cs="Arial"/>
          <w:color w:val="000000" w:themeColor="text1"/>
          <w:lang w:val="es-ES"/>
        </w:rPr>
        <w:t xml:space="preserve">y </w:t>
      </w:r>
      <w:r w:rsidR="008E340A">
        <w:rPr>
          <w:rFonts w:ascii="Arial" w:hAnsi="Arial" w:cs="Arial"/>
          <w:color w:val="000000" w:themeColor="text1"/>
          <w:lang w:val="es-ES"/>
        </w:rPr>
        <w:t xml:space="preserve">ii) apreciaciones </w:t>
      </w:r>
      <w:r w:rsidR="003C243A">
        <w:rPr>
          <w:rFonts w:ascii="Arial" w:hAnsi="Arial" w:cs="Arial"/>
          <w:color w:val="000000" w:themeColor="text1"/>
          <w:lang w:val="es-ES"/>
        </w:rPr>
        <w:t xml:space="preserve">generales sobre las </w:t>
      </w:r>
      <w:r w:rsidR="00556683">
        <w:rPr>
          <w:rFonts w:ascii="Arial" w:hAnsi="Arial" w:cs="Arial"/>
          <w:color w:val="000000" w:themeColor="text1"/>
          <w:lang w:val="es-ES"/>
        </w:rPr>
        <w:t xml:space="preserve">sociedades comerciales y las </w:t>
      </w:r>
      <w:r w:rsidR="008468FA">
        <w:rPr>
          <w:rFonts w:ascii="Arial" w:hAnsi="Arial" w:cs="Arial"/>
          <w:color w:val="000000" w:themeColor="text1"/>
          <w:lang w:val="es-ES"/>
        </w:rPr>
        <w:t xml:space="preserve">entidades sin ánimo de lucro </w:t>
      </w:r>
      <w:bookmarkStart w:id="4" w:name="_Hlk141034255"/>
      <w:r w:rsidR="008468FA">
        <w:rPr>
          <w:rFonts w:ascii="Arial" w:eastAsia="Calibri" w:hAnsi="Arial" w:cs="Arial"/>
          <w:color w:val="000000" w:themeColor="text1"/>
          <w:lang w:val="es-ES"/>
        </w:rPr>
        <w:t>–</w:t>
      </w:r>
      <w:bookmarkEnd w:id="4"/>
      <w:r w:rsidR="008468FA">
        <w:rPr>
          <w:rFonts w:ascii="Arial" w:hAnsi="Arial" w:cs="Arial"/>
          <w:color w:val="000000" w:themeColor="text1"/>
          <w:lang w:val="es-ES"/>
        </w:rPr>
        <w:t>ESAL</w:t>
      </w:r>
      <w:r w:rsidR="008468FA">
        <w:rPr>
          <w:rFonts w:ascii="Arial" w:eastAsia="Calibri" w:hAnsi="Arial" w:cs="Arial"/>
          <w:color w:val="000000" w:themeColor="text1"/>
          <w:lang w:val="es-ES"/>
        </w:rPr>
        <w:t>–</w:t>
      </w:r>
      <w:r w:rsidRPr="00C461A7">
        <w:rPr>
          <w:rFonts w:ascii="Arial" w:hAnsi="Arial" w:cs="Arial"/>
          <w:color w:val="000000" w:themeColor="text1"/>
          <w:lang w:val="es-MX"/>
        </w:rPr>
        <w:t>.</w:t>
      </w:r>
      <w:r w:rsidRPr="00C461A7">
        <w:rPr>
          <w:rFonts w:ascii="Arial" w:hAnsi="Arial" w:cs="Arial"/>
          <w:color w:val="000000" w:themeColor="text1"/>
          <w:lang w:val="es-ES"/>
        </w:rPr>
        <w:t xml:space="preserve"> </w:t>
      </w:r>
      <w:r w:rsidR="00812BA6">
        <w:rPr>
          <w:rFonts w:ascii="Arial" w:hAnsi="Arial" w:cs="Arial"/>
          <w:color w:val="000000" w:themeColor="text1"/>
          <w:lang w:val="es-ES"/>
        </w:rPr>
        <w:t xml:space="preserve"> </w:t>
      </w:r>
    </w:p>
    <w:p w14:paraId="57018BCF" w14:textId="1D8FC110" w:rsidR="00C87232" w:rsidRDefault="00C87232" w:rsidP="00C72540">
      <w:pPr>
        <w:spacing w:before="120" w:after="0" w:line="276" w:lineRule="auto"/>
        <w:ind w:firstLine="709"/>
        <w:jc w:val="both"/>
        <w:rPr>
          <w:rFonts w:ascii="Arial" w:eastAsia="Calibri" w:hAnsi="Arial" w:cs="Arial"/>
          <w:color w:val="000000" w:themeColor="text1"/>
          <w:lang w:val="es-ES_tradnl"/>
        </w:rPr>
      </w:pPr>
      <w:r w:rsidRPr="00504597">
        <w:rPr>
          <w:rFonts w:ascii="Arial" w:eastAsia="Calibri" w:hAnsi="Arial" w:cs="Arial"/>
          <w:color w:val="000000" w:themeColor="text1"/>
          <w:lang w:val="es-ES"/>
        </w:rPr>
        <w:t xml:space="preserve">La Agencia Nacional de Contratación Pública </w:t>
      </w:r>
      <w:bookmarkStart w:id="5" w:name="_Hlk141034244"/>
      <w:r>
        <w:rPr>
          <w:rFonts w:ascii="Arial" w:eastAsia="Calibri" w:hAnsi="Arial" w:cs="Arial"/>
          <w:color w:val="000000" w:themeColor="text1"/>
          <w:lang w:val="es-ES"/>
        </w:rPr>
        <w:t>–</w:t>
      </w:r>
      <w:bookmarkEnd w:id="5"/>
      <w:r w:rsidRPr="00504597">
        <w:rPr>
          <w:rFonts w:ascii="Arial" w:eastAsia="Calibri" w:hAnsi="Arial" w:cs="Arial"/>
          <w:color w:val="000000" w:themeColor="text1"/>
          <w:lang w:val="es-ES"/>
        </w:rPr>
        <w:t xml:space="preserve"> Colombia Compra Eficiente,</w:t>
      </w:r>
      <w:r>
        <w:rPr>
          <w:rFonts w:ascii="Arial" w:eastAsia="Calibri" w:hAnsi="Arial" w:cs="Arial"/>
          <w:color w:val="000000" w:themeColor="text1"/>
          <w:lang w:val="es-ES"/>
        </w:rPr>
        <w:t xml:space="preserve"> </w:t>
      </w:r>
      <w:r w:rsidRPr="00504597">
        <w:rPr>
          <w:rFonts w:ascii="Arial" w:eastAsia="Calibri" w:hAnsi="Arial" w:cs="Arial"/>
          <w:color w:val="000000" w:themeColor="text1"/>
          <w:lang w:val="es-ES"/>
        </w:rPr>
        <w:t xml:space="preserve">en los </w:t>
      </w:r>
      <w:r>
        <w:rPr>
          <w:rFonts w:ascii="Arial" w:eastAsia="Calibri" w:hAnsi="Arial" w:cs="Arial"/>
          <w:color w:val="000000" w:themeColor="text1"/>
          <w:lang w:val="es-ES"/>
        </w:rPr>
        <w:t>C</w:t>
      </w:r>
      <w:r w:rsidRPr="00504597">
        <w:rPr>
          <w:rFonts w:ascii="Arial" w:eastAsia="Calibri" w:hAnsi="Arial" w:cs="Arial"/>
          <w:color w:val="000000" w:themeColor="text1"/>
          <w:lang w:val="es-ES"/>
        </w:rPr>
        <w:t>onceptos</w:t>
      </w:r>
      <w:r>
        <w:rPr>
          <w:rFonts w:ascii="Arial" w:eastAsia="Calibri" w:hAnsi="Arial" w:cs="Arial"/>
          <w:color w:val="000000" w:themeColor="text1"/>
          <w:lang w:val="es-ES"/>
        </w:rPr>
        <w:t xml:space="preserve"> </w:t>
      </w:r>
      <w:r w:rsidRPr="00DE7E6D">
        <w:rPr>
          <w:rFonts w:ascii="Arial" w:eastAsia="Calibri" w:hAnsi="Arial" w:cs="Arial"/>
          <w:color w:val="000000" w:themeColor="text1"/>
          <w:lang w:val="es-MX"/>
        </w:rPr>
        <w:t>4201912000004765 de 29 de agosto de 2019, 4201913000005694 del 3 de octubre de 2019, 4201912000006288 del 7 de septiembre de 2019, 4201912000006259 del 13 de noviembre de 2019, 4201913000006917 del 21 de noviembre de 2019, 4201912000006978 del 25 de noviembre de 2019, 4201912000007291 del 3 de diciembre de 2019, 4201912000007281 del 5 de diciembre de 2019, 4201912000007060 del 11 de diciembre de 2019, 4201912000007512 del 16  diciembre de 2019, 4201912000008460 del 14 de febrero de 2020</w:t>
      </w:r>
      <w:r>
        <w:rPr>
          <w:rFonts w:ascii="Arial" w:eastAsia="Calibri" w:hAnsi="Arial" w:cs="Arial"/>
          <w:color w:val="000000" w:themeColor="text1"/>
          <w:lang w:val="es-MX"/>
        </w:rPr>
        <w:t xml:space="preserve">, </w:t>
      </w:r>
      <w:r w:rsidRPr="00CC107C">
        <w:rPr>
          <w:rFonts w:ascii="Arial" w:eastAsia="Calibri" w:hAnsi="Arial" w:cs="Arial"/>
          <w:color w:val="000000" w:themeColor="text1"/>
          <w:lang w:val="es-ES_tradnl"/>
        </w:rPr>
        <w:t>C</w:t>
      </w:r>
      <w:r>
        <w:rPr>
          <w:rFonts w:ascii="Arial" w:eastAsia="Calibri" w:hAnsi="Arial" w:cs="Arial"/>
          <w:color w:val="000000" w:themeColor="text1"/>
          <w:lang w:val="es-ES_tradnl"/>
        </w:rPr>
        <w:t>-</w:t>
      </w:r>
      <w:r w:rsidRPr="00CC107C">
        <w:rPr>
          <w:rFonts w:ascii="Arial" w:eastAsia="Calibri" w:hAnsi="Arial" w:cs="Arial"/>
          <w:color w:val="000000" w:themeColor="text1"/>
          <w:lang w:val="es-ES_tradnl"/>
        </w:rPr>
        <w:t xml:space="preserve">032 del 19 de febrero de 2020, C-090 del 24 de febrero de 2020, C-125 del 3 de marzo de 2020, C-157 del 17 de marzo de 2020, C-273 del 21 de mayo de 2020, C-386 del 24 de julio de 2020, C-580 del 21 de septiembre de 2020, C-639 del 27 de octubre del 2020, C-650 del 10 de </w:t>
      </w:r>
      <w:r w:rsidRPr="00CC107C">
        <w:rPr>
          <w:rFonts w:ascii="Arial" w:eastAsia="Calibri" w:hAnsi="Arial" w:cs="Arial"/>
          <w:color w:val="000000" w:themeColor="text1"/>
          <w:lang w:val="es-ES_tradnl"/>
        </w:rPr>
        <w:lastRenderedPageBreak/>
        <w:t>noviembre de 2020, C-684 del 24 de noviembre de 2020 C-004 del 12 de febrero de 2021, C-815 del 18 de febrero de 2021, C-210 del 12 de mayo de 2021, C-275 del 11 de junio de 2021, C-321 del 2 de julio de 2021, C-410 del 7 de julio del 2021</w:t>
      </w:r>
      <w:r>
        <w:rPr>
          <w:rFonts w:ascii="Arial" w:eastAsia="Calibri" w:hAnsi="Arial" w:cs="Arial"/>
          <w:color w:val="000000" w:themeColor="text1"/>
          <w:lang w:val="es-ES_tradnl"/>
        </w:rPr>
        <w:t xml:space="preserve">, </w:t>
      </w:r>
      <w:r w:rsidRPr="00CC107C">
        <w:rPr>
          <w:rFonts w:ascii="Arial" w:eastAsia="Calibri" w:hAnsi="Arial" w:cs="Arial"/>
          <w:color w:val="000000" w:themeColor="text1"/>
          <w:lang w:val="es-ES_tradnl"/>
        </w:rPr>
        <w:t>C-491 del 14 de septiembre de 2021</w:t>
      </w:r>
      <w:r>
        <w:rPr>
          <w:rFonts w:ascii="Arial" w:eastAsia="Calibri" w:hAnsi="Arial" w:cs="Arial"/>
          <w:color w:val="000000" w:themeColor="text1"/>
          <w:lang w:val="es-ES_tradnl"/>
        </w:rPr>
        <w:t xml:space="preserve">, </w:t>
      </w:r>
      <w:r w:rsidRPr="00CC107C">
        <w:rPr>
          <w:rFonts w:ascii="Arial" w:eastAsia="Calibri" w:hAnsi="Arial" w:cs="Arial"/>
          <w:color w:val="000000" w:themeColor="text1"/>
          <w:lang w:val="es-ES"/>
        </w:rPr>
        <w:t xml:space="preserve">C-028 del 28 de febrero de 2022, C-318 del 18 de mayo de 2022 </w:t>
      </w:r>
      <w:r w:rsidR="00563FD4">
        <w:rPr>
          <w:rFonts w:ascii="Arial" w:eastAsia="Calibri" w:hAnsi="Arial" w:cs="Arial"/>
          <w:color w:val="000000" w:themeColor="text1"/>
          <w:lang w:val="es-ES"/>
        </w:rPr>
        <w:t xml:space="preserve">, </w:t>
      </w:r>
      <w:r w:rsidRPr="00CC107C">
        <w:rPr>
          <w:rFonts w:ascii="Arial" w:eastAsia="Calibri" w:hAnsi="Arial" w:cs="Arial"/>
          <w:color w:val="000000" w:themeColor="text1"/>
          <w:lang w:val="es-ES"/>
        </w:rPr>
        <w:t>C-252 del 30 de mayo de 2022</w:t>
      </w:r>
      <w:r w:rsidR="00563FD4">
        <w:rPr>
          <w:rFonts w:ascii="Arial" w:eastAsia="Calibri" w:hAnsi="Arial" w:cs="Arial"/>
          <w:color w:val="000000" w:themeColor="text1"/>
          <w:lang w:val="es-ES"/>
        </w:rPr>
        <w:t xml:space="preserve"> y C-</w:t>
      </w:r>
      <w:r w:rsidR="00BE505F">
        <w:rPr>
          <w:rFonts w:ascii="Arial" w:eastAsia="Calibri" w:hAnsi="Arial" w:cs="Arial"/>
          <w:color w:val="000000" w:themeColor="text1"/>
          <w:lang w:val="es-ES"/>
        </w:rPr>
        <w:t>175</w:t>
      </w:r>
      <w:r w:rsidR="00983942">
        <w:rPr>
          <w:rFonts w:ascii="Arial" w:eastAsia="Calibri" w:hAnsi="Arial" w:cs="Arial"/>
          <w:color w:val="000000" w:themeColor="text1"/>
          <w:lang w:val="es-ES"/>
        </w:rPr>
        <w:t xml:space="preserve"> del </w:t>
      </w:r>
      <w:r w:rsidR="001A330B">
        <w:rPr>
          <w:rFonts w:ascii="Arial" w:eastAsia="Calibri" w:hAnsi="Arial" w:cs="Arial"/>
          <w:color w:val="000000" w:themeColor="text1"/>
          <w:lang w:val="es-ES"/>
        </w:rPr>
        <w:t>4 de mayo de 2023</w:t>
      </w:r>
      <w:r>
        <w:rPr>
          <w:rFonts w:ascii="Arial" w:eastAsia="Calibri" w:hAnsi="Arial" w:cs="Arial"/>
          <w:color w:val="000000" w:themeColor="text1"/>
          <w:lang w:val="es-ES"/>
        </w:rPr>
        <w:t xml:space="preserve">, </w:t>
      </w:r>
      <w:r w:rsidRPr="00504597">
        <w:rPr>
          <w:rFonts w:ascii="Arial" w:eastAsia="Calibri" w:hAnsi="Arial" w:cs="Arial"/>
          <w:color w:val="000000" w:themeColor="text1"/>
          <w:lang w:val="es-ES"/>
        </w:rPr>
        <w:t xml:space="preserve">analizó </w:t>
      </w:r>
      <w:r>
        <w:rPr>
          <w:rFonts w:ascii="Arial" w:eastAsia="Calibri" w:hAnsi="Arial" w:cs="Arial"/>
          <w:color w:val="000000" w:themeColor="text1"/>
          <w:lang w:val="es-ES"/>
        </w:rPr>
        <w:t xml:space="preserve">los </w:t>
      </w:r>
      <w:r w:rsidR="0096762D">
        <w:rPr>
          <w:rFonts w:ascii="Arial" w:eastAsia="Calibri" w:hAnsi="Arial" w:cs="Arial"/>
          <w:color w:val="000000" w:themeColor="text1"/>
          <w:lang w:val="es-ES"/>
        </w:rPr>
        <w:t>aspectos</w:t>
      </w:r>
      <w:r>
        <w:rPr>
          <w:rFonts w:ascii="Arial" w:eastAsia="Calibri" w:hAnsi="Arial" w:cs="Arial"/>
          <w:color w:val="000000" w:themeColor="text1"/>
          <w:lang w:val="es-ES"/>
        </w:rPr>
        <w:t xml:space="preserve"> generales del régimen de inhabilidades e incompatibilidades en la contratación estatal</w:t>
      </w:r>
      <w:r w:rsidRPr="00781AC2">
        <w:rPr>
          <w:rStyle w:val="Refdenotaalpie"/>
          <w:rFonts w:ascii="Arial" w:eastAsia="Calibri" w:hAnsi="Arial" w:cs="Arial"/>
        </w:rPr>
        <w:footnoteReference w:id="3"/>
      </w:r>
      <w:r w:rsidRPr="00504597">
        <w:rPr>
          <w:rFonts w:ascii="Arial" w:eastAsia="Calibri" w:hAnsi="Arial" w:cs="Arial"/>
          <w:color w:val="000000" w:themeColor="text1"/>
          <w:lang w:val="es-ES"/>
        </w:rPr>
        <w:t xml:space="preserve">. </w:t>
      </w:r>
      <w:r w:rsidRPr="00504597">
        <w:rPr>
          <w:rFonts w:ascii="Arial" w:eastAsia="Calibri" w:hAnsi="Arial" w:cs="Arial"/>
          <w:color w:val="000000" w:themeColor="text1"/>
          <w:lang w:val="es-ES_tradnl"/>
        </w:rPr>
        <w:t>La tesis propuesta en estos conceptos se reitera a continuación</w:t>
      </w:r>
      <w:r w:rsidR="00F51E27">
        <w:rPr>
          <w:rFonts w:ascii="Arial" w:eastAsia="Calibri" w:hAnsi="Arial" w:cs="Arial"/>
          <w:color w:val="000000" w:themeColor="text1"/>
          <w:lang w:val="es-ES_tradnl"/>
        </w:rPr>
        <w:t>.</w:t>
      </w:r>
    </w:p>
    <w:p w14:paraId="6CBDFEB9" w14:textId="77777777" w:rsidR="00C72540" w:rsidRDefault="00C72540" w:rsidP="00660381">
      <w:pPr>
        <w:spacing w:after="0" w:line="276" w:lineRule="auto"/>
        <w:ind w:firstLine="709"/>
        <w:jc w:val="both"/>
        <w:rPr>
          <w:rFonts w:ascii="Arial" w:eastAsia="Calibri" w:hAnsi="Arial" w:cs="Arial"/>
          <w:color w:val="000000" w:themeColor="text1"/>
          <w:lang w:val="es-ES_tradnl"/>
        </w:rPr>
      </w:pPr>
    </w:p>
    <w:p w14:paraId="2C80A200" w14:textId="28552ED5" w:rsidR="00F51E27" w:rsidRDefault="00F51E27" w:rsidP="00660381">
      <w:pPr>
        <w:spacing w:after="0" w:line="276" w:lineRule="auto"/>
        <w:jc w:val="both"/>
        <w:rPr>
          <w:rFonts w:ascii="Arial" w:hAnsi="Arial" w:cs="Arial"/>
          <w:b/>
          <w:bCs/>
          <w:color w:val="000000" w:themeColor="text1"/>
          <w:lang w:val="es-ES"/>
        </w:rPr>
      </w:pPr>
      <w:r w:rsidRPr="00660381">
        <w:rPr>
          <w:rFonts w:ascii="Arial" w:eastAsia="Calibri" w:hAnsi="Arial" w:cs="Arial"/>
          <w:b/>
          <w:bCs/>
          <w:color w:val="000000" w:themeColor="text1"/>
          <w:lang w:val="es-ES_tradnl"/>
        </w:rPr>
        <w:t xml:space="preserve">2.1. </w:t>
      </w:r>
      <w:r w:rsidRPr="00660381">
        <w:rPr>
          <w:rFonts w:ascii="Arial" w:hAnsi="Arial" w:cs="Arial"/>
          <w:b/>
          <w:bCs/>
          <w:color w:val="000000" w:themeColor="text1"/>
          <w:lang w:val="es-ES"/>
        </w:rPr>
        <w:t>Régimen de inhabilidades e incompatibilidades para contratar con el Estado</w:t>
      </w:r>
    </w:p>
    <w:p w14:paraId="37E188DC" w14:textId="77777777" w:rsidR="009B3AB1" w:rsidRPr="00660381" w:rsidRDefault="009B3AB1" w:rsidP="00660381">
      <w:pPr>
        <w:spacing w:after="0" w:line="276" w:lineRule="auto"/>
        <w:jc w:val="both"/>
        <w:rPr>
          <w:rFonts w:ascii="Arial" w:eastAsia="Calibri" w:hAnsi="Arial" w:cs="Arial"/>
          <w:b/>
          <w:bCs/>
          <w:color w:val="000000" w:themeColor="text1"/>
          <w:lang w:val="es-ES_tradnl"/>
        </w:rPr>
      </w:pPr>
    </w:p>
    <w:p w14:paraId="715D7437" w14:textId="77777777" w:rsidR="00C87232" w:rsidRPr="003953CA" w:rsidRDefault="00C87232" w:rsidP="00660381">
      <w:pPr>
        <w:pStyle w:val="Sinespaciado"/>
        <w:spacing w:after="120" w:line="276" w:lineRule="auto"/>
        <w:jc w:val="both"/>
        <w:rPr>
          <w:rFonts w:ascii="Arial" w:hAnsi="Arial" w:cs="Arial"/>
          <w:sz w:val="22"/>
        </w:rPr>
      </w:pPr>
      <w:r w:rsidRPr="003D2C09">
        <w:rPr>
          <w:rFonts w:ascii="Arial" w:hAnsi="Arial" w:cs="Arial"/>
          <w:sz w:val="22"/>
        </w:rPr>
        <w:t>L</w:t>
      </w:r>
      <w:r w:rsidRPr="003953CA">
        <w:rPr>
          <w:rFonts w:ascii="Arial" w:hAnsi="Arial" w:cs="Arial"/>
          <w:sz w:val="22"/>
        </w:rPr>
        <w:t xml:space="preserve">as inhabilidades son circunstancias establecidas por la Constitución o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  </w:t>
      </w:r>
    </w:p>
    <w:p w14:paraId="29405107" w14:textId="77777777" w:rsidR="00C87232" w:rsidRDefault="00C87232" w:rsidP="00C87232">
      <w:pPr>
        <w:spacing w:line="276" w:lineRule="auto"/>
        <w:ind w:firstLine="709"/>
        <w:jc w:val="both"/>
        <w:rPr>
          <w:rFonts w:ascii="Arial" w:hAnsi="Arial" w:cs="Arial"/>
        </w:rPr>
      </w:pPr>
      <w:r w:rsidRPr="003953CA">
        <w:rPr>
          <w:rFonts w:ascii="Arial" w:hAnsi="Arial" w:cs="Arial"/>
        </w:rPr>
        <w:t xml:space="preserve">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 En esta medida, la Corte Constitucional explica que </w:t>
      </w:r>
      <w:r>
        <w:rPr>
          <w:rFonts w:ascii="Arial" w:hAnsi="Arial" w:cs="Arial"/>
        </w:rPr>
        <w:t>“</w:t>
      </w:r>
      <w:r w:rsidRPr="003953CA">
        <w:rPr>
          <w:rFonts w:ascii="Arial" w:hAnsi="Arial" w:cs="Arial"/>
        </w:rPr>
        <w:t>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r>
        <w:rPr>
          <w:rFonts w:ascii="Arial" w:hAnsi="Arial" w:cs="Arial"/>
        </w:rPr>
        <w:t>”</w:t>
      </w:r>
      <w:r>
        <w:rPr>
          <w:rStyle w:val="Refdenotaalpie"/>
          <w:rFonts w:ascii="Arial" w:hAnsi="Arial" w:cs="Arial"/>
        </w:rPr>
        <w:footnoteReference w:id="4"/>
      </w:r>
      <w:r>
        <w:rPr>
          <w:rFonts w:ascii="Arial" w:hAnsi="Arial" w:cs="Arial"/>
        </w:rPr>
        <w:t>.</w:t>
      </w:r>
    </w:p>
    <w:p w14:paraId="23713483" w14:textId="77777777" w:rsidR="00C87232" w:rsidRPr="00B60131" w:rsidRDefault="00C87232" w:rsidP="00C87232">
      <w:pPr>
        <w:pStyle w:val="Sinespaciado"/>
        <w:spacing w:before="120" w:line="276" w:lineRule="auto"/>
        <w:ind w:firstLine="709"/>
        <w:jc w:val="both"/>
        <w:rPr>
          <w:rFonts w:ascii="Arial" w:hAnsi="Arial" w:cs="Arial"/>
          <w:sz w:val="22"/>
        </w:rPr>
      </w:pPr>
      <w:r w:rsidRPr="00B60131">
        <w:rPr>
          <w:rFonts w:ascii="Arial" w:hAnsi="Arial" w:cs="Arial"/>
          <w:sz w:val="22"/>
        </w:rPr>
        <w:t xml:space="preserve">La consagración limitaciones que afectan la capacidad jurídica para contratar desarrolla los principios de la función administrativa consagrados en el artículo 209 de la Constitución Política, con especial énfasis el de moralidad. Así lo entiende el Consejo de Estado: </w:t>
      </w:r>
    </w:p>
    <w:p w14:paraId="48F85D8E" w14:textId="77777777" w:rsidR="00C87232" w:rsidRPr="00B60131" w:rsidRDefault="00C87232" w:rsidP="00C87232">
      <w:pPr>
        <w:pStyle w:val="Sinespaciado"/>
        <w:spacing w:line="276" w:lineRule="auto"/>
        <w:jc w:val="both"/>
        <w:rPr>
          <w:rFonts w:ascii="Arial" w:hAnsi="Arial" w:cs="Arial"/>
          <w:sz w:val="22"/>
        </w:rPr>
      </w:pPr>
    </w:p>
    <w:p w14:paraId="7B29F3DD" w14:textId="168B702B" w:rsidR="00C87232" w:rsidRDefault="009B3AB1" w:rsidP="00C87232">
      <w:pPr>
        <w:pStyle w:val="NormalWeb"/>
        <w:shd w:val="clear" w:color="auto" w:fill="FFFFFF"/>
        <w:spacing w:before="0" w:beforeAutospacing="0" w:after="120" w:afterAutospacing="0"/>
        <w:ind w:left="709" w:right="709"/>
        <w:jc w:val="both"/>
        <w:rPr>
          <w:rFonts w:ascii="Arial" w:eastAsiaTheme="minorHAnsi" w:hAnsi="Arial" w:cs="Arial"/>
          <w:sz w:val="21"/>
          <w:szCs w:val="21"/>
          <w:lang w:val="es-ES" w:eastAsia="en-US"/>
        </w:rPr>
      </w:pPr>
      <w:r>
        <w:rPr>
          <w:rFonts w:ascii="Arial" w:eastAsiaTheme="minorHAnsi" w:hAnsi="Arial" w:cs="Arial"/>
          <w:sz w:val="21"/>
          <w:szCs w:val="21"/>
          <w:lang w:val="es-ES" w:eastAsia="en-US"/>
        </w:rPr>
        <w:t>“</w:t>
      </w:r>
      <w:r w:rsidR="00C87232" w:rsidRPr="00B60131">
        <w:rPr>
          <w:rFonts w:ascii="Arial" w:eastAsiaTheme="minorHAnsi" w:hAnsi="Arial" w:cs="Arial"/>
          <w:sz w:val="21"/>
          <w:szCs w:val="21"/>
          <w:lang w:val="es-ES" w:eastAsia="en-US"/>
        </w:rPr>
        <w:t>De manera primordial en esta reflexión debe advertirse que la consagración legal de las incompatibilidades e inhabilidades en materia contractual, no es sino desarrollo del Principio de Moralidad que la Constitución Política consagra como uno de los rectores de la Función Administrativa, instituido en el artículo 209 de la Carta, toda vez que este Principio –en su carácter jurídico, ordenador y orientador del derecho– constituye la Finalidad, el Deber Ser, la Razón de Primer Orden en la cual se inspira, justifica y legitima la existencia de las normas que definen y regulan las inhabilidades e incompatibilidades.</w:t>
      </w:r>
    </w:p>
    <w:p w14:paraId="137D58FA" w14:textId="443B3A27" w:rsidR="00C87232" w:rsidRDefault="00C87232" w:rsidP="00C87232">
      <w:pPr>
        <w:pStyle w:val="NormalWeb"/>
        <w:shd w:val="clear" w:color="auto" w:fill="FFFFFF"/>
        <w:spacing w:before="0" w:beforeAutospacing="0" w:after="0" w:afterAutospacing="0"/>
        <w:ind w:left="709" w:right="709"/>
        <w:jc w:val="both"/>
        <w:rPr>
          <w:rFonts w:ascii="Arial" w:eastAsiaTheme="minorHAnsi" w:hAnsi="Arial" w:cs="Arial"/>
          <w:sz w:val="21"/>
          <w:szCs w:val="21"/>
          <w:lang w:val="es-ES" w:eastAsia="en-US"/>
        </w:rPr>
      </w:pPr>
      <w:r w:rsidRPr="00B60131">
        <w:rPr>
          <w:rFonts w:ascii="Arial" w:eastAsiaTheme="minorHAnsi" w:hAnsi="Arial" w:cs="Arial"/>
          <w:sz w:val="21"/>
          <w:szCs w:val="21"/>
          <w:lang w:val="es-ES" w:eastAsia="en-US"/>
        </w:rPr>
        <w:t xml:space="preserve">Adicionalmente, toda vez que la Jurisprudencia Constitucional se ha referido a la protección del Interés General como causa que legitima la estructuración legal de las incompatibilidades e inhabilidades, se puede precisar que la regulación de sus </w:t>
      </w:r>
      <w:r w:rsidRPr="00B60131">
        <w:rPr>
          <w:rFonts w:ascii="Arial" w:eastAsiaTheme="minorHAnsi" w:hAnsi="Arial" w:cs="Arial"/>
          <w:sz w:val="21"/>
          <w:szCs w:val="21"/>
          <w:lang w:val="es-ES" w:eastAsia="en-US"/>
        </w:rPr>
        <w:lastRenderedPageBreak/>
        <w:t>causales para contratar con el Estado debe orientarse por el Principio de Moralidad que obviamente –como es propio de todos los Principios de la Función Administrativa– se despliega ordenado con base en la protección</w:t>
      </w:r>
      <w:r w:rsidRPr="003953CA">
        <w:rPr>
          <w:rFonts w:ascii="Arial" w:eastAsiaTheme="minorHAnsi" w:hAnsi="Arial" w:cs="Arial"/>
          <w:sz w:val="21"/>
          <w:szCs w:val="21"/>
          <w:lang w:val="es-ES" w:eastAsia="en-US"/>
        </w:rPr>
        <w:t xml:space="preserve"> prevalente del interés general y, por ello, se entiende que la potestad de configuración legislativa en materia de incompatibilidades e inhabilidades para contratar con el Estado puede concretarse a través de una regla de carácter excluyente para determinados potenciales contratistas, la cual se impone entonces por razón de ese fin de interés general como regla legal prevalente, esto es que puede ser impuesta sobre el derecho individual a contratar con el Estado</w:t>
      </w:r>
      <w:r w:rsidR="009B3AB1">
        <w:rPr>
          <w:rFonts w:ascii="Arial" w:eastAsiaTheme="minorHAnsi" w:hAnsi="Arial" w:cs="Arial"/>
          <w:sz w:val="21"/>
          <w:szCs w:val="21"/>
          <w:lang w:val="es-ES" w:eastAsia="en-US"/>
        </w:rPr>
        <w:t>”</w:t>
      </w:r>
      <w:r>
        <w:rPr>
          <w:rStyle w:val="Refdenotaalpie"/>
          <w:rFonts w:ascii="Arial" w:eastAsiaTheme="minorHAnsi" w:hAnsi="Arial" w:cs="Arial"/>
          <w:sz w:val="21"/>
          <w:szCs w:val="21"/>
          <w:lang w:val="es-ES" w:eastAsia="en-US"/>
        </w:rPr>
        <w:footnoteReference w:id="5"/>
      </w:r>
      <w:r>
        <w:rPr>
          <w:rFonts w:ascii="Arial" w:eastAsiaTheme="minorHAnsi" w:hAnsi="Arial" w:cs="Arial"/>
          <w:sz w:val="21"/>
          <w:szCs w:val="21"/>
          <w:lang w:val="es-ES" w:eastAsia="en-US"/>
        </w:rPr>
        <w:t>.</w:t>
      </w:r>
    </w:p>
    <w:p w14:paraId="4ACB33AE" w14:textId="77777777" w:rsidR="00C87232" w:rsidRPr="00427F40" w:rsidRDefault="00C87232" w:rsidP="00C87232">
      <w:pPr>
        <w:pStyle w:val="NormalWeb"/>
        <w:shd w:val="clear" w:color="auto" w:fill="FFFFFF"/>
        <w:spacing w:before="0" w:beforeAutospacing="0" w:after="0" w:afterAutospacing="0" w:line="276" w:lineRule="auto"/>
        <w:ind w:left="709" w:right="709"/>
        <w:jc w:val="both"/>
        <w:rPr>
          <w:rFonts w:ascii="Arial" w:eastAsiaTheme="minorHAnsi" w:hAnsi="Arial" w:cs="Arial"/>
          <w:sz w:val="22"/>
          <w:szCs w:val="22"/>
          <w:lang w:val="es-ES" w:eastAsia="en-US"/>
        </w:rPr>
      </w:pPr>
    </w:p>
    <w:p w14:paraId="708A7146" w14:textId="77777777" w:rsidR="00C87232" w:rsidRDefault="00C87232" w:rsidP="00C87232">
      <w:pPr>
        <w:pStyle w:val="Sinespaciado"/>
        <w:spacing w:line="276" w:lineRule="auto"/>
        <w:ind w:firstLine="709"/>
        <w:jc w:val="both"/>
        <w:rPr>
          <w:rFonts w:ascii="Arial" w:hAnsi="Arial" w:cs="Arial"/>
          <w:sz w:val="22"/>
        </w:rPr>
      </w:pPr>
      <w:r w:rsidRPr="003953CA">
        <w:rPr>
          <w:rFonts w:ascii="Arial" w:hAnsi="Arial" w:cs="Arial"/>
          <w:sz w:val="22"/>
        </w:rPr>
        <w:t xml:space="preserve">Así las cosas, las inhabilidades son medios que garantizan la transparencia y eficiencia en la actividad contractual del Estado, imponiendo restricciones en la personalidad jurídica, la igualdad, la libre empresa y, particularmente, en el derecho a participar en procesos de selección y celebrar contratos con el Estado. La Corte Constitucional ha reconocido que estas limitaciones deben estar justificadas en la salvaguarda del interés general y que </w:t>
      </w:r>
      <w:r w:rsidRPr="008B7E56">
        <w:rPr>
          <w:rFonts w:ascii="Arial" w:hAnsi="Arial" w:cs="Arial"/>
          <w:sz w:val="22"/>
          <w:u w:val="single"/>
        </w:rPr>
        <w:t>su lectura e interpretación es taxativa y restrictiva</w:t>
      </w:r>
      <w:r w:rsidRPr="003953CA">
        <w:rPr>
          <w:rFonts w:ascii="Arial" w:hAnsi="Arial" w:cs="Arial"/>
          <w:sz w:val="22"/>
        </w:rPr>
        <w:t xml:space="preserve">: </w:t>
      </w:r>
    </w:p>
    <w:p w14:paraId="0A288D2F" w14:textId="77777777" w:rsidR="00C87232" w:rsidRPr="003953CA" w:rsidRDefault="00C87232" w:rsidP="00C87232">
      <w:pPr>
        <w:pStyle w:val="Sinespaciado"/>
        <w:spacing w:line="276" w:lineRule="auto"/>
        <w:ind w:firstLine="709"/>
        <w:jc w:val="both"/>
        <w:rPr>
          <w:rFonts w:ascii="Arial" w:hAnsi="Arial" w:cs="Arial"/>
          <w:sz w:val="22"/>
        </w:rPr>
      </w:pPr>
    </w:p>
    <w:p w14:paraId="50BCF633" w14:textId="4AF41698" w:rsidR="00C87232" w:rsidRDefault="009B3AB1" w:rsidP="00C87232">
      <w:pPr>
        <w:spacing w:line="240" w:lineRule="auto"/>
        <w:ind w:left="709" w:right="709"/>
        <w:jc w:val="both"/>
        <w:rPr>
          <w:rFonts w:ascii="Arial" w:hAnsi="Arial" w:cs="Arial"/>
          <w:sz w:val="21"/>
          <w:szCs w:val="21"/>
        </w:rPr>
      </w:pPr>
      <w:r>
        <w:rPr>
          <w:rFonts w:ascii="Arial" w:hAnsi="Arial" w:cs="Arial"/>
          <w:sz w:val="21"/>
          <w:szCs w:val="21"/>
        </w:rPr>
        <w:t>“</w:t>
      </w:r>
      <w:r w:rsidR="00C87232" w:rsidRPr="003953CA">
        <w:rPr>
          <w:rFonts w:ascii="Arial" w:hAnsi="Arial" w:cs="Arial"/>
          <w:sz w:val="21"/>
          <w:szCs w:val="21"/>
        </w:rPr>
        <w:t xml:space="preserve">Todo régimen de inhabilidades e incompatibilidades de suyo excluye a ciertas categorías de personas del proceso de contratación, generando incapacidades especiales, impedimentos y prohibiciones de variada naturaleza, que en cierta medida afectan el derecho a la personalidad jurídica traducido, a su turno, en el principio general de capacidad legal [CC arts. 1502 y 1503; ley 80 de 1993, art. 6]. De ordinario, como ocurre en la contratación estatal, la inobservancia del régimen de inhabilidades e </w:t>
      </w:r>
      <w:proofErr w:type="gramStart"/>
      <w:r w:rsidR="00C87232" w:rsidRPr="003953CA">
        <w:rPr>
          <w:rFonts w:ascii="Arial" w:hAnsi="Arial" w:cs="Arial"/>
          <w:sz w:val="21"/>
          <w:szCs w:val="21"/>
        </w:rPr>
        <w:t>incompatibilidades,</w:t>
      </w:r>
      <w:proofErr w:type="gramEnd"/>
      <w:r w:rsidR="00C87232" w:rsidRPr="003953CA">
        <w:rPr>
          <w:rFonts w:ascii="Arial" w:hAnsi="Arial" w:cs="Arial"/>
          <w:sz w:val="21"/>
          <w:szCs w:val="21"/>
        </w:rPr>
        <w:t xml:space="preserve"> se erige en causal de nulidad del contrato celebrado en esas condiciones (ley 80 de 1993, art. 44).</w:t>
      </w:r>
    </w:p>
    <w:p w14:paraId="7C3DF038" w14:textId="15768381" w:rsidR="00C87232" w:rsidRDefault="00C87232" w:rsidP="00C87232">
      <w:pPr>
        <w:spacing w:after="0" w:line="240" w:lineRule="auto"/>
        <w:ind w:left="709" w:right="709"/>
        <w:jc w:val="both"/>
        <w:rPr>
          <w:rFonts w:ascii="Arial" w:hAnsi="Arial" w:cs="Arial"/>
          <w:sz w:val="21"/>
          <w:szCs w:val="21"/>
        </w:rPr>
      </w:pPr>
      <w:r w:rsidRPr="003953CA">
        <w:rPr>
          <w:rFonts w:ascii="Arial" w:hAnsi="Arial" w:cs="Arial"/>
          <w:sz w:val="21"/>
          <w:szCs w:val="21"/>
        </w:rPr>
        <w:t>El carácter reconocidamente taxativo y restrictivo de este régimen y el de las correlativas nulidades, obedece a la necesidad de salvaguardar el interés general ínsito en la contratación pública de manera que implique el menor sacrificio posible al derecho de igualdad y de reconocimiento de la personalidad jurídica de quienes aspiran a contratar con el Estado. Es evidente que si la restricción legal [incompatibilidad o inhabilidad] no se sustenta en ninguna necesidad de protección del interés general o ésta es irrazonable o desproporcionada, en esa misma medida pierde justificación constitucional como medio legítimo para restringir, en ese caso, el derecho a la igualdad y el reconocimiento de la personalidad jurídica de las personas que resultan rechazadas del ámbito contractual del Estado</w:t>
      </w:r>
      <w:r w:rsidR="009B3AB1">
        <w:rPr>
          <w:rFonts w:ascii="Arial" w:hAnsi="Arial" w:cs="Arial"/>
          <w:sz w:val="21"/>
          <w:szCs w:val="21"/>
        </w:rPr>
        <w:t>”</w:t>
      </w:r>
      <w:r>
        <w:rPr>
          <w:rStyle w:val="Refdenotaalpie"/>
          <w:rFonts w:ascii="Arial" w:hAnsi="Arial" w:cs="Arial"/>
          <w:sz w:val="21"/>
          <w:szCs w:val="21"/>
        </w:rPr>
        <w:footnoteReference w:id="6"/>
      </w:r>
      <w:r>
        <w:rPr>
          <w:rFonts w:ascii="Arial" w:hAnsi="Arial" w:cs="Arial"/>
          <w:sz w:val="21"/>
          <w:szCs w:val="21"/>
        </w:rPr>
        <w:t>.</w:t>
      </w:r>
    </w:p>
    <w:p w14:paraId="6F35918C" w14:textId="77777777" w:rsidR="00C87232" w:rsidRPr="00427F40" w:rsidRDefault="00C87232" w:rsidP="00C87232">
      <w:pPr>
        <w:spacing w:after="0" w:line="276" w:lineRule="auto"/>
        <w:ind w:right="709"/>
        <w:jc w:val="both"/>
        <w:rPr>
          <w:rFonts w:ascii="Arial" w:hAnsi="Arial" w:cs="Arial"/>
        </w:rPr>
      </w:pPr>
    </w:p>
    <w:p w14:paraId="751D95C7" w14:textId="77777777" w:rsidR="00C87232" w:rsidRPr="003953CA" w:rsidRDefault="00C87232" w:rsidP="00C87232">
      <w:pPr>
        <w:spacing w:after="0" w:line="276" w:lineRule="auto"/>
        <w:ind w:firstLine="709"/>
        <w:jc w:val="both"/>
        <w:rPr>
          <w:rFonts w:ascii="Arial" w:hAnsi="Arial" w:cs="Arial"/>
        </w:rPr>
      </w:pPr>
      <w:r w:rsidRPr="003953CA">
        <w:rPr>
          <w:rFonts w:ascii="Arial" w:hAnsi="Arial" w:cs="Arial"/>
        </w:rPr>
        <w:t xml:space="preserve">Además, la Corte Constitucional explica que el legislador tiene la competencia para determinar qué hechos o situaciones generan inhabilidad para contratar, pues este régimen es un aspecto propio del Estatuto General de Contratación </w:t>
      </w:r>
      <w:r>
        <w:rPr>
          <w:rFonts w:ascii="Arial" w:hAnsi="Arial" w:cs="Arial"/>
        </w:rPr>
        <w:t xml:space="preserve">de la Administración </w:t>
      </w:r>
      <w:r w:rsidRPr="003953CA">
        <w:rPr>
          <w:rFonts w:ascii="Arial" w:hAnsi="Arial" w:cs="Arial"/>
        </w:rPr>
        <w:t xml:space="preserve">Pública, cuya </w:t>
      </w:r>
      <w:r w:rsidRPr="003953CA">
        <w:rPr>
          <w:rFonts w:ascii="Arial" w:hAnsi="Arial" w:cs="Arial"/>
        </w:rPr>
        <w:lastRenderedPageBreak/>
        <w:t xml:space="preserve">expedición compete al Congreso de la República a la luz del artículo 150 de la Constitución Política, y que en esta materia </w:t>
      </w:r>
      <w:r w:rsidRPr="00DB581C">
        <w:rPr>
          <w:rFonts w:ascii="Arial" w:hAnsi="Arial" w:cs="Arial"/>
          <w:u w:val="single"/>
        </w:rPr>
        <w:t>rige el principio de legalidad</w:t>
      </w:r>
      <w:r w:rsidRPr="003953CA">
        <w:rPr>
          <w:rFonts w:ascii="Arial" w:hAnsi="Arial" w:cs="Arial"/>
        </w:rPr>
        <w:t>:</w:t>
      </w:r>
    </w:p>
    <w:p w14:paraId="0B07DF1E" w14:textId="77777777" w:rsidR="00C87232" w:rsidRPr="003953CA" w:rsidRDefault="00C87232" w:rsidP="00C87232">
      <w:pPr>
        <w:pStyle w:val="Sinespaciado"/>
        <w:tabs>
          <w:tab w:val="left" w:pos="1532"/>
        </w:tabs>
        <w:spacing w:line="276" w:lineRule="auto"/>
        <w:jc w:val="both"/>
        <w:rPr>
          <w:rFonts w:ascii="Arial" w:hAnsi="Arial" w:cs="Arial"/>
          <w:sz w:val="22"/>
        </w:rPr>
      </w:pPr>
    </w:p>
    <w:p w14:paraId="4807440F" w14:textId="3216CBE4" w:rsidR="00C87232" w:rsidRPr="003953CA" w:rsidRDefault="009B3AB1" w:rsidP="00C87232">
      <w:pPr>
        <w:spacing w:after="0" w:line="240" w:lineRule="auto"/>
        <w:ind w:left="709" w:right="709"/>
        <w:jc w:val="both"/>
        <w:rPr>
          <w:rFonts w:ascii="Arial" w:hAnsi="Arial" w:cs="Arial"/>
          <w:sz w:val="21"/>
          <w:szCs w:val="21"/>
        </w:rPr>
      </w:pPr>
      <w:r>
        <w:rPr>
          <w:rFonts w:ascii="Arial" w:hAnsi="Arial" w:cs="Arial"/>
          <w:sz w:val="21"/>
          <w:szCs w:val="21"/>
        </w:rPr>
        <w:t>“</w:t>
      </w:r>
      <w:r w:rsidR="00C87232" w:rsidRPr="003953CA">
        <w:rPr>
          <w:rFonts w:ascii="Arial" w:hAnsi="Arial" w:cs="Arial"/>
          <w:sz w:val="21"/>
          <w:szCs w:val="21"/>
        </w:rPr>
        <w:t>Las limitaciones y restricciones que se contienen en el citado estatuto, predicables de la relación Estado-particulares y que afectan los diversos momentos de formación, celebración y ejecución de los contratos estatales, se refieren a una faceta de la actividad del Estado y en la que se contempla, en los términos de la ley, una especial modalidad de participación o colaboración de los particulares en su papel de contratistas. La ley demandada recae sobre una materia que pertenece al dominio de la esfera estatal y pública, dentro de la cual no rige el principio </w:t>
      </w:r>
      <w:r w:rsidR="00C87232" w:rsidRPr="00427F40">
        <w:rPr>
          <w:rFonts w:ascii="Arial" w:hAnsi="Arial" w:cs="Arial"/>
          <w:i/>
          <w:iCs/>
          <w:sz w:val="21"/>
          <w:szCs w:val="21"/>
        </w:rPr>
        <w:t xml:space="preserve">pro </w:t>
      </w:r>
      <w:proofErr w:type="spellStart"/>
      <w:r w:rsidR="00C87232" w:rsidRPr="00427F40">
        <w:rPr>
          <w:rFonts w:ascii="Arial" w:hAnsi="Arial" w:cs="Arial"/>
          <w:i/>
          <w:iCs/>
          <w:sz w:val="21"/>
          <w:szCs w:val="21"/>
        </w:rPr>
        <w:t>libertate</w:t>
      </w:r>
      <w:proofErr w:type="spellEnd"/>
      <w:r w:rsidR="00C87232" w:rsidRPr="003953CA">
        <w:rPr>
          <w:rFonts w:ascii="Arial" w:hAnsi="Arial" w:cs="Arial"/>
          <w:sz w:val="21"/>
          <w:szCs w:val="21"/>
        </w:rPr>
        <w:t xml:space="preserve">, sino el de legalidad, el que ordena que la función pública debe someterse estrictamente a lo que disponga la Constitución y la ley (CP art. 6). </w:t>
      </w:r>
    </w:p>
    <w:p w14:paraId="59CADC33" w14:textId="77777777" w:rsidR="00C87232" w:rsidRDefault="00C87232" w:rsidP="00C87232">
      <w:pPr>
        <w:spacing w:after="120" w:line="240" w:lineRule="auto"/>
        <w:ind w:left="709" w:right="709"/>
        <w:jc w:val="both"/>
        <w:rPr>
          <w:rFonts w:ascii="Arial" w:hAnsi="Arial" w:cs="Arial"/>
          <w:sz w:val="21"/>
          <w:szCs w:val="21"/>
        </w:rPr>
      </w:pPr>
      <w:r w:rsidRPr="003953CA">
        <w:rPr>
          <w:rFonts w:ascii="Arial" w:hAnsi="Arial" w:cs="Arial"/>
          <w:sz w:val="21"/>
          <w:szCs w:val="21"/>
        </w:rPr>
        <w:t xml:space="preserve">[…] </w:t>
      </w:r>
    </w:p>
    <w:p w14:paraId="566E67D1" w14:textId="75B44747" w:rsidR="00C87232" w:rsidRDefault="00C87232" w:rsidP="00C87232">
      <w:pPr>
        <w:spacing w:after="0" w:line="240" w:lineRule="auto"/>
        <w:ind w:left="709" w:right="709"/>
        <w:jc w:val="both"/>
        <w:rPr>
          <w:rFonts w:ascii="Arial" w:hAnsi="Arial" w:cs="Arial"/>
          <w:sz w:val="21"/>
          <w:szCs w:val="21"/>
        </w:rPr>
      </w:pPr>
      <w:r w:rsidRPr="003953CA">
        <w:rPr>
          <w:rFonts w:ascii="Arial" w:hAnsi="Arial" w:cs="Arial"/>
          <w:sz w:val="21"/>
          <w:szCs w:val="21"/>
        </w:rPr>
        <w:t xml:space="preserve">Se comprende con facilidad que el régimen de inhabilidades e </w:t>
      </w:r>
      <w:proofErr w:type="gramStart"/>
      <w:r w:rsidRPr="003953CA">
        <w:rPr>
          <w:rFonts w:ascii="Arial" w:hAnsi="Arial" w:cs="Arial"/>
          <w:sz w:val="21"/>
          <w:szCs w:val="21"/>
        </w:rPr>
        <w:t>incompatibilidades,</w:t>
      </w:r>
      <w:proofErr w:type="gramEnd"/>
      <w:r w:rsidRPr="003953CA">
        <w:rPr>
          <w:rFonts w:ascii="Arial" w:hAnsi="Arial" w:cs="Arial"/>
          <w:sz w:val="21"/>
          <w:szCs w:val="21"/>
        </w:rPr>
        <w:t xml:space="preserve"> corresponde a una materia de normal y obligada inclusión en un estatuto contractual. El legislador, a quien se ha confiado expedir el indicado estatuto, tiene, pues, competencia para establecerlo (CP art. 150)</w:t>
      </w:r>
      <w:r w:rsidR="009B3AB1">
        <w:rPr>
          <w:rFonts w:ascii="Arial" w:hAnsi="Arial" w:cs="Arial"/>
          <w:sz w:val="21"/>
          <w:szCs w:val="21"/>
        </w:rPr>
        <w:t>”</w:t>
      </w:r>
      <w:r>
        <w:rPr>
          <w:rStyle w:val="Refdenotaalpie"/>
          <w:rFonts w:ascii="Arial" w:hAnsi="Arial" w:cs="Arial"/>
          <w:sz w:val="21"/>
          <w:szCs w:val="21"/>
        </w:rPr>
        <w:footnoteReference w:id="7"/>
      </w:r>
      <w:r>
        <w:rPr>
          <w:rFonts w:ascii="Arial" w:hAnsi="Arial" w:cs="Arial"/>
          <w:sz w:val="21"/>
          <w:szCs w:val="21"/>
        </w:rPr>
        <w:t>.</w:t>
      </w:r>
    </w:p>
    <w:p w14:paraId="6491AE37" w14:textId="77777777" w:rsidR="00C87232" w:rsidRPr="00427F40" w:rsidRDefault="00C87232" w:rsidP="00C87232">
      <w:pPr>
        <w:spacing w:after="0" w:line="276" w:lineRule="auto"/>
        <w:ind w:left="709" w:right="709"/>
        <w:jc w:val="both"/>
        <w:rPr>
          <w:rFonts w:ascii="Arial" w:hAnsi="Arial" w:cs="Arial"/>
        </w:rPr>
      </w:pPr>
    </w:p>
    <w:p w14:paraId="43D56665" w14:textId="77777777" w:rsidR="00C87232" w:rsidRDefault="00C87232" w:rsidP="00C87232">
      <w:pPr>
        <w:spacing w:after="0" w:line="276" w:lineRule="auto"/>
        <w:ind w:firstLine="709"/>
        <w:jc w:val="both"/>
        <w:rPr>
          <w:rFonts w:ascii="Arial" w:hAnsi="Arial" w:cs="Arial"/>
        </w:rPr>
      </w:pPr>
      <w:r w:rsidRPr="003953CA">
        <w:rPr>
          <w:rFonts w:ascii="Arial" w:hAnsi="Arial" w:cs="Arial"/>
        </w:rPr>
        <w:t xml:space="preserve">Conviene también distinguir las fuentes de las inhabilidades, las cuales han sido clasificadas en dos (2) grupos: i) </w:t>
      </w:r>
      <w:r w:rsidRPr="00B62B3D">
        <w:rPr>
          <w:rFonts w:ascii="Arial" w:hAnsi="Arial" w:cs="Arial"/>
          <w:u w:val="single"/>
        </w:rPr>
        <w:t>inhabilidades-sanción</w:t>
      </w:r>
      <w:r w:rsidRPr="003953CA">
        <w:rPr>
          <w:rFonts w:ascii="Arial" w:hAnsi="Arial" w:cs="Arial"/>
        </w:rPr>
        <w:t xml:space="preserve"> y ii) </w:t>
      </w:r>
      <w:r w:rsidRPr="00B62B3D">
        <w:rPr>
          <w:rFonts w:ascii="Arial" w:hAnsi="Arial" w:cs="Arial"/>
          <w:u w:val="single"/>
        </w:rPr>
        <w:t>inhabilidades-requisito</w:t>
      </w:r>
      <w:r w:rsidRPr="003953CA">
        <w:rPr>
          <w:rFonts w:ascii="Arial" w:hAnsi="Arial" w:cs="Arial"/>
        </w:rPr>
        <w:t>. En el primer grupo se encuentran las inhabilidades que surgen como consecuencia de un proceso sancionatorio, en los ámbitos penal, disciplinario, contravencional o de pérdida de investidura. En el segundo grupo están aquellas que no devienen de un proceso sancionatorio, sino de condiciones propias de la persona y garantizan la moralidad, la imparcialidad, la eficacia y la transparencia</w:t>
      </w:r>
      <w:r>
        <w:rPr>
          <w:rStyle w:val="Refdenotaalpie"/>
          <w:rFonts w:ascii="Arial" w:hAnsi="Arial" w:cs="Arial"/>
        </w:rPr>
        <w:footnoteReference w:id="8"/>
      </w:r>
      <w:r>
        <w:rPr>
          <w:rFonts w:ascii="Arial" w:hAnsi="Arial" w:cs="Arial"/>
        </w:rPr>
        <w:t>.</w:t>
      </w:r>
    </w:p>
    <w:p w14:paraId="6CC6188A" w14:textId="77777777" w:rsidR="00C87232" w:rsidRPr="002172E6" w:rsidRDefault="00C87232" w:rsidP="00C87232">
      <w:pPr>
        <w:spacing w:before="120" w:after="120" w:line="276" w:lineRule="auto"/>
        <w:ind w:firstLine="709"/>
        <w:jc w:val="both"/>
        <w:rPr>
          <w:rFonts w:ascii="Arial" w:hAnsi="Arial" w:cs="Arial"/>
        </w:rPr>
      </w:pPr>
      <w:r w:rsidRPr="003953CA">
        <w:rPr>
          <w:rFonts w:ascii="Arial" w:hAnsi="Arial" w:cs="Arial"/>
        </w:rPr>
        <w:t>A manera de ejemplo, en materia contractual, los literales c), d) y j) del numeral 1 del artículo 8 de la Ley 80 de 1993</w:t>
      </w:r>
      <w:r>
        <w:rPr>
          <w:rStyle w:val="Refdenotaalpie"/>
          <w:rFonts w:ascii="Arial" w:hAnsi="Arial" w:cs="Arial"/>
        </w:rPr>
        <w:footnoteReference w:id="9"/>
      </w:r>
      <w:r>
        <w:rPr>
          <w:rFonts w:ascii="Arial" w:hAnsi="Arial" w:cs="Arial"/>
        </w:rPr>
        <w:t xml:space="preserve"> </w:t>
      </w:r>
      <w:r w:rsidRPr="003953CA">
        <w:rPr>
          <w:rFonts w:ascii="Arial" w:hAnsi="Arial" w:cs="Arial"/>
        </w:rPr>
        <w:t xml:space="preserve">establecen inhabilidades-sanción, porque la prohibición para </w:t>
      </w:r>
      <w:r w:rsidRPr="003953CA">
        <w:rPr>
          <w:rFonts w:ascii="Arial" w:hAnsi="Arial" w:cs="Arial"/>
        </w:rPr>
        <w:lastRenderedPageBreak/>
        <w:t xml:space="preserve">contratar con el Estado en esos eventos es una consecuencia de una declaratoria de responsabilidad que surge luego de un proceso sancionatorio –administrativo, disciplinario o penal–; mientras que </w:t>
      </w:r>
      <w:r w:rsidRPr="004F1CCE">
        <w:rPr>
          <w:rFonts w:ascii="Arial" w:hAnsi="Arial" w:cs="Arial"/>
        </w:rPr>
        <w:t>las inhabilidades de los literales f), g) y h) del literal 1 de la norma citada establecen inhabilidades–requisito</w:t>
      </w:r>
      <w:r w:rsidRPr="003953CA">
        <w:rPr>
          <w:rFonts w:ascii="Arial" w:hAnsi="Arial" w:cs="Arial"/>
        </w:rPr>
        <w:t xml:space="preserve">, pues no se configuran por la comisión previa de una falta o un delito que dio lugar a una declaratoria por parte de la Administración o el juez, sino de </w:t>
      </w:r>
      <w:r w:rsidRPr="00F72D34">
        <w:rPr>
          <w:rFonts w:ascii="Arial" w:hAnsi="Arial" w:cs="Arial"/>
        </w:rPr>
        <w:t>aspectos propios de la persona</w:t>
      </w:r>
      <w:r w:rsidRPr="003953CA">
        <w:rPr>
          <w:rFonts w:ascii="Arial" w:hAnsi="Arial" w:cs="Arial"/>
        </w:rPr>
        <w:t xml:space="preserve">, derivados, por ejemplo, del parentesco o la afinidad o de la condición de servidor público. </w:t>
      </w:r>
      <w:bookmarkStart w:id="6" w:name="_Hlk40976328"/>
      <w:r w:rsidRPr="003953CA">
        <w:rPr>
          <w:rFonts w:ascii="Arial" w:hAnsi="Arial" w:cs="Arial"/>
        </w:rPr>
        <w:t xml:space="preserve">En ambos eventos, la inhabilidad tiene como fuente una situación o un hecho propio del proponente –una conducta o una condición– ajena a la oferta. La inhabilidad surge, entre otros, por su grado de parentesco o afinidad, por su condición de servidor público o por una declaratoria de responsabilidad penal, disciplinaria o sancionatoria contractual sobre él. </w:t>
      </w:r>
      <w:bookmarkEnd w:id="6"/>
    </w:p>
    <w:p w14:paraId="06A85CE6" w14:textId="77777777" w:rsidR="00C87232" w:rsidRDefault="00C87232" w:rsidP="00C87232">
      <w:pPr>
        <w:spacing w:after="120" w:line="276" w:lineRule="auto"/>
        <w:ind w:firstLine="708"/>
        <w:jc w:val="both"/>
        <w:rPr>
          <w:rFonts w:ascii="Arial" w:eastAsia="Calibri" w:hAnsi="Arial" w:cs="Arial"/>
          <w:lang w:val="es-ES_tradnl"/>
        </w:rPr>
      </w:pPr>
      <w:r w:rsidRPr="00D047C9">
        <w:rPr>
          <w:rFonts w:ascii="Arial" w:eastAsia="Calibri" w:hAnsi="Arial" w:cs="Arial"/>
          <w:i/>
          <w:iCs/>
          <w:lang w:val="es-ES_tradnl"/>
        </w:rPr>
        <w:t>Igualmente</w:t>
      </w:r>
      <w:r>
        <w:rPr>
          <w:rFonts w:ascii="Arial" w:eastAsia="Calibri" w:hAnsi="Arial" w:cs="Arial"/>
          <w:lang w:val="es-ES_tradnl"/>
        </w:rPr>
        <w:t xml:space="preserve">, </w:t>
      </w:r>
      <w:bookmarkStart w:id="7" w:name="_Hlk135133412"/>
      <w:r>
        <w:rPr>
          <w:rFonts w:ascii="Arial" w:eastAsia="Calibri" w:hAnsi="Arial" w:cs="Arial"/>
          <w:lang w:val="es-ES_tradnl"/>
        </w:rPr>
        <w:t>e</w:t>
      </w:r>
      <w:r w:rsidRPr="003953CA">
        <w:rPr>
          <w:rFonts w:ascii="Arial" w:eastAsia="Calibri" w:hAnsi="Arial" w:cs="Arial"/>
          <w:lang w:val="es-ES_tradnl"/>
        </w:rPr>
        <w:t xml:space="preserve">n la contratación estatal, la </w:t>
      </w:r>
      <w:r w:rsidRPr="003953CA">
        <w:rPr>
          <w:rFonts w:ascii="Arial" w:eastAsia="Calibri" w:hAnsi="Arial" w:cs="Arial"/>
          <w:i/>
          <w:iCs/>
          <w:lang w:val="es-ES_tradnl"/>
        </w:rPr>
        <w:t>capacidad</w:t>
      </w:r>
      <w:r w:rsidRPr="003953CA">
        <w:rPr>
          <w:rFonts w:ascii="Arial" w:eastAsia="Calibri" w:hAnsi="Arial" w:cs="Arial"/>
          <w:lang w:val="es-ES_tradnl"/>
        </w:rPr>
        <w:t xml:space="preserve"> también es un requisito de validez de los contratos, tanto en el régimen de las entidades sujetas al Estatuto General de Contratación de la Administración Pública</w:t>
      </w:r>
      <w:r>
        <w:rPr>
          <w:rStyle w:val="Refdenotaalpie"/>
          <w:rFonts w:ascii="Arial" w:eastAsia="Calibri" w:hAnsi="Arial" w:cs="Arial"/>
          <w:lang w:val="es-ES_tradnl"/>
        </w:rPr>
        <w:footnoteReference w:id="10"/>
      </w:r>
      <w:r>
        <w:rPr>
          <w:rFonts w:ascii="Arial" w:eastAsia="Calibri" w:hAnsi="Arial" w:cs="Arial"/>
          <w:lang w:val="es-ES_tradnl"/>
        </w:rPr>
        <w:t xml:space="preserve"> </w:t>
      </w:r>
      <w:r w:rsidRPr="003953CA">
        <w:rPr>
          <w:rFonts w:ascii="Arial" w:eastAsia="Calibri" w:hAnsi="Arial" w:cs="Arial"/>
          <w:lang w:val="es-ES_tradnl"/>
        </w:rPr>
        <w:t>como en el de las entidades exceptuadas de aquel</w:t>
      </w:r>
      <w:r>
        <w:rPr>
          <w:rStyle w:val="Refdenotaalpie"/>
          <w:rFonts w:ascii="Arial" w:eastAsia="Calibri" w:hAnsi="Arial" w:cs="Arial"/>
          <w:lang w:val="es-ES_tradnl"/>
        </w:rPr>
        <w:footnoteReference w:id="11"/>
      </w:r>
      <w:r>
        <w:rPr>
          <w:rFonts w:ascii="Arial" w:eastAsia="Calibri" w:hAnsi="Arial" w:cs="Arial"/>
          <w:lang w:val="es-ES_tradnl"/>
        </w:rPr>
        <w:t xml:space="preserve">. </w:t>
      </w:r>
      <w:r w:rsidRPr="003953CA">
        <w:rPr>
          <w:rFonts w:ascii="Arial" w:eastAsia="Calibri" w:hAnsi="Arial" w:cs="Arial"/>
          <w:lang w:val="es-ES_tradnl"/>
        </w:rPr>
        <w:t xml:space="preserve">Si bien la </w:t>
      </w:r>
      <w:r w:rsidRPr="003953CA">
        <w:rPr>
          <w:rFonts w:ascii="Arial" w:eastAsia="Calibri" w:hAnsi="Arial" w:cs="Arial"/>
          <w:lang w:val="es-ES_tradnl"/>
        </w:rPr>
        <w:lastRenderedPageBreak/>
        <w:t>regulación de la capacidad se integra por varias disposiciones y exigencias especiales –como el requisito de inscribirse, por regla general, en el Registro Único de Proponentes (RUP), establecido en el artículo 6 de la Ley 1150 de 2007, modificado por el artículo 221 del Decreto 19 de 2012</w:t>
      </w:r>
      <w:r>
        <w:rPr>
          <w:rStyle w:val="Refdenotaalpie"/>
          <w:rFonts w:ascii="Arial" w:eastAsia="Calibri" w:hAnsi="Arial" w:cs="Arial"/>
          <w:lang w:val="es-ES_tradnl"/>
        </w:rPr>
        <w:footnoteReference w:id="12"/>
      </w:r>
      <w:r w:rsidRPr="003953CA">
        <w:rPr>
          <w:rFonts w:ascii="Arial" w:eastAsia="Calibri" w:hAnsi="Arial" w:cs="Arial"/>
          <w:lang w:val="es-ES_tradnl"/>
        </w:rPr>
        <w:t>–, se destaca el régimen de inhabilidades e incompatibilidades como un conjunto de normas que imponen restricciones para los sujetos que, eventualmente, pretendan participar en los procedimientos de selección o celebrar contratos con las entidades estatales</w:t>
      </w:r>
      <w:r>
        <w:rPr>
          <w:rStyle w:val="Refdenotaalpie"/>
          <w:rFonts w:ascii="Arial" w:eastAsia="Calibri" w:hAnsi="Arial" w:cs="Arial"/>
          <w:lang w:val="es-ES_tradnl"/>
        </w:rPr>
        <w:footnoteReference w:id="13"/>
      </w:r>
      <w:r>
        <w:rPr>
          <w:rFonts w:ascii="Arial" w:eastAsia="Calibri" w:hAnsi="Arial" w:cs="Arial"/>
          <w:lang w:val="es-ES_tradnl"/>
        </w:rPr>
        <w:t>.</w:t>
      </w:r>
    </w:p>
    <w:p w14:paraId="0400934A" w14:textId="2CA1AB16" w:rsidR="00C87232" w:rsidRDefault="00C87232" w:rsidP="00C87232">
      <w:pPr>
        <w:spacing w:after="120" w:line="276" w:lineRule="auto"/>
        <w:ind w:firstLine="709"/>
        <w:jc w:val="both"/>
        <w:rPr>
          <w:rFonts w:ascii="Arial" w:eastAsia="Calibri" w:hAnsi="Arial" w:cs="Arial"/>
          <w:lang w:val="es-ES_tradnl"/>
        </w:rPr>
      </w:pPr>
      <w:r w:rsidRPr="003953CA">
        <w:rPr>
          <w:rFonts w:ascii="Arial" w:eastAsia="Calibri" w:hAnsi="Arial" w:cs="Arial"/>
          <w:lang w:val="es-ES_tradnl"/>
        </w:rPr>
        <w:t>Las inhabilidades son prohibiciones para concurrir a los procedimientos de selección y para contratar con el Estado, que se derivan: i) de la existencia de comportamientos reprochables o de sanciones anteriormente impuestas</w:t>
      </w:r>
      <w:r>
        <w:rPr>
          <w:rStyle w:val="Refdenotaalpie"/>
          <w:rFonts w:ascii="Arial" w:eastAsia="Calibri" w:hAnsi="Arial" w:cs="Arial"/>
          <w:lang w:val="es-ES_tradnl"/>
        </w:rPr>
        <w:footnoteReference w:id="14"/>
      </w:r>
      <w:r>
        <w:rPr>
          <w:rFonts w:ascii="Arial" w:eastAsia="Calibri" w:hAnsi="Arial" w:cs="Arial"/>
          <w:lang w:val="es-ES_tradnl"/>
        </w:rPr>
        <w:t xml:space="preserve">, </w:t>
      </w:r>
      <w:r w:rsidRPr="003953CA">
        <w:rPr>
          <w:rFonts w:ascii="Arial" w:eastAsia="Calibri" w:hAnsi="Arial" w:cs="Arial"/>
          <w:lang w:val="es-ES_tradnl"/>
        </w:rPr>
        <w:t>ii) de vínculos personales relativos al parentesco o al estado civil</w:t>
      </w:r>
      <w:r>
        <w:rPr>
          <w:rStyle w:val="Refdenotaalpie"/>
          <w:rFonts w:ascii="Arial" w:eastAsia="Calibri" w:hAnsi="Arial" w:cs="Arial"/>
          <w:lang w:val="es-ES_tradnl"/>
        </w:rPr>
        <w:footnoteReference w:id="15"/>
      </w:r>
      <w:r>
        <w:rPr>
          <w:rFonts w:ascii="Arial" w:eastAsia="Calibri" w:hAnsi="Arial" w:cs="Arial"/>
          <w:lang w:val="es-ES_tradnl"/>
        </w:rPr>
        <w:t xml:space="preserve"> </w:t>
      </w:r>
      <w:r w:rsidRPr="003953CA">
        <w:rPr>
          <w:rFonts w:ascii="Arial" w:eastAsia="Calibri" w:hAnsi="Arial" w:cs="Arial"/>
          <w:lang w:val="es-ES_tradnl"/>
        </w:rPr>
        <w:t xml:space="preserve">o </w:t>
      </w:r>
      <w:proofErr w:type="spellStart"/>
      <w:r w:rsidRPr="003953CA">
        <w:rPr>
          <w:rFonts w:ascii="Arial" w:eastAsia="Calibri" w:hAnsi="Arial" w:cs="Arial"/>
          <w:lang w:val="es-ES_tradnl"/>
        </w:rPr>
        <w:t>iii</w:t>
      </w:r>
      <w:proofErr w:type="spellEnd"/>
      <w:r w:rsidRPr="003953CA">
        <w:rPr>
          <w:rFonts w:ascii="Arial" w:eastAsia="Calibri" w:hAnsi="Arial" w:cs="Arial"/>
          <w:lang w:val="es-ES_tradnl"/>
        </w:rPr>
        <w:t>) de una actividad u oficio que se desempeñó en el pasado</w:t>
      </w:r>
      <w:r>
        <w:rPr>
          <w:rStyle w:val="Refdenotaalpie"/>
          <w:rFonts w:ascii="Arial" w:eastAsia="Calibri" w:hAnsi="Arial" w:cs="Arial"/>
          <w:lang w:val="es-ES_tradnl"/>
        </w:rPr>
        <w:footnoteReference w:id="16"/>
      </w:r>
      <w:r>
        <w:rPr>
          <w:rFonts w:ascii="Arial" w:eastAsia="Calibri" w:hAnsi="Arial" w:cs="Arial"/>
          <w:lang w:val="es-ES_tradnl"/>
        </w:rPr>
        <w:t xml:space="preserve">. </w:t>
      </w:r>
      <w:r w:rsidRPr="003953CA">
        <w:rPr>
          <w:rFonts w:ascii="Arial" w:eastAsia="Calibri" w:hAnsi="Arial" w:cs="Arial"/>
          <w:lang w:val="es-ES_tradnl"/>
        </w:rPr>
        <w:t xml:space="preserve">De otro lado, las </w:t>
      </w:r>
      <w:r w:rsidRPr="003953CA">
        <w:rPr>
          <w:rFonts w:ascii="Arial" w:eastAsia="Calibri" w:hAnsi="Arial" w:cs="Arial"/>
          <w:lang w:val="es-ES_tradnl"/>
        </w:rPr>
        <w:lastRenderedPageBreak/>
        <w:t>incompatibilidades</w:t>
      </w:r>
      <w:r>
        <w:rPr>
          <w:rFonts w:ascii="Arial" w:eastAsia="Calibri" w:hAnsi="Arial" w:cs="Arial"/>
          <w:lang w:val="es-ES_tradnl"/>
        </w:rPr>
        <w:t>, según un sector de la doctrina,</w:t>
      </w:r>
      <w:r w:rsidRPr="003953CA">
        <w:rPr>
          <w:rFonts w:ascii="Arial" w:eastAsia="Calibri" w:hAnsi="Arial" w:cs="Arial"/>
          <w:lang w:val="es-ES_tradnl"/>
        </w:rPr>
        <w:t xml:space="preserve"> son prohibiciones para participar en los procedimientos de selección y para celebrar contratos estatales, fundadas en la </w:t>
      </w:r>
      <w:r w:rsidRPr="00894487">
        <w:rPr>
          <w:rFonts w:ascii="Arial" w:eastAsia="Calibri" w:hAnsi="Arial" w:cs="Arial"/>
          <w:lang w:val="es-ES_tradnl"/>
        </w:rPr>
        <w:t>presencia de una calidad que ostenta el sujeto interesado en realizar alguna de dichas actividades, que no puede coexistir con su calidad de proponente o contratista del Estado</w:t>
      </w:r>
      <w:r w:rsidRPr="00894487">
        <w:rPr>
          <w:rStyle w:val="Refdenotaalpie"/>
          <w:rFonts w:ascii="Arial" w:eastAsia="Calibri" w:hAnsi="Arial" w:cs="Arial"/>
          <w:lang w:val="es-ES_tradnl"/>
        </w:rPr>
        <w:footnoteReference w:id="17"/>
      </w:r>
      <w:r w:rsidRPr="00894487">
        <w:rPr>
          <w:rFonts w:ascii="Arial" w:eastAsia="Calibri" w:hAnsi="Arial" w:cs="Arial"/>
          <w:lang w:val="es-ES_tradnl"/>
        </w:rPr>
        <w:t>. En todo caso, a pesar de la existencia de distintos criterios para diferenciar las inhabilidades de las incompatibilidades, de la presencia de ellas se derivan las mismas consecuencias jurídicas, esto es, la limitación de la capacidad contractual. De manera que la presencia de ellas impide que se puedan celebrar contratos con el Estado o participar en procedimientos de selección de las entidades estatales, por lo que de cualquiera de ellas se derivan los mismos efectos jurídicos</w:t>
      </w:r>
      <w:r>
        <w:rPr>
          <w:rStyle w:val="Refdenotaalpie"/>
          <w:rFonts w:ascii="Arial" w:eastAsia="Calibri" w:hAnsi="Arial" w:cs="Arial"/>
          <w:lang w:val="es-ES_tradnl"/>
        </w:rPr>
        <w:footnoteReference w:id="18"/>
      </w:r>
      <w:r>
        <w:rPr>
          <w:rFonts w:ascii="Arial" w:eastAsia="Calibri" w:hAnsi="Arial" w:cs="Arial"/>
          <w:lang w:val="es-ES_tradnl"/>
        </w:rPr>
        <w:t>.</w:t>
      </w:r>
    </w:p>
    <w:bookmarkEnd w:id="7"/>
    <w:p w14:paraId="251F260C" w14:textId="77777777" w:rsidR="00C87232" w:rsidRPr="003953CA" w:rsidRDefault="00C87232" w:rsidP="00C87232">
      <w:pPr>
        <w:spacing w:before="120" w:after="120" w:line="276" w:lineRule="auto"/>
        <w:ind w:firstLine="709"/>
        <w:jc w:val="both"/>
        <w:rPr>
          <w:rFonts w:ascii="Arial" w:eastAsia="Calibri" w:hAnsi="Arial" w:cs="Arial"/>
          <w:lang w:val="es-ES_tradnl"/>
        </w:rPr>
      </w:pPr>
      <w:r>
        <w:rPr>
          <w:rFonts w:ascii="Arial" w:eastAsia="Calibri" w:hAnsi="Arial" w:cs="Arial"/>
          <w:lang w:val="es-ES_tradnl"/>
        </w:rPr>
        <w:t>De otro lado, e</w:t>
      </w:r>
      <w:r w:rsidRPr="003953CA">
        <w:rPr>
          <w:rFonts w:ascii="Arial" w:eastAsia="Calibri" w:hAnsi="Arial" w:cs="Arial"/>
          <w:lang w:val="es-ES_tradnl"/>
        </w:rPr>
        <w:t>l régimen de inhabilidades e incompatibilidades en la contratación pública responde a la tendencia, vigente desde hace varias décadas en nuestro país, pero que se ha reforzado en los últimos años, de asegurar que la actividad de provisión de los bienes</w:t>
      </w:r>
      <w:r>
        <w:rPr>
          <w:rFonts w:ascii="Arial" w:eastAsia="Calibri" w:hAnsi="Arial" w:cs="Arial"/>
          <w:lang w:val="es-ES_tradnl"/>
        </w:rPr>
        <w:t>, obras y</w:t>
      </w:r>
      <w:r w:rsidRPr="003953CA">
        <w:rPr>
          <w:rFonts w:ascii="Arial" w:eastAsia="Calibri" w:hAnsi="Arial" w:cs="Arial"/>
          <w:lang w:val="es-ES_tradnl"/>
        </w:rPr>
        <w:t xml:space="preserve"> servicios por parte de las entidades estatales se efectúe cumpliendo con los principios de la función administrativa y de la gestión fiscal, especialmente con probidad y transparencia. Por ello, como destaca la doctrina, las inhabilidades e incompatibilidades son herramientas en la lucha contra la corrupción, adoptando paulatinamente una naturaleza sancionatoria o </w:t>
      </w:r>
      <w:r>
        <w:rPr>
          <w:rFonts w:ascii="Arial" w:eastAsia="Calibri" w:hAnsi="Arial" w:cs="Arial"/>
          <w:lang w:val="es-ES_tradnl"/>
        </w:rPr>
        <w:t>“</w:t>
      </w:r>
      <w:proofErr w:type="spellStart"/>
      <w:r w:rsidRPr="003953CA">
        <w:rPr>
          <w:rFonts w:ascii="Arial" w:eastAsia="Calibri" w:hAnsi="Arial" w:cs="Arial"/>
          <w:lang w:val="es-ES_tradnl"/>
        </w:rPr>
        <w:t>neopunitiv</w:t>
      </w:r>
      <w:r>
        <w:rPr>
          <w:rFonts w:ascii="Arial" w:eastAsia="Calibri" w:hAnsi="Arial" w:cs="Arial"/>
          <w:lang w:val="es-ES_tradnl"/>
        </w:rPr>
        <w:t>a</w:t>
      </w:r>
      <w:proofErr w:type="spellEnd"/>
      <w:r>
        <w:rPr>
          <w:rFonts w:ascii="Arial" w:eastAsia="Calibri" w:hAnsi="Arial" w:cs="Arial"/>
          <w:lang w:val="es-ES_tradnl"/>
        </w:rPr>
        <w:t>”</w:t>
      </w:r>
      <w:r>
        <w:rPr>
          <w:rStyle w:val="Refdenotaalpie"/>
          <w:rFonts w:ascii="Arial" w:eastAsia="Calibri" w:hAnsi="Arial" w:cs="Arial"/>
          <w:lang w:val="es-ES_tradnl"/>
        </w:rPr>
        <w:footnoteReference w:id="19"/>
      </w:r>
      <w:r>
        <w:rPr>
          <w:rFonts w:ascii="Arial" w:eastAsia="Calibri" w:hAnsi="Arial" w:cs="Arial"/>
          <w:lang w:val="es-ES_tradnl"/>
        </w:rPr>
        <w:t xml:space="preserve">. </w:t>
      </w:r>
      <w:r w:rsidRPr="003953CA">
        <w:rPr>
          <w:rFonts w:ascii="Arial" w:eastAsia="Calibri" w:hAnsi="Arial" w:cs="Arial"/>
          <w:lang w:val="es-ES_tradnl"/>
        </w:rPr>
        <w:t>Si bien no todas las causales de inhabilidad y de incompatibilidad son consecuencia de una medida de reproche ni de una sanción previa, como ya se explicó,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14:paraId="37035B9F" w14:textId="77777777" w:rsidR="00C87232" w:rsidRPr="003953CA" w:rsidRDefault="00C87232" w:rsidP="00C87232">
      <w:pPr>
        <w:spacing w:before="120" w:after="120" w:line="276" w:lineRule="auto"/>
        <w:ind w:firstLine="709"/>
        <w:jc w:val="both"/>
        <w:rPr>
          <w:rFonts w:ascii="Arial" w:eastAsia="Calibri" w:hAnsi="Arial" w:cs="Arial"/>
          <w:lang w:val="es-ES_tradnl"/>
        </w:rPr>
      </w:pPr>
      <w:r w:rsidRPr="003953CA">
        <w:rPr>
          <w:rFonts w:ascii="Arial" w:eastAsia="Calibri" w:hAnsi="Arial" w:cs="Arial"/>
          <w:lang w:val="es-ES_tradnl"/>
        </w:rPr>
        <w:t xml:space="preserve">Ahora bien, las inhabilidades e incompatibilidades al ser restricciones o límites especiales a la capacidad para presentar ofertas y celebrar contratos estatales, </w:t>
      </w:r>
      <w:r w:rsidRPr="00B302C5">
        <w:rPr>
          <w:rFonts w:ascii="Arial" w:eastAsia="Calibri" w:hAnsi="Arial" w:cs="Arial"/>
          <w:u w:val="single"/>
          <w:lang w:val="es-ES_tradnl"/>
        </w:rPr>
        <w:t>solo pueden tipificarse en la ley o la Constitución</w:t>
      </w:r>
      <w:r>
        <w:rPr>
          <w:rFonts w:ascii="Arial" w:eastAsia="Calibri" w:hAnsi="Arial" w:cs="Arial"/>
          <w:lang w:val="es-ES_tradnl"/>
        </w:rPr>
        <w:t xml:space="preserve"> </w:t>
      </w:r>
      <w:r w:rsidRPr="003953CA">
        <w:rPr>
          <w:rFonts w:ascii="Arial" w:eastAsia="Calibri" w:hAnsi="Arial" w:cs="Arial"/>
          <w:lang w:val="es-ES_tradnl"/>
        </w:rPr>
        <w:t xml:space="preserve">–o sea, deben satisfacer el principio de legalidad– y </w:t>
      </w:r>
      <w:r w:rsidRPr="00B302C5">
        <w:rPr>
          <w:rFonts w:ascii="Arial" w:eastAsia="Calibri" w:hAnsi="Arial" w:cs="Arial"/>
          <w:u w:val="single"/>
          <w:lang w:val="es-ES_tradnl"/>
        </w:rPr>
        <w:t xml:space="preserve">su interpretación debe </w:t>
      </w:r>
      <w:r w:rsidRPr="00B302C5">
        <w:rPr>
          <w:rFonts w:ascii="Arial" w:eastAsia="Calibri" w:hAnsi="Arial" w:cs="Arial"/>
          <w:u w:val="single"/>
          <w:lang w:val="es-ES_tradnl"/>
        </w:rPr>
        <w:lastRenderedPageBreak/>
        <w:t xml:space="preserve">ser </w:t>
      </w:r>
      <w:r w:rsidRPr="00B302C5">
        <w:rPr>
          <w:rFonts w:ascii="Arial" w:eastAsia="Calibri" w:hAnsi="Arial" w:cs="Arial"/>
          <w:i/>
          <w:iCs/>
          <w:u w:val="single"/>
          <w:lang w:val="es-ES_tradnl"/>
        </w:rPr>
        <w:t>restrictiva</w:t>
      </w:r>
      <w:r>
        <w:rPr>
          <w:rStyle w:val="Refdenotaalpie"/>
          <w:rFonts w:ascii="Arial" w:eastAsia="Calibri" w:hAnsi="Arial" w:cs="Arial"/>
          <w:i/>
          <w:iCs/>
          <w:lang w:val="es-ES_tradnl"/>
        </w:rPr>
        <w:footnoteReference w:id="20"/>
      </w:r>
      <w:r>
        <w:rPr>
          <w:rFonts w:ascii="Arial" w:eastAsia="Calibri" w:hAnsi="Arial" w:cs="Arial"/>
          <w:i/>
          <w:iCs/>
          <w:lang w:val="es-ES_tradnl"/>
        </w:rPr>
        <w:t xml:space="preserve">, </w:t>
      </w:r>
      <w:r w:rsidRPr="003953CA">
        <w:rPr>
          <w:rFonts w:ascii="Arial" w:eastAsia="Calibri" w:hAnsi="Arial" w:cs="Arial"/>
          <w:lang w:val="es-ES_tradnl"/>
        </w:rPr>
        <w:t xml:space="preserve">pues si se admitiera una interpretación amplia, extensiva o finalista de las mismas, tales enunciados normativos contemplarían múltiples supuestos indeterminados, según el parecer o el sentido común de los operadores jurídicos, poniendo en riesgo principios como la igualdad, el debido proceso, </w:t>
      </w:r>
      <w:r>
        <w:rPr>
          <w:rFonts w:ascii="Arial" w:eastAsia="Calibri" w:hAnsi="Arial" w:cs="Arial"/>
          <w:lang w:val="es-ES_tradnl"/>
        </w:rPr>
        <w:t xml:space="preserve">la </w:t>
      </w:r>
      <w:r w:rsidRPr="00DF2434">
        <w:rPr>
          <w:rFonts w:ascii="Arial" w:eastAsia="Calibri" w:hAnsi="Arial" w:cs="Arial"/>
          <w:u w:val="single"/>
          <w:lang w:val="es-ES_tradnl"/>
        </w:rPr>
        <w:t>seguridad jurídica</w:t>
      </w:r>
      <w:r>
        <w:rPr>
          <w:rFonts w:ascii="Arial" w:eastAsia="Calibri" w:hAnsi="Arial" w:cs="Arial"/>
          <w:lang w:val="es-ES_tradnl"/>
        </w:rPr>
        <w:t xml:space="preserve">, </w:t>
      </w:r>
      <w:r w:rsidRPr="003953CA">
        <w:rPr>
          <w:rFonts w:ascii="Arial" w:eastAsia="Calibri" w:hAnsi="Arial" w:cs="Arial"/>
          <w:lang w:val="es-ES_tradnl"/>
        </w:rPr>
        <w:t xml:space="preserve">la libre concurrencia y el ejercicio de la profesión u oficio. Tal ha sido la postura al interior de la jurisprudencia, tanto de la Corte Constitucional como de la Sección Tercera del Consejo de Estado. </w:t>
      </w:r>
    </w:p>
    <w:p w14:paraId="16DEC49F" w14:textId="77777777" w:rsidR="00C87232" w:rsidRPr="003953CA" w:rsidRDefault="00C87232" w:rsidP="00C87232">
      <w:pPr>
        <w:spacing w:after="0" w:line="276" w:lineRule="auto"/>
        <w:ind w:firstLine="709"/>
        <w:jc w:val="both"/>
        <w:rPr>
          <w:rFonts w:ascii="Arial" w:eastAsia="Calibri" w:hAnsi="Arial" w:cs="Arial"/>
          <w:lang w:val="es-ES_tradnl"/>
        </w:rPr>
      </w:pPr>
      <w:r w:rsidRPr="003953CA">
        <w:rPr>
          <w:rFonts w:ascii="Arial" w:eastAsia="Calibri" w:hAnsi="Arial" w:cs="Arial"/>
          <w:lang w:val="es-ES_tradnl"/>
        </w:rPr>
        <w:t>En efecto, el máximo tribunal constitucional ha indicado</w:t>
      </w:r>
      <w:r>
        <w:rPr>
          <w:rFonts w:ascii="Arial" w:eastAsia="Calibri" w:hAnsi="Arial" w:cs="Arial"/>
          <w:lang w:val="es-ES_tradnl"/>
        </w:rPr>
        <w:t>,</w:t>
      </w:r>
      <w:r w:rsidRPr="003953CA">
        <w:rPr>
          <w:rFonts w:ascii="Arial" w:eastAsia="Calibri" w:hAnsi="Arial" w:cs="Arial"/>
          <w:lang w:val="es-ES_tradnl"/>
        </w:rPr>
        <w:t xml:space="preserve"> al tratar de precisar el sentido de este tipo de normas, </w:t>
      </w:r>
      <w:r>
        <w:rPr>
          <w:rFonts w:ascii="Arial" w:eastAsia="Calibri" w:hAnsi="Arial" w:cs="Arial"/>
          <w:lang w:val="es-ES_tradnl"/>
        </w:rPr>
        <w:t>que “</w:t>
      </w:r>
      <w:r w:rsidRPr="003953CA">
        <w:rPr>
          <w:rFonts w:ascii="Arial" w:eastAsia="Calibri" w:hAnsi="Arial" w:cs="Arial"/>
          <w:lang w:val="es-ES_tradnl"/>
        </w:rPr>
        <w:t>[…]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Pr>
          <w:rFonts w:ascii="Arial" w:eastAsia="Calibri" w:hAnsi="Arial" w:cs="Arial"/>
          <w:lang w:val="es-ES_tradnl"/>
        </w:rPr>
        <w:t>”</w:t>
      </w:r>
      <w:r>
        <w:rPr>
          <w:rStyle w:val="Refdenotaalpie"/>
          <w:rFonts w:ascii="Arial" w:eastAsia="Calibri" w:hAnsi="Arial" w:cs="Arial"/>
          <w:lang w:val="es-ES_tradnl"/>
        </w:rPr>
        <w:footnoteReference w:id="21"/>
      </w:r>
      <w:r>
        <w:rPr>
          <w:rFonts w:ascii="Arial" w:eastAsia="Calibri" w:hAnsi="Arial" w:cs="Arial"/>
          <w:lang w:val="es-ES_tradnl"/>
        </w:rPr>
        <w:t xml:space="preserve">. </w:t>
      </w:r>
      <w:r w:rsidRPr="003953CA">
        <w:rPr>
          <w:rFonts w:ascii="Arial" w:eastAsia="Calibri" w:hAnsi="Arial" w:cs="Arial"/>
          <w:lang w:val="es-ES_tradnl"/>
        </w:rPr>
        <w:t xml:space="preserve">Por su parte, el Consejo de Estado ha acogido también este criterio, considerando –como expresa la Sala de Consulta y Servicio Civil–, que </w:t>
      </w:r>
      <w:r>
        <w:rPr>
          <w:rFonts w:ascii="Arial" w:eastAsia="Calibri" w:hAnsi="Arial" w:cs="Arial"/>
          <w:lang w:val="es-ES_tradnl"/>
        </w:rPr>
        <w:t>“</w:t>
      </w:r>
      <w:r w:rsidRPr="003953CA">
        <w:rPr>
          <w:rFonts w:ascii="Arial" w:eastAsia="Calibri" w:hAnsi="Arial" w:cs="Arial"/>
          <w:lang w:val="es-ES_tradnl"/>
        </w:rPr>
        <w:t>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Pr>
          <w:rFonts w:ascii="Arial" w:eastAsia="Calibri" w:hAnsi="Arial" w:cs="Arial"/>
          <w:lang w:val="es-ES_tradnl"/>
        </w:rPr>
        <w:t>”</w:t>
      </w:r>
      <w:r>
        <w:rPr>
          <w:rStyle w:val="Refdenotaalpie"/>
          <w:rFonts w:ascii="Arial" w:eastAsia="Calibri" w:hAnsi="Arial" w:cs="Arial"/>
          <w:lang w:val="es-ES_tradnl"/>
        </w:rPr>
        <w:footnoteReference w:id="22"/>
      </w:r>
      <w:r>
        <w:rPr>
          <w:rFonts w:ascii="Arial" w:eastAsia="Calibri" w:hAnsi="Arial" w:cs="Arial"/>
          <w:lang w:val="es-ES_tradnl"/>
        </w:rPr>
        <w:t xml:space="preserve">. </w:t>
      </w:r>
      <w:r w:rsidRPr="003953CA">
        <w:rPr>
          <w:rFonts w:ascii="Arial" w:eastAsia="Calibri" w:hAnsi="Arial" w:cs="Arial"/>
          <w:lang w:val="es-ES_tradnl"/>
        </w:rPr>
        <w:t>En tal sentido, la Sección Tercera ha señalado que:</w:t>
      </w:r>
    </w:p>
    <w:p w14:paraId="7B29C3C7" w14:textId="77777777" w:rsidR="00C87232" w:rsidRPr="003953CA" w:rsidRDefault="00C87232" w:rsidP="00C87232">
      <w:pPr>
        <w:spacing w:after="0"/>
        <w:ind w:firstLine="709"/>
        <w:jc w:val="both"/>
        <w:rPr>
          <w:rFonts w:ascii="Arial" w:eastAsia="Calibri" w:hAnsi="Arial" w:cs="Arial"/>
          <w:lang w:val="es-ES_tradnl"/>
        </w:rPr>
      </w:pPr>
    </w:p>
    <w:p w14:paraId="0C489618" w14:textId="469AA593" w:rsidR="00C87232" w:rsidRDefault="00700FFF" w:rsidP="00C87232">
      <w:pPr>
        <w:spacing w:after="0" w:line="240" w:lineRule="auto"/>
        <w:ind w:left="709" w:right="709"/>
        <w:jc w:val="both"/>
        <w:rPr>
          <w:rFonts w:ascii="Arial" w:eastAsia="Calibri" w:hAnsi="Arial" w:cs="Arial"/>
          <w:lang w:val="es-ES_tradnl"/>
        </w:rPr>
      </w:pPr>
      <w:r>
        <w:rPr>
          <w:rFonts w:ascii="Arial" w:hAnsi="Arial" w:cs="Arial"/>
          <w:sz w:val="21"/>
          <w:szCs w:val="21"/>
          <w:lang w:val="es-ES_tradnl"/>
        </w:rPr>
        <w:t>“</w:t>
      </w:r>
      <w:r w:rsidR="00C87232" w:rsidRPr="003953CA">
        <w:rPr>
          <w:rFonts w:ascii="Arial" w:hAnsi="Arial" w:cs="Arial"/>
          <w:sz w:val="21"/>
          <w:szCs w:val="21"/>
          <w:lang w:val="es-ES_tradnl"/>
        </w:rPr>
        <w:t>[…]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 no permite su extensión, por vía de la figura de la analogía, a supuestos no contemplados por el ordenamiento</w:t>
      </w:r>
      <w:r>
        <w:rPr>
          <w:rFonts w:ascii="Arial" w:hAnsi="Arial" w:cs="Arial"/>
          <w:sz w:val="21"/>
          <w:szCs w:val="21"/>
          <w:lang w:val="es-ES_tradnl"/>
        </w:rPr>
        <w:t>”</w:t>
      </w:r>
      <w:r w:rsidR="00C87232">
        <w:rPr>
          <w:rStyle w:val="Refdenotaalpie"/>
          <w:rFonts w:ascii="Arial" w:hAnsi="Arial" w:cs="Arial"/>
          <w:sz w:val="21"/>
          <w:szCs w:val="21"/>
          <w:lang w:val="es-ES_tradnl"/>
        </w:rPr>
        <w:footnoteReference w:id="23"/>
      </w:r>
      <w:r w:rsidR="00C87232">
        <w:rPr>
          <w:rFonts w:ascii="Arial" w:hAnsi="Arial" w:cs="Arial"/>
          <w:sz w:val="21"/>
          <w:szCs w:val="21"/>
          <w:lang w:val="es-ES_tradnl"/>
        </w:rPr>
        <w:t>.</w:t>
      </w:r>
    </w:p>
    <w:p w14:paraId="57B2C04E" w14:textId="77777777" w:rsidR="00C87232" w:rsidRDefault="00C87232" w:rsidP="00C87232">
      <w:pPr>
        <w:spacing w:after="0" w:line="276" w:lineRule="auto"/>
        <w:ind w:firstLine="709"/>
        <w:jc w:val="both"/>
        <w:rPr>
          <w:rFonts w:ascii="Arial" w:eastAsia="Calibri" w:hAnsi="Arial" w:cs="Arial"/>
          <w:lang w:val="es-ES_tradnl"/>
        </w:rPr>
      </w:pPr>
    </w:p>
    <w:p w14:paraId="7F8842E7" w14:textId="77777777" w:rsidR="00C87232" w:rsidRDefault="00C87232" w:rsidP="00C87232">
      <w:pPr>
        <w:ind w:firstLine="709"/>
        <w:jc w:val="both"/>
        <w:rPr>
          <w:rFonts w:ascii="Arial" w:eastAsia="Calibri" w:hAnsi="Arial" w:cs="Arial"/>
          <w:lang w:val="es-ES_tradnl"/>
        </w:rPr>
      </w:pPr>
      <w:r w:rsidRPr="003953CA">
        <w:rPr>
          <w:rFonts w:ascii="Arial" w:eastAsia="Calibri" w:hAnsi="Arial" w:cs="Arial"/>
          <w:lang w:val="es-ES_tradnl"/>
        </w:rPr>
        <w:t>También ha dicho que:</w:t>
      </w:r>
    </w:p>
    <w:p w14:paraId="297B9E91" w14:textId="7336FCAF" w:rsidR="00C87232" w:rsidRDefault="00700FFF" w:rsidP="00C87232">
      <w:pPr>
        <w:spacing w:after="0" w:line="240" w:lineRule="auto"/>
        <w:ind w:left="709" w:right="616"/>
        <w:jc w:val="both"/>
        <w:rPr>
          <w:rFonts w:ascii="Arial" w:hAnsi="Arial" w:cs="Arial"/>
          <w:sz w:val="21"/>
          <w:szCs w:val="21"/>
          <w:lang w:val="es-ES_tradnl"/>
        </w:rPr>
      </w:pPr>
      <w:r>
        <w:rPr>
          <w:rFonts w:ascii="Arial" w:hAnsi="Arial" w:cs="Arial"/>
          <w:sz w:val="21"/>
          <w:szCs w:val="21"/>
          <w:lang w:val="es-ES_tradnl"/>
        </w:rPr>
        <w:t>“</w:t>
      </w:r>
      <w:r w:rsidR="00C87232" w:rsidRPr="003953CA">
        <w:rPr>
          <w:rFonts w:ascii="Arial" w:hAnsi="Arial" w:cs="Arial"/>
          <w:sz w:val="21"/>
          <w:szCs w:val="21"/>
          <w:lang w:val="es-ES_tradnl"/>
        </w:rPr>
        <w:t xml:space="preserve">[…] la aplicación de estos preceptos exige una interpretación restrictiva, dado que según el principio hermenéutico </w:t>
      </w:r>
      <w:r w:rsidR="00C87232" w:rsidRPr="003953CA">
        <w:rPr>
          <w:rFonts w:ascii="Arial" w:hAnsi="Arial" w:cs="Arial"/>
          <w:i/>
          <w:iCs/>
          <w:sz w:val="21"/>
          <w:szCs w:val="21"/>
          <w:lang w:val="es-ES_tradnl"/>
        </w:rPr>
        <w:t xml:space="preserve">pro </w:t>
      </w:r>
      <w:proofErr w:type="spellStart"/>
      <w:r w:rsidR="00C87232" w:rsidRPr="003953CA">
        <w:rPr>
          <w:rFonts w:ascii="Arial" w:hAnsi="Arial" w:cs="Arial"/>
          <w:i/>
          <w:iCs/>
          <w:sz w:val="21"/>
          <w:szCs w:val="21"/>
          <w:lang w:val="es-ES_tradnl"/>
        </w:rPr>
        <w:t>libertate</w:t>
      </w:r>
      <w:proofErr w:type="spellEnd"/>
      <w:r w:rsidR="00C87232" w:rsidRPr="003953CA">
        <w:rPr>
          <w:rFonts w:ascii="Arial" w:hAnsi="Arial" w:cs="Arial"/>
          <w:sz w:val="21"/>
          <w:szCs w:val="21"/>
          <w:lang w:val="es-ES_tradnl"/>
        </w:rPr>
        <w:t>,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igualdad (art. 13 Ibid.); […]</w:t>
      </w:r>
      <w:r>
        <w:rPr>
          <w:rFonts w:ascii="Arial" w:hAnsi="Arial" w:cs="Arial"/>
          <w:sz w:val="21"/>
          <w:szCs w:val="21"/>
          <w:lang w:val="es-ES_tradnl"/>
        </w:rPr>
        <w:t>”</w:t>
      </w:r>
      <w:r w:rsidR="00C87232">
        <w:rPr>
          <w:rStyle w:val="Refdenotaalpie"/>
          <w:rFonts w:ascii="Arial" w:hAnsi="Arial" w:cs="Arial"/>
          <w:sz w:val="21"/>
          <w:szCs w:val="21"/>
          <w:lang w:val="es-ES_tradnl"/>
        </w:rPr>
        <w:footnoteReference w:id="24"/>
      </w:r>
      <w:r w:rsidR="00C87232">
        <w:rPr>
          <w:rFonts w:ascii="Arial" w:hAnsi="Arial" w:cs="Arial"/>
          <w:sz w:val="21"/>
          <w:szCs w:val="21"/>
          <w:lang w:val="es-ES_tradnl"/>
        </w:rPr>
        <w:t>.</w:t>
      </w:r>
    </w:p>
    <w:p w14:paraId="067EE3E4" w14:textId="77777777" w:rsidR="00C87232" w:rsidRDefault="00C87232" w:rsidP="00C87232">
      <w:pPr>
        <w:spacing w:after="0"/>
        <w:ind w:firstLine="708"/>
        <w:jc w:val="both"/>
        <w:rPr>
          <w:rFonts w:ascii="Arial" w:eastAsia="Arial" w:hAnsi="Arial" w:cs="Arial"/>
          <w:color w:val="000000"/>
          <w:lang w:val="es-ES_tradnl"/>
        </w:rPr>
      </w:pPr>
    </w:p>
    <w:p w14:paraId="4CF952AE" w14:textId="21AE394B" w:rsidR="00C87232" w:rsidRDefault="00C87232" w:rsidP="004F504B">
      <w:pPr>
        <w:spacing w:after="0" w:line="276" w:lineRule="auto"/>
        <w:ind w:firstLine="708"/>
        <w:jc w:val="both"/>
        <w:rPr>
          <w:rFonts w:ascii="Arial" w:hAnsi="Arial" w:cs="Arial"/>
          <w:color w:val="000000" w:themeColor="text1"/>
        </w:rPr>
      </w:pPr>
      <w:r>
        <w:rPr>
          <w:rFonts w:ascii="Arial" w:eastAsia="Arial" w:hAnsi="Arial" w:cs="Arial"/>
          <w:color w:val="000000"/>
          <w:lang w:val="es-ES_tradnl"/>
        </w:rPr>
        <w:lastRenderedPageBreak/>
        <w:t xml:space="preserve">Como se aprecia, el principio </w:t>
      </w:r>
      <w:r>
        <w:rPr>
          <w:rFonts w:ascii="Arial" w:eastAsia="Arial" w:hAnsi="Arial" w:cs="Arial"/>
          <w:i/>
          <w:iCs/>
          <w:color w:val="000000"/>
          <w:lang w:val="es-ES_tradnl"/>
        </w:rPr>
        <w:t xml:space="preserve">pro </w:t>
      </w:r>
      <w:proofErr w:type="spellStart"/>
      <w:r>
        <w:rPr>
          <w:rFonts w:ascii="Arial" w:eastAsia="Arial" w:hAnsi="Arial" w:cs="Arial"/>
          <w:i/>
          <w:iCs/>
          <w:color w:val="000000"/>
          <w:lang w:val="es-ES_tradnl"/>
        </w:rPr>
        <w:t>libertate</w:t>
      </w:r>
      <w:proofErr w:type="spellEnd"/>
      <w:r>
        <w:rPr>
          <w:rFonts w:ascii="Arial" w:eastAsia="Arial" w:hAnsi="Arial" w:cs="Arial"/>
          <w:color w:val="000000"/>
          <w:lang w:val="es-ES_tradnl"/>
        </w:rPr>
        <w:t xml:space="preserve"> es el que debe dirigir la interpretación de las disposiciones normativas que consagran restricciones de derechos, como sucede con las causales de inhabilidad e incompatibilidad en la contratación estatal. Además, en relación con la determinación de las causales de inhabilidad e incompatibilidad, la</w:t>
      </w:r>
      <w:r>
        <w:rPr>
          <w:rFonts w:ascii="Arial" w:hAnsi="Arial" w:cs="Arial"/>
          <w:color w:val="000000" w:themeColor="text1"/>
        </w:rPr>
        <w:t xml:space="preserve"> Corte Constitucional ha resaltado que </w:t>
      </w:r>
      <w:r w:rsidRPr="00D1695A">
        <w:rPr>
          <w:rFonts w:ascii="Arial" w:hAnsi="Arial" w:cs="Arial"/>
          <w:color w:val="000000" w:themeColor="text1"/>
          <w:highlight w:val="yellow"/>
          <w:u w:val="single"/>
        </w:rPr>
        <w:t>la competencia para determinar qué hechos o situaciones generan inhabilidades o incompatibilidades para contratar con el Estado la tiene el legislador</w:t>
      </w:r>
      <w:r>
        <w:rPr>
          <w:rFonts w:ascii="Arial" w:hAnsi="Arial" w:cs="Arial"/>
          <w:color w:val="000000" w:themeColor="text1"/>
        </w:rPr>
        <w:t xml:space="preserve">, pues este régimen es un aspecto propio del Estatuto General de la Contratación de la Administración Pública, cuya expedición compete al </w:t>
      </w:r>
      <w:r w:rsidRPr="009A0FE0">
        <w:rPr>
          <w:rFonts w:ascii="Arial" w:hAnsi="Arial" w:cs="Arial"/>
          <w:color w:val="000000" w:themeColor="text1"/>
        </w:rPr>
        <w:t>Congreso de la República, conforme al artículo 150 de la Constitución Política, y que en esta materia rige el principio de legalidad</w:t>
      </w:r>
      <w:r w:rsidRPr="009A0FE0">
        <w:rPr>
          <w:rStyle w:val="Refdenotaalpie"/>
          <w:rFonts w:ascii="Arial" w:hAnsi="Arial" w:cs="Arial"/>
          <w:color w:val="000000" w:themeColor="text1"/>
        </w:rPr>
        <w:footnoteReference w:id="25"/>
      </w:r>
      <w:r w:rsidR="004F504B">
        <w:rPr>
          <w:rFonts w:ascii="Arial" w:hAnsi="Arial" w:cs="Arial"/>
          <w:color w:val="000000" w:themeColor="text1"/>
        </w:rPr>
        <w:t>.</w:t>
      </w:r>
    </w:p>
    <w:p w14:paraId="0DA23D51" w14:textId="77777777" w:rsidR="008C7977" w:rsidRDefault="008C7977" w:rsidP="004F504B">
      <w:pPr>
        <w:spacing w:after="0" w:line="276" w:lineRule="auto"/>
        <w:ind w:firstLine="708"/>
        <w:jc w:val="both"/>
        <w:rPr>
          <w:rFonts w:ascii="Arial" w:hAnsi="Arial" w:cs="Arial"/>
          <w:color w:val="000000" w:themeColor="text1"/>
        </w:rPr>
      </w:pPr>
    </w:p>
    <w:p w14:paraId="75387D8F" w14:textId="77777777" w:rsidR="004F504B" w:rsidRDefault="004F504B" w:rsidP="00660381">
      <w:pPr>
        <w:spacing w:after="0" w:line="276" w:lineRule="auto"/>
        <w:ind w:firstLine="708"/>
        <w:jc w:val="both"/>
        <w:rPr>
          <w:rFonts w:ascii="Arial" w:hAnsi="Arial" w:cs="Arial"/>
          <w:color w:val="000000" w:themeColor="text1"/>
        </w:rPr>
      </w:pPr>
    </w:p>
    <w:p w14:paraId="06511F3A" w14:textId="3DA3D3E9" w:rsidR="00C87232" w:rsidRDefault="004F504B" w:rsidP="009150A9">
      <w:pPr>
        <w:spacing w:after="0" w:line="276" w:lineRule="auto"/>
        <w:jc w:val="both"/>
        <w:rPr>
          <w:rFonts w:ascii="Arial" w:eastAsia="Calibri" w:hAnsi="Arial" w:cs="Arial"/>
          <w:b/>
          <w:bCs/>
          <w:lang w:val="es-ES_tradnl"/>
        </w:rPr>
      </w:pPr>
      <w:r w:rsidRPr="00660381">
        <w:rPr>
          <w:rFonts w:ascii="Arial" w:hAnsi="Arial" w:cs="Arial"/>
          <w:b/>
          <w:bCs/>
          <w:color w:val="000000" w:themeColor="text1"/>
        </w:rPr>
        <w:t>2.2.</w:t>
      </w:r>
      <w:r w:rsidR="00A16125">
        <w:rPr>
          <w:rFonts w:ascii="Arial" w:hAnsi="Arial" w:cs="Arial"/>
          <w:b/>
          <w:bCs/>
          <w:color w:val="000000" w:themeColor="text1"/>
        </w:rPr>
        <w:t xml:space="preserve"> </w:t>
      </w:r>
      <w:r w:rsidRPr="00660381">
        <w:rPr>
          <w:rFonts w:ascii="Arial" w:hAnsi="Arial" w:cs="Arial"/>
          <w:b/>
          <w:bCs/>
          <w:color w:val="000000" w:themeColor="text1"/>
        </w:rPr>
        <w:t xml:space="preserve"> </w:t>
      </w:r>
      <w:r w:rsidR="00A16125" w:rsidRPr="00A16125">
        <w:rPr>
          <w:rFonts w:ascii="Arial" w:eastAsia="Calibri" w:hAnsi="Arial" w:cs="Arial"/>
          <w:b/>
          <w:bCs/>
          <w:lang w:val="es-ES_tradnl"/>
        </w:rPr>
        <w:t>Apreciaciones generales sobre las sociedades comerciales y las entidades sin ánimo de lucro –ESAL–</w:t>
      </w:r>
    </w:p>
    <w:p w14:paraId="55AC003B" w14:textId="77777777" w:rsidR="00A16125" w:rsidRDefault="00A16125" w:rsidP="009150A9">
      <w:pPr>
        <w:spacing w:after="0" w:line="276" w:lineRule="auto"/>
        <w:jc w:val="both"/>
        <w:rPr>
          <w:rFonts w:ascii="Arial" w:eastAsia="Calibri" w:hAnsi="Arial" w:cs="Arial"/>
          <w:b/>
          <w:bCs/>
          <w:lang w:val="es-ES_tradnl"/>
        </w:rPr>
      </w:pPr>
    </w:p>
    <w:p w14:paraId="23802161" w14:textId="77777777" w:rsidR="008C7977" w:rsidRPr="008C7977" w:rsidRDefault="008C7977" w:rsidP="008C7977">
      <w:pPr>
        <w:spacing w:after="0" w:line="276" w:lineRule="auto"/>
        <w:jc w:val="both"/>
        <w:rPr>
          <w:rFonts w:ascii="Arial" w:hAnsi="Arial" w:cs="Arial"/>
          <w:color w:val="000000" w:themeColor="text1"/>
        </w:rPr>
      </w:pPr>
      <w:r w:rsidRPr="008C7977">
        <w:rPr>
          <w:rFonts w:ascii="Arial" w:hAnsi="Arial" w:cs="Arial"/>
          <w:color w:val="000000" w:themeColor="text1"/>
        </w:rPr>
        <w:t>El Código de Comercio, y en general la legislación mercantil, identifican varios tipos de sociedades comerciales que pueden constituirse para desarrollar actividades de esa índole, estableciendo el régimen general de las personas jurídicas, delimitando las particularidades y principios que rigen y conformando al contrato de sociedad.</w:t>
      </w:r>
    </w:p>
    <w:p w14:paraId="058D5118" w14:textId="77777777" w:rsidR="008C7977" w:rsidRPr="008C7977" w:rsidRDefault="008C7977" w:rsidP="008C7977">
      <w:pPr>
        <w:spacing w:after="0" w:line="276" w:lineRule="auto"/>
        <w:ind w:firstLine="708"/>
        <w:jc w:val="both"/>
        <w:rPr>
          <w:rFonts w:ascii="Arial" w:hAnsi="Arial" w:cs="Arial"/>
          <w:color w:val="000000" w:themeColor="text1"/>
        </w:rPr>
      </w:pPr>
    </w:p>
    <w:p w14:paraId="196CCACE" w14:textId="77777777" w:rsidR="008C7977" w:rsidRPr="008C7977" w:rsidRDefault="008C7977" w:rsidP="008C7977">
      <w:pPr>
        <w:spacing w:after="0" w:line="276" w:lineRule="auto"/>
        <w:ind w:firstLine="708"/>
        <w:jc w:val="both"/>
        <w:rPr>
          <w:rFonts w:ascii="Arial" w:hAnsi="Arial" w:cs="Arial"/>
          <w:color w:val="000000" w:themeColor="text1"/>
        </w:rPr>
      </w:pPr>
      <w:r w:rsidRPr="008C7977">
        <w:rPr>
          <w:rFonts w:ascii="Arial" w:hAnsi="Arial" w:cs="Arial"/>
          <w:color w:val="000000" w:themeColor="text1"/>
        </w:rPr>
        <w:t xml:space="preserve">Varias disposiciones de ese código inciden en el sentido del concepto que se solicita. Se trata de los artículos 98 y 100, de conformidad con los cuales, respectivamente: i) existe contrato de sociedad comercial cuando dos o más personas aportan dinero, trabajo u otro bien, con el fin de repartirse las </w:t>
      </w:r>
      <w:proofErr w:type="gramStart"/>
      <w:r w:rsidRPr="008C7977">
        <w:rPr>
          <w:rFonts w:ascii="Arial" w:hAnsi="Arial" w:cs="Arial"/>
          <w:color w:val="000000" w:themeColor="text1"/>
        </w:rPr>
        <w:t>utilidades ;</w:t>
      </w:r>
      <w:proofErr w:type="gramEnd"/>
      <w:r w:rsidRPr="008C7977">
        <w:rPr>
          <w:rFonts w:ascii="Arial" w:hAnsi="Arial" w:cs="Arial"/>
          <w:color w:val="000000" w:themeColor="text1"/>
        </w:rPr>
        <w:t xml:space="preserve"> y ii) se entiende que son comerciales las sociedades creadas para ejecutar actos o empresas mercantiles .</w:t>
      </w:r>
    </w:p>
    <w:p w14:paraId="7DAD0671" w14:textId="77777777" w:rsidR="008C7977" w:rsidRPr="008C7977" w:rsidRDefault="008C7977" w:rsidP="008C7977">
      <w:pPr>
        <w:spacing w:after="0" w:line="276" w:lineRule="auto"/>
        <w:ind w:firstLine="708"/>
        <w:jc w:val="both"/>
        <w:rPr>
          <w:rFonts w:ascii="Arial" w:hAnsi="Arial" w:cs="Arial"/>
          <w:color w:val="000000" w:themeColor="text1"/>
        </w:rPr>
      </w:pPr>
    </w:p>
    <w:p w14:paraId="71DD136F" w14:textId="77777777" w:rsidR="008C7977" w:rsidRPr="008C7977" w:rsidRDefault="008C7977" w:rsidP="008C7977">
      <w:pPr>
        <w:spacing w:after="0" w:line="276" w:lineRule="auto"/>
        <w:ind w:firstLine="708"/>
        <w:jc w:val="both"/>
        <w:rPr>
          <w:rFonts w:ascii="Arial" w:hAnsi="Arial" w:cs="Arial"/>
          <w:color w:val="000000" w:themeColor="text1"/>
        </w:rPr>
      </w:pPr>
      <w:r w:rsidRPr="008C7977">
        <w:rPr>
          <w:rFonts w:ascii="Arial" w:hAnsi="Arial" w:cs="Arial"/>
          <w:color w:val="000000" w:themeColor="text1"/>
        </w:rPr>
        <w:t>Sobre el primer aspecto, hay que señalar que, como regla general, las sociedades requieren un número plural de socios -regla que perdió carácter absoluto, porque ya existen sociedades unipersonales-; además, cada socio debe hacer aportes a la sociedad; y los socios deben tener ánimo de lucrarse con el desarrollo de la actividad que constituya el objeto social, que en este caso se representa en la vocación de repartir utilidades. Se trata de elementos y requisitos necesarios para que exista contrato de sociedad, y por tanto sociedad comercial.</w:t>
      </w:r>
    </w:p>
    <w:p w14:paraId="493F893A" w14:textId="77777777" w:rsidR="008C7977" w:rsidRPr="008C7977" w:rsidRDefault="008C7977" w:rsidP="008C7977">
      <w:pPr>
        <w:spacing w:after="0" w:line="276" w:lineRule="auto"/>
        <w:ind w:firstLine="708"/>
        <w:jc w:val="both"/>
        <w:rPr>
          <w:rFonts w:ascii="Arial" w:hAnsi="Arial" w:cs="Arial"/>
          <w:color w:val="000000" w:themeColor="text1"/>
        </w:rPr>
      </w:pPr>
    </w:p>
    <w:p w14:paraId="2580524F" w14:textId="77777777" w:rsidR="008C7977" w:rsidRPr="008C7977" w:rsidRDefault="008C7977" w:rsidP="008C7977">
      <w:pPr>
        <w:spacing w:after="0" w:line="276" w:lineRule="auto"/>
        <w:ind w:firstLine="708"/>
        <w:jc w:val="both"/>
        <w:rPr>
          <w:rFonts w:ascii="Arial" w:hAnsi="Arial" w:cs="Arial"/>
          <w:color w:val="000000" w:themeColor="text1"/>
        </w:rPr>
      </w:pPr>
      <w:r w:rsidRPr="008C7977">
        <w:rPr>
          <w:rFonts w:ascii="Arial" w:hAnsi="Arial" w:cs="Arial"/>
          <w:color w:val="000000" w:themeColor="text1"/>
        </w:rPr>
        <w:t>Sobre el segundo aspecto citado, lo propio de las sociedades comerciales es realizar actos de comercio o empresas mercantiles, tanto que la norma dispone que "Las sociedades que no contemplen en su objeto social actos mercantiles, serán civiles".</w:t>
      </w:r>
    </w:p>
    <w:p w14:paraId="46E26B2E" w14:textId="77777777" w:rsidR="008C7977" w:rsidRPr="008C7977" w:rsidRDefault="008C7977" w:rsidP="008C7977">
      <w:pPr>
        <w:spacing w:after="0" w:line="276" w:lineRule="auto"/>
        <w:ind w:firstLine="708"/>
        <w:jc w:val="both"/>
        <w:rPr>
          <w:rFonts w:ascii="Arial" w:hAnsi="Arial" w:cs="Arial"/>
          <w:color w:val="000000" w:themeColor="text1"/>
        </w:rPr>
      </w:pPr>
    </w:p>
    <w:p w14:paraId="77368C50" w14:textId="77777777" w:rsidR="008C7977" w:rsidRPr="008C7977" w:rsidRDefault="008C7977" w:rsidP="008C7977">
      <w:pPr>
        <w:spacing w:after="0" w:line="276" w:lineRule="auto"/>
        <w:ind w:firstLine="708"/>
        <w:jc w:val="both"/>
        <w:rPr>
          <w:rFonts w:ascii="Arial" w:hAnsi="Arial" w:cs="Arial"/>
          <w:color w:val="000000" w:themeColor="text1"/>
        </w:rPr>
      </w:pPr>
      <w:r w:rsidRPr="008C7977">
        <w:rPr>
          <w:rFonts w:ascii="Arial" w:hAnsi="Arial" w:cs="Arial"/>
          <w:color w:val="000000" w:themeColor="text1"/>
        </w:rPr>
        <w:t xml:space="preserve">Las normas citadas se ubican en el Libro Segundo del Código de Comercio, que se ocupa "De las Sociedades Comerciales", y regula las siguientes materias: el contrato de sociedad, la </w:t>
      </w:r>
      <w:r w:rsidRPr="008C7977">
        <w:rPr>
          <w:rFonts w:ascii="Arial" w:hAnsi="Arial" w:cs="Arial"/>
          <w:color w:val="000000" w:themeColor="text1"/>
        </w:rPr>
        <w:lastRenderedPageBreak/>
        <w:t>constitución y prueba de la sociedad comercial, los aportes de los asociados, las utilidades sociales, las reformas del contrato social, la transformación y fusión de las sociedades, la asamblea y junta de socios o administradores, el revisor fiscal, la disolución de la sociedad, la liquidación del patrimonio social, las matrices, subordinadas y sucursales, la inspección y vigilancia de las sociedades, los balances y finalmente -lo que más interesa en este concepto- las clases o tipos de sociedades: colectiva, en comandita -simple y por acciones.­ de responsabilidad limitada, anónima, de economía mixta, extranjeras, mercantiles de hecho y cuentas en participación.</w:t>
      </w:r>
    </w:p>
    <w:p w14:paraId="02B1D9A5" w14:textId="77777777" w:rsidR="008C7977" w:rsidRPr="008C7977" w:rsidRDefault="008C7977" w:rsidP="008C7977">
      <w:pPr>
        <w:spacing w:after="0" w:line="276" w:lineRule="auto"/>
        <w:ind w:firstLine="708"/>
        <w:jc w:val="both"/>
        <w:rPr>
          <w:rFonts w:ascii="Arial" w:hAnsi="Arial" w:cs="Arial"/>
          <w:color w:val="000000" w:themeColor="text1"/>
        </w:rPr>
      </w:pPr>
    </w:p>
    <w:p w14:paraId="7BF736BA" w14:textId="77777777" w:rsidR="008C7977" w:rsidRPr="008C7977" w:rsidRDefault="008C7977" w:rsidP="008C7977">
      <w:pPr>
        <w:spacing w:after="0" w:line="276" w:lineRule="auto"/>
        <w:ind w:firstLine="708"/>
        <w:jc w:val="both"/>
        <w:rPr>
          <w:rFonts w:ascii="Arial" w:hAnsi="Arial" w:cs="Arial"/>
          <w:color w:val="000000" w:themeColor="text1"/>
        </w:rPr>
      </w:pPr>
      <w:r w:rsidRPr="008C7977">
        <w:rPr>
          <w:rFonts w:ascii="Arial" w:hAnsi="Arial" w:cs="Arial"/>
          <w:color w:val="000000" w:themeColor="text1"/>
        </w:rPr>
        <w:t>Los tipos o clases de sociedad comercial citada -entre otras, reguladas en leyes especiales; y ni qué decir de algunas atípicas, porque en el Código de Comercio no están todas las sociedades que se pueden constituir- se agrupan u organizan, doctrinaria y jurisprudencialmente, en: i) sociedades de capital y ii) sociedades de personas. Sin embargo, curiosamente el Código de Comercio no establece o instituye positivamente esta clasificación, no obstante, su vigencia y validez es indiscutida en el ámbito mercantil.</w:t>
      </w:r>
    </w:p>
    <w:p w14:paraId="55FB68B8" w14:textId="77777777" w:rsidR="008C7977" w:rsidRPr="008C7977" w:rsidRDefault="008C7977" w:rsidP="008C7977">
      <w:pPr>
        <w:spacing w:after="0" w:line="276" w:lineRule="auto"/>
        <w:ind w:firstLine="708"/>
        <w:jc w:val="both"/>
        <w:rPr>
          <w:rFonts w:ascii="Arial" w:hAnsi="Arial" w:cs="Arial"/>
          <w:color w:val="000000" w:themeColor="text1"/>
        </w:rPr>
      </w:pPr>
    </w:p>
    <w:p w14:paraId="28ED4206" w14:textId="77777777" w:rsidR="008C7977" w:rsidRPr="008C7977" w:rsidRDefault="008C7977" w:rsidP="008C7977">
      <w:pPr>
        <w:spacing w:after="0" w:line="276" w:lineRule="auto"/>
        <w:ind w:firstLine="708"/>
        <w:jc w:val="both"/>
        <w:rPr>
          <w:rFonts w:ascii="Arial" w:hAnsi="Arial" w:cs="Arial"/>
          <w:color w:val="000000" w:themeColor="text1"/>
        </w:rPr>
      </w:pPr>
      <w:r w:rsidRPr="008C7977">
        <w:rPr>
          <w:rFonts w:ascii="Arial" w:hAnsi="Arial" w:cs="Arial"/>
          <w:color w:val="000000" w:themeColor="text1"/>
        </w:rPr>
        <w:t>Claro que esta clasificación no es la única posible. La doctrina del derecho comercial, tanto nacional como extranjera, propone otras, atendiendo a diversos aspectos o características de las sociedades. Por ejemplo, la categorización citada antes atiende a la importancia decisiva que tienen los socios o el capital en las sociedades; pero para otros autores el factor determinante de la clasificación son las alícuotas en las que se divide el capital -sociedades de partes de interés; sociedades por cuotas y sociedades por acciones-; otros las clasifican según la nacionalidad -nacionales y extranjeras-; o según el sector del que forman parte - privado o público-; entre otros criterios  •</w:t>
      </w:r>
    </w:p>
    <w:p w14:paraId="310A983A" w14:textId="77777777" w:rsidR="008C7977" w:rsidRPr="008C7977" w:rsidRDefault="008C7977" w:rsidP="008C7977">
      <w:pPr>
        <w:spacing w:after="0" w:line="276" w:lineRule="auto"/>
        <w:ind w:firstLine="708"/>
        <w:jc w:val="both"/>
        <w:rPr>
          <w:rFonts w:ascii="Arial" w:hAnsi="Arial" w:cs="Arial"/>
          <w:color w:val="000000" w:themeColor="text1"/>
        </w:rPr>
      </w:pPr>
    </w:p>
    <w:p w14:paraId="7E7EBDD0" w14:textId="77777777" w:rsidR="008C7977" w:rsidRPr="008C7977" w:rsidRDefault="008C7977" w:rsidP="008C7977">
      <w:pPr>
        <w:spacing w:after="0" w:line="276" w:lineRule="auto"/>
        <w:ind w:firstLine="708"/>
        <w:jc w:val="both"/>
        <w:rPr>
          <w:rFonts w:ascii="Arial" w:hAnsi="Arial" w:cs="Arial"/>
          <w:color w:val="000000" w:themeColor="text1"/>
        </w:rPr>
      </w:pPr>
      <w:r w:rsidRPr="008C7977">
        <w:rPr>
          <w:rFonts w:ascii="Arial" w:hAnsi="Arial" w:cs="Arial"/>
          <w:color w:val="000000" w:themeColor="text1"/>
        </w:rPr>
        <w:t>De las clasificaciones propuestas, es bastante generalizada y aceptada aquella que las divide en "sociedades de personas" y "sociedades de capital", y ocasionalmente algunas normas del ordenamiento jurídico la usan para los efectos que estiman pertinentes. En este sentido, profundizando esta clasificación, las últimas se caracterizan porque lo más importante son los aportes económicos, es decir, las acciones y no las personas -</w:t>
      </w:r>
      <w:proofErr w:type="spellStart"/>
      <w:r w:rsidRPr="008C7977">
        <w:rPr>
          <w:rFonts w:ascii="Arial" w:hAnsi="Arial" w:cs="Arial"/>
          <w:color w:val="000000" w:themeColor="text1"/>
        </w:rPr>
        <w:t>intuitus</w:t>
      </w:r>
      <w:proofErr w:type="spellEnd"/>
      <w:r w:rsidRPr="008C7977">
        <w:rPr>
          <w:rFonts w:ascii="Arial" w:hAnsi="Arial" w:cs="Arial"/>
          <w:color w:val="000000" w:themeColor="text1"/>
        </w:rPr>
        <w:t xml:space="preserve"> </w:t>
      </w:r>
      <w:proofErr w:type="spellStart"/>
      <w:r w:rsidRPr="008C7977">
        <w:rPr>
          <w:rFonts w:ascii="Arial" w:hAnsi="Arial" w:cs="Arial"/>
          <w:color w:val="000000" w:themeColor="text1"/>
        </w:rPr>
        <w:t>rei</w:t>
      </w:r>
      <w:proofErr w:type="spellEnd"/>
      <w:r w:rsidRPr="008C7977">
        <w:rPr>
          <w:rFonts w:ascii="Arial" w:hAnsi="Arial" w:cs="Arial"/>
          <w:color w:val="000000" w:themeColor="text1"/>
        </w:rPr>
        <w:t xml:space="preserve">-, porque no importa demasiado en manos de quién están las </w:t>
      </w:r>
      <w:proofErr w:type="gramStart"/>
      <w:r w:rsidRPr="008C7977">
        <w:rPr>
          <w:rFonts w:ascii="Arial" w:hAnsi="Arial" w:cs="Arial"/>
          <w:color w:val="000000" w:themeColor="text1"/>
        </w:rPr>
        <w:t>acciones ;</w:t>
      </w:r>
      <w:proofErr w:type="gramEnd"/>
      <w:r w:rsidRPr="008C7977">
        <w:rPr>
          <w:rFonts w:ascii="Arial" w:hAnsi="Arial" w:cs="Arial"/>
          <w:color w:val="000000" w:themeColor="text1"/>
        </w:rPr>
        <w:t xml:space="preserve"> en cambio, las primeras se caracterizan porque las personas que la conforman -los socios- determinan la existencia de la sociedad, usualmente representadas en personas que se conocen entre sí</w:t>
      </w:r>
    </w:p>
    <w:p w14:paraId="5F44BF1C" w14:textId="77777777" w:rsidR="008C7977" w:rsidRPr="008C7977" w:rsidRDefault="008C7977" w:rsidP="008C7977">
      <w:pPr>
        <w:spacing w:after="0" w:line="276" w:lineRule="auto"/>
        <w:ind w:firstLine="708"/>
        <w:jc w:val="both"/>
        <w:rPr>
          <w:rFonts w:ascii="Arial" w:hAnsi="Arial" w:cs="Arial"/>
          <w:color w:val="000000" w:themeColor="text1"/>
        </w:rPr>
      </w:pPr>
      <w:r w:rsidRPr="008C7977">
        <w:rPr>
          <w:rFonts w:ascii="Arial" w:hAnsi="Arial" w:cs="Arial"/>
          <w:color w:val="000000" w:themeColor="text1"/>
        </w:rPr>
        <w:t>-</w:t>
      </w:r>
      <w:proofErr w:type="spellStart"/>
      <w:r w:rsidRPr="008C7977">
        <w:rPr>
          <w:rFonts w:ascii="Arial" w:hAnsi="Arial" w:cs="Arial"/>
          <w:color w:val="000000" w:themeColor="text1"/>
        </w:rPr>
        <w:t>intuitus</w:t>
      </w:r>
      <w:proofErr w:type="spellEnd"/>
      <w:r w:rsidRPr="008C7977">
        <w:rPr>
          <w:rFonts w:ascii="Arial" w:hAnsi="Arial" w:cs="Arial"/>
          <w:color w:val="000000" w:themeColor="text1"/>
        </w:rPr>
        <w:t xml:space="preserve"> </w:t>
      </w:r>
      <w:proofErr w:type="spellStart"/>
      <w:r w:rsidRPr="008C7977">
        <w:rPr>
          <w:rFonts w:ascii="Arial" w:hAnsi="Arial" w:cs="Arial"/>
          <w:color w:val="000000" w:themeColor="text1"/>
        </w:rPr>
        <w:t>personarum</w:t>
      </w:r>
      <w:proofErr w:type="spellEnd"/>
      <w:r w:rsidRPr="008C7977">
        <w:rPr>
          <w:rFonts w:ascii="Arial" w:hAnsi="Arial" w:cs="Arial"/>
          <w:color w:val="000000" w:themeColor="text1"/>
        </w:rPr>
        <w:t>-  • No obstante, en ambos casos existen socios y además se necesita capital o aportes; solo que en esta clasificación prevalece una de estas dos necesidades sobre la otra.</w:t>
      </w:r>
    </w:p>
    <w:p w14:paraId="6B647A66" w14:textId="77777777" w:rsidR="008C7977" w:rsidRPr="008C7977" w:rsidRDefault="008C7977" w:rsidP="008C7977">
      <w:pPr>
        <w:spacing w:after="0" w:line="276" w:lineRule="auto"/>
        <w:ind w:firstLine="708"/>
        <w:jc w:val="both"/>
        <w:rPr>
          <w:rFonts w:ascii="Arial" w:hAnsi="Arial" w:cs="Arial"/>
          <w:color w:val="000000" w:themeColor="text1"/>
        </w:rPr>
      </w:pPr>
    </w:p>
    <w:p w14:paraId="08B8841C" w14:textId="77777777" w:rsidR="008C7977" w:rsidRPr="008C7977" w:rsidRDefault="008C7977" w:rsidP="008C7977">
      <w:pPr>
        <w:spacing w:after="0" w:line="276" w:lineRule="auto"/>
        <w:ind w:firstLine="708"/>
        <w:jc w:val="both"/>
        <w:rPr>
          <w:rFonts w:ascii="Arial" w:hAnsi="Arial" w:cs="Arial"/>
          <w:color w:val="000000" w:themeColor="text1"/>
        </w:rPr>
      </w:pPr>
      <w:r w:rsidRPr="008C7977">
        <w:rPr>
          <w:rFonts w:ascii="Arial" w:hAnsi="Arial" w:cs="Arial"/>
          <w:color w:val="000000" w:themeColor="text1"/>
        </w:rPr>
        <w:t xml:space="preserve">Al grupo de las "sociedades de personas" pertenecen las siguientes sociedades: colectivas, en comandita simple, limitada, unipersonal y las cooperativas. Al grupo de las </w:t>
      </w:r>
      <w:r w:rsidRPr="008C7977">
        <w:rPr>
          <w:rFonts w:ascii="Arial" w:hAnsi="Arial" w:cs="Arial"/>
          <w:color w:val="000000" w:themeColor="text1"/>
        </w:rPr>
        <w:lastRenderedPageBreak/>
        <w:t xml:space="preserve">"sociedades de capital" pertenecen: las sociedades anónimas, las sociedades en comandita por acciones, las simplificadas por acciones -SAS- y las de economía </w:t>
      </w:r>
      <w:proofErr w:type="spellStart"/>
      <w:r w:rsidRPr="008C7977">
        <w:rPr>
          <w:rFonts w:ascii="Arial" w:hAnsi="Arial" w:cs="Arial"/>
          <w:color w:val="000000" w:themeColor="text1"/>
        </w:rPr>
        <w:t>rnixta</w:t>
      </w:r>
      <w:proofErr w:type="spellEnd"/>
      <w:r w:rsidRPr="008C7977">
        <w:rPr>
          <w:rFonts w:ascii="Arial" w:hAnsi="Arial" w:cs="Arial"/>
          <w:color w:val="000000" w:themeColor="text1"/>
        </w:rPr>
        <w:t xml:space="preserve"> •</w:t>
      </w:r>
    </w:p>
    <w:p w14:paraId="29B0CCC3" w14:textId="77777777" w:rsidR="008C7977" w:rsidRPr="008C7977" w:rsidRDefault="008C7977" w:rsidP="008C7977">
      <w:pPr>
        <w:spacing w:after="0" w:line="276" w:lineRule="auto"/>
        <w:ind w:firstLine="708"/>
        <w:jc w:val="both"/>
        <w:rPr>
          <w:rFonts w:ascii="Arial" w:hAnsi="Arial" w:cs="Arial"/>
          <w:color w:val="000000" w:themeColor="text1"/>
        </w:rPr>
      </w:pPr>
    </w:p>
    <w:p w14:paraId="7EAC1D38" w14:textId="77777777" w:rsidR="008C7977" w:rsidRPr="008C7977" w:rsidRDefault="008C7977" w:rsidP="008C7977">
      <w:pPr>
        <w:spacing w:after="0" w:line="276" w:lineRule="auto"/>
        <w:ind w:firstLine="708"/>
        <w:jc w:val="both"/>
        <w:rPr>
          <w:rFonts w:ascii="Arial" w:hAnsi="Arial" w:cs="Arial"/>
          <w:color w:val="000000" w:themeColor="text1"/>
        </w:rPr>
      </w:pPr>
      <w:r w:rsidRPr="008C7977">
        <w:rPr>
          <w:rFonts w:ascii="Arial" w:hAnsi="Arial" w:cs="Arial"/>
          <w:color w:val="000000" w:themeColor="text1"/>
        </w:rPr>
        <w:t xml:space="preserve">No </w:t>
      </w:r>
      <w:proofErr w:type="gramStart"/>
      <w:r w:rsidRPr="008C7977">
        <w:rPr>
          <w:rFonts w:ascii="Arial" w:hAnsi="Arial" w:cs="Arial"/>
          <w:color w:val="000000" w:themeColor="text1"/>
        </w:rPr>
        <w:t>obstante</w:t>
      </w:r>
      <w:proofErr w:type="gramEnd"/>
      <w:r w:rsidRPr="008C7977">
        <w:rPr>
          <w:rFonts w:ascii="Arial" w:hAnsi="Arial" w:cs="Arial"/>
          <w:color w:val="000000" w:themeColor="text1"/>
        </w:rPr>
        <w:t xml:space="preserve"> lo anterior, parte de la doctrina del derecho comercial estima que en esta clasificación cabe un tipo mixto: "sociedades de naturaleza mixtas", que corresponde a aquellas donde las acciones o capital es tan importante corno las personas que conforman la sociedad, </w:t>
      </w:r>
      <w:proofErr w:type="spellStart"/>
      <w:r w:rsidRPr="008C7977">
        <w:rPr>
          <w:rFonts w:ascii="Arial" w:hAnsi="Arial" w:cs="Arial"/>
          <w:color w:val="000000" w:themeColor="text1"/>
        </w:rPr>
        <w:t>cornplejizando</w:t>
      </w:r>
      <w:proofErr w:type="spellEnd"/>
      <w:r w:rsidRPr="008C7977">
        <w:rPr>
          <w:rFonts w:ascii="Arial" w:hAnsi="Arial" w:cs="Arial"/>
          <w:color w:val="000000" w:themeColor="text1"/>
        </w:rPr>
        <w:t xml:space="preserve"> esta clasificación. Es el caso de las sociedades de responsabilidad limitada.</w:t>
      </w:r>
    </w:p>
    <w:p w14:paraId="2BE9D904" w14:textId="77777777" w:rsidR="008C7977" w:rsidRPr="008C7977" w:rsidRDefault="008C7977" w:rsidP="008C7977">
      <w:pPr>
        <w:spacing w:after="0" w:line="276" w:lineRule="auto"/>
        <w:ind w:firstLine="708"/>
        <w:jc w:val="both"/>
        <w:rPr>
          <w:rFonts w:ascii="Arial" w:hAnsi="Arial" w:cs="Arial"/>
          <w:color w:val="000000" w:themeColor="text1"/>
        </w:rPr>
      </w:pPr>
    </w:p>
    <w:p w14:paraId="4537490B" w14:textId="77777777" w:rsidR="008C7977" w:rsidRPr="008C7977" w:rsidRDefault="008C7977" w:rsidP="008C7977">
      <w:pPr>
        <w:spacing w:after="0" w:line="276" w:lineRule="auto"/>
        <w:ind w:firstLine="708"/>
        <w:jc w:val="both"/>
        <w:rPr>
          <w:rFonts w:ascii="Arial" w:hAnsi="Arial" w:cs="Arial"/>
          <w:color w:val="000000" w:themeColor="text1"/>
        </w:rPr>
      </w:pPr>
      <w:r w:rsidRPr="008C7977">
        <w:rPr>
          <w:rFonts w:ascii="Arial" w:hAnsi="Arial" w:cs="Arial"/>
          <w:color w:val="000000" w:themeColor="text1"/>
        </w:rPr>
        <w:t>No obstante la dificultad que ofrezca la clasificación que se adopte, para organizar la pertenencia de cada sociedad al respectivo grupo, en cualquiera se debe estar ante "sociedades", es decir, ante sujetos u organizaciones que forman una persona jurídica distintas de los socios que la conforman, corno dispone el artículo 98 del  Código de Comercio: "Por el contrato de sociedad dos o más personas se obligan a hacer un aporte en dinero, en trabajo o en otros bienes apreciables en dinero, con el fin de repartirse entre sí las utilidades obtenidas en la empresa o actividad social".</w:t>
      </w:r>
    </w:p>
    <w:p w14:paraId="74F9F59F" w14:textId="77777777" w:rsidR="008C7977" w:rsidRPr="008C7977" w:rsidRDefault="008C7977" w:rsidP="008C7977">
      <w:pPr>
        <w:spacing w:after="0" w:line="276" w:lineRule="auto"/>
        <w:ind w:firstLine="708"/>
        <w:jc w:val="both"/>
        <w:rPr>
          <w:rFonts w:ascii="Arial" w:hAnsi="Arial" w:cs="Arial"/>
          <w:color w:val="000000" w:themeColor="text1"/>
        </w:rPr>
      </w:pPr>
    </w:p>
    <w:p w14:paraId="3450D1AB" w14:textId="77777777" w:rsidR="008C7977" w:rsidRPr="008C7977" w:rsidRDefault="008C7977" w:rsidP="008C7977">
      <w:pPr>
        <w:spacing w:after="0" w:line="276" w:lineRule="auto"/>
        <w:ind w:firstLine="708"/>
        <w:jc w:val="both"/>
        <w:rPr>
          <w:rFonts w:ascii="Arial" w:hAnsi="Arial" w:cs="Arial"/>
          <w:color w:val="000000" w:themeColor="text1"/>
        </w:rPr>
      </w:pPr>
      <w:r w:rsidRPr="008C7977">
        <w:rPr>
          <w:rFonts w:ascii="Arial" w:hAnsi="Arial" w:cs="Arial"/>
          <w:color w:val="000000" w:themeColor="text1"/>
        </w:rPr>
        <w:t xml:space="preserve">El Libro Segundo del Código de Comercio regula con exclusividad a las sociedades comerciales, en los distintos aspectos y ternas que las constituyen, pero en la enumeración de las sociedades comerciales no incluye a las corporaciones o asociaciones ni a las fundaciones, es decir, a las entidades sin ánimo de lucro -ESAL-. La razón de la exclusión es obvia: estas organizaciones no tienen fines comerciales, es decir, carecen de ánimo de lucro, por eso no forman un tipo o clase de sociedad </w:t>
      </w:r>
      <w:proofErr w:type="gramStart"/>
      <w:r w:rsidRPr="008C7977">
        <w:rPr>
          <w:rFonts w:ascii="Arial" w:hAnsi="Arial" w:cs="Arial"/>
          <w:color w:val="000000" w:themeColor="text1"/>
        </w:rPr>
        <w:t>comercial .</w:t>
      </w:r>
      <w:proofErr w:type="gramEnd"/>
    </w:p>
    <w:p w14:paraId="1B885F2C" w14:textId="77777777" w:rsidR="008C7977" w:rsidRPr="008C7977" w:rsidRDefault="008C7977" w:rsidP="008C7977">
      <w:pPr>
        <w:spacing w:after="0" w:line="276" w:lineRule="auto"/>
        <w:ind w:firstLine="708"/>
        <w:jc w:val="both"/>
        <w:rPr>
          <w:rFonts w:ascii="Arial" w:hAnsi="Arial" w:cs="Arial"/>
          <w:color w:val="000000" w:themeColor="text1"/>
        </w:rPr>
      </w:pPr>
    </w:p>
    <w:p w14:paraId="59B7CA7D" w14:textId="77777777" w:rsidR="008C7977" w:rsidRPr="008C7977" w:rsidRDefault="008C7977" w:rsidP="008C7977">
      <w:pPr>
        <w:spacing w:after="0" w:line="276" w:lineRule="auto"/>
        <w:ind w:firstLine="708"/>
        <w:jc w:val="both"/>
        <w:rPr>
          <w:rFonts w:ascii="Arial" w:hAnsi="Arial" w:cs="Arial"/>
          <w:color w:val="000000" w:themeColor="text1"/>
        </w:rPr>
      </w:pPr>
      <w:r w:rsidRPr="008C7977">
        <w:rPr>
          <w:rFonts w:ascii="Arial" w:hAnsi="Arial" w:cs="Arial"/>
          <w:color w:val="000000" w:themeColor="text1"/>
        </w:rPr>
        <w:t xml:space="preserve">En su lugar, las entidades sin ánimo de lucro -ESAL- (es decir, su tipología y régimen) están reguladas en otro ordenamiento: en el Código Civil -entre otras normas que se armonizan con él-, y definitivamente no constituyen formas de sociedad comercial sino formas de organización civil, con fines esencialmente altruistas o de interés general, que se conforman entre personas que tienen como finalidad contribuir con su esfuerzo, y hasta con sus bienes, a ayudar a la </w:t>
      </w:r>
      <w:proofErr w:type="gramStart"/>
      <w:r w:rsidRPr="008C7977">
        <w:rPr>
          <w:rFonts w:ascii="Arial" w:hAnsi="Arial" w:cs="Arial"/>
          <w:color w:val="000000" w:themeColor="text1"/>
        </w:rPr>
        <w:t>comunidad .</w:t>
      </w:r>
      <w:proofErr w:type="gramEnd"/>
      <w:r w:rsidRPr="008C7977">
        <w:rPr>
          <w:rFonts w:ascii="Arial" w:hAnsi="Arial" w:cs="Arial"/>
          <w:color w:val="000000" w:themeColor="text1"/>
        </w:rPr>
        <w:t xml:space="preserve"> La ausencia de ánimo de lucro es la característica determinante de estas organizaciones, tanto que de allí toman su nombre general -ESAL-, y por eso mismo la diferencia fundamental con las sociedades comerciales.</w:t>
      </w:r>
    </w:p>
    <w:p w14:paraId="7ADFFD64" w14:textId="77777777" w:rsidR="008C7977" w:rsidRPr="008C7977" w:rsidRDefault="008C7977" w:rsidP="008C7977">
      <w:pPr>
        <w:spacing w:after="0" w:line="276" w:lineRule="auto"/>
        <w:ind w:firstLine="708"/>
        <w:jc w:val="both"/>
        <w:rPr>
          <w:rFonts w:ascii="Arial" w:hAnsi="Arial" w:cs="Arial"/>
          <w:color w:val="000000" w:themeColor="text1"/>
        </w:rPr>
      </w:pPr>
    </w:p>
    <w:p w14:paraId="7E08D950" w14:textId="77777777" w:rsidR="008C7977" w:rsidRPr="008C7977" w:rsidRDefault="008C7977" w:rsidP="008C7977">
      <w:pPr>
        <w:spacing w:after="0" w:line="276" w:lineRule="auto"/>
        <w:ind w:firstLine="708"/>
        <w:jc w:val="both"/>
        <w:rPr>
          <w:rFonts w:ascii="Arial" w:hAnsi="Arial" w:cs="Arial"/>
          <w:color w:val="000000" w:themeColor="text1"/>
        </w:rPr>
      </w:pPr>
      <w:r w:rsidRPr="008C7977">
        <w:rPr>
          <w:rFonts w:ascii="Arial" w:hAnsi="Arial" w:cs="Arial"/>
          <w:color w:val="000000" w:themeColor="text1"/>
        </w:rPr>
        <w:t>Que una ESAL no sea una forma de sociedad comercial se infiere de los requisitos que exige el artículo 98 del Código de Comercio, concretamente del previsto al final del inciso primero</w:t>
      </w:r>
    </w:p>
    <w:p w14:paraId="3485D929" w14:textId="77777777" w:rsidR="008C7977" w:rsidRPr="008C7977" w:rsidRDefault="008C7977" w:rsidP="008C7977">
      <w:pPr>
        <w:spacing w:after="0" w:line="276" w:lineRule="auto"/>
        <w:ind w:firstLine="708"/>
        <w:jc w:val="both"/>
        <w:rPr>
          <w:rFonts w:ascii="Arial" w:hAnsi="Arial" w:cs="Arial"/>
          <w:color w:val="000000" w:themeColor="text1"/>
        </w:rPr>
      </w:pPr>
      <w:r w:rsidRPr="008C7977">
        <w:rPr>
          <w:rFonts w:ascii="Arial" w:hAnsi="Arial" w:cs="Arial"/>
          <w:color w:val="000000" w:themeColor="text1"/>
        </w:rPr>
        <w:t>-la finalidad-, que dispone: "Por el contrato de sociedad dos o más personas se obligan a hacer un aporte en dinero, en trabajo o en otros bienes apreciables en dinero, con el fin de repartirse entre sí las utilidades obtenidas en la empresa o actividad social." (resalto fuera</w:t>
      </w:r>
    </w:p>
    <w:p w14:paraId="0DE8C08E" w14:textId="77777777" w:rsidR="008C7977" w:rsidRPr="008C7977" w:rsidRDefault="008C7977" w:rsidP="008C7977">
      <w:pPr>
        <w:spacing w:after="0" w:line="276" w:lineRule="auto"/>
        <w:ind w:firstLine="708"/>
        <w:jc w:val="both"/>
        <w:rPr>
          <w:rFonts w:ascii="Arial" w:hAnsi="Arial" w:cs="Arial"/>
          <w:color w:val="000000" w:themeColor="text1"/>
        </w:rPr>
      </w:pPr>
      <w:r w:rsidRPr="008C7977">
        <w:rPr>
          <w:rFonts w:ascii="Arial" w:hAnsi="Arial" w:cs="Arial"/>
          <w:color w:val="000000" w:themeColor="text1"/>
        </w:rPr>
        <w:t xml:space="preserve">de texto). Las ESAL del Código Civil no admiten el reparto de utilidades, ni durante la existencia de la organización ni cuando se extinga, y en este aspecto radica la diferencia más </w:t>
      </w:r>
      <w:r w:rsidRPr="008C7977">
        <w:rPr>
          <w:rFonts w:ascii="Arial" w:hAnsi="Arial" w:cs="Arial"/>
          <w:color w:val="000000" w:themeColor="text1"/>
        </w:rPr>
        <w:lastRenderedPageBreak/>
        <w:t>apreciable entre unas y otras organizaciones, pese a que ambas se crean con libertad, al amparo del derecho fundamental de asociación, previsto en el art. 38 de la Constitución Política •</w:t>
      </w:r>
    </w:p>
    <w:p w14:paraId="352FC614" w14:textId="77777777" w:rsidR="008C7977" w:rsidRPr="008C7977" w:rsidRDefault="008C7977" w:rsidP="008C7977">
      <w:pPr>
        <w:spacing w:after="0" w:line="276" w:lineRule="auto"/>
        <w:ind w:firstLine="708"/>
        <w:jc w:val="both"/>
        <w:rPr>
          <w:rFonts w:ascii="Arial" w:hAnsi="Arial" w:cs="Arial"/>
          <w:color w:val="000000" w:themeColor="text1"/>
        </w:rPr>
      </w:pPr>
    </w:p>
    <w:p w14:paraId="04CEB37A" w14:textId="000FCEC1" w:rsidR="008C7977" w:rsidRDefault="008C7977" w:rsidP="008C7977">
      <w:pPr>
        <w:spacing w:after="0" w:line="276" w:lineRule="auto"/>
        <w:ind w:firstLine="708"/>
        <w:jc w:val="both"/>
        <w:rPr>
          <w:rFonts w:ascii="Arial" w:hAnsi="Arial" w:cs="Arial"/>
          <w:color w:val="000000" w:themeColor="text1"/>
        </w:rPr>
      </w:pPr>
      <w:r w:rsidRPr="008C7977">
        <w:rPr>
          <w:rFonts w:ascii="Arial" w:hAnsi="Arial" w:cs="Arial"/>
          <w:color w:val="000000" w:themeColor="text1"/>
        </w:rPr>
        <w:t>La diferencia también se apoya en el artículo 635 del Código Civil, que dispone que el propósito de estas normas no es regular a las sociedades industriales ni las actividades comerciales o industriales, las cuales se regirán por el derecho comercial</w:t>
      </w:r>
      <w:r w:rsidR="000B7890">
        <w:rPr>
          <w:rStyle w:val="Refdenotaalpie"/>
          <w:rFonts w:ascii="Arial" w:hAnsi="Arial" w:cs="Arial"/>
          <w:color w:val="000000" w:themeColor="text1"/>
        </w:rPr>
        <w:footnoteReference w:id="26"/>
      </w:r>
      <w:r w:rsidR="00FC6D9C">
        <w:rPr>
          <w:rFonts w:ascii="Arial" w:hAnsi="Arial" w:cs="Arial"/>
          <w:color w:val="000000" w:themeColor="text1"/>
        </w:rPr>
        <w:t>.</w:t>
      </w:r>
    </w:p>
    <w:p w14:paraId="20EB6082" w14:textId="77777777" w:rsidR="00FC6D9C" w:rsidRPr="008C7977" w:rsidRDefault="00FC6D9C" w:rsidP="008C7977">
      <w:pPr>
        <w:spacing w:after="0" w:line="276" w:lineRule="auto"/>
        <w:ind w:firstLine="708"/>
        <w:jc w:val="both"/>
        <w:rPr>
          <w:rFonts w:ascii="Arial" w:hAnsi="Arial" w:cs="Arial"/>
          <w:color w:val="000000" w:themeColor="text1"/>
        </w:rPr>
      </w:pPr>
    </w:p>
    <w:p w14:paraId="08C80A5E" w14:textId="165BD396" w:rsidR="008C7977" w:rsidRDefault="008C7977" w:rsidP="008C7977">
      <w:pPr>
        <w:spacing w:after="0" w:line="276" w:lineRule="auto"/>
        <w:ind w:firstLine="708"/>
        <w:jc w:val="both"/>
        <w:rPr>
          <w:rFonts w:ascii="Arial" w:hAnsi="Arial" w:cs="Arial"/>
          <w:color w:val="000000" w:themeColor="text1"/>
        </w:rPr>
      </w:pPr>
      <w:r w:rsidRPr="008C7977">
        <w:rPr>
          <w:rFonts w:ascii="Arial" w:hAnsi="Arial" w:cs="Arial"/>
          <w:color w:val="000000" w:themeColor="text1"/>
        </w:rPr>
        <w:t xml:space="preserve">De conformidad con lo anterior, una "fundación" o una "asociación o corporación" - constituidas en </w:t>
      </w:r>
      <w:proofErr w:type="spellStart"/>
      <w:r w:rsidRPr="008C7977">
        <w:rPr>
          <w:rFonts w:ascii="Arial" w:hAnsi="Arial" w:cs="Arial"/>
          <w:color w:val="000000" w:themeColor="text1"/>
        </w:rPr>
        <w:t>lo</w:t>
      </w:r>
      <w:proofErr w:type="spellEnd"/>
      <w:r w:rsidRPr="008C7977">
        <w:rPr>
          <w:rFonts w:ascii="Arial" w:hAnsi="Arial" w:cs="Arial"/>
          <w:color w:val="000000" w:themeColor="text1"/>
        </w:rPr>
        <w:t xml:space="preserve"> términos del Código Civil-, no pueden asimilarse o identificarse con una "sociedad comercial", como uniformemente lo considera la doctrina y la jurisprudencia civil y comercial, porque la última se crea con la finalidad de que sus socios repartan las utilidades obtenidas en desarrollo de la empresa o actividad social; mientras que en la fundación el patrimonio se afecta a la consecución de un interés general y no percibe lucro.</w:t>
      </w:r>
      <w:r w:rsidR="00FF6E52">
        <w:rPr>
          <w:rFonts w:ascii="Arial" w:hAnsi="Arial" w:cs="Arial"/>
          <w:color w:val="000000" w:themeColor="text1"/>
        </w:rPr>
        <w:t xml:space="preserve"> </w:t>
      </w:r>
    </w:p>
    <w:p w14:paraId="0AAEC98F" w14:textId="77777777" w:rsidR="00F01433" w:rsidRDefault="00F01433" w:rsidP="008C7977">
      <w:pPr>
        <w:spacing w:after="0" w:line="276" w:lineRule="auto"/>
        <w:ind w:firstLine="708"/>
        <w:jc w:val="both"/>
        <w:rPr>
          <w:rFonts w:ascii="Arial" w:hAnsi="Arial" w:cs="Arial"/>
          <w:color w:val="000000" w:themeColor="text1"/>
        </w:rPr>
      </w:pPr>
    </w:p>
    <w:p w14:paraId="64B8F022" w14:textId="28608C79" w:rsidR="0054315A" w:rsidRDefault="0054315A" w:rsidP="008C7977">
      <w:pPr>
        <w:spacing w:after="0" w:line="276" w:lineRule="auto"/>
        <w:ind w:firstLine="708"/>
        <w:jc w:val="both"/>
        <w:rPr>
          <w:rFonts w:ascii="Arial" w:hAnsi="Arial" w:cs="Arial"/>
          <w:color w:val="000000" w:themeColor="text1"/>
        </w:rPr>
      </w:pPr>
      <w:r w:rsidRPr="00D06870">
        <w:rPr>
          <w:rFonts w:ascii="Arial" w:hAnsi="Arial" w:cs="Arial"/>
          <w:color w:val="000000" w:themeColor="text1"/>
          <w:highlight w:val="yellow"/>
        </w:rPr>
        <w:t>Ahora bien</w:t>
      </w:r>
      <w:r>
        <w:rPr>
          <w:rFonts w:ascii="Arial" w:hAnsi="Arial" w:cs="Arial"/>
          <w:color w:val="000000" w:themeColor="text1"/>
        </w:rPr>
        <w:t xml:space="preserve">, de conformidad con la consulta planteada </w:t>
      </w:r>
      <w:r w:rsidR="00022488">
        <w:rPr>
          <w:rFonts w:ascii="Arial" w:hAnsi="Arial" w:cs="Arial"/>
          <w:color w:val="000000" w:themeColor="text1"/>
        </w:rPr>
        <w:t>y sin perder de vista</w:t>
      </w:r>
      <w:r w:rsidR="00B608E9">
        <w:rPr>
          <w:rFonts w:ascii="Arial" w:hAnsi="Arial" w:cs="Arial"/>
          <w:color w:val="000000" w:themeColor="text1"/>
        </w:rPr>
        <w:t xml:space="preserve"> el </w:t>
      </w:r>
      <w:r w:rsidR="00511F39">
        <w:rPr>
          <w:rFonts w:ascii="Arial" w:hAnsi="Arial" w:cs="Arial"/>
          <w:color w:val="000000" w:themeColor="text1"/>
        </w:rPr>
        <w:t xml:space="preserve">carácter </w:t>
      </w:r>
      <w:r w:rsidR="00511F39" w:rsidRPr="00B608E9">
        <w:rPr>
          <w:rFonts w:ascii="Arial" w:hAnsi="Arial" w:cs="Arial"/>
          <w:color w:val="000000" w:themeColor="text1"/>
        </w:rPr>
        <w:t>taxativo</w:t>
      </w:r>
      <w:r w:rsidR="00B608E9" w:rsidRPr="00B608E9">
        <w:rPr>
          <w:rFonts w:ascii="Arial" w:hAnsi="Arial" w:cs="Arial"/>
          <w:color w:val="000000" w:themeColor="text1"/>
        </w:rPr>
        <w:t xml:space="preserve"> y restrictiv</w:t>
      </w:r>
      <w:r w:rsidR="00B608E9">
        <w:rPr>
          <w:rFonts w:ascii="Arial" w:hAnsi="Arial" w:cs="Arial"/>
          <w:color w:val="000000" w:themeColor="text1"/>
        </w:rPr>
        <w:t>o de la interpretación de las Inhabilidad</w:t>
      </w:r>
      <w:r w:rsidR="00374B77">
        <w:rPr>
          <w:rFonts w:ascii="Arial" w:hAnsi="Arial" w:cs="Arial"/>
          <w:color w:val="000000" w:themeColor="text1"/>
        </w:rPr>
        <w:t>es deslindadas</w:t>
      </w:r>
      <w:r w:rsidR="00773A2A">
        <w:rPr>
          <w:rFonts w:ascii="Arial" w:hAnsi="Arial" w:cs="Arial"/>
          <w:color w:val="000000" w:themeColor="text1"/>
        </w:rPr>
        <w:t xml:space="preserve"> estas características del principio de legalidad, conviene hacer una lectura detenida del </w:t>
      </w:r>
      <w:r w:rsidR="00E907FE">
        <w:rPr>
          <w:rFonts w:ascii="Arial" w:hAnsi="Arial" w:cs="Arial"/>
          <w:color w:val="000000" w:themeColor="text1"/>
        </w:rPr>
        <w:t xml:space="preserve">literal f numeral 2 del articulo </w:t>
      </w:r>
      <w:r w:rsidR="0030297F">
        <w:rPr>
          <w:rFonts w:ascii="Arial" w:hAnsi="Arial" w:cs="Arial"/>
          <w:color w:val="000000" w:themeColor="text1"/>
        </w:rPr>
        <w:t xml:space="preserve">8 de la Ley 80 de 1993, norma objeto de la presente consulta, la cual dispone lo siguiente: </w:t>
      </w:r>
    </w:p>
    <w:p w14:paraId="03F8B9E1" w14:textId="77777777" w:rsidR="0030297F" w:rsidRDefault="0030297F" w:rsidP="008C7977">
      <w:pPr>
        <w:spacing w:after="0" w:line="276" w:lineRule="auto"/>
        <w:ind w:firstLine="708"/>
        <w:jc w:val="both"/>
        <w:rPr>
          <w:rFonts w:ascii="Arial" w:hAnsi="Arial" w:cs="Arial"/>
          <w:color w:val="000000" w:themeColor="text1"/>
        </w:rPr>
      </w:pPr>
    </w:p>
    <w:p w14:paraId="2447D470" w14:textId="7B51C9D9" w:rsidR="0030297F" w:rsidRPr="00511F39" w:rsidRDefault="00945AC7" w:rsidP="00511F39">
      <w:pPr>
        <w:spacing w:after="0" w:line="240" w:lineRule="auto"/>
        <w:ind w:left="709" w:right="709"/>
        <w:jc w:val="both"/>
        <w:rPr>
          <w:rFonts w:ascii="Arial" w:eastAsia="Times New Roman" w:hAnsi="Arial" w:cs="Arial"/>
          <w:color w:val="000000" w:themeColor="text1"/>
          <w:sz w:val="21"/>
          <w:szCs w:val="21"/>
          <w:lang w:val="es-ES_tradnl" w:eastAsia="es-ES_tradnl"/>
        </w:rPr>
      </w:pPr>
      <w:r w:rsidRPr="00511F39">
        <w:rPr>
          <w:rFonts w:ascii="Arial" w:eastAsia="Times New Roman" w:hAnsi="Arial" w:cs="Arial"/>
          <w:color w:val="000000" w:themeColor="text1"/>
          <w:sz w:val="21"/>
          <w:szCs w:val="21"/>
          <w:lang w:val="es-ES_tradnl" w:eastAsia="es-ES_tradnl"/>
        </w:rPr>
        <w:t>“</w:t>
      </w:r>
      <w:r w:rsidR="00A277B7" w:rsidRPr="00511F39">
        <w:rPr>
          <w:rFonts w:ascii="Arial" w:eastAsia="Times New Roman" w:hAnsi="Arial" w:cs="Arial"/>
          <w:color w:val="000000" w:themeColor="text1"/>
          <w:sz w:val="21"/>
          <w:szCs w:val="21"/>
          <w:lang w:val="es-ES_tradnl" w:eastAsia="es-ES_tradnl"/>
        </w:rPr>
        <w:t xml:space="preserve">Artículo 8. </w:t>
      </w:r>
      <w:r w:rsidR="009E7AA7" w:rsidRPr="00511F39">
        <w:rPr>
          <w:rFonts w:ascii="Arial" w:eastAsia="Times New Roman" w:hAnsi="Arial" w:cs="Arial"/>
          <w:color w:val="000000" w:themeColor="text1"/>
          <w:sz w:val="21"/>
          <w:szCs w:val="21"/>
          <w:lang w:val="es-ES_tradnl" w:eastAsia="es-ES_tradnl"/>
        </w:rPr>
        <w:t xml:space="preserve">De las Inhabilidades e Incompatibilidades para contratar. </w:t>
      </w:r>
      <w:r w:rsidRPr="00511F39">
        <w:rPr>
          <w:rFonts w:ascii="Arial" w:eastAsia="Times New Roman" w:hAnsi="Arial" w:cs="Arial"/>
          <w:color w:val="000000" w:themeColor="text1"/>
          <w:sz w:val="21"/>
          <w:szCs w:val="21"/>
          <w:lang w:val="es-ES_tradnl" w:eastAsia="es-ES_tradnl"/>
        </w:rPr>
        <w:t>Son inhábiles para participar en licitaciones  y para celebrar contratos con las entidades estatales:</w:t>
      </w:r>
      <w:r w:rsidR="00EF160F" w:rsidRPr="00511F39">
        <w:rPr>
          <w:rFonts w:ascii="Arial" w:eastAsia="Times New Roman" w:hAnsi="Arial" w:cs="Arial"/>
          <w:color w:val="000000" w:themeColor="text1"/>
          <w:sz w:val="21"/>
          <w:szCs w:val="21"/>
          <w:lang w:val="es-ES_tradnl" w:eastAsia="es-ES_tradnl"/>
        </w:rPr>
        <w:t xml:space="preserve"> […] Tampoco podrán participar en licitaciones ni celebrar contratos estatales con la entidad respectiva:</w:t>
      </w:r>
    </w:p>
    <w:p w14:paraId="643612F9" w14:textId="77777777" w:rsidR="00945AC7" w:rsidRPr="00511F39" w:rsidRDefault="00945AC7" w:rsidP="00511F39">
      <w:pPr>
        <w:spacing w:after="0" w:line="240" w:lineRule="auto"/>
        <w:ind w:left="709" w:right="709"/>
        <w:jc w:val="both"/>
        <w:rPr>
          <w:rFonts w:ascii="Arial" w:eastAsia="Times New Roman" w:hAnsi="Arial" w:cs="Arial"/>
          <w:color w:val="000000" w:themeColor="text1"/>
          <w:sz w:val="21"/>
          <w:szCs w:val="21"/>
          <w:lang w:val="es-ES_tradnl" w:eastAsia="es-ES_tradnl"/>
        </w:rPr>
      </w:pPr>
    </w:p>
    <w:p w14:paraId="78ACFDDC" w14:textId="7DBFBD7C" w:rsidR="00945AC7" w:rsidRPr="00511F39" w:rsidRDefault="00945AC7" w:rsidP="00511F39">
      <w:pPr>
        <w:spacing w:after="0" w:line="240" w:lineRule="auto"/>
        <w:ind w:left="709" w:right="709"/>
        <w:jc w:val="both"/>
        <w:rPr>
          <w:rFonts w:ascii="Arial" w:eastAsia="Times New Roman" w:hAnsi="Arial" w:cs="Arial"/>
          <w:color w:val="000000" w:themeColor="text1"/>
          <w:sz w:val="21"/>
          <w:szCs w:val="21"/>
          <w:lang w:val="es-ES_tradnl" w:eastAsia="es-ES_tradnl"/>
        </w:rPr>
      </w:pPr>
      <w:r w:rsidRPr="00511F39">
        <w:rPr>
          <w:rFonts w:ascii="Arial" w:eastAsia="Times New Roman" w:hAnsi="Arial" w:cs="Arial"/>
          <w:color w:val="000000" w:themeColor="text1"/>
          <w:sz w:val="21"/>
          <w:szCs w:val="21"/>
          <w:lang w:val="es-ES_tradnl" w:eastAsia="es-ES_tradnl"/>
        </w:rPr>
        <w:t xml:space="preserve">[…] </w:t>
      </w:r>
    </w:p>
    <w:p w14:paraId="517FA211" w14:textId="77777777" w:rsidR="00945AC7" w:rsidRPr="00511F39" w:rsidRDefault="00945AC7" w:rsidP="00511F39">
      <w:pPr>
        <w:spacing w:after="0" w:line="240" w:lineRule="auto"/>
        <w:ind w:left="709" w:right="709"/>
        <w:jc w:val="both"/>
        <w:rPr>
          <w:rFonts w:ascii="Arial" w:eastAsia="Times New Roman" w:hAnsi="Arial" w:cs="Arial"/>
          <w:color w:val="000000" w:themeColor="text1"/>
          <w:sz w:val="21"/>
          <w:szCs w:val="21"/>
          <w:lang w:val="es-ES_tradnl" w:eastAsia="es-ES_tradnl"/>
        </w:rPr>
      </w:pPr>
    </w:p>
    <w:p w14:paraId="4E716CEF" w14:textId="0C000A65" w:rsidR="00945AC7" w:rsidRDefault="00D35650" w:rsidP="00511F39">
      <w:pPr>
        <w:spacing w:after="0" w:line="240" w:lineRule="auto"/>
        <w:ind w:left="709" w:right="709"/>
        <w:jc w:val="both"/>
        <w:rPr>
          <w:rFonts w:ascii="Arial" w:eastAsia="Times New Roman" w:hAnsi="Arial" w:cs="Arial"/>
          <w:color w:val="000000" w:themeColor="text1"/>
          <w:sz w:val="21"/>
          <w:szCs w:val="21"/>
          <w:lang w:val="es-ES_tradnl" w:eastAsia="es-ES_tradnl"/>
        </w:rPr>
      </w:pPr>
      <w:r w:rsidRPr="00511F39">
        <w:rPr>
          <w:rFonts w:ascii="Arial" w:eastAsia="Times New Roman" w:hAnsi="Arial" w:cs="Arial"/>
          <w:color w:val="000000" w:themeColor="text1"/>
          <w:sz w:val="21"/>
          <w:szCs w:val="21"/>
          <w:lang w:val="es-ES_tradnl" w:eastAsia="es-ES_tradnl"/>
        </w:rPr>
        <w:t xml:space="preserve">f) </w:t>
      </w:r>
      <w:r w:rsidR="00511F39" w:rsidRPr="00511F39">
        <w:rPr>
          <w:rFonts w:ascii="Arial" w:eastAsia="Times New Roman" w:hAnsi="Arial" w:cs="Arial"/>
          <w:color w:val="000000" w:themeColor="text1"/>
          <w:sz w:val="21"/>
          <w:szCs w:val="21"/>
          <w:lang w:val="es-ES_tradnl" w:eastAsia="es-ES_tradnl"/>
        </w:rPr>
        <w:t>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w:t>
      </w:r>
      <w:r w:rsidR="00511F39">
        <w:rPr>
          <w:rFonts w:ascii="Arial" w:eastAsia="Times New Roman" w:hAnsi="Arial" w:cs="Arial"/>
          <w:color w:val="000000" w:themeColor="text1"/>
          <w:sz w:val="21"/>
          <w:szCs w:val="21"/>
          <w:lang w:val="es-ES_tradnl" w:eastAsia="es-ES_tradnl"/>
        </w:rPr>
        <w:t>”</w:t>
      </w:r>
    </w:p>
    <w:p w14:paraId="711E3F63" w14:textId="77777777" w:rsidR="00511F39" w:rsidRDefault="00511F39" w:rsidP="00511F39">
      <w:pPr>
        <w:spacing w:after="0" w:line="240" w:lineRule="auto"/>
        <w:ind w:right="709"/>
        <w:jc w:val="both"/>
        <w:rPr>
          <w:rFonts w:ascii="Arial" w:eastAsia="Times New Roman" w:hAnsi="Arial" w:cs="Arial"/>
          <w:color w:val="000000" w:themeColor="text1"/>
          <w:sz w:val="21"/>
          <w:szCs w:val="21"/>
          <w:lang w:val="es-ES_tradnl" w:eastAsia="es-ES_tradnl"/>
        </w:rPr>
      </w:pPr>
    </w:p>
    <w:p w14:paraId="00FA6F37" w14:textId="77777777" w:rsidR="006D611F" w:rsidRDefault="00E604B0" w:rsidP="00971616">
      <w:pPr>
        <w:spacing w:after="0" w:line="276" w:lineRule="auto"/>
        <w:ind w:firstLine="708"/>
        <w:jc w:val="both"/>
        <w:rPr>
          <w:rFonts w:ascii="Arial" w:hAnsi="Arial" w:cs="Arial"/>
          <w:color w:val="000000" w:themeColor="text1"/>
        </w:rPr>
      </w:pPr>
      <w:r w:rsidRPr="00971616">
        <w:rPr>
          <w:rFonts w:ascii="Arial" w:hAnsi="Arial" w:cs="Arial"/>
          <w:color w:val="000000" w:themeColor="text1"/>
        </w:rPr>
        <w:t xml:space="preserve">De una lectura detenida de la norma, y en consonancia con la diferenciación </w:t>
      </w:r>
      <w:r w:rsidR="00E437D8" w:rsidRPr="00971616">
        <w:rPr>
          <w:rFonts w:ascii="Arial" w:hAnsi="Arial" w:cs="Arial"/>
          <w:color w:val="000000" w:themeColor="text1"/>
        </w:rPr>
        <w:t xml:space="preserve">expuesta entre las </w:t>
      </w:r>
      <w:bookmarkStart w:id="8" w:name="_Hlk141087146"/>
      <w:r w:rsidR="00E437D8" w:rsidRPr="00971616">
        <w:rPr>
          <w:rFonts w:ascii="Arial" w:hAnsi="Arial" w:cs="Arial"/>
          <w:color w:val="000000" w:themeColor="text1"/>
        </w:rPr>
        <w:t>Sociedades Comerciales</w:t>
      </w:r>
      <w:bookmarkEnd w:id="8"/>
      <w:r w:rsidR="00E437D8" w:rsidRPr="00971616">
        <w:rPr>
          <w:rFonts w:ascii="Arial" w:hAnsi="Arial" w:cs="Arial"/>
          <w:color w:val="000000" w:themeColor="text1"/>
        </w:rPr>
        <w:t xml:space="preserve"> y las </w:t>
      </w:r>
      <w:r w:rsidR="00A80429" w:rsidRPr="00971616">
        <w:rPr>
          <w:rFonts w:ascii="Arial" w:hAnsi="Arial" w:cs="Arial"/>
          <w:color w:val="000000" w:themeColor="text1"/>
        </w:rPr>
        <w:t>E</w:t>
      </w:r>
      <w:r w:rsidR="00E437D8" w:rsidRPr="00971616">
        <w:rPr>
          <w:rFonts w:ascii="Arial" w:hAnsi="Arial" w:cs="Arial"/>
          <w:color w:val="000000" w:themeColor="text1"/>
        </w:rPr>
        <w:t xml:space="preserve">ntidades sin </w:t>
      </w:r>
      <w:r w:rsidR="00A80429" w:rsidRPr="00971616">
        <w:rPr>
          <w:rFonts w:ascii="Arial" w:hAnsi="Arial" w:cs="Arial"/>
          <w:color w:val="000000" w:themeColor="text1"/>
        </w:rPr>
        <w:t>Á</w:t>
      </w:r>
      <w:r w:rsidR="00E437D8" w:rsidRPr="00971616">
        <w:rPr>
          <w:rFonts w:ascii="Arial" w:hAnsi="Arial" w:cs="Arial"/>
          <w:color w:val="000000" w:themeColor="text1"/>
        </w:rPr>
        <w:t xml:space="preserve">nimo de </w:t>
      </w:r>
      <w:r w:rsidR="00A80429" w:rsidRPr="00971616">
        <w:rPr>
          <w:rFonts w:ascii="Arial" w:hAnsi="Arial" w:cs="Arial"/>
          <w:color w:val="000000" w:themeColor="text1"/>
        </w:rPr>
        <w:t>L</w:t>
      </w:r>
      <w:r w:rsidR="00E437D8" w:rsidRPr="00971616">
        <w:rPr>
          <w:rFonts w:ascii="Arial" w:hAnsi="Arial" w:cs="Arial"/>
          <w:color w:val="000000" w:themeColor="text1"/>
        </w:rPr>
        <w:t xml:space="preserve">ucro –ESAL–,  </w:t>
      </w:r>
      <w:r w:rsidR="00913178" w:rsidRPr="00971616">
        <w:rPr>
          <w:rFonts w:ascii="Arial" w:hAnsi="Arial" w:cs="Arial"/>
          <w:color w:val="000000" w:themeColor="text1"/>
        </w:rPr>
        <w:t>es claro que  la</w:t>
      </w:r>
      <w:r w:rsidR="009A04C9" w:rsidRPr="00971616">
        <w:rPr>
          <w:rFonts w:ascii="Arial" w:hAnsi="Arial" w:cs="Arial"/>
          <w:color w:val="000000" w:themeColor="text1"/>
        </w:rPr>
        <w:t xml:space="preserve"> </w:t>
      </w:r>
      <w:r w:rsidR="00913178" w:rsidRPr="00971616">
        <w:rPr>
          <w:rFonts w:ascii="Arial" w:hAnsi="Arial" w:cs="Arial"/>
          <w:color w:val="000000" w:themeColor="text1"/>
        </w:rPr>
        <w:t>literalidad</w:t>
      </w:r>
      <w:r w:rsidR="009A04C9" w:rsidRPr="00971616">
        <w:rPr>
          <w:rFonts w:ascii="Arial" w:hAnsi="Arial" w:cs="Arial"/>
          <w:color w:val="000000" w:themeColor="text1"/>
        </w:rPr>
        <w:t xml:space="preserve"> </w:t>
      </w:r>
      <w:r w:rsidR="00913178" w:rsidRPr="00971616">
        <w:rPr>
          <w:rFonts w:ascii="Arial" w:hAnsi="Arial" w:cs="Arial"/>
          <w:color w:val="000000" w:themeColor="text1"/>
        </w:rPr>
        <w:t>de la norma</w:t>
      </w:r>
      <w:r w:rsidR="009A04C9" w:rsidRPr="00971616">
        <w:rPr>
          <w:rFonts w:ascii="Arial" w:hAnsi="Arial" w:cs="Arial"/>
          <w:color w:val="000000" w:themeColor="text1"/>
        </w:rPr>
        <w:t xml:space="preserve"> </w:t>
      </w:r>
      <w:r w:rsidR="00913178" w:rsidRPr="00971616">
        <w:rPr>
          <w:rFonts w:ascii="Arial" w:hAnsi="Arial" w:cs="Arial"/>
          <w:color w:val="000000" w:themeColor="text1"/>
        </w:rPr>
        <w:t>se</w:t>
      </w:r>
      <w:r w:rsidR="009A04C9" w:rsidRPr="00971616">
        <w:rPr>
          <w:rFonts w:ascii="Arial" w:hAnsi="Arial" w:cs="Arial"/>
          <w:color w:val="000000" w:themeColor="text1"/>
        </w:rPr>
        <w:t xml:space="preserve"> </w:t>
      </w:r>
      <w:r w:rsidR="00913178" w:rsidRPr="00971616">
        <w:rPr>
          <w:rFonts w:ascii="Arial" w:hAnsi="Arial" w:cs="Arial"/>
          <w:color w:val="000000" w:themeColor="text1"/>
        </w:rPr>
        <w:t>refiere</w:t>
      </w:r>
      <w:r w:rsidR="009A04C9" w:rsidRPr="00971616">
        <w:rPr>
          <w:rFonts w:ascii="Arial" w:hAnsi="Arial" w:cs="Arial"/>
          <w:color w:val="000000" w:themeColor="text1"/>
        </w:rPr>
        <w:t xml:space="preserve"> a las </w:t>
      </w:r>
      <w:bookmarkStart w:id="9" w:name="_Hlk141088398"/>
      <w:r w:rsidR="009A04C9" w:rsidRPr="00971616">
        <w:rPr>
          <w:rFonts w:ascii="Arial" w:hAnsi="Arial" w:cs="Arial"/>
          <w:color w:val="000000" w:themeColor="text1"/>
        </w:rPr>
        <w:t>Sociedades Comerciales</w:t>
      </w:r>
      <w:bookmarkEnd w:id="9"/>
      <w:r w:rsidR="000A30B7">
        <w:rPr>
          <w:rFonts w:ascii="Arial" w:hAnsi="Arial" w:cs="Arial"/>
          <w:color w:val="000000" w:themeColor="text1"/>
        </w:rPr>
        <w:t>.</w:t>
      </w:r>
      <w:r w:rsidR="008A31AE" w:rsidRPr="00971616">
        <w:rPr>
          <w:rFonts w:ascii="Arial" w:hAnsi="Arial" w:cs="Arial"/>
          <w:color w:val="000000" w:themeColor="text1"/>
        </w:rPr>
        <w:t xml:space="preserve"> </w:t>
      </w:r>
      <w:r w:rsidR="000A30B7">
        <w:rPr>
          <w:rFonts w:ascii="Arial" w:hAnsi="Arial" w:cs="Arial"/>
          <w:color w:val="000000" w:themeColor="text1"/>
        </w:rPr>
        <w:t>H</w:t>
      </w:r>
      <w:r w:rsidR="008A31AE" w:rsidRPr="00971616">
        <w:rPr>
          <w:rFonts w:ascii="Arial" w:hAnsi="Arial" w:cs="Arial"/>
          <w:color w:val="000000" w:themeColor="text1"/>
        </w:rPr>
        <w:t xml:space="preserve">echa esta precisión </w:t>
      </w:r>
      <w:r w:rsidR="00D03464" w:rsidRPr="00971616">
        <w:rPr>
          <w:rFonts w:ascii="Arial" w:hAnsi="Arial" w:cs="Arial"/>
          <w:color w:val="000000" w:themeColor="text1"/>
        </w:rPr>
        <w:t>y atendiendo a</w:t>
      </w:r>
      <w:r w:rsidR="00971616" w:rsidRPr="00971616">
        <w:rPr>
          <w:rFonts w:ascii="Arial" w:hAnsi="Arial" w:cs="Arial"/>
          <w:color w:val="000000" w:themeColor="text1"/>
        </w:rPr>
        <w:t>l ya mencionado carácter interpretativo taxativ</w:t>
      </w:r>
      <w:r w:rsidR="00971616">
        <w:rPr>
          <w:rFonts w:ascii="Arial" w:hAnsi="Arial" w:cs="Arial"/>
          <w:color w:val="000000" w:themeColor="text1"/>
        </w:rPr>
        <w:t>o</w:t>
      </w:r>
      <w:r w:rsidR="00971616" w:rsidRPr="00971616">
        <w:rPr>
          <w:rFonts w:ascii="Arial" w:hAnsi="Arial" w:cs="Arial"/>
          <w:color w:val="000000" w:themeColor="text1"/>
        </w:rPr>
        <w:t xml:space="preserve"> y restrictiv</w:t>
      </w:r>
      <w:r w:rsidR="00971616">
        <w:rPr>
          <w:rFonts w:ascii="Arial" w:hAnsi="Arial" w:cs="Arial"/>
          <w:color w:val="000000" w:themeColor="text1"/>
        </w:rPr>
        <w:t>o</w:t>
      </w:r>
      <w:r w:rsidR="00FB0DA1">
        <w:rPr>
          <w:rFonts w:ascii="Arial" w:hAnsi="Arial" w:cs="Arial"/>
          <w:color w:val="000000" w:themeColor="text1"/>
        </w:rPr>
        <w:t xml:space="preserve"> del régimen de inhabilidades</w:t>
      </w:r>
      <w:r w:rsidR="000255ED">
        <w:rPr>
          <w:rFonts w:ascii="Arial" w:hAnsi="Arial" w:cs="Arial"/>
          <w:color w:val="000000" w:themeColor="text1"/>
        </w:rPr>
        <w:t>, a la luz de</w:t>
      </w:r>
      <w:r w:rsidR="00226856">
        <w:rPr>
          <w:rFonts w:ascii="Arial" w:hAnsi="Arial" w:cs="Arial"/>
          <w:color w:val="000000" w:themeColor="text1"/>
        </w:rPr>
        <w:t>l</w:t>
      </w:r>
      <w:r w:rsidR="00FB0DA1">
        <w:rPr>
          <w:rFonts w:ascii="Arial" w:hAnsi="Arial" w:cs="Arial"/>
          <w:color w:val="000000" w:themeColor="text1"/>
        </w:rPr>
        <w:t xml:space="preserve"> </w:t>
      </w:r>
      <w:r w:rsidR="000255ED" w:rsidRPr="000255ED">
        <w:rPr>
          <w:rFonts w:ascii="Arial" w:hAnsi="Arial" w:cs="Arial"/>
          <w:color w:val="000000" w:themeColor="text1"/>
        </w:rPr>
        <w:t>principio de legalidad</w:t>
      </w:r>
      <w:r w:rsidR="00226856">
        <w:rPr>
          <w:rFonts w:ascii="Arial" w:hAnsi="Arial" w:cs="Arial"/>
          <w:color w:val="000000" w:themeColor="text1"/>
        </w:rPr>
        <w:t xml:space="preserve"> que rige la materia, </w:t>
      </w:r>
      <w:r w:rsidR="00226856" w:rsidRPr="00226856">
        <w:rPr>
          <w:rFonts w:ascii="Arial" w:hAnsi="Arial" w:cs="Arial"/>
          <w:color w:val="000000" w:themeColor="text1"/>
        </w:rPr>
        <w:t>las Entidades sin Ánimo de Lucro –ESAL–</w:t>
      </w:r>
      <w:r w:rsidR="00226856">
        <w:rPr>
          <w:rFonts w:ascii="Arial" w:hAnsi="Arial" w:cs="Arial"/>
          <w:color w:val="000000" w:themeColor="text1"/>
        </w:rPr>
        <w:t xml:space="preserve"> no estarían </w:t>
      </w:r>
      <w:r w:rsidR="007D170F">
        <w:rPr>
          <w:rFonts w:ascii="Arial" w:hAnsi="Arial" w:cs="Arial"/>
          <w:color w:val="000000" w:themeColor="text1"/>
        </w:rPr>
        <w:t>cobijadas bajo esta restricción en particular del literal f) del numeral 2. Cosa distinta ocurre, por ejemplo</w:t>
      </w:r>
      <w:r w:rsidR="003B1A14">
        <w:rPr>
          <w:rFonts w:ascii="Arial" w:hAnsi="Arial" w:cs="Arial"/>
          <w:color w:val="000000" w:themeColor="text1"/>
        </w:rPr>
        <w:t>,</w:t>
      </w:r>
      <w:r w:rsidR="007D170F">
        <w:rPr>
          <w:rFonts w:ascii="Arial" w:hAnsi="Arial" w:cs="Arial"/>
          <w:color w:val="000000" w:themeColor="text1"/>
        </w:rPr>
        <w:t xml:space="preserve"> </w:t>
      </w:r>
      <w:r w:rsidR="00E8323F">
        <w:rPr>
          <w:rFonts w:ascii="Arial" w:hAnsi="Arial" w:cs="Arial"/>
          <w:color w:val="000000" w:themeColor="text1"/>
        </w:rPr>
        <w:t>con lo contemplado en el</w:t>
      </w:r>
      <w:r w:rsidR="00DC136C">
        <w:rPr>
          <w:rFonts w:ascii="Arial" w:hAnsi="Arial" w:cs="Arial"/>
          <w:color w:val="000000" w:themeColor="text1"/>
        </w:rPr>
        <w:t xml:space="preserve"> inciso cuarto del</w:t>
      </w:r>
      <w:r w:rsidR="00E8323F">
        <w:rPr>
          <w:rFonts w:ascii="Arial" w:hAnsi="Arial" w:cs="Arial"/>
          <w:color w:val="000000" w:themeColor="text1"/>
        </w:rPr>
        <w:t xml:space="preserve"> literal j) del </w:t>
      </w:r>
      <w:r w:rsidR="007D6C22">
        <w:rPr>
          <w:rFonts w:ascii="Arial" w:hAnsi="Arial" w:cs="Arial"/>
          <w:color w:val="000000" w:themeColor="text1"/>
        </w:rPr>
        <w:t>numeral 1 en donde se describe claramente que: “</w:t>
      </w:r>
      <w:r w:rsidR="00DC136C" w:rsidRPr="00DC136C">
        <w:rPr>
          <w:rFonts w:ascii="Arial" w:hAnsi="Arial" w:cs="Arial"/>
          <w:color w:val="000000" w:themeColor="text1"/>
        </w:rPr>
        <w:t xml:space="preserve">También se considerarán inhabilitadas para contratar, </w:t>
      </w:r>
      <w:r w:rsidR="00DC136C" w:rsidRPr="00FD3CF4">
        <w:rPr>
          <w:rFonts w:ascii="Arial" w:hAnsi="Arial" w:cs="Arial"/>
          <w:color w:val="000000" w:themeColor="text1"/>
          <w:u w:val="single"/>
        </w:rPr>
        <w:lastRenderedPageBreak/>
        <w:t>las personas jurídicas</w:t>
      </w:r>
      <w:r w:rsidR="00DC136C" w:rsidRPr="00DC136C">
        <w:rPr>
          <w:rFonts w:ascii="Arial" w:hAnsi="Arial" w:cs="Arial"/>
          <w:color w:val="000000" w:themeColor="text1"/>
        </w:rPr>
        <w:t xml:space="preserve"> sobre las cuales se haya ordenado la suspensión de la personería jurídica en los términos de ley</w:t>
      </w:r>
      <w:r w:rsidR="00FD3CF4">
        <w:rPr>
          <w:rFonts w:ascii="Arial" w:hAnsi="Arial" w:cs="Arial"/>
          <w:color w:val="000000" w:themeColor="text1"/>
        </w:rPr>
        <w:t xml:space="preserve"> […]” </w:t>
      </w:r>
      <w:r w:rsidR="00862190">
        <w:rPr>
          <w:rFonts w:ascii="Arial" w:hAnsi="Arial" w:cs="Arial"/>
          <w:color w:val="000000" w:themeColor="text1"/>
        </w:rPr>
        <w:t>en la medida en que se alude a las “personas jurídicas” termino que se entiende como</w:t>
      </w:r>
      <w:r w:rsidR="00901A8F">
        <w:rPr>
          <w:rFonts w:ascii="Arial" w:hAnsi="Arial" w:cs="Arial"/>
          <w:color w:val="000000" w:themeColor="text1"/>
        </w:rPr>
        <w:t xml:space="preserve"> </w:t>
      </w:r>
      <w:r w:rsidR="00862190">
        <w:rPr>
          <w:rFonts w:ascii="Arial" w:hAnsi="Arial" w:cs="Arial"/>
          <w:color w:val="000000" w:themeColor="text1"/>
        </w:rPr>
        <w:t>genero</w:t>
      </w:r>
      <w:r w:rsidR="00901A8F">
        <w:rPr>
          <w:rFonts w:ascii="Arial" w:hAnsi="Arial" w:cs="Arial"/>
          <w:color w:val="000000" w:themeColor="text1"/>
        </w:rPr>
        <w:t xml:space="preserve"> y engloba tanto a las </w:t>
      </w:r>
      <w:r w:rsidR="00901A8F" w:rsidRPr="00901A8F">
        <w:rPr>
          <w:rFonts w:ascii="Arial" w:hAnsi="Arial" w:cs="Arial"/>
          <w:color w:val="000000" w:themeColor="text1"/>
        </w:rPr>
        <w:t>Sociedades Comercial</w:t>
      </w:r>
      <w:r w:rsidR="00901A8F">
        <w:rPr>
          <w:rFonts w:ascii="Arial" w:hAnsi="Arial" w:cs="Arial"/>
          <w:color w:val="000000" w:themeColor="text1"/>
        </w:rPr>
        <w:t>es como a</w:t>
      </w:r>
      <w:r w:rsidR="00862190">
        <w:rPr>
          <w:rFonts w:ascii="Arial" w:hAnsi="Arial" w:cs="Arial"/>
          <w:color w:val="000000" w:themeColor="text1"/>
        </w:rPr>
        <w:t xml:space="preserve"> </w:t>
      </w:r>
      <w:r w:rsidR="00901A8F" w:rsidRPr="00901A8F">
        <w:rPr>
          <w:rFonts w:ascii="Arial" w:hAnsi="Arial" w:cs="Arial"/>
          <w:color w:val="000000" w:themeColor="text1"/>
        </w:rPr>
        <w:t>las Entidades sin Ánimo de Lucro –ESAL–</w:t>
      </w:r>
      <w:r w:rsidR="00901A8F">
        <w:rPr>
          <w:rFonts w:ascii="Arial" w:hAnsi="Arial" w:cs="Arial"/>
          <w:color w:val="000000" w:themeColor="text1"/>
        </w:rPr>
        <w:t xml:space="preserve">. </w:t>
      </w:r>
      <w:r w:rsidR="00416DE1">
        <w:rPr>
          <w:rFonts w:ascii="Arial" w:hAnsi="Arial" w:cs="Arial"/>
          <w:color w:val="000000" w:themeColor="text1"/>
        </w:rPr>
        <w:t xml:space="preserve">Lo cierto es que </w:t>
      </w:r>
      <w:r w:rsidR="002A2C1E">
        <w:rPr>
          <w:rFonts w:ascii="Arial" w:hAnsi="Arial" w:cs="Arial"/>
          <w:color w:val="000000" w:themeColor="text1"/>
        </w:rPr>
        <w:t xml:space="preserve">este no es el caso, como se acaba de mencionar, de lo consagrado, </w:t>
      </w:r>
      <w:r w:rsidR="00704D33">
        <w:rPr>
          <w:rFonts w:ascii="Arial" w:hAnsi="Arial" w:cs="Arial"/>
          <w:color w:val="000000" w:themeColor="text1"/>
        </w:rPr>
        <w:t xml:space="preserve">en el </w:t>
      </w:r>
      <w:r w:rsidR="002A2C1E">
        <w:rPr>
          <w:rFonts w:ascii="Arial" w:hAnsi="Arial" w:cs="Arial"/>
          <w:color w:val="000000" w:themeColor="text1"/>
        </w:rPr>
        <w:t xml:space="preserve"> </w:t>
      </w:r>
      <w:r w:rsidR="00704D33" w:rsidRPr="00704D33">
        <w:rPr>
          <w:rFonts w:ascii="Arial" w:hAnsi="Arial" w:cs="Arial"/>
          <w:color w:val="000000" w:themeColor="text1"/>
        </w:rPr>
        <w:t>literal f numeral 2 del artículo 8 de la Ley 80 de 1993</w:t>
      </w:r>
      <w:r w:rsidR="004905C8">
        <w:rPr>
          <w:rFonts w:ascii="Arial" w:hAnsi="Arial" w:cs="Arial"/>
          <w:color w:val="000000" w:themeColor="text1"/>
        </w:rPr>
        <w:t xml:space="preserve">. </w:t>
      </w:r>
    </w:p>
    <w:p w14:paraId="08224206" w14:textId="77777777" w:rsidR="006D611F" w:rsidRDefault="006D611F" w:rsidP="00971616">
      <w:pPr>
        <w:spacing w:after="0" w:line="276" w:lineRule="auto"/>
        <w:ind w:firstLine="708"/>
        <w:jc w:val="both"/>
        <w:rPr>
          <w:rFonts w:ascii="Arial" w:hAnsi="Arial" w:cs="Arial"/>
          <w:color w:val="000000" w:themeColor="text1"/>
        </w:rPr>
      </w:pPr>
    </w:p>
    <w:p w14:paraId="6B881907" w14:textId="3E696603" w:rsidR="00971616" w:rsidRPr="00971616" w:rsidRDefault="004905C8" w:rsidP="00971616">
      <w:pPr>
        <w:spacing w:after="0" w:line="276" w:lineRule="auto"/>
        <w:ind w:firstLine="708"/>
        <w:jc w:val="both"/>
        <w:rPr>
          <w:rFonts w:ascii="Arial" w:hAnsi="Arial" w:cs="Arial"/>
          <w:color w:val="000000" w:themeColor="text1"/>
        </w:rPr>
      </w:pPr>
      <w:r>
        <w:rPr>
          <w:rFonts w:ascii="Arial" w:hAnsi="Arial" w:cs="Arial"/>
          <w:color w:val="000000" w:themeColor="text1"/>
        </w:rPr>
        <w:t xml:space="preserve">Ahora bien, la causal contemplada en la norma también es clara </w:t>
      </w:r>
      <w:r w:rsidR="00D33C6E">
        <w:rPr>
          <w:rFonts w:ascii="Arial" w:hAnsi="Arial" w:cs="Arial"/>
          <w:color w:val="000000" w:themeColor="text1"/>
        </w:rPr>
        <w:t>al establecer que “</w:t>
      </w:r>
      <w:r w:rsidR="00B07941" w:rsidRPr="00B07941">
        <w:rPr>
          <w:rFonts w:ascii="Arial" w:hAnsi="Arial" w:cs="Arial"/>
          <w:color w:val="000000" w:themeColor="text1"/>
        </w:rPr>
        <w:t xml:space="preserve">las personas que hayan ejercido </w:t>
      </w:r>
      <w:r w:rsidR="00B07941" w:rsidRPr="00C52093">
        <w:rPr>
          <w:rFonts w:ascii="Arial" w:hAnsi="Arial" w:cs="Arial"/>
          <w:color w:val="000000" w:themeColor="text1"/>
          <w:u w:val="single"/>
        </w:rPr>
        <w:t>cargos en el nivel directivo</w:t>
      </w:r>
      <w:r w:rsidR="00B07941" w:rsidRPr="00B07941">
        <w:rPr>
          <w:rFonts w:ascii="Arial" w:hAnsi="Arial" w:cs="Arial"/>
          <w:color w:val="000000" w:themeColor="text1"/>
        </w:rPr>
        <w:t xml:space="preserve"> en entidades del Estado</w:t>
      </w:r>
      <w:r w:rsidR="00C52093">
        <w:rPr>
          <w:rFonts w:ascii="Arial" w:hAnsi="Arial" w:cs="Arial"/>
          <w:color w:val="000000" w:themeColor="text1"/>
        </w:rPr>
        <w:t xml:space="preserve">” por ende no se puede hacer una interpretación extensiva </w:t>
      </w:r>
      <w:r w:rsidR="006D611F">
        <w:rPr>
          <w:rFonts w:ascii="Arial" w:hAnsi="Arial" w:cs="Arial"/>
          <w:color w:val="000000" w:themeColor="text1"/>
        </w:rPr>
        <w:t xml:space="preserve">a las personas que no hayan cumplido con esta condición, se reitera el carácter </w:t>
      </w:r>
      <w:r w:rsidR="00C27810" w:rsidRPr="00C27810">
        <w:rPr>
          <w:rFonts w:ascii="Arial" w:hAnsi="Arial" w:cs="Arial"/>
          <w:color w:val="000000" w:themeColor="text1"/>
        </w:rPr>
        <w:t>interpretativo taxativo y restrictivo del régimen de inhabilidades</w:t>
      </w:r>
      <w:r w:rsidR="00C27810">
        <w:rPr>
          <w:rFonts w:ascii="Arial" w:hAnsi="Arial" w:cs="Arial"/>
          <w:color w:val="000000" w:themeColor="text1"/>
        </w:rPr>
        <w:t>.</w:t>
      </w:r>
    </w:p>
    <w:p w14:paraId="7259D2F6" w14:textId="77777777" w:rsidR="00D06870" w:rsidRDefault="00D06870" w:rsidP="009150A9">
      <w:pPr>
        <w:spacing w:after="0" w:line="276" w:lineRule="auto"/>
        <w:jc w:val="both"/>
        <w:rPr>
          <w:rFonts w:ascii="Arial" w:eastAsia="Calibri" w:hAnsi="Arial" w:cs="Arial"/>
          <w:lang w:val="es-ES_tradnl"/>
        </w:rPr>
      </w:pPr>
    </w:p>
    <w:p w14:paraId="108376C3" w14:textId="77777777" w:rsidR="00AF6534" w:rsidRDefault="00AF6534" w:rsidP="00660381">
      <w:pPr>
        <w:spacing w:after="0" w:line="276" w:lineRule="auto"/>
        <w:ind w:firstLine="708"/>
        <w:jc w:val="both"/>
        <w:rPr>
          <w:rFonts w:ascii="Arial" w:eastAsia="Calibri" w:hAnsi="Arial" w:cs="Arial"/>
          <w:lang w:val="es-ES_tradnl"/>
        </w:rPr>
      </w:pPr>
    </w:p>
    <w:p w14:paraId="4A2F7645" w14:textId="4F27FBC1" w:rsidR="007D7832" w:rsidRDefault="007D7832" w:rsidP="00AF6534">
      <w:pPr>
        <w:spacing w:after="0" w:line="276" w:lineRule="auto"/>
        <w:jc w:val="both"/>
        <w:rPr>
          <w:rFonts w:ascii="Arial" w:eastAsia="Calibri" w:hAnsi="Arial" w:cs="Arial"/>
          <w:b/>
          <w:bCs/>
          <w:lang w:val="es-ES_tradnl"/>
        </w:rPr>
      </w:pPr>
      <w:r w:rsidRPr="00660381">
        <w:rPr>
          <w:rFonts w:ascii="Arial" w:eastAsia="Calibri" w:hAnsi="Arial" w:cs="Arial"/>
          <w:b/>
          <w:bCs/>
          <w:lang w:val="es-ES_tradnl"/>
        </w:rPr>
        <w:t>3. Respuesta</w:t>
      </w:r>
    </w:p>
    <w:p w14:paraId="55ED7942" w14:textId="77777777" w:rsidR="00AF6534" w:rsidRPr="00660381" w:rsidRDefault="00AF6534" w:rsidP="00660381">
      <w:pPr>
        <w:spacing w:after="0" w:line="276" w:lineRule="auto"/>
        <w:jc w:val="both"/>
        <w:rPr>
          <w:rFonts w:ascii="Arial" w:eastAsia="Calibri" w:hAnsi="Arial" w:cs="Arial"/>
          <w:b/>
          <w:bCs/>
          <w:lang w:val="es-ES_tradnl"/>
        </w:rPr>
      </w:pPr>
    </w:p>
    <w:p w14:paraId="758EFB6B" w14:textId="77777777" w:rsidR="009F7BB1" w:rsidRPr="00BE16F7" w:rsidRDefault="009F7BB1" w:rsidP="009F7BB1">
      <w:pPr>
        <w:spacing w:after="0" w:line="240" w:lineRule="auto"/>
        <w:ind w:left="709" w:right="709"/>
        <w:jc w:val="both"/>
        <w:rPr>
          <w:rFonts w:ascii="Arial" w:eastAsia="Times New Roman" w:hAnsi="Arial" w:cs="Arial"/>
          <w:color w:val="000000" w:themeColor="text1"/>
          <w:sz w:val="21"/>
          <w:szCs w:val="21"/>
          <w:lang w:val="es-ES_tradnl" w:eastAsia="es-ES_tradnl"/>
        </w:rPr>
      </w:pPr>
      <w:r w:rsidRPr="00BE16F7">
        <w:rPr>
          <w:rFonts w:ascii="Arial" w:eastAsia="Times New Roman" w:hAnsi="Arial" w:cs="Arial"/>
          <w:color w:val="000000" w:themeColor="text1"/>
          <w:sz w:val="21"/>
          <w:szCs w:val="21"/>
          <w:lang w:val="es-ES_tradnl" w:eastAsia="es-ES_tradnl"/>
        </w:rPr>
        <w:t>“</w:t>
      </w:r>
      <w:r w:rsidRPr="009F7BB1">
        <w:rPr>
          <w:rFonts w:ascii="Arial" w:eastAsia="Times New Roman" w:hAnsi="Arial" w:cs="Arial"/>
          <w:color w:val="000000" w:themeColor="text1"/>
          <w:sz w:val="21"/>
          <w:szCs w:val="21"/>
          <w:lang w:val="es-ES_tradnl" w:eastAsia="es-ES_tradnl"/>
        </w:rPr>
        <w:t>1. ¿El término "sociedades" comprende también</w:t>
      </w:r>
      <w:r>
        <w:rPr>
          <w:rFonts w:ascii="Arial" w:eastAsia="Times New Roman" w:hAnsi="Arial" w:cs="Arial"/>
          <w:color w:val="000000" w:themeColor="text1"/>
          <w:sz w:val="21"/>
          <w:szCs w:val="21"/>
          <w:lang w:val="es-ES_tradnl" w:eastAsia="es-ES_tradnl"/>
        </w:rPr>
        <w:t xml:space="preserve"> </w:t>
      </w:r>
      <w:r w:rsidRPr="009F7BB1">
        <w:rPr>
          <w:rFonts w:ascii="Arial" w:eastAsia="Times New Roman" w:hAnsi="Arial" w:cs="Arial"/>
          <w:color w:val="000000" w:themeColor="text1"/>
          <w:sz w:val="21"/>
          <w:szCs w:val="21"/>
          <w:lang w:val="es-ES_tradnl" w:eastAsia="es-ES_tradnl"/>
        </w:rPr>
        <w:t>las ESAL o cualquier otra asociación que no tenga ánimo de lucro?; 2. Esta inhabilidad</w:t>
      </w:r>
      <w:r>
        <w:rPr>
          <w:rFonts w:ascii="Arial" w:eastAsia="Times New Roman" w:hAnsi="Arial" w:cs="Arial"/>
          <w:color w:val="000000" w:themeColor="text1"/>
          <w:sz w:val="21"/>
          <w:szCs w:val="21"/>
          <w:lang w:val="es-ES_tradnl" w:eastAsia="es-ES_tradnl"/>
        </w:rPr>
        <w:t xml:space="preserve"> </w:t>
      </w:r>
      <w:r w:rsidRPr="009F7BB1">
        <w:rPr>
          <w:rFonts w:ascii="Arial" w:eastAsia="Times New Roman" w:hAnsi="Arial" w:cs="Arial"/>
          <w:color w:val="000000" w:themeColor="text1"/>
          <w:sz w:val="21"/>
          <w:szCs w:val="21"/>
          <w:lang w:val="es-ES_tradnl" w:eastAsia="es-ES_tradnl"/>
        </w:rPr>
        <w:t xml:space="preserve">o incompatibilidad, ¿también opera cuando el </w:t>
      </w:r>
      <w:proofErr w:type="spellStart"/>
      <w:r w:rsidRPr="009F7BB1">
        <w:rPr>
          <w:rFonts w:ascii="Arial" w:eastAsia="Times New Roman" w:hAnsi="Arial" w:cs="Arial"/>
          <w:color w:val="000000" w:themeColor="text1"/>
          <w:sz w:val="21"/>
          <w:szCs w:val="21"/>
          <w:lang w:val="es-ES_tradnl" w:eastAsia="es-ES_tradnl"/>
        </w:rPr>
        <w:t>ex-servidor</w:t>
      </w:r>
      <w:proofErr w:type="spellEnd"/>
      <w:r w:rsidRPr="009F7BB1">
        <w:rPr>
          <w:rFonts w:ascii="Arial" w:eastAsia="Times New Roman" w:hAnsi="Arial" w:cs="Arial"/>
          <w:color w:val="000000" w:themeColor="text1"/>
          <w:sz w:val="21"/>
          <w:szCs w:val="21"/>
          <w:lang w:val="es-ES_tradnl" w:eastAsia="es-ES_tradnl"/>
        </w:rPr>
        <w:t xml:space="preserve"> NO ostenta un cargo directivo</w:t>
      </w:r>
      <w:r>
        <w:rPr>
          <w:rFonts w:ascii="Arial" w:eastAsia="Times New Roman" w:hAnsi="Arial" w:cs="Arial"/>
          <w:color w:val="000000" w:themeColor="text1"/>
          <w:sz w:val="21"/>
          <w:szCs w:val="21"/>
          <w:lang w:val="es-ES_tradnl" w:eastAsia="es-ES_tradnl"/>
        </w:rPr>
        <w:t xml:space="preserve"> </w:t>
      </w:r>
      <w:r w:rsidRPr="009F7BB1">
        <w:rPr>
          <w:rFonts w:ascii="Arial" w:eastAsia="Times New Roman" w:hAnsi="Arial" w:cs="Arial"/>
          <w:color w:val="000000" w:themeColor="text1"/>
          <w:sz w:val="21"/>
          <w:szCs w:val="21"/>
          <w:lang w:val="es-ES_tradnl" w:eastAsia="es-ES_tradnl"/>
        </w:rPr>
        <w:t>contractual en la sociedad de la que ahora hace parte?</w:t>
      </w:r>
      <w:r w:rsidRPr="00BE16F7">
        <w:rPr>
          <w:rFonts w:ascii="Arial" w:eastAsia="Times New Roman" w:hAnsi="Arial" w:cs="Arial"/>
          <w:color w:val="000000" w:themeColor="text1"/>
          <w:sz w:val="21"/>
          <w:szCs w:val="21"/>
          <w:lang w:val="es-ES_tradnl" w:eastAsia="es-ES_tradnl"/>
        </w:rPr>
        <w:t>”.</w:t>
      </w:r>
    </w:p>
    <w:p w14:paraId="57A62D42" w14:textId="77777777" w:rsidR="00CB1CF1" w:rsidRDefault="00CB1CF1" w:rsidP="00660381">
      <w:pPr>
        <w:spacing w:after="0" w:line="240" w:lineRule="auto"/>
        <w:ind w:left="709" w:right="709"/>
        <w:jc w:val="both"/>
        <w:rPr>
          <w:rFonts w:ascii="Arial" w:eastAsia="Calibri" w:hAnsi="Arial" w:cs="Arial"/>
          <w:lang w:val="es-ES_tradnl"/>
        </w:rPr>
      </w:pPr>
    </w:p>
    <w:p w14:paraId="76C5F5CA" w14:textId="44754313" w:rsidR="008D7164" w:rsidRDefault="00936525" w:rsidP="00914318">
      <w:pPr>
        <w:spacing w:after="120" w:line="276" w:lineRule="auto"/>
        <w:jc w:val="both"/>
        <w:rPr>
          <w:rFonts w:ascii="Arial" w:eastAsia="Calibri" w:hAnsi="Arial" w:cs="Arial"/>
          <w:bCs/>
          <w:color w:val="000000" w:themeColor="text1"/>
        </w:rPr>
      </w:pPr>
      <w:r>
        <w:rPr>
          <w:rFonts w:ascii="Arial" w:eastAsia="Calibri" w:hAnsi="Arial" w:cs="Arial"/>
          <w:bCs/>
          <w:color w:val="000000" w:themeColor="text1"/>
        </w:rPr>
        <w:t xml:space="preserve">Conforme a lo expuesto, </w:t>
      </w:r>
      <w:r w:rsidR="00914318" w:rsidRPr="00914318">
        <w:rPr>
          <w:rFonts w:ascii="Arial" w:eastAsia="Calibri" w:hAnsi="Arial" w:cs="Arial"/>
          <w:bCs/>
          <w:color w:val="000000" w:themeColor="text1"/>
        </w:rPr>
        <w:t>las inhabilidades son medios que garantizan la transparencia y eficiencia en la actividad contractual del Estado, imponiendo restricciones en la personalidad jurídica, la igualdad, la libre empresa y, particularmente, en el derecho a participar en procesos de selección y celebrar contratos con el Estado. La Corte Constitucional ha reconocido que estas limitaciones deben estar justificadas en la salvaguarda del interés general y que su lectura e interpretación es taxativa y restrictiva</w:t>
      </w:r>
      <w:r w:rsidR="00872C98">
        <w:rPr>
          <w:rFonts w:ascii="Arial" w:eastAsia="Calibri" w:hAnsi="Arial" w:cs="Arial"/>
          <w:bCs/>
          <w:color w:val="000000" w:themeColor="text1"/>
        </w:rPr>
        <w:t>.</w:t>
      </w:r>
    </w:p>
    <w:p w14:paraId="1591FB86" w14:textId="77777777" w:rsidR="00872C98" w:rsidRDefault="00872C98" w:rsidP="00914318">
      <w:pPr>
        <w:spacing w:after="120" w:line="276" w:lineRule="auto"/>
        <w:jc w:val="both"/>
        <w:rPr>
          <w:rFonts w:ascii="Arial" w:eastAsia="Calibri" w:hAnsi="Arial" w:cs="Arial"/>
          <w:bCs/>
          <w:color w:val="000000" w:themeColor="text1"/>
        </w:rPr>
      </w:pPr>
    </w:p>
    <w:p w14:paraId="5052975F" w14:textId="6A90A0B6" w:rsidR="00872C98" w:rsidRPr="00872C98" w:rsidRDefault="00872C98" w:rsidP="00484AF6">
      <w:pPr>
        <w:spacing w:after="120" w:line="276" w:lineRule="auto"/>
        <w:ind w:firstLine="708"/>
        <w:jc w:val="both"/>
        <w:rPr>
          <w:rFonts w:ascii="Arial" w:eastAsia="Calibri" w:hAnsi="Arial" w:cs="Arial"/>
          <w:bCs/>
          <w:color w:val="000000" w:themeColor="text1"/>
        </w:rPr>
      </w:pPr>
      <w:r>
        <w:rPr>
          <w:rFonts w:ascii="Arial" w:eastAsia="Calibri" w:hAnsi="Arial" w:cs="Arial"/>
          <w:bCs/>
          <w:color w:val="000000" w:themeColor="text1"/>
        </w:rPr>
        <w:t>Visto lo anterior,</w:t>
      </w:r>
      <w:r w:rsidR="00484AF6">
        <w:rPr>
          <w:rFonts w:ascii="Arial" w:eastAsia="Calibri" w:hAnsi="Arial" w:cs="Arial"/>
          <w:bCs/>
          <w:color w:val="000000" w:themeColor="text1"/>
        </w:rPr>
        <w:t xml:space="preserve"> d</w:t>
      </w:r>
      <w:r w:rsidRPr="00872C98">
        <w:rPr>
          <w:rFonts w:ascii="Arial" w:eastAsia="Calibri" w:hAnsi="Arial" w:cs="Arial"/>
          <w:bCs/>
          <w:color w:val="000000" w:themeColor="text1"/>
        </w:rPr>
        <w:t>e una lectura detenida de la norma,</w:t>
      </w:r>
      <w:r w:rsidR="00484AF6" w:rsidRPr="00484AF6">
        <w:t xml:space="preserve"> </w:t>
      </w:r>
      <w:r w:rsidR="00484AF6" w:rsidRPr="00484AF6">
        <w:rPr>
          <w:rFonts w:ascii="Arial" w:eastAsia="Calibri" w:hAnsi="Arial" w:cs="Arial"/>
          <w:bCs/>
          <w:color w:val="000000" w:themeColor="text1"/>
        </w:rPr>
        <w:t>literal f numeral 2 del artículo 8 de la Ley 80 de 1993,</w:t>
      </w:r>
      <w:r w:rsidRPr="00872C98">
        <w:rPr>
          <w:rFonts w:ascii="Arial" w:eastAsia="Calibri" w:hAnsi="Arial" w:cs="Arial"/>
          <w:bCs/>
          <w:color w:val="000000" w:themeColor="text1"/>
        </w:rPr>
        <w:t xml:space="preserve"> y en consonancia con la diferenciación expuesta entre las Sociedades Comerciales y las Entidades sin Ánimo de Lucro –ESAL–,  es claro que  la literalidad de la norma se refiere a las Sociedades Comerciales. Hecha esta precisión y atendiendo al ya mencionado carácter interpretativo taxativo y restrictivo del régimen de inhabilidades, a la luz del principio de legalidad que rige la materia, las Entidades sin Ánimo de Lucro –ESAL– no estarían cobijadas bajo esta restricción en particular del literal f) del numeral 2. Cosa distinta ocurre, por ejemplo, con lo contemplado en el inciso cuarto del literal j) del numeral 1 en donde se describe claramente que: “También se considerarán inhabilitadas para contratar, las personas jurídicas sobre las cuales se haya ordenado la suspensión de la personería jurídica en los términos de ley […]” en la medida en que se alude a las “personas jurídicas” termino que se entiende como </w:t>
      </w:r>
      <w:r w:rsidR="00185F4C" w:rsidRPr="00872C98">
        <w:rPr>
          <w:rFonts w:ascii="Arial" w:eastAsia="Calibri" w:hAnsi="Arial" w:cs="Arial"/>
          <w:bCs/>
          <w:color w:val="000000" w:themeColor="text1"/>
        </w:rPr>
        <w:t>género</w:t>
      </w:r>
      <w:r w:rsidRPr="00872C98">
        <w:rPr>
          <w:rFonts w:ascii="Arial" w:eastAsia="Calibri" w:hAnsi="Arial" w:cs="Arial"/>
          <w:bCs/>
          <w:color w:val="000000" w:themeColor="text1"/>
        </w:rPr>
        <w:t xml:space="preserve"> y engloba tanto a las Sociedades Comerciales como a las Entidades sin Ánimo de Lucro –ESAL–. Lo cierto es que este no es el caso, como se acaba de mencionar, de lo consagrado, en el  literal f numeral 2 del artículo 8 de la Ley 80 de 1993. </w:t>
      </w:r>
    </w:p>
    <w:p w14:paraId="0B85EE5B" w14:textId="77777777" w:rsidR="00872C98" w:rsidRPr="00872C98" w:rsidRDefault="00872C98" w:rsidP="00872C98">
      <w:pPr>
        <w:spacing w:after="120" w:line="276" w:lineRule="auto"/>
        <w:ind w:firstLine="708"/>
        <w:jc w:val="both"/>
        <w:rPr>
          <w:rFonts w:ascii="Arial" w:eastAsia="Calibri" w:hAnsi="Arial" w:cs="Arial"/>
          <w:bCs/>
          <w:color w:val="000000" w:themeColor="text1"/>
        </w:rPr>
      </w:pPr>
    </w:p>
    <w:p w14:paraId="4FEBBBF1" w14:textId="2C15E08B" w:rsidR="00872C98" w:rsidRDefault="00872C98" w:rsidP="00872C98">
      <w:pPr>
        <w:spacing w:after="120" w:line="276" w:lineRule="auto"/>
        <w:ind w:firstLine="708"/>
        <w:jc w:val="both"/>
        <w:rPr>
          <w:rFonts w:ascii="Arial" w:eastAsia="Calibri" w:hAnsi="Arial" w:cs="Arial"/>
          <w:lang w:val="es-ES_tradnl"/>
        </w:rPr>
      </w:pPr>
      <w:r w:rsidRPr="00872C98">
        <w:rPr>
          <w:rFonts w:ascii="Arial" w:eastAsia="Calibri" w:hAnsi="Arial" w:cs="Arial"/>
          <w:bCs/>
          <w:color w:val="000000" w:themeColor="text1"/>
        </w:rPr>
        <w:t>Ahora bien, la causal contemplada en la norma también es clara al establecer que “las personas que hayan ejercido cargos en el nivel directivo en entidades del Estado” por ende no se puede hacer una interpretación extensiva a las personas que no hayan cumplido con esta condición, se reitera el carácter interpretativo taxativo y restrictivo del régimen de inhabilidades.</w:t>
      </w:r>
    </w:p>
    <w:p w14:paraId="71279676" w14:textId="6008DF4F" w:rsidR="00C87232" w:rsidRPr="006D7E12" w:rsidRDefault="00C87232" w:rsidP="00660381">
      <w:pPr>
        <w:spacing w:after="0" w:line="276" w:lineRule="auto"/>
        <w:ind w:firstLine="708"/>
        <w:jc w:val="both"/>
        <w:rPr>
          <w:rFonts w:ascii="Arial" w:hAnsi="Arial" w:cs="Arial"/>
          <w:lang w:val="es-ES"/>
        </w:rPr>
      </w:pPr>
      <w:r w:rsidRPr="40C62BE1">
        <w:rPr>
          <w:rFonts w:ascii="Arial" w:eastAsia="Calibri" w:hAnsi="Arial" w:cs="Arial"/>
          <w:lang w:val="es-ES"/>
        </w:rPr>
        <w:t xml:space="preserve">Dentro de este marco general, teniendo en cuenta el carácter taxativo y la interpretación restrictiva de </w:t>
      </w:r>
      <w:r w:rsidR="27958F15" w:rsidRPr="40C62BE1">
        <w:rPr>
          <w:rFonts w:ascii="Arial" w:eastAsia="Calibri" w:hAnsi="Arial" w:cs="Arial"/>
          <w:lang w:val="es-ES"/>
        </w:rPr>
        <w:t>las causales</w:t>
      </w:r>
      <w:r w:rsidRPr="40C62BE1">
        <w:rPr>
          <w:rFonts w:ascii="Arial" w:eastAsia="Calibri" w:hAnsi="Arial" w:cs="Arial"/>
          <w:lang w:val="es-ES"/>
        </w:rPr>
        <w:t xml:space="preserve">, </w:t>
      </w:r>
      <w:r w:rsidRPr="00546AC2">
        <w:rPr>
          <w:rFonts w:ascii="Arial" w:eastAsia="Calibri" w:hAnsi="Arial" w:cs="Arial"/>
          <w:u w:val="single"/>
          <w:lang w:val="es-ES"/>
        </w:rPr>
        <w:t>corresponderá a la entidad contratante</w:t>
      </w:r>
      <w:r w:rsidRPr="40C62BE1">
        <w:rPr>
          <w:rFonts w:ascii="Arial" w:eastAsia="Calibri" w:hAnsi="Arial" w:cs="Arial"/>
          <w:lang w:val="es-ES"/>
        </w:rPr>
        <w:t xml:space="preserve"> definir si en las situaciones planteadas en la consulta se configura alguna prohibición para celebrar contratos con el Estado</w:t>
      </w:r>
      <w:r w:rsidRPr="40C62BE1">
        <w:rPr>
          <w:rFonts w:ascii="Arial" w:hAnsi="Arial" w:cs="Arial"/>
        </w:rPr>
        <w:t xml:space="preserve">. </w:t>
      </w:r>
      <w:r w:rsidRPr="40C62BE1">
        <w:rPr>
          <w:rFonts w:ascii="Arial" w:hAnsi="Arial" w:cs="Arial"/>
          <w:lang w:val="es-ES"/>
        </w:rPr>
        <w:t>Por lo anterior, previo concepto de sus órganos asesores, la solución de estos temas corresponde a la entidad de adoptar la decisión correspondiente y, en caso de conflicto, a las autoridades judiciales, fiscales y disciplinarias. De esta manera, le corresponderá a cada entidad definir la viabilidad técnica, jurídica y financiera de adelantar alguna gestión contractual en específico.</w:t>
      </w:r>
    </w:p>
    <w:p w14:paraId="16C42084" w14:textId="77777777" w:rsidR="00C87232" w:rsidRPr="005A1001" w:rsidRDefault="00C87232" w:rsidP="00C87232">
      <w:pPr>
        <w:spacing w:after="0" w:line="276" w:lineRule="auto"/>
        <w:ind w:firstLine="708"/>
        <w:jc w:val="both"/>
        <w:rPr>
          <w:rFonts w:ascii="Arial" w:eastAsia="Calibri" w:hAnsi="Arial" w:cs="Arial"/>
          <w:lang w:val="es-ES_tradnl"/>
        </w:rPr>
      </w:pPr>
      <w:r>
        <w:rPr>
          <w:rFonts w:ascii="Arial" w:hAnsi="Arial" w:cs="Arial"/>
        </w:rPr>
        <w:t xml:space="preserve"> </w:t>
      </w:r>
    </w:p>
    <w:p w14:paraId="7D2034E7" w14:textId="77777777" w:rsidR="00C87232" w:rsidRDefault="00C87232" w:rsidP="00C87232">
      <w:pPr>
        <w:widowControl w:val="0"/>
        <w:autoSpaceDE w:val="0"/>
        <w:autoSpaceDN w:val="0"/>
        <w:spacing w:after="0" w:line="276" w:lineRule="auto"/>
        <w:jc w:val="both"/>
        <w:rPr>
          <w:rFonts w:ascii="Arial" w:hAnsi="Arial" w:cs="Arial"/>
          <w:color w:val="000000" w:themeColor="text1"/>
          <w:lang w:val="es-ES_tradnl" w:bidi="es-ES"/>
        </w:rPr>
      </w:pPr>
      <w:r w:rsidRPr="00504597">
        <w:rPr>
          <w:rFonts w:ascii="Arial" w:hAnsi="Arial" w:cs="Arial"/>
          <w:color w:val="000000" w:themeColor="text1"/>
          <w:lang w:val="es-ES_tradnl"/>
        </w:rPr>
        <w:t>Este concepto tiene el alcance previsto en el artículo 28 del Código de Procedimiento Administrativo y de lo Contencioso Administrativo.</w:t>
      </w:r>
    </w:p>
    <w:p w14:paraId="579A70A9" w14:textId="77777777" w:rsidR="00C87232" w:rsidRPr="00181816" w:rsidRDefault="00C87232" w:rsidP="00C87232">
      <w:pPr>
        <w:widowControl w:val="0"/>
        <w:autoSpaceDE w:val="0"/>
        <w:autoSpaceDN w:val="0"/>
        <w:spacing w:after="0" w:line="276" w:lineRule="auto"/>
        <w:jc w:val="both"/>
        <w:rPr>
          <w:rFonts w:ascii="Arial" w:hAnsi="Arial" w:cs="Arial"/>
          <w:color w:val="000000" w:themeColor="text1"/>
          <w:lang w:val="es-ES_tradnl" w:bidi="es-ES"/>
        </w:rPr>
      </w:pPr>
    </w:p>
    <w:p w14:paraId="5AE0EF37" w14:textId="77777777" w:rsidR="00C87232" w:rsidRPr="000F4A3A" w:rsidRDefault="00C87232" w:rsidP="00C87232">
      <w:pPr>
        <w:tabs>
          <w:tab w:val="left" w:pos="426"/>
        </w:tabs>
        <w:spacing w:line="276" w:lineRule="auto"/>
        <w:jc w:val="both"/>
        <w:rPr>
          <w:rFonts w:ascii="Arial" w:eastAsia="Times New Roman" w:hAnsi="Arial" w:cs="Arial"/>
          <w:color w:val="000000" w:themeColor="text1"/>
        </w:rPr>
      </w:pPr>
      <w:r w:rsidRPr="000F4A3A">
        <w:rPr>
          <w:rFonts w:ascii="Arial" w:eastAsia="Times New Roman" w:hAnsi="Arial" w:cs="Arial"/>
          <w:color w:val="000000" w:themeColor="text1"/>
        </w:rPr>
        <w:t>Atentamente,</w:t>
      </w:r>
    </w:p>
    <w:p w14:paraId="0245F96F" w14:textId="02FEFB07" w:rsidR="00C87232" w:rsidRPr="00CB70D9" w:rsidRDefault="0052382C" w:rsidP="00C87232">
      <w:pPr>
        <w:jc w:val="center"/>
        <w:rPr>
          <w:rFonts w:ascii="Arial" w:eastAsia="Times New Roman" w:hAnsi="Arial" w:cs="Arial"/>
          <w:lang w:eastAsia="es-CO"/>
        </w:rPr>
      </w:pPr>
      <w:r w:rsidRPr="0052382C">
        <w:rPr>
          <w:rFonts w:ascii="Calibri" w:eastAsia="Calibri" w:hAnsi="Calibri" w:cs="Times New Roman"/>
          <w:noProof/>
          <w:lang w:val="es-ES"/>
        </w:rPr>
        <w:drawing>
          <wp:inline distT="0" distB="0" distL="0" distR="0" wp14:anchorId="0AF0F2C5" wp14:editId="589E1E06">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bookmarkEnd w:id="2"/>
    <w:p w14:paraId="52B5BED7" w14:textId="77777777" w:rsidR="00C87232" w:rsidRPr="006219F8" w:rsidRDefault="00C87232" w:rsidP="00C87232">
      <w:pPr>
        <w:tabs>
          <w:tab w:val="left" w:pos="0"/>
        </w:tabs>
        <w:spacing w:line="276" w:lineRule="auto"/>
        <w:contextualSpacing/>
        <w:jc w:val="both"/>
        <w:rPr>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
        <w:gridCol w:w="4413"/>
      </w:tblGrid>
      <w:tr w:rsidR="00BE16F7" w:rsidRPr="00BE16F7" w14:paraId="28A28201" w14:textId="77777777" w:rsidTr="00BE16F7">
        <w:trPr>
          <w:trHeight w:val="160"/>
        </w:trPr>
        <w:tc>
          <w:tcPr>
            <w:tcW w:w="812" w:type="dxa"/>
            <w:vAlign w:val="center"/>
            <w:hideMark/>
          </w:tcPr>
          <w:p w14:paraId="45FD2EE6" w14:textId="77777777" w:rsidR="00BE16F7" w:rsidRPr="00BE16F7" w:rsidRDefault="00BE16F7" w:rsidP="00BE16F7">
            <w:pPr>
              <w:jc w:val="both"/>
              <w:rPr>
                <w:rFonts w:ascii="Arial" w:eastAsia="Times New Roman" w:hAnsi="Arial" w:cs="Arial"/>
                <w:color w:val="000000"/>
                <w:sz w:val="16"/>
                <w:szCs w:val="16"/>
                <w:lang w:val="es-ES_tradnl" w:eastAsia="es-ES"/>
              </w:rPr>
            </w:pPr>
            <w:r w:rsidRPr="00BE16F7">
              <w:rPr>
                <w:rFonts w:ascii="Arial" w:eastAsia="Times New Roman" w:hAnsi="Arial" w:cs="Arial"/>
                <w:color w:val="000000"/>
                <w:sz w:val="16"/>
                <w:szCs w:val="16"/>
                <w:lang w:val="es-ES_tradnl" w:eastAsia="es-ES"/>
              </w:rPr>
              <w:t>Elaboraron:</w:t>
            </w:r>
          </w:p>
        </w:tc>
        <w:tc>
          <w:tcPr>
            <w:tcW w:w="4413" w:type="dxa"/>
            <w:tcBorders>
              <w:top w:val="nil"/>
              <w:left w:val="nil"/>
              <w:bottom w:val="dotted" w:sz="4" w:space="0" w:color="7F7F7F"/>
              <w:right w:val="nil"/>
            </w:tcBorders>
            <w:vAlign w:val="center"/>
            <w:hideMark/>
          </w:tcPr>
          <w:p w14:paraId="1CFD15C8" w14:textId="77777777" w:rsidR="00BE16F7" w:rsidRPr="00BE16F7" w:rsidRDefault="00BE16F7" w:rsidP="00BE16F7">
            <w:pPr>
              <w:jc w:val="both"/>
              <w:rPr>
                <w:rFonts w:ascii="Arial" w:eastAsia="Times New Roman" w:hAnsi="Arial" w:cs="Arial"/>
                <w:color w:val="000000"/>
                <w:sz w:val="16"/>
                <w:szCs w:val="16"/>
                <w:lang w:val="es-ES_tradnl" w:eastAsia="es-ES"/>
              </w:rPr>
            </w:pPr>
            <w:r w:rsidRPr="00BE16F7">
              <w:rPr>
                <w:rFonts w:ascii="Arial" w:eastAsia="Times New Roman" w:hAnsi="Arial" w:cs="Arial"/>
                <w:color w:val="000000"/>
                <w:sz w:val="16"/>
                <w:szCs w:val="16"/>
                <w:lang w:val="es-ES_tradnl" w:eastAsia="es-ES"/>
              </w:rPr>
              <w:t>Gabriel Alejandro Murcia Taboada</w:t>
            </w:r>
          </w:p>
          <w:p w14:paraId="62606F81" w14:textId="3E31B52C" w:rsidR="00BE16F7" w:rsidRPr="00BE16F7" w:rsidRDefault="00BE16F7" w:rsidP="00BE16F7">
            <w:pPr>
              <w:jc w:val="both"/>
              <w:rPr>
                <w:rFonts w:ascii="Arial" w:eastAsia="Times New Roman" w:hAnsi="Arial" w:cs="Arial"/>
                <w:color w:val="000000"/>
                <w:sz w:val="16"/>
                <w:szCs w:val="16"/>
                <w:lang w:val="es-ES_tradnl" w:eastAsia="es-ES"/>
              </w:rPr>
            </w:pPr>
            <w:r w:rsidRPr="00BE16F7">
              <w:rPr>
                <w:rFonts w:ascii="Arial" w:eastAsia="Times New Roman" w:hAnsi="Arial" w:cs="Arial"/>
                <w:color w:val="000000"/>
                <w:sz w:val="16"/>
                <w:szCs w:val="16"/>
                <w:lang w:val="es-ES_tradnl" w:eastAsia="es-ES"/>
              </w:rPr>
              <w:t xml:space="preserve">Contratista de la Subdirección de Gestión Contractual </w:t>
            </w:r>
          </w:p>
        </w:tc>
      </w:tr>
      <w:tr w:rsidR="00BE16F7" w:rsidRPr="00BE16F7" w14:paraId="3A35DC00" w14:textId="77777777" w:rsidTr="00BE16F7">
        <w:trPr>
          <w:trHeight w:val="330"/>
        </w:trPr>
        <w:tc>
          <w:tcPr>
            <w:tcW w:w="812" w:type="dxa"/>
            <w:vAlign w:val="center"/>
            <w:hideMark/>
          </w:tcPr>
          <w:p w14:paraId="7D62278B" w14:textId="77777777" w:rsidR="00BE16F7" w:rsidRPr="00BE16F7" w:rsidRDefault="00BE16F7" w:rsidP="00BE16F7">
            <w:pPr>
              <w:jc w:val="both"/>
              <w:rPr>
                <w:rFonts w:ascii="Arial" w:eastAsia="Times New Roman" w:hAnsi="Arial" w:cs="Arial"/>
                <w:color w:val="000000"/>
                <w:sz w:val="16"/>
                <w:szCs w:val="16"/>
                <w:lang w:val="es-ES_tradnl" w:eastAsia="es-ES"/>
              </w:rPr>
            </w:pPr>
            <w:r w:rsidRPr="00BE16F7">
              <w:rPr>
                <w:rFonts w:ascii="Arial" w:eastAsia="Times New Roman" w:hAnsi="Arial" w:cs="Arial"/>
                <w:color w:val="000000"/>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3993EEC4" w14:textId="77777777" w:rsidR="00BE16F7" w:rsidRPr="00BE16F7" w:rsidRDefault="00BE16F7" w:rsidP="00BE16F7">
            <w:pPr>
              <w:jc w:val="both"/>
              <w:rPr>
                <w:rFonts w:ascii="Arial" w:eastAsia="Times New Roman" w:hAnsi="Arial" w:cs="Arial"/>
                <w:color w:val="000000"/>
                <w:sz w:val="16"/>
                <w:szCs w:val="16"/>
                <w:lang w:val="es-ES" w:eastAsia="es-ES"/>
              </w:rPr>
            </w:pPr>
            <w:r w:rsidRPr="00BE16F7">
              <w:rPr>
                <w:rFonts w:ascii="Arial" w:eastAsia="Times New Roman" w:hAnsi="Arial" w:cs="Arial"/>
                <w:color w:val="000000"/>
                <w:sz w:val="16"/>
                <w:szCs w:val="16"/>
                <w:lang w:val="es-ES" w:eastAsia="es-ES"/>
              </w:rPr>
              <w:t xml:space="preserve">Diana Carolina Armenta Celis </w:t>
            </w:r>
          </w:p>
          <w:p w14:paraId="7B3BA500" w14:textId="77777777" w:rsidR="00BE16F7" w:rsidRPr="00BE16F7" w:rsidRDefault="00BE16F7" w:rsidP="00BE16F7">
            <w:pPr>
              <w:jc w:val="both"/>
              <w:rPr>
                <w:rFonts w:ascii="Arial" w:eastAsia="Times New Roman" w:hAnsi="Arial" w:cs="Arial"/>
                <w:color w:val="000000"/>
                <w:sz w:val="16"/>
                <w:szCs w:val="16"/>
                <w:lang w:val="es-ES_tradnl" w:eastAsia="es-ES"/>
              </w:rPr>
            </w:pPr>
            <w:r w:rsidRPr="00BE16F7">
              <w:rPr>
                <w:rFonts w:ascii="Arial" w:eastAsia="Times New Roman" w:hAnsi="Arial" w:cs="Arial"/>
                <w:color w:val="000000"/>
                <w:sz w:val="16"/>
                <w:szCs w:val="16"/>
                <w:lang w:val="es-ES" w:eastAsia="es-ES"/>
              </w:rPr>
              <w:t xml:space="preserve">Contratista de la Subdirección de Gestión Contractual    </w:t>
            </w:r>
          </w:p>
        </w:tc>
      </w:tr>
      <w:tr w:rsidR="00BE16F7" w:rsidRPr="00BE16F7" w14:paraId="271C10CD" w14:textId="77777777" w:rsidTr="00BE16F7">
        <w:trPr>
          <w:trHeight w:val="300"/>
        </w:trPr>
        <w:tc>
          <w:tcPr>
            <w:tcW w:w="812" w:type="dxa"/>
            <w:vAlign w:val="center"/>
            <w:hideMark/>
          </w:tcPr>
          <w:p w14:paraId="3F45AE29" w14:textId="77777777" w:rsidR="00BE16F7" w:rsidRPr="00BE16F7" w:rsidRDefault="00BE16F7" w:rsidP="00BE16F7">
            <w:pPr>
              <w:jc w:val="both"/>
              <w:rPr>
                <w:rFonts w:ascii="Arial" w:eastAsia="Times New Roman" w:hAnsi="Arial" w:cs="Arial"/>
                <w:color w:val="000000"/>
                <w:sz w:val="16"/>
                <w:szCs w:val="16"/>
                <w:lang w:val="es-ES_tradnl" w:eastAsia="es-ES"/>
              </w:rPr>
            </w:pPr>
            <w:r w:rsidRPr="00BE16F7">
              <w:rPr>
                <w:rFonts w:ascii="Arial" w:eastAsia="Times New Roman" w:hAnsi="Arial" w:cs="Arial"/>
                <w:color w:val="000000"/>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6F3743A4" w14:textId="77777777" w:rsidR="00BE16F7" w:rsidRPr="00BE16F7" w:rsidRDefault="00BE16F7" w:rsidP="00BE16F7">
            <w:pPr>
              <w:jc w:val="both"/>
              <w:rPr>
                <w:rFonts w:ascii="Arial" w:eastAsia="Times New Roman" w:hAnsi="Arial" w:cs="Arial"/>
                <w:color w:val="000000"/>
                <w:sz w:val="16"/>
                <w:szCs w:val="16"/>
                <w:lang w:val="es-ES_tradnl" w:eastAsia="es-ES"/>
              </w:rPr>
            </w:pPr>
            <w:r w:rsidRPr="00BE16F7">
              <w:rPr>
                <w:rFonts w:ascii="Arial" w:eastAsia="Times New Roman" w:hAnsi="Arial" w:cs="Arial"/>
                <w:color w:val="000000"/>
                <w:sz w:val="16"/>
                <w:szCs w:val="16"/>
                <w:lang w:val="es-ES_tradnl" w:eastAsia="es-ES"/>
              </w:rPr>
              <w:t>Nohelia del Carmen Zawady Palacio</w:t>
            </w:r>
          </w:p>
          <w:p w14:paraId="362AE83C" w14:textId="77777777" w:rsidR="00BE16F7" w:rsidRPr="00BE16F7" w:rsidRDefault="00BE16F7" w:rsidP="00BE16F7">
            <w:pPr>
              <w:jc w:val="both"/>
              <w:rPr>
                <w:rFonts w:ascii="Arial" w:eastAsia="Times New Roman" w:hAnsi="Arial" w:cs="Arial"/>
                <w:color w:val="000000"/>
                <w:sz w:val="16"/>
                <w:szCs w:val="16"/>
                <w:lang w:val="es-ES_tradnl" w:eastAsia="es-ES"/>
              </w:rPr>
            </w:pPr>
            <w:r w:rsidRPr="00BE16F7">
              <w:rPr>
                <w:rFonts w:ascii="Arial" w:eastAsia="Times New Roman" w:hAnsi="Arial" w:cs="Arial"/>
                <w:color w:val="000000"/>
                <w:sz w:val="16"/>
                <w:szCs w:val="16"/>
                <w:lang w:val="es-ES_tradnl" w:eastAsia="es-ES"/>
              </w:rPr>
              <w:t>Subdirectora de Gestión Contractual ANCP – CCE</w:t>
            </w:r>
            <w:r w:rsidRPr="00BE16F7" w:rsidDel="003E289C">
              <w:rPr>
                <w:rFonts w:ascii="Arial" w:eastAsia="Times New Roman" w:hAnsi="Arial" w:cs="Arial"/>
                <w:color w:val="000000"/>
                <w:sz w:val="16"/>
                <w:szCs w:val="16"/>
                <w:lang w:val="es-ES_tradnl" w:eastAsia="es-ES"/>
              </w:rPr>
              <w:t xml:space="preserve"> </w:t>
            </w:r>
            <w:r w:rsidRPr="00BE16F7">
              <w:rPr>
                <w:rFonts w:ascii="Arial" w:eastAsia="Times New Roman" w:hAnsi="Arial" w:cs="Arial"/>
                <w:color w:val="000000"/>
                <w:sz w:val="16"/>
                <w:szCs w:val="16"/>
                <w:lang w:val="es-ES_tradnl" w:eastAsia="es-ES"/>
              </w:rPr>
              <w:t xml:space="preserve"> </w:t>
            </w:r>
          </w:p>
        </w:tc>
      </w:tr>
    </w:tbl>
    <w:p w14:paraId="0F293BF4" w14:textId="0F6FB6C1" w:rsidR="00127233" w:rsidRPr="00D5218A" w:rsidRDefault="00127233" w:rsidP="00D5218A"/>
    <w:sectPr w:rsidR="00127233" w:rsidRPr="00D5218A"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0DB47" w14:textId="77777777" w:rsidR="004126B9" w:rsidRDefault="004126B9" w:rsidP="004A1847">
      <w:pPr>
        <w:spacing w:after="0" w:line="240" w:lineRule="auto"/>
      </w:pPr>
      <w:r>
        <w:separator/>
      </w:r>
    </w:p>
  </w:endnote>
  <w:endnote w:type="continuationSeparator" w:id="0">
    <w:p w14:paraId="79197580" w14:textId="77777777" w:rsidR="004126B9" w:rsidRDefault="004126B9" w:rsidP="004A1847">
      <w:pPr>
        <w:spacing w:after="0" w:line="240" w:lineRule="auto"/>
      </w:pPr>
      <w:r>
        <w:continuationSeparator/>
      </w:r>
    </w:p>
  </w:endnote>
  <w:endnote w:type="continuationNotice" w:id="1">
    <w:p w14:paraId="647B2735" w14:textId="77777777" w:rsidR="004126B9" w:rsidRDefault="004126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709E9" w14:textId="77777777" w:rsidR="004126B9" w:rsidRDefault="004126B9" w:rsidP="004A1847">
      <w:pPr>
        <w:spacing w:after="0" w:line="240" w:lineRule="auto"/>
      </w:pPr>
      <w:r>
        <w:separator/>
      </w:r>
    </w:p>
  </w:footnote>
  <w:footnote w:type="continuationSeparator" w:id="0">
    <w:p w14:paraId="537A483A" w14:textId="77777777" w:rsidR="004126B9" w:rsidRDefault="004126B9" w:rsidP="004A1847">
      <w:pPr>
        <w:spacing w:after="0" w:line="240" w:lineRule="auto"/>
      </w:pPr>
      <w:r>
        <w:continuationSeparator/>
      </w:r>
    </w:p>
  </w:footnote>
  <w:footnote w:type="continuationNotice" w:id="1">
    <w:p w14:paraId="2F2AC080" w14:textId="77777777" w:rsidR="004126B9" w:rsidRDefault="004126B9">
      <w:pPr>
        <w:spacing w:after="0" w:line="240" w:lineRule="auto"/>
      </w:pPr>
    </w:p>
  </w:footnote>
  <w:footnote w:id="2">
    <w:p w14:paraId="7135DEA1" w14:textId="77777777" w:rsidR="00C87232" w:rsidRPr="00660381" w:rsidRDefault="00C87232" w:rsidP="00C87232">
      <w:pPr>
        <w:pStyle w:val="Textonotapie"/>
        <w:ind w:firstLine="708"/>
        <w:jc w:val="both"/>
        <w:rPr>
          <w:rFonts w:ascii="Arial" w:hAnsi="Arial" w:cs="Arial"/>
          <w:sz w:val="14"/>
          <w:szCs w:val="14"/>
          <w:lang w:val="es-ES"/>
        </w:rPr>
      </w:pPr>
      <w:r w:rsidRPr="00660381">
        <w:rPr>
          <w:rStyle w:val="Refdenotaalpie"/>
          <w:rFonts w:ascii="Arial" w:hAnsi="Arial" w:cs="Arial"/>
          <w:sz w:val="14"/>
          <w:szCs w:val="14"/>
        </w:rPr>
        <w:footnoteRef/>
      </w:r>
      <w:r w:rsidRPr="00660381">
        <w:rPr>
          <w:rFonts w:ascii="Arial" w:hAnsi="Arial" w:cs="Arial"/>
          <w:sz w:val="14"/>
          <w:szCs w:val="14"/>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660381">
        <w:rPr>
          <w:rFonts w:ascii="Arial" w:hAnsi="Arial" w:cs="Arial"/>
          <w:i/>
          <w:iCs/>
          <w:sz w:val="14"/>
          <w:szCs w:val="14"/>
        </w:rPr>
        <w:t xml:space="preserve">ibidem </w:t>
      </w:r>
      <w:r w:rsidRPr="00660381">
        <w:rPr>
          <w:rFonts w:ascii="Arial" w:hAnsi="Arial" w:cs="Arial"/>
          <w:sz w:val="14"/>
          <w:szCs w:val="14"/>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3AAACD0F" w14:textId="77777777" w:rsidR="00C87232" w:rsidRPr="00660381" w:rsidRDefault="00C87232" w:rsidP="00C87232">
      <w:pPr>
        <w:pStyle w:val="Textonotapie"/>
        <w:ind w:firstLine="709"/>
        <w:jc w:val="both"/>
        <w:rPr>
          <w:rFonts w:ascii="Arial" w:hAnsi="Arial" w:cs="Arial"/>
          <w:sz w:val="14"/>
          <w:szCs w:val="14"/>
        </w:rPr>
      </w:pPr>
      <w:r w:rsidRPr="00660381">
        <w:rPr>
          <w:rStyle w:val="Refdenotaalpie"/>
          <w:rFonts w:ascii="Arial" w:hAnsi="Arial" w:cs="Arial"/>
          <w:sz w:val="14"/>
          <w:szCs w:val="14"/>
        </w:rPr>
        <w:footnoteRef/>
      </w:r>
      <w:r w:rsidRPr="00660381">
        <w:rPr>
          <w:rFonts w:ascii="Arial" w:hAnsi="Arial" w:cs="Arial"/>
          <w:sz w:val="14"/>
          <w:szCs w:val="14"/>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660381">
          <w:rPr>
            <w:rStyle w:val="Hipervnculo"/>
            <w:rFonts w:ascii="Arial" w:hAnsi="Arial" w:cs="Arial"/>
            <w:sz w:val="14"/>
            <w:szCs w:val="14"/>
          </w:rPr>
          <w:t>https://relatoria.colombiacompra.gov.co/busqueda/conceptos</w:t>
        </w:r>
      </w:hyperlink>
      <w:r w:rsidRPr="00660381">
        <w:rPr>
          <w:rStyle w:val="Hipervnculo"/>
          <w:rFonts w:ascii="Arial" w:hAnsi="Arial" w:cs="Arial"/>
          <w:color w:val="auto"/>
          <w:sz w:val="14"/>
          <w:szCs w:val="14"/>
        </w:rPr>
        <w:t xml:space="preserve">. </w:t>
      </w:r>
      <w:r w:rsidRPr="00660381">
        <w:rPr>
          <w:rFonts w:ascii="Arial" w:hAnsi="Arial" w:cs="Arial"/>
          <w:sz w:val="14"/>
          <w:szCs w:val="14"/>
          <w:shd w:val="clear" w:color="auto" w:fill="E6E6E6"/>
        </w:rPr>
        <w:t xml:space="preserve"> </w:t>
      </w:r>
    </w:p>
  </w:footnote>
  <w:footnote w:id="4">
    <w:p w14:paraId="45899AFB" w14:textId="77777777" w:rsidR="00C87232" w:rsidRPr="00660381" w:rsidRDefault="00C87232" w:rsidP="00C87232">
      <w:pPr>
        <w:pStyle w:val="Textonotapie"/>
        <w:ind w:firstLine="709"/>
        <w:jc w:val="both"/>
        <w:rPr>
          <w:rFonts w:ascii="Arial" w:hAnsi="Arial" w:cs="Arial"/>
          <w:sz w:val="14"/>
          <w:szCs w:val="14"/>
          <w:lang w:val="es-ES_tradnl"/>
        </w:rPr>
      </w:pPr>
      <w:r w:rsidRPr="00660381">
        <w:rPr>
          <w:rStyle w:val="Refdenotaalpie"/>
          <w:rFonts w:ascii="Arial" w:hAnsi="Arial" w:cs="Arial"/>
          <w:sz w:val="14"/>
          <w:szCs w:val="14"/>
        </w:rPr>
        <w:footnoteRef/>
      </w:r>
      <w:r w:rsidRPr="00660381">
        <w:rPr>
          <w:rFonts w:ascii="Arial" w:hAnsi="Arial" w:cs="Arial"/>
          <w:sz w:val="14"/>
          <w:szCs w:val="14"/>
        </w:rPr>
        <w:t xml:space="preserve"> </w:t>
      </w:r>
      <w:r w:rsidRPr="00660381">
        <w:rPr>
          <w:rFonts w:ascii="Arial" w:hAnsi="Arial" w:cs="Arial"/>
          <w:sz w:val="14"/>
          <w:szCs w:val="14"/>
          <w:lang w:val="pt-BR"/>
        </w:rPr>
        <w:t>CORTE CONSTITUCIONAL. Sentencia C-1016 de 2012. M.P. Jorge Iván Palacio.</w:t>
      </w:r>
    </w:p>
  </w:footnote>
  <w:footnote w:id="5">
    <w:p w14:paraId="4B0B638D" w14:textId="77777777" w:rsidR="00C87232" w:rsidRPr="00660381" w:rsidRDefault="00C87232" w:rsidP="00C87232">
      <w:pPr>
        <w:pStyle w:val="Textonotapie"/>
        <w:ind w:firstLine="709"/>
        <w:jc w:val="both"/>
        <w:rPr>
          <w:rFonts w:ascii="Arial" w:hAnsi="Arial" w:cs="Arial"/>
          <w:sz w:val="14"/>
          <w:szCs w:val="14"/>
          <w:lang w:val="pt-BR"/>
        </w:rPr>
      </w:pPr>
      <w:r w:rsidRPr="00660381">
        <w:rPr>
          <w:rStyle w:val="Refdenotaalpie"/>
          <w:rFonts w:ascii="Arial" w:hAnsi="Arial" w:cs="Arial"/>
          <w:sz w:val="14"/>
          <w:szCs w:val="14"/>
        </w:rPr>
        <w:footnoteRef/>
      </w:r>
      <w:r w:rsidRPr="00660381">
        <w:rPr>
          <w:rFonts w:ascii="Arial" w:hAnsi="Arial" w:cs="Arial"/>
          <w:sz w:val="14"/>
          <w:szCs w:val="14"/>
        </w:rPr>
        <w:t xml:space="preserve"> CONSEJO DE ESTADO. Sección Tercera. Subsección A. Sentencia del 13 de noviembre de 2013. </w:t>
      </w:r>
      <w:r w:rsidRPr="00660381">
        <w:rPr>
          <w:rFonts w:ascii="Arial" w:hAnsi="Arial" w:cs="Arial"/>
          <w:sz w:val="14"/>
          <w:szCs w:val="14"/>
          <w:lang w:val="pt-BR"/>
        </w:rPr>
        <w:t xml:space="preserve">Rad. 25.646. C.P. Mauricio Fajardo Gómez.  </w:t>
      </w:r>
    </w:p>
    <w:p w14:paraId="0EF7064C" w14:textId="77777777" w:rsidR="00C87232" w:rsidRPr="00660381" w:rsidRDefault="00C87232" w:rsidP="00C87232">
      <w:pPr>
        <w:pStyle w:val="Textonotapie"/>
        <w:ind w:firstLine="709"/>
        <w:jc w:val="both"/>
        <w:rPr>
          <w:rFonts w:ascii="Arial" w:hAnsi="Arial" w:cs="Arial"/>
          <w:sz w:val="14"/>
          <w:szCs w:val="14"/>
          <w:lang w:val="es-ES_tradnl"/>
        </w:rPr>
      </w:pPr>
    </w:p>
  </w:footnote>
  <w:footnote w:id="6">
    <w:p w14:paraId="35B93E91" w14:textId="77777777" w:rsidR="00C87232" w:rsidRPr="00660381" w:rsidRDefault="00C87232" w:rsidP="00C87232">
      <w:pPr>
        <w:pStyle w:val="Textonotapie"/>
        <w:ind w:firstLine="709"/>
        <w:jc w:val="both"/>
        <w:rPr>
          <w:rFonts w:ascii="Arial" w:hAnsi="Arial" w:cs="Arial"/>
          <w:sz w:val="14"/>
          <w:szCs w:val="14"/>
          <w:lang w:val="es-ES_tradnl"/>
        </w:rPr>
      </w:pPr>
      <w:r w:rsidRPr="00660381">
        <w:rPr>
          <w:rStyle w:val="Refdenotaalpie"/>
          <w:rFonts w:ascii="Arial" w:hAnsi="Arial" w:cs="Arial"/>
          <w:sz w:val="14"/>
          <w:szCs w:val="14"/>
        </w:rPr>
        <w:footnoteRef/>
      </w:r>
      <w:r w:rsidRPr="00660381">
        <w:rPr>
          <w:rFonts w:ascii="Arial" w:hAnsi="Arial" w:cs="Arial"/>
          <w:sz w:val="14"/>
          <w:szCs w:val="14"/>
        </w:rPr>
        <w:t xml:space="preserve"> </w:t>
      </w:r>
      <w:r w:rsidRPr="00660381">
        <w:rPr>
          <w:rFonts w:ascii="Arial" w:hAnsi="Arial" w:cs="Arial"/>
          <w:sz w:val="14"/>
          <w:szCs w:val="14"/>
          <w:lang w:val="pt-BR"/>
        </w:rPr>
        <w:t>CORTE CONSTITUCIONAL. Sentencia C-415 de 1994. M.P. Eduardo Cifuentes Muñoz.</w:t>
      </w:r>
    </w:p>
  </w:footnote>
  <w:footnote w:id="7">
    <w:p w14:paraId="1EA219EB" w14:textId="77777777" w:rsidR="00C87232" w:rsidRPr="00660381" w:rsidRDefault="00C87232" w:rsidP="00C87232">
      <w:pPr>
        <w:pStyle w:val="Textonotapie"/>
        <w:ind w:firstLine="709"/>
        <w:jc w:val="both"/>
        <w:rPr>
          <w:rFonts w:ascii="Arial" w:hAnsi="Arial" w:cs="Arial"/>
          <w:sz w:val="14"/>
          <w:szCs w:val="14"/>
          <w:lang w:val="pt-BR"/>
        </w:rPr>
      </w:pPr>
      <w:r w:rsidRPr="00660381">
        <w:rPr>
          <w:rStyle w:val="Refdenotaalpie"/>
          <w:rFonts w:ascii="Arial" w:hAnsi="Arial" w:cs="Arial"/>
          <w:sz w:val="14"/>
          <w:szCs w:val="14"/>
        </w:rPr>
        <w:footnoteRef/>
      </w:r>
      <w:r w:rsidRPr="00660381">
        <w:rPr>
          <w:rFonts w:ascii="Arial" w:hAnsi="Arial" w:cs="Arial"/>
          <w:sz w:val="14"/>
          <w:szCs w:val="14"/>
        </w:rPr>
        <w:t xml:space="preserve"> </w:t>
      </w:r>
      <w:r w:rsidRPr="00660381">
        <w:rPr>
          <w:rFonts w:ascii="Arial" w:hAnsi="Arial" w:cs="Arial"/>
          <w:sz w:val="14"/>
          <w:szCs w:val="14"/>
          <w:lang w:val="pt-BR"/>
        </w:rPr>
        <w:t>Ibídem.</w:t>
      </w:r>
    </w:p>
    <w:p w14:paraId="7156F893" w14:textId="77777777" w:rsidR="009B3AB1" w:rsidRPr="00660381" w:rsidRDefault="009B3AB1" w:rsidP="00C87232">
      <w:pPr>
        <w:pStyle w:val="Textonotapie"/>
        <w:ind w:firstLine="709"/>
        <w:jc w:val="both"/>
        <w:rPr>
          <w:rFonts w:ascii="Arial" w:hAnsi="Arial" w:cs="Arial"/>
          <w:sz w:val="14"/>
          <w:szCs w:val="14"/>
          <w:lang w:val="pt-BR"/>
        </w:rPr>
      </w:pPr>
    </w:p>
  </w:footnote>
  <w:footnote w:id="8">
    <w:p w14:paraId="4BC90CA9" w14:textId="77777777" w:rsidR="00C87232" w:rsidRPr="00660381" w:rsidRDefault="00C87232" w:rsidP="00C87232">
      <w:pPr>
        <w:pStyle w:val="Textonotapie"/>
        <w:ind w:firstLine="709"/>
        <w:jc w:val="both"/>
        <w:rPr>
          <w:rFonts w:ascii="Arial" w:hAnsi="Arial" w:cs="Arial"/>
          <w:sz w:val="14"/>
          <w:szCs w:val="14"/>
          <w:lang w:val="en-US"/>
        </w:rPr>
      </w:pPr>
      <w:r w:rsidRPr="00660381">
        <w:rPr>
          <w:rStyle w:val="Refdenotaalpie"/>
          <w:rFonts w:ascii="Arial" w:hAnsi="Arial" w:cs="Arial"/>
          <w:sz w:val="14"/>
          <w:szCs w:val="14"/>
        </w:rPr>
        <w:footnoteRef/>
      </w:r>
      <w:r w:rsidRPr="00660381">
        <w:rPr>
          <w:rFonts w:ascii="Arial" w:hAnsi="Arial" w:cs="Arial"/>
          <w:sz w:val="14"/>
          <w:szCs w:val="14"/>
        </w:rPr>
        <w:t xml:space="preserve"> </w:t>
      </w:r>
      <w:r w:rsidRPr="00660381">
        <w:rPr>
          <w:rFonts w:ascii="Arial" w:hAnsi="Arial" w:cs="Arial"/>
          <w:sz w:val="14"/>
          <w:szCs w:val="14"/>
          <w:lang w:val="pt-BR"/>
        </w:rPr>
        <w:t xml:space="preserve">CORTE CONSTITUCIONAL. </w:t>
      </w:r>
      <w:r w:rsidRPr="00660381">
        <w:rPr>
          <w:rFonts w:ascii="Arial" w:hAnsi="Arial" w:cs="Arial"/>
          <w:sz w:val="14"/>
          <w:szCs w:val="14"/>
        </w:rPr>
        <w:t xml:space="preserve">Sentencia C-780 de 2001. </w:t>
      </w:r>
      <w:r w:rsidRPr="00660381">
        <w:rPr>
          <w:rFonts w:ascii="Arial" w:hAnsi="Arial" w:cs="Arial"/>
          <w:sz w:val="14"/>
          <w:szCs w:val="14"/>
          <w:lang w:val="en-US"/>
        </w:rPr>
        <w:t xml:space="preserve">M.P. Jaime Córdoba Triviño. </w:t>
      </w:r>
    </w:p>
  </w:footnote>
  <w:footnote w:id="9">
    <w:p w14:paraId="044461CA" w14:textId="77777777" w:rsidR="009B3AB1" w:rsidRPr="00660381" w:rsidRDefault="009B3AB1" w:rsidP="00C87232">
      <w:pPr>
        <w:pStyle w:val="NormalWeb"/>
        <w:spacing w:before="0" w:beforeAutospacing="0" w:after="0" w:afterAutospacing="0"/>
        <w:ind w:firstLine="709"/>
        <w:jc w:val="both"/>
        <w:rPr>
          <w:rFonts w:ascii="Arial" w:hAnsi="Arial" w:cs="Arial"/>
          <w:sz w:val="14"/>
          <w:szCs w:val="14"/>
        </w:rPr>
      </w:pPr>
    </w:p>
    <w:p w14:paraId="7AF78363" w14:textId="1C6C5D4F" w:rsidR="00C87232" w:rsidRPr="00660381" w:rsidRDefault="00C87232" w:rsidP="00C87232">
      <w:pPr>
        <w:pStyle w:val="NormalWeb"/>
        <w:spacing w:before="0" w:beforeAutospacing="0" w:after="0" w:afterAutospacing="0"/>
        <w:ind w:firstLine="709"/>
        <w:jc w:val="both"/>
        <w:rPr>
          <w:rFonts w:ascii="Arial" w:eastAsiaTheme="minorHAnsi" w:hAnsi="Arial" w:cs="Arial"/>
          <w:sz w:val="14"/>
          <w:szCs w:val="14"/>
          <w:lang w:val="es-ES" w:eastAsia="en-US"/>
        </w:rPr>
      </w:pPr>
      <w:r w:rsidRPr="00660381">
        <w:rPr>
          <w:rStyle w:val="Refdenotaalpie"/>
          <w:rFonts w:ascii="Arial" w:hAnsi="Arial" w:cs="Arial"/>
          <w:sz w:val="14"/>
          <w:szCs w:val="14"/>
        </w:rPr>
        <w:footnoteRef/>
      </w:r>
      <w:r w:rsidRPr="00660381">
        <w:rPr>
          <w:rFonts w:ascii="Arial" w:hAnsi="Arial" w:cs="Arial"/>
          <w:sz w:val="14"/>
          <w:szCs w:val="14"/>
        </w:rPr>
        <w:t xml:space="preserve"> </w:t>
      </w:r>
      <w:r w:rsidRPr="00660381">
        <w:rPr>
          <w:rFonts w:ascii="Arial" w:eastAsiaTheme="minorHAnsi" w:hAnsi="Arial" w:cs="Arial"/>
          <w:sz w:val="14"/>
          <w:szCs w:val="14"/>
          <w:lang w:val="es-ES" w:eastAsia="en-US"/>
        </w:rPr>
        <w:t>Ley 80 de 1993: “Artículo 8: 1o. Son inhábiles para participar en licitaciones o concursos y para celebrar contratos con las entidades estatales: </w:t>
      </w:r>
    </w:p>
    <w:p w14:paraId="04785E8F" w14:textId="77777777" w:rsidR="00C87232" w:rsidRPr="00660381" w:rsidRDefault="00C87232" w:rsidP="00C87232">
      <w:pPr>
        <w:pStyle w:val="NormalWeb"/>
        <w:spacing w:before="0" w:beforeAutospacing="0" w:after="0" w:afterAutospacing="0"/>
        <w:ind w:firstLine="708"/>
        <w:jc w:val="both"/>
        <w:rPr>
          <w:rFonts w:ascii="Arial" w:eastAsiaTheme="minorHAnsi" w:hAnsi="Arial" w:cs="Arial"/>
          <w:sz w:val="14"/>
          <w:szCs w:val="14"/>
          <w:lang w:val="es-ES" w:eastAsia="en-US"/>
        </w:rPr>
      </w:pPr>
      <w:r w:rsidRPr="00660381">
        <w:rPr>
          <w:rFonts w:ascii="Arial" w:eastAsiaTheme="minorHAnsi" w:hAnsi="Arial" w:cs="Arial"/>
          <w:sz w:val="14"/>
          <w:szCs w:val="14"/>
          <w:lang w:val="es-ES" w:eastAsia="en-US"/>
        </w:rPr>
        <w:t>a) Las personas que se hallen inhabilitadas para contratar por la Constitución y las leyes. </w:t>
      </w:r>
    </w:p>
    <w:p w14:paraId="18D05584" w14:textId="77777777" w:rsidR="00C87232" w:rsidRPr="00660381" w:rsidRDefault="00C87232" w:rsidP="00C87232">
      <w:pPr>
        <w:pStyle w:val="NormalWeb"/>
        <w:spacing w:before="0" w:beforeAutospacing="0" w:after="0" w:afterAutospacing="0"/>
        <w:ind w:firstLine="708"/>
        <w:jc w:val="both"/>
        <w:rPr>
          <w:rFonts w:ascii="Arial" w:eastAsiaTheme="minorHAnsi" w:hAnsi="Arial" w:cs="Arial"/>
          <w:sz w:val="14"/>
          <w:szCs w:val="14"/>
          <w:lang w:val="es-ES" w:eastAsia="en-US"/>
        </w:rPr>
      </w:pPr>
      <w:r w:rsidRPr="00660381">
        <w:rPr>
          <w:rFonts w:ascii="Arial" w:eastAsiaTheme="minorHAnsi" w:hAnsi="Arial" w:cs="Arial"/>
          <w:sz w:val="14"/>
          <w:szCs w:val="14"/>
          <w:lang w:val="es-ES" w:eastAsia="en-US"/>
        </w:rPr>
        <w:t>b) Quienes participaron en las licitaciones o concursos o celebraron los contratos de que trata el literal anterior estando inhabilitados. </w:t>
      </w:r>
    </w:p>
    <w:p w14:paraId="0B6D59F6" w14:textId="77777777" w:rsidR="00C87232" w:rsidRPr="00660381" w:rsidRDefault="00C87232" w:rsidP="00C87232">
      <w:pPr>
        <w:pStyle w:val="NormalWeb"/>
        <w:spacing w:before="0" w:beforeAutospacing="0" w:after="0" w:afterAutospacing="0"/>
        <w:ind w:firstLine="709"/>
        <w:jc w:val="both"/>
        <w:rPr>
          <w:rFonts w:ascii="Arial" w:eastAsiaTheme="minorHAnsi" w:hAnsi="Arial" w:cs="Arial"/>
          <w:sz w:val="14"/>
          <w:szCs w:val="14"/>
          <w:lang w:val="es-ES" w:eastAsia="en-US"/>
        </w:rPr>
      </w:pPr>
      <w:r w:rsidRPr="00660381">
        <w:rPr>
          <w:rFonts w:ascii="Arial" w:eastAsiaTheme="minorHAnsi" w:hAnsi="Arial" w:cs="Arial"/>
          <w:sz w:val="14"/>
          <w:szCs w:val="14"/>
          <w:lang w:val="es-ES" w:eastAsia="en-US"/>
        </w:rPr>
        <w:t>c) Quienes dieron lugar a la declaratoria de caducidad. </w:t>
      </w:r>
    </w:p>
    <w:p w14:paraId="7D20DDE6" w14:textId="77777777" w:rsidR="00C87232" w:rsidRPr="00660381" w:rsidRDefault="00C87232" w:rsidP="00C87232">
      <w:pPr>
        <w:pStyle w:val="NormalWeb"/>
        <w:spacing w:before="0" w:beforeAutospacing="0" w:after="0" w:afterAutospacing="0"/>
        <w:ind w:firstLine="709"/>
        <w:jc w:val="both"/>
        <w:rPr>
          <w:rFonts w:ascii="Arial" w:eastAsiaTheme="minorHAnsi" w:hAnsi="Arial" w:cs="Arial"/>
          <w:sz w:val="14"/>
          <w:szCs w:val="14"/>
          <w:lang w:val="es-ES" w:eastAsia="en-US"/>
        </w:rPr>
      </w:pPr>
      <w:r w:rsidRPr="00660381">
        <w:rPr>
          <w:rFonts w:ascii="Arial" w:eastAsiaTheme="minorHAnsi" w:hAnsi="Arial" w:cs="Arial"/>
          <w:sz w:val="14"/>
          <w:szCs w:val="14"/>
          <w:lang w:val="es-ES" w:eastAsia="en-US"/>
        </w:rPr>
        <w:t>d) Quienes en sentencia judicial hayan sido condenados a la pena accesoria de interdicción de derechos y funciones públicas y quienes hayan sido sancionados disciplinariamente con destitución. </w:t>
      </w:r>
    </w:p>
    <w:p w14:paraId="70EDAED9" w14:textId="77777777" w:rsidR="00C87232" w:rsidRPr="00660381" w:rsidRDefault="00C87232" w:rsidP="00C87232">
      <w:pPr>
        <w:pStyle w:val="NormalWeb"/>
        <w:spacing w:before="0" w:beforeAutospacing="0" w:after="0" w:afterAutospacing="0"/>
        <w:ind w:firstLine="708"/>
        <w:jc w:val="both"/>
        <w:rPr>
          <w:rFonts w:ascii="Arial" w:eastAsiaTheme="minorHAnsi" w:hAnsi="Arial" w:cs="Arial"/>
          <w:sz w:val="14"/>
          <w:szCs w:val="14"/>
          <w:lang w:val="es-ES" w:eastAsia="en-US"/>
        </w:rPr>
      </w:pPr>
      <w:r w:rsidRPr="00660381">
        <w:rPr>
          <w:rFonts w:ascii="Arial" w:eastAsiaTheme="minorHAnsi" w:hAnsi="Arial" w:cs="Arial"/>
          <w:sz w:val="14"/>
          <w:szCs w:val="14"/>
          <w:lang w:val="es-ES" w:eastAsia="en-US"/>
        </w:rPr>
        <w:t>e) Quienes sin justa causa se abstengan de suscribir el contrato estatal adjudicado. </w:t>
      </w:r>
    </w:p>
    <w:p w14:paraId="6959A30E" w14:textId="77777777" w:rsidR="00C87232" w:rsidRPr="00660381" w:rsidRDefault="00C87232" w:rsidP="00C87232">
      <w:pPr>
        <w:pStyle w:val="NormalWeb"/>
        <w:spacing w:before="0" w:beforeAutospacing="0" w:after="0" w:afterAutospacing="0"/>
        <w:ind w:firstLine="708"/>
        <w:jc w:val="both"/>
        <w:rPr>
          <w:rFonts w:ascii="Arial" w:eastAsiaTheme="minorHAnsi" w:hAnsi="Arial" w:cs="Arial"/>
          <w:sz w:val="14"/>
          <w:szCs w:val="14"/>
          <w:lang w:val="es-ES" w:eastAsia="en-US"/>
        </w:rPr>
      </w:pPr>
      <w:r w:rsidRPr="00660381">
        <w:rPr>
          <w:rFonts w:ascii="Arial" w:eastAsiaTheme="minorHAnsi" w:hAnsi="Arial" w:cs="Arial"/>
          <w:sz w:val="14"/>
          <w:szCs w:val="14"/>
          <w:lang w:val="es-ES" w:eastAsia="en-US"/>
        </w:rPr>
        <w:t>f) Los servidores públicos. </w:t>
      </w:r>
    </w:p>
    <w:p w14:paraId="2ED14367" w14:textId="77777777" w:rsidR="00C87232" w:rsidRPr="00660381" w:rsidRDefault="00C87232" w:rsidP="00C87232">
      <w:pPr>
        <w:pStyle w:val="NormalWeb"/>
        <w:spacing w:before="0" w:beforeAutospacing="0" w:after="0" w:afterAutospacing="0"/>
        <w:ind w:firstLine="708"/>
        <w:jc w:val="both"/>
        <w:rPr>
          <w:rFonts w:ascii="Arial" w:eastAsiaTheme="minorHAnsi" w:hAnsi="Arial" w:cs="Arial"/>
          <w:sz w:val="14"/>
          <w:szCs w:val="14"/>
          <w:lang w:val="es-ES" w:eastAsia="en-US"/>
        </w:rPr>
      </w:pPr>
      <w:r w:rsidRPr="00660381">
        <w:rPr>
          <w:rFonts w:ascii="Arial" w:eastAsiaTheme="minorHAnsi" w:hAnsi="Arial" w:cs="Arial"/>
          <w:sz w:val="14"/>
          <w:szCs w:val="14"/>
          <w:lang w:val="es-ES" w:eastAsia="en-US"/>
        </w:rPr>
        <w:t>g) Quienes sean cónyuges o compañeros permanentes y quienes se encuentren dentro del segundo grado de consanguinidad o segundo de afinidad con cualquier otra persona que formalmente haya presentado propuesta para una misma licitación o concurso. </w:t>
      </w:r>
    </w:p>
    <w:p w14:paraId="2D138ECD" w14:textId="77777777" w:rsidR="00C87232" w:rsidRPr="00660381" w:rsidRDefault="00C87232" w:rsidP="00C87232">
      <w:pPr>
        <w:pStyle w:val="NormalWeb"/>
        <w:spacing w:before="0" w:beforeAutospacing="0" w:after="0" w:afterAutospacing="0"/>
        <w:ind w:firstLine="709"/>
        <w:jc w:val="both"/>
        <w:rPr>
          <w:rFonts w:ascii="Arial" w:eastAsiaTheme="minorHAnsi" w:hAnsi="Arial" w:cs="Arial"/>
          <w:sz w:val="14"/>
          <w:szCs w:val="14"/>
          <w:lang w:val="es-ES" w:eastAsia="en-US"/>
        </w:rPr>
      </w:pPr>
      <w:r w:rsidRPr="00660381">
        <w:rPr>
          <w:rFonts w:ascii="Arial" w:eastAsiaTheme="minorHAnsi" w:hAnsi="Arial" w:cs="Arial"/>
          <w:sz w:val="14"/>
          <w:szCs w:val="14"/>
          <w:lang w:val="es-ES" w:eastAsia="en-US"/>
        </w:rPr>
        <w:t>h)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o concurso. </w:t>
      </w:r>
    </w:p>
    <w:p w14:paraId="625A13C8" w14:textId="77777777" w:rsidR="00C87232" w:rsidRPr="00660381" w:rsidRDefault="00C87232" w:rsidP="00C87232">
      <w:pPr>
        <w:pStyle w:val="NormalWeb"/>
        <w:spacing w:before="0" w:beforeAutospacing="0" w:after="0" w:afterAutospacing="0"/>
        <w:ind w:firstLine="708"/>
        <w:jc w:val="both"/>
        <w:rPr>
          <w:rFonts w:ascii="Arial" w:eastAsiaTheme="minorHAnsi" w:hAnsi="Arial" w:cs="Arial"/>
          <w:sz w:val="14"/>
          <w:szCs w:val="14"/>
          <w:lang w:val="es-ES" w:eastAsia="en-US"/>
        </w:rPr>
      </w:pPr>
      <w:r w:rsidRPr="00660381">
        <w:rPr>
          <w:rFonts w:ascii="Arial" w:eastAsiaTheme="minorHAnsi" w:hAnsi="Arial" w:cs="Arial"/>
          <w:sz w:val="14"/>
          <w:szCs w:val="14"/>
          <w:lang w:val="es-ES" w:eastAsia="en-US"/>
        </w:rPr>
        <w:t>i) Los socios de sociedades de personas a las cuales se haya declarado la caducidad, así como las sociedades de personas de las que aquellos formen parte con posterioridad a dicha declaratoria. </w:t>
      </w:r>
    </w:p>
    <w:p w14:paraId="34B5BA2C" w14:textId="77777777" w:rsidR="00C87232" w:rsidRPr="00660381" w:rsidRDefault="00C87232" w:rsidP="00C87232">
      <w:pPr>
        <w:pStyle w:val="NormalWeb"/>
        <w:spacing w:before="0" w:beforeAutospacing="0" w:after="0" w:afterAutospacing="0"/>
        <w:ind w:firstLine="709"/>
        <w:jc w:val="both"/>
        <w:rPr>
          <w:rFonts w:ascii="Arial" w:eastAsiaTheme="minorHAnsi" w:hAnsi="Arial" w:cs="Arial"/>
          <w:sz w:val="14"/>
          <w:szCs w:val="14"/>
          <w:lang w:val="es-ES" w:eastAsia="en-US"/>
        </w:rPr>
      </w:pPr>
      <w:r w:rsidRPr="00660381">
        <w:rPr>
          <w:rFonts w:ascii="Arial" w:eastAsiaTheme="minorHAnsi" w:hAnsi="Arial" w:cs="Arial"/>
          <w:sz w:val="14"/>
          <w:szCs w:val="14"/>
          <w:lang w:val="es-ES" w:eastAsia="en-US"/>
        </w:rPr>
        <w:t>  Las inhabilidades a que se refieren los literales c), d) e i) se extenderán por un término de cinco (5) años contado a partir de la fecha de ejecutoria del acto que declaró la caducidad, o de la sentencia que impuso la pena, o del acto que dispuso la destitución; las previstas en los literales b) y e), se extenderán por un término de cinco (5) años contado a partir de la fecha de ocurrencia del hecho de la participación en la licitación o concurso, o de la de celebración del contrato, o de la de expiración del plazo para su firma. </w:t>
      </w:r>
    </w:p>
    <w:p w14:paraId="3AB3EDA5" w14:textId="77777777" w:rsidR="00C87232" w:rsidRPr="00660381" w:rsidRDefault="00C87232" w:rsidP="00C87232">
      <w:pPr>
        <w:pStyle w:val="NormalWeb"/>
        <w:spacing w:before="0" w:beforeAutospacing="0" w:after="0" w:afterAutospacing="0"/>
        <w:ind w:firstLine="708"/>
        <w:jc w:val="both"/>
        <w:rPr>
          <w:rFonts w:ascii="Arial" w:eastAsiaTheme="minorHAnsi" w:hAnsi="Arial" w:cs="Arial"/>
          <w:sz w:val="14"/>
          <w:szCs w:val="14"/>
          <w:lang w:val="es-ES" w:eastAsia="en-US"/>
        </w:rPr>
      </w:pPr>
      <w:r w:rsidRPr="00660381">
        <w:rPr>
          <w:rFonts w:ascii="Arial" w:eastAsiaTheme="minorHAnsi" w:hAnsi="Arial" w:cs="Arial"/>
          <w:sz w:val="14"/>
          <w:szCs w:val="14"/>
          <w:lang w:val="es-ES" w:eastAsia="en-US"/>
        </w:rPr>
        <w:t>j) Las personas naturales que hayan sido declaradas responsables judicialmente por la comisión de delitos contra la Administración pública, o de cualquiera de los delitos o faltas contempladas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w:t>
      </w:r>
    </w:p>
    <w:p w14:paraId="23B0AD9B" w14:textId="77777777" w:rsidR="00C87232" w:rsidRPr="00660381" w:rsidRDefault="00C87232" w:rsidP="00C87232">
      <w:pPr>
        <w:pStyle w:val="NormalWeb"/>
        <w:spacing w:before="0" w:beforeAutospacing="0" w:after="0" w:afterAutospacing="0"/>
        <w:ind w:firstLine="708"/>
        <w:jc w:val="both"/>
        <w:rPr>
          <w:rFonts w:ascii="Arial" w:eastAsiaTheme="minorHAnsi" w:hAnsi="Arial" w:cs="Arial"/>
          <w:sz w:val="14"/>
          <w:szCs w:val="14"/>
          <w:lang w:val="es-ES" w:eastAsia="en-US"/>
        </w:rPr>
      </w:pPr>
      <w:r w:rsidRPr="00660381">
        <w:rPr>
          <w:rFonts w:ascii="Arial" w:eastAsiaTheme="minorHAnsi" w:hAnsi="Arial" w:cs="Arial"/>
          <w:sz w:val="14"/>
          <w:szCs w:val="14"/>
          <w:lang w:val="es-ES" w:eastAsia="en-US"/>
        </w:rPr>
        <w:t>Esta inhabilidad procederá preventivamente aún en los casos en los que esté pendiente la decisión sobre la impugnación de la sentencia condenatoria. Asimismo, la inhabilidad se extenderá a las sociedades de las que hagan parte dichas personas en calidad de administradores, represen</w:t>
      </w:r>
      <w:r w:rsidRPr="00660381">
        <w:rPr>
          <w:rFonts w:ascii="Arial" w:eastAsiaTheme="minorHAnsi" w:hAnsi="Arial" w:cs="Arial"/>
          <w:sz w:val="14"/>
          <w:szCs w:val="14"/>
          <w:lang w:val="es-ES" w:eastAsia="en-US"/>
        </w:rPr>
        <w:softHyphen/>
        <w:t>tantes legales, miembros de junta directiva o de socios controlantes, a sus matrices y a sus subordinadas, a los grupos empresariales a los que estas pertenezcan cuando la conducta delictiva haya sido parte de una política del grupo y a las sucursales de sociedades extranjeras, con ex</w:t>
      </w:r>
      <w:r w:rsidRPr="00660381">
        <w:rPr>
          <w:rFonts w:ascii="Arial" w:eastAsiaTheme="minorHAnsi" w:hAnsi="Arial" w:cs="Arial"/>
          <w:sz w:val="14"/>
          <w:szCs w:val="14"/>
          <w:lang w:val="es-ES" w:eastAsia="en-US"/>
        </w:rPr>
        <w:softHyphen/>
        <w:t>cepción de las sociedades anónimas abiertas. También se considerarán inhabilitadas para contratar, las personas jurídicas sobre las cuales se haya ordenado la suspensión de la perso</w:t>
      </w:r>
      <w:r w:rsidRPr="00660381">
        <w:rPr>
          <w:rFonts w:ascii="Arial" w:eastAsiaTheme="minorHAnsi" w:hAnsi="Arial" w:cs="Arial"/>
          <w:sz w:val="14"/>
          <w:szCs w:val="14"/>
          <w:lang w:val="es-ES" w:eastAsia="en-US"/>
        </w:rPr>
        <w:softHyphen/>
        <w:t>nería jurídica en los términos de ley, o cuyos representantes legales, ad</w:t>
      </w:r>
      <w:r w:rsidRPr="00660381">
        <w:rPr>
          <w:rFonts w:ascii="Arial" w:eastAsiaTheme="minorHAnsi" w:hAnsi="Arial" w:cs="Arial"/>
          <w:sz w:val="14"/>
          <w:szCs w:val="14"/>
          <w:lang w:val="es-ES" w:eastAsia="en-US"/>
        </w:rPr>
        <w:softHyphen/>
        <w:t>ministradores de hecho o de derecho, miembros de junta directiva o sus socios controlantes, sus matrices, subordinadas y/o las sucursales de sociedades extranjeras, hayan sido beneficiados con la aplicación de un principio de oportunidad por cualquier delito contra la Administración pública o el patrimonio del Estado.  La inhabilidad prevista en este literal se extenderá de forma perma</w:t>
      </w:r>
      <w:r w:rsidRPr="00660381">
        <w:rPr>
          <w:rFonts w:ascii="Arial" w:eastAsiaTheme="minorHAnsi" w:hAnsi="Arial" w:cs="Arial"/>
          <w:sz w:val="14"/>
          <w:szCs w:val="14"/>
          <w:lang w:val="es-ES" w:eastAsia="en-US"/>
        </w:rPr>
        <w:softHyphen/>
        <w:t>nente a las sociedades de las que hagan parte dichas personas en las calidades presentadas en los incisos anteriores, y se aplicará de igual forma a las personas naturales que hayan sido declaradas responsables judicialmente por la comisión de delitos mencionados en este literal. </w:t>
      </w:r>
    </w:p>
    <w:p w14:paraId="4C00E4E8" w14:textId="77777777" w:rsidR="00C87232" w:rsidRPr="00660381" w:rsidRDefault="00C87232" w:rsidP="00C87232">
      <w:pPr>
        <w:pStyle w:val="NormalWeb"/>
        <w:spacing w:before="0" w:beforeAutospacing="0" w:after="0" w:afterAutospacing="0"/>
        <w:ind w:firstLine="709"/>
        <w:jc w:val="both"/>
        <w:rPr>
          <w:rFonts w:ascii="Arial" w:eastAsiaTheme="minorHAnsi" w:hAnsi="Arial" w:cs="Arial"/>
          <w:sz w:val="14"/>
          <w:szCs w:val="14"/>
          <w:lang w:val="es-ES" w:eastAsia="en-US"/>
        </w:rPr>
      </w:pPr>
      <w:r w:rsidRPr="00660381">
        <w:rPr>
          <w:rFonts w:ascii="Arial" w:eastAsiaTheme="minorHAnsi" w:hAnsi="Arial" w:cs="Arial"/>
          <w:sz w:val="14"/>
          <w:szCs w:val="14"/>
          <w:lang w:val="es-ES" w:eastAsia="en-US"/>
        </w:rPr>
        <w:t>[…]</w:t>
      </w:r>
    </w:p>
    <w:p w14:paraId="595A6AB3" w14:textId="77777777" w:rsidR="00C87232" w:rsidRPr="00660381" w:rsidRDefault="00C87232" w:rsidP="00C87232">
      <w:pPr>
        <w:pStyle w:val="NormalWeb"/>
        <w:spacing w:before="0" w:beforeAutospacing="0" w:after="0" w:afterAutospacing="0"/>
        <w:ind w:firstLine="709"/>
        <w:jc w:val="both"/>
        <w:rPr>
          <w:rFonts w:ascii="Arial" w:eastAsiaTheme="minorHAnsi" w:hAnsi="Arial" w:cs="Arial"/>
          <w:sz w:val="14"/>
          <w:szCs w:val="14"/>
          <w:lang w:val="es-ES" w:eastAsia="en-US"/>
        </w:rPr>
      </w:pPr>
      <w:r w:rsidRPr="00660381">
        <w:rPr>
          <w:rFonts w:ascii="Arial" w:eastAsiaTheme="minorHAnsi" w:hAnsi="Arial" w:cs="Arial"/>
          <w:sz w:val="14"/>
          <w:szCs w:val="14"/>
          <w:lang w:val="es-ES" w:eastAsia="en-US"/>
        </w:rPr>
        <w:t>2o. Tampoco podrán participar en licitaciones o concursos ni celebrar contratos estatales con la entidad respectiva: </w:t>
      </w:r>
    </w:p>
    <w:p w14:paraId="7CBC4DBC" w14:textId="77777777" w:rsidR="00C87232" w:rsidRPr="00660381" w:rsidRDefault="00C87232" w:rsidP="00C87232">
      <w:pPr>
        <w:pStyle w:val="NormalWeb"/>
        <w:spacing w:before="0" w:beforeAutospacing="0" w:after="0" w:afterAutospacing="0"/>
        <w:ind w:firstLine="708"/>
        <w:jc w:val="both"/>
        <w:rPr>
          <w:rFonts w:ascii="Arial" w:eastAsiaTheme="minorHAnsi" w:hAnsi="Arial" w:cs="Arial"/>
          <w:sz w:val="14"/>
          <w:szCs w:val="14"/>
          <w:lang w:val="es-ES" w:eastAsia="en-US"/>
        </w:rPr>
      </w:pPr>
      <w:r w:rsidRPr="00660381">
        <w:rPr>
          <w:rFonts w:ascii="Arial" w:eastAsiaTheme="minorHAnsi" w:hAnsi="Arial" w:cs="Arial"/>
          <w:sz w:val="14"/>
          <w:szCs w:val="14"/>
          <w:lang w:val="es-ES" w:eastAsia="en-US"/>
        </w:rPr>
        <w:t>a) Quienes fueron miembros de la junta o consejo directivo o servidores públicos de la entidad contratante. Esta incompatibilidad solo comprende a quienes desempeñaron funciones en los niveles directivo, asesor o ejecutivo y se extiende por el término de un (1) año, contado a partir de la fecha del retiro. </w:t>
      </w:r>
    </w:p>
    <w:p w14:paraId="5EFF1709" w14:textId="77777777" w:rsidR="00C87232" w:rsidRPr="00660381" w:rsidRDefault="00C87232" w:rsidP="00C87232">
      <w:pPr>
        <w:pStyle w:val="NormalWeb"/>
        <w:spacing w:before="0" w:beforeAutospacing="0" w:after="0" w:afterAutospacing="0"/>
        <w:ind w:firstLine="708"/>
        <w:jc w:val="both"/>
        <w:rPr>
          <w:rFonts w:ascii="Arial" w:eastAsiaTheme="minorHAnsi" w:hAnsi="Arial" w:cs="Arial"/>
          <w:sz w:val="14"/>
          <w:szCs w:val="14"/>
          <w:lang w:val="es-ES" w:eastAsia="en-US"/>
        </w:rPr>
      </w:pPr>
      <w:r w:rsidRPr="00660381">
        <w:rPr>
          <w:rFonts w:ascii="Arial" w:eastAsiaTheme="minorHAnsi" w:hAnsi="Arial" w:cs="Arial"/>
          <w:sz w:val="14"/>
          <w:szCs w:val="14"/>
          <w:lang w:val="es-ES" w:eastAsia="en-US"/>
        </w:rPr>
        <w:t>b)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w:t>
      </w:r>
    </w:p>
    <w:p w14:paraId="7B23AA47" w14:textId="77777777" w:rsidR="00C87232" w:rsidRPr="00660381" w:rsidRDefault="00C87232" w:rsidP="00C87232">
      <w:pPr>
        <w:pStyle w:val="NormalWeb"/>
        <w:spacing w:before="0" w:beforeAutospacing="0" w:after="0" w:afterAutospacing="0"/>
        <w:ind w:firstLine="708"/>
        <w:jc w:val="both"/>
        <w:rPr>
          <w:rFonts w:ascii="Arial" w:eastAsiaTheme="minorHAnsi" w:hAnsi="Arial" w:cs="Arial"/>
          <w:sz w:val="14"/>
          <w:szCs w:val="14"/>
          <w:lang w:val="es-ES" w:eastAsia="en-US"/>
        </w:rPr>
      </w:pPr>
      <w:r w:rsidRPr="00660381">
        <w:rPr>
          <w:rFonts w:ascii="Arial" w:eastAsiaTheme="minorHAnsi" w:hAnsi="Arial" w:cs="Arial"/>
          <w:sz w:val="14"/>
          <w:szCs w:val="14"/>
          <w:lang w:val="es-ES" w:eastAsia="en-US"/>
        </w:rPr>
        <w:t>c) El cónyuge, compañero o compañera permanente del servidor público en los niveles directivo, asesor, ejecutivo, o de un miembro de la junta o consejo directivo, o de quien ejerza funciones de control interno o de control fiscal. </w:t>
      </w:r>
    </w:p>
    <w:p w14:paraId="22486938" w14:textId="77777777" w:rsidR="00C87232" w:rsidRPr="00660381" w:rsidRDefault="00C87232" w:rsidP="00C87232">
      <w:pPr>
        <w:pStyle w:val="NormalWeb"/>
        <w:spacing w:before="0" w:beforeAutospacing="0" w:after="0" w:afterAutospacing="0"/>
        <w:ind w:firstLine="708"/>
        <w:jc w:val="both"/>
        <w:rPr>
          <w:rFonts w:ascii="Arial" w:eastAsiaTheme="minorHAnsi" w:hAnsi="Arial" w:cs="Arial"/>
          <w:sz w:val="14"/>
          <w:szCs w:val="14"/>
          <w:lang w:val="es-ES" w:eastAsia="en-US"/>
        </w:rPr>
      </w:pPr>
      <w:r w:rsidRPr="00660381">
        <w:rPr>
          <w:rFonts w:ascii="Arial" w:eastAsiaTheme="minorHAnsi" w:hAnsi="Arial" w:cs="Arial"/>
          <w:sz w:val="14"/>
          <w:szCs w:val="14"/>
          <w:lang w:val="es-ES" w:eastAsia="en-US"/>
        </w:rPr>
        <w:t>d)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w:t>
      </w:r>
    </w:p>
    <w:p w14:paraId="4EF953E6" w14:textId="77777777" w:rsidR="00C87232" w:rsidRPr="00660381" w:rsidRDefault="00C87232" w:rsidP="00C87232">
      <w:pPr>
        <w:pStyle w:val="NormalWeb"/>
        <w:spacing w:before="0" w:beforeAutospacing="0" w:after="0" w:afterAutospacing="0"/>
        <w:ind w:firstLine="708"/>
        <w:jc w:val="both"/>
        <w:rPr>
          <w:rFonts w:ascii="Arial" w:eastAsiaTheme="minorHAnsi" w:hAnsi="Arial" w:cs="Arial"/>
          <w:sz w:val="14"/>
          <w:szCs w:val="14"/>
          <w:lang w:val="es-ES" w:eastAsia="en-US"/>
        </w:rPr>
      </w:pPr>
      <w:r w:rsidRPr="00660381">
        <w:rPr>
          <w:rFonts w:ascii="Arial" w:eastAsiaTheme="minorHAnsi" w:hAnsi="Arial" w:cs="Arial"/>
          <w:sz w:val="14"/>
          <w:szCs w:val="14"/>
          <w:lang w:val="es-ES" w:eastAsia="en-US"/>
        </w:rPr>
        <w:t>e) Los miembros de las juntas o consejos directivos. Esta incompatibilidad sólo se predica respecto de la entidad a la cual prestan sus servicios y de las del sector administrativo al que la misma esté adscrita o vinculada. </w:t>
      </w:r>
    </w:p>
    <w:p w14:paraId="4E146E21" w14:textId="77777777" w:rsidR="00C87232" w:rsidRPr="00660381" w:rsidRDefault="00C87232" w:rsidP="00C87232">
      <w:pPr>
        <w:pStyle w:val="NormalWeb"/>
        <w:spacing w:before="0" w:beforeAutospacing="0" w:after="0" w:afterAutospacing="0"/>
        <w:ind w:firstLine="708"/>
        <w:jc w:val="both"/>
        <w:rPr>
          <w:rFonts w:ascii="Arial" w:eastAsiaTheme="minorHAnsi" w:hAnsi="Arial" w:cs="Arial"/>
          <w:sz w:val="14"/>
          <w:szCs w:val="14"/>
          <w:lang w:val="es-ES" w:eastAsia="en-US"/>
        </w:rPr>
      </w:pPr>
      <w:r w:rsidRPr="00660381">
        <w:rPr>
          <w:rFonts w:ascii="Arial" w:eastAsiaTheme="minorHAnsi" w:hAnsi="Arial" w:cs="Arial"/>
          <w:sz w:val="14"/>
          <w:szCs w:val="14"/>
          <w:lang w:val="es-ES" w:eastAsia="en-US"/>
        </w:rPr>
        <w:t xml:space="preserve">f)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Esta incompatibilidad también operará para las personas que se encuentren dentro del primer grado de consanguinidad, primero de afinidad, o primero civil del </w:t>
      </w:r>
      <w:proofErr w:type="gramStart"/>
      <w:r w:rsidRPr="00660381">
        <w:rPr>
          <w:rFonts w:ascii="Arial" w:eastAsiaTheme="minorHAnsi" w:hAnsi="Arial" w:cs="Arial"/>
          <w:sz w:val="14"/>
          <w:szCs w:val="14"/>
          <w:lang w:val="es-ES" w:eastAsia="en-US"/>
        </w:rPr>
        <w:t>ex empleado</w:t>
      </w:r>
      <w:proofErr w:type="gramEnd"/>
      <w:r w:rsidRPr="00660381">
        <w:rPr>
          <w:rFonts w:ascii="Arial" w:eastAsiaTheme="minorHAnsi" w:hAnsi="Arial" w:cs="Arial"/>
          <w:sz w:val="14"/>
          <w:szCs w:val="14"/>
          <w:lang w:val="es-ES" w:eastAsia="en-US"/>
        </w:rPr>
        <w:t xml:space="preserve"> público”. (…). </w:t>
      </w:r>
    </w:p>
  </w:footnote>
  <w:footnote w:id="10">
    <w:p w14:paraId="00D1BE16" w14:textId="77777777" w:rsidR="00C87232" w:rsidRPr="00660381" w:rsidRDefault="00C87232" w:rsidP="00C87232">
      <w:pPr>
        <w:pStyle w:val="Textonotapie"/>
        <w:ind w:firstLine="709"/>
        <w:jc w:val="both"/>
        <w:rPr>
          <w:rFonts w:ascii="Arial" w:hAnsi="Arial" w:cs="Arial"/>
          <w:sz w:val="14"/>
          <w:szCs w:val="14"/>
        </w:rPr>
      </w:pPr>
      <w:r w:rsidRPr="00660381">
        <w:rPr>
          <w:rStyle w:val="Refdenotaalpie"/>
          <w:rFonts w:ascii="Arial" w:hAnsi="Arial" w:cs="Arial"/>
          <w:sz w:val="14"/>
          <w:szCs w:val="14"/>
        </w:rPr>
        <w:footnoteRef/>
      </w:r>
      <w:r w:rsidRPr="00660381">
        <w:rPr>
          <w:rFonts w:ascii="Arial" w:hAnsi="Arial" w:cs="Arial"/>
          <w:sz w:val="14"/>
          <w:szCs w:val="14"/>
        </w:rPr>
        <w:t xml:space="preserve"> Ley 80 de 1993: “Artículo 6. De la capacidad para contratar. Pueden celebrar contratos con las entidades estatales las personas consideradas legalmente capaces en las disposiciones vigentes. También podrán celebrar contratos con las entidades estatales, los consorcios y uniones temporales.</w:t>
      </w:r>
    </w:p>
    <w:p w14:paraId="0975FA28" w14:textId="77777777" w:rsidR="00C87232" w:rsidRPr="00660381" w:rsidRDefault="00C87232" w:rsidP="00C87232">
      <w:pPr>
        <w:pStyle w:val="Textonotapie"/>
        <w:ind w:firstLine="709"/>
        <w:jc w:val="both"/>
        <w:rPr>
          <w:rFonts w:ascii="Arial" w:hAnsi="Arial" w:cs="Arial"/>
          <w:sz w:val="14"/>
          <w:szCs w:val="14"/>
        </w:rPr>
      </w:pPr>
      <w:r w:rsidRPr="00660381">
        <w:rPr>
          <w:rFonts w:ascii="Arial" w:hAnsi="Arial" w:cs="Arial"/>
          <w:sz w:val="14"/>
          <w:szCs w:val="14"/>
        </w:rPr>
        <w:t>Las personas jurídicas nacionales y extranjeras deberán acreditar que su duración no será inferior a la del plazo del contrato y un año más”.</w:t>
      </w:r>
    </w:p>
  </w:footnote>
  <w:footnote w:id="11">
    <w:p w14:paraId="0E0A91CC" w14:textId="77777777" w:rsidR="00C87232" w:rsidRPr="00660381" w:rsidRDefault="00C87232" w:rsidP="00C87232">
      <w:pPr>
        <w:pStyle w:val="Textonotapie"/>
        <w:ind w:firstLine="709"/>
        <w:jc w:val="both"/>
        <w:rPr>
          <w:rFonts w:ascii="Arial" w:hAnsi="Arial" w:cs="Arial"/>
          <w:sz w:val="14"/>
          <w:szCs w:val="14"/>
        </w:rPr>
      </w:pPr>
      <w:r w:rsidRPr="00660381">
        <w:rPr>
          <w:rStyle w:val="Refdenotaalpie"/>
          <w:rFonts w:ascii="Arial" w:hAnsi="Arial" w:cs="Arial"/>
          <w:sz w:val="14"/>
          <w:szCs w:val="14"/>
        </w:rPr>
        <w:footnoteRef/>
      </w:r>
      <w:r w:rsidRPr="00660381">
        <w:rPr>
          <w:rFonts w:ascii="Arial" w:hAnsi="Arial" w:cs="Arial"/>
          <w:sz w:val="14"/>
          <w:szCs w:val="14"/>
        </w:rPr>
        <w:t xml:space="preserve"> Código Civil: “Artículo 1502. Requisitos para obligarse. Para que una persona se obligue a otra por un acto o declaración de voluntad, es necesario:</w:t>
      </w:r>
    </w:p>
    <w:p w14:paraId="4688061B" w14:textId="77777777" w:rsidR="00C87232" w:rsidRPr="00660381" w:rsidRDefault="00C87232" w:rsidP="00C87232">
      <w:pPr>
        <w:pStyle w:val="Textonotapie"/>
        <w:ind w:firstLine="709"/>
        <w:jc w:val="both"/>
        <w:rPr>
          <w:rFonts w:ascii="Arial" w:hAnsi="Arial" w:cs="Arial"/>
          <w:sz w:val="14"/>
          <w:szCs w:val="14"/>
        </w:rPr>
      </w:pPr>
      <w:r w:rsidRPr="00660381">
        <w:rPr>
          <w:rFonts w:ascii="Arial" w:hAnsi="Arial" w:cs="Arial"/>
          <w:sz w:val="14"/>
          <w:szCs w:val="14"/>
        </w:rPr>
        <w:t>1o.) que sea legalmente capaz.</w:t>
      </w:r>
    </w:p>
    <w:p w14:paraId="6B5F0479" w14:textId="77777777" w:rsidR="00C87232" w:rsidRPr="00660381" w:rsidRDefault="00C87232" w:rsidP="00C87232">
      <w:pPr>
        <w:pStyle w:val="Textonotapie"/>
        <w:ind w:firstLine="709"/>
        <w:jc w:val="both"/>
        <w:rPr>
          <w:rFonts w:ascii="Arial" w:hAnsi="Arial" w:cs="Arial"/>
          <w:sz w:val="14"/>
          <w:szCs w:val="14"/>
        </w:rPr>
      </w:pPr>
      <w:r w:rsidRPr="00660381">
        <w:rPr>
          <w:rFonts w:ascii="Arial" w:hAnsi="Arial" w:cs="Arial"/>
          <w:sz w:val="14"/>
          <w:szCs w:val="14"/>
        </w:rPr>
        <w:t>[…]</w:t>
      </w:r>
    </w:p>
    <w:p w14:paraId="373B8334" w14:textId="77777777" w:rsidR="00C87232" w:rsidRPr="00660381" w:rsidRDefault="00C87232" w:rsidP="00C87232">
      <w:pPr>
        <w:pStyle w:val="Textonotapie"/>
        <w:ind w:firstLine="709"/>
        <w:jc w:val="both"/>
        <w:rPr>
          <w:rFonts w:ascii="Arial" w:hAnsi="Arial" w:cs="Arial"/>
          <w:sz w:val="14"/>
          <w:szCs w:val="14"/>
        </w:rPr>
      </w:pPr>
      <w:r w:rsidRPr="00660381">
        <w:rPr>
          <w:rFonts w:ascii="Arial" w:hAnsi="Arial" w:cs="Arial"/>
          <w:sz w:val="14"/>
          <w:szCs w:val="14"/>
        </w:rPr>
        <w:t>La capacidad legal de una persona consiste en poderse obligar por sí misma, sin el ministerio o la autorización de otra”.</w:t>
      </w:r>
    </w:p>
  </w:footnote>
  <w:footnote w:id="12">
    <w:p w14:paraId="01253571" w14:textId="77777777" w:rsidR="00C87232" w:rsidRPr="00660381" w:rsidRDefault="00C87232" w:rsidP="00C87232">
      <w:pPr>
        <w:pStyle w:val="Textonotapie"/>
        <w:ind w:firstLine="709"/>
        <w:jc w:val="both"/>
        <w:rPr>
          <w:rFonts w:ascii="Arial" w:hAnsi="Arial" w:cs="Arial"/>
          <w:sz w:val="14"/>
          <w:szCs w:val="14"/>
        </w:rPr>
      </w:pPr>
      <w:r w:rsidRPr="00660381">
        <w:rPr>
          <w:rStyle w:val="Refdenotaalpie"/>
          <w:rFonts w:ascii="Arial" w:hAnsi="Arial" w:cs="Arial"/>
          <w:sz w:val="14"/>
          <w:szCs w:val="14"/>
        </w:rPr>
        <w:footnoteRef/>
      </w:r>
      <w:r w:rsidRPr="00660381">
        <w:rPr>
          <w:rFonts w:ascii="Arial" w:hAnsi="Arial" w:cs="Arial"/>
          <w:sz w:val="14"/>
          <w:szCs w:val="14"/>
        </w:rPr>
        <w:t xml:space="preserve"> Decreto Ley 19 de 2012: “Artículo 221. El artículo 6 de la Ley 1150 de 2007, quedará así:</w:t>
      </w:r>
    </w:p>
    <w:p w14:paraId="0B7FD179" w14:textId="77777777" w:rsidR="00C87232" w:rsidRPr="00660381" w:rsidRDefault="00C87232" w:rsidP="00C87232">
      <w:pPr>
        <w:pStyle w:val="Textonotapie"/>
        <w:ind w:firstLine="709"/>
        <w:jc w:val="both"/>
        <w:rPr>
          <w:rFonts w:ascii="Arial" w:hAnsi="Arial" w:cs="Arial"/>
          <w:sz w:val="14"/>
          <w:szCs w:val="14"/>
          <w:lang w:val="es-ES"/>
        </w:rPr>
      </w:pPr>
      <w:r w:rsidRPr="00660381">
        <w:rPr>
          <w:rFonts w:ascii="Arial" w:hAnsi="Arial" w:cs="Arial"/>
          <w:sz w:val="14"/>
          <w:szCs w:val="14"/>
        </w:rPr>
        <w:t>Artículo 6. De la verificación de las condiciones de los proponentes. T</w:t>
      </w:r>
      <w:r w:rsidRPr="00660381">
        <w:rPr>
          <w:rFonts w:ascii="Arial" w:hAnsi="Arial" w:cs="Arial"/>
          <w:sz w:val="14"/>
          <w:szCs w:val="14"/>
          <w:lang w:val="es-ES"/>
        </w:rPr>
        <w: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4193C2E2" w14:textId="77777777" w:rsidR="00C87232" w:rsidRPr="00660381" w:rsidRDefault="00C87232" w:rsidP="00C87232">
      <w:pPr>
        <w:pStyle w:val="Textonotapie"/>
        <w:ind w:firstLine="709"/>
        <w:jc w:val="both"/>
        <w:rPr>
          <w:rFonts w:ascii="Arial" w:hAnsi="Arial" w:cs="Arial"/>
          <w:sz w:val="14"/>
          <w:szCs w:val="14"/>
          <w:lang w:val="es-ES"/>
        </w:rPr>
      </w:pPr>
      <w:r w:rsidRPr="00660381">
        <w:rPr>
          <w:rFonts w:ascii="Arial" w:hAnsi="Arial" w:cs="Arial"/>
          <w:sz w:val="14"/>
          <w:szCs w:val="14"/>
          <w:lang w:val="es-ES"/>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footnote>
  <w:footnote w:id="13">
    <w:p w14:paraId="5CA838B8" w14:textId="77777777" w:rsidR="00C87232" w:rsidRPr="00660381" w:rsidRDefault="00C87232" w:rsidP="00C87232">
      <w:pPr>
        <w:pStyle w:val="Textonotapie"/>
        <w:ind w:firstLine="709"/>
        <w:jc w:val="both"/>
        <w:rPr>
          <w:rFonts w:ascii="Arial" w:hAnsi="Arial" w:cs="Arial"/>
          <w:sz w:val="14"/>
          <w:szCs w:val="14"/>
          <w:lang w:val="es-ES"/>
        </w:rPr>
      </w:pPr>
      <w:r w:rsidRPr="00660381">
        <w:rPr>
          <w:rStyle w:val="Refdenotaalpie"/>
          <w:rFonts w:ascii="Arial" w:hAnsi="Arial" w:cs="Arial"/>
          <w:sz w:val="14"/>
          <w:szCs w:val="14"/>
        </w:rPr>
        <w:footnoteRef/>
      </w:r>
      <w:r w:rsidRPr="00660381">
        <w:rPr>
          <w:rFonts w:ascii="Arial" w:hAnsi="Arial" w:cs="Arial"/>
          <w:sz w:val="14"/>
          <w:szCs w:val="14"/>
        </w:rPr>
        <w:t xml:space="preserve"> </w:t>
      </w:r>
      <w:r w:rsidRPr="00660381">
        <w:rPr>
          <w:rFonts w:ascii="Arial" w:hAnsi="Arial" w:cs="Arial"/>
          <w:sz w:val="14"/>
          <w:szCs w:val="14"/>
          <w:lang w:val="es-ES"/>
        </w:rPr>
        <w:t xml:space="preserve">En tal sentido, José Luis Benavides comenta que “Aunque la mayoría de las reglas limitativas de la responsabilidad contractual se aplican a la administración, existen también algunas restricciones importantes a la capacidad de los contratistas: </w:t>
      </w:r>
      <w:r w:rsidRPr="00660381">
        <w:rPr>
          <w:rFonts w:ascii="Arial" w:hAnsi="Arial" w:cs="Arial"/>
          <w:i/>
          <w:iCs/>
          <w:sz w:val="14"/>
          <w:szCs w:val="14"/>
          <w:lang w:val="es-ES"/>
        </w:rPr>
        <w:t>el régimen de inhabilidades e incompatibilidades</w:t>
      </w:r>
      <w:r w:rsidRPr="00660381">
        <w:rPr>
          <w:rFonts w:ascii="Arial" w:hAnsi="Arial" w:cs="Arial"/>
          <w:sz w:val="14"/>
          <w:szCs w:val="14"/>
          <w:lang w:val="es-ES"/>
        </w:rPr>
        <w:t xml:space="preserve"> (1) y la obligación de ciertos proponentes de inscribirse en el </w:t>
      </w:r>
      <w:r w:rsidRPr="00660381">
        <w:rPr>
          <w:rFonts w:ascii="Arial" w:hAnsi="Arial" w:cs="Arial"/>
          <w:i/>
          <w:iCs/>
          <w:sz w:val="14"/>
          <w:szCs w:val="14"/>
          <w:lang w:val="es-ES"/>
        </w:rPr>
        <w:t>registro único</w:t>
      </w:r>
      <w:r w:rsidRPr="00660381">
        <w:rPr>
          <w:rFonts w:ascii="Arial" w:hAnsi="Arial" w:cs="Arial"/>
          <w:sz w:val="14"/>
          <w:szCs w:val="14"/>
          <w:lang w:val="es-ES"/>
        </w:rPr>
        <w:t xml:space="preserve"> (2)” (BENAVIDES, José Luis. El contrato estatal. Entre el Derecho público y el Derecho privado. 2ª ed. Bogotá: Universidad Externado de Colombia, 2004. p. 278). </w:t>
      </w:r>
    </w:p>
  </w:footnote>
  <w:footnote w:id="14">
    <w:p w14:paraId="3C94E07B" w14:textId="77777777" w:rsidR="00C87232" w:rsidRPr="00660381" w:rsidRDefault="00C87232" w:rsidP="00C87232">
      <w:pPr>
        <w:spacing w:after="0" w:line="240" w:lineRule="auto"/>
        <w:ind w:firstLine="709"/>
        <w:jc w:val="both"/>
        <w:rPr>
          <w:rFonts w:ascii="Arial" w:hAnsi="Arial" w:cs="Arial"/>
          <w:sz w:val="14"/>
          <w:szCs w:val="14"/>
          <w:lang w:val="es-ES"/>
        </w:rPr>
      </w:pPr>
      <w:r w:rsidRPr="00660381">
        <w:rPr>
          <w:rStyle w:val="Refdenotaalpie"/>
          <w:rFonts w:ascii="Arial" w:hAnsi="Arial" w:cs="Arial"/>
          <w:sz w:val="14"/>
          <w:szCs w:val="14"/>
        </w:rPr>
        <w:footnoteRef/>
      </w:r>
      <w:r w:rsidRPr="00660381">
        <w:rPr>
          <w:rFonts w:ascii="Arial" w:hAnsi="Arial" w:cs="Arial"/>
          <w:sz w:val="14"/>
          <w:szCs w:val="14"/>
        </w:rPr>
        <w:t xml:space="preserve"> </w:t>
      </w:r>
      <w:r w:rsidRPr="00660381">
        <w:rPr>
          <w:rFonts w:ascii="Arial" w:hAnsi="Arial" w:cs="Arial"/>
          <w:sz w:val="14"/>
          <w:szCs w:val="14"/>
          <w:lang w:val="es-ES"/>
        </w:rPr>
        <w:t>Son inhabilidades que responden a esta circunstancia, entre otras, las siguientes: “Quienes participaron en las licitaciones o celebraron los contratos de que trata el literal anterior estando inhabilitados” (art. 8, num. 1º, lit. b, Ley 80/93); “Quienes dieron lugar a la declaratoria de caducidad” (art. 8, num. 1º, lit. c), Ley 80/93); “Quienes en sentencia judicial hayan sido condenados a la pena accesoria de interdicción de derechos y funciones públicas y quienes hayan sido sancionados disciplinariamente con destitución” (art. 8, num. 1º, lit. d), Ley 80/93); “Quienes sin justa causa se abstengan de suscribir el contrato estatal adjudicado” (art. 8, num. 1º, lit. e), Ley 80/93); “i) Los socios de sociedades de personas a las cuales se haya declarado la caducidad, así como las sociedades de personas de las que aquellos formen parte con posterioridad a dicha declaratoria” (art. 8, num. 1º, lit. i), Ley 80/93); “Las personas naturales que hayan sido declaradas responsables judicialmente por la comisión de delitos contra la Administración Pública o de cualquiera de los delitos o faltas contemplados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(art. 8, num. 1º, lit. j), Ley 80/93); “El interventor que incumpla el deber de entregar información a la entidad contratante relacionada con el incumplimiento del contrato, con hechos o circunstancias que puedan constituir actos de corrupción tipificados como conductas punibles, o que puedan poner o pongan en riesgo el cumplimiento del contrato” (art. 8, num. 1º, lit. k), Ley 80/93); “Haber sido objeto de imposición de cinco (5) o más multas durante la ejecución de uno o varios contratos, con una o varias entidades estatales, durante los últimos tres (3) años; […] Haber sido objeto de declaratorias de incumplimiento contractual en por lo menos dos (2) contratos, con una o varias entidades estatales, durante los últimos tres (3) años; […] Haber sido objeto de imposición de dos (2) multas y un (1) incumplimiento durante una misma vigencia fiscal, con una o varias entidades estatales” (art. 90, lit. a), b) y c), Ley 1474/11, modificado por el art. 43, Ley 1955/19.</w:t>
      </w:r>
    </w:p>
  </w:footnote>
  <w:footnote w:id="15">
    <w:p w14:paraId="3674AF44" w14:textId="77777777" w:rsidR="00C87232" w:rsidRPr="00660381" w:rsidRDefault="00C87232" w:rsidP="00C87232">
      <w:pPr>
        <w:pStyle w:val="Textonotapie"/>
        <w:ind w:firstLine="709"/>
        <w:jc w:val="both"/>
        <w:rPr>
          <w:rFonts w:ascii="Arial" w:hAnsi="Arial" w:cs="Arial"/>
          <w:sz w:val="14"/>
          <w:szCs w:val="14"/>
          <w:lang w:val="es-ES"/>
        </w:rPr>
      </w:pPr>
      <w:r w:rsidRPr="00660381">
        <w:rPr>
          <w:rStyle w:val="Refdenotaalpie"/>
          <w:rFonts w:ascii="Arial" w:hAnsi="Arial" w:cs="Arial"/>
          <w:sz w:val="14"/>
          <w:szCs w:val="14"/>
        </w:rPr>
        <w:footnoteRef/>
      </w:r>
      <w:r w:rsidRPr="00660381">
        <w:rPr>
          <w:rFonts w:ascii="Arial" w:hAnsi="Arial" w:cs="Arial"/>
          <w:sz w:val="14"/>
          <w:szCs w:val="14"/>
        </w:rPr>
        <w:t xml:space="preserve"> </w:t>
      </w:r>
      <w:r w:rsidRPr="00660381">
        <w:rPr>
          <w:rFonts w:ascii="Arial" w:hAnsi="Arial" w:cs="Arial"/>
          <w:sz w:val="14"/>
          <w:szCs w:val="14"/>
          <w:lang w:val="es-ES"/>
        </w:rPr>
        <w:t>Por ejemplo, a título enunciativo, las siguientes: “Quienes sean cónyuges o compañeros permanentes y quienes se encuentren dentro del segundo grado de consanguinidad o segundo de afinidad con cualquier otra persona que formalmente haya presentado propuesta para una misma licitación” (art. 8, num. 1º, lit. g), Ley 80/93);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(art. 8, num. 1º, lit. h), Ley 80/93);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(art. 8, num. 2º, lit. b), Ley 80/93); “El cónyuge, compañero o compañera permanente del servidor público en los niveles directivo, asesor, ejecutivo, o de un miembro de la junta o consejo directivo, o de quien ejerza funciones de control interno o de control fiscal” (art. 8, num. 2º, lit. c),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num. 2º, lit. d), Ley 80/93).</w:t>
      </w:r>
    </w:p>
  </w:footnote>
  <w:footnote w:id="16">
    <w:p w14:paraId="3574A2B7" w14:textId="77777777" w:rsidR="00C87232" w:rsidRPr="00660381" w:rsidRDefault="00C87232" w:rsidP="00C87232">
      <w:pPr>
        <w:pStyle w:val="Textonotapie"/>
        <w:ind w:firstLine="709"/>
        <w:jc w:val="both"/>
        <w:rPr>
          <w:rFonts w:ascii="Arial" w:hAnsi="Arial" w:cs="Arial"/>
          <w:sz w:val="14"/>
          <w:szCs w:val="14"/>
          <w:lang w:val="es-ES"/>
        </w:rPr>
      </w:pPr>
      <w:r w:rsidRPr="00660381">
        <w:rPr>
          <w:rStyle w:val="Refdenotaalpie"/>
          <w:rFonts w:ascii="Arial" w:hAnsi="Arial" w:cs="Arial"/>
          <w:sz w:val="14"/>
          <w:szCs w:val="14"/>
        </w:rPr>
        <w:footnoteRef/>
      </w:r>
      <w:r w:rsidRPr="00660381">
        <w:rPr>
          <w:rFonts w:ascii="Arial" w:hAnsi="Arial" w:cs="Arial"/>
          <w:sz w:val="14"/>
          <w:szCs w:val="14"/>
        </w:rPr>
        <w:t xml:space="preserve"> </w:t>
      </w:r>
      <w:r w:rsidRPr="00660381">
        <w:rPr>
          <w:rFonts w:ascii="Arial" w:hAnsi="Arial" w:cs="Arial"/>
          <w:sz w:val="14"/>
          <w:szCs w:val="14"/>
          <w:lang w:val="es-ES"/>
        </w:rPr>
        <w:t>Verbigracia, entre otras, las que se indican a continuación: “Las personas naturales o jurídicas que hayan financiado campañas políticas a la Presidencia de la República, a las gobernaciones, a las alcaldías o al Congreso de la República, con aportes superiores al dos por ciento (2.0%) de las sumas máximas a invertir por los candidatos en las campañas electorales en cada circunscripción electoral, quienes no podrán celebrar contratos con las entidades públicas, incluso descentralizadas, del respectivo nivel administrativo para el cual fue elegido el candidato […]” (art. 8, num. 1º, lit. k), Ley 80/93, modificado por el art. 33, Ley 1778/16); “Quienes fueron miembros de la junta o consejo directivo o servidores públicos de la entidad contratante” (art. 8, num. 2º, lit. a), Ley 80/93);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(art. 8, num. 2º, lit. f), Ley 80/93, adicionado por el art. 4º, Ley 1474/2011).</w:t>
      </w:r>
    </w:p>
  </w:footnote>
  <w:footnote w:id="17">
    <w:p w14:paraId="5693063E" w14:textId="77777777" w:rsidR="00C87232" w:rsidRPr="00660381" w:rsidRDefault="00C87232" w:rsidP="00C87232">
      <w:pPr>
        <w:spacing w:after="0" w:line="240" w:lineRule="auto"/>
        <w:ind w:firstLine="709"/>
        <w:jc w:val="both"/>
        <w:rPr>
          <w:rFonts w:ascii="Arial" w:hAnsi="Arial" w:cs="Arial"/>
          <w:sz w:val="14"/>
          <w:szCs w:val="14"/>
          <w:lang w:val="es-ES"/>
        </w:rPr>
      </w:pPr>
      <w:r w:rsidRPr="00660381">
        <w:rPr>
          <w:rStyle w:val="Refdenotaalpie"/>
          <w:rFonts w:ascii="Arial" w:hAnsi="Arial" w:cs="Arial"/>
          <w:sz w:val="14"/>
          <w:szCs w:val="14"/>
        </w:rPr>
        <w:footnoteRef/>
      </w:r>
      <w:r w:rsidRPr="00660381">
        <w:rPr>
          <w:rFonts w:ascii="Arial" w:hAnsi="Arial" w:cs="Arial"/>
          <w:sz w:val="14"/>
          <w:szCs w:val="14"/>
        </w:rPr>
        <w:t xml:space="preserve"> </w:t>
      </w:r>
      <w:r w:rsidRPr="00660381">
        <w:rPr>
          <w:rFonts w:ascii="Arial" w:hAnsi="Arial" w:cs="Arial"/>
          <w:sz w:val="14"/>
          <w:szCs w:val="14"/>
          <w:lang w:val="es-ES"/>
        </w:rPr>
        <w:t xml:space="preserve">Como las señaladas a continuación: “Los servidores públicos” (art. 8, num. 1º, lit. f),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num. 2º, lit. d), Ley 80/93); “Los miembros de las juntas o consejos directivos. Esta incompatibilidad sólo se predica respecto de la entidad a la cual prestan sus servicios y de las del sector administrativo al que la misma esté adscrita o vinculada” (art. 8, num. 2º, lit. e), Ley 80/93); “Quien haya celebrado un contrato estatal de obra pública, de concesión, suministro de medicamentos y de alimentos o su cónyuge, compañero o compañera permanente, pariente hasta el segundo grado de consaguinidad, segundo de afinidad y/o primero civil o sus socios en sociedades distintas de las anónimas abiertas, con las entidades a que se refiere el artículo 2o de la Ley 80 de 1993, durante el plazo de ejecución y hasta la liquidación del mismo, no podrán celebrar contratos de interventoría con la misma entidad” (art. 5, Ley 1474/11). </w:t>
      </w:r>
    </w:p>
  </w:footnote>
  <w:footnote w:id="18">
    <w:p w14:paraId="61636877" w14:textId="77777777" w:rsidR="00C87232" w:rsidRPr="00660381" w:rsidRDefault="00C87232" w:rsidP="00C87232">
      <w:pPr>
        <w:pStyle w:val="Textonotapie"/>
        <w:ind w:firstLine="709"/>
        <w:jc w:val="both"/>
        <w:rPr>
          <w:rFonts w:ascii="Arial" w:hAnsi="Arial" w:cs="Arial"/>
          <w:sz w:val="14"/>
          <w:szCs w:val="14"/>
        </w:rPr>
      </w:pPr>
      <w:r w:rsidRPr="00660381">
        <w:rPr>
          <w:rStyle w:val="Refdenotaalpie"/>
          <w:rFonts w:ascii="Arial" w:hAnsi="Arial" w:cs="Arial"/>
          <w:sz w:val="14"/>
          <w:szCs w:val="14"/>
        </w:rPr>
        <w:footnoteRef/>
      </w:r>
      <w:r w:rsidRPr="00660381">
        <w:rPr>
          <w:rFonts w:ascii="Arial" w:hAnsi="Arial" w:cs="Arial"/>
          <w:sz w:val="14"/>
          <w:szCs w:val="14"/>
        </w:rPr>
        <w:t xml:space="preserve"> En esta línea Dávila Vinueza Expresa: “El legislador para calificar estas prohibiciones emplea dos vocablos: Inhabilidades o incompatibilidades, los cuales en un examen desprevenido podrían sugerir ideas diferentes </w:t>
      </w:r>
      <w:proofErr w:type="gramStart"/>
      <w:r w:rsidRPr="00660381">
        <w:rPr>
          <w:rFonts w:ascii="Arial" w:hAnsi="Arial" w:cs="Arial"/>
          <w:sz w:val="14"/>
          <w:szCs w:val="14"/>
        </w:rPr>
        <w:t>y</w:t>
      </w:r>
      <w:proofErr w:type="gramEnd"/>
      <w:r w:rsidRPr="00660381">
        <w:rPr>
          <w:rFonts w:ascii="Arial" w:hAnsi="Arial" w:cs="Arial"/>
          <w:sz w:val="14"/>
          <w:szCs w:val="14"/>
        </w:rPr>
        <w:t xml:space="preserve"> en consecuencia, efectos también distintos. Sin embargo, se trata de conceptos que no producen distinciones más allá de las puramente semánticas. En nada afecta el calificar una causal con denominación diferente a la empleada en el texto legal, cuando mucho se criticará la falta de precisión. Ello es así por cuanto los efectos jurídicos que se general para una y otra son exactamente los mismos. Incluso se podría afirmar </w:t>
      </w:r>
      <w:proofErr w:type="gramStart"/>
      <w:r w:rsidRPr="00660381">
        <w:rPr>
          <w:rFonts w:ascii="Arial" w:hAnsi="Arial" w:cs="Arial"/>
          <w:sz w:val="14"/>
          <w:szCs w:val="14"/>
        </w:rPr>
        <w:t>que</w:t>
      </w:r>
      <w:proofErr w:type="gramEnd"/>
      <w:r w:rsidRPr="00660381">
        <w:rPr>
          <w:rFonts w:ascii="Arial" w:hAnsi="Arial" w:cs="Arial"/>
          <w:sz w:val="14"/>
          <w:szCs w:val="14"/>
        </w:rPr>
        <w:t xml:space="preserve"> ante la semejanza de las figuras, conviene emplear un único vocablo, con lo cual serían innecesarias los intentos y las elucubraciones y explicaciones, algunas novedosas que podrían ensayarse”. (DÁVILA VINUEZA, Luis Guillermo. Régimen jurídico de la contratación estatal. 3ª ed. Bogotá: Legis, 2016. p. 148).</w:t>
      </w:r>
    </w:p>
  </w:footnote>
  <w:footnote w:id="19">
    <w:p w14:paraId="3DAB854E" w14:textId="77777777" w:rsidR="00C87232" w:rsidRPr="00660381" w:rsidRDefault="00C87232" w:rsidP="00C87232">
      <w:pPr>
        <w:pStyle w:val="Textonotapie"/>
        <w:ind w:firstLine="709"/>
        <w:jc w:val="both"/>
        <w:rPr>
          <w:rFonts w:ascii="Arial" w:hAnsi="Arial" w:cs="Arial"/>
          <w:sz w:val="14"/>
          <w:szCs w:val="14"/>
          <w:lang w:val="es-ES"/>
        </w:rPr>
      </w:pPr>
      <w:r w:rsidRPr="00660381">
        <w:rPr>
          <w:rStyle w:val="Refdenotaalpie"/>
          <w:rFonts w:ascii="Arial" w:hAnsi="Arial" w:cs="Arial"/>
          <w:sz w:val="14"/>
          <w:szCs w:val="14"/>
        </w:rPr>
        <w:footnoteRef/>
      </w:r>
      <w:r w:rsidRPr="00660381">
        <w:rPr>
          <w:rFonts w:ascii="Arial" w:hAnsi="Arial" w:cs="Arial"/>
          <w:sz w:val="14"/>
          <w:szCs w:val="14"/>
        </w:rPr>
        <w:t xml:space="preserve"> </w:t>
      </w:r>
      <w:r w:rsidRPr="00660381">
        <w:rPr>
          <w:rFonts w:ascii="Arial" w:hAnsi="Arial" w:cs="Arial"/>
          <w:sz w:val="14"/>
          <w:szCs w:val="14"/>
          <w:lang w:val="es-ES"/>
        </w:rPr>
        <w:t>BARRETO ROZO, Antonio Alejandro. Inhabilidades de la contratación estatal, efectos y neopunitivismo en el Estatuto Anticorrupción. En: ALVIAR GARCÍA, Helena (Coordinadora). Nuevas tendencias del Derecho administrativo. Bogotá: Universidad de los Andes; Temis, 2016. pp. 63-99.</w:t>
      </w:r>
    </w:p>
  </w:footnote>
  <w:footnote w:id="20">
    <w:p w14:paraId="7825E6A3" w14:textId="77777777" w:rsidR="00C87232" w:rsidRPr="00660381" w:rsidRDefault="00C87232" w:rsidP="00C87232">
      <w:pPr>
        <w:pStyle w:val="Textonotapie"/>
        <w:ind w:firstLine="709"/>
        <w:jc w:val="both"/>
        <w:rPr>
          <w:rFonts w:ascii="Arial" w:hAnsi="Arial" w:cs="Arial"/>
          <w:sz w:val="14"/>
          <w:szCs w:val="14"/>
          <w:lang w:val="es-ES_tradnl"/>
        </w:rPr>
      </w:pPr>
      <w:r w:rsidRPr="00660381">
        <w:rPr>
          <w:rStyle w:val="Refdenotaalpie"/>
          <w:rFonts w:ascii="Arial" w:hAnsi="Arial" w:cs="Arial"/>
          <w:sz w:val="14"/>
          <w:szCs w:val="14"/>
        </w:rPr>
        <w:footnoteRef/>
      </w:r>
      <w:r w:rsidRPr="00660381">
        <w:rPr>
          <w:rFonts w:ascii="Arial" w:hAnsi="Arial" w:cs="Arial"/>
          <w:sz w:val="14"/>
          <w:szCs w:val="14"/>
        </w:rPr>
        <w:t xml:space="preserve"> </w:t>
      </w:r>
      <w:r w:rsidRPr="00660381">
        <w:rPr>
          <w:rFonts w:ascii="Arial" w:hAnsi="Arial" w:cs="Arial"/>
          <w:sz w:val="14"/>
          <w:szCs w:val="14"/>
          <w:lang w:val="es-ES"/>
        </w:rPr>
        <w:t>Ibídem. p. 69.</w:t>
      </w:r>
    </w:p>
  </w:footnote>
  <w:footnote w:id="21">
    <w:p w14:paraId="610DEB3B" w14:textId="77777777" w:rsidR="00C87232" w:rsidRDefault="00C87232" w:rsidP="00C87232">
      <w:pPr>
        <w:pStyle w:val="Textonotapie"/>
        <w:ind w:firstLine="709"/>
        <w:jc w:val="both"/>
        <w:rPr>
          <w:rFonts w:ascii="Arial" w:hAnsi="Arial" w:cs="Arial"/>
          <w:sz w:val="14"/>
          <w:szCs w:val="14"/>
          <w:lang w:val="es-ES"/>
        </w:rPr>
      </w:pPr>
      <w:r w:rsidRPr="00660381">
        <w:rPr>
          <w:rStyle w:val="Refdenotaalpie"/>
          <w:rFonts w:ascii="Arial" w:hAnsi="Arial" w:cs="Arial"/>
          <w:sz w:val="14"/>
          <w:szCs w:val="14"/>
        </w:rPr>
        <w:footnoteRef/>
      </w:r>
      <w:r w:rsidRPr="00660381">
        <w:rPr>
          <w:rFonts w:ascii="Arial" w:hAnsi="Arial" w:cs="Arial"/>
          <w:sz w:val="14"/>
          <w:szCs w:val="14"/>
        </w:rPr>
        <w:t xml:space="preserve"> </w:t>
      </w:r>
      <w:r w:rsidRPr="00660381">
        <w:rPr>
          <w:rFonts w:ascii="Arial" w:hAnsi="Arial" w:cs="Arial"/>
          <w:sz w:val="14"/>
          <w:szCs w:val="14"/>
          <w:lang w:val="es-ES"/>
        </w:rPr>
        <w:t xml:space="preserve">CORTE CONSTITUCIONAL. Sentencia T-1039 de 2006. M.P. Humberto Sierra Porto. La Corte Constitucional ha mantenido este criterio en las sentencias: C-903 de 2008. M.P. Jaime Araujo Rentería; C-101 de 2018. M.P. Gloria Stella Ortiz Delgado; entre otras. </w:t>
      </w:r>
    </w:p>
    <w:p w14:paraId="61C701B0" w14:textId="77777777" w:rsidR="0086462E" w:rsidRPr="00660381" w:rsidRDefault="0086462E" w:rsidP="00C87232">
      <w:pPr>
        <w:pStyle w:val="Textonotapie"/>
        <w:ind w:firstLine="709"/>
        <w:jc w:val="both"/>
        <w:rPr>
          <w:rFonts w:ascii="Arial" w:hAnsi="Arial" w:cs="Arial"/>
          <w:sz w:val="14"/>
          <w:szCs w:val="14"/>
          <w:lang w:val="es-ES"/>
        </w:rPr>
      </w:pPr>
    </w:p>
  </w:footnote>
  <w:footnote w:id="22">
    <w:p w14:paraId="1DB0D9BC" w14:textId="77777777" w:rsidR="0086462E" w:rsidRDefault="0086462E" w:rsidP="00C87232">
      <w:pPr>
        <w:pStyle w:val="Textonotapie"/>
        <w:ind w:firstLine="709"/>
        <w:jc w:val="both"/>
        <w:rPr>
          <w:rFonts w:ascii="Arial" w:hAnsi="Arial" w:cs="Arial"/>
          <w:sz w:val="14"/>
          <w:szCs w:val="14"/>
        </w:rPr>
      </w:pPr>
    </w:p>
    <w:p w14:paraId="6E06258D" w14:textId="3E6E0489" w:rsidR="00C87232" w:rsidRPr="00660381" w:rsidRDefault="00C87232" w:rsidP="00C87232">
      <w:pPr>
        <w:pStyle w:val="Textonotapie"/>
        <w:ind w:firstLine="709"/>
        <w:jc w:val="both"/>
        <w:rPr>
          <w:rFonts w:ascii="Arial" w:hAnsi="Arial" w:cs="Arial"/>
          <w:sz w:val="14"/>
          <w:szCs w:val="14"/>
          <w:lang w:val="es-ES"/>
        </w:rPr>
      </w:pPr>
      <w:r w:rsidRPr="00660381">
        <w:rPr>
          <w:rStyle w:val="Refdenotaalpie"/>
          <w:rFonts w:ascii="Arial" w:hAnsi="Arial" w:cs="Arial"/>
          <w:sz w:val="14"/>
          <w:szCs w:val="14"/>
        </w:rPr>
        <w:footnoteRef/>
      </w:r>
      <w:r w:rsidRPr="00660381">
        <w:rPr>
          <w:rFonts w:ascii="Arial" w:hAnsi="Arial" w:cs="Arial"/>
          <w:sz w:val="14"/>
          <w:szCs w:val="14"/>
        </w:rPr>
        <w:t xml:space="preserve"> </w:t>
      </w:r>
      <w:r w:rsidRPr="00660381">
        <w:rPr>
          <w:rFonts w:ascii="Arial" w:hAnsi="Arial" w:cs="Arial"/>
          <w:sz w:val="14"/>
          <w:szCs w:val="14"/>
          <w:lang w:val="es-ES"/>
        </w:rPr>
        <w:t>CONSEJO DE ESTADO. Sala de Consulta y Servicio Civil. Concepto del 30 de abril de 2015. Exp. 2251. C.P. Álvaro Namén Vargas.</w:t>
      </w:r>
    </w:p>
  </w:footnote>
  <w:footnote w:id="23">
    <w:p w14:paraId="7B04B7DD" w14:textId="77777777" w:rsidR="0086462E" w:rsidRDefault="0086462E" w:rsidP="00C87232">
      <w:pPr>
        <w:pStyle w:val="Textonotapie"/>
        <w:ind w:firstLine="709"/>
        <w:jc w:val="both"/>
        <w:rPr>
          <w:rFonts w:ascii="Arial" w:hAnsi="Arial" w:cs="Arial"/>
          <w:sz w:val="14"/>
          <w:szCs w:val="14"/>
        </w:rPr>
      </w:pPr>
    </w:p>
    <w:p w14:paraId="7CDB7A5F" w14:textId="52A40FF3" w:rsidR="00C87232" w:rsidRPr="00660381" w:rsidRDefault="00C87232" w:rsidP="00C87232">
      <w:pPr>
        <w:pStyle w:val="Textonotapie"/>
        <w:ind w:firstLine="709"/>
        <w:jc w:val="both"/>
        <w:rPr>
          <w:rFonts w:ascii="Arial" w:hAnsi="Arial" w:cs="Arial"/>
          <w:sz w:val="14"/>
          <w:szCs w:val="14"/>
        </w:rPr>
      </w:pPr>
      <w:r w:rsidRPr="00660381">
        <w:rPr>
          <w:rStyle w:val="Refdenotaalpie"/>
          <w:rFonts w:ascii="Arial" w:hAnsi="Arial" w:cs="Arial"/>
          <w:sz w:val="14"/>
          <w:szCs w:val="14"/>
        </w:rPr>
        <w:footnoteRef/>
      </w:r>
      <w:r w:rsidRPr="00660381">
        <w:rPr>
          <w:rFonts w:ascii="Arial" w:hAnsi="Arial" w:cs="Arial"/>
          <w:sz w:val="14"/>
          <w:szCs w:val="14"/>
        </w:rPr>
        <w:t xml:space="preserve"> CONSEJO DE ESTADO. Sección Tercera. Subsección A. Sentencia del 24 de junio de 2015. Exp. 40.635. C.P. Hernán Andrade Rincón (E).</w:t>
      </w:r>
    </w:p>
  </w:footnote>
  <w:footnote w:id="24">
    <w:p w14:paraId="0AF27AF0" w14:textId="77777777" w:rsidR="00C87232" w:rsidRPr="00660381" w:rsidRDefault="00C87232" w:rsidP="00C87232">
      <w:pPr>
        <w:pStyle w:val="Textonotapie"/>
        <w:ind w:firstLine="709"/>
        <w:jc w:val="both"/>
        <w:rPr>
          <w:rFonts w:ascii="Arial" w:hAnsi="Arial" w:cs="Arial"/>
          <w:sz w:val="14"/>
          <w:szCs w:val="14"/>
          <w:lang w:val="es-ES_tradnl"/>
        </w:rPr>
      </w:pPr>
      <w:r w:rsidRPr="00660381">
        <w:rPr>
          <w:rStyle w:val="Refdenotaalpie"/>
          <w:rFonts w:ascii="Arial" w:hAnsi="Arial" w:cs="Arial"/>
          <w:sz w:val="14"/>
          <w:szCs w:val="14"/>
        </w:rPr>
        <w:footnoteRef/>
      </w:r>
      <w:r w:rsidRPr="00660381">
        <w:rPr>
          <w:rFonts w:ascii="Arial" w:hAnsi="Arial" w:cs="Arial"/>
          <w:sz w:val="14"/>
          <w:szCs w:val="14"/>
        </w:rPr>
        <w:t xml:space="preserve"> CONSEJO DE ESTADO. Sección Tercera. Subsección C. Sentencia del 22 de mayo de 2013. Rad. 24.057. C.P. Olga Mélida Valle De De La Hoz. </w:t>
      </w:r>
    </w:p>
  </w:footnote>
  <w:footnote w:id="25">
    <w:p w14:paraId="1362F65F" w14:textId="77777777" w:rsidR="00C87232" w:rsidRPr="00660381" w:rsidRDefault="00C87232" w:rsidP="00C87232">
      <w:pPr>
        <w:pStyle w:val="Textonotapie"/>
        <w:ind w:firstLine="709"/>
        <w:jc w:val="both"/>
        <w:rPr>
          <w:rFonts w:ascii="Arial" w:hAnsi="Arial" w:cs="Arial"/>
          <w:sz w:val="14"/>
          <w:szCs w:val="14"/>
          <w:lang w:val="pt-BR"/>
        </w:rPr>
      </w:pPr>
      <w:r w:rsidRPr="00660381">
        <w:rPr>
          <w:rStyle w:val="Refdenotaalpie"/>
          <w:rFonts w:ascii="Arial" w:hAnsi="Arial" w:cs="Arial"/>
          <w:sz w:val="14"/>
          <w:szCs w:val="14"/>
        </w:rPr>
        <w:footnoteRef/>
      </w:r>
      <w:r w:rsidRPr="00660381">
        <w:rPr>
          <w:rFonts w:ascii="Arial" w:hAnsi="Arial" w:cs="Arial"/>
          <w:sz w:val="14"/>
          <w:szCs w:val="14"/>
        </w:rPr>
        <w:t xml:space="preserve"> </w:t>
      </w:r>
      <w:r w:rsidRPr="00660381">
        <w:rPr>
          <w:rFonts w:ascii="Arial" w:hAnsi="Arial" w:cs="Arial"/>
          <w:sz w:val="14"/>
          <w:szCs w:val="14"/>
          <w:lang w:val="pt-BR"/>
        </w:rPr>
        <w:t>Corte Constitucional. Sentencia C-415 de 1994. M.P. Eduardo Cifuentes Muñoz.</w:t>
      </w:r>
    </w:p>
  </w:footnote>
  <w:footnote w:id="26">
    <w:p w14:paraId="6D96256E" w14:textId="77777777" w:rsidR="0054315A" w:rsidRPr="0054315A" w:rsidRDefault="000B7890" w:rsidP="0054315A">
      <w:pPr>
        <w:pStyle w:val="Textonotapie"/>
        <w:rPr>
          <w:rFonts w:ascii="Arial" w:hAnsi="Arial" w:cs="Arial"/>
          <w:sz w:val="14"/>
          <w:szCs w:val="14"/>
        </w:rPr>
      </w:pPr>
      <w:r w:rsidRPr="0054315A">
        <w:rPr>
          <w:rStyle w:val="Refdenotaalpie"/>
          <w:rFonts w:ascii="Arial" w:hAnsi="Arial" w:cs="Arial"/>
          <w:sz w:val="14"/>
          <w:szCs w:val="14"/>
        </w:rPr>
        <w:footnoteRef/>
      </w:r>
      <w:r w:rsidRPr="0054315A">
        <w:rPr>
          <w:rFonts w:ascii="Arial" w:hAnsi="Arial" w:cs="Arial"/>
          <w:sz w:val="14"/>
          <w:szCs w:val="14"/>
        </w:rPr>
        <w:t xml:space="preserve"> </w:t>
      </w:r>
      <w:r w:rsidR="0054315A" w:rsidRPr="0054315A">
        <w:rPr>
          <w:rFonts w:ascii="Arial" w:hAnsi="Arial" w:cs="Arial"/>
          <w:sz w:val="14"/>
          <w:szCs w:val="14"/>
        </w:rPr>
        <w:t xml:space="preserve">"Art. 635. Las sociedades industriales no están comprendidas en las disposiciones de este </w:t>
      </w:r>
      <w:proofErr w:type="spellStart"/>
      <w:r w:rsidR="0054315A" w:rsidRPr="0054315A">
        <w:rPr>
          <w:rFonts w:ascii="Arial" w:hAnsi="Arial" w:cs="Arial"/>
          <w:sz w:val="14"/>
          <w:szCs w:val="14"/>
        </w:rPr>
        <w:t>titulo</w:t>
      </w:r>
      <w:proofErr w:type="spellEnd"/>
      <w:r w:rsidR="0054315A" w:rsidRPr="0054315A">
        <w:rPr>
          <w:rFonts w:ascii="Arial" w:hAnsi="Arial" w:cs="Arial"/>
          <w:sz w:val="14"/>
          <w:szCs w:val="14"/>
        </w:rPr>
        <w:t>; sus derechos y</w:t>
      </w:r>
    </w:p>
    <w:p w14:paraId="797B5F8F" w14:textId="3426CEE5" w:rsidR="000B7890" w:rsidRPr="000B7890" w:rsidRDefault="0054315A" w:rsidP="0054315A">
      <w:pPr>
        <w:pStyle w:val="Textonotapie"/>
        <w:rPr>
          <w:lang w:val="es-CO"/>
        </w:rPr>
      </w:pPr>
      <w:r w:rsidRPr="0054315A">
        <w:rPr>
          <w:rFonts w:ascii="Arial" w:hAnsi="Arial" w:cs="Arial"/>
          <w:sz w:val="14"/>
          <w:szCs w:val="14"/>
        </w:rPr>
        <w:t>obligaciones son reglados. según su naturaleza. por otros títulos de este Código, y por el Código de Comercio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48B10C9"/>
    <w:multiLevelType w:val="hybridMultilevel"/>
    <w:tmpl w:val="0D8E6D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3"/>
  </w:num>
  <w:num w:numId="2" w16cid:durableId="1408454564">
    <w:abstractNumId w:val="0"/>
  </w:num>
  <w:num w:numId="3" w16cid:durableId="1897622572">
    <w:abstractNumId w:val="1"/>
  </w:num>
  <w:num w:numId="4" w16cid:durableId="466319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22488"/>
    <w:rsid w:val="000255ED"/>
    <w:rsid w:val="00083334"/>
    <w:rsid w:val="00086C88"/>
    <w:rsid w:val="00092DA3"/>
    <w:rsid w:val="000956CF"/>
    <w:rsid w:val="000A1197"/>
    <w:rsid w:val="000A30B7"/>
    <w:rsid w:val="000A683E"/>
    <w:rsid w:val="000B7890"/>
    <w:rsid w:val="000C6092"/>
    <w:rsid w:val="0011595A"/>
    <w:rsid w:val="001220C5"/>
    <w:rsid w:val="001267F7"/>
    <w:rsid w:val="00127233"/>
    <w:rsid w:val="00130999"/>
    <w:rsid w:val="00164D81"/>
    <w:rsid w:val="0017080A"/>
    <w:rsid w:val="00185F4C"/>
    <w:rsid w:val="001A1011"/>
    <w:rsid w:val="001A330B"/>
    <w:rsid w:val="001A48D0"/>
    <w:rsid w:val="001A6926"/>
    <w:rsid w:val="001D7F97"/>
    <w:rsid w:val="00226856"/>
    <w:rsid w:val="00240889"/>
    <w:rsid w:val="002653C1"/>
    <w:rsid w:val="0026611D"/>
    <w:rsid w:val="002951A0"/>
    <w:rsid w:val="002A2C1E"/>
    <w:rsid w:val="002A64FD"/>
    <w:rsid w:val="002F0839"/>
    <w:rsid w:val="00301469"/>
    <w:rsid w:val="0030297F"/>
    <w:rsid w:val="00302F41"/>
    <w:rsid w:val="00306EE1"/>
    <w:rsid w:val="00310B9B"/>
    <w:rsid w:val="0035512A"/>
    <w:rsid w:val="0036461C"/>
    <w:rsid w:val="00367884"/>
    <w:rsid w:val="00371459"/>
    <w:rsid w:val="00374831"/>
    <w:rsid w:val="00374B77"/>
    <w:rsid w:val="003774EC"/>
    <w:rsid w:val="0039439C"/>
    <w:rsid w:val="003A4041"/>
    <w:rsid w:val="003B1A14"/>
    <w:rsid w:val="003B69E7"/>
    <w:rsid w:val="003C013B"/>
    <w:rsid w:val="003C243A"/>
    <w:rsid w:val="003D0F4D"/>
    <w:rsid w:val="003F58A1"/>
    <w:rsid w:val="00410DD6"/>
    <w:rsid w:val="004126B9"/>
    <w:rsid w:val="004134C9"/>
    <w:rsid w:val="00416DE1"/>
    <w:rsid w:val="0043138C"/>
    <w:rsid w:val="00462A59"/>
    <w:rsid w:val="00484AF6"/>
    <w:rsid w:val="004905C8"/>
    <w:rsid w:val="004938E0"/>
    <w:rsid w:val="004A1847"/>
    <w:rsid w:val="004B6B0E"/>
    <w:rsid w:val="004D25B3"/>
    <w:rsid w:val="004F1CCE"/>
    <w:rsid w:val="004F4B20"/>
    <w:rsid w:val="004F504B"/>
    <w:rsid w:val="00511405"/>
    <w:rsid w:val="00511F39"/>
    <w:rsid w:val="0052382C"/>
    <w:rsid w:val="00526E9D"/>
    <w:rsid w:val="0053346A"/>
    <w:rsid w:val="0054315A"/>
    <w:rsid w:val="00546AC2"/>
    <w:rsid w:val="00547856"/>
    <w:rsid w:val="00547A74"/>
    <w:rsid w:val="00556683"/>
    <w:rsid w:val="005566E8"/>
    <w:rsid w:val="00563FD4"/>
    <w:rsid w:val="005746AB"/>
    <w:rsid w:val="0059357F"/>
    <w:rsid w:val="005A1130"/>
    <w:rsid w:val="005D65C8"/>
    <w:rsid w:val="006219F8"/>
    <w:rsid w:val="00642EB6"/>
    <w:rsid w:val="00660381"/>
    <w:rsid w:val="00675B7C"/>
    <w:rsid w:val="00681FDB"/>
    <w:rsid w:val="00685D7D"/>
    <w:rsid w:val="006A7B89"/>
    <w:rsid w:val="006A7DAD"/>
    <w:rsid w:val="006D611F"/>
    <w:rsid w:val="006D70BA"/>
    <w:rsid w:val="00700FFF"/>
    <w:rsid w:val="00704D33"/>
    <w:rsid w:val="00713447"/>
    <w:rsid w:val="00723412"/>
    <w:rsid w:val="007566FE"/>
    <w:rsid w:val="0076726F"/>
    <w:rsid w:val="0077144B"/>
    <w:rsid w:val="00773A2A"/>
    <w:rsid w:val="0079025F"/>
    <w:rsid w:val="00793403"/>
    <w:rsid w:val="007C0CDF"/>
    <w:rsid w:val="007D170F"/>
    <w:rsid w:val="007D6C22"/>
    <w:rsid w:val="007D7832"/>
    <w:rsid w:val="007E2A2F"/>
    <w:rsid w:val="007F2B7C"/>
    <w:rsid w:val="00801EDE"/>
    <w:rsid w:val="00811651"/>
    <w:rsid w:val="00812BA6"/>
    <w:rsid w:val="00820F5B"/>
    <w:rsid w:val="00833452"/>
    <w:rsid w:val="008468FA"/>
    <w:rsid w:val="008614E5"/>
    <w:rsid w:val="00862190"/>
    <w:rsid w:val="0086462E"/>
    <w:rsid w:val="008678EB"/>
    <w:rsid w:val="00870183"/>
    <w:rsid w:val="00872C98"/>
    <w:rsid w:val="00875894"/>
    <w:rsid w:val="00881C10"/>
    <w:rsid w:val="00881D09"/>
    <w:rsid w:val="00890411"/>
    <w:rsid w:val="008A31AE"/>
    <w:rsid w:val="008B7E56"/>
    <w:rsid w:val="008C7977"/>
    <w:rsid w:val="008D5C70"/>
    <w:rsid w:val="008D7164"/>
    <w:rsid w:val="008E2C58"/>
    <w:rsid w:val="008E340A"/>
    <w:rsid w:val="00901A8F"/>
    <w:rsid w:val="009025AF"/>
    <w:rsid w:val="00904F23"/>
    <w:rsid w:val="00906B3C"/>
    <w:rsid w:val="00913178"/>
    <w:rsid w:val="00914318"/>
    <w:rsid w:val="009150A9"/>
    <w:rsid w:val="00936525"/>
    <w:rsid w:val="00945AC7"/>
    <w:rsid w:val="0095342C"/>
    <w:rsid w:val="0096762D"/>
    <w:rsid w:val="00971616"/>
    <w:rsid w:val="00983942"/>
    <w:rsid w:val="00984535"/>
    <w:rsid w:val="0099415E"/>
    <w:rsid w:val="009A04C9"/>
    <w:rsid w:val="009B3AB1"/>
    <w:rsid w:val="009B71DB"/>
    <w:rsid w:val="009E7AA7"/>
    <w:rsid w:val="009F33F2"/>
    <w:rsid w:val="009F6C77"/>
    <w:rsid w:val="009F7BB1"/>
    <w:rsid w:val="00A07532"/>
    <w:rsid w:val="00A07935"/>
    <w:rsid w:val="00A1085C"/>
    <w:rsid w:val="00A16125"/>
    <w:rsid w:val="00A277B7"/>
    <w:rsid w:val="00A309E2"/>
    <w:rsid w:val="00A44C96"/>
    <w:rsid w:val="00A80429"/>
    <w:rsid w:val="00A8066E"/>
    <w:rsid w:val="00AA4B8A"/>
    <w:rsid w:val="00AA6BF7"/>
    <w:rsid w:val="00AF6534"/>
    <w:rsid w:val="00B01ED6"/>
    <w:rsid w:val="00B06D09"/>
    <w:rsid w:val="00B07941"/>
    <w:rsid w:val="00B302C5"/>
    <w:rsid w:val="00B5038F"/>
    <w:rsid w:val="00B608E9"/>
    <w:rsid w:val="00B62B3D"/>
    <w:rsid w:val="00B73F3A"/>
    <w:rsid w:val="00B771A9"/>
    <w:rsid w:val="00B809BB"/>
    <w:rsid w:val="00B8248A"/>
    <w:rsid w:val="00BB7726"/>
    <w:rsid w:val="00BD63CD"/>
    <w:rsid w:val="00BE16F7"/>
    <w:rsid w:val="00BE505F"/>
    <w:rsid w:val="00C2329E"/>
    <w:rsid w:val="00C27810"/>
    <w:rsid w:val="00C30461"/>
    <w:rsid w:val="00C32A2D"/>
    <w:rsid w:val="00C52093"/>
    <w:rsid w:val="00C72540"/>
    <w:rsid w:val="00C754BE"/>
    <w:rsid w:val="00C82648"/>
    <w:rsid w:val="00C87232"/>
    <w:rsid w:val="00C87572"/>
    <w:rsid w:val="00C9405D"/>
    <w:rsid w:val="00CB1CF1"/>
    <w:rsid w:val="00CC1B26"/>
    <w:rsid w:val="00CD0306"/>
    <w:rsid w:val="00CD284F"/>
    <w:rsid w:val="00CF23AA"/>
    <w:rsid w:val="00D01921"/>
    <w:rsid w:val="00D03464"/>
    <w:rsid w:val="00D06870"/>
    <w:rsid w:val="00D1695A"/>
    <w:rsid w:val="00D33C6E"/>
    <w:rsid w:val="00D35650"/>
    <w:rsid w:val="00D5218A"/>
    <w:rsid w:val="00D752B7"/>
    <w:rsid w:val="00D900A2"/>
    <w:rsid w:val="00DA1854"/>
    <w:rsid w:val="00DB0887"/>
    <w:rsid w:val="00DB581C"/>
    <w:rsid w:val="00DC136C"/>
    <w:rsid w:val="00DF1E43"/>
    <w:rsid w:val="00DF2434"/>
    <w:rsid w:val="00DF4218"/>
    <w:rsid w:val="00E20894"/>
    <w:rsid w:val="00E26B7C"/>
    <w:rsid w:val="00E437D8"/>
    <w:rsid w:val="00E45E97"/>
    <w:rsid w:val="00E5499C"/>
    <w:rsid w:val="00E604B0"/>
    <w:rsid w:val="00E8323F"/>
    <w:rsid w:val="00E907FE"/>
    <w:rsid w:val="00EA3003"/>
    <w:rsid w:val="00EB3C91"/>
    <w:rsid w:val="00EB66DA"/>
    <w:rsid w:val="00EE4C55"/>
    <w:rsid w:val="00EF160F"/>
    <w:rsid w:val="00F01433"/>
    <w:rsid w:val="00F30FEB"/>
    <w:rsid w:val="00F51E27"/>
    <w:rsid w:val="00F56BB5"/>
    <w:rsid w:val="00F605F2"/>
    <w:rsid w:val="00F72D34"/>
    <w:rsid w:val="00F76AFC"/>
    <w:rsid w:val="00F8319B"/>
    <w:rsid w:val="00FA5516"/>
    <w:rsid w:val="00FB0DA1"/>
    <w:rsid w:val="00FC6D9C"/>
    <w:rsid w:val="00FD3CF4"/>
    <w:rsid w:val="00FD64C4"/>
    <w:rsid w:val="00FD6F73"/>
    <w:rsid w:val="00FF6E52"/>
    <w:rsid w:val="064AE4EC"/>
    <w:rsid w:val="0CFA44C6"/>
    <w:rsid w:val="1CC63BF5"/>
    <w:rsid w:val="21A66168"/>
    <w:rsid w:val="27958F15"/>
    <w:rsid w:val="2F9951DC"/>
    <w:rsid w:val="3EA2D60F"/>
    <w:rsid w:val="40C62BE1"/>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character" w:styleId="Hipervnculo">
    <w:name w:val="Hyperlink"/>
    <w:basedOn w:val="Fuentedeprrafopredeter"/>
    <w:uiPriority w:val="99"/>
    <w:unhideWhenUsed/>
    <w:rsid w:val="00C87232"/>
    <w:rPr>
      <w:color w:val="0563C1" w:themeColor="hyperlink"/>
      <w:u w:val="single"/>
    </w:rPr>
  </w:style>
  <w:style w:type="paragraph" w:customStyle="1" w:styleId="Appelnotedebasde">
    <w:name w:val="Appel note de bas de..."/>
    <w:basedOn w:val="Normal"/>
    <w:link w:val="Refdenotaalpie"/>
    <w:uiPriority w:val="99"/>
    <w:rsid w:val="00C87232"/>
    <w:pPr>
      <w:spacing w:line="240" w:lineRule="exact"/>
    </w:pPr>
    <w:rPr>
      <w:vertAlign w:val="superscript"/>
    </w:rPr>
  </w:style>
  <w:style w:type="paragraph" w:styleId="NormalWeb">
    <w:name w:val="Normal (Web)"/>
    <w:basedOn w:val="Normal"/>
    <w:link w:val="NormalWebCar"/>
    <w:uiPriority w:val="99"/>
    <w:unhideWhenUsed/>
    <w:rsid w:val="00C8723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rsid w:val="00C87232"/>
    <w:rPr>
      <w:rFonts w:ascii="Times New Roman" w:eastAsia="Times New Roman" w:hAnsi="Times New Roman" w:cs="Times New Roman"/>
      <w:sz w:val="24"/>
      <w:szCs w:val="24"/>
      <w:lang w:eastAsia="es-CO"/>
    </w:rPr>
  </w:style>
  <w:style w:type="paragraph" w:styleId="Sinespaciado">
    <w:name w:val="No Spacing"/>
    <w:aliases w:val="No Indent"/>
    <w:uiPriority w:val="3"/>
    <w:qFormat/>
    <w:rsid w:val="00C87232"/>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CAF1869F-70E5-4FE8-B2F7-7A2D9ED30214}"/>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4.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17</Pages>
  <Words>6387</Words>
  <Characters>35130</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Gabriel Alejandro Murcia Taboada</cp:lastModifiedBy>
  <cp:revision>96</cp:revision>
  <dcterms:created xsi:type="dcterms:W3CDTF">2023-07-23T23:42:00Z</dcterms:created>
  <dcterms:modified xsi:type="dcterms:W3CDTF">2023-08-02T00:15:00Z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