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D5FAE" w:rsidR="004D5FAE" w:rsidP="004D5FAE" w:rsidRDefault="004D5FAE" w14:paraId="3B1EB682" w14:textId="77777777">
      <w:pPr>
        <w:spacing w:after="0" w:line="240" w:lineRule="auto"/>
        <w:rPr>
          <w:rFonts w:ascii="Century Gothic" w:hAnsi="Century Gothic" w:eastAsia="Calibri" w:cs="Arial"/>
          <w:bCs/>
          <w:sz w:val="20"/>
          <w:szCs w:val="20"/>
          <w:lang w:val="es-ES_tradnl" w:eastAsia="es-ES_tradnl"/>
        </w:rPr>
      </w:pPr>
      <w:bookmarkStart w:name="_Hlk94281581" w:id="0"/>
      <w:bookmarkStart w:name="_Hlk102489058" w:id="1"/>
      <w:bookmarkStart w:name="_Hlk34951122" w:id="2"/>
    </w:p>
    <w:p w:rsidRPr="004D5FAE" w:rsidR="004D5FAE" w:rsidP="004D5FAE" w:rsidRDefault="004D5FAE" w14:paraId="244C6F19" w14:textId="77777777">
      <w:pPr>
        <w:spacing w:after="0" w:line="240" w:lineRule="auto"/>
        <w:rPr>
          <w:rFonts w:ascii="Century Gothic" w:hAnsi="Century Gothic" w:eastAsia="Calibri" w:cs="Arial"/>
          <w:b/>
          <w:lang w:val="es-ES_tradnl" w:eastAsia="es-ES_tradnl"/>
        </w:rPr>
      </w:pPr>
      <w:r w:rsidRPr="004D5FAE">
        <w:rPr>
          <w:rFonts w:ascii="Century Gothic" w:hAnsi="Century Gothic" w:eastAsia="Calibri" w:cs="Arial"/>
          <w:b/>
          <w:lang w:val="es-ES_tradnl" w:eastAsia="es-ES_tradnl"/>
        </w:rPr>
        <w:t>DECRETO 092 DE 2017 – Finalidad – Clases de contratos</w:t>
      </w:r>
    </w:p>
    <w:p w:rsidRPr="004D5FAE" w:rsidR="004D5FAE" w:rsidP="004D5FAE" w:rsidRDefault="004D5FAE" w14:paraId="234ECBB4" w14:textId="77777777">
      <w:pPr>
        <w:spacing w:after="0" w:line="240" w:lineRule="auto"/>
        <w:rPr>
          <w:rFonts w:ascii="Century Gothic" w:hAnsi="Century Gothic" w:eastAsia="Geomanist Light" w:cs="Arial"/>
          <w:color w:val="000000" w:themeColor="text1"/>
          <w:sz w:val="20"/>
          <w:szCs w:val="20"/>
          <w:lang w:val="es-MX"/>
        </w:rPr>
      </w:pPr>
    </w:p>
    <w:p w:rsidRPr="004D5FAE" w:rsidR="004D5FAE" w:rsidP="004D5FAE" w:rsidRDefault="004D5FAE" w14:paraId="20E98605" w14:textId="77777777">
      <w:pPr>
        <w:spacing w:after="0" w:line="240" w:lineRule="auto"/>
        <w:jc w:val="both"/>
        <w:rPr>
          <w:rFonts w:ascii="Century Gothic" w:hAnsi="Century Gothic" w:eastAsia="Calibri" w:cs="Arial"/>
          <w:bCs/>
          <w:sz w:val="20"/>
          <w:szCs w:val="20"/>
          <w:lang w:val="es-ES_tradnl"/>
        </w:rPr>
      </w:pPr>
      <w:r w:rsidRPr="004D5FAE">
        <w:rPr>
          <w:rFonts w:ascii="Century Gothic" w:hAnsi="Century Gothic" w:eastAsia="Calibri" w:cs="Arial"/>
          <w:bCs/>
          <w:sz w:val="20"/>
          <w:szCs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4D5FAE">
        <w:rPr>
          <w:rFonts w:ascii="Century Gothic" w:hAnsi="Century Gothic" w:eastAsia="Calibri" w:cs="Arial"/>
          <w:bCs/>
          <w:sz w:val="20"/>
          <w:szCs w:val="20"/>
          <w:lang w:val="es-ES_tradnl"/>
        </w:rPr>
        <w:t>ii</w:t>
      </w:r>
      <w:proofErr w:type="spellEnd"/>
      <w:r w:rsidRPr="004D5FAE">
        <w:rPr>
          <w:rFonts w:ascii="Century Gothic" w:hAnsi="Century Gothic" w:eastAsia="Calibri" w:cs="Arial"/>
          <w:bCs/>
          <w:sz w:val="20"/>
          <w:szCs w:val="20"/>
          <w:lang w:val="es-ES_tradnl"/>
        </w:rPr>
        <w:t xml:space="preserve">) los convenios de asociación, para el desarrollo conjunto de actividades relacionadas con las funciones de las entidades estatales, en desarrollo del artículo 96 de la Ley 489 de 1998. </w:t>
      </w:r>
    </w:p>
    <w:p w:rsidRPr="004D5FAE" w:rsidR="004D5FAE" w:rsidP="5B755EA3" w:rsidRDefault="004D5FAE" w14:paraId="39C72830" w14:noSpellErr="1" w14:textId="5B3A2041">
      <w:pPr>
        <w:spacing w:after="0" w:line="240" w:lineRule="auto"/>
        <w:jc w:val="both"/>
        <w:rPr>
          <w:rFonts w:ascii="Century Gothic" w:hAnsi="Century Gothic" w:eastAsia="Calibri" w:cs="Arial"/>
          <w:sz w:val="20"/>
          <w:szCs w:val="20"/>
          <w:lang w:val="es-ES"/>
        </w:rPr>
      </w:pPr>
      <w:r w:rsidRPr="5B755EA3" w:rsidR="3C179F62">
        <w:rPr>
          <w:rFonts w:ascii="Century Gothic" w:hAnsi="Century Gothic" w:eastAsia="Calibri" w:cs="Arial"/>
          <w:sz w:val="20"/>
          <w:szCs w:val="20"/>
          <w:lang w:val="es-ES"/>
        </w:rPr>
        <w:t xml:space="preserve"> </w:t>
      </w:r>
    </w:p>
    <w:p w:rsidRPr="004D5FAE" w:rsidR="004D5FAE" w:rsidP="004D5FAE" w:rsidRDefault="004D5FAE" w14:paraId="285D8006" w14:textId="77777777">
      <w:pPr>
        <w:spacing w:after="0" w:line="240" w:lineRule="auto"/>
        <w:jc w:val="both"/>
        <w:rPr>
          <w:rFonts w:ascii="Century Gothic" w:hAnsi="Century Gothic" w:eastAsia="Calibri" w:cs="Arial"/>
          <w:b/>
          <w:lang w:val="es-ES_tradnl" w:eastAsia="es-ES_tradnl"/>
        </w:rPr>
      </w:pPr>
      <w:r w:rsidRPr="004D5FAE">
        <w:rPr>
          <w:rFonts w:ascii="Century Gothic" w:hAnsi="Century Gothic" w:eastAsia="Calibri" w:cs="Arial"/>
          <w:b/>
          <w:lang w:val="es-ES_tradnl" w:eastAsia="es-ES_tradnl"/>
        </w:rPr>
        <w:t>CONTRATACIÓN CON ESAL – Contrato de colaboración – Objeto – Alcance</w:t>
      </w:r>
    </w:p>
    <w:p w:rsidRPr="004D5FAE" w:rsidR="004D5FAE" w:rsidP="004D5FAE" w:rsidRDefault="004D5FAE" w14:paraId="26051DB4" w14:textId="77777777">
      <w:pPr>
        <w:spacing w:after="0" w:line="240" w:lineRule="auto"/>
        <w:jc w:val="both"/>
        <w:rPr>
          <w:rFonts w:ascii="Century Gothic" w:hAnsi="Century Gothic" w:eastAsia="Calibri" w:cs="Arial"/>
          <w:bCs/>
          <w:sz w:val="20"/>
          <w:szCs w:val="20"/>
          <w:lang w:val="es-ES_tradnl"/>
        </w:rPr>
      </w:pPr>
    </w:p>
    <w:p w:rsidRPr="004D5FAE" w:rsidR="004D5FAE" w:rsidP="004D5FAE" w:rsidRDefault="004D5FAE" w14:paraId="2D514CB9" w14:textId="77777777">
      <w:pPr>
        <w:spacing w:after="0" w:line="240" w:lineRule="auto"/>
        <w:jc w:val="both"/>
        <w:rPr>
          <w:rFonts w:ascii="Century Gothic" w:hAnsi="Century Gothic" w:eastAsia="Calibri" w:cs="Arial"/>
          <w:bCs/>
          <w:sz w:val="20"/>
          <w:szCs w:val="20"/>
          <w:lang w:val="es-ES_tradnl"/>
        </w:rPr>
      </w:pPr>
      <w:r w:rsidRPr="004D5FAE">
        <w:rPr>
          <w:rFonts w:ascii="Century Gothic" w:hAnsi="Century Gothic" w:eastAsia="Calibri" w:cs="Arial"/>
          <w:bCs/>
          <w:sz w:val="20"/>
          <w:szCs w:val="20"/>
          <w:lang w:val="es-ES_tradnl"/>
        </w:rPr>
        <w:t xml:space="preserve">Los </w:t>
      </w:r>
      <w:r w:rsidRPr="004D5FAE">
        <w:rPr>
          <w:rFonts w:ascii="Century Gothic" w:hAnsi="Century Gothic" w:eastAsia="Calibri" w:cs="Arial"/>
          <w:bCs/>
          <w:i/>
          <w:sz w:val="20"/>
          <w:szCs w:val="20"/>
          <w:lang w:val="es-ES_tradnl"/>
        </w:rPr>
        <w:t>contratos del artículo 355 de la Constitución Política</w:t>
      </w:r>
      <w:r w:rsidRPr="004D5FAE">
        <w:rPr>
          <w:rFonts w:ascii="Century Gothic" w:hAnsi="Century Gothic" w:eastAsia="Calibri" w:cs="Arial"/>
          <w:bCs/>
          <w:sz w:val="20"/>
          <w:szCs w:val="20"/>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4D5FAE">
        <w:rPr>
          <w:rFonts w:ascii="Century Gothic" w:hAnsi="Century Gothic" w:eastAsia="Calibri" w:cs="Arial"/>
          <w:bCs/>
          <w:sz w:val="20"/>
          <w:szCs w:val="20"/>
          <w:lang w:val="es-ES_tradnl"/>
        </w:rPr>
        <w:t>ii</w:t>
      </w:r>
      <w:proofErr w:type="spellEnd"/>
      <w:r w:rsidRPr="004D5FAE">
        <w:rPr>
          <w:rFonts w:ascii="Century Gothic" w:hAnsi="Century Gothic" w:eastAsia="Calibri" w:cs="Arial"/>
          <w:bCs/>
          <w:sz w:val="20"/>
          <w:szCs w:val="20"/>
          <w:lang w:val="es-ES_tradnl"/>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rsidRPr="004D5FAE" w:rsidR="004D5FAE" w:rsidP="004D5FAE" w:rsidRDefault="004D5FAE" w14:paraId="22F90FE1" w14:textId="77777777">
      <w:pPr>
        <w:spacing w:after="0" w:line="240" w:lineRule="auto"/>
        <w:jc w:val="both"/>
        <w:rPr>
          <w:rFonts w:ascii="Century Gothic" w:hAnsi="Century Gothic" w:eastAsia="Calibri" w:cs="Arial"/>
          <w:bCs/>
          <w:sz w:val="20"/>
          <w:szCs w:val="20"/>
          <w:lang w:val="es-ES_tradnl"/>
        </w:rPr>
      </w:pPr>
    </w:p>
    <w:p w:rsidRPr="004D5FAE" w:rsidR="004D5FAE" w:rsidP="004D5FAE" w:rsidRDefault="004D5FAE" w14:paraId="47E2E6D5" w14:textId="77777777">
      <w:pPr>
        <w:spacing w:after="0" w:line="240" w:lineRule="auto"/>
        <w:jc w:val="both"/>
        <w:rPr>
          <w:rFonts w:ascii="Century Gothic" w:hAnsi="Century Gothic" w:eastAsia="Calibri" w:cs="Arial"/>
          <w:b/>
          <w:lang w:val="es-ES_tradnl" w:eastAsia="es-ES_tradnl"/>
        </w:rPr>
      </w:pPr>
      <w:r w:rsidRPr="004D5FAE">
        <w:rPr>
          <w:rFonts w:ascii="Century Gothic" w:hAnsi="Century Gothic" w:eastAsia="Calibri" w:cs="Arial"/>
          <w:b/>
          <w:lang w:val="es-ES_tradnl" w:eastAsia="es-ES_tradnl"/>
        </w:rPr>
        <w:t>CONTRATACIÓN CON ESAL – Contrato de asociación – Objeto – Alcance</w:t>
      </w:r>
    </w:p>
    <w:p w:rsidRPr="004D5FAE" w:rsidR="004D5FAE" w:rsidP="004D5FAE" w:rsidRDefault="004D5FAE" w14:paraId="66BE46C7" w14:textId="77777777">
      <w:pPr>
        <w:spacing w:after="0" w:line="240" w:lineRule="auto"/>
        <w:jc w:val="both"/>
        <w:rPr>
          <w:rFonts w:ascii="Century Gothic" w:hAnsi="Century Gothic" w:eastAsia="Calibri" w:cs="Arial"/>
          <w:bCs/>
          <w:sz w:val="20"/>
          <w:szCs w:val="20"/>
          <w:lang w:val="es-ES_tradnl"/>
        </w:rPr>
      </w:pPr>
    </w:p>
    <w:p w:rsidRPr="004D5FAE" w:rsidR="004D5FAE" w:rsidP="004D5FAE" w:rsidRDefault="004D5FAE" w14:paraId="2CAE327C" w14:textId="77777777">
      <w:pPr>
        <w:spacing w:after="0" w:line="240" w:lineRule="auto"/>
        <w:jc w:val="both"/>
        <w:rPr>
          <w:rFonts w:ascii="Century Gothic" w:hAnsi="Century Gothic" w:eastAsia="Calibri" w:cs="Arial"/>
          <w:bCs/>
          <w:sz w:val="20"/>
          <w:szCs w:val="20"/>
          <w:lang w:val="es-ES_tradnl"/>
        </w:rPr>
      </w:pPr>
      <w:r w:rsidRPr="004D5FAE">
        <w:rPr>
          <w:rFonts w:ascii="Century Gothic" w:hAnsi="Century Gothic" w:eastAsia="Calibri" w:cs="Arial"/>
          <w:bCs/>
          <w:sz w:val="20"/>
          <w:szCs w:val="20"/>
          <w:lang w:val="es-ES_tradnl"/>
        </w:rPr>
        <w:t xml:space="preserve">De otro lado, los </w:t>
      </w:r>
      <w:r w:rsidRPr="004D5FAE">
        <w:rPr>
          <w:rFonts w:ascii="Century Gothic" w:hAnsi="Century Gothic" w:eastAsia="Calibri" w:cs="Arial"/>
          <w:bCs/>
          <w:i/>
          <w:sz w:val="20"/>
          <w:szCs w:val="20"/>
          <w:lang w:val="es-ES_tradnl"/>
        </w:rPr>
        <w:t>convenios de asociación</w:t>
      </w:r>
      <w:r w:rsidRPr="004D5FAE">
        <w:rPr>
          <w:rFonts w:ascii="Century Gothic" w:hAnsi="Century Gothic" w:eastAsia="Calibri" w:cs="Arial"/>
          <w:bCs/>
          <w:sz w:val="20"/>
          <w:szCs w:val="20"/>
          <w:lang w:val="es-ES_tradnl"/>
        </w:rPr>
        <w:t xml:space="preserve"> “[t]</w:t>
      </w:r>
      <w:proofErr w:type="spellStart"/>
      <w:r w:rsidRPr="004D5FAE">
        <w:rPr>
          <w:rFonts w:ascii="Century Gothic" w:hAnsi="Century Gothic" w:eastAsia="Calibri" w:cs="Arial"/>
          <w:bCs/>
          <w:sz w:val="20"/>
          <w:szCs w:val="20"/>
          <w:lang w:val="es-ES_tradnl"/>
        </w:rPr>
        <w:t>ienen</w:t>
      </w:r>
      <w:proofErr w:type="spellEnd"/>
      <w:r w:rsidRPr="004D5FAE">
        <w:rPr>
          <w:rFonts w:ascii="Century Gothic" w:hAnsi="Century Gothic" w:eastAsia="Calibri" w:cs="Arial"/>
          <w:bCs/>
          <w:sz w:val="20"/>
          <w:szCs w:val="20"/>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rsidRPr="004D5FAE" w:rsidR="004D5FAE" w:rsidP="004D5FAE" w:rsidRDefault="004D5FAE" w14:paraId="31D391FE" w14:textId="77777777">
      <w:pPr>
        <w:spacing w:after="0" w:line="240" w:lineRule="auto"/>
        <w:jc w:val="both"/>
        <w:rPr>
          <w:rFonts w:ascii="Century Gothic" w:hAnsi="Century Gothic" w:eastAsia="Calibri" w:cs="Arial"/>
          <w:bCs/>
          <w:sz w:val="20"/>
          <w:szCs w:val="20"/>
          <w:lang w:val="es-ES_tradnl"/>
        </w:rPr>
      </w:pPr>
    </w:p>
    <w:p w:rsidRPr="004D5FAE" w:rsidR="004D5FAE" w:rsidP="004D5FAE" w:rsidRDefault="004D5FAE" w14:paraId="1C949A0A" w14:textId="77777777">
      <w:pPr>
        <w:spacing w:after="0" w:line="240" w:lineRule="auto"/>
        <w:jc w:val="both"/>
        <w:rPr>
          <w:rFonts w:ascii="Century Gothic" w:hAnsi="Century Gothic" w:eastAsia="Calibri" w:cs="Arial"/>
          <w:b/>
          <w:lang w:val="es-ES_tradnl" w:eastAsia="es-ES_tradnl"/>
        </w:rPr>
      </w:pPr>
      <w:r w:rsidRPr="004D5FAE">
        <w:rPr>
          <w:rFonts w:ascii="Century Gothic" w:hAnsi="Century Gothic" w:eastAsia="Calibri" w:cs="Arial"/>
          <w:b/>
          <w:lang w:val="es-ES_tradnl" w:eastAsia="es-ES_tradnl"/>
        </w:rPr>
        <w:t>ARTÍCULO 96 DE LA LEY 489 DE 1998 – ESAL</w:t>
      </w:r>
    </w:p>
    <w:p w:rsidRPr="004D5FAE" w:rsidR="004D5FAE" w:rsidP="004D5FAE" w:rsidRDefault="004D5FAE" w14:paraId="0BE6202B" w14:textId="77777777">
      <w:pPr>
        <w:spacing w:after="0" w:line="240" w:lineRule="auto"/>
        <w:jc w:val="both"/>
        <w:rPr>
          <w:rFonts w:ascii="Century Gothic" w:hAnsi="Century Gothic" w:eastAsia="Calibri" w:cs="Arial"/>
          <w:bCs/>
          <w:sz w:val="20"/>
          <w:szCs w:val="20"/>
          <w:lang w:val="es-ES_tradnl" w:eastAsia="es-ES_tradnl"/>
        </w:rPr>
      </w:pPr>
    </w:p>
    <w:p w:rsidRPr="004D5FAE" w:rsidR="004D5FAE" w:rsidP="004D5FAE" w:rsidRDefault="004D5FAE" w14:paraId="166CBD62" w14:textId="77777777">
      <w:pPr>
        <w:spacing w:after="0" w:line="240" w:lineRule="auto"/>
        <w:jc w:val="both"/>
        <w:rPr>
          <w:rFonts w:ascii="Century Gothic" w:hAnsi="Century Gothic" w:cs="Arial"/>
          <w:color w:val="000000" w:themeColor="text1"/>
          <w:sz w:val="20"/>
          <w:szCs w:val="20"/>
        </w:rPr>
      </w:pPr>
      <w:r w:rsidRPr="004D5FAE">
        <w:rPr>
          <w:rFonts w:ascii="Century Gothic" w:hAnsi="Century Gothic" w:cs="Arial"/>
          <w:color w:val="000000" w:themeColor="text1"/>
          <w:sz w:val="20"/>
          <w:szCs w:val="20"/>
        </w:rPr>
        <w:t xml:space="preserve">Aunque el artículo 96 de la Ley 489 de 1998 se refiere genéricamente a la noción “personas jurídicas particulares”, lo cierto es que los </w:t>
      </w:r>
      <w:r w:rsidRPr="004D5FAE">
        <w:rPr>
          <w:rFonts w:ascii="Century Gothic" w:hAnsi="Century Gothic" w:cs="Arial"/>
          <w:i/>
          <w:iCs/>
          <w:color w:val="000000" w:themeColor="text1"/>
          <w:sz w:val="20"/>
          <w:szCs w:val="20"/>
        </w:rPr>
        <w:t xml:space="preserve">convenios de asociación </w:t>
      </w:r>
      <w:r w:rsidRPr="004D5FAE">
        <w:rPr>
          <w:rFonts w:ascii="Century Gothic" w:hAnsi="Century Gothic" w:cs="Arial"/>
          <w:color w:val="000000" w:themeColor="text1"/>
          <w:sz w:val="20"/>
          <w:szCs w:val="20"/>
        </w:rPr>
        <w:t xml:space="preserve">que regula esa norma únicamente pueden celebrarse con ESAL. Esto es así porque el inciso segundo de la misma disposición establece que tales convenios “se celebrarán de conformidad con lo dispuesto en el artículo 355 de la Constitución Política”, norma que le permite al “Gobierno, en los niveles nacional, departamental, distrital y municipal podrá, con recursos de los respectivos presupuestos, celebrar contratos </w:t>
      </w:r>
      <w:r w:rsidRPr="004D5FAE">
        <w:rPr>
          <w:rFonts w:ascii="Century Gothic" w:hAnsi="Century Gothic" w:cs="Arial"/>
          <w:i/>
          <w:iCs/>
          <w:color w:val="000000" w:themeColor="text1"/>
          <w:sz w:val="20"/>
          <w:szCs w:val="20"/>
        </w:rPr>
        <w:t>con entidades privadas sin ánimo de lucro y de reconocida idoneidad</w:t>
      </w:r>
      <w:r w:rsidRPr="004D5FAE">
        <w:rPr>
          <w:rFonts w:ascii="Century Gothic" w:hAnsi="Century Gothic" w:cs="Arial"/>
          <w:color w:val="000000" w:themeColor="text1"/>
          <w:sz w:val="20"/>
          <w:szCs w:val="20"/>
        </w:rPr>
        <w:t xml:space="preserve"> con el fin de impulsar programas y actividades de interés público acordes con el Plan Nacional y los planes seccionales de Desarrollo” (Énfasis fuera de texto). Es de resaltar que el artículo 355 de la Constitución fue desarrollado por el Decreto 92 de 2017, cuyo artículo 5 señala concretamente que los negocios jurídicos se deben celebrar únicamente con las ESAL.</w:t>
      </w:r>
    </w:p>
    <w:p w:rsidRPr="004D5FAE" w:rsidR="004D5FAE" w:rsidP="004D5FAE" w:rsidRDefault="004D5FAE" w14:paraId="64AA0F13" w14:textId="77777777">
      <w:pPr>
        <w:spacing w:after="0" w:line="240" w:lineRule="auto"/>
        <w:jc w:val="both"/>
        <w:rPr>
          <w:rFonts w:ascii="Century Gothic" w:hAnsi="Century Gothic" w:cs="Arial"/>
          <w:color w:val="000000" w:themeColor="text1"/>
          <w:sz w:val="20"/>
          <w:szCs w:val="20"/>
        </w:rPr>
      </w:pPr>
    </w:p>
    <w:p w:rsidRPr="004D5FAE" w:rsidR="004D5FAE" w:rsidP="004D5FAE" w:rsidRDefault="004D5FAE" w14:paraId="6B1127C3" w14:textId="77777777">
      <w:pPr>
        <w:spacing w:after="0" w:line="240" w:lineRule="auto"/>
        <w:jc w:val="both"/>
        <w:rPr>
          <w:rFonts w:ascii="Century Gothic" w:hAnsi="Century Gothic" w:eastAsia="Calibri" w:cs="Arial"/>
          <w:b/>
          <w:lang w:val="es-ES_tradnl" w:eastAsia="es-ES_tradnl"/>
        </w:rPr>
      </w:pPr>
      <w:r w:rsidRPr="004D5FAE">
        <w:rPr>
          <w:rFonts w:ascii="Century Gothic" w:hAnsi="Century Gothic" w:eastAsia="Calibri" w:cs="Arial"/>
          <w:b/>
          <w:lang w:val="es-ES_tradnl" w:eastAsia="es-ES_tradnl"/>
        </w:rPr>
        <w:t>EMPRESAS DE SERVICIOS PÚBLICOS DOMICILIARIOS – Naturaleza jurídica</w:t>
      </w:r>
    </w:p>
    <w:p w:rsidRPr="004D5FAE" w:rsidR="004D5FAE" w:rsidP="004D5FAE" w:rsidRDefault="004D5FAE" w14:paraId="0C2F5835" w14:textId="77777777">
      <w:pPr>
        <w:spacing w:after="0" w:line="240" w:lineRule="auto"/>
        <w:jc w:val="both"/>
        <w:rPr>
          <w:rFonts w:ascii="Century Gothic" w:hAnsi="Century Gothic" w:eastAsia="Calibri" w:cs="Arial"/>
          <w:bCs/>
          <w:sz w:val="20"/>
          <w:szCs w:val="20"/>
          <w:lang w:val="es-ES_tradnl" w:eastAsia="es-ES_tradnl"/>
        </w:rPr>
      </w:pPr>
    </w:p>
    <w:p w:rsidRPr="004D5FAE" w:rsidR="004D5FAE" w:rsidP="004D5FAE" w:rsidRDefault="004D5FAE" w14:paraId="0F57A02E" w14:textId="77777777">
      <w:pPr>
        <w:spacing w:after="0" w:line="240" w:lineRule="auto"/>
        <w:jc w:val="both"/>
        <w:rPr>
          <w:rFonts w:ascii="Century Gothic" w:hAnsi="Century Gothic" w:eastAsia="Calibri" w:cs="Arial"/>
          <w:bCs/>
          <w:color w:val="000000" w:themeColor="text1"/>
          <w:sz w:val="20"/>
          <w:szCs w:val="20"/>
          <w:lang w:val="es-ES_tradnl"/>
        </w:rPr>
      </w:pPr>
      <w:r w:rsidRPr="004D5FAE">
        <w:rPr>
          <w:rFonts w:ascii="Century Gothic" w:hAnsi="Century Gothic" w:eastAsia="Calibri" w:cs="Arial"/>
          <w:bCs/>
          <w:color w:val="000000" w:themeColor="text1"/>
          <w:sz w:val="20"/>
          <w:szCs w:val="20"/>
          <w:lang w:val="es-ES_tradnl"/>
        </w:rPr>
        <w:t xml:space="preserve">En relación con las empresas prestadoras de servicios públicos domiciliarios, conviene señalar, acorde con lo expresado por la Corte Constitucional en la Sentencia C-736 de 2007, que aquellas son entidades descentralizadas por servicios, independientemente de la naturaleza y porcentaje de su capital. En otras palabras, aunque el artículo 14 de la Ley 142 de 1994 establece que las empresas prestadoras de servicios públicos domiciliarios pueden ser </w:t>
      </w:r>
      <w:r w:rsidRPr="004D5FAE">
        <w:rPr>
          <w:rFonts w:ascii="Century Gothic" w:hAnsi="Century Gothic" w:eastAsia="Calibri" w:cs="Arial"/>
          <w:bCs/>
          <w:i/>
          <w:iCs/>
          <w:color w:val="000000" w:themeColor="text1"/>
          <w:sz w:val="20"/>
          <w:szCs w:val="20"/>
          <w:lang w:val="es-ES_tradnl"/>
        </w:rPr>
        <w:t>oficiales</w:t>
      </w:r>
      <w:r w:rsidRPr="004D5FAE">
        <w:rPr>
          <w:rFonts w:ascii="Century Gothic" w:hAnsi="Century Gothic" w:eastAsia="Calibri" w:cs="Arial"/>
          <w:bCs/>
          <w:color w:val="000000" w:themeColor="text1"/>
          <w:sz w:val="20"/>
          <w:szCs w:val="20"/>
          <w:lang w:val="es-ES_tradnl"/>
        </w:rPr>
        <w:t xml:space="preserve">, </w:t>
      </w:r>
      <w:r w:rsidRPr="004D5FAE">
        <w:rPr>
          <w:rFonts w:ascii="Century Gothic" w:hAnsi="Century Gothic" w:eastAsia="Calibri" w:cs="Arial"/>
          <w:bCs/>
          <w:i/>
          <w:iCs/>
          <w:color w:val="000000" w:themeColor="text1"/>
          <w:sz w:val="20"/>
          <w:szCs w:val="20"/>
          <w:lang w:val="es-ES_tradnl"/>
        </w:rPr>
        <w:t>mixtas</w:t>
      </w:r>
      <w:r w:rsidRPr="004D5FAE">
        <w:rPr>
          <w:rFonts w:ascii="Century Gothic" w:hAnsi="Century Gothic" w:eastAsia="Calibri" w:cs="Arial"/>
          <w:bCs/>
          <w:color w:val="000000" w:themeColor="text1"/>
          <w:sz w:val="20"/>
          <w:szCs w:val="20"/>
          <w:lang w:val="es-ES_tradnl"/>
        </w:rPr>
        <w:t xml:space="preserve"> o </w:t>
      </w:r>
      <w:r w:rsidRPr="004D5FAE">
        <w:rPr>
          <w:rFonts w:ascii="Century Gothic" w:hAnsi="Century Gothic" w:eastAsia="Calibri" w:cs="Arial"/>
          <w:bCs/>
          <w:i/>
          <w:iCs/>
          <w:color w:val="000000" w:themeColor="text1"/>
          <w:sz w:val="20"/>
          <w:szCs w:val="20"/>
          <w:lang w:val="es-ES_tradnl"/>
        </w:rPr>
        <w:t>privadas</w:t>
      </w:r>
      <w:r w:rsidRPr="004D5FAE">
        <w:rPr>
          <w:rFonts w:ascii="Century Gothic" w:hAnsi="Century Gothic" w:eastAsia="Calibri" w:cs="Arial"/>
          <w:bCs/>
          <w:color w:val="000000" w:themeColor="text1"/>
          <w:sz w:val="20"/>
          <w:szCs w:val="20"/>
          <w:lang w:val="es-ES_tradnl"/>
        </w:rPr>
        <w:t xml:space="preserve">, estas tres especies ingresan en la categoría de las </w:t>
      </w:r>
      <w:r w:rsidRPr="004D5FAE">
        <w:rPr>
          <w:rFonts w:ascii="Century Gothic" w:hAnsi="Century Gothic" w:eastAsia="Calibri" w:cs="Arial"/>
          <w:bCs/>
          <w:i/>
          <w:iCs/>
          <w:color w:val="000000" w:themeColor="text1"/>
          <w:sz w:val="20"/>
          <w:szCs w:val="20"/>
          <w:lang w:val="es-ES_tradnl"/>
        </w:rPr>
        <w:t>entidades descentralizadas por servicios</w:t>
      </w:r>
      <w:r w:rsidRPr="004D5FAE">
        <w:rPr>
          <w:rFonts w:ascii="Century Gothic" w:hAnsi="Century Gothic" w:eastAsia="Calibri" w:cs="Arial"/>
          <w:bCs/>
          <w:color w:val="000000" w:themeColor="text1"/>
          <w:sz w:val="20"/>
          <w:szCs w:val="20"/>
          <w:lang w:val="es-ES_tradnl"/>
        </w:rPr>
        <w:t xml:space="preserve">. Adicionalmente, debe recordarse que en dicha Sentencia el alto tribunal afirmó que las empresas prestadoras de servicios públicos domiciliarios </w:t>
      </w:r>
      <w:r w:rsidRPr="004D5FAE">
        <w:rPr>
          <w:rFonts w:ascii="Century Gothic" w:hAnsi="Century Gothic" w:eastAsia="Calibri" w:cs="Arial"/>
          <w:bCs/>
          <w:i/>
          <w:iCs/>
          <w:color w:val="000000" w:themeColor="text1"/>
          <w:sz w:val="20"/>
          <w:szCs w:val="20"/>
          <w:lang w:val="es-ES_tradnl"/>
        </w:rPr>
        <w:t>mixtas y privadas</w:t>
      </w:r>
      <w:r w:rsidRPr="004D5FAE">
        <w:rPr>
          <w:rFonts w:ascii="Century Gothic" w:hAnsi="Century Gothic" w:eastAsia="Calibri" w:cs="Arial"/>
          <w:bCs/>
          <w:color w:val="000000" w:themeColor="text1"/>
          <w:sz w:val="20"/>
          <w:szCs w:val="20"/>
          <w:lang w:val="es-ES_tradnl"/>
        </w:rPr>
        <w:t xml:space="preserve"> son tipos </w:t>
      </w:r>
      <w:r w:rsidRPr="004D5FAE">
        <w:rPr>
          <w:rFonts w:ascii="Century Gothic" w:hAnsi="Century Gothic" w:eastAsia="Calibri" w:cs="Arial"/>
          <w:bCs/>
          <w:i/>
          <w:iCs/>
          <w:color w:val="000000" w:themeColor="text1"/>
          <w:sz w:val="20"/>
          <w:szCs w:val="20"/>
          <w:lang w:val="es-ES_tradnl"/>
        </w:rPr>
        <w:t>especiales</w:t>
      </w:r>
      <w:r w:rsidRPr="004D5FAE">
        <w:rPr>
          <w:rFonts w:ascii="Century Gothic" w:hAnsi="Century Gothic" w:eastAsia="Calibri" w:cs="Arial"/>
          <w:bCs/>
          <w:color w:val="000000" w:themeColor="text1"/>
          <w:sz w:val="20"/>
          <w:szCs w:val="20"/>
          <w:lang w:val="es-ES_tradnl"/>
        </w:rPr>
        <w:t xml:space="preserve"> de entidades descentralizadas por servicios. Por lo demás, ni la Ley 489 de 1998 ni la Ley 142 de 1994 tipifican la existencia de empresas de servicios públicos solidarias, cooperativas o comunitarias que tenga la categoría de entidades privadas sin ánimo de lucro. En esta medida, las empresas de servicios públicos no son destinatarias del artículo 96 de la Ley 489 de 1998, razón por la que no pueden celebrar convenios de asociación conforme al artículo 5 del Decreto 092 de 2017.</w:t>
      </w:r>
    </w:p>
    <w:p w:rsidR="004D5FAE" w:rsidP="00A73FF4" w:rsidRDefault="004D5FAE" w14:paraId="48C8E6C7" w14:textId="77777777">
      <w:pPr>
        <w:spacing w:after="0"/>
        <w:rPr>
          <w:rFonts w:ascii="Century Gothic" w:hAnsi="Century Gothic" w:eastAsia="Geomanist Light" w:cs="Arial"/>
          <w:color w:val="000000" w:themeColor="text1"/>
          <w:lang w:val="es-MX"/>
        </w:rPr>
      </w:pPr>
    </w:p>
    <w:p w:rsidR="004D5FAE" w:rsidP="00A73FF4" w:rsidRDefault="004D5FAE" w14:paraId="63B5B8B7" w14:textId="77777777">
      <w:pPr>
        <w:spacing w:after="0"/>
        <w:rPr>
          <w:rFonts w:ascii="Century Gothic" w:hAnsi="Century Gothic" w:eastAsia="Geomanist Light" w:cs="Arial"/>
          <w:color w:val="000000" w:themeColor="text1"/>
          <w:lang w:val="es-MX"/>
        </w:rPr>
      </w:pPr>
    </w:p>
    <w:p w:rsidR="004D5FAE" w:rsidP="00A73FF4" w:rsidRDefault="004D5FAE" w14:paraId="3172759F" w14:textId="77777777">
      <w:pPr>
        <w:spacing w:after="0"/>
        <w:rPr>
          <w:rFonts w:ascii="Century Gothic" w:hAnsi="Century Gothic" w:eastAsia="Geomanist Light" w:cs="Arial"/>
          <w:color w:val="000000" w:themeColor="text1"/>
          <w:lang w:val="es-MX"/>
        </w:rPr>
      </w:pPr>
    </w:p>
    <w:p w:rsidR="004D5FAE" w:rsidP="00A73FF4" w:rsidRDefault="004D5FAE" w14:paraId="7D29F784" w14:textId="77777777">
      <w:pPr>
        <w:spacing w:after="0"/>
        <w:rPr>
          <w:rFonts w:ascii="Century Gothic" w:hAnsi="Century Gothic" w:eastAsia="Geomanist Light" w:cs="Arial"/>
          <w:color w:val="000000" w:themeColor="text1"/>
          <w:lang w:val="es-MX"/>
        </w:rPr>
      </w:pPr>
    </w:p>
    <w:p w:rsidR="004D5FAE" w:rsidP="00A73FF4" w:rsidRDefault="004D5FAE" w14:paraId="5D4FCED5" w14:textId="77777777">
      <w:pPr>
        <w:spacing w:after="0"/>
        <w:rPr>
          <w:rFonts w:ascii="Century Gothic" w:hAnsi="Century Gothic" w:eastAsia="Geomanist Light" w:cs="Arial"/>
          <w:color w:val="000000" w:themeColor="text1"/>
          <w:lang w:val="es-MX"/>
        </w:rPr>
      </w:pPr>
    </w:p>
    <w:p w:rsidR="004D5FAE" w:rsidP="00A73FF4" w:rsidRDefault="004D5FAE" w14:paraId="02358F6C" w14:textId="77777777">
      <w:pPr>
        <w:spacing w:after="0"/>
        <w:rPr>
          <w:rFonts w:ascii="Century Gothic" w:hAnsi="Century Gothic" w:eastAsia="Geomanist Light" w:cs="Arial"/>
          <w:color w:val="000000" w:themeColor="text1"/>
          <w:lang w:val="es-MX"/>
        </w:rPr>
      </w:pPr>
    </w:p>
    <w:p w:rsidR="004D5FAE" w:rsidP="00A73FF4" w:rsidRDefault="004D5FAE" w14:paraId="361A558F" w14:textId="77777777">
      <w:pPr>
        <w:spacing w:after="0"/>
        <w:rPr>
          <w:rFonts w:ascii="Century Gothic" w:hAnsi="Century Gothic" w:eastAsia="Geomanist Light" w:cs="Arial"/>
          <w:color w:val="000000" w:themeColor="text1"/>
          <w:lang w:val="es-MX"/>
        </w:rPr>
      </w:pPr>
    </w:p>
    <w:p w:rsidR="004D5FAE" w:rsidP="00A73FF4" w:rsidRDefault="004D5FAE" w14:paraId="6306E585" w14:textId="77777777">
      <w:pPr>
        <w:spacing w:after="0"/>
        <w:rPr>
          <w:rFonts w:ascii="Century Gothic" w:hAnsi="Century Gothic" w:eastAsia="Geomanist Light" w:cs="Arial"/>
          <w:color w:val="000000" w:themeColor="text1"/>
          <w:lang w:val="es-MX"/>
        </w:rPr>
      </w:pPr>
    </w:p>
    <w:p w:rsidR="004D5FAE" w:rsidP="00A73FF4" w:rsidRDefault="004D5FAE" w14:paraId="08372D69" w14:textId="77777777">
      <w:pPr>
        <w:spacing w:after="0"/>
        <w:rPr>
          <w:rFonts w:ascii="Century Gothic" w:hAnsi="Century Gothic" w:eastAsia="Geomanist Light" w:cs="Arial"/>
          <w:color w:val="000000" w:themeColor="text1"/>
          <w:lang w:val="es-MX"/>
        </w:rPr>
      </w:pPr>
    </w:p>
    <w:p w:rsidR="004D5FAE" w:rsidP="00A73FF4" w:rsidRDefault="004D5FAE" w14:paraId="70C5FEB0" w14:textId="77777777">
      <w:pPr>
        <w:spacing w:after="0"/>
        <w:rPr>
          <w:rFonts w:ascii="Century Gothic" w:hAnsi="Century Gothic" w:eastAsia="Geomanist Light" w:cs="Arial"/>
          <w:color w:val="000000" w:themeColor="text1"/>
          <w:lang w:val="es-MX"/>
        </w:rPr>
      </w:pPr>
    </w:p>
    <w:p w:rsidR="004D5FAE" w:rsidP="00A73FF4" w:rsidRDefault="004D5FAE" w14:paraId="091F15E6" w14:textId="77777777">
      <w:pPr>
        <w:spacing w:after="0"/>
        <w:rPr>
          <w:rFonts w:ascii="Century Gothic" w:hAnsi="Century Gothic" w:eastAsia="Geomanist Light" w:cs="Arial"/>
          <w:color w:val="000000" w:themeColor="text1"/>
          <w:lang w:val="es-MX"/>
        </w:rPr>
      </w:pPr>
    </w:p>
    <w:p w:rsidR="004D5FAE" w:rsidP="00A73FF4" w:rsidRDefault="004D5FAE" w14:paraId="4480894D" w14:textId="77777777">
      <w:pPr>
        <w:spacing w:after="0"/>
        <w:rPr>
          <w:rFonts w:ascii="Century Gothic" w:hAnsi="Century Gothic" w:eastAsia="Geomanist Light" w:cs="Arial"/>
          <w:color w:val="000000" w:themeColor="text1"/>
          <w:lang w:val="es-MX"/>
        </w:rPr>
      </w:pPr>
    </w:p>
    <w:p w:rsidR="004D5FAE" w:rsidP="00A73FF4" w:rsidRDefault="004D5FAE" w14:paraId="74CADC40" w14:textId="77777777">
      <w:pPr>
        <w:spacing w:after="0"/>
        <w:rPr>
          <w:rFonts w:ascii="Century Gothic" w:hAnsi="Century Gothic" w:eastAsia="Geomanist Light" w:cs="Arial"/>
          <w:color w:val="000000" w:themeColor="text1"/>
          <w:lang w:val="es-MX"/>
        </w:rPr>
      </w:pPr>
    </w:p>
    <w:p w:rsidR="004D5FAE" w:rsidP="00A73FF4" w:rsidRDefault="004D5FAE" w14:paraId="6910C3A5" w14:textId="77777777">
      <w:pPr>
        <w:spacing w:after="0"/>
        <w:rPr>
          <w:rFonts w:ascii="Century Gothic" w:hAnsi="Century Gothic" w:eastAsia="Geomanist Light" w:cs="Arial"/>
          <w:color w:val="000000" w:themeColor="text1"/>
          <w:lang w:val="es-MX"/>
        </w:rPr>
      </w:pPr>
    </w:p>
    <w:p w:rsidRPr="005F1FB7" w:rsidR="00A73FF4" w:rsidP="00A73FF4" w:rsidRDefault="00A73FF4" w14:paraId="4B95A3BE" w14:textId="4D7C37B8">
      <w:pPr>
        <w:spacing w:after="0"/>
        <w:rPr>
          <w:rFonts w:ascii="Century Gothic" w:hAnsi="Century Gothic" w:eastAsia="Geomanist Light" w:cs="Arial"/>
          <w:color w:val="201F1E"/>
          <w:lang w:val="es-MX"/>
        </w:rPr>
      </w:pPr>
      <w:r w:rsidRPr="005F1FB7">
        <w:rPr>
          <w:rFonts w:ascii="Century Gothic" w:hAnsi="Century Gothic" w:eastAsia="Geomanist Light" w:cs="Arial"/>
          <w:color w:val="000000" w:themeColor="text1"/>
          <w:lang w:val="es-MX"/>
        </w:rPr>
        <w:t>Bogotá D.C., </w:t>
      </w:r>
      <w:r w:rsidRPr="00566471" w:rsidR="00566471">
        <w:rPr>
          <w:rFonts w:ascii="Century Gothic" w:hAnsi="Century Gothic" w:eastAsia="Geomanist Light" w:cs="Arial"/>
          <w:color w:val="201F1E"/>
          <w:lang w:val="es-MX"/>
        </w:rPr>
        <w:t>04 de Julio de 2023</w:t>
      </w:r>
      <w:r w:rsidRPr="005F1FB7">
        <w:rPr>
          <w:rFonts w:ascii="Century Gothic" w:hAnsi="Century Gothic" w:eastAsia="Geomanist Light" w:cs="Arial"/>
          <w:color w:val="201F1E"/>
          <w:lang w:val="es-MX"/>
        </w:rPr>
        <w:t xml:space="preserve"> </w:t>
      </w:r>
    </w:p>
    <w:p w:rsidRPr="005F1FB7" w:rsidR="00A73FF4" w:rsidP="00A73FF4" w:rsidRDefault="00A73FF4" w14:paraId="46B78930" w14:textId="77777777">
      <w:pPr>
        <w:spacing w:after="0"/>
        <w:rPr>
          <w:rFonts w:ascii="Century Gothic" w:hAnsi="Century Gothic" w:eastAsia="Times New Roman" w:cs="Arial"/>
          <w:bCs/>
          <w:lang w:val="es-MX" w:eastAsia="es-ES"/>
        </w:rPr>
      </w:pPr>
    </w:p>
    <w:p w:rsidR="00A73FF4" w:rsidP="007A2DEA" w:rsidRDefault="007A2DEA" w14:paraId="0A16D620" w14:textId="772B5294">
      <w:pPr>
        <w:spacing w:after="0"/>
        <w:contextualSpacing/>
        <w:jc w:val="right"/>
        <w:rPr>
          <w:rFonts w:ascii="Century Gothic" w:hAnsi="Century Gothic" w:eastAsia="Calibri" w:cs="Arial"/>
          <w:lang w:val="es-ES_tradnl" w:eastAsia="es-ES_tradnl"/>
        </w:rPr>
      </w:pPr>
      <w:r>
        <w:rPr>
          <w:rFonts w:ascii="Century Gothic" w:hAnsi="Century Gothic" w:eastAsia="Calibri" w:cs="Arial"/>
          <w:noProof/>
          <w:lang w:val="es-ES_tradnl" w:eastAsia="es-ES_tradnl"/>
        </w:rPr>
        <w:drawing>
          <wp:inline distT="0" distB="0" distL="0" distR="0" wp14:anchorId="28FDB240" wp14:editId="4F1F19BD">
            <wp:extent cx="3533775" cy="866775"/>
            <wp:effectExtent l="0" t="0" r="9525" b="9525"/>
            <wp:docPr id="16233925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866775"/>
                    </a:xfrm>
                    <a:prstGeom prst="rect">
                      <a:avLst/>
                    </a:prstGeom>
                    <a:noFill/>
                    <a:ln>
                      <a:noFill/>
                    </a:ln>
                  </pic:spPr>
                </pic:pic>
              </a:graphicData>
            </a:graphic>
          </wp:inline>
        </w:drawing>
      </w:r>
    </w:p>
    <w:p w:rsidRPr="005F1FB7" w:rsidR="007A2DEA" w:rsidP="00A73FF4" w:rsidRDefault="007A2DEA" w14:paraId="7B21B3E9" w14:textId="77777777">
      <w:pPr>
        <w:spacing w:after="0"/>
        <w:contextualSpacing/>
        <w:jc w:val="both"/>
        <w:rPr>
          <w:rFonts w:ascii="Century Gothic" w:hAnsi="Century Gothic" w:eastAsia="Calibri" w:cs="Arial"/>
          <w:lang w:val="es-ES_tradnl" w:eastAsia="es-ES_tradnl"/>
        </w:rPr>
      </w:pPr>
    </w:p>
    <w:p w:rsidRPr="005F1FB7" w:rsidR="00A73FF4" w:rsidP="00A73FF4" w:rsidRDefault="00A73FF4" w14:paraId="29213B61" w14:textId="77777777">
      <w:pPr>
        <w:contextualSpacing/>
        <w:jc w:val="both"/>
        <w:rPr>
          <w:rFonts w:ascii="Century Gothic" w:hAnsi="Century Gothic" w:eastAsia="Calibri" w:cs="Arial"/>
          <w:lang w:eastAsia="es-ES_tradnl"/>
        </w:rPr>
      </w:pPr>
      <w:r w:rsidRPr="005F1FB7">
        <w:rPr>
          <w:rFonts w:ascii="Century Gothic" w:hAnsi="Century Gothic" w:eastAsia="Calibri" w:cs="Arial"/>
          <w:lang w:eastAsia="es-ES_tradnl"/>
        </w:rPr>
        <w:t>Señor</w:t>
      </w:r>
    </w:p>
    <w:p w:rsidRPr="005F1FB7" w:rsidR="00A73FF4" w:rsidP="00A73FF4" w:rsidRDefault="00A73FF4" w14:paraId="7AEFC317" w14:textId="77777777">
      <w:pPr>
        <w:contextualSpacing/>
        <w:jc w:val="both"/>
        <w:rPr>
          <w:rFonts w:ascii="Century Gothic" w:hAnsi="Century Gothic" w:eastAsia="Calibri" w:cs="Arial"/>
          <w:b/>
          <w:lang w:eastAsia="es-ES_tradnl"/>
        </w:rPr>
      </w:pPr>
      <w:r w:rsidRPr="005F1FB7">
        <w:rPr>
          <w:rFonts w:ascii="Century Gothic" w:hAnsi="Century Gothic" w:eastAsia="Calibri" w:cs="Arial"/>
          <w:b/>
          <w:lang w:eastAsia="es-ES_tradnl"/>
        </w:rPr>
        <w:t xml:space="preserve">Juan Camilo Muñoz Rodríguez </w:t>
      </w:r>
    </w:p>
    <w:p w:rsidRPr="005F1FB7" w:rsidR="00A73FF4" w:rsidP="00A73FF4" w:rsidRDefault="00A73FF4" w14:paraId="5B1C34CD" w14:textId="77777777">
      <w:pPr>
        <w:contextualSpacing/>
        <w:jc w:val="both"/>
        <w:rPr>
          <w:rFonts w:ascii="Century Gothic" w:hAnsi="Century Gothic" w:eastAsia="Calibri" w:cs="Arial"/>
          <w:bCs/>
          <w:lang w:eastAsia="es-ES_tradnl"/>
        </w:rPr>
      </w:pPr>
      <w:r w:rsidRPr="005F1FB7">
        <w:rPr>
          <w:rFonts w:ascii="Century Gothic" w:hAnsi="Century Gothic" w:eastAsia="Geomanist Light" w:cs="Arial"/>
          <w:color w:val="000000" w:themeColor="text1"/>
          <w:lang w:val="es-MX"/>
        </w:rPr>
        <w:t>Bogotá D.C.</w:t>
      </w:r>
    </w:p>
    <w:p w:rsidRPr="005F1FB7" w:rsidR="00A73FF4" w:rsidP="00A73FF4" w:rsidRDefault="00A73FF4" w14:paraId="64228898" w14:textId="77777777">
      <w:pPr>
        <w:contextualSpacing/>
        <w:rPr>
          <w:rFonts w:ascii="Century Gothic" w:hAnsi="Century Gothic" w:eastAsia="Calibri" w:cs="Arial"/>
          <w:b/>
          <w:bCs/>
          <w:lang w:val="es-ES_tradnl" w:eastAsia="es-ES_tradnl"/>
        </w:rPr>
      </w:pPr>
    </w:p>
    <w:p w:rsidRPr="005F1FB7" w:rsidR="00A73FF4" w:rsidP="00A73FF4" w:rsidRDefault="00A73FF4" w14:paraId="1BDF0D2E" w14:textId="77777777">
      <w:pPr>
        <w:contextualSpacing/>
        <w:jc w:val="both"/>
        <w:rPr>
          <w:rFonts w:ascii="Century Gothic" w:hAnsi="Century Gothic" w:eastAsia="Calibri" w:cs="Arial"/>
          <w:lang w:val="es-ES_tradnl" w:eastAsia="es-ES_tradnl"/>
        </w:rPr>
      </w:pPr>
    </w:p>
    <w:p w:rsidRPr="005F1FB7" w:rsidR="00A73FF4" w:rsidP="00A73FF4" w:rsidRDefault="00A73FF4" w14:paraId="57096F02" w14:textId="77777777">
      <w:pPr>
        <w:contextualSpacing/>
        <w:jc w:val="both"/>
        <w:rPr>
          <w:rFonts w:ascii="Century Gothic" w:hAnsi="Century Gothic" w:eastAsia="Calibri" w:cs="Arial"/>
          <w:b/>
          <w:bCs/>
          <w:lang w:val="es-ES_tradnl" w:eastAsia="es-ES_tradnl"/>
        </w:rPr>
      </w:pPr>
      <w:r w:rsidRPr="005F1FB7">
        <w:rPr>
          <w:rFonts w:ascii="Century Gothic" w:hAnsi="Century Gothic" w:eastAsia="Calibri" w:cs="Arial"/>
          <w:b/>
          <w:bCs/>
          <w:lang w:val="es-ES_tradnl" w:eastAsia="es-ES_tradnl"/>
        </w:rPr>
        <w:tab/>
      </w:r>
      <w:r w:rsidRPr="005F1FB7">
        <w:rPr>
          <w:rFonts w:ascii="Century Gothic" w:hAnsi="Century Gothic" w:eastAsia="Calibri" w:cs="Arial"/>
          <w:b/>
          <w:bCs/>
          <w:lang w:val="es-ES_tradnl" w:eastAsia="es-ES_tradnl"/>
        </w:rPr>
        <w:tab/>
      </w:r>
      <w:r w:rsidRPr="005F1FB7">
        <w:rPr>
          <w:rFonts w:ascii="Century Gothic" w:hAnsi="Century Gothic" w:eastAsia="Calibri" w:cs="Arial"/>
          <w:b/>
          <w:bCs/>
          <w:lang w:val="es-ES_tradnl" w:eastAsia="es-ES_tradnl"/>
        </w:rPr>
        <w:tab/>
      </w:r>
      <w:r w:rsidRPr="005F1FB7">
        <w:rPr>
          <w:rFonts w:ascii="Century Gothic" w:hAnsi="Century Gothic" w:eastAsia="Calibri" w:cs="Arial"/>
          <w:b/>
          <w:bCs/>
          <w:lang w:val="es-ES_tradnl" w:eastAsia="es-ES_tradnl"/>
        </w:rPr>
        <w:t xml:space="preserve">         Concepto C – 259 de 2023</w:t>
      </w:r>
    </w:p>
    <w:p w:rsidRPr="005F1FB7" w:rsidR="00A73FF4" w:rsidP="00A73FF4" w:rsidRDefault="00A73FF4" w14:paraId="1FF47CA4"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F1FB7" w:rsidR="00A73FF4" w:rsidTr="00A376A8" w14:paraId="36376EB5" w14:textId="77777777">
        <w:tc>
          <w:tcPr>
            <w:tcW w:w="2689" w:type="dxa"/>
          </w:tcPr>
          <w:p w:rsidRPr="005F1FB7" w:rsidR="00A73FF4" w:rsidP="00A376A8" w:rsidRDefault="00A73FF4" w14:paraId="015E5C0D" w14:textId="77777777">
            <w:pPr>
              <w:contextualSpacing/>
              <w:jc w:val="both"/>
              <w:rPr>
                <w:rFonts w:ascii="Century Gothic" w:hAnsi="Century Gothic" w:eastAsia="Calibri" w:cs="Arial"/>
                <w:lang w:val="es-ES_tradnl" w:eastAsia="es-ES_tradnl"/>
              </w:rPr>
            </w:pPr>
            <w:r w:rsidRPr="005F1FB7">
              <w:rPr>
                <w:rFonts w:ascii="Century Gothic" w:hAnsi="Century Gothic" w:eastAsia="Calibri" w:cs="Arial"/>
                <w:b/>
                <w:lang w:val="es-ES_tradnl" w:eastAsia="es-ES_tradnl"/>
              </w:rPr>
              <w:t>Temas:</w:t>
            </w:r>
            <w:r w:rsidRPr="005F1FB7">
              <w:rPr>
                <w:rFonts w:ascii="Century Gothic" w:hAnsi="Century Gothic" w:eastAsia="Calibri" w:cs="Arial"/>
                <w:lang w:val="es-ES_tradnl" w:eastAsia="es-ES_tradnl"/>
              </w:rPr>
              <w:t xml:space="preserve">                                      </w:t>
            </w:r>
          </w:p>
        </w:tc>
        <w:tc>
          <w:tcPr>
            <w:tcW w:w="6237" w:type="dxa"/>
          </w:tcPr>
          <w:p w:rsidRPr="005F1FB7" w:rsidR="00A73FF4" w:rsidP="00A376A8" w:rsidRDefault="00A73FF4" w14:paraId="1BFE023E" w14:textId="77777777">
            <w:pPr>
              <w:spacing w:after="120"/>
              <w:contextualSpacing/>
              <w:jc w:val="both"/>
              <w:rPr>
                <w:rFonts w:ascii="Century Gothic" w:hAnsi="Century Gothic" w:eastAsia="Calibri" w:cs="Arial"/>
                <w:bCs/>
                <w:lang w:val="es-MX" w:eastAsia="es-ES_tradnl"/>
              </w:rPr>
            </w:pPr>
            <w:r w:rsidRPr="005F1FB7">
              <w:rPr>
                <w:rFonts w:ascii="Century Gothic" w:hAnsi="Century Gothic" w:eastAsia="Calibri" w:cs="Arial"/>
                <w:bCs/>
                <w:lang w:val="es-ES_tradnl" w:eastAsia="es-ES_tradnl"/>
              </w:rPr>
              <w:t xml:space="preserve">DECRETO 092 DE 2017 – Finalidad – Clases de contratos / CONTRATACIÓN CON ESAL – Contrato de colaboración – Objeto – Alcance / CONTRATACIÓN CON ESAL – Contrato de asociación – Objeto – Alcance / ARTÍCULO 96 DE LA LEY 489 DE 1998 – ESAL / EMPRESAS DE SERVICIOS PÚBLICOS DOMICILIARIOS – Naturaleza jurídica </w:t>
            </w:r>
          </w:p>
          <w:p w:rsidRPr="005F1FB7" w:rsidR="00A73FF4" w:rsidP="00A376A8" w:rsidRDefault="00A73FF4" w14:paraId="7AA8BBBE" w14:textId="77777777">
            <w:pPr>
              <w:spacing w:after="120"/>
              <w:contextualSpacing/>
              <w:jc w:val="both"/>
              <w:rPr>
                <w:rFonts w:ascii="Century Gothic" w:hAnsi="Century Gothic" w:eastAsia="Calibri" w:cs="Arial"/>
                <w:bCs/>
                <w:sz w:val="12"/>
                <w:szCs w:val="12"/>
                <w:lang w:val="es-ES_tradnl" w:eastAsia="es-ES_tradnl"/>
              </w:rPr>
            </w:pPr>
          </w:p>
        </w:tc>
      </w:tr>
      <w:tr w:rsidRPr="005F1FB7" w:rsidR="00A73FF4" w:rsidTr="00A376A8" w14:paraId="62E9E337" w14:textId="77777777">
        <w:trPr>
          <w:trHeight w:val="227"/>
        </w:trPr>
        <w:tc>
          <w:tcPr>
            <w:tcW w:w="2689" w:type="dxa"/>
          </w:tcPr>
          <w:p w:rsidRPr="005F1FB7" w:rsidR="00A73FF4" w:rsidP="00A376A8" w:rsidRDefault="00A73FF4" w14:paraId="079EEF99" w14:textId="77777777">
            <w:pPr>
              <w:contextualSpacing/>
              <w:jc w:val="both"/>
              <w:rPr>
                <w:rFonts w:ascii="Century Gothic" w:hAnsi="Century Gothic" w:eastAsia="Calibri" w:cs="Arial"/>
                <w:b/>
                <w:lang w:val="es-ES_tradnl" w:eastAsia="es-ES_tradnl"/>
              </w:rPr>
            </w:pPr>
            <w:r w:rsidRPr="005F1FB7">
              <w:rPr>
                <w:rFonts w:ascii="Century Gothic" w:hAnsi="Century Gothic" w:eastAsia="Calibri" w:cs="Arial"/>
                <w:b/>
                <w:lang w:val="es-ES_tradnl" w:eastAsia="es-ES_tradnl"/>
              </w:rPr>
              <w:t>Radicación:</w:t>
            </w:r>
            <w:r w:rsidRPr="005F1FB7">
              <w:rPr>
                <w:rFonts w:ascii="Century Gothic" w:hAnsi="Century Gothic" w:eastAsia="Calibri" w:cs="Arial"/>
                <w:lang w:val="es-ES_tradnl" w:eastAsia="es-ES_tradnl"/>
              </w:rPr>
              <w:t xml:space="preserve">                             </w:t>
            </w:r>
          </w:p>
        </w:tc>
        <w:tc>
          <w:tcPr>
            <w:tcW w:w="6237" w:type="dxa"/>
          </w:tcPr>
          <w:p w:rsidRPr="005F1FB7" w:rsidR="00A73FF4" w:rsidP="00A376A8" w:rsidRDefault="00A73FF4" w14:paraId="775A6BE3" w14:textId="77777777">
            <w:pPr>
              <w:contextualSpacing/>
              <w:jc w:val="both"/>
              <w:rPr>
                <w:rFonts w:ascii="Century Gothic" w:hAnsi="Century Gothic" w:eastAsia="Calibri" w:cs="Arial"/>
                <w:lang w:val="es-ES_tradnl" w:eastAsia="es-ES_tradnl"/>
              </w:rPr>
            </w:pPr>
            <w:r w:rsidRPr="005F1FB7">
              <w:rPr>
                <w:rFonts w:ascii="Century Gothic" w:hAnsi="Century Gothic" w:eastAsia="Calibri" w:cs="Arial"/>
                <w:lang w:val="es-ES_tradnl" w:eastAsia="es-ES_tradnl"/>
              </w:rPr>
              <w:t>Respuesta a consulta P20230529011734</w:t>
            </w:r>
          </w:p>
        </w:tc>
      </w:tr>
    </w:tbl>
    <w:p w:rsidRPr="005F1FB7" w:rsidR="00A73FF4" w:rsidP="00A73FF4" w:rsidRDefault="00A73FF4" w14:paraId="41BEA9A5" w14:textId="77777777">
      <w:pPr>
        <w:contextualSpacing/>
        <w:jc w:val="both"/>
        <w:rPr>
          <w:rFonts w:ascii="Century Gothic" w:hAnsi="Century Gothic" w:eastAsia="Calibri" w:cs="Arial"/>
          <w:lang w:val="es-ES_tradnl" w:eastAsia="es-ES_tradnl"/>
        </w:rPr>
      </w:pPr>
    </w:p>
    <w:p w:rsidRPr="005F1FB7" w:rsidR="00A73FF4" w:rsidP="00A73FF4" w:rsidRDefault="00A73FF4" w14:paraId="4A7EF1A9" w14:textId="77777777">
      <w:pPr>
        <w:contextualSpacing/>
        <w:jc w:val="both"/>
        <w:rPr>
          <w:rFonts w:ascii="Century Gothic" w:hAnsi="Century Gothic" w:eastAsia="Calibri" w:cs="Arial"/>
          <w:lang w:val="es-ES_tradnl" w:eastAsia="es-ES_tradnl"/>
        </w:rPr>
      </w:pPr>
    </w:p>
    <w:p w:rsidRPr="005F1FB7" w:rsidR="00A73FF4" w:rsidP="00A73FF4" w:rsidRDefault="007D62FA" w14:paraId="0309CE9E" w14:textId="628371D9">
      <w:pPr>
        <w:contextualSpacing/>
        <w:jc w:val="both"/>
        <w:rPr>
          <w:rFonts w:ascii="Century Gothic" w:hAnsi="Century Gothic" w:eastAsia="Calibri" w:cs="Arial"/>
          <w:lang w:val="es-ES" w:eastAsia="es-ES"/>
        </w:rPr>
      </w:pPr>
      <w:r w:rsidRPr="005F1FB7">
        <w:rPr>
          <w:rFonts w:ascii="Century Gothic" w:hAnsi="Century Gothic" w:eastAsia="Calibri" w:cs="Arial"/>
          <w:lang w:val="es-ES" w:eastAsia="es-ES"/>
        </w:rPr>
        <w:t xml:space="preserve">Respetado </w:t>
      </w:r>
      <w:r w:rsidRPr="005F1FB7" w:rsidR="00A73FF4">
        <w:rPr>
          <w:rFonts w:ascii="Century Gothic" w:hAnsi="Century Gothic" w:eastAsia="Calibri" w:cs="Arial"/>
          <w:lang w:val="es-ES" w:eastAsia="es-ES"/>
        </w:rPr>
        <w:t xml:space="preserve">señor </w:t>
      </w:r>
      <w:r w:rsidRPr="005F1FB7">
        <w:rPr>
          <w:rFonts w:ascii="Century Gothic" w:hAnsi="Century Gothic" w:eastAsia="Times New Roman" w:cs="Arial"/>
          <w:lang w:eastAsia="es-ES"/>
        </w:rPr>
        <w:t>Muñoz</w:t>
      </w:r>
      <w:r w:rsidRPr="005F1FB7" w:rsidR="00A73FF4">
        <w:rPr>
          <w:rFonts w:ascii="Century Gothic" w:hAnsi="Century Gothic" w:eastAsia="Calibri" w:cs="Arial"/>
          <w:lang w:val="es-ES" w:eastAsia="es-ES"/>
        </w:rPr>
        <w:t xml:space="preserve">: </w:t>
      </w:r>
    </w:p>
    <w:p w:rsidRPr="005F1FB7" w:rsidR="00A73FF4" w:rsidP="00A73FF4" w:rsidRDefault="00A73FF4" w14:paraId="2A483E4B"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5F1FB7" w:rsidR="00A73FF4" w:rsidP="00A73FF4" w:rsidRDefault="00A73FF4" w14:paraId="308A943F" w14:textId="77777777">
      <w:pPr>
        <w:spacing w:after="0" w:line="276" w:lineRule="auto"/>
        <w:jc w:val="both"/>
        <w:rPr>
          <w:rFonts w:ascii="Century Gothic" w:hAnsi="Century Gothic" w:eastAsia="Calibri" w:cs="Arial"/>
          <w:color w:val="000000" w:themeColor="text1"/>
          <w:lang w:val="es-ES_tradnl"/>
        </w:rPr>
      </w:pPr>
      <w:r w:rsidRPr="005F1FB7">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3"/>
      <w:r w:rsidRPr="005F1FB7">
        <w:rPr>
          <w:rFonts w:ascii="Century Gothic" w:hAnsi="Century Gothic" w:eastAsia="Arial MT" w:cs="Arial MT"/>
          <w:lang w:val="es-ES"/>
        </w:rPr>
        <w:t xml:space="preserve">, </w:t>
      </w:r>
      <w:bookmarkEnd w:id="3"/>
      <w:r w:rsidRPr="005F1FB7">
        <w:rPr>
          <w:rFonts w:ascii="Century Gothic" w:hAnsi="Century Gothic" w:eastAsia="Calibri" w:cs="Arial"/>
          <w:color w:val="000000" w:themeColor="text1"/>
          <w:lang w:val="es-ES_tradnl"/>
        </w:rPr>
        <w:t>la Agencia Nacional de Contratación Pública – Colombia Compra Eficiente responde la consulta realizada el 26 de mayo de 2023.</w:t>
      </w:r>
    </w:p>
    <w:p w:rsidRPr="005F1FB7" w:rsidR="00A73FF4" w:rsidP="00A73FF4" w:rsidRDefault="00A73FF4" w14:paraId="4F660CED" w14:textId="77777777">
      <w:pPr>
        <w:spacing w:after="0" w:line="276" w:lineRule="auto"/>
        <w:jc w:val="both"/>
        <w:rPr>
          <w:rFonts w:ascii="Century Gothic" w:hAnsi="Century Gothic" w:eastAsia="Calibri" w:cs="Arial"/>
          <w:color w:val="000000" w:themeColor="text1"/>
          <w:lang w:val="es-ES_tradnl"/>
        </w:rPr>
      </w:pPr>
    </w:p>
    <w:p w:rsidRPr="005F1FB7" w:rsidR="00A73FF4" w:rsidP="00A73FF4" w:rsidRDefault="00A73FF4" w14:paraId="190ACA59" w14:textId="77777777">
      <w:pPr>
        <w:tabs>
          <w:tab w:val="left" w:pos="0"/>
          <w:tab w:val="left" w:pos="142"/>
          <w:tab w:val="left" w:pos="284"/>
        </w:tabs>
        <w:spacing w:after="0" w:line="240" w:lineRule="auto"/>
        <w:contextualSpacing/>
        <w:jc w:val="both"/>
        <w:rPr>
          <w:rFonts w:ascii="Century Gothic" w:hAnsi="Century Gothic" w:eastAsia="Calibri" w:cs="Arial"/>
          <w:b/>
          <w:lang w:val="es-ES_tradnl"/>
        </w:rPr>
      </w:pPr>
      <w:r w:rsidRPr="005F1FB7">
        <w:rPr>
          <w:rFonts w:ascii="Century Gothic" w:hAnsi="Century Gothic" w:eastAsia="Calibri" w:cs="Arial"/>
          <w:b/>
          <w:lang w:val="es-ES_tradnl"/>
        </w:rPr>
        <w:t xml:space="preserve">1. Problemas planteados </w:t>
      </w:r>
    </w:p>
    <w:p w:rsidRPr="005F1FB7" w:rsidR="00A73FF4" w:rsidP="00A73FF4" w:rsidRDefault="00A73FF4" w14:paraId="4E018189" w14:textId="77777777">
      <w:pPr>
        <w:tabs>
          <w:tab w:val="left" w:pos="426"/>
        </w:tabs>
        <w:spacing w:after="0"/>
        <w:contextualSpacing/>
        <w:jc w:val="both"/>
        <w:rPr>
          <w:rFonts w:ascii="Century Gothic" w:hAnsi="Century Gothic" w:eastAsia="Calibri" w:cs="Arial"/>
          <w:b/>
          <w:szCs w:val="24"/>
          <w:lang w:val="es-ES_tradnl" w:eastAsia="es-ES_tradnl"/>
        </w:rPr>
      </w:pPr>
    </w:p>
    <w:p w:rsidRPr="005F1FB7" w:rsidR="00A73FF4" w:rsidP="00A73FF4" w:rsidRDefault="00A73FF4" w14:paraId="2AD3505E" w14:textId="77777777">
      <w:pPr>
        <w:spacing w:after="0" w:line="276" w:lineRule="auto"/>
        <w:jc w:val="both"/>
        <w:rPr>
          <w:rFonts w:ascii="Century Gothic" w:hAnsi="Century Gothic" w:eastAsia="Calibri" w:cs="Arial"/>
          <w:bCs/>
          <w:szCs w:val="24"/>
          <w:lang w:val="es-ES_tradnl" w:eastAsia="es-ES_tradnl"/>
        </w:rPr>
      </w:pPr>
      <w:r w:rsidRPr="005F1FB7">
        <w:rPr>
          <w:rFonts w:ascii="Century Gothic" w:hAnsi="Century Gothic" w:eastAsia="Calibri" w:cs="Arial"/>
          <w:bCs/>
          <w:szCs w:val="24"/>
          <w:lang w:val="es-ES_tradnl" w:eastAsia="es-ES_tradnl"/>
        </w:rPr>
        <w:t xml:space="preserve">Usted realiza las siguientes preguntas: i) “¿Pueden las Entidades señaladas en el Artículo 368 de la Constitución Política, celebrar convenios con las Empresas de Servicios Públicos Domiciliarios para subsidiar la construcción de redes que permitan la conexión del servicio público prestado?”, </w:t>
      </w:r>
      <w:proofErr w:type="spellStart"/>
      <w:r w:rsidRPr="005F1FB7">
        <w:rPr>
          <w:rFonts w:ascii="Century Gothic" w:hAnsi="Century Gothic" w:eastAsia="Calibri" w:cs="Arial"/>
          <w:bCs/>
          <w:szCs w:val="24"/>
          <w:lang w:val="es-ES_tradnl" w:eastAsia="es-ES_tradnl"/>
        </w:rPr>
        <w:t>ii</w:t>
      </w:r>
      <w:proofErr w:type="spellEnd"/>
      <w:r w:rsidRPr="005F1FB7">
        <w:rPr>
          <w:rFonts w:ascii="Century Gothic" w:hAnsi="Century Gothic" w:eastAsia="Calibri" w:cs="Arial"/>
          <w:bCs/>
          <w:szCs w:val="24"/>
          <w:lang w:val="es-ES_tradnl" w:eastAsia="es-ES_tradnl"/>
        </w:rPr>
        <w:t xml:space="preserve">) “¿Este tipo de relaciones deben ser tramitadas conforme con las tipologías contractuales previstas en la ley </w:t>
      </w:r>
      <w:r w:rsidRPr="005F1FB7">
        <w:rPr>
          <w:rFonts w:ascii="Century Gothic" w:hAnsi="Century Gothic" w:eastAsia="Calibri" w:cs="Arial"/>
          <w:bCs/>
          <w:szCs w:val="24"/>
          <w:lang w:val="es-ES_tradnl" w:eastAsia="es-ES_tradnl"/>
        </w:rPr>
        <w:t xml:space="preserve">80 de 1993?”, </w:t>
      </w:r>
      <w:proofErr w:type="spellStart"/>
      <w:r w:rsidRPr="005F1FB7">
        <w:rPr>
          <w:rFonts w:ascii="Century Gothic" w:hAnsi="Century Gothic" w:eastAsia="Calibri" w:cs="Arial"/>
          <w:bCs/>
          <w:szCs w:val="24"/>
          <w:lang w:val="es-ES_tradnl" w:eastAsia="es-ES_tradnl"/>
        </w:rPr>
        <w:t>iii</w:t>
      </w:r>
      <w:proofErr w:type="spellEnd"/>
      <w:r w:rsidRPr="005F1FB7">
        <w:rPr>
          <w:rFonts w:ascii="Century Gothic" w:hAnsi="Century Gothic" w:eastAsia="Calibri" w:cs="Arial"/>
          <w:bCs/>
          <w:szCs w:val="24"/>
          <w:lang w:val="es-ES_tradnl" w:eastAsia="es-ES_tradnl"/>
        </w:rPr>
        <w:t>) “¿Es posible que las Entidades territoriales suscriban Convenios de Asociación con las Empresas de Servicios Públicos Domiciliarios para la transferencia de los aportes destinados a subsidios?”.</w:t>
      </w:r>
    </w:p>
    <w:p w:rsidRPr="005F1FB7" w:rsidR="00A73FF4" w:rsidP="00A73FF4" w:rsidRDefault="00A73FF4" w14:paraId="07BEF9B2" w14:textId="77777777">
      <w:pPr>
        <w:spacing w:after="0" w:line="276" w:lineRule="auto"/>
        <w:jc w:val="both"/>
        <w:rPr>
          <w:rFonts w:ascii="Century Gothic" w:hAnsi="Century Gothic" w:eastAsia="Calibri" w:cs="Arial"/>
          <w:bCs/>
          <w:szCs w:val="24"/>
          <w:lang w:val="es-ES_tradnl" w:eastAsia="es-ES_tradnl"/>
        </w:rPr>
      </w:pPr>
    </w:p>
    <w:p w:rsidRPr="005F1FB7" w:rsidR="00A73FF4" w:rsidP="00A73FF4" w:rsidRDefault="00A73FF4" w14:paraId="447DE972" w14:textId="77777777">
      <w:pPr>
        <w:spacing w:after="0" w:line="276" w:lineRule="auto"/>
        <w:jc w:val="both"/>
        <w:rPr>
          <w:rFonts w:ascii="Century Gothic" w:hAnsi="Century Gothic" w:eastAsia="Calibri" w:cs="Arial"/>
          <w:b/>
          <w:szCs w:val="24"/>
          <w:lang w:val="es-ES_tradnl" w:eastAsia="es-ES_tradnl"/>
        </w:rPr>
      </w:pPr>
      <w:r w:rsidRPr="005F1FB7">
        <w:rPr>
          <w:rFonts w:ascii="Century Gothic" w:hAnsi="Century Gothic" w:eastAsia="Calibri" w:cs="Arial"/>
          <w:b/>
          <w:szCs w:val="24"/>
          <w:lang w:val="es-ES_tradnl" w:eastAsia="es-ES_tradnl"/>
        </w:rPr>
        <w:t xml:space="preserve">2. Consideraciones </w:t>
      </w:r>
    </w:p>
    <w:p w:rsidRPr="005F1FB7" w:rsidR="00A73FF4" w:rsidP="00A73FF4" w:rsidRDefault="00A73FF4" w14:paraId="2D7194B4" w14:textId="77777777">
      <w:pPr>
        <w:spacing w:after="0" w:line="276" w:lineRule="auto"/>
        <w:jc w:val="both"/>
        <w:rPr>
          <w:rFonts w:ascii="Century Gothic" w:hAnsi="Century Gothic" w:eastAsia="Calibri" w:cs="Arial"/>
          <w:b/>
          <w:color w:val="000000" w:themeColor="text1"/>
          <w:lang w:val="es-ES_tradnl"/>
        </w:rPr>
      </w:pPr>
    </w:p>
    <w:p w:rsidRPr="005F1FB7" w:rsidR="00A73FF4" w:rsidP="00A73FF4" w:rsidRDefault="00A73FF4" w14:paraId="79629282" w14:textId="77777777">
      <w:pPr>
        <w:spacing w:after="120" w:line="276" w:lineRule="auto"/>
        <w:jc w:val="both"/>
        <w:rPr>
          <w:rFonts w:ascii="Century Gothic" w:hAnsi="Century Gothic" w:cs="Arial"/>
          <w:lang w:val="es-ES"/>
        </w:rPr>
      </w:pPr>
      <w:r w:rsidRPr="005F1FB7">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5F1FB7">
        <w:rPr>
          <w:rFonts w:ascii="Century Gothic" w:hAnsi="Century Gothic"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5F1FB7">
        <w:rPr>
          <w:rFonts w:ascii="Century Gothic" w:hAnsi="Century Gothic" w:cs="Arial"/>
          <w:bCs/>
        </w:rPr>
        <w:t xml:space="preserve"> de todos los partícipes de la contratación estatal ni para interpretar el alcance de cualquier norma vigente en el ordenamiento jurídico.</w:t>
      </w:r>
    </w:p>
    <w:p w:rsidRPr="005F1FB7" w:rsidR="00A73FF4" w:rsidP="00A73FF4" w:rsidRDefault="00A73FF4" w14:paraId="559B6C41" w14:textId="77777777">
      <w:pPr>
        <w:spacing w:after="120" w:line="276" w:lineRule="auto"/>
        <w:ind w:firstLine="708"/>
        <w:jc w:val="both"/>
        <w:rPr>
          <w:rFonts w:ascii="Century Gothic" w:hAnsi="Century Gothic" w:cs="Arial"/>
          <w:lang w:val="es-ES"/>
        </w:rPr>
      </w:pPr>
      <w:r w:rsidRPr="005F1FB7">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F1FB7">
        <w:rPr>
          <w:rFonts w:ascii="Century Gothic" w:hAnsi="Century Gothic" w:cs="Arial"/>
          <w:vertAlign w:val="superscript"/>
          <w:lang w:val="es-ES"/>
        </w:rPr>
        <w:footnoteReference w:id="2"/>
      </w:r>
      <w:r w:rsidRPr="005F1FB7">
        <w:rPr>
          <w:rFonts w:ascii="Century Gothic" w:hAnsi="Century Gothic" w:cs="Arial"/>
          <w:lang w:val="es-ES"/>
        </w:rPr>
        <w:t>.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negocio en específico.</w:t>
      </w:r>
    </w:p>
    <w:p w:rsidRPr="005F1FB7" w:rsidR="00A73FF4" w:rsidP="00A73FF4" w:rsidRDefault="00A73FF4" w14:paraId="4694CA29" w14:textId="77777777">
      <w:pPr>
        <w:spacing w:after="120" w:line="276" w:lineRule="auto"/>
        <w:ind w:firstLine="709"/>
        <w:jc w:val="both"/>
        <w:rPr>
          <w:rFonts w:ascii="Century Gothic" w:hAnsi="Century Gothic" w:cs="Arial"/>
          <w:lang w:val="es-ES"/>
        </w:rPr>
      </w:pPr>
      <w:r w:rsidRPr="005F1FB7">
        <w:rPr>
          <w:rFonts w:ascii="Century Gothic" w:hAnsi="Century Gothic" w:cs="Arial"/>
          <w:lang w:val="es-ES"/>
        </w:rPr>
        <w:t xml:space="preserve">En este contexto, es necesario tener en cuenta que esta Agencia no es competente para pronunciarse sobre el régimen de los subsidios en materia de </w:t>
      </w:r>
      <w:r w:rsidRPr="005F1FB7">
        <w:rPr>
          <w:rFonts w:ascii="Century Gothic" w:hAnsi="Century Gothic" w:cs="Arial"/>
          <w:lang w:val="es-ES"/>
        </w:rPr>
        <w:t>servicios públicos domiciliarios. El artículo 368 constitucional dispone que “La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 sin contener una autorización expresa que permita subsidiar la construcción</w:t>
      </w:r>
      <w:r w:rsidRPr="005F1FB7">
        <w:rPr>
          <w:rFonts w:ascii="Century Gothic" w:hAnsi="Century Gothic" w:eastAsia="Calibri" w:cs="Arial"/>
          <w:bCs/>
          <w:szCs w:val="24"/>
          <w:lang w:val="es-ES_tradnl" w:eastAsia="es-ES_tradnl"/>
        </w:rPr>
        <w:t xml:space="preserve"> de redes.</w:t>
      </w:r>
      <w:r w:rsidRPr="005F1FB7">
        <w:rPr>
          <w:rFonts w:ascii="Century Gothic" w:hAnsi="Century Gothic" w:cs="Arial"/>
          <w:lang w:val="es-ES"/>
        </w:rPr>
        <w:t xml:space="preserve"> Esta disposición es desarrollada por el artículo 99.8 de la Ley 142 de 1994, “por la cual se establece el régimen de los servicios públicos domiciliarios y se dictan otras disposiciones”, y por el artículo 2.3.4.1.2.11 del Decreto 1077 de 2015, “Por medio del cual se expide el Decreto Único Reglamentario del Sector Vivienda, Ciudad y Territorio”. Estas normas son ajenas al sistema de compras públicas, por lo que la Agencia carece de atribuciones para interpretar su sentido y alcance. </w:t>
      </w:r>
    </w:p>
    <w:p w:rsidRPr="005F1FB7" w:rsidR="00A73FF4" w:rsidP="00A73FF4" w:rsidRDefault="00A73FF4" w14:paraId="551C6AD9" w14:textId="77777777">
      <w:pPr>
        <w:spacing w:after="120" w:line="276" w:lineRule="auto"/>
        <w:ind w:firstLine="709"/>
        <w:jc w:val="both"/>
        <w:rPr>
          <w:rFonts w:ascii="Century Gothic" w:hAnsi="Century Gothic" w:cs="Arial"/>
          <w:lang w:val="es-ES"/>
        </w:rPr>
      </w:pPr>
      <w:r w:rsidRPr="005F1FB7">
        <w:rPr>
          <w:rFonts w:ascii="Century Gothic" w:hAnsi="Century Gothic" w:cs="Arial"/>
          <w:lang w:val="es-ES"/>
        </w:rPr>
        <w:t>No obstante, se advierte al peticionario que la Superintendencia de Servicios Públicos Domiciliarios se ha referido a la celebración de contratos para la transferencia de subsidios en el Concepto Unificado SSPD-OJU-2013-25, actualizado al 19 de enero de 2021</w:t>
      </w:r>
      <w:r w:rsidRPr="005F1FB7">
        <w:rPr>
          <w:rStyle w:val="Refdenotaalpie"/>
          <w:rFonts w:ascii="Century Gothic" w:hAnsi="Century Gothic" w:cs="Arial"/>
          <w:lang w:val="es-ES"/>
        </w:rPr>
        <w:footnoteReference w:id="3"/>
      </w:r>
      <w:r w:rsidRPr="005F1FB7">
        <w:rPr>
          <w:rFonts w:ascii="Century Gothic" w:hAnsi="Century Gothic" w:cs="Arial"/>
          <w:lang w:val="es-ES"/>
        </w:rPr>
        <w:t xml:space="preserve">. Dentro de las normas aplicables a los servicios públicos domiciliarios y la doctrina general de sus intérpretes autorizados, corresponde a cada entidad pública, en ejercicio de su competencia y previa valoración de los elementos fácticos y jurídicos, determinar el objeto y el régimen para formalizar la trasferencia de los subsidios. </w:t>
      </w:r>
    </w:p>
    <w:p w:rsidRPr="005F1FB7" w:rsidR="00A73FF4" w:rsidP="00A73FF4" w:rsidRDefault="00A73FF4" w14:paraId="3E3BEC83" w14:textId="77777777">
      <w:pPr>
        <w:spacing w:after="120" w:line="276" w:lineRule="auto"/>
        <w:ind w:firstLine="709"/>
        <w:jc w:val="both"/>
        <w:rPr>
          <w:rFonts w:ascii="Century Gothic" w:hAnsi="Century Gothic" w:cs="Arial"/>
          <w:bCs/>
          <w:color w:val="000000" w:themeColor="text1"/>
          <w:lang w:val="es-ES_tradnl"/>
        </w:rPr>
      </w:pPr>
      <w:r w:rsidRPr="005F1FB7">
        <w:rPr>
          <w:rFonts w:ascii="Century Gothic" w:hAnsi="Century Gothic" w:eastAsia="Calibri" w:cs="Arial"/>
        </w:rPr>
        <w:t xml:space="preserve">Sin perjuicio de lo anterior, </w:t>
      </w:r>
      <w:r w:rsidRPr="005F1FB7">
        <w:rPr>
          <w:rFonts w:ascii="Century Gothic" w:hAnsi="Century Gothic" w:eastAsia="Calibri" w:cs="Arial"/>
          <w:lang w:val="es-ES"/>
        </w:rPr>
        <w:t xml:space="preserve">la Agencia –dentro de los límites de sus atribuciones– resolverá la consulta conforme a las normas generales del sistema de compras públicas. Con este objetivo se analizarán las </w:t>
      </w:r>
      <w:r w:rsidRPr="005F1FB7">
        <w:rPr>
          <w:rFonts w:ascii="Century Gothic" w:hAnsi="Century Gothic" w:cs="Arial"/>
          <w:bCs/>
          <w:color w:val="000000" w:themeColor="text1"/>
          <w:lang w:val="es-ES_tradnl"/>
        </w:rPr>
        <w:t xml:space="preserve">diferencias entre los contratos del artículo 355 de la Constitución Política y los convenios de asociación del artículo 96 de la Ley 489 de 1998, así como la posibilidad de suscribirlos únicamente con entidades privadas sin ánimo de lucro. </w:t>
      </w:r>
    </w:p>
    <w:p w:rsidRPr="005F1FB7" w:rsidR="00A73FF4" w:rsidP="00A73FF4" w:rsidRDefault="00A73FF4" w14:paraId="1BED23BA" w14:textId="77777777">
      <w:pPr>
        <w:spacing w:after="120" w:line="276" w:lineRule="auto"/>
        <w:ind w:firstLine="709"/>
        <w:jc w:val="both"/>
        <w:rPr>
          <w:rFonts w:ascii="Century Gothic" w:hAnsi="Century Gothic" w:cs="Arial"/>
        </w:rPr>
      </w:pPr>
      <w:r w:rsidRPr="005F1FB7">
        <w:rPr>
          <w:rFonts w:ascii="Century Gothic" w:hAnsi="Century Gothic" w:cs="Arial"/>
        </w:rPr>
        <w:t>La Agencia Nacional de Contratación Pública – Colombia Compra Eficiente se ha pronunciado en diferentes conceptos sobre la contratación con entidades privadas sin ánimo de lucro y de reconocida idoneidad –desde ahora ESAL–, con fundamento en el Decreto autónomo 092 de 2017, en particular en los Conceptos 4201912000008310 del 26 de diciembre de 2019, 4201912000007899 del 27 de diciembre de 2019, 4201912000007901 del 27 de diciembre de 2019, C-057 del 18 de marzo de 2020, C-070 04 de marzo de 2020, C-094 del 04 de marzo de 2020, C-</w:t>
      </w:r>
      <w:r w:rsidRPr="005F1FB7">
        <w:rPr>
          <w:rFonts w:ascii="Century Gothic" w:hAnsi="Century Gothic" w:cs="Arial"/>
        </w:rPr>
        <w:t>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C-021 del 22 de febrero de 2022, C-236 del 27 de abril de 2022, C-273 del 6 de mayo de 2022, C-274 del 6 de mayo de 2022, C-291 del 18 de mayo de 2022, C-331 del 24 de mayo de 2022, C-477 del 26 de julio de 2022, C-550 del 31 de agosto de 2022, C-560 del 7 de septiembre de 2022, C-624 del 28 de septiembre de 2022, C-771 del 30 de diciembre de 2022 y C-853 del 9 de diciembre de 2022</w:t>
      </w:r>
      <w:r w:rsidRPr="005F1FB7">
        <w:rPr>
          <w:rStyle w:val="Refdenotaalpie"/>
          <w:rFonts w:ascii="Century Gothic" w:hAnsi="Century Gothic" w:eastAsia="Calibri" w:cs="Arial"/>
        </w:rPr>
        <w:footnoteReference w:id="4"/>
      </w:r>
      <w:r w:rsidRPr="005F1FB7">
        <w:rPr>
          <w:rFonts w:ascii="Century Gothic" w:hAnsi="Century Gothic" w:cs="Arial"/>
        </w:rPr>
        <w:t>. Las tesis propuestas en tales conceptos se reiteran a continuación y se complementan en lo pertinente.</w:t>
      </w:r>
    </w:p>
    <w:p w:rsidRPr="005F1FB7" w:rsidR="00A73FF4" w:rsidP="00A73FF4" w:rsidRDefault="00A73FF4" w14:paraId="73804AA5" w14:textId="77777777">
      <w:pPr>
        <w:spacing w:line="276" w:lineRule="auto"/>
        <w:ind w:firstLine="708"/>
        <w:jc w:val="both"/>
        <w:rPr>
          <w:rFonts w:ascii="Century Gothic" w:hAnsi="Century Gothic" w:eastAsia="Calibri" w:cs="Arial"/>
          <w:bCs/>
          <w:lang w:val="es-ES_tradnl"/>
        </w:rPr>
      </w:pPr>
      <w:r w:rsidRPr="005F1FB7">
        <w:rPr>
          <w:rFonts w:ascii="Century Gothic" w:hAnsi="Century Gothic" w:eastAsia="Calibri"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5F1FB7">
        <w:rPr>
          <w:rStyle w:val="Refdenotaalpie"/>
          <w:rFonts w:ascii="Century Gothic" w:hAnsi="Century Gothic" w:cs="Arial"/>
        </w:rPr>
        <w:footnoteReference w:id="5"/>
      </w:r>
      <w:r w:rsidRPr="005F1FB7">
        <w:rPr>
          <w:rFonts w:ascii="Century Gothic" w:hAnsi="Century Gothic" w:eastAsia="Calibri" w:cs="Arial"/>
          <w:bCs/>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5F1FB7">
        <w:rPr>
          <w:rStyle w:val="Refdenotaalpie"/>
          <w:rFonts w:ascii="Century Gothic" w:hAnsi="Century Gothic" w:eastAsia="Calibri" w:cs="Arial"/>
          <w:bCs/>
          <w:lang w:val="es-ES_tradnl"/>
        </w:rPr>
        <w:footnoteReference w:id="6"/>
      </w:r>
      <w:r w:rsidRPr="005F1FB7">
        <w:rPr>
          <w:rFonts w:ascii="Century Gothic" w:hAnsi="Century Gothic" w:eastAsia="Calibri" w:cs="Arial"/>
          <w:bCs/>
          <w:lang w:val="es-ES_tradnl"/>
        </w:rPr>
        <w:t>.</w:t>
      </w:r>
    </w:p>
    <w:p w:rsidRPr="005F1FB7" w:rsidR="00A73FF4" w:rsidP="00A73FF4" w:rsidRDefault="00A73FF4" w14:paraId="1BBC7F00" w14:textId="77777777">
      <w:pPr>
        <w:spacing w:before="120" w:after="120" w:line="276" w:lineRule="auto"/>
        <w:ind w:firstLine="709"/>
        <w:jc w:val="both"/>
        <w:rPr>
          <w:rFonts w:ascii="Century Gothic" w:hAnsi="Century Gothic" w:eastAsia="Calibri" w:cs="Arial"/>
          <w:bCs/>
          <w:lang w:val="es-ES_tradnl"/>
        </w:rPr>
      </w:pPr>
      <w:bookmarkStart w:name="_Hlk38819155" w:id="5"/>
      <w:r w:rsidRPr="005F1FB7">
        <w:rPr>
          <w:rFonts w:ascii="Century Gothic" w:hAnsi="Century Gothic" w:eastAsia="Calibri"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5F1FB7">
        <w:rPr>
          <w:rFonts w:ascii="Century Gothic" w:hAnsi="Century Gothic" w:eastAsia="Calibri" w:cs="Arial"/>
          <w:bCs/>
          <w:lang w:val="es-ES_tradnl"/>
        </w:rPr>
        <w:t>ii</w:t>
      </w:r>
      <w:proofErr w:type="spellEnd"/>
      <w:r w:rsidRPr="005F1FB7">
        <w:rPr>
          <w:rFonts w:ascii="Century Gothic" w:hAnsi="Century Gothic" w:eastAsia="Calibri" w:cs="Arial"/>
          <w:bCs/>
          <w:lang w:val="es-ES_tradnl"/>
        </w:rPr>
        <w:t xml:space="preserve">) los convenios de asociación, para el desarrollo conjunto de actividades relacionadas con las funciones de las entidades estatales, en desarrollo del artículo 96 de la Ley 489 de 1998. </w:t>
      </w:r>
      <w:bookmarkEnd w:id="5"/>
    </w:p>
    <w:p w:rsidRPr="005F1FB7" w:rsidR="00A73FF4" w:rsidP="00A73FF4" w:rsidRDefault="00A73FF4" w14:paraId="2960DB93" w14:textId="77777777">
      <w:pPr>
        <w:spacing w:before="120" w:after="120" w:line="276" w:lineRule="auto"/>
        <w:ind w:firstLine="709"/>
        <w:jc w:val="both"/>
        <w:rPr>
          <w:rFonts w:ascii="Century Gothic" w:hAnsi="Century Gothic" w:eastAsia="Calibri" w:cs="Arial"/>
          <w:bCs/>
          <w:lang w:val="es-ES_tradnl"/>
        </w:rPr>
      </w:pPr>
      <w:bookmarkStart w:name="_Hlk95756032" w:id="6"/>
      <w:r w:rsidRPr="005F1FB7">
        <w:rPr>
          <w:rFonts w:ascii="Century Gothic" w:hAnsi="Century Gothic" w:eastAsia="Calibri" w:cs="Arial"/>
          <w:bCs/>
          <w:lang w:val="es-ES_tradnl"/>
        </w:rPr>
        <w:t xml:space="preserve">Los </w:t>
      </w:r>
      <w:r w:rsidRPr="005F1FB7">
        <w:rPr>
          <w:rFonts w:ascii="Century Gothic" w:hAnsi="Century Gothic" w:eastAsia="Calibri" w:cs="Arial"/>
          <w:bCs/>
          <w:i/>
          <w:lang w:val="es-ES_tradnl"/>
        </w:rPr>
        <w:t>contratos del artículo 355 de la Constitución Política</w:t>
      </w:r>
      <w:r w:rsidRPr="005F1FB7">
        <w:rPr>
          <w:rFonts w:ascii="Century Gothic" w:hAnsi="Century Gothic" w:eastAsia="Calibri"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5F1FB7">
        <w:rPr>
          <w:rFonts w:ascii="Century Gothic" w:hAnsi="Century Gothic" w:eastAsia="Calibri" w:cs="Arial"/>
          <w:bCs/>
          <w:lang w:val="es-ES_tradnl"/>
        </w:rPr>
        <w:t>ii</w:t>
      </w:r>
      <w:proofErr w:type="spellEnd"/>
      <w:r w:rsidRPr="005F1FB7">
        <w:rPr>
          <w:rFonts w:ascii="Century Gothic" w:hAnsi="Century Gothic" w:eastAsia="Calibri" w:cs="Arial"/>
          <w:bCs/>
          <w:lang w:val="es-ES_tradnl"/>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6"/>
    <w:p w:rsidRPr="005F1FB7" w:rsidR="00A73FF4" w:rsidP="00A73FF4" w:rsidRDefault="00A73FF4" w14:paraId="03D44F34" w14:textId="77777777">
      <w:pPr>
        <w:spacing w:before="120" w:after="120" w:line="276" w:lineRule="auto"/>
        <w:ind w:firstLine="709"/>
        <w:jc w:val="both"/>
        <w:rPr>
          <w:rFonts w:ascii="Century Gothic" w:hAnsi="Century Gothic" w:eastAsia="Calibri" w:cs="Arial"/>
          <w:bCs/>
          <w:lang w:val="es-ES_tradnl"/>
        </w:rPr>
      </w:pPr>
      <w:r w:rsidRPr="005F1FB7">
        <w:rPr>
          <w:rFonts w:ascii="Century Gothic" w:hAnsi="Century Gothic" w:eastAsia="Calibri" w:cs="Arial"/>
          <w:bCs/>
          <w:lang w:val="es-ES_tradnl"/>
        </w:rPr>
        <w:t xml:space="preserve">De otro lado, los </w:t>
      </w:r>
      <w:r w:rsidRPr="005F1FB7">
        <w:rPr>
          <w:rFonts w:ascii="Century Gothic" w:hAnsi="Century Gothic" w:eastAsia="Calibri" w:cs="Arial"/>
          <w:bCs/>
          <w:i/>
          <w:lang w:val="es-ES_tradnl"/>
        </w:rPr>
        <w:t>convenios de asociación</w:t>
      </w:r>
      <w:r w:rsidRPr="005F1FB7">
        <w:rPr>
          <w:rFonts w:ascii="Century Gothic" w:hAnsi="Century Gothic" w:eastAsia="Calibri" w:cs="Arial"/>
          <w:bCs/>
          <w:lang w:val="es-ES_tradnl"/>
        </w:rPr>
        <w:t xml:space="preserve"> “[t]</w:t>
      </w:r>
      <w:proofErr w:type="spellStart"/>
      <w:r w:rsidRPr="005F1FB7">
        <w:rPr>
          <w:rFonts w:ascii="Century Gothic" w:hAnsi="Century Gothic" w:eastAsia="Calibri" w:cs="Arial"/>
          <w:bCs/>
          <w:lang w:val="es-ES_tradnl"/>
        </w:rPr>
        <w:t>ienen</w:t>
      </w:r>
      <w:proofErr w:type="spellEnd"/>
      <w:r w:rsidRPr="005F1FB7">
        <w:rPr>
          <w:rFonts w:ascii="Century Gothic" w:hAnsi="Century Gothic" w:eastAsia="Calibri"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F1FB7">
        <w:rPr>
          <w:rStyle w:val="Refdenotaalpie"/>
          <w:rFonts w:ascii="Century Gothic" w:hAnsi="Century Gothic" w:cs="Arial"/>
        </w:rPr>
        <w:footnoteReference w:id="7"/>
      </w:r>
      <w:r w:rsidRPr="005F1FB7">
        <w:rPr>
          <w:rFonts w:ascii="Century Gothic" w:hAnsi="Century Gothic" w:eastAsia="Calibri" w:cs="Arial"/>
          <w:bCs/>
          <w:lang w:val="es-ES_tradnl"/>
        </w:rPr>
        <w:t xml:space="preserve">. En estos convenios existen aportes dirigidos, </w:t>
      </w:r>
      <w:r w:rsidRPr="005F1FB7">
        <w:rPr>
          <w:rFonts w:ascii="Century Gothic" w:hAnsi="Century Gothic" w:eastAsia="Calibri" w:cs="Arial"/>
          <w:bCs/>
          <w:lang w:val="es-ES_tradnl"/>
        </w:rPr>
        <w:t>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5F1FB7">
        <w:rPr>
          <w:rStyle w:val="Refdenotaalpie"/>
          <w:rFonts w:ascii="Century Gothic" w:hAnsi="Century Gothic" w:cs="Arial"/>
        </w:rPr>
        <w:footnoteReference w:id="8"/>
      </w:r>
      <w:r w:rsidRPr="005F1FB7">
        <w:rPr>
          <w:rFonts w:ascii="Century Gothic" w:hAnsi="Century Gothic" w:eastAsia="Calibri" w:cs="Arial"/>
          <w:bCs/>
          <w:lang w:val="es-ES_tradnl"/>
        </w:rPr>
        <w:t>.</w:t>
      </w:r>
    </w:p>
    <w:p w:rsidRPr="005F1FB7" w:rsidR="00A73FF4" w:rsidP="00A73FF4" w:rsidRDefault="00A73FF4" w14:paraId="02EF253B" w14:textId="77777777">
      <w:pPr>
        <w:spacing w:before="120" w:after="120" w:line="276" w:lineRule="auto"/>
        <w:ind w:firstLine="709"/>
        <w:jc w:val="both"/>
        <w:rPr>
          <w:rFonts w:ascii="Century Gothic" w:hAnsi="Century Gothic" w:eastAsia="Calibri" w:cs="Arial"/>
          <w:bCs/>
        </w:rPr>
      </w:pPr>
      <w:r w:rsidRPr="005F1FB7">
        <w:rPr>
          <w:rFonts w:ascii="Century Gothic" w:hAnsi="Century Gothic" w:eastAsia="Calibri" w:cs="Arial"/>
          <w:bCs/>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5F1FB7">
        <w:rPr>
          <w:rFonts w:ascii="Century Gothic" w:hAnsi="Century Gothic" w:eastAsia="Calibri" w:cs="Arial"/>
          <w:bC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w:t>
      </w:r>
      <w:proofErr w:type="gramStart"/>
      <w:r w:rsidRPr="005F1FB7">
        <w:rPr>
          <w:rFonts w:ascii="Century Gothic" w:hAnsi="Century Gothic" w:eastAsia="Calibri" w:cs="Arial"/>
          <w:bCs/>
        </w:rPr>
        <w:t>que</w:t>
      </w:r>
      <w:proofErr w:type="gramEnd"/>
      <w:r w:rsidRPr="005F1FB7">
        <w:rPr>
          <w:rFonts w:ascii="Century Gothic" w:hAnsi="Century Gothic" w:eastAsia="Calibri" w:cs="Arial"/>
          <w:bCs/>
        </w:rPr>
        <w:t xml:space="preserv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Pr="005F1FB7" w:rsidR="00A73FF4" w:rsidP="00A73FF4" w:rsidRDefault="00A73FF4" w14:paraId="2B7409C6" w14:textId="77777777">
      <w:pPr>
        <w:spacing w:before="120" w:after="120" w:line="276" w:lineRule="auto"/>
        <w:ind w:firstLine="709"/>
        <w:jc w:val="both"/>
        <w:rPr>
          <w:rFonts w:ascii="Century Gothic" w:hAnsi="Century Gothic"/>
        </w:rPr>
      </w:pPr>
      <w:r w:rsidRPr="005F1FB7">
        <w:rPr>
          <w:rFonts w:ascii="Century Gothic" w:hAnsi="Century Gothic" w:cs="Arial"/>
          <w:color w:val="000000" w:themeColor="text1"/>
        </w:rPr>
        <w:t xml:space="preserve">La noción “seleccionar de forma objetiva”, contenida en la disposición </w:t>
      </w:r>
      <w:r w:rsidRPr="005F1FB7">
        <w:rPr>
          <w:rFonts w:ascii="Century Gothic" w:hAnsi="Century Gothic" w:cs="Arial"/>
          <w:i/>
          <w:iCs/>
          <w:color w:val="000000" w:themeColor="text1"/>
        </w:rPr>
        <w:t xml:space="preserve">sub examine </w:t>
      </w:r>
      <w:r w:rsidRPr="005F1FB7">
        <w:rPr>
          <w:rFonts w:ascii="Century Gothic" w:hAnsi="Century Gothic" w:cs="Arial"/>
          <w:color w:val="000000" w:themeColor="text1"/>
        </w:rPr>
        <w:t xml:space="preserve">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w:t>
      </w:r>
      <w:r w:rsidRPr="005F1FB7">
        <w:rPr>
          <w:rFonts w:ascii="Century Gothic" w:hAnsi="Century Gothic" w:cs="Arial"/>
          <w:color w:val="000000" w:themeColor="text1"/>
        </w:rPr>
        <w:t>de contratistas que establece el Estatuto General de Contratación de la Administración Pública o, incluso, al trámite que regula el inciso 2 del artículo 2 del Decreto 092 de 2017.</w:t>
      </w:r>
    </w:p>
    <w:p w:rsidRPr="005F1FB7" w:rsidR="00A73FF4" w:rsidP="00A73FF4" w:rsidRDefault="00A73FF4" w14:paraId="1DA7B365" w14:textId="77777777">
      <w:pPr>
        <w:pStyle w:val="Sinespaciado"/>
        <w:spacing w:line="276" w:lineRule="auto"/>
        <w:ind w:firstLine="708"/>
        <w:jc w:val="both"/>
        <w:rPr>
          <w:rFonts w:ascii="Century Gothic" w:hAnsi="Century Gothic" w:cs="Arial"/>
          <w:color w:val="000000" w:themeColor="text1"/>
          <w:sz w:val="22"/>
        </w:rPr>
      </w:pPr>
      <w:r w:rsidRPr="005F1FB7">
        <w:rPr>
          <w:rFonts w:ascii="Century Gothic" w:hAnsi="Century Gothic" w:cs="Arial"/>
          <w:color w:val="000000" w:themeColor="text1"/>
          <w:sz w:val="22"/>
        </w:rPr>
        <w:t xml:space="preserve">Es importante aclarar que los negocios jurídicos que regula el Decreto 092 de 2017 “[…] son esencialmente distintos a los contratos para la adquisición y aprovisionamiento de bienes, obras o servicios regulados por el estatuto de contratación </w:t>
      </w:r>
      <w:proofErr w:type="gramStart"/>
      <w:r w:rsidRPr="005F1FB7">
        <w:rPr>
          <w:rFonts w:ascii="Century Gothic" w:hAnsi="Century Gothic" w:cs="Arial"/>
          <w:color w:val="000000" w:themeColor="text1"/>
          <w:sz w:val="22"/>
        </w:rPr>
        <w:t>y[</w:t>
      </w:r>
      <w:proofErr w:type="gramEnd"/>
      <w:r w:rsidRPr="005F1FB7">
        <w:rPr>
          <w:rFonts w:ascii="Century Gothic" w:hAnsi="Century Gothic" w:cs="Arial"/>
          <w:color w:val="000000" w:themeColor="text1"/>
          <w:sz w:val="22"/>
        </w:rPr>
        <w:t>,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5F1FB7">
        <w:rPr>
          <w:rStyle w:val="Refdenotaalpie"/>
          <w:rFonts w:ascii="Century Gothic" w:hAnsi="Century Gothic" w:cs="Arial"/>
          <w:color w:val="000000" w:themeColor="text1"/>
          <w:sz w:val="22"/>
        </w:rPr>
        <w:footnoteReference w:id="9"/>
      </w:r>
      <w:r w:rsidRPr="005F1FB7">
        <w:rPr>
          <w:rFonts w:ascii="Century Gothic" w:hAnsi="Century Gothic" w:cs="Arial"/>
          <w:color w:val="000000" w:themeColor="text1"/>
          <w:sz w:val="22"/>
        </w:rPr>
        <w:t>. Así lo consideró la Sala de Consulta y Servicio Civil del Consejo de Estado:</w:t>
      </w:r>
    </w:p>
    <w:p w:rsidRPr="005F1FB7" w:rsidR="00A73FF4" w:rsidP="00A73FF4" w:rsidRDefault="00A73FF4" w14:paraId="4599F897" w14:textId="77777777">
      <w:pPr>
        <w:pStyle w:val="Sinespaciado"/>
        <w:spacing w:line="276" w:lineRule="auto"/>
        <w:jc w:val="both"/>
        <w:rPr>
          <w:rFonts w:ascii="Century Gothic" w:hAnsi="Century Gothic" w:cs="Arial"/>
          <w:color w:val="000000" w:themeColor="text1"/>
          <w:sz w:val="22"/>
        </w:rPr>
      </w:pPr>
    </w:p>
    <w:p w:rsidRPr="005F1FB7" w:rsidR="00A73FF4" w:rsidP="00A73FF4" w:rsidRDefault="00A73FF4" w14:paraId="3EE29CF6" w14:textId="77777777">
      <w:pPr>
        <w:spacing w:line="240" w:lineRule="auto"/>
        <w:ind w:left="709" w:right="709"/>
        <w:jc w:val="both"/>
        <w:rPr>
          <w:rFonts w:ascii="Century Gothic" w:hAnsi="Century Gothic" w:eastAsia="Calibri" w:cs="Arial"/>
          <w:color w:val="000000" w:themeColor="text1"/>
          <w:sz w:val="21"/>
          <w:szCs w:val="21"/>
        </w:rPr>
      </w:pPr>
      <w:r w:rsidRPr="005F1FB7">
        <w:rPr>
          <w:rFonts w:ascii="Century Gothic" w:hAnsi="Century Gothic" w:eastAsia="Calibri"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rsidRPr="005F1FB7" w:rsidR="00A73FF4" w:rsidP="00A73FF4" w:rsidRDefault="00A73FF4" w14:paraId="16AC569F" w14:textId="77777777">
      <w:pPr>
        <w:spacing w:after="0" w:line="240" w:lineRule="auto"/>
        <w:ind w:left="708" w:right="709"/>
        <w:jc w:val="both"/>
        <w:rPr>
          <w:rFonts w:ascii="Century Gothic" w:hAnsi="Century Gothic" w:eastAsia="Calibri" w:cs="Arial"/>
          <w:color w:val="000000" w:themeColor="text1"/>
          <w:sz w:val="21"/>
          <w:szCs w:val="21"/>
        </w:rPr>
      </w:pPr>
      <w:r w:rsidRPr="005F1FB7">
        <w:rPr>
          <w:rFonts w:ascii="Century Gothic" w:hAnsi="Century Gothic" w:eastAsia="Calibri" w:cs="Arial"/>
          <w:color w:val="000000" w:themeColor="text1"/>
          <w:sz w:val="21"/>
          <w:szCs w:val="21"/>
        </w:rPr>
        <w:t>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sería por ejemplo, contratos de prestación de servicios o de obra pública</w:t>
      </w:r>
      <w:r w:rsidRPr="005F1FB7">
        <w:rPr>
          <w:rStyle w:val="Refdenotaalpie"/>
          <w:rFonts w:ascii="Century Gothic" w:hAnsi="Century Gothic" w:cs="Arial"/>
          <w:color w:val="000000" w:themeColor="text1"/>
        </w:rPr>
        <w:footnoteReference w:id="10"/>
      </w:r>
      <w:r w:rsidRPr="005F1FB7">
        <w:rPr>
          <w:rFonts w:ascii="Century Gothic" w:hAnsi="Century Gothic" w:eastAsia="Calibri" w:cs="Arial"/>
          <w:color w:val="000000" w:themeColor="text1"/>
          <w:sz w:val="21"/>
          <w:szCs w:val="21"/>
        </w:rPr>
        <w:t>.</w:t>
      </w:r>
    </w:p>
    <w:p w:rsidRPr="005F1FB7" w:rsidR="00A73FF4" w:rsidP="00A73FF4" w:rsidRDefault="00A73FF4" w14:paraId="6C83CFA6" w14:textId="77777777">
      <w:pPr>
        <w:spacing w:after="0" w:line="276" w:lineRule="auto"/>
        <w:ind w:firstLine="708"/>
        <w:jc w:val="both"/>
        <w:rPr>
          <w:rFonts w:ascii="Century Gothic" w:hAnsi="Century Gothic" w:eastAsia="Calibri" w:cs="Arial"/>
          <w:color w:val="000000" w:themeColor="text1"/>
        </w:rPr>
      </w:pPr>
      <w:bookmarkStart w:name="_Hlk95756200" w:id="7"/>
    </w:p>
    <w:p w:rsidRPr="005F1FB7" w:rsidR="00A73FF4" w:rsidP="00A73FF4" w:rsidRDefault="00A73FF4" w14:paraId="17C214DC" w14:textId="77777777">
      <w:pPr>
        <w:spacing w:after="0" w:line="276" w:lineRule="auto"/>
        <w:ind w:firstLine="708"/>
        <w:jc w:val="both"/>
        <w:rPr>
          <w:rFonts w:ascii="Century Gothic" w:hAnsi="Century Gothic" w:eastAsia="Calibri" w:cs="Arial"/>
          <w:color w:val="000000" w:themeColor="text1"/>
        </w:rPr>
      </w:pPr>
      <w:r w:rsidRPr="005F1FB7">
        <w:rPr>
          <w:rFonts w:ascii="Century Gothic" w:hAnsi="Century Gothic" w:eastAsia="Calibri" w:cs="Arial"/>
          <w:color w:val="000000" w:themeColor="text1"/>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w:t>
      </w:r>
      <w:r w:rsidRPr="005F1FB7">
        <w:rPr>
          <w:rFonts w:ascii="Century Gothic" w:hAnsi="Century Gothic" w:eastAsia="Calibri" w:cs="Arial"/>
          <w:color w:val="000000" w:themeColor="text1"/>
        </w:rPr>
        <w:t xml:space="preserve">contrato o convenio que la entidad pretende adelantar. Por tanto, el hecho de que se trate de una entidad sin ánimo de lucro no implica que necesariamente deba celebrarse un contrato de colaboración o un convenio de asociación. </w:t>
      </w:r>
      <w:bookmarkEnd w:id="7"/>
      <w:r w:rsidRPr="005F1FB7">
        <w:rPr>
          <w:rFonts w:ascii="Century Gothic" w:hAnsi="Century Gothic" w:eastAsia="Calibri" w:cs="Arial"/>
          <w:color w:val="000000" w:themeColor="text1"/>
        </w:rPr>
        <w:t>Así lo reconoció la Corte Constitucional en la sentencia C-287 del 18 de abril de 2012, en la que sostuvo lo siguiente:</w:t>
      </w:r>
    </w:p>
    <w:p w:rsidRPr="005F1FB7" w:rsidR="00A73FF4" w:rsidP="00A73FF4" w:rsidRDefault="00A73FF4" w14:paraId="0BA6F1A6" w14:textId="77777777">
      <w:pPr>
        <w:spacing w:after="0" w:line="276" w:lineRule="auto"/>
        <w:ind w:firstLine="708"/>
        <w:jc w:val="both"/>
        <w:rPr>
          <w:rFonts w:ascii="Century Gothic" w:hAnsi="Century Gothic" w:eastAsia="Calibri" w:cs="Arial"/>
          <w:color w:val="000000" w:themeColor="text1"/>
        </w:rPr>
      </w:pPr>
    </w:p>
    <w:p w:rsidRPr="005F1FB7" w:rsidR="00A73FF4" w:rsidP="00A73FF4" w:rsidRDefault="00A73FF4" w14:paraId="1E9129D9" w14:textId="77777777">
      <w:pPr>
        <w:spacing w:line="240" w:lineRule="auto"/>
        <w:ind w:left="709" w:right="709"/>
        <w:jc w:val="both"/>
        <w:rPr>
          <w:rFonts w:ascii="Century Gothic" w:hAnsi="Century Gothic" w:eastAsia="Calibri" w:cs="Arial"/>
          <w:color w:val="000000" w:themeColor="text1"/>
          <w:sz w:val="21"/>
          <w:szCs w:val="21"/>
        </w:rPr>
      </w:pPr>
      <w:r w:rsidRPr="005F1FB7">
        <w:rPr>
          <w:rFonts w:ascii="Century Gothic" w:hAnsi="Century Gothic" w:eastAsia="Calibri"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rsidRPr="005F1FB7" w:rsidR="00A73FF4" w:rsidP="00A73FF4" w:rsidRDefault="00A73FF4" w14:paraId="41FF3AAE" w14:textId="77777777">
      <w:pPr>
        <w:spacing w:after="0" w:line="240" w:lineRule="auto"/>
        <w:ind w:left="709" w:right="709"/>
        <w:jc w:val="both"/>
        <w:rPr>
          <w:rFonts w:ascii="Century Gothic" w:hAnsi="Century Gothic" w:eastAsia="Calibri" w:cs="Arial"/>
          <w:color w:val="000000" w:themeColor="text1"/>
          <w:sz w:val="21"/>
          <w:szCs w:val="21"/>
        </w:rPr>
      </w:pPr>
      <w:r w:rsidRPr="005F1FB7">
        <w:rPr>
          <w:rFonts w:ascii="Century Gothic" w:hAnsi="Century Gothic" w:eastAsia="Calibri" w:cs="Arial"/>
          <w:i/>
          <w:iCs/>
          <w:color w:val="000000" w:themeColor="text1"/>
          <w:sz w:val="21"/>
          <w:szCs w:val="21"/>
        </w:rPr>
        <w:t xml:space="preserve">Sin embargo, el hecho que no persigan una finalidad </w:t>
      </w:r>
      <w:proofErr w:type="gramStart"/>
      <w:r w:rsidRPr="005F1FB7">
        <w:rPr>
          <w:rFonts w:ascii="Century Gothic" w:hAnsi="Century Gothic" w:eastAsia="Calibri" w:cs="Arial"/>
          <w:i/>
          <w:iCs/>
          <w:color w:val="000000" w:themeColor="text1"/>
          <w:sz w:val="21"/>
          <w:szCs w:val="21"/>
        </w:rPr>
        <w:t>lucrativa,</w:t>
      </w:r>
      <w:proofErr w:type="gramEnd"/>
      <w:r w:rsidRPr="005F1FB7">
        <w:rPr>
          <w:rFonts w:ascii="Century Gothic" w:hAnsi="Century Gothic" w:eastAsia="Calibri"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5F1FB7">
        <w:rPr>
          <w:rFonts w:ascii="Century Gothic" w:hAnsi="Century Gothic" w:eastAsia="Calibri"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5F1FB7">
        <w:rPr>
          <w:rFonts w:ascii="Century Gothic" w:hAnsi="Century Gothic" w:eastAsia="Calibri" w:cs="Arial"/>
          <w:color w:val="000000" w:themeColor="text1"/>
          <w:sz w:val="21"/>
          <w:szCs w:val="21"/>
        </w:rPr>
        <w:t>del mismo</w:t>
      </w:r>
      <w:proofErr w:type="gramEnd"/>
      <w:r w:rsidRPr="005F1FB7">
        <w:rPr>
          <w:rFonts w:ascii="Century Gothic" w:hAnsi="Century Gothic" w:eastAsia="Calibri" w:cs="Arial"/>
          <w:color w:val="000000" w:themeColor="text1"/>
          <w:sz w:val="21"/>
          <w:szCs w:val="21"/>
        </w:rPr>
        <w:t xml:space="preserve"> en el momento de su disolución o liquidación. (Cursivas propias)</w:t>
      </w:r>
    </w:p>
    <w:p w:rsidRPr="005F1FB7" w:rsidR="00A73FF4" w:rsidP="00A73FF4" w:rsidRDefault="00A73FF4" w14:paraId="777AFEAC" w14:textId="77777777">
      <w:pPr>
        <w:spacing w:after="0" w:line="276" w:lineRule="auto"/>
        <w:ind w:firstLine="709"/>
        <w:jc w:val="both"/>
        <w:rPr>
          <w:rFonts w:ascii="Century Gothic" w:hAnsi="Century Gothic" w:eastAsia="Calibri" w:cs="Arial"/>
          <w:color w:val="000000" w:themeColor="text1"/>
        </w:rPr>
      </w:pPr>
    </w:p>
    <w:p w:rsidRPr="005F1FB7" w:rsidR="00A73FF4" w:rsidP="00A73FF4" w:rsidRDefault="00A73FF4" w14:paraId="4489080B" w14:textId="77777777">
      <w:pPr>
        <w:spacing w:line="276" w:lineRule="auto"/>
        <w:ind w:firstLine="709"/>
        <w:jc w:val="both"/>
        <w:rPr>
          <w:rFonts w:ascii="Century Gothic" w:hAnsi="Century Gothic" w:eastAsia="Calibri" w:cs="Arial"/>
          <w:color w:val="000000" w:themeColor="text1"/>
        </w:rPr>
      </w:pPr>
      <w:r w:rsidRPr="005F1FB7">
        <w:rPr>
          <w:rFonts w:ascii="Century Gothic" w:hAnsi="Century Gothic" w:eastAsia="Calibri" w:cs="Arial"/>
          <w:color w:val="000000" w:themeColor="text1"/>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rsidRPr="005F1FB7" w:rsidR="00A73FF4" w:rsidP="00A73FF4" w:rsidRDefault="00A73FF4" w14:paraId="580655B4" w14:textId="77777777">
      <w:pPr>
        <w:spacing w:before="120" w:line="276" w:lineRule="auto"/>
        <w:ind w:firstLine="708"/>
        <w:jc w:val="both"/>
        <w:rPr>
          <w:rFonts w:ascii="Century Gothic" w:hAnsi="Century Gothic" w:cs="Arial"/>
          <w:color w:val="000000" w:themeColor="text1"/>
        </w:rPr>
      </w:pPr>
      <w:r w:rsidRPr="005F1FB7">
        <w:rPr>
          <w:rFonts w:ascii="Century Gothic" w:hAnsi="Century Gothic" w:cs="Arial"/>
          <w:color w:val="000000" w:themeColor="text1"/>
        </w:rPr>
        <w:t xml:space="preserve">Aunque el artículo 96 de la Ley 489 de 1998 se refiere genéricamente a la noción “personas jurídicas particulares”, lo cierto es que los </w:t>
      </w:r>
      <w:r w:rsidRPr="005F1FB7">
        <w:rPr>
          <w:rFonts w:ascii="Century Gothic" w:hAnsi="Century Gothic" w:cs="Arial"/>
          <w:i/>
          <w:iCs/>
          <w:color w:val="000000" w:themeColor="text1"/>
        </w:rPr>
        <w:t xml:space="preserve">convenios de asociación </w:t>
      </w:r>
      <w:r w:rsidRPr="005F1FB7">
        <w:rPr>
          <w:rFonts w:ascii="Century Gothic" w:hAnsi="Century Gothic" w:cs="Arial"/>
          <w:color w:val="000000" w:themeColor="text1"/>
        </w:rPr>
        <w:t xml:space="preserve">que regula esa norma únicamente pueden celebrarse con ESAL. Esto </w:t>
      </w:r>
      <w:r w:rsidRPr="005F1FB7">
        <w:rPr>
          <w:rFonts w:ascii="Century Gothic" w:hAnsi="Century Gothic" w:cs="Arial"/>
          <w:color w:val="000000" w:themeColor="text1"/>
        </w:rPr>
        <w:t xml:space="preserve">es así porque el inciso segundo de la misma disposición establece que tales convenios “se celebrarán de conformidad con lo dispuesto en el artículo 355 de la Constitución Política”, norma que le permite al “Gobierno, en los niveles nacional, departamental, distrital y municipal podrá, con recursos de los respectivos presupuestos, celebrar contratos </w:t>
      </w:r>
      <w:r w:rsidRPr="005F1FB7">
        <w:rPr>
          <w:rFonts w:ascii="Century Gothic" w:hAnsi="Century Gothic" w:cs="Arial"/>
          <w:i/>
          <w:iCs/>
          <w:color w:val="000000" w:themeColor="text1"/>
        </w:rPr>
        <w:t>con entidades privadas sin ánimo de lucro y de reconocida idoneidad</w:t>
      </w:r>
      <w:r w:rsidRPr="005F1FB7">
        <w:rPr>
          <w:rFonts w:ascii="Century Gothic" w:hAnsi="Century Gothic" w:cs="Arial"/>
          <w:color w:val="000000" w:themeColor="text1"/>
        </w:rPr>
        <w:t xml:space="preserve"> con el fin de impulsar programas y actividades de interés público acordes con el Plan Nacional y los planes seccionales de Desarrollo” (Énfasis fuera de texto). Es de resaltar que el artículo 355 de la Constitución fue desarrollado por el Decreto 92 de 2017, cuyo artículo 5 señala concretamente que los negocios jurídicos se deben celebrar únicamente con las ESAL.</w:t>
      </w:r>
    </w:p>
    <w:p w:rsidRPr="005F1FB7" w:rsidR="00A73FF4" w:rsidP="00A73FF4" w:rsidRDefault="00A73FF4" w14:paraId="0612ADB7" w14:textId="77777777">
      <w:pPr>
        <w:tabs>
          <w:tab w:val="left" w:pos="0"/>
        </w:tabs>
        <w:spacing w:before="120" w:after="0" w:line="276" w:lineRule="auto"/>
        <w:ind w:firstLine="709"/>
        <w:jc w:val="both"/>
        <w:rPr>
          <w:rFonts w:ascii="Century Gothic" w:hAnsi="Century Gothic" w:eastAsia="Calibri" w:cs="Arial"/>
          <w:bCs/>
          <w:color w:val="000000" w:themeColor="text1"/>
          <w:lang w:val="es-ES_tradnl"/>
        </w:rPr>
      </w:pPr>
      <w:r w:rsidRPr="005F1FB7">
        <w:rPr>
          <w:rFonts w:ascii="Century Gothic" w:hAnsi="Century Gothic" w:eastAsia="Calibri" w:cs="Arial"/>
          <w:bCs/>
          <w:color w:val="000000" w:themeColor="text1"/>
          <w:lang w:val="es-ES_tradnl"/>
        </w:rPr>
        <w:t>En relación con las empresas prestadoras de servicios públicos domiciliarios, conviene señalar, acorde con lo expresado por la Corte Constitucional en la Sentencia C-736 de 2007</w:t>
      </w:r>
      <w:r w:rsidRPr="005F1FB7">
        <w:rPr>
          <w:rStyle w:val="Refdenotaalpie"/>
          <w:rFonts w:ascii="Century Gothic" w:hAnsi="Century Gothic" w:eastAsia="Calibri" w:cs="Arial"/>
          <w:bCs/>
          <w:color w:val="000000" w:themeColor="text1"/>
          <w:lang w:val="es-ES_tradnl"/>
        </w:rPr>
        <w:footnoteReference w:id="11"/>
      </w:r>
      <w:r w:rsidRPr="005F1FB7">
        <w:rPr>
          <w:rFonts w:ascii="Century Gothic" w:hAnsi="Century Gothic" w:eastAsia="Calibri" w:cs="Arial"/>
          <w:bCs/>
          <w:color w:val="000000" w:themeColor="text1"/>
          <w:lang w:val="es-ES_tradnl"/>
        </w:rPr>
        <w:t xml:space="preserve">, que aquellas son entidades descentralizadas por servicios, independientemente de la naturaleza y porcentaje de su capital. En otras palabras, aunque el artículo 14 de la Ley 142 de 1994 establece que las empresas prestadoras de servicios públicos domiciliarios pueden ser </w:t>
      </w:r>
      <w:r w:rsidRPr="005F1FB7">
        <w:rPr>
          <w:rFonts w:ascii="Century Gothic" w:hAnsi="Century Gothic" w:eastAsia="Calibri" w:cs="Arial"/>
          <w:bCs/>
          <w:i/>
          <w:iCs/>
          <w:color w:val="000000" w:themeColor="text1"/>
          <w:lang w:val="es-ES_tradnl"/>
        </w:rPr>
        <w:t>oficiales</w:t>
      </w:r>
      <w:r w:rsidRPr="005F1FB7">
        <w:rPr>
          <w:rFonts w:ascii="Century Gothic" w:hAnsi="Century Gothic" w:eastAsia="Calibri" w:cs="Arial"/>
          <w:bCs/>
          <w:color w:val="000000" w:themeColor="text1"/>
          <w:lang w:val="es-ES_tradnl"/>
        </w:rPr>
        <w:t xml:space="preserve">, </w:t>
      </w:r>
      <w:r w:rsidRPr="005F1FB7">
        <w:rPr>
          <w:rFonts w:ascii="Century Gothic" w:hAnsi="Century Gothic" w:eastAsia="Calibri" w:cs="Arial"/>
          <w:bCs/>
          <w:i/>
          <w:iCs/>
          <w:color w:val="000000" w:themeColor="text1"/>
          <w:lang w:val="es-ES_tradnl"/>
        </w:rPr>
        <w:t>mixtas</w:t>
      </w:r>
      <w:r w:rsidRPr="005F1FB7">
        <w:rPr>
          <w:rFonts w:ascii="Century Gothic" w:hAnsi="Century Gothic" w:eastAsia="Calibri" w:cs="Arial"/>
          <w:bCs/>
          <w:color w:val="000000" w:themeColor="text1"/>
          <w:lang w:val="es-ES_tradnl"/>
        </w:rPr>
        <w:t xml:space="preserve"> o </w:t>
      </w:r>
      <w:r w:rsidRPr="005F1FB7">
        <w:rPr>
          <w:rFonts w:ascii="Century Gothic" w:hAnsi="Century Gothic" w:eastAsia="Calibri" w:cs="Arial"/>
          <w:bCs/>
          <w:i/>
          <w:iCs/>
          <w:color w:val="000000" w:themeColor="text1"/>
          <w:lang w:val="es-ES_tradnl"/>
        </w:rPr>
        <w:t>privadas</w:t>
      </w:r>
      <w:r w:rsidRPr="005F1FB7">
        <w:rPr>
          <w:rStyle w:val="Refdenotaalpie"/>
          <w:rFonts w:ascii="Century Gothic" w:hAnsi="Century Gothic" w:eastAsia="Calibri" w:cs="Arial"/>
          <w:bCs/>
          <w:color w:val="000000" w:themeColor="text1"/>
          <w:lang w:val="es-ES_tradnl"/>
        </w:rPr>
        <w:footnoteReference w:id="12"/>
      </w:r>
      <w:r w:rsidRPr="005F1FB7">
        <w:rPr>
          <w:rFonts w:ascii="Century Gothic" w:hAnsi="Century Gothic" w:eastAsia="Calibri" w:cs="Arial"/>
          <w:bCs/>
          <w:color w:val="000000" w:themeColor="text1"/>
          <w:lang w:val="es-ES_tradnl"/>
        </w:rPr>
        <w:t xml:space="preserve">, estas tres especies ingresan en la categoría de las </w:t>
      </w:r>
      <w:r w:rsidRPr="005F1FB7">
        <w:rPr>
          <w:rFonts w:ascii="Century Gothic" w:hAnsi="Century Gothic" w:eastAsia="Calibri" w:cs="Arial"/>
          <w:bCs/>
          <w:i/>
          <w:iCs/>
          <w:color w:val="000000" w:themeColor="text1"/>
          <w:lang w:val="es-ES_tradnl"/>
        </w:rPr>
        <w:t>entidades descentralizadas por servicios</w:t>
      </w:r>
      <w:r w:rsidRPr="005F1FB7">
        <w:rPr>
          <w:rFonts w:ascii="Century Gothic" w:hAnsi="Century Gothic" w:eastAsia="Calibri" w:cs="Arial"/>
          <w:bCs/>
          <w:color w:val="000000" w:themeColor="text1"/>
          <w:lang w:val="es-ES_tradnl"/>
        </w:rPr>
        <w:t xml:space="preserve">. Adicionalmente, debe recordarse que en dicha Sentencia el alto tribunal afirmó que las empresas prestadoras de servicios públicos domiciliarios </w:t>
      </w:r>
      <w:r w:rsidRPr="005F1FB7">
        <w:rPr>
          <w:rFonts w:ascii="Century Gothic" w:hAnsi="Century Gothic" w:eastAsia="Calibri" w:cs="Arial"/>
          <w:bCs/>
          <w:i/>
          <w:iCs/>
          <w:color w:val="000000" w:themeColor="text1"/>
          <w:lang w:val="es-ES_tradnl"/>
        </w:rPr>
        <w:t>mixtas y privadas</w:t>
      </w:r>
      <w:r w:rsidRPr="005F1FB7">
        <w:rPr>
          <w:rFonts w:ascii="Century Gothic" w:hAnsi="Century Gothic" w:eastAsia="Calibri" w:cs="Arial"/>
          <w:bCs/>
          <w:color w:val="000000" w:themeColor="text1"/>
          <w:lang w:val="es-ES_tradnl"/>
        </w:rPr>
        <w:t xml:space="preserve"> son tipos </w:t>
      </w:r>
      <w:r w:rsidRPr="005F1FB7">
        <w:rPr>
          <w:rFonts w:ascii="Century Gothic" w:hAnsi="Century Gothic" w:eastAsia="Calibri" w:cs="Arial"/>
          <w:bCs/>
          <w:i/>
          <w:iCs/>
          <w:color w:val="000000" w:themeColor="text1"/>
          <w:lang w:val="es-ES_tradnl"/>
        </w:rPr>
        <w:t>especiales</w:t>
      </w:r>
      <w:r w:rsidRPr="005F1FB7">
        <w:rPr>
          <w:rFonts w:ascii="Century Gothic" w:hAnsi="Century Gothic" w:eastAsia="Calibri" w:cs="Arial"/>
          <w:bCs/>
          <w:color w:val="000000" w:themeColor="text1"/>
          <w:lang w:val="es-ES_tradnl"/>
        </w:rPr>
        <w:t xml:space="preserve"> de entidades descentralizadas por servicios que, por tanto, no pueden encasillarse en las otras especies de entidades descentralizadas por servicios enlistadas en el artículo 38 de la Ley 489 de 1998, es decir, que no cabe considerarlas, verbigracia, dentro de las sociedades públicas ni en las sociedades de economía mixta. En efecto:</w:t>
      </w:r>
    </w:p>
    <w:p w:rsidRPr="005F1FB7" w:rsidR="00A73FF4" w:rsidP="00A73FF4" w:rsidRDefault="00A73FF4" w14:paraId="159EF85C" w14:textId="77777777">
      <w:pPr>
        <w:tabs>
          <w:tab w:val="left" w:pos="0"/>
        </w:tabs>
        <w:spacing w:after="0" w:line="276" w:lineRule="auto"/>
        <w:ind w:left="709" w:right="709"/>
        <w:jc w:val="both"/>
        <w:rPr>
          <w:rFonts w:ascii="Century Gothic" w:hAnsi="Century Gothic" w:eastAsia="Calibri" w:cs="Arial"/>
          <w:bCs/>
          <w:color w:val="000000" w:themeColor="text1"/>
          <w:sz w:val="21"/>
          <w:szCs w:val="21"/>
          <w:lang w:val="es-ES_tradnl"/>
        </w:rPr>
      </w:pPr>
    </w:p>
    <w:p w:rsidRPr="005F1FB7" w:rsidR="00A73FF4" w:rsidP="00A73FF4" w:rsidRDefault="00A73FF4" w14:paraId="0EAAA1B7" w14:textId="77777777">
      <w:pPr>
        <w:tabs>
          <w:tab w:val="left" w:pos="0"/>
        </w:tabs>
        <w:spacing w:after="0" w:line="240" w:lineRule="auto"/>
        <w:ind w:left="709" w:right="709"/>
        <w:jc w:val="both"/>
        <w:rPr>
          <w:rFonts w:ascii="Century Gothic" w:hAnsi="Century Gothic" w:eastAsia="Calibri" w:cs="Arial"/>
          <w:bCs/>
          <w:i/>
          <w:iCs/>
          <w:color w:val="000000" w:themeColor="text1"/>
          <w:sz w:val="21"/>
          <w:szCs w:val="21"/>
          <w:lang w:val="es-ES_tradnl"/>
        </w:rPr>
      </w:pPr>
      <w:r w:rsidRPr="005F1FB7">
        <w:rPr>
          <w:rFonts w:ascii="Century Gothic" w:hAnsi="Century Gothic" w:eastAsia="Calibri" w:cs="Arial"/>
          <w:bCs/>
          <w:color w:val="000000" w:themeColor="text1"/>
          <w:sz w:val="21"/>
          <w:szCs w:val="21"/>
          <w:lang w:val="es-ES_tradnl"/>
        </w:rPr>
        <w:t xml:space="preserve">[…] la Corte entiende que el constituyente quiso definir que las personas o entidades que asuman la prestación de los servicios públicos tendrán no sólo un régimen jurídico especial, </w:t>
      </w:r>
      <w:r w:rsidRPr="005F1FB7">
        <w:rPr>
          <w:rFonts w:ascii="Century Gothic" w:hAnsi="Century Gothic" w:eastAsia="Calibri" w:cs="Arial"/>
          <w:bCs/>
          <w:i/>
          <w:iCs/>
          <w:color w:val="000000" w:themeColor="text1"/>
          <w:sz w:val="21"/>
          <w:szCs w:val="21"/>
          <w:lang w:val="es-ES_tradnl"/>
        </w:rPr>
        <w:t>sino también una naturaleza jurídica especial</w:t>
      </w:r>
      <w:r w:rsidRPr="005F1FB7">
        <w:rPr>
          <w:rFonts w:ascii="Century Gothic" w:hAnsi="Century Gothic" w:eastAsia="Calibri" w:cs="Arial"/>
          <w:bCs/>
          <w:color w:val="000000" w:themeColor="text1"/>
          <w:sz w:val="21"/>
          <w:szCs w:val="21"/>
          <w:lang w:val="es-ES_tradnl"/>
        </w:rPr>
        <w:t xml:space="preserve">; esta particular naturaleza y reglamentación jurídica encuentra </w:t>
      </w:r>
      <w:r w:rsidRPr="005F1FB7">
        <w:rPr>
          <w:rFonts w:ascii="Century Gothic" w:hAnsi="Century Gothic" w:eastAsia="Calibri" w:cs="Arial"/>
          <w:bCs/>
          <w:color w:val="000000" w:themeColor="text1"/>
          <w:sz w:val="21"/>
          <w:szCs w:val="21"/>
          <w:lang w:val="es-ES_tradnl"/>
        </w:rPr>
        <w:t xml:space="preserve">su fundamento en la necesidad de hacer realidad la finalidad social que es definida por la misma Carta como objetivo de la adecuada prestación de los servicios públicos. De lo anterior se desprende que cuando el Estado asume directamente o participa con los particulares en dicho cometido, las entidades que surgen para esos efectos también se revisten de ese carácter especial y quedan sujetas a la reglamentación jurídica particularmente diseñada para la prestación adecuada de los servicios públicos. Otro tanto sucede cuando los particulares asumen la prestación de servicios públicos. </w:t>
      </w:r>
      <w:r w:rsidRPr="005F1FB7">
        <w:rPr>
          <w:rFonts w:ascii="Century Gothic" w:hAnsi="Century Gothic" w:eastAsia="Calibri" w:cs="Arial"/>
          <w:bCs/>
          <w:i/>
          <w:iCs/>
          <w:color w:val="000000" w:themeColor="text1"/>
          <w:sz w:val="21"/>
          <w:szCs w:val="21"/>
          <w:lang w:val="es-ES_tradnl"/>
        </w:rPr>
        <w:t>Así las cosas, las sociedades públicas, privadas o mixtas cuyo objeto social sea la prestación de los servicios en comento, antes que sociedades de economía mixta, sociedades entre entidades públicas o sociedades de carácter privado, vienen a ser entidades de naturaleza especial, para responder así a este interés constitucional de someter esta actividad de interés social a un régimen jurídico también especial.</w:t>
      </w:r>
    </w:p>
    <w:p w:rsidRPr="005F1FB7" w:rsidR="00A73FF4" w:rsidP="00A73FF4" w:rsidRDefault="00A73FF4" w14:paraId="430A971D" w14:textId="77777777">
      <w:pPr>
        <w:tabs>
          <w:tab w:val="left" w:pos="0"/>
        </w:tabs>
        <w:spacing w:after="120" w:line="240" w:lineRule="auto"/>
        <w:ind w:left="709" w:right="709"/>
        <w:jc w:val="both"/>
        <w:rPr>
          <w:rFonts w:ascii="Century Gothic" w:hAnsi="Century Gothic" w:eastAsia="Calibri" w:cs="Arial"/>
          <w:bCs/>
          <w:color w:val="000000" w:themeColor="text1"/>
          <w:sz w:val="21"/>
          <w:szCs w:val="21"/>
          <w:lang w:val="es-ES_tradnl"/>
        </w:rPr>
      </w:pPr>
      <w:r w:rsidRPr="005F1FB7">
        <w:rPr>
          <w:rFonts w:ascii="Century Gothic" w:hAnsi="Century Gothic" w:eastAsia="Calibri" w:cs="Arial"/>
          <w:bCs/>
          <w:color w:val="000000" w:themeColor="text1"/>
          <w:sz w:val="21"/>
          <w:szCs w:val="21"/>
          <w:lang w:val="es-ES_tradnl"/>
        </w:rPr>
        <w:t>[…]</w:t>
      </w:r>
    </w:p>
    <w:p w:rsidRPr="005F1FB7" w:rsidR="00A73FF4" w:rsidP="00A73FF4" w:rsidRDefault="00A73FF4" w14:paraId="0853FEC4" w14:textId="77777777">
      <w:pPr>
        <w:tabs>
          <w:tab w:val="left" w:pos="0"/>
        </w:tabs>
        <w:spacing w:after="0" w:line="240" w:lineRule="auto"/>
        <w:ind w:left="709" w:right="709"/>
        <w:jc w:val="both"/>
        <w:rPr>
          <w:rFonts w:ascii="Century Gothic" w:hAnsi="Century Gothic" w:eastAsia="Calibri" w:cs="Arial"/>
          <w:bCs/>
          <w:color w:val="000000" w:themeColor="text1"/>
          <w:sz w:val="21"/>
          <w:szCs w:val="21"/>
          <w:lang w:val="es-ES_tradnl"/>
        </w:rPr>
      </w:pPr>
      <w:r w:rsidRPr="005F1FB7">
        <w:rPr>
          <w:rFonts w:ascii="Century Gothic" w:hAnsi="Century Gothic" w:eastAsia="Calibri" w:cs="Arial"/>
          <w:bCs/>
          <w:color w:val="000000" w:themeColor="text1"/>
          <w:sz w:val="21"/>
          <w:szCs w:val="21"/>
          <w:lang w:val="es-ES_tradnl"/>
        </w:rPr>
        <w:t>[…]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Pr="005F1FB7">
        <w:rPr>
          <w:rStyle w:val="Refdenotaalpie"/>
          <w:rFonts w:ascii="Century Gothic" w:hAnsi="Century Gothic" w:eastAsia="Calibri" w:cs="Arial"/>
          <w:bCs/>
          <w:color w:val="000000" w:themeColor="text1"/>
          <w:sz w:val="21"/>
          <w:szCs w:val="21"/>
          <w:lang w:val="es-ES_tradnl"/>
        </w:rPr>
        <w:footnoteReference w:id="13"/>
      </w:r>
      <w:r w:rsidRPr="005F1FB7">
        <w:rPr>
          <w:rFonts w:ascii="Century Gothic" w:hAnsi="Century Gothic" w:eastAsia="Calibri" w:cs="Arial"/>
          <w:bCs/>
          <w:color w:val="000000" w:themeColor="text1"/>
          <w:sz w:val="21"/>
          <w:szCs w:val="21"/>
          <w:lang w:val="es-ES_tradnl"/>
        </w:rPr>
        <w:t>. (Énfasis fuera de texto).</w:t>
      </w:r>
    </w:p>
    <w:p w:rsidRPr="005F1FB7" w:rsidR="00A73FF4" w:rsidP="00A73FF4" w:rsidRDefault="00A73FF4" w14:paraId="196166C5" w14:textId="77777777">
      <w:pPr>
        <w:tabs>
          <w:tab w:val="left" w:pos="0"/>
        </w:tabs>
        <w:spacing w:after="0" w:line="276" w:lineRule="auto"/>
        <w:ind w:firstLine="709"/>
        <w:jc w:val="both"/>
        <w:rPr>
          <w:rFonts w:ascii="Century Gothic" w:hAnsi="Century Gothic" w:eastAsia="Calibri" w:cs="Arial"/>
          <w:bCs/>
          <w:color w:val="000000" w:themeColor="text1"/>
          <w:lang w:val="es-ES_tradnl"/>
        </w:rPr>
      </w:pPr>
    </w:p>
    <w:p w:rsidRPr="005F1FB7" w:rsidR="00A73FF4" w:rsidP="00A73FF4" w:rsidRDefault="00A73FF4" w14:paraId="48B04492" w14:textId="77777777">
      <w:pPr>
        <w:spacing w:after="0" w:line="276" w:lineRule="auto"/>
        <w:ind w:firstLine="709"/>
        <w:jc w:val="both"/>
        <w:rPr>
          <w:rFonts w:ascii="Century Gothic" w:hAnsi="Century Gothic" w:eastAsia="Calibri" w:cs="Arial"/>
          <w:bCs/>
          <w:color w:val="000000" w:themeColor="text1"/>
          <w:lang w:val="es-ES_tradnl"/>
        </w:rPr>
      </w:pPr>
      <w:r w:rsidRPr="005F1FB7">
        <w:rPr>
          <w:rFonts w:ascii="Century Gothic" w:hAnsi="Century Gothic" w:eastAsia="Calibri" w:cs="Arial"/>
          <w:bCs/>
          <w:color w:val="000000" w:themeColor="text1"/>
          <w:lang w:val="es-ES_tradnl"/>
        </w:rPr>
        <w:t xml:space="preserve">Sin perjuicio de lo anterior, el artículo 17 de la Ley 142 de 1994 establece que “Las entidades descentralizadas de cualquier orden territorial o nacional, cuyos propietarios no deseen que su capital esté representado en acciones, </w:t>
      </w:r>
      <w:r w:rsidRPr="005F1FB7">
        <w:rPr>
          <w:rFonts w:ascii="Century Gothic" w:hAnsi="Century Gothic" w:eastAsia="Calibri" w:cs="Arial"/>
          <w:bCs/>
          <w:i/>
          <w:iCs/>
          <w:color w:val="000000" w:themeColor="text1"/>
          <w:lang w:val="es-ES_tradnl"/>
        </w:rPr>
        <w:t>deberán adoptar la forma de empresa industrial y comercial del estado</w:t>
      </w:r>
      <w:r w:rsidRPr="005F1FB7">
        <w:rPr>
          <w:rFonts w:ascii="Century Gothic" w:hAnsi="Century Gothic" w:eastAsia="Calibri" w:cs="Arial"/>
          <w:bCs/>
          <w:color w:val="000000" w:themeColor="text1"/>
          <w:lang w:val="es-ES_tradnl"/>
        </w:rPr>
        <w:t xml:space="preserve">” (Énfasis fuera de texto). Es decir que en tal evento esa es la </w:t>
      </w:r>
      <w:r w:rsidRPr="005F1FB7">
        <w:rPr>
          <w:rFonts w:ascii="Century Gothic" w:hAnsi="Century Gothic" w:eastAsia="Calibri" w:cs="Arial"/>
          <w:bCs/>
          <w:i/>
          <w:iCs/>
          <w:color w:val="000000" w:themeColor="text1"/>
          <w:lang w:val="es-ES_tradnl"/>
        </w:rPr>
        <w:t>naturaleza</w:t>
      </w:r>
      <w:r w:rsidRPr="005F1FB7">
        <w:rPr>
          <w:rFonts w:ascii="Century Gothic" w:hAnsi="Century Gothic" w:eastAsia="Calibri" w:cs="Arial"/>
          <w:bCs/>
          <w:color w:val="000000" w:themeColor="text1"/>
          <w:lang w:val="es-ES_tradnl"/>
        </w:rPr>
        <w:t xml:space="preserve"> de la empresa de servicios públicos domiciliarios. Así lo reconoció la Corte Constitucional en un apartado del fallo que se viene comentando, pues “[…] el artículo 17 de la Ley en cita define así </w:t>
      </w:r>
      <w:r w:rsidRPr="005F1FB7">
        <w:rPr>
          <w:rFonts w:ascii="Century Gothic" w:hAnsi="Century Gothic" w:eastAsia="Calibri" w:cs="Arial"/>
          <w:bCs/>
          <w:i/>
          <w:iCs/>
          <w:color w:val="000000" w:themeColor="text1"/>
          <w:lang w:val="es-ES_tradnl"/>
        </w:rPr>
        <w:t>la naturaleza jurídica</w:t>
      </w:r>
      <w:r w:rsidRPr="005F1FB7">
        <w:rPr>
          <w:rFonts w:ascii="Century Gothic" w:hAnsi="Century Gothic" w:eastAsia="Calibri" w:cs="Arial"/>
          <w:bCs/>
          <w:color w:val="000000" w:themeColor="text1"/>
          <w:lang w:val="es-ES_tradnl"/>
        </w:rPr>
        <w:t xml:space="preserve"> de las empresas de servicios públicos” (Énfasis fuera de texto). El Consejo de Estado también ha considerado, interpretando el mismo artículo, que las empresas de servicios públicos domiciliarios pueden tener la </w:t>
      </w:r>
      <w:r w:rsidRPr="005F1FB7">
        <w:rPr>
          <w:rFonts w:ascii="Century Gothic" w:hAnsi="Century Gothic" w:eastAsia="Calibri" w:cs="Arial"/>
          <w:bCs/>
          <w:i/>
          <w:iCs/>
          <w:color w:val="000000" w:themeColor="text1"/>
          <w:lang w:val="es-ES_tradnl"/>
        </w:rPr>
        <w:t>forma</w:t>
      </w:r>
      <w:r w:rsidRPr="005F1FB7">
        <w:rPr>
          <w:rFonts w:ascii="Century Gothic" w:hAnsi="Century Gothic" w:eastAsia="Calibri" w:cs="Arial"/>
          <w:bCs/>
          <w:color w:val="000000" w:themeColor="text1"/>
          <w:lang w:val="es-ES_tradnl"/>
        </w:rPr>
        <w:t xml:space="preserve"> de empresas </w:t>
      </w:r>
      <w:r w:rsidRPr="005F1FB7">
        <w:rPr>
          <w:rFonts w:ascii="Century Gothic" w:hAnsi="Century Gothic" w:eastAsia="Calibri" w:cs="Arial"/>
          <w:bCs/>
          <w:color w:val="000000" w:themeColor="text1"/>
          <w:lang w:val="es-ES_tradnl"/>
        </w:rPr>
        <w:t xml:space="preserve">industriales y comerciales del Estado o de sociedades por acciones. Lo dijo, por ejemplo, para otorgarles a las empresas industriales y comerciales del Estado que prestaran servicios públicos domiciliarios el carácter de entidades públicas e indicar que, por tanto, eran sujetos pasivos de la contribución especial prevista en el artículo 6 de la Ley 1106 de 2006. En tal sentido, dicha corporación judicial indicó: </w:t>
      </w:r>
    </w:p>
    <w:p w:rsidRPr="005F1FB7" w:rsidR="00A73FF4" w:rsidP="00A73FF4" w:rsidRDefault="00A73FF4" w14:paraId="2D4366F0" w14:textId="77777777">
      <w:pPr>
        <w:spacing w:after="0" w:line="276" w:lineRule="auto"/>
        <w:ind w:firstLine="709"/>
        <w:jc w:val="both"/>
        <w:rPr>
          <w:rFonts w:ascii="Century Gothic" w:hAnsi="Century Gothic" w:eastAsia="Calibri" w:cs="Arial"/>
          <w:bCs/>
          <w:color w:val="000000" w:themeColor="text1"/>
          <w:lang w:val="es-ES_tradnl"/>
        </w:rPr>
      </w:pPr>
    </w:p>
    <w:p w:rsidRPr="005F1FB7" w:rsidR="00A73FF4" w:rsidP="00A73FF4" w:rsidRDefault="00A73FF4" w14:paraId="0DD0CD1F" w14:textId="77777777">
      <w:pPr>
        <w:tabs>
          <w:tab w:val="left" w:pos="0"/>
        </w:tabs>
        <w:spacing w:after="120" w:line="240" w:lineRule="auto"/>
        <w:ind w:left="709" w:right="709"/>
        <w:jc w:val="both"/>
        <w:rPr>
          <w:rFonts w:ascii="Century Gothic" w:hAnsi="Century Gothic" w:eastAsia="Calibri" w:cs="Arial"/>
          <w:bCs/>
          <w:color w:val="000000" w:themeColor="text1"/>
          <w:sz w:val="21"/>
          <w:szCs w:val="21"/>
          <w:lang w:val="es-ES_tradnl"/>
        </w:rPr>
      </w:pPr>
      <w:r w:rsidRPr="005F1FB7">
        <w:rPr>
          <w:rFonts w:ascii="Century Gothic" w:hAnsi="Century Gothic" w:eastAsia="Calibri" w:cs="Arial"/>
          <w:bCs/>
          <w:color w:val="000000" w:themeColor="text1"/>
          <w:sz w:val="21"/>
          <w:szCs w:val="21"/>
          <w:lang w:val="es-ES_tradnl"/>
        </w:rPr>
        <w:t>La Sala precisa que el acto acusado resolvió la consulta referida a una empresa de servicios públicos domiciliarios de naturaleza pública, toda vez que como se puso de presente se constituyó como empresa Industrial y Comercial del Estado, organismo que al tenor del artículo 38 de la Ley 489 de 1998, hace parte del sector descentralizado por servicios de la rama ejecutiva del poder público.</w:t>
      </w:r>
    </w:p>
    <w:p w:rsidRPr="005F1FB7" w:rsidR="00A73FF4" w:rsidP="00A73FF4" w:rsidRDefault="00A73FF4" w14:paraId="1E59E020" w14:textId="77777777">
      <w:pPr>
        <w:tabs>
          <w:tab w:val="left" w:pos="0"/>
        </w:tabs>
        <w:spacing w:after="0" w:line="240" w:lineRule="auto"/>
        <w:ind w:left="709" w:right="709"/>
        <w:jc w:val="both"/>
        <w:rPr>
          <w:rFonts w:ascii="Century Gothic" w:hAnsi="Century Gothic" w:eastAsia="Calibri" w:cs="Arial"/>
          <w:bCs/>
          <w:color w:val="000000" w:themeColor="text1"/>
          <w:sz w:val="21"/>
          <w:szCs w:val="21"/>
          <w:lang w:val="es-ES_tradnl"/>
        </w:rPr>
      </w:pPr>
      <w:r w:rsidRPr="005F1FB7">
        <w:rPr>
          <w:rFonts w:ascii="Century Gothic" w:hAnsi="Century Gothic" w:eastAsia="Calibri" w:cs="Arial"/>
          <w:bCs/>
          <w:color w:val="000000" w:themeColor="text1"/>
          <w:sz w:val="21"/>
          <w:szCs w:val="21"/>
          <w:lang w:val="es-ES_tradnl"/>
        </w:rPr>
        <w:t xml:space="preserve">Ahora, el artículo 19 </w:t>
      </w:r>
      <w:proofErr w:type="spellStart"/>
      <w:r w:rsidRPr="005F1FB7">
        <w:rPr>
          <w:rFonts w:ascii="Century Gothic" w:hAnsi="Century Gothic" w:eastAsia="Calibri" w:cs="Arial"/>
          <w:bCs/>
          <w:color w:val="000000" w:themeColor="text1"/>
          <w:sz w:val="21"/>
          <w:szCs w:val="21"/>
          <w:lang w:val="es-ES_tradnl"/>
        </w:rPr>
        <w:t>ibídem</w:t>
      </w:r>
      <w:proofErr w:type="spellEnd"/>
      <w:r w:rsidRPr="005F1FB7">
        <w:rPr>
          <w:rFonts w:ascii="Century Gothic" w:hAnsi="Century Gothic" w:eastAsia="Calibri" w:cs="Arial"/>
          <w:bCs/>
          <w:color w:val="000000" w:themeColor="text1"/>
          <w:sz w:val="21"/>
          <w:szCs w:val="21"/>
          <w:lang w:val="es-ES_tradnl"/>
        </w:rPr>
        <w:t xml:space="preserve"> enuncia como régimen jurídico de las empresas en mención, las reglas, entre otras, sobre la denominación, duración, aportes, mecanismos de constitución, registro, emisión, colocación de acciones, causales de disolución. </w:t>
      </w:r>
    </w:p>
    <w:p w:rsidRPr="005F1FB7" w:rsidR="00A73FF4" w:rsidP="00A73FF4" w:rsidRDefault="00A73FF4" w14:paraId="78F7F880" w14:textId="77777777">
      <w:pPr>
        <w:tabs>
          <w:tab w:val="left" w:pos="0"/>
        </w:tabs>
        <w:spacing w:after="120" w:line="240" w:lineRule="auto"/>
        <w:ind w:left="709" w:right="709"/>
        <w:jc w:val="both"/>
        <w:rPr>
          <w:rFonts w:ascii="Century Gothic" w:hAnsi="Century Gothic" w:eastAsia="Calibri" w:cs="Arial"/>
          <w:bCs/>
          <w:color w:val="000000" w:themeColor="text1"/>
          <w:sz w:val="21"/>
          <w:szCs w:val="21"/>
          <w:lang w:val="es-ES_tradnl"/>
        </w:rPr>
      </w:pPr>
      <w:r w:rsidRPr="005F1FB7">
        <w:rPr>
          <w:rFonts w:ascii="Century Gothic" w:hAnsi="Century Gothic" w:eastAsia="Calibri" w:cs="Arial"/>
          <w:bCs/>
          <w:color w:val="000000" w:themeColor="text1"/>
          <w:sz w:val="21"/>
          <w:szCs w:val="21"/>
          <w:lang w:val="es-ES_tradnl"/>
        </w:rPr>
        <w:t>[…]</w:t>
      </w:r>
    </w:p>
    <w:p w:rsidRPr="005F1FB7" w:rsidR="00A73FF4" w:rsidP="00A73FF4" w:rsidRDefault="00A73FF4" w14:paraId="5C052E46" w14:textId="77777777">
      <w:pPr>
        <w:tabs>
          <w:tab w:val="left" w:pos="0"/>
        </w:tabs>
        <w:spacing w:after="0" w:line="240" w:lineRule="auto"/>
        <w:ind w:left="709" w:right="709"/>
        <w:jc w:val="both"/>
        <w:rPr>
          <w:rFonts w:ascii="Century Gothic" w:hAnsi="Century Gothic" w:eastAsia="Calibri" w:cs="Arial"/>
          <w:bCs/>
          <w:color w:val="000000" w:themeColor="text1"/>
          <w:sz w:val="21"/>
          <w:szCs w:val="21"/>
          <w:lang w:val="es-ES_tradnl"/>
        </w:rPr>
      </w:pPr>
      <w:r w:rsidRPr="005F1FB7">
        <w:rPr>
          <w:rFonts w:ascii="Century Gothic" w:hAnsi="Century Gothic" w:eastAsia="Calibri" w:cs="Arial"/>
          <w:bCs/>
          <w:color w:val="000000" w:themeColor="text1"/>
          <w:sz w:val="21"/>
          <w:szCs w:val="21"/>
          <w:lang w:val="es-ES_tradnl"/>
        </w:rPr>
        <w:t>La Corte Constitucional en la sentencia C-318 de 1998 aludió al elemento subjetivo para determinar el contrato de obra pública a que se refiere la contribución en cuestión. Así pues, adquiere relevancia en este punto la naturaleza de cada entidad, por lo cual si se considera que determinado ente es estatal (empresa industrial y comercial del Estado), y celebra un contrato de obra está en el supuesto de la descripción del hecho gravado que contempla el artículo 6º de la Ley 1106 de 2006</w:t>
      </w:r>
      <w:r w:rsidRPr="005F1FB7">
        <w:rPr>
          <w:rStyle w:val="Refdenotaalpie"/>
          <w:rFonts w:ascii="Century Gothic" w:hAnsi="Century Gothic" w:eastAsia="Calibri" w:cs="Arial"/>
          <w:bCs/>
          <w:color w:val="000000" w:themeColor="text1"/>
          <w:sz w:val="21"/>
          <w:szCs w:val="21"/>
          <w:lang w:val="es-ES_tradnl"/>
        </w:rPr>
        <w:footnoteReference w:id="14"/>
      </w:r>
      <w:r w:rsidRPr="005F1FB7">
        <w:rPr>
          <w:rFonts w:ascii="Century Gothic" w:hAnsi="Century Gothic" w:eastAsia="Calibri" w:cs="Arial"/>
          <w:bCs/>
          <w:color w:val="000000" w:themeColor="text1"/>
          <w:sz w:val="21"/>
          <w:szCs w:val="21"/>
          <w:lang w:val="es-ES_tradnl"/>
        </w:rPr>
        <w:t>.</w:t>
      </w:r>
    </w:p>
    <w:p w:rsidRPr="005F1FB7" w:rsidR="00A73FF4" w:rsidP="00A73FF4" w:rsidRDefault="00A73FF4" w14:paraId="4DCD234C" w14:textId="77777777">
      <w:pPr>
        <w:tabs>
          <w:tab w:val="left" w:pos="0"/>
        </w:tabs>
        <w:spacing w:after="0" w:line="276" w:lineRule="auto"/>
        <w:ind w:right="709"/>
        <w:jc w:val="both"/>
        <w:rPr>
          <w:rFonts w:ascii="Century Gothic" w:hAnsi="Century Gothic" w:eastAsia="Calibri" w:cs="Arial"/>
          <w:bCs/>
          <w:color w:val="000000" w:themeColor="text1"/>
          <w:lang w:val="es-ES_tradnl"/>
        </w:rPr>
      </w:pPr>
    </w:p>
    <w:p w:rsidRPr="005F1FB7" w:rsidR="00A73FF4" w:rsidP="00A73FF4" w:rsidRDefault="00A73FF4" w14:paraId="51CFFBB7" w14:textId="77777777">
      <w:pPr>
        <w:spacing w:after="120" w:line="276" w:lineRule="auto"/>
        <w:ind w:firstLine="709"/>
        <w:jc w:val="both"/>
        <w:rPr>
          <w:rFonts w:ascii="Century Gothic" w:hAnsi="Century Gothic" w:eastAsia="Calibri" w:cs="Arial"/>
          <w:bCs/>
          <w:color w:val="000000" w:themeColor="text1"/>
          <w:lang w:val="es-ES_tradnl"/>
        </w:rPr>
      </w:pPr>
      <w:r w:rsidRPr="005F1FB7">
        <w:rPr>
          <w:rFonts w:ascii="Century Gothic" w:hAnsi="Century Gothic" w:eastAsia="Calibri" w:cs="Arial"/>
          <w:bCs/>
          <w:color w:val="000000" w:themeColor="text1"/>
          <w:lang w:val="es-ES_tradnl"/>
        </w:rPr>
        <w:t xml:space="preserve">En otras palabras, con fundamento en la jurisprudencia se concluyó que a las empresas prestadoras de servicios públicos domiciliarios, que, según el artículo 17 de la Ley 142 de 1994, se conformaran como empresas industriales y comerciales del Estado se les tenía en cuenta esta naturaleza jurídica –la de empresas industriales y comerciales del Estado–, para hacerlas destinatarias de la contribución especial. También en un reciente concepto la Superintendencia de Servicios Públicos Domiciliarios recordó que el legislador permitió que las empresas de servicios públicos domiciliarios adoptaran la forma de empresas industriales y comerciales del Estado, pero que el plazo para que esto se diera ya venció. En palabras de este organismo, “Los plazos legales para efectuar la transformación a que alude el parágrafo del artículo 17 de la Ley 142 de 1994, de las entidades </w:t>
      </w:r>
      <w:r w:rsidRPr="005F1FB7">
        <w:rPr>
          <w:rFonts w:ascii="Century Gothic" w:hAnsi="Century Gothic" w:eastAsia="Calibri" w:cs="Arial"/>
          <w:bCs/>
          <w:color w:val="000000" w:themeColor="text1"/>
          <w:lang w:val="es-ES_tradnl"/>
        </w:rPr>
        <w:t>descentralizadas en Empresas Industriales y Comerciales del Estado, venció el 3 de enero de 1998, por lo que, a partir de tal fecha, aquéllas que no lo hicieron, debieron constituirse como sociedades por acciones; mientras que el término de transformación para la Nación y a las entidades territoriales (departamentos, municipios, distritos), que prestaban directamente los servicios públicos domiciliarios, de acuerdo con el artículo 182 referido, venció el 11 de enero de 1996”</w:t>
      </w:r>
      <w:r w:rsidRPr="005F1FB7">
        <w:rPr>
          <w:rStyle w:val="Refdenotaalpie"/>
          <w:rFonts w:ascii="Century Gothic" w:hAnsi="Century Gothic" w:eastAsia="Calibri" w:cs="Arial"/>
          <w:bCs/>
          <w:color w:val="000000" w:themeColor="text1"/>
          <w:lang w:val="es-ES_tradnl"/>
        </w:rPr>
        <w:footnoteReference w:id="15"/>
      </w:r>
      <w:r w:rsidRPr="005F1FB7">
        <w:rPr>
          <w:rFonts w:ascii="Century Gothic" w:hAnsi="Century Gothic" w:eastAsia="Calibri" w:cs="Arial"/>
          <w:bCs/>
          <w:color w:val="000000" w:themeColor="text1"/>
          <w:lang w:val="es-ES_tradnl"/>
        </w:rPr>
        <w:t>.</w:t>
      </w:r>
    </w:p>
    <w:p w:rsidRPr="005F1FB7" w:rsidR="00A73FF4" w:rsidP="00A73FF4" w:rsidRDefault="00A73FF4" w14:paraId="32F884E8" w14:textId="77777777">
      <w:pPr>
        <w:spacing w:after="0" w:line="276" w:lineRule="auto"/>
        <w:ind w:firstLine="709"/>
        <w:jc w:val="both"/>
        <w:rPr>
          <w:rFonts w:ascii="Century Gothic" w:hAnsi="Century Gothic" w:eastAsia="Calibri" w:cs="Arial"/>
          <w:bCs/>
          <w:color w:val="000000" w:themeColor="text1"/>
          <w:lang w:val="es-ES_tradnl"/>
        </w:rPr>
      </w:pPr>
      <w:r w:rsidRPr="005F1FB7">
        <w:rPr>
          <w:rFonts w:ascii="Century Gothic" w:hAnsi="Century Gothic" w:eastAsia="Calibri" w:cs="Arial"/>
          <w:bCs/>
          <w:color w:val="000000" w:themeColor="text1"/>
          <w:lang w:val="es-ES_tradnl"/>
        </w:rPr>
        <w:t>Por lo demás, ni la Ley 489 de 1998 ni la Ley 142 de 1994 tipifican la existencia de empresas de servicios públicos solidarias, cooperativas o comunitarias que tenga la categoría de entidades privadas sin ánimo de lucro. En esta medida, las empresas de servicios públicos no son destinatarias del artículo 96 de la Ley 489 de 1998, razón por la que no pueden celebrar convenios de asociación conforme al artículo 5 del Decreto 092 de 2017.</w:t>
      </w:r>
    </w:p>
    <w:p w:rsidRPr="005F1FB7" w:rsidR="00A73FF4" w:rsidP="00A73FF4" w:rsidRDefault="00A73FF4" w14:paraId="030F8191" w14:textId="77777777">
      <w:pPr>
        <w:spacing w:after="0" w:line="276" w:lineRule="auto"/>
        <w:jc w:val="both"/>
        <w:rPr>
          <w:rFonts w:ascii="Century Gothic" w:hAnsi="Century Gothic" w:cs="Arial"/>
          <w:color w:val="000000" w:themeColor="text1"/>
          <w:lang w:eastAsia="es-MX"/>
        </w:rPr>
      </w:pPr>
    </w:p>
    <w:p w:rsidRPr="005F1FB7" w:rsidR="00A73FF4" w:rsidP="00A73FF4" w:rsidRDefault="00A73FF4" w14:paraId="04EA3D85" w14:textId="77777777">
      <w:pPr>
        <w:spacing w:after="0" w:line="276" w:lineRule="auto"/>
        <w:jc w:val="both"/>
        <w:rPr>
          <w:rFonts w:ascii="Century Gothic" w:hAnsi="Century Gothic" w:cs="Arial"/>
          <w:b/>
          <w:bCs/>
          <w:color w:val="000000" w:themeColor="text1"/>
          <w:lang w:eastAsia="es-MX"/>
        </w:rPr>
      </w:pPr>
      <w:r w:rsidRPr="005F1FB7">
        <w:rPr>
          <w:rFonts w:ascii="Century Gothic" w:hAnsi="Century Gothic" w:cs="Arial"/>
          <w:b/>
          <w:bCs/>
          <w:color w:val="000000" w:themeColor="text1"/>
          <w:lang w:eastAsia="es-MX"/>
        </w:rPr>
        <w:t>3. Respuestas</w:t>
      </w:r>
    </w:p>
    <w:p w:rsidRPr="005F1FB7" w:rsidR="00A73FF4" w:rsidP="00A73FF4" w:rsidRDefault="00A73FF4" w14:paraId="2946C062" w14:textId="77777777">
      <w:pPr>
        <w:spacing w:after="0" w:line="276" w:lineRule="auto"/>
        <w:jc w:val="both"/>
        <w:rPr>
          <w:rFonts w:ascii="Century Gothic" w:hAnsi="Century Gothic" w:cs="Arial"/>
          <w:color w:val="000000" w:themeColor="text1"/>
          <w:lang w:eastAsia="es-MX"/>
        </w:rPr>
      </w:pPr>
    </w:p>
    <w:p w:rsidRPr="005F1FB7" w:rsidR="00A73FF4" w:rsidP="00A73FF4" w:rsidRDefault="00A73FF4" w14:paraId="1A4F2864" w14:textId="77777777">
      <w:pPr>
        <w:spacing w:after="120" w:line="240" w:lineRule="auto"/>
        <w:ind w:left="709" w:right="709"/>
        <w:jc w:val="both"/>
        <w:rPr>
          <w:rFonts w:ascii="Century Gothic" w:hAnsi="Century Gothic" w:eastAsia="Calibri" w:cs="Arial"/>
          <w:bCs/>
          <w:sz w:val="21"/>
          <w:szCs w:val="21"/>
          <w:lang w:val="es-ES_tradnl" w:eastAsia="es-ES_tradnl"/>
        </w:rPr>
      </w:pPr>
      <w:r w:rsidRPr="005F1FB7">
        <w:rPr>
          <w:rFonts w:ascii="Century Gothic" w:hAnsi="Century Gothic" w:eastAsia="Calibri" w:cs="Arial"/>
          <w:bCs/>
          <w:sz w:val="21"/>
          <w:szCs w:val="21"/>
          <w:lang w:val="es-ES_tradnl" w:eastAsia="es-ES_tradnl"/>
        </w:rPr>
        <w:t>i) “¿Pueden las Entidades señaladas en el Artículo 368 de la Constitución Política, celebrar convenios con las Empresas de Servicios Públicos Domiciliarios para subsidiar la construcción de redes que permitan la conexión del servicio público prestado?”.</w:t>
      </w:r>
    </w:p>
    <w:p w:rsidRPr="005F1FB7" w:rsidR="00A73FF4" w:rsidP="00A73FF4" w:rsidRDefault="00A73FF4" w14:paraId="69CD42C7" w14:textId="77777777">
      <w:pPr>
        <w:spacing w:after="0" w:line="240" w:lineRule="auto"/>
        <w:ind w:left="709" w:right="709"/>
        <w:jc w:val="both"/>
        <w:rPr>
          <w:rFonts w:ascii="Century Gothic" w:hAnsi="Century Gothic" w:eastAsia="Calibri" w:cs="Arial"/>
          <w:bCs/>
          <w:sz w:val="21"/>
          <w:szCs w:val="21"/>
          <w:lang w:val="es-ES_tradnl" w:eastAsia="es-ES_tradnl"/>
        </w:rPr>
      </w:pPr>
      <w:proofErr w:type="spellStart"/>
      <w:r w:rsidRPr="005F1FB7">
        <w:rPr>
          <w:rFonts w:ascii="Century Gothic" w:hAnsi="Century Gothic" w:eastAsia="Calibri" w:cs="Arial"/>
          <w:bCs/>
          <w:sz w:val="21"/>
          <w:szCs w:val="21"/>
          <w:lang w:val="es-ES_tradnl" w:eastAsia="es-ES_tradnl"/>
        </w:rPr>
        <w:t>ii</w:t>
      </w:r>
      <w:proofErr w:type="spellEnd"/>
      <w:r w:rsidRPr="005F1FB7">
        <w:rPr>
          <w:rFonts w:ascii="Century Gothic" w:hAnsi="Century Gothic" w:eastAsia="Calibri" w:cs="Arial"/>
          <w:bCs/>
          <w:sz w:val="21"/>
          <w:szCs w:val="21"/>
          <w:lang w:val="es-ES_tradnl" w:eastAsia="es-ES_tradnl"/>
        </w:rPr>
        <w:t>) “¿Este tipo de relaciones deben ser tramitadas conforme con las tipologías contractuales previstas en la ley 80 de 1993?”.</w:t>
      </w:r>
    </w:p>
    <w:p w:rsidRPr="005F1FB7" w:rsidR="00A73FF4" w:rsidP="00A73FF4" w:rsidRDefault="00A73FF4" w14:paraId="0287C891" w14:textId="77777777">
      <w:pPr>
        <w:spacing w:after="0" w:line="276" w:lineRule="auto"/>
        <w:jc w:val="both"/>
        <w:rPr>
          <w:rFonts w:ascii="Century Gothic" w:hAnsi="Century Gothic" w:eastAsia="Calibri" w:cs="Arial"/>
          <w:bCs/>
          <w:szCs w:val="24"/>
          <w:lang w:val="es-ES_tradnl" w:eastAsia="es-ES_tradnl"/>
        </w:rPr>
      </w:pPr>
    </w:p>
    <w:p w:rsidRPr="005F1FB7" w:rsidR="00A73FF4" w:rsidP="00A73FF4" w:rsidRDefault="00A73FF4" w14:paraId="2E260CA3" w14:textId="77777777">
      <w:pPr>
        <w:spacing w:after="120" w:line="276" w:lineRule="auto"/>
        <w:jc w:val="both"/>
        <w:rPr>
          <w:rFonts w:ascii="Century Gothic" w:hAnsi="Century Gothic" w:cs="Arial"/>
          <w:lang w:val="es-ES"/>
        </w:rPr>
      </w:pPr>
      <w:r w:rsidRPr="005F1FB7">
        <w:rPr>
          <w:rFonts w:ascii="Century Gothic" w:hAnsi="Century Gothic" w:cs="Arial"/>
          <w:lang w:val="es-ES"/>
        </w:rPr>
        <w:t>Conforme a lo explicado en el presente oficio, es necesario tener en cuenta que esta Agencia no es competente para pronunciarse sobre el régimen de los subsidios en materia de servicios públicos domiciliarios. El artículo 368 constitucional dispone que “La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 sin contener una autorización expresa que permita subsidiar la construcción</w:t>
      </w:r>
      <w:r w:rsidRPr="005F1FB7">
        <w:rPr>
          <w:rFonts w:ascii="Century Gothic" w:hAnsi="Century Gothic" w:eastAsia="Calibri" w:cs="Arial"/>
          <w:bCs/>
          <w:szCs w:val="24"/>
          <w:lang w:val="es-ES_tradnl" w:eastAsia="es-ES_tradnl"/>
        </w:rPr>
        <w:t xml:space="preserve"> de redes.</w:t>
      </w:r>
      <w:r w:rsidRPr="005F1FB7">
        <w:rPr>
          <w:rFonts w:ascii="Century Gothic" w:hAnsi="Century Gothic" w:cs="Arial"/>
          <w:lang w:val="es-ES"/>
        </w:rPr>
        <w:t xml:space="preserve"> Esta disposición es desarrollada por el artículo 99.8 de la Ley 142 de 1994, “por la cual se establece el régimen de los servicios públicos domiciliarios y se dictan otras disposiciones”, y por el artículo 2.3.4.1.2.11 del Decreto 1077 de 2015, “Por medio del cual se expide el Decreto Único Reglamentario del Sector Vivienda, Ciudad y </w:t>
      </w:r>
      <w:r w:rsidRPr="005F1FB7">
        <w:rPr>
          <w:rFonts w:ascii="Century Gothic" w:hAnsi="Century Gothic" w:cs="Arial"/>
          <w:lang w:val="es-ES"/>
        </w:rPr>
        <w:t xml:space="preserve">Territorio”. Estas normas son ajenas al sistema de compras públicas, por lo que la Agencia carece de atribuciones para interpretar su sentido y alcance. </w:t>
      </w:r>
    </w:p>
    <w:p w:rsidRPr="005F1FB7" w:rsidR="00A73FF4" w:rsidP="00A73FF4" w:rsidRDefault="00A73FF4" w14:paraId="04BF9845" w14:textId="77777777">
      <w:pPr>
        <w:spacing w:after="0" w:line="276" w:lineRule="auto"/>
        <w:ind w:firstLine="709"/>
        <w:jc w:val="both"/>
        <w:rPr>
          <w:rFonts w:ascii="Century Gothic" w:hAnsi="Century Gothic" w:cs="Arial"/>
          <w:lang w:val="es-ES"/>
        </w:rPr>
      </w:pPr>
      <w:r w:rsidRPr="005F1FB7">
        <w:rPr>
          <w:rFonts w:ascii="Century Gothic" w:hAnsi="Century Gothic" w:cs="Arial"/>
          <w:lang w:val="es-ES"/>
        </w:rPr>
        <w:t>No obstante, se advierte al peticionario que la Superintendencia de Servicios Públicos Domiciliarios se ha referido a la celebración de contratos para la transferencia de subsidios en el Concepto Unificado SSPD-OJU-2013-25, actualizado al 19 de enero de 2021</w:t>
      </w:r>
      <w:r w:rsidRPr="005F1FB7">
        <w:rPr>
          <w:rStyle w:val="Refdenotaalpie"/>
          <w:rFonts w:ascii="Century Gothic" w:hAnsi="Century Gothic" w:cs="Arial"/>
          <w:lang w:val="es-ES"/>
        </w:rPr>
        <w:footnoteReference w:id="16"/>
      </w:r>
      <w:r w:rsidRPr="005F1FB7">
        <w:rPr>
          <w:rFonts w:ascii="Century Gothic" w:hAnsi="Century Gothic" w:cs="Arial"/>
          <w:lang w:val="es-ES"/>
        </w:rPr>
        <w:t xml:space="preserve">. Dentro de las normas aplicables a los servicios públicos domiciliarios y la doctrina general de sus intérpretes autorizados, corresponde a cada entidad pública, en ejercicio de su competencia y previa valoración de los elementos fácticos y jurídicos, determinar el objeto y el régimen para formalizar la trasferencia de los subsidios. </w:t>
      </w:r>
    </w:p>
    <w:p w:rsidRPr="005F1FB7" w:rsidR="00A73FF4" w:rsidP="00A73FF4" w:rsidRDefault="00A73FF4" w14:paraId="45414B62" w14:textId="77777777">
      <w:pPr>
        <w:spacing w:after="0" w:line="276" w:lineRule="auto"/>
        <w:ind w:firstLine="709"/>
        <w:jc w:val="both"/>
        <w:rPr>
          <w:rFonts w:ascii="Century Gothic" w:hAnsi="Century Gothic" w:cs="Arial"/>
          <w:lang w:val="es-ES"/>
        </w:rPr>
      </w:pPr>
    </w:p>
    <w:p w:rsidRPr="005F1FB7" w:rsidR="00A73FF4" w:rsidP="00A73FF4" w:rsidRDefault="00A73FF4" w14:paraId="74F5D0E8" w14:textId="77777777">
      <w:pPr>
        <w:spacing w:after="0" w:line="240" w:lineRule="auto"/>
        <w:ind w:left="709" w:right="709"/>
        <w:jc w:val="both"/>
        <w:rPr>
          <w:rFonts w:ascii="Century Gothic" w:hAnsi="Century Gothic" w:eastAsia="Calibri" w:cs="Arial"/>
          <w:bCs/>
          <w:sz w:val="21"/>
          <w:szCs w:val="21"/>
          <w:lang w:val="es-ES_tradnl" w:eastAsia="es-ES_tradnl"/>
        </w:rPr>
      </w:pPr>
      <w:proofErr w:type="spellStart"/>
      <w:r w:rsidRPr="005F1FB7">
        <w:rPr>
          <w:rFonts w:ascii="Century Gothic" w:hAnsi="Century Gothic" w:eastAsia="Calibri" w:cs="Arial"/>
          <w:bCs/>
          <w:sz w:val="21"/>
          <w:szCs w:val="21"/>
          <w:lang w:val="es-ES_tradnl" w:eastAsia="es-ES_tradnl"/>
        </w:rPr>
        <w:t>iii</w:t>
      </w:r>
      <w:proofErr w:type="spellEnd"/>
      <w:r w:rsidRPr="005F1FB7">
        <w:rPr>
          <w:rFonts w:ascii="Century Gothic" w:hAnsi="Century Gothic" w:eastAsia="Calibri" w:cs="Arial"/>
          <w:bCs/>
          <w:sz w:val="21"/>
          <w:szCs w:val="21"/>
          <w:lang w:val="es-ES_tradnl" w:eastAsia="es-ES_tradnl"/>
        </w:rPr>
        <w:t>) “¿Es posible que las Entidades territoriales suscriban Convenios de Asociación con las Empresas de Servicios Públicos Domiciliarios para la transferencia de los aportes destinados a subsidios?”.</w:t>
      </w:r>
    </w:p>
    <w:p w:rsidRPr="005F1FB7" w:rsidR="00A73FF4" w:rsidP="00A73FF4" w:rsidRDefault="00A73FF4" w14:paraId="155C3A1D" w14:textId="77777777">
      <w:pPr>
        <w:spacing w:after="0" w:line="276" w:lineRule="auto"/>
        <w:jc w:val="both"/>
        <w:rPr>
          <w:rFonts w:ascii="Century Gothic" w:hAnsi="Century Gothic" w:eastAsia="Calibri" w:cs="Arial"/>
          <w:bCs/>
          <w:szCs w:val="24"/>
          <w:lang w:val="es-ES_tradnl" w:eastAsia="es-ES_tradnl"/>
        </w:rPr>
      </w:pPr>
    </w:p>
    <w:p w:rsidRPr="005F1FB7" w:rsidR="00A73FF4" w:rsidP="00A73FF4" w:rsidRDefault="00A73FF4" w14:paraId="0E2E1852" w14:textId="77777777">
      <w:pPr>
        <w:spacing w:line="276" w:lineRule="auto"/>
        <w:jc w:val="both"/>
        <w:rPr>
          <w:rFonts w:ascii="Century Gothic" w:hAnsi="Century Gothic" w:cs="Arial"/>
          <w:color w:val="000000" w:themeColor="text1"/>
        </w:rPr>
      </w:pPr>
      <w:r w:rsidRPr="005F1FB7">
        <w:rPr>
          <w:rFonts w:ascii="Century Gothic" w:hAnsi="Century Gothic" w:cs="Arial"/>
          <w:color w:val="000000" w:themeColor="text1"/>
        </w:rPr>
        <w:t xml:space="preserve">De acuerdo con la interpretación de las normas generales del sistema de compras públicas, aunque el artículo 96 de la Ley 489 de 1998 se refiere genéricamente a la noción “personas jurídicas particulares”, lo cierto es que los </w:t>
      </w:r>
      <w:r w:rsidRPr="005F1FB7">
        <w:rPr>
          <w:rFonts w:ascii="Century Gothic" w:hAnsi="Century Gothic" w:cs="Arial"/>
          <w:i/>
          <w:iCs/>
          <w:color w:val="000000" w:themeColor="text1"/>
        </w:rPr>
        <w:t xml:space="preserve">convenios de asociación </w:t>
      </w:r>
      <w:r w:rsidRPr="005F1FB7">
        <w:rPr>
          <w:rFonts w:ascii="Century Gothic" w:hAnsi="Century Gothic" w:cs="Arial"/>
          <w:color w:val="000000" w:themeColor="text1"/>
        </w:rPr>
        <w:t xml:space="preserve">que regula esa norma únicamente pueden celebrarse con ESAL. Esto es así porque el inciso segundo de la misma disposición establece que tales convenios “se celebrarán de conformidad con lo dispuesto en el artículo 355 de la Constitución Política”, norma que le permite al “Gobierno, en los niveles nacional, departamental, distrital y municipal podrá, con recursos de los respectivos presupuestos, celebrar contratos </w:t>
      </w:r>
      <w:r w:rsidRPr="005F1FB7">
        <w:rPr>
          <w:rFonts w:ascii="Century Gothic" w:hAnsi="Century Gothic" w:cs="Arial"/>
          <w:i/>
          <w:iCs/>
          <w:color w:val="000000" w:themeColor="text1"/>
        </w:rPr>
        <w:t>con entidades privadas sin ánimo de lucro y de reconocida idoneidad</w:t>
      </w:r>
      <w:r w:rsidRPr="005F1FB7">
        <w:rPr>
          <w:rFonts w:ascii="Century Gothic" w:hAnsi="Century Gothic" w:cs="Arial"/>
          <w:color w:val="000000" w:themeColor="text1"/>
        </w:rPr>
        <w:t xml:space="preserve"> con el fin de impulsar programas y actividades de interés público acordes con el Plan Nacional y los planes seccionales de Desarrollo” (Énfasis fuera de texto). Es de resaltar que el artículo 355 de la Constitución fue desarrollado por el Decreto 92 de 2017, cuyo artículo 5 señala concretamente que los negocios jurídicos se deben celebrar únicamente con las ESAL.</w:t>
      </w:r>
    </w:p>
    <w:p w:rsidRPr="005F1FB7" w:rsidR="00A73FF4" w:rsidP="00A73FF4" w:rsidRDefault="00A73FF4" w14:paraId="1967B498" w14:textId="77777777">
      <w:pPr>
        <w:spacing w:after="120" w:line="276" w:lineRule="auto"/>
        <w:ind w:firstLine="708"/>
        <w:jc w:val="both"/>
        <w:rPr>
          <w:rFonts w:ascii="Century Gothic" w:hAnsi="Century Gothic" w:eastAsia="Calibri" w:cs="Arial"/>
          <w:bCs/>
          <w:color w:val="000000" w:themeColor="text1"/>
          <w:lang w:val="es-ES_tradnl"/>
        </w:rPr>
      </w:pPr>
      <w:r w:rsidRPr="005F1FB7">
        <w:rPr>
          <w:rFonts w:ascii="Century Gothic" w:hAnsi="Century Gothic" w:eastAsia="Calibri" w:cs="Arial"/>
          <w:bCs/>
          <w:color w:val="000000" w:themeColor="text1"/>
          <w:lang w:val="es-ES_tradnl"/>
        </w:rPr>
        <w:t xml:space="preserve">En relación con las empresas prestadoras de servicios públicos domiciliarios, conviene señalar, acorde con lo expresado por la Corte Constitucional en la Sentencia C-736 de 2007, que aquellas son entidades descentralizadas por servicios, independientemente de la naturaleza y porcentaje de su capital. En otras palabras, aunque el artículo 14 de la Ley 142 de 1994 establece que las empresas </w:t>
      </w:r>
      <w:r w:rsidRPr="005F1FB7">
        <w:rPr>
          <w:rFonts w:ascii="Century Gothic" w:hAnsi="Century Gothic" w:eastAsia="Calibri" w:cs="Arial"/>
          <w:bCs/>
          <w:color w:val="000000" w:themeColor="text1"/>
          <w:lang w:val="es-ES_tradnl"/>
        </w:rPr>
        <w:t xml:space="preserve">prestadoras de servicios públicos domiciliarios pueden ser </w:t>
      </w:r>
      <w:r w:rsidRPr="005F1FB7">
        <w:rPr>
          <w:rFonts w:ascii="Century Gothic" w:hAnsi="Century Gothic" w:eastAsia="Calibri" w:cs="Arial"/>
          <w:bCs/>
          <w:i/>
          <w:iCs/>
          <w:color w:val="000000" w:themeColor="text1"/>
          <w:lang w:val="es-ES_tradnl"/>
        </w:rPr>
        <w:t>oficiales</w:t>
      </w:r>
      <w:r w:rsidRPr="005F1FB7">
        <w:rPr>
          <w:rFonts w:ascii="Century Gothic" w:hAnsi="Century Gothic" w:eastAsia="Calibri" w:cs="Arial"/>
          <w:bCs/>
          <w:color w:val="000000" w:themeColor="text1"/>
          <w:lang w:val="es-ES_tradnl"/>
        </w:rPr>
        <w:t xml:space="preserve">, </w:t>
      </w:r>
      <w:r w:rsidRPr="005F1FB7">
        <w:rPr>
          <w:rFonts w:ascii="Century Gothic" w:hAnsi="Century Gothic" w:eastAsia="Calibri" w:cs="Arial"/>
          <w:bCs/>
          <w:i/>
          <w:iCs/>
          <w:color w:val="000000" w:themeColor="text1"/>
          <w:lang w:val="es-ES_tradnl"/>
        </w:rPr>
        <w:t>mixtas</w:t>
      </w:r>
      <w:r w:rsidRPr="005F1FB7">
        <w:rPr>
          <w:rFonts w:ascii="Century Gothic" w:hAnsi="Century Gothic" w:eastAsia="Calibri" w:cs="Arial"/>
          <w:bCs/>
          <w:color w:val="000000" w:themeColor="text1"/>
          <w:lang w:val="es-ES_tradnl"/>
        </w:rPr>
        <w:t xml:space="preserve"> o </w:t>
      </w:r>
      <w:r w:rsidRPr="005F1FB7">
        <w:rPr>
          <w:rFonts w:ascii="Century Gothic" w:hAnsi="Century Gothic" w:eastAsia="Calibri" w:cs="Arial"/>
          <w:bCs/>
          <w:i/>
          <w:iCs/>
          <w:color w:val="000000" w:themeColor="text1"/>
          <w:lang w:val="es-ES_tradnl"/>
        </w:rPr>
        <w:t>privadas</w:t>
      </w:r>
      <w:r w:rsidRPr="005F1FB7">
        <w:rPr>
          <w:rFonts w:ascii="Century Gothic" w:hAnsi="Century Gothic" w:eastAsia="Calibri" w:cs="Arial"/>
          <w:bCs/>
          <w:color w:val="000000" w:themeColor="text1"/>
          <w:lang w:val="es-ES_tradnl"/>
        </w:rPr>
        <w:t xml:space="preserve">, estas tres especies ingresan en la categoría de las </w:t>
      </w:r>
      <w:r w:rsidRPr="005F1FB7">
        <w:rPr>
          <w:rFonts w:ascii="Century Gothic" w:hAnsi="Century Gothic" w:eastAsia="Calibri" w:cs="Arial"/>
          <w:bCs/>
          <w:i/>
          <w:iCs/>
          <w:color w:val="000000" w:themeColor="text1"/>
          <w:lang w:val="es-ES_tradnl"/>
        </w:rPr>
        <w:t>entidades descentralizadas por servicios</w:t>
      </w:r>
      <w:r w:rsidRPr="005F1FB7">
        <w:rPr>
          <w:rFonts w:ascii="Century Gothic" w:hAnsi="Century Gothic" w:eastAsia="Calibri" w:cs="Arial"/>
          <w:bCs/>
          <w:color w:val="000000" w:themeColor="text1"/>
          <w:lang w:val="es-ES_tradnl"/>
        </w:rPr>
        <w:t xml:space="preserve">. Adicionalmente, debe recordarse que en dicha Sentencia el alto tribunal afirmó que las empresas prestadoras de servicios públicos domiciliarios </w:t>
      </w:r>
      <w:r w:rsidRPr="005F1FB7">
        <w:rPr>
          <w:rFonts w:ascii="Century Gothic" w:hAnsi="Century Gothic" w:eastAsia="Calibri" w:cs="Arial"/>
          <w:bCs/>
          <w:i/>
          <w:iCs/>
          <w:color w:val="000000" w:themeColor="text1"/>
          <w:lang w:val="es-ES_tradnl"/>
        </w:rPr>
        <w:t>mixtas y privadas</w:t>
      </w:r>
      <w:r w:rsidRPr="005F1FB7">
        <w:rPr>
          <w:rFonts w:ascii="Century Gothic" w:hAnsi="Century Gothic" w:eastAsia="Calibri" w:cs="Arial"/>
          <w:bCs/>
          <w:color w:val="000000" w:themeColor="text1"/>
          <w:lang w:val="es-ES_tradnl"/>
        </w:rPr>
        <w:t xml:space="preserve"> son tipos </w:t>
      </w:r>
      <w:r w:rsidRPr="005F1FB7">
        <w:rPr>
          <w:rFonts w:ascii="Century Gothic" w:hAnsi="Century Gothic" w:eastAsia="Calibri" w:cs="Arial"/>
          <w:bCs/>
          <w:i/>
          <w:iCs/>
          <w:color w:val="000000" w:themeColor="text1"/>
          <w:lang w:val="es-ES_tradnl"/>
        </w:rPr>
        <w:t>especiales</w:t>
      </w:r>
      <w:r w:rsidRPr="005F1FB7">
        <w:rPr>
          <w:rFonts w:ascii="Century Gothic" w:hAnsi="Century Gothic" w:eastAsia="Calibri" w:cs="Arial"/>
          <w:bCs/>
          <w:color w:val="000000" w:themeColor="text1"/>
          <w:lang w:val="es-ES_tradnl"/>
        </w:rPr>
        <w:t xml:space="preserve"> de entidades descentralizadas por servicios.</w:t>
      </w:r>
    </w:p>
    <w:p w:rsidRPr="005F1FB7" w:rsidR="00A73FF4" w:rsidP="00A73FF4" w:rsidRDefault="00A73FF4" w14:paraId="3A87E48A" w14:textId="77777777">
      <w:pPr>
        <w:spacing w:after="120" w:line="276" w:lineRule="auto"/>
        <w:ind w:firstLine="708"/>
        <w:jc w:val="both"/>
        <w:rPr>
          <w:rFonts w:ascii="Century Gothic" w:hAnsi="Century Gothic" w:cs="Arial"/>
          <w:lang w:val="es-ES"/>
        </w:rPr>
      </w:pPr>
      <w:r w:rsidRPr="005F1FB7">
        <w:rPr>
          <w:rFonts w:ascii="Century Gothic" w:hAnsi="Century Gothic" w:eastAsia="Calibri" w:cs="Arial"/>
          <w:bCs/>
          <w:color w:val="000000" w:themeColor="text1"/>
          <w:lang w:val="es-ES_tradnl"/>
        </w:rPr>
        <w:t>Por lo demás, ni la Ley 489 de 1998 ni la Ley 142 de 1994 tipifican la existencia de empresas de servicios públicos solidarias, cooperativas o comunitarias que tenga la categoría de entidades privadas sin ánimo de lucro. En esta medida, las empresas de servicios públicos no son destinatarias del artículo 96 de la Ley 489 de 1998, razón por la que no pueden celebrar convenios de asociación conforme al artículo 5 del Decreto 092 de 2017.</w:t>
      </w:r>
    </w:p>
    <w:p w:rsidRPr="005F1FB7" w:rsidR="00A73FF4" w:rsidP="00A73FF4" w:rsidRDefault="00A73FF4" w14:paraId="0A575A41" w14:textId="77777777">
      <w:pPr>
        <w:spacing w:after="0" w:line="276" w:lineRule="auto"/>
        <w:jc w:val="both"/>
        <w:rPr>
          <w:rFonts w:ascii="Century Gothic" w:hAnsi="Century Gothic" w:cs="Arial"/>
          <w:color w:val="000000" w:themeColor="text1"/>
          <w:lang w:eastAsia="es-MX"/>
        </w:rPr>
      </w:pPr>
    </w:p>
    <w:p w:rsidRPr="005F1FB7" w:rsidR="00A73FF4" w:rsidP="00A73FF4" w:rsidRDefault="00A73FF4" w14:paraId="542E141A"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5F1FB7">
        <w:rPr>
          <w:rFonts w:ascii="Century Gothic" w:hAnsi="Century Gothic" w:cs="Arial"/>
          <w:color w:val="000000" w:themeColor="text1"/>
          <w:lang w:val="es-ES_tradnl"/>
        </w:rPr>
        <w:t>Este concepto tiene el alcance previsto en el artículo 28 del Código de Procedimiento Administrativo y de lo Contencioso Administrativo.</w:t>
      </w:r>
    </w:p>
    <w:p w:rsidRPr="005F1FB7" w:rsidR="00A73FF4" w:rsidP="00A73FF4" w:rsidRDefault="00A73FF4" w14:paraId="06C614E5"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5F1FB7" w:rsidR="00A73FF4" w:rsidP="00A73FF4" w:rsidRDefault="00A73FF4" w14:paraId="781C5ACC" w14:textId="77777777">
      <w:pPr>
        <w:tabs>
          <w:tab w:val="left" w:pos="426"/>
        </w:tabs>
        <w:spacing w:line="276" w:lineRule="auto"/>
        <w:jc w:val="both"/>
        <w:rPr>
          <w:rFonts w:ascii="Century Gothic" w:hAnsi="Century Gothic" w:eastAsia="Times New Roman" w:cs="Arial"/>
          <w:color w:val="000000" w:themeColor="text1"/>
        </w:rPr>
      </w:pPr>
      <w:r w:rsidRPr="005F1FB7">
        <w:rPr>
          <w:rFonts w:ascii="Century Gothic" w:hAnsi="Century Gothic" w:eastAsia="Times New Roman" w:cs="Arial"/>
          <w:color w:val="000000" w:themeColor="text1"/>
        </w:rPr>
        <w:t>Atentamente,</w:t>
      </w:r>
    </w:p>
    <w:p w:rsidRPr="005F1FB7" w:rsidR="00A73FF4" w:rsidP="00A73FF4" w:rsidRDefault="00095EDD" w14:paraId="72D43A7E" w14:textId="253F74C0">
      <w:pPr>
        <w:jc w:val="center"/>
        <w:rPr>
          <w:rFonts w:ascii="Century Gothic" w:hAnsi="Century Gothic" w:eastAsia="Times New Roman" w:cs="Arial"/>
          <w:lang w:eastAsia="es-CO"/>
        </w:rPr>
      </w:pPr>
      <w:r>
        <w:rPr>
          <w:noProof/>
        </w:rPr>
        <w:drawing>
          <wp:inline distT="0" distB="0" distL="0" distR="0" wp14:anchorId="0E6EB834" wp14:editId="489D5D2F">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5F1FB7" w:rsidR="00A73FF4" w:rsidTr="0ABA1BA5" w14:paraId="03147891" w14:textId="77777777">
        <w:trPr>
          <w:trHeight w:val="409"/>
        </w:trPr>
        <w:tc>
          <w:tcPr>
            <w:tcW w:w="817" w:type="dxa"/>
            <w:tcBorders>
              <w:top w:val="nil"/>
              <w:left w:val="nil"/>
              <w:bottom w:val="nil"/>
              <w:right w:val="nil"/>
            </w:tcBorders>
            <w:vAlign w:val="center"/>
            <w:hideMark/>
          </w:tcPr>
          <w:p w:rsidRPr="005F1FB7" w:rsidR="00A73FF4" w:rsidP="00A376A8" w:rsidRDefault="00A73FF4" w14:paraId="52D4F3AD" w14:textId="77777777">
            <w:pPr>
              <w:spacing w:after="0" w:line="240" w:lineRule="auto"/>
              <w:jc w:val="both"/>
              <w:rPr>
                <w:rFonts w:ascii="Century Gothic" w:hAnsi="Century Gothic" w:cs="Arial"/>
                <w:sz w:val="16"/>
                <w:szCs w:val="16"/>
              </w:rPr>
            </w:pPr>
            <w:r w:rsidRPr="005F1FB7">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5F1FB7" w:rsidR="00A73FF4" w:rsidP="00A376A8" w:rsidRDefault="00A73FF4" w14:paraId="4E951015" w14:textId="77777777">
            <w:pPr>
              <w:spacing w:after="0" w:line="240" w:lineRule="auto"/>
              <w:jc w:val="both"/>
              <w:rPr>
                <w:rFonts w:ascii="Century Gothic" w:hAnsi="Century Gothic" w:cs="Arial"/>
                <w:sz w:val="16"/>
                <w:szCs w:val="16"/>
              </w:rPr>
            </w:pPr>
            <w:r w:rsidRPr="005F1FB7">
              <w:rPr>
                <w:rFonts w:ascii="Century Gothic" w:hAnsi="Century Gothic" w:cs="Arial"/>
                <w:sz w:val="16"/>
                <w:szCs w:val="16"/>
              </w:rPr>
              <w:t>Juan David Montoya Penagos</w:t>
            </w:r>
          </w:p>
          <w:p w:rsidRPr="005F1FB7" w:rsidR="00A73FF4" w:rsidP="00A376A8" w:rsidRDefault="00A73FF4" w14:paraId="4796E679" w14:textId="77777777">
            <w:pPr>
              <w:spacing w:after="0" w:line="240" w:lineRule="auto"/>
              <w:jc w:val="both"/>
              <w:rPr>
                <w:rFonts w:ascii="Century Gothic" w:hAnsi="Century Gothic" w:cs="Arial"/>
                <w:sz w:val="16"/>
                <w:szCs w:val="16"/>
              </w:rPr>
            </w:pPr>
            <w:r w:rsidRPr="005F1FB7">
              <w:rPr>
                <w:rFonts w:ascii="Century Gothic" w:hAnsi="Century Gothic" w:cs="Arial"/>
                <w:sz w:val="16"/>
                <w:szCs w:val="16"/>
              </w:rPr>
              <w:t>Contratista de la Subdirección de Gestión Contractual</w:t>
            </w:r>
          </w:p>
        </w:tc>
      </w:tr>
      <w:tr w:rsidRPr="005F1FB7" w:rsidR="00A73FF4" w:rsidTr="0ABA1BA5" w14:paraId="35FADBAC" w14:textId="77777777">
        <w:trPr>
          <w:trHeight w:val="409"/>
        </w:trPr>
        <w:tc>
          <w:tcPr>
            <w:tcW w:w="817" w:type="dxa"/>
            <w:tcBorders>
              <w:top w:val="nil"/>
              <w:left w:val="nil"/>
              <w:right w:val="nil"/>
            </w:tcBorders>
            <w:vAlign w:val="center"/>
          </w:tcPr>
          <w:p w:rsidRPr="005F1FB7" w:rsidR="00A73FF4" w:rsidP="00A376A8" w:rsidRDefault="00A73FF4" w14:paraId="43620687" w14:textId="77777777">
            <w:pPr>
              <w:jc w:val="both"/>
              <w:rPr>
                <w:rFonts w:ascii="Century Gothic" w:hAnsi="Century Gothic" w:cs="Arial"/>
                <w:sz w:val="16"/>
                <w:szCs w:val="16"/>
              </w:rPr>
            </w:pPr>
            <w:r w:rsidRPr="005F1FB7">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5F1FB7" w:rsidR="00A73FF4" w:rsidP="00A376A8" w:rsidRDefault="00A73FF4" w14:paraId="22A13733" w14:textId="77777777">
            <w:pPr>
              <w:spacing w:after="0" w:line="240" w:lineRule="auto"/>
              <w:jc w:val="both"/>
              <w:rPr>
                <w:rFonts w:ascii="Century Gothic" w:hAnsi="Century Gothic" w:cs="Arial"/>
                <w:sz w:val="16"/>
                <w:szCs w:val="16"/>
              </w:rPr>
            </w:pPr>
            <w:r w:rsidRPr="005F1FB7">
              <w:rPr>
                <w:rFonts w:ascii="Century Gothic" w:hAnsi="Century Gothic" w:cs="Arial"/>
                <w:sz w:val="16"/>
                <w:szCs w:val="16"/>
              </w:rPr>
              <w:t>Diana Carolina Armenta Celis</w:t>
            </w:r>
          </w:p>
          <w:p w:rsidRPr="005F1FB7" w:rsidR="00A73FF4" w:rsidP="0ABA1BA5" w:rsidRDefault="00A73FF4" w14:paraId="1DCF54F4" w14:textId="79DB8B1D">
            <w:pPr>
              <w:spacing w:after="0" w:line="240" w:lineRule="auto"/>
              <w:jc w:val="both"/>
              <w:rPr>
                <w:rFonts w:ascii="Century Gothic" w:hAnsi="Century Gothic" w:cs="Arial"/>
                <w:sz w:val="16"/>
                <w:szCs w:val="16"/>
              </w:rPr>
            </w:pPr>
            <w:r w:rsidRPr="005F1FB7">
              <w:rPr>
                <w:rFonts w:ascii="Century Gothic" w:hAnsi="Century Gothic" w:cs="Arial"/>
                <w:sz w:val="16"/>
                <w:szCs w:val="16"/>
              </w:rPr>
              <w:t>Contratista de la Subdirección de Gestión Contractual</w:t>
            </w:r>
          </w:p>
        </w:tc>
      </w:tr>
      <w:tr w:rsidRPr="005F1FB7" w:rsidR="00A73FF4" w:rsidTr="0ABA1BA5" w14:paraId="3D57143D" w14:textId="77777777">
        <w:trPr>
          <w:trHeight w:val="389"/>
        </w:trPr>
        <w:tc>
          <w:tcPr>
            <w:tcW w:w="817" w:type="dxa"/>
            <w:tcBorders>
              <w:top w:val="nil"/>
              <w:left w:val="nil"/>
              <w:bottom w:val="nil"/>
              <w:right w:val="nil"/>
            </w:tcBorders>
            <w:vAlign w:val="center"/>
            <w:hideMark/>
          </w:tcPr>
          <w:p w:rsidRPr="005F1FB7" w:rsidR="00A73FF4" w:rsidP="00A376A8" w:rsidRDefault="00A73FF4" w14:paraId="73CA36D0" w14:textId="77777777">
            <w:pPr>
              <w:spacing w:after="0" w:line="240" w:lineRule="auto"/>
              <w:jc w:val="both"/>
              <w:rPr>
                <w:rFonts w:ascii="Century Gothic" w:hAnsi="Century Gothic" w:cs="Arial"/>
                <w:sz w:val="16"/>
                <w:szCs w:val="16"/>
              </w:rPr>
            </w:pPr>
            <w:r w:rsidRPr="005F1FB7">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5F1FB7" w:rsidR="00A73FF4" w:rsidP="00A376A8" w:rsidRDefault="00A73FF4" w14:paraId="2FA5C7E5" w14:textId="77777777">
            <w:pPr>
              <w:spacing w:after="0" w:line="240" w:lineRule="auto"/>
              <w:jc w:val="both"/>
              <w:rPr>
                <w:rFonts w:ascii="Century Gothic" w:hAnsi="Century Gothic" w:cs="Arial"/>
                <w:sz w:val="16"/>
                <w:szCs w:val="16"/>
              </w:rPr>
            </w:pPr>
            <w:r w:rsidRPr="005F1FB7">
              <w:rPr>
                <w:rFonts w:ascii="Century Gothic" w:hAnsi="Century Gothic" w:cs="Arial"/>
                <w:sz w:val="16"/>
                <w:szCs w:val="16"/>
              </w:rPr>
              <w:t xml:space="preserve">Nohelia del Carmen </w:t>
            </w:r>
            <w:proofErr w:type="spellStart"/>
            <w:r w:rsidRPr="005F1FB7">
              <w:rPr>
                <w:rFonts w:ascii="Century Gothic" w:hAnsi="Century Gothic" w:cs="Arial"/>
                <w:sz w:val="16"/>
                <w:szCs w:val="16"/>
              </w:rPr>
              <w:t>Zawady</w:t>
            </w:r>
            <w:proofErr w:type="spellEnd"/>
            <w:r w:rsidRPr="005F1FB7">
              <w:rPr>
                <w:rFonts w:ascii="Century Gothic" w:hAnsi="Century Gothic" w:cs="Arial"/>
                <w:sz w:val="16"/>
                <w:szCs w:val="16"/>
              </w:rPr>
              <w:t xml:space="preserve"> Palacio</w:t>
            </w:r>
          </w:p>
          <w:p w:rsidRPr="005F1FB7" w:rsidR="00A73FF4" w:rsidP="00A376A8" w:rsidRDefault="00A73FF4" w14:paraId="05F25943" w14:textId="77777777">
            <w:pPr>
              <w:spacing w:after="0" w:line="240" w:lineRule="auto"/>
              <w:jc w:val="both"/>
              <w:rPr>
                <w:rFonts w:ascii="Century Gothic" w:hAnsi="Century Gothic" w:cs="Arial"/>
                <w:sz w:val="16"/>
                <w:szCs w:val="16"/>
              </w:rPr>
            </w:pPr>
            <w:r w:rsidRPr="005F1FB7">
              <w:rPr>
                <w:rFonts w:ascii="Century Gothic" w:hAnsi="Century Gothic" w:cs="Arial"/>
                <w:sz w:val="16"/>
                <w:szCs w:val="16"/>
              </w:rPr>
              <w:t>Subdirectora de Gestión Contractual ANCP - CCE</w:t>
            </w:r>
          </w:p>
        </w:tc>
      </w:tr>
      <w:bookmarkEnd w:id="2"/>
    </w:tbl>
    <w:p w:rsidRPr="005F1FB7" w:rsidR="00A73FF4" w:rsidP="00A73FF4" w:rsidRDefault="00A73FF4" w14:paraId="50B04B24" w14:textId="77777777">
      <w:pPr>
        <w:tabs>
          <w:tab w:val="left" w:pos="0"/>
        </w:tabs>
        <w:spacing w:line="276" w:lineRule="auto"/>
        <w:contextualSpacing/>
        <w:jc w:val="both"/>
        <w:rPr>
          <w:rFonts w:ascii="Century Gothic" w:hAnsi="Century Gothic"/>
          <w:lang w:val="es-MX"/>
        </w:rPr>
      </w:pPr>
    </w:p>
    <w:p w:rsidRPr="005F1FB7" w:rsidR="00127233" w:rsidP="00404B6A" w:rsidRDefault="00127233" w14:paraId="0F293BF4" w14:textId="0F6FB6C1">
      <w:pPr>
        <w:rPr>
          <w:rFonts w:ascii="Century Gothic" w:hAnsi="Century Gothic"/>
        </w:rPr>
      </w:pPr>
    </w:p>
    <w:sectPr w:rsidRPr="005F1FB7" w:rsidR="00127233" w:rsidSect="00B205B7">
      <w:headerReference w:type="default" r:id="rId13"/>
      <w:footerReference w:type="default" r:id="rId14"/>
      <w:pgSz w:w="12240" w:h="15840" w:orient="portrait" w:code="1"/>
      <w:pgMar w:top="1418" w:right="1701" w:bottom="1418" w:left="1701"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2EF" w:rsidP="004A1847" w:rsidRDefault="00B522EF" w14:paraId="2D1A6855" w14:textId="77777777">
      <w:pPr>
        <w:spacing w:after="0" w:line="240" w:lineRule="auto"/>
      </w:pPr>
      <w:r>
        <w:separator/>
      </w:r>
    </w:p>
  </w:endnote>
  <w:endnote w:type="continuationSeparator" w:id="0">
    <w:p w:rsidR="00B522EF" w:rsidP="004A1847" w:rsidRDefault="00B522EF" w14:paraId="3E58A03E" w14:textId="77777777">
      <w:pPr>
        <w:spacing w:after="0" w:line="240" w:lineRule="auto"/>
      </w:pPr>
      <w:r>
        <w:continuationSeparator/>
      </w:r>
    </w:p>
  </w:endnote>
  <w:endnote w:type="continuationNotice" w:id="1">
    <w:p w:rsidR="00B522EF" w:rsidRDefault="00B522EF" w14:paraId="7D6733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Arial"/>
    <w:panose1 w:val="00000000000000000000"/>
    <w:charset w:val="00"/>
    <w:family w:val="modern"/>
    <w:notTrueType/>
    <w:pitch w:val="variable"/>
    <w:sig w:usb0="A000002F" w:usb1="1000004A" w:usb2="00000000" w:usb3="00000000" w:csb0="00000193" w:csb1="00000000"/>
  </w:font>
  <w:font w:name="Geomanist">
    <w:altName w:val="Corbel"/>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orbel"/>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D7711" w:rsidRDefault="00ED7711" w14:paraId="39FDB2B1" w14:textId="77777777">
    <w:pPr>
      <w:pStyle w:val="Piedepgina"/>
    </w:pPr>
    <w:r>
      <w:rPr>
        <w:noProof/>
      </w:rPr>
      <w:drawing>
        <wp:inline distT="0" distB="0" distL="0" distR="0" wp14:anchorId="269E8C84" wp14:editId="2B8171F4">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4384" behindDoc="0" locked="0" layoutInCell="1" allowOverlap="1" wp14:anchorId="1FFD7ADB" wp14:editId="5A5ED589">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ED7711" w:rsidTr="00B72CD3" w14:paraId="3FB53AD3"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ED7711" w:rsidP="006219F8" w:rsidRDefault="00ED7711" w14:paraId="54BD0365"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ED7711" w:rsidP="006219F8" w:rsidRDefault="00ED7711" w14:paraId="72382463"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ED7711" w:rsidP="00FC2B5D" w:rsidRDefault="00ED7711" w14:paraId="6ED8DCFA"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ED7711" w:rsidP="00820278" w:rsidRDefault="00ED7711" w14:paraId="10A25C22"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58099F" w:rsidRDefault="0058099F" w14:paraId="48AE82B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2EF" w:rsidP="004A1847" w:rsidRDefault="00B522EF" w14:paraId="70EB7B71" w14:textId="77777777">
      <w:pPr>
        <w:spacing w:after="0" w:line="240" w:lineRule="auto"/>
      </w:pPr>
      <w:r>
        <w:separator/>
      </w:r>
    </w:p>
  </w:footnote>
  <w:footnote w:type="continuationSeparator" w:id="0">
    <w:p w:rsidR="00B522EF" w:rsidP="004A1847" w:rsidRDefault="00B522EF" w14:paraId="2B1238BE" w14:textId="77777777">
      <w:pPr>
        <w:spacing w:after="0" w:line="240" w:lineRule="auto"/>
      </w:pPr>
      <w:r>
        <w:continuationSeparator/>
      </w:r>
    </w:p>
  </w:footnote>
  <w:footnote w:type="continuationNotice" w:id="1">
    <w:p w:rsidR="00B522EF" w:rsidRDefault="00B522EF" w14:paraId="2628674C" w14:textId="77777777">
      <w:pPr>
        <w:spacing w:after="0" w:line="240" w:lineRule="auto"/>
      </w:pPr>
    </w:p>
  </w:footnote>
  <w:footnote w:id="2">
    <w:p w:rsidRPr="002757AC" w:rsidR="00A73FF4" w:rsidP="002757AC" w:rsidRDefault="00A73FF4" w14:paraId="158CBE57" w14:textId="77777777">
      <w:pPr>
        <w:pStyle w:val="Textonotapie"/>
        <w:ind w:firstLine="708"/>
        <w:jc w:val="both"/>
        <w:rPr>
          <w:rFonts w:ascii="Century Gothic" w:hAnsi="Century Gothic" w:cs="Arial"/>
          <w:sz w:val="16"/>
          <w:szCs w:val="16"/>
          <w:lang w:val="es-ES"/>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La Agencia Nacional de Contratación Pública </w:t>
      </w:r>
      <w:r w:rsidRPr="002757AC">
        <w:rPr>
          <w:rFonts w:ascii="Arial" w:hAnsi="Arial" w:cs="Arial"/>
          <w:sz w:val="16"/>
          <w:szCs w:val="16"/>
        </w:rPr>
        <w:t>‒</w:t>
      </w:r>
      <w:r w:rsidRPr="002757AC">
        <w:rPr>
          <w:rFonts w:ascii="Century Gothic" w:hAnsi="Century Gothic" w:cs="Arial"/>
          <w:sz w:val="16"/>
          <w:szCs w:val="16"/>
        </w:rPr>
        <w:t xml:space="preserve"> Colombia Compra Eficiente fue creada por el Decreto Ley 4170 de 2011. Su objetivo es servir como ente rector de la pol</w:t>
      </w:r>
      <w:r w:rsidRPr="002757AC">
        <w:rPr>
          <w:rFonts w:ascii="Century Gothic" w:hAnsi="Century Gothic" w:cs="Century Gothic"/>
          <w:sz w:val="16"/>
          <w:szCs w:val="16"/>
        </w:rPr>
        <w:t>í</w:t>
      </w:r>
      <w:r w:rsidRPr="002757AC">
        <w:rPr>
          <w:rFonts w:ascii="Century Gothic" w:hAnsi="Century Gothic" w:cs="Arial"/>
          <w:sz w:val="16"/>
          <w:szCs w:val="16"/>
        </w:rPr>
        <w:t>tica de compras y contrataci</w:t>
      </w:r>
      <w:r w:rsidRPr="002757AC">
        <w:rPr>
          <w:rFonts w:ascii="Century Gothic" w:hAnsi="Century Gothic" w:cs="Century Gothic"/>
          <w:sz w:val="16"/>
          <w:szCs w:val="16"/>
        </w:rPr>
        <w:t>ó</w:t>
      </w:r>
      <w:r w:rsidRPr="002757AC">
        <w:rPr>
          <w:rFonts w:ascii="Century Gothic" w:hAnsi="Century Gothic" w:cs="Arial"/>
          <w:sz w:val="16"/>
          <w:szCs w:val="16"/>
        </w:rPr>
        <w:t xml:space="preserve">n del Estado. Para tales fines, como </w:t>
      </w:r>
      <w:r w:rsidRPr="002757AC">
        <w:rPr>
          <w:rFonts w:ascii="Century Gothic" w:hAnsi="Century Gothic" w:cs="Century Gothic"/>
          <w:sz w:val="16"/>
          <w:szCs w:val="16"/>
        </w:rPr>
        <w:t>ó</w:t>
      </w:r>
      <w:r w:rsidRPr="002757AC">
        <w:rPr>
          <w:rFonts w:ascii="Century Gothic" w:hAnsi="Century Gothic" w:cs="Arial"/>
          <w:sz w:val="16"/>
          <w:szCs w:val="16"/>
        </w:rPr>
        <w:t>rgano t</w:t>
      </w:r>
      <w:r w:rsidRPr="002757AC">
        <w:rPr>
          <w:rFonts w:ascii="Century Gothic" w:hAnsi="Century Gothic" w:cs="Century Gothic"/>
          <w:sz w:val="16"/>
          <w:szCs w:val="16"/>
        </w:rPr>
        <w:t>é</w:t>
      </w:r>
      <w:r w:rsidRPr="002757AC">
        <w:rPr>
          <w:rFonts w:ascii="Century Gothic"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2757AC">
        <w:rPr>
          <w:rFonts w:ascii="Century Gothic" w:hAnsi="Century Gothic" w:cs="Arial"/>
          <w:i/>
          <w:iCs/>
          <w:sz w:val="16"/>
          <w:szCs w:val="16"/>
        </w:rPr>
        <w:t xml:space="preserve">ibidem </w:t>
      </w:r>
      <w:r w:rsidRPr="002757AC">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2757AC" w:rsidR="00A73FF4" w:rsidP="002757AC" w:rsidRDefault="00A73FF4" w14:paraId="536ED3B7" w14:textId="77777777">
      <w:pPr>
        <w:pStyle w:val="Textonotapie"/>
        <w:ind w:firstLine="708"/>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w:t>
      </w:r>
      <w:hyperlink w:history="1" r:id="rId1">
        <w:r w:rsidRPr="002757AC">
          <w:rPr>
            <w:rStyle w:val="Hipervnculo"/>
            <w:rFonts w:ascii="Century Gothic" w:hAnsi="Century Gothic" w:cs="Arial"/>
            <w:sz w:val="16"/>
            <w:szCs w:val="16"/>
          </w:rPr>
          <w:t>https://regimenjuridico.grupovanti.com/ver_leyes.php?id=681</w:t>
        </w:r>
      </w:hyperlink>
      <w:r w:rsidRPr="002757AC">
        <w:rPr>
          <w:rFonts w:ascii="Century Gothic" w:hAnsi="Century Gothic" w:cs="Arial"/>
          <w:sz w:val="16"/>
          <w:szCs w:val="16"/>
        </w:rPr>
        <w:t>, documento consultado el 6 de junio de 2023.</w:t>
      </w:r>
    </w:p>
  </w:footnote>
  <w:footnote w:id="4">
    <w:p w:rsidRPr="002757AC" w:rsidR="00A73FF4" w:rsidP="002757AC" w:rsidRDefault="00A73FF4" w14:paraId="5DBCF197" w14:textId="77777777">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2">
        <w:r w:rsidRPr="002757AC">
          <w:rPr>
            <w:rStyle w:val="Hipervnculo"/>
            <w:rFonts w:ascii="Century Gothic" w:hAnsi="Century Gothic" w:cs="Arial"/>
            <w:sz w:val="16"/>
            <w:szCs w:val="16"/>
          </w:rPr>
          <w:t>https://relatoria.colombiacompra.gov.co/busqueda/conceptos</w:t>
        </w:r>
      </w:hyperlink>
      <w:r w:rsidRPr="002757AC">
        <w:rPr>
          <w:rStyle w:val="Hipervnculo"/>
          <w:rFonts w:ascii="Century Gothic" w:hAnsi="Century Gothic" w:cs="Arial"/>
          <w:color w:val="auto"/>
          <w:sz w:val="16"/>
          <w:szCs w:val="16"/>
        </w:rPr>
        <w:t xml:space="preserve">. </w:t>
      </w:r>
      <w:r w:rsidRPr="002757AC">
        <w:rPr>
          <w:rFonts w:ascii="Century Gothic" w:hAnsi="Century Gothic" w:cs="Arial"/>
          <w:sz w:val="16"/>
          <w:szCs w:val="16"/>
          <w:shd w:val="clear" w:color="auto" w:fill="E6E6E6"/>
        </w:rPr>
        <w:t xml:space="preserve"> </w:t>
      </w:r>
    </w:p>
  </w:footnote>
  <w:footnote w:id="5">
    <w:p w:rsidRPr="002757AC" w:rsidR="00A73FF4" w:rsidP="002757AC" w:rsidRDefault="00A73FF4" w14:paraId="348D0D17" w14:textId="77777777">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Sobre esta norma, consultar los conceptos del 8 de octubre de 2019, con radicado No. 2201913000007532, y del 20 de diciembre de 2019, con radicado No. 4201913000008240.</w:t>
      </w:r>
    </w:p>
  </w:footnote>
  <w:footnote w:id="6">
    <w:p w:rsidRPr="002757AC" w:rsidR="00A73FF4" w:rsidP="002757AC" w:rsidRDefault="00A73FF4" w14:paraId="223C0007" w14:textId="77777777">
      <w:pPr>
        <w:pStyle w:val="Textonotapie"/>
        <w:ind w:firstLine="708"/>
        <w:jc w:val="both"/>
        <w:rPr>
          <w:rFonts w:ascii="Century Gothic" w:hAnsi="Century Gothic" w:cs="Arial"/>
          <w:sz w:val="16"/>
          <w:szCs w:val="16"/>
        </w:rPr>
      </w:pPr>
      <w:r w:rsidRPr="002757AC">
        <w:rPr>
          <w:rStyle w:val="Refdenotaalpie"/>
          <w:rFonts w:ascii="Century Gothic" w:hAnsi="Century Gothic"/>
          <w:sz w:val="16"/>
          <w:szCs w:val="16"/>
        </w:rPr>
        <w:footnoteRef/>
      </w:r>
      <w:r w:rsidRPr="002757AC">
        <w:rPr>
          <w:rFonts w:ascii="Century Gothic" w:hAnsi="Century Gothic"/>
          <w:sz w:val="16"/>
          <w:szCs w:val="16"/>
        </w:rPr>
        <w:t xml:space="preserve"> </w:t>
      </w:r>
      <w:r w:rsidRPr="002757AC">
        <w:rPr>
          <w:rFonts w:ascii="Century Gothic" w:hAnsi="Century Gothic" w:cs="Arial"/>
          <w:sz w:val="16"/>
          <w:szCs w:val="16"/>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2757AC" w:rsidR="00A73FF4" w:rsidP="002757AC" w:rsidRDefault="00A73FF4" w14:paraId="72D9C9C2" w14:textId="77777777">
      <w:pPr>
        <w:pStyle w:val="Textonotapie"/>
        <w:ind w:firstLine="708"/>
        <w:jc w:val="both"/>
        <w:rPr>
          <w:rFonts w:ascii="Century Gothic" w:hAnsi="Century Gothic" w:cs="Arial"/>
          <w:sz w:val="16"/>
          <w:szCs w:val="16"/>
        </w:rPr>
      </w:pPr>
      <w:r w:rsidRPr="002757AC">
        <w:rPr>
          <w:rFonts w:ascii="Century Gothic" w:hAnsi="Century Gothic" w:cs="Arial"/>
          <w:sz w:val="16"/>
          <w:szCs w:val="16"/>
        </w:rPr>
        <w:t xml:space="preserve">Los convenios de asociación a que se refiere el presente artículo </w:t>
      </w:r>
      <w:bookmarkStart w:name="_Hlk36023315" w:id="4"/>
      <w:r w:rsidRPr="002757AC">
        <w:rPr>
          <w:rFonts w:ascii="Century Gothic" w:hAnsi="Century Gothic" w:cs="Arial"/>
          <w:sz w:val="16"/>
          <w:szCs w:val="16"/>
        </w:rPr>
        <w:t>se celebrarán de conformidad con lo dispuesto en el artículo 355 de la Constitución Política</w:t>
      </w:r>
      <w:bookmarkEnd w:id="4"/>
      <w:r w:rsidRPr="002757AC">
        <w:rPr>
          <w:rFonts w:ascii="Century Gothic" w:hAnsi="Century Gothic" w:cs="Arial"/>
          <w:sz w:val="16"/>
          <w:szCs w:val="16"/>
        </w:rPr>
        <w:t>, en ellos se determinará con precisión su objeto, término, obligaciones de las partes, aportes, coordinación y todos aquellos aspectos que se consideren pertinentes”.</w:t>
      </w:r>
    </w:p>
    <w:p w:rsidRPr="002757AC" w:rsidR="00A73FF4" w:rsidP="002757AC" w:rsidRDefault="00A73FF4" w14:paraId="281E00AD" w14:textId="77777777">
      <w:pPr>
        <w:pStyle w:val="Textonotapie"/>
        <w:ind w:firstLine="708"/>
        <w:jc w:val="both"/>
        <w:rPr>
          <w:rFonts w:ascii="Century Gothic" w:hAnsi="Century Gothic"/>
          <w:sz w:val="16"/>
          <w:szCs w:val="16"/>
          <w:lang w:val="es-ES"/>
        </w:rPr>
      </w:pPr>
      <w:r w:rsidRPr="002757AC">
        <w:rPr>
          <w:rFonts w:ascii="Century Gothic" w:hAnsi="Century Gothic"/>
          <w:sz w:val="16"/>
          <w:szCs w:val="16"/>
        </w:rPr>
        <w:t xml:space="preserve"> </w:t>
      </w:r>
    </w:p>
  </w:footnote>
  <w:footnote w:id="7">
    <w:p w:rsidRPr="002757AC" w:rsidR="00A73FF4" w:rsidP="002757AC" w:rsidRDefault="00A73FF4" w14:paraId="220CC797" w14:textId="77777777">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Concepto del 3 de septiembre de 2019, con radicado No. 2201913000006512.</w:t>
      </w:r>
    </w:p>
  </w:footnote>
  <w:footnote w:id="8">
    <w:p w:rsidRPr="002757AC" w:rsidR="00A73FF4" w:rsidP="002757AC" w:rsidRDefault="00A73FF4" w14:paraId="5F519E0E" w14:textId="77777777">
      <w:pPr>
        <w:pStyle w:val="Textonotapie"/>
        <w:ind w:firstLine="708"/>
        <w:jc w:val="both"/>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Sobre la naturaleza de los convenios de asociación, se reitera lo expuesto en el concepto del 19 de noviembre de 2019, con radicado No. 2201913000008611.</w:t>
      </w:r>
    </w:p>
  </w:footnote>
  <w:footnote w:id="9">
    <w:p w:rsidRPr="002757AC" w:rsidR="00A73FF4" w:rsidP="002757AC" w:rsidRDefault="00A73FF4" w14:paraId="592973C0" w14:textId="77777777">
      <w:pPr>
        <w:pStyle w:val="Textonotapie"/>
        <w:ind w:firstLine="708"/>
        <w:jc w:val="both"/>
        <w:rPr>
          <w:rFonts w:ascii="Century Gothic" w:hAnsi="Century Gothic" w:cs="Arial"/>
          <w:color w:val="000000" w:themeColor="text1"/>
          <w:sz w:val="16"/>
          <w:szCs w:val="16"/>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Cfr. Concepto del 21 de agosto de 2019, dictado dentro del radicado No. 2201913000006047.</w:t>
      </w:r>
    </w:p>
  </w:footnote>
  <w:footnote w:id="10">
    <w:p w:rsidRPr="002757AC" w:rsidR="00A73FF4" w:rsidP="002757AC" w:rsidRDefault="00A73FF4" w14:paraId="264A5F79" w14:textId="77777777">
      <w:pPr>
        <w:pStyle w:val="Textonotapie"/>
        <w:ind w:firstLine="708"/>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Concepto del 24 de febrero de 2005, con radicado No. 1626, C.P. Dra. Gloria Duque Hernández</w:t>
      </w:r>
    </w:p>
  </w:footnote>
  <w:footnote w:id="11">
    <w:p w:rsidRPr="002757AC" w:rsidR="00A73FF4" w:rsidP="002757AC" w:rsidRDefault="00A73FF4" w14:paraId="0E3D6CD1" w14:textId="77777777">
      <w:pPr>
        <w:pStyle w:val="Textonotapie"/>
        <w:ind w:firstLine="709"/>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w:t>
      </w:r>
      <w:r w:rsidRPr="002757AC">
        <w:rPr>
          <w:rFonts w:ascii="Century Gothic" w:hAnsi="Century Gothic" w:cs="Arial"/>
          <w:color w:val="000000" w:themeColor="text1"/>
          <w:sz w:val="16"/>
          <w:szCs w:val="16"/>
          <w:lang w:val="es-ES"/>
        </w:rPr>
        <w:t>Magistrado Ponente: Marco Gerardo Monroy Cabra.</w:t>
      </w:r>
    </w:p>
  </w:footnote>
  <w:footnote w:id="12">
    <w:p w:rsidRPr="002757AC" w:rsidR="00A73FF4" w:rsidP="002757AC" w:rsidRDefault="00A73FF4" w14:paraId="658448D1" w14:textId="77777777">
      <w:pPr>
        <w:pStyle w:val="Textonotapie"/>
        <w:ind w:firstLine="709"/>
        <w:jc w:val="both"/>
        <w:rPr>
          <w:rFonts w:ascii="Century Gothic" w:hAnsi="Century Gothic" w:cs="Arial"/>
          <w:color w:val="000000" w:themeColor="text1"/>
          <w:sz w:val="16"/>
          <w:szCs w:val="16"/>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En lo pertinente, dicho artículo señala: </w:t>
      </w:r>
    </w:p>
    <w:p w:rsidRPr="002757AC" w:rsidR="00A73FF4" w:rsidP="002757AC" w:rsidRDefault="00A73FF4" w14:paraId="1EEA714A" w14:textId="77777777">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w:t>
      </w:r>
    </w:p>
    <w:p w:rsidRPr="002757AC" w:rsidR="00A73FF4" w:rsidP="002757AC" w:rsidRDefault="00A73FF4" w14:paraId="2308E4EC" w14:textId="77777777">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14.5. EMPRESA DE SERVICIOS PÚBLICOS OFICIAL. Es aquella en cuyo capital la Nación, las entidades territoriales, o las entidades descentralizadas de aquella o estas tienen el 100% de los aportes.</w:t>
      </w:r>
    </w:p>
    <w:p w:rsidRPr="002757AC" w:rsidR="00A73FF4" w:rsidP="002757AC" w:rsidRDefault="00A73FF4" w14:paraId="2742FEB0" w14:textId="77777777">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14.6. EMPRESA DE SERVICIOS PÚBLICOS MIXTA. Es aquella en cuyo capital la Nación, las entidades territoriales, o las entidades descentralizadas de aquella o éstas tienen aportes iguales o superiores al 50%.</w:t>
      </w:r>
    </w:p>
    <w:p w:rsidRPr="002757AC" w:rsidR="00A73FF4" w:rsidP="002757AC" w:rsidRDefault="00A73FF4" w14:paraId="50316E51" w14:textId="77777777">
      <w:pPr>
        <w:pStyle w:val="Textonotapie"/>
        <w:ind w:firstLine="709"/>
        <w:jc w:val="both"/>
        <w:rPr>
          <w:rFonts w:ascii="Century Gothic" w:hAnsi="Century Gothic" w:cs="Arial"/>
          <w:color w:val="000000" w:themeColor="text1"/>
          <w:sz w:val="16"/>
          <w:szCs w:val="16"/>
          <w:lang w:val="es-ES"/>
        </w:rPr>
      </w:pPr>
      <w:r w:rsidRPr="002757AC">
        <w:rPr>
          <w:rFonts w:ascii="Century Gothic" w:hAnsi="Century Gothic" w:cs="Arial"/>
          <w:color w:val="000000" w:themeColor="text1"/>
          <w:sz w:val="16"/>
          <w:szCs w:val="16"/>
          <w:lang w:val="es-ES"/>
        </w:rPr>
        <w:t>14.7. EMPRESA DE SERVICIOS PÚBLICOS PRIVADA. Es aquella cuyo capital pertenece mayoritariamente a particulares, o a entidades surgidas de convenios internacionales que deseen someterse íntegramente para estos efectos a las reglas a las que se someten los particulares”.</w:t>
      </w:r>
    </w:p>
  </w:footnote>
  <w:footnote w:id="13">
    <w:p w:rsidRPr="002757AC" w:rsidR="00A73FF4" w:rsidP="002757AC" w:rsidRDefault="00A73FF4" w14:paraId="1362051A" w14:textId="77777777">
      <w:pPr>
        <w:pStyle w:val="Textonotapie"/>
        <w:ind w:firstLine="709"/>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Sentencia C-736 de 2007.</w:t>
      </w:r>
    </w:p>
  </w:footnote>
  <w:footnote w:id="14">
    <w:p w:rsidRPr="002757AC" w:rsidR="00A73FF4" w:rsidP="002757AC" w:rsidRDefault="00A73FF4" w14:paraId="326A6A99" w14:textId="77777777">
      <w:pPr>
        <w:pStyle w:val="Textonotapie"/>
        <w:ind w:firstLine="709"/>
        <w:jc w:val="both"/>
        <w:rPr>
          <w:rFonts w:ascii="Century Gothic" w:hAnsi="Century Gothic" w:cs="Arial"/>
          <w:color w:val="000000" w:themeColor="text1"/>
          <w:sz w:val="16"/>
          <w:szCs w:val="16"/>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Consejo de Estado. Seccion Cuarta. Sentencia del 1 de 2012. Consejero ponente: William Giraldo Giraldo. Expediente 17907. </w:t>
      </w:r>
    </w:p>
  </w:footnote>
  <w:footnote w:id="15">
    <w:p w:rsidRPr="002757AC" w:rsidR="00A73FF4" w:rsidP="002757AC" w:rsidRDefault="00A73FF4" w14:paraId="3788333E" w14:textId="77777777">
      <w:pPr>
        <w:pStyle w:val="Textonotapie"/>
        <w:ind w:firstLine="709"/>
        <w:jc w:val="both"/>
        <w:rPr>
          <w:rFonts w:ascii="Century Gothic" w:hAnsi="Century Gothic" w:cs="Arial"/>
          <w:color w:val="000000" w:themeColor="text1"/>
          <w:sz w:val="16"/>
          <w:szCs w:val="16"/>
          <w:lang w:val="es-ES"/>
        </w:rPr>
      </w:pPr>
      <w:r w:rsidRPr="002757AC">
        <w:rPr>
          <w:rStyle w:val="Refdenotaalpie"/>
          <w:rFonts w:ascii="Century Gothic" w:hAnsi="Century Gothic" w:cs="Arial"/>
          <w:color w:val="000000" w:themeColor="text1"/>
          <w:sz w:val="16"/>
          <w:szCs w:val="16"/>
        </w:rPr>
        <w:footnoteRef/>
      </w:r>
      <w:r w:rsidRPr="002757AC">
        <w:rPr>
          <w:rFonts w:ascii="Century Gothic" w:hAnsi="Century Gothic" w:cs="Arial"/>
          <w:color w:val="000000" w:themeColor="text1"/>
          <w:sz w:val="16"/>
          <w:szCs w:val="16"/>
        </w:rPr>
        <w:t xml:space="preserve"> Superintendencia de Servicios Públicos Domiciliarios. </w:t>
      </w:r>
      <w:r w:rsidRPr="002757AC">
        <w:rPr>
          <w:rFonts w:ascii="Century Gothic" w:hAnsi="Century Gothic" w:cs="Arial"/>
          <w:color w:val="000000" w:themeColor="text1"/>
          <w:sz w:val="16"/>
          <w:szCs w:val="16"/>
          <w:lang w:val="es-ES"/>
        </w:rPr>
        <w:t>Concepto C-766 de 2021.</w:t>
      </w:r>
    </w:p>
  </w:footnote>
  <w:footnote w:id="16">
    <w:p w:rsidRPr="002757AC" w:rsidR="00A73FF4" w:rsidP="002757AC" w:rsidRDefault="00A73FF4" w14:paraId="7F22AC2F" w14:textId="77777777">
      <w:pPr>
        <w:pStyle w:val="Textonotapie"/>
        <w:ind w:firstLine="708"/>
        <w:rPr>
          <w:rFonts w:ascii="Century Gothic" w:hAnsi="Century Gothic" w:cs="Arial"/>
          <w:sz w:val="16"/>
          <w:szCs w:val="16"/>
        </w:rPr>
      </w:pPr>
      <w:r w:rsidRPr="002757AC">
        <w:rPr>
          <w:rStyle w:val="Refdenotaalpie"/>
          <w:rFonts w:ascii="Century Gothic" w:hAnsi="Century Gothic" w:cs="Arial"/>
          <w:sz w:val="16"/>
          <w:szCs w:val="16"/>
        </w:rPr>
        <w:footnoteRef/>
      </w:r>
      <w:r w:rsidRPr="002757AC">
        <w:rPr>
          <w:rFonts w:ascii="Century Gothic" w:hAnsi="Century Gothic" w:cs="Arial"/>
          <w:sz w:val="16"/>
          <w:szCs w:val="16"/>
        </w:rPr>
        <w:t xml:space="preserve"> </w:t>
      </w:r>
      <w:hyperlink w:history="1" r:id="rId3">
        <w:r w:rsidRPr="002757AC">
          <w:rPr>
            <w:rStyle w:val="Hipervnculo"/>
            <w:rFonts w:ascii="Century Gothic" w:hAnsi="Century Gothic" w:cs="Arial"/>
            <w:sz w:val="16"/>
            <w:szCs w:val="16"/>
          </w:rPr>
          <w:t>https://regimenjuridico.grupovanti.com/ver_leyes.php?id=681</w:t>
        </w:r>
      </w:hyperlink>
      <w:r w:rsidRPr="002757AC">
        <w:rPr>
          <w:rFonts w:ascii="Century Gothic" w:hAnsi="Century Gothic" w:cs="Arial"/>
          <w:sz w:val="16"/>
          <w:szCs w:val="16"/>
        </w:rPr>
        <w:t>, documento consultado el 6 de junio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099F" w:rsidRDefault="0058099F" w14:paraId="5B9CCDDA" w14:textId="77777777">
    <w:pPr>
      <w:pStyle w:val="Encabezado"/>
    </w:pPr>
    <w:r>
      <w:rPr>
        <w:noProof/>
      </w:rPr>
      <w:drawing>
        <wp:anchor distT="0" distB="0" distL="114300" distR="114300" simplePos="0" relativeHeight="251659264" behindDoc="1" locked="0" layoutInCell="1" allowOverlap="1" wp14:anchorId="7B596B4B" wp14:editId="3076081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2336" behindDoc="0" locked="0" layoutInCell="1" allowOverlap="1" wp14:anchorId="3B205CB4" wp14:editId="639127C6">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52AFD495" wp14:editId="3E7B496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BC804A" wp14:editId="4C92585F">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58099F" w:rsidRDefault="0058099F" w14:paraId="2992000F" w14:textId="77777777">
    <w:pPr>
      <w:pStyle w:val="Encabezado"/>
    </w:pPr>
  </w:p>
  <w:p w:rsidR="0058099F" w:rsidRDefault="0058099F" w14:paraId="61190D73" w14:textId="77777777">
    <w:pPr>
      <w:pStyle w:val="Encabezado"/>
    </w:pPr>
  </w:p>
  <w:p w:rsidRPr="004A305D" w:rsidR="0058099F" w:rsidP="004A305D" w:rsidRDefault="0058099F" w14:paraId="1925D1FE"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58099F" w:rsidP="004A305D" w:rsidRDefault="0058099F" w14:paraId="5AF5AF40"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58099F" w:rsidP="004A305D" w:rsidRDefault="0058099F" w14:paraId="1E510A03"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Pr="00BE3557" w:rsidR="004A1847" w:rsidP="0058099F" w:rsidRDefault="004A1847" w14:paraId="1D9AD711" w14:textId="5827BD16">
    <w:pPr>
      <w:pStyle w:val="Encabezado"/>
      <w:tabs>
        <w:tab w:val="clear" w:pos="4419"/>
        <w:tab w:val="clear" w:pos="8838"/>
      </w:tabs>
      <w:rPr>
        <w:b/>
        <w:bCs/>
        <w:color w:val="A5A5A5" w:themeColor="accent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FE0"/>
    <w:rsid w:val="0007102C"/>
    <w:rsid w:val="00083334"/>
    <w:rsid w:val="000956CF"/>
    <w:rsid w:val="00095EDD"/>
    <w:rsid w:val="000A683E"/>
    <w:rsid w:val="0011595A"/>
    <w:rsid w:val="001220C5"/>
    <w:rsid w:val="001267F7"/>
    <w:rsid w:val="00127233"/>
    <w:rsid w:val="00130999"/>
    <w:rsid w:val="00164D81"/>
    <w:rsid w:val="00173263"/>
    <w:rsid w:val="001A1011"/>
    <w:rsid w:val="001A48D0"/>
    <w:rsid w:val="002653C1"/>
    <w:rsid w:val="0026611D"/>
    <w:rsid w:val="002757AC"/>
    <w:rsid w:val="002951A0"/>
    <w:rsid w:val="002A64FD"/>
    <w:rsid w:val="002F0839"/>
    <w:rsid w:val="00301469"/>
    <w:rsid w:val="00306EE1"/>
    <w:rsid w:val="00310B9B"/>
    <w:rsid w:val="0036461C"/>
    <w:rsid w:val="00367884"/>
    <w:rsid w:val="0039439C"/>
    <w:rsid w:val="003B69E7"/>
    <w:rsid w:val="003C013B"/>
    <w:rsid w:val="003D0F4D"/>
    <w:rsid w:val="003F0120"/>
    <w:rsid w:val="003F58A1"/>
    <w:rsid w:val="00404B6A"/>
    <w:rsid w:val="00410DD6"/>
    <w:rsid w:val="004134C9"/>
    <w:rsid w:val="0043138C"/>
    <w:rsid w:val="00462A59"/>
    <w:rsid w:val="004A1847"/>
    <w:rsid w:val="004B6B0E"/>
    <w:rsid w:val="004C2839"/>
    <w:rsid w:val="004D25B3"/>
    <w:rsid w:val="004D5FAE"/>
    <w:rsid w:val="00511405"/>
    <w:rsid w:val="00526E9D"/>
    <w:rsid w:val="00547856"/>
    <w:rsid w:val="00547A74"/>
    <w:rsid w:val="005566E8"/>
    <w:rsid w:val="00566471"/>
    <w:rsid w:val="005746AB"/>
    <w:rsid w:val="0058099F"/>
    <w:rsid w:val="0059357F"/>
    <w:rsid w:val="005A1130"/>
    <w:rsid w:val="005D65C8"/>
    <w:rsid w:val="005F1FB7"/>
    <w:rsid w:val="006219F8"/>
    <w:rsid w:val="00681FDB"/>
    <w:rsid w:val="006A7DAD"/>
    <w:rsid w:val="006D70BA"/>
    <w:rsid w:val="007566FE"/>
    <w:rsid w:val="0076726F"/>
    <w:rsid w:val="0077144B"/>
    <w:rsid w:val="00793403"/>
    <w:rsid w:val="007A2DEA"/>
    <w:rsid w:val="007C0CDF"/>
    <w:rsid w:val="007D62FA"/>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C5F92"/>
    <w:rsid w:val="009E42CB"/>
    <w:rsid w:val="009F33F2"/>
    <w:rsid w:val="009F6C77"/>
    <w:rsid w:val="00A07532"/>
    <w:rsid w:val="00A1085C"/>
    <w:rsid w:val="00A309E2"/>
    <w:rsid w:val="00A73FF4"/>
    <w:rsid w:val="00A8066E"/>
    <w:rsid w:val="00AA4B8A"/>
    <w:rsid w:val="00AA6BF7"/>
    <w:rsid w:val="00B01ED6"/>
    <w:rsid w:val="00B06D09"/>
    <w:rsid w:val="00B205B7"/>
    <w:rsid w:val="00B522EF"/>
    <w:rsid w:val="00B771A9"/>
    <w:rsid w:val="00B809BB"/>
    <w:rsid w:val="00B8248A"/>
    <w:rsid w:val="00BB7726"/>
    <w:rsid w:val="00BE3557"/>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60632"/>
    <w:rsid w:val="00EA3003"/>
    <w:rsid w:val="00EB3C91"/>
    <w:rsid w:val="00EB66DA"/>
    <w:rsid w:val="00ED7711"/>
    <w:rsid w:val="00F605F2"/>
    <w:rsid w:val="00F76AFC"/>
    <w:rsid w:val="00F8319B"/>
    <w:rsid w:val="00FA5516"/>
    <w:rsid w:val="00FD6F73"/>
    <w:rsid w:val="0ABA1BA5"/>
    <w:rsid w:val="1CC63BF5"/>
    <w:rsid w:val="279D87A0"/>
    <w:rsid w:val="2F9951DC"/>
    <w:rsid w:val="2FEC6184"/>
    <w:rsid w:val="3C179F62"/>
    <w:rsid w:val="3EA2D60F"/>
    <w:rsid w:val="5B755EA3"/>
    <w:rsid w:val="6B8BD3AC"/>
    <w:rsid w:val="75F47472"/>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Ttulo1Car" w:customStyle="1">
    <w:name w:val="Título 1 Car"/>
    <w:basedOn w:val="Fuentedeprrafopredeter"/>
    <w:link w:val="Ttulo1"/>
    <w:uiPriority w:val="9"/>
    <w:rsid w:val="00904F23"/>
    <w:rPr>
      <w:rFonts w:ascii="Arial" w:hAnsi="Arial" w:eastAsia="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styleId="TextocomentarioCar" w:customStyle="1">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styleId="AsuntodelcomentarioCar" w:customStyle="1">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A73FF4"/>
    <w:rPr>
      <w:color w:val="0563C1" w:themeColor="hyperlink"/>
      <w:u w:val="single"/>
    </w:rPr>
  </w:style>
  <w:style w:type="paragraph" w:styleId="Appelnotedebasde" w:customStyle="1">
    <w:name w:val="Appel note de bas de..."/>
    <w:basedOn w:val="Normal"/>
    <w:link w:val="Refdenotaalpie"/>
    <w:uiPriority w:val="99"/>
    <w:rsid w:val="00A73FF4"/>
    <w:pPr>
      <w:spacing w:line="240" w:lineRule="exact"/>
    </w:pPr>
    <w:rPr>
      <w:vertAlign w:val="superscript"/>
    </w:rPr>
  </w:style>
  <w:style w:type="paragraph" w:styleId="Sinespaciado">
    <w:name w:val="No Spacing"/>
    <w:aliases w:val="No Indent"/>
    <w:uiPriority w:val="3"/>
    <w:qFormat/>
    <w:rsid w:val="00A73FF4"/>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regimenjuridico.grupovanti.com/ver_leyes.php?id=681" TargetMode="External"/><Relationship Id="rId2" Type="http://schemas.openxmlformats.org/officeDocument/2006/relationships/hyperlink" Target="https://relatoria.colombiacompra.gov.co/busqueda/conceptos%20" TargetMode="External"/><Relationship Id="rId1" Type="http://schemas.openxmlformats.org/officeDocument/2006/relationships/hyperlink" Target="https://regimenjuridico.grupovanti.com/ver_leyes.php?id=68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9776A43C-CB5B-447C-94B0-1AA9E190CE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Libardo Alberto Verjel De Filippis</lastModifiedBy>
  <revision>7</revision>
  <dcterms:created xsi:type="dcterms:W3CDTF">2023-07-04T15:06:00.0000000Z</dcterms:created>
  <dcterms:modified xsi:type="dcterms:W3CDTF">2023-07-26T17:14:44.4368302Z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