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38B6" w14:textId="77777777" w:rsidR="00B27B75" w:rsidRPr="00B27B75" w:rsidRDefault="00B27B75" w:rsidP="00B27B75">
      <w:pPr>
        <w:tabs>
          <w:tab w:val="left" w:pos="3374"/>
        </w:tabs>
        <w:spacing w:after="0" w:line="240" w:lineRule="auto"/>
        <w:jc w:val="both"/>
        <w:rPr>
          <w:rFonts w:ascii="Century Gothic" w:hAnsi="Century Gothic" w:cs="Arial"/>
          <w:b/>
          <w:bCs/>
          <w:sz w:val="20"/>
          <w:szCs w:val="20"/>
        </w:rPr>
      </w:pPr>
      <w:bookmarkStart w:id="0" w:name="_Hlk94281581"/>
      <w:bookmarkStart w:id="1" w:name="_Hlk102489058"/>
      <w:bookmarkStart w:id="2" w:name="_Hlk34951122"/>
    </w:p>
    <w:p w14:paraId="30A467C6" w14:textId="77777777" w:rsidR="00B27B75" w:rsidRPr="00B27B75" w:rsidRDefault="00B27B75" w:rsidP="00B27B75">
      <w:pPr>
        <w:tabs>
          <w:tab w:val="left" w:pos="3374"/>
        </w:tabs>
        <w:spacing w:after="0" w:line="240" w:lineRule="auto"/>
        <w:jc w:val="both"/>
        <w:rPr>
          <w:rFonts w:ascii="Century Gothic" w:hAnsi="Century Gothic" w:cs="Arial"/>
          <w:b/>
          <w:bCs/>
        </w:rPr>
      </w:pPr>
      <w:r w:rsidRPr="00B27B75">
        <w:rPr>
          <w:rFonts w:ascii="Century Gothic" w:hAnsi="Century Gothic" w:cs="Arial"/>
          <w:b/>
          <w:bCs/>
        </w:rPr>
        <w:t>ASOCIACIONES DE MUNICIPIOS – Naturaleza</w:t>
      </w:r>
    </w:p>
    <w:p w14:paraId="2E2DF69D" w14:textId="77777777" w:rsidR="00B27B75" w:rsidRPr="00B27B75" w:rsidRDefault="00B27B75" w:rsidP="00B27B75">
      <w:pPr>
        <w:tabs>
          <w:tab w:val="left" w:pos="3374"/>
        </w:tabs>
        <w:spacing w:after="0" w:line="240" w:lineRule="auto"/>
        <w:jc w:val="both"/>
        <w:rPr>
          <w:rFonts w:ascii="Century Gothic" w:hAnsi="Century Gothic"/>
          <w:color w:val="000000" w:themeColor="text1"/>
          <w:sz w:val="20"/>
          <w:szCs w:val="20"/>
        </w:rPr>
      </w:pPr>
    </w:p>
    <w:p w14:paraId="345ABD27" w14:textId="77777777" w:rsidR="00B27B75" w:rsidRPr="00B27B75" w:rsidRDefault="00B27B75" w:rsidP="00B27B75">
      <w:pPr>
        <w:pStyle w:val="Textoindependiente"/>
        <w:ind w:right="108"/>
        <w:jc w:val="both"/>
        <w:rPr>
          <w:rFonts w:ascii="Century Gothic" w:eastAsiaTheme="minorHAnsi" w:hAnsi="Century Gothic"/>
          <w:sz w:val="20"/>
          <w:szCs w:val="20"/>
          <w:lang w:val="es-CO"/>
        </w:rPr>
      </w:pPr>
      <w:r w:rsidRPr="00B27B75">
        <w:rPr>
          <w:rFonts w:ascii="Century Gothic" w:eastAsiaTheme="minorHAnsi" w:hAnsi="Century Gothic"/>
          <w:sz w:val="20"/>
          <w:szCs w:val="20"/>
          <w:lang w:val="es-CO"/>
        </w:rPr>
        <w:t xml:space="preserve">La Ley 1454 de 2011, orgánica del ordenamiento territorial, concibió a las asociaciones de municipios como una clase de los denominados esquemas asociativos territoriales,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18174C06" w14:textId="77777777" w:rsidR="00B27B75" w:rsidRPr="00B27B75" w:rsidRDefault="00B27B75" w:rsidP="00B27B75">
      <w:pPr>
        <w:pStyle w:val="Textoindependiente"/>
        <w:ind w:right="108" w:firstLine="709"/>
        <w:jc w:val="both"/>
        <w:rPr>
          <w:rFonts w:ascii="Century Gothic" w:eastAsiaTheme="minorHAnsi" w:hAnsi="Century Gothic"/>
          <w:sz w:val="20"/>
          <w:szCs w:val="20"/>
          <w:lang w:val="es-CO"/>
        </w:rPr>
      </w:pPr>
    </w:p>
    <w:p w14:paraId="50CC4743" w14:textId="77777777" w:rsidR="00B27B75" w:rsidRPr="00B27B75" w:rsidRDefault="00B27B75" w:rsidP="00B27B75">
      <w:pPr>
        <w:tabs>
          <w:tab w:val="left" w:pos="3374"/>
        </w:tabs>
        <w:spacing w:after="0" w:line="240" w:lineRule="auto"/>
        <w:jc w:val="both"/>
        <w:rPr>
          <w:rFonts w:ascii="Century Gothic" w:hAnsi="Century Gothic" w:cs="Arial"/>
          <w:sz w:val="20"/>
          <w:szCs w:val="20"/>
        </w:rPr>
      </w:pPr>
      <w:r w:rsidRPr="00B27B75">
        <w:rPr>
          <w:rFonts w:ascii="Century Gothic" w:hAnsi="Century Gothic" w:cs="Arial"/>
          <w:sz w:val="20"/>
          <w:szCs w:val="20"/>
        </w:rPr>
        <w:t>En cuanto a la manera como se conforman las asociaciones de municipios, tanto la Ley 136 de 1994 –artículo 150–, como la Ley 1454 de 2011 –artículo 14–, establecen que se hace a través de convenios, en los términos indicados en dichas disposiciones.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14:paraId="47D6C150" w14:textId="77777777" w:rsidR="00B27B75" w:rsidRPr="00B27B75" w:rsidRDefault="00B27B75" w:rsidP="00B27B75">
      <w:pPr>
        <w:spacing w:after="0" w:line="240" w:lineRule="auto"/>
        <w:jc w:val="both"/>
        <w:rPr>
          <w:rFonts w:ascii="Century Gothic" w:eastAsia="Calibri" w:hAnsi="Century Gothic" w:cs="Arial"/>
          <w:bCs/>
          <w:color w:val="000000" w:themeColor="text1"/>
          <w:sz w:val="20"/>
          <w:szCs w:val="20"/>
        </w:rPr>
      </w:pPr>
    </w:p>
    <w:p w14:paraId="14C2EA17" w14:textId="77777777" w:rsidR="00B27B75" w:rsidRPr="00B27B75" w:rsidRDefault="00B27B75" w:rsidP="00B27B75">
      <w:pPr>
        <w:spacing w:line="240" w:lineRule="auto"/>
        <w:contextualSpacing/>
        <w:jc w:val="both"/>
        <w:rPr>
          <w:rFonts w:ascii="Century Gothic" w:eastAsia="Arial" w:hAnsi="Century Gothic" w:cs="Arial"/>
          <w:b/>
          <w:bCs/>
          <w:lang w:val="es-ES" w:eastAsia="es-ES" w:bidi="es-ES"/>
        </w:rPr>
      </w:pPr>
      <w:r w:rsidRPr="00B27B75">
        <w:rPr>
          <w:rFonts w:ascii="Century Gothic" w:eastAsia="Arial" w:hAnsi="Century Gothic" w:cs="Arial"/>
          <w:b/>
          <w:bCs/>
          <w:lang w:val="es-ES" w:eastAsia="es-ES" w:bidi="es-ES"/>
        </w:rPr>
        <w:t xml:space="preserve">CONVENIOS </w:t>
      </w:r>
      <w:r w:rsidRPr="00B27B75">
        <w:rPr>
          <w:rFonts w:ascii="Century Gothic" w:hAnsi="Century Gothic" w:cs="Arial"/>
          <w:b/>
          <w:color w:val="000000" w:themeColor="text1"/>
        </w:rPr>
        <w:t>INTERADMINISTRATIVOS</w:t>
      </w:r>
      <w:r w:rsidRPr="00B27B75">
        <w:rPr>
          <w:rFonts w:ascii="Century Gothic" w:eastAsia="Arial" w:hAnsi="Century Gothic" w:cs="Arial"/>
          <w:b/>
          <w:bCs/>
          <w:lang w:val="es-ES" w:eastAsia="es-ES" w:bidi="es-ES"/>
        </w:rPr>
        <w:t xml:space="preserve"> – Asociaciones de Municipios </w:t>
      </w:r>
    </w:p>
    <w:p w14:paraId="149B2789" w14:textId="77777777" w:rsidR="00B27B75" w:rsidRPr="00B27B75" w:rsidRDefault="00B27B75" w:rsidP="00B27B75">
      <w:pPr>
        <w:spacing w:line="240" w:lineRule="auto"/>
        <w:contextualSpacing/>
        <w:jc w:val="both"/>
        <w:rPr>
          <w:rFonts w:ascii="Century Gothic" w:eastAsia="Arial" w:hAnsi="Century Gothic" w:cs="Arial"/>
          <w:b/>
          <w:bCs/>
          <w:sz w:val="20"/>
          <w:szCs w:val="20"/>
          <w:lang w:val="es-ES" w:eastAsia="es-ES" w:bidi="es-ES"/>
        </w:rPr>
      </w:pPr>
    </w:p>
    <w:p w14:paraId="1F486892" w14:textId="77777777" w:rsidR="00B27B75" w:rsidRPr="00B27B75" w:rsidRDefault="00B27B75" w:rsidP="00B27B75">
      <w:pPr>
        <w:spacing w:after="0" w:line="240" w:lineRule="auto"/>
        <w:jc w:val="both"/>
        <w:rPr>
          <w:rFonts w:ascii="Century Gothic" w:eastAsia="Calibri" w:hAnsi="Century Gothic" w:cs="Arial"/>
          <w:color w:val="000000" w:themeColor="text1"/>
          <w:sz w:val="20"/>
          <w:szCs w:val="20"/>
          <w:lang w:val="es-ES_tradnl"/>
        </w:rPr>
      </w:pPr>
      <w:r w:rsidRPr="00B27B75">
        <w:rPr>
          <w:rFonts w:ascii="Century Gothic" w:eastAsia="Calibri" w:hAnsi="Century Gothic" w:cs="Arial"/>
          <w:color w:val="000000" w:themeColor="text1"/>
          <w:sz w:val="20"/>
          <w:szCs w:val="20"/>
          <w:lang w:val="es-ES_tradnl"/>
        </w:rPr>
        <w:t>[…] con fundamento en el parágrafo del artículo 17 de la Ley 1454 de 2011,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Sin perjuicio de lo anterior, deben observarse las prohibiciones establecidas en el artículo 10 de la Ley 1150 de 2007 y en el artículo 92 de la Ley 1474 de 2011.</w:t>
      </w:r>
    </w:p>
    <w:p w14:paraId="37E06C8D" w14:textId="77777777" w:rsidR="00B27B75" w:rsidRPr="00B27B75" w:rsidRDefault="00B27B75" w:rsidP="00B27B75">
      <w:pPr>
        <w:spacing w:after="0" w:line="240" w:lineRule="auto"/>
        <w:jc w:val="both"/>
        <w:rPr>
          <w:rFonts w:ascii="Century Gothic" w:eastAsia="Calibri" w:hAnsi="Century Gothic" w:cs="Arial"/>
          <w:color w:val="000000" w:themeColor="text1"/>
          <w:sz w:val="20"/>
          <w:szCs w:val="20"/>
        </w:rPr>
      </w:pPr>
      <w:r w:rsidRPr="00B27B75">
        <w:rPr>
          <w:rFonts w:ascii="Century Gothic" w:eastAsia="Calibri" w:hAnsi="Century Gothic" w:cs="Arial"/>
          <w:color w:val="000000" w:themeColor="text1"/>
          <w:sz w:val="20"/>
          <w:szCs w:val="20"/>
          <w:lang w:val="es-ES_tradnl"/>
        </w:rPr>
        <w:t xml:space="preserve"> </w:t>
      </w:r>
    </w:p>
    <w:p w14:paraId="37B129F3" w14:textId="77777777" w:rsidR="00B27B75" w:rsidRPr="00B27B75" w:rsidRDefault="00B27B75" w:rsidP="00B27B75">
      <w:pPr>
        <w:tabs>
          <w:tab w:val="left" w:pos="426"/>
        </w:tabs>
        <w:spacing w:line="240" w:lineRule="auto"/>
        <w:contextualSpacing/>
        <w:jc w:val="both"/>
        <w:rPr>
          <w:rFonts w:ascii="Century Gothic" w:eastAsia="Calibri" w:hAnsi="Century Gothic" w:cs="Arial"/>
          <w:b/>
          <w:bCs/>
          <w:lang w:val="es-MX"/>
        </w:rPr>
      </w:pPr>
      <w:bookmarkStart w:id="3" w:name="_Hlk77152637"/>
      <w:bookmarkStart w:id="4" w:name="_Hlk77157066"/>
      <w:bookmarkStart w:id="5" w:name="_Hlk78821436"/>
      <w:r w:rsidRPr="00B27B75">
        <w:rPr>
          <w:rFonts w:ascii="Century Gothic" w:eastAsia="Calibri" w:hAnsi="Century Gothic" w:cs="Arial"/>
          <w:b/>
          <w:bCs/>
          <w:lang w:val="es-MX"/>
        </w:rPr>
        <w:t xml:space="preserve">LEY DE GARANTÍAS ELECTORALES </w:t>
      </w:r>
      <w:r w:rsidRPr="00B27B75">
        <w:rPr>
          <w:rFonts w:ascii="Arial" w:eastAsia="Calibri" w:hAnsi="Arial" w:cs="Arial"/>
          <w:b/>
          <w:bCs/>
          <w:lang w:val="es-MX"/>
        </w:rPr>
        <w:t>‒</w:t>
      </w:r>
      <w:r w:rsidRPr="00B27B75">
        <w:rPr>
          <w:rFonts w:ascii="Century Gothic" w:eastAsia="Calibri" w:hAnsi="Century Gothic" w:cs="Arial"/>
          <w:b/>
          <w:bCs/>
          <w:lang w:val="es-MX"/>
        </w:rPr>
        <w:t xml:space="preserve"> Finalidad</w:t>
      </w:r>
    </w:p>
    <w:p w14:paraId="22A3291E" w14:textId="77777777" w:rsidR="00B27B75" w:rsidRPr="00B27B75" w:rsidRDefault="00B27B75" w:rsidP="00B27B75">
      <w:pPr>
        <w:tabs>
          <w:tab w:val="left" w:pos="426"/>
        </w:tabs>
        <w:spacing w:line="240" w:lineRule="auto"/>
        <w:contextualSpacing/>
        <w:jc w:val="both"/>
        <w:rPr>
          <w:rFonts w:ascii="Century Gothic" w:eastAsia="Calibri" w:hAnsi="Century Gothic" w:cs="Arial"/>
          <w:b/>
          <w:bCs/>
          <w:sz w:val="20"/>
          <w:szCs w:val="20"/>
          <w:lang w:val="es-MX"/>
        </w:rPr>
      </w:pPr>
    </w:p>
    <w:p w14:paraId="686D3591" w14:textId="77777777" w:rsidR="00B27B75" w:rsidRPr="00B27B75" w:rsidRDefault="00B27B75" w:rsidP="00B27B75">
      <w:pPr>
        <w:tabs>
          <w:tab w:val="left" w:pos="426"/>
        </w:tabs>
        <w:spacing w:line="240" w:lineRule="auto"/>
        <w:contextualSpacing/>
        <w:jc w:val="both"/>
        <w:rPr>
          <w:rFonts w:ascii="Century Gothic" w:eastAsia="Times New Roman" w:hAnsi="Century Gothic" w:cs="Arial"/>
          <w:bCs/>
          <w:sz w:val="20"/>
          <w:szCs w:val="20"/>
          <w:lang w:val="es-MX" w:eastAsia="es-CO"/>
        </w:rPr>
      </w:pPr>
      <w:r w:rsidRPr="00B27B75">
        <w:rPr>
          <w:rFonts w:ascii="Century Gothic" w:eastAsia="Calibri" w:hAnsi="Century Gothic" w:cs="Arial"/>
          <w:noProof/>
          <w:sz w:val="20"/>
          <w:szCs w:val="20"/>
          <w:lang w:val="es-ES_tradnl"/>
        </w:rPr>
        <w:t xml:space="preserve">[…], </w:t>
      </w:r>
      <w:r w:rsidRPr="00B27B75">
        <w:rPr>
          <w:rFonts w:ascii="Century Gothic" w:eastAsia="Times New Roman" w:hAnsi="Century Gothic"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40ACFB6E" w14:textId="77777777" w:rsidR="00B27B75" w:rsidRPr="00B27B75" w:rsidRDefault="00B27B75" w:rsidP="00B27B75">
      <w:pPr>
        <w:tabs>
          <w:tab w:val="left" w:pos="426"/>
        </w:tabs>
        <w:spacing w:line="240" w:lineRule="auto"/>
        <w:contextualSpacing/>
        <w:jc w:val="both"/>
        <w:rPr>
          <w:rFonts w:ascii="Century Gothic" w:eastAsia="Calibri" w:hAnsi="Century Gothic" w:cs="Arial"/>
          <w:b/>
          <w:bCs/>
          <w:sz w:val="20"/>
          <w:szCs w:val="20"/>
          <w:lang w:val="es-MX"/>
        </w:rPr>
      </w:pPr>
    </w:p>
    <w:p w14:paraId="47367930" w14:textId="77777777" w:rsidR="00B27B75" w:rsidRPr="00B27B75" w:rsidRDefault="00B27B75" w:rsidP="00B27B75">
      <w:pPr>
        <w:tabs>
          <w:tab w:val="left" w:pos="426"/>
        </w:tabs>
        <w:spacing w:line="240" w:lineRule="auto"/>
        <w:contextualSpacing/>
        <w:jc w:val="both"/>
        <w:rPr>
          <w:rFonts w:ascii="Century Gothic" w:eastAsia="Calibri" w:hAnsi="Century Gothic" w:cs="Arial"/>
          <w:b/>
          <w:bCs/>
          <w:lang w:val="es-MX"/>
        </w:rPr>
      </w:pPr>
      <w:r w:rsidRPr="00B27B75">
        <w:rPr>
          <w:rFonts w:ascii="Century Gothic" w:eastAsia="Calibri" w:hAnsi="Century Gothic" w:cs="Arial"/>
          <w:b/>
          <w:bCs/>
          <w:lang w:val="es-MX"/>
        </w:rPr>
        <w:t xml:space="preserve">LEY DE GARANTÍAS ELECTORALES </w:t>
      </w:r>
      <w:r w:rsidRPr="00B27B75">
        <w:rPr>
          <w:rFonts w:ascii="Arial" w:eastAsia="Calibri" w:hAnsi="Arial" w:cs="Arial"/>
          <w:b/>
          <w:bCs/>
          <w:lang w:val="es-MX"/>
        </w:rPr>
        <w:t>‒</w:t>
      </w:r>
      <w:bookmarkEnd w:id="3"/>
      <w:r w:rsidRPr="00B27B75">
        <w:rPr>
          <w:rFonts w:ascii="Century Gothic" w:eastAsia="Calibri" w:hAnsi="Century Gothic" w:cs="Arial"/>
          <w:b/>
          <w:bCs/>
          <w:lang w:val="es-MX"/>
        </w:rPr>
        <w:t xml:space="preserve"> Tipos de restricciones </w:t>
      </w:r>
      <w:bookmarkStart w:id="6" w:name="_Hlk77157034"/>
      <w:r w:rsidRPr="00B27B75">
        <w:rPr>
          <w:rFonts w:ascii="Arial" w:eastAsia="Calibri" w:hAnsi="Arial" w:cs="Arial"/>
          <w:b/>
          <w:bCs/>
          <w:lang w:val="es-MX"/>
        </w:rPr>
        <w:t>‒</w:t>
      </w:r>
      <w:r w:rsidRPr="00B27B75">
        <w:rPr>
          <w:rFonts w:ascii="Century Gothic" w:eastAsia="Calibri" w:hAnsi="Century Gothic" w:cs="Arial"/>
          <w:b/>
          <w:bCs/>
          <w:lang w:val="es-MX"/>
        </w:rPr>
        <w:t xml:space="preserve"> </w:t>
      </w:r>
      <w:bookmarkStart w:id="7" w:name="_Hlk77153098"/>
      <w:bookmarkEnd w:id="6"/>
      <w:r w:rsidRPr="00B27B75">
        <w:rPr>
          <w:rFonts w:ascii="Century Gothic" w:eastAsia="Calibri" w:hAnsi="Century Gothic" w:cs="Century Gothic"/>
          <w:b/>
          <w:bCs/>
          <w:lang w:val="es-MX"/>
        </w:rPr>
        <w:t>Á</w:t>
      </w:r>
      <w:r w:rsidRPr="00B27B75">
        <w:rPr>
          <w:rFonts w:ascii="Century Gothic" w:eastAsia="Calibri" w:hAnsi="Century Gothic" w:cs="Arial"/>
          <w:b/>
          <w:bCs/>
          <w:lang w:val="es-MX"/>
        </w:rPr>
        <w:t xml:space="preserve">mbito temporal </w:t>
      </w:r>
      <w:bookmarkEnd w:id="7"/>
    </w:p>
    <w:p w14:paraId="0FD3F231" w14:textId="77777777" w:rsidR="00B27B75" w:rsidRPr="00B27B75" w:rsidRDefault="00B27B75" w:rsidP="00B27B75">
      <w:pPr>
        <w:tabs>
          <w:tab w:val="left" w:pos="426"/>
        </w:tabs>
        <w:spacing w:line="240" w:lineRule="auto"/>
        <w:contextualSpacing/>
        <w:jc w:val="both"/>
        <w:rPr>
          <w:rFonts w:ascii="Century Gothic" w:eastAsia="Calibri" w:hAnsi="Century Gothic" w:cs="Arial"/>
          <w:b/>
          <w:bCs/>
          <w:sz w:val="20"/>
          <w:szCs w:val="20"/>
          <w:lang w:val="es-MX"/>
        </w:rPr>
      </w:pPr>
    </w:p>
    <w:bookmarkEnd w:id="4"/>
    <w:p w14:paraId="50FF0DC7" w14:textId="77777777" w:rsidR="00B27B75" w:rsidRPr="00B27B75" w:rsidRDefault="00B27B75" w:rsidP="00B27B75">
      <w:pPr>
        <w:spacing w:line="240" w:lineRule="auto"/>
        <w:contextualSpacing/>
        <w:jc w:val="both"/>
        <w:rPr>
          <w:rFonts w:ascii="Century Gothic" w:eastAsia="Arial" w:hAnsi="Century Gothic" w:cs="Arial"/>
          <w:sz w:val="20"/>
          <w:szCs w:val="20"/>
          <w:lang w:val="es-ES" w:eastAsia="es-ES" w:bidi="es-ES"/>
        </w:rPr>
      </w:pPr>
      <w:r w:rsidRPr="00B27B75">
        <w:rPr>
          <w:rFonts w:ascii="Century Gothic" w:eastAsia="Calibri" w:hAnsi="Century Gothic" w:cs="Arial"/>
          <w:noProof/>
          <w:sz w:val="20"/>
          <w:szCs w:val="20"/>
          <w:lang w:val="es-ES_tradnl"/>
        </w:rPr>
        <w:t xml:space="preserve">[…] </w:t>
      </w:r>
      <w:bookmarkStart w:id="8" w:name="_Hlk77165666"/>
      <w:r w:rsidRPr="00B27B75">
        <w:rPr>
          <w:rFonts w:ascii="Century Gothic" w:eastAsia="Arial" w:hAnsi="Century Gothic" w:cs="Arial"/>
          <w:sz w:val="20"/>
          <w:szCs w:val="20"/>
          <w:lang w:val="es-ES" w:eastAsia="es-ES" w:bidi="es-ES"/>
        </w:rPr>
        <w:t xml:space="preserve">la Ley 996 de 2005 establece dos (2) tipos de restricciones en materia de contratación, las cuales coinciden parcialmente. </w:t>
      </w:r>
      <w:r w:rsidRPr="00B27B75">
        <w:rPr>
          <w:rFonts w:ascii="Century Gothic" w:eastAsia="Arial" w:hAnsi="Century Gothic" w:cs="Arial"/>
          <w:i/>
          <w:iCs/>
          <w:sz w:val="20"/>
          <w:szCs w:val="20"/>
          <w:lang w:val="es-ES" w:eastAsia="es-ES" w:bidi="es-ES"/>
        </w:rPr>
        <w:t>En primer lugar</w:t>
      </w:r>
      <w:r w:rsidRPr="00B27B75">
        <w:rPr>
          <w:rFonts w:ascii="Century Gothic" w:eastAsia="Arial" w:hAnsi="Century Gothic" w:cs="Arial"/>
          <w:sz w:val="20"/>
          <w:szCs w:val="20"/>
          <w:lang w:val="es-ES" w:eastAsia="es-ES" w:bidi="es-ES"/>
        </w:rPr>
        <w:t xml:space="preserve">, la del artículo 33 que opera solo </w:t>
      </w:r>
      <w:r w:rsidRPr="00B27B75">
        <w:rPr>
          <w:rFonts w:ascii="Century Gothic" w:eastAsia="Arial" w:hAnsi="Century Gothic" w:cs="Arial"/>
          <w:sz w:val="20"/>
          <w:szCs w:val="20"/>
          <w:lang w:val="es-ES" w:eastAsia="es-ES" w:bidi="es-ES"/>
        </w:rPr>
        <w:lastRenderedPageBreak/>
        <w:t xml:space="preserve">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B27B75">
        <w:rPr>
          <w:rFonts w:ascii="Century Gothic" w:eastAsia="Arial" w:hAnsi="Century Gothic" w:cs="Arial"/>
          <w:i/>
          <w:iCs/>
          <w:sz w:val="20"/>
          <w:szCs w:val="20"/>
          <w:lang w:val="es-ES" w:eastAsia="es-ES" w:bidi="es-ES"/>
        </w:rPr>
        <w:t>En segundo lugar</w:t>
      </w:r>
      <w:r w:rsidRPr="00B27B75">
        <w:rPr>
          <w:rFonts w:ascii="Century Gothic" w:eastAsia="Arial" w:hAnsi="Century Gothic"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bookmarkEnd w:id="8"/>
    <w:p w14:paraId="63C06C2C" w14:textId="77777777" w:rsidR="00B27B75" w:rsidRPr="00B27B75" w:rsidRDefault="00B27B75" w:rsidP="00B27B75">
      <w:pPr>
        <w:tabs>
          <w:tab w:val="left" w:pos="426"/>
        </w:tabs>
        <w:spacing w:line="240" w:lineRule="auto"/>
        <w:contextualSpacing/>
        <w:jc w:val="both"/>
        <w:rPr>
          <w:rFonts w:ascii="Century Gothic" w:eastAsia="Calibri" w:hAnsi="Century Gothic" w:cs="Arial"/>
          <w:sz w:val="20"/>
          <w:szCs w:val="20"/>
          <w:lang w:val="es-MX"/>
        </w:rPr>
      </w:pPr>
    </w:p>
    <w:p w14:paraId="6802CEDD" w14:textId="77777777" w:rsidR="00B27B75" w:rsidRPr="00B27B75" w:rsidRDefault="00B27B75" w:rsidP="00B27B75">
      <w:pPr>
        <w:tabs>
          <w:tab w:val="left" w:pos="426"/>
        </w:tabs>
        <w:spacing w:line="240" w:lineRule="auto"/>
        <w:contextualSpacing/>
        <w:jc w:val="both"/>
        <w:rPr>
          <w:rFonts w:ascii="Century Gothic" w:eastAsia="Calibri" w:hAnsi="Century Gothic" w:cs="Arial"/>
          <w:b/>
          <w:bCs/>
          <w:lang w:val="es-MX"/>
        </w:rPr>
      </w:pPr>
      <w:r w:rsidRPr="00B27B75">
        <w:rPr>
          <w:rFonts w:ascii="Century Gothic" w:eastAsia="Calibri" w:hAnsi="Century Gothic" w:cs="Arial"/>
          <w:b/>
          <w:bCs/>
          <w:lang w:val="es-MX"/>
        </w:rPr>
        <w:t xml:space="preserve">LEY DE GARANTÍAS ELECTORALES </w:t>
      </w:r>
      <w:r w:rsidRPr="00B27B75">
        <w:rPr>
          <w:rFonts w:ascii="Arial" w:eastAsia="Calibri" w:hAnsi="Arial" w:cs="Arial"/>
          <w:b/>
          <w:bCs/>
          <w:lang w:val="es-MX"/>
        </w:rPr>
        <w:t>‒</w:t>
      </w:r>
      <w:r w:rsidRPr="00B27B75">
        <w:rPr>
          <w:rFonts w:ascii="Century Gothic" w:eastAsia="Calibri" w:hAnsi="Century Gothic" w:cs="Arial"/>
          <w:b/>
          <w:bCs/>
          <w:lang w:val="es-MX"/>
        </w:rPr>
        <w:t xml:space="preserve"> Prohibici</w:t>
      </w:r>
      <w:r w:rsidRPr="00B27B75">
        <w:rPr>
          <w:rFonts w:ascii="Century Gothic" w:eastAsia="Calibri" w:hAnsi="Century Gothic" w:cs="Century Gothic"/>
          <w:b/>
          <w:bCs/>
          <w:lang w:val="es-MX"/>
        </w:rPr>
        <w:t>ó</w:t>
      </w:r>
      <w:r w:rsidRPr="00B27B75">
        <w:rPr>
          <w:rFonts w:ascii="Century Gothic" w:eastAsia="Calibri" w:hAnsi="Century Gothic" w:cs="Arial"/>
          <w:b/>
          <w:bCs/>
          <w:lang w:val="es-MX"/>
        </w:rPr>
        <w:t>n por elecci</w:t>
      </w:r>
      <w:r w:rsidRPr="00B27B75">
        <w:rPr>
          <w:rFonts w:ascii="Century Gothic" w:eastAsia="Calibri" w:hAnsi="Century Gothic" w:cs="Century Gothic"/>
          <w:b/>
          <w:bCs/>
          <w:lang w:val="es-MX"/>
        </w:rPr>
        <w:t>ó</w:t>
      </w:r>
      <w:r w:rsidRPr="00B27B75">
        <w:rPr>
          <w:rFonts w:ascii="Century Gothic" w:eastAsia="Calibri" w:hAnsi="Century Gothic" w:cs="Arial"/>
          <w:b/>
          <w:bCs/>
          <w:lang w:val="es-MX"/>
        </w:rPr>
        <w:t xml:space="preserve">n de cargos populares </w:t>
      </w:r>
      <w:r w:rsidRPr="00B27B75">
        <w:rPr>
          <w:rFonts w:ascii="Century Gothic" w:eastAsia="Calibri" w:hAnsi="Century Gothic" w:cs="Century Gothic"/>
          <w:b/>
          <w:bCs/>
          <w:lang w:val="es-MX"/>
        </w:rPr>
        <w:t>–</w:t>
      </w:r>
      <w:r w:rsidRPr="00B27B75">
        <w:rPr>
          <w:rFonts w:ascii="Century Gothic" w:eastAsia="Calibri" w:hAnsi="Century Gothic" w:cs="Arial"/>
          <w:b/>
          <w:bCs/>
          <w:lang w:val="es-MX"/>
        </w:rPr>
        <w:t xml:space="preserve"> Convenios y contratos interadministrativos </w:t>
      </w:r>
      <w:r w:rsidRPr="00B27B75">
        <w:rPr>
          <w:rFonts w:ascii="Century Gothic" w:eastAsia="Calibri" w:hAnsi="Century Gothic" w:cs="Arial"/>
          <w:b/>
          <w:lang w:val="es-MX"/>
        </w:rPr>
        <w:t>– Definición – Criterio orgánico</w:t>
      </w:r>
    </w:p>
    <w:p w14:paraId="4EC6F04A" w14:textId="77777777" w:rsidR="00B27B75" w:rsidRPr="00B27B75" w:rsidRDefault="00B27B75" w:rsidP="00B27B75">
      <w:pPr>
        <w:tabs>
          <w:tab w:val="left" w:pos="426"/>
        </w:tabs>
        <w:spacing w:line="240" w:lineRule="auto"/>
        <w:contextualSpacing/>
        <w:jc w:val="both"/>
        <w:rPr>
          <w:rFonts w:ascii="Century Gothic" w:eastAsia="Calibri" w:hAnsi="Century Gothic" w:cs="Arial"/>
          <w:sz w:val="20"/>
          <w:szCs w:val="20"/>
          <w:lang w:val="es-MX"/>
        </w:rPr>
      </w:pPr>
    </w:p>
    <w:p w14:paraId="40FD3853" w14:textId="77777777" w:rsidR="00B27B75" w:rsidRPr="00B27B75" w:rsidRDefault="00B27B75" w:rsidP="00B27B75">
      <w:pPr>
        <w:tabs>
          <w:tab w:val="left" w:pos="426"/>
        </w:tabs>
        <w:spacing w:line="240" w:lineRule="auto"/>
        <w:contextualSpacing/>
        <w:jc w:val="both"/>
        <w:rPr>
          <w:rFonts w:ascii="Century Gothic" w:eastAsia="Calibri" w:hAnsi="Century Gothic" w:cs="Arial"/>
          <w:sz w:val="20"/>
          <w:szCs w:val="20"/>
          <w:lang w:val="es-MX"/>
        </w:rPr>
      </w:pPr>
      <w:r w:rsidRPr="00B27B75">
        <w:rPr>
          <w:rFonts w:ascii="Century Gothic" w:eastAsia="Calibri" w:hAnsi="Century Gothic"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4D66A224" w14:textId="77777777" w:rsidR="00B27B75" w:rsidRPr="00B27B75" w:rsidRDefault="00B27B75" w:rsidP="00B27B75">
      <w:pPr>
        <w:tabs>
          <w:tab w:val="left" w:pos="426"/>
        </w:tabs>
        <w:spacing w:line="240" w:lineRule="auto"/>
        <w:contextualSpacing/>
        <w:jc w:val="both"/>
        <w:rPr>
          <w:rFonts w:ascii="Century Gothic" w:eastAsia="Calibri" w:hAnsi="Century Gothic" w:cs="Arial"/>
          <w:sz w:val="20"/>
          <w:szCs w:val="20"/>
          <w:lang w:val="es-MX"/>
        </w:rPr>
      </w:pPr>
    </w:p>
    <w:p w14:paraId="75671EAF" w14:textId="77777777" w:rsidR="00B27B75" w:rsidRPr="00B27B75" w:rsidRDefault="00B27B75" w:rsidP="00B27B75">
      <w:pPr>
        <w:widowControl w:val="0"/>
        <w:autoSpaceDE w:val="0"/>
        <w:autoSpaceDN w:val="0"/>
        <w:spacing w:line="240" w:lineRule="auto"/>
        <w:contextualSpacing/>
        <w:jc w:val="both"/>
        <w:rPr>
          <w:rFonts w:ascii="Century Gothic" w:eastAsia="Arial" w:hAnsi="Century Gothic" w:cs="Arial"/>
          <w:sz w:val="20"/>
          <w:szCs w:val="20"/>
          <w:lang w:val="es-ES" w:eastAsia="es-ES" w:bidi="es-ES"/>
        </w:rPr>
      </w:pPr>
      <w:r w:rsidRPr="00B27B75">
        <w:rPr>
          <w:rFonts w:ascii="Century Gothic" w:eastAsia="Calibri" w:hAnsi="Century Gothic" w:cs="Arial"/>
          <w:sz w:val="20"/>
          <w:szCs w:val="20"/>
          <w:lang w:val="es-MX"/>
        </w:rPr>
        <w:t xml:space="preserve">[…] </w:t>
      </w:r>
      <w:r w:rsidRPr="00B27B75">
        <w:rPr>
          <w:rFonts w:ascii="Century Gothic" w:eastAsia="Calibri" w:hAnsi="Century Gothic"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B27B75">
        <w:rPr>
          <w:rFonts w:ascii="Century Gothic" w:eastAsia="Arial" w:hAnsi="Century Gothic"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B27B75">
        <w:rPr>
          <w:rFonts w:ascii="Century Gothic" w:eastAsia="Arial" w:hAnsi="Century Gothic" w:cs="Arial"/>
          <w:spacing w:val="-6"/>
          <w:sz w:val="20"/>
          <w:szCs w:val="20"/>
          <w:lang w:val="es-ES" w:eastAsia="es-ES" w:bidi="es-ES"/>
        </w:rPr>
        <w:t xml:space="preserve"> </w:t>
      </w:r>
      <w:r w:rsidRPr="00B27B75">
        <w:rPr>
          <w:rFonts w:ascii="Century Gothic" w:eastAsia="Arial" w:hAnsi="Century Gothic" w:cs="Arial"/>
          <w:sz w:val="20"/>
          <w:szCs w:val="20"/>
          <w:lang w:val="es-ES" w:eastAsia="es-ES" w:bidi="es-ES"/>
        </w:rPr>
        <w:t>estatales.</w:t>
      </w:r>
      <w:bookmarkEnd w:id="5"/>
    </w:p>
    <w:p w14:paraId="6A1388DA" w14:textId="77777777" w:rsidR="00B27B75" w:rsidRDefault="00B27B75" w:rsidP="0043170B">
      <w:pPr>
        <w:spacing w:after="0"/>
        <w:rPr>
          <w:rFonts w:ascii="Century Gothic" w:eastAsia="Geomanist Light" w:hAnsi="Century Gothic" w:cs="Arial"/>
          <w:color w:val="000000" w:themeColor="text1"/>
          <w:lang w:val="es-MX"/>
        </w:rPr>
      </w:pPr>
    </w:p>
    <w:p w14:paraId="6B60896D" w14:textId="77777777" w:rsidR="00B27B75" w:rsidRDefault="00B27B75" w:rsidP="0043170B">
      <w:pPr>
        <w:spacing w:after="0"/>
        <w:rPr>
          <w:rFonts w:ascii="Century Gothic" w:eastAsia="Geomanist Light" w:hAnsi="Century Gothic" w:cs="Arial"/>
          <w:color w:val="000000" w:themeColor="text1"/>
          <w:lang w:val="es-MX"/>
        </w:rPr>
      </w:pPr>
    </w:p>
    <w:p w14:paraId="1A311E7F" w14:textId="77777777" w:rsidR="00B27B75" w:rsidRDefault="00B27B75" w:rsidP="0043170B">
      <w:pPr>
        <w:spacing w:after="0"/>
        <w:rPr>
          <w:rFonts w:ascii="Century Gothic" w:eastAsia="Geomanist Light" w:hAnsi="Century Gothic" w:cs="Arial"/>
          <w:color w:val="000000" w:themeColor="text1"/>
          <w:lang w:val="es-MX"/>
        </w:rPr>
      </w:pPr>
    </w:p>
    <w:p w14:paraId="49208327" w14:textId="77777777" w:rsidR="00B27B75" w:rsidRDefault="00B27B75" w:rsidP="0043170B">
      <w:pPr>
        <w:spacing w:after="0"/>
        <w:rPr>
          <w:rFonts w:ascii="Century Gothic" w:eastAsia="Geomanist Light" w:hAnsi="Century Gothic" w:cs="Arial"/>
          <w:color w:val="000000" w:themeColor="text1"/>
          <w:lang w:val="es-MX"/>
        </w:rPr>
      </w:pPr>
    </w:p>
    <w:p w14:paraId="609596FB" w14:textId="77777777" w:rsidR="00B27B75" w:rsidRDefault="00B27B75" w:rsidP="0043170B">
      <w:pPr>
        <w:spacing w:after="0"/>
        <w:rPr>
          <w:rFonts w:ascii="Century Gothic" w:eastAsia="Geomanist Light" w:hAnsi="Century Gothic" w:cs="Arial"/>
          <w:color w:val="000000" w:themeColor="text1"/>
          <w:lang w:val="es-MX"/>
        </w:rPr>
      </w:pPr>
    </w:p>
    <w:p w14:paraId="2D260BD9" w14:textId="77777777" w:rsidR="00B27B75" w:rsidRDefault="00B27B75" w:rsidP="0043170B">
      <w:pPr>
        <w:spacing w:after="0"/>
        <w:rPr>
          <w:rFonts w:ascii="Century Gothic" w:eastAsia="Geomanist Light" w:hAnsi="Century Gothic" w:cs="Arial"/>
          <w:color w:val="000000" w:themeColor="text1"/>
          <w:lang w:val="es-MX"/>
        </w:rPr>
      </w:pPr>
    </w:p>
    <w:p w14:paraId="724EBB47" w14:textId="77777777" w:rsidR="00B27B75" w:rsidRDefault="00B27B75" w:rsidP="0043170B">
      <w:pPr>
        <w:spacing w:after="0"/>
        <w:rPr>
          <w:rFonts w:ascii="Century Gothic" w:eastAsia="Geomanist Light" w:hAnsi="Century Gothic" w:cs="Arial"/>
          <w:color w:val="000000" w:themeColor="text1"/>
          <w:lang w:val="es-MX"/>
        </w:rPr>
      </w:pPr>
    </w:p>
    <w:p w14:paraId="580F2713" w14:textId="77777777" w:rsidR="00B27B75" w:rsidRDefault="00B27B75" w:rsidP="0043170B">
      <w:pPr>
        <w:spacing w:after="0"/>
        <w:rPr>
          <w:rFonts w:ascii="Century Gothic" w:eastAsia="Geomanist Light" w:hAnsi="Century Gothic" w:cs="Arial"/>
          <w:color w:val="000000" w:themeColor="text1"/>
          <w:lang w:val="es-MX"/>
        </w:rPr>
      </w:pPr>
    </w:p>
    <w:p w14:paraId="33079C08" w14:textId="77777777" w:rsidR="00B27B75" w:rsidRDefault="00B27B75" w:rsidP="0043170B">
      <w:pPr>
        <w:spacing w:after="0"/>
        <w:rPr>
          <w:rFonts w:ascii="Century Gothic" w:eastAsia="Geomanist Light" w:hAnsi="Century Gothic" w:cs="Arial"/>
          <w:color w:val="000000" w:themeColor="text1"/>
          <w:lang w:val="es-MX"/>
        </w:rPr>
      </w:pPr>
    </w:p>
    <w:p w14:paraId="1457556C" w14:textId="77777777" w:rsidR="00B27B75" w:rsidRDefault="00B27B75" w:rsidP="0043170B">
      <w:pPr>
        <w:spacing w:after="0"/>
        <w:rPr>
          <w:rFonts w:ascii="Century Gothic" w:eastAsia="Geomanist Light" w:hAnsi="Century Gothic" w:cs="Arial"/>
          <w:color w:val="000000" w:themeColor="text1"/>
          <w:lang w:val="es-MX"/>
        </w:rPr>
      </w:pPr>
    </w:p>
    <w:p w14:paraId="1A9099C9" w14:textId="77777777" w:rsidR="00B27B75" w:rsidRDefault="00B27B75" w:rsidP="0043170B">
      <w:pPr>
        <w:spacing w:after="0"/>
        <w:rPr>
          <w:rFonts w:ascii="Century Gothic" w:eastAsia="Geomanist Light" w:hAnsi="Century Gothic" w:cs="Arial"/>
          <w:color w:val="000000" w:themeColor="text1"/>
          <w:lang w:val="es-MX"/>
        </w:rPr>
      </w:pPr>
    </w:p>
    <w:p w14:paraId="19097CCB" w14:textId="77777777" w:rsidR="00B27B75" w:rsidRDefault="00B27B75" w:rsidP="0043170B">
      <w:pPr>
        <w:spacing w:after="0"/>
        <w:rPr>
          <w:rFonts w:ascii="Century Gothic" w:eastAsia="Geomanist Light" w:hAnsi="Century Gothic" w:cs="Arial"/>
          <w:color w:val="000000" w:themeColor="text1"/>
          <w:lang w:val="es-MX"/>
        </w:rPr>
      </w:pPr>
    </w:p>
    <w:p w14:paraId="0F3AE5A8" w14:textId="77777777" w:rsidR="00B27B75" w:rsidRDefault="00B27B75" w:rsidP="0043170B">
      <w:pPr>
        <w:spacing w:after="0"/>
        <w:rPr>
          <w:rFonts w:ascii="Century Gothic" w:eastAsia="Geomanist Light" w:hAnsi="Century Gothic" w:cs="Arial"/>
          <w:color w:val="000000" w:themeColor="text1"/>
          <w:lang w:val="es-MX"/>
        </w:rPr>
      </w:pPr>
    </w:p>
    <w:p w14:paraId="4357C16A" w14:textId="71851986" w:rsidR="0043170B" w:rsidRPr="00BB6030" w:rsidRDefault="0043170B" w:rsidP="0043170B">
      <w:pPr>
        <w:spacing w:after="0"/>
        <w:rPr>
          <w:rFonts w:ascii="Century Gothic" w:eastAsia="Geomanist Light" w:hAnsi="Century Gothic" w:cs="Arial"/>
          <w:color w:val="201F1E"/>
          <w:lang w:val="es-MX"/>
        </w:rPr>
      </w:pPr>
      <w:r w:rsidRPr="00BB6030">
        <w:rPr>
          <w:rFonts w:ascii="Century Gothic" w:eastAsia="Geomanist Light" w:hAnsi="Century Gothic" w:cs="Arial"/>
          <w:color w:val="000000" w:themeColor="text1"/>
          <w:lang w:val="es-MX"/>
        </w:rPr>
        <w:t>Bogotá D.C., </w:t>
      </w:r>
      <w:r w:rsidR="00F57C8D" w:rsidRPr="00F57C8D">
        <w:rPr>
          <w:rFonts w:ascii="Century Gothic" w:eastAsia="Geomanist Light" w:hAnsi="Century Gothic" w:cs="Arial"/>
          <w:color w:val="201F1E"/>
          <w:lang w:val="es-MX"/>
        </w:rPr>
        <w:t>04 de Julio de 2023</w:t>
      </w:r>
    </w:p>
    <w:p w14:paraId="18A3D228" w14:textId="77777777" w:rsidR="0043170B" w:rsidRPr="00BB6030" w:rsidRDefault="0043170B" w:rsidP="0043170B">
      <w:pPr>
        <w:spacing w:after="0"/>
        <w:rPr>
          <w:rFonts w:ascii="Century Gothic" w:eastAsia="Geomanist Light" w:hAnsi="Century Gothic" w:cs="Arial"/>
          <w:color w:val="201F1E"/>
          <w:lang w:val="es-MX"/>
        </w:rPr>
      </w:pPr>
    </w:p>
    <w:p w14:paraId="5FC2096B" w14:textId="42B14985" w:rsidR="0043170B" w:rsidRDefault="00F57C8D" w:rsidP="00F57C8D">
      <w:pPr>
        <w:spacing w:after="0"/>
        <w:contextualSpacing/>
        <w:jc w:val="right"/>
        <w:rPr>
          <w:rFonts w:ascii="Century Gothic" w:eastAsia="Calibri" w:hAnsi="Century Gothic" w:cs="Arial"/>
          <w:lang w:val="es-ES_tradnl" w:eastAsia="es-ES_tradnl"/>
        </w:rPr>
      </w:pPr>
      <w:r>
        <w:rPr>
          <w:rFonts w:ascii="Century Gothic" w:eastAsia="Calibri" w:hAnsi="Century Gothic" w:cs="Arial"/>
          <w:noProof/>
          <w:lang w:val="es-ES_tradnl" w:eastAsia="es-ES_tradnl"/>
        </w:rPr>
        <w:drawing>
          <wp:inline distT="0" distB="0" distL="0" distR="0" wp14:anchorId="7228AAF2" wp14:editId="7687616B">
            <wp:extent cx="2962275" cy="676275"/>
            <wp:effectExtent l="0" t="0" r="9525" b="9525"/>
            <wp:docPr id="17846172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676275"/>
                    </a:xfrm>
                    <a:prstGeom prst="rect">
                      <a:avLst/>
                    </a:prstGeom>
                    <a:noFill/>
                    <a:ln>
                      <a:noFill/>
                    </a:ln>
                  </pic:spPr>
                </pic:pic>
              </a:graphicData>
            </a:graphic>
          </wp:inline>
        </w:drawing>
      </w:r>
    </w:p>
    <w:p w14:paraId="7EB2BA21" w14:textId="77777777" w:rsidR="00F57C8D" w:rsidRPr="00BB6030" w:rsidRDefault="00F57C8D" w:rsidP="0043170B">
      <w:pPr>
        <w:spacing w:after="0"/>
        <w:contextualSpacing/>
        <w:jc w:val="both"/>
        <w:rPr>
          <w:rFonts w:ascii="Century Gothic" w:eastAsia="Calibri" w:hAnsi="Century Gothic" w:cs="Arial"/>
          <w:lang w:val="es-ES_tradnl" w:eastAsia="es-ES_tradnl"/>
        </w:rPr>
      </w:pPr>
    </w:p>
    <w:p w14:paraId="31F03340" w14:textId="77777777" w:rsidR="0043170B" w:rsidRPr="00BB6030" w:rsidRDefault="0043170B" w:rsidP="0043170B">
      <w:pPr>
        <w:contextualSpacing/>
        <w:jc w:val="both"/>
        <w:rPr>
          <w:rFonts w:ascii="Century Gothic" w:eastAsia="Calibri" w:hAnsi="Century Gothic" w:cs="Arial"/>
          <w:lang w:eastAsia="es-ES_tradnl"/>
        </w:rPr>
      </w:pPr>
      <w:r w:rsidRPr="00BB6030">
        <w:rPr>
          <w:rFonts w:ascii="Century Gothic" w:eastAsia="Calibri" w:hAnsi="Century Gothic" w:cs="Arial"/>
          <w:lang w:eastAsia="es-ES_tradnl"/>
        </w:rPr>
        <w:t>Doctor</w:t>
      </w:r>
    </w:p>
    <w:p w14:paraId="66EAEEDF" w14:textId="77777777" w:rsidR="0043170B" w:rsidRPr="00BB6030" w:rsidRDefault="0043170B" w:rsidP="0043170B">
      <w:pPr>
        <w:contextualSpacing/>
        <w:jc w:val="both"/>
        <w:rPr>
          <w:rFonts w:ascii="Century Gothic" w:eastAsia="Calibri" w:hAnsi="Century Gothic" w:cs="Arial"/>
          <w:b/>
          <w:lang w:eastAsia="es-ES_tradnl"/>
        </w:rPr>
      </w:pPr>
      <w:r w:rsidRPr="00BB6030">
        <w:rPr>
          <w:rFonts w:ascii="Century Gothic" w:eastAsia="Calibri" w:hAnsi="Century Gothic" w:cs="Arial"/>
          <w:b/>
          <w:lang w:eastAsia="es-ES_tradnl"/>
        </w:rPr>
        <w:t>Héctor Augusto Monsalve Restrepo</w:t>
      </w:r>
    </w:p>
    <w:p w14:paraId="5DDACBEF" w14:textId="77777777" w:rsidR="0043170B" w:rsidRPr="00BB6030" w:rsidRDefault="0043170B" w:rsidP="0043170B">
      <w:pPr>
        <w:contextualSpacing/>
        <w:jc w:val="both"/>
        <w:rPr>
          <w:rFonts w:ascii="Century Gothic" w:eastAsia="Geomanist Light" w:hAnsi="Century Gothic" w:cs="Arial"/>
          <w:color w:val="000000" w:themeColor="text1"/>
          <w:lang w:val="es-MX"/>
        </w:rPr>
      </w:pPr>
      <w:r w:rsidRPr="00BB6030">
        <w:rPr>
          <w:rFonts w:ascii="Century Gothic" w:eastAsia="Geomanist Light" w:hAnsi="Century Gothic" w:cs="Arial"/>
          <w:color w:val="000000" w:themeColor="text1"/>
          <w:lang w:val="es-MX"/>
        </w:rPr>
        <w:t xml:space="preserve">Alcalde del Municipio de Copacabana </w:t>
      </w:r>
    </w:p>
    <w:p w14:paraId="2DCE7162" w14:textId="77777777" w:rsidR="0043170B" w:rsidRPr="00BB6030" w:rsidRDefault="0043170B" w:rsidP="0043170B">
      <w:pPr>
        <w:contextualSpacing/>
        <w:jc w:val="both"/>
        <w:rPr>
          <w:rFonts w:ascii="Century Gothic" w:eastAsia="Calibri" w:hAnsi="Century Gothic" w:cs="Arial"/>
          <w:bCs/>
          <w:lang w:eastAsia="es-ES_tradnl"/>
        </w:rPr>
      </w:pPr>
      <w:r w:rsidRPr="00BB6030">
        <w:rPr>
          <w:rFonts w:ascii="Century Gothic" w:eastAsia="Geomanist Light" w:hAnsi="Century Gothic" w:cs="Arial"/>
          <w:color w:val="000000" w:themeColor="text1"/>
          <w:lang w:val="es-MX"/>
        </w:rPr>
        <w:t>Copacabana, Antioquia</w:t>
      </w:r>
      <w:r w:rsidRPr="00BB6030">
        <w:rPr>
          <w:rFonts w:ascii="Century Gothic" w:eastAsia="Calibri" w:hAnsi="Century Gothic" w:cs="Arial"/>
          <w:lang w:eastAsia="es-ES_tradnl"/>
        </w:rPr>
        <w:t xml:space="preserve">  </w:t>
      </w:r>
    </w:p>
    <w:p w14:paraId="63E0831B" w14:textId="77777777" w:rsidR="0043170B" w:rsidRPr="00BB6030" w:rsidRDefault="0043170B" w:rsidP="0043170B">
      <w:pPr>
        <w:contextualSpacing/>
        <w:jc w:val="both"/>
        <w:rPr>
          <w:rFonts w:ascii="Century Gothic" w:eastAsia="Calibri" w:hAnsi="Century Gothic" w:cs="Arial"/>
          <w:lang w:val="es-ES_tradnl" w:eastAsia="es-ES_tradnl"/>
        </w:rPr>
      </w:pPr>
    </w:p>
    <w:p w14:paraId="3712A017" w14:textId="77777777" w:rsidR="0043170B" w:rsidRPr="00BB6030" w:rsidRDefault="0043170B" w:rsidP="0043170B">
      <w:pPr>
        <w:contextualSpacing/>
        <w:rPr>
          <w:rFonts w:ascii="Century Gothic" w:eastAsia="Calibri" w:hAnsi="Century Gothic" w:cs="Arial"/>
          <w:b/>
          <w:bCs/>
          <w:lang w:val="es-ES_tradnl" w:eastAsia="es-ES_tradnl"/>
        </w:rPr>
      </w:pPr>
    </w:p>
    <w:p w14:paraId="609460CE" w14:textId="77777777" w:rsidR="0043170B" w:rsidRPr="00BB6030" w:rsidRDefault="0043170B" w:rsidP="0043170B">
      <w:pPr>
        <w:ind w:left="2124" w:firstLine="570"/>
        <w:contextualSpacing/>
        <w:rPr>
          <w:rFonts w:ascii="Century Gothic" w:eastAsia="Calibri" w:hAnsi="Century Gothic" w:cs="Arial"/>
          <w:b/>
          <w:bCs/>
          <w:lang w:val="es-ES_tradnl" w:eastAsia="es-ES_tradnl"/>
        </w:rPr>
      </w:pPr>
      <w:r w:rsidRPr="00BB6030">
        <w:rPr>
          <w:rFonts w:ascii="Century Gothic" w:eastAsia="Calibri" w:hAnsi="Century Gothic" w:cs="Arial"/>
          <w:b/>
          <w:bCs/>
          <w:lang w:val="es-ES_tradnl" w:eastAsia="es-ES_tradnl"/>
        </w:rPr>
        <w:t>Concepto C – 285 de 2023</w:t>
      </w:r>
    </w:p>
    <w:p w14:paraId="37529F7F" w14:textId="77777777" w:rsidR="0043170B" w:rsidRPr="00BB6030" w:rsidRDefault="0043170B" w:rsidP="0043170B">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3170B" w:rsidRPr="00BB6030" w14:paraId="057D1D85" w14:textId="77777777" w:rsidTr="00167F8C">
        <w:tc>
          <w:tcPr>
            <w:tcW w:w="2689" w:type="dxa"/>
          </w:tcPr>
          <w:p w14:paraId="77BD8ABF" w14:textId="77777777" w:rsidR="0043170B" w:rsidRPr="00BB6030" w:rsidRDefault="0043170B" w:rsidP="00167F8C">
            <w:pPr>
              <w:contextualSpacing/>
              <w:jc w:val="both"/>
              <w:rPr>
                <w:rFonts w:ascii="Century Gothic" w:eastAsia="Calibri" w:hAnsi="Century Gothic" w:cs="Arial"/>
                <w:lang w:val="es-ES_tradnl" w:eastAsia="es-ES_tradnl"/>
              </w:rPr>
            </w:pPr>
            <w:r w:rsidRPr="00BB6030">
              <w:rPr>
                <w:rFonts w:ascii="Century Gothic" w:eastAsia="Calibri" w:hAnsi="Century Gothic" w:cs="Arial"/>
                <w:b/>
                <w:lang w:val="es-ES_tradnl" w:eastAsia="es-ES_tradnl"/>
              </w:rPr>
              <w:t>Temas:</w:t>
            </w:r>
            <w:r w:rsidRPr="00BB6030">
              <w:rPr>
                <w:rFonts w:ascii="Century Gothic" w:eastAsia="Calibri" w:hAnsi="Century Gothic" w:cs="Arial"/>
                <w:lang w:val="es-ES_tradnl" w:eastAsia="es-ES_tradnl"/>
              </w:rPr>
              <w:t xml:space="preserve">                                      </w:t>
            </w:r>
          </w:p>
        </w:tc>
        <w:tc>
          <w:tcPr>
            <w:tcW w:w="6237" w:type="dxa"/>
          </w:tcPr>
          <w:p w14:paraId="3D80C9C2" w14:textId="77777777" w:rsidR="0043170B" w:rsidRPr="00BB6030" w:rsidRDefault="0043170B" w:rsidP="00167F8C">
            <w:pPr>
              <w:spacing w:after="120"/>
              <w:contextualSpacing/>
              <w:jc w:val="both"/>
              <w:rPr>
                <w:rFonts w:ascii="Century Gothic" w:eastAsia="Calibri" w:hAnsi="Century Gothic" w:cs="Arial"/>
                <w:bCs/>
                <w:lang w:val="es-MX" w:eastAsia="es-ES_tradnl"/>
              </w:rPr>
            </w:pPr>
            <w:r w:rsidRPr="00BB6030">
              <w:rPr>
                <w:rFonts w:ascii="Century Gothic" w:eastAsia="Calibri" w:hAnsi="Century Gothic" w:cs="Arial"/>
                <w:bCs/>
                <w:lang w:val="es-MX" w:eastAsia="es-ES_tradnl"/>
              </w:rPr>
              <w:t xml:space="preserve">ASOCIACIONES DE MUNICIPIOS – Naturaleza / CONVENIOS INTERADMINISTRATIVOS – Asociaciones de Municipios / LEY DE GARANTÍAS ELECTORALES </w:t>
            </w:r>
            <w:r w:rsidRPr="00BB6030">
              <w:rPr>
                <w:rFonts w:ascii="Arial" w:eastAsia="Calibri" w:hAnsi="Arial" w:cs="Arial"/>
                <w:bCs/>
                <w:lang w:val="es-MX" w:eastAsia="es-ES_tradnl"/>
              </w:rPr>
              <w:t>‒</w:t>
            </w:r>
            <w:r w:rsidRPr="00BB6030">
              <w:rPr>
                <w:rFonts w:ascii="Century Gothic" w:eastAsia="Calibri" w:hAnsi="Century Gothic" w:cs="Arial"/>
                <w:bCs/>
                <w:lang w:val="es-MX" w:eastAsia="es-ES_tradnl"/>
              </w:rPr>
              <w:t xml:space="preserve"> Finalidad / LEY DE GARANT</w:t>
            </w:r>
            <w:r w:rsidRPr="00BB6030">
              <w:rPr>
                <w:rFonts w:ascii="Century Gothic" w:eastAsia="Calibri" w:hAnsi="Century Gothic" w:cs="Century Gothic"/>
                <w:bCs/>
                <w:lang w:val="es-MX" w:eastAsia="es-ES_tradnl"/>
              </w:rPr>
              <w:t>Í</w:t>
            </w:r>
            <w:r w:rsidRPr="00BB6030">
              <w:rPr>
                <w:rFonts w:ascii="Century Gothic" w:eastAsia="Calibri" w:hAnsi="Century Gothic" w:cs="Arial"/>
                <w:bCs/>
                <w:lang w:val="es-MX" w:eastAsia="es-ES_tradnl"/>
              </w:rPr>
              <w:t xml:space="preserve">AS ELECTORALES </w:t>
            </w:r>
            <w:r w:rsidRPr="00A85CB2">
              <w:rPr>
                <w:rFonts w:ascii="Arial" w:eastAsia="Calibri" w:hAnsi="Arial" w:cs="Arial"/>
                <w:bCs/>
                <w:lang w:val="es-MX" w:eastAsia="es-ES_tradnl"/>
              </w:rPr>
              <w:t>‒</w:t>
            </w:r>
            <w:r w:rsidRPr="00BB6030">
              <w:rPr>
                <w:rFonts w:ascii="Century Gothic" w:eastAsia="Calibri" w:hAnsi="Century Gothic" w:cs="Arial"/>
                <w:bCs/>
                <w:lang w:val="es-MX" w:eastAsia="es-ES_tradnl"/>
              </w:rPr>
              <w:t xml:space="preserve"> Tipos de restricciones </w:t>
            </w:r>
            <w:r w:rsidRPr="00BB6030">
              <w:rPr>
                <w:rFonts w:ascii="Arial" w:eastAsia="Calibri" w:hAnsi="Arial" w:cs="Arial"/>
                <w:bCs/>
                <w:lang w:val="es-MX" w:eastAsia="es-ES_tradnl"/>
              </w:rPr>
              <w:t>‒</w:t>
            </w:r>
            <w:r w:rsidRPr="00BB6030">
              <w:rPr>
                <w:rFonts w:ascii="Century Gothic" w:eastAsia="Calibri" w:hAnsi="Century Gothic" w:cs="Arial"/>
                <w:bCs/>
                <w:lang w:val="es-MX" w:eastAsia="es-ES_tradnl"/>
              </w:rPr>
              <w:t xml:space="preserve"> </w:t>
            </w:r>
            <w:r w:rsidRPr="00BB6030">
              <w:rPr>
                <w:rFonts w:ascii="Century Gothic" w:eastAsia="Calibri" w:hAnsi="Century Gothic" w:cs="Century Gothic"/>
                <w:bCs/>
                <w:lang w:val="es-MX" w:eastAsia="es-ES_tradnl"/>
              </w:rPr>
              <w:t>Á</w:t>
            </w:r>
            <w:r w:rsidRPr="00BB6030">
              <w:rPr>
                <w:rFonts w:ascii="Century Gothic" w:eastAsia="Calibri" w:hAnsi="Century Gothic" w:cs="Arial"/>
                <w:bCs/>
                <w:lang w:val="es-MX" w:eastAsia="es-ES_tradnl"/>
              </w:rPr>
              <w:t xml:space="preserve">mbito temporal / LEY DE GARANTÍAS ELECTORALES </w:t>
            </w:r>
            <w:r w:rsidRPr="00BB6030">
              <w:rPr>
                <w:rFonts w:ascii="Arial" w:eastAsia="Calibri" w:hAnsi="Arial" w:cs="Arial"/>
                <w:bCs/>
                <w:lang w:val="es-MX" w:eastAsia="es-ES_tradnl"/>
              </w:rPr>
              <w:t>‒</w:t>
            </w:r>
            <w:r w:rsidRPr="00BB6030">
              <w:rPr>
                <w:rFonts w:ascii="Century Gothic" w:eastAsia="Calibri" w:hAnsi="Century Gothic" w:cs="Arial"/>
                <w:bCs/>
                <w:lang w:val="es-MX" w:eastAsia="es-ES_tradnl"/>
              </w:rPr>
              <w:t xml:space="preserve"> Prohibici</w:t>
            </w:r>
            <w:r w:rsidRPr="00BB6030">
              <w:rPr>
                <w:rFonts w:ascii="Century Gothic" w:eastAsia="Calibri" w:hAnsi="Century Gothic" w:cs="Century Gothic"/>
                <w:bCs/>
                <w:lang w:val="es-MX" w:eastAsia="es-ES_tradnl"/>
              </w:rPr>
              <w:t>ó</w:t>
            </w:r>
            <w:r w:rsidRPr="00BB6030">
              <w:rPr>
                <w:rFonts w:ascii="Century Gothic" w:eastAsia="Calibri" w:hAnsi="Century Gothic" w:cs="Arial"/>
                <w:bCs/>
                <w:lang w:val="es-MX" w:eastAsia="es-ES_tradnl"/>
              </w:rPr>
              <w:t>n por elecci</w:t>
            </w:r>
            <w:r w:rsidRPr="00BB6030">
              <w:rPr>
                <w:rFonts w:ascii="Century Gothic" w:eastAsia="Calibri" w:hAnsi="Century Gothic" w:cs="Century Gothic"/>
                <w:bCs/>
                <w:lang w:val="es-MX" w:eastAsia="es-ES_tradnl"/>
              </w:rPr>
              <w:t>ó</w:t>
            </w:r>
            <w:r w:rsidRPr="00BB6030">
              <w:rPr>
                <w:rFonts w:ascii="Century Gothic" w:eastAsia="Calibri" w:hAnsi="Century Gothic" w:cs="Arial"/>
                <w:bCs/>
                <w:lang w:val="es-MX" w:eastAsia="es-ES_tradnl"/>
              </w:rPr>
              <w:t xml:space="preserve">n de cargos populares </w:t>
            </w:r>
            <w:r w:rsidRPr="00BB6030">
              <w:rPr>
                <w:rFonts w:ascii="Century Gothic" w:eastAsia="Calibri" w:hAnsi="Century Gothic" w:cs="Century Gothic"/>
                <w:bCs/>
                <w:lang w:val="es-MX" w:eastAsia="es-ES_tradnl"/>
              </w:rPr>
              <w:t>–</w:t>
            </w:r>
            <w:r w:rsidRPr="00BB6030">
              <w:rPr>
                <w:rFonts w:ascii="Century Gothic" w:eastAsia="Calibri" w:hAnsi="Century Gothic" w:cs="Arial"/>
                <w:bCs/>
                <w:lang w:val="es-MX" w:eastAsia="es-ES_tradnl"/>
              </w:rPr>
              <w:t xml:space="preserve"> Convenios y contratos interadministrativos </w:t>
            </w:r>
            <w:r w:rsidRPr="00BB6030">
              <w:rPr>
                <w:rFonts w:ascii="Century Gothic" w:eastAsia="Calibri" w:hAnsi="Century Gothic" w:cs="Century Gothic"/>
                <w:bCs/>
                <w:lang w:val="es-MX" w:eastAsia="es-ES_tradnl"/>
              </w:rPr>
              <w:t>–</w:t>
            </w:r>
            <w:r w:rsidRPr="00BB6030">
              <w:rPr>
                <w:rFonts w:ascii="Century Gothic" w:eastAsia="Calibri" w:hAnsi="Century Gothic" w:cs="Arial"/>
                <w:bCs/>
                <w:lang w:val="es-MX" w:eastAsia="es-ES_tradnl"/>
              </w:rPr>
              <w:t xml:space="preserve"> Definici</w:t>
            </w:r>
            <w:r w:rsidRPr="00BB6030">
              <w:rPr>
                <w:rFonts w:ascii="Century Gothic" w:eastAsia="Calibri" w:hAnsi="Century Gothic" w:cs="Century Gothic"/>
                <w:bCs/>
                <w:lang w:val="es-MX" w:eastAsia="es-ES_tradnl"/>
              </w:rPr>
              <w:t>ó</w:t>
            </w:r>
            <w:r w:rsidRPr="00BB6030">
              <w:rPr>
                <w:rFonts w:ascii="Century Gothic" w:eastAsia="Calibri" w:hAnsi="Century Gothic" w:cs="Arial"/>
                <w:bCs/>
                <w:lang w:val="es-MX" w:eastAsia="es-ES_tradnl"/>
              </w:rPr>
              <w:t xml:space="preserve">n </w:t>
            </w:r>
            <w:r w:rsidRPr="00BB6030">
              <w:rPr>
                <w:rFonts w:ascii="Century Gothic" w:eastAsia="Calibri" w:hAnsi="Century Gothic" w:cs="Century Gothic"/>
                <w:bCs/>
                <w:lang w:val="es-MX" w:eastAsia="es-ES_tradnl"/>
              </w:rPr>
              <w:t>–</w:t>
            </w:r>
            <w:r w:rsidRPr="00BB6030">
              <w:rPr>
                <w:rFonts w:ascii="Century Gothic" w:eastAsia="Calibri" w:hAnsi="Century Gothic" w:cs="Arial"/>
                <w:bCs/>
                <w:lang w:val="es-MX" w:eastAsia="es-ES_tradnl"/>
              </w:rPr>
              <w:t xml:space="preserve"> Criterio org</w:t>
            </w:r>
            <w:r w:rsidRPr="00BB6030">
              <w:rPr>
                <w:rFonts w:ascii="Century Gothic" w:eastAsia="Calibri" w:hAnsi="Century Gothic" w:cs="Century Gothic"/>
                <w:bCs/>
                <w:lang w:val="es-MX" w:eastAsia="es-ES_tradnl"/>
              </w:rPr>
              <w:t>á</w:t>
            </w:r>
            <w:r w:rsidRPr="00BB6030">
              <w:rPr>
                <w:rFonts w:ascii="Century Gothic" w:eastAsia="Calibri" w:hAnsi="Century Gothic" w:cs="Arial"/>
                <w:bCs/>
                <w:lang w:val="es-MX" w:eastAsia="es-ES_tradnl"/>
              </w:rPr>
              <w:t>nico</w:t>
            </w:r>
          </w:p>
          <w:p w14:paraId="10C8E16F" w14:textId="77777777" w:rsidR="0043170B" w:rsidRPr="00BB6030" w:rsidRDefault="0043170B" w:rsidP="00167F8C">
            <w:pPr>
              <w:spacing w:after="120"/>
              <w:contextualSpacing/>
              <w:jc w:val="both"/>
              <w:rPr>
                <w:rFonts w:ascii="Century Gothic" w:eastAsia="Calibri" w:hAnsi="Century Gothic" w:cs="Arial"/>
                <w:bCs/>
                <w:sz w:val="12"/>
                <w:szCs w:val="12"/>
                <w:lang w:val="es-ES_tradnl" w:eastAsia="es-ES_tradnl"/>
              </w:rPr>
            </w:pPr>
          </w:p>
        </w:tc>
      </w:tr>
      <w:tr w:rsidR="0043170B" w:rsidRPr="00BB6030" w14:paraId="1AE68E9A" w14:textId="77777777" w:rsidTr="00167F8C">
        <w:trPr>
          <w:trHeight w:val="227"/>
        </w:trPr>
        <w:tc>
          <w:tcPr>
            <w:tcW w:w="2689" w:type="dxa"/>
          </w:tcPr>
          <w:p w14:paraId="2BE221A7" w14:textId="77777777" w:rsidR="0043170B" w:rsidRPr="00BB6030" w:rsidRDefault="0043170B" w:rsidP="00167F8C">
            <w:pPr>
              <w:contextualSpacing/>
              <w:jc w:val="both"/>
              <w:rPr>
                <w:rFonts w:ascii="Century Gothic" w:eastAsia="Calibri" w:hAnsi="Century Gothic" w:cs="Arial"/>
                <w:b/>
                <w:lang w:val="es-ES_tradnl" w:eastAsia="es-ES_tradnl"/>
              </w:rPr>
            </w:pPr>
            <w:r w:rsidRPr="00BB6030">
              <w:rPr>
                <w:rFonts w:ascii="Century Gothic" w:eastAsia="Calibri" w:hAnsi="Century Gothic" w:cs="Arial"/>
                <w:b/>
                <w:lang w:val="es-ES_tradnl" w:eastAsia="es-ES_tradnl"/>
              </w:rPr>
              <w:t>Radicación:</w:t>
            </w:r>
            <w:r w:rsidRPr="00BB6030">
              <w:rPr>
                <w:rFonts w:ascii="Century Gothic" w:eastAsia="Calibri" w:hAnsi="Century Gothic" w:cs="Arial"/>
                <w:lang w:val="es-ES_tradnl" w:eastAsia="es-ES_tradnl"/>
              </w:rPr>
              <w:t xml:space="preserve">                             </w:t>
            </w:r>
          </w:p>
        </w:tc>
        <w:tc>
          <w:tcPr>
            <w:tcW w:w="6237" w:type="dxa"/>
          </w:tcPr>
          <w:p w14:paraId="1D31CF33" w14:textId="77777777" w:rsidR="0043170B" w:rsidRPr="00BB6030" w:rsidRDefault="0043170B" w:rsidP="00167F8C">
            <w:pPr>
              <w:contextualSpacing/>
              <w:jc w:val="both"/>
              <w:rPr>
                <w:rFonts w:ascii="Century Gothic" w:eastAsia="Calibri" w:hAnsi="Century Gothic" w:cs="Arial"/>
                <w:lang w:val="es-ES_tradnl" w:eastAsia="es-ES_tradnl"/>
              </w:rPr>
            </w:pPr>
            <w:r w:rsidRPr="00BB6030">
              <w:rPr>
                <w:rFonts w:ascii="Century Gothic" w:eastAsia="Calibri" w:hAnsi="Century Gothic" w:cs="Arial"/>
                <w:lang w:val="es-ES_tradnl" w:eastAsia="es-ES_tradnl"/>
              </w:rPr>
              <w:t xml:space="preserve">Respuesta a consultas </w:t>
            </w:r>
            <w:proofErr w:type="spellStart"/>
            <w:r w:rsidRPr="00BB6030">
              <w:rPr>
                <w:rFonts w:ascii="Century Gothic" w:eastAsia="Calibri" w:hAnsi="Century Gothic" w:cs="Arial"/>
                <w:lang w:val="es-ES_tradnl" w:eastAsia="es-ES_tradnl"/>
              </w:rPr>
              <w:t>P20230602011989</w:t>
            </w:r>
            <w:proofErr w:type="spellEnd"/>
            <w:r w:rsidRPr="00BB6030">
              <w:rPr>
                <w:rFonts w:ascii="Century Gothic" w:eastAsia="Calibri" w:hAnsi="Century Gothic" w:cs="Arial"/>
                <w:lang w:val="es-ES_tradnl" w:eastAsia="es-ES_tradnl"/>
              </w:rPr>
              <w:t xml:space="preserve">, </w:t>
            </w:r>
            <w:proofErr w:type="spellStart"/>
            <w:r w:rsidRPr="00BB6030">
              <w:rPr>
                <w:rFonts w:ascii="Century Gothic" w:eastAsia="Calibri" w:hAnsi="Century Gothic" w:cs="Arial"/>
                <w:lang w:val="es-ES_tradnl" w:eastAsia="es-ES_tradnl"/>
              </w:rPr>
              <w:t>P20230613012274</w:t>
            </w:r>
            <w:proofErr w:type="spellEnd"/>
            <w:r w:rsidRPr="00BB6030">
              <w:rPr>
                <w:rFonts w:ascii="Century Gothic" w:eastAsia="Calibri" w:hAnsi="Century Gothic" w:cs="Arial"/>
                <w:lang w:val="es-ES_tradnl" w:eastAsia="es-ES_tradnl"/>
              </w:rPr>
              <w:t xml:space="preserve"> y </w:t>
            </w:r>
            <w:proofErr w:type="spellStart"/>
            <w:r w:rsidRPr="00BB6030">
              <w:rPr>
                <w:rFonts w:ascii="Century Gothic" w:eastAsia="Calibri" w:hAnsi="Century Gothic" w:cs="Arial"/>
                <w:lang w:val="es-ES_tradnl" w:eastAsia="es-ES_tradnl"/>
              </w:rPr>
              <w:t>P20230608012202</w:t>
            </w:r>
            <w:proofErr w:type="spellEnd"/>
            <w:r w:rsidRPr="00BB6030">
              <w:rPr>
                <w:rFonts w:ascii="Century Gothic" w:eastAsia="Calibri" w:hAnsi="Century Gothic" w:cs="Arial"/>
                <w:lang w:val="es-ES_tradnl" w:eastAsia="es-ES_tradnl"/>
              </w:rPr>
              <w:t xml:space="preserve"> –Acumulado–</w:t>
            </w:r>
          </w:p>
        </w:tc>
      </w:tr>
    </w:tbl>
    <w:p w14:paraId="19F970D5" w14:textId="77777777" w:rsidR="0043170B" w:rsidRPr="00BB6030" w:rsidRDefault="0043170B" w:rsidP="0043170B">
      <w:pPr>
        <w:contextualSpacing/>
        <w:jc w:val="both"/>
        <w:rPr>
          <w:rFonts w:ascii="Century Gothic" w:eastAsia="Calibri" w:hAnsi="Century Gothic" w:cs="Arial"/>
          <w:lang w:val="es-ES_tradnl" w:eastAsia="es-ES_tradnl"/>
        </w:rPr>
      </w:pPr>
    </w:p>
    <w:p w14:paraId="116A486A" w14:textId="77777777" w:rsidR="0043170B" w:rsidRPr="00BB6030" w:rsidRDefault="0043170B" w:rsidP="0043170B">
      <w:pPr>
        <w:contextualSpacing/>
        <w:jc w:val="both"/>
        <w:rPr>
          <w:rFonts w:ascii="Century Gothic" w:eastAsia="Calibri" w:hAnsi="Century Gothic" w:cs="Arial"/>
          <w:lang w:val="es-ES_tradnl" w:eastAsia="es-ES_tradnl"/>
        </w:rPr>
      </w:pPr>
    </w:p>
    <w:p w14:paraId="3568C45A" w14:textId="77777777" w:rsidR="0043170B" w:rsidRPr="00BB6030" w:rsidRDefault="0043170B" w:rsidP="0043170B">
      <w:pPr>
        <w:contextualSpacing/>
        <w:jc w:val="both"/>
        <w:rPr>
          <w:rFonts w:ascii="Century Gothic" w:eastAsia="Calibri" w:hAnsi="Century Gothic" w:cs="Arial"/>
          <w:lang w:val="es-ES" w:eastAsia="es-ES"/>
        </w:rPr>
      </w:pPr>
      <w:r w:rsidRPr="00BB6030">
        <w:rPr>
          <w:rFonts w:ascii="Century Gothic" w:eastAsia="Calibri" w:hAnsi="Century Gothic" w:cs="Arial"/>
          <w:lang w:val="es-ES" w:eastAsia="es-ES"/>
        </w:rPr>
        <w:t xml:space="preserve">Respetado doctor Monsalve: </w:t>
      </w:r>
    </w:p>
    <w:p w14:paraId="0F41933B" w14:textId="77777777" w:rsidR="0043170B" w:rsidRPr="00BB6030" w:rsidRDefault="0043170B" w:rsidP="0043170B">
      <w:pPr>
        <w:spacing w:line="276" w:lineRule="auto"/>
        <w:contextualSpacing/>
        <w:jc w:val="both"/>
        <w:rPr>
          <w:rFonts w:ascii="Century Gothic" w:eastAsia="Calibri" w:hAnsi="Century Gothic" w:cs="Arial"/>
          <w:szCs w:val="24"/>
          <w:lang w:val="es-ES_tradnl" w:eastAsia="es-ES_tradnl"/>
        </w:rPr>
      </w:pPr>
    </w:p>
    <w:bookmarkEnd w:id="0"/>
    <w:bookmarkEnd w:id="1"/>
    <w:p w14:paraId="61B9EC70" w14:textId="77777777" w:rsidR="0043170B" w:rsidRPr="00BB6030" w:rsidRDefault="0043170B" w:rsidP="0043170B">
      <w:pPr>
        <w:spacing w:after="120" w:line="276" w:lineRule="auto"/>
        <w:jc w:val="both"/>
        <w:rPr>
          <w:rFonts w:ascii="Century Gothic" w:eastAsia="Calibri" w:hAnsi="Century Gothic" w:cs="Arial"/>
          <w:color w:val="000000" w:themeColor="text1"/>
          <w:lang w:val="es-ES_tradnl"/>
        </w:rPr>
      </w:pPr>
      <w:r w:rsidRPr="00BB6030">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9" w:name="_Hlk99120496"/>
      <w:r w:rsidRPr="00BB6030">
        <w:rPr>
          <w:rFonts w:ascii="Century Gothic" w:eastAsia="Arial MT" w:hAnsi="Century Gothic" w:cs="Arial MT"/>
          <w:lang w:val="es-ES"/>
        </w:rPr>
        <w:t xml:space="preserve">, </w:t>
      </w:r>
      <w:bookmarkEnd w:id="9"/>
      <w:r w:rsidRPr="00BB6030">
        <w:rPr>
          <w:rFonts w:ascii="Century Gothic" w:eastAsia="Calibri" w:hAnsi="Century Gothic" w:cs="Arial"/>
          <w:color w:val="000000" w:themeColor="text1"/>
          <w:lang w:val="es-ES_tradnl"/>
        </w:rPr>
        <w:t>la Agencia Nacional de Contratación Pública – Colombia Compra Eficiente responde la consulta radicada el 2 de junio de 2023, solicitud que –conforme al artículo 21 de la Ley 1437 de 2011– fue remitida por el Ministerio de Interior mediante correo electrónico de la misma fecha.</w:t>
      </w:r>
    </w:p>
    <w:p w14:paraId="34B072C2" w14:textId="77777777" w:rsidR="0043170B" w:rsidRPr="00BB6030" w:rsidRDefault="0043170B" w:rsidP="0043170B">
      <w:pPr>
        <w:spacing w:after="0" w:line="276" w:lineRule="auto"/>
        <w:ind w:firstLine="708"/>
        <w:jc w:val="both"/>
        <w:rPr>
          <w:rFonts w:ascii="Century Gothic" w:eastAsia="Calibri" w:hAnsi="Century Gothic" w:cs="Arial"/>
          <w:color w:val="000000" w:themeColor="text1"/>
          <w:lang w:val="es-ES_tradnl"/>
        </w:rPr>
      </w:pPr>
      <w:r w:rsidRPr="00BB6030">
        <w:rPr>
          <w:rFonts w:ascii="Century Gothic" w:eastAsia="Calibri" w:hAnsi="Century Gothic" w:cs="Arial"/>
          <w:color w:val="000000" w:themeColor="text1"/>
          <w:lang w:val="es-ES_tradnl"/>
        </w:rPr>
        <w:t xml:space="preserve">Es necesario tener en cuenta que, de acuerdo con el oficio </w:t>
      </w:r>
      <w:proofErr w:type="spellStart"/>
      <w:r w:rsidRPr="00BB6030">
        <w:rPr>
          <w:rFonts w:ascii="Century Gothic" w:eastAsia="Calibri" w:hAnsi="Century Gothic" w:cs="Arial"/>
          <w:color w:val="000000" w:themeColor="text1"/>
          <w:lang w:val="es-ES_tradnl"/>
        </w:rPr>
        <w:t>RS20230610005963</w:t>
      </w:r>
      <w:proofErr w:type="spellEnd"/>
      <w:r w:rsidRPr="00BB6030">
        <w:rPr>
          <w:rFonts w:ascii="Century Gothic" w:eastAsia="Calibri" w:hAnsi="Century Gothic" w:cs="Arial"/>
          <w:color w:val="000000" w:themeColor="text1"/>
          <w:lang w:val="es-ES_tradnl"/>
        </w:rPr>
        <w:t xml:space="preserve"> del 9 de junio de 2023, la Agencia explicó que carecía de competencia para responder las preguntas 1 y 2. Adicionalmente, de conformidad con el oficio </w:t>
      </w:r>
      <w:proofErr w:type="spellStart"/>
      <w:r w:rsidRPr="00BB6030">
        <w:rPr>
          <w:rFonts w:ascii="Century Gothic" w:eastAsia="Calibri" w:hAnsi="Century Gothic" w:cs="Arial"/>
          <w:color w:val="000000" w:themeColor="text1"/>
          <w:lang w:val="es-ES_tradnl"/>
        </w:rPr>
        <w:t>RS20230609005958</w:t>
      </w:r>
      <w:proofErr w:type="spellEnd"/>
      <w:r w:rsidRPr="00BB6030">
        <w:rPr>
          <w:rFonts w:ascii="Century Gothic" w:eastAsia="Calibri" w:hAnsi="Century Gothic" w:cs="Arial"/>
          <w:color w:val="000000" w:themeColor="text1"/>
          <w:lang w:val="es-ES_tradnl"/>
        </w:rPr>
        <w:t xml:space="preserve"> del 9 de junio de 2023, las preguntas 5 y 6 fueron remidas a la Contraloría General de la República. En contexto, el presente concepto resuelve únicamente las preguntas 3 y 4 de la solicitud, sin perjuicio de una alusión general a las preguntas 5 y 6.</w:t>
      </w:r>
    </w:p>
    <w:p w14:paraId="702F4FCB" w14:textId="77777777" w:rsidR="0043170B" w:rsidRPr="00BB6030" w:rsidRDefault="0043170B" w:rsidP="0043170B">
      <w:pPr>
        <w:spacing w:after="0" w:line="276" w:lineRule="auto"/>
        <w:jc w:val="both"/>
        <w:rPr>
          <w:rFonts w:ascii="Century Gothic" w:eastAsia="Calibri" w:hAnsi="Century Gothic" w:cs="Arial"/>
          <w:b/>
          <w:color w:val="000000" w:themeColor="text1"/>
          <w:lang w:val="es-ES_tradnl"/>
        </w:rPr>
      </w:pPr>
    </w:p>
    <w:p w14:paraId="62151E59" w14:textId="77777777" w:rsidR="0043170B" w:rsidRPr="00BB6030" w:rsidRDefault="0043170B" w:rsidP="0043170B">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BB6030">
        <w:rPr>
          <w:rFonts w:ascii="Century Gothic" w:eastAsia="Calibri" w:hAnsi="Century Gothic" w:cs="Arial"/>
          <w:b/>
          <w:color w:val="000000" w:themeColor="text1"/>
          <w:lang w:val="es-ES_tradnl"/>
        </w:rPr>
        <w:t xml:space="preserve">Problemas planteados </w:t>
      </w:r>
    </w:p>
    <w:p w14:paraId="5F3A230F" w14:textId="77777777" w:rsidR="0043170B" w:rsidRPr="00BB6030" w:rsidRDefault="0043170B" w:rsidP="0043170B">
      <w:pPr>
        <w:tabs>
          <w:tab w:val="left" w:pos="426"/>
        </w:tabs>
        <w:spacing w:after="0" w:line="276" w:lineRule="auto"/>
        <w:jc w:val="both"/>
        <w:rPr>
          <w:rFonts w:ascii="Century Gothic" w:eastAsia="Calibri" w:hAnsi="Century Gothic" w:cs="Arial"/>
          <w:b/>
          <w:color w:val="000000" w:themeColor="text1"/>
          <w:lang w:val="es-ES_tradnl"/>
        </w:rPr>
      </w:pPr>
    </w:p>
    <w:p w14:paraId="545FD169" w14:textId="77777777" w:rsidR="0043170B" w:rsidRPr="00BB6030" w:rsidRDefault="0043170B" w:rsidP="0043170B">
      <w:pPr>
        <w:spacing w:after="0" w:line="276" w:lineRule="auto"/>
        <w:jc w:val="both"/>
        <w:rPr>
          <w:rFonts w:ascii="Century Gothic" w:hAnsi="Century Gothic" w:cs="Arial"/>
          <w:color w:val="000000" w:themeColor="text1"/>
          <w:lang w:val="es-ES_tradnl"/>
        </w:rPr>
      </w:pPr>
      <w:bookmarkStart w:id="10" w:name="_Hlk132728388"/>
      <w:r w:rsidRPr="00BB6030">
        <w:rPr>
          <w:rFonts w:ascii="Century Gothic" w:hAnsi="Century Gothic" w:cs="Arial"/>
          <w:color w:val="000000" w:themeColor="text1"/>
          <w:lang w:val="es-ES_tradnl"/>
        </w:rPr>
        <w:t>Usted realiza las siguientes preguntas:</w:t>
      </w:r>
      <w:bookmarkEnd w:id="10"/>
      <w:r w:rsidRPr="00BB6030">
        <w:rPr>
          <w:rFonts w:ascii="Century Gothic" w:hAnsi="Century Gothic"/>
          <w:color w:val="000000" w:themeColor="text1"/>
        </w:rPr>
        <w:t xml:space="preserve"> </w:t>
      </w:r>
      <w:bookmarkStart w:id="11" w:name="_Hlk132728466"/>
      <w:bookmarkStart w:id="12" w:name="_Hlk134095577"/>
      <w:bookmarkStart w:id="13" w:name="_Hlk137047447"/>
      <w:r w:rsidRPr="00BB6030">
        <w:rPr>
          <w:rFonts w:ascii="Century Gothic" w:hAnsi="Century Gothic" w:cs="Arial"/>
          <w:color w:val="000000" w:themeColor="text1"/>
          <w:lang w:val="es-ES_tradnl"/>
        </w:rPr>
        <w:t xml:space="preserve">i) </w:t>
      </w:r>
      <w:bookmarkEnd w:id="11"/>
      <w:bookmarkEnd w:id="12"/>
      <w:r w:rsidRPr="00BB6030">
        <w:rPr>
          <w:rFonts w:ascii="Century Gothic" w:hAnsi="Century Gothic" w:cs="Arial"/>
          <w:color w:val="000000" w:themeColor="text1"/>
          <w:lang w:val="es-ES_tradnl"/>
        </w:rPr>
        <w:t>“¿Es posible celebrar a través de administración delegada contratos de obra pública, suministros y prestaciones de servicios con las ASOCIACIONES DE MUNICIPIOS sin que esto vaya en contra del Decreto 1474 de 2011 (sic), estatuto anticorrupción?”</w:t>
      </w:r>
      <w:bookmarkEnd w:id="13"/>
      <w:r w:rsidRPr="00BB6030">
        <w:rPr>
          <w:rFonts w:ascii="Century Gothic" w:hAnsi="Century Gothic" w:cs="Arial"/>
          <w:color w:val="000000" w:themeColor="text1"/>
          <w:lang w:val="es-ES_tradnl"/>
        </w:rPr>
        <w:t xml:space="preserve">, </w:t>
      </w:r>
      <w:proofErr w:type="spellStart"/>
      <w:r w:rsidRPr="00BB6030">
        <w:rPr>
          <w:rFonts w:ascii="Century Gothic" w:hAnsi="Century Gothic" w:cs="Arial"/>
          <w:color w:val="000000" w:themeColor="text1"/>
          <w:lang w:val="es-ES_tradnl"/>
        </w:rPr>
        <w:t>ii</w:t>
      </w:r>
      <w:proofErr w:type="spellEnd"/>
      <w:r w:rsidRPr="00BB6030">
        <w:rPr>
          <w:rFonts w:ascii="Century Gothic" w:hAnsi="Century Gothic" w:cs="Arial"/>
          <w:color w:val="000000" w:themeColor="text1"/>
          <w:lang w:val="es-ES_tradnl"/>
        </w:rPr>
        <w:t xml:space="preserve">) “¿Cuál es la diferencia entre convenio y contrato interadministrativo a través de administración delegada y en ese orden de ideas determinar si para la </w:t>
      </w:r>
      <w:proofErr w:type="spellStart"/>
      <w:r w:rsidRPr="00BB6030">
        <w:rPr>
          <w:rFonts w:ascii="Century Gothic" w:hAnsi="Century Gothic" w:cs="Arial"/>
          <w:color w:val="000000" w:themeColor="text1"/>
          <w:lang w:val="es-ES_tradnl"/>
        </w:rPr>
        <w:t>operancia</w:t>
      </w:r>
      <w:proofErr w:type="spellEnd"/>
      <w:r w:rsidRPr="00BB6030">
        <w:rPr>
          <w:rFonts w:ascii="Century Gothic" w:hAnsi="Century Gothic" w:cs="Arial"/>
          <w:color w:val="000000" w:themeColor="text1"/>
          <w:lang w:val="es-ES_tradnl"/>
        </w:rPr>
        <w:t xml:space="preserve"> de la ley de garantías que comienza en junio del año 2023, los contratos interadministrativos con asociaciones de municipios son viables y no aplicaría la ley de garantías?”, </w:t>
      </w:r>
      <w:proofErr w:type="spellStart"/>
      <w:r w:rsidRPr="00BB6030">
        <w:rPr>
          <w:rFonts w:ascii="Century Gothic" w:hAnsi="Century Gothic" w:cs="Arial"/>
          <w:color w:val="000000" w:themeColor="text1"/>
          <w:lang w:val="es-ES_tradnl"/>
        </w:rPr>
        <w:t>iii</w:t>
      </w:r>
      <w:proofErr w:type="spellEnd"/>
      <w:r w:rsidRPr="00BB6030">
        <w:rPr>
          <w:rFonts w:ascii="Century Gothic" w:hAnsi="Century Gothic" w:cs="Arial"/>
          <w:color w:val="000000" w:themeColor="text1"/>
          <w:lang w:val="es-ES_tradnl"/>
        </w:rPr>
        <w:t xml:space="preserve">) “[…] ¿Cuáles son los aspectos en que de acuerdo a la norma debe evaluar la Contraloría en relación con los contratos interadministrativos de administrativos de administración delegada” y </w:t>
      </w:r>
      <w:proofErr w:type="spellStart"/>
      <w:r w:rsidRPr="00BB6030">
        <w:rPr>
          <w:rFonts w:ascii="Century Gothic" w:hAnsi="Century Gothic" w:cs="Arial"/>
          <w:color w:val="000000" w:themeColor="text1"/>
          <w:lang w:val="es-ES_tradnl"/>
        </w:rPr>
        <w:t>iv</w:t>
      </w:r>
      <w:proofErr w:type="spellEnd"/>
      <w:r w:rsidRPr="00BB6030">
        <w:rPr>
          <w:rFonts w:ascii="Century Gothic" w:hAnsi="Century Gothic" w:cs="Arial"/>
          <w:color w:val="000000" w:themeColor="text1"/>
          <w:lang w:val="es-ES_tradnl"/>
        </w:rPr>
        <w:t xml:space="preserve">) “Podrá levantar la Contraloría levantar un hallazgo al Alcalde de un Municipio por haber elegido la modalidad de contratación directa (contrato interadministrativo de administración delegada), aun cuando la elección de dicha modalidad está plenamente justificada dentro de los estudios previos de conveniencia y oportunidad, y con su contenido legal donde se demostró la idoneidad y la experiencia de las ASOCIACIONES DE MUNICIPIOS para poder suscribir el contrato de administración delegada?”.   </w:t>
      </w:r>
    </w:p>
    <w:p w14:paraId="7AF1969D" w14:textId="77777777" w:rsidR="0043170B" w:rsidRPr="00BB6030" w:rsidRDefault="0043170B" w:rsidP="0043170B">
      <w:pPr>
        <w:spacing w:after="0" w:line="276" w:lineRule="auto"/>
        <w:ind w:right="709"/>
        <w:jc w:val="both"/>
        <w:rPr>
          <w:rFonts w:ascii="Century Gothic" w:hAnsi="Century Gothic" w:cs="Arial"/>
          <w:color w:val="000000" w:themeColor="text1"/>
          <w:sz w:val="21"/>
          <w:szCs w:val="21"/>
        </w:rPr>
      </w:pPr>
    </w:p>
    <w:p w14:paraId="212BED56" w14:textId="77777777" w:rsidR="0043170B" w:rsidRPr="00BB6030" w:rsidRDefault="0043170B" w:rsidP="0043170B">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BB6030">
        <w:rPr>
          <w:rFonts w:ascii="Century Gothic" w:eastAsia="Calibri" w:hAnsi="Century Gothic" w:cs="Arial"/>
          <w:b/>
          <w:color w:val="000000" w:themeColor="text1"/>
          <w:lang w:val="es-ES_tradnl"/>
        </w:rPr>
        <w:t>Consideraciones</w:t>
      </w:r>
    </w:p>
    <w:p w14:paraId="2D3CD017" w14:textId="77777777" w:rsidR="0043170B" w:rsidRPr="00BB6030" w:rsidRDefault="0043170B" w:rsidP="0043170B">
      <w:pPr>
        <w:spacing w:after="0" w:line="276" w:lineRule="auto"/>
        <w:jc w:val="both"/>
        <w:rPr>
          <w:rFonts w:ascii="Century Gothic" w:eastAsia="Calibri" w:hAnsi="Century Gothic" w:cs="Arial"/>
          <w:color w:val="000000" w:themeColor="text1"/>
          <w:lang w:val="es-ES"/>
        </w:rPr>
      </w:pPr>
    </w:p>
    <w:p w14:paraId="1107BFA6" w14:textId="77777777" w:rsidR="0043170B" w:rsidRPr="00BB6030" w:rsidRDefault="0043170B" w:rsidP="0043170B">
      <w:pPr>
        <w:spacing w:after="120" w:line="276" w:lineRule="auto"/>
        <w:jc w:val="both"/>
        <w:rPr>
          <w:rFonts w:ascii="Century Gothic" w:hAnsi="Century Gothic" w:cs="Arial"/>
          <w:lang w:val="es-ES"/>
        </w:rPr>
      </w:pPr>
      <w:r w:rsidRPr="00BB6030">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BB6030">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BB6030">
        <w:rPr>
          <w:rFonts w:ascii="Century Gothic" w:hAnsi="Century Gothic" w:cs="Arial"/>
          <w:bCs/>
        </w:rPr>
        <w:t xml:space="preserve"> de todos los partícipes de la contratación estatal.</w:t>
      </w:r>
    </w:p>
    <w:p w14:paraId="71500D1B" w14:textId="77777777" w:rsidR="0043170B" w:rsidRPr="00BB6030" w:rsidRDefault="0043170B" w:rsidP="0043170B">
      <w:pPr>
        <w:spacing w:after="120" w:line="276" w:lineRule="auto"/>
        <w:ind w:firstLine="708"/>
        <w:jc w:val="both"/>
        <w:rPr>
          <w:rFonts w:ascii="Century Gothic" w:hAnsi="Century Gothic" w:cs="Arial"/>
          <w:lang w:val="es-ES"/>
        </w:rPr>
      </w:pPr>
      <w:r w:rsidRPr="00BB6030">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B6030">
        <w:rPr>
          <w:rFonts w:ascii="Century Gothic" w:hAnsi="Century Gothic" w:cs="Arial"/>
          <w:vertAlign w:val="superscript"/>
          <w:lang w:val="es-ES"/>
        </w:rPr>
        <w:footnoteReference w:id="1"/>
      </w:r>
      <w:r w:rsidRPr="00BB6030">
        <w:rPr>
          <w:rFonts w:ascii="Century Gothic" w:hAnsi="Century Gothic" w:cs="Arial"/>
          <w:lang w:val="es-ES"/>
        </w:rPr>
        <w:t>.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negocio en específico.</w:t>
      </w:r>
    </w:p>
    <w:p w14:paraId="2713C1CA" w14:textId="77777777" w:rsidR="0043170B" w:rsidRPr="00BB6030" w:rsidRDefault="0043170B" w:rsidP="0043170B">
      <w:pPr>
        <w:spacing w:line="276" w:lineRule="auto"/>
        <w:ind w:firstLine="708"/>
        <w:jc w:val="both"/>
        <w:rPr>
          <w:rFonts w:ascii="Century Gothic" w:hAnsi="Century Gothic" w:cs="Arial"/>
          <w:bCs/>
          <w:color w:val="000000" w:themeColor="text1"/>
          <w:lang w:val="es-ES"/>
        </w:rPr>
      </w:pPr>
      <w:r w:rsidRPr="00BB6030">
        <w:rPr>
          <w:rFonts w:ascii="Century Gothic" w:eastAsia="Calibri" w:hAnsi="Century Gothic" w:cs="Arial"/>
          <w:bCs/>
        </w:rPr>
        <w:t xml:space="preserve">Sin perjuicio de lo anterior, la Agencia –dentro de los límites de sus atribuciones– resolverá la consulta conforme a las normas generales del sistema de compras públicas. Con este objetivo se abordarán </w:t>
      </w:r>
      <w:r w:rsidRPr="00BB6030">
        <w:rPr>
          <w:rFonts w:ascii="Century Gothic" w:eastAsia="Calibri" w:hAnsi="Century Gothic" w:cs="Arial"/>
          <w:bCs/>
          <w:lang w:val="es-ES"/>
        </w:rPr>
        <w:t>los siguientes temas:</w:t>
      </w:r>
      <w:r w:rsidRPr="00BB6030">
        <w:rPr>
          <w:rFonts w:ascii="Century Gothic" w:hAnsi="Century Gothic" w:cs="Arial"/>
          <w:color w:val="000000" w:themeColor="text1"/>
          <w:lang w:val="es-ES"/>
        </w:rPr>
        <w:t xml:space="preserve"> </w:t>
      </w:r>
      <w:r w:rsidRPr="00BB6030">
        <w:rPr>
          <w:rFonts w:ascii="Century Gothic" w:hAnsi="Century Gothic" w:cs="Arial"/>
          <w:color w:val="000000" w:themeColor="text1"/>
          <w:lang w:val="es-ES_tradnl"/>
        </w:rPr>
        <w:t xml:space="preserve">i) naturaleza de las asociaciones de municipios, </w:t>
      </w:r>
      <w:proofErr w:type="spellStart"/>
      <w:r w:rsidRPr="00BB6030">
        <w:rPr>
          <w:rFonts w:ascii="Century Gothic" w:hAnsi="Century Gothic" w:cs="Arial"/>
          <w:color w:val="000000" w:themeColor="text1"/>
          <w:lang w:val="es-ES_tradnl"/>
        </w:rPr>
        <w:t>ii</w:t>
      </w:r>
      <w:proofErr w:type="spellEnd"/>
      <w:r w:rsidRPr="00BB6030">
        <w:rPr>
          <w:rFonts w:ascii="Century Gothic" w:hAnsi="Century Gothic" w:cs="Arial"/>
          <w:color w:val="000000" w:themeColor="text1"/>
          <w:lang w:val="es-ES_tradnl"/>
        </w:rPr>
        <w:t xml:space="preserve">) celebración de contratos interadministrativos, </w:t>
      </w:r>
      <w:proofErr w:type="spellStart"/>
      <w:r w:rsidRPr="00BB6030">
        <w:rPr>
          <w:rFonts w:ascii="Century Gothic" w:hAnsi="Century Gothic" w:cs="Arial"/>
          <w:color w:val="000000" w:themeColor="text1"/>
          <w:lang w:val="es-ES_tradnl"/>
        </w:rPr>
        <w:t>iii</w:t>
      </w:r>
      <w:proofErr w:type="spellEnd"/>
      <w:r w:rsidRPr="00BB6030">
        <w:rPr>
          <w:rFonts w:ascii="Century Gothic" w:hAnsi="Century Gothic" w:cs="Arial"/>
          <w:color w:val="000000" w:themeColor="text1"/>
          <w:lang w:val="es-ES_tradnl"/>
        </w:rPr>
        <w:t xml:space="preserve">) definición y finalidad de la Ley de Garantías Electorales y </w:t>
      </w:r>
      <w:proofErr w:type="spellStart"/>
      <w:r w:rsidRPr="00BB6030">
        <w:rPr>
          <w:rFonts w:ascii="Century Gothic" w:hAnsi="Century Gothic" w:cs="Arial"/>
          <w:color w:val="000000" w:themeColor="text1"/>
          <w:lang w:val="es-ES_tradnl"/>
        </w:rPr>
        <w:t>iv</w:t>
      </w:r>
      <w:proofErr w:type="spellEnd"/>
      <w:r w:rsidRPr="00BB6030">
        <w:rPr>
          <w:rFonts w:ascii="Century Gothic" w:hAnsi="Century Gothic" w:cs="Arial"/>
          <w:color w:val="000000" w:themeColor="text1"/>
          <w:lang w:val="es-ES_tradnl"/>
        </w:rPr>
        <w:t xml:space="preserve">) restricciones en los comicios para cargos de elección popular.   </w:t>
      </w:r>
    </w:p>
    <w:p w14:paraId="3BFE3B53" w14:textId="77777777" w:rsidR="0043170B" w:rsidRPr="00BB6030" w:rsidRDefault="0043170B" w:rsidP="0043170B">
      <w:pPr>
        <w:spacing w:before="120" w:after="0" w:line="276" w:lineRule="auto"/>
        <w:ind w:firstLine="709"/>
        <w:jc w:val="both"/>
        <w:rPr>
          <w:rFonts w:ascii="Century Gothic" w:eastAsia="Calibri" w:hAnsi="Century Gothic" w:cs="Arial"/>
          <w:color w:val="000000" w:themeColor="text1"/>
          <w:lang w:val="es-ES"/>
        </w:rPr>
      </w:pPr>
      <w:r w:rsidRPr="00BB6030">
        <w:rPr>
          <w:rFonts w:ascii="Century Gothic" w:eastAsia="Calibri" w:hAnsi="Century Gothic" w:cs="Arial"/>
          <w:color w:val="000000" w:themeColor="text1"/>
          <w:lang w:val="es-ES"/>
        </w:rPr>
        <w:t xml:space="preserve">La Agencia Nacional de Contratación Pública – Colombia Compra Eficiente, en los Conceptos 2201913000005444 del 30 de julio de 2019, 2201913000005649 del 8 de agosto de 2019, </w:t>
      </w:r>
      <w:r w:rsidRPr="00BB6030">
        <w:rPr>
          <w:rStyle w:val="normaltextrun"/>
          <w:rFonts w:ascii="Century Gothic" w:hAnsi="Century Gothic" w:cs="Arial"/>
          <w:color w:val="000000"/>
          <w:bdr w:val="none" w:sz="0" w:space="0" w:color="auto" w:frame="1"/>
          <w:lang w:val="es-ES"/>
        </w:rPr>
        <w:t xml:space="preserve">4201912000007676 del 20 de diciembre de 2019, C-059 del 25 de febrero de 2020, </w:t>
      </w:r>
      <w:r w:rsidRPr="00BB6030">
        <w:rPr>
          <w:rFonts w:ascii="Century Gothic" w:eastAsia="Calibri" w:hAnsi="Century Gothic" w:cs="Arial"/>
          <w:color w:val="000000" w:themeColor="text1"/>
          <w:lang w:val="es-ES"/>
        </w:rPr>
        <w:t>C-659 del 10 de noviembre de 2020,</w:t>
      </w:r>
      <w:r w:rsidRPr="00BB6030">
        <w:rPr>
          <w:rFonts w:ascii="Century Gothic" w:eastAsia="Calibri" w:hAnsi="Century Gothic" w:cs="Arial"/>
          <w:color w:val="000000" w:themeColor="text1"/>
          <w:lang w:val="es-MX" w:eastAsia="en-GB"/>
        </w:rPr>
        <w:t xml:space="preserve"> C-788 del 21 de enero de 2021, C-054 del 10 de marzo de 2021, C-116 del 30 de marzo de 2021, C-149 de 8 de abril de 2021, C-173 del 16 de abril de 2021, C-214 del 13 de mayo de 2021, C-284 del 18 de junio de 2021, C-347 del 23 de julio de 2021, C-664 del 30 de agosto de 2021, C-554 del 6 de octubre de 2021, C-249 del 16 de junio de 2022 y C-033 del 27 de febrero de 2023</w:t>
      </w:r>
      <w:r w:rsidRPr="00BB6030">
        <w:rPr>
          <w:rFonts w:ascii="Century Gothic" w:eastAsia="Calibri" w:hAnsi="Century Gothic" w:cs="Arial"/>
          <w:color w:val="000000" w:themeColor="text1"/>
          <w:lang w:val="es-ES"/>
        </w:rPr>
        <w:t xml:space="preserve">, se ha pronunciado sobre los esquemas asociativos de entidades territoriales y la celebración de contratos interadministrativos. </w:t>
      </w:r>
    </w:p>
    <w:p w14:paraId="2336A9EF" w14:textId="77777777" w:rsidR="0043170B" w:rsidRPr="00BB6030" w:rsidRDefault="0043170B" w:rsidP="0043170B">
      <w:pPr>
        <w:spacing w:before="120" w:after="0" w:line="276" w:lineRule="auto"/>
        <w:ind w:firstLine="709"/>
        <w:jc w:val="both"/>
        <w:rPr>
          <w:rFonts w:ascii="Century Gothic" w:eastAsia="Calibri" w:hAnsi="Century Gothic" w:cs="Arial"/>
          <w:color w:val="000000" w:themeColor="text1"/>
          <w:lang w:val="es-ES"/>
        </w:rPr>
      </w:pPr>
      <w:r w:rsidRPr="00BB6030">
        <w:rPr>
          <w:rFonts w:ascii="Century Gothic" w:eastAsia="Calibri" w:hAnsi="Century Gothic" w:cs="Arial"/>
          <w:color w:val="000000" w:themeColor="text1"/>
          <w:lang w:val="es-ES"/>
        </w:rPr>
        <w:t xml:space="preserve">Asimismo, en los Conceptos </w:t>
      </w:r>
      <w:r w:rsidRPr="00BB6030">
        <w:rPr>
          <w:rStyle w:val="normaltextrun"/>
          <w:rFonts w:ascii="Century Gothic" w:hAnsi="Century Gothic" w:cs="Arial"/>
          <w:color w:val="000000"/>
          <w:shd w:val="clear" w:color="auto" w:fill="FFFFFF"/>
          <w:lang w:val="es-ES"/>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Pr="00BB6030">
        <w:rPr>
          <w:rStyle w:val="normaltextrun"/>
          <w:rFonts w:ascii="Century Gothic" w:hAnsi="Century Gothic" w:cs="Arial"/>
          <w:color w:val="000000"/>
          <w:shd w:val="clear" w:color="auto" w:fill="FFFFFF"/>
        </w:rPr>
        <w:t xml:space="preserve">C-715 del 21 de enero de 2022, C-718 del 24 de enero de 2022 y C-726 del 24 de enero de 2022, C-002 del 15 de febrero de 2022, </w:t>
      </w:r>
      <w:proofErr w:type="spellStart"/>
      <w:r w:rsidRPr="00BB6030">
        <w:rPr>
          <w:rStyle w:val="normaltextrun"/>
          <w:rFonts w:ascii="Century Gothic" w:hAnsi="Century Gothic" w:cs="Arial"/>
          <w:color w:val="000000"/>
          <w:shd w:val="clear" w:color="auto" w:fill="FFFFFF"/>
        </w:rPr>
        <w:t>C005</w:t>
      </w:r>
      <w:proofErr w:type="spellEnd"/>
      <w:r w:rsidRPr="00BB6030">
        <w:rPr>
          <w:rStyle w:val="normaltextrun"/>
          <w:rFonts w:ascii="Century Gothic" w:hAnsi="Century Gothic" w:cs="Arial"/>
          <w:color w:val="000000"/>
          <w:shd w:val="clear" w:color="auto" w:fill="FFFFFF"/>
        </w:rPr>
        <w:t xml:space="preserve">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y C-145 del 18 de mayo de 2023, la Agencia también se ha pronunciado sobre la aplicación de la Ley de garantías</w:t>
      </w:r>
      <w:r w:rsidRPr="00BB6030">
        <w:rPr>
          <w:rStyle w:val="Refdenotaalpie"/>
          <w:rFonts w:ascii="Century Gothic" w:eastAsia="Calibri" w:hAnsi="Century Gothic" w:cs="Arial"/>
        </w:rPr>
        <w:footnoteReference w:id="2"/>
      </w:r>
      <w:r w:rsidRPr="00BB6030">
        <w:rPr>
          <w:rStyle w:val="normaltextrun"/>
          <w:rFonts w:ascii="Century Gothic" w:hAnsi="Century Gothic" w:cs="Arial"/>
          <w:color w:val="000000"/>
          <w:shd w:val="clear" w:color="auto" w:fill="FFFFFF"/>
        </w:rPr>
        <w:t xml:space="preserve">. </w:t>
      </w:r>
      <w:r w:rsidRPr="00BB6030">
        <w:rPr>
          <w:rFonts w:ascii="Century Gothic" w:eastAsia="Calibri" w:hAnsi="Century Gothic" w:cs="Arial"/>
          <w:color w:val="000000" w:themeColor="text1"/>
          <w:lang w:val="es-ES_tradnl"/>
        </w:rPr>
        <w:t xml:space="preserve">La tesis propuesta en estos conceptos se reitera a continuación y se complementa en lo pertinente. </w:t>
      </w:r>
    </w:p>
    <w:p w14:paraId="0321F3F2" w14:textId="77777777" w:rsidR="0043170B" w:rsidRPr="00BB6030" w:rsidRDefault="0043170B" w:rsidP="0043170B">
      <w:pPr>
        <w:spacing w:after="0" w:line="276" w:lineRule="auto"/>
        <w:contextualSpacing/>
        <w:jc w:val="both"/>
        <w:rPr>
          <w:rFonts w:ascii="Century Gothic" w:eastAsia="Times New Roman" w:hAnsi="Century Gothic" w:cs="Arial"/>
          <w:b/>
          <w:bCs/>
          <w:szCs w:val="24"/>
          <w:lang w:eastAsia="es-ES_tradnl"/>
        </w:rPr>
      </w:pPr>
    </w:p>
    <w:p w14:paraId="48982E48" w14:textId="77777777" w:rsidR="0043170B" w:rsidRPr="00BB6030" w:rsidRDefault="0043170B" w:rsidP="0043170B">
      <w:pPr>
        <w:spacing w:after="0" w:line="276" w:lineRule="auto"/>
        <w:contextualSpacing/>
        <w:jc w:val="both"/>
        <w:rPr>
          <w:rFonts w:ascii="Century Gothic" w:eastAsia="Times New Roman" w:hAnsi="Century Gothic" w:cs="Arial"/>
          <w:b/>
          <w:bCs/>
          <w:szCs w:val="24"/>
          <w:lang w:eastAsia="es-ES_tradnl"/>
        </w:rPr>
      </w:pPr>
      <w:r w:rsidRPr="00BB6030">
        <w:rPr>
          <w:rFonts w:ascii="Century Gothic" w:eastAsia="Times New Roman" w:hAnsi="Century Gothic" w:cs="Arial"/>
          <w:b/>
          <w:bCs/>
          <w:szCs w:val="24"/>
          <w:lang w:eastAsia="es-ES_tradnl"/>
        </w:rPr>
        <w:t>2.1. Naturaleza de las asociaciones de municipios: régimen contractual aplicable</w:t>
      </w:r>
    </w:p>
    <w:p w14:paraId="11344FD0" w14:textId="77777777" w:rsidR="0043170B" w:rsidRPr="00BB6030" w:rsidRDefault="0043170B" w:rsidP="0043170B">
      <w:pPr>
        <w:autoSpaceDE w:val="0"/>
        <w:autoSpaceDN w:val="0"/>
        <w:adjustRightInd w:val="0"/>
        <w:spacing w:after="0" w:line="276" w:lineRule="auto"/>
        <w:jc w:val="both"/>
        <w:rPr>
          <w:rFonts w:ascii="Century Gothic" w:eastAsia="Times New Roman" w:hAnsi="Century Gothic" w:cs="Arial"/>
          <w:color w:val="000000"/>
          <w:szCs w:val="24"/>
          <w:lang w:val="es-ES_tradnl" w:eastAsia="es-ES_tradnl"/>
        </w:rPr>
      </w:pPr>
    </w:p>
    <w:p w14:paraId="1EE685E7" w14:textId="77777777" w:rsidR="0043170B" w:rsidRPr="00BB6030" w:rsidRDefault="0043170B" w:rsidP="0043170B">
      <w:pPr>
        <w:pStyle w:val="Textoindependiente"/>
        <w:spacing w:after="120" w:line="276" w:lineRule="auto"/>
        <w:ind w:right="103"/>
        <w:jc w:val="both"/>
        <w:rPr>
          <w:rFonts w:ascii="Century Gothic" w:hAnsi="Century Gothic"/>
          <w:color w:val="000000" w:themeColor="text1"/>
        </w:rPr>
      </w:pPr>
      <w:r w:rsidRPr="00BB6030">
        <w:rPr>
          <w:rFonts w:ascii="Century Gothic" w:hAnsi="Century Gothic"/>
          <w:color w:val="000000" w:themeColor="text1"/>
        </w:rPr>
        <w:t>Una de las primeras disposiciones relacionadas con</w:t>
      </w:r>
      <w:r w:rsidRPr="00BB6030" w:rsidDel="00307A32">
        <w:rPr>
          <w:rFonts w:ascii="Century Gothic" w:hAnsi="Century Gothic"/>
          <w:color w:val="000000" w:themeColor="text1"/>
        </w:rPr>
        <w:t xml:space="preserve"> </w:t>
      </w:r>
      <w:r w:rsidRPr="00BB6030">
        <w:rPr>
          <w:rFonts w:ascii="Century Gothic" w:hAnsi="Century Gothic"/>
          <w:color w:val="000000" w:themeColor="text1"/>
        </w:rPr>
        <w:t>las asociaciones de municipios es el artículo 63 del Acto Legislativo 1 de 1968, con el cual se modificó el artículo 198 de la Constitución de 1886, en el sentido de indicar, entre otras cosas, que “La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w:t>
      </w:r>
      <w:r w:rsidRPr="00BB6030">
        <w:rPr>
          <w:rFonts w:ascii="Century Gothic" w:hAnsi="Century Gothic"/>
          <w:color w:val="000000" w:themeColor="text1"/>
          <w:spacing w:val="-4"/>
        </w:rPr>
        <w:t xml:space="preserve"> </w:t>
      </w:r>
      <w:r w:rsidRPr="00BB6030">
        <w:rPr>
          <w:rFonts w:ascii="Century Gothic" w:hAnsi="Century Gothic"/>
          <w:color w:val="000000" w:themeColor="text1"/>
        </w:rPr>
        <w:t>requieran”.</w:t>
      </w:r>
    </w:p>
    <w:p w14:paraId="0CABB042" w14:textId="77777777" w:rsidR="0043170B" w:rsidRPr="00BB6030" w:rsidRDefault="0043170B" w:rsidP="0043170B">
      <w:pPr>
        <w:pStyle w:val="Textoindependiente"/>
        <w:spacing w:after="120"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En desarrollo de lo anterior fue expedida la Ley 1 de 1975, a través de la cual se regularon aspectos como la naturaleza jurídica de las asociaciones de municipios, la manera de conformarlas y su funcionamiento</w:t>
      </w:r>
      <w:r w:rsidRPr="00BB6030">
        <w:rPr>
          <w:rStyle w:val="Refdenotaalpie"/>
          <w:rFonts w:ascii="Century Gothic" w:hAnsi="Century Gothic"/>
          <w:color w:val="000000" w:themeColor="text1"/>
        </w:rPr>
        <w:footnoteReference w:id="3"/>
      </w:r>
      <w:r w:rsidRPr="00BB6030">
        <w:rPr>
          <w:rFonts w:ascii="Century Gothic" w:hAnsi="Century Gothic"/>
          <w:color w:val="000000" w:themeColor="text1"/>
        </w:rPr>
        <w:t>. Posteriormente, la Ley 136 de 1994, en el artículo 149, reiteró el primero de dichos aspectos, al señalar que esas asociaciones “son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p>
    <w:p w14:paraId="31959670" w14:textId="77777777" w:rsidR="0043170B" w:rsidRPr="00BB6030" w:rsidRDefault="0043170B" w:rsidP="0043170B">
      <w:pPr>
        <w:pStyle w:val="Textoindependiente"/>
        <w:spacing w:after="120"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Por su parte, el artículo 148 de la referida Ley 136 de 1994 autorizó que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p>
    <w:p w14:paraId="52B924F2" w14:textId="77777777" w:rsidR="0043170B" w:rsidRPr="00BB6030" w:rsidRDefault="0043170B" w:rsidP="0043170B">
      <w:pPr>
        <w:pStyle w:val="Textoindependiente"/>
        <w:spacing w:after="120"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A su vez, la Ley 1454 de 2011, orgánica del ordenamiento territorial, concibió a las asociaciones de municipios como una clase de los denominados esquemas asociativos territoriales</w:t>
      </w:r>
      <w:r w:rsidRPr="00BB6030">
        <w:rPr>
          <w:rFonts w:ascii="Century Gothic" w:hAnsi="Century Gothic"/>
          <w:vertAlign w:val="superscript"/>
        </w:rPr>
        <w:footnoteReference w:id="4"/>
      </w:r>
      <w:r w:rsidRPr="00BB6030">
        <w:rPr>
          <w:rFonts w:ascii="Century Gothic" w:hAnsi="Century Gothic"/>
          <w:color w:val="000000" w:themeColor="text1"/>
        </w:rPr>
        <w:t xml:space="preserve">,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23CB4516" w14:textId="77777777" w:rsidR="0043170B" w:rsidRPr="00BB6030" w:rsidRDefault="0043170B" w:rsidP="0043170B">
      <w:pPr>
        <w:pStyle w:val="Textoindependiente"/>
        <w:spacing w:after="120"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En cuanto a la manera como se conforman las asociaciones de municipios, tanto la Ley 136 de 1994 –artículo 150–</w:t>
      </w:r>
      <w:r w:rsidRPr="00BB6030">
        <w:rPr>
          <w:rFonts w:ascii="Century Gothic" w:hAnsi="Century Gothic"/>
          <w:vertAlign w:val="superscript"/>
        </w:rPr>
        <w:footnoteReference w:id="5"/>
      </w:r>
      <w:r w:rsidRPr="00BB6030">
        <w:rPr>
          <w:rFonts w:ascii="Century Gothic" w:hAnsi="Century Gothic"/>
          <w:color w:val="000000" w:themeColor="text1"/>
        </w:rPr>
        <w:t>, como la Ley 1454 de 2011 –artículo 14–, establecen que se hace a través de convenios, en los términos indicados en dichas disposiciones</w:t>
      </w:r>
      <w:r w:rsidRPr="00BB6030">
        <w:rPr>
          <w:rFonts w:ascii="Century Gothic" w:hAnsi="Century Gothic"/>
          <w:vertAlign w:val="superscript"/>
        </w:rPr>
        <w:footnoteReference w:id="6"/>
      </w:r>
      <w:r w:rsidRPr="00BB6030">
        <w:rPr>
          <w:rFonts w:ascii="Century Gothic" w:hAnsi="Century Gothic"/>
          <w:color w:val="000000" w:themeColor="text1"/>
        </w:rPr>
        <w:t>.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14:paraId="4826296B" w14:textId="77777777" w:rsidR="0043170B" w:rsidRPr="00BB6030" w:rsidRDefault="0043170B" w:rsidP="0043170B">
      <w:pPr>
        <w:pStyle w:val="Textoindependiente"/>
        <w:spacing w:after="120" w:line="276" w:lineRule="auto"/>
        <w:ind w:firstLine="709"/>
        <w:jc w:val="both"/>
        <w:rPr>
          <w:rFonts w:ascii="Century Gothic" w:hAnsi="Century Gothic"/>
          <w:color w:val="000000" w:themeColor="text1"/>
        </w:rPr>
      </w:pPr>
      <w:r w:rsidRPr="00BB6030">
        <w:rPr>
          <w:rFonts w:ascii="Century Gothic" w:hAnsi="Century Gothic"/>
          <w:color w:val="000000" w:themeColor="text1"/>
        </w:rPr>
        <w:t>Ahora bien, la normativa expuesta se relaciona con las asociaciones de entidades territoriales, particularmente de municipios. Sin embargo, lo anterior no implica desconocer la posibilidad que existe, en general, para las demás entidades estatales para asociarse, particularmente, con fundamento en lo prescrito en el artículo 95 de la Ley 489 de 1998, que permite la asociación de entidades públicas, estableciendo la posibilidad de conformar personas jurídicas sin ánimo de lucro</w:t>
      </w:r>
      <w:r w:rsidRPr="00BB6030">
        <w:rPr>
          <w:rStyle w:val="Refdenotaalpie"/>
          <w:rFonts w:ascii="Century Gothic" w:hAnsi="Century Gothic"/>
          <w:color w:val="000000" w:themeColor="text1"/>
        </w:rPr>
        <w:footnoteReference w:id="7"/>
      </w:r>
      <w:r w:rsidRPr="00BB6030">
        <w:rPr>
          <w:rFonts w:ascii="Century Gothic" w:hAnsi="Century Gothic"/>
          <w:color w:val="000000" w:themeColor="text1"/>
        </w:rPr>
        <w:t xml:space="preserve">. </w:t>
      </w:r>
      <w:r w:rsidRPr="00BB6030">
        <w:rPr>
          <w:rStyle w:val="normaltextrun"/>
          <w:rFonts w:ascii="Century Gothic" w:hAnsi="Century Gothic"/>
          <w:color w:val="000000"/>
          <w:shd w:val="clear" w:color="auto" w:fill="FFFFFF"/>
        </w:rPr>
        <w:t>De este modo, la naturaleza y el carácter de persona jurídica que dichas leyes le atribuyen a las asociaciones de municipios conducen a entender que son entidades diferentes a los municipios que las conforman.</w:t>
      </w:r>
      <w:r w:rsidRPr="00BB6030">
        <w:rPr>
          <w:rStyle w:val="eop"/>
          <w:rFonts w:ascii="Century Gothic" w:hAnsi="Century Gothic"/>
          <w:color w:val="000000"/>
          <w:shd w:val="clear" w:color="auto" w:fill="FFFFFF"/>
        </w:rPr>
        <w:t> </w:t>
      </w:r>
    </w:p>
    <w:p w14:paraId="7B0FD232" w14:textId="77777777" w:rsidR="0043170B" w:rsidRPr="00BB6030" w:rsidRDefault="0043170B" w:rsidP="0043170B">
      <w:pPr>
        <w:pStyle w:val="paragraph"/>
        <w:shd w:val="clear" w:color="auto" w:fill="FFFFFF"/>
        <w:spacing w:before="0" w:beforeAutospacing="0" w:after="120" w:afterAutospacing="0" w:line="276" w:lineRule="auto"/>
        <w:ind w:firstLine="703"/>
        <w:jc w:val="both"/>
        <w:textAlignment w:val="baseline"/>
        <w:rPr>
          <w:rFonts w:ascii="Century Gothic" w:hAnsi="Century Gothic" w:cs="Segoe UI"/>
          <w:sz w:val="18"/>
          <w:szCs w:val="18"/>
        </w:rPr>
      </w:pPr>
      <w:r w:rsidRPr="00BB6030">
        <w:rPr>
          <w:rStyle w:val="normaltextrun"/>
          <w:rFonts w:ascii="Century Gothic" w:hAnsi="Century Gothic" w:cs="Arial"/>
          <w:color w:val="000000"/>
          <w:sz w:val="22"/>
          <w:szCs w:val="22"/>
          <w:lang w:val="es-CO"/>
        </w:rPr>
        <w:t xml:space="preserve">Dicho lo anterior, en relación con la naturaleza jurídica de las asociaciones de municipios, puede afirmarse que su régimen de contratación es el general. Lo anterior se desprende, además, de lo previsto en el numeral 1 del artículo 2 de la Ley 80 de 1993, que define como entidades estatales, sujetas a dicho estatuto a: “La Nación, las regiones, los departamentos, las provincias, el distrito capital y los distritos especiales, las áreas metropolitanas, </w:t>
      </w:r>
      <w:r w:rsidRPr="00BB6030">
        <w:rPr>
          <w:rStyle w:val="normaltextrun"/>
          <w:rFonts w:ascii="Century Gothic" w:hAnsi="Century Gothic" w:cs="Arial"/>
          <w:i/>
          <w:iCs/>
          <w:color w:val="000000"/>
          <w:sz w:val="22"/>
          <w:szCs w:val="22"/>
          <w:lang w:val="es-CO"/>
        </w:rPr>
        <w:t>las asociaciones de municipios</w:t>
      </w:r>
      <w:r w:rsidRPr="00BB6030">
        <w:rPr>
          <w:rStyle w:val="normaltextrun"/>
          <w:rFonts w:ascii="Century Gothic" w:hAnsi="Century Gothic" w:cs="Arial"/>
          <w:color w:val="000000"/>
          <w:sz w:val="22"/>
          <w:szCs w:val="22"/>
          <w:lang w:val="es-CO"/>
        </w:rPr>
        <w:t>, los territorios indígenas y los municipios (…)” (Énfasis fuera de texto). Así las cosas, el Estatuto General de Contratación de la Administración Pública establece que las asociaciones de municipios son entidades estatales para efectos contractuales, razón por la cual</w:t>
      </w:r>
      <w:r w:rsidRPr="00BB6030">
        <w:rPr>
          <w:rStyle w:val="normaltextrun"/>
          <w:rFonts w:ascii="Arial" w:hAnsi="Arial" w:cs="Arial"/>
          <w:color w:val="000000"/>
          <w:sz w:val="22"/>
          <w:szCs w:val="22"/>
          <w:lang w:val="es-CO"/>
        </w:rPr>
        <w:t> </w:t>
      </w:r>
      <w:r w:rsidRPr="00BB6030">
        <w:rPr>
          <w:rStyle w:val="normaltextrun"/>
          <w:rFonts w:ascii="Century Gothic" w:hAnsi="Century Gothic" w:cs="Arial"/>
          <w:color w:val="000000"/>
          <w:sz w:val="22"/>
          <w:szCs w:val="22"/>
          <w:lang w:val="es-CO"/>
        </w:rPr>
        <w:t>se someten a dicho estatuto.</w:t>
      </w:r>
      <w:r w:rsidRPr="00BB6030">
        <w:rPr>
          <w:rStyle w:val="normaltextrun"/>
          <w:rFonts w:ascii="Arial" w:hAnsi="Arial" w:cs="Arial"/>
          <w:color w:val="000000"/>
          <w:sz w:val="22"/>
          <w:szCs w:val="22"/>
          <w:lang w:val="es-CO"/>
        </w:rPr>
        <w:t>  </w:t>
      </w:r>
      <w:r w:rsidRPr="00BB6030">
        <w:rPr>
          <w:rStyle w:val="eop"/>
          <w:rFonts w:ascii="Century Gothic" w:hAnsi="Century Gothic" w:cs="Arial"/>
          <w:color w:val="000000"/>
          <w:sz w:val="22"/>
          <w:szCs w:val="22"/>
        </w:rPr>
        <w:t> </w:t>
      </w:r>
    </w:p>
    <w:p w14:paraId="78F5A19D" w14:textId="07992919" w:rsidR="0043170B" w:rsidRPr="00BB6030" w:rsidRDefault="0043170B" w:rsidP="00C66803">
      <w:pPr>
        <w:pStyle w:val="paragraph"/>
        <w:shd w:val="clear" w:color="auto" w:fill="FFFFFF"/>
        <w:spacing w:before="0" w:beforeAutospacing="0" w:after="0" w:afterAutospacing="0" w:line="276" w:lineRule="auto"/>
        <w:ind w:firstLine="705"/>
        <w:jc w:val="both"/>
        <w:textAlignment w:val="baseline"/>
        <w:rPr>
          <w:rStyle w:val="eop"/>
          <w:rFonts w:ascii="Century Gothic" w:hAnsi="Century Gothic" w:cs="Arial"/>
          <w:color w:val="000000"/>
          <w:sz w:val="22"/>
          <w:szCs w:val="22"/>
        </w:rPr>
      </w:pPr>
      <w:r w:rsidRPr="00BB6030">
        <w:rPr>
          <w:rStyle w:val="normaltextrun"/>
          <w:rFonts w:ascii="Century Gothic" w:hAnsi="Century Gothic" w:cs="Arial"/>
          <w:color w:val="000000"/>
          <w:sz w:val="22"/>
          <w:szCs w:val="22"/>
          <w:lang w:val="es-CO"/>
        </w:rPr>
        <w:t xml:space="preserve">De forma más precisa, el artículo 10 de la Ley 1150 de 2007 establece que “Las cooperativas, las asociaciones conformadas por entidades territoriales y en general los entes solidarios de carácter público estarán sometidos a las disposiciones del Estatuto General de Contratación de la Administración Pública […]”. Dicho lo anterior, resulta claro que el régimen contractual de las asociaciones de municipios no es especial, puesto que por mandato legal se someten al </w:t>
      </w:r>
      <w:proofErr w:type="spellStart"/>
      <w:r w:rsidRPr="00BB6030">
        <w:rPr>
          <w:rStyle w:val="normaltextrun"/>
          <w:rFonts w:ascii="Century Gothic" w:hAnsi="Century Gothic" w:cs="Arial"/>
          <w:color w:val="000000"/>
          <w:sz w:val="22"/>
          <w:szCs w:val="22"/>
          <w:lang w:val="es-CO"/>
        </w:rPr>
        <w:t>EGCAP</w:t>
      </w:r>
      <w:proofErr w:type="spellEnd"/>
      <w:r w:rsidRPr="00BB6030">
        <w:rPr>
          <w:rStyle w:val="normaltextrun"/>
          <w:rFonts w:ascii="Century Gothic" w:hAnsi="Century Gothic" w:cs="Arial"/>
          <w:color w:val="000000"/>
          <w:sz w:val="22"/>
          <w:szCs w:val="22"/>
          <w:lang w:val="es-CO"/>
        </w:rPr>
        <w:t xml:space="preserve">. </w:t>
      </w:r>
      <w:r w:rsidRPr="00BB6030">
        <w:rPr>
          <w:rStyle w:val="normaltextrun"/>
          <w:rFonts w:ascii="Arial" w:hAnsi="Arial" w:cs="Arial"/>
          <w:color w:val="000000"/>
          <w:sz w:val="22"/>
          <w:szCs w:val="22"/>
          <w:lang w:val="es-CO"/>
        </w:rPr>
        <w:t> </w:t>
      </w:r>
      <w:r w:rsidRPr="00BB6030">
        <w:rPr>
          <w:rStyle w:val="eop"/>
          <w:rFonts w:ascii="Century Gothic" w:hAnsi="Century Gothic" w:cs="Arial"/>
          <w:color w:val="000000"/>
          <w:sz w:val="22"/>
          <w:szCs w:val="22"/>
        </w:rPr>
        <w:t> </w:t>
      </w:r>
    </w:p>
    <w:p w14:paraId="0245EE4A" w14:textId="77777777" w:rsidR="0043170B" w:rsidRPr="00BB6030" w:rsidRDefault="0043170B" w:rsidP="0043170B">
      <w:pPr>
        <w:pStyle w:val="paragraph"/>
        <w:shd w:val="clear" w:color="auto" w:fill="FFFFFF"/>
        <w:spacing w:before="0" w:beforeAutospacing="0" w:after="0" w:afterAutospacing="0" w:line="276" w:lineRule="auto"/>
        <w:jc w:val="both"/>
        <w:textAlignment w:val="baseline"/>
        <w:rPr>
          <w:rFonts w:ascii="Century Gothic" w:hAnsi="Century Gothic" w:cs="Arial"/>
          <w:b/>
          <w:bCs/>
          <w:color w:val="000000"/>
          <w:sz w:val="22"/>
          <w:szCs w:val="22"/>
        </w:rPr>
      </w:pPr>
      <w:r w:rsidRPr="00BB6030">
        <w:rPr>
          <w:rStyle w:val="eop"/>
          <w:rFonts w:ascii="Century Gothic" w:hAnsi="Century Gothic" w:cs="Arial"/>
          <w:b/>
          <w:bCs/>
          <w:color w:val="000000"/>
          <w:sz w:val="22"/>
          <w:szCs w:val="22"/>
        </w:rPr>
        <w:t>2.2. Posibilidad de que las asociaciones de municipios celebren contratos o convenios interadministrativos</w:t>
      </w:r>
    </w:p>
    <w:p w14:paraId="4FD32FE0" w14:textId="77777777" w:rsidR="0043170B" w:rsidRPr="00BB6030" w:rsidRDefault="0043170B" w:rsidP="0043170B">
      <w:pPr>
        <w:pStyle w:val="Textoindependiente"/>
        <w:spacing w:before="1"/>
        <w:rPr>
          <w:rFonts w:ascii="Century Gothic" w:hAnsi="Century Gothic"/>
          <w:b/>
          <w:color w:val="000000" w:themeColor="text1"/>
        </w:rPr>
      </w:pPr>
    </w:p>
    <w:p w14:paraId="73E0778B" w14:textId="77777777" w:rsidR="0043170B" w:rsidRPr="00BB6030" w:rsidRDefault="0043170B" w:rsidP="0043170B">
      <w:pPr>
        <w:pStyle w:val="Textoindependiente"/>
        <w:spacing w:line="276" w:lineRule="auto"/>
        <w:ind w:right="108"/>
        <w:jc w:val="both"/>
        <w:rPr>
          <w:rFonts w:ascii="Century Gothic" w:hAnsi="Century Gothic"/>
          <w:color w:val="000000" w:themeColor="text1"/>
        </w:rPr>
      </w:pPr>
      <w:r w:rsidRPr="00BB6030">
        <w:rPr>
          <w:rFonts w:ascii="Century Gothic" w:hAnsi="Century Gothic"/>
          <w:color w:val="000000" w:themeColor="text1"/>
        </w:rPr>
        <w:t>Para desarrollar el tema propuesto, es necesario estudiar el marco jurídico, iniciando por un análisis histórico. En tal sentido, la Ley 80 de 1993, en el parágrafo 1 del artículo 2, incluía a las cooperativas y asociaciones de entidades territoriales dentro de la categoría de entidades estatales sometidas a la Ley 80 de 1993, y las facultaba para suscribir convenios</w:t>
      </w:r>
      <w:r w:rsidRPr="00BB6030">
        <w:rPr>
          <w:rFonts w:ascii="Century Gothic" w:hAnsi="Century Gothic"/>
          <w:color w:val="000000" w:themeColor="text1"/>
          <w:spacing w:val="-18"/>
        </w:rPr>
        <w:t xml:space="preserve"> </w:t>
      </w:r>
      <w:r w:rsidRPr="00BB6030">
        <w:rPr>
          <w:rFonts w:ascii="Century Gothic" w:hAnsi="Century Gothic"/>
          <w:color w:val="000000" w:themeColor="text1"/>
        </w:rPr>
        <w:t>interadministrativos:</w:t>
      </w:r>
    </w:p>
    <w:p w14:paraId="0557182B" w14:textId="77777777" w:rsidR="0043170B" w:rsidRPr="00BB6030" w:rsidRDefault="0043170B" w:rsidP="0043170B">
      <w:pPr>
        <w:pStyle w:val="Textoindependiente"/>
        <w:spacing w:before="3" w:line="276" w:lineRule="auto"/>
        <w:rPr>
          <w:rFonts w:ascii="Century Gothic" w:hAnsi="Century Gothic"/>
          <w:color w:val="000000" w:themeColor="text1"/>
        </w:rPr>
      </w:pPr>
    </w:p>
    <w:p w14:paraId="7946E915" w14:textId="77777777" w:rsidR="0043170B" w:rsidRPr="00BB6030" w:rsidRDefault="0043170B" w:rsidP="0043170B">
      <w:pPr>
        <w:pStyle w:val="Textoindependiente"/>
        <w:ind w:left="652" w:right="652"/>
        <w:jc w:val="both"/>
        <w:rPr>
          <w:rFonts w:ascii="Century Gothic" w:hAnsi="Century Gothic"/>
          <w:color w:val="000000" w:themeColor="text1"/>
          <w:sz w:val="21"/>
          <w:szCs w:val="21"/>
        </w:rPr>
      </w:pPr>
      <w:r w:rsidRPr="00BB6030">
        <w:rPr>
          <w:rFonts w:ascii="Century Gothic" w:hAnsi="Century Gothic"/>
          <w:color w:val="000000" w:themeColor="text1"/>
          <w:sz w:val="21"/>
          <w:szCs w:val="21"/>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3068C510" w14:textId="77777777" w:rsidR="0043170B" w:rsidRPr="00BB6030" w:rsidRDefault="0043170B" w:rsidP="0043170B">
      <w:pPr>
        <w:pStyle w:val="Textoindependiente"/>
        <w:spacing w:before="3" w:line="276" w:lineRule="auto"/>
        <w:rPr>
          <w:rFonts w:ascii="Century Gothic" w:hAnsi="Century Gothic"/>
          <w:color w:val="000000" w:themeColor="text1"/>
        </w:rPr>
      </w:pPr>
    </w:p>
    <w:p w14:paraId="3E5CC929" w14:textId="77777777" w:rsidR="0043170B" w:rsidRPr="00BB6030" w:rsidRDefault="0043170B" w:rsidP="0043170B">
      <w:pPr>
        <w:pStyle w:val="Textoindependiente"/>
        <w:spacing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En virtud de lo anterior, el parágrafo del artículo 2 de la Ley 80 de 1993 facultaba a las cooperativas y asociaciones de entidades territoriales para celebrar convenios interadministrativos. 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 competitivos, convenios interadministrativos, siempre que se acreditaran los siguientes requisitos establecidos en la norma indicada:</w:t>
      </w:r>
    </w:p>
    <w:p w14:paraId="089DF547" w14:textId="77777777" w:rsidR="0043170B" w:rsidRPr="00BB6030" w:rsidRDefault="0043170B" w:rsidP="0043170B">
      <w:pPr>
        <w:pStyle w:val="Textoindependiente"/>
        <w:spacing w:before="2" w:line="276" w:lineRule="auto"/>
        <w:rPr>
          <w:rFonts w:ascii="Century Gothic" w:hAnsi="Century Gothic"/>
          <w:color w:val="000000" w:themeColor="text1"/>
        </w:rPr>
      </w:pPr>
    </w:p>
    <w:p w14:paraId="2ED74DEE" w14:textId="77777777" w:rsidR="0043170B" w:rsidRPr="00BB6030" w:rsidRDefault="0043170B" w:rsidP="0043170B">
      <w:pPr>
        <w:pStyle w:val="Textoindependiente"/>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 xml:space="preserve">Artículo 14. De conformidad con lo previsto en el parágrafo del artículo </w:t>
      </w:r>
      <w:proofErr w:type="spellStart"/>
      <w:r w:rsidRPr="00BB6030">
        <w:rPr>
          <w:rFonts w:ascii="Century Gothic" w:hAnsi="Century Gothic"/>
          <w:color w:val="000000" w:themeColor="text1"/>
          <w:sz w:val="21"/>
          <w:szCs w:val="21"/>
        </w:rPr>
        <w:t>2o</w:t>
      </w:r>
      <w:proofErr w:type="spellEnd"/>
      <w:r w:rsidRPr="00BB6030">
        <w:rPr>
          <w:rFonts w:ascii="Century Gothic" w:hAnsi="Century Gothic"/>
          <w:color w:val="000000" w:themeColor="text1"/>
          <w:sz w:val="21"/>
          <w:szCs w:val="21"/>
        </w:rPr>
        <w:t>. de la Ley 80 de 1993, los contratos que se celebren en desarrollo de los convenios interadministrativos estarán sujetos a dicha ley.</w:t>
      </w:r>
    </w:p>
    <w:p w14:paraId="14D57297" w14:textId="77777777" w:rsidR="0043170B" w:rsidRPr="00BB6030" w:rsidRDefault="0043170B" w:rsidP="0043170B">
      <w:pPr>
        <w:pStyle w:val="Textoindependiente"/>
        <w:spacing w:after="120"/>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w:t>
      </w:r>
    </w:p>
    <w:p w14:paraId="5B99B723" w14:textId="77777777" w:rsidR="0043170B" w:rsidRPr="00BB6030" w:rsidRDefault="0043170B" w:rsidP="0043170B">
      <w:pPr>
        <w:pStyle w:val="Textoindependiente"/>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3313A0F8" w14:textId="77777777" w:rsidR="0043170B" w:rsidRPr="00BB6030" w:rsidRDefault="0043170B" w:rsidP="0043170B">
      <w:pPr>
        <w:pStyle w:val="Textoindependiente"/>
        <w:spacing w:before="3" w:line="276" w:lineRule="auto"/>
        <w:rPr>
          <w:rFonts w:ascii="Century Gothic" w:hAnsi="Century Gothic"/>
          <w:color w:val="000000" w:themeColor="text1"/>
        </w:rPr>
      </w:pPr>
    </w:p>
    <w:p w14:paraId="1313091D" w14:textId="77777777" w:rsidR="0043170B" w:rsidRPr="00BB6030" w:rsidRDefault="0043170B" w:rsidP="0043170B">
      <w:pPr>
        <w:pStyle w:val="Textoindependiente"/>
        <w:spacing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BB6030">
        <w:rPr>
          <w:rFonts w:ascii="Century Gothic" w:hAnsi="Century Gothic"/>
          <w:color w:val="000000" w:themeColor="text1"/>
          <w:spacing w:val="40"/>
        </w:rPr>
        <w:t xml:space="preserve"> </w:t>
      </w:r>
      <w:r w:rsidRPr="00BB6030">
        <w:rPr>
          <w:rFonts w:ascii="Century Gothic" w:hAnsi="Century Gothic"/>
          <w:color w:val="000000" w:themeColor="text1"/>
        </w:rPr>
        <w:t>29</w:t>
      </w:r>
      <w:r w:rsidRPr="00BB6030">
        <w:rPr>
          <w:rFonts w:ascii="Century Gothic" w:hAnsi="Century Gothic"/>
          <w:color w:val="000000" w:themeColor="text1"/>
          <w:spacing w:val="40"/>
        </w:rPr>
        <w:t xml:space="preserve"> </w:t>
      </w:r>
      <w:r w:rsidRPr="00BB6030">
        <w:rPr>
          <w:rFonts w:ascii="Century Gothic" w:hAnsi="Century Gothic"/>
          <w:color w:val="000000" w:themeColor="text1"/>
        </w:rPr>
        <w:t>de</w:t>
      </w:r>
      <w:r w:rsidRPr="00BB6030">
        <w:rPr>
          <w:rFonts w:ascii="Century Gothic" w:hAnsi="Century Gothic"/>
          <w:color w:val="000000" w:themeColor="text1"/>
          <w:spacing w:val="41"/>
        </w:rPr>
        <w:t xml:space="preserve"> </w:t>
      </w:r>
      <w:r w:rsidRPr="00BB6030">
        <w:rPr>
          <w:rFonts w:ascii="Century Gothic" w:hAnsi="Century Gothic"/>
          <w:color w:val="000000" w:themeColor="text1"/>
        </w:rPr>
        <w:t>la</w:t>
      </w:r>
      <w:r w:rsidRPr="00BB6030">
        <w:rPr>
          <w:rFonts w:ascii="Century Gothic" w:hAnsi="Century Gothic"/>
          <w:color w:val="000000" w:themeColor="text1"/>
          <w:spacing w:val="40"/>
        </w:rPr>
        <w:t xml:space="preserve"> </w:t>
      </w:r>
      <w:r w:rsidRPr="00BB6030">
        <w:rPr>
          <w:rFonts w:ascii="Century Gothic" w:hAnsi="Century Gothic"/>
          <w:color w:val="000000" w:themeColor="text1"/>
        </w:rPr>
        <w:t>Ley</w:t>
      </w:r>
      <w:r w:rsidRPr="00BB6030">
        <w:rPr>
          <w:rFonts w:ascii="Century Gothic" w:hAnsi="Century Gothic"/>
          <w:color w:val="000000" w:themeColor="text1"/>
          <w:spacing w:val="38"/>
        </w:rPr>
        <w:t xml:space="preserve"> </w:t>
      </w:r>
      <w:r w:rsidRPr="00BB6030">
        <w:rPr>
          <w:rFonts w:ascii="Century Gothic" w:hAnsi="Century Gothic"/>
          <w:color w:val="000000" w:themeColor="text1"/>
        </w:rPr>
        <w:t>80</w:t>
      </w:r>
      <w:r w:rsidRPr="00BB6030">
        <w:rPr>
          <w:rFonts w:ascii="Century Gothic" w:hAnsi="Century Gothic"/>
          <w:color w:val="000000" w:themeColor="text1"/>
          <w:spacing w:val="44"/>
        </w:rPr>
        <w:t xml:space="preserve"> </w:t>
      </w:r>
      <w:r w:rsidRPr="00BB6030">
        <w:rPr>
          <w:rFonts w:ascii="Century Gothic" w:hAnsi="Century Gothic"/>
          <w:color w:val="000000" w:themeColor="text1"/>
        </w:rPr>
        <w:t>de</w:t>
      </w:r>
      <w:r w:rsidRPr="00BB6030">
        <w:rPr>
          <w:rFonts w:ascii="Century Gothic" w:hAnsi="Century Gothic"/>
          <w:color w:val="000000" w:themeColor="text1"/>
          <w:spacing w:val="40"/>
        </w:rPr>
        <w:t xml:space="preserve"> </w:t>
      </w:r>
      <w:r w:rsidRPr="00BB6030">
        <w:rPr>
          <w:rFonts w:ascii="Century Gothic" w:hAnsi="Century Gothic"/>
          <w:color w:val="000000" w:themeColor="text1"/>
        </w:rPr>
        <w:t>1993,</w:t>
      </w:r>
      <w:r w:rsidRPr="00BB6030">
        <w:rPr>
          <w:rFonts w:ascii="Century Gothic" w:hAnsi="Century Gothic"/>
          <w:color w:val="000000" w:themeColor="text1"/>
          <w:spacing w:val="39"/>
        </w:rPr>
        <w:t xml:space="preserve"> </w:t>
      </w:r>
      <w:r w:rsidRPr="00BB6030">
        <w:rPr>
          <w:rFonts w:ascii="Century Gothic" w:hAnsi="Century Gothic"/>
          <w:color w:val="000000" w:themeColor="text1"/>
        </w:rPr>
        <w:t>normativa</w:t>
      </w:r>
      <w:r w:rsidRPr="00BB6030">
        <w:rPr>
          <w:rFonts w:ascii="Century Gothic" w:hAnsi="Century Gothic"/>
          <w:color w:val="000000" w:themeColor="text1"/>
          <w:spacing w:val="41"/>
        </w:rPr>
        <w:t xml:space="preserve"> </w:t>
      </w:r>
      <w:r w:rsidRPr="00BB6030">
        <w:rPr>
          <w:rFonts w:ascii="Century Gothic" w:hAnsi="Century Gothic"/>
          <w:color w:val="000000" w:themeColor="text1"/>
        </w:rPr>
        <w:t>que</w:t>
      </w:r>
      <w:r w:rsidRPr="00BB6030">
        <w:rPr>
          <w:rFonts w:ascii="Century Gothic" w:hAnsi="Century Gothic"/>
          <w:color w:val="000000" w:themeColor="text1"/>
          <w:spacing w:val="41"/>
        </w:rPr>
        <w:t xml:space="preserve"> </w:t>
      </w:r>
      <w:r w:rsidRPr="00BB6030">
        <w:rPr>
          <w:rFonts w:ascii="Century Gothic" w:hAnsi="Century Gothic"/>
          <w:color w:val="000000" w:themeColor="text1"/>
        </w:rPr>
        <w:t>desarrolla</w:t>
      </w:r>
      <w:r w:rsidRPr="00BB6030">
        <w:rPr>
          <w:rFonts w:ascii="Century Gothic" w:hAnsi="Century Gothic"/>
          <w:color w:val="000000" w:themeColor="text1"/>
          <w:spacing w:val="40"/>
        </w:rPr>
        <w:t xml:space="preserve"> </w:t>
      </w:r>
      <w:r w:rsidRPr="00BB6030">
        <w:rPr>
          <w:rFonts w:ascii="Century Gothic" w:hAnsi="Century Gothic"/>
          <w:color w:val="000000" w:themeColor="text1"/>
        </w:rPr>
        <w:t>la</w:t>
      </w:r>
      <w:r w:rsidRPr="00BB6030">
        <w:rPr>
          <w:rFonts w:ascii="Century Gothic" w:hAnsi="Century Gothic"/>
          <w:color w:val="000000" w:themeColor="text1"/>
          <w:spacing w:val="41"/>
        </w:rPr>
        <w:t xml:space="preserve"> </w:t>
      </w:r>
      <w:r w:rsidRPr="00BB6030">
        <w:rPr>
          <w:rFonts w:ascii="Century Gothic" w:hAnsi="Century Gothic"/>
          <w:color w:val="000000" w:themeColor="text1"/>
        </w:rPr>
        <w:t>selección</w:t>
      </w:r>
      <w:r w:rsidRPr="00BB6030">
        <w:rPr>
          <w:rFonts w:ascii="Century Gothic" w:hAnsi="Century Gothic"/>
          <w:color w:val="000000" w:themeColor="text1"/>
          <w:spacing w:val="38"/>
        </w:rPr>
        <w:t xml:space="preserve"> </w:t>
      </w:r>
      <w:r w:rsidRPr="00BB6030">
        <w:rPr>
          <w:rFonts w:ascii="Century Gothic" w:hAnsi="Century Gothic"/>
          <w:color w:val="000000" w:themeColor="text1"/>
        </w:rPr>
        <w:t>objetiva</w:t>
      </w:r>
      <w:r w:rsidRPr="00BB6030">
        <w:rPr>
          <w:rFonts w:ascii="Century Gothic" w:hAnsi="Century Gothic"/>
          <w:color w:val="000000" w:themeColor="text1"/>
          <w:spacing w:val="41"/>
        </w:rPr>
        <w:t xml:space="preserve"> </w:t>
      </w:r>
      <w:r w:rsidRPr="00BB6030">
        <w:rPr>
          <w:rFonts w:ascii="Century Gothic" w:hAnsi="Century Gothic"/>
          <w:color w:val="000000" w:themeColor="text1"/>
        </w:rPr>
        <w:t>como principio orientador para los procesos de selección sometidos al Estatuto General de Contratación de la Administración Pública:</w:t>
      </w:r>
    </w:p>
    <w:p w14:paraId="5C5147CB" w14:textId="77777777" w:rsidR="0043170B" w:rsidRPr="00BB6030" w:rsidRDefault="0043170B" w:rsidP="0043170B">
      <w:pPr>
        <w:pStyle w:val="Textoindependiente"/>
        <w:spacing w:before="1" w:line="276" w:lineRule="auto"/>
        <w:rPr>
          <w:rFonts w:ascii="Century Gothic" w:hAnsi="Century Gothic"/>
          <w:color w:val="000000" w:themeColor="text1"/>
        </w:rPr>
      </w:pPr>
    </w:p>
    <w:p w14:paraId="353C21AB" w14:textId="77777777" w:rsidR="0043170B" w:rsidRPr="00BB6030" w:rsidRDefault="0043170B" w:rsidP="0043170B">
      <w:pPr>
        <w:pStyle w:val="Textoindependiente"/>
        <w:spacing w:after="120"/>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 xml:space="preserve">Artículo 14. De los contratos interadministrativos con cooperativas y asociaciones conformadas por entidades territoriales. De conformidad con lo previsto en el parágrafo del artículo </w:t>
      </w:r>
      <w:proofErr w:type="spellStart"/>
      <w:r w:rsidRPr="00BB6030">
        <w:rPr>
          <w:rFonts w:ascii="Century Gothic" w:hAnsi="Century Gothic"/>
          <w:color w:val="000000" w:themeColor="text1"/>
          <w:sz w:val="21"/>
          <w:szCs w:val="21"/>
        </w:rPr>
        <w:t>2o</w:t>
      </w:r>
      <w:proofErr w:type="spellEnd"/>
      <w:r w:rsidRPr="00BB6030">
        <w:rPr>
          <w:rFonts w:ascii="Century Gothic" w:hAnsi="Century Gothic"/>
          <w:color w:val="000000" w:themeColor="text1"/>
          <w:sz w:val="21"/>
          <w:szCs w:val="21"/>
        </w:rPr>
        <w:t xml:space="preserve"> de la Ley 80 de 1993, los contratos que se celebren en desarrollo de los convenios interadministrativos estarán sujetos a dicha ley.</w:t>
      </w:r>
    </w:p>
    <w:p w14:paraId="5EE47EAD" w14:textId="77777777" w:rsidR="0043170B" w:rsidRPr="00BB6030" w:rsidRDefault="0043170B" w:rsidP="0043170B">
      <w:pPr>
        <w:pStyle w:val="Textoindependiente"/>
        <w:spacing w:after="120"/>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La selección de estas entidades se hará conforme a las siguientes reglas:</w:t>
      </w:r>
    </w:p>
    <w:p w14:paraId="7EDC9FB7" w14:textId="77777777" w:rsidR="0043170B" w:rsidRPr="00BB6030" w:rsidRDefault="0043170B" w:rsidP="0043170B">
      <w:pPr>
        <w:pStyle w:val="Textoindependiente"/>
        <w:spacing w:after="120"/>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70E82CC2" w14:textId="77777777" w:rsidR="0043170B" w:rsidRPr="00BB6030" w:rsidRDefault="0043170B" w:rsidP="0043170B">
      <w:pPr>
        <w:pStyle w:val="Textoindependiente"/>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 xml:space="preserve">Las entidades a que se refiere el presente artículo deberán inscribirse en el </w:t>
      </w:r>
      <w:proofErr w:type="spellStart"/>
      <w:r w:rsidRPr="00BB6030">
        <w:rPr>
          <w:rFonts w:ascii="Century Gothic" w:hAnsi="Century Gothic"/>
          <w:color w:val="000000" w:themeColor="text1"/>
          <w:sz w:val="21"/>
          <w:szCs w:val="21"/>
        </w:rPr>
        <w:t>RUP</w:t>
      </w:r>
      <w:proofErr w:type="spellEnd"/>
      <w:r w:rsidRPr="00BB6030">
        <w:rPr>
          <w:rFonts w:ascii="Century Gothic" w:hAnsi="Century Gothic"/>
          <w:color w:val="000000" w:themeColor="text1"/>
          <w:sz w:val="21"/>
          <w:szCs w:val="21"/>
        </w:rPr>
        <w:t>,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160A034B" w14:textId="77777777" w:rsidR="0043170B" w:rsidRPr="00BB6030" w:rsidRDefault="0043170B" w:rsidP="0043170B">
      <w:pPr>
        <w:pStyle w:val="Textoindependiente"/>
        <w:spacing w:line="276" w:lineRule="auto"/>
        <w:ind w:left="668" w:right="531"/>
        <w:jc w:val="both"/>
        <w:rPr>
          <w:rFonts w:ascii="Century Gothic" w:hAnsi="Century Gothic"/>
          <w:color w:val="000000" w:themeColor="text1"/>
        </w:rPr>
      </w:pPr>
      <w:r w:rsidRPr="00BB6030">
        <w:rPr>
          <w:rFonts w:ascii="Century Gothic" w:hAnsi="Century Gothic"/>
          <w:color w:val="000000" w:themeColor="text1"/>
          <w:sz w:val="21"/>
          <w:szCs w:val="21"/>
        </w:rPr>
        <w:tab/>
      </w:r>
    </w:p>
    <w:p w14:paraId="192D0E9E" w14:textId="77777777" w:rsidR="0043170B" w:rsidRPr="00BB6030" w:rsidRDefault="0043170B" w:rsidP="0043170B">
      <w:pPr>
        <w:pStyle w:val="Textoindependiente"/>
        <w:spacing w:after="120"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De este modo, la modificación realizada por el artículo 1 del Decreto 4375 de 2006 restringió la libertad contractual de las cooperativas y asociaciones de entidades territoriales para celebrar convenios interadministrativos de forma directa, sometiéndolas a las reglas de la selección objetiva indicadas en caso de que estas pretendieran contratar o ser contratadas por una entidad</w:t>
      </w:r>
      <w:r w:rsidRPr="00BB6030">
        <w:rPr>
          <w:rFonts w:ascii="Century Gothic" w:hAnsi="Century Gothic"/>
          <w:color w:val="000000" w:themeColor="text1"/>
          <w:spacing w:val="-2"/>
        </w:rPr>
        <w:t xml:space="preserve"> </w:t>
      </w:r>
      <w:r w:rsidRPr="00BB6030">
        <w:rPr>
          <w:rFonts w:ascii="Century Gothic" w:hAnsi="Century Gothic"/>
          <w:color w:val="000000" w:themeColor="text1"/>
        </w:rPr>
        <w:t>estatal.</w:t>
      </w:r>
    </w:p>
    <w:p w14:paraId="709689FA" w14:textId="77777777" w:rsidR="0043170B" w:rsidRPr="00BB6030" w:rsidRDefault="0043170B" w:rsidP="0043170B">
      <w:pPr>
        <w:pStyle w:val="Textoindependiente"/>
        <w:spacing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A su vez, con la vigencia de la Ley 1150 de 2007, normativa que introdujo medidas para la eficiencia y la transparencia en la contratación pública, se establecieron nuevos criterios para la celebración de convenios interadministrativos para la actividad contractual de cooperativas y asociaciones de entidades territoriales. Particularmente, el artículo 32 de la Ley 1150 de 2007 derogó de manera expresa el parágrafo 1 del artículo 2 de la Ley 80 de 1993, que permitía la celebración de convenios interadministrativos por parte de cooperativas y asociaciones de entidades</w:t>
      </w:r>
      <w:r w:rsidRPr="00BB6030">
        <w:rPr>
          <w:rFonts w:ascii="Century Gothic" w:hAnsi="Century Gothic"/>
          <w:color w:val="000000" w:themeColor="text1"/>
          <w:spacing w:val="-12"/>
        </w:rPr>
        <w:t xml:space="preserve"> </w:t>
      </w:r>
      <w:r w:rsidRPr="00BB6030">
        <w:rPr>
          <w:rFonts w:ascii="Century Gothic" w:hAnsi="Century Gothic"/>
          <w:color w:val="000000" w:themeColor="text1"/>
        </w:rPr>
        <w:t>territoriales</w:t>
      </w:r>
      <w:r w:rsidRPr="00BB6030">
        <w:rPr>
          <w:rStyle w:val="Refdenotaalpie"/>
          <w:rFonts w:ascii="Century Gothic" w:hAnsi="Century Gothic"/>
          <w:color w:val="000000" w:themeColor="text1"/>
        </w:rPr>
        <w:footnoteReference w:id="8"/>
      </w:r>
      <w:r w:rsidRPr="00BB6030">
        <w:rPr>
          <w:rFonts w:ascii="Century Gothic" w:hAnsi="Century Gothic"/>
          <w:color w:val="000000" w:themeColor="text1"/>
        </w:rPr>
        <w:t>. Además, en armonía con lo anterior, el artículo 10 de la Ley 1150 de 2007 estableció:</w:t>
      </w:r>
    </w:p>
    <w:p w14:paraId="5A384011" w14:textId="77777777" w:rsidR="0043170B" w:rsidRPr="00BB6030" w:rsidRDefault="0043170B" w:rsidP="0043170B">
      <w:pPr>
        <w:pStyle w:val="Textoindependiente"/>
        <w:spacing w:before="8" w:line="276" w:lineRule="auto"/>
        <w:rPr>
          <w:rFonts w:ascii="Century Gothic" w:hAnsi="Century Gothic"/>
          <w:color w:val="000000" w:themeColor="text1"/>
        </w:rPr>
      </w:pPr>
    </w:p>
    <w:p w14:paraId="3AFEBCF2" w14:textId="77777777" w:rsidR="0043170B" w:rsidRPr="00BB6030" w:rsidRDefault="0043170B" w:rsidP="0043170B">
      <w:pPr>
        <w:pStyle w:val="Textoindependiente"/>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59A3518D" w14:textId="77777777" w:rsidR="0043170B" w:rsidRPr="00BB6030" w:rsidRDefault="0043170B" w:rsidP="0043170B">
      <w:pPr>
        <w:pStyle w:val="Textoindependiente"/>
        <w:spacing w:before="4" w:line="276" w:lineRule="auto"/>
        <w:rPr>
          <w:rFonts w:ascii="Century Gothic" w:hAnsi="Century Gothic"/>
          <w:color w:val="000000" w:themeColor="text1"/>
        </w:rPr>
      </w:pPr>
    </w:p>
    <w:p w14:paraId="697C6C8E" w14:textId="77777777" w:rsidR="0043170B" w:rsidRPr="00BB6030" w:rsidRDefault="0043170B" w:rsidP="0043170B">
      <w:pPr>
        <w:pStyle w:val="Textoindependiente"/>
        <w:spacing w:after="120"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 xml:space="preserve">A partir de la norma citada, para la celebración de contratos con entidades estatales, las cooperativas y asociaciones conformadas por entidades territoriales deben someterse a los procesos de selección de la Ley 1150 de 2007, en igualdad de condiciones con los particulares. </w:t>
      </w:r>
      <w:r w:rsidRPr="00BB6030">
        <w:rPr>
          <w:rStyle w:val="normaltextrun"/>
          <w:rFonts w:ascii="Century Gothic" w:hAnsi="Century Gothic"/>
          <w:color w:val="000000"/>
          <w:shd w:val="clear" w:color="auto" w:fill="FFFFFF"/>
        </w:rPr>
        <w:t>Así las cosas, la finalidad de la norma consiste en establecer que las cooperativas, las asociaciones conformadas por entidades territoriales y en general los entes solidarios de carácter público que pretendan celebrar contratos con las entidades estatales pueden hacerlo siempre y cuando lo realicen a través de procedimientos competitivos, limitándose, en consecuencia, la modalidad de contratación directa. De otro lado, vale la pena destacar como la disposición analizada no efectuó distinciones entre el tipo de asociaciones de entidades territoriales frente a las que aplica esta restricción, por lo que allí también se encuentran incluidas las asociaciones de municipios, que son un tipo de asociaciones de entidades territoriales</w:t>
      </w:r>
      <w:r w:rsidRPr="00BB6030">
        <w:rPr>
          <w:rFonts w:ascii="Century Gothic" w:hAnsi="Century Gothic"/>
          <w:color w:val="000000" w:themeColor="text1"/>
          <w:sz w:val="21"/>
          <w:szCs w:val="21"/>
        </w:rPr>
        <w:t xml:space="preserve">. </w:t>
      </w:r>
    </w:p>
    <w:p w14:paraId="655D77B9" w14:textId="77777777" w:rsidR="0043170B" w:rsidRPr="00BB6030" w:rsidRDefault="0043170B" w:rsidP="0043170B">
      <w:pPr>
        <w:pStyle w:val="Textoindependiente"/>
        <w:spacing w:after="120"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 xml:space="preserve">De la evolución normativa expuesta se advierte que la prohibición de celebrar contratos mediante la modalidad de contratación directa, incluyendo la imposibilidad de acudir a la causal de contratos interadministrativos,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particularmente, </w:t>
      </w:r>
      <w:proofErr w:type="spellStart"/>
      <w:r w:rsidRPr="00BB6030">
        <w:rPr>
          <w:rFonts w:ascii="Century Gothic" w:hAnsi="Century Gothic"/>
          <w:color w:val="000000" w:themeColor="text1"/>
        </w:rPr>
        <w:t>ii</w:t>
      </w:r>
      <w:proofErr w:type="spellEnd"/>
      <w:r w:rsidRPr="00BB6030">
        <w:rPr>
          <w:rFonts w:ascii="Century Gothic" w:hAnsi="Century Gothic"/>
          <w:color w:val="000000" w:themeColor="text1"/>
        </w:rPr>
        <w:t>) el artículo 10 de la ley 1150 de 2007 que establece que la celebración de contratos entre una entidad estatal con, entre otras, asociaciones de entidades territoriales  únicamente se pueden realizar mediante un proceso competitivo, pues deben participar “en igualdad de condiciones con los particulares” y no mediante la modalidad de contratación directa, incluyendo en la prohibición acudir a la causal de los contratos interadministrativos.</w:t>
      </w:r>
    </w:p>
    <w:p w14:paraId="4DC6E2E0" w14:textId="77777777" w:rsidR="0043170B" w:rsidRPr="00BB6030" w:rsidRDefault="0043170B" w:rsidP="0043170B">
      <w:pPr>
        <w:pStyle w:val="Textoindependiente"/>
        <w:spacing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No obstante, continuando con el análisis del desarrollo normativo, debe tenerse en cuenta que posterior a la Ley 1150 de 2007 se expidió la Ley 1454 de 2011, que en el parágrafo del artículo 17 es concluyente frente a la posibilidad que tienen las asociaciones de departamentos, las provincias y las asociaciones de distritos y de municipios de suscribir convenios interadministrativos, en los términos establecidos en el artículo 95 de la ley 489 de 1998:</w:t>
      </w:r>
    </w:p>
    <w:p w14:paraId="61FA9014" w14:textId="77777777" w:rsidR="0043170B" w:rsidRPr="00BB6030" w:rsidRDefault="0043170B" w:rsidP="0043170B">
      <w:pPr>
        <w:pStyle w:val="Textoindependiente"/>
        <w:spacing w:line="276" w:lineRule="auto"/>
        <w:ind w:right="108" w:firstLine="709"/>
        <w:jc w:val="both"/>
        <w:rPr>
          <w:rFonts w:ascii="Century Gothic" w:hAnsi="Century Gothic"/>
          <w:color w:val="000000" w:themeColor="text1"/>
        </w:rPr>
      </w:pPr>
    </w:p>
    <w:p w14:paraId="64762DE6" w14:textId="77777777" w:rsidR="0043170B" w:rsidRPr="00BB6030" w:rsidRDefault="0043170B" w:rsidP="0043170B">
      <w:pPr>
        <w:pStyle w:val="Textoindependiente"/>
        <w:spacing w:after="120"/>
        <w:ind w:left="709" w:right="709"/>
        <w:jc w:val="both"/>
        <w:rPr>
          <w:rFonts w:ascii="Century Gothic" w:hAnsi="Century Gothic"/>
          <w:color w:val="000000" w:themeColor="text1"/>
          <w:sz w:val="21"/>
          <w:szCs w:val="21"/>
        </w:rPr>
      </w:pPr>
      <w:bookmarkStart w:id="14" w:name="17"/>
      <w:r w:rsidRPr="00BB6030">
        <w:rPr>
          <w:rFonts w:ascii="Century Gothic" w:hAnsi="Century Gothic"/>
          <w:color w:val="000000" w:themeColor="text1"/>
          <w:sz w:val="21"/>
          <w:szCs w:val="21"/>
        </w:rPr>
        <w:t>Artículo 17. Naturaleza y funcionamiento de los esquemas asociativos.</w:t>
      </w:r>
      <w:bookmarkEnd w:id="14"/>
      <w:r w:rsidRPr="00BB6030">
        <w:rPr>
          <w:rFonts w:ascii="Century Gothic" w:hAnsi="Century Gothic"/>
          <w:color w:val="000000" w:themeColor="text1"/>
          <w:sz w:val="21"/>
          <w:szCs w:val="21"/>
        </w:rPr>
        <w:t xml:space="preserve"> Las asociaciones de departamentos, las provincias y las </w:t>
      </w:r>
      <w:r w:rsidRPr="00BB6030">
        <w:rPr>
          <w:rFonts w:ascii="Century Gothic" w:hAnsi="Century Gothic"/>
          <w:i/>
          <w:iCs/>
          <w:color w:val="000000" w:themeColor="text1"/>
          <w:sz w:val="21"/>
          <w:szCs w:val="21"/>
        </w:rPr>
        <w:t>asociaciones de distritos y de municipios</w:t>
      </w:r>
      <w:r w:rsidRPr="00BB6030">
        <w:rPr>
          <w:rFonts w:ascii="Century Gothic" w:hAnsi="Century Gothic"/>
          <w:color w:val="000000" w:themeColor="text1"/>
          <w:sz w:val="21"/>
          <w:szCs w:val="21"/>
        </w:rPr>
        <w:t xml:space="preserve"> son entidades administrativas de derecho público, con personería jurídica y patrimonio propio e independiente de los entes que la conforman.</w:t>
      </w:r>
    </w:p>
    <w:p w14:paraId="24CBBA35" w14:textId="77777777" w:rsidR="0043170B" w:rsidRPr="00BB6030" w:rsidRDefault="0043170B" w:rsidP="0043170B">
      <w:pPr>
        <w:pStyle w:val="Textoindependiente"/>
        <w:spacing w:after="120"/>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Las asociaciones de departamentos podrán constituirse en regiones administrativas y de planificación, previa autorización de sus asambleas departamentales.</w:t>
      </w:r>
    </w:p>
    <w:p w14:paraId="36B33B14" w14:textId="77777777" w:rsidR="0043170B" w:rsidRPr="00BB6030" w:rsidRDefault="0043170B" w:rsidP="0043170B">
      <w:pPr>
        <w:pStyle w:val="Textoindependiente"/>
        <w:spacing w:after="120"/>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14EE2E1C" w14:textId="77777777" w:rsidR="0043170B" w:rsidRPr="00BB6030" w:rsidRDefault="0043170B" w:rsidP="0043170B">
      <w:pPr>
        <w:pStyle w:val="Textoindependiente"/>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PARÁGRAFO. </w:t>
      </w:r>
      <w:r w:rsidRPr="00BB6030">
        <w:rPr>
          <w:rFonts w:ascii="Century Gothic" w:hAnsi="Century Gothic"/>
          <w:i/>
          <w:iCs/>
          <w:color w:val="000000" w:themeColor="text1"/>
          <w:sz w:val="21"/>
          <w:szCs w:val="21"/>
        </w:rPr>
        <w:t>En concordancia con lo previsto en el artículo </w:t>
      </w:r>
      <w:hyperlink r:id="rId11" w:anchor="95" w:history="1">
        <w:r w:rsidRPr="00BB6030">
          <w:rPr>
            <w:rFonts w:ascii="Century Gothic" w:hAnsi="Century Gothic"/>
            <w:i/>
            <w:iCs/>
            <w:color w:val="000000" w:themeColor="text1"/>
            <w:sz w:val="21"/>
            <w:szCs w:val="21"/>
          </w:rPr>
          <w:t>95</w:t>
        </w:r>
      </w:hyperlink>
      <w:r w:rsidRPr="00BB6030">
        <w:rPr>
          <w:rFonts w:ascii="Century Gothic" w:hAnsi="Century Gothic"/>
          <w:i/>
          <w:iCs/>
          <w:color w:val="000000" w:themeColor="text1"/>
          <w:sz w:val="21"/>
          <w:szCs w:val="21"/>
        </w:rPr>
        <w:t> de la Ley 489 de 1998, las Entidades Territoriales podrán continuar asociándose mediante la celebración de convenios interadministrativos o mediante la conformación de personas jurídicas de derecho público o derecho privado</w:t>
      </w:r>
      <w:r w:rsidRPr="00BB6030">
        <w:rPr>
          <w:rFonts w:ascii="Century Gothic" w:hAnsi="Century Gothic"/>
          <w:color w:val="000000" w:themeColor="text1"/>
          <w:sz w:val="21"/>
          <w:szCs w:val="21"/>
        </w:rPr>
        <w:t>. (Cursiva fuera del original)</w:t>
      </w:r>
    </w:p>
    <w:p w14:paraId="106B925C" w14:textId="77777777" w:rsidR="0043170B" w:rsidRPr="00BB6030" w:rsidRDefault="0043170B" w:rsidP="0043170B">
      <w:pPr>
        <w:pStyle w:val="Textoindependiente"/>
        <w:spacing w:line="276" w:lineRule="auto"/>
        <w:ind w:right="108" w:firstLine="709"/>
        <w:jc w:val="both"/>
        <w:rPr>
          <w:rFonts w:ascii="Century Gothic" w:hAnsi="Century Gothic"/>
          <w:color w:val="000000" w:themeColor="text1"/>
        </w:rPr>
      </w:pPr>
    </w:p>
    <w:p w14:paraId="09DA9104" w14:textId="77777777" w:rsidR="0043170B" w:rsidRPr="00BB6030" w:rsidRDefault="0043170B" w:rsidP="0043170B">
      <w:pPr>
        <w:pStyle w:val="Textoindependiente"/>
        <w:spacing w:after="120" w:line="276" w:lineRule="auto"/>
        <w:ind w:right="108"/>
        <w:jc w:val="both"/>
        <w:rPr>
          <w:rFonts w:ascii="Century Gothic" w:hAnsi="Century Gothic"/>
          <w:color w:val="000000" w:themeColor="text1"/>
        </w:rPr>
      </w:pPr>
      <w:r w:rsidRPr="00BB6030">
        <w:rPr>
          <w:rFonts w:ascii="Century Gothic" w:hAnsi="Century Gothic"/>
          <w:color w:val="000000" w:themeColor="text1"/>
        </w:rPr>
        <w:tab/>
        <w:t xml:space="preserve">En los términos indicados, es posible que los esquemas asociativos de entidades territoriales señalados en la disposición, entre otros, las asociaciones de </w:t>
      </w:r>
      <w:proofErr w:type="gramStart"/>
      <w:r w:rsidRPr="00BB6030">
        <w:rPr>
          <w:rFonts w:ascii="Century Gothic" w:hAnsi="Century Gothic"/>
          <w:color w:val="000000" w:themeColor="text1"/>
        </w:rPr>
        <w:t>municipios,</w:t>
      </w:r>
      <w:proofErr w:type="gramEnd"/>
      <w:r w:rsidRPr="00BB6030">
        <w:rPr>
          <w:rFonts w:ascii="Century Gothic" w:hAnsi="Century Gothic"/>
          <w:color w:val="000000" w:themeColor="text1"/>
        </w:rPr>
        <w:t xml:space="preserve"> celebren convenios interadministrativos con otras entidades estatales, con estricta observancia de los requisitos establecidos en el artículo 95 de la Ley 489 de 1998. </w:t>
      </w:r>
    </w:p>
    <w:p w14:paraId="20FA05C5" w14:textId="77777777" w:rsidR="0043170B" w:rsidRPr="00BB6030" w:rsidRDefault="0043170B" w:rsidP="0043170B">
      <w:pPr>
        <w:pStyle w:val="Textoindependiente"/>
        <w:spacing w:line="276" w:lineRule="auto"/>
        <w:ind w:right="108" w:firstLine="708"/>
        <w:jc w:val="both"/>
        <w:rPr>
          <w:rFonts w:ascii="Century Gothic" w:hAnsi="Century Gothic"/>
          <w:color w:val="000000" w:themeColor="text1"/>
        </w:rPr>
      </w:pPr>
      <w:r w:rsidRPr="00BB6030">
        <w:rPr>
          <w:rFonts w:ascii="Century Gothic" w:hAnsi="Century Gothic"/>
          <w:color w:val="000000" w:themeColor="text1"/>
        </w:rPr>
        <w:t>Para finalizar el recuento normativo, es necesario hacer referencia a la modificación realizada por el artículo 92 de la Ley 1474 de 2011 al literal </w:t>
      </w:r>
      <w:hyperlink r:id="rId12" w:anchor="2.4.c" w:history="1">
        <w:r w:rsidRPr="00BB6030">
          <w:rPr>
            <w:rFonts w:ascii="Century Gothic" w:hAnsi="Century Gothic"/>
            <w:color w:val="000000" w:themeColor="text1"/>
          </w:rPr>
          <w:t>c)</w:t>
        </w:r>
      </w:hyperlink>
      <w:r w:rsidRPr="00BB6030">
        <w:rPr>
          <w:rFonts w:ascii="Century Gothic" w:hAnsi="Century Gothic"/>
          <w:color w:val="000000" w:themeColor="text1"/>
        </w:rPr>
        <w:t> del numeral 4 del artículo 2 de la Ley 1150 de 2007. En efecto, el artículo 92 indicado prohíbe acudir a la causal de contratación directa para celebrar ciertas tipologías y objetos contractuales por parte de ciertas entidades, donde se incluye esta restricción precisa frente a las asociaciones de entidades públicas. En efecto, la disposición establece:</w:t>
      </w:r>
    </w:p>
    <w:p w14:paraId="32BC1CB3" w14:textId="77777777" w:rsidR="0043170B" w:rsidRPr="00BB6030" w:rsidRDefault="0043170B" w:rsidP="0043170B">
      <w:pPr>
        <w:pStyle w:val="Textoindependiente"/>
        <w:spacing w:line="276" w:lineRule="auto"/>
        <w:ind w:right="108" w:firstLine="708"/>
        <w:jc w:val="both"/>
        <w:rPr>
          <w:rFonts w:ascii="Century Gothic" w:hAnsi="Century Gothic"/>
          <w:color w:val="000000" w:themeColor="text1"/>
        </w:rPr>
      </w:pPr>
    </w:p>
    <w:p w14:paraId="75A5D976" w14:textId="77777777" w:rsidR="0043170B" w:rsidRPr="00BB6030" w:rsidRDefault="0043170B" w:rsidP="0043170B">
      <w:pPr>
        <w:pStyle w:val="Textoindependiente"/>
        <w:spacing w:after="120"/>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 xml:space="preserve">Artículo 92. Contratos interadministrativos. </w:t>
      </w:r>
      <w:proofErr w:type="spellStart"/>
      <w:r w:rsidRPr="00BB6030">
        <w:rPr>
          <w:rFonts w:ascii="Century Gothic" w:hAnsi="Century Gothic"/>
          <w:color w:val="000000" w:themeColor="text1"/>
          <w:sz w:val="21"/>
          <w:szCs w:val="21"/>
        </w:rPr>
        <w:t>Modifícase</w:t>
      </w:r>
      <w:proofErr w:type="spellEnd"/>
      <w:r w:rsidRPr="00BB6030">
        <w:rPr>
          <w:rFonts w:ascii="Century Gothic" w:hAnsi="Century Gothic"/>
          <w:color w:val="000000" w:themeColor="text1"/>
          <w:sz w:val="21"/>
          <w:szCs w:val="21"/>
        </w:rPr>
        <w:t xml:space="preserve"> el inciso primero del literal c) del numeral 4 del artículo </w:t>
      </w:r>
      <w:proofErr w:type="spellStart"/>
      <w:r w:rsidRPr="00BB6030">
        <w:rPr>
          <w:rFonts w:ascii="Century Gothic" w:hAnsi="Century Gothic"/>
          <w:color w:val="000000" w:themeColor="text1"/>
          <w:sz w:val="21"/>
          <w:szCs w:val="21"/>
        </w:rPr>
        <w:t>2o</w:t>
      </w:r>
      <w:proofErr w:type="spellEnd"/>
      <w:r w:rsidRPr="00BB6030">
        <w:rPr>
          <w:rFonts w:ascii="Century Gothic" w:hAnsi="Century Gothic"/>
          <w:color w:val="000000" w:themeColor="text1"/>
          <w:sz w:val="21"/>
          <w:szCs w:val="21"/>
        </w:rPr>
        <w:t xml:space="preserve"> de la Ley 1150 de 2007, el cual quedará así:</w:t>
      </w:r>
    </w:p>
    <w:p w14:paraId="76948D48" w14:textId="77777777" w:rsidR="0043170B" w:rsidRPr="00BB6030" w:rsidRDefault="0043170B" w:rsidP="0043170B">
      <w:pPr>
        <w:pStyle w:val="Textoindependiente"/>
        <w:spacing w:after="120"/>
        <w:ind w:left="709" w:right="709"/>
        <w:jc w:val="both"/>
        <w:rPr>
          <w:rFonts w:ascii="Century Gothic" w:hAnsi="Century Gothic"/>
          <w:color w:val="000000" w:themeColor="text1"/>
          <w:sz w:val="21"/>
          <w:szCs w:val="21"/>
        </w:rPr>
      </w:pPr>
      <w:r w:rsidRPr="00BB6030">
        <w:rPr>
          <w:rFonts w:ascii="Century Gothic" w:hAnsi="Century Gothic"/>
          <w:color w:val="000000" w:themeColor="text1"/>
          <w:sz w:val="21"/>
          <w:szCs w:val="21"/>
        </w:rPr>
        <w:t>c) Contratos interadministrativos, siempre que las obligaciones derivadas del mismo tengan relación directa con el objeto de la entidad ejecutora señalado en la ley o en sus reglamentos.</w:t>
      </w:r>
    </w:p>
    <w:p w14:paraId="3BFD0874" w14:textId="77777777" w:rsidR="0043170B" w:rsidRPr="00BB6030" w:rsidRDefault="0043170B" w:rsidP="0043170B">
      <w:pPr>
        <w:pStyle w:val="Textoindependiente"/>
        <w:ind w:left="709" w:right="709"/>
        <w:jc w:val="both"/>
        <w:rPr>
          <w:rFonts w:ascii="Century Gothic" w:hAnsi="Century Gothic"/>
          <w:color w:val="000000" w:themeColor="text1"/>
          <w:sz w:val="21"/>
          <w:szCs w:val="21"/>
        </w:rPr>
      </w:pPr>
      <w:r w:rsidRPr="00BB6030">
        <w:rPr>
          <w:rFonts w:ascii="Century Gothic" w:hAnsi="Century Gothic"/>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BB6030">
        <w:rPr>
          <w:rFonts w:ascii="Century Gothic" w:hAnsi="Century Gothic"/>
          <w:color w:val="000000" w:themeColor="text1"/>
          <w:sz w:val="21"/>
          <w:szCs w:val="21"/>
        </w:rPr>
        <w:t xml:space="preserve"> las instituciones de educación superior públicas o las Sociedades de Economía Mixta con participación mayoritaria del Estado, o </w:t>
      </w:r>
      <w:r w:rsidRPr="00BB6030">
        <w:rPr>
          <w:rFonts w:ascii="Century Gothic" w:hAnsi="Century Gothic"/>
          <w:i/>
          <w:iCs/>
          <w:color w:val="000000" w:themeColor="text1"/>
          <w:sz w:val="21"/>
          <w:szCs w:val="21"/>
        </w:rPr>
        <w:t>las personas jurídicas sin ánimo de lucro conformadas por la asociación de entidades públicas, o las federaciones de entidades territoriales sean las ejecutoras</w:t>
      </w:r>
      <w:r w:rsidRPr="00BB6030">
        <w:rPr>
          <w:rFonts w:ascii="Century Gothic" w:hAnsi="Century Gothic"/>
          <w:color w:val="000000" w:themeColor="text1"/>
          <w:sz w:val="21"/>
          <w:szCs w:val="21"/>
        </w:rPr>
        <w:t>. Estos contratos podrán ser ejecutados por las mismas, siempre que participen en procesos de licitación pública o contratación abreviada de acuerdo con lo dispuesto por los numerales 1 y 2 del presente artículo. (Cursiva fuera de texto)</w:t>
      </w:r>
    </w:p>
    <w:p w14:paraId="753A295F" w14:textId="77777777" w:rsidR="0043170B" w:rsidRPr="00BB6030" w:rsidRDefault="0043170B" w:rsidP="0043170B">
      <w:pPr>
        <w:pStyle w:val="Textoindependiente"/>
        <w:spacing w:line="276" w:lineRule="auto"/>
        <w:ind w:right="108" w:firstLine="709"/>
        <w:jc w:val="both"/>
        <w:rPr>
          <w:rFonts w:ascii="Century Gothic" w:hAnsi="Century Gothic"/>
          <w:color w:val="000000" w:themeColor="text1"/>
        </w:rPr>
      </w:pPr>
    </w:p>
    <w:p w14:paraId="53521C8B" w14:textId="77777777" w:rsidR="0043170B" w:rsidRPr="00BB6030" w:rsidRDefault="0043170B" w:rsidP="0043170B">
      <w:pPr>
        <w:pStyle w:val="Textoindependiente"/>
        <w:spacing w:after="120"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La anterior constituye otra prohibición precisa para celebrar ciertos objetos y tipologías contractuales por parte de personas jurídicas sin ánimo de lucro conformadas por la asociación de entidades públicas, donde se incluyen las asociaciones de entidades territoriales. En particular, se exceptúa la posibilidad de acudir a la causal de contratos interadministrativos para celebrar directamente contratos de obra, suministro, prestación de servicios de evaluación de conformidad respecto de las normas o reglamentos técnicos, encargos fiduciarios y fiducia pública.</w:t>
      </w:r>
    </w:p>
    <w:p w14:paraId="101DE43B" w14:textId="77777777" w:rsidR="0043170B" w:rsidRPr="00BB6030" w:rsidRDefault="0043170B" w:rsidP="0043170B">
      <w:pPr>
        <w:pStyle w:val="Textoindependiente"/>
        <w:spacing w:line="276" w:lineRule="auto"/>
        <w:ind w:right="108" w:firstLine="709"/>
        <w:jc w:val="both"/>
        <w:rPr>
          <w:rFonts w:ascii="Century Gothic" w:hAnsi="Century Gothic"/>
          <w:color w:val="000000" w:themeColor="text1"/>
        </w:rPr>
      </w:pPr>
      <w:r w:rsidRPr="00BB6030">
        <w:rPr>
          <w:rFonts w:ascii="Century Gothic" w:hAnsi="Century Gothic"/>
          <w:color w:val="000000" w:themeColor="text1"/>
        </w:rPr>
        <w:t xml:space="preserve">De lo anteriormente expuesto se concluye que con fundamento en el parágrafo del artículo 17 de la Ley 1454 de 2011, es posible que los esquemas asociativos de entidades territoriales señalados en la disposición, entre otros, las asociaciones de </w:t>
      </w:r>
      <w:proofErr w:type="gramStart"/>
      <w:r w:rsidRPr="00BB6030">
        <w:rPr>
          <w:rFonts w:ascii="Century Gothic" w:hAnsi="Century Gothic"/>
          <w:color w:val="000000" w:themeColor="text1"/>
        </w:rPr>
        <w:t>municipios,</w:t>
      </w:r>
      <w:proofErr w:type="gramEnd"/>
      <w:r w:rsidRPr="00BB6030">
        <w:rPr>
          <w:rFonts w:ascii="Century Gothic" w:hAnsi="Century Gothic"/>
          <w:color w:val="000000" w:themeColor="text1"/>
        </w:rPr>
        <w:t xml:space="preserve"> celebren convenios interadministrativos con otras entidades estatales, con estricta observancia de los requisitos establecidos en el artículo 95 de la Ley 489 de 1998. En todo caso, deben observarse las prohibiciones establecidas en el artículo 10 de la Ley 1150 de 2007 y en el artículo 92 de la Ley 1474 de 2011, los cuales limitan la modalidad de contratación directa. Lo anterior, sin perjuicio de otras restricciones como la prevista en el artículo 38 de la Ley 996 de 2005, tema que se aborda a continuación.</w:t>
      </w:r>
    </w:p>
    <w:p w14:paraId="65C955D7" w14:textId="77777777" w:rsidR="0043170B" w:rsidRPr="00BB6030" w:rsidRDefault="0043170B" w:rsidP="0043170B">
      <w:pPr>
        <w:widowControl w:val="0"/>
        <w:autoSpaceDE w:val="0"/>
        <w:autoSpaceDN w:val="0"/>
        <w:spacing w:after="0" w:line="276" w:lineRule="auto"/>
        <w:jc w:val="both"/>
        <w:rPr>
          <w:rFonts w:ascii="Century Gothic" w:hAnsi="Century Gothic" w:cs="Arial"/>
        </w:rPr>
      </w:pPr>
    </w:p>
    <w:p w14:paraId="77EF11F6" w14:textId="77777777" w:rsidR="0043170B" w:rsidRPr="00BB6030" w:rsidRDefault="0043170B" w:rsidP="0043170B">
      <w:pPr>
        <w:tabs>
          <w:tab w:val="left" w:pos="426"/>
        </w:tabs>
        <w:spacing w:after="0" w:line="276" w:lineRule="auto"/>
        <w:contextualSpacing/>
        <w:jc w:val="both"/>
        <w:rPr>
          <w:rFonts w:ascii="Century Gothic" w:eastAsia="Calibri" w:hAnsi="Century Gothic" w:cs="Arial"/>
          <w:b/>
          <w:bCs/>
        </w:rPr>
      </w:pPr>
      <w:r w:rsidRPr="00BB6030">
        <w:rPr>
          <w:rFonts w:ascii="Century Gothic" w:eastAsia="Calibri" w:hAnsi="Century Gothic" w:cs="Arial"/>
          <w:b/>
          <w:bCs/>
        </w:rPr>
        <w:t>2.3. Definición y finalidad de la Ley de Garantías Electorales: alcance de las restricciones</w:t>
      </w:r>
    </w:p>
    <w:p w14:paraId="29910A0C" w14:textId="77777777" w:rsidR="0043170B" w:rsidRPr="00BB6030" w:rsidRDefault="0043170B" w:rsidP="0043170B">
      <w:pPr>
        <w:tabs>
          <w:tab w:val="left" w:pos="426"/>
        </w:tabs>
        <w:spacing w:after="0" w:line="276" w:lineRule="auto"/>
        <w:ind w:firstLine="709"/>
        <w:contextualSpacing/>
        <w:jc w:val="both"/>
        <w:rPr>
          <w:rFonts w:ascii="Century Gothic" w:eastAsia="Calibri" w:hAnsi="Century Gothic" w:cs="Arial"/>
          <w:bCs/>
        </w:rPr>
      </w:pPr>
    </w:p>
    <w:p w14:paraId="3C3B359E" w14:textId="77777777" w:rsidR="0043170B" w:rsidRPr="00BB6030" w:rsidRDefault="0043170B" w:rsidP="0043170B">
      <w:pPr>
        <w:tabs>
          <w:tab w:val="left" w:pos="426"/>
        </w:tabs>
        <w:spacing w:after="120" w:line="276" w:lineRule="auto"/>
        <w:jc w:val="both"/>
        <w:rPr>
          <w:rFonts w:ascii="Century Gothic" w:eastAsia="Times New Roman" w:hAnsi="Century Gothic" w:cs="Arial"/>
          <w:bCs/>
          <w:lang w:eastAsia="es-CO"/>
        </w:rPr>
      </w:pPr>
      <w:r w:rsidRPr="00BB6030">
        <w:rPr>
          <w:rFonts w:ascii="Century Gothic" w:eastAsia="Calibri" w:hAnsi="Century Gothic" w:cs="Arial"/>
          <w:bCs/>
        </w:rPr>
        <w:t>El ordenamiento jurídico colombiano contempla previsiones claras para evitar la obtención de beneficios personales en asuntos propios de la administración pública</w:t>
      </w:r>
      <w:r w:rsidRPr="00BB6030">
        <w:rPr>
          <w:rFonts w:ascii="Century Gothic" w:eastAsia="Calibri" w:hAnsi="Century Gothic" w:cs="Arial"/>
          <w:bCs/>
          <w:i/>
          <w:iCs/>
        </w:rPr>
        <w:t xml:space="preserve">. </w:t>
      </w:r>
      <w:r w:rsidRPr="00BB6030">
        <w:rPr>
          <w:rFonts w:ascii="Century Gothic" w:eastAsia="Calibri" w:hAnsi="Century Gothic" w:cs="Arial"/>
          <w:bCs/>
        </w:rPr>
        <w:t>Por ejemplo, el artículo 127 de la Constitución Política establece una prohibición contractual a los servidores públicos y en cuanto a aspectos políticos consagra restricciones a ciertos empleados del Estado, incluso en época no electoral</w:t>
      </w:r>
      <w:r w:rsidRPr="00BB6030">
        <w:rPr>
          <w:rFonts w:ascii="Century Gothic" w:eastAsia="Calibri" w:hAnsi="Century Gothic" w:cs="Arial"/>
          <w:bCs/>
          <w:vertAlign w:val="superscript"/>
        </w:rPr>
        <w:footnoteReference w:id="9"/>
      </w:r>
      <w:r w:rsidRPr="00BB6030">
        <w:rPr>
          <w:rFonts w:ascii="Century Gothic" w:eastAsia="Calibri" w:hAnsi="Century Gothic" w:cs="Arial"/>
          <w:bCs/>
        </w:rPr>
        <w:t xml:space="preserve">. </w:t>
      </w:r>
    </w:p>
    <w:p w14:paraId="4684BE46" w14:textId="77777777" w:rsidR="0043170B" w:rsidRPr="00BB6030" w:rsidRDefault="0043170B" w:rsidP="0043170B">
      <w:pPr>
        <w:tabs>
          <w:tab w:val="left" w:pos="426"/>
        </w:tabs>
        <w:spacing w:after="0" w:line="276" w:lineRule="auto"/>
        <w:ind w:firstLine="709"/>
        <w:jc w:val="both"/>
        <w:rPr>
          <w:rFonts w:ascii="Century Gothic" w:eastAsia="Times New Roman" w:hAnsi="Century Gothic" w:cs="Arial"/>
          <w:bCs/>
          <w:lang w:val="es-MX" w:eastAsia="es-CO"/>
        </w:rPr>
      </w:pPr>
      <w:r w:rsidRPr="00BB6030">
        <w:rPr>
          <w:rFonts w:ascii="Century Gothic" w:eastAsia="Times New Roman" w:hAnsi="Century Gothic" w:cs="Arial"/>
          <w:bCs/>
          <w:lang w:eastAsia="es-CO"/>
        </w:rPr>
        <w:t>En el mismo sentido</w:t>
      </w:r>
      <w:r w:rsidRPr="00BB6030">
        <w:rPr>
          <w:rFonts w:ascii="Century Gothic" w:eastAsia="Times New Roman" w:hAnsi="Century Gothic" w:cs="Arial"/>
          <w:bCs/>
          <w:lang w:val="es-MX" w:eastAsia="es-CO"/>
        </w:rPr>
        <w:t xml:space="preserve">, </w:t>
      </w:r>
      <w:bookmarkStart w:id="15" w:name="_Hlk137045755"/>
      <w:bookmarkStart w:id="16" w:name="_Hlk99576829"/>
      <w:r w:rsidRPr="00BB6030">
        <w:rPr>
          <w:rFonts w:ascii="Century Gothic" w:eastAsia="Times New Roman" w:hAnsi="Century Gothic" w:cs="Arial"/>
          <w:bCs/>
          <w:lang w:val="es-MX" w:eastAsia="es-CO"/>
        </w:rPr>
        <w:t>la Ley 996 de 2005</w:t>
      </w:r>
      <w:bookmarkEnd w:id="15"/>
      <w:r w:rsidRPr="00BB6030">
        <w:rPr>
          <w:rFonts w:ascii="Century Gothic" w:eastAsia="Times New Roman" w:hAnsi="Century Gothic" w:cs="Arial"/>
          <w:bCs/>
          <w:lang w:val="es-MX" w:eastAsia="es-CO"/>
        </w:rPr>
        <w:t>,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BB6030">
        <w:rPr>
          <w:rFonts w:ascii="Century Gothic" w:eastAsia="Times New Roman" w:hAnsi="Century Gothic" w:cs="Arial"/>
          <w:bCs/>
          <w:vertAlign w:val="superscript"/>
          <w:lang w:val="es-MX" w:eastAsia="es-CO"/>
        </w:rPr>
        <w:footnoteReference w:id="10"/>
      </w:r>
      <w:r w:rsidRPr="00BB6030">
        <w:rPr>
          <w:rFonts w:ascii="Century Gothic" w:eastAsia="Times New Roman" w:hAnsi="Century Gothic"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BB6030">
        <w:rPr>
          <w:rFonts w:ascii="Century Gothic" w:eastAsia="Calibri" w:hAnsi="Century Gothic" w:cs="Arial"/>
          <w:noProof/>
          <w:lang w:val="es-ES_tradnl"/>
        </w:rPr>
        <w:t xml:space="preserve"> </w:t>
      </w:r>
      <w:bookmarkEnd w:id="16"/>
      <w:r w:rsidRPr="00BB6030">
        <w:rPr>
          <w:rFonts w:ascii="Century Gothic" w:eastAsia="Times New Roman" w:hAnsi="Century Gothic" w:cs="Arial"/>
          <w:bCs/>
          <w:lang w:val="es-MX" w:eastAsia="es-CO"/>
        </w:rPr>
        <w:t>En armonía con lo anterior, la Corte Constitucional ha abordado la definición de la Ley de Garantías Electorales. De esta manera, explica que tiene como propósito:</w:t>
      </w:r>
    </w:p>
    <w:p w14:paraId="6D844F08" w14:textId="77777777" w:rsidR="0043170B" w:rsidRPr="00BB6030" w:rsidRDefault="0043170B" w:rsidP="0043170B">
      <w:pPr>
        <w:spacing w:after="0" w:line="276" w:lineRule="auto"/>
        <w:ind w:right="709"/>
        <w:contextualSpacing/>
        <w:jc w:val="both"/>
        <w:rPr>
          <w:rFonts w:ascii="Century Gothic" w:eastAsia="Times New Roman" w:hAnsi="Century Gothic" w:cs="Arial"/>
          <w:sz w:val="21"/>
          <w:szCs w:val="21"/>
          <w:lang w:val="es-ES" w:eastAsia="es-CO"/>
        </w:rPr>
      </w:pPr>
    </w:p>
    <w:p w14:paraId="07D8CA50" w14:textId="77777777" w:rsidR="0043170B" w:rsidRPr="00BB6030" w:rsidRDefault="0043170B" w:rsidP="0043170B">
      <w:pPr>
        <w:spacing w:after="0" w:line="240" w:lineRule="auto"/>
        <w:ind w:left="709" w:right="709"/>
        <w:contextualSpacing/>
        <w:jc w:val="both"/>
        <w:rPr>
          <w:rFonts w:ascii="Century Gothic" w:eastAsia="Times New Roman" w:hAnsi="Century Gothic" w:cs="Arial"/>
          <w:bCs/>
          <w:sz w:val="21"/>
          <w:szCs w:val="21"/>
          <w:lang w:val="es-MX" w:eastAsia="es-CO"/>
        </w:rPr>
      </w:pPr>
      <w:r w:rsidRPr="00BB6030">
        <w:rPr>
          <w:rFonts w:ascii="Century Gothic" w:eastAsia="Times New Roman" w:hAnsi="Century Gothic" w:cs="Arial"/>
          <w:sz w:val="21"/>
          <w:szCs w:val="21"/>
          <w:lang w:val="es-ES" w:eastAsia="es-CO"/>
        </w:rPr>
        <w:t xml:space="preserve">“[…] </w:t>
      </w:r>
      <w:r w:rsidRPr="00BB6030">
        <w:rPr>
          <w:rFonts w:ascii="Century Gothic" w:eastAsia="Times New Roman" w:hAnsi="Century Gothic"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2D621D3" w14:textId="77777777" w:rsidR="0043170B" w:rsidRPr="00BB6030" w:rsidRDefault="0043170B" w:rsidP="0043170B">
      <w:pPr>
        <w:spacing w:after="0" w:line="240" w:lineRule="auto"/>
        <w:ind w:left="709" w:right="709"/>
        <w:contextualSpacing/>
        <w:jc w:val="both"/>
        <w:rPr>
          <w:rFonts w:ascii="Century Gothic" w:eastAsia="Times New Roman" w:hAnsi="Century Gothic" w:cs="Arial"/>
          <w:bCs/>
          <w:sz w:val="21"/>
          <w:szCs w:val="21"/>
          <w:lang w:val="es-MX" w:eastAsia="es-CO"/>
        </w:rPr>
      </w:pPr>
      <w:r w:rsidRPr="00BB6030">
        <w:rPr>
          <w:rFonts w:ascii="Century Gothic" w:eastAsia="Times New Roman" w:hAnsi="Century Gothic" w:cs="Arial"/>
          <w:bCs/>
          <w:sz w:val="21"/>
          <w:szCs w:val="21"/>
          <w:lang w:val="es-MX" w:eastAsia="es-CO"/>
        </w:rPr>
        <w:t xml:space="preserve">[…] </w:t>
      </w:r>
    </w:p>
    <w:p w14:paraId="0BDC6F6D" w14:textId="77777777" w:rsidR="0043170B" w:rsidRPr="00BB6030" w:rsidRDefault="0043170B" w:rsidP="0043170B">
      <w:pPr>
        <w:spacing w:after="0" w:line="240" w:lineRule="auto"/>
        <w:ind w:right="709"/>
        <w:contextualSpacing/>
        <w:jc w:val="both"/>
        <w:rPr>
          <w:rFonts w:ascii="Century Gothic" w:eastAsia="Times New Roman" w:hAnsi="Century Gothic" w:cs="Arial"/>
          <w:bCs/>
          <w:sz w:val="21"/>
          <w:szCs w:val="21"/>
          <w:lang w:val="es-MX" w:eastAsia="es-CO"/>
        </w:rPr>
      </w:pPr>
    </w:p>
    <w:p w14:paraId="22AB5EEC" w14:textId="77777777" w:rsidR="0043170B" w:rsidRPr="00BB6030" w:rsidRDefault="0043170B" w:rsidP="0043170B">
      <w:pPr>
        <w:spacing w:after="0" w:line="240" w:lineRule="auto"/>
        <w:ind w:left="709" w:right="709"/>
        <w:contextualSpacing/>
        <w:jc w:val="both"/>
        <w:rPr>
          <w:rFonts w:ascii="Century Gothic" w:eastAsia="Times New Roman" w:hAnsi="Century Gothic" w:cs="Arial"/>
          <w:bCs/>
          <w:sz w:val="21"/>
          <w:szCs w:val="21"/>
          <w:lang w:val="es-MX" w:eastAsia="es-CO"/>
        </w:rPr>
      </w:pPr>
      <w:r w:rsidRPr="00BB6030">
        <w:rPr>
          <w:rFonts w:ascii="Century Gothic" w:eastAsia="Times New Roman" w:hAnsi="Century Gothic"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BB6030">
        <w:rPr>
          <w:rFonts w:ascii="Century Gothic" w:eastAsia="Calibri" w:hAnsi="Century Gothic" w:cs="Arial"/>
          <w:sz w:val="20"/>
          <w:szCs w:val="20"/>
          <w:vertAlign w:val="superscript"/>
          <w:lang w:val="es-MX"/>
        </w:rPr>
        <w:footnoteReference w:id="11"/>
      </w:r>
    </w:p>
    <w:p w14:paraId="236551A9" w14:textId="77777777" w:rsidR="0043170B" w:rsidRPr="00BB6030" w:rsidRDefault="0043170B" w:rsidP="0043170B">
      <w:pPr>
        <w:spacing w:after="0" w:line="276" w:lineRule="auto"/>
        <w:ind w:left="709" w:right="709"/>
        <w:contextualSpacing/>
        <w:jc w:val="both"/>
        <w:rPr>
          <w:rFonts w:ascii="Century Gothic" w:eastAsia="Times New Roman" w:hAnsi="Century Gothic" w:cs="Arial"/>
          <w:bCs/>
          <w:sz w:val="21"/>
          <w:szCs w:val="21"/>
          <w:lang w:val="es-MX" w:eastAsia="es-CO"/>
        </w:rPr>
      </w:pPr>
    </w:p>
    <w:p w14:paraId="00FA96A4" w14:textId="77777777" w:rsidR="0043170B" w:rsidRPr="00BB6030" w:rsidRDefault="0043170B" w:rsidP="0043170B">
      <w:pPr>
        <w:spacing w:after="0" w:line="276" w:lineRule="auto"/>
        <w:ind w:firstLine="709"/>
        <w:jc w:val="both"/>
        <w:rPr>
          <w:rFonts w:ascii="Century Gothic" w:eastAsia="Times New Roman" w:hAnsi="Century Gothic" w:cs="Arial"/>
          <w:bCs/>
          <w:lang w:val="es-MX" w:eastAsia="es-CO"/>
        </w:rPr>
      </w:pPr>
      <w:bookmarkStart w:id="17" w:name="_Hlk78818186"/>
      <w:r w:rsidRPr="00BB6030">
        <w:rPr>
          <w:rFonts w:ascii="Century Gothic" w:eastAsia="Times New Roman" w:hAnsi="Century Gothic"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7"/>
      <w:r w:rsidRPr="00BB6030">
        <w:rPr>
          <w:rFonts w:ascii="Century Gothic" w:eastAsia="Times New Roman" w:hAnsi="Century Gothic"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2871C7AE" w14:textId="77777777" w:rsidR="0043170B" w:rsidRPr="00BB6030" w:rsidRDefault="0043170B" w:rsidP="0043170B">
      <w:pPr>
        <w:spacing w:after="0" w:line="276" w:lineRule="auto"/>
        <w:ind w:firstLine="709"/>
        <w:contextualSpacing/>
        <w:jc w:val="both"/>
        <w:rPr>
          <w:rFonts w:ascii="Century Gothic" w:eastAsia="Times New Roman" w:hAnsi="Century Gothic" w:cs="Arial"/>
          <w:bCs/>
          <w:lang w:val="es-MX" w:eastAsia="es-CO"/>
        </w:rPr>
      </w:pPr>
    </w:p>
    <w:p w14:paraId="3006173C" w14:textId="77777777" w:rsidR="0043170B" w:rsidRPr="00BB6030" w:rsidRDefault="0043170B" w:rsidP="0043170B">
      <w:pPr>
        <w:spacing w:after="0" w:line="240" w:lineRule="auto"/>
        <w:ind w:left="709" w:right="709"/>
        <w:contextualSpacing/>
        <w:jc w:val="both"/>
        <w:rPr>
          <w:rFonts w:ascii="Century Gothic" w:eastAsia="Times New Roman" w:hAnsi="Century Gothic" w:cs="Arial"/>
          <w:bCs/>
          <w:sz w:val="21"/>
          <w:szCs w:val="21"/>
          <w:lang w:val="es-MX" w:eastAsia="es-CO"/>
        </w:rPr>
      </w:pPr>
      <w:r w:rsidRPr="00BB6030">
        <w:rPr>
          <w:rFonts w:ascii="Century Gothic" w:eastAsia="Times New Roman" w:hAnsi="Century Gothic"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BB6030">
        <w:rPr>
          <w:rFonts w:ascii="Century Gothic" w:eastAsia="Times New Roman" w:hAnsi="Century Gothic" w:cs="Arial"/>
          <w:bCs/>
          <w:sz w:val="21"/>
          <w:szCs w:val="21"/>
          <w:lang w:val="es-MX" w:eastAsia="es-CO"/>
        </w:rPr>
        <w:t>legis</w:t>
      </w:r>
      <w:proofErr w:type="spellEnd"/>
      <w:r w:rsidRPr="00BB6030">
        <w:rPr>
          <w:rFonts w:ascii="Century Gothic" w:eastAsia="Times New Roman" w:hAnsi="Century Gothic"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B6208A" w14:textId="77777777" w:rsidR="0043170B" w:rsidRPr="00BB6030" w:rsidRDefault="0043170B" w:rsidP="0043170B">
      <w:pPr>
        <w:spacing w:after="0" w:line="240" w:lineRule="auto"/>
        <w:ind w:left="709" w:right="709"/>
        <w:contextualSpacing/>
        <w:jc w:val="both"/>
        <w:rPr>
          <w:rFonts w:ascii="Century Gothic" w:eastAsia="Times New Roman" w:hAnsi="Century Gothic" w:cs="Arial"/>
          <w:bCs/>
          <w:sz w:val="21"/>
          <w:szCs w:val="21"/>
          <w:lang w:val="es-MX" w:eastAsia="es-CO"/>
        </w:rPr>
      </w:pPr>
    </w:p>
    <w:p w14:paraId="0A0B381F" w14:textId="77777777" w:rsidR="0043170B" w:rsidRPr="00BB6030" w:rsidRDefault="0043170B" w:rsidP="0043170B">
      <w:pPr>
        <w:spacing w:after="0" w:line="240" w:lineRule="auto"/>
        <w:ind w:left="709" w:right="709"/>
        <w:contextualSpacing/>
        <w:jc w:val="both"/>
        <w:rPr>
          <w:rFonts w:ascii="Century Gothic" w:eastAsia="Times New Roman" w:hAnsi="Century Gothic" w:cs="Arial"/>
          <w:bCs/>
          <w:sz w:val="21"/>
          <w:szCs w:val="21"/>
          <w:lang w:val="es-MX" w:eastAsia="es-CO"/>
        </w:rPr>
      </w:pPr>
      <w:r w:rsidRPr="00BB6030">
        <w:rPr>
          <w:rFonts w:ascii="Century Gothic" w:eastAsia="Times New Roman" w:hAnsi="Century Gothic" w:cs="Arial"/>
          <w:bCs/>
          <w:sz w:val="21"/>
          <w:szCs w:val="21"/>
          <w:lang w:val="es-MX" w:eastAsia="es-CO"/>
        </w:rPr>
        <w:t>La jurisprudencia de la Corte Constitucional</w:t>
      </w:r>
      <w:r w:rsidRPr="00BB6030">
        <w:rPr>
          <w:rFonts w:ascii="Century Gothic" w:eastAsia="Times New Roman" w:hAnsi="Century Gothic" w:cs="Arial"/>
          <w:bCs/>
          <w:sz w:val="21"/>
          <w:szCs w:val="21"/>
          <w:vertAlign w:val="superscript"/>
          <w:lang w:val="es-MX" w:eastAsia="es-CO"/>
        </w:rPr>
        <w:footnoteReference w:id="12"/>
      </w:r>
      <w:r w:rsidRPr="00BB6030">
        <w:rPr>
          <w:rFonts w:ascii="Century Gothic" w:eastAsia="Times New Roman" w:hAnsi="Century Gothic" w:cs="Arial"/>
          <w:bCs/>
          <w:sz w:val="21"/>
          <w:szCs w:val="21"/>
          <w:lang w:val="es-MX" w:eastAsia="es-CO"/>
        </w:rPr>
        <w:t> y del Consejo de Estado</w:t>
      </w:r>
      <w:r w:rsidRPr="00BB6030">
        <w:rPr>
          <w:rFonts w:ascii="Century Gothic" w:eastAsia="Times New Roman" w:hAnsi="Century Gothic" w:cs="Arial"/>
          <w:bCs/>
          <w:sz w:val="21"/>
          <w:szCs w:val="21"/>
          <w:vertAlign w:val="superscript"/>
          <w:lang w:val="es-MX" w:eastAsia="es-CO"/>
        </w:rPr>
        <w:footnoteReference w:id="13"/>
      </w:r>
      <w:r w:rsidRPr="00BB6030">
        <w:rPr>
          <w:rFonts w:ascii="Century Gothic" w:eastAsia="Times New Roman" w:hAnsi="Century Gothic"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BB6030">
        <w:rPr>
          <w:rFonts w:ascii="Century Gothic" w:eastAsia="Times New Roman" w:hAnsi="Century Gothic" w:cs="Arial"/>
          <w:bCs/>
          <w:vertAlign w:val="superscript"/>
          <w:lang w:val="es-MX" w:eastAsia="es-CO"/>
        </w:rPr>
        <w:footnoteReference w:id="14"/>
      </w:r>
      <w:r w:rsidRPr="00BB6030">
        <w:rPr>
          <w:rFonts w:ascii="Century Gothic" w:eastAsia="Times New Roman" w:hAnsi="Century Gothic" w:cs="Arial"/>
          <w:bCs/>
          <w:sz w:val="21"/>
          <w:szCs w:val="21"/>
          <w:lang w:val="es-MX" w:eastAsia="es-CO"/>
        </w:rPr>
        <w:t>.</w:t>
      </w:r>
    </w:p>
    <w:p w14:paraId="6B74C15F" w14:textId="77777777" w:rsidR="0043170B" w:rsidRPr="00BB6030" w:rsidRDefault="0043170B" w:rsidP="0043170B">
      <w:pPr>
        <w:spacing w:after="0" w:line="276" w:lineRule="auto"/>
        <w:ind w:right="709"/>
        <w:contextualSpacing/>
        <w:jc w:val="both"/>
        <w:rPr>
          <w:rFonts w:ascii="Century Gothic" w:eastAsia="Times New Roman" w:hAnsi="Century Gothic" w:cs="Arial"/>
          <w:bCs/>
          <w:sz w:val="21"/>
          <w:szCs w:val="21"/>
          <w:lang w:val="es-MX" w:eastAsia="es-CO"/>
        </w:rPr>
      </w:pPr>
    </w:p>
    <w:p w14:paraId="792B379E" w14:textId="77777777" w:rsidR="0043170B" w:rsidRPr="00BB6030" w:rsidRDefault="0043170B" w:rsidP="0043170B">
      <w:pPr>
        <w:spacing w:after="120" w:line="276" w:lineRule="auto"/>
        <w:jc w:val="both"/>
        <w:rPr>
          <w:rFonts w:ascii="Century Gothic" w:eastAsia="Arial" w:hAnsi="Century Gothic" w:cs="Arial"/>
          <w:lang w:val="es-ES" w:eastAsia="es-ES" w:bidi="es-ES"/>
        </w:rPr>
      </w:pPr>
      <w:r w:rsidRPr="00BB6030">
        <w:rPr>
          <w:rFonts w:ascii="Century Gothic" w:eastAsia="Times New Roman" w:hAnsi="Century Gothic" w:cs="Arial"/>
          <w:bCs/>
          <w:lang w:val="es-MX" w:eastAsia="es-CO"/>
        </w:rPr>
        <w:tab/>
        <w:t>De</w:t>
      </w:r>
      <w:r w:rsidRPr="00BB6030">
        <w:rPr>
          <w:rFonts w:ascii="Century Gothic" w:eastAsia="Arial" w:hAnsi="Century Gothic" w:cs="Arial"/>
          <w:lang w:val="es-ES" w:eastAsia="es-ES" w:bidi="es-ES"/>
        </w:rPr>
        <w:t xml:space="preserve"> conformidad con lo anterior, </w:t>
      </w:r>
      <w:bookmarkStart w:id="18" w:name="_Hlk77236098"/>
      <w:bookmarkStart w:id="19" w:name="_Hlk100679383"/>
      <w:r w:rsidRPr="00BB6030">
        <w:rPr>
          <w:rFonts w:ascii="Century Gothic" w:eastAsia="Arial" w:hAnsi="Century Gothic"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8"/>
    </w:p>
    <w:p w14:paraId="0A01AE00" w14:textId="77777777" w:rsidR="0043170B" w:rsidRPr="00BB6030" w:rsidRDefault="0043170B" w:rsidP="0043170B">
      <w:pPr>
        <w:spacing w:after="120" w:line="276" w:lineRule="auto"/>
        <w:ind w:firstLine="708"/>
        <w:jc w:val="both"/>
        <w:rPr>
          <w:rFonts w:ascii="Century Gothic" w:eastAsia="Calibri" w:hAnsi="Century Gothic" w:cs="Arial"/>
        </w:rPr>
      </w:pPr>
      <w:r w:rsidRPr="00BB6030">
        <w:rPr>
          <w:rFonts w:ascii="Century Gothic" w:eastAsia="Calibri" w:hAnsi="Century Gothic" w:cs="Arial"/>
        </w:rPr>
        <w:t xml:space="preserve">Por un lado, el artículo 33 de la Ley 996 de 2005 prohíbe </w:t>
      </w:r>
      <w:r w:rsidRPr="00BB6030">
        <w:rPr>
          <w:rFonts w:ascii="Century Gothic" w:eastAsia="Calibri" w:hAnsi="Century Gothic" w:cs="Arial"/>
          <w:bCs/>
        </w:rPr>
        <w:t xml:space="preserve">“[…] </w:t>
      </w:r>
      <w:r w:rsidRPr="00BB6030">
        <w:rPr>
          <w:rFonts w:ascii="Century Gothic" w:eastAsia="Calibri" w:hAnsi="Century Gothic" w:cs="Arial"/>
        </w:rPr>
        <w:t>la contratación directa por parte de todos los entes del Estado</w:t>
      </w:r>
      <w:r w:rsidRPr="00BB6030">
        <w:rPr>
          <w:rFonts w:ascii="Century Gothic" w:eastAsia="Calibri" w:hAnsi="Century Gothic" w:cs="Arial"/>
          <w:bCs/>
        </w:rPr>
        <w:t>”</w:t>
      </w:r>
      <w:r w:rsidRPr="00BB6030">
        <w:rPr>
          <w:rFonts w:ascii="Century Gothic" w:eastAsia="Calibri" w:hAnsi="Century Gothic" w:cs="Arial"/>
        </w:rPr>
        <w:t xml:space="preserve"> durante los cuatro (4) meses anteriores a las elecciones presidenciales, salvo </w:t>
      </w:r>
      <w:r w:rsidRPr="00BB6030">
        <w:rPr>
          <w:rFonts w:ascii="Century Gothic" w:eastAsia="Calibri" w:hAnsi="Century Gothic" w:cs="Arial"/>
          <w:bCs/>
        </w:rPr>
        <w:t xml:space="preserve">“[…] </w:t>
      </w:r>
      <w:r w:rsidRPr="00BB6030">
        <w:rPr>
          <w:rFonts w:ascii="Century Gothic" w:eastAsia="Calibri" w:hAnsi="Century Gothic"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B6030">
        <w:rPr>
          <w:rFonts w:ascii="Century Gothic" w:eastAsia="Calibri" w:hAnsi="Century Gothic" w:cs="Arial"/>
          <w:bCs/>
        </w:rPr>
        <w:t>”</w:t>
      </w:r>
      <w:r w:rsidRPr="00BB6030">
        <w:rPr>
          <w:rFonts w:ascii="Century Gothic" w:eastAsia="Calibri" w:hAnsi="Century Gothic" w:cs="Arial"/>
          <w:bCs/>
          <w:vertAlign w:val="superscript"/>
        </w:rPr>
        <w:footnoteReference w:id="15"/>
      </w:r>
      <w:r w:rsidRPr="00BB6030">
        <w:rPr>
          <w:rFonts w:ascii="Century Gothic" w:eastAsia="Calibri" w:hAnsi="Century Gothic" w:cs="Arial"/>
        </w:rPr>
        <w:t>.</w:t>
      </w:r>
    </w:p>
    <w:p w14:paraId="7D7CE461" w14:textId="77777777" w:rsidR="0043170B" w:rsidRPr="00BB6030" w:rsidRDefault="0043170B" w:rsidP="0043170B">
      <w:pPr>
        <w:widowControl w:val="0"/>
        <w:autoSpaceDE w:val="0"/>
        <w:autoSpaceDN w:val="0"/>
        <w:spacing w:after="0" w:line="276" w:lineRule="auto"/>
        <w:ind w:right="113" w:firstLine="708"/>
        <w:contextualSpacing/>
        <w:jc w:val="both"/>
        <w:rPr>
          <w:rFonts w:ascii="Century Gothic" w:eastAsia="Arial" w:hAnsi="Century Gothic" w:cs="Arial"/>
          <w:lang w:val="es-ES" w:eastAsia="es-ES" w:bidi="es-ES"/>
        </w:rPr>
      </w:pPr>
      <w:r w:rsidRPr="00BB6030">
        <w:rPr>
          <w:rFonts w:ascii="Century Gothic" w:eastAsia="Calibri" w:hAnsi="Century Gothic"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BB6030">
        <w:rPr>
          <w:rFonts w:ascii="Century Gothic" w:eastAsia="Calibri" w:hAnsi="Century Gothic" w:cs="Arial"/>
          <w:bCs/>
        </w:rPr>
        <w:t xml:space="preserve">“[…] </w:t>
      </w:r>
      <w:r w:rsidRPr="00BB6030">
        <w:rPr>
          <w:rFonts w:ascii="Century Gothic" w:eastAsia="Calibri" w:hAnsi="Century Gothic"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B6030">
        <w:rPr>
          <w:rFonts w:ascii="Century Gothic" w:eastAsia="Calibri" w:hAnsi="Century Gothic" w:cs="Arial"/>
          <w:bCs/>
          <w:sz w:val="19"/>
          <w:szCs w:val="19"/>
        </w:rPr>
        <w:t>”</w:t>
      </w:r>
      <w:bookmarkEnd w:id="19"/>
      <w:r w:rsidRPr="00BB6030">
        <w:rPr>
          <w:rFonts w:ascii="Century Gothic" w:eastAsia="Calibri" w:hAnsi="Century Gothic" w:cs="Arial"/>
          <w:bCs/>
          <w:sz w:val="19"/>
          <w:szCs w:val="19"/>
          <w:vertAlign w:val="superscript"/>
        </w:rPr>
        <w:footnoteReference w:id="16"/>
      </w:r>
      <w:r w:rsidRPr="00BB6030">
        <w:rPr>
          <w:rFonts w:ascii="Century Gothic" w:eastAsia="Calibri" w:hAnsi="Century Gothic" w:cs="Arial"/>
          <w:lang w:val="es-MX"/>
        </w:rPr>
        <w:t>.</w:t>
      </w:r>
      <w:r w:rsidRPr="00BB6030">
        <w:rPr>
          <w:rFonts w:ascii="Century Gothic" w:eastAsia="Arial" w:hAnsi="Century Gothic"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B5247C9" w14:textId="77777777" w:rsidR="0043170B" w:rsidRPr="00BB6030" w:rsidRDefault="0043170B" w:rsidP="0043170B">
      <w:pPr>
        <w:widowControl w:val="0"/>
        <w:autoSpaceDE w:val="0"/>
        <w:autoSpaceDN w:val="0"/>
        <w:spacing w:after="0" w:line="276" w:lineRule="auto"/>
        <w:ind w:left="805" w:right="812"/>
        <w:contextualSpacing/>
        <w:jc w:val="both"/>
        <w:rPr>
          <w:rFonts w:ascii="Century Gothic" w:eastAsia="Arial" w:hAnsi="Century Gothic" w:cs="Arial"/>
          <w:lang w:val="es-ES" w:eastAsia="es-ES" w:bidi="es-ES"/>
        </w:rPr>
      </w:pPr>
    </w:p>
    <w:p w14:paraId="5E98CF3F" w14:textId="77777777" w:rsidR="0043170B" w:rsidRPr="00BB6030" w:rsidRDefault="0043170B" w:rsidP="0043170B">
      <w:pPr>
        <w:widowControl w:val="0"/>
        <w:autoSpaceDE w:val="0"/>
        <w:autoSpaceDN w:val="0"/>
        <w:spacing w:after="0" w:line="240" w:lineRule="auto"/>
        <w:ind w:left="709" w:right="709"/>
        <w:contextualSpacing/>
        <w:jc w:val="both"/>
        <w:rPr>
          <w:rFonts w:ascii="Century Gothic" w:eastAsia="Arial" w:hAnsi="Century Gothic" w:cs="Arial"/>
          <w:sz w:val="21"/>
          <w:szCs w:val="21"/>
          <w:lang w:val="es-ES" w:eastAsia="es-ES" w:bidi="es-ES"/>
        </w:rPr>
      </w:pPr>
      <w:r w:rsidRPr="00BB6030">
        <w:rPr>
          <w:rFonts w:ascii="Century Gothic" w:eastAsia="Arial" w:hAnsi="Century Gothic"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2" w:name="_Hlk76109421"/>
      <w:r w:rsidRPr="00BB6030">
        <w:rPr>
          <w:rFonts w:ascii="Century Gothic" w:eastAsia="Arial" w:hAnsi="Century Gothic" w:cs="Arial"/>
          <w:sz w:val="21"/>
          <w:szCs w:val="21"/>
          <w:lang w:val="es-ES" w:eastAsia="es-ES" w:bidi="es-ES"/>
        </w:rPr>
        <w:t>se integran parcialmente</w:t>
      </w:r>
      <w:bookmarkEnd w:id="22"/>
      <w:r w:rsidRPr="00BB6030">
        <w:rPr>
          <w:rFonts w:ascii="Century Gothic" w:eastAsia="Arial" w:hAnsi="Century Gothic"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BB6030">
        <w:rPr>
          <w:rFonts w:ascii="Century Gothic" w:eastAsia="Arial" w:hAnsi="Century Gothic" w:cs="Arial"/>
          <w:bCs/>
          <w:sz w:val="21"/>
          <w:szCs w:val="21"/>
          <w:lang w:val="es-ES" w:eastAsia="es-ES" w:bidi="es-ES"/>
        </w:rPr>
        <w:t xml:space="preserve">En cambio, para elecciones en general, excluyendo las correspondientes a </w:t>
      </w:r>
      <w:proofErr w:type="gramStart"/>
      <w:r w:rsidRPr="00BB6030">
        <w:rPr>
          <w:rFonts w:ascii="Century Gothic" w:eastAsia="Arial" w:hAnsi="Century Gothic" w:cs="Arial"/>
          <w:bCs/>
          <w:sz w:val="21"/>
          <w:szCs w:val="21"/>
          <w:lang w:val="es-ES" w:eastAsia="es-ES" w:bidi="es-ES"/>
        </w:rPr>
        <w:t>Presidente</w:t>
      </w:r>
      <w:proofErr w:type="gramEnd"/>
      <w:r w:rsidRPr="00BB6030">
        <w:rPr>
          <w:rFonts w:ascii="Century Gothic" w:eastAsia="Arial" w:hAnsi="Century Gothic" w:cs="Arial"/>
          <w:bCs/>
          <w:sz w:val="21"/>
          <w:szCs w:val="21"/>
          <w:lang w:val="es-ES" w:eastAsia="es-ES" w:bidi="es-ES"/>
        </w:rPr>
        <w:t xml:space="preserve"> de la República, a las autoridades territoriales allí mencionadas sólo se aplican las restricciones contenidas en el parágrafo del artículo 38</w:t>
      </w:r>
      <w:r w:rsidRPr="00BB6030">
        <w:rPr>
          <w:rFonts w:ascii="Century Gothic" w:eastAsia="Arial" w:hAnsi="Century Gothic" w:cs="Arial"/>
          <w:sz w:val="21"/>
          <w:szCs w:val="21"/>
          <w:lang w:val="es-ES" w:eastAsia="es-ES" w:bidi="es-ES"/>
        </w:rPr>
        <w:t>.</w:t>
      </w:r>
      <w:r w:rsidRPr="00BB6030">
        <w:rPr>
          <w:rFonts w:ascii="Century Gothic" w:eastAsia="Arial" w:hAnsi="Century Gothic" w:cs="Arial"/>
          <w:sz w:val="21"/>
          <w:szCs w:val="21"/>
          <w:vertAlign w:val="superscript"/>
          <w:lang w:val="es-ES" w:eastAsia="es-ES" w:bidi="es-ES"/>
        </w:rPr>
        <w:footnoteReference w:id="17"/>
      </w:r>
    </w:p>
    <w:p w14:paraId="27538CF0" w14:textId="77777777" w:rsidR="0043170B" w:rsidRPr="00BB6030" w:rsidRDefault="0043170B" w:rsidP="0043170B">
      <w:pPr>
        <w:widowControl w:val="0"/>
        <w:autoSpaceDE w:val="0"/>
        <w:autoSpaceDN w:val="0"/>
        <w:spacing w:after="0" w:line="276" w:lineRule="auto"/>
        <w:contextualSpacing/>
        <w:rPr>
          <w:rFonts w:ascii="Century Gothic" w:eastAsia="Arial" w:hAnsi="Century Gothic" w:cs="Arial"/>
          <w:lang w:val="es-ES" w:eastAsia="es-ES" w:bidi="es-ES"/>
        </w:rPr>
      </w:pPr>
    </w:p>
    <w:p w14:paraId="4B529FFD" w14:textId="77777777" w:rsidR="0043170B" w:rsidRPr="00BB6030" w:rsidRDefault="0043170B" w:rsidP="0043170B">
      <w:pPr>
        <w:spacing w:after="120" w:line="276" w:lineRule="auto"/>
        <w:ind w:firstLine="709"/>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 xml:space="preserve">De conformidad con lo anterior, </w:t>
      </w:r>
      <w:bookmarkStart w:id="23" w:name="_Hlk77236420"/>
      <w:bookmarkStart w:id="24" w:name="_Hlk78818435"/>
      <w:bookmarkStart w:id="25" w:name="_Hlk75780333"/>
      <w:r w:rsidRPr="00BB6030">
        <w:rPr>
          <w:rFonts w:ascii="Century Gothic" w:eastAsia="Arial" w:hAnsi="Century Gothic" w:cs="Arial"/>
          <w:lang w:val="es-ES" w:eastAsia="es-ES" w:bidi="es-ES"/>
        </w:rPr>
        <w:t xml:space="preserve">la Ley 996 de 2005 establece dos (2) tipos de restricciones en materia de contratación, las cuales coinciden parcialmente. </w:t>
      </w:r>
      <w:r w:rsidRPr="00BB6030">
        <w:rPr>
          <w:rFonts w:ascii="Century Gothic" w:eastAsia="Arial" w:hAnsi="Century Gothic" w:cs="Arial"/>
          <w:i/>
          <w:iCs/>
          <w:lang w:val="es-ES" w:eastAsia="es-ES" w:bidi="es-ES"/>
        </w:rPr>
        <w:t>En primer lugar</w:t>
      </w:r>
      <w:r w:rsidRPr="00BB6030">
        <w:rPr>
          <w:rFonts w:ascii="Century Gothic" w:eastAsia="Arial" w:hAnsi="Century Gothic"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BB6030">
        <w:rPr>
          <w:rFonts w:ascii="Century Gothic" w:eastAsia="Arial" w:hAnsi="Century Gothic" w:cs="Arial"/>
          <w:i/>
          <w:iCs/>
          <w:lang w:val="es-ES" w:eastAsia="es-ES" w:bidi="es-ES"/>
        </w:rPr>
        <w:t>En segundo lugar</w:t>
      </w:r>
      <w:r w:rsidRPr="00BB6030">
        <w:rPr>
          <w:rFonts w:ascii="Century Gothic" w:eastAsia="Arial" w:hAnsi="Century Gothic"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3"/>
    </w:p>
    <w:bookmarkEnd w:id="24"/>
    <w:p w14:paraId="3BD08DB8" w14:textId="77777777" w:rsidR="0043170B" w:rsidRPr="00BB6030" w:rsidRDefault="0043170B" w:rsidP="0043170B">
      <w:pPr>
        <w:spacing w:after="120" w:line="276" w:lineRule="auto"/>
        <w:ind w:firstLine="709"/>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 xml:space="preserve">Ambas restricciones no son excluyentes, lo que permite concluir que en el período preelectoral para elección de </w:t>
      </w:r>
      <w:proofErr w:type="gramStart"/>
      <w:r w:rsidRPr="00BB6030">
        <w:rPr>
          <w:rFonts w:ascii="Century Gothic" w:eastAsia="Arial" w:hAnsi="Century Gothic" w:cs="Arial"/>
          <w:lang w:val="es-ES" w:eastAsia="es-ES" w:bidi="es-ES"/>
        </w:rPr>
        <w:t>Presidente</w:t>
      </w:r>
      <w:proofErr w:type="gramEnd"/>
      <w:r w:rsidRPr="00BB6030">
        <w:rPr>
          <w:rFonts w:ascii="Century Gothic" w:eastAsia="Arial" w:hAnsi="Century Gothic"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BB6030">
        <w:rPr>
          <w:rFonts w:ascii="Century Gothic" w:eastAsia="Arial" w:hAnsi="Century Gothic" w:cs="Arial"/>
          <w:lang w:val="es-ES" w:eastAsia="es-ES" w:bidi="es-ES"/>
        </w:rPr>
        <w:t>Presidente</w:t>
      </w:r>
      <w:proofErr w:type="gramEnd"/>
      <w:r w:rsidRPr="00BB6030">
        <w:rPr>
          <w:rFonts w:ascii="Century Gothic" w:eastAsia="Arial" w:hAnsi="Century Gothic" w:cs="Arial"/>
          <w:lang w:val="es-ES" w:eastAsia="es-ES" w:bidi="es-ES"/>
        </w:rPr>
        <w:t xml:space="preserve"> de la República, las autoridades allí mencionadas sólo deben aplicar las restricciones contenidas en el parágrafo del artículo 38.</w:t>
      </w:r>
    </w:p>
    <w:bookmarkEnd w:id="25"/>
    <w:p w14:paraId="4AD99965" w14:textId="77777777" w:rsidR="0043170B" w:rsidRPr="00BB6030" w:rsidRDefault="0043170B" w:rsidP="0043170B">
      <w:pPr>
        <w:spacing w:after="0" w:line="276" w:lineRule="auto"/>
        <w:ind w:firstLine="708"/>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BB6030">
        <w:rPr>
          <w:rFonts w:ascii="Century Gothic" w:eastAsia="Arial" w:hAnsi="Century Gothic" w:cs="Arial"/>
          <w:lang w:val="es-ES" w:eastAsia="es-ES" w:bidi="es-ES"/>
        </w:rPr>
        <w:t>Presidente</w:t>
      </w:r>
      <w:proofErr w:type="gramEnd"/>
      <w:r w:rsidRPr="00BB6030">
        <w:rPr>
          <w:rFonts w:ascii="Century Gothic" w:eastAsia="Arial" w:hAnsi="Century Gothic"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8DE9175" w14:textId="77777777" w:rsidR="0043170B" w:rsidRPr="00BB6030" w:rsidRDefault="0043170B" w:rsidP="0043170B">
      <w:pPr>
        <w:spacing w:after="0" w:line="276" w:lineRule="auto"/>
        <w:jc w:val="both"/>
        <w:rPr>
          <w:rFonts w:ascii="Century Gothic" w:eastAsia="Calibri" w:hAnsi="Century Gothic" w:cs="Arial"/>
          <w:lang w:val="es-MX"/>
        </w:rPr>
      </w:pPr>
    </w:p>
    <w:p w14:paraId="2D7F0035" w14:textId="77777777" w:rsidR="0043170B" w:rsidRPr="00BB6030" w:rsidRDefault="0043170B" w:rsidP="0043170B">
      <w:pPr>
        <w:spacing w:after="0" w:line="276" w:lineRule="auto"/>
        <w:jc w:val="both"/>
        <w:rPr>
          <w:rFonts w:ascii="Century Gothic" w:eastAsia="Calibri" w:hAnsi="Century Gothic" w:cs="Arial"/>
          <w:b/>
          <w:bCs/>
          <w:lang w:val="es-MX"/>
        </w:rPr>
      </w:pPr>
      <w:bookmarkStart w:id="26" w:name="_Hlk75784645"/>
      <w:r w:rsidRPr="00BB6030">
        <w:rPr>
          <w:rFonts w:ascii="Century Gothic" w:eastAsia="Calibri" w:hAnsi="Century Gothic" w:cs="Arial"/>
          <w:b/>
          <w:bCs/>
          <w:lang w:val="es-MX"/>
        </w:rPr>
        <w:t xml:space="preserve">2.4. </w:t>
      </w:r>
      <w:bookmarkStart w:id="27" w:name="_Hlk77153296"/>
      <w:r w:rsidRPr="00BB6030">
        <w:rPr>
          <w:rFonts w:ascii="Century Gothic" w:eastAsia="Times New Roman" w:hAnsi="Century Gothic" w:cs="Arial"/>
          <w:b/>
          <w:bCs/>
          <w:lang w:val="es-MX" w:eastAsia="es-CO"/>
        </w:rPr>
        <w:t xml:space="preserve">Restricciones </w:t>
      </w:r>
      <w:bookmarkStart w:id="28" w:name="_Hlk75643279"/>
      <w:r w:rsidRPr="00BB6030">
        <w:rPr>
          <w:rFonts w:ascii="Century Gothic" w:eastAsia="Times New Roman" w:hAnsi="Century Gothic" w:cs="Arial"/>
          <w:b/>
          <w:bCs/>
          <w:lang w:val="es-MX" w:eastAsia="es-CO"/>
        </w:rPr>
        <w:t xml:space="preserve">para la celebración de contratos y convenios interadministrativos en los comicios para cargos de elección popular </w:t>
      </w:r>
    </w:p>
    <w:p w14:paraId="7C37CEC3" w14:textId="77777777" w:rsidR="0043170B" w:rsidRPr="00BB6030" w:rsidRDefault="0043170B" w:rsidP="0043170B">
      <w:pPr>
        <w:tabs>
          <w:tab w:val="left" w:pos="426"/>
        </w:tabs>
        <w:spacing w:after="0" w:line="276" w:lineRule="auto"/>
        <w:jc w:val="both"/>
        <w:rPr>
          <w:rFonts w:ascii="Century Gothic" w:eastAsia="Calibri" w:hAnsi="Century Gothic" w:cs="Arial"/>
          <w:bCs/>
        </w:rPr>
      </w:pPr>
      <w:bookmarkStart w:id="29" w:name="_Hlk88210558"/>
      <w:bookmarkEnd w:id="27"/>
      <w:bookmarkEnd w:id="28"/>
    </w:p>
    <w:p w14:paraId="0404030F" w14:textId="77777777" w:rsidR="0043170B" w:rsidRPr="00BB6030" w:rsidRDefault="0043170B" w:rsidP="0043170B">
      <w:pPr>
        <w:tabs>
          <w:tab w:val="left" w:pos="426"/>
        </w:tabs>
        <w:spacing w:after="120" w:line="276" w:lineRule="auto"/>
        <w:jc w:val="both"/>
        <w:rPr>
          <w:rFonts w:ascii="Century Gothic" w:eastAsia="Calibri" w:hAnsi="Century Gothic" w:cs="Arial"/>
          <w:bCs/>
        </w:rPr>
      </w:pPr>
      <w:r w:rsidRPr="00BB6030">
        <w:rPr>
          <w:rFonts w:ascii="Century Gothic" w:eastAsia="Calibri" w:hAnsi="Century Gothic" w:cs="Arial"/>
          <w:bCs/>
        </w:rPr>
        <w:t xml:space="preserve">El parágrafo del artículo 38 de la Ley 996 de 2005 dispone que “[l]os Gobernadores, </w:t>
      </w:r>
      <w:proofErr w:type="gramStart"/>
      <w:r w:rsidRPr="00BB6030">
        <w:rPr>
          <w:rFonts w:ascii="Century Gothic" w:eastAsia="Calibri" w:hAnsi="Century Gothic" w:cs="Arial"/>
          <w:bCs/>
        </w:rPr>
        <w:t>Alcaldes</w:t>
      </w:r>
      <w:proofErr w:type="gramEnd"/>
      <w:r w:rsidRPr="00BB6030">
        <w:rPr>
          <w:rFonts w:ascii="Century Gothic" w:eastAsia="Calibri" w:hAnsi="Century Gothic"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BB6030">
        <w:rPr>
          <w:rFonts w:ascii="Century Gothic" w:eastAsia="Times New Roman" w:hAnsi="Century Gothic" w:cs="Arial"/>
          <w:bCs/>
          <w:iCs/>
          <w:lang w:val="es-MX" w:eastAsia="x-none"/>
        </w:rPr>
        <w:t xml:space="preserve"> </w:t>
      </w:r>
      <w:bookmarkStart w:id="30" w:name="_Hlk99578153"/>
      <w:bookmarkEnd w:id="29"/>
      <w:r w:rsidRPr="00BB6030">
        <w:rPr>
          <w:rFonts w:ascii="Century Gothic" w:eastAsia="Times New Roman" w:hAnsi="Century Gothic"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30"/>
      <w:r w:rsidRPr="00BB6030">
        <w:rPr>
          <w:rFonts w:ascii="Century Gothic" w:eastAsia="Times New Roman" w:hAnsi="Century Gothic" w:cs="Arial"/>
          <w:bCs/>
          <w:iCs/>
          <w:vertAlign w:val="superscript"/>
          <w:lang w:val="es-MX" w:eastAsia="x-none"/>
        </w:rPr>
        <w:footnoteReference w:id="18"/>
      </w:r>
      <w:r w:rsidRPr="00BB6030">
        <w:rPr>
          <w:rFonts w:ascii="Century Gothic" w:eastAsia="Times New Roman" w:hAnsi="Century Gothic" w:cs="Arial"/>
          <w:bCs/>
          <w:iCs/>
          <w:lang w:val="es-MX" w:eastAsia="x-none"/>
        </w:rPr>
        <w:t>.</w:t>
      </w:r>
      <w:r w:rsidRPr="00BB6030">
        <w:rPr>
          <w:rFonts w:ascii="Century Gothic" w:eastAsia="Calibri" w:hAnsi="Century Gothic" w:cs="Arial"/>
          <w:sz w:val="24"/>
          <w:lang w:val="es-MX"/>
        </w:rPr>
        <w:t xml:space="preserve"> </w:t>
      </w:r>
    </w:p>
    <w:p w14:paraId="28F5FF70" w14:textId="77777777" w:rsidR="0043170B" w:rsidRPr="00BB6030" w:rsidRDefault="0043170B" w:rsidP="0043170B">
      <w:pPr>
        <w:widowControl w:val="0"/>
        <w:autoSpaceDE w:val="0"/>
        <w:autoSpaceDN w:val="0"/>
        <w:spacing w:after="120" w:line="276" w:lineRule="auto"/>
        <w:ind w:firstLine="707"/>
        <w:jc w:val="both"/>
        <w:rPr>
          <w:rFonts w:ascii="Century Gothic" w:eastAsia="Arial" w:hAnsi="Century Gothic" w:cs="Arial"/>
          <w:lang w:val="es-ES" w:eastAsia="es-ES" w:bidi="es-ES"/>
        </w:rPr>
      </w:pPr>
      <w:r w:rsidRPr="00BB6030">
        <w:rPr>
          <w:rFonts w:ascii="Century Gothic" w:eastAsia="Calibri" w:hAnsi="Century Gothic" w:cs="Arial"/>
          <w:bCs/>
          <w:lang w:eastAsia="es-ES" w:bidi="es-ES"/>
        </w:rPr>
        <w:t xml:space="preserve">Ahora bien, </w:t>
      </w:r>
      <w:bookmarkStart w:id="31" w:name="_Hlk78820161"/>
      <w:r w:rsidRPr="00BB6030">
        <w:rPr>
          <w:rFonts w:ascii="Century Gothic" w:eastAsia="Calibri" w:hAnsi="Century Gothic" w:cs="Arial"/>
          <w:bCs/>
          <w:lang w:eastAsia="es-ES" w:bidi="es-ES"/>
        </w:rPr>
        <w:t xml:space="preserve">para determinar el alcance de la prohibición consagrada por la Ley de Garantías Electorales, conviene precisar la tipología de convenios o contratos interadministrativos. </w:t>
      </w:r>
      <w:r w:rsidRPr="00BB6030">
        <w:rPr>
          <w:rFonts w:ascii="Century Gothic" w:eastAsia="Arial" w:hAnsi="Century Gothic" w:cs="Arial"/>
          <w:lang w:val="es-ES" w:eastAsia="es-ES" w:bidi="es-ES"/>
        </w:rPr>
        <w:t>Aunque la ley no la definió ni desarrolló, el Decreto 1082 de 2015 califica a los convenios o contratos interadministrativos como aquella contratación entre entidades estatales</w:t>
      </w:r>
      <w:r w:rsidRPr="00BB6030">
        <w:rPr>
          <w:rFonts w:ascii="Century Gothic" w:eastAsia="Arial" w:hAnsi="Century Gothic" w:cs="Arial"/>
          <w:vertAlign w:val="superscript"/>
          <w:lang w:val="es-ES" w:eastAsia="es-ES" w:bidi="es-ES"/>
        </w:rPr>
        <w:footnoteReference w:id="19"/>
      </w:r>
      <w:r w:rsidRPr="00BB6030">
        <w:rPr>
          <w:rFonts w:ascii="Century Gothic" w:eastAsia="Arial" w:hAnsi="Century Gothic"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BB6030">
        <w:rPr>
          <w:rFonts w:ascii="Century Gothic" w:eastAsia="Arial" w:hAnsi="Century Gothic" w:cs="Arial"/>
          <w:spacing w:val="-6"/>
          <w:lang w:val="es-ES" w:eastAsia="es-ES" w:bidi="es-ES"/>
        </w:rPr>
        <w:t xml:space="preserve"> </w:t>
      </w:r>
      <w:r w:rsidRPr="00BB6030">
        <w:rPr>
          <w:rFonts w:ascii="Century Gothic" w:eastAsia="Arial" w:hAnsi="Century Gothic" w:cs="Arial"/>
          <w:lang w:val="es-ES" w:eastAsia="es-ES" w:bidi="es-ES"/>
        </w:rPr>
        <w:t>estatales.</w:t>
      </w:r>
    </w:p>
    <w:p w14:paraId="00552CE1" w14:textId="77777777" w:rsidR="0043170B" w:rsidRPr="00BB6030" w:rsidRDefault="0043170B" w:rsidP="0043170B">
      <w:pPr>
        <w:widowControl w:val="0"/>
        <w:autoSpaceDE w:val="0"/>
        <w:autoSpaceDN w:val="0"/>
        <w:spacing w:before="117" w:after="120" w:line="276" w:lineRule="auto"/>
        <w:ind w:firstLine="707"/>
        <w:jc w:val="both"/>
        <w:rPr>
          <w:rFonts w:ascii="Century Gothic" w:eastAsia="Calibri" w:hAnsi="Century Gothic" w:cs="Arial"/>
          <w:bCs/>
          <w:lang w:val="es-ES"/>
        </w:rPr>
      </w:pPr>
      <w:bookmarkStart w:id="32" w:name="_Hlk78820654"/>
      <w:bookmarkEnd w:id="31"/>
      <w:r w:rsidRPr="00BB6030">
        <w:rPr>
          <w:rFonts w:ascii="Century Gothic" w:eastAsia="Arial" w:hAnsi="Century Gothic"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De esta manera, sin perjuicio de lo dispuesto en el artículo 56 de la Ley 2195 de 2022, el literal c) del artículo 2.4 de la Ley 1150 de 2007 dispone que “</w:t>
      </w:r>
      <w:r w:rsidRPr="00BB6030">
        <w:rPr>
          <w:rFonts w:ascii="Century Gothic" w:eastAsia="Arial" w:hAnsi="Century Gothic"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5EA76843" w14:textId="77777777" w:rsidR="0043170B" w:rsidRPr="00BB6030" w:rsidRDefault="0043170B" w:rsidP="0043170B">
      <w:pPr>
        <w:widowControl w:val="0"/>
        <w:autoSpaceDE w:val="0"/>
        <w:autoSpaceDN w:val="0"/>
        <w:spacing w:before="121" w:after="120" w:line="276" w:lineRule="auto"/>
        <w:ind w:firstLine="707"/>
        <w:jc w:val="both"/>
        <w:rPr>
          <w:rFonts w:ascii="Century Gothic" w:eastAsia="Arial" w:hAnsi="Century Gothic" w:cs="Arial"/>
          <w:lang w:val="es-ES" w:eastAsia="es-ES" w:bidi="es-ES"/>
        </w:rPr>
      </w:pPr>
      <w:bookmarkStart w:id="33" w:name="_Hlk99578261"/>
      <w:bookmarkEnd w:id="32"/>
      <w:r w:rsidRPr="00BB6030">
        <w:rPr>
          <w:rFonts w:ascii="Century Gothic" w:eastAsia="Arial" w:hAnsi="Century Gothic"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BB6030">
        <w:rPr>
          <w:rFonts w:ascii="Century Gothic" w:eastAsia="Arial" w:hAnsi="Century Gothic" w:cs="Arial"/>
          <w:vertAlign w:val="superscript"/>
          <w:lang w:val="es-ES" w:eastAsia="es-ES" w:bidi="es-ES"/>
        </w:rPr>
        <w:footnoteReference w:id="20"/>
      </w:r>
      <w:r w:rsidRPr="00BB6030">
        <w:rPr>
          <w:rFonts w:ascii="Century Gothic" w:eastAsia="Arial" w:hAnsi="Century Gothic" w:cs="Arial"/>
          <w:lang w:val="es-ES" w:eastAsia="es-ES" w:bidi="es-ES"/>
        </w:rPr>
        <w:t>. Nótese que, en este caso, lo que cambia es la modalidad de selección y no la naturaleza de contrato</w:t>
      </w:r>
      <w:r w:rsidRPr="00BB6030">
        <w:rPr>
          <w:rFonts w:ascii="Century Gothic" w:eastAsia="Arial" w:hAnsi="Century Gothic" w:cs="Arial"/>
          <w:spacing w:val="-18"/>
          <w:lang w:val="es-ES" w:eastAsia="es-ES" w:bidi="es-ES"/>
        </w:rPr>
        <w:t xml:space="preserve"> </w:t>
      </w:r>
      <w:r w:rsidRPr="00BB6030">
        <w:rPr>
          <w:rFonts w:ascii="Century Gothic" w:eastAsia="Arial" w:hAnsi="Century Gothic" w:cs="Arial"/>
          <w:lang w:val="es-ES" w:eastAsia="es-ES" w:bidi="es-ES"/>
        </w:rPr>
        <w:t>interadministrativo.</w:t>
      </w:r>
    </w:p>
    <w:bookmarkEnd w:id="33"/>
    <w:p w14:paraId="5757B8D8" w14:textId="77777777" w:rsidR="0043170B" w:rsidRPr="00BB6030" w:rsidRDefault="0043170B" w:rsidP="0043170B">
      <w:pPr>
        <w:widowControl w:val="0"/>
        <w:autoSpaceDE w:val="0"/>
        <w:autoSpaceDN w:val="0"/>
        <w:spacing w:before="114" w:after="0" w:line="276" w:lineRule="auto"/>
        <w:ind w:firstLine="707"/>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BB6030">
        <w:rPr>
          <w:rFonts w:ascii="Century Gothic" w:eastAsia="Arial" w:hAnsi="Century Gothic" w:cs="Arial"/>
          <w:spacing w:val="-13"/>
          <w:lang w:val="es-ES" w:eastAsia="es-ES" w:bidi="es-ES"/>
        </w:rPr>
        <w:t xml:space="preserve"> </w:t>
      </w:r>
      <w:r w:rsidRPr="00BB6030">
        <w:rPr>
          <w:rFonts w:ascii="Century Gothic" w:eastAsia="Arial" w:hAnsi="Century Gothic" w:cs="Arial"/>
          <w:lang w:val="es-ES" w:eastAsia="es-ES" w:bidi="es-ES"/>
        </w:rPr>
        <w:t>que:</w:t>
      </w:r>
    </w:p>
    <w:p w14:paraId="5B5B0AE9" w14:textId="77777777" w:rsidR="0043170B" w:rsidRPr="00BB6030" w:rsidRDefault="0043170B" w:rsidP="0043170B">
      <w:pPr>
        <w:widowControl w:val="0"/>
        <w:autoSpaceDE w:val="0"/>
        <w:autoSpaceDN w:val="0"/>
        <w:spacing w:after="0" w:line="276" w:lineRule="auto"/>
        <w:ind w:firstLine="707"/>
        <w:contextualSpacing/>
        <w:jc w:val="both"/>
        <w:rPr>
          <w:rFonts w:ascii="Century Gothic" w:eastAsia="Arial" w:hAnsi="Century Gothic" w:cs="Arial"/>
          <w:lang w:val="es-ES" w:eastAsia="es-ES" w:bidi="es-ES"/>
        </w:rPr>
      </w:pPr>
    </w:p>
    <w:p w14:paraId="4EBE81AF" w14:textId="77777777" w:rsidR="0043170B" w:rsidRPr="00BB6030" w:rsidRDefault="0043170B" w:rsidP="0043170B">
      <w:pPr>
        <w:spacing w:after="0" w:line="240" w:lineRule="auto"/>
        <w:ind w:left="709" w:right="709"/>
        <w:contextualSpacing/>
        <w:jc w:val="both"/>
        <w:rPr>
          <w:rFonts w:ascii="Century Gothic" w:eastAsia="Calibri" w:hAnsi="Century Gothic" w:cs="Arial"/>
          <w:sz w:val="21"/>
          <w:lang w:val="es-MX"/>
        </w:rPr>
      </w:pPr>
      <w:r w:rsidRPr="00BB6030">
        <w:rPr>
          <w:rFonts w:ascii="Century Gothic" w:eastAsia="Calibri" w:hAnsi="Century Gothic"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BB6030">
        <w:rPr>
          <w:rFonts w:ascii="Century Gothic" w:eastAsia="Calibri" w:hAnsi="Century Gothic" w:cs="Arial"/>
          <w:sz w:val="21"/>
          <w:lang w:val="es-MX"/>
        </w:rPr>
        <w:t>ii</w:t>
      </w:r>
      <w:proofErr w:type="spellEnd"/>
      <w:r w:rsidRPr="00BB6030">
        <w:rPr>
          <w:rFonts w:ascii="Century Gothic" w:eastAsia="Calibri" w:hAnsi="Century Gothic" w:cs="Arial"/>
          <w:sz w:val="21"/>
          <w:lang w:val="es-MX"/>
        </w:rPr>
        <w:t>) tienen como fuente la autonomía contractual; (</w:t>
      </w:r>
      <w:proofErr w:type="spellStart"/>
      <w:r w:rsidRPr="00BB6030">
        <w:rPr>
          <w:rFonts w:ascii="Century Gothic" w:eastAsia="Calibri" w:hAnsi="Century Gothic" w:cs="Arial"/>
          <w:sz w:val="21"/>
          <w:lang w:val="es-MX"/>
        </w:rPr>
        <w:t>iii</w:t>
      </w:r>
      <w:proofErr w:type="spellEnd"/>
      <w:r w:rsidRPr="00BB6030">
        <w:rPr>
          <w:rFonts w:ascii="Century Gothic" w:eastAsia="Calibri" w:hAnsi="Century Gothic" w:cs="Arial"/>
          <w:sz w:val="21"/>
          <w:lang w:val="es-MX"/>
        </w:rPr>
        <w:t>) son contratos nominados puesto que están mencionados en la ley; (</w:t>
      </w:r>
      <w:proofErr w:type="spellStart"/>
      <w:r w:rsidRPr="00BB6030">
        <w:rPr>
          <w:rFonts w:ascii="Century Gothic" w:eastAsia="Calibri" w:hAnsi="Century Gothic" w:cs="Arial"/>
          <w:sz w:val="21"/>
          <w:lang w:val="es-MX"/>
        </w:rPr>
        <w:t>iv</w:t>
      </w:r>
      <w:proofErr w:type="spellEnd"/>
      <w:r w:rsidRPr="00BB6030">
        <w:rPr>
          <w:rFonts w:ascii="Century Gothic" w:eastAsia="Calibri" w:hAnsi="Century Gothic"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BB6030">
        <w:rPr>
          <w:rFonts w:ascii="Century Gothic" w:eastAsia="Calibri" w:hAnsi="Century Gothic" w:cs="Arial"/>
          <w:sz w:val="21"/>
          <w:lang w:val="es-MX"/>
        </w:rPr>
        <w:t>vii</w:t>
      </w:r>
      <w:proofErr w:type="spellEnd"/>
      <w:r w:rsidRPr="00BB6030">
        <w:rPr>
          <w:rFonts w:ascii="Century Gothic" w:eastAsia="Calibri" w:hAnsi="Century Gothic" w:cs="Arial"/>
          <w:sz w:val="21"/>
          <w:lang w:val="es-MX"/>
        </w:rPr>
        <w:t>) persiguen  una finalidad común a través de la realización de intereses compartidos entre las entidades vinculadas; (</w:t>
      </w:r>
      <w:proofErr w:type="spellStart"/>
      <w:r w:rsidRPr="00BB6030">
        <w:rPr>
          <w:rFonts w:ascii="Century Gothic" w:eastAsia="Calibri" w:hAnsi="Century Gothic" w:cs="Arial"/>
          <w:sz w:val="21"/>
          <w:lang w:val="es-MX"/>
        </w:rPr>
        <w:t>viii</w:t>
      </w:r>
      <w:proofErr w:type="spellEnd"/>
      <w:r w:rsidRPr="00BB6030">
        <w:rPr>
          <w:rFonts w:ascii="Century Gothic" w:eastAsia="Calibri" w:hAnsi="Century Gothic" w:cs="Arial"/>
          <w:sz w:val="21"/>
          <w:lang w:val="es-MX"/>
        </w:rPr>
        <w:t>) la acción mediante la cual se deben ventilar las diferencias que sobre el particular surjan es la de controversias contractuales</w:t>
      </w:r>
      <w:r w:rsidRPr="00BB6030">
        <w:rPr>
          <w:rFonts w:ascii="Century Gothic" w:eastAsia="Calibri" w:hAnsi="Century Gothic" w:cs="Arial"/>
          <w:sz w:val="21"/>
          <w:vertAlign w:val="superscript"/>
          <w:lang w:val="es-MX"/>
        </w:rPr>
        <w:footnoteReference w:id="21"/>
      </w:r>
      <w:r w:rsidRPr="00BB6030">
        <w:rPr>
          <w:rFonts w:ascii="Century Gothic" w:eastAsia="Calibri" w:hAnsi="Century Gothic" w:cs="Arial"/>
          <w:sz w:val="21"/>
          <w:lang w:val="es-MX"/>
        </w:rPr>
        <w:t>.</w:t>
      </w:r>
    </w:p>
    <w:p w14:paraId="7D81E5C5" w14:textId="77777777" w:rsidR="0043170B" w:rsidRPr="00BB6030" w:rsidRDefault="0043170B" w:rsidP="0043170B">
      <w:pPr>
        <w:spacing w:after="0" w:line="276" w:lineRule="auto"/>
        <w:ind w:left="709" w:right="709"/>
        <w:contextualSpacing/>
        <w:jc w:val="both"/>
        <w:rPr>
          <w:rFonts w:ascii="Century Gothic" w:eastAsia="Calibri" w:hAnsi="Century Gothic" w:cs="Arial"/>
          <w:lang w:val="es-MX"/>
        </w:rPr>
      </w:pPr>
    </w:p>
    <w:p w14:paraId="7B58B68A" w14:textId="77777777" w:rsidR="0043170B" w:rsidRPr="00BB6030" w:rsidRDefault="0043170B" w:rsidP="0043170B">
      <w:pPr>
        <w:widowControl w:val="0"/>
        <w:autoSpaceDE w:val="0"/>
        <w:autoSpaceDN w:val="0"/>
        <w:spacing w:after="120" w:line="276" w:lineRule="auto"/>
        <w:ind w:firstLine="707"/>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55FD5A1" w14:textId="77777777" w:rsidR="0043170B" w:rsidRPr="00BB6030" w:rsidRDefault="0043170B" w:rsidP="0043170B">
      <w:pPr>
        <w:widowControl w:val="0"/>
        <w:autoSpaceDE w:val="0"/>
        <w:autoSpaceDN w:val="0"/>
        <w:spacing w:before="119" w:after="120" w:line="276" w:lineRule="auto"/>
        <w:ind w:firstLine="707"/>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BB6030">
        <w:rPr>
          <w:rFonts w:ascii="Century Gothic" w:eastAsia="Arial" w:hAnsi="Century Gothic" w:cs="Arial"/>
          <w:spacing w:val="-3"/>
          <w:lang w:val="es-ES" w:eastAsia="es-ES" w:bidi="es-ES"/>
        </w:rPr>
        <w:t xml:space="preserve"> </w:t>
      </w:r>
      <w:r w:rsidRPr="00BB6030">
        <w:rPr>
          <w:rFonts w:ascii="Century Gothic" w:eastAsia="Arial" w:hAnsi="Century Gothic" w:cs="Arial"/>
          <w:lang w:val="es-ES" w:eastAsia="es-ES" w:bidi="es-ES"/>
        </w:rPr>
        <w:t>estatales.</w:t>
      </w:r>
    </w:p>
    <w:p w14:paraId="189340F5" w14:textId="77777777" w:rsidR="0043170B" w:rsidRPr="00BB6030" w:rsidRDefault="0043170B" w:rsidP="0043170B">
      <w:pPr>
        <w:widowControl w:val="0"/>
        <w:autoSpaceDE w:val="0"/>
        <w:autoSpaceDN w:val="0"/>
        <w:spacing w:before="120" w:after="120" w:line="276" w:lineRule="auto"/>
        <w:ind w:firstLine="709"/>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proofErr w:type="spellStart"/>
      <w:r w:rsidRPr="00BB6030">
        <w:rPr>
          <w:rFonts w:ascii="Century Gothic" w:eastAsia="Arial" w:hAnsi="Century Gothic" w:cs="Arial"/>
          <w:lang w:val="es-ES" w:eastAsia="es-ES" w:bidi="es-ES"/>
        </w:rPr>
        <w:t>EGCAP</w:t>
      </w:r>
      <w:proofErr w:type="spellEnd"/>
      <w:r w:rsidRPr="00BB6030">
        <w:rPr>
          <w:rFonts w:ascii="Century Gothic" w:eastAsia="Arial" w:hAnsi="Century Gothic" w:cs="Arial"/>
          <w:lang w:val="es-ES" w:eastAsia="es-ES" w:bidi="es-ES"/>
        </w:rPr>
        <w:t xml:space="preserve">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BB6030">
        <w:rPr>
          <w:rFonts w:ascii="Century Gothic" w:eastAsia="Arial" w:hAnsi="Century Gothic" w:cs="Arial"/>
          <w:spacing w:val="-4"/>
          <w:lang w:val="es-ES" w:eastAsia="es-ES" w:bidi="es-ES"/>
        </w:rPr>
        <w:t xml:space="preserve"> </w:t>
      </w:r>
      <w:r w:rsidRPr="00BB6030">
        <w:rPr>
          <w:rFonts w:ascii="Century Gothic" w:eastAsia="Arial" w:hAnsi="Century Gothic" w:cs="Arial"/>
          <w:lang w:val="es-ES" w:eastAsia="es-ES" w:bidi="es-ES"/>
        </w:rPr>
        <w:t>estatales.</w:t>
      </w:r>
    </w:p>
    <w:p w14:paraId="642FA4B5" w14:textId="77777777" w:rsidR="0043170B" w:rsidRPr="00BB6030" w:rsidRDefault="0043170B" w:rsidP="0043170B">
      <w:pPr>
        <w:widowControl w:val="0"/>
        <w:autoSpaceDE w:val="0"/>
        <w:autoSpaceDN w:val="0"/>
        <w:spacing w:before="122" w:after="120" w:line="276" w:lineRule="auto"/>
        <w:ind w:firstLine="708"/>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12CEAC51" w14:textId="77777777" w:rsidR="0043170B" w:rsidRPr="00BB6030" w:rsidRDefault="0043170B" w:rsidP="0043170B">
      <w:pPr>
        <w:widowControl w:val="0"/>
        <w:autoSpaceDE w:val="0"/>
        <w:autoSpaceDN w:val="0"/>
        <w:spacing w:after="120" w:line="276" w:lineRule="auto"/>
        <w:ind w:firstLine="708"/>
        <w:jc w:val="both"/>
        <w:rPr>
          <w:rFonts w:ascii="Century Gothic" w:eastAsia="Calibri" w:hAnsi="Century Gothic" w:cs="Arial"/>
          <w:bCs/>
          <w:lang w:eastAsia="es-ES" w:bidi="es-ES"/>
        </w:rPr>
      </w:pPr>
      <w:r w:rsidRPr="00BB6030">
        <w:rPr>
          <w:rFonts w:ascii="Century Gothic" w:eastAsia="Arial" w:hAnsi="Century Gothic"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BB6030">
        <w:rPr>
          <w:rFonts w:ascii="Century Gothic" w:eastAsia="Arial" w:hAnsi="Century Gothic" w:cs="Arial"/>
          <w:spacing w:val="-4"/>
          <w:lang w:val="es-ES" w:eastAsia="es-ES" w:bidi="es-ES"/>
        </w:rPr>
        <w:t xml:space="preserve"> </w:t>
      </w:r>
      <w:r w:rsidRPr="00BB6030">
        <w:rPr>
          <w:rFonts w:ascii="Century Gothic" w:eastAsia="Arial" w:hAnsi="Century Gothic" w:cs="Arial"/>
          <w:lang w:val="es-ES" w:eastAsia="es-ES" w:bidi="es-ES"/>
        </w:rPr>
        <w:t>[…]”</w:t>
      </w:r>
      <w:r w:rsidRPr="00BB6030">
        <w:rPr>
          <w:rFonts w:ascii="Century Gothic" w:eastAsia="Arial" w:hAnsi="Century Gothic" w:cs="Arial"/>
          <w:vertAlign w:val="superscript"/>
          <w:lang w:val="es-ES" w:eastAsia="es-ES" w:bidi="es-ES"/>
        </w:rPr>
        <w:footnoteReference w:id="22"/>
      </w:r>
      <w:r w:rsidRPr="00BB6030">
        <w:rPr>
          <w:rFonts w:ascii="Century Gothic" w:eastAsia="Arial" w:hAnsi="Century Gothic" w:cs="Arial"/>
          <w:lang w:val="es-ES" w:eastAsia="es-ES" w:bidi="es-ES"/>
        </w:rPr>
        <w:t>.</w:t>
      </w:r>
      <w:bookmarkStart w:id="34" w:name="_Hlk77171241"/>
    </w:p>
    <w:p w14:paraId="1DB55CDF" w14:textId="77777777" w:rsidR="0043170B" w:rsidRPr="00BB6030" w:rsidRDefault="0043170B" w:rsidP="0043170B">
      <w:pPr>
        <w:widowControl w:val="0"/>
        <w:autoSpaceDE w:val="0"/>
        <w:autoSpaceDN w:val="0"/>
        <w:spacing w:after="0" w:line="276" w:lineRule="auto"/>
        <w:ind w:firstLine="709"/>
        <w:contextualSpacing/>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1B88864" w14:textId="77777777" w:rsidR="0043170B" w:rsidRPr="00BB6030" w:rsidRDefault="0043170B" w:rsidP="0043170B">
      <w:pPr>
        <w:widowControl w:val="0"/>
        <w:autoSpaceDE w:val="0"/>
        <w:autoSpaceDN w:val="0"/>
        <w:spacing w:after="0" w:line="276" w:lineRule="auto"/>
        <w:ind w:firstLine="709"/>
        <w:contextualSpacing/>
        <w:jc w:val="both"/>
        <w:rPr>
          <w:rFonts w:ascii="Century Gothic" w:eastAsia="Arial" w:hAnsi="Century Gothic" w:cs="Arial"/>
          <w:lang w:val="es-ES" w:eastAsia="es-ES" w:bidi="es-ES"/>
        </w:rPr>
      </w:pPr>
    </w:p>
    <w:p w14:paraId="2F5532B4" w14:textId="77777777" w:rsidR="0043170B" w:rsidRPr="00BB6030" w:rsidRDefault="0043170B" w:rsidP="0043170B">
      <w:pPr>
        <w:spacing w:after="120" w:line="240" w:lineRule="auto"/>
        <w:ind w:left="709" w:right="709"/>
        <w:contextualSpacing/>
        <w:jc w:val="both"/>
        <w:rPr>
          <w:rFonts w:ascii="Century Gothic" w:eastAsia="Calibri" w:hAnsi="Century Gothic" w:cs="Arial"/>
          <w:sz w:val="21"/>
          <w:szCs w:val="21"/>
          <w:lang w:val="es-ES_tradnl"/>
        </w:rPr>
      </w:pPr>
      <w:r w:rsidRPr="00BB6030">
        <w:rPr>
          <w:rFonts w:ascii="Century Gothic" w:eastAsia="Calibri" w:hAnsi="Century Gothic" w:cs="Arial"/>
          <w:sz w:val="21"/>
          <w:szCs w:val="21"/>
          <w:lang w:val="es-ES_tradnl"/>
        </w:rPr>
        <w:t>La Sala de Consulta y Servicio Civil</w:t>
      </w:r>
      <w:r w:rsidRPr="00BB6030">
        <w:rPr>
          <w:rFonts w:ascii="Century Gothic" w:eastAsia="Calibri" w:hAnsi="Century Gothic" w:cs="Arial"/>
          <w:sz w:val="21"/>
          <w:szCs w:val="21"/>
          <w:vertAlign w:val="superscript"/>
          <w:lang w:val="es-ES_tradnl"/>
        </w:rPr>
        <w:footnoteReference w:id="23"/>
      </w:r>
      <w:r w:rsidRPr="00BB6030">
        <w:rPr>
          <w:rFonts w:ascii="Century Gothic" w:eastAsia="Calibri" w:hAnsi="Century Gothic" w:cs="Arial"/>
          <w:sz w:val="21"/>
          <w:szCs w:val="21"/>
          <w:lang w:val="es-ES_tradnl"/>
        </w:rPr>
        <w:t xml:space="preserve"> de esta Corporación se ha referido a los </w:t>
      </w:r>
      <w:r w:rsidRPr="00BB6030">
        <w:rPr>
          <w:rFonts w:ascii="Century Gothic" w:eastAsia="Calibri" w:hAnsi="Century Gothic" w:cs="Arial"/>
          <w:i/>
          <w:sz w:val="21"/>
          <w:szCs w:val="21"/>
          <w:lang w:val="es-ES_tradnl"/>
        </w:rPr>
        <w:t>“convenios interadministrativos”</w:t>
      </w:r>
      <w:r w:rsidRPr="00BB6030">
        <w:rPr>
          <w:rFonts w:ascii="Century Gothic" w:eastAsia="Calibri" w:hAnsi="Century Gothic" w:cs="Arial"/>
          <w:sz w:val="21"/>
          <w:szCs w:val="21"/>
          <w:lang w:val="es-ES_tradnl"/>
        </w:rPr>
        <w:t xml:space="preserve"> a los cuales alude el artículo 95 de la Ley 489 de 1998, calificándolos de </w:t>
      </w:r>
      <w:r w:rsidRPr="00BB6030">
        <w:rPr>
          <w:rFonts w:ascii="Century Gothic" w:eastAsia="Calibri" w:hAnsi="Century Gothic" w:cs="Arial"/>
          <w:i/>
          <w:sz w:val="21"/>
          <w:szCs w:val="21"/>
          <w:lang w:val="es-ES_tradnl"/>
        </w:rPr>
        <w:t xml:space="preserve">“puros” </w:t>
      </w:r>
      <w:r w:rsidRPr="00BB6030">
        <w:rPr>
          <w:rFonts w:ascii="Century Gothic" w:eastAsia="Calibri" w:hAnsi="Century Gothic" w:cs="Arial"/>
          <w:sz w:val="21"/>
          <w:szCs w:val="21"/>
          <w:lang w:val="es-ES_tradnl"/>
        </w:rPr>
        <w:t xml:space="preserve">y entendiendo que estos, además de perseguir la finalidad de cooperación antes indicada, no implican intereses contrapuestos ni tampoco se circunscriben a un </w:t>
      </w:r>
      <w:r w:rsidRPr="00BB6030">
        <w:rPr>
          <w:rFonts w:ascii="Century Gothic" w:eastAsia="Calibri" w:hAnsi="Century Gothic" w:cs="Arial"/>
          <w:i/>
          <w:sz w:val="21"/>
          <w:szCs w:val="21"/>
          <w:lang w:val="es-ES_tradnl"/>
        </w:rPr>
        <w:t>“intercambio patrimonial”</w:t>
      </w:r>
      <w:r w:rsidRPr="00BB6030">
        <w:rPr>
          <w:rFonts w:ascii="Century Gothic" w:eastAsia="Calibri" w:hAnsi="Century Gothic" w:cs="Arial"/>
          <w:sz w:val="21"/>
          <w:szCs w:val="21"/>
          <w:lang w:val="es-ES_tradnl"/>
        </w:rPr>
        <w:t>. Sin perjuicio de lo anterior, en otra oportunidad, la misma Sala</w:t>
      </w:r>
      <w:r w:rsidRPr="00BB6030">
        <w:rPr>
          <w:rFonts w:ascii="Century Gothic" w:eastAsia="Calibri" w:hAnsi="Century Gothic" w:cs="Arial"/>
          <w:sz w:val="21"/>
          <w:szCs w:val="21"/>
          <w:vertAlign w:val="superscript"/>
          <w:lang w:val="es-ES_tradnl"/>
        </w:rPr>
        <w:footnoteReference w:id="24"/>
      </w:r>
      <w:r w:rsidRPr="00BB6030">
        <w:rPr>
          <w:rFonts w:ascii="Century Gothic" w:eastAsia="Calibri" w:hAnsi="Century Gothic" w:cs="Arial"/>
          <w:sz w:val="21"/>
          <w:szCs w:val="21"/>
          <w:lang w:val="es-ES_tradnl"/>
        </w:rPr>
        <w:t xml:space="preserve"> había indicado que, si bien en dichos convenios no se daba un </w:t>
      </w:r>
      <w:r w:rsidRPr="00BB6030">
        <w:rPr>
          <w:rFonts w:ascii="Century Gothic" w:eastAsia="Calibri" w:hAnsi="Century Gothic" w:cs="Arial"/>
          <w:i/>
          <w:sz w:val="21"/>
          <w:szCs w:val="21"/>
          <w:lang w:val="es-ES_tradnl"/>
        </w:rPr>
        <w:t>“verdadero intercambio de bienes o servicios (contrato conmutativo)”</w:t>
      </w:r>
      <w:r w:rsidRPr="00BB6030">
        <w:rPr>
          <w:rFonts w:ascii="Century Gothic" w:eastAsia="Calibri" w:hAnsi="Century Gothic" w:cs="Arial"/>
          <w:sz w:val="21"/>
          <w:szCs w:val="21"/>
          <w:lang w:val="es-ES_tradnl"/>
        </w:rPr>
        <w:t>, ello no impedía que se conviniera una remuneración a cargo de alguna(s) entidad(es).</w:t>
      </w:r>
    </w:p>
    <w:p w14:paraId="7286FD14" w14:textId="77777777" w:rsidR="0043170B" w:rsidRPr="00BB6030" w:rsidRDefault="0043170B" w:rsidP="0043170B">
      <w:pPr>
        <w:spacing w:after="120" w:line="240" w:lineRule="auto"/>
        <w:ind w:left="709" w:right="709"/>
        <w:contextualSpacing/>
        <w:jc w:val="both"/>
        <w:rPr>
          <w:rFonts w:ascii="Century Gothic" w:eastAsia="Calibri" w:hAnsi="Century Gothic" w:cs="Arial"/>
          <w:sz w:val="12"/>
          <w:szCs w:val="12"/>
          <w:lang w:val="es-ES_tradnl"/>
        </w:rPr>
      </w:pPr>
    </w:p>
    <w:p w14:paraId="3FA7D25D" w14:textId="77777777" w:rsidR="0043170B" w:rsidRPr="00BB6030" w:rsidRDefault="0043170B" w:rsidP="0043170B">
      <w:pPr>
        <w:widowControl w:val="0"/>
        <w:autoSpaceDE w:val="0"/>
        <w:autoSpaceDN w:val="0"/>
        <w:spacing w:after="0" w:line="240" w:lineRule="auto"/>
        <w:ind w:left="709" w:right="709"/>
        <w:contextualSpacing/>
        <w:jc w:val="both"/>
        <w:rPr>
          <w:rFonts w:ascii="Century Gothic" w:eastAsia="Arial" w:hAnsi="Century Gothic" w:cs="Arial"/>
          <w:sz w:val="21"/>
          <w:szCs w:val="21"/>
          <w:lang w:val="es-ES" w:eastAsia="es-ES" w:bidi="es-ES"/>
        </w:rPr>
      </w:pPr>
      <w:r w:rsidRPr="00BB6030">
        <w:rPr>
          <w:rFonts w:ascii="Century Gothic" w:eastAsia="Arial" w:hAnsi="Century Gothic" w:cs="Arial"/>
          <w:sz w:val="21"/>
          <w:szCs w:val="21"/>
          <w:lang w:val="es-ES_tradnl" w:eastAsia="es-ES" w:bidi="es-ES"/>
        </w:rPr>
        <w:t xml:space="preserve">Lo expuesto evidencia que, en general, las interpretaciones en torno a los </w:t>
      </w:r>
      <w:r w:rsidRPr="00BB6030">
        <w:rPr>
          <w:rFonts w:ascii="Century Gothic" w:eastAsia="Arial" w:hAnsi="Century Gothic" w:cs="Arial"/>
          <w:i/>
          <w:sz w:val="21"/>
          <w:szCs w:val="21"/>
          <w:lang w:val="es-ES_tradnl" w:eastAsia="es-ES" w:bidi="es-ES"/>
        </w:rPr>
        <w:t>“convenios interadministrativos”</w:t>
      </w:r>
      <w:r w:rsidRPr="00BB6030">
        <w:rPr>
          <w:rFonts w:ascii="Century Gothic" w:eastAsia="Arial" w:hAnsi="Century Gothic"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w:t>
      </w:r>
      <w:proofErr w:type="spellStart"/>
      <w:r w:rsidRPr="00BB6030">
        <w:rPr>
          <w:rFonts w:ascii="Century Gothic" w:eastAsia="Arial" w:hAnsi="Century Gothic" w:cs="Arial"/>
          <w:sz w:val="21"/>
          <w:szCs w:val="21"/>
          <w:lang w:val="es-ES_tradnl" w:eastAsia="es-ES" w:bidi="es-ES"/>
        </w:rPr>
        <w:t>EGCAP</w:t>
      </w:r>
      <w:proofErr w:type="spellEnd"/>
      <w:r w:rsidRPr="00BB6030">
        <w:rPr>
          <w:rFonts w:ascii="Century Gothic" w:eastAsia="Arial" w:hAnsi="Century Gothic" w:cs="Arial"/>
          <w:sz w:val="21"/>
          <w:szCs w:val="21"/>
          <w:lang w:val="es-ES_tradnl" w:eastAsia="es-ES" w:bidi="es-ES"/>
        </w:rPr>
        <w:t>, las cuales tienen por objeto prestaciones patrimoniales</w:t>
      </w:r>
      <w:r w:rsidRPr="00BB6030">
        <w:rPr>
          <w:rFonts w:ascii="Century Gothic" w:eastAsia="Arial" w:hAnsi="Century Gothic" w:cs="Arial"/>
          <w:sz w:val="21"/>
          <w:szCs w:val="21"/>
          <w:vertAlign w:val="superscript"/>
          <w:lang w:val="es-ES_tradnl" w:eastAsia="es-ES" w:bidi="es-ES"/>
        </w:rPr>
        <w:footnoteReference w:id="25"/>
      </w:r>
      <w:r w:rsidRPr="00BB6030">
        <w:rPr>
          <w:rFonts w:ascii="Century Gothic" w:eastAsia="Arial" w:hAnsi="Century Gothic" w:cs="Arial"/>
          <w:sz w:val="21"/>
          <w:szCs w:val="21"/>
          <w:lang w:val="es-ES_tradnl" w:eastAsia="es-ES" w:bidi="es-ES"/>
        </w:rPr>
        <w:t xml:space="preserve"> </w:t>
      </w:r>
      <w:r w:rsidRPr="00BB6030">
        <w:rPr>
          <w:rFonts w:ascii="Century Gothic" w:eastAsia="Arial" w:hAnsi="Century Gothic" w:cs="Arial"/>
          <w:sz w:val="21"/>
          <w:szCs w:val="21"/>
          <w:vertAlign w:val="superscript"/>
          <w:lang w:val="es-ES_tradnl" w:eastAsia="es-ES" w:bidi="es-ES"/>
        </w:rPr>
        <w:footnoteReference w:id="26"/>
      </w:r>
      <w:r w:rsidRPr="00BB6030">
        <w:rPr>
          <w:rFonts w:ascii="Century Gothic" w:eastAsia="Arial" w:hAnsi="Century Gothic" w:cs="Arial"/>
          <w:sz w:val="21"/>
          <w:szCs w:val="21"/>
          <w:lang w:val="es-ES_tradnl" w:eastAsia="es-ES" w:bidi="es-ES"/>
        </w:rPr>
        <w:t>.</w:t>
      </w:r>
    </w:p>
    <w:p w14:paraId="243E1B6B" w14:textId="77777777" w:rsidR="0043170B" w:rsidRPr="00BB6030" w:rsidRDefault="0043170B" w:rsidP="0043170B">
      <w:pPr>
        <w:widowControl w:val="0"/>
        <w:autoSpaceDE w:val="0"/>
        <w:autoSpaceDN w:val="0"/>
        <w:spacing w:after="0" w:line="276" w:lineRule="auto"/>
        <w:contextualSpacing/>
        <w:jc w:val="both"/>
        <w:rPr>
          <w:rFonts w:ascii="Century Gothic" w:eastAsia="Arial" w:hAnsi="Century Gothic" w:cs="Arial"/>
          <w:lang w:val="es-ES" w:eastAsia="es-ES" w:bidi="es-ES"/>
        </w:rPr>
      </w:pPr>
    </w:p>
    <w:p w14:paraId="7DAEA558" w14:textId="77777777" w:rsidR="0043170B" w:rsidRPr="00BB6030" w:rsidRDefault="0043170B" w:rsidP="0043170B">
      <w:pPr>
        <w:widowControl w:val="0"/>
        <w:autoSpaceDE w:val="0"/>
        <w:autoSpaceDN w:val="0"/>
        <w:spacing w:after="120" w:line="276" w:lineRule="auto"/>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BB6030">
        <w:rPr>
          <w:rFonts w:ascii="Century Gothic" w:eastAsia="Arial" w:hAnsi="Century Gothic" w:cs="Arial"/>
          <w:vertAlign w:val="superscript"/>
          <w:lang w:val="es-ES" w:eastAsia="es-ES" w:bidi="es-ES"/>
        </w:rPr>
        <w:footnoteReference w:id="27"/>
      </w:r>
      <w:r w:rsidRPr="00BB6030">
        <w:rPr>
          <w:rFonts w:ascii="Century Gothic" w:eastAsia="Arial" w:hAnsi="Century Gothic"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BB6030">
        <w:rPr>
          <w:rFonts w:ascii="Century Gothic" w:eastAsia="Arial" w:hAnsi="Century Gothic" w:cs="Arial"/>
          <w:vertAlign w:val="superscript"/>
          <w:lang w:val="es-ES" w:eastAsia="es-ES" w:bidi="es-ES"/>
        </w:rPr>
        <w:footnoteReference w:id="28"/>
      </w:r>
      <w:r w:rsidRPr="00BB6030">
        <w:rPr>
          <w:rFonts w:ascii="Century Gothic" w:eastAsia="Arial" w:hAnsi="Century Gothic" w:cs="Arial"/>
          <w:lang w:val="es-ES" w:eastAsia="es-ES" w:bidi="es-ES"/>
        </w:rPr>
        <w:t>.</w:t>
      </w:r>
    </w:p>
    <w:p w14:paraId="300A1A21" w14:textId="77777777" w:rsidR="0043170B" w:rsidRPr="00BB6030" w:rsidRDefault="0043170B" w:rsidP="0043170B">
      <w:pPr>
        <w:widowControl w:val="0"/>
        <w:autoSpaceDE w:val="0"/>
        <w:autoSpaceDN w:val="0"/>
        <w:spacing w:after="0" w:line="276" w:lineRule="auto"/>
        <w:contextualSpacing/>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0E9932E4" w14:textId="77777777" w:rsidR="0043170B" w:rsidRPr="00BB6030" w:rsidRDefault="0043170B" w:rsidP="0043170B">
      <w:pPr>
        <w:widowControl w:val="0"/>
        <w:autoSpaceDE w:val="0"/>
        <w:autoSpaceDN w:val="0"/>
        <w:spacing w:after="0" w:line="276" w:lineRule="auto"/>
        <w:contextualSpacing/>
        <w:jc w:val="both"/>
        <w:rPr>
          <w:rFonts w:ascii="Century Gothic" w:eastAsia="Arial" w:hAnsi="Century Gothic" w:cs="Arial"/>
          <w:lang w:val="es-ES" w:eastAsia="es-ES" w:bidi="es-ES"/>
        </w:rPr>
      </w:pPr>
    </w:p>
    <w:p w14:paraId="26421292" w14:textId="77777777" w:rsidR="0043170B" w:rsidRPr="00BB6030" w:rsidRDefault="0043170B" w:rsidP="0043170B">
      <w:pPr>
        <w:spacing w:after="120" w:line="240" w:lineRule="auto"/>
        <w:ind w:left="709" w:right="709"/>
        <w:contextualSpacing/>
        <w:jc w:val="both"/>
        <w:rPr>
          <w:rFonts w:ascii="Century Gothic" w:eastAsia="Calibri" w:hAnsi="Century Gothic" w:cs="Arial"/>
          <w:sz w:val="21"/>
          <w:szCs w:val="21"/>
          <w:lang w:val="es-MX"/>
        </w:rPr>
      </w:pPr>
      <w:r w:rsidRPr="00BB6030">
        <w:rPr>
          <w:rFonts w:ascii="Century Gothic" w:eastAsia="Calibri" w:hAnsi="Century Gothic"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BB6030">
        <w:rPr>
          <w:rFonts w:ascii="Century Gothic" w:eastAsia="Calibri" w:hAnsi="Century Gothic"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4FCF384A" w14:textId="77777777" w:rsidR="0043170B" w:rsidRPr="00BB6030" w:rsidRDefault="0043170B" w:rsidP="0043170B">
      <w:pPr>
        <w:spacing w:after="120" w:line="240" w:lineRule="auto"/>
        <w:ind w:left="709" w:right="709"/>
        <w:contextualSpacing/>
        <w:jc w:val="both"/>
        <w:rPr>
          <w:rFonts w:ascii="Century Gothic" w:eastAsia="Calibri" w:hAnsi="Century Gothic" w:cs="Arial"/>
          <w:sz w:val="12"/>
          <w:szCs w:val="12"/>
          <w:lang w:val="es-MX"/>
        </w:rPr>
      </w:pPr>
    </w:p>
    <w:p w14:paraId="5BAF5323" w14:textId="77777777" w:rsidR="0043170B" w:rsidRPr="00BB6030" w:rsidRDefault="0043170B" w:rsidP="0043170B">
      <w:pPr>
        <w:spacing w:after="120" w:line="240" w:lineRule="auto"/>
        <w:ind w:left="709" w:right="709"/>
        <w:contextualSpacing/>
        <w:jc w:val="both"/>
        <w:rPr>
          <w:rFonts w:ascii="Century Gothic" w:eastAsia="Calibri" w:hAnsi="Century Gothic" w:cs="Arial"/>
          <w:sz w:val="21"/>
          <w:szCs w:val="21"/>
          <w:lang w:val="es-MX"/>
        </w:rPr>
      </w:pPr>
      <w:r w:rsidRPr="00BB6030">
        <w:rPr>
          <w:rFonts w:ascii="Century Gothic" w:eastAsia="Calibri" w:hAnsi="Century Gothic"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01540E6" w14:textId="77777777" w:rsidR="0043170B" w:rsidRPr="00BB6030" w:rsidRDefault="0043170B" w:rsidP="0043170B">
      <w:pPr>
        <w:spacing w:after="120" w:line="240" w:lineRule="auto"/>
        <w:ind w:left="709" w:right="709"/>
        <w:contextualSpacing/>
        <w:jc w:val="both"/>
        <w:rPr>
          <w:rFonts w:ascii="Century Gothic" w:eastAsia="Calibri" w:hAnsi="Century Gothic" w:cs="Arial"/>
          <w:sz w:val="12"/>
          <w:szCs w:val="12"/>
          <w:lang w:val="es-MX"/>
        </w:rPr>
      </w:pPr>
    </w:p>
    <w:p w14:paraId="7A67B9ED" w14:textId="77777777" w:rsidR="0043170B" w:rsidRPr="00BB6030" w:rsidRDefault="0043170B" w:rsidP="0043170B">
      <w:pPr>
        <w:spacing w:after="0" w:line="240" w:lineRule="auto"/>
        <w:ind w:left="709" w:right="709"/>
        <w:contextualSpacing/>
        <w:jc w:val="both"/>
        <w:rPr>
          <w:rFonts w:ascii="Century Gothic" w:eastAsia="Calibri" w:hAnsi="Century Gothic" w:cs="Times New Roman"/>
          <w:sz w:val="24"/>
          <w:lang w:val="es-MX"/>
        </w:rPr>
      </w:pPr>
      <w:r w:rsidRPr="00BB6030">
        <w:rPr>
          <w:rFonts w:ascii="Century Gothic" w:eastAsia="Calibri" w:hAnsi="Century Gothic"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854BB65" w14:textId="77777777" w:rsidR="0043170B" w:rsidRPr="00BB6030" w:rsidRDefault="0043170B" w:rsidP="0043170B">
      <w:pPr>
        <w:widowControl w:val="0"/>
        <w:autoSpaceDE w:val="0"/>
        <w:autoSpaceDN w:val="0"/>
        <w:spacing w:after="0" w:line="276" w:lineRule="auto"/>
        <w:contextualSpacing/>
        <w:jc w:val="both"/>
        <w:rPr>
          <w:rFonts w:ascii="Century Gothic" w:eastAsia="Arial" w:hAnsi="Century Gothic" w:cs="Arial"/>
          <w:lang w:val="es-ES" w:eastAsia="es-ES" w:bidi="es-ES"/>
        </w:rPr>
      </w:pPr>
    </w:p>
    <w:p w14:paraId="65A60D19" w14:textId="77777777" w:rsidR="0043170B" w:rsidRPr="00BB6030" w:rsidRDefault="0043170B" w:rsidP="0043170B">
      <w:pPr>
        <w:widowControl w:val="0"/>
        <w:autoSpaceDE w:val="0"/>
        <w:autoSpaceDN w:val="0"/>
        <w:spacing w:after="120" w:line="276" w:lineRule="auto"/>
        <w:jc w:val="both"/>
        <w:rPr>
          <w:rFonts w:ascii="Century Gothic" w:eastAsia="Calibri" w:hAnsi="Century Gothic" w:cs="Arial"/>
          <w:bCs/>
          <w:lang w:eastAsia="es-ES" w:bidi="es-ES"/>
        </w:rPr>
      </w:pPr>
      <w:r w:rsidRPr="00BB6030">
        <w:rPr>
          <w:rFonts w:ascii="Century Gothic" w:eastAsia="Arial" w:hAnsi="Century Gothic" w:cs="Arial"/>
          <w:sz w:val="25"/>
          <w:lang w:val="es-ES" w:eastAsia="es-ES" w:bidi="es-ES"/>
        </w:rPr>
        <w:tab/>
      </w:r>
      <w:r w:rsidRPr="00BB6030">
        <w:rPr>
          <w:rFonts w:ascii="Century Gothic" w:eastAsia="Arial" w:hAnsi="Century Gothic"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4"/>
    </w:p>
    <w:p w14:paraId="2E515837" w14:textId="77777777" w:rsidR="0043170B" w:rsidRPr="00BB6030" w:rsidRDefault="0043170B" w:rsidP="0043170B">
      <w:pPr>
        <w:tabs>
          <w:tab w:val="left" w:pos="426"/>
        </w:tabs>
        <w:spacing w:after="120" w:line="276" w:lineRule="auto"/>
        <w:ind w:firstLine="709"/>
        <w:jc w:val="both"/>
        <w:rPr>
          <w:rFonts w:ascii="Century Gothic" w:eastAsia="Times New Roman" w:hAnsi="Century Gothic" w:cs="Arial"/>
          <w:bCs/>
          <w:lang w:val="es-MX" w:eastAsia="es-CO"/>
        </w:rPr>
      </w:pPr>
      <w:r w:rsidRPr="00BB6030">
        <w:rPr>
          <w:rFonts w:ascii="Century Gothic" w:eastAsia="Times New Roman" w:hAnsi="Century Gothic" w:cs="Arial"/>
          <w:bCs/>
          <w:lang w:eastAsia="es-CO"/>
        </w:rPr>
        <w:t xml:space="preserve">Se observa entonces que </w:t>
      </w:r>
      <w:r w:rsidRPr="00BB6030">
        <w:rPr>
          <w:rFonts w:ascii="Century Gothic" w:eastAsia="Times New Roman" w:hAnsi="Century Gothic"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BB6030">
        <w:rPr>
          <w:rFonts w:ascii="Century Gothic" w:eastAsia="Times New Roman" w:hAnsi="Century Gothic" w:cs="Arial"/>
          <w:bCs/>
          <w:i/>
          <w:iCs/>
          <w:lang w:val="es-MX" w:eastAsia="es-CO"/>
        </w:rPr>
        <w:t>ibidem</w:t>
      </w:r>
      <w:r w:rsidRPr="00BB6030">
        <w:rPr>
          <w:rFonts w:ascii="Century Gothic" w:eastAsia="Times New Roman" w:hAnsi="Century Gothic" w:cs="Arial"/>
          <w:bCs/>
          <w:lang w:val="es-MX" w:eastAsia="es-CO"/>
        </w:rPr>
        <w:t xml:space="preserve">,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w:t>
      </w:r>
    </w:p>
    <w:p w14:paraId="01B2118C" w14:textId="77777777" w:rsidR="0043170B" w:rsidRPr="00BB6030" w:rsidRDefault="0043170B" w:rsidP="0043170B">
      <w:pPr>
        <w:widowControl w:val="0"/>
        <w:autoSpaceDE w:val="0"/>
        <w:autoSpaceDN w:val="0"/>
        <w:spacing w:after="0" w:line="276" w:lineRule="auto"/>
        <w:ind w:firstLine="709"/>
        <w:contextualSpacing/>
        <w:jc w:val="both"/>
        <w:rPr>
          <w:rFonts w:ascii="Century Gothic" w:eastAsia="Calibri" w:hAnsi="Century Gothic" w:cs="Arial"/>
          <w:lang w:eastAsia="es-ES" w:bidi="es-ES"/>
        </w:rPr>
      </w:pPr>
      <w:bookmarkStart w:id="35" w:name="_Hlk77154098"/>
      <w:r w:rsidRPr="00BB6030">
        <w:rPr>
          <w:rFonts w:ascii="Century Gothic" w:eastAsia="Times New Roman" w:hAnsi="Century Gothic" w:cs="Arial"/>
          <w:bCs/>
          <w:lang w:val="es-ES" w:eastAsia="es-CO" w:bidi="es-ES"/>
        </w:rPr>
        <w:t>En todo caso</w:t>
      </w:r>
      <w:r w:rsidRPr="00BB6030">
        <w:rPr>
          <w:rFonts w:ascii="Century Gothic" w:eastAsia="Arial" w:hAnsi="Century Gothic" w:cs="Arial"/>
          <w:lang w:val="es-ES" w:eastAsia="es-ES" w:bidi="es-ES"/>
        </w:rPr>
        <w:t xml:space="preserve">, es importante resaltar que la Sala de Consulta y Servicio Civil del Consejo de Estado se ha pronunciado en el sentido de que </w:t>
      </w:r>
      <w:bookmarkStart w:id="36" w:name="_Hlk78820889"/>
      <w:r w:rsidRPr="00BB6030">
        <w:rPr>
          <w:rFonts w:ascii="Century Gothic" w:eastAsia="Arial" w:hAnsi="Century Gothic" w:cs="Arial"/>
          <w:lang w:val="es-ES" w:eastAsia="es-ES" w:bidi="es-ES"/>
        </w:rPr>
        <w:t>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36"/>
      <w:r w:rsidRPr="00BB6030">
        <w:rPr>
          <w:rFonts w:ascii="Century Gothic" w:eastAsia="Arial" w:hAnsi="Century Gothic" w:cs="Arial"/>
          <w:vertAlign w:val="superscript"/>
          <w:lang w:val="es-ES" w:eastAsia="es-ES" w:bidi="es-ES"/>
        </w:rPr>
        <w:footnoteReference w:id="29"/>
      </w:r>
      <w:r w:rsidRPr="00BB6030">
        <w:rPr>
          <w:rFonts w:ascii="Century Gothic" w:eastAsia="Calibri" w:hAnsi="Century Gothic" w:cs="Arial"/>
          <w:lang w:eastAsia="es-ES" w:bidi="es-ES"/>
        </w:rPr>
        <w:t>.</w:t>
      </w:r>
      <w:bookmarkEnd w:id="35"/>
    </w:p>
    <w:bookmarkEnd w:id="26"/>
    <w:p w14:paraId="2757D9FD" w14:textId="77777777" w:rsidR="0043170B" w:rsidRPr="00BB6030" w:rsidRDefault="0043170B" w:rsidP="0043170B">
      <w:pPr>
        <w:spacing w:after="0" w:line="276" w:lineRule="auto"/>
        <w:jc w:val="both"/>
        <w:rPr>
          <w:rFonts w:ascii="Century Gothic" w:hAnsi="Century Gothic" w:cs="Arial"/>
          <w:color w:val="000000" w:themeColor="text1"/>
          <w:lang w:eastAsia="es-MX"/>
        </w:rPr>
      </w:pPr>
    </w:p>
    <w:p w14:paraId="7052863E" w14:textId="77777777" w:rsidR="0043170B" w:rsidRPr="00BB6030" w:rsidRDefault="0043170B" w:rsidP="0043170B">
      <w:pPr>
        <w:tabs>
          <w:tab w:val="left" w:pos="0"/>
        </w:tabs>
        <w:spacing w:after="0"/>
        <w:jc w:val="both"/>
        <w:rPr>
          <w:rFonts w:ascii="Century Gothic" w:eastAsia="Calibri" w:hAnsi="Century Gothic" w:cs="Arial"/>
          <w:b/>
          <w:color w:val="000000" w:themeColor="text1"/>
          <w:lang w:val="es-ES_tradnl"/>
        </w:rPr>
      </w:pPr>
      <w:r w:rsidRPr="00BB6030">
        <w:rPr>
          <w:rFonts w:ascii="Century Gothic" w:eastAsia="Calibri" w:hAnsi="Century Gothic" w:cs="Arial"/>
          <w:b/>
          <w:color w:val="000000" w:themeColor="text1"/>
          <w:lang w:val="es-ES_tradnl"/>
        </w:rPr>
        <w:t>3. Respuesta</w:t>
      </w:r>
    </w:p>
    <w:p w14:paraId="28F4E65F" w14:textId="77777777" w:rsidR="0043170B" w:rsidRPr="00BB6030" w:rsidRDefault="0043170B" w:rsidP="0043170B">
      <w:pPr>
        <w:spacing w:after="0" w:line="276" w:lineRule="auto"/>
        <w:jc w:val="both"/>
        <w:rPr>
          <w:rFonts w:ascii="Century Gothic" w:hAnsi="Century Gothic" w:cs="Arial"/>
          <w:color w:val="000000" w:themeColor="text1"/>
        </w:rPr>
      </w:pPr>
    </w:p>
    <w:p w14:paraId="56368913" w14:textId="77777777" w:rsidR="0043170B" w:rsidRPr="00BB6030" w:rsidRDefault="0043170B" w:rsidP="0043170B">
      <w:pPr>
        <w:spacing w:after="0" w:line="240" w:lineRule="auto"/>
        <w:ind w:left="709" w:right="709"/>
        <w:jc w:val="both"/>
        <w:rPr>
          <w:rFonts w:ascii="Century Gothic" w:hAnsi="Century Gothic" w:cs="Arial"/>
          <w:color w:val="000000" w:themeColor="text1"/>
          <w:sz w:val="21"/>
          <w:szCs w:val="21"/>
        </w:rPr>
      </w:pPr>
      <w:r w:rsidRPr="00BB6030">
        <w:rPr>
          <w:rFonts w:ascii="Century Gothic" w:hAnsi="Century Gothic" w:cs="Arial"/>
          <w:color w:val="000000" w:themeColor="text1"/>
          <w:sz w:val="21"/>
          <w:szCs w:val="21"/>
          <w:lang w:val="es-ES_tradnl"/>
        </w:rPr>
        <w:t>i) “¿Es posible celebrar a través de administración delegada contratos de obra pública, suministros y prestaciones de servicios con las ASOCIACIONES DE MUNICIPIOS sin que esto vaya en contra del Decreto 1474 de 2011 (sic), estatuto anticorrupción?”.</w:t>
      </w:r>
    </w:p>
    <w:p w14:paraId="05359172" w14:textId="77777777" w:rsidR="0043170B" w:rsidRPr="00BB6030" w:rsidRDefault="0043170B" w:rsidP="0043170B">
      <w:pPr>
        <w:spacing w:after="0" w:line="276" w:lineRule="auto"/>
        <w:ind w:left="709" w:right="709"/>
        <w:jc w:val="both"/>
        <w:rPr>
          <w:rFonts w:ascii="Century Gothic" w:hAnsi="Century Gothic" w:cs="Arial"/>
          <w:color w:val="000000" w:themeColor="text1"/>
        </w:rPr>
      </w:pPr>
      <w:r w:rsidRPr="00BB6030">
        <w:rPr>
          <w:rFonts w:ascii="Century Gothic" w:hAnsi="Century Gothic" w:cs="Arial"/>
          <w:color w:val="000000" w:themeColor="text1"/>
          <w:sz w:val="21"/>
          <w:szCs w:val="21"/>
        </w:rPr>
        <w:t xml:space="preserve">  </w:t>
      </w:r>
    </w:p>
    <w:p w14:paraId="73197955" w14:textId="77777777" w:rsidR="0043170B" w:rsidRPr="00BB6030" w:rsidRDefault="0043170B" w:rsidP="0043170B">
      <w:pPr>
        <w:pStyle w:val="Textoindependiente"/>
        <w:spacing w:after="120" w:line="276" w:lineRule="auto"/>
        <w:ind w:right="108"/>
        <w:jc w:val="both"/>
        <w:rPr>
          <w:rFonts w:ascii="Century Gothic" w:hAnsi="Century Gothic"/>
          <w:color w:val="000000" w:themeColor="text1"/>
        </w:rPr>
      </w:pPr>
      <w:bookmarkStart w:id="37" w:name="_Hlk131064197"/>
      <w:r w:rsidRPr="00BB6030">
        <w:rPr>
          <w:rFonts w:ascii="Century Gothic" w:eastAsia="Calibri" w:hAnsi="Century Gothic"/>
          <w:color w:val="000000" w:themeColor="text1"/>
        </w:rPr>
        <w:t xml:space="preserve">De acuerdo con la interpretación general de las normas que conforman el sistema de compras públicas, </w:t>
      </w:r>
      <w:r w:rsidRPr="00BB6030">
        <w:rPr>
          <w:rFonts w:ascii="Century Gothic" w:hAnsi="Century Gothic"/>
          <w:color w:val="000000" w:themeColor="text1"/>
        </w:rPr>
        <w:t xml:space="preserve">con fundamento en el parágrafo del artículo 17 de la Ley 1454 de 2011, es posible que los esquemas asociativos de entidades territoriales señalados en la disposición, entre otros, las asociaciones de </w:t>
      </w:r>
      <w:proofErr w:type="gramStart"/>
      <w:r w:rsidRPr="00BB6030">
        <w:rPr>
          <w:rFonts w:ascii="Century Gothic" w:hAnsi="Century Gothic"/>
          <w:color w:val="000000" w:themeColor="text1"/>
        </w:rPr>
        <w:t>municipios,</w:t>
      </w:r>
      <w:proofErr w:type="gramEnd"/>
      <w:r w:rsidRPr="00BB6030">
        <w:rPr>
          <w:rFonts w:ascii="Century Gothic" w:hAnsi="Century Gothic"/>
          <w:color w:val="000000" w:themeColor="text1"/>
        </w:rPr>
        <w:t xml:space="preserve"> celebren convenios interadministrativos con otras entidades estatales, con estricta observancia de los requisitos establecidos en el artículo 95 de la Ley 489 de 1998. En todo caso, deben observarse las prohibiciones establecidas en el artículo 10 de la Ley 1150 de 2007 y en el artículo 92 de la Ley 1474 de 2011, de conformidad con las consideraciones señaladas en el presente oficio.</w:t>
      </w:r>
    </w:p>
    <w:p w14:paraId="3350B78D" w14:textId="77777777" w:rsidR="0043170B" w:rsidRPr="00BB6030" w:rsidRDefault="0043170B" w:rsidP="0043170B">
      <w:pPr>
        <w:pStyle w:val="Textoindependiente"/>
        <w:spacing w:after="120" w:line="276" w:lineRule="auto"/>
        <w:ind w:right="108" w:firstLine="709"/>
        <w:jc w:val="both"/>
        <w:rPr>
          <w:rStyle w:val="eop"/>
          <w:rFonts w:ascii="Century Gothic" w:hAnsi="Century Gothic"/>
          <w:color w:val="000000"/>
          <w:shd w:val="clear" w:color="auto" w:fill="FFFFFF"/>
        </w:rPr>
      </w:pPr>
      <w:r w:rsidRPr="00BB6030">
        <w:rPr>
          <w:rStyle w:val="normaltextrun"/>
          <w:rFonts w:ascii="Century Gothic" w:hAnsi="Century Gothic"/>
          <w:color w:val="000000"/>
          <w:shd w:val="clear" w:color="auto" w:fill="FFFFFF"/>
        </w:rPr>
        <w:t>Teniendo en cuenta lo anterior, particularmente lo establecido en el artículo 10 de la Ley 1150 de 2007, para la celebración de contratos con entidades estatales, las cooperativas y asociaciones conformadas por entidades territoriales deben someterse a los procesos de selección de la Ley 1150 de 2007, en igualdad de condiciones con los particulares. Así las cosas, la finalidad de la norma consiste en establecer que las cooperativas, las asociaciones conformadas por entidades territoriales y en general los entes solidarios de carácter público que pretendan celebrar contratos con las entidades estatales pueden hacerlo siempre y cuando lo realicen a través de procedimientos competitivos, limitándose, en consecuencia, la modalidad de contratación directa. De otro lado, vale la pena destacar como la disposición analizada no efectuó distinciones entre el tipo de asociaciones de entidades territoriales frente a las que aplica esta restricción, por lo que allí también se encuentran incluidas las asociaciones de municipios, que son un tipo de asociaciones de entidades territoriales.</w:t>
      </w:r>
      <w:r w:rsidRPr="00BB6030">
        <w:rPr>
          <w:rStyle w:val="eop"/>
          <w:rFonts w:ascii="Century Gothic" w:hAnsi="Century Gothic"/>
          <w:color w:val="000000"/>
          <w:shd w:val="clear" w:color="auto" w:fill="FFFFFF"/>
        </w:rPr>
        <w:t> </w:t>
      </w:r>
    </w:p>
    <w:p w14:paraId="3A9E77DC" w14:textId="77777777" w:rsidR="0043170B" w:rsidRPr="00BB6030" w:rsidRDefault="0043170B" w:rsidP="0043170B">
      <w:pPr>
        <w:pStyle w:val="Textoindependiente"/>
        <w:spacing w:line="276" w:lineRule="auto"/>
        <w:ind w:right="106" w:firstLine="708"/>
        <w:jc w:val="both"/>
        <w:rPr>
          <w:rFonts w:ascii="Century Gothic" w:hAnsi="Century Gothic"/>
        </w:rPr>
      </w:pPr>
      <w:r w:rsidRPr="00BB6030">
        <w:rPr>
          <w:rStyle w:val="eop"/>
          <w:rFonts w:ascii="Century Gothic" w:hAnsi="Century Gothic"/>
          <w:color w:val="000000"/>
          <w:shd w:val="clear" w:color="auto" w:fill="FFFFFF"/>
        </w:rPr>
        <w:t xml:space="preserve">Por otra parte, el artículo 92 de la Ley 1474 </w:t>
      </w:r>
      <w:r w:rsidRPr="00BB6030">
        <w:rPr>
          <w:rFonts w:ascii="Century Gothic" w:hAnsi="Century Gothic"/>
          <w:color w:val="000000" w:themeColor="text1"/>
        </w:rPr>
        <w:t>constituye otra prohibición precisa para celebrar ciertos objetos y tipologías contractuales por parte de personas jurídicas sin ánimo de lucro conformadas por la asociación de entidades públicas, donde se incluyen las asociaciones de entidades territoriales. En particular, se exceptúa la posibilidad de acudir a la causal de contratos interadministrativos para celebrar directamente contratos de obra, suministro, prestación de servicios de evaluación de conformidad respecto de las normas o reglamentos técnicos, encargos fiduciarios y fiducia pública.</w:t>
      </w:r>
    </w:p>
    <w:p w14:paraId="6C691261" w14:textId="77777777" w:rsidR="0043170B" w:rsidRPr="00BB6030" w:rsidRDefault="0043170B" w:rsidP="0043170B">
      <w:pPr>
        <w:spacing w:after="0" w:line="276" w:lineRule="auto"/>
        <w:ind w:firstLine="709"/>
        <w:jc w:val="both"/>
        <w:rPr>
          <w:rFonts w:ascii="Century Gothic" w:eastAsia="Times New Roman" w:hAnsi="Century Gothic" w:cs="Arial"/>
          <w:lang w:eastAsia="es-CO"/>
        </w:rPr>
      </w:pPr>
    </w:p>
    <w:p w14:paraId="15F2FCD1" w14:textId="77777777" w:rsidR="0043170B" w:rsidRPr="00BB6030" w:rsidRDefault="0043170B" w:rsidP="0043170B">
      <w:pPr>
        <w:spacing w:after="0" w:line="240" w:lineRule="auto"/>
        <w:ind w:left="709" w:right="709"/>
        <w:jc w:val="both"/>
        <w:rPr>
          <w:rFonts w:ascii="Century Gothic" w:hAnsi="Century Gothic" w:cs="Arial"/>
          <w:color w:val="000000" w:themeColor="text1"/>
          <w:sz w:val="21"/>
          <w:szCs w:val="21"/>
          <w:lang w:val="es-ES_tradnl"/>
        </w:rPr>
      </w:pPr>
      <w:proofErr w:type="spellStart"/>
      <w:r w:rsidRPr="00BB6030">
        <w:rPr>
          <w:rFonts w:ascii="Century Gothic" w:hAnsi="Century Gothic" w:cs="Arial"/>
          <w:color w:val="000000" w:themeColor="text1"/>
          <w:sz w:val="21"/>
          <w:szCs w:val="21"/>
          <w:lang w:val="es-ES_tradnl"/>
        </w:rPr>
        <w:t>ii</w:t>
      </w:r>
      <w:proofErr w:type="spellEnd"/>
      <w:r w:rsidRPr="00BB6030">
        <w:rPr>
          <w:rFonts w:ascii="Century Gothic" w:hAnsi="Century Gothic" w:cs="Arial"/>
          <w:color w:val="000000" w:themeColor="text1"/>
          <w:sz w:val="21"/>
          <w:szCs w:val="21"/>
          <w:lang w:val="es-ES_tradnl"/>
        </w:rPr>
        <w:t xml:space="preserve">) “¿Cuál es la diferencia entre convenio y contrato interadministrativo a través de administración delegada y en ese orden de ideas determinar si para la </w:t>
      </w:r>
      <w:proofErr w:type="spellStart"/>
      <w:r w:rsidRPr="00BB6030">
        <w:rPr>
          <w:rFonts w:ascii="Century Gothic" w:hAnsi="Century Gothic" w:cs="Arial"/>
          <w:color w:val="000000" w:themeColor="text1"/>
          <w:sz w:val="21"/>
          <w:szCs w:val="21"/>
          <w:lang w:val="es-ES_tradnl"/>
        </w:rPr>
        <w:t>operancia</w:t>
      </w:r>
      <w:proofErr w:type="spellEnd"/>
      <w:r w:rsidRPr="00BB6030">
        <w:rPr>
          <w:rFonts w:ascii="Century Gothic" w:hAnsi="Century Gothic" w:cs="Arial"/>
          <w:color w:val="000000" w:themeColor="text1"/>
          <w:sz w:val="21"/>
          <w:szCs w:val="21"/>
          <w:lang w:val="es-ES_tradnl"/>
        </w:rPr>
        <w:t xml:space="preserve"> de la ley de garantías que comienza en junio del año 2023, los contratos interadministrativos con asociaciones de municipios son viables y no aplicaría la ley de garantías?”.</w:t>
      </w:r>
    </w:p>
    <w:p w14:paraId="25D98EDB" w14:textId="77777777" w:rsidR="0043170B" w:rsidRPr="00BB6030" w:rsidRDefault="0043170B" w:rsidP="0043170B">
      <w:pPr>
        <w:spacing w:after="0" w:line="276" w:lineRule="auto"/>
        <w:jc w:val="both"/>
        <w:rPr>
          <w:rFonts w:ascii="Century Gothic" w:hAnsi="Century Gothic" w:cs="Arial"/>
          <w:color w:val="000000" w:themeColor="text1"/>
          <w:lang w:val="es-ES_tradnl"/>
        </w:rPr>
      </w:pPr>
    </w:p>
    <w:p w14:paraId="264A327D" w14:textId="77777777" w:rsidR="0043170B" w:rsidRPr="00BB6030" w:rsidRDefault="0043170B" w:rsidP="0043170B">
      <w:pPr>
        <w:widowControl w:val="0"/>
        <w:autoSpaceDE w:val="0"/>
        <w:autoSpaceDN w:val="0"/>
        <w:spacing w:after="120" w:line="276" w:lineRule="auto"/>
        <w:jc w:val="both"/>
        <w:rPr>
          <w:rFonts w:ascii="Century Gothic" w:eastAsia="Arial" w:hAnsi="Century Gothic" w:cs="Arial"/>
          <w:lang w:val="es-ES" w:eastAsia="es-ES" w:bidi="es-ES"/>
        </w:rPr>
      </w:pPr>
      <w:r w:rsidRPr="00BB6030">
        <w:rPr>
          <w:rFonts w:ascii="Century Gothic" w:eastAsia="Calibri" w:hAnsi="Century Gothic" w:cs="Arial"/>
          <w:bCs/>
          <w:lang w:eastAsia="es-ES" w:bidi="es-ES"/>
        </w:rPr>
        <w:t xml:space="preserve">Para efectos de la prohibición del artículo 38 de las </w:t>
      </w:r>
      <w:r w:rsidRPr="00BB6030">
        <w:rPr>
          <w:rFonts w:ascii="Century Gothic" w:eastAsia="Arial" w:hAnsi="Century Gothic" w:cs="Arial"/>
          <w:lang w:val="es-ES" w:eastAsia="es-ES" w:bidi="es-ES"/>
        </w:rPr>
        <w:t>Ley 996 de 2005</w:t>
      </w:r>
      <w:r w:rsidRPr="00BB6030">
        <w:rPr>
          <w:rFonts w:ascii="Century Gothic" w:eastAsia="Calibri" w:hAnsi="Century Gothic" w:cs="Arial"/>
          <w:bCs/>
          <w:lang w:eastAsia="es-ES" w:bidi="es-ES"/>
        </w:rPr>
        <w:t xml:space="preserve">, </w:t>
      </w:r>
      <w:r w:rsidRPr="00BB6030">
        <w:rPr>
          <w:rFonts w:ascii="Century Gothic" w:eastAsia="Arial" w:hAnsi="Century Gothic" w:cs="Arial"/>
          <w:lang w:val="es-ES" w:eastAsia="es-ES" w:bidi="es-ES"/>
        </w:rPr>
        <w:t xml:space="preserve">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los asimila para efectos de aplicar las disposiciones que tangencialmente se refieren a uno u otro vocablo. De esta manera, lo que define los contratos o convenios interadministrativos es la naturaleza de las partes, de manera que están determinados por un criterio orgánico, en el sentido de que lo serán aquellos celebrados entre entidades estatales. </w:t>
      </w:r>
    </w:p>
    <w:p w14:paraId="077FB177" w14:textId="77777777" w:rsidR="0043170B" w:rsidRPr="00BB6030" w:rsidRDefault="0043170B" w:rsidP="0043170B">
      <w:pPr>
        <w:widowControl w:val="0"/>
        <w:autoSpaceDE w:val="0"/>
        <w:autoSpaceDN w:val="0"/>
        <w:spacing w:before="121" w:after="120" w:line="276" w:lineRule="auto"/>
        <w:ind w:firstLine="707"/>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BB6030">
        <w:rPr>
          <w:rFonts w:ascii="Century Gothic" w:eastAsia="Arial" w:hAnsi="Century Gothic" w:cs="Arial"/>
          <w:spacing w:val="-18"/>
          <w:lang w:val="es-ES" w:eastAsia="es-ES" w:bidi="es-ES"/>
        </w:rPr>
        <w:t xml:space="preserve"> </w:t>
      </w:r>
      <w:r w:rsidRPr="00BB6030">
        <w:rPr>
          <w:rFonts w:ascii="Century Gothic" w:eastAsia="Arial" w:hAnsi="Century Gothic" w:cs="Arial"/>
          <w:lang w:val="es-ES" w:eastAsia="es-ES" w:bidi="es-ES"/>
        </w:rPr>
        <w:t>interadministrativo.</w:t>
      </w:r>
    </w:p>
    <w:p w14:paraId="48C7E3B8" w14:textId="77777777" w:rsidR="0043170B" w:rsidRPr="00BB6030" w:rsidRDefault="0043170B" w:rsidP="0043170B">
      <w:pPr>
        <w:tabs>
          <w:tab w:val="left" w:pos="426"/>
        </w:tabs>
        <w:spacing w:after="120" w:line="276" w:lineRule="auto"/>
        <w:ind w:firstLine="709"/>
        <w:jc w:val="both"/>
        <w:rPr>
          <w:rFonts w:ascii="Century Gothic" w:eastAsia="Times New Roman" w:hAnsi="Century Gothic" w:cs="Arial"/>
          <w:bCs/>
          <w:lang w:val="es-MX" w:eastAsia="es-CO"/>
        </w:rPr>
      </w:pPr>
      <w:r w:rsidRPr="00BB6030">
        <w:rPr>
          <w:rFonts w:ascii="Century Gothic" w:eastAsia="Times New Roman" w:hAnsi="Century Gothic" w:cs="Arial"/>
          <w:bCs/>
          <w:lang w:eastAsia="es-CO"/>
        </w:rPr>
        <w:t xml:space="preserve">Se observa entonces que </w:t>
      </w:r>
      <w:r w:rsidRPr="00BB6030">
        <w:rPr>
          <w:rFonts w:ascii="Century Gothic" w:eastAsia="Times New Roman" w:hAnsi="Century Gothic"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BB6030">
        <w:rPr>
          <w:rFonts w:ascii="Century Gothic" w:eastAsia="Times New Roman" w:hAnsi="Century Gothic" w:cs="Arial"/>
          <w:bCs/>
          <w:i/>
          <w:iCs/>
          <w:lang w:val="es-MX" w:eastAsia="es-CO"/>
        </w:rPr>
        <w:t>ibidem</w:t>
      </w:r>
      <w:r w:rsidRPr="00BB6030">
        <w:rPr>
          <w:rFonts w:ascii="Century Gothic" w:eastAsia="Times New Roman" w:hAnsi="Century Gothic" w:cs="Arial"/>
          <w:bCs/>
          <w:lang w:val="es-MX" w:eastAsia="es-CO"/>
        </w:rPr>
        <w:t xml:space="preserve">,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w:t>
      </w:r>
    </w:p>
    <w:p w14:paraId="3777DA3E" w14:textId="77777777" w:rsidR="0043170B" w:rsidRPr="00BB6030" w:rsidRDefault="0043170B" w:rsidP="0043170B">
      <w:pPr>
        <w:tabs>
          <w:tab w:val="left" w:pos="426"/>
        </w:tabs>
        <w:spacing w:after="0" w:line="276" w:lineRule="auto"/>
        <w:ind w:firstLine="709"/>
        <w:jc w:val="both"/>
        <w:rPr>
          <w:rStyle w:val="eop"/>
          <w:rFonts w:ascii="Century Gothic" w:hAnsi="Century Gothic" w:cs="Arial"/>
          <w:color w:val="000000"/>
          <w:shd w:val="clear" w:color="auto" w:fill="FFFFFF"/>
        </w:rPr>
      </w:pPr>
      <w:r w:rsidRPr="00BB6030">
        <w:rPr>
          <w:rStyle w:val="normaltextrun"/>
          <w:rFonts w:ascii="Century Gothic" w:hAnsi="Century Gothic" w:cs="Arial"/>
          <w:color w:val="000000"/>
          <w:shd w:val="clear" w:color="auto" w:fill="FFFFFF"/>
        </w:rPr>
        <w:t xml:space="preserve">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w:t>
      </w:r>
      <w:r w:rsidRPr="00BB6030">
        <w:rPr>
          <w:rStyle w:val="findhit"/>
          <w:rFonts w:ascii="Century Gothic" w:hAnsi="Century Gothic" w:cs="Arial"/>
          <w:color w:val="000000"/>
          <w:shd w:val="clear" w:color="auto" w:fill="FFFFFF"/>
        </w:rPr>
        <w:t>principio de juridicidad</w:t>
      </w:r>
      <w:r w:rsidRPr="00BB6030">
        <w:rPr>
          <w:rStyle w:val="normaltextrun"/>
          <w:rFonts w:ascii="Century Gothic" w:hAnsi="Century Gothic" w:cs="Arial"/>
          <w:color w:val="000000"/>
          <w:shd w:val="clear" w:color="auto" w:fill="FFFFFF"/>
        </w:rPr>
        <w:t>.</w:t>
      </w:r>
      <w:r w:rsidRPr="00BB6030">
        <w:rPr>
          <w:rStyle w:val="eop"/>
          <w:rFonts w:ascii="Century Gothic" w:hAnsi="Century Gothic" w:cs="Arial"/>
          <w:color w:val="000000"/>
          <w:shd w:val="clear" w:color="auto" w:fill="FFFFFF"/>
        </w:rPr>
        <w:t> </w:t>
      </w:r>
    </w:p>
    <w:p w14:paraId="0BFC528B" w14:textId="77777777" w:rsidR="0043170B" w:rsidRPr="00BB6030" w:rsidRDefault="0043170B" w:rsidP="0043170B">
      <w:pPr>
        <w:tabs>
          <w:tab w:val="left" w:pos="426"/>
        </w:tabs>
        <w:spacing w:after="0" w:line="276" w:lineRule="auto"/>
        <w:ind w:firstLine="709"/>
        <w:jc w:val="both"/>
        <w:rPr>
          <w:rStyle w:val="eop"/>
          <w:rFonts w:ascii="Century Gothic" w:hAnsi="Century Gothic" w:cs="Arial"/>
          <w:color w:val="000000"/>
          <w:shd w:val="clear" w:color="auto" w:fill="FFFFFF"/>
        </w:rPr>
      </w:pPr>
    </w:p>
    <w:p w14:paraId="69F7660D" w14:textId="77777777" w:rsidR="0043170B" w:rsidRPr="00BB6030" w:rsidRDefault="0043170B" w:rsidP="0043170B">
      <w:pPr>
        <w:tabs>
          <w:tab w:val="left" w:pos="426"/>
        </w:tabs>
        <w:spacing w:after="120" w:line="240" w:lineRule="auto"/>
        <w:ind w:left="709" w:right="709"/>
        <w:jc w:val="both"/>
        <w:rPr>
          <w:rFonts w:ascii="Century Gothic" w:eastAsia="Arial" w:hAnsi="Century Gothic" w:cs="Arial"/>
          <w:sz w:val="21"/>
          <w:szCs w:val="21"/>
          <w:lang w:val="es-ES" w:eastAsia="es-ES" w:bidi="es-ES"/>
        </w:rPr>
      </w:pPr>
      <w:proofErr w:type="spellStart"/>
      <w:r w:rsidRPr="00BB6030">
        <w:rPr>
          <w:rFonts w:ascii="Century Gothic" w:eastAsia="Arial" w:hAnsi="Century Gothic" w:cs="Arial"/>
          <w:sz w:val="21"/>
          <w:szCs w:val="21"/>
          <w:lang w:val="es-ES" w:eastAsia="es-ES" w:bidi="es-ES"/>
        </w:rPr>
        <w:t>iii</w:t>
      </w:r>
      <w:proofErr w:type="spellEnd"/>
      <w:r w:rsidRPr="00BB6030">
        <w:rPr>
          <w:rFonts w:ascii="Century Gothic" w:eastAsia="Arial" w:hAnsi="Century Gothic" w:cs="Arial"/>
          <w:sz w:val="21"/>
          <w:szCs w:val="21"/>
          <w:lang w:val="es-ES" w:eastAsia="es-ES" w:bidi="es-ES"/>
        </w:rPr>
        <w:t xml:space="preserve">) “[…] </w:t>
      </w:r>
      <w:proofErr w:type="gramStart"/>
      <w:r w:rsidRPr="00BB6030">
        <w:rPr>
          <w:rFonts w:ascii="Century Gothic" w:eastAsia="Arial" w:hAnsi="Century Gothic" w:cs="Arial"/>
          <w:sz w:val="21"/>
          <w:szCs w:val="21"/>
          <w:lang w:val="es-ES" w:eastAsia="es-ES" w:bidi="es-ES"/>
        </w:rPr>
        <w:t>¿Cuáles son los aspectos en que de acuerdo a la norma debe evaluar la Contraloría en relación con los contratos interadministrativos de administrativos de administración delegada”.</w:t>
      </w:r>
      <w:proofErr w:type="gramEnd"/>
    </w:p>
    <w:p w14:paraId="5312EC78" w14:textId="77777777" w:rsidR="0043170B" w:rsidRPr="00BB6030" w:rsidRDefault="0043170B" w:rsidP="0043170B">
      <w:pPr>
        <w:tabs>
          <w:tab w:val="left" w:pos="426"/>
        </w:tabs>
        <w:spacing w:after="0" w:line="240" w:lineRule="auto"/>
        <w:ind w:left="709" w:right="709"/>
        <w:jc w:val="both"/>
        <w:rPr>
          <w:rFonts w:ascii="Century Gothic" w:eastAsia="Arial" w:hAnsi="Century Gothic" w:cs="Arial"/>
          <w:sz w:val="21"/>
          <w:szCs w:val="21"/>
          <w:lang w:val="es-ES" w:eastAsia="es-ES" w:bidi="es-ES"/>
        </w:rPr>
      </w:pPr>
      <w:proofErr w:type="spellStart"/>
      <w:r w:rsidRPr="00BB6030">
        <w:rPr>
          <w:rFonts w:ascii="Century Gothic" w:eastAsia="Arial" w:hAnsi="Century Gothic" w:cs="Arial"/>
          <w:sz w:val="21"/>
          <w:szCs w:val="21"/>
          <w:lang w:val="es-ES" w:eastAsia="es-ES" w:bidi="es-ES"/>
        </w:rPr>
        <w:t>iv</w:t>
      </w:r>
      <w:proofErr w:type="spellEnd"/>
      <w:r w:rsidRPr="00BB6030">
        <w:rPr>
          <w:rFonts w:ascii="Century Gothic" w:eastAsia="Arial" w:hAnsi="Century Gothic" w:cs="Arial"/>
          <w:sz w:val="21"/>
          <w:szCs w:val="21"/>
          <w:lang w:val="es-ES" w:eastAsia="es-ES" w:bidi="es-ES"/>
        </w:rPr>
        <w:t xml:space="preserve">) “Podrá levantar la Contraloría levantar un hallazgo al Alcalde de un Municipio por haber elegido la modalidad de contratación directa (contrato interadministrativo de administración delegada), aun cuando la elección de dicha modalidad está plenamente justificada dentro de los estudios previos de conveniencia y oportunidad, y con su contenido legal donde se demostró la idoneidad y la experiencia de las ASOCIACIONES DE MUNICIPIOS para poder suscribir el contrato de administración delegada?”.   </w:t>
      </w:r>
    </w:p>
    <w:p w14:paraId="18069914" w14:textId="77777777" w:rsidR="0043170B" w:rsidRPr="00BB6030" w:rsidRDefault="0043170B" w:rsidP="0043170B">
      <w:pPr>
        <w:tabs>
          <w:tab w:val="left" w:pos="426"/>
        </w:tabs>
        <w:spacing w:after="0" w:line="276" w:lineRule="auto"/>
        <w:ind w:firstLine="709"/>
        <w:jc w:val="both"/>
        <w:rPr>
          <w:rFonts w:ascii="Century Gothic" w:eastAsia="Arial" w:hAnsi="Century Gothic" w:cs="Arial"/>
          <w:lang w:val="es-ES" w:eastAsia="es-ES" w:bidi="es-ES"/>
        </w:rPr>
      </w:pPr>
    </w:p>
    <w:p w14:paraId="502B53CE" w14:textId="77777777" w:rsidR="0043170B" w:rsidRPr="00BB6030" w:rsidRDefault="0043170B" w:rsidP="0043170B">
      <w:pPr>
        <w:tabs>
          <w:tab w:val="left" w:pos="426"/>
        </w:tabs>
        <w:spacing w:after="120" w:line="276" w:lineRule="auto"/>
        <w:jc w:val="both"/>
        <w:rPr>
          <w:rFonts w:ascii="Century Gothic" w:eastAsia="Arial" w:hAnsi="Century Gothic" w:cs="Arial"/>
          <w:lang w:val="es-ES" w:eastAsia="es-ES" w:bidi="es-ES"/>
        </w:rPr>
      </w:pPr>
      <w:r w:rsidRPr="00BB6030">
        <w:rPr>
          <w:rFonts w:ascii="Century Gothic" w:eastAsia="Arial" w:hAnsi="Century Gothic" w:cs="Arial"/>
          <w:lang w:val="es-ES" w:eastAsia="es-ES" w:bidi="es-ES"/>
        </w:rPr>
        <w:t>Respetando la autonomía y las atribuciones de los órganos de control, con fundamento en el parágrafo del artículo 17 de la Ley 1454 de 2011, se reitera que las asociaciones de municipios pueden suscribir convenios interadministrativos con otras entidades estatales de acuerdo con el artículo 95 de la Ley 489 de 1998. En todo caso, deben observarse las prohibiciones previstas en el artículo 10 de la Ley 1150 de 2007 y en el artículo 92 de la Ley 1474 de 2011, los cuales limitan la modalidad de contratación directa. Lo anterior, sin perjuicio de otras restricciones como la prevista en el artículo 38 de la Ley 996 de 2005 como se explicó en el punto anterior.</w:t>
      </w:r>
    </w:p>
    <w:p w14:paraId="293AE0E0" w14:textId="77777777" w:rsidR="0043170B" w:rsidRPr="00BB6030" w:rsidRDefault="0043170B" w:rsidP="0043170B">
      <w:pPr>
        <w:spacing w:after="120" w:line="276" w:lineRule="auto"/>
        <w:ind w:firstLine="708"/>
        <w:jc w:val="both"/>
        <w:rPr>
          <w:rFonts w:ascii="Century Gothic" w:hAnsi="Century Gothic" w:cs="Arial"/>
          <w:lang w:val="es-ES"/>
        </w:rPr>
      </w:pPr>
      <w:r w:rsidRPr="00BB6030">
        <w:rPr>
          <w:rFonts w:ascii="Century Gothic" w:hAnsi="Century Gothic" w:cs="Arial"/>
          <w:lang w:val="es-ES"/>
        </w:rPr>
        <w:t>Por lo demás, se recuerda al peticionario que la competencia de Colombia Compra Eficiente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no puede extenderse a la resolución de controversias ni a brindar asesorías sobre casos puntuales, por lo que la definición de hallazgos con posible incidencia penal, fiscal o disciplinaria corresponde exclusivamente a la Fiscalía, la Contraloría y la Procuraduría, órganos que deberán realizar el análisis de adecuación típica conforme a la normatividad vigente.</w:t>
      </w:r>
    </w:p>
    <w:bookmarkEnd w:id="37"/>
    <w:p w14:paraId="52D1BF73" w14:textId="77777777" w:rsidR="0043170B" w:rsidRPr="00BB6030" w:rsidRDefault="0043170B" w:rsidP="0043170B">
      <w:pPr>
        <w:tabs>
          <w:tab w:val="left" w:pos="426"/>
        </w:tabs>
        <w:spacing w:after="0" w:line="276" w:lineRule="auto"/>
        <w:jc w:val="both"/>
        <w:rPr>
          <w:rFonts w:ascii="Century Gothic" w:eastAsia="Arial" w:hAnsi="Century Gothic" w:cs="Arial"/>
          <w:lang w:val="es-ES" w:eastAsia="es-ES" w:bidi="es-ES"/>
        </w:rPr>
      </w:pPr>
    </w:p>
    <w:p w14:paraId="53AA82F5" w14:textId="77777777" w:rsidR="0043170B" w:rsidRPr="00BB6030" w:rsidRDefault="0043170B" w:rsidP="0043170B">
      <w:pPr>
        <w:widowControl w:val="0"/>
        <w:autoSpaceDE w:val="0"/>
        <w:autoSpaceDN w:val="0"/>
        <w:spacing w:after="0" w:line="276" w:lineRule="auto"/>
        <w:jc w:val="both"/>
        <w:rPr>
          <w:rFonts w:ascii="Century Gothic" w:hAnsi="Century Gothic" w:cs="Arial"/>
          <w:color w:val="000000" w:themeColor="text1"/>
          <w:lang w:val="es-ES_tradnl" w:bidi="es-ES"/>
        </w:rPr>
      </w:pPr>
      <w:r w:rsidRPr="00BB6030">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4F6EC539" w14:textId="77777777" w:rsidR="0043170B" w:rsidRPr="00BB6030" w:rsidRDefault="0043170B" w:rsidP="0043170B">
      <w:pPr>
        <w:widowControl w:val="0"/>
        <w:autoSpaceDE w:val="0"/>
        <w:autoSpaceDN w:val="0"/>
        <w:spacing w:after="0" w:line="276" w:lineRule="auto"/>
        <w:jc w:val="both"/>
        <w:rPr>
          <w:rFonts w:ascii="Century Gothic" w:hAnsi="Century Gothic" w:cs="Arial"/>
          <w:color w:val="000000" w:themeColor="text1"/>
          <w:lang w:val="es-ES_tradnl" w:bidi="es-ES"/>
        </w:rPr>
      </w:pPr>
    </w:p>
    <w:p w14:paraId="6790FBD7" w14:textId="77777777" w:rsidR="0043170B" w:rsidRPr="00BB6030" w:rsidRDefault="0043170B" w:rsidP="0043170B">
      <w:pPr>
        <w:tabs>
          <w:tab w:val="left" w:pos="426"/>
        </w:tabs>
        <w:spacing w:line="276" w:lineRule="auto"/>
        <w:jc w:val="both"/>
        <w:rPr>
          <w:rFonts w:ascii="Century Gothic" w:eastAsia="Times New Roman" w:hAnsi="Century Gothic" w:cs="Arial"/>
          <w:color w:val="000000" w:themeColor="text1"/>
        </w:rPr>
      </w:pPr>
      <w:r w:rsidRPr="00BB6030">
        <w:rPr>
          <w:rFonts w:ascii="Century Gothic" w:eastAsia="Times New Roman" w:hAnsi="Century Gothic" w:cs="Arial"/>
          <w:color w:val="000000" w:themeColor="text1"/>
        </w:rPr>
        <w:t>Atentamente,</w:t>
      </w:r>
    </w:p>
    <w:p w14:paraId="401A42AB" w14:textId="1194B7E8" w:rsidR="0043170B" w:rsidRPr="00BB6030" w:rsidRDefault="008F54C3" w:rsidP="0043170B">
      <w:pPr>
        <w:jc w:val="center"/>
        <w:rPr>
          <w:rFonts w:ascii="Century Gothic" w:eastAsia="Times New Roman" w:hAnsi="Century Gothic" w:cs="Arial"/>
          <w:lang w:eastAsia="es-CO"/>
        </w:rPr>
      </w:pPr>
      <w:r>
        <w:rPr>
          <w:noProof/>
        </w:rPr>
        <w:drawing>
          <wp:inline distT="0" distB="0" distL="0" distR="0" wp14:anchorId="115FFB27" wp14:editId="2A32BFAA">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3170B" w:rsidRPr="00BB6030" w14:paraId="65980BC1" w14:textId="77777777" w:rsidTr="002186F0">
        <w:trPr>
          <w:trHeight w:val="409"/>
        </w:trPr>
        <w:tc>
          <w:tcPr>
            <w:tcW w:w="817" w:type="dxa"/>
            <w:tcBorders>
              <w:top w:val="nil"/>
              <w:left w:val="nil"/>
              <w:bottom w:val="nil"/>
              <w:right w:val="nil"/>
            </w:tcBorders>
            <w:vAlign w:val="center"/>
            <w:hideMark/>
          </w:tcPr>
          <w:p w14:paraId="4A7C729C" w14:textId="77777777" w:rsidR="0043170B" w:rsidRPr="00BB6030" w:rsidRDefault="0043170B" w:rsidP="00167F8C">
            <w:pPr>
              <w:spacing w:after="0" w:line="240" w:lineRule="auto"/>
              <w:jc w:val="both"/>
              <w:rPr>
                <w:rFonts w:ascii="Century Gothic" w:hAnsi="Century Gothic" w:cs="Arial"/>
                <w:sz w:val="16"/>
                <w:szCs w:val="16"/>
              </w:rPr>
            </w:pPr>
            <w:r w:rsidRPr="00BB6030">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345B85E" w14:textId="77777777" w:rsidR="0043170B" w:rsidRPr="00BB6030" w:rsidRDefault="0043170B" w:rsidP="00167F8C">
            <w:pPr>
              <w:spacing w:after="0" w:line="240" w:lineRule="auto"/>
              <w:jc w:val="both"/>
              <w:rPr>
                <w:rFonts w:ascii="Century Gothic" w:hAnsi="Century Gothic" w:cs="Arial"/>
                <w:sz w:val="16"/>
                <w:szCs w:val="16"/>
              </w:rPr>
            </w:pPr>
            <w:r w:rsidRPr="00BB6030">
              <w:rPr>
                <w:rFonts w:ascii="Century Gothic" w:hAnsi="Century Gothic" w:cs="Arial"/>
                <w:sz w:val="16"/>
                <w:szCs w:val="16"/>
              </w:rPr>
              <w:t>Juan David Montoya Penagos</w:t>
            </w:r>
          </w:p>
          <w:p w14:paraId="44BEC4FE" w14:textId="77777777" w:rsidR="0043170B" w:rsidRPr="00BB6030" w:rsidRDefault="0043170B" w:rsidP="00167F8C">
            <w:pPr>
              <w:spacing w:after="0" w:line="240" w:lineRule="auto"/>
              <w:jc w:val="both"/>
              <w:rPr>
                <w:rFonts w:ascii="Century Gothic" w:hAnsi="Century Gothic" w:cs="Arial"/>
                <w:sz w:val="16"/>
                <w:szCs w:val="16"/>
              </w:rPr>
            </w:pPr>
            <w:r w:rsidRPr="00BB6030">
              <w:rPr>
                <w:rFonts w:ascii="Century Gothic" w:hAnsi="Century Gothic" w:cs="Arial"/>
                <w:sz w:val="16"/>
                <w:szCs w:val="16"/>
              </w:rPr>
              <w:t>Contratista de la Subdirección de Gestión Contractual</w:t>
            </w:r>
          </w:p>
        </w:tc>
      </w:tr>
      <w:tr w:rsidR="0043170B" w:rsidRPr="00BB6030" w14:paraId="77D471F7" w14:textId="77777777" w:rsidTr="002186F0">
        <w:trPr>
          <w:trHeight w:val="409"/>
        </w:trPr>
        <w:tc>
          <w:tcPr>
            <w:tcW w:w="817" w:type="dxa"/>
            <w:tcBorders>
              <w:top w:val="nil"/>
              <w:left w:val="nil"/>
              <w:right w:val="nil"/>
            </w:tcBorders>
            <w:vAlign w:val="center"/>
          </w:tcPr>
          <w:p w14:paraId="1507CFE5" w14:textId="77777777" w:rsidR="0043170B" w:rsidRPr="00BB6030" w:rsidRDefault="0043170B" w:rsidP="00167F8C">
            <w:pPr>
              <w:jc w:val="both"/>
              <w:rPr>
                <w:rFonts w:ascii="Century Gothic" w:hAnsi="Century Gothic" w:cs="Arial"/>
                <w:sz w:val="16"/>
                <w:szCs w:val="16"/>
              </w:rPr>
            </w:pPr>
            <w:r w:rsidRPr="00BB6030">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67BF436E" w14:textId="77777777" w:rsidR="0043170B" w:rsidRPr="00BB6030" w:rsidRDefault="0043170B" w:rsidP="00167F8C">
            <w:pPr>
              <w:spacing w:after="0" w:line="240" w:lineRule="auto"/>
              <w:jc w:val="both"/>
              <w:rPr>
                <w:rFonts w:ascii="Century Gothic" w:hAnsi="Century Gothic" w:cs="Arial"/>
                <w:sz w:val="16"/>
                <w:szCs w:val="16"/>
              </w:rPr>
            </w:pPr>
            <w:r w:rsidRPr="00BB6030">
              <w:rPr>
                <w:rFonts w:ascii="Century Gothic" w:hAnsi="Century Gothic" w:cs="Arial"/>
                <w:sz w:val="16"/>
                <w:szCs w:val="16"/>
              </w:rPr>
              <w:t>Diana Carolina Armenta Celis</w:t>
            </w:r>
          </w:p>
          <w:p w14:paraId="2F8AB87D" w14:textId="004185DC" w:rsidR="0043170B" w:rsidRPr="00BB6030" w:rsidRDefault="0043170B" w:rsidP="002186F0">
            <w:pPr>
              <w:spacing w:after="0" w:line="240" w:lineRule="auto"/>
              <w:jc w:val="both"/>
              <w:rPr>
                <w:rFonts w:ascii="Century Gothic" w:hAnsi="Century Gothic" w:cs="Arial"/>
                <w:sz w:val="16"/>
                <w:szCs w:val="16"/>
              </w:rPr>
            </w:pPr>
            <w:r w:rsidRPr="00BB6030">
              <w:rPr>
                <w:rFonts w:ascii="Century Gothic" w:hAnsi="Century Gothic" w:cs="Arial"/>
                <w:sz w:val="16"/>
                <w:szCs w:val="16"/>
              </w:rPr>
              <w:t>Contratista de la Subdirección de Gestión Contractual</w:t>
            </w:r>
          </w:p>
        </w:tc>
      </w:tr>
      <w:tr w:rsidR="0043170B" w:rsidRPr="00BB6030" w14:paraId="4491AA16" w14:textId="77777777" w:rsidTr="002186F0">
        <w:trPr>
          <w:trHeight w:val="389"/>
        </w:trPr>
        <w:tc>
          <w:tcPr>
            <w:tcW w:w="817" w:type="dxa"/>
            <w:tcBorders>
              <w:top w:val="nil"/>
              <w:left w:val="nil"/>
              <w:bottom w:val="nil"/>
              <w:right w:val="nil"/>
            </w:tcBorders>
            <w:vAlign w:val="center"/>
            <w:hideMark/>
          </w:tcPr>
          <w:p w14:paraId="2C2519C7" w14:textId="77777777" w:rsidR="0043170B" w:rsidRPr="00BB6030" w:rsidRDefault="0043170B" w:rsidP="00167F8C">
            <w:pPr>
              <w:spacing w:after="0" w:line="240" w:lineRule="auto"/>
              <w:jc w:val="both"/>
              <w:rPr>
                <w:rFonts w:ascii="Century Gothic" w:hAnsi="Century Gothic" w:cs="Arial"/>
                <w:sz w:val="16"/>
                <w:szCs w:val="16"/>
              </w:rPr>
            </w:pPr>
            <w:r w:rsidRPr="00BB6030">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65AA350" w14:textId="77777777" w:rsidR="0043170B" w:rsidRPr="00BB6030" w:rsidRDefault="0043170B" w:rsidP="00167F8C">
            <w:pPr>
              <w:spacing w:after="0" w:line="240" w:lineRule="auto"/>
              <w:jc w:val="both"/>
              <w:rPr>
                <w:rFonts w:ascii="Century Gothic" w:hAnsi="Century Gothic" w:cs="Arial"/>
                <w:sz w:val="16"/>
                <w:szCs w:val="16"/>
              </w:rPr>
            </w:pPr>
            <w:r w:rsidRPr="00BB6030">
              <w:rPr>
                <w:rFonts w:ascii="Century Gothic" w:hAnsi="Century Gothic" w:cs="Arial"/>
                <w:sz w:val="16"/>
                <w:szCs w:val="16"/>
              </w:rPr>
              <w:t xml:space="preserve">Nohelia del Carmen </w:t>
            </w:r>
            <w:proofErr w:type="spellStart"/>
            <w:r w:rsidRPr="00BB6030">
              <w:rPr>
                <w:rFonts w:ascii="Century Gothic" w:hAnsi="Century Gothic" w:cs="Arial"/>
                <w:sz w:val="16"/>
                <w:szCs w:val="16"/>
              </w:rPr>
              <w:t>Zawady</w:t>
            </w:r>
            <w:proofErr w:type="spellEnd"/>
            <w:r w:rsidRPr="00BB6030">
              <w:rPr>
                <w:rFonts w:ascii="Century Gothic" w:hAnsi="Century Gothic" w:cs="Arial"/>
                <w:sz w:val="16"/>
                <w:szCs w:val="16"/>
              </w:rPr>
              <w:t xml:space="preserve"> Palacio</w:t>
            </w:r>
          </w:p>
          <w:p w14:paraId="7E37FA7E" w14:textId="77777777" w:rsidR="0043170B" w:rsidRPr="00BB6030" w:rsidRDefault="0043170B" w:rsidP="00167F8C">
            <w:pPr>
              <w:spacing w:after="0" w:line="240" w:lineRule="auto"/>
              <w:jc w:val="both"/>
              <w:rPr>
                <w:rFonts w:ascii="Century Gothic" w:hAnsi="Century Gothic" w:cs="Arial"/>
                <w:sz w:val="16"/>
                <w:szCs w:val="16"/>
              </w:rPr>
            </w:pPr>
            <w:r w:rsidRPr="00BB6030">
              <w:rPr>
                <w:rFonts w:ascii="Century Gothic" w:hAnsi="Century Gothic" w:cs="Arial"/>
                <w:sz w:val="16"/>
                <w:szCs w:val="16"/>
              </w:rPr>
              <w:t xml:space="preserve">Subdirectora de Gestión Contractual </w:t>
            </w:r>
            <w:proofErr w:type="spellStart"/>
            <w:r w:rsidRPr="00BB6030">
              <w:rPr>
                <w:rFonts w:ascii="Century Gothic" w:hAnsi="Century Gothic" w:cs="Arial"/>
                <w:sz w:val="16"/>
                <w:szCs w:val="16"/>
              </w:rPr>
              <w:t>ANCP</w:t>
            </w:r>
            <w:proofErr w:type="spellEnd"/>
            <w:r w:rsidRPr="00BB6030">
              <w:rPr>
                <w:rFonts w:ascii="Century Gothic" w:hAnsi="Century Gothic" w:cs="Arial"/>
                <w:sz w:val="16"/>
                <w:szCs w:val="16"/>
              </w:rPr>
              <w:t xml:space="preserve"> - </w:t>
            </w:r>
            <w:proofErr w:type="spellStart"/>
            <w:r w:rsidRPr="00BB6030">
              <w:rPr>
                <w:rFonts w:ascii="Century Gothic" w:hAnsi="Century Gothic" w:cs="Arial"/>
                <w:sz w:val="16"/>
                <w:szCs w:val="16"/>
              </w:rPr>
              <w:t>CCE</w:t>
            </w:r>
            <w:proofErr w:type="spellEnd"/>
          </w:p>
        </w:tc>
      </w:tr>
      <w:bookmarkEnd w:id="2"/>
    </w:tbl>
    <w:p w14:paraId="2336E0A4" w14:textId="77777777" w:rsidR="0043170B" w:rsidRPr="00BB6030" w:rsidRDefault="0043170B" w:rsidP="0043170B">
      <w:pPr>
        <w:tabs>
          <w:tab w:val="left" w:pos="0"/>
        </w:tabs>
        <w:spacing w:line="276" w:lineRule="auto"/>
        <w:contextualSpacing/>
        <w:jc w:val="both"/>
        <w:rPr>
          <w:rFonts w:ascii="Century Gothic" w:hAnsi="Century Gothic"/>
          <w:lang w:val="es-MX"/>
        </w:rPr>
      </w:pPr>
    </w:p>
    <w:p w14:paraId="0B54B478" w14:textId="77777777" w:rsidR="0043170B" w:rsidRPr="00BB6030" w:rsidRDefault="0043170B" w:rsidP="0043170B">
      <w:pPr>
        <w:rPr>
          <w:rFonts w:ascii="Century Gothic" w:hAnsi="Century Gothic"/>
        </w:rPr>
      </w:pPr>
    </w:p>
    <w:p w14:paraId="0FD4057A" w14:textId="77777777" w:rsidR="00C330EB" w:rsidRPr="00BB6030" w:rsidRDefault="00C330EB" w:rsidP="00992F77">
      <w:pPr>
        <w:rPr>
          <w:rFonts w:ascii="Century Gothic" w:hAnsi="Century Gothic"/>
        </w:rPr>
      </w:pPr>
    </w:p>
    <w:sectPr w:rsidR="00C330EB" w:rsidRPr="00BB6030" w:rsidSect="00923EEF">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2D61" w14:textId="77777777" w:rsidR="00E84610" w:rsidRDefault="00E84610" w:rsidP="004A1847">
      <w:pPr>
        <w:spacing w:after="0" w:line="240" w:lineRule="auto"/>
      </w:pPr>
      <w:r>
        <w:separator/>
      </w:r>
    </w:p>
  </w:endnote>
  <w:endnote w:type="continuationSeparator" w:id="0">
    <w:p w14:paraId="5B4A445D" w14:textId="77777777" w:rsidR="00E84610" w:rsidRDefault="00E84610"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proofErr w:type="spellStart"/>
          <w:r w:rsidRPr="003F3941">
            <w:rPr>
              <w:rFonts w:ascii="Century Gothic" w:eastAsia="Geo" w:hAnsi="Century Gothic" w:cs="Geo"/>
              <w:b/>
              <w:color w:val="000000"/>
              <w:sz w:val="16"/>
              <w:szCs w:val="16"/>
              <w:lang w:eastAsia="es-CO"/>
            </w:rPr>
            <w:t>CCE</w:t>
          </w:r>
          <w:proofErr w:type="spellEnd"/>
          <w:r w:rsidRPr="003F3941">
            <w:rPr>
              <w:rFonts w:ascii="Century Gothic" w:eastAsia="Geo" w:hAnsi="Century Gothic" w:cs="Geo"/>
              <w:b/>
              <w:color w:val="000000"/>
              <w:sz w:val="16"/>
              <w:szCs w:val="16"/>
              <w:lang w:eastAsia="es-CO"/>
            </w:rPr>
            <w:t>-</w:t>
          </w:r>
          <w:proofErr w:type="spellStart"/>
          <w:r w:rsidR="00B72CD3">
            <w:rPr>
              <w:rFonts w:ascii="Century Gothic" w:eastAsia="Geo" w:hAnsi="Century Gothic" w:cs="Geo"/>
              <w:b/>
              <w:color w:val="000000"/>
              <w:sz w:val="16"/>
              <w:szCs w:val="16"/>
              <w:lang w:eastAsia="es-CO"/>
            </w:rPr>
            <w:t>REC</w:t>
          </w:r>
          <w:proofErr w:type="spellEnd"/>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9B46" w14:textId="77777777" w:rsidR="00E84610" w:rsidRDefault="00E84610" w:rsidP="004A1847">
      <w:pPr>
        <w:spacing w:after="0" w:line="240" w:lineRule="auto"/>
      </w:pPr>
      <w:r>
        <w:separator/>
      </w:r>
    </w:p>
  </w:footnote>
  <w:footnote w:type="continuationSeparator" w:id="0">
    <w:p w14:paraId="04406D51" w14:textId="77777777" w:rsidR="00E84610" w:rsidRDefault="00E84610" w:rsidP="004A1847">
      <w:pPr>
        <w:spacing w:after="0" w:line="240" w:lineRule="auto"/>
      </w:pPr>
      <w:r>
        <w:continuationSeparator/>
      </w:r>
    </w:p>
  </w:footnote>
  <w:footnote w:id="1">
    <w:p w14:paraId="583D832B" w14:textId="77777777" w:rsidR="0043170B" w:rsidRPr="00BB6030" w:rsidRDefault="0043170B" w:rsidP="0043170B">
      <w:pPr>
        <w:pStyle w:val="Textonotapie"/>
        <w:ind w:firstLine="708"/>
        <w:jc w:val="both"/>
        <w:rPr>
          <w:rFonts w:ascii="Century Gothic" w:hAnsi="Century Gothic" w:cs="Arial"/>
          <w:sz w:val="16"/>
          <w:szCs w:val="16"/>
          <w:lang w:val="es-ES"/>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La Agencia Nacional de Contratación Pública </w:t>
      </w:r>
      <w:r w:rsidRPr="00BB6030">
        <w:rPr>
          <w:rFonts w:ascii="Arial" w:hAnsi="Arial" w:cs="Arial"/>
          <w:sz w:val="16"/>
          <w:szCs w:val="16"/>
        </w:rPr>
        <w:t>‒</w:t>
      </w:r>
      <w:r w:rsidRPr="00BB6030">
        <w:rPr>
          <w:rFonts w:ascii="Century Gothic" w:hAnsi="Century Gothic" w:cs="Arial"/>
          <w:sz w:val="16"/>
          <w:szCs w:val="16"/>
        </w:rPr>
        <w:t xml:space="preserve"> Colombia Compra Eficiente fue creada por el Decreto Ley 4170 de 2011. Su objetivo es servir como ente rector de la pol</w:t>
      </w:r>
      <w:r w:rsidRPr="00BB6030">
        <w:rPr>
          <w:rFonts w:ascii="Century Gothic" w:hAnsi="Century Gothic" w:cs="Century Gothic"/>
          <w:sz w:val="16"/>
          <w:szCs w:val="16"/>
        </w:rPr>
        <w:t>í</w:t>
      </w:r>
      <w:r w:rsidRPr="00BB6030">
        <w:rPr>
          <w:rFonts w:ascii="Century Gothic" w:hAnsi="Century Gothic" w:cs="Arial"/>
          <w:sz w:val="16"/>
          <w:szCs w:val="16"/>
        </w:rPr>
        <w:t>tica de compras y contrataci</w:t>
      </w:r>
      <w:r w:rsidRPr="00BB6030">
        <w:rPr>
          <w:rFonts w:ascii="Century Gothic" w:hAnsi="Century Gothic" w:cs="Century Gothic"/>
          <w:sz w:val="16"/>
          <w:szCs w:val="16"/>
        </w:rPr>
        <w:t>ó</w:t>
      </w:r>
      <w:r w:rsidRPr="00BB6030">
        <w:rPr>
          <w:rFonts w:ascii="Century Gothic" w:hAnsi="Century Gothic" w:cs="Arial"/>
          <w:sz w:val="16"/>
          <w:szCs w:val="16"/>
        </w:rPr>
        <w:t xml:space="preserve">n del Estado. Para tales fines, como </w:t>
      </w:r>
      <w:r w:rsidRPr="00BB6030">
        <w:rPr>
          <w:rFonts w:ascii="Century Gothic" w:hAnsi="Century Gothic" w:cs="Century Gothic"/>
          <w:sz w:val="16"/>
          <w:szCs w:val="16"/>
        </w:rPr>
        <w:t>ó</w:t>
      </w:r>
      <w:r w:rsidRPr="00BB6030">
        <w:rPr>
          <w:rFonts w:ascii="Century Gothic" w:hAnsi="Century Gothic" w:cs="Arial"/>
          <w:sz w:val="16"/>
          <w:szCs w:val="16"/>
        </w:rPr>
        <w:t>rgano t</w:t>
      </w:r>
      <w:r w:rsidRPr="00BB6030">
        <w:rPr>
          <w:rFonts w:ascii="Century Gothic" w:hAnsi="Century Gothic" w:cs="Century Gothic"/>
          <w:sz w:val="16"/>
          <w:szCs w:val="16"/>
        </w:rPr>
        <w:t>é</w:t>
      </w:r>
      <w:r w:rsidRPr="00BB6030">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BB6030">
        <w:rPr>
          <w:rFonts w:ascii="Century Gothic" w:hAnsi="Century Gothic" w:cs="Arial"/>
          <w:i/>
          <w:iCs/>
          <w:sz w:val="16"/>
          <w:szCs w:val="16"/>
        </w:rPr>
        <w:t xml:space="preserve">ibidem </w:t>
      </w:r>
      <w:r w:rsidRPr="00BB6030">
        <w:rPr>
          <w:rFonts w:ascii="Century Gothic" w:hAnsi="Century Gothic" w:cs="Arial"/>
          <w:sz w:val="16"/>
          <w:szCs w:val="16"/>
        </w:rPr>
        <w:t>señala, de manera precisa, las funciones de Colombia Compra Eficiente. Concretamente, el numeral 5º de este artículo establece que le corresponde a esta entidad: “[a]</w:t>
      </w:r>
      <w:proofErr w:type="spellStart"/>
      <w:r w:rsidRPr="00BB6030">
        <w:rPr>
          <w:rFonts w:ascii="Century Gothic" w:hAnsi="Century Gothic" w:cs="Arial"/>
          <w:sz w:val="16"/>
          <w:szCs w:val="16"/>
        </w:rPr>
        <w:t>bsolver</w:t>
      </w:r>
      <w:proofErr w:type="spellEnd"/>
      <w:r w:rsidRPr="00BB6030">
        <w:rPr>
          <w:rFonts w:ascii="Century Gothic" w:hAnsi="Century Gothic"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B6030">
        <w:rPr>
          <w:rFonts w:ascii="Century Gothic" w:hAnsi="Century Gothic" w:cs="Arial"/>
          <w:sz w:val="16"/>
          <w:szCs w:val="16"/>
        </w:rPr>
        <w:t>bsolver</w:t>
      </w:r>
      <w:proofErr w:type="spellEnd"/>
      <w:r w:rsidRPr="00BB6030">
        <w:rPr>
          <w:rFonts w:ascii="Century Gothic" w:hAnsi="Century Gothic" w:cs="Arial"/>
          <w:sz w:val="16"/>
          <w:szCs w:val="16"/>
        </w:rPr>
        <w:t xml:space="preserve"> consultas sobre la aplicación de normas de carácter general”.</w:t>
      </w:r>
    </w:p>
  </w:footnote>
  <w:footnote w:id="2">
    <w:p w14:paraId="4ADDEA2D" w14:textId="77777777" w:rsidR="0043170B" w:rsidRPr="00BB6030" w:rsidRDefault="0043170B" w:rsidP="0043170B">
      <w:pPr>
        <w:pStyle w:val="Textonotapie"/>
        <w:ind w:firstLine="708"/>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BB6030">
          <w:rPr>
            <w:rStyle w:val="Hipervnculo"/>
            <w:rFonts w:ascii="Century Gothic" w:hAnsi="Century Gothic"/>
            <w:sz w:val="16"/>
            <w:szCs w:val="16"/>
          </w:rPr>
          <w:t>https://relatoria.colombiacompra.gov.co/busqueda/conceptos</w:t>
        </w:r>
      </w:hyperlink>
      <w:r w:rsidRPr="00BB6030">
        <w:rPr>
          <w:rStyle w:val="Hipervnculo"/>
          <w:rFonts w:ascii="Century Gothic" w:hAnsi="Century Gothic"/>
          <w:sz w:val="16"/>
          <w:szCs w:val="16"/>
        </w:rPr>
        <w:t xml:space="preserve">. </w:t>
      </w:r>
      <w:r w:rsidRPr="00BB6030">
        <w:rPr>
          <w:rFonts w:ascii="Century Gothic" w:hAnsi="Century Gothic" w:cs="Arial"/>
          <w:sz w:val="16"/>
          <w:szCs w:val="16"/>
          <w:shd w:val="clear" w:color="auto" w:fill="E6E6E6"/>
        </w:rPr>
        <w:t xml:space="preserve"> </w:t>
      </w:r>
    </w:p>
  </w:footnote>
  <w:footnote w:id="3">
    <w:p w14:paraId="3E6DAD38" w14:textId="77777777" w:rsidR="0043170B" w:rsidRPr="00BB6030" w:rsidRDefault="0043170B" w:rsidP="0043170B">
      <w:pPr>
        <w:pStyle w:val="Textonotapie"/>
        <w:ind w:firstLine="720"/>
        <w:jc w:val="both"/>
        <w:rPr>
          <w:rFonts w:ascii="Century Gothic" w:hAnsi="Century Gothic" w:cs="Arial"/>
          <w:color w:val="000000" w:themeColor="text1"/>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w:t>
      </w:r>
      <w:r w:rsidRPr="00BB6030">
        <w:rPr>
          <w:rFonts w:ascii="Century Gothic" w:hAnsi="Century Gothic" w:cs="Arial"/>
          <w:color w:val="000000" w:themeColor="text1"/>
          <w:sz w:val="16"/>
          <w:szCs w:val="16"/>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p>
  </w:footnote>
  <w:footnote w:id="4">
    <w:p w14:paraId="109B1444" w14:textId="77777777" w:rsidR="0043170B" w:rsidRPr="00BB6030" w:rsidRDefault="0043170B" w:rsidP="0043170B">
      <w:pPr>
        <w:spacing w:after="0" w:line="240" w:lineRule="auto"/>
        <w:ind w:firstLine="720"/>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footnote>
  <w:footnote w:id="5">
    <w:p w14:paraId="28651CCB" w14:textId="77777777" w:rsidR="0043170B" w:rsidRPr="00BB6030" w:rsidRDefault="0043170B" w:rsidP="0043170B">
      <w:pPr>
        <w:spacing w:after="0" w:line="240" w:lineRule="auto"/>
        <w:ind w:firstLine="720"/>
        <w:jc w:val="both"/>
        <w:rPr>
          <w:rFonts w:ascii="Century Gothic" w:hAnsi="Century Gothic" w:cs="Arial"/>
          <w:color w:val="000000" w:themeColor="text1"/>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Ley 136 de 1994: </w:t>
      </w:r>
      <w:r w:rsidRPr="00BB6030">
        <w:rPr>
          <w:rFonts w:ascii="Century Gothic" w:hAnsi="Century Gothic" w:cs="Arial"/>
          <w:color w:val="000000" w:themeColor="text1"/>
          <w:sz w:val="16"/>
          <w:szCs w:val="16"/>
        </w:rPr>
        <w:t>“Artículo 150. Conformación y funcionamiento. Las asociaciones para su conformación y funcionamiento se sujetarán a las siguientes reglas:</w:t>
      </w:r>
    </w:p>
    <w:p w14:paraId="4A0E520A" w14:textId="77777777" w:rsidR="0043170B" w:rsidRPr="00BB6030" w:rsidRDefault="0043170B" w:rsidP="0043170B">
      <w:pPr>
        <w:spacing w:after="0" w:line="240" w:lineRule="auto"/>
        <w:ind w:firstLine="720"/>
        <w:jc w:val="both"/>
        <w:rPr>
          <w:rFonts w:ascii="Century Gothic" w:hAnsi="Century Gothic" w:cs="Arial"/>
          <w:color w:val="000000" w:themeColor="text1"/>
          <w:sz w:val="16"/>
          <w:szCs w:val="16"/>
        </w:rPr>
      </w:pPr>
      <w:r w:rsidRPr="00BB6030">
        <w:rPr>
          <w:rFonts w:ascii="Century Gothic" w:hAnsi="Century Gothic" w:cs="Arial"/>
          <w:color w:val="000000" w:themeColor="text1"/>
          <w:sz w:val="16"/>
          <w:szCs w:val="16"/>
        </w:rPr>
        <w:t xml:space="preserve">1. Toda asociación de municipios será siempre voluntaria. </w:t>
      </w:r>
      <w:r w:rsidRPr="00BB6030">
        <w:rPr>
          <w:rFonts w:ascii="Century Gothic" w:hAnsi="Century Gothic" w:cs="Arial"/>
          <w:i/>
          <w:iCs/>
          <w:color w:val="000000" w:themeColor="text1"/>
          <w:sz w:val="16"/>
          <w:szCs w:val="16"/>
        </w:rPr>
        <w:t>Se conformará mediante convenio</w:t>
      </w:r>
      <w:r w:rsidRPr="00BB6030">
        <w:rPr>
          <w:rFonts w:ascii="Century Gothic" w:hAnsi="Century Gothic" w:cs="Arial"/>
          <w:color w:val="000000" w:themeColor="text1"/>
          <w:sz w:val="16"/>
          <w:szCs w:val="16"/>
        </w:rPr>
        <w:t xml:space="preserve"> suscrito por sus alcaldes, previa autorización de los respectivos concejos” (Cursiva fuera de texto).</w:t>
      </w:r>
    </w:p>
  </w:footnote>
  <w:footnote w:id="6">
    <w:p w14:paraId="226E2F9D" w14:textId="77777777" w:rsidR="0043170B" w:rsidRPr="00BB6030" w:rsidRDefault="0043170B" w:rsidP="0043170B">
      <w:pPr>
        <w:spacing w:after="0" w:line="240" w:lineRule="auto"/>
        <w:ind w:firstLine="720"/>
        <w:jc w:val="both"/>
        <w:rPr>
          <w:rFonts w:ascii="Century Gothic" w:hAnsi="Century Gothic" w:cs="Arial"/>
          <w:color w:val="000000" w:themeColor="text1"/>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w:t>
      </w:r>
      <w:r w:rsidRPr="00BB6030">
        <w:rPr>
          <w:rFonts w:ascii="Century Gothic" w:hAnsi="Century Gothic" w:cs="Arial"/>
          <w:color w:val="000000" w:themeColor="text1"/>
          <w:position w:val="6"/>
          <w:sz w:val="16"/>
          <w:szCs w:val="16"/>
        </w:rPr>
        <w:t xml:space="preserve"> </w:t>
      </w:r>
      <w:r w:rsidRPr="00BB6030">
        <w:rPr>
          <w:rFonts w:ascii="Century Gothic" w:hAnsi="Century Gothic" w:cs="Arial"/>
          <w:color w:val="000000" w:themeColor="text1"/>
          <w:sz w:val="16"/>
          <w:szCs w:val="16"/>
        </w:rPr>
        <w:t xml:space="preserve">Ley 1454 de 2011: “Artículo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w:t>
      </w:r>
      <w:r w:rsidRPr="00BB6030">
        <w:rPr>
          <w:rFonts w:ascii="Century Gothic" w:hAnsi="Century Gothic" w:cs="Arial"/>
          <w:i/>
          <w:iCs/>
          <w:color w:val="000000" w:themeColor="text1"/>
          <w:sz w:val="16"/>
          <w:szCs w:val="16"/>
        </w:rPr>
        <w:t>mediante convenio o contrato-plan</w:t>
      </w:r>
      <w:r w:rsidRPr="00BB6030">
        <w:rPr>
          <w:rFonts w:ascii="Century Gothic" w:hAnsi="Century Gothic" w:cs="Arial"/>
          <w:color w:val="000000" w:themeColor="text1"/>
          <w:sz w:val="16"/>
          <w:szCs w:val="16"/>
        </w:rPr>
        <w:t xml:space="preserve">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 (Cursiva fuera de texto).</w:t>
      </w:r>
    </w:p>
  </w:footnote>
  <w:footnote w:id="7">
    <w:p w14:paraId="782555AD" w14:textId="77777777" w:rsidR="0043170B" w:rsidRPr="00BB6030" w:rsidRDefault="0043170B" w:rsidP="0043170B">
      <w:pPr>
        <w:spacing w:after="0" w:line="240" w:lineRule="auto"/>
        <w:ind w:firstLine="720"/>
        <w:jc w:val="both"/>
        <w:rPr>
          <w:rFonts w:ascii="Century Gothic" w:hAnsi="Century Gothic" w:cs="Arial"/>
          <w:color w:val="000000" w:themeColor="text1"/>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w:t>
      </w:r>
      <w:r w:rsidRPr="00BB6030">
        <w:rPr>
          <w:rFonts w:ascii="Century Gothic" w:hAnsi="Century Gothic" w:cs="Arial"/>
          <w:color w:val="000000" w:themeColor="text1"/>
          <w:sz w:val="16"/>
          <w:szCs w:val="16"/>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w:t>
      </w:r>
      <w:r w:rsidRPr="00BB6030">
        <w:rPr>
          <w:rFonts w:ascii="Century Gothic" w:hAnsi="Century Gothic" w:cs="Arial"/>
          <w:color w:val="000000" w:themeColor="text1"/>
          <w:spacing w:val="-4"/>
          <w:sz w:val="16"/>
          <w:szCs w:val="16"/>
        </w:rPr>
        <w:t xml:space="preserve"> </w:t>
      </w:r>
      <w:r w:rsidRPr="00BB6030">
        <w:rPr>
          <w:rFonts w:ascii="Century Gothic" w:hAnsi="Century Gothic" w:cs="Arial"/>
          <w:color w:val="000000" w:themeColor="text1"/>
          <w:sz w:val="16"/>
          <w:szCs w:val="16"/>
        </w:rPr>
        <w:t>lucro.</w:t>
      </w:r>
    </w:p>
    <w:p w14:paraId="4B54BE2A" w14:textId="77777777" w:rsidR="0043170B" w:rsidRPr="00BB6030" w:rsidRDefault="0043170B" w:rsidP="0043170B">
      <w:pPr>
        <w:spacing w:after="0" w:line="240" w:lineRule="auto"/>
        <w:ind w:firstLine="720"/>
        <w:jc w:val="both"/>
        <w:rPr>
          <w:rFonts w:ascii="Century Gothic" w:hAnsi="Century Gothic" w:cs="Arial"/>
          <w:color w:val="000000" w:themeColor="text1"/>
          <w:sz w:val="16"/>
          <w:szCs w:val="16"/>
        </w:rPr>
      </w:pPr>
      <w:r w:rsidRPr="00BB6030">
        <w:rPr>
          <w:rFonts w:ascii="Century Gothic" w:hAnsi="Century Gothic" w:cs="Arial"/>
          <w:color w:val="000000" w:themeColor="text1"/>
          <w:sz w:val="16"/>
          <w:szCs w:val="16"/>
        </w:rPr>
        <w:t xml:space="preserve">Las personas jurídicas sin ánimo de lucro que se conformen por la asociación exclusiva de entidades </w:t>
      </w:r>
      <w:proofErr w:type="gramStart"/>
      <w:r w:rsidRPr="00BB6030">
        <w:rPr>
          <w:rFonts w:ascii="Century Gothic" w:hAnsi="Century Gothic" w:cs="Arial"/>
          <w:color w:val="000000" w:themeColor="text1"/>
          <w:sz w:val="16"/>
          <w:szCs w:val="16"/>
        </w:rPr>
        <w:t>públicas,</w:t>
      </w:r>
      <w:proofErr w:type="gramEnd"/>
      <w:r w:rsidRPr="00BB6030">
        <w:rPr>
          <w:rFonts w:ascii="Century Gothic" w:hAnsi="Century Gothic" w:cs="Arial"/>
          <w:color w:val="000000" w:themeColor="text1"/>
          <w:sz w:val="16"/>
          <w:szCs w:val="16"/>
        </w:rPr>
        <w:t xml:space="preserve">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8">
    <w:p w14:paraId="0D1035E4" w14:textId="77777777" w:rsidR="0043170B" w:rsidRPr="00BB6030" w:rsidRDefault="0043170B" w:rsidP="0043170B">
      <w:pPr>
        <w:spacing w:after="0" w:line="240" w:lineRule="auto"/>
        <w:ind w:firstLine="720"/>
        <w:jc w:val="both"/>
        <w:rPr>
          <w:rFonts w:ascii="Century Gothic" w:hAnsi="Century Gothic" w:cs="Arial"/>
          <w:color w:val="000000" w:themeColor="text1"/>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w:t>
      </w:r>
      <w:r w:rsidRPr="00BB6030">
        <w:rPr>
          <w:rFonts w:ascii="Century Gothic" w:hAnsi="Century Gothic" w:cs="Arial"/>
          <w:color w:val="000000" w:themeColor="text1"/>
          <w:sz w:val="16"/>
          <w:szCs w:val="16"/>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BB6030">
        <w:rPr>
          <w:rFonts w:ascii="Century Gothic" w:hAnsi="Century Gothic" w:cs="Arial"/>
          <w:color w:val="000000" w:themeColor="text1"/>
          <w:spacing w:val="-5"/>
          <w:sz w:val="16"/>
          <w:szCs w:val="16"/>
        </w:rPr>
        <w:t xml:space="preserve"> </w:t>
      </w:r>
      <w:r w:rsidRPr="00BB6030">
        <w:rPr>
          <w:rFonts w:ascii="Century Gothic" w:hAnsi="Century Gothic" w:cs="Arial"/>
          <w:color w:val="000000" w:themeColor="text1"/>
          <w:sz w:val="16"/>
          <w:szCs w:val="16"/>
        </w:rPr>
        <w:t>entidades”.</w:t>
      </w:r>
    </w:p>
  </w:footnote>
  <w:footnote w:id="9">
    <w:p w14:paraId="41F01D22" w14:textId="77777777" w:rsidR="0043170B" w:rsidRPr="00BB6030" w:rsidRDefault="0043170B" w:rsidP="0043170B">
      <w:pPr>
        <w:pStyle w:val="Textonotapie"/>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39A68C2" w14:textId="77777777" w:rsidR="0043170B" w:rsidRPr="00BB6030" w:rsidRDefault="0043170B" w:rsidP="0043170B">
      <w:pPr>
        <w:pStyle w:val="Textonotapie"/>
        <w:ind w:firstLine="709"/>
        <w:contextualSpacing/>
        <w:jc w:val="both"/>
        <w:rPr>
          <w:rFonts w:ascii="Century Gothic" w:hAnsi="Century Gothic" w:cs="Arial"/>
          <w:sz w:val="16"/>
          <w:szCs w:val="16"/>
        </w:rPr>
      </w:pPr>
      <w:r w:rsidRPr="00BB6030">
        <w:rPr>
          <w:rFonts w:ascii="Century Gothic" w:hAnsi="Century Gothic"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10">
    <w:p w14:paraId="45B1B849" w14:textId="77777777" w:rsidR="0043170B" w:rsidRPr="00BB6030" w:rsidRDefault="0043170B" w:rsidP="0043170B">
      <w:pPr>
        <w:pStyle w:val="Textonotapie"/>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Gaceta del Congreso de la República No. 71 del 2005.</w:t>
      </w:r>
    </w:p>
  </w:footnote>
  <w:footnote w:id="11">
    <w:p w14:paraId="4DF7B23E" w14:textId="77777777" w:rsidR="0043170B" w:rsidRPr="00BB6030" w:rsidRDefault="0043170B" w:rsidP="0043170B">
      <w:pPr>
        <w:pStyle w:val="Textonotapie"/>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Corte Constitucional, Sentencia C- 1153 de 2005, </w:t>
      </w:r>
      <w:proofErr w:type="spellStart"/>
      <w:r w:rsidRPr="00BB6030">
        <w:rPr>
          <w:rFonts w:ascii="Century Gothic" w:hAnsi="Century Gothic" w:cs="Arial"/>
          <w:sz w:val="16"/>
          <w:szCs w:val="16"/>
        </w:rPr>
        <w:t>M.P</w:t>
      </w:r>
      <w:proofErr w:type="spellEnd"/>
      <w:r w:rsidRPr="00BB6030">
        <w:rPr>
          <w:rFonts w:ascii="Century Gothic" w:hAnsi="Century Gothic" w:cs="Arial"/>
          <w:sz w:val="16"/>
          <w:szCs w:val="16"/>
        </w:rPr>
        <w:t>. Marco Gerardo Monroy Cabra.</w:t>
      </w:r>
    </w:p>
  </w:footnote>
  <w:footnote w:id="12">
    <w:p w14:paraId="327DD9AE" w14:textId="77777777" w:rsidR="0043170B" w:rsidRPr="00BB6030" w:rsidRDefault="0043170B" w:rsidP="0043170B">
      <w:pPr>
        <w:pStyle w:val="Textonotapie"/>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Corte Constitucional. Sentencias: C-233 de 4 de abril de 2002, expediente: D-3704; C-551 de 9 de julio de 2003, expediente: </w:t>
      </w:r>
      <w:proofErr w:type="spellStart"/>
      <w:r w:rsidRPr="00BB6030">
        <w:rPr>
          <w:rFonts w:ascii="Century Gothic" w:hAnsi="Century Gothic" w:cs="Arial"/>
          <w:sz w:val="16"/>
          <w:szCs w:val="16"/>
        </w:rPr>
        <w:t>CRF</w:t>
      </w:r>
      <w:proofErr w:type="spellEnd"/>
      <w:r w:rsidRPr="00BB6030">
        <w:rPr>
          <w:rFonts w:ascii="Century Gothic" w:hAnsi="Century Gothic" w:cs="Arial"/>
          <w:sz w:val="16"/>
          <w:szCs w:val="16"/>
        </w:rPr>
        <w:t xml:space="preserve">-001 de 9 de julio de 2003; C-652 de 5 de agosto de 2003, expediente: D-4330; C-353 de 20 de mayo de 2009, expediente: D-7518, C-541 de 30 de junio de 2010, expediente: </w:t>
      </w:r>
      <w:proofErr w:type="spellStart"/>
      <w:r w:rsidRPr="00BB6030">
        <w:rPr>
          <w:rFonts w:ascii="Century Gothic" w:hAnsi="Century Gothic" w:cs="Arial"/>
          <w:sz w:val="16"/>
          <w:szCs w:val="16"/>
        </w:rPr>
        <w:t>DD7966</w:t>
      </w:r>
      <w:proofErr w:type="spellEnd"/>
      <w:r w:rsidRPr="00BB6030">
        <w:rPr>
          <w:rFonts w:ascii="Century Gothic" w:hAnsi="Century Gothic" w:cs="Arial"/>
          <w:sz w:val="16"/>
          <w:szCs w:val="16"/>
        </w:rPr>
        <w:t>; entre otras.</w:t>
      </w:r>
    </w:p>
  </w:footnote>
  <w:footnote w:id="13">
    <w:p w14:paraId="2114A3EE" w14:textId="77777777" w:rsidR="0043170B" w:rsidRPr="00BB6030" w:rsidRDefault="0043170B" w:rsidP="0043170B">
      <w:pPr>
        <w:pStyle w:val="Textonotapie"/>
        <w:ind w:firstLine="709"/>
        <w:contextualSpacing/>
        <w:jc w:val="both"/>
        <w:rPr>
          <w:rFonts w:ascii="Century Gothic" w:hAnsi="Century Gothic" w:cs="Arial"/>
          <w:sz w:val="16"/>
          <w:szCs w:val="16"/>
          <w:lang w:val="es-CO"/>
        </w:rPr>
      </w:pPr>
      <w:r w:rsidRPr="00BB6030">
        <w:rPr>
          <w:rStyle w:val="Refdenotaalpie"/>
          <w:rFonts w:ascii="Century Gothic" w:hAnsi="Century Gothic" w:cs="Arial"/>
          <w:sz w:val="16"/>
          <w:szCs w:val="16"/>
        </w:rPr>
        <w:footnoteRef/>
      </w:r>
      <w:r w:rsidRPr="00BB6030">
        <w:rPr>
          <w:rFonts w:ascii="Century Gothic" w:hAnsi="Century Gothic"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14">
    <w:p w14:paraId="2FE1B263" w14:textId="77777777" w:rsidR="0043170B" w:rsidRPr="00BB6030" w:rsidRDefault="0043170B" w:rsidP="0043170B">
      <w:pPr>
        <w:pStyle w:val="Textonotapie"/>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Consejo de Estado, Sala de Consulta y Servicio Civil de fecha 24 de julio de 2013, radicado 2166, </w:t>
      </w:r>
      <w:proofErr w:type="gramStart"/>
      <w:r w:rsidRPr="00BB6030">
        <w:rPr>
          <w:rFonts w:ascii="Century Gothic" w:hAnsi="Century Gothic" w:cs="Arial"/>
          <w:sz w:val="16"/>
          <w:szCs w:val="16"/>
        </w:rPr>
        <w:t>Consejero</w:t>
      </w:r>
      <w:proofErr w:type="gramEnd"/>
      <w:r w:rsidRPr="00BB6030">
        <w:rPr>
          <w:rFonts w:ascii="Century Gothic" w:hAnsi="Century Gothic" w:cs="Arial"/>
          <w:sz w:val="16"/>
          <w:szCs w:val="16"/>
        </w:rPr>
        <w:t xml:space="preserve"> Ponente: Álvaro </w:t>
      </w:r>
      <w:proofErr w:type="spellStart"/>
      <w:r w:rsidRPr="00BB6030">
        <w:rPr>
          <w:rFonts w:ascii="Century Gothic" w:hAnsi="Century Gothic" w:cs="Arial"/>
          <w:sz w:val="16"/>
          <w:szCs w:val="16"/>
        </w:rPr>
        <w:t>Namén</w:t>
      </w:r>
      <w:proofErr w:type="spellEnd"/>
      <w:r w:rsidRPr="00BB6030">
        <w:rPr>
          <w:rFonts w:ascii="Century Gothic" w:hAnsi="Century Gothic" w:cs="Arial"/>
          <w:sz w:val="16"/>
          <w:szCs w:val="16"/>
        </w:rPr>
        <w:t xml:space="preserve"> Vargas.  </w:t>
      </w:r>
    </w:p>
  </w:footnote>
  <w:footnote w:id="15">
    <w:p w14:paraId="00853A0A" w14:textId="77777777" w:rsidR="0043170B" w:rsidRPr="00BB6030" w:rsidRDefault="0043170B" w:rsidP="0043170B">
      <w:pPr>
        <w:spacing w:after="0" w:line="240" w:lineRule="auto"/>
        <w:ind w:firstLine="709"/>
        <w:contextualSpacing/>
        <w:jc w:val="both"/>
        <w:rPr>
          <w:rFonts w:ascii="Century Gothic" w:eastAsia="Times New Roman"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w:t>
      </w:r>
      <w:bookmarkStart w:id="20" w:name="33"/>
      <w:r w:rsidRPr="00BB6030">
        <w:rPr>
          <w:rFonts w:ascii="Century Gothic" w:eastAsia="Calibri" w:hAnsi="Century Gothic" w:cs="Arial"/>
          <w:bCs/>
          <w:color w:val="000000"/>
          <w:sz w:val="16"/>
          <w:szCs w:val="16"/>
        </w:rPr>
        <w:t>“</w:t>
      </w:r>
      <w:r w:rsidRPr="00BB6030">
        <w:rPr>
          <w:rFonts w:ascii="Century Gothic" w:eastAsia="Times New Roman" w:hAnsi="Century Gothic" w:cs="Arial"/>
          <w:sz w:val="16"/>
          <w:szCs w:val="16"/>
        </w:rPr>
        <w:t>Artículo 33. Restricciones a la contratación pública.</w:t>
      </w:r>
      <w:bookmarkEnd w:id="20"/>
      <w:r w:rsidRPr="00BB6030">
        <w:rPr>
          <w:rFonts w:ascii="Century Gothic" w:eastAsia="Times New Roman" w:hAnsi="Century Gothic"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12103C58" w14:textId="77777777" w:rsidR="0043170B" w:rsidRPr="00BB6030" w:rsidRDefault="0043170B" w:rsidP="0043170B">
      <w:pPr>
        <w:spacing w:after="0" w:line="240" w:lineRule="auto"/>
        <w:ind w:firstLine="709"/>
        <w:contextualSpacing/>
        <w:jc w:val="both"/>
        <w:rPr>
          <w:rFonts w:ascii="Century Gothic" w:eastAsia="Times New Roman" w:hAnsi="Century Gothic" w:cs="Arial"/>
          <w:sz w:val="16"/>
          <w:szCs w:val="16"/>
        </w:rPr>
      </w:pPr>
      <w:r w:rsidRPr="00BB6030">
        <w:rPr>
          <w:rFonts w:ascii="Century Gothic" w:eastAsia="Times New Roman" w:hAnsi="Century Gothic" w:cs="Arial"/>
          <w:sz w:val="16"/>
          <w:szCs w:val="16"/>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B6030">
        <w:rPr>
          <w:rFonts w:ascii="Century Gothic" w:eastAsia="Calibri" w:hAnsi="Century Gothic" w:cs="Arial"/>
          <w:bCs/>
          <w:color w:val="000000"/>
          <w:sz w:val="16"/>
          <w:szCs w:val="16"/>
        </w:rPr>
        <w:t>”</w:t>
      </w:r>
      <w:r w:rsidRPr="00BB6030">
        <w:rPr>
          <w:rFonts w:ascii="Century Gothic" w:eastAsia="Times New Roman" w:hAnsi="Century Gothic" w:cs="Arial"/>
          <w:sz w:val="16"/>
          <w:szCs w:val="16"/>
        </w:rPr>
        <w:t>.</w:t>
      </w:r>
    </w:p>
  </w:footnote>
  <w:footnote w:id="16">
    <w:p w14:paraId="13E7C3FB" w14:textId="77777777" w:rsidR="0043170B" w:rsidRPr="00BB6030" w:rsidRDefault="0043170B" w:rsidP="0043170B">
      <w:pPr>
        <w:pStyle w:val="NormalWeb"/>
        <w:spacing w:before="0" w:beforeAutospacing="0" w:after="0" w:afterAutospacing="0"/>
        <w:ind w:firstLine="709"/>
        <w:contextualSpacing/>
        <w:jc w:val="both"/>
        <w:rPr>
          <w:rFonts w:ascii="Century Gothic" w:hAnsi="Century Gothic" w:cs="Arial"/>
          <w:sz w:val="16"/>
          <w:szCs w:val="16"/>
          <w:lang w:val="es-MX"/>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w:t>
      </w:r>
      <w:bookmarkStart w:id="21" w:name="38"/>
      <w:r w:rsidRPr="00BB6030">
        <w:rPr>
          <w:rFonts w:ascii="Century Gothic" w:eastAsia="Calibri" w:hAnsi="Century Gothic" w:cs="Arial"/>
          <w:bCs/>
          <w:color w:val="000000"/>
          <w:sz w:val="16"/>
          <w:szCs w:val="16"/>
        </w:rPr>
        <w:t>“</w:t>
      </w:r>
      <w:r w:rsidRPr="00BB6030">
        <w:rPr>
          <w:rFonts w:ascii="Century Gothic" w:hAnsi="Century Gothic" w:cs="Arial"/>
          <w:sz w:val="16"/>
          <w:szCs w:val="16"/>
          <w:lang w:val="es-MX"/>
        </w:rPr>
        <w:t>Artículo 38. Prohibiciones para los servidores públicos. A los empleados del Estado les está prohibido:</w:t>
      </w:r>
      <w:bookmarkEnd w:id="21"/>
    </w:p>
    <w:p w14:paraId="3D562227" w14:textId="77777777" w:rsidR="0043170B" w:rsidRPr="00BB6030" w:rsidRDefault="0043170B" w:rsidP="0043170B">
      <w:pPr>
        <w:pStyle w:val="NormalWeb"/>
        <w:spacing w:before="0" w:beforeAutospacing="0" w:after="0" w:afterAutospacing="0"/>
        <w:ind w:firstLine="709"/>
        <w:contextualSpacing/>
        <w:jc w:val="both"/>
        <w:rPr>
          <w:rFonts w:ascii="Century Gothic" w:hAnsi="Century Gothic" w:cs="Arial"/>
          <w:sz w:val="16"/>
          <w:szCs w:val="16"/>
          <w:lang w:val="es-MX"/>
        </w:rPr>
      </w:pPr>
      <w:r w:rsidRPr="00BB6030">
        <w:rPr>
          <w:rFonts w:ascii="Century Gothic" w:hAnsi="Century Gothic" w:cs="Arial"/>
          <w:sz w:val="16"/>
          <w:szCs w:val="16"/>
          <w:lang w:val="es-MX"/>
        </w:rPr>
        <w:t>[…]</w:t>
      </w:r>
    </w:p>
    <w:p w14:paraId="2C690993" w14:textId="77777777" w:rsidR="0043170B" w:rsidRPr="00BB6030" w:rsidRDefault="0043170B" w:rsidP="0043170B">
      <w:pPr>
        <w:pStyle w:val="NormalWeb"/>
        <w:spacing w:before="0" w:beforeAutospacing="0" w:after="0" w:afterAutospacing="0"/>
        <w:ind w:firstLine="709"/>
        <w:contextualSpacing/>
        <w:jc w:val="both"/>
        <w:rPr>
          <w:rFonts w:ascii="Century Gothic" w:hAnsi="Century Gothic" w:cs="Arial"/>
          <w:sz w:val="16"/>
          <w:szCs w:val="16"/>
          <w:lang w:val="es-MX"/>
        </w:rPr>
      </w:pPr>
      <w:r w:rsidRPr="00BB6030">
        <w:rPr>
          <w:rStyle w:val="baj"/>
          <w:rFonts w:ascii="Century Gothic" w:hAnsi="Century Gothic" w:cs="Arial"/>
          <w:sz w:val="16"/>
          <w:szCs w:val="16"/>
          <w:lang w:val="es-MX"/>
        </w:rPr>
        <w:t>Parágrafo.</w:t>
      </w:r>
      <w:r w:rsidRPr="00BB6030">
        <w:rPr>
          <w:rFonts w:ascii="Century Gothic" w:hAnsi="Century Gothic"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B6030">
        <w:rPr>
          <w:rFonts w:ascii="Century Gothic" w:eastAsia="Calibri" w:hAnsi="Century Gothic" w:cs="Arial"/>
          <w:bCs/>
          <w:color w:val="000000"/>
          <w:sz w:val="16"/>
          <w:szCs w:val="16"/>
        </w:rPr>
        <w:t>”</w:t>
      </w:r>
      <w:r w:rsidRPr="00BB6030">
        <w:rPr>
          <w:rFonts w:ascii="Century Gothic" w:hAnsi="Century Gothic" w:cs="Arial"/>
          <w:sz w:val="16"/>
          <w:szCs w:val="16"/>
          <w:lang w:val="es-MX"/>
        </w:rPr>
        <w:t>.</w:t>
      </w:r>
    </w:p>
  </w:footnote>
  <w:footnote w:id="17">
    <w:p w14:paraId="54A10EA3" w14:textId="77777777" w:rsidR="0043170B" w:rsidRPr="00BB6030" w:rsidRDefault="0043170B" w:rsidP="0043170B">
      <w:pPr>
        <w:spacing w:after="0" w:line="240" w:lineRule="auto"/>
        <w:ind w:left="100" w:right="244" w:firstLine="709"/>
        <w:contextualSpacing/>
        <w:jc w:val="both"/>
        <w:rPr>
          <w:rFonts w:ascii="Century Gothic" w:hAnsi="Century Gothic" w:cs="Arial"/>
          <w:sz w:val="16"/>
          <w:szCs w:val="16"/>
          <w:lang w:val="es-ES"/>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Consejo de Estado. Sala de Consulta y Servicio Civil. Concepto del 17 de febrero de 2015. C.P. William Zambrano Cetina. Radicación No. 11001-03-06-000-2015-00164-00(2269).</w:t>
      </w:r>
    </w:p>
  </w:footnote>
  <w:footnote w:id="18">
    <w:p w14:paraId="41BB72EF" w14:textId="77777777" w:rsidR="0043170B" w:rsidRPr="00BB6030" w:rsidRDefault="0043170B" w:rsidP="0043170B">
      <w:pPr>
        <w:pStyle w:val="Textonotapie"/>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Consejo de Estado. Sala de Consulta y Servicio Civil. Concepto de 20 de febrero </w:t>
      </w:r>
      <w:proofErr w:type="spellStart"/>
      <w:r w:rsidRPr="00BB6030">
        <w:rPr>
          <w:rFonts w:ascii="Century Gothic" w:hAnsi="Century Gothic" w:cs="Arial"/>
          <w:sz w:val="16"/>
          <w:szCs w:val="16"/>
        </w:rPr>
        <w:t>de2006</w:t>
      </w:r>
      <w:proofErr w:type="spellEnd"/>
      <w:r w:rsidRPr="00BB6030">
        <w:rPr>
          <w:rFonts w:ascii="Century Gothic" w:hAnsi="Century Gothic" w:cs="Arial"/>
          <w:sz w:val="16"/>
          <w:szCs w:val="16"/>
        </w:rPr>
        <w:t>. Radicación 11001-03-06-000-2006-00023-00(1724). Consejero Ponente: Flavio Augusto Rodríguez Arce.</w:t>
      </w:r>
    </w:p>
  </w:footnote>
  <w:footnote w:id="19">
    <w:p w14:paraId="4F350DFE" w14:textId="77777777" w:rsidR="0043170B" w:rsidRPr="00BB6030" w:rsidRDefault="0043170B" w:rsidP="0043170B">
      <w:pPr>
        <w:spacing w:after="0" w:line="240" w:lineRule="auto"/>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Decreto 1082 de 2015: “Artículo 2.2.1.2.1.4.4. Convenios o contratos interadministrativos. La modalidad de selección para la contratación entre Entidades Estatales es la contratación directa; </w:t>
      </w:r>
      <w:proofErr w:type="gramStart"/>
      <w:r w:rsidRPr="00BB6030">
        <w:rPr>
          <w:rFonts w:ascii="Century Gothic" w:hAnsi="Century Gothic" w:cs="Arial"/>
          <w:sz w:val="16"/>
          <w:szCs w:val="16"/>
        </w:rPr>
        <w:t>y</w:t>
      </w:r>
      <w:proofErr w:type="gramEnd"/>
      <w:r w:rsidRPr="00BB6030">
        <w:rPr>
          <w:rFonts w:ascii="Century Gothic" w:hAnsi="Century Gothic" w:cs="Arial"/>
          <w:sz w:val="16"/>
          <w:szCs w:val="16"/>
        </w:rPr>
        <w:t xml:space="preserve"> en consecuencia, le es aplicable lo establecido en el artículo 2.2.1.2.1.4.1 del presente decreto.</w:t>
      </w:r>
    </w:p>
    <w:p w14:paraId="4166BAF1" w14:textId="77777777" w:rsidR="0043170B" w:rsidRPr="00BB6030" w:rsidRDefault="0043170B" w:rsidP="0043170B">
      <w:pPr>
        <w:spacing w:after="0" w:line="240" w:lineRule="auto"/>
        <w:ind w:firstLine="709"/>
        <w:contextualSpacing/>
        <w:jc w:val="both"/>
        <w:rPr>
          <w:rFonts w:ascii="Century Gothic" w:hAnsi="Century Gothic" w:cs="Arial"/>
          <w:sz w:val="16"/>
          <w:szCs w:val="16"/>
        </w:rPr>
      </w:pPr>
      <w:r w:rsidRPr="00BB6030">
        <w:rPr>
          <w:rFonts w:ascii="Century Gothic" w:hAnsi="Century Gothic"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B6030">
        <w:rPr>
          <w:rFonts w:ascii="Century Gothic" w:hAnsi="Century Gothic" w:cs="Arial"/>
          <w:spacing w:val="-1"/>
          <w:sz w:val="16"/>
          <w:szCs w:val="16"/>
        </w:rPr>
        <w:t xml:space="preserve"> </w:t>
      </w:r>
      <w:r w:rsidRPr="00BB6030">
        <w:rPr>
          <w:rFonts w:ascii="Century Gothic" w:hAnsi="Century Gothic" w:cs="Arial"/>
          <w:sz w:val="16"/>
          <w:szCs w:val="16"/>
        </w:rPr>
        <w:t>Estatales”.</w:t>
      </w:r>
    </w:p>
  </w:footnote>
  <w:footnote w:id="20">
    <w:p w14:paraId="1D1E7815" w14:textId="77777777" w:rsidR="0043170B" w:rsidRPr="00BB6030" w:rsidRDefault="0043170B" w:rsidP="0043170B">
      <w:pPr>
        <w:spacing w:after="0" w:line="240" w:lineRule="auto"/>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B6030">
        <w:rPr>
          <w:rFonts w:ascii="Century Gothic" w:hAnsi="Century Gothic" w:cs="Arial"/>
          <w:spacing w:val="-6"/>
          <w:sz w:val="16"/>
          <w:szCs w:val="16"/>
        </w:rPr>
        <w:t xml:space="preserve"> </w:t>
      </w:r>
      <w:r w:rsidRPr="00BB6030">
        <w:rPr>
          <w:rFonts w:ascii="Century Gothic" w:hAnsi="Century Gothic" w:cs="Arial"/>
          <w:sz w:val="16"/>
          <w:szCs w:val="16"/>
        </w:rPr>
        <w:t>artículo”.</w:t>
      </w:r>
    </w:p>
  </w:footnote>
  <w:footnote w:id="21">
    <w:p w14:paraId="34F190E0" w14:textId="77777777" w:rsidR="0043170B" w:rsidRPr="00BB6030" w:rsidRDefault="0043170B" w:rsidP="0043170B">
      <w:pPr>
        <w:spacing w:after="0" w:line="240" w:lineRule="auto"/>
        <w:ind w:right="454"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position w:val="7"/>
          <w:sz w:val="16"/>
          <w:szCs w:val="16"/>
        </w:rPr>
        <w:t xml:space="preserve"> </w:t>
      </w:r>
      <w:r w:rsidRPr="00BB6030">
        <w:rPr>
          <w:rFonts w:ascii="Century Gothic" w:hAnsi="Century Gothic" w:cs="Arial"/>
          <w:sz w:val="16"/>
          <w:szCs w:val="16"/>
        </w:rPr>
        <w:t>Consejo de Estado. Sección Tercera. Sentencia del 23 de junio de 2010. Radicación No. 66001-23-31-000-1998-00261-01(17.860). Consejero Ponente: Mauricio Fajardo Gómez.</w:t>
      </w:r>
    </w:p>
  </w:footnote>
  <w:footnote w:id="22">
    <w:p w14:paraId="324FB3A6" w14:textId="77777777" w:rsidR="0043170B" w:rsidRPr="00BB6030" w:rsidRDefault="0043170B" w:rsidP="0043170B">
      <w:pPr>
        <w:spacing w:after="0" w:line="240" w:lineRule="auto"/>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Consejo de Estado. Sección Tercera. Subsección C. Sentencia del 11 de diciembre de 2019. </w:t>
      </w:r>
      <w:proofErr w:type="spellStart"/>
      <w:r w:rsidRPr="00BB6030">
        <w:rPr>
          <w:rFonts w:ascii="Century Gothic" w:hAnsi="Century Gothic" w:cs="Arial"/>
          <w:sz w:val="16"/>
          <w:szCs w:val="16"/>
        </w:rPr>
        <w:t>Exp</w:t>
      </w:r>
      <w:proofErr w:type="spellEnd"/>
      <w:r w:rsidRPr="00BB6030">
        <w:rPr>
          <w:rFonts w:ascii="Century Gothic" w:hAnsi="Century Gothic" w:cs="Arial"/>
          <w:sz w:val="16"/>
          <w:szCs w:val="16"/>
        </w:rPr>
        <w:t>. 46.986. C.P. Jaime Enrique Rodríguez Navas.</w:t>
      </w:r>
    </w:p>
  </w:footnote>
  <w:footnote w:id="23">
    <w:p w14:paraId="36ABABB7" w14:textId="77777777" w:rsidR="0043170B" w:rsidRPr="00BB6030" w:rsidRDefault="0043170B" w:rsidP="0043170B">
      <w:pPr>
        <w:pStyle w:val="Textonotapie"/>
        <w:ind w:firstLine="708"/>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[Referencia propia de la cita] “CE. </w:t>
      </w:r>
      <w:proofErr w:type="spellStart"/>
      <w:r w:rsidRPr="00BB6030">
        <w:rPr>
          <w:rFonts w:ascii="Century Gothic" w:hAnsi="Century Gothic" w:cs="Arial"/>
          <w:sz w:val="16"/>
          <w:szCs w:val="16"/>
        </w:rPr>
        <w:t>SCSC</w:t>
      </w:r>
      <w:proofErr w:type="spellEnd"/>
      <w:r w:rsidRPr="00BB6030">
        <w:rPr>
          <w:rFonts w:ascii="Century Gothic" w:hAnsi="Century Gothic" w:cs="Arial"/>
          <w:sz w:val="16"/>
          <w:szCs w:val="16"/>
        </w:rPr>
        <w:t>. Concepto de 1 de noviembre de 2016 [Rad. 11001-03-06-000-2016-00125-00(2305)]. MP. Germán Alberto Bula Escobar”.</w:t>
      </w:r>
    </w:p>
  </w:footnote>
  <w:footnote w:id="24">
    <w:p w14:paraId="72E75F19" w14:textId="77777777" w:rsidR="0043170B" w:rsidRPr="00BB6030" w:rsidRDefault="0043170B" w:rsidP="0043170B">
      <w:pPr>
        <w:pStyle w:val="Textonotapie"/>
        <w:ind w:firstLine="708"/>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[Referencia propia de la cita] “CE. </w:t>
      </w:r>
      <w:proofErr w:type="spellStart"/>
      <w:r w:rsidRPr="00BB6030">
        <w:rPr>
          <w:rFonts w:ascii="Century Gothic" w:hAnsi="Century Gothic" w:cs="Arial"/>
          <w:sz w:val="16"/>
          <w:szCs w:val="16"/>
        </w:rPr>
        <w:t>SCSC</w:t>
      </w:r>
      <w:proofErr w:type="spellEnd"/>
      <w:r w:rsidRPr="00BB6030">
        <w:rPr>
          <w:rFonts w:ascii="Century Gothic" w:hAnsi="Century Gothic" w:cs="Arial"/>
          <w:sz w:val="16"/>
          <w:szCs w:val="16"/>
        </w:rPr>
        <w:t xml:space="preserve">. Concepto de 30 de abril de 2008 [Rad. 11001-03-06-000-2008-00013-00(1881)]. MP. Enrique José Arboleda Perdomo. En esta oportunidad, la Sala indicó que el contenido </w:t>
      </w:r>
      <w:r w:rsidRPr="00BB6030">
        <w:rPr>
          <w:rFonts w:ascii="Century Gothic" w:hAnsi="Century Gothic" w:cs="Arial"/>
          <w:i/>
          <w:sz w:val="16"/>
          <w:szCs w:val="16"/>
        </w:rPr>
        <w:t>“obligacional”</w:t>
      </w:r>
      <w:r w:rsidRPr="00BB6030">
        <w:rPr>
          <w:rFonts w:ascii="Century Gothic" w:hAnsi="Century Gothic" w:cs="Arial"/>
          <w:sz w:val="16"/>
          <w:szCs w:val="16"/>
        </w:rPr>
        <w:t xml:space="preserve"> de los convenios se estructura definiendo el resultado querido por las partes y los medios que cada entidad despliega para la obtención del respectivo objeto”.</w:t>
      </w:r>
    </w:p>
  </w:footnote>
  <w:footnote w:id="25">
    <w:p w14:paraId="31383732" w14:textId="77777777" w:rsidR="0043170B" w:rsidRPr="00BB6030" w:rsidRDefault="0043170B" w:rsidP="0043170B">
      <w:pPr>
        <w:pStyle w:val="Textonotapie"/>
        <w:ind w:firstLine="708"/>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[Referencia propia de la cita] “La normativa vigente del </w:t>
      </w:r>
      <w:proofErr w:type="spellStart"/>
      <w:r w:rsidRPr="00BB6030">
        <w:rPr>
          <w:rFonts w:ascii="Century Gothic" w:hAnsi="Century Gothic" w:cs="Arial"/>
          <w:sz w:val="16"/>
          <w:szCs w:val="16"/>
        </w:rPr>
        <w:t>EGCAP</w:t>
      </w:r>
      <w:proofErr w:type="spellEnd"/>
      <w:r w:rsidRPr="00BB6030">
        <w:rPr>
          <w:rFonts w:ascii="Century Gothic" w:hAnsi="Century Gothic" w:cs="Arial"/>
          <w:sz w:val="16"/>
          <w:szCs w:val="16"/>
        </w:rPr>
        <w:t xml:space="preserve"> </w:t>
      </w:r>
      <w:r w:rsidRPr="00BB6030">
        <w:rPr>
          <w:rFonts w:ascii="Century Gothic" w:hAnsi="Century Gothic" w:cs="Arial"/>
          <w:i/>
          <w:sz w:val="16"/>
          <w:szCs w:val="16"/>
        </w:rPr>
        <w:t>[literal c) del numeral 4. del artículo 2 de la Ley 1150/07]</w:t>
      </w:r>
      <w:r w:rsidRPr="00BB6030">
        <w:rPr>
          <w:rFonts w:ascii="Century Gothic" w:hAnsi="Century Gothic" w:cs="Arial"/>
          <w:sz w:val="16"/>
          <w:szCs w:val="16"/>
        </w:rPr>
        <w:t xml:space="preserve"> se refiere a </w:t>
      </w:r>
      <w:r w:rsidRPr="00BB6030">
        <w:rPr>
          <w:rFonts w:ascii="Century Gothic" w:hAnsi="Century Gothic" w:cs="Arial"/>
          <w:i/>
          <w:sz w:val="16"/>
          <w:szCs w:val="16"/>
        </w:rPr>
        <w:t>“contratos interadministrativos”</w:t>
      </w:r>
      <w:r w:rsidRPr="00BB6030">
        <w:rPr>
          <w:rFonts w:ascii="Century Gothic" w:hAnsi="Century Gothic"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6">
    <w:p w14:paraId="54AA4F68" w14:textId="77777777" w:rsidR="0043170B" w:rsidRDefault="0043170B" w:rsidP="0043170B">
      <w:pPr>
        <w:pStyle w:val="Textonotapie"/>
        <w:ind w:firstLine="708"/>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BB6030">
        <w:rPr>
          <w:rFonts w:ascii="Century Gothic" w:hAnsi="Century Gothic" w:cs="Arial"/>
          <w:sz w:val="16"/>
          <w:szCs w:val="16"/>
        </w:rPr>
        <w:t>Exp</w:t>
      </w:r>
      <w:proofErr w:type="spellEnd"/>
      <w:r w:rsidRPr="00BB6030">
        <w:rPr>
          <w:rFonts w:ascii="Century Gothic" w:hAnsi="Century Gothic" w:cs="Arial"/>
          <w:sz w:val="16"/>
          <w:szCs w:val="16"/>
        </w:rPr>
        <w:t xml:space="preserve">. 2.257. </w:t>
      </w:r>
      <w:proofErr w:type="spellStart"/>
      <w:r w:rsidRPr="00BB6030">
        <w:rPr>
          <w:rFonts w:ascii="Century Gothic" w:hAnsi="Century Gothic" w:cs="Arial"/>
          <w:sz w:val="16"/>
          <w:szCs w:val="16"/>
        </w:rPr>
        <w:t>M.P</w:t>
      </w:r>
      <w:proofErr w:type="spellEnd"/>
      <w:r w:rsidRPr="00BB6030">
        <w:rPr>
          <w:rFonts w:ascii="Century Gothic" w:hAnsi="Century Gothic" w:cs="Arial"/>
          <w:sz w:val="16"/>
          <w:szCs w:val="16"/>
        </w:rPr>
        <w:t xml:space="preserve">. Álvaro </w:t>
      </w:r>
      <w:proofErr w:type="spellStart"/>
      <w:r w:rsidRPr="00BB6030">
        <w:rPr>
          <w:rFonts w:ascii="Century Gothic" w:hAnsi="Century Gothic" w:cs="Arial"/>
          <w:sz w:val="16"/>
          <w:szCs w:val="16"/>
        </w:rPr>
        <w:t>Namén</w:t>
      </w:r>
      <w:proofErr w:type="spellEnd"/>
      <w:r w:rsidRPr="00BB6030">
        <w:rPr>
          <w:rFonts w:ascii="Century Gothic" w:hAnsi="Century Gothic" w:cs="Arial"/>
          <w:sz w:val="16"/>
          <w:szCs w:val="16"/>
        </w:rPr>
        <w:t xml:space="preserve"> Vargas).</w:t>
      </w:r>
    </w:p>
    <w:p w14:paraId="14FBE40F" w14:textId="77777777" w:rsidR="007455AB" w:rsidRPr="00BB6030" w:rsidRDefault="007455AB" w:rsidP="0043170B">
      <w:pPr>
        <w:pStyle w:val="Textonotapie"/>
        <w:ind w:firstLine="708"/>
        <w:contextualSpacing/>
        <w:jc w:val="both"/>
        <w:rPr>
          <w:rFonts w:ascii="Century Gothic" w:hAnsi="Century Gothic" w:cs="Arial"/>
          <w:sz w:val="16"/>
          <w:szCs w:val="16"/>
        </w:rPr>
      </w:pPr>
    </w:p>
  </w:footnote>
  <w:footnote w:id="27">
    <w:p w14:paraId="24B5253F" w14:textId="77777777" w:rsidR="0043170B" w:rsidRDefault="0043170B" w:rsidP="0043170B">
      <w:pPr>
        <w:pStyle w:val="Textonotapie"/>
        <w:ind w:firstLine="708"/>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Es lo que sucede, por ejemplo, con el Decreto 092 de 2017, que en su desarrollo hace referencia tanto a los “contratos” como a los “convenios”. </w:t>
      </w:r>
    </w:p>
    <w:p w14:paraId="38B4D4F4" w14:textId="77777777" w:rsidR="007455AB" w:rsidRPr="00BB6030" w:rsidRDefault="007455AB" w:rsidP="0043170B">
      <w:pPr>
        <w:pStyle w:val="Textonotapie"/>
        <w:ind w:firstLine="708"/>
        <w:contextualSpacing/>
        <w:jc w:val="both"/>
        <w:rPr>
          <w:rFonts w:ascii="Century Gothic" w:hAnsi="Century Gothic" w:cs="Arial"/>
          <w:sz w:val="16"/>
          <w:szCs w:val="16"/>
        </w:rPr>
      </w:pPr>
    </w:p>
  </w:footnote>
  <w:footnote w:id="28">
    <w:p w14:paraId="54629AE8" w14:textId="77777777" w:rsidR="0043170B" w:rsidRPr="00BB6030" w:rsidRDefault="0043170B" w:rsidP="0043170B">
      <w:pPr>
        <w:pStyle w:val="Textonotapie"/>
        <w:ind w:firstLine="708"/>
        <w:contextualSpacing/>
        <w:jc w:val="both"/>
        <w:rPr>
          <w:rFonts w:ascii="Century Gothic" w:hAnsi="Century Gothic" w:cs="Arial"/>
          <w:sz w:val="16"/>
          <w:szCs w:val="16"/>
          <w:lang w:val="es-CO"/>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w:t>
      </w:r>
      <w:proofErr w:type="spellStart"/>
      <w:r w:rsidRPr="00BB6030">
        <w:rPr>
          <w:rFonts w:ascii="Century Gothic" w:hAnsi="Century Gothic" w:cs="Arial"/>
          <w:sz w:val="16"/>
          <w:szCs w:val="16"/>
        </w:rPr>
        <w:t>M.P</w:t>
      </w:r>
      <w:proofErr w:type="spellEnd"/>
      <w:r w:rsidRPr="00BB6030">
        <w:rPr>
          <w:rFonts w:ascii="Century Gothic" w:hAnsi="Century Gothic" w:cs="Arial"/>
          <w:sz w:val="16"/>
          <w:szCs w:val="16"/>
        </w:rPr>
        <w:t>. Alberto Rojas Ríos).</w:t>
      </w:r>
    </w:p>
  </w:footnote>
  <w:footnote w:id="29">
    <w:p w14:paraId="65DD98E3" w14:textId="77777777" w:rsidR="0043170B" w:rsidRPr="00BB6030" w:rsidRDefault="0043170B" w:rsidP="0043170B">
      <w:pPr>
        <w:pStyle w:val="Textonotapie"/>
        <w:ind w:firstLine="709"/>
        <w:contextualSpacing/>
        <w:jc w:val="both"/>
        <w:rPr>
          <w:rFonts w:ascii="Century Gothic" w:hAnsi="Century Gothic" w:cs="Arial"/>
          <w:sz w:val="16"/>
          <w:szCs w:val="16"/>
        </w:rPr>
      </w:pPr>
      <w:r w:rsidRPr="00BB6030">
        <w:rPr>
          <w:rStyle w:val="Refdenotaalpie"/>
          <w:rFonts w:ascii="Century Gothic" w:hAnsi="Century Gothic" w:cs="Arial"/>
          <w:sz w:val="16"/>
          <w:szCs w:val="16"/>
        </w:rPr>
        <w:footnoteRef/>
      </w:r>
      <w:r w:rsidRPr="00BB6030">
        <w:rPr>
          <w:rFonts w:ascii="Century Gothic" w:hAnsi="Century Gothic" w:cs="Arial"/>
          <w:sz w:val="16"/>
          <w:szCs w:val="16"/>
        </w:rPr>
        <w:t xml:space="preserve"> Consejo de Estado. Sala de Consulta y Servicio Civil. Concepto del 15 de noviembre de 2007. Expediente número 1863. Consejero Ponente: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 xml:space="preserve">FORMATO </w:t>
    </w:r>
    <w:proofErr w:type="spellStart"/>
    <w:r w:rsidRPr="004A305D">
      <w:rPr>
        <w:rFonts w:ascii="Century Gothic" w:hAnsi="Century Gothic"/>
        <w:color w:val="002060"/>
        <w:sz w:val="16"/>
        <w:szCs w:val="16"/>
      </w:rPr>
      <w:t>PQRSD</w:t>
    </w:r>
    <w:proofErr w:type="spellEnd"/>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proofErr w:type="spellStart"/>
    <w:r w:rsidRPr="004A305D">
      <w:rPr>
        <w:rFonts w:ascii="Century Gothic" w:eastAsia="Geo" w:hAnsi="Century Gothic" w:cs="Geo"/>
        <w:bCs/>
        <w:color w:val="000000"/>
        <w:sz w:val="16"/>
        <w:szCs w:val="16"/>
        <w:lang w:eastAsia="es-CO"/>
      </w:rPr>
      <w:t>CCE</w:t>
    </w:r>
    <w:proofErr w:type="spellEnd"/>
    <w:r w:rsidRPr="004A305D">
      <w:rPr>
        <w:rFonts w:ascii="Century Gothic" w:eastAsia="Geo" w:hAnsi="Century Gothic" w:cs="Geo"/>
        <w:bCs/>
        <w:color w:val="000000"/>
        <w:sz w:val="16"/>
        <w:szCs w:val="16"/>
        <w:lang w:eastAsia="es-CO"/>
      </w:rPr>
      <w:t>-</w:t>
    </w:r>
    <w:proofErr w:type="spellStart"/>
    <w:r w:rsidR="00CB6357">
      <w:rPr>
        <w:rFonts w:ascii="Century Gothic" w:eastAsia="Geo" w:hAnsi="Century Gothic" w:cs="Geo"/>
        <w:bCs/>
        <w:color w:val="000000"/>
        <w:sz w:val="16"/>
        <w:szCs w:val="16"/>
        <w:lang w:eastAsia="es-CO"/>
      </w:rPr>
      <w:t>REC</w:t>
    </w:r>
    <w:proofErr w:type="spellEnd"/>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20561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7233"/>
    <w:rsid w:val="001E4177"/>
    <w:rsid w:val="002186F0"/>
    <w:rsid w:val="002951A0"/>
    <w:rsid w:val="002962BC"/>
    <w:rsid w:val="002A49AC"/>
    <w:rsid w:val="002A64FD"/>
    <w:rsid w:val="002C7A84"/>
    <w:rsid w:val="003A779E"/>
    <w:rsid w:val="003D0F4D"/>
    <w:rsid w:val="003E0499"/>
    <w:rsid w:val="003F3941"/>
    <w:rsid w:val="0043170B"/>
    <w:rsid w:val="004A1847"/>
    <w:rsid w:val="004A305D"/>
    <w:rsid w:val="004F21C4"/>
    <w:rsid w:val="004F685F"/>
    <w:rsid w:val="005566E8"/>
    <w:rsid w:val="00574867"/>
    <w:rsid w:val="005C5CDC"/>
    <w:rsid w:val="005D476C"/>
    <w:rsid w:val="006219F8"/>
    <w:rsid w:val="00665D70"/>
    <w:rsid w:val="00691906"/>
    <w:rsid w:val="00706C16"/>
    <w:rsid w:val="007455AB"/>
    <w:rsid w:val="00756841"/>
    <w:rsid w:val="007649AB"/>
    <w:rsid w:val="007833AC"/>
    <w:rsid w:val="007C3DC2"/>
    <w:rsid w:val="007E5497"/>
    <w:rsid w:val="00806F5F"/>
    <w:rsid w:val="00820278"/>
    <w:rsid w:val="00840301"/>
    <w:rsid w:val="008843B6"/>
    <w:rsid w:val="00891928"/>
    <w:rsid w:val="008A446D"/>
    <w:rsid w:val="008F0EA7"/>
    <w:rsid w:val="008F54C3"/>
    <w:rsid w:val="009123BC"/>
    <w:rsid w:val="00923EEF"/>
    <w:rsid w:val="009419F9"/>
    <w:rsid w:val="00961B09"/>
    <w:rsid w:val="00965334"/>
    <w:rsid w:val="0097093E"/>
    <w:rsid w:val="00992F77"/>
    <w:rsid w:val="009C71FA"/>
    <w:rsid w:val="009C72E7"/>
    <w:rsid w:val="00A17F13"/>
    <w:rsid w:val="00A20739"/>
    <w:rsid w:val="00A33C78"/>
    <w:rsid w:val="00A85CB2"/>
    <w:rsid w:val="00AA7BC6"/>
    <w:rsid w:val="00AB0ADB"/>
    <w:rsid w:val="00AE5061"/>
    <w:rsid w:val="00AF6B70"/>
    <w:rsid w:val="00B27B75"/>
    <w:rsid w:val="00B72CD3"/>
    <w:rsid w:val="00B72FFF"/>
    <w:rsid w:val="00BB6030"/>
    <w:rsid w:val="00BD7F72"/>
    <w:rsid w:val="00C330EB"/>
    <w:rsid w:val="00C66803"/>
    <w:rsid w:val="00C754BE"/>
    <w:rsid w:val="00CB6357"/>
    <w:rsid w:val="00CC1B26"/>
    <w:rsid w:val="00D423A2"/>
    <w:rsid w:val="00D63AC2"/>
    <w:rsid w:val="00D7383B"/>
    <w:rsid w:val="00E16408"/>
    <w:rsid w:val="00E20894"/>
    <w:rsid w:val="00E245AB"/>
    <w:rsid w:val="00E50AFE"/>
    <w:rsid w:val="00E771DC"/>
    <w:rsid w:val="00E84610"/>
    <w:rsid w:val="00E8772A"/>
    <w:rsid w:val="00E90F6B"/>
    <w:rsid w:val="00E92C27"/>
    <w:rsid w:val="00EA0E3D"/>
    <w:rsid w:val="00EE1AA8"/>
    <w:rsid w:val="00F31EDC"/>
    <w:rsid w:val="00F5664F"/>
    <w:rsid w:val="00F57C8D"/>
    <w:rsid w:val="00F76AFC"/>
    <w:rsid w:val="00FB5DD1"/>
    <w:rsid w:val="00FC2B5D"/>
    <w:rsid w:val="00FF1449"/>
    <w:rsid w:val="13773902"/>
    <w:rsid w:val="1FADAE9C"/>
    <w:rsid w:val="305AA4FD"/>
    <w:rsid w:val="4B6E7724"/>
    <w:rsid w:val="7B912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43170B"/>
    <w:rPr>
      <w:color w:val="0563C1" w:themeColor="hyperlink"/>
      <w:u w:val="single"/>
    </w:rPr>
  </w:style>
  <w:style w:type="paragraph" w:customStyle="1" w:styleId="Appelnotedebasde">
    <w:name w:val="Appel note de bas de..."/>
    <w:basedOn w:val="Normal"/>
    <w:link w:val="Refdenotaalpie"/>
    <w:uiPriority w:val="99"/>
    <w:rsid w:val="0043170B"/>
    <w:pPr>
      <w:spacing w:line="240" w:lineRule="exact"/>
    </w:pPr>
    <w:rPr>
      <w:vertAlign w:val="superscript"/>
    </w:rPr>
  </w:style>
  <w:style w:type="paragraph" w:styleId="NormalWeb">
    <w:name w:val="Normal (Web)"/>
    <w:basedOn w:val="Normal"/>
    <w:link w:val="NormalWebCar"/>
    <w:uiPriority w:val="99"/>
    <w:unhideWhenUsed/>
    <w:rsid w:val="0043170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43170B"/>
    <w:rPr>
      <w:rFonts w:ascii="Times New Roman" w:eastAsia="Times New Roman" w:hAnsi="Times New Roman" w:cs="Times New Roman"/>
      <w:sz w:val="24"/>
      <w:szCs w:val="24"/>
      <w:lang w:eastAsia="es-CO"/>
    </w:rPr>
  </w:style>
  <w:style w:type="character" w:customStyle="1" w:styleId="baj">
    <w:name w:val="b_aj"/>
    <w:basedOn w:val="Fuentedeprrafopredeter"/>
    <w:rsid w:val="0043170B"/>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3170B"/>
    <w:rPr>
      <w:rFonts w:ascii="Geomanist Light" w:hAnsi="Geomanist Light"/>
      <w:lang w:val="es-ES"/>
    </w:rPr>
  </w:style>
  <w:style w:type="paragraph" w:styleId="Textoindependiente">
    <w:name w:val="Body Text"/>
    <w:basedOn w:val="Normal"/>
    <w:link w:val="TextoindependienteCar"/>
    <w:uiPriority w:val="1"/>
    <w:qFormat/>
    <w:rsid w:val="0043170B"/>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43170B"/>
    <w:rPr>
      <w:rFonts w:ascii="Arial" w:eastAsia="Arial" w:hAnsi="Arial" w:cs="Arial"/>
      <w:lang w:val="es-ES"/>
    </w:rPr>
  </w:style>
  <w:style w:type="character" w:customStyle="1" w:styleId="eop">
    <w:name w:val="eop"/>
    <w:basedOn w:val="Fuentedeprrafopredeter"/>
    <w:rsid w:val="0043170B"/>
  </w:style>
  <w:style w:type="paragraph" w:customStyle="1" w:styleId="paragraph">
    <w:name w:val="paragraph"/>
    <w:basedOn w:val="Normal"/>
    <w:rsid w:val="0043170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findhit">
    <w:name w:val="findhit"/>
    <w:basedOn w:val="Fuentedeprrafopredeter"/>
    <w:rsid w:val="0043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90342">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ncionpublica.gov.co/eva/gestornormativo/norma.php?i=2567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489_1998_pr002.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FB756896-530F-40BB-BCA3-6F515E615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30</Pages>
  <Words>10212</Words>
  <Characters>56168</Characters>
  <Application>Microsoft Office Word</Application>
  <DocSecurity>0</DocSecurity>
  <Lines>468</Lines>
  <Paragraphs>132</Paragraphs>
  <ScaleCrop>false</ScaleCrop>
  <Company/>
  <LinksUpToDate>false</LinksUpToDate>
  <CharactersWithSpaces>66248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ANCP-CCE-</cp:lastModifiedBy>
  <cp:revision>8</cp:revision>
  <cp:lastPrinted>2023-01-10T21:18:00Z</cp:lastPrinted>
  <dcterms:created xsi:type="dcterms:W3CDTF">2023-07-04T15:39:00Z</dcterms:created>
  <dcterms:modified xsi:type="dcterms:W3CDTF">2023-08-10T15:10:00Z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