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0E18" w14:textId="77777777" w:rsidR="007D1132" w:rsidRPr="007D1132" w:rsidRDefault="007D1132" w:rsidP="007D1132">
      <w:pPr>
        <w:spacing w:after="0" w:line="240" w:lineRule="auto"/>
        <w:jc w:val="both"/>
        <w:rPr>
          <w:rFonts w:ascii="Century Gothic" w:eastAsia="Arial" w:hAnsi="Century Gothic" w:cs="Arial"/>
          <w:color w:val="000000"/>
        </w:rPr>
      </w:pPr>
      <w:bookmarkStart w:id="0" w:name="_Hlk94281581"/>
      <w:bookmarkStart w:id="1" w:name="_Hlk102489058"/>
      <w:bookmarkStart w:id="2" w:name="_Hlk34951122"/>
      <w:r w:rsidRPr="007D1132">
        <w:rPr>
          <w:rFonts w:ascii="Century Gothic" w:eastAsia="Arial" w:hAnsi="Century Gothic" w:cs="Arial"/>
          <w:b/>
          <w:color w:val="000000"/>
        </w:rPr>
        <w:t xml:space="preserve">PRINCIPIO DE SELECCIÓN OBJETIVA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Fundamento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Alcance</w:t>
      </w:r>
    </w:p>
    <w:p w14:paraId="16B676E1" w14:textId="77777777" w:rsidR="007D1132" w:rsidRPr="007D1132" w:rsidRDefault="007D1132" w:rsidP="007D1132">
      <w:pPr>
        <w:spacing w:after="0" w:line="240" w:lineRule="auto"/>
        <w:jc w:val="both"/>
        <w:rPr>
          <w:rFonts w:ascii="Century Gothic" w:eastAsia="Arial" w:hAnsi="Century Gothic" w:cs="Arial"/>
          <w:color w:val="000000"/>
        </w:rPr>
      </w:pPr>
    </w:p>
    <w:p w14:paraId="70FB4624" w14:textId="77777777" w:rsidR="007D1132" w:rsidRPr="007D1132" w:rsidRDefault="007D1132" w:rsidP="007D1132">
      <w:pPr>
        <w:spacing w:after="0" w:line="240" w:lineRule="auto"/>
        <w:jc w:val="both"/>
        <w:rPr>
          <w:rFonts w:ascii="Century Gothic" w:eastAsia="Arial" w:hAnsi="Century Gothic" w:cs="Arial"/>
          <w:color w:val="000000"/>
          <w:sz w:val="20"/>
          <w:szCs w:val="20"/>
        </w:rPr>
      </w:pPr>
      <w:r w:rsidRPr="007D1132">
        <w:rPr>
          <w:rFonts w:ascii="Century Gothic" w:eastAsia="Arial" w:hAnsi="Century Gothic" w:cs="Arial"/>
          <w:color w:val="000000"/>
          <w:sz w:val="20"/>
          <w:szCs w:val="20"/>
        </w:rPr>
        <w:t>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subsanabilidad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7D1132">
        <w:rPr>
          <w:rFonts w:ascii="Century Gothic" w:eastAsia="Arial" w:hAnsi="Century Gothic" w:cs="Arial"/>
          <w:color w:val="000000"/>
          <w:sz w:val="20"/>
          <w:szCs w:val="20"/>
        </w:rPr>
        <w:tab/>
      </w:r>
    </w:p>
    <w:p w14:paraId="72BEB9F4" w14:textId="77777777" w:rsidR="007D1132" w:rsidRPr="007D1132" w:rsidRDefault="007D1132" w:rsidP="007D1132">
      <w:pPr>
        <w:spacing w:after="0" w:line="240" w:lineRule="auto"/>
        <w:jc w:val="both"/>
        <w:rPr>
          <w:rFonts w:ascii="Century Gothic" w:eastAsia="Arial" w:hAnsi="Century Gothic" w:cs="Arial"/>
          <w:color w:val="000000"/>
        </w:rPr>
      </w:pPr>
    </w:p>
    <w:p w14:paraId="19F0AE9E" w14:textId="77777777" w:rsidR="007D1132" w:rsidRPr="007D1132" w:rsidRDefault="007D1132" w:rsidP="007D1132">
      <w:pPr>
        <w:spacing w:after="0" w:line="240" w:lineRule="auto"/>
        <w:jc w:val="both"/>
        <w:rPr>
          <w:rFonts w:ascii="Century Gothic" w:eastAsia="Arial" w:hAnsi="Century Gothic" w:cs="Arial"/>
          <w:b/>
          <w:color w:val="000000"/>
        </w:rPr>
      </w:pPr>
      <w:r w:rsidRPr="007D1132">
        <w:rPr>
          <w:rFonts w:ascii="Century Gothic" w:eastAsia="Arial" w:hAnsi="Century Gothic" w:cs="Arial"/>
          <w:b/>
          <w:color w:val="000000"/>
        </w:rPr>
        <w:t xml:space="preserve">SUBSANABILIDAD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Concepto de unificación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Aplicación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Improcedencia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Circunstancias posteriores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Cierre del proceso</w:t>
      </w:r>
    </w:p>
    <w:p w14:paraId="4167A94F" w14:textId="77777777" w:rsidR="007D1132" w:rsidRPr="007D1132" w:rsidRDefault="007D1132" w:rsidP="007D1132">
      <w:pPr>
        <w:spacing w:after="0" w:line="240" w:lineRule="auto"/>
        <w:jc w:val="both"/>
        <w:rPr>
          <w:rFonts w:ascii="Century Gothic" w:eastAsia="Arial" w:hAnsi="Century Gothic" w:cs="Arial"/>
          <w:color w:val="000000"/>
        </w:rPr>
      </w:pPr>
    </w:p>
    <w:p w14:paraId="40D7013C" w14:textId="77777777" w:rsidR="007D1132" w:rsidRPr="007D1132" w:rsidRDefault="007D1132" w:rsidP="007D1132">
      <w:pPr>
        <w:spacing w:after="0" w:line="240" w:lineRule="auto"/>
        <w:jc w:val="both"/>
        <w:rPr>
          <w:rFonts w:ascii="Century Gothic" w:eastAsia="Arial" w:hAnsi="Century Gothic" w:cs="Arial"/>
          <w:color w:val="000000"/>
          <w:sz w:val="20"/>
          <w:szCs w:val="20"/>
        </w:rPr>
      </w:pPr>
      <w:r w:rsidRPr="007D1132">
        <w:rPr>
          <w:rFonts w:ascii="Century Gothic" w:eastAsia="Arial" w:hAnsi="Century Gothic" w:cs="Arial"/>
          <w:color w:val="000000"/>
          <w:sz w:val="20"/>
          <w:szCs w:val="20"/>
        </w:rPr>
        <w:t xml:space="preserve">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w:t>
      </w:r>
      <w:r w:rsidRPr="007D1132">
        <w:rPr>
          <w:rFonts w:ascii="Century Gothic" w:eastAsia="Arial" w:hAnsi="Century Gothic" w:cs="Arial"/>
          <w:color w:val="000000"/>
          <w:sz w:val="20"/>
          <w:szCs w:val="20"/>
        </w:rPr>
        <w:lastRenderedPageBreak/>
        <w:t>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135723DB" w14:textId="77777777" w:rsidR="007D1132" w:rsidRPr="007D1132" w:rsidRDefault="007D1132" w:rsidP="007D1132">
      <w:pPr>
        <w:spacing w:after="0" w:line="240" w:lineRule="auto"/>
        <w:jc w:val="both"/>
        <w:rPr>
          <w:rFonts w:ascii="Century Gothic" w:eastAsia="Arial" w:hAnsi="Century Gothic" w:cs="Arial"/>
          <w:color w:val="000000"/>
          <w:sz w:val="20"/>
          <w:szCs w:val="20"/>
        </w:rPr>
      </w:pPr>
    </w:p>
    <w:p w14:paraId="11073FDC" w14:textId="77777777" w:rsidR="007D1132" w:rsidRPr="007D1132" w:rsidRDefault="007D1132" w:rsidP="007D1132">
      <w:pPr>
        <w:spacing w:after="0" w:line="240" w:lineRule="auto"/>
        <w:jc w:val="both"/>
        <w:rPr>
          <w:rFonts w:ascii="Century Gothic" w:eastAsia="Arial" w:hAnsi="Century Gothic" w:cs="Arial"/>
          <w:color w:val="000000"/>
        </w:rPr>
      </w:pPr>
      <w:r w:rsidRPr="007D1132">
        <w:rPr>
          <w:rFonts w:ascii="Century Gothic" w:eastAsia="Arial" w:hAnsi="Century Gothic" w:cs="Arial"/>
          <w:b/>
          <w:color w:val="000000"/>
        </w:rPr>
        <w:t xml:space="preserve">SUBSANABILIDAD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Oportunidad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Traslado </w:t>
      </w:r>
      <w:r w:rsidRPr="007D1132">
        <w:rPr>
          <w:rFonts w:ascii="Century Gothic" w:eastAsia="Arial" w:hAnsi="Century Gothic" w:cs="Arial"/>
          <w:b/>
          <w:color w:val="000000"/>
          <w:sz w:val="20"/>
          <w:szCs w:val="20"/>
        </w:rPr>
        <w:t>–</w:t>
      </w:r>
      <w:r w:rsidRPr="007D1132">
        <w:rPr>
          <w:rFonts w:ascii="Century Gothic" w:eastAsia="Arial" w:hAnsi="Century Gothic" w:cs="Arial"/>
          <w:b/>
          <w:color w:val="000000"/>
        </w:rPr>
        <w:t xml:space="preserve"> Informe de evaluación </w:t>
      </w:r>
    </w:p>
    <w:p w14:paraId="5E299058" w14:textId="77777777" w:rsidR="007D1132" w:rsidRPr="007D1132" w:rsidRDefault="007D1132" w:rsidP="007D1132">
      <w:pPr>
        <w:spacing w:after="0" w:line="240" w:lineRule="auto"/>
        <w:jc w:val="both"/>
        <w:rPr>
          <w:rFonts w:ascii="Century Gothic" w:eastAsia="Arial" w:hAnsi="Century Gothic" w:cs="Arial"/>
          <w:color w:val="000000"/>
          <w:sz w:val="20"/>
          <w:szCs w:val="20"/>
        </w:rPr>
      </w:pPr>
    </w:p>
    <w:p w14:paraId="7B936D5C" w14:textId="77777777" w:rsidR="007D1132" w:rsidRPr="007D1132" w:rsidRDefault="007D1132" w:rsidP="007D1132">
      <w:pPr>
        <w:spacing w:after="0" w:line="240" w:lineRule="auto"/>
        <w:jc w:val="both"/>
        <w:rPr>
          <w:rFonts w:ascii="Century Gothic" w:eastAsia="Arial" w:hAnsi="Century Gothic" w:cs="Arial"/>
          <w:color w:val="000000"/>
          <w:sz w:val="20"/>
          <w:szCs w:val="20"/>
        </w:rPr>
      </w:pPr>
      <w:r w:rsidRPr="007D1132">
        <w:rPr>
          <w:rFonts w:ascii="Century Gothic" w:eastAsia="Arial" w:hAnsi="Century Gothic" w:cs="Arial"/>
          <w:color w:val="000000"/>
          <w:sz w:val="20"/>
          <w:szCs w:val="20"/>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 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 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142E9594" w14:textId="77777777" w:rsidR="007D1132" w:rsidRDefault="007D1132" w:rsidP="00824A3B">
      <w:pPr>
        <w:spacing w:after="0"/>
        <w:rPr>
          <w:rFonts w:ascii="Century Gothic" w:eastAsia="Geomanist Light" w:hAnsi="Century Gothic" w:cs="Arial"/>
          <w:color w:val="000000" w:themeColor="text1"/>
          <w:lang w:val="es-MX"/>
        </w:rPr>
      </w:pPr>
    </w:p>
    <w:p w14:paraId="0C656E92" w14:textId="77777777" w:rsidR="007D1132" w:rsidRDefault="007D1132" w:rsidP="00824A3B">
      <w:pPr>
        <w:spacing w:after="0"/>
        <w:rPr>
          <w:rFonts w:ascii="Century Gothic" w:eastAsia="Geomanist Light" w:hAnsi="Century Gothic" w:cs="Arial"/>
          <w:color w:val="000000" w:themeColor="text1"/>
          <w:lang w:val="es-MX"/>
        </w:rPr>
      </w:pPr>
    </w:p>
    <w:p w14:paraId="467F32C6" w14:textId="77777777" w:rsidR="007D1132" w:rsidRDefault="007D1132" w:rsidP="00824A3B">
      <w:pPr>
        <w:spacing w:after="0"/>
        <w:rPr>
          <w:rFonts w:ascii="Century Gothic" w:eastAsia="Geomanist Light" w:hAnsi="Century Gothic" w:cs="Arial"/>
          <w:color w:val="000000" w:themeColor="text1"/>
          <w:lang w:val="es-MX"/>
        </w:rPr>
      </w:pPr>
    </w:p>
    <w:p w14:paraId="59AC10D4" w14:textId="77777777" w:rsidR="007D1132" w:rsidRDefault="007D1132" w:rsidP="00824A3B">
      <w:pPr>
        <w:spacing w:after="0"/>
        <w:rPr>
          <w:rFonts w:ascii="Century Gothic" w:eastAsia="Geomanist Light" w:hAnsi="Century Gothic" w:cs="Arial"/>
          <w:color w:val="000000" w:themeColor="text1"/>
          <w:lang w:val="es-MX"/>
        </w:rPr>
      </w:pPr>
    </w:p>
    <w:p w14:paraId="7BDEE0C9" w14:textId="77777777" w:rsidR="007D1132" w:rsidRDefault="007D1132" w:rsidP="00824A3B">
      <w:pPr>
        <w:spacing w:after="0"/>
        <w:rPr>
          <w:rFonts w:ascii="Century Gothic" w:eastAsia="Geomanist Light" w:hAnsi="Century Gothic" w:cs="Arial"/>
          <w:color w:val="000000" w:themeColor="text1"/>
          <w:lang w:val="es-MX"/>
        </w:rPr>
      </w:pPr>
    </w:p>
    <w:p w14:paraId="4BE8B45A" w14:textId="77777777" w:rsidR="007D1132" w:rsidRDefault="007D1132" w:rsidP="00824A3B">
      <w:pPr>
        <w:spacing w:after="0"/>
        <w:rPr>
          <w:rFonts w:ascii="Century Gothic" w:eastAsia="Geomanist Light" w:hAnsi="Century Gothic" w:cs="Arial"/>
          <w:color w:val="000000" w:themeColor="text1"/>
          <w:lang w:val="es-MX"/>
        </w:rPr>
      </w:pPr>
    </w:p>
    <w:p w14:paraId="0D07A2DA" w14:textId="77777777" w:rsidR="007D1132" w:rsidRDefault="007D1132" w:rsidP="00824A3B">
      <w:pPr>
        <w:spacing w:after="0"/>
        <w:rPr>
          <w:rFonts w:ascii="Century Gothic" w:eastAsia="Geomanist Light" w:hAnsi="Century Gothic" w:cs="Arial"/>
          <w:color w:val="000000" w:themeColor="text1"/>
          <w:lang w:val="es-MX"/>
        </w:rPr>
      </w:pPr>
    </w:p>
    <w:p w14:paraId="74A93393" w14:textId="77777777" w:rsidR="007D1132" w:rsidRDefault="007D1132" w:rsidP="00824A3B">
      <w:pPr>
        <w:spacing w:after="0"/>
        <w:rPr>
          <w:rFonts w:ascii="Century Gothic" w:eastAsia="Geomanist Light" w:hAnsi="Century Gothic" w:cs="Arial"/>
          <w:color w:val="000000" w:themeColor="text1"/>
          <w:lang w:val="es-MX"/>
        </w:rPr>
      </w:pPr>
    </w:p>
    <w:p w14:paraId="3617D3B8" w14:textId="77777777" w:rsidR="007D1132" w:rsidRDefault="007D1132" w:rsidP="00824A3B">
      <w:pPr>
        <w:spacing w:after="0"/>
        <w:rPr>
          <w:rFonts w:ascii="Century Gothic" w:eastAsia="Geomanist Light" w:hAnsi="Century Gothic" w:cs="Arial"/>
          <w:color w:val="000000" w:themeColor="text1"/>
          <w:lang w:val="es-MX"/>
        </w:rPr>
      </w:pPr>
    </w:p>
    <w:p w14:paraId="720438A7" w14:textId="77777777" w:rsidR="007D1132" w:rsidRDefault="007D1132" w:rsidP="00824A3B">
      <w:pPr>
        <w:spacing w:after="0"/>
        <w:rPr>
          <w:rFonts w:ascii="Century Gothic" w:eastAsia="Geomanist Light" w:hAnsi="Century Gothic" w:cs="Arial"/>
          <w:color w:val="000000" w:themeColor="text1"/>
          <w:lang w:val="es-MX"/>
        </w:rPr>
      </w:pPr>
    </w:p>
    <w:p w14:paraId="06EC49CD" w14:textId="77777777" w:rsidR="007D1132" w:rsidRDefault="007D1132" w:rsidP="00824A3B">
      <w:pPr>
        <w:spacing w:after="0"/>
        <w:rPr>
          <w:rFonts w:ascii="Century Gothic" w:eastAsia="Geomanist Light" w:hAnsi="Century Gothic" w:cs="Arial"/>
          <w:color w:val="000000" w:themeColor="text1"/>
          <w:lang w:val="es-MX"/>
        </w:rPr>
      </w:pPr>
    </w:p>
    <w:p w14:paraId="276C4772" w14:textId="2A4F7D1B" w:rsidR="00824A3B" w:rsidRDefault="00824A3B" w:rsidP="00824A3B">
      <w:pPr>
        <w:spacing w:after="0"/>
        <w:rPr>
          <w:rFonts w:ascii="Century Gothic" w:eastAsia="Geomanist Light" w:hAnsi="Century Gothic" w:cs="Arial"/>
          <w:color w:val="201F1E"/>
          <w:lang w:val="es-MX"/>
        </w:rPr>
      </w:pPr>
      <w:r w:rsidRPr="003439D8">
        <w:rPr>
          <w:rFonts w:ascii="Century Gothic" w:eastAsia="Geomanist Light" w:hAnsi="Century Gothic" w:cs="Arial"/>
          <w:color w:val="000000" w:themeColor="text1"/>
          <w:lang w:val="es-MX"/>
        </w:rPr>
        <w:lastRenderedPageBreak/>
        <w:t>Bogotá D.C., </w:t>
      </w:r>
      <w:r w:rsidR="000D0ED5" w:rsidRPr="000D0ED5">
        <w:rPr>
          <w:rFonts w:ascii="Century Gothic" w:eastAsia="Geomanist Light" w:hAnsi="Century Gothic" w:cs="Arial"/>
          <w:color w:val="000000" w:themeColor="text1"/>
          <w:lang w:val="es-MX"/>
        </w:rPr>
        <w:t>04 de Julio de 2023</w:t>
      </w:r>
      <w:r w:rsidRPr="003439D8">
        <w:rPr>
          <w:rFonts w:ascii="Century Gothic" w:eastAsia="Geomanist Light" w:hAnsi="Century Gothic" w:cs="Arial"/>
          <w:color w:val="201F1E"/>
          <w:lang w:val="es-MX"/>
        </w:rPr>
        <w:t xml:space="preserve"> </w:t>
      </w:r>
      <w:r w:rsidRPr="003439D8">
        <w:rPr>
          <w:rFonts w:ascii="Century Gothic" w:eastAsia="Geomanist Light" w:hAnsi="Century Gothic" w:cs="Arial"/>
          <w:color w:val="201F1E"/>
          <w:lang w:val="es-MX"/>
        </w:rPr>
        <w:cr/>
      </w:r>
    </w:p>
    <w:p w14:paraId="33A2BD01" w14:textId="182C7C7D" w:rsidR="00710BE6" w:rsidRPr="003439D8" w:rsidRDefault="00710BE6" w:rsidP="00710BE6">
      <w:pPr>
        <w:spacing w:after="0"/>
        <w:jc w:val="right"/>
        <w:rPr>
          <w:rFonts w:ascii="Century Gothic" w:eastAsia="Times New Roman" w:hAnsi="Century Gothic" w:cs="Arial"/>
          <w:bCs/>
          <w:lang w:val="es-MX" w:eastAsia="es-ES"/>
        </w:rPr>
      </w:pPr>
      <w:r>
        <w:rPr>
          <w:rFonts w:ascii="Century Gothic" w:eastAsia="Times New Roman" w:hAnsi="Century Gothic" w:cs="Arial"/>
          <w:bCs/>
          <w:noProof/>
          <w:lang w:val="es-MX" w:eastAsia="es-ES"/>
        </w:rPr>
        <w:drawing>
          <wp:inline distT="0" distB="0" distL="0" distR="0" wp14:anchorId="22C37EEE" wp14:editId="31B21716">
            <wp:extent cx="2943225" cy="695325"/>
            <wp:effectExtent l="0" t="0" r="9525" b="9525"/>
            <wp:docPr id="656788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695325"/>
                    </a:xfrm>
                    <a:prstGeom prst="rect">
                      <a:avLst/>
                    </a:prstGeom>
                    <a:noFill/>
                    <a:ln>
                      <a:noFill/>
                    </a:ln>
                  </pic:spPr>
                </pic:pic>
              </a:graphicData>
            </a:graphic>
          </wp:inline>
        </w:drawing>
      </w:r>
    </w:p>
    <w:p w14:paraId="7FFDB18F" w14:textId="77777777" w:rsidR="00824A3B" w:rsidRPr="003439D8" w:rsidRDefault="00824A3B" w:rsidP="00824A3B">
      <w:pPr>
        <w:spacing w:after="0"/>
        <w:contextualSpacing/>
        <w:jc w:val="both"/>
        <w:rPr>
          <w:rFonts w:ascii="Century Gothic" w:eastAsia="Calibri" w:hAnsi="Century Gothic" w:cs="Arial"/>
          <w:lang w:val="es-ES_tradnl" w:eastAsia="es-ES_tradnl"/>
        </w:rPr>
      </w:pPr>
    </w:p>
    <w:p w14:paraId="4291B049" w14:textId="77777777" w:rsidR="00824A3B" w:rsidRPr="003439D8" w:rsidRDefault="00824A3B" w:rsidP="00824A3B">
      <w:pPr>
        <w:contextualSpacing/>
        <w:jc w:val="both"/>
        <w:rPr>
          <w:rFonts w:ascii="Century Gothic" w:eastAsia="Calibri" w:hAnsi="Century Gothic" w:cs="Arial"/>
          <w:lang w:eastAsia="es-ES_tradnl"/>
        </w:rPr>
      </w:pPr>
      <w:r w:rsidRPr="003439D8">
        <w:rPr>
          <w:rFonts w:ascii="Century Gothic" w:eastAsia="Calibri" w:hAnsi="Century Gothic" w:cs="Arial"/>
          <w:lang w:eastAsia="es-ES_tradnl"/>
        </w:rPr>
        <w:t>Señor</w:t>
      </w:r>
    </w:p>
    <w:p w14:paraId="6A24CBBD" w14:textId="77777777" w:rsidR="00824A3B" w:rsidRPr="003439D8" w:rsidRDefault="00824A3B" w:rsidP="00824A3B">
      <w:pPr>
        <w:contextualSpacing/>
        <w:jc w:val="both"/>
        <w:rPr>
          <w:rFonts w:ascii="Century Gothic" w:eastAsia="Calibri" w:hAnsi="Century Gothic" w:cs="Arial"/>
          <w:b/>
          <w:lang w:eastAsia="es-ES_tradnl"/>
        </w:rPr>
      </w:pPr>
      <w:r w:rsidRPr="003439D8">
        <w:rPr>
          <w:rFonts w:ascii="Century Gothic" w:eastAsia="Calibri" w:hAnsi="Century Gothic" w:cs="Arial"/>
          <w:b/>
          <w:lang w:eastAsia="es-ES_tradnl"/>
        </w:rPr>
        <w:t>Carlos Alberto Rodríguez Casas</w:t>
      </w:r>
    </w:p>
    <w:p w14:paraId="20A90F18" w14:textId="77777777" w:rsidR="00824A3B" w:rsidRPr="003439D8" w:rsidRDefault="00824A3B" w:rsidP="00824A3B">
      <w:pPr>
        <w:contextualSpacing/>
        <w:jc w:val="both"/>
        <w:rPr>
          <w:rFonts w:ascii="Century Gothic" w:eastAsia="Calibri" w:hAnsi="Century Gothic" w:cs="Arial"/>
          <w:bCs/>
          <w:lang w:eastAsia="es-ES_tradnl"/>
        </w:rPr>
      </w:pPr>
      <w:r w:rsidRPr="003439D8">
        <w:rPr>
          <w:rFonts w:ascii="Century Gothic" w:eastAsia="Geomanist Light" w:hAnsi="Century Gothic" w:cs="Arial"/>
          <w:color w:val="000000" w:themeColor="text1"/>
          <w:lang w:val="es-MX"/>
        </w:rPr>
        <w:t>Bogotá D.C.</w:t>
      </w:r>
    </w:p>
    <w:p w14:paraId="10B4C1BF" w14:textId="77777777" w:rsidR="00824A3B" w:rsidRPr="003439D8" w:rsidRDefault="00824A3B" w:rsidP="00824A3B">
      <w:pPr>
        <w:contextualSpacing/>
        <w:jc w:val="both"/>
        <w:rPr>
          <w:rFonts w:ascii="Century Gothic" w:eastAsia="Calibri" w:hAnsi="Century Gothic" w:cs="Arial"/>
          <w:lang w:val="es-ES_tradnl" w:eastAsia="es-ES_tradnl"/>
        </w:rPr>
      </w:pPr>
    </w:p>
    <w:p w14:paraId="01796E71" w14:textId="77777777" w:rsidR="00824A3B" w:rsidRPr="003439D8" w:rsidRDefault="00824A3B" w:rsidP="00824A3B">
      <w:pPr>
        <w:contextualSpacing/>
        <w:rPr>
          <w:rFonts w:ascii="Century Gothic" w:eastAsia="Calibri" w:hAnsi="Century Gothic" w:cs="Arial"/>
          <w:b/>
          <w:bCs/>
          <w:lang w:val="es-ES_tradnl" w:eastAsia="es-ES_tradnl"/>
        </w:rPr>
      </w:pPr>
    </w:p>
    <w:p w14:paraId="2A8EA56A" w14:textId="77777777" w:rsidR="00824A3B" w:rsidRPr="003439D8" w:rsidRDefault="00824A3B" w:rsidP="00824A3B">
      <w:pPr>
        <w:ind w:left="2124" w:firstLine="570"/>
        <w:contextualSpacing/>
        <w:rPr>
          <w:rFonts w:ascii="Century Gothic" w:eastAsia="Calibri" w:hAnsi="Century Gothic" w:cs="Arial"/>
          <w:b/>
          <w:bCs/>
          <w:lang w:val="es-ES_tradnl" w:eastAsia="es-ES_tradnl"/>
        </w:rPr>
      </w:pPr>
      <w:r w:rsidRPr="003439D8">
        <w:rPr>
          <w:rFonts w:ascii="Century Gothic" w:eastAsia="Calibri" w:hAnsi="Century Gothic" w:cs="Arial"/>
          <w:b/>
          <w:bCs/>
          <w:lang w:val="es-ES_tradnl" w:eastAsia="es-ES_tradnl"/>
        </w:rPr>
        <w:t>Concepto C – 304 de 2023</w:t>
      </w:r>
    </w:p>
    <w:p w14:paraId="3D6CAE79" w14:textId="77777777" w:rsidR="00824A3B" w:rsidRPr="003439D8" w:rsidRDefault="00824A3B" w:rsidP="00824A3B">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24A3B" w:rsidRPr="003439D8" w14:paraId="6ED9033C" w14:textId="77777777" w:rsidTr="007C419F">
        <w:tc>
          <w:tcPr>
            <w:tcW w:w="2689" w:type="dxa"/>
          </w:tcPr>
          <w:p w14:paraId="0D6E2A92" w14:textId="77777777" w:rsidR="00824A3B" w:rsidRPr="003439D8" w:rsidRDefault="00824A3B" w:rsidP="007C419F">
            <w:pPr>
              <w:contextualSpacing/>
              <w:jc w:val="both"/>
              <w:rPr>
                <w:rFonts w:ascii="Century Gothic" w:eastAsia="Calibri" w:hAnsi="Century Gothic" w:cs="Arial"/>
                <w:lang w:val="es-ES_tradnl" w:eastAsia="es-ES_tradnl"/>
              </w:rPr>
            </w:pPr>
            <w:r w:rsidRPr="003439D8">
              <w:rPr>
                <w:rFonts w:ascii="Century Gothic" w:eastAsia="Calibri" w:hAnsi="Century Gothic" w:cs="Arial"/>
                <w:b/>
                <w:lang w:val="es-ES_tradnl" w:eastAsia="es-ES_tradnl"/>
              </w:rPr>
              <w:t>Temas:</w:t>
            </w:r>
            <w:r w:rsidRPr="003439D8">
              <w:rPr>
                <w:rFonts w:ascii="Century Gothic" w:eastAsia="Calibri" w:hAnsi="Century Gothic" w:cs="Arial"/>
                <w:lang w:val="es-ES_tradnl" w:eastAsia="es-ES_tradnl"/>
              </w:rPr>
              <w:t xml:space="preserve">                                      </w:t>
            </w:r>
          </w:p>
        </w:tc>
        <w:tc>
          <w:tcPr>
            <w:tcW w:w="6237" w:type="dxa"/>
          </w:tcPr>
          <w:p w14:paraId="5663CD4C" w14:textId="77777777" w:rsidR="00824A3B" w:rsidRPr="003439D8" w:rsidRDefault="00824A3B" w:rsidP="007C419F">
            <w:pPr>
              <w:spacing w:after="120"/>
              <w:contextualSpacing/>
              <w:jc w:val="both"/>
              <w:rPr>
                <w:rFonts w:ascii="Century Gothic" w:eastAsia="Calibri" w:hAnsi="Century Gothic" w:cs="Arial"/>
                <w:bCs/>
                <w:lang w:val="es-ES_tradnl" w:eastAsia="es-ES_tradnl"/>
              </w:rPr>
            </w:pPr>
            <w:r w:rsidRPr="003439D8">
              <w:rPr>
                <w:rFonts w:ascii="Century Gothic" w:eastAsia="Calibri" w:hAnsi="Century Gothic" w:cs="Arial"/>
                <w:bCs/>
                <w:lang w:val="es-ES_tradnl" w:eastAsia="es-ES_tradnl"/>
              </w:rPr>
              <w:t>PRINCIPIO DE SELECCIÓN OBJETIVA – Fundamento – Alcance / SUBSANABILIDAD – Concepto de unificación – Aplicación – Improcedencia – Circunstancias posteriores – Cierre del proceso / SUBSANABILIDAD – Oportunidad – Traslado – Informe de evaluación</w:t>
            </w:r>
          </w:p>
          <w:p w14:paraId="4DC7C788" w14:textId="77777777" w:rsidR="00824A3B" w:rsidRPr="003439D8" w:rsidRDefault="00824A3B" w:rsidP="007C419F">
            <w:pPr>
              <w:spacing w:after="120"/>
              <w:contextualSpacing/>
              <w:jc w:val="both"/>
              <w:rPr>
                <w:rFonts w:ascii="Century Gothic" w:eastAsia="Calibri" w:hAnsi="Century Gothic" w:cs="Arial"/>
                <w:bCs/>
                <w:sz w:val="12"/>
                <w:szCs w:val="12"/>
                <w:lang w:val="es-MX" w:eastAsia="es-ES_tradnl"/>
              </w:rPr>
            </w:pPr>
          </w:p>
          <w:p w14:paraId="043E8DF8" w14:textId="77777777" w:rsidR="00824A3B" w:rsidRPr="003439D8" w:rsidRDefault="00824A3B" w:rsidP="007C419F">
            <w:pPr>
              <w:spacing w:after="120"/>
              <w:contextualSpacing/>
              <w:jc w:val="both"/>
              <w:rPr>
                <w:rFonts w:ascii="Century Gothic" w:eastAsia="Calibri" w:hAnsi="Century Gothic" w:cs="Arial"/>
                <w:bCs/>
                <w:sz w:val="12"/>
                <w:szCs w:val="12"/>
                <w:lang w:val="es-ES_tradnl" w:eastAsia="es-ES_tradnl"/>
              </w:rPr>
            </w:pPr>
          </w:p>
        </w:tc>
      </w:tr>
      <w:tr w:rsidR="00824A3B" w:rsidRPr="003439D8" w14:paraId="3979E824" w14:textId="77777777" w:rsidTr="007C419F">
        <w:trPr>
          <w:trHeight w:val="227"/>
        </w:trPr>
        <w:tc>
          <w:tcPr>
            <w:tcW w:w="2689" w:type="dxa"/>
          </w:tcPr>
          <w:p w14:paraId="165E1214" w14:textId="77777777" w:rsidR="00824A3B" w:rsidRPr="003439D8" w:rsidRDefault="00824A3B" w:rsidP="007C419F">
            <w:pPr>
              <w:contextualSpacing/>
              <w:jc w:val="both"/>
              <w:rPr>
                <w:rFonts w:ascii="Century Gothic" w:eastAsia="Calibri" w:hAnsi="Century Gothic" w:cs="Arial"/>
                <w:b/>
                <w:lang w:val="es-ES_tradnl" w:eastAsia="es-ES_tradnl"/>
              </w:rPr>
            </w:pPr>
            <w:r w:rsidRPr="003439D8">
              <w:rPr>
                <w:rFonts w:ascii="Century Gothic" w:eastAsia="Calibri" w:hAnsi="Century Gothic" w:cs="Arial"/>
                <w:b/>
                <w:lang w:val="es-ES_tradnl" w:eastAsia="es-ES_tradnl"/>
              </w:rPr>
              <w:t>Radicación:</w:t>
            </w:r>
            <w:r w:rsidRPr="003439D8">
              <w:rPr>
                <w:rFonts w:ascii="Century Gothic" w:eastAsia="Calibri" w:hAnsi="Century Gothic" w:cs="Arial"/>
                <w:lang w:val="es-ES_tradnl" w:eastAsia="es-ES_tradnl"/>
              </w:rPr>
              <w:t xml:space="preserve">                             </w:t>
            </w:r>
          </w:p>
        </w:tc>
        <w:tc>
          <w:tcPr>
            <w:tcW w:w="6237" w:type="dxa"/>
          </w:tcPr>
          <w:p w14:paraId="31E857B7" w14:textId="77777777" w:rsidR="00824A3B" w:rsidRPr="003439D8" w:rsidRDefault="00824A3B" w:rsidP="007C419F">
            <w:pPr>
              <w:contextualSpacing/>
              <w:jc w:val="both"/>
              <w:rPr>
                <w:rFonts w:ascii="Century Gothic" w:eastAsia="Calibri" w:hAnsi="Century Gothic" w:cs="Arial"/>
                <w:lang w:val="es-ES_tradnl" w:eastAsia="es-ES_tradnl"/>
              </w:rPr>
            </w:pPr>
            <w:r w:rsidRPr="003439D8">
              <w:rPr>
                <w:rFonts w:ascii="Century Gothic" w:eastAsia="Calibri" w:hAnsi="Century Gothic" w:cs="Arial"/>
                <w:lang w:val="es-ES_tradnl" w:eastAsia="es-ES_tradnl"/>
              </w:rPr>
              <w:t>Respuesta a consulta P20230609012245</w:t>
            </w:r>
          </w:p>
        </w:tc>
      </w:tr>
    </w:tbl>
    <w:p w14:paraId="14CB6CB2" w14:textId="77777777" w:rsidR="00824A3B" w:rsidRPr="003439D8" w:rsidRDefault="00824A3B" w:rsidP="00824A3B">
      <w:pPr>
        <w:contextualSpacing/>
        <w:jc w:val="both"/>
        <w:rPr>
          <w:rFonts w:ascii="Century Gothic" w:eastAsia="Calibri" w:hAnsi="Century Gothic" w:cs="Arial"/>
          <w:lang w:val="es-ES_tradnl" w:eastAsia="es-ES_tradnl"/>
        </w:rPr>
      </w:pPr>
    </w:p>
    <w:p w14:paraId="5B15A44E" w14:textId="77777777" w:rsidR="00824A3B" w:rsidRPr="003439D8" w:rsidRDefault="00824A3B" w:rsidP="00824A3B">
      <w:pPr>
        <w:contextualSpacing/>
        <w:jc w:val="both"/>
        <w:rPr>
          <w:rFonts w:ascii="Century Gothic" w:eastAsia="Calibri" w:hAnsi="Century Gothic" w:cs="Arial"/>
          <w:lang w:val="es-ES_tradnl" w:eastAsia="es-ES_tradnl"/>
        </w:rPr>
      </w:pPr>
    </w:p>
    <w:p w14:paraId="684D34A7" w14:textId="77777777" w:rsidR="00824A3B" w:rsidRPr="003439D8" w:rsidRDefault="00824A3B" w:rsidP="00824A3B">
      <w:pPr>
        <w:contextualSpacing/>
        <w:jc w:val="both"/>
        <w:rPr>
          <w:rFonts w:ascii="Century Gothic" w:eastAsia="Calibri" w:hAnsi="Century Gothic" w:cs="Arial"/>
          <w:lang w:val="es-ES" w:eastAsia="es-ES"/>
        </w:rPr>
      </w:pPr>
      <w:r w:rsidRPr="003439D8">
        <w:rPr>
          <w:rFonts w:ascii="Century Gothic" w:eastAsia="Calibri" w:hAnsi="Century Gothic" w:cs="Arial"/>
          <w:lang w:val="es-ES" w:eastAsia="es-ES"/>
        </w:rPr>
        <w:t xml:space="preserve">Respetado señor </w:t>
      </w:r>
      <w:r w:rsidRPr="003439D8">
        <w:rPr>
          <w:rFonts w:ascii="Century Gothic" w:eastAsia="Times New Roman" w:hAnsi="Century Gothic" w:cs="Arial"/>
          <w:lang w:eastAsia="es-ES"/>
        </w:rPr>
        <w:t>Rodríguez</w:t>
      </w:r>
      <w:r w:rsidRPr="003439D8">
        <w:rPr>
          <w:rFonts w:ascii="Century Gothic" w:eastAsia="Calibri" w:hAnsi="Century Gothic" w:cs="Arial"/>
          <w:lang w:val="es-ES" w:eastAsia="es-ES"/>
        </w:rPr>
        <w:t>:</w:t>
      </w:r>
    </w:p>
    <w:p w14:paraId="74E9CF38" w14:textId="77777777" w:rsidR="00824A3B" w:rsidRPr="003439D8" w:rsidRDefault="00824A3B" w:rsidP="00824A3B">
      <w:pPr>
        <w:spacing w:line="276" w:lineRule="auto"/>
        <w:contextualSpacing/>
        <w:jc w:val="both"/>
        <w:rPr>
          <w:rFonts w:ascii="Century Gothic" w:eastAsia="Calibri" w:hAnsi="Century Gothic" w:cs="Arial"/>
          <w:szCs w:val="24"/>
          <w:lang w:val="es-ES_tradnl" w:eastAsia="es-ES_tradnl"/>
        </w:rPr>
      </w:pPr>
    </w:p>
    <w:bookmarkEnd w:id="0"/>
    <w:bookmarkEnd w:id="1"/>
    <w:p w14:paraId="48BF8E68" w14:textId="77777777" w:rsidR="00824A3B" w:rsidRPr="003439D8" w:rsidRDefault="00824A3B" w:rsidP="00824A3B">
      <w:pPr>
        <w:spacing w:after="0" w:line="276" w:lineRule="auto"/>
        <w:jc w:val="both"/>
        <w:rPr>
          <w:rFonts w:ascii="Century Gothic" w:eastAsia="Calibri" w:hAnsi="Century Gothic" w:cs="Arial"/>
          <w:color w:val="000000" w:themeColor="text1"/>
          <w:lang w:val="es-ES_tradnl"/>
        </w:rPr>
      </w:pPr>
      <w:r w:rsidRPr="003439D8">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3439D8">
        <w:rPr>
          <w:rFonts w:ascii="Century Gothic" w:eastAsia="Arial MT" w:hAnsi="Century Gothic" w:cs="Arial MT"/>
          <w:lang w:val="es-ES"/>
        </w:rPr>
        <w:t xml:space="preserve">, </w:t>
      </w:r>
      <w:bookmarkEnd w:id="3"/>
      <w:r w:rsidRPr="003439D8">
        <w:rPr>
          <w:rFonts w:ascii="Century Gothic" w:eastAsia="Calibri" w:hAnsi="Century Gothic" w:cs="Arial"/>
          <w:color w:val="000000" w:themeColor="text1"/>
          <w:lang w:val="es-ES_tradnl"/>
        </w:rPr>
        <w:t>la Agencia Nacional de Contratación Pública – Colombia Compra Eficiente responde la consulta radicada el 9 de junio de 2023.</w:t>
      </w:r>
    </w:p>
    <w:p w14:paraId="77C6F761" w14:textId="77777777" w:rsidR="00824A3B" w:rsidRPr="003439D8" w:rsidRDefault="00824A3B" w:rsidP="00824A3B">
      <w:pPr>
        <w:spacing w:after="0" w:line="276" w:lineRule="auto"/>
        <w:jc w:val="both"/>
        <w:rPr>
          <w:rFonts w:ascii="Century Gothic" w:eastAsia="Calibri" w:hAnsi="Century Gothic" w:cs="Arial"/>
          <w:b/>
          <w:color w:val="000000" w:themeColor="text1"/>
          <w:lang w:val="es-ES_tradnl"/>
        </w:rPr>
      </w:pPr>
    </w:p>
    <w:p w14:paraId="270D4F02" w14:textId="77777777" w:rsidR="00824A3B" w:rsidRPr="003439D8" w:rsidRDefault="00824A3B" w:rsidP="00824A3B">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3439D8">
        <w:rPr>
          <w:rFonts w:ascii="Century Gothic" w:eastAsia="Calibri" w:hAnsi="Century Gothic" w:cs="Arial"/>
          <w:b/>
          <w:color w:val="000000" w:themeColor="text1"/>
          <w:lang w:val="es-ES_tradnl"/>
        </w:rPr>
        <w:t xml:space="preserve">Problemas planteados </w:t>
      </w:r>
    </w:p>
    <w:p w14:paraId="449CC27D" w14:textId="77777777" w:rsidR="00824A3B" w:rsidRPr="003439D8" w:rsidRDefault="00824A3B" w:rsidP="00824A3B">
      <w:pPr>
        <w:tabs>
          <w:tab w:val="left" w:pos="426"/>
        </w:tabs>
        <w:spacing w:after="0" w:line="276" w:lineRule="auto"/>
        <w:jc w:val="both"/>
        <w:rPr>
          <w:rFonts w:ascii="Century Gothic" w:eastAsia="Calibri" w:hAnsi="Century Gothic" w:cs="Arial"/>
          <w:b/>
          <w:color w:val="000000" w:themeColor="text1"/>
          <w:lang w:val="es-ES_tradnl"/>
        </w:rPr>
      </w:pPr>
    </w:p>
    <w:p w14:paraId="4CDE092E" w14:textId="77777777" w:rsidR="00824A3B" w:rsidRPr="003439D8" w:rsidRDefault="00824A3B" w:rsidP="00824A3B">
      <w:pPr>
        <w:spacing w:after="0" w:line="276" w:lineRule="auto"/>
        <w:jc w:val="both"/>
        <w:rPr>
          <w:rFonts w:ascii="Century Gothic" w:hAnsi="Century Gothic" w:cs="Arial"/>
          <w:color w:val="000000" w:themeColor="text1"/>
          <w:lang w:val="es-ES_tradnl"/>
        </w:rPr>
      </w:pPr>
      <w:r w:rsidRPr="003439D8">
        <w:rPr>
          <w:rFonts w:ascii="Century Gothic" w:hAnsi="Century Gothic" w:cs="Arial"/>
          <w:color w:val="000000" w:themeColor="text1"/>
          <w:lang w:val="es-ES_tradnl"/>
        </w:rPr>
        <w:t xml:space="preserve">Usted realiza las siguientes preguntas: i) “Teniendo en cuenta las disposiciones legales, las reglas y parámetros establecidos por la jurisprudencia especializada y los conceptos emitidos por Colombia Compra Eficiente, ¿es jurídicamente viable que una entidad contratante que ha consagrado en sus documentos precontractuales la regla de la subsanabilidad de todo documento o requisito de una oferta que no sea susceptible de asignación de puntaje, pueda, en la etapa de calificación de las propuestas, calificar qué documentos pueden ser </w:t>
      </w:r>
      <w:r w:rsidRPr="003439D8">
        <w:rPr>
          <w:rFonts w:ascii="Century Gothic" w:hAnsi="Century Gothic" w:cs="Arial"/>
          <w:color w:val="000000" w:themeColor="text1"/>
          <w:lang w:val="es-ES_tradnl"/>
        </w:rPr>
        <w:lastRenderedPageBreak/>
        <w:t>subsanados y cuáles no?”, ii) “Bajo las mismas consideraciones del numeral anterior ¿puede la entidad contratante abstenerse de aceptar la subsanación de documentos que no asignan puntaje bajo la consideración de que debiendo haberse presentado al momento del cierre del proceso de selección, admitirlos implica una modificación o mejora de la oferta presentada?”, iii) “¿Se ajusta a derecho la consideración según la cual aun reconociendo la naturaleza habilitante del documento cuya presentación no se hizo con la oferta, pero existente a la fecha del cierre, implica una violación al principio de igualdad?” y iv) “¿Puede la entidad contratante desconocer su propia regla precontractual de subsanabilidad de documentos que no asignen puntaje, argumentando que la subsanación solo es posible ‘sobre ofrecimientos realizados por el oferente al momento de la presentación de su oferta’. O que ‘aun tratándose de aspectos habilitantes, tampoco es de recibido (sic) que los oferentes pretendan mejorar sus ofertas sobre aspectos que no hicieron parie de su ofrecimiento inicial, pues en ese caso, no estaría acreditando un elemento que incorporó en su propuesta ni subsanando un defecto de esta, si no que, estaría incluyendo un nuevo aspecto de la oferta, rompiendo así con la equidad e igualdad sobre la cual se realiza la correspondiente verificación y evaluación...’".</w:t>
      </w:r>
    </w:p>
    <w:p w14:paraId="7D130665" w14:textId="77777777" w:rsidR="00824A3B" w:rsidRPr="003439D8" w:rsidRDefault="00824A3B" w:rsidP="00824A3B">
      <w:pPr>
        <w:spacing w:after="0" w:line="276" w:lineRule="auto"/>
        <w:ind w:right="709"/>
        <w:jc w:val="both"/>
        <w:rPr>
          <w:rFonts w:ascii="Century Gothic" w:hAnsi="Century Gothic" w:cs="Arial"/>
          <w:color w:val="000000" w:themeColor="text1"/>
        </w:rPr>
      </w:pPr>
    </w:p>
    <w:p w14:paraId="5DE944FB" w14:textId="77777777" w:rsidR="00824A3B" w:rsidRPr="003439D8" w:rsidRDefault="00824A3B" w:rsidP="00824A3B">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3439D8">
        <w:rPr>
          <w:rFonts w:ascii="Century Gothic" w:eastAsia="Calibri" w:hAnsi="Century Gothic" w:cs="Arial"/>
          <w:b/>
          <w:color w:val="000000" w:themeColor="text1"/>
          <w:lang w:val="es-ES_tradnl"/>
        </w:rPr>
        <w:t>Consideraciones</w:t>
      </w:r>
    </w:p>
    <w:p w14:paraId="5908276D" w14:textId="77777777" w:rsidR="00824A3B" w:rsidRPr="003439D8" w:rsidRDefault="00824A3B" w:rsidP="00824A3B">
      <w:pPr>
        <w:spacing w:after="0" w:line="276" w:lineRule="auto"/>
        <w:jc w:val="both"/>
        <w:rPr>
          <w:rFonts w:ascii="Century Gothic" w:eastAsia="Calibri" w:hAnsi="Century Gothic" w:cs="Arial"/>
          <w:color w:val="000000" w:themeColor="text1"/>
          <w:lang w:val="es-ES"/>
        </w:rPr>
      </w:pPr>
    </w:p>
    <w:p w14:paraId="28DD5D10" w14:textId="77777777" w:rsidR="00824A3B" w:rsidRPr="003439D8" w:rsidRDefault="00824A3B" w:rsidP="00824A3B">
      <w:pPr>
        <w:spacing w:after="120" w:line="276" w:lineRule="auto"/>
        <w:jc w:val="both"/>
        <w:rPr>
          <w:rFonts w:ascii="Century Gothic" w:hAnsi="Century Gothic" w:cs="Arial"/>
          <w:lang w:val="es-ES"/>
        </w:rPr>
      </w:pPr>
      <w:r w:rsidRPr="003439D8">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3439D8">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3439D8">
        <w:rPr>
          <w:rFonts w:ascii="Century Gothic" w:hAnsi="Century Gothic" w:cs="Arial"/>
          <w:bCs/>
        </w:rPr>
        <w:t xml:space="preserve"> de todos los partícipes de la contratación estatal.</w:t>
      </w:r>
    </w:p>
    <w:p w14:paraId="4F47E7D5" w14:textId="77777777" w:rsidR="00824A3B" w:rsidRPr="003439D8" w:rsidRDefault="00824A3B" w:rsidP="00824A3B">
      <w:pPr>
        <w:spacing w:after="120" w:line="276" w:lineRule="auto"/>
        <w:ind w:firstLine="708"/>
        <w:jc w:val="both"/>
        <w:rPr>
          <w:rFonts w:ascii="Century Gothic" w:hAnsi="Century Gothic" w:cs="Arial"/>
          <w:lang w:val="es-ES"/>
        </w:rPr>
      </w:pPr>
      <w:r w:rsidRPr="003439D8">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439D8">
        <w:rPr>
          <w:rFonts w:ascii="Century Gothic" w:hAnsi="Century Gothic" w:cs="Arial"/>
          <w:vertAlign w:val="superscript"/>
          <w:lang w:val="es-ES"/>
        </w:rPr>
        <w:footnoteReference w:id="2"/>
      </w:r>
      <w:r w:rsidRPr="003439D8">
        <w:rPr>
          <w:rFonts w:ascii="Century Gothic" w:hAnsi="Century Gothic"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en específico.</w:t>
      </w:r>
    </w:p>
    <w:p w14:paraId="1495B8FD" w14:textId="77777777" w:rsidR="00824A3B" w:rsidRPr="003439D8" w:rsidRDefault="00824A3B" w:rsidP="00824A3B">
      <w:pPr>
        <w:spacing w:line="276" w:lineRule="auto"/>
        <w:ind w:firstLine="708"/>
        <w:jc w:val="both"/>
        <w:rPr>
          <w:rFonts w:ascii="Century Gothic" w:hAnsi="Century Gothic" w:cs="Arial"/>
          <w:color w:val="000000" w:themeColor="text1"/>
          <w:lang w:val="es-ES"/>
        </w:rPr>
      </w:pPr>
      <w:r w:rsidRPr="003439D8">
        <w:rPr>
          <w:rFonts w:ascii="Century Gothic" w:eastAsia="Calibri" w:hAnsi="Century Gothic" w:cs="Arial"/>
        </w:rPr>
        <w:lastRenderedPageBreak/>
        <w:t xml:space="preserve">Sin perjuicio de lo anterior, </w:t>
      </w:r>
      <w:r w:rsidRPr="003439D8">
        <w:rPr>
          <w:rFonts w:ascii="Century Gothic" w:eastAsia="Calibri" w:hAnsi="Century Gothic" w:cs="Arial"/>
          <w:lang w:val="es-ES"/>
        </w:rPr>
        <w:t>la Agencia –dentro de los límites de sus atribuciones– resolverá la consulta conforme a las normas generales del sistema de compras públicas. Con este objetivo</w:t>
      </w:r>
      <w:r w:rsidRPr="003439D8">
        <w:rPr>
          <w:rFonts w:ascii="Century Gothic" w:eastAsia="Calibri" w:hAnsi="Century Gothic" w:cs="Arial"/>
          <w:color w:val="000000" w:themeColor="text1"/>
        </w:rPr>
        <w:t xml:space="preserve"> </w:t>
      </w:r>
      <w:r w:rsidRPr="003439D8">
        <w:rPr>
          <w:rFonts w:ascii="Century Gothic" w:eastAsia="Calibri" w:hAnsi="Century Gothic" w:cs="Arial"/>
          <w:color w:val="000000" w:themeColor="text1"/>
          <w:lang w:val="es-ES"/>
        </w:rPr>
        <w:t>se abordarán los siguientes temas</w:t>
      </w:r>
      <w:r w:rsidRPr="003439D8">
        <w:rPr>
          <w:rFonts w:ascii="Century Gothic" w:hAnsi="Century Gothic" w:cs="Arial"/>
          <w:color w:val="000000" w:themeColor="text1"/>
          <w:lang w:val="es-ES"/>
        </w:rPr>
        <w:t>: i) principio de selección objetiva en la contratación estatal y ii) alcance de la regla de la subsanabilidad de las ofertas en los procedimientos de selección</w:t>
      </w:r>
    </w:p>
    <w:p w14:paraId="4EE676E2" w14:textId="77777777" w:rsidR="00824A3B" w:rsidRPr="003439D8" w:rsidRDefault="00824A3B" w:rsidP="00824A3B">
      <w:pPr>
        <w:spacing w:before="120" w:after="0" w:line="276" w:lineRule="auto"/>
        <w:ind w:firstLine="709"/>
        <w:jc w:val="both"/>
        <w:rPr>
          <w:rFonts w:ascii="Century Gothic" w:eastAsia="Calibri" w:hAnsi="Century Gothic" w:cs="Arial"/>
          <w:color w:val="000000" w:themeColor="text1"/>
          <w:lang w:val="es-ES"/>
        </w:rPr>
      </w:pPr>
      <w:r w:rsidRPr="003439D8">
        <w:rPr>
          <w:rFonts w:ascii="Century Gothic" w:eastAsia="Calibri" w:hAnsi="Century Gothic" w:cs="Arial"/>
          <w:color w:val="000000" w:themeColor="text1"/>
          <w:lang w:val="es-ES"/>
        </w:rPr>
        <w:t>La Agencia Nacional de Contratación Pública – Colombia Compra Eficiente, en el Concepto</w:t>
      </w:r>
      <w:r w:rsidRPr="003439D8">
        <w:rPr>
          <w:rFonts w:ascii="Century Gothic" w:eastAsia="Calibri" w:hAnsi="Century Gothic" w:cs="Arial"/>
          <w:color w:val="000000" w:themeColor="text1"/>
          <w:lang w:eastAsia="en-GB"/>
        </w:rPr>
        <w:t xml:space="preserve"> CU-060 del 24 de febrero de 2020, unificó su postura sobre el alcance de la regla de subsanabilidad prevista en el artículo 5 de la Ley 1150 de 2007</w:t>
      </w:r>
      <w:r w:rsidRPr="003439D8">
        <w:rPr>
          <w:rFonts w:ascii="Century Gothic" w:eastAsia="Calibri" w:hAnsi="Century Gothic" w:cs="Arial"/>
          <w:color w:val="000000" w:themeColor="text1"/>
          <w:lang w:val="es-ES"/>
        </w:rPr>
        <w:t xml:space="preserve">. </w:t>
      </w:r>
      <w:r w:rsidRPr="003439D8">
        <w:rPr>
          <w:rFonts w:ascii="Century Gothic" w:eastAsia="Calibri" w:hAnsi="Century Gothic" w:cs="Arial"/>
          <w:color w:val="000000" w:themeColor="text1"/>
          <w:lang w:val="es-ES_tradnl"/>
        </w:rPr>
        <w:t>La tesis propuesta se ha reiterado en los Conceptos C-218 del 2 de abril de 2020, C-229 del 16 de abril de 2020, C-307 del 21 de mayo de 2020, C-396 del 16 de julio de 2020, C-410 del 26 de junio de 2020, C-429 del 24 de julio de 2020, C-481 del 27 de julio de 2020, C-548 del 21 de agosto de 2020, C-633 del 2 de octubre de 2020, C-634 del 21 de octubre de 2020, C-675 del 25 de noviembre de 2020, C-802 del 1° de febrero de 2021, C-010 del 16 de febrero de 2021, C-083 del 18 de marzo de 2021, C-090 del 23 de marzo de 2021, C-152 del 12 de abril de 2021, C-207 del 10 de mayo de 2021, C-217 del 14 de mayo de 2021, C-250 del 2 de junio de 2021, C-311 del 10 de junio de 2021, C-409 del 13 de agosto de 2021, C-424 del 27 de septiembre de 2021, C-477 del 6 de septiembre de 2021, C-485 del 13 de octubre de 2021, C-498 del 14 de septiembre de 2021, C-501 del 16 de agosto de 2021, C-521 del 24 de septiembre de 2021, C-565 del 11 de octubre de 2021, C-691 del 28 de diciembre de 2021, C-716 del 23 de enero de 2022, C-728 del 26 de enero de 2022, C-753 del 6 de febrero de 2022, C-114 del 22 de marzo de 2022, C-140 del 28 de marzo de 2022, C-162 del 5 de abril de 2022, C-285 del 20 de mayo de 2022, C-343 del 31 de mayo de 2022, C-381 del 15 de julio de 2022, C-416 del 30 de junio de 2022, C-431 del 7 de julio de 2022, C-434 del 8 de julio de 2022, C-542 del 23 de agosto de 2022, C-595 del 9 de septiembre de 2022, C-772 del 28 de noviembre de 2022, C-793 del 21 de noviembre de 2022, C-923 del 27 de diciembre de 2022, C-965 del 27 de enero de 2023, C-058 del 10 de mayo de 2023, C-082 del 19 de abril de 2023 y C-216 del 6 de junio de 2023</w:t>
      </w:r>
      <w:r w:rsidRPr="003439D8">
        <w:rPr>
          <w:rStyle w:val="Refdenotaalpie"/>
          <w:rFonts w:ascii="Century Gothic" w:eastAsia="Calibri" w:hAnsi="Century Gothic" w:cs="Arial"/>
        </w:rPr>
        <w:footnoteReference w:id="3"/>
      </w:r>
      <w:r w:rsidRPr="003439D8">
        <w:rPr>
          <w:rFonts w:ascii="Century Gothic" w:eastAsia="Calibri" w:hAnsi="Century Gothic" w:cs="Arial"/>
          <w:color w:val="000000" w:themeColor="text1"/>
          <w:lang w:val="es-ES_tradnl"/>
        </w:rPr>
        <w:t>. Las ideas de estos conceptos se retoman a continuación.</w:t>
      </w:r>
    </w:p>
    <w:p w14:paraId="7A6BA60C" w14:textId="77777777" w:rsidR="00824A3B" w:rsidRPr="003439D8" w:rsidRDefault="00824A3B" w:rsidP="00824A3B">
      <w:pPr>
        <w:pStyle w:val="Sinespaciado"/>
        <w:widowControl w:val="0"/>
        <w:autoSpaceDE w:val="0"/>
        <w:autoSpaceDN w:val="0"/>
        <w:spacing w:line="276" w:lineRule="auto"/>
        <w:jc w:val="both"/>
        <w:rPr>
          <w:rFonts w:ascii="Century Gothic" w:hAnsi="Century Gothic" w:cs="Arial"/>
          <w:b/>
          <w:sz w:val="22"/>
        </w:rPr>
      </w:pPr>
    </w:p>
    <w:p w14:paraId="0ECE146C" w14:textId="77777777" w:rsidR="00824A3B" w:rsidRPr="003439D8" w:rsidRDefault="00824A3B" w:rsidP="00824A3B">
      <w:pPr>
        <w:spacing w:after="0" w:line="276" w:lineRule="auto"/>
        <w:contextualSpacing/>
        <w:jc w:val="both"/>
        <w:rPr>
          <w:rFonts w:ascii="Century Gothic" w:eastAsia="Arial" w:hAnsi="Century Gothic" w:cs="Arial"/>
          <w:b/>
          <w:bCs/>
          <w:lang w:val="es-ES_tradnl" w:eastAsia="es-ES_tradnl"/>
        </w:rPr>
      </w:pPr>
      <w:bookmarkStart w:id="4" w:name="_Hlk73970609"/>
      <w:r w:rsidRPr="003439D8">
        <w:rPr>
          <w:rFonts w:ascii="Century Gothic" w:eastAsia="Arial" w:hAnsi="Century Gothic" w:cs="Arial"/>
          <w:b/>
          <w:bCs/>
          <w:lang w:val="es-ES_tradnl" w:eastAsia="es-ES_tradnl"/>
        </w:rPr>
        <w:t xml:space="preserve">2.1. Principio de selección objetiva en la contratación estatal  </w:t>
      </w:r>
    </w:p>
    <w:p w14:paraId="12F222AB" w14:textId="77777777" w:rsidR="00824A3B" w:rsidRPr="003439D8" w:rsidRDefault="00824A3B" w:rsidP="00824A3B">
      <w:pPr>
        <w:spacing w:after="0" w:line="276" w:lineRule="auto"/>
        <w:contextualSpacing/>
        <w:jc w:val="both"/>
        <w:rPr>
          <w:rFonts w:ascii="Century Gothic" w:eastAsia="Arial" w:hAnsi="Century Gothic" w:cs="Arial"/>
          <w:b/>
          <w:bCs/>
          <w:lang w:val="es-ES_tradnl" w:eastAsia="es-ES_tradnl"/>
        </w:rPr>
      </w:pPr>
    </w:p>
    <w:p w14:paraId="6E28ACC5" w14:textId="77777777" w:rsidR="00824A3B" w:rsidRPr="003439D8" w:rsidRDefault="00824A3B" w:rsidP="00824A3B">
      <w:pPr>
        <w:spacing w:after="0" w:line="276" w:lineRule="auto"/>
        <w:jc w:val="both"/>
        <w:rPr>
          <w:rFonts w:ascii="Century Gothic" w:eastAsia="Arial" w:hAnsi="Century Gothic" w:cs="Arial"/>
          <w:color w:val="000000"/>
        </w:rPr>
      </w:pPr>
      <w:r w:rsidRPr="003439D8">
        <w:rPr>
          <w:rFonts w:ascii="Century Gothic" w:eastAsia="Arial" w:hAnsi="Century Gothic" w:cs="Arial"/>
          <w:color w:val="000000"/>
        </w:rPr>
        <w:lastRenderedPageBreak/>
        <w:t xml:space="preserve">Uno de los principios transversales de los procedimientos de selección es el de </w:t>
      </w:r>
      <w:r w:rsidRPr="003439D8">
        <w:rPr>
          <w:rFonts w:ascii="Century Gothic" w:eastAsia="Arial" w:hAnsi="Century Gothic" w:cs="Arial"/>
          <w:i/>
          <w:color w:val="000000"/>
        </w:rPr>
        <w:t>selección objetiva</w:t>
      </w:r>
      <w:r w:rsidRPr="003439D8">
        <w:rPr>
          <w:rFonts w:ascii="Century Gothic" w:eastAsia="Arial" w:hAnsi="Century Gothic" w:cs="Arial"/>
          <w:color w:val="000000"/>
        </w:rPr>
        <w:t>. Se trata del postulado que exige que la escogencia de la oferta ganadora deba fundamentarse en factores objetivos, de carácter técnico, jurídico y financiero, y no en criterios subjetivos, como el afecto, la amistad, el ánimo de ayuda, el interés personal, etc. Si bien dentro de la historia de la contratación pública en Colombia se vislumbran antecedentes normativos que consagraban dicho principio</w:t>
      </w:r>
      <w:r w:rsidRPr="003439D8">
        <w:rPr>
          <w:rFonts w:ascii="Century Gothic" w:eastAsia="Arial" w:hAnsi="Century Gothic" w:cs="Arial"/>
          <w:color w:val="000000"/>
          <w:vertAlign w:val="superscript"/>
        </w:rPr>
        <w:footnoteReference w:id="4"/>
      </w:r>
      <w:r w:rsidRPr="003439D8">
        <w:rPr>
          <w:rFonts w:ascii="Century Gothic" w:eastAsia="Arial" w:hAnsi="Century Gothic" w:cs="Arial"/>
          <w:color w:val="000000"/>
        </w:rPr>
        <w:t xml:space="preserve">, en la actualidad la disposición legal que lo prevé de manera más clara y contundente es el artículo 5 de la Ley 1150 de 2007, modificado por el artículo 88 de la Ley 1474 de 2011 y por el artículo 5 de la Ley 1882 de 2018. Esta norma prescribe lo siguiente: </w:t>
      </w:r>
    </w:p>
    <w:p w14:paraId="2978F9AE" w14:textId="77777777" w:rsidR="00824A3B" w:rsidRPr="003439D8" w:rsidRDefault="00824A3B" w:rsidP="00824A3B">
      <w:pPr>
        <w:spacing w:after="0" w:line="276" w:lineRule="auto"/>
        <w:jc w:val="both"/>
        <w:rPr>
          <w:rFonts w:ascii="Century Gothic" w:eastAsia="Arial" w:hAnsi="Century Gothic" w:cs="Arial"/>
          <w:color w:val="000000"/>
        </w:rPr>
      </w:pPr>
    </w:p>
    <w:p w14:paraId="210F4248"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3439D8">
        <w:rPr>
          <w:rFonts w:ascii="Century Gothic" w:eastAsia="Arial" w:hAnsi="Century Gothic" w:cs="Arial"/>
          <w:color w:val="000000"/>
          <w:sz w:val="21"/>
          <w:szCs w:val="21"/>
        </w:rPr>
        <w:t>equivalentes,</w:t>
      </w:r>
      <w:proofErr w:type="gramEnd"/>
      <w:r w:rsidRPr="003439D8">
        <w:rPr>
          <w:rFonts w:ascii="Century Gothic" w:eastAsia="Arial" w:hAnsi="Century Gothic" w:cs="Arial"/>
          <w:color w:val="000000"/>
          <w:sz w:val="21"/>
          <w:szCs w:val="21"/>
        </w:rPr>
        <w:t xml:space="preserve"> tendrán en cuenta los siguientes criterios:</w:t>
      </w:r>
    </w:p>
    <w:p w14:paraId="616E953A"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w:t>
      </w:r>
      <w:r w:rsidRPr="003439D8">
        <w:rPr>
          <w:rFonts w:ascii="Century Gothic" w:eastAsia="Arial" w:hAnsi="Century Gothic" w:cs="Arial"/>
          <w:color w:val="000000"/>
          <w:sz w:val="21"/>
          <w:szCs w:val="21"/>
        </w:rPr>
        <w:lastRenderedPageBreak/>
        <w:t>presente ley, de acuerdo con lo cual se expedirá la respectiva certificación.</w:t>
      </w:r>
    </w:p>
    <w:p w14:paraId="6A5FC070"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66677E1"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En los procesos de selección en los que se tenga en cuenta los factores técnicos y económicos, la oferta más ventajosa será la que resulte de aplicar alguna de las siguientes alternativas:</w:t>
      </w:r>
    </w:p>
    <w:p w14:paraId="5411E1DB"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a) La ponderación de los elementos de calidad y precio soportados en puntajes o fórmulas señaladas en el pliego de condiciones; o</w:t>
      </w:r>
    </w:p>
    <w:p w14:paraId="4D1276C9"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b) La ponderación de los elementos de calidad y precio que representen la mejor relación de costo-beneficio para la entidad.</w:t>
      </w:r>
    </w:p>
    <w:p w14:paraId="5863C9E5"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07453DF9"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06671C87"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En ningún caso se podrá incluir el precio, como factor de escogencia para la selección de consultores.</w:t>
      </w:r>
    </w:p>
    <w:p w14:paraId="3CBE1AD2"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3439D8">
        <w:rPr>
          <w:rFonts w:ascii="Century Gothic" w:eastAsia="Arial" w:hAnsi="Century Gothic" w:cs="Arial"/>
          <w:color w:val="000000"/>
          <w:sz w:val="21"/>
          <w:szCs w:val="21"/>
        </w:rPr>
        <w:t>puntaje,</w:t>
      </w:r>
      <w:proofErr w:type="gramEnd"/>
      <w:r w:rsidRPr="003439D8">
        <w:rPr>
          <w:rFonts w:ascii="Century Gothic" w:eastAsia="Arial" w:hAnsi="Century Gothic" w:cs="Arial"/>
          <w:color w:val="000000"/>
          <w:sz w:val="21"/>
          <w:szCs w:val="21"/>
        </w:rPr>
        <w:t xml:space="preserve"> deberán ser solicitados por las entidades estatales y deberán ser entregados por los proponentes hasta el término de traslado del </w:t>
      </w:r>
      <w:r w:rsidRPr="003439D8">
        <w:rPr>
          <w:rFonts w:ascii="Century Gothic" w:eastAsia="Arial" w:hAnsi="Century Gothic" w:cs="Arial"/>
          <w:color w:val="000000"/>
          <w:sz w:val="21"/>
          <w:szCs w:val="21"/>
        </w:rPr>
        <w:lastRenderedPageBreak/>
        <w:t>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6417B178"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Durante el término otorgado para subsanar las ofertas, los proponentes no podrán acreditar circunstancias ocurridas con posterioridad al cierre del proceso.</w:t>
      </w:r>
    </w:p>
    <w:p w14:paraId="7C0037DC"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PARÁGRAFO 2o. Las certificaciones de sistemas de gestión de calidad no serán objeto de calificación, ni podrán establecerse como documento habilitante para participar en licitaciones o concursos.</w:t>
      </w:r>
    </w:p>
    <w:p w14:paraId="2F6BE903"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003439D8">
        <w:rPr>
          <w:rFonts w:ascii="Century Gothic" w:eastAsia="Arial" w:hAnsi="Century Gothic" w:cs="Arial"/>
          <w:color w:val="000000"/>
          <w:sz w:val="21"/>
          <w:szCs w:val="21"/>
        </w:rPr>
        <w:t>la misma</w:t>
      </w:r>
      <w:proofErr w:type="gramEnd"/>
      <w:r w:rsidRPr="003439D8">
        <w:rPr>
          <w:rFonts w:ascii="Century Gothic" w:eastAsia="Arial" w:hAnsi="Century Gothic" w:cs="Arial"/>
          <w:color w:val="000000"/>
          <w:sz w:val="21"/>
          <w:szCs w:val="21"/>
        </w:rPr>
        <w:t>.</w:t>
      </w:r>
    </w:p>
    <w:p w14:paraId="59D6D5C1"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21D339C3" w14:textId="77777777" w:rsidR="00824A3B" w:rsidRPr="003439D8" w:rsidRDefault="00824A3B" w:rsidP="00824A3B">
      <w:pPr>
        <w:spacing w:after="0" w:line="240" w:lineRule="auto"/>
        <w:ind w:left="709" w:right="709"/>
        <w:jc w:val="both"/>
        <w:rPr>
          <w:rFonts w:ascii="Century Gothic" w:eastAsia="Arial" w:hAnsi="Century Gothic" w:cs="Arial"/>
          <w:color w:val="000000"/>
        </w:rPr>
      </w:pPr>
      <w:r w:rsidRPr="003439D8">
        <w:rPr>
          <w:rFonts w:ascii="Century Gothic" w:eastAsia="Arial" w:hAnsi="Century Gothic" w:cs="Arial"/>
          <w:color w:val="000000"/>
          <w:sz w:val="21"/>
          <w:szCs w:val="21"/>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3439D8">
        <w:rPr>
          <w:rFonts w:ascii="Century Gothic" w:eastAsia="Arial" w:hAnsi="Century Gothic" w:cs="Arial"/>
          <w:color w:val="000000"/>
        </w:rPr>
        <w:t xml:space="preserve"> </w:t>
      </w:r>
    </w:p>
    <w:p w14:paraId="3F5BAFDA" w14:textId="77777777" w:rsidR="00824A3B" w:rsidRPr="003439D8" w:rsidRDefault="00824A3B" w:rsidP="00824A3B">
      <w:pPr>
        <w:spacing w:after="0" w:line="276" w:lineRule="auto"/>
        <w:jc w:val="both"/>
        <w:rPr>
          <w:rFonts w:ascii="Century Gothic" w:eastAsia="Arial" w:hAnsi="Century Gothic" w:cs="Arial"/>
          <w:color w:val="000000"/>
        </w:rPr>
      </w:pPr>
    </w:p>
    <w:p w14:paraId="3B761902" w14:textId="77777777" w:rsidR="00824A3B" w:rsidRPr="003439D8" w:rsidRDefault="00824A3B" w:rsidP="00824A3B">
      <w:pPr>
        <w:tabs>
          <w:tab w:val="left" w:pos="0"/>
        </w:tabs>
        <w:spacing w:after="120" w:line="276" w:lineRule="auto"/>
        <w:jc w:val="both"/>
        <w:rPr>
          <w:rFonts w:ascii="Century Gothic" w:eastAsia="Arial" w:hAnsi="Century Gothic" w:cs="Arial"/>
          <w:color w:val="000000"/>
        </w:rPr>
      </w:pPr>
      <w:r w:rsidRPr="003439D8">
        <w:rPr>
          <w:rFonts w:ascii="Century Gothic" w:eastAsia="Arial" w:hAnsi="Century Gothic" w:cs="Arial"/>
          <w:color w:val="000000"/>
        </w:rPr>
        <w:tab/>
        <w:t xml:space="preserve">De acuerdo con el artículo 5 de la Ley 1150 de 2007, conforme con lo expresado en el Concepto C-166 del 23 de abril de 2021,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señalarse en el pliego de condiciones o documento equivalente. </w:t>
      </w:r>
    </w:p>
    <w:p w14:paraId="3CAA4143" w14:textId="77777777" w:rsidR="00824A3B" w:rsidRPr="003439D8" w:rsidRDefault="00824A3B" w:rsidP="00824A3B">
      <w:pPr>
        <w:tabs>
          <w:tab w:val="left" w:pos="0"/>
        </w:tabs>
        <w:spacing w:after="120" w:line="276" w:lineRule="auto"/>
        <w:jc w:val="both"/>
        <w:rPr>
          <w:rFonts w:ascii="Century Gothic" w:eastAsia="Arial" w:hAnsi="Century Gothic" w:cs="Arial"/>
          <w:color w:val="000000"/>
        </w:rPr>
      </w:pPr>
      <w:bookmarkStart w:id="5" w:name="_1fob9te" w:colFirst="0" w:colLast="0"/>
      <w:bookmarkEnd w:id="5"/>
      <w:r w:rsidRPr="003439D8">
        <w:rPr>
          <w:rFonts w:ascii="Century Gothic" w:eastAsia="Arial" w:hAnsi="Century Gothic" w:cs="Arial"/>
          <w:color w:val="000000"/>
        </w:rPr>
        <w:tab/>
        <w:t xml:space="preserve">Al respecto, el numeral 1 del artículo 5 de la Ley 1150 de 2007 se refiere a algunos requisitos exigibles en la generalidad de procesos de selección adelantados conforme al EGCAP, tales como la capacidad jurídica, las condiciones de experiencia, la capacidad financiera y de organización, </w:t>
      </w:r>
      <w:r w:rsidRPr="003439D8">
        <w:rPr>
          <w:rFonts w:ascii="Century Gothic" w:eastAsia="Arial" w:hAnsi="Century Gothic" w:cs="Arial"/>
          <w:color w:val="000000"/>
        </w:rPr>
        <w:lastRenderedPageBreak/>
        <w:t>denominados requisitos habilitantes, los cuales –en principio, salvo expresa disposición legal– no otorgan puntaje. Lo anterior comoquiera que estos no se refieren a la oferta misma sino a la idoneidad del oferente para asumir adecuadamente la ejecución del contrato</w:t>
      </w:r>
      <w:r w:rsidRPr="003439D8">
        <w:rPr>
          <w:rFonts w:ascii="Century Gothic" w:eastAsia="Arial" w:hAnsi="Century Gothic" w:cs="Arial"/>
          <w:color w:val="000000"/>
          <w:vertAlign w:val="superscript"/>
        </w:rPr>
        <w:footnoteReference w:id="5"/>
      </w:r>
      <w:r w:rsidRPr="003439D8">
        <w:rPr>
          <w:rFonts w:ascii="Century Gothic" w:eastAsia="Arial" w:hAnsi="Century Gothic" w:cs="Arial"/>
          <w:color w:val="000000"/>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3439D8">
        <w:rPr>
          <w:rFonts w:ascii="Century Gothic" w:eastAsia="Arial" w:hAnsi="Century Gothic" w:cs="Arial"/>
          <w:i/>
          <w:color w:val="000000"/>
        </w:rPr>
        <w:t xml:space="preserve">habilitantes </w:t>
      </w:r>
      <w:r w:rsidRPr="003439D8">
        <w:rPr>
          <w:rFonts w:ascii="Century Gothic" w:eastAsia="Arial" w:hAnsi="Century Gothic" w:cs="Arial"/>
          <w:color w:val="000000"/>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p>
    <w:p w14:paraId="6A967184" w14:textId="77777777" w:rsidR="00824A3B" w:rsidRPr="003439D8" w:rsidRDefault="00824A3B" w:rsidP="00824A3B">
      <w:pPr>
        <w:tabs>
          <w:tab w:val="left" w:pos="0"/>
        </w:tabs>
        <w:spacing w:after="120" w:line="276" w:lineRule="auto"/>
        <w:jc w:val="both"/>
        <w:rPr>
          <w:rFonts w:ascii="Century Gothic" w:eastAsia="Arial" w:hAnsi="Century Gothic" w:cs="Arial"/>
          <w:color w:val="000000"/>
        </w:rPr>
      </w:pPr>
      <w:r w:rsidRPr="003439D8">
        <w:rPr>
          <w:rFonts w:ascii="Century Gothic" w:eastAsia="Arial" w:hAnsi="Century Gothic" w:cs="Arial"/>
          <w:color w:val="000000"/>
        </w:rPr>
        <w:tab/>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 </w:t>
      </w:r>
    </w:p>
    <w:p w14:paraId="288DCE6A" w14:textId="77777777" w:rsidR="00824A3B" w:rsidRPr="003439D8" w:rsidRDefault="00824A3B" w:rsidP="00824A3B">
      <w:pPr>
        <w:tabs>
          <w:tab w:val="left" w:pos="0"/>
        </w:tabs>
        <w:spacing w:after="120" w:line="276" w:lineRule="auto"/>
        <w:jc w:val="both"/>
        <w:rPr>
          <w:rFonts w:ascii="Century Gothic" w:eastAsia="Arial" w:hAnsi="Century Gothic" w:cs="Arial"/>
          <w:color w:val="000000"/>
        </w:rPr>
      </w:pPr>
      <w:r w:rsidRPr="003439D8">
        <w:rPr>
          <w:rFonts w:ascii="Century Gothic" w:eastAsia="Arial" w:hAnsi="Century Gothic" w:cs="Arial"/>
          <w:color w:val="000000"/>
        </w:rPr>
        <w:tab/>
        <w:t>Por su parte, el numeral 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63347CD7" w14:textId="77777777" w:rsidR="00824A3B" w:rsidRPr="003439D8" w:rsidRDefault="00824A3B" w:rsidP="00824A3B">
      <w:pPr>
        <w:tabs>
          <w:tab w:val="left" w:pos="0"/>
        </w:tabs>
        <w:spacing w:after="0" w:line="276" w:lineRule="auto"/>
        <w:jc w:val="both"/>
        <w:rPr>
          <w:rFonts w:ascii="Century Gothic" w:eastAsia="Arial" w:hAnsi="Century Gothic" w:cs="Arial"/>
          <w:color w:val="000000"/>
        </w:rPr>
      </w:pPr>
      <w:r w:rsidRPr="003439D8">
        <w:rPr>
          <w:rFonts w:ascii="Century Gothic" w:eastAsia="Arial" w:hAnsi="Century Gothic" w:cs="Arial"/>
          <w:color w:val="000000"/>
        </w:rPr>
        <w:lastRenderedPageBreak/>
        <w:tab/>
        <w:t>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 aquellas condiciones de la oferta y no de quien la presenta, que sí entrarán a ser evaluadas por la Administración y que en consecuencia, darán lugar a la escogencia objetiva de la mejor propuesta para la entidad”</w:t>
      </w:r>
      <w:r w:rsidRPr="003439D8">
        <w:rPr>
          <w:rFonts w:ascii="Century Gothic" w:eastAsia="Arial" w:hAnsi="Century Gothic" w:cs="Arial"/>
          <w:color w:val="000000"/>
          <w:vertAlign w:val="superscript"/>
        </w:rPr>
        <w:footnoteReference w:id="6"/>
      </w:r>
      <w:r w:rsidRPr="003439D8">
        <w:rPr>
          <w:rFonts w:ascii="Century Gothic" w:eastAsia="Arial" w:hAnsi="Century Gothic" w:cs="Arial"/>
          <w:color w:val="000000"/>
        </w:rPr>
        <w:t>. Todas estas categorías designan los “[…] factores a los cuales cabe otorgarles puntajes o que pueden ser ponderados, precisamente, pues estos son los factores que en últimas permiten una comparación de ofertas y una diferenciación entre ellas”</w:t>
      </w:r>
      <w:r w:rsidRPr="003439D8">
        <w:rPr>
          <w:rFonts w:ascii="Century Gothic" w:eastAsia="Arial" w:hAnsi="Century Gothic" w:cs="Arial"/>
          <w:color w:val="000000"/>
          <w:vertAlign w:val="superscript"/>
        </w:rPr>
        <w:footnoteReference w:id="7"/>
      </w:r>
      <w:r w:rsidRPr="003439D8">
        <w:rPr>
          <w:rFonts w:ascii="Century Gothic" w:eastAsia="Arial" w:hAnsi="Century Gothic" w:cs="Arial"/>
          <w:color w:val="000000"/>
        </w:rPr>
        <w:t>. Conforme a esto, la doctrina explica que:</w:t>
      </w:r>
    </w:p>
    <w:p w14:paraId="6FA6371E" w14:textId="77777777" w:rsidR="00824A3B" w:rsidRPr="003439D8" w:rsidRDefault="00824A3B" w:rsidP="00824A3B">
      <w:pPr>
        <w:tabs>
          <w:tab w:val="left" w:pos="0"/>
        </w:tabs>
        <w:spacing w:after="0" w:line="276" w:lineRule="auto"/>
        <w:ind w:left="709" w:right="709"/>
        <w:jc w:val="both"/>
        <w:rPr>
          <w:rFonts w:ascii="Century Gothic" w:eastAsia="Arial" w:hAnsi="Century Gothic" w:cs="Arial"/>
          <w:color w:val="000000"/>
          <w:sz w:val="21"/>
          <w:szCs w:val="21"/>
        </w:rPr>
      </w:pPr>
    </w:p>
    <w:p w14:paraId="569D7322" w14:textId="77777777" w:rsidR="00824A3B" w:rsidRPr="003439D8" w:rsidRDefault="00824A3B" w:rsidP="00824A3B">
      <w:pPr>
        <w:tabs>
          <w:tab w:val="left" w:pos="0"/>
        </w:tabs>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7156B54B" w14:textId="77777777" w:rsidR="00824A3B" w:rsidRPr="003439D8" w:rsidRDefault="00824A3B" w:rsidP="00824A3B">
      <w:pPr>
        <w:tabs>
          <w:tab w:val="left" w:pos="0"/>
        </w:tabs>
        <w:spacing w:after="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2675E533" w14:textId="77777777" w:rsidR="00824A3B" w:rsidRPr="003439D8" w:rsidRDefault="00824A3B" w:rsidP="00824A3B">
      <w:pPr>
        <w:tabs>
          <w:tab w:val="left" w:pos="0"/>
        </w:tabs>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w:t>
      </w:r>
    </w:p>
    <w:p w14:paraId="13E69F2F" w14:textId="77777777" w:rsidR="00824A3B" w:rsidRPr="003439D8" w:rsidRDefault="00824A3B" w:rsidP="00824A3B">
      <w:pPr>
        <w:tabs>
          <w:tab w:val="left" w:pos="0"/>
        </w:tabs>
        <w:spacing w:after="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w:t>
      </w:r>
      <w:r w:rsidRPr="003439D8">
        <w:rPr>
          <w:rFonts w:ascii="Century Gothic" w:eastAsia="Arial" w:hAnsi="Century Gothic" w:cs="Arial"/>
          <w:color w:val="000000"/>
          <w:sz w:val="21"/>
          <w:szCs w:val="21"/>
        </w:rPr>
        <w:lastRenderedPageBreak/>
        <w:t>en ello, poder hacer la comparación entre las ofertas y concluir cuál de ellas es la más ventajosa para la entidad estatal</w:t>
      </w:r>
      <w:r w:rsidRPr="003439D8">
        <w:rPr>
          <w:rFonts w:ascii="Century Gothic" w:eastAsia="Arial" w:hAnsi="Century Gothic" w:cs="Arial"/>
          <w:color w:val="000000"/>
          <w:sz w:val="21"/>
          <w:szCs w:val="21"/>
          <w:vertAlign w:val="superscript"/>
        </w:rPr>
        <w:footnoteReference w:id="8"/>
      </w:r>
      <w:r w:rsidRPr="003439D8">
        <w:rPr>
          <w:rFonts w:ascii="Century Gothic" w:eastAsia="Arial" w:hAnsi="Century Gothic" w:cs="Arial"/>
          <w:color w:val="000000"/>
          <w:sz w:val="21"/>
          <w:szCs w:val="21"/>
        </w:rPr>
        <w:t>.</w:t>
      </w:r>
    </w:p>
    <w:p w14:paraId="117596C2" w14:textId="77777777" w:rsidR="00824A3B" w:rsidRPr="003439D8" w:rsidRDefault="00824A3B" w:rsidP="00824A3B">
      <w:pPr>
        <w:tabs>
          <w:tab w:val="left" w:pos="0"/>
        </w:tabs>
        <w:spacing w:after="0" w:line="276" w:lineRule="auto"/>
        <w:ind w:left="709" w:right="709"/>
        <w:jc w:val="both"/>
        <w:rPr>
          <w:rFonts w:ascii="Century Gothic" w:eastAsia="Arial" w:hAnsi="Century Gothic" w:cs="Arial"/>
          <w:color w:val="000000"/>
          <w:sz w:val="21"/>
          <w:szCs w:val="21"/>
        </w:rPr>
      </w:pPr>
    </w:p>
    <w:p w14:paraId="67254B4B" w14:textId="77777777" w:rsidR="00824A3B" w:rsidRPr="003439D8" w:rsidRDefault="00824A3B" w:rsidP="00824A3B">
      <w:pPr>
        <w:tabs>
          <w:tab w:val="left" w:pos="0"/>
        </w:tabs>
        <w:spacing w:after="120" w:line="276" w:lineRule="auto"/>
        <w:jc w:val="both"/>
        <w:rPr>
          <w:rFonts w:ascii="Century Gothic" w:eastAsia="Arial" w:hAnsi="Century Gothic" w:cs="Arial"/>
          <w:color w:val="000000"/>
        </w:rPr>
      </w:pPr>
      <w:r w:rsidRPr="003439D8">
        <w:rPr>
          <w:rFonts w:ascii="Century Gothic" w:eastAsia="Arial" w:hAnsi="Century Gothic" w:cs="Arial"/>
          <w:color w:val="000000"/>
        </w:rPr>
        <w:tab/>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1CC66CA4" w14:textId="77777777" w:rsidR="00824A3B" w:rsidRPr="003439D8" w:rsidRDefault="00824A3B" w:rsidP="00824A3B">
      <w:pPr>
        <w:tabs>
          <w:tab w:val="left" w:pos="0"/>
        </w:tabs>
        <w:spacing w:after="120" w:line="276" w:lineRule="auto"/>
        <w:jc w:val="both"/>
        <w:rPr>
          <w:rFonts w:ascii="Century Gothic" w:eastAsia="Arial" w:hAnsi="Century Gothic" w:cs="Arial"/>
          <w:color w:val="000000"/>
        </w:rPr>
      </w:pPr>
      <w:r w:rsidRPr="003439D8">
        <w:rPr>
          <w:rFonts w:ascii="Century Gothic" w:eastAsia="Arial" w:hAnsi="Century Gothic" w:cs="Arial"/>
          <w:color w:val="000000"/>
        </w:rPr>
        <w:tab/>
        <w:t xml:space="preserve">En ese sentido, la asignación de puntaje es un mecanismo mediante el cual las entidades ponderan los factores de calificación </w:t>
      </w:r>
      <w:r w:rsidRPr="003439D8">
        <w:rPr>
          <w:rFonts w:ascii="Arial" w:eastAsia="Tahoma" w:hAnsi="Arial" w:cs="Arial"/>
          <w:color w:val="000000"/>
        </w:rPr>
        <w:t>ꟷ</w:t>
      </w:r>
      <w:r w:rsidRPr="003439D8">
        <w:rPr>
          <w:rFonts w:ascii="Century Gothic" w:eastAsia="Arial" w:hAnsi="Century Gothic" w:cs="Arial"/>
          <w:i/>
          <w:color w:val="000000"/>
        </w:rPr>
        <w:t>v.g.</w:t>
      </w:r>
      <w:r w:rsidRPr="003439D8">
        <w:rPr>
          <w:rFonts w:ascii="Century Gothic" w:eastAsia="Arial" w:hAnsi="Century Gothic" w:cs="Arial"/>
          <w:color w:val="000000"/>
        </w:rPr>
        <w:t xml:space="preserve"> técnicos y económicos, de calidad y precio, etc.</w:t>
      </w:r>
      <w:r w:rsidRPr="003439D8">
        <w:rPr>
          <w:rFonts w:ascii="Arial" w:eastAsia="Tahoma" w:hAnsi="Arial" w:cs="Arial"/>
          <w:color w:val="000000"/>
        </w:rPr>
        <w:t>ꟷ</w:t>
      </w:r>
      <w:r w:rsidRPr="003439D8">
        <w:rPr>
          <w:rFonts w:ascii="Century Gothic" w:eastAsia="Arial" w:hAnsi="Century Gothic" w:cs="Arial"/>
          <w:color w:val="000000"/>
        </w:rPr>
        <w:t xml:space="preserve">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pues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 o relaciones costo beneficio.</w:t>
      </w:r>
    </w:p>
    <w:p w14:paraId="034294BE" w14:textId="77777777" w:rsidR="00824A3B" w:rsidRPr="003439D8" w:rsidRDefault="00824A3B" w:rsidP="00824A3B">
      <w:pPr>
        <w:spacing w:after="120" w:line="276" w:lineRule="auto"/>
        <w:jc w:val="both"/>
        <w:rPr>
          <w:rFonts w:ascii="Century Gothic" w:eastAsia="Arial" w:hAnsi="Century Gothic" w:cs="Arial"/>
          <w:color w:val="000000"/>
        </w:rPr>
      </w:pPr>
      <w:r w:rsidRPr="003439D8">
        <w:rPr>
          <w:rFonts w:ascii="Century Gothic" w:eastAsia="Arial" w:hAnsi="Century Gothic" w:cs="Arial"/>
          <w:color w:val="000000"/>
        </w:rPr>
        <w:tab/>
        <w:t xml:space="preserve">Es necesario destacar que las reglas para establecer la oferta más favorable conforme al artículo 5 de la Ley 1150 de 2007, se encuentran reglamentadas en el artículo 2.2.1.1.2.2.2 del Decreto 1082 de 2015, modificado recientemente por el Decreto 142 de 2023.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w:t>
      </w:r>
      <w:r w:rsidRPr="003439D8">
        <w:rPr>
          <w:rFonts w:ascii="Century Gothic" w:eastAsia="Arial" w:hAnsi="Century Gothic" w:cs="Arial"/>
          <w:color w:val="000000"/>
        </w:rPr>
        <w:lastRenderedPageBreak/>
        <w:t>oferta más 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r w:rsidRPr="003439D8">
        <w:rPr>
          <w:rFonts w:ascii="Century Gothic" w:eastAsia="Arial" w:hAnsi="Century Gothic" w:cs="Arial"/>
          <w:color w:val="000000"/>
          <w:vertAlign w:val="superscript"/>
        </w:rPr>
        <w:footnoteReference w:id="9"/>
      </w:r>
      <w:r w:rsidRPr="003439D8">
        <w:rPr>
          <w:rFonts w:ascii="Century Gothic" w:eastAsia="Arial" w:hAnsi="Century Gothic" w:cs="Arial"/>
          <w:color w:val="000000"/>
        </w:rPr>
        <w:t>.</w:t>
      </w:r>
    </w:p>
    <w:p w14:paraId="2C50E33D" w14:textId="77777777" w:rsidR="00824A3B" w:rsidRPr="003439D8" w:rsidRDefault="00824A3B" w:rsidP="00824A3B">
      <w:pPr>
        <w:spacing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Conforme a lo anterior, el deber de selección objetiva está ligado a la determinación del ofrecimiento más favorable, cuyo contenido debe ser precisado </w:t>
      </w:r>
      <w:r w:rsidRPr="003439D8">
        <w:rPr>
          <w:rFonts w:ascii="Century Gothic" w:eastAsia="Arial" w:hAnsi="Century Gothic" w:cs="Arial"/>
          <w:color w:val="000000"/>
        </w:rPr>
        <w:lastRenderedPageBreak/>
        <w:t>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362A6711" w14:textId="77777777" w:rsidR="00824A3B" w:rsidRPr="003439D8" w:rsidRDefault="00824A3B" w:rsidP="00824A3B">
      <w:pPr>
        <w:spacing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Retomando otros fundamentos jurídicos del deber de “selección objetiva” distintos al artículo 5 de la Ley 1150 de 2007, la Ley 80 de 1993 se refiere a ella en varios apartados,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w:t>
      </w:r>
      <w:r w:rsidRPr="003439D8">
        <w:rPr>
          <w:rFonts w:ascii="Century Gothic" w:eastAsia="Arial" w:hAnsi="Century Gothic" w:cs="Arial"/>
          <w:color w:val="000000"/>
        </w:rPr>
        <w:lastRenderedPageBreak/>
        <w:t xml:space="preserve">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13C0C1BC" w14:textId="77777777" w:rsidR="00824A3B" w:rsidRPr="003439D8" w:rsidRDefault="00824A3B" w:rsidP="00824A3B">
      <w:pPr>
        <w:spacing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 ii)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64D4F281" w14:textId="77777777" w:rsidR="00824A3B" w:rsidRPr="003439D8" w:rsidRDefault="00824A3B" w:rsidP="00824A3B">
      <w:pPr>
        <w:spacing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3439D8">
        <w:rPr>
          <w:rFonts w:ascii="Century Gothic" w:eastAsia="Arial" w:hAnsi="Century Gothic" w:cs="Arial"/>
          <w:color w:val="000000"/>
          <w:vertAlign w:val="superscript"/>
        </w:rPr>
        <w:footnoteReference w:id="10"/>
      </w:r>
      <w:r w:rsidRPr="003439D8">
        <w:rPr>
          <w:rFonts w:ascii="Century Gothic" w:eastAsia="Arial" w:hAnsi="Century Gothic" w:cs="Arial"/>
          <w:color w:val="000000"/>
        </w:rPr>
        <w:t xml:space="preserve">. Igualmente, ha señalado que “el principio de escogencia o selección objetiva de los contratistas fundamenta uno de los principales deberes de todos los responsables de la contratación estatal en </w:t>
      </w:r>
      <w:r w:rsidRPr="003439D8">
        <w:rPr>
          <w:rFonts w:ascii="Century Gothic" w:eastAsia="Arial" w:hAnsi="Century Gothic" w:cs="Arial"/>
          <w:color w:val="000000"/>
        </w:rPr>
        <w:lastRenderedPageBreak/>
        <w:t>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3439D8">
        <w:rPr>
          <w:rFonts w:ascii="Century Gothic" w:eastAsia="Arial" w:hAnsi="Century Gothic" w:cs="Arial"/>
          <w:color w:val="000000"/>
          <w:vertAlign w:val="superscript"/>
        </w:rPr>
        <w:footnoteReference w:id="11"/>
      </w:r>
      <w:r w:rsidRPr="003439D8">
        <w:rPr>
          <w:rFonts w:ascii="Century Gothic" w:eastAsia="Arial" w:hAnsi="Century Gothic" w:cs="Arial"/>
          <w:color w:val="000000"/>
        </w:rPr>
        <w:t>.</w:t>
      </w:r>
    </w:p>
    <w:p w14:paraId="58683B51" w14:textId="77777777" w:rsidR="00824A3B" w:rsidRPr="003439D8" w:rsidRDefault="00824A3B" w:rsidP="00824A3B">
      <w:pPr>
        <w:spacing w:after="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31B88751" w14:textId="77777777" w:rsidR="00824A3B" w:rsidRPr="003439D8" w:rsidRDefault="00824A3B" w:rsidP="00824A3B">
      <w:pPr>
        <w:pStyle w:val="Textoindependiente"/>
        <w:spacing w:after="0"/>
        <w:jc w:val="both"/>
        <w:rPr>
          <w:rFonts w:ascii="Century Gothic" w:hAnsi="Century Gothic" w:cs="Arial"/>
        </w:rPr>
      </w:pPr>
    </w:p>
    <w:p w14:paraId="0F2BEFB1" w14:textId="77777777" w:rsidR="00824A3B" w:rsidRPr="003439D8" w:rsidRDefault="00824A3B" w:rsidP="00824A3B">
      <w:pPr>
        <w:pStyle w:val="Sinespaciado"/>
        <w:widowControl w:val="0"/>
        <w:autoSpaceDE w:val="0"/>
        <w:autoSpaceDN w:val="0"/>
        <w:spacing w:line="276" w:lineRule="auto"/>
        <w:jc w:val="both"/>
        <w:rPr>
          <w:rFonts w:ascii="Century Gothic" w:hAnsi="Century Gothic" w:cs="Arial"/>
          <w:b/>
          <w:sz w:val="22"/>
        </w:rPr>
      </w:pPr>
      <w:r w:rsidRPr="003439D8">
        <w:rPr>
          <w:rFonts w:ascii="Century Gothic" w:hAnsi="Century Gothic" w:cs="Arial"/>
          <w:b/>
          <w:sz w:val="22"/>
        </w:rPr>
        <w:t xml:space="preserve">2.2. </w:t>
      </w:r>
      <w:bookmarkEnd w:id="4"/>
      <w:r w:rsidRPr="003439D8">
        <w:rPr>
          <w:rFonts w:ascii="Century Gothic" w:hAnsi="Century Gothic" w:cs="Arial"/>
          <w:b/>
          <w:sz w:val="22"/>
        </w:rPr>
        <w:t>Alcance de la regla de la subsanabilidad de las ofertas en los procedimientos de selección</w:t>
      </w:r>
    </w:p>
    <w:p w14:paraId="239714CC" w14:textId="77777777" w:rsidR="00824A3B" w:rsidRPr="003439D8" w:rsidRDefault="00824A3B" w:rsidP="00824A3B">
      <w:pPr>
        <w:pStyle w:val="Sinespaciado"/>
        <w:spacing w:line="276" w:lineRule="auto"/>
        <w:jc w:val="both"/>
        <w:rPr>
          <w:rFonts w:ascii="Century Gothic" w:hAnsi="Century Gothic" w:cs="Arial"/>
          <w:sz w:val="22"/>
        </w:rPr>
      </w:pPr>
    </w:p>
    <w:p w14:paraId="76059220" w14:textId="77777777" w:rsidR="00824A3B" w:rsidRPr="003439D8" w:rsidRDefault="00824A3B" w:rsidP="00824A3B">
      <w:pPr>
        <w:pBdr>
          <w:top w:val="nil"/>
          <w:left w:val="nil"/>
          <w:bottom w:val="nil"/>
          <w:right w:val="nil"/>
          <w:between w:val="nil"/>
        </w:pBdr>
        <w:spacing w:after="120" w:line="276" w:lineRule="auto"/>
        <w:jc w:val="both"/>
        <w:rPr>
          <w:rFonts w:ascii="Century Gothic" w:eastAsia="Quattrocento Sans" w:hAnsi="Century Gothic" w:cs="Quattrocento Sans"/>
          <w:color w:val="000000"/>
          <w:sz w:val="18"/>
          <w:szCs w:val="18"/>
        </w:rPr>
      </w:pPr>
      <w:r w:rsidRPr="003439D8">
        <w:rPr>
          <w:rFonts w:ascii="Century Gothic" w:eastAsia="Arial" w:hAnsi="Century Gothic" w:cs="Arial"/>
          <w:color w:val="000000"/>
        </w:rPr>
        <w:t>Esta Subdirección se ha pronunciado en diversas oportunidades acerca del alcance de la regla de la subsanabilidad, contenida actualmente en el artículo 5 de la Ley 1150 de 2007. Al respecto, la postura que se reitera en el presente concepto es la siguiente: por regla general, son subsanables i) la falta de entrega o ii) los defectos de los requisitos habilitantes.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4EC3C26C" w14:textId="77777777" w:rsidR="00824A3B" w:rsidRPr="003439D8" w:rsidRDefault="00824A3B" w:rsidP="00824A3B">
      <w:pPr>
        <w:spacing w:before="120" w:line="276" w:lineRule="auto"/>
        <w:ind w:firstLine="709"/>
        <w:jc w:val="both"/>
        <w:rPr>
          <w:rFonts w:ascii="Century Gothic" w:hAnsi="Century Gothic" w:cs="Arial"/>
          <w:lang w:val="es-ES_tradnl"/>
        </w:rPr>
      </w:pPr>
      <w:r w:rsidRPr="003439D8">
        <w:rPr>
          <w:rFonts w:ascii="Century Gothic" w:hAnsi="Century Gothic" w:cs="Arial"/>
          <w:lang w:val="es-ES_tradnl"/>
        </w:rPr>
        <w:lastRenderedPageBreak/>
        <w:t>Sobre este aspecto, debe resaltarse que la posibilidad de enmendar, corregir o subsanar los errores en los que se incurre en los documentos contentivos de la oferta es un tema que ha tenido diferentes momentos o etapas en el ordenamiento jurídico colombiano</w:t>
      </w:r>
      <w:r w:rsidRPr="003439D8">
        <w:rPr>
          <w:rFonts w:ascii="Century Gothic" w:eastAsia="Arial" w:hAnsi="Century Gothic" w:cs="Arial"/>
          <w:color w:val="000000"/>
        </w:rPr>
        <w:t xml:space="preserve">. En un </w:t>
      </w:r>
      <w:r w:rsidRPr="003439D8">
        <w:rPr>
          <w:rFonts w:ascii="Century Gothic" w:eastAsia="Arial" w:hAnsi="Century Gothic" w:cs="Arial"/>
          <w:i/>
          <w:color w:val="000000"/>
        </w:rPr>
        <w:t>primer momento</w:t>
      </w:r>
      <w:r w:rsidRPr="003439D8">
        <w:rPr>
          <w:rFonts w:ascii="Century Gothic" w:eastAsia="Arial" w:hAnsi="Century Gothic" w:cs="Arial"/>
          <w:color w:val="000000"/>
        </w:rPr>
        <w:t xml:space="preserve">, antes de expedirse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706792F" w14:textId="77777777" w:rsidR="00824A3B" w:rsidRPr="003439D8" w:rsidRDefault="00824A3B" w:rsidP="00824A3B">
      <w:pPr>
        <w:spacing w:before="120" w:after="0" w:line="276" w:lineRule="auto"/>
        <w:ind w:firstLine="709"/>
        <w:jc w:val="both"/>
        <w:rPr>
          <w:rFonts w:ascii="Century Gothic" w:hAnsi="Century Gothic"/>
        </w:rPr>
      </w:pPr>
      <w:r w:rsidRPr="003439D8">
        <w:rPr>
          <w:rFonts w:ascii="Century Gothic" w:eastAsia="Arial" w:hAnsi="Century Gothic" w:cs="Arial"/>
          <w:color w:val="000000"/>
        </w:rPr>
        <w:t xml:space="preserve">En un </w:t>
      </w:r>
      <w:r w:rsidRPr="003439D8">
        <w:rPr>
          <w:rFonts w:ascii="Century Gothic" w:eastAsia="Arial" w:hAnsi="Century Gothic" w:cs="Arial"/>
          <w:i/>
          <w:color w:val="000000"/>
        </w:rPr>
        <w:t>segundo momento</w:t>
      </w:r>
      <w:r w:rsidRPr="003439D8">
        <w:rPr>
          <w:rFonts w:ascii="Century Gothic" w:eastAsia="Arial" w:hAnsi="Century Gothic" w:cs="Arial"/>
          <w:color w:val="000000"/>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14:paraId="5E63D2A5" w14:textId="77777777" w:rsidR="00824A3B" w:rsidRPr="003439D8" w:rsidRDefault="00824A3B" w:rsidP="00824A3B">
      <w:pPr>
        <w:spacing w:after="0" w:line="276" w:lineRule="auto"/>
        <w:jc w:val="both"/>
        <w:rPr>
          <w:rFonts w:ascii="Century Gothic" w:eastAsia="Arial" w:hAnsi="Century Gothic" w:cs="Arial"/>
          <w:color w:val="000000"/>
        </w:rPr>
      </w:pPr>
    </w:p>
    <w:p w14:paraId="3694E43A"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09044836" w14:textId="77777777" w:rsidR="00824A3B" w:rsidRPr="003439D8" w:rsidRDefault="00824A3B" w:rsidP="00824A3B">
      <w:pPr>
        <w:spacing w:after="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La ausencia de requisitos o la falta de documentos referentes a la futura contratación o al proponente, no necesarios para la comparación de propuestas, no servirá de título suficiente para el rechazo de los ofrecimientos hechos. </w:t>
      </w:r>
    </w:p>
    <w:p w14:paraId="0452E982" w14:textId="77777777" w:rsidR="00824A3B" w:rsidRPr="003439D8" w:rsidRDefault="00824A3B" w:rsidP="00824A3B">
      <w:pPr>
        <w:spacing w:after="0" w:line="276" w:lineRule="auto"/>
        <w:jc w:val="both"/>
        <w:rPr>
          <w:rFonts w:ascii="Century Gothic" w:eastAsia="Arial" w:hAnsi="Century Gothic" w:cs="Arial"/>
          <w:b/>
          <w:color w:val="000000"/>
        </w:rPr>
      </w:pPr>
    </w:p>
    <w:p w14:paraId="7BD4C1F1" w14:textId="77777777" w:rsidR="00824A3B" w:rsidRPr="003439D8" w:rsidRDefault="00824A3B" w:rsidP="00824A3B">
      <w:pPr>
        <w:spacing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Bajo el amparo de esta norma, el régimen jurídico de subsanabilidad de las ofertas sufre un cambio fundamental, pues ya no era posible rechazar las ofertas por falta de requisitos o documentos que no fueran “</w:t>
      </w:r>
      <w:r w:rsidRPr="003439D8">
        <w:rPr>
          <w:rFonts w:ascii="Century Gothic" w:eastAsia="Arial" w:hAnsi="Century Gothic" w:cs="Arial"/>
          <w:i/>
          <w:color w:val="000000"/>
        </w:rPr>
        <w:t>necesarios para la comparación de propuestas</w:t>
      </w:r>
      <w:r w:rsidRPr="003439D8">
        <w:rPr>
          <w:rFonts w:ascii="Century Gothic" w:eastAsia="Arial" w:hAnsi="Century Gothic" w:cs="Arial"/>
          <w:color w:val="000000"/>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2C2130B7"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lastRenderedPageBreak/>
        <w:t>El artículo 25.15 debía leerse en conjunto con otras de la Ley 80 de 1993, particularmente con el artículo 30.7</w:t>
      </w:r>
      <w:r w:rsidRPr="003439D8">
        <w:rPr>
          <w:rFonts w:ascii="Century Gothic" w:eastAsia="Arial" w:hAnsi="Century Gothic" w:cs="Arial"/>
          <w:color w:val="000000"/>
          <w:vertAlign w:val="superscript"/>
        </w:rPr>
        <w:footnoteReference w:id="12"/>
      </w:r>
      <w:r w:rsidRPr="003439D8">
        <w:rPr>
          <w:rFonts w:ascii="Century Gothic" w:eastAsia="Arial" w:hAnsi="Century Gothic" w:cs="Arial"/>
          <w:color w:val="000000"/>
        </w:rPr>
        <w:t>, que ordena a la entidad señalar un plazo razonable para evaluar las propuestas y pedir a los proponentes, de ser necesario, que aclaren o expliquen aspectos que ofrezcan dudas y resulten indispensables para hacer la evaluación; y con el artículo 30.8</w:t>
      </w:r>
      <w:r w:rsidRPr="003439D8">
        <w:rPr>
          <w:rFonts w:ascii="Century Gothic" w:eastAsia="Arial" w:hAnsi="Century Gothic" w:cs="Arial"/>
          <w:color w:val="000000"/>
          <w:vertAlign w:val="superscript"/>
        </w:rPr>
        <w:footnoteReference w:id="13"/>
      </w:r>
      <w:r w:rsidRPr="003439D8">
        <w:rPr>
          <w:rFonts w:ascii="Century Gothic" w:eastAsia="Arial" w:hAnsi="Century Gothic" w:cs="Arial"/>
          <w:color w:val="000000"/>
        </w:rPr>
        <w:t xml:space="preserve">, que consagró el término de 5 días hábiles para que los oferentes presenten observaciones al informe de evaluación de las propuestas, sin que sea posible completar, adicionar, modificar o mejorar la oferta.  A partir de la lectura integrada de estas tres normas debía concluirse que con la Ley 80 de 1993 era posible subsanar las propuestas, y la omisión o el error en algún aspecto de </w:t>
      </w:r>
      <w:proofErr w:type="gramStart"/>
      <w:r w:rsidRPr="003439D8">
        <w:rPr>
          <w:rFonts w:ascii="Century Gothic" w:eastAsia="Arial" w:hAnsi="Century Gothic" w:cs="Arial"/>
          <w:color w:val="000000"/>
        </w:rPr>
        <w:t>la misma</w:t>
      </w:r>
      <w:proofErr w:type="gramEnd"/>
      <w:r w:rsidRPr="003439D8">
        <w:rPr>
          <w:rFonts w:ascii="Century Gothic" w:eastAsia="Arial" w:hAnsi="Century Gothic" w:cs="Arial"/>
          <w:color w:val="000000"/>
        </w:rPr>
        <w:t xml:space="preserve"> no podía llevar a su rechazo, sin antes verificar que lo omitido fuera un aspecto necesario para la comparación. </w:t>
      </w:r>
    </w:p>
    <w:p w14:paraId="1056A131" w14:textId="77777777" w:rsidR="00824A3B" w:rsidRPr="003439D8" w:rsidRDefault="00824A3B" w:rsidP="00824A3B">
      <w:pPr>
        <w:spacing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En un </w:t>
      </w:r>
      <w:r w:rsidRPr="003439D8">
        <w:rPr>
          <w:rFonts w:ascii="Century Gothic" w:eastAsia="Arial" w:hAnsi="Century Gothic" w:cs="Arial"/>
          <w:i/>
          <w:color w:val="000000"/>
        </w:rPr>
        <w:t>tercer momento</w:t>
      </w:r>
      <w:r w:rsidRPr="003439D8">
        <w:rPr>
          <w:rFonts w:ascii="Century Gothic" w:eastAsia="Arial" w:hAnsi="Century Gothic" w:cs="Arial"/>
          <w:color w:val="000000"/>
        </w:rPr>
        <w:t>, y siguiendo la línea trazada por la Ley 80 de 1993, el legislador expidió la Ley 1150 de 2007, que, en el parágrafo 1º del artículo 5, determinó lo siguiente: “La ausencia de requisitos o la falta de documentos referentes a la futura contratación o al proponente, no necesarios para la comparación de las propuestas no servirán de título suficiente para el rechazo de los ofrecimientos hechos. En consecuencia</w:t>
      </w:r>
      <w:r w:rsidRPr="003439D8">
        <w:rPr>
          <w:rFonts w:ascii="Century Gothic" w:eastAsia="Arial" w:hAnsi="Century Gothic" w:cs="Arial"/>
          <w:b/>
          <w:color w:val="000000"/>
        </w:rPr>
        <w:t xml:space="preserve">, </w:t>
      </w:r>
      <w:r w:rsidRPr="003439D8">
        <w:rPr>
          <w:rFonts w:ascii="Century Gothic" w:eastAsia="Arial" w:hAnsi="Century Gothic" w:cs="Arial"/>
          <w:color w:val="000000"/>
        </w:rPr>
        <w:t xml:space="preserve">todos aquellos requisitos de la propuesta que no afecten la asignación de </w:t>
      </w:r>
      <w:proofErr w:type="gramStart"/>
      <w:r w:rsidRPr="003439D8">
        <w:rPr>
          <w:rFonts w:ascii="Century Gothic" w:eastAsia="Arial" w:hAnsi="Century Gothic" w:cs="Arial"/>
          <w:color w:val="000000"/>
        </w:rPr>
        <w:t>puntaje,</w:t>
      </w:r>
      <w:proofErr w:type="gramEnd"/>
      <w:r w:rsidRPr="003439D8">
        <w:rPr>
          <w:rFonts w:ascii="Century Gothic" w:eastAsia="Arial" w:hAnsi="Century Gothic" w:cs="Arial"/>
          <w:color w:val="000000"/>
        </w:rPr>
        <w:t xml:space="preserv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66729DEE" w14:textId="77777777" w:rsidR="00824A3B" w:rsidRPr="003439D8" w:rsidRDefault="00824A3B" w:rsidP="00824A3B">
      <w:pPr>
        <w:spacing w:after="120" w:line="276" w:lineRule="auto"/>
        <w:ind w:firstLine="709"/>
        <w:jc w:val="both"/>
        <w:rPr>
          <w:rFonts w:ascii="Century Gothic" w:hAnsi="Century Gothic"/>
        </w:rPr>
      </w:pPr>
      <w:r w:rsidRPr="003439D8">
        <w:rPr>
          <w:rFonts w:ascii="Century Gothic" w:eastAsia="Arial" w:hAnsi="Century Gothic" w:cs="Arial"/>
          <w:color w:val="000000"/>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w:t>
      </w:r>
      <w:r w:rsidRPr="003439D8">
        <w:rPr>
          <w:rFonts w:ascii="Century Gothic" w:eastAsia="Arial" w:hAnsi="Century Gothic" w:cs="Arial"/>
          <w:color w:val="000000"/>
        </w:rPr>
        <w:lastRenderedPageBreak/>
        <w:t xml:space="preserve">parte de los aspectos que otorgan puntaje o no.  Si al verificar la Administración encuentra que lo omitido por el proponente es un aspecto que otorga puntaje, no es posible subsanarlo; pero, si no otorga puntaje, la Administración debe requerir al proponente para que lo subsane.  </w:t>
      </w:r>
    </w:p>
    <w:p w14:paraId="56219817" w14:textId="77777777" w:rsidR="00824A3B" w:rsidRPr="003439D8" w:rsidRDefault="00824A3B" w:rsidP="00824A3B">
      <w:pPr>
        <w:spacing w:after="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El artículo 5 de la Ley 1150 de 2007, además de consagrar un criterio más claro, y, de paso, reducir la discrecionalidad de la Administración, fijó un ámbito temporal para la subsanación de las ofertas: “</w:t>
      </w:r>
      <w:r w:rsidRPr="003439D8">
        <w:rPr>
          <w:rFonts w:ascii="Century Gothic" w:eastAsia="Arial" w:hAnsi="Century Gothic" w:cs="Arial"/>
          <w:i/>
          <w:color w:val="000000"/>
        </w:rPr>
        <w:t>en cualquier momento, hasta la adjudicación</w:t>
      </w:r>
      <w:r w:rsidRPr="003439D8">
        <w:rPr>
          <w:rFonts w:ascii="Century Gothic" w:eastAsia="Arial" w:hAnsi="Century Gothic" w:cs="Arial"/>
          <w:color w:val="000000"/>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61D48205" w14:textId="77777777" w:rsidR="00824A3B" w:rsidRPr="003439D8" w:rsidRDefault="00824A3B" w:rsidP="00824A3B">
      <w:pPr>
        <w:spacing w:after="0" w:line="276" w:lineRule="auto"/>
        <w:jc w:val="both"/>
        <w:rPr>
          <w:rFonts w:ascii="Century Gothic" w:eastAsia="Arial" w:hAnsi="Century Gothic" w:cs="Arial"/>
          <w:color w:val="000000"/>
        </w:rPr>
      </w:pPr>
    </w:p>
    <w:p w14:paraId="308CE796" w14:textId="77777777" w:rsidR="00824A3B" w:rsidRPr="003439D8" w:rsidRDefault="00824A3B" w:rsidP="00824A3B">
      <w:pPr>
        <w:spacing w:after="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3439D8">
        <w:rPr>
          <w:rFonts w:ascii="Century Gothic" w:eastAsia="Arial" w:hAnsi="Century Gothic" w:cs="Arial"/>
          <w:color w:val="000000"/>
          <w:sz w:val="21"/>
          <w:szCs w:val="21"/>
          <w:vertAlign w:val="superscript"/>
        </w:rPr>
        <w:footnoteReference w:id="14"/>
      </w:r>
      <w:r w:rsidRPr="003439D8">
        <w:rPr>
          <w:rFonts w:ascii="Century Gothic" w:eastAsia="Arial" w:hAnsi="Century Gothic" w:cs="Arial"/>
          <w:color w:val="000000"/>
          <w:sz w:val="21"/>
          <w:szCs w:val="21"/>
        </w:rPr>
        <w:t>.</w:t>
      </w:r>
    </w:p>
    <w:p w14:paraId="289D434E" w14:textId="77777777" w:rsidR="00824A3B" w:rsidRPr="003439D8" w:rsidRDefault="00824A3B" w:rsidP="00824A3B">
      <w:pPr>
        <w:spacing w:after="0" w:line="276" w:lineRule="auto"/>
        <w:jc w:val="both"/>
        <w:rPr>
          <w:rFonts w:ascii="Century Gothic" w:eastAsia="Arial" w:hAnsi="Century Gothic" w:cs="Arial"/>
          <w:b/>
          <w:color w:val="000000"/>
        </w:rPr>
      </w:pPr>
    </w:p>
    <w:p w14:paraId="342BCAB3" w14:textId="77777777" w:rsidR="00824A3B" w:rsidRPr="003439D8" w:rsidRDefault="00824A3B" w:rsidP="00824A3B">
      <w:pPr>
        <w:pBdr>
          <w:top w:val="nil"/>
          <w:left w:val="nil"/>
          <w:bottom w:val="nil"/>
          <w:right w:val="nil"/>
          <w:between w:val="nil"/>
        </w:pBdr>
        <w:tabs>
          <w:tab w:val="left" w:pos="284"/>
        </w:tabs>
        <w:spacing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Esa interpretación fue compartida por la Agencia Nacional de Contratación Pública – Colombia Compra Eficiente, pues en la Circular Externa Única se había precisado que si durante un proceso de contratación hay proponentes que no acreditaron en sus ofertas requisitos que no afectan la asignación de puntaje o la comparación de </w:t>
      </w:r>
      <w:proofErr w:type="gramStart"/>
      <w:r w:rsidRPr="003439D8">
        <w:rPr>
          <w:rFonts w:ascii="Century Gothic" w:eastAsia="Arial" w:hAnsi="Century Gothic" w:cs="Arial"/>
          <w:color w:val="000000"/>
        </w:rPr>
        <w:t>las mismas</w:t>
      </w:r>
      <w:proofErr w:type="gramEnd"/>
      <w:r w:rsidRPr="003439D8">
        <w:rPr>
          <w:rFonts w:ascii="Century Gothic" w:eastAsia="Arial" w:hAnsi="Century Gothic" w:cs="Arial"/>
          <w:color w:val="000000"/>
        </w:rPr>
        <w:t>, la entidad estatal deberá indicarlo en el informe de evaluación y advertir que la correspondiente oferta no será evaluada hasta que se subsane.</w:t>
      </w:r>
    </w:p>
    <w:p w14:paraId="0F0BF3D2" w14:textId="77777777" w:rsidR="00824A3B" w:rsidRPr="003439D8" w:rsidRDefault="00824A3B" w:rsidP="00824A3B">
      <w:pPr>
        <w:pBdr>
          <w:top w:val="nil"/>
          <w:left w:val="nil"/>
          <w:bottom w:val="nil"/>
          <w:right w:val="nil"/>
          <w:between w:val="nil"/>
        </w:pBdr>
        <w:tabs>
          <w:tab w:val="left" w:pos="284"/>
        </w:tabs>
        <w:spacing w:before="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En un </w:t>
      </w:r>
      <w:r w:rsidRPr="003439D8">
        <w:rPr>
          <w:rFonts w:ascii="Century Gothic" w:eastAsia="Arial" w:hAnsi="Century Gothic" w:cs="Arial"/>
          <w:i/>
          <w:color w:val="000000"/>
        </w:rPr>
        <w:t>cuarto momento</w:t>
      </w:r>
      <w:r w:rsidRPr="003439D8">
        <w:rPr>
          <w:rFonts w:ascii="Century Gothic" w:eastAsia="Arial" w:hAnsi="Century Gothic" w:cs="Arial"/>
          <w:color w:val="000000"/>
        </w:rPr>
        <w:t xml:space="preserve">, el legislador expidió la Ley 1882 de 2018, con la finalidad de introducir cambios y ajustes para fortalecer la contratación pública. El artículo 5 modificó el parágrafo 1º del artículo 5 de la Ley 1150 de 2007 en los siguientes términos: “La ausencia de requisitos o la falta de documentos referentes </w:t>
      </w:r>
      <w:r w:rsidRPr="003439D8">
        <w:rPr>
          <w:rFonts w:ascii="Century Gothic" w:eastAsia="Arial" w:hAnsi="Century Gothic" w:cs="Arial"/>
          <w:color w:val="000000"/>
        </w:rPr>
        <w:lastRenderedPageBreak/>
        <w:t xml:space="preserve">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3439D8">
        <w:rPr>
          <w:rFonts w:ascii="Century Gothic" w:eastAsia="Arial" w:hAnsi="Century Gothic" w:cs="Arial"/>
          <w:color w:val="000000"/>
        </w:rPr>
        <w:t>puntaje,</w:t>
      </w:r>
      <w:proofErr w:type="gramEnd"/>
      <w:r w:rsidRPr="003439D8">
        <w:rPr>
          <w:rFonts w:ascii="Century Gothic" w:eastAsia="Arial" w:hAnsi="Century Gothic" w:cs="Arial"/>
          <w:color w:val="000000"/>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58957B01" w14:textId="77777777" w:rsidR="00824A3B" w:rsidRPr="003439D8" w:rsidRDefault="00824A3B" w:rsidP="00824A3B">
      <w:pPr>
        <w:spacing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algunos aspectos que se analizarán a continuación. </w:t>
      </w:r>
    </w:p>
    <w:p w14:paraId="799CCCA5"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3439D8">
        <w:rPr>
          <w:rFonts w:ascii="Century Gothic" w:eastAsia="Arial" w:hAnsi="Century Gothic" w:cs="Arial"/>
          <w:color w:val="000000"/>
          <w:vertAlign w:val="superscript"/>
        </w:rPr>
        <w:footnoteReference w:id="15"/>
      </w:r>
      <w:r w:rsidRPr="003439D8">
        <w:rPr>
          <w:rFonts w:ascii="Century Gothic" w:eastAsia="Arial" w:hAnsi="Century Gothic" w:cs="Arial"/>
          <w:color w:val="000000"/>
        </w:rPr>
        <w:t xml:space="preserve">; en el último los documentos o requisitos subsanables pueden y deben solicitarse hasta el momento previo a su realización.  </w:t>
      </w:r>
    </w:p>
    <w:p w14:paraId="0F63DCBE"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w:t>
      </w:r>
      <w:r w:rsidRPr="003439D8">
        <w:rPr>
          <w:rFonts w:ascii="Century Gothic" w:eastAsia="Arial" w:hAnsi="Century Gothic" w:cs="Arial"/>
          <w:color w:val="000000"/>
        </w:rPr>
        <w:lastRenderedPageBreak/>
        <w:t xml:space="preserve">informe de evaluación: “deberán ser solicitados por las entidades estatales y deberán ser entregados por los proponentes hasta el término de traslado del informe de evaluación que corresponda a cada modalidad de selección”. </w:t>
      </w:r>
    </w:p>
    <w:p w14:paraId="05180FD0"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No obstante, de la lectura de este aparte podrían, en la práctica, darse dos interpretaciones que dan lugar a dos formas de proceder en los procesos de selección, en lo que se refiere a la subsanabilidad de las ofertas. </w:t>
      </w:r>
      <w:r w:rsidRPr="003439D8">
        <w:rPr>
          <w:rFonts w:ascii="Century Gothic" w:eastAsia="Arial" w:hAnsi="Century Gothic" w:cs="Arial"/>
          <w:i/>
          <w:color w:val="000000"/>
        </w:rPr>
        <w:t>Primera</w:t>
      </w:r>
      <w:r w:rsidRPr="003439D8">
        <w:rPr>
          <w:rFonts w:ascii="Century Gothic" w:eastAsia="Arial" w:hAnsi="Century Gothic" w:cs="Arial"/>
          <w:color w:val="000000"/>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3439D8">
        <w:rPr>
          <w:rFonts w:ascii="Century Gothic" w:eastAsia="Arial" w:hAnsi="Century Gothic" w:cs="Arial"/>
          <w:i/>
          <w:color w:val="000000"/>
        </w:rPr>
        <w:t>segunda</w:t>
      </w:r>
      <w:r w:rsidRPr="003439D8">
        <w:rPr>
          <w:rFonts w:ascii="Century Gothic" w:eastAsia="Arial" w:hAnsi="Century Gothic" w:cs="Arial"/>
          <w:color w:val="000000"/>
        </w:rPr>
        <w:t xml:space="preserve">, que el término del traslado del informe de evaluación es el límite para la subsanación de ofertas, pero no el único momento para hacerlo. </w:t>
      </w:r>
    </w:p>
    <w:p w14:paraId="0723472D"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6F6E4E0E"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75B55E94"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w:t>
      </w:r>
      <w:r w:rsidRPr="003439D8">
        <w:rPr>
          <w:rFonts w:ascii="Century Gothic" w:eastAsia="Arial" w:hAnsi="Century Gothic" w:cs="Arial"/>
          <w:color w:val="000000"/>
        </w:rPr>
        <w:lastRenderedPageBreak/>
        <w:t xml:space="preserve">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49FA3865"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De otro lado, el segundo cambio importante de la Ley 1882 de 2018 fue la introducción de un criterio material, directamente relacionado con los aspectos subsanables: “los proponentes no podrán acreditar circunstancias ocurridas con posterioridad al cierre del proceso”</w:t>
      </w:r>
      <w:r w:rsidRPr="003439D8">
        <w:rPr>
          <w:rFonts w:ascii="Century Gothic" w:eastAsia="Arial" w:hAnsi="Century Gothic" w:cs="Arial"/>
          <w:b/>
          <w:i/>
          <w:color w:val="000000"/>
        </w:rPr>
        <w:t>.</w:t>
      </w:r>
      <w:r w:rsidRPr="003439D8">
        <w:rPr>
          <w:rFonts w:ascii="Century Gothic" w:eastAsia="Arial" w:hAnsi="Century Gothic" w:cs="Arial"/>
          <w:b/>
          <w:color w:val="000000"/>
        </w:rPr>
        <w:t xml:space="preserve"> </w:t>
      </w:r>
      <w:r w:rsidRPr="003439D8">
        <w:rPr>
          <w:rFonts w:ascii="Century Gothic" w:eastAsia="Arial" w:hAnsi="Century Gothic" w:cs="Arial"/>
          <w:color w:val="000000"/>
        </w:rPr>
        <w:t xml:space="preserve">Lo anterior ofrece dos aspectos que merecen clarificación: </w:t>
      </w:r>
      <w:r w:rsidRPr="003439D8">
        <w:rPr>
          <w:rFonts w:ascii="Century Gothic" w:eastAsia="Arial" w:hAnsi="Century Gothic" w:cs="Arial"/>
          <w:i/>
          <w:color w:val="000000"/>
        </w:rPr>
        <w:t>primero</w:t>
      </w:r>
      <w:r w:rsidRPr="003439D8">
        <w:rPr>
          <w:rFonts w:ascii="Century Gothic" w:eastAsia="Arial" w:hAnsi="Century Gothic" w:cs="Arial"/>
          <w:color w:val="000000"/>
        </w:rPr>
        <w:t xml:space="preserve">, qué debe entenderse por circunstancias ocurridas con posterioridad; y </w:t>
      </w:r>
      <w:r w:rsidRPr="003439D8">
        <w:rPr>
          <w:rFonts w:ascii="Century Gothic" w:eastAsia="Arial" w:hAnsi="Century Gothic" w:cs="Arial"/>
          <w:i/>
          <w:color w:val="000000"/>
        </w:rPr>
        <w:t>segundo</w:t>
      </w:r>
      <w:r w:rsidRPr="003439D8">
        <w:rPr>
          <w:rFonts w:ascii="Century Gothic" w:eastAsia="Arial" w:hAnsi="Century Gothic" w:cs="Arial"/>
          <w:color w:val="000000"/>
        </w:rPr>
        <w:t>, qué es el cierre del proceso.</w:t>
      </w:r>
    </w:p>
    <w:p w14:paraId="1F52526F" w14:textId="77777777" w:rsidR="00824A3B" w:rsidRPr="003439D8" w:rsidRDefault="00824A3B" w:rsidP="00824A3B">
      <w:pPr>
        <w:spacing w:after="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La Sala de Consulta y Servicio Civil del Consejo de Estado ya había tenido la oportunidad de precisar estas expresiones, a propósito de un concepto en el que se refirió al artículo 10 del derogado Decreto 2474 de 2008</w:t>
      </w:r>
      <w:r w:rsidRPr="003439D8">
        <w:rPr>
          <w:rFonts w:ascii="Century Gothic" w:eastAsia="Arial" w:hAnsi="Century Gothic" w:cs="Arial"/>
          <w:color w:val="000000"/>
          <w:vertAlign w:val="superscript"/>
        </w:rPr>
        <w:footnoteReference w:id="16"/>
      </w:r>
      <w:r w:rsidRPr="003439D8">
        <w:rPr>
          <w:rFonts w:ascii="Century Gothic" w:eastAsia="Arial" w:hAnsi="Century Gothic" w:cs="Arial"/>
          <w:color w:val="000000"/>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34313AB3" w14:textId="77777777" w:rsidR="00824A3B" w:rsidRPr="003439D8" w:rsidRDefault="00824A3B" w:rsidP="00824A3B">
      <w:pPr>
        <w:spacing w:after="0"/>
        <w:ind w:left="709" w:right="709"/>
        <w:jc w:val="both"/>
        <w:rPr>
          <w:rFonts w:ascii="Century Gothic" w:eastAsia="Arial" w:hAnsi="Century Gothic" w:cs="Arial"/>
          <w:color w:val="000000"/>
          <w:sz w:val="21"/>
          <w:szCs w:val="21"/>
        </w:rPr>
      </w:pPr>
    </w:p>
    <w:p w14:paraId="5FA5BEB7" w14:textId="77777777" w:rsidR="00824A3B" w:rsidRPr="003439D8" w:rsidRDefault="00824A3B" w:rsidP="00824A3B">
      <w:pPr>
        <w:spacing w:after="12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Sin embargo, debe tenerse en cuenta que la última norma en cita -Decreto 2474 de 2008, aparte subrayado-, establece un límite a la subsanabilidad, puesto que en cualquier caso debe referirse o recaer </w:t>
      </w:r>
      <w:r w:rsidRPr="003439D8">
        <w:rPr>
          <w:rFonts w:ascii="Century Gothic" w:eastAsia="Arial" w:hAnsi="Century Gothic" w:cs="Arial"/>
          <w:color w:val="000000"/>
          <w:sz w:val="21"/>
          <w:szCs w:val="21"/>
        </w:rPr>
        <w:lastRenderedPageBreak/>
        <w:t>sobre circunstancias ocurridas antes del cierre del respectivo proceso, esto es, del vencimiento del plazo para presentar ofertas.</w:t>
      </w:r>
    </w:p>
    <w:p w14:paraId="74925C93" w14:textId="77777777" w:rsidR="00824A3B" w:rsidRPr="003439D8" w:rsidRDefault="00824A3B" w:rsidP="00824A3B">
      <w:pPr>
        <w:spacing w:after="0" w:line="240" w:lineRule="auto"/>
        <w:ind w:left="709" w:right="709"/>
        <w:jc w:val="both"/>
        <w:rPr>
          <w:rFonts w:ascii="Century Gothic" w:eastAsia="Arial" w:hAnsi="Century Gothic" w:cs="Arial"/>
          <w:color w:val="000000"/>
          <w:sz w:val="21"/>
          <w:szCs w:val="21"/>
        </w:rPr>
      </w:pPr>
      <w:r w:rsidRPr="003439D8">
        <w:rPr>
          <w:rFonts w:ascii="Century Gothic" w:eastAsia="Arial" w:hAnsi="Century Gothic" w:cs="Arial"/>
          <w:color w:val="000000"/>
          <w:sz w:val="21"/>
          <w:szCs w:val="21"/>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3439D8">
        <w:rPr>
          <w:rFonts w:ascii="Century Gothic" w:eastAsia="Arial" w:hAnsi="Century Gothic" w:cs="Arial"/>
          <w:color w:val="000000"/>
          <w:sz w:val="21"/>
          <w:szCs w:val="21"/>
        </w:rPr>
        <w:t>la misma</w:t>
      </w:r>
      <w:proofErr w:type="gramEnd"/>
      <w:r w:rsidRPr="003439D8">
        <w:rPr>
          <w:rFonts w:ascii="Century Gothic" w:eastAsia="Arial" w:hAnsi="Century Gothic" w:cs="Arial"/>
          <w:color w:val="000000"/>
          <w:sz w:val="21"/>
          <w:szCs w:val="21"/>
        </w:rPr>
        <w:t xml:space="preserve">,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w:t>
      </w:r>
      <w:r w:rsidRPr="003439D8">
        <w:rPr>
          <w:rFonts w:ascii="Century Gothic" w:eastAsia="Arial" w:hAnsi="Century Gothic" w:cs="Arial"/>
          <w:color w:val="000000"/>
          <w:sz w:val="21"/>
          <w:szCs w:val="21"/>
        </w:rPr>
        <w:lastRenderedPageBreak/>
        <w:t xml:space="preserve">requerir al interesado para que haga entrega </w:t>
      </w:r>
      <w:proofErr w:type="gramStart"/>
      <w:r w:rsidRPr="003439D8">
        <w:rPr>
          <w:rFonts w:ascii="Century Gothic" w:eastAsia="Arial" w:hAnsi="Century Gothic" w:cs="Arial"/>
          <w:color w:val="000000"/>
          <w:sz w:val="21"/>
          <w:szCs w:val="21"/>
        </w:rPr>
        <w:t>del mismo</w:t>
      </w:r>
      <w:proofErr w:type="gramEnd"/>
      <w:r w:rsidRPr="003439D8">
        <w:rPr>
          <w:rFonts w:ascii="Century Gothic" w:eastAsia="Arial" w:hAnsi="Century Gothic" w:cs="Arial"/>
          <w:color w:val="000000"/>
          <w:sz w:val="21"/>
          <w:szCs w:val="21"/>
        </w:rPr>
        <w:t xml:space="preserve"> o lo actualice, pero no para que se constituya la sociedad con posterioridad al cierre del proceso, pues si ello no se había hecho, significa simplemente que el oferente no tenía la condición para participar</w:t>
      </w:r>
      <w:r w:rsidRPr="003439D8">
        <w:rPr>
          <w:rFonts w:ascii="Century Gothic" w:eastAsia="Arial" w:hAnsi="Century Gothic" w:cs="Arial"/>
          <w:color w:val="000000"/>
          <w:sz w:val="21"/>
          <w:szCs w:val="21"/>
          <w:vertAlign w:val="superscript"/>
        </w:rPr>
        <w:footnoteReference w:id="17"/>
      </w:r>
      <w:r w:rsidRPr="003439D8">
        <w:rPr>
          <w:rFonts w:ascii="Century Gothic" w:eastAsia="Arial" w:hAnsi="Century Gothic" w:cs="Arial"/>
          <w:color w:val="000000"/>
          <w:sz w:val="21"/>
          <w:szCs w:val="21"/>
        </w:rPr>
        <w:t>.</w:t>
      </w:r>
    </w:p>
    <w:p w14:paraId="2DF67B66" w14:textId="77777777" w:rsidR="00824A3B" w:rsidRPr="003439D8" w:rsidRDefault="00824A3B" w:rsidP="00824A3B">
      <w:pPr>
        <w:spacing w:after="0" w:line="276" w:lineRule="auto"/>
        <w:jc w:val="both"/>
        <w:rPr>
          <w:rFonts w:ascii="Century Gothic" w:eastAsia="Arial" w:hAnsi="Century Gothic" w:cs="Arial"/>
          <w:color w:val="000000"/>
        </w:rPr>
      </w:pPr>
    </w:p>
    <w:p w14:paraId="63E8C59B" w14:textId="77777777" w:rsidR="00824A3B" w:rsidRPr="003439D8" w:rsidRDefault="00824A3B" w:rsidP="00824A3B">
      <w:pPr>
        <w:spacing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3F1A512"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1856949C"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3439D8">
        <w:rPr>
          <w:rFonts w:ascii="Century Gothic" w:eastAsia="Arial" w:hAnsi="Century Gothic" w:cs="Arial"/>
          <w:color w:val="000000"/>
          <w:vertAlign w:val="superscript"/>
        </w:rPr>
        <w:footnoteReference w:id="18"/>
      </w:r>
      <w:r w:rsidRPr="003439D8">
        <w:rPr>
          <w:rFonts w:ascii="Century Gothic" w:eastAsia="Arial" w:hAnsi="Century Gothic" w:cs="Arial"/>
          <w:color w:val="000000"/>
        </w:rPr>
        <w:t>; iii) si un oferente no anexó el certificado de existencia y representación legal, el documento aportado con posterioridad debe dar cuenta de que la sociedad existe desde antes del cierre del proceso</w:t>
      </w:r>
      <w:r w:rsidRPr="003439D8">
        <w:rPr>
          <w:rFonts w:ascii="Century Gothic" w:eastAsia="Arial" w:hAnsi="Century Gothic" w:cs="Arial"/>
          <w:color w:val="000000"/>
          <w:vertAlign w:val="superscript"/>
        </w:rPr>
        <w:footnoteReference w:id="19"/>
      </w:r>
      <w:r w:rsidRPr="003439D8">
        <w:rPr>
          <w:rFonts w:ascii="Century Gothic" w:eastAsia="Arial" w:hAnsi="Century Gothic" w:cs="Arial"/>
          <w:color w:val="000000"/>
        </w:rPr>
        <w:t xml:space="preserve">; iv) si un oferente olvidó adjuntar un certificado que demuestra un título universitario, el documento, aunque tenga fecha posterior al cierre del proceso, debe acreditar </w:t>
      </w:r>
      <w:r w:rsidRPr="003439D8">
        <w:rPr>
          <w:rFonts w:ascii="Century Gothic" w:eastAsia="Arial" w:hAnsi="Century Gothic" w:cs="Arial"/>
          <w:color w:val="000000"/>
        </w:rPr>
        <w:lastRenderedPageBreak/>
        <w:t xml:space="preserve">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se entienda que acreditó una circunstancia ocurrida con posterioridad al cierre del proceso. </w:t>
      </w:r>
    </w:p>
    <w:p w14:paraId="4C8FDBE5"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3439D8">
        <w:rPr>
          <w:rFonts w:ascii="Century Gothic" w:eastAsia="Arial" w:hAnsi="Century Gothic" w:cs="Arial"/>
          <w:color w:val="000000"/>
        </w:rPr>
        <w:t>que</w:t>
      </w:r>
      <w:proofErr w:type="gramEnd"/>
      <w:r w:rsidRPr="003439D8">
        <w:rPr>
          <w:rFonts w:ascii="Century Gothic" w:eastAsia="Arial" w:hAnsi="Century Gothic" w:cs="Arial"/>
          <w:color w:val="000000"/>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439D8">
        <w:rPr>
          <w:rFonts w:ascii="Century Gothic" w:eastAsia="Arial" w:hAnsi="Century Gothic" w:cs="Arial"/>
          <w:color w:val="000000"/>
          <w:vertAlign w:val="superscript"/>
        </w:rPr>
        <w:footnoteReference w:id="20"/>
      </w:r>
      <w:r w:rsidRPr="003439D8">
        <w:rPr>
          <w:rFonts w:ascii="Century Gothic" w:eastAsia="Arial" w:hAnsi="Century Gothic" w:cs="Arial"/>
          <w:color w:val="000000"/>
        </w:rPr>
        <w:t xml:space="preserve">. </w:t>
      </w:r>
    </w:p>
    <w:p w14:paraId="45F3B503"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Asimismo, indicó que no es relevante que, al subsanar dichos documentos, su fecha de actualización sea posterior a la del cierre, sino que las circunstancias que acrediten hayan ocurrido antes.</w:t>
      </w:r>
    </w:p>
    <w:p w14:paraId="3173FF3E"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Esta tesis fue reiterada por la Agencia Nacional de Contratación Pública – Colombia Compra Eficiente en el concepto con radicado 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w:t>
      </w:r>
      <w:r w:rsidRPr="003439D8">
        <w:rPr>
          <w:rFonts w:ascii="Century Gothic" w:eastAsia="Arial" w:hAnsi="Century Gothic" w:cs="Arial"/>
          <w:color w:val="000000"/>
        </w:rPr>
        <w:lastRenderedPageBreak/>
        <w:t xml:space="preserve">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4A13CE7B"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reiteró que no es posible variar el porcentaje de participación en una unión temporal, porque implicaría una modificación de la oferta y la acreditación de un aspecto que es posterior al cierre del procedimiento de selección–. </w:t>
      </w:r>
    </w:p>
    <w:p w14:paraId="74E5202B" w14:textId="77777777" w:rsidR="00824A3B" w:rsidRPr="003439D8" w:rsidRDefault="00824A3B" w:rsidP="00824A3B">
      <w:pPr>
        <w:spacing w:before="120" w:after="120" w:line="276" w:lineRule="auto"/>
        <w:ind w:firstLine="709"/>
        <w:jc w:val="both"/>
        <w:rPr>
          <w:rFonts w:ascii="Century Gothic" w:eastAsia="Arial" w:hAnsi="Century Gothic" w:cs="Arial"/>
          <w:color w:val="000000"/>
        </w:rPr>
      </w:pPr>
      <w:r w:rsidRPr="003439D8">
        <w:rPr>
          <w:rFonts w:ascii="Century Gothic" w:eastAsia="Arial" w:hAnsi="Century Gothic" w:cs="Arial"/>
          <w:color w:val="000000"/>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15100982" w14:textId="77777777" w:rsidR="00824A3B" w:rsidRPr="003439D8" w:rsidRDefault="00824A3B" w:rsidP="00824A3B">
      <w:pPr>
        <w:spacing w:after="0" w:line="276" w:lineRule="auto"/>
        <w:ind w:firstLine="709"/>
        <w:jc w:val="both"/>
        <w:rPr>
          <w:rFonts w:ascii="Century Gothic" w:hAnsi="Century Gothic"/>
        </w:rPr>
      </w:pPr>
      <w:r w:rsidRPr="003439D8">
        <w:rPr>
          <w:rFonts w:ascii="Century Gothic" w:eastAsia="Arial" w:hAnsi="Century Gothic" w:cs="Arial"/>
          <w:color w:val="000000"/>
        </w:rPr>
        <w:lastRenderedPageBreak/>
        <w:t xml:space="preserve">Finalmente, el parágrafo 3 del artículo 5 de la Ley 1882 de 2018 determinó, de manera expresa, que “la no entrega de la garantía de seriedad junto con la propuesta no será subsanable y será causal de rechazo de </w:t>
      </w:r>
      <w:proofErr w:type="gramStart"/>
      <w:r w:rsidRPr="003439D8">
        <w:rPr>
          <w:rFonts w:ascii="Century Gothic" w:eastAsia="Arial" w:hAnsi="Century Gothic" w:cs="Arial"/>
          <w:color w:val="000000"/>
        </w:rPr>
        <w:t>la misma</w:t>
      </w:r>
      <w:proofErr w:type="gramEnd"/>
      <w:r w:rsidRPr="003439D8">
        <w:rPr>
          <w:rFonts w:ascii="Century Gothic" w:eastAsia="Arial" w:hAnsi="Century Gothic" w:cs="Arial"/>
          <w:color w:val="000000"/>
        </w:rPr>
        <w:t>”, dejando claro que se trata de un documento de obligatoria presentación junto con la propuesta y que materializa los principios de seriedad e irrevocabilidad de la oferta.</w:t>
      </w:r>
    </w:p>
    <w:p w14:paraId="23498BAE" w14:textId="77777777" w:rsidR="00824A3B" w:rsidRPr="003439D8" w:rsidRDefault="00824A3B" w:rsidP="00824A3B">
      <w:pPr>
        <w:tabs>
          <w:tab w:val="left" w:pos="709"/>
        </w:tabs>
        <w:spacing w:after="0" w:line="276" w:lineRule="auto"/>
        <w:jc w:val="both"/>
        <w:rPr>
          <w:rFonts w:ascii="Century Gothic" w:eastAsia="Calibri" w:hAnsi="Century Gothic" w:cs="Arial"/>
          <w:bCs/>
          <w:color w:val="000000" w:themeColor="text1"/>
        </w:rPr>
      </w:pPr>
    </w:p>
    <w:p w14:paraId="578068AD" w14:textId="77777777" w:rsidR="00824A3B" w:rsidRPr="003439D8" w:rsidRDefault="00824A3B" w:rsidP="00824A3B">
      <w:pPr>
        <w:tabs>
          <w:tab w:val="left" w:pos="0"/>
        </w:tabs>
        <w:spacing w:after="0"/>
        <w:jc w:val="both"/>
        <w:rPr>
          <w:rFonts w:ascii="Century Gothic" w:eastAsia="Calibri" w:hAnsi="Century Gothic" w:cs="Arial"/>
          <w:b/>
          <w:color w:val="000000" w:themeColor="text1"/>
          <w:lang w:val="es-ES_tradnl"/>
        </w:rPr>
      </w:pPr>
      <w:r w:rsidRPr="003439D8">
        <w:rPr>
          <w:rFonts w:ascii="Century Gothic" w:eastAsia="Calibri" w:hAnsi="Century Gothic" w:cs="Arial"/>
          <w:b/>
          <w:color w:val="000000" w:themeColor="text1"/>
          <w:lang w:val="es-ES_tradnl"/>
        </w:rPr>
        <w:t>3. Respuestas</w:t>
      </w:r>
    </w:p>
    <w:p w14:paraId="743CA636" w14:textId="77777777" w:rsidR="00824A3B" w:rsidRPr="003439D8" w:rsidRDefault="00824A3B" w:rsidP="00824A3B">
      <w:pPr>
        <w:spacing w:after="0" w:line="276" w:lineRule="auto"/>
        <w:jc w:val="both"/>
        <w:rPr>
          <w:rFonts w:ascii="Century Gothic" w:hAnsi="Century Gothic" w:cs="Arial"/>
          <w:color w:val="000000" w:themeColor="text1"/>
          <w:lang w:val="es-ES_tradnl"/>
        </w:rPr>
      </w:pPr>
    </w:p>
    <w:p w14:paraId="55C15F00" w14:textId="77777777" w:rsidR="00824A3B" w:rsidRPr="003439D8" w:rsidRDefault="00824A3B" w:rsidP="00824A3B">
      <w:pPr>
        <w:spacing w:after="120" w:line="240" w:lineRule="auto"/>
        <w:ind w:left="709" w:right="709"/>
        <w:jc w:val="both"/>
        <w:rPr>
          <w:rFonts w:ascii="Century Gothic" w:hAnsi="Century Gothic" w:cs="Arial"/>
          <w:color w:val="000000" w:themeColor="text1"/>
          <w:sz w:val="21"/>
          <w:szCs w:val="21"/>
          <w:lang w:val="es-ES_tradnl"/>
        </w:rPr>
      </w:pPr>
      <w:r w:rsidRPr="003439D8">
        <w:rPr>
          <w:rFonts w:ascii="Century Gothic" w:hAnsi="Century Gothic" w:cs="Arial"/>
          <w:color w:val="000000" w:themeColor="text1"/>
          <w:sz w:val="21"/>
          <w:szCs w:val="21"/>
          <w:lang w:val="es-ES_tradnl"/>
        </w:rPr>
        <w:t>i) “Teniendo en cuenta las disposiciones legales, las reglas y parámetros establecidos por la jurisprudencia especializada y los conceptos emitidos por Colombia Compra Eficiente, ¿es jurídicamente viable que una entidad contratante que ha consagrado en sus documentos precontractuales la regla de la subsanabilidad de todo documento o requisito de una oferta que no sea susceptible de asignación de puntaje, pueda, en la etapa de calificación de las propuestas, calificar qué documentos pueden ser subsanados y cuáles no?”.</w:t>
      </w:r>
    </w:p>
    <w:p w14:paraId="766666BA" w14:textId="77777777" w:rsidR="00824A3B" w:rsidRPr="003439D8" w:rsidRDefault="00824A3B" w:rsidP="00824A3B">
      <w:pPr>
        <w:spacing w:after="120" w:line="240" w:lineRule="auto"/>
        <w:ind w:left="709" w:right="709"/>
        <w:jc w:val="both"/>
        <w:rPr>
          <w:rFonts w:ascii="Century Gothic" w:hAnsi="Century Gothic" w:cs="Arial"/>
          <w:color w:val="000000" w:themeColor="text1"/>
          <w:sz w:val="21"/>
          <w:szCs w:val="21"/>
          <w:lang w:val="es-ES_tradnl"/>
        </w:rPr>
      </w:pPr>
      <w:r w:rsidRPr="003439D8">
        <w:rPr>
          <w:rFonts w:ascii="Century Gothic" w:hAnsi="Century Gothic" w:cs="Arial"/>
          <w:color w:val="000000" w:themeColor="text1"/>
          <w:sz w:val="21"/>
          <w:szCs w:val="21"/>
          <w:lang w:val="es-ES_tradnl"/>
        </w:rPr>
        <w:t xml:space="preserve">ii) “Bajo las mismas consideraciones del numeral anterior ¿puede la entidad contratante abstenerse de aceptar la subsanación de documentos que no asignan puntaje bajo la consideración de que debiendo haberse presentado al momento del cierre del proceso de selección, admitirlos implica una modificación o mejora de la oferta presentada?”. </w:t>
      </w:r>
    </w:p>
    <w:p w14:paraId="517FE4B5" w14:textId="77777777" w:rsidR="00824A3B" w:rsidRPr="003439D8" w:rsidRDefault="00824A3B" w:rsidP="00824A3B">
      <w:pPr>
        <w:spacing w:after="120" w:line="240" w:lineRule="auto"/>
        <w:ind w:left="709" w:right="709"/>
        <w:jc w:val="both"/>
        <w:rPr>
          <w:rFonts w:ascii="Century Gothic" w:hAnsi="Century Gothic" w:cs="Arial"/>
          <w:color w:val="000000" w:themeColor="text1"/>
          <w:sz w:val="21"/>
          <w:szCs w:val="21"/>
          <w:lang w:val="es-ES_tradnl"/>
        </w:rPr>
      </w:pPr>
      <w:r w:rsidRPr="003439D8">
        <w:rPr>
          <w:rFonts w:ascii="Century Gothic" w:hAnsi="Century Gothic" w:cs="Arial"/>
          <w:color w:val="000000" w:themeColor="text1"/>
          <w:sz w:val="21"/>
          <w:szCs w:val="21"/>
          <w:lang w:val="es-ES_tradnl"/>
        </w:rPr>
        <w:t xml:space="preserve">iii) “¿Se ajusta a derecho la consideración según la cual aun reconociendo la naturaleza habilitante del documento cuya presentación no se hizo con la oferta, pero existente a la fecha del cierre, implica una violación al principio de igualdad?”. </w:t>
      </w:r>
    </w:p>
    <w:p w14:paraId="3275C667" w14:textId="77777777" w:rsidR="00824A3B" w:rsidRPr="003439D8" w:rsidRDefault="00824A3B" w:rsidP="00824A3B">
      <w:pPr>
        <w:spacing w:after="0" w:line="240" w:lineRule="auto"/>
        <w:ind w:left="709" w:right="709"/>
        <w:jc w:val="both"/>
        <w:rPr>
          <w:rFonts w:ascii="Century Gothic" w:hAnsi="Century Gothic" w:cs="Arial"/>
          <w:color w:val="000000" w:themeColor="text1"/>
          <w:sz w:val="21"/>
          <w:szCs w:val="21"/>
        </w:rPr>
      </w:pPr>
      <w:r w:rsidRPr="003439D8">
        <w:rPr>
          <w:rFonts w:ascii="Century Gothic" w:hAnsi="Century Gothic" w:cs="Arial"/>
          <w:color w:val="000000" w:themeColor="text1"/>
          <w:sz w:val="21"/>
          <w:szCs w:val="21"/>
          <w:lang w:val="es-ES_tradnl"/>
        </w:rPr>
        <w:t>iv) “¿Puede la entidad contratante desconocer su propia regla precontractual de subsanabilidad de documentos que no asignen puntaje, argumentando que la subsanación solo es posible ‘sobre ofrecimientos realizados por el oferente al momento de la presentación de su oferta’. O que ‘aun tratándose de aspectos habilitantes, tampoco es de recibido (sic) que los oferentes pretendan mejorar sus ofertas sobre aspectos que no hicieron parie de su ofrecimiento inicial, pues en ese caso, no estaría acreditando un elemento que incorporó en su propuesta ni subsanando un defecto de esta, si no que, estaría incluyendo un nuevo aspecto de la oferta, rompiendo así con la equidad e igualdad sobre la cual se realiza la correspondiente verificación y evaluación...’"</w:t>
      </w:r>
      <w:r w:rsidRPr="003439D8">
        <w:rPr>
          <w:rFonts w:ascii="Century Gothic" w:hAnsi="Century Gothic" w:cs="Arial"/>
          <w:color w:val="000000" w:themeColor="text1"/>
          <w:sz w:val="21"/>
          <w:szCs w:val="21"/>
        </w:rPr>
        <w:t>.</w:t>
      </w:r>
    </w:p>
    <w:p w14:paraId="6B491E4E" w14:textId="77777777" w:rsidR="00824A3B" w:rsidRPr="003439D8" w:rsidRDefault="00824A3B" w:rsidP="00824A3B">
      <w:pPr>
        <w:spacing w:after="0" w:line="276" w:lineRule="auto"/>
        <w:jc w:val="both"/>
        <w:rPr>
          <w:rFonts w:ascii="Century Gothic" w:hAnsi="Century Gothic" w:cs="Arial"/>
          <w:color w:val="000000" w:themeColor="text1"/>
        </w:rPr>
      </w:pPr>
      <w:r w:rsidRPr="003439D8">
        <w:rPr>
          <w:rFonts w:ascii="Century Gothic" w:hAnsi="Century Gothic" w:cs="Arial"/>
          <w:color w:val="000000" w:themeColor="text1"/>
          <w:sz w:val="21"/>
          <w:szCs w:val="21"/>
        </w:rPr>
        <w:t xml:space="preserve"> </w:t>
      </w:r>
    </w:p>
    <w:p w14:paraId="6F1C7BB6" w14:textId="77777777" w:rsidR="00824A3B" w:rsidRPr="003439D8" w:rsidRDefault="00824A3B" w:rsidP="00824A3B">
      <w:pPr>
        <w:spacing w:line="276" w:lineRule="auto"/>
        <w:jc w:val="both"/>
        <w:rPr>
          <w:rFonts w:ascii="Century Gothic" w:hAnsi="Century Gothic" w:cs="Arial"/>
          <w:shd w:val="clear" w:color="auto" w:fill="FFFFFF"/>
          <w:lang w:val="es-ES" w:eastAsia="es-MX"/>
        </w:rPr>
      </w:pPr>
      <w:r w:rsidRPr="003439D8">
        <w:rPr>
          <w:rFonts w:ascii="Century Gothic" w:eastAsia="Calibri" w:hAnsi="Century Gothic" w:cs="Arial"/>
          <w:lang w:val="es-ES_tradnl"/>
        </w:rPr>
        <w:t>De acuerdo con la explicación precedente</w:t>
      </w:r>
      <w:r w:rsidRPr="003439D8">
        <w:rPr>
          <w:rFonts w:ascii="Century Gothic" w:hAnsi="Century Gothic" w:cs="Arial"/>
        </w:rPr>
        <w:t xml:space="preserve">, teniendo en cuenta las reglas dispuestas en </w:t>
      </w:r>
      <w:r w:rsidRPr="003439D8">
        <w:rPr>
          <w:rFonts w:ascii="Century Gothic" w:eastAsia="Calibri" w:hAnsi="Century Gothic" w:cs="Arial"/>
          <w:lang w:val="es-ES_tradnl"/>
        </w:rPr>
        <w:t xml:space="preserve">la Ley 1882 de 2018, se mantiene el criterio de la Ley 80 de 1993, relativo a que todo lo que no sea necesario para la comparación de propuestas </w:t>
      </w:r>
      <w:r w:rsidRPr="003439D8">
        <w:rPr>
          <w:rFonts w:ascii="Century Gothic" w:eastAsia="Calibri" w:hAnsi="Century Gothic" w:cs="Arial"/>
          <w:lang w:val="es-ES_tradnl"/>
        </w:rPr>
        <w:lastRenderedPageBreak/>
        <w:t>no es argumento suficiente para su rechazo en las diferentes modalidades de selección. Por un lado, se conserva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w:t>
      </w:r>
    </w:p>
    <w:p w14:paraId="32C2EC2E" w14:textId="77777777" w:rsidR="00824A3B" w:rsidRPr="003439D8" w:rsidRDefault="00824A3B" w:rsidP="00824A3B">
      <w:pPr>
        <w:spacing w:before="120" w:after="120" w:line="276" w:lineRule="auto"/>
        <w:ind w:firstLine="709"/>
        <w:jc w:val="both"/>
        <w:rPr>
          <w:rFonts w:ascii="Century Gothic" w:eastAsia="Calibri" w:hAnsi="Century Gothic" w:cs="Arial"/>
          <w:lang w:val="es-ES_tradnl"/>
        </w:rPr>
      </w:pPr>
      <w:r w:rsidRPr="003439D8">
        <w:rPr>
          <w:rFonts w:ascii="Century Gothic" w:hAnsi="Century Gothic" w:cs="Arial"/>
          <w:lang w:val="es-ES_tradnl"/>
        </w:rPr>
        <w:t xml:space="preserve">Por otra parte, </w:t>
      </w:r>
      <w:r w:rsidRPr="003439D8">
        <w:rPr>
          <w:rFonts w:ascii="Century Gothic" w:eastAsia="Calibri" w:hAnsi="Century Gothic"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AEB6C4F" w14:textId="77777777" w:rsidR="00824A3B" w:rsidRPr="003439D8" w:rsidRDefault="00824A3B" w:rsidP="00824A3B">
      <w:pPr>
        <w:spacing w:before="120" w:after="120" w:line="276" w:lineRule="auto"/>
        <w:ind w:firstLine="709"/>
        <w:jc w:val="both"/>
        <w:rPr>
          <w:rFonts w:ascii="Century Gothic" w:eastAsia="Calibri" w:hAnsi="Century Gothic" w:cs="Arial"/>
          <w:lang w:val="es-ES_tradnl"/>
        </w:rPr>
      </w:pPr>
      <w:r w:rsidRPr="003439D8">
        <w:rPr>
          <w:rFonts w:ascii="Century Gothic" w:eastAsia="Calibri" w:hAnsi="Century Gothic" w:cs="Arial"/>
          <w:lang w:val="es-ES_tradnl"/>
        </w:rPr>
        <w:t xml:space="preserve">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 </w:t>
      </w:r>
    </w:p>
    <w:p w14:paraId="34A71D78" w14:textId="77777777" w:rsidR="00824A3B" w:rsidRPr="003439D8" w:rsidRDefault="00824A3B" w:rsidP="00824A3B">
      <w:pPr>
        <w:spacing w:before="120" w:after="120" w:line="276" w:lineRule="auto"/>
        <w:ind w:firstLine="709"/>
        <w:jc w:val="both"/>
        <w:rPr>
          <w:rFonts w:ascii="Century Gothic" w:eastAsia="Calibri" w:hAnsi="Century Gothic" w:cs="Arial"/>
          <w:lang w:val="es-ES_tradnl"/>
        </w:rPr>
      </w:pPr>
      <w:r w:rsidRPr="003439D8">
        <w:rPr>
          <w:rFonts w:ascii="Century Gothic" w:eastAsia="Calibri" w:hAnsi="Century Gothic" w:cs="Arial"/>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 iii) si un oferente no anexó el Certificado de existencia y representación legal, el documento aportado con posterioridad debe dar cuenta de que la sociedad existía antes del cierre del proceso;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w:t>
      </w:r>
      <w:r w:rsidRPr="003439D8">
        <w:rPr>
          <w:rFonts w:ascii="Century Gothic" w:eastAsia="Calibri" w:hAnsi="Century Gothic" w:cs="Arial"/>
          <w:lang w:val="es-ES_tradnl"/>
        </w:rPr>
        <w:lastRenderedPageBreak/>
        <w:t xml:space="preserve">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0A22475C" w14:textId="77777777" w:rsidR="00824A3B" w:rsidRPr="003439D8" w:rsidRDefault="00824A3B" w:rsidP="00824A3B">
      <w:pPr>
        <w:pStyle w:val="Default"/>
        <w:spacing w:line="276" w:lineRule="auto"/>
        <w:ind w:firstLine="708"/>
        <w:jc w:val="both"/>
        <w:rPr>
          <w:rFonts w:ascii="Century Gothic" w:eastAsia="Calibri" w:hAnsi="Century Gothic"/>
          <w:color w:val="auto"/>
          <w:sz w:val="22"/>
          <w:szCs w:val="22"/>
          <w:lang w:val="es-ES_tradnl"/>
        </w:rPr>
      </w:pPr>
      <w:r w:rsidRPr="003439D8">
        <w:rPr>
          <w:rFonts w:ascii="Century Gothic" w:eastAsia="Calibri" w:hAnsi="Century Gothic"/>
          <w:color w:val="auto"/>
          <w:sz w:val="22"/>
          <w:szCs w:val="22"/>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3439D8">
        <w:rPr>
          <w:rFonts w:ascii="Century Gothic" w:eastAsia="Calibri" w:hAnsi="Century Gothic"/>
          <w:color w:val="auto"/>
          <w:sz w:val="22"/>
          <w:szCs w:val="22"/>
          <w:lang w:val="es-ES_tradnl"/>
        </w:rPr>
        <w:t>que</w:t>
      </w:r>
      <w:proofErr w:type="gramEnd"/>
      <w:r w:rsidRPr="003439D8">
        <w:rPr>
          <w:rFonts w:ascii="Century Gothic" w:eastAsia="Calibri" w:hAnsi="Century Gothic"/>
          <w:color w:val="auto"/>
          <w:sz w:val="22"/>
          <w:szCs w:val="22"/>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p>
    <w:p w14:paraId="601841D4" w14:textId="77777777" w:rsidR="00824A3B" w:rsidRPr="003439D8" w:rsidRDefault="00824A3B" w:rsidP="00824A3B">
      <w:pPr>
        <w:spacing w:before="120" w:after="120" w:line="276" w:lineRule="auto"/>
        <w:ind w:firstLine="708"/>
        <w:jc w:val="both"/>
        <w:rPr>
          <w:rFonts w:ascii="Century Gothic" w:eastAsia="Arial" w:hAnsi="Century Gothic" w:cs="Arial"/>
          <w:color w:val="000000"/>
        </w:rPr>
      </w:pPr>
      <w:r w:rsidRPr="003439D8">
        <w:rPr>
          <w:rFonts w:ascii="Century Gothic" w:eastAsia="Arial" w:hAnsi="Century Gothic" w:cs="Arial"/>
          <w:color w:val="000000"/>
        </w:rPr>
        <w:t xml:space="preserve">Con el fin de comprender si determinado elemento de la oferta es o no subsanable,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Sin perjuicio de lo anterior, el parágrafo 3 del artículo 5 de la Ley 1882 de 2018 determinó, de manera expresa, que “la no entrega de la garantía de seriedad junto con la propuesta no será subsanable y será causal de rechazo de </w:t>
      </w:r>
      <w:proofErr w:type="gramStart"/>
      <w:r w:rsidRPr="003439D8">
        <w:rPr>
          <w:rFonts w:ascii="Century Gothic" w:eastAsia="Arial" w:hAnsi="Century Gothic" w:cs="Arial"/>
          <w:color w:val="000000"/>
        </w:rPr>
        <w:t>la misma</w:t>
      </w:r>
      <w:proofErr w:type="gramEnd"/>
      <w:r w:rsidRPr="003439D8">
        <w:rPr>
          <w:rFonts w:ascii="Century Gothic" w:eastAsia="Arial" w:hAnsi="Century Gothic" w:cs="Arial"/>
          <w:color w:val="000000"/>
        </w:rPr>
        <w:t xml:space="preserve">”, dejando claro que se trata de un documento de obligatoria presentación junto con la propuesta y que materializa los principios de seriedad e irrevocabilidad de la oferta. </w:t>
      </w:r>
    </w:p>
    <w:p w14:paraId="1DA23EB4" w14:textId="77777777" w:rsidR="00824A3B" w:rsidRPr="003439D8" w:rsidRDefault="00824A3B" w:rsidP="00824A3B">
      <w:pPr>
        <w:spacing w:before="120" w:after="120" w:line="276" w:lineRule="auto"/>
        <w:ind w:firstLine="708"/>
        <w:jc w:val="both"/>
        <w:rPr>
          <w:rFonts w:ascii="Century Gothic" w:eastAsia="Arial" w:hAnsi="Century Gothic" w:cs="Arial"/>
          <w:color w:val="000000"/>
        </w:rPr>
      </w:pPr>
      <w:r w:rsidRPr="003439D8">
        <w:rPr>
          <w:rFonts w:ascii="Century Gothic" w:eastAsia="Arial" w:hAnsi="Century Gothic" w:cs="Arial"/>
          <w:color w:val="000000"/>
        </w:rPr>
        <w:t>En resumen, por regla general, son subsanables i) la falta de entrega o ii) los defectos de los requisitos habilitantes.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744C4D50" w14:textId="77777777" w:rsidR="00824A3B" w:rsidRPr="003439D8" w:rsidRDefault="00824A3B" w:rsidP="00824A3B">
      <w:pPr>
        <w:widowControl w:val="0"/>
        <w:autoSpaceDE w:val="0"/>
        <w:autoSpaceDN w:val="0"/>
        <w:spacing w:after="120" w:line="276" w:lineRule="auto"/>
        <w:ind w:firstLine="709"/>
        <w:jc w:val="both"/>
        <w:rPr>
          <w:rFonts w:ascii="Century Gothic" w:eastAsia="Arial MT" w:hAnsi="Century Gothic" w:cs="Arial"/>
          <w:color w:val="000000" w:themeColor="text1"/>
          <w:lang w:val="es-ES"/>
        </w:rPr>
      </w:pPr>
      <w:r w:rsidRPr="003439D8">
        <w:rPr>
          <w:rFonts w:ascii="Century Gothic" w:eastAsia="Arial MT" w:hAnsi="Century Gothic" w:cs="Arial"/>
          <w:color w:val="000000" w:themeColor="text1"/>
          <w:lang w:val="es-ES"/>
        </w:rPr>
        <w:lastRenderedPageBreak/>
        <w:t xml:space="preserve">Por ello, dentro del marco general trazado en el presente oficio, </w:t>
      </w:r>
      <w:r w:rsidRPr="003439D8">
        <w:rPr>
          <w:rStyle w:val="normaltextrun"/>
          <w:rFonts w:ascii="Century Gothic" w:hAnsi="Century Gothic" w:cs="Arial"/>
          <w:color w:val="000000"/>
          <w:shd w:val="clear" w:color="auto" w:fill="FFFFFF"/>
        </w:rPr>
        <w:t xml:space="preserve">corresponde a cada entidad pública, en ejercicio de su competencia, determinar si es procedente o no la subsanación de un documento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w:t>
      </w:r>
      <w:r w:rsidRPr="003439D8">
        <w:rPr>
          <w:rStyle w:val="findhit"/>
          <w:rFonts w:ascii="Century Gothic" w:hAnsi="Century Gothic" w:cs="Arial"/>
          <w:color w:val="000000"/>
          <w:shd w:val="clear" w:color="auto" w:fill="FFFFFF"/>
        </w:rPr>
        <w:t>principio de juridicidad</w:t>
      </w:r>
      <w:r w:rsidRPr="003439D8">
        <w:rPr>
          <w:rStyle w:val="normaltextrun"/>
          <w:rFonts w:ascii="Century Gothic" w:hAnsi="Century Gothic" w:cs="Arial"/>
          <w:color w:val="000000"/>
          <w:shd w:val="clear" w:color="auto" w:fill="FFFFFF"/>
        </w:rPr>
        <w:t>.</w:t>
      </w:r>
      <w:r w:rsidRPr="003439D8">
        <w:rPr>
          <w:rStyle w:val="eop"/>
          <w:rFonts w:ascii="Century Gothic" w:hAnsi="Century Gothic" w:cs="Arial"/>
          <w:color w:val="000000"/>
          <w:shd w:val="clear" w:color="auto" w:fill="FFFFFF"/>
        </w:rPr>
        <w:t> </w:t>
      </w:r>
      <w:r w:rsidRPr="003439D8">
        <w:rPr>
          <w:rFonts w:ascii="Century Gothic" w:eastAsia="Arial MT" w:hAnsi="Century Gothic" w:cs="Arial"/>
          <w:color w:val="000000" w:themeColor="text1"/>
          <w:lang w:val="es-ES"/>
        </w:rPr>
        <w:t xml:space="preserve">  </w:t>
      </w:r>
    </w:p>
    <w:p w14:paraId="2E3EF2AB" w14:textId="77777777" w:rsidR="00824A3B" w:rsidRPr="003439D8" w:rsidRDefault="00824A3B" w:rsidP="00824A3B">
      <w:pPr>
        <w:spacing w:after="0" w:line="276" w:lineRule="auto"/>
        <w:jc w:val="both"/>
        <w:rPr>
          <w:rFonts w:ascii="Century Gothic" w:hAnsi="Century Gothic" w:cs="Arial"/>
          <w:lang w:val="es-ES"/>
        </w:rPr>
      </w:pPr>
    </w:p>
    <w:p w14:paraId="3FF066A8" w14:textId="77777777" w:rsidR="00824A3B" w:rsidRPr="003439D8" w:rsidRDefault="00824A3B" w:rsidP="00824A3B">
      <w:pPr>
        <w:widowControl w:val="0"/>
        <w:autoSpaceDE w:val="0"/>
        <w:autoSpaceDN w:val="0"/>
        <w:spacing w:after="0" w:line="276" w:lineRule="auto"/>
        <w:jc w:val="both"/>
        <w:rPr>
          <w:rFonts w:ascii="Century Gothic" w:hAnsi="Century Gothic" w:cs="Arial"/>
          <w:color w:val="000000" w:themeColor="text1"/>
          <w:lang w:val="es-ES_tradnl" w:bidi="es-ES"/>
        </w:rPr>
      </w:pPr>
      <w:r w:rsidRPr="003439D8">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049F2163" w14:textId="77777777" w:rsidR="00824A3B" w:rsidRPr="003439D8" w:rsidRDefault="00824A3B" w:rsidP="00824A3B">
      <w:pPr>
        <w:widowControl w:val="0"/>
        <w:autoSpaceDE w:val="0"/>
        <w:autoSpaceDN w:val="0"/>
        <w:spacing w:after="0" w:line="276" w:lineRule="auto"/>
        <w:jc w:val="both"/>
        <w:rPr>
          <w:rFonts w:ascii="Century Gothic" w:hAnsi="Century Gothic" w:cs="Arial"/>
          <w:color w:val="000000" w:themeColor="text1"/>
          <w:lang w:val="es-ES_tradnl" w:bidi="es-ES"/>
        </w:rPr>
      </w:pPr>
    </w:p>
    <w:p w14:paraId="67D08B16" w14:textId="77777777" w:rsidR="00824A3B" w:rsidRPr="003439D8" w:rsidRDefault="00824A3B" w:rsidP="00824A3B">
      <w:pPr>
        <w:tabs>
          <w:tab w:val="left" w:pos="426"/>
        </w:tabs>
        <w:spacing w:line="276" w:lineRule="auto"/>
        <w:jc w:val="both"/>
        <w:rPr>
          <w:rFonts w:ascii="Century Gothic" w:eastAsia="Times New Roman" w:hAnsi="Century Gothic" w:cs="Arial"/>
          <w:color w:val="000000" w:themeColor="text1"/>
        </w:rPr>
      </w:pPr>
      <w:r w:rsidRPr="003439D8">
        <w:rPr>
          <w:rFonts w:ascii="Century Gothic" w:eastAsia="Times New Roman" w:hAnsi="Century Gothic" w:cs="Arial"/>
          <w:color w:val="000000" w:themeColor="text1"/>
        </w:rPr>
        <w:t>Atentamente,</w:t>
      </w:r>
    </w:p>
    <w:p w14:paraId="4674A6B4" w14:textId="6C274FFF" w:rsidR="00824A3B" w:rsidRPr="003439D8" w:rsidRDefault="00DB0243" w:rsidP="00824A3B">
      <w:pPr>
        <w:jc w:val="center"/>
        <w:rPr>
          <w:rFonts w:ascii="Century Gothic" w:eastAsia="Times New Roman" w:hAnsi="Century Gothic" w:cs="Arial"/>
          <w:lang w:eastAsia="es-CO"/>
        </w:rPr>
      </w:pPr>
      <w:r>
        <w:rPr>
          <w:noProof/>
        </w:rPr>
        <w:drawing>
          <wp:inline distT="0" distB="0" distL="0" distR="0" wp14:anchorId="3B34D097" wp14:editId="7432FA82">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24A3B" w:rsidRPr="003439D8" w14:paraId="36B59BD1" w14:textId="77777777" w:rsidTr="007C419F">
        <w:trPr>
          <w:trHeight w:val="409"/>
        </w:trPr>
        <w:tc>
          <w:tcPr>
            <w:tcW w:w="817" w:type="dxa"/>
            <w:tcBorders>
              <w:top w:val="nil"/>
              <w:left w:val="nil"/>
              <w:bottom w:val="nil"/>
              <w:right w:val="nil"/>
            </w:tcBorders>
            <w:vAlign w:val="center"/>
            <w:hideMark/>
          </w:tcPr>
          <w:p w14:paraId="042C2DD2" w14:textId="77777777" w:rsidR="00824A3B" w:rsidRPr="003439D8" w:rsidRDefault="00824A3B" w:rsidP="007C419F">
            <w:pPr>
              <w:spacing w:after="0" w:line="240" w:lineRule="auto"/>
              <w:jc w:val="both"/>
              <w:rPr>
                <w:rFonts w:ascii="Century Gothic" w:hAnsi="Century Gothic" w:cs="Arial"/>
                <w:sz w:val="16"/>
                <w:szCs w:val="16"/>
              </w:rPr>
            </w:pPr>
            <w:r w:rsidRPr="003439D8">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DE69061" w14:textId="77777777" w:rsidR="00824A3B" w:rsidRPr="003439D8" w:rsidRDefault="00824A3B" w:rsidP="007C419F">
            <w:pPr>
              <w:spacing w:after="0" w:line="240" w:lineRule="auto"/>
              <w:jc w:val="both"/>
              <w:rPr>
                <w:rFonts w:ascii="Century Gothic" w:hAnsi="Century Gothic" w:cs="Arial"/>
                <w:sz w:val="16"/>
                <w:szCs w:val="16"/>
              </w:rPr>
            </w:pPr>
            <w:r w:rsidRPr="003439D8">
              <w:rPr>
                <w:rFonts w:ascii="Century Gothic" w:hAnsi="Century Gothic" w:cs="Arial"/>
                <w:sz w:val="16"/>
                <w:szCs w:val="16"/>
              </w:rPr>
              <w:t>Juan David Montoya Penagos</w:t>
            </w:r>
          </w:p>
          <w:p w14:paraId="013DB0D5" w14:textId="77777777" w:rsidR="00824A3B" w:rsidRPr="003439D8" w:rsidRDefault="00824A3B" w:rsidP="007C419F">
            <w:pPr>
              <w:spacing w:after="0" w:line="240" w:lineRule="auto"/>
              <w:jc w:val="both"/>
              <w:rPr>
                <w:rFonts w:ascii="Century Gothic" w:hAnsi="Century Gothic" w:cs="Arial"/>
                <w:sz w:val="16"/>
                <w:szCs w:val="16"/>
              </w:rPr>
            </w:pPr>
            <w:r w:rsidRPr="003439D8">
              <w:rPr>
                <w:rFonts w:ascii="Century Gothic" w:hAnsi="Century Gothic" w:cs="Arial"/>
                <w:sz w:val="16"/>
                <w:szCs w:val="16"/>
              </w:rPr>
              <w:t>Contratista de la Subdirección de Gestión Contractual</w:t>
            </w:r>
          </w:p>
        </w:tc>
      </w:tr>
      <w:tr w:rsidR="00824A3B" w:rsidRPr="003439D8" w14:paraId="0AB1C079" w14:textId="77777777" w:rsidTr="007C419F">
        <w:trPr>
          <w:trHeight w:val="409"/>
        </w:trPr>
        <w:tc>
          <w:tcPr>
            <w:tcW w:w="817" w:type="dxa"/>
            <w:tcBorders>
              <w:top w:val="nil"/>
              <w:left w:val="nil"/>
              <w:right w:val="nil"/>
            </w:tcBorders>
            <w:vAlign w:val="center"/>
          </w:tcPr>
          <w:p w14:paraId="702782DB" w14:textId="77777777" w:rsidR="00824A3B" w:rsidRPr="003439D8" w:rsidRDefault="00824A3B" w:rsidP="007C419F">
            <w:pPr>
              <w:jc w:val="both"/>
              <w:rPr>
                <w:rFonts w:ascii="Century Gothic" w:hAnsi="Century Gothic" w:cs="Arial"/>
                <w:sz w:val="16"/>
                <w:szCs w:val="16"/>
              </w:rPr>
            </w:pPr>
            <w:r w:rsidRPr="003439D8">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36D4005F" w14:textId="77777777" w:rsidR="00824A3B" w:rsidRPr="003439D8" w:rsidRDefault="00824A3B" w:rsidP="007C419F">
            <w:pPr>
              <w:spacing w:after="0" w:line="240" w:lineRule="auto"/>
              <w:jc w:val="both"/>
              <w:rPr>
                <w:rFonts w:ascii="Century Gothic" w:hAnsi="Century Gothic" w:cs="Arial"/>
                <w:sz w:val="16"/>
                <w:szCs w:val="16"/>
              </w:rPr>
            </w:pPr>
            <w:r w:rsidRPr="003439D8">
              <w:rPr>
                <w:rFonts w:ascii="Century Gothic" w:hAnsi="Century Gothic" w:cs="Arial"/>
                <w:sz w:val="16"/>
                <w:szCs w:val="16"/>
              </w:rPr>
              <w:t xml:space="preserve">Juan David Cárdenas Cabeza </w:t>
            </w:r>
          </w:p>
          <w:p w14:paraId="7E1F1D3E" w14:textId="4D5D0E86" w:rsidR="00824A3B" w:rsidRPr="003439D8" w:rsidRDefault="00824A3B" w:rsidP="007C419F">
            <w:pPr>
              <w:spacing w:after="0" w:line="240" w:lineRule="auto"/>
              <w:jc w:val="both"/>
              <w:rPr>
                <w:rFonts w:ascii="Century Gothic" w:hAnsi="Century Gothic" w:cs="Arial"/>
                <w:sz w:val="16"/>
                <w:szCs w:val="16"/>
              </w:rPr>
            </w:pPr>
            <w:r w:rsidRPr="003439D8">
              <w:rPr>
                <w:rFonts w:ascii="Century Gothic" w:hAnsi="Century Gothic" w:cs="Arial"/>
                <w:sz w:val="16"/>
                <w:szCs w:val="16"/>
              </w:rPr>
              <w:t>Contratista de la Subdirección de Gestión Contractual</w:t>
            </w:r>
          </w:p>
        </w:tc>
      </w:tr>
      <w:tr w:rsidR="00824A3B" w:rsidRPr="003439D8" w14:paraId="0B126A20" w14:textId="77777777" w:rsidTr="007C419F">
        <w:trPr>
          <w:trHeight w:val="389"/>
        </w:trPr>
        <w:tc>
          <w:tcPr>
            <w:tcW w:w="817" w:type="dxa"/>
            <w:tcBorders>
              <w:top w:val="nil"/>
              <w:left w:val="nil"/>
              <w:bottom w:val="nil"/>
              <w:right w:val="nil"/>
            </w:tcBorders>
            <w:vAlign w:val="center"/>
            <w:hideMark/>
          </w:tcPr>
          <w:p w14:paraId="603199A1" w14:textId="77777777" w:rsidR="00824A3B" w:rsidRPr="003439D8" w:rsidRDefault="00824A3B" w:rsidP="007C419F">
            <w:pPr>
              <w:spacing w:after="0" w:line="240" w:lineRule="auto"/>
              <w:jc w:val="both"/>
              <w:rPr>
                <w:rFonts w:ascii="Century Gothic" w:hAnsi="Century Gothic" w:cs="Arial"/>
                <w:sz w:val="16"/>
                <w:szCs w:val="16"/>
              </w:rPr>
            </w:pPr>
            <w:r w:rsidRPr="003439D8">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9DF8DC0" w14:textId="77777777" w:rsidR="00824A3B" w:rsidRPr="003439D8" w:rsidRDefault="00824A3B" w:rsidP="007C419F">
            <w:pPr>
              <w:spacing w:after="0" w:line="240" w:lineRule="auto"/>
              <w:jc w:val="both"/>
              <w:rPr>
                <w:rFonts w:ascii="Century Gothic" w:hAnsi="Century Gothic" w:cs="Arial"/>
                <w:sz w:val="16"/>
                <w:szCs w:val="16"/>
              </w:rPr>
            </w:pPr>
            <w:r w:rsidRPr="003439D8">
              <w:rPr>
                <w:rFonts w:ascii="Century Gothic" w:hAnsi="Century Gothic" w:cs="Arial"/>
                <w:sz w:val="16"/>
                <w:szCs w:val="16"/>
              </w:rPr>
              <w:t>Nohelia del Carmen Zawady Palacio</w:t>
            </w:r>
          </w:p>
          <w:p w14:paraId="404DFDE7" w14:textId="77777777" w:rsidR="00824A3B" w:rsidRPr="003439D8" w:rsidRDefault="00824A3B" w:rsidP="007C419F">
            <w:pPr>
              <w:spacing w:after="0" w:line="240" w:lineRule="auto"/>
              <w:jc w:val="both"/>
              <w:rPr>
                <w:rFonts w:ascii="Century Gothic" w:hAnsi="Century Gothic" w:cs="Arial"/>
                <w:sz w:val="16"/>
                <w:szCs w:val="16"/>
              </w:rPr>
            </w:pPr>
            <w:r w:rsidRPr="003439D8">
              <w:rPr>
                <w:rFonts w:ascii="Century Gothic" w:hAnsi="Century Gothic" w:cs="Arial"/>
                <w:sz w:val="16"/>
                <w:szCs w:val="16"/>
              </w:rPr>
              <w:t>Subdirectora de Gestión Contractual ANCP - CCE</w:t>
            </w:r>
          </w:p>
        </w:tc>
      </w:tr>
      <w:bookmarkEnd w:id="2"/>
    </w:tbl>
    <w:p w14:paraId="5C7E13FB" w14:textId="77777777" w:rsidR="00824A3B" w:rsidRPr="003439D8" w:rsidRDefault="00824A3B" w:rsidP="00824A3B">
      <w:pPr>
        <w:tabs>
          <w:tab w:val="left" w:pos="0"/>
        </w:tabs>
        <w:spacing w:line="276" w:lineRule="auto"/>
        <w:contextualSpacing/>
        <w:jc w:val="both"/>
        <w:rPr>
          <w:rFonts w:ascii="Century Gothic" w:hAnsi="Century Gothic"/>
          <w:lang w:val="es-MX"/>
        </w:rPr>
      </w:pPr>
    </w:p>
    <w:p w14:paraId="6BD17386" w14:textId="77777777" w:rsidR="00824A3B" w:rsidRPr="003439D8" w:rsidRDefault="00824A3B" w:rsidP="00824A3B">
      <w:pPr>
        <w:rPr>
          <w:rFonts w:ascii="Century Gothic" w:hAnsi="Century Gothic"/>
        </w:rPr>
      </w:pPr>
    </w:p>
    <w:p w14:paraId="5D49D8BC" w14:textId="77777777" w:rsidR="00824A3B" w:rsidRPr="003439D8" w:rsidRDefault="00824A3B" w:rsidP="00824A3B">
      <w:pPr>
        <w:rPr>
          <w:rFonts w:ascii="Century Gothic" w:hAnsi="Century Gothic"/>
        </w:rPr>
      </w:pPr>
      <w:r w:rsidRPr="003439D8">
        <w:rPr>
          <w:rFonts w:ascii="Century Gothic" w:hAnsi="Century Gothic"/>
        </w:rPr>
        <w:t xml:space="preserve"> </w:t>
      </w:r>
    </w:p>
    <w:p w14:paraId="0FD4057A" w14:textId="77777777" w:rsidR="00C330EB" w:rsidRPr="003439D8" w:rsidRDefault="00C330EB" w:rsidP="00EC5CDC">
      <w:pPr>
        <w:rPr>
          <w:rFonts w:ascii="Century Gothic" w:hAnsi="Century Gothic"/>
        </w:rPr>
      </w:pPr>
    </w:p>
    <w:sectPr w:rsidR="00C330EB" w:rsidRPr="003439D8"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8458" w14:textId="77777777" w:rsidR="009F3B6F" w:rsidRDefault="009F3B6F" w:rsidP="004A1847">
      <w:pPr>
        <w:spacing w:after="0" w:line="240" w:lineRule="auto"/>
      </w:pPr>
      <w:r>
        <w:separator/>
      </w:r>
    </w:p>
  </w:endnote>
  <w:endnote w:type="continuationSeparator" w:id="0">
    <w:p w14:paraId="286A2DB6" w14:textId="77777777" w:rsidR="009F3B6F" w:rsidRDefault="009F3B6F" w:rsidP="004A1847">
      <w:pPr>
        <w:spacing w:after="0" w:line="240" w:lineRule="auto"/>
      </w:pPr>
      <w:r>
        <w:continuationSeparator/>
      </w:r>
    </w:p>
  </w:endnote>
  <w:endnote w:type="continuationNotice" w:id="1">
    <w:p w14:paraId="1BFE42D2" w14:textId="77777777" w:rsidR="009F3B6F" w:rsidRDefault="009F3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7A26" w14:textId="77777777" w:rsidR="009F3B6F" w:rsidRDefault="009F3B6F" w:rsidP="004A1847">
      <w:pPr>
        <w:spacing w:after="0" w:line="240" w:lineRule="auto"/>
      </w:pPr>
      <w:r>
        <w:separator/>
      </w:r>
    </w:p>
  </w:footnote>
  <w:footnote w:type="continuationSeparator" w:id="0">
    <w:p w14:paraId="5088FAF3" w14:textId="77777777" w:rsidR="009F3B6F" w:rsidRDefault="009F3B6F" w:rsidP="004A1847">
      <w:pPr>
        <w:spacing w:after="0" w:line="240" w:lineRule="auto"/>
      </w:pPr>
      <w:r>
        <w:continuationSeparator/>
      </w:r>
    </w:p>
  </w:footnote>
  <w:footnote w:type="continuationNotice" w:id="1">
    <w:p w14:paraId="2FA01DE3" w14:textId="77777777" w:rsidR="009F3B6F" w:rsidRDefault="009F3B6F">
      <w:pPr>
        <w:spacing w:after="0" w:line="240" w:lineRule="auto"/>
      </w:pPr>
    </w:p>
  </w:footnote>
  <w:footnote w:id="2">
    <w:p w14:paraId="136E5864" w14:textId="77777777" w:rsidR="00824A3B" w:rsidRPr="003439D8" w:rsidRDefault="00824A3B" w:rsidP="00824A3B">
      <w:pPr>
        <w:pStyle w:val="Textonotapie"/>
        <w:ind w:firstLine="708"/>
        <w:jc w:val="both"/>
        <w:rPr>
          <w:rFonts w:ascii="Century Gothic" w:hAnsi="Century Gothic" w:cs="Arial"/>
          <w:sz w:val="16"/>
          <w:szCs w:val="16"/>
          <w:lang w:val="es-ES"/>
        </w:rPr>
      </w:pPr>
      <w:r w:rsidRPr="003439D8">
        <w:rPr>
          <w:rStyle w:val="Refdenotaalpie"/>
          <w:rFonts w:ascii="Century Gothic" w:hAnsi="Century Gothic" w:cs="Arial"/>
          <w:sz w:val="16"/>
          <w:szCs w:val="16"/>
        </w:rPr>
        <w:footnoteRef/>
      </w:r>
      <w:r w:rsidRPr="003439D8">
        <w:rPr>
          <w:rFonts w:ascii="Century Gothic" w:hAnsi="Century Gothic" w:cs="Arial"/>
          <w:sz w:val="16"/>
          <w:szCs w:val="16"/>
        </w:rPr>
        <w:t xml:space="preserve"> La Agencia Nacional de Contratación Pública </w:t>
      </w:r>
      <w:r w:rsidRPr="003439D8">
        <w:rPr>
          <w:rFonts w:ascii="Arial" w:hAnsi="Arial" w:cs="Arial"/>
          <w:sz w:val="16"/>
          <w:szCs w:val="16"/>
        </w:rPr>
        <w:t>‒</w:t>
      </w:r>
      <w:r w:rsidRPr="003439D8">
        <w:rPr>
          <w:rFonts w:ascii="Century Gothic" w:hAnsi="Century Gothic" w:cs="Arial"/>
          <w:sz w:val="16"/>
          <w:szCs w:val="16"/>
        </w:rPr>
        <w:t xml:space="preserve"> Colombia Compra Eficiente fue creada por el Decreto Ley 4170 de 2011. Su objetivo es servir como ente rector de la pol</w:t>
      </w:r>
      <w:r w:rsidRPr="003439D8">
        <w:rPr>
          <w:rFonts w:ascii="Century Gothic" w:hAnsi="Century Gothic" w:cs="Century Gothic"/>
          <w:sz w:val="16"/>
          <w:szCs w:val="16"/>
        </w:rPr>
        <w:t>í</w:t>
      </w:r>
      <w:r w:rsidRPr="003439D8">
        <w:rPr>
          <w:rFonts w:ascii="Century Gothic" w:hAnsi="Century Gothic" w:cs="Arial"/>
          <w:sz w:val="16"/>
          <w:szCs w:val="16"/>
        </w:rPr>
        <w:t>tica de compras y contrataci</w:t>
      </w:r>
      <w:r w:rsidRPr="003439D8">
        <w:rPr>
          <w:rFonts w:ascii="Century Gothic" w:hAnsi="Century Gothic" w:cs="Century Gothic"/>
          <w:sz w:val="16"/>
          <w:szCs w:val="16"/>
        </w:rPr>
        <w:t>ó</w:t>
      </w:r>
      <w:r w:rsidRPr="003439D8">
        <w:rPr>
          <w:rFonts w:ascii="Century Gothic" w:hAnsi="Century Gothic" w:cs="Arial"/>
          <w:sz w:val="16"/>
          <w:szCs w:val="16"/>
        </w:rPr>
        <w:t xml:space="preserve">n del Estado. Para tales fines, como </w:t>
      </w:r>
      <w:r w:rsidRPr="003439D8">
        <w:rPr>
          <w:rFonts w:ascii="Century Gothic" w:hAnsi="Century Gothic" w:cs="Century Gothic"/>
          <w:sz w:val="16"/>
          <w:szCs w:val="16"/>
        </w:rPr>
        <w:t>ó</w:t>
      </w:r>
      <w:r w:rsidRPr="003439D8">
        <w:rPr>
          <w:rFonts w:ascii="Century Gothic" w:hAnsi="Century Gothic" w:cs="Arial"/>
          <w:sz w:val="16"/>
          <w:szCs w:val="16"/>
        </w:rPr>
        <w:t>rgano t</w:t>
      </w:r>
      <w:r w:rsidRPr="003439D8">
        <w:rPr>
          <w:rFonts w:ascii="Century Gothic" w:hAnsi="Century Gothic" w:cs="Century Gothic"/>
          <w:sz w:val="16"/>
          <w:szCs w:val="16"/>
        </w:rPr>
        <w:t>é</w:t>
      </w:r>
      <w:r w:rsidRPr="003439D8">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3439D8">
        <w:rPr>
          <w:rFonts w:ascii="Century Gothic" w:hAnsi="Century Gothic" w:cs="Arial"/>
          <w:i/>
          <w:iCs/>
          <w:sz w:val="16"/>
          <w:szCs w:val="16"/>
        </w:rPr>
        <w:t xml:space="preserve">ibidem </w:t>
      </w:r>
      <w:r w:rsidRPr="003439D8">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B41BAFD" w14:textId="77777777" w:rsidR="00824A3B" w:rsidRPr="003439D8" w:rsidRDefault="00824A3B" w:rsidP="00824A3B">
      <w:pPr>
        <w:pStyle w:val="Textonotapie"/>
        <w:ind w:firstLine="709"/>
        <w:jc w:val="both"/>
        <w:rPr>
          <w:rFonts w:ascii="Century Gothic" w:hAnsi="Century Gothic" w:cs="Arial"/>
          <w:sz w:val="16"/>
          <w:szCs w:val="16"/>
          <w:shd w:val="clear" w:color="auto" w:fill="E6E6E6"/>
        </w:rPr>
      </w:pPr>
      <w:r w:rsidRPr="003439D8">
        <w:rPr>
          <w:rStyle w:val="Refdenotaalpie"/>
          <w:rFonts w:ascii="Century Gothic" w:hAnsi="Century Gothic" w:cs="Arial"/>
          <w:sz w:val="16"/>
          <w:szCs w:val="16"/>
        </w:rPr>
        <w:footnoteRef/>
      </w:r>
      <w:r w:rsidRPr="003439D8">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3439D8">
          <w:rPr>
            <w:rStyle w:val="Hipervnculo"/>
            <w:rFonts w:ascii="Century Gothic" w:hAnsi="Century Gothic" w:cs="Arial"/>
            <w:sz w:val="16"/>
            <w:szCs w:val="16"/>
          </w:rPr>
          <w:t>https://relatoria.colombiacompra.gov.co/busqueda/conceptos</w:t>
        </w:r>
      </w:hyperlink>
      <w:r w:rsidRPr="003439D8">
        <w:rPr>
          <w:rStyle w:val="Hipervnculo"/>
          <w:rFonts w:ascii="Century Gothic" w:hAnsi="Century Gothic" w:cs="Arial"/>
          <w:sz w:val="16"/>
          <w:szCs w:val="16"/>
        </w:rPr>
        <w:t xml:space="preserve">. </w:t>
      </w:r>
      <w:r w:rsidRPr="003439D8">
        <w:rPr>
          <w:rFonts w:ascii="Century Gothic" w:hAnsi="Century Gothic" w:cs="Arial"/>
          <w:sz w:val="16"/>
          <w:szCs w:val="16"/>
          <w:shd w:val="clear" w:color="auto" w:fill="E6E6E6"/>
        </w:rPr>
        <w:t xml:space="preserve"> </w:t>
      </w:r>
    </w:p>
  </w:footnote>
  <w:footnote w:id="4">
    <w:p w14:paraId="73AF3A66" w14:textId="77777777" w:rsidR="00824A3B" w:rsidRPr="003439D8" w:rsidRDefault="00824A3B" w:rsidP="00824A3B">
      <w:pPr>
        <w:pBdr>
          <w:top w:val="nil"/>
          <w:left w:val="nil"/>
          <w:bottom w:val="nil"/>
          <w:right w:val="nil"/>
          <w:between w:val="nil"/>
        </w:pBdr>
        <w:spacing w:after="0" w:line="240" w:lineRule="auto"/>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Al respecto, conviene recordar el artículo 29 de la Ley 80 de 1993, derogado por el artículo 32 de la Ley 1150 de 2007, que establecía: “La selección de contratistas será objetiva.</w:t>
      </w:r>
    </w:p>
    <w:p w14:paraId="246047A1" w14:textId="77777777" w:rsidR="00824A3B" w:rsidRPr="003439D8" w:rsidRDefault="00824A3B" w:rsidP="00824A3B">
      <w:pPr>
        <w:pBdr>
          <w:top w:val="nil"/>
          <w:left w:val="nil"/>
          <w:bottom w:val="nil"/>
          <w:right w:val="nil"/>
          <w:between w:val="nil"/>
        </w:pBdr>
        <w:spacing w:after="0" w:line="240" w:lineRule="auto"/>
        <w:ind w:firstLine="709"/>
        <w:jc w:val="both"/>
        <w:rPr>
          <w:rFonts w:ascii="Century Gothic" w:eastAsia="Arial" w:hAnsi="Century Gothic" w:cs="Arial"/>
          <w:color w:val="000000"/>
          <w:sz w:val="16"/>
          <w:szCs w:val="16"/>
        </w:rPr>
      </w:pPr>
      <w:r w:rsidRPr="003439D8">
        <w:rPr>
          <w:rFonts w:ascii="Century Gothic" w:eastAsia="Arial" w:hAnsi="Century Gothic" w:cs="Arial"/>
          <w:color w:val="000000"/>
          <w:sz w:val="16"/>
          <w:szCs w:val="16"/>
        </w:rPr>
        <w:t>Es objetiva la selección en la cual la escogencia se hace al ofrecimiento más favorable a la entidad y a los fines que ella busca, sin tener en consideración factores de afecto o de interés y, en general, cualquier clase de motivación subjetiva.</w:t>
      </w:r>
    </w:p>
    <w:p w14:paraId="1CA8A69C" w14:textId="4FA82B25" w:rsidR="00824A3B" w:rsidRPr="003439D8" w:rsidRDefault="00824A3B" w:rsidP="00824A3B">
      <w:pPr>
        <w:pBdr>
          <w:top w:val="nil"/>
          <w:left w:val="nil"/>
          <w:bottom w:val="nil"/>
          <w:right w:val="nil"/>
          <w:between w:val="nil"/>
        </w:pBdr>
        <w:spacing w:after="0" w:line="240" w:lineRule="auto"/>
        <w:ind w:firstLine="709"/>
        <w:jc w:val="both"/>
        <w:rPr>
          <w:rFonts w:ascii="Century Gothic" w:eastAsia="Arial" w:hAnsi="Century Gothic" w:cs="Arial"/>
          <w:color w:val="000000"/>
          <w:sz w:val="16"/>
          <w:szCs w:val="16"/>
        </w:rPr>
      </w:pPr>
      <w:r w:rsidRPr="003439D8">
        <w:rPr>
          <w:rFonts w:ascii="Century Gothic" w:eastAsia="Arial" w:hAnsi="Century Gothic" w:cs="Arial"/>
          <w:color w:val="000000"/>
          <w:sz w:val="16"/>
          <w:szCs w:val="16"/>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0D0C6E37" w14:textId="77777777" w:rsidR="00824A3B" w:rsidRPr="003439D8" w:rsidRDefault="00824A3B" w:rsidP="00824A3B">
      <w:pPr>
        <w:pBdr>
          <w:top w:val="nil"/>
          <w:left w:val="nil"/>
          <w:bottom w:val="nil"/>
          <w:right w:val="nil"/>
          <w:between w:val="nil"/>
        </w:pBdr>
        <w:spacing w:after="0" w:line="240" w:lineRule="auto"/>
        <w:ind w:firstLine="709"/>
        <w:jc w:val="both"/>
        <w:rPr>
          <w:rFonts w:ascii="Century Gothic" w:eastAsia="Arial" w:hAnsi="Century Gothic" w:cs="Arial"/>
          <w:color w:val="000000"/>
          <w:sz w:val="16"/>
          <w:szCs w:val="16"/>
        </w:rPr>
      </w:pPr>
      <w:r w:rsidRPr="003439D8">
        <w:rPr>
          <w:rFonts w:ascii="Century Gothic" w:eastAsia="Arial" w:hAnsi="Century Gothic" w:cs="Arial"/>
          <w:color w:val="000000"/>
          <w:sz w:val="16"/>
          <w:szCs w:val="16"/>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30ECE8A8" w14:textId="77777777" w:rsidR="00824A3B" w:rsidRPr="003439D8" w:rsidRDefault="00824A3B" w:rsidP="00824A3B">
      <w:pPr>
        <w:pBdr>
          <w:top w:val="nil"/>
          <w:left w:val="nil"/>
          <w:bottom w:val="nil"/>
          <w:right w:val="nil"/>
          <w:between w:val="nil"/>
        </w:pBdr>
        <w:spacing w:after="0" w:line="240" w:lineRule="auto"/>
        <w:ind w:firstLine="709"/>
        <w:jc w:val="both"/>
        <w:rPr>
          <w:rFonts w:ascii="Century Gothic" w:eastAsia="Arial" w:hAnsi="Century Gothic" w:cs="Arial"/>
          <w:color w:val="000000"/>
          <w:sz w:val="16"/>
          <w:szCs w:val="16"/>
        </w:rPr>
      </w:pPr>
      <w:r w:rsidRPr="003439D8">
        <w:rPr>
          <w:rFonts w:ascii="Century Gothic" w:eastAsia="Arial" w:hAnsi="Century Gothic" w:cs="Arial"/>
          <w:color w:val="000000"/>
          <w:sz w:val="16"/>
          <w:szCs w:val="16"/>
        </w:rPr>
        <w:t>En caso de comparación de propuestas nacionales y extranjeras, se incluirán los costos necesarios para la entrega del producto terminado en el lugar de su utilización”.</w:t>
      </w:r>
    </w:p>
  </w:footnote>
  <w:footnote w:id="5">
    <w:p w14:paraId="0BA6431C" w14:textId="77777777" w:rsidR="00824A3B" w:rsidRPr="003439D8" w:rsidRDefault="00824A3B" w:rsidP="00824A3B">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DÁVILA VINUEZA, Luis Guillermo. Régimen jurídico de la contratación estatal. Tercera edición, Bogotá: Legis, 2016. p. 355.</w:t>
      </w:r>
    </w:p>
  </w:footnote>
  <w:footnote w:id="6">
    <w:p w14:paraId="046946FE" w14:textId="77777777" w:rsidR="00824A3B" w:rsidRPr="003439D8" w:rsidRDefault="00824A3B" w:rsidP="00824A3B">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RODRÍGUEZ TAMAYO, Mauricio F. Evaluación y rechazo de ofertas en la Ley 80 de 1993. Primera edición. Medellín: Librería Jurídica Sánchez, 2016. pp. 110-111.</w:t>
      </w:r>
    </w:p>
  </w:footnote>
  <w:footnote w:id="7">
    <w:p w14:paraId="55D52C21" w14:textId="77777777" w:rsidR="00824A3B" w:rsidRPr="003439D8" w:rsidRDefault="00824A3B" w:rsidP="00824A3B">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EXPÓSITO VELEZ, Juan C., El deber de selección objetiva, en: Del contrato estatal a los sistemas de compras públicas, por COVILLA MARTINEZ Juan C. y LOZANO VILLEGAS Germán (Eds.). Universidad Externado de Colombia, Bogotá, 2019. págs. 118-184.</w:t>
      </w:r>
    </w:p>
  </w:footnote>
  <w:footnote w:id="8">
    <w:p w14:paraId="6E0ACE1E" w14:textId="77777777" w:rsidR="00824A3B" w:rsidRPr="003439D8" w:rsidRDefault="00824A3B" w:rsidP="00824A3B">
      <w:pPr>
        <w:pBdr>
          <w:top w:val="nil"/>
          <w:left w:val="nil"/>
          <w:bottom w:val="nil"/>
          <w:right w:val="nil"/>
          <w:between w:val="nil"/>
        </w:pBdr>
        <w:spacing w:after="0" w:line="240" w:lineRule="auto"/>
        <w:ind w:firstLine="708"/>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i/>
          <w:color w:val="000000"/>
          <w:sz w:val="16"/>
          <w:szCs w:val="16"/>
        </w:rPr>
        <w:t xml:space="preserve"> Ibídem.</w:t>
      </w:r>
    </w:p>
  </w:footnote>
  <w:footnote w:id="9">
    <w:p w14:paraId="2F9256D3"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hAnsi="Century Gothic" w:cs="Arial"/>
          <w:sz w:val="16"/>
          <w:szCs w:val="16"/>
          <w:vertAlign w:val="superscript"/>
        </w:rPr>
        <w:footnoteRef/>
      </w:r>
      <w:r w:rsidRPr="003439D8">
        <w:rPr>
          <w:rFonts w:ascii="Century Gothic" w:eastAsia="Arial" w:hAnsi="Century Gothic" w:cs="Arial"/>
          <w:sz w:val="16"/>
          <w:szCs w:val="16"/>
        </w:rPr>
        <w:t xml:space="preserve"> Decreto 1082 de 2015 “Artículo 2.2.1.1.2.2.2. </w:t>
      </w:r>
      <w:bookmarkStart w:id="6" w:name="_Hlk127183858"/>
      <w:r w:rsidRPr="003439D8">
        <w:rPr>
          <w:rFonts w:ascii="Century Gothic" w:eastAsia="Arial" w:hAnsi="Century Gothic" w:cs="Arial"/>
          <w:sz w:val="16"/>
          <w:szCs w:val="16"/>
        </w:rPr>
        <w:t>Modificado por el </w:t>
      </w:r>
      <w:bookmarkEnd w:id="6"/>
      <w:r w:rsidRPr="003439D8">
        <w:rPr>
          <w:rFonts w:ascii="Century Gothic" w:eastAsia="Arial" w:hAnsi="Century Gothic" w:cs="Arial"/>
          <w:sz w:val="16"/>
          <w:szCs w:val="16"/>
        </w:rPr>
        <w:t>Decreto 142 de 2023, artículo 4º. Ofrecimiento más favorable.</w:t>
      </w:r>
      <w:r w:rsidRPr="003439D8">
        <w:rPr>
          <w:rFonts w:ascii="Century Gothic" w:eastAsia="Arial" w:hAnsi="Century Gothic" w:cs="Arial"/>
          <w:b/>
          <w:bCs/>
          <w:sz w:val="16"/>
          <w:szCs w:val="16"/>
        </w:rPr>
        <w:t xml:space="preserve"> </w:t>
      </w:r>
      <w:r w:rsidRPr="003439D8">
        <w:rPr>
          <w:rFonts w:ascii="Century Gothic" w:eastAsia="Arial" w:hAnsi="Century Gothic" w:cs="Arial"/>
          <w:sz w:val="16"/>
          <w:szCs w:val="16"/>
          <w:lang w:val="es-MX"/>
        </w:rPr>
        <w:t>La Entidad Estatal debe determinar la oferta más favorable teniendo en cuenta las normas aplicables a cada modalidad de selección del contratista.</w:t>
      </w:r>
    </w:p>
    <w:p w14:paraId="1C19B54C"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w:t>
      </w:r>
    </w:p>
    <w:p w14:paraId="214CD384"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1. Las condiciones técnicas y económicas mínimas de la oferta.</w:t>
      </w:r>
    </w:p>
    <w:p w14:paraId="1B5B3D8E"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2. Las condiciones técnicas adicionales que representan ventajas de calidad o de funcionamiento, tales como el uso de tecnología o materiales que generen mayor eficiencia, rendimiento o duración del bien, obra o servicio.</w:t>
      </w:r>
    </w:p>
    <w:p w14:paraId="165538D2"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14:paraId="5E7187A9"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4. El valor en dinero que la Entidad Estatal asigna a cada ofrecimiento técnico o económico adicional, para permitir la ponderación de las ofertas presentadas.</w:t>
      </w:r>
    </w:p>
    <w:p w14:paraId="446E4126"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14:paraId="54C63814"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La Entidad Estatal debe adjudicar al oferente que presentó la oferta con la mejor relación costo-beneficio y suscribir el contrato por el precio total ofrecido.</w:t>
      </w:r>
    </w:p>
    <w:p w14:paraId="536238F9"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Para la adquisición de Bienes y Servicios de Características Técnicas No Uniformes a través de Acuerdos Marco de Precios e Instrumentos de Agregación de Demanda, el ofrecimiento más favorable parte de la definición que la Entidad Estatal que estructura el Instrumento de Agregación de Demanda o Acuerdo Marco de Precios hace en la Operación Principal de las condiciones técnicas y económicas mínimas del bien o servicio.</w:t>
      </w:r>
    </w:p>
    <w:p w14:paraId="7A307CE6" w14:textId="77777777" w:rsidR="00824A3B" w:rsidRPr="003439D8" w:rsidRDefault="00824A3B" w:rsidP="00824A3B">
      <w:pPr>
        <w:spacing w:after="0" w:line="240" w:lineRule="auto"/>
        <w:ind w:firstLine="708"/>
        <w:jc w:val="both"/>
        <w:rPr>
          <w:rFonts w:ascii="Century Gothic" w:eastAsia="Arial" w:hAnsi="Century Gothic" w:cs="Arial"/>
          <w:sz w:val="16"/>
          <w:szCs w:val="16"/>
          <w:lang w:val="es-MX"/>
        </w:rPr>
      </w:pPr>
      <w:r w:rsidRPr="003439D8">
        <w:rPr>
          <w:rFonts w:ascii="Century Gothic" w:eastAsia="Arial" w:hAnsi="Century Gothic" w:cs="Arial"/>
          <w:sz w:val="16"/>
          <w:szCs w:val="16"/>
          <w:lang w:val="es-MX"/>
        </w:rPr>
        <w:t>Las Entidades Estatales que compren en la operación secundaria de un Acuerdo Marco de Precios o Instrumento de Agregación de Demanda, deben evaluar las cotizaciones de los proveedores bajo las condiciones que el instrumento fija para definir la oferta más favorable.</w:t>
      </w:r>
    </w:p>
    <w:p w14:paraId="31347898" w14:textId="77777777" w:rsidR="00824A3B" w:rsidRPr="003439D8" w:rsidRDefault="00824A3B" w:rsidP="00824A3B">
      <w:pPr>
        <w:spacing w:after="0" w:line="240" w:lineRule="auto"/>
        <w:ind w:firstLine="708"/>
        <w:jc w:val="both"/>
        <w:rPr>
          <w:rFonts w:ascii="Century Gothic" w:eastAsia="Arial" w:hAnsi="Century Gothic" w:cs="Arial"/>
          <w:sz w:val="16"/>
          <w:szCs w:val="16"/>
        </w:rPr>
      </w:pPr>
      <w:r w:rsidRPr="003439D8">
        <w:rPr>
          <w:rFonts w:ascii="Century Gothic" w:eastAsia="Arial" w:hAnsi="Century Gothic" w:cs="Arial"/>
          <w:sz w:val="16"/>
          <w:szCs w:val="16"/>
        </w:rPr>
        <w:t>[…]”. </w:t>
      </w:r>
    </w:p>
  </w:footnote>
  <w:footnote w:id="10">
    <w:p w14:paraId="45032E91" w14:textId="77777777" w:rsidR="00824A3B" w:rsidRPr="003439D8" w:rsidRDefault="00824A3B" w:rsidP="00824A3B">
      <w:pPr>
        <w:pBdr>
          <w:top w:val="nil"/>
          <w:left w:val="nil"/>
          <w:bottom w:val="nil"/>
          <w:right w:val="nil"/>
          <w:between w:val="nil"/>
        </w:pBdr>
        <w:spacing w:after="0" w:line="240" w:lineRule="auto"/>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Consejo de Estado. Sección Tercera. Subsección A. Sentencia del 25 de octubre de 2019. Exp. 39.945. Consejera Ponente: María Adriana Marín.</w:t>
      </w:r>
    </w:p>
  </w:footnote>
  <w:footnote w:id="11">
    <w:p w14:paraId="261E583B" w14:textId="77777777" w:rsidR="00824A3B" w:rsidRPr="003439D8" w:rsidRDefault="00824A3B" w:rsidP="00824A3B">
      <w:pPr>
        <w:pBdr>
          <w:top w:val="nil"/>
          <w:left w:val="nil"/>
          <w:bottom w:val="nil"/>
          <w:right w:val="nil"/>
          <w:between w:val="nil"/>
        </w:pBdr>
        <w:spacing w:after="0" w:line="240" w:lineRule="auto"/>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vertAlign w:val="superscript"/>
        </w:rPr>
        <w:t xml:space="preserve"> </w:t>
      </w:r>
      <w:r w:rsidRPr="003439D8">
        <w:rPr>
          <w:rFonts w:ascii="Century Gothic" w:eastAsia="Arial" w:hAnsi="Century Gothic" w:cs="Arial"/>
          <w:color w:val="000000"/>
          <w:sz w:val="16"/>
          <w:szCs w:val="16"/>
        </w:rPr>
        <w:t>Consejo de Estado. Sección Tercera. Subsección A. Sentencia del 5 de julio de 2018. Exp. 37.834. Consejero Ponente: Carlos Alberto Zambrano Barrera.</w:t>
      </w:r>
    </w:p>
  </w:footnote>
  <w:footnote w:id="12">
    <w:p w14:paraId="752B83F5"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footnote>
  <w:footnote w:id="13">
    <w:p w14:paraId="21723482"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4">
    <w:p w14:paraId="35552549"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Consejo de Estado. Sección Tercera, Subsección C. Sentencia del 26 de febrero de 2014. C.P. Enrique Gil Botero, Rad. 1999-00113-01 (25.804). </w:t>
      </w:r>
    </w:p>
  </w:footnote>
  <w:footnote w:id="15">
    <w:p w14:paraId="1E8434FE"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vertAlign w:val="superscript"/>
        </w:rPr>
        <w:t xml:space="preserve"> </w:t>
      </w:r>
      <w:r w:rsidRPr="003439D8">
        <w:rPr>
          <w:rFonts w:ascii="Century Gothic" w:eastAsia="Arial" w:hAnsi="Century Gothic"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6">
    <w:p w14:paraId="50F1B516" w14:textId="77777777" w:rsidR="00824A3B" w:rsidRPr="003439D8" w:rsidRDefault="00824A3B" w:rsidP="00824A3B">
      <w:pP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2">
        <w:r w:rsidRPr="003439D8">
          <w:rPr>
            <w:rFonts w:ascii="Century Gothic" w:eastAsia="Arial" w:hAnsi="Century Gothic" w:cs="Arial"/>
            <w:color w:val="000000"/>
            <w:sz w:val="16"/>
            <w:szCs w:val="16"/>
          </w:rPr>
          <w:t>Ley 1150 de 2007</w:t>
        </w:r>
      </w:hyperlink>
      <w:r w:rsidRPr="003439D8">
        <w:rPr>
          <w:rFonts w:ascii="Century Gothic" w:eastAsia="Arial" w:hAnsi="Century Gothic" w:cs="Arial"/>
          <w:color w:val="000000"/>
          <w:sz w:val="16"/>
          <w:szCs w:val="16"/>
        </w:rPr>
        <w:t> y en el presente decreto.</w:t>
      </w:r>
    </w:p>
    <w:p w14:paraId="63BCEB66" w14:textId="77777777" w:rsidR="00824A3B" w:rsidRPr="003439D8" w:rsidRDefault="00824A3B" w:rsidP="00824A3B">
      <w:pPr>
        <w:spacing w:after="0"/>
        <w:ind w:firstLine="709"/>
        <w:jc w:val="both"/>
        <w:rPr>
          <w:rFonts w:ascii="Century Gothic" w:eastAsia="Arial" w:hAnsi="Century Gothic" w:cs="Arial"/>
          <w:color w:val="000000"/>
          <w:sz w:val="16"/>
          <w:szCs w:val="16"/>
        </w:rPr>
      </w:pPr>
      <w:r w:rsidRPr="003439D8">
        <w:rPr>
          <w:rFonts w:ascii="Century Gothic" w:eastAsia="Arial" w:hAnsi="Century Gothic" w:cs="Arial"/>
          <w:color w:val="000000"/>
          <w:sz w:val="16"/>
          <w:szCs w:val="16"/>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619FA329" w14:textId="77777777" w:rsidR="00824A3B" w:rsidRPr="003439D8" w:rsidRDefault="00824A3B" w:rsidP="00824A3B">
      <w:pPr>
        <w:spacing w:after="0"/>
        <w:ind w:firstLine="709"/>
        <w:jc w:val="both"/>
        <w:rPr>
          <w:rFonts w:ascii="Century Gothic" w:eastAsia="Arial" w:hAnsi="Century Gothic" w:cs="Arial"/>
          <w:color w:val="000000"/>
          <w:sz w:val="16"/>
          <w:szCs w:val="16"/>
        </w:rPr>
      </w:pPr>
      <w:r w:rsidRPr="003439D8">
        <w:rPr>
          <w:rFonts w:ascii="Century Gothic" w:eastAsia="Arial" w:hAnsi="Century Gothic" w:cs="Arial"/>
          <w:color w:val="000000"/>
          <w:sz w:val="16"/>
          <w:szCs w:val="16"/>
        </w:rPr>
        <w:t>Será rechazada la oferta del proponente que dentro del término previsto en el pliego o en la solicitud, no responda al requerimiento que le haga la entidad para subsanarla.</w:t>
      </w:r>
    </w:p>
    <w:p w14:paraId="44434671" w14:textId="77777777" w:rsidR="00824A3B" w:rsidRPr="003439D8" w:rsidRDefault="00824A3B" w:rsidP="00824A3B">
      <w:pPr>
        <w:spacing w:after="0"/>
        <w:ind w:firstLine="709"/>
        <w:jc w:val="both"/>
        <w:rPr>
          <w:rFonts w:ascii="Century Gothic" w:eastAsia="Arial" w:hAnsi="Century Gothic" w:cs="Arial"/>
          <w:color w:val="000000"/>
          <w:sz w:val="16"/>
          <w:szCs w:val="16"/>
        </w:rPr>
      </w:pPr>
      <w:r w:rsidRPr="003439D8">
        <w:rPr>
          <w:rFonts w:ascii="Century Gothic" w:eastAsia="Arial" w:hAnsi="Century Gothic" w:cs="Arial"/>
          <w:color w:val="000000"/>
          <w:sz w:val="16"/>
          <w:szCs w:val="16"/>
        </w:rPr>
        <w:t>Cuando se utilice el mecanismo de subasta esta posibilidad deberá ejercerse hasta el momento previo a su realización, de conformidad con el artículo 22 del presente decreto.</w:t>
      </w:r>
    </w:p>
    <w:p w14:paraId="63F24221" w14:textId="77777777" w:rsidR="00824A3B" w:rsidRPr="003439D8" w:rsidRDefault="00824A3B" w:rsidP="00824A3B">
      <w:pPr>
        <w:spacing w:after="0"/>
        <w:ind w:firstLine="709"/>
        <w:jc w:val="both"/>
        <w:rPr>
          <w:rFonts w:ascii="Century Gothic" w:eastAsia="Arial" w:hAnsi="Century Gothic" w:cs="Arial"/>
          <w:color w:val="000000"/>
          <w:sz w:val="16"/>
          <w:szCs w:val="16"/>
        </w:rPr>
      </w:pPr>
      <w:r w:rsidRPr="003439D8">
        <w:rPr>
          <w:rFonts w:ascii="Century Gothic" w:eastAsia="Arial" w:hAnsi="Century Gothic" w:cs="Arial"/>
          <w:color w:val="000000"/>
          <w:sz w:val="16"/>
          <w:szCs w:val="16"/>
        </w:rPr>
        <w:t xml:space="preserve">En ningún caso la entidad podrá señalar taxativamente los requisitos o documentos subsanables o no subsanables en el pliego de condiciones, </w:t>
      </w:r>
      <w:r w:rsidRPr="003439D8">
        <w:rPr>
          <w:rFonts w:ascii="Century Gothic" w:eastAsia="Arial" w:hAnsi="Century Gothic" w:cs="Arial"/>
          <w:i/>
          <w:color w:val="000000"/>
          <w:sz w:val="16"/>
          <w:szCs w:val="16"/>
        </w:rPr>
        <w:t>ni permitir que se subsane la falta de capacidad para presentar la oferta, ni que se acrediten circunstancias ocurridas con posterioridad al cierre del proceso</w:t>
      </w:r>
      <w:r w:rsidRPr="003439D8">
        <w:rPr>
          <w:rFonts w:ascii="Century Gothic" w:eastAsia="Arial" w:hAnsi="Century Gothic" w:cs="Arial"/>
          <w:color w:val="000000"/>
          <w:sz w:val="16"/>
          <w:szCs w:val="16"/>
        </w:rPr>
        <w:t xml:space="preserve">”. (Cursivas fuera de texto). </w:t>
      </w:r>
    </w:p>
  </w:footnote>
  <w:footnote w:id="17">
    <w:p w14:paraId="5FDFC719"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Consejo de Estado, Sala de Consulta y Servicio Civil, concepto del 6 de noviembre de 2008. C.P. William Zambrano Cetina. Rad. 2008-00079-00(1927).</w:t>
      </w:r>
    </w:p>
  </w:footnote>
  <w:footnote w:id="18">
    <w:p w14:paraId="26E6057E"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Ver Consejo de Estado, Sección Tercera, Subsección C. Sentencia del 26 de febrero de 2011. C.P. Jaime Orlando Santofimio. Rad. 36.408.  </w:t>
      </w:r>
    </w:p>
  </w:footnote>
  <w:footnote w:id="19">
    <w:p w14:paraId="616D6C77"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Ver Consejo de Estado, Sección Tercera, Subsección C. Sentencia del 26 de febrero de 2014. C.P. Enrique Gil Botero. Rad. 25.804.  </w:t>
      </w:r>
    </w:p>
  </w:footnote>
  <w:footnote w:id="20">
    <w:p w14:paraId="3DE70C30"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3439D8">
        <w:rPr>
          <w:rFonts w:ascii="Century Gothic" w:hAnsi="Century Gothic" w:cs="Arial"/>
          <w:sz w:val="16"/>
          <w:szCs w:val="16"/>
          <w:vertAlign w:val="superscript"/>
        </w:rPr>
        <w:footnoteRef/>
      </w:r>
      <w:r w:rsidRPr="003439D8">
        <w:rPr>
          <w:rFonts w:ascii="Century Gothic" w:eastAsia="Arial" w:hAnsi="Century Gothic" w:cs="Arial"/>
          <w:color w:val="000000"/>
          <w:sz w:val="16"/>
          <w:szCs w:val="16"/>
        </w:rPr>
        <w:t xml:space="preserve"> Consejo de Estado, Sala de Consulta y Servicio Civil, concepto del 20 de mayo de 2010. C.P. Enrique José Arboleda Perdomo. Rad. 2010-00034-00(1992).</w:t>
      </w:r>
    </w:p>
    <w:p w14:paraId="63CB6A0C" w14:textId="77777777" w:rsidR="00824A3B" w:rsidRPr="003439D8" w:rsidRDefault="00824A3B" w:rsidP="00824A3B">
      <w:pPr>
        <w:pBdr>
          <w:top w:val="nil"/>
          <w:left w:val="nil"/>
          <w:bottom w:val="nil"/>
          <w:right w:val="nil"/>
          <w:between w:val="nil"/>
        </w:pBdr>
        <w:spacing w:after="0"/>
        <w:ind w:firstLine="709"/>
        <w:jc w:val="both"/>
        <w:rPr>
          <w:rFonts w:ascii="Century Gothic" w:eastAsia="Arial" w:hAnsi="Century Gothic"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D0ED5"/>
    <w:rsid w:val="000F6486"/>
    <w:rsid w:val="000F79E0"/>
    <w:rsid w:val="00127233"/>
    <w:rsid w:val="00185B93"/>
    <w:rsid w:val="001A4308"/>
    <w:rsid w:val="001E4177"/>
    <w:rsid w:val="002951A0"/>
    <w:rsid w:val="002962BC"/>
    <w:rsid w:val="002A49AC"/>
    <w:rsid w:val="002A64FD"/>
    <w:rsid w:val="002C7A84"/>
    <w:rsid w:val="003439D8"/>
    <w:rsid w:val="003A779E"/>
    <w:rsid w:val="003D0F4D"/>
    <w:rsid w:val="003E0499"/>
    <w:rsid w:val="003F3941"/>
    <w:rsid w:val="004A1847"/>
    <w:rsid w:val="004A305D"/>
    <w:rsid w:val="004F21C4"/>
    <w:rsid w:val="004F685F"/>
    <w:rsid w:val="005566E8"/>
    <w:rsid w:val="00574867"/>
    <w:rsid w:val="005C5CDC"/>
    <w:rsid w:val="005D476C"/>
    <w:rsid w:val="006219F8"/>
    <w:rsid w:val="00665D70"/>
    <w:rsid w:val="00706C16"/>
    <w:rsid w:val="00710BE6"/>
    <w:rsid w:val="00756841"/>
    <w:rsid w:val="007649AB"/>
    <w:rsid w:val="007833AC"/>
    <w:rsid w:val="007C3DC2"/>
    <w:rsid w:val="007D1132"/>
    <w:rsid w:val="007E5497"/>
    <w:rsid w:val="00806F5F"/>
    <w:rsid w:val="00820278"/>
    <w:rsid w:val="00824A3B"/>
    <w:rsid w:val="008843B6"/>
    <w:rsid w:val="00891928"/>
    <w:rsid w:val="008A446D"/>
    <w:rsid w:val="008F0EA7"/>
    <w:rsid w:val="00923EEF"/>
    <w:rsid w:val="009419F9"/>
    <w:rsid w:val="00961B09"/>
    <w:rsid w:val="00965334"/>
    <w:rsid w:val="0097093E"/>
    <w:rsid w:val="009C71FA"/>
    <w:rsid w:val="009C72E7"/>
    <w:rsid w:val="009F3B6F"/>
    <w:rsid w:val="00A17F13"/>
    <w:rsid w:val="00A20739"/>
    <w:rsid w:val="00A33C78"/>
    <w:rsid w:val="00A35D8D"/>
    <w:rsid w:val="00AB0ADB"/>
    <w:rsid w:val="00AE5061"/>
    <w:rsid w:val="00AF6B70"/>
    <w:rsid w:val="00B72CD3"/>
    <w:rsid w:val="00B72FFF"/>
    <w:rsid w:val="00BD7F72"/>
    <w:rsid w:val="00BF6AF2"/>
    <w:rsid w:val="00C330EB"/>
    <w:rsid w:val="00C754BE"/>
    <w:rsid w:val="00C8699A"/>
    <w:rsid w:val="00CB6357"/>
    <w:rsid w:val="00CC1B26"/>
    <w:rsid w:val="00D423A2"/>
    <w:rsid w:val="00D63AC2"/>
    <w:rsid w:val="00D7383B"/>
    <w:rsid w:val="00DB0243"/>
    <w:rsid w:val="00E16408"/>
    <w:rsid w:val="00E20894"/>
    <w:rsid w:val="00E245AB"/>
    <w:rsid w:val="00E50AFE"/>
    <w:rsid w:val="00E771DC"/>
    <w:rsid w:val="00E8772A"/>
    <w:rsid w:val="00E90F6B"/>
    <w:rsid w:val="00E92C27"/>
    <w:rsid w:val="00EA0E3D"/>
    <w:rsid w:val="00EC5CDC"/>
    <w:rsid w:val="00EE1AA8"/>
    <w:rsid w:val="00F31EDC"/>
    <w:rsid w:val="00F5664F"/>
    <w:rsid w:val="00F76AFC"/>
    <w:rsid w:val="00FB5DD1"/>
    <w:rsid w:val="00FC2B5D"/>
    <w:rsid w:val="00FF1449"/>
    <w:rsid w:val="0B9B08E2"/>
    <w:rsid w:val="1FF5B473"/>
    <w:rsid w:val="2F63CA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824A3B"/>
    <w:rPr>
      <w:color w:val="0563C1" w:themeColor="hyperlink"/>
      <w:u w:val="single"/>
    </w:rPr>
  </w:style>
  <w:style w:type="paragraph" w:customStyle="1" w:styleId="Appelnotedebasde">
    <w:name w:val="Appel note de bas de..."/>
    <w:basedOn w:val="Normal"/>
    <w:link w:val="Refdenotaalpie"/>
    <w:uiPriority w:val="99"/>
    <w:rsid w:val="00824A3B"/>
    <w:pPr>
      <w:spacing w:line="240" w:lineRule="exact"/>
    </w:pPr>
    <w:rPr>
      <w:vertAlign w:val="superscript"/>
    </w:rPr>
  </w:style>
  <w:style w:type="paragraph" w:styleId="Sinespaciado">
    <w:name w:val="No Spacing"/>
    <w:aliases w:val="No Indent"/>
    <w:uiPriority w:val="3"/>
    <w:qFormat/>
    <w:rsid w:val="00824A3B"/>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24A3B"/>
    <w:rPr>
      <w:rFonts w:ascii="Geomanist Light" w:hAnsi="Geomanist Light"/>
      <w:lang w:val="es-ES"/>
    </w:rPr>
  </w:style>
  <w:style w:type="paragraph" w:styleId="Textoindependiente">
    <w:name w:val="Body Text"/>
    <w:basedOn w:val="Normal"/>
    <w:link w:val="TextoindependienteCar"/>
    <w:uiPriority w:val="99"/>
    <w:unhideWhenUsed/>
    <w:rsid w:val="00824A3B"/>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824A3B"/>
    <w:rPr>
      <w:rFonts w:eastAsiaTheme="minorEastAsia"/>
      <w:lang w:eastAsia="es-CO"/>
    </w:rPr>
  </w:style>
  <w:style w:type="character" w:customStyle="1" w:styleId="eop">
    <w:name w:val="eop"/>
    <w:basedOn w:val="Fuentedeprrafopredeter"/>
    <w:rsid w:val="00824A3B"/>
  </w:style>
  <w:style w:type="character" w:customStyle="1" w:styleId="findhit">
    <w:name w:val="findhit"/>
    <w:basedOn w:val="Fuentedeprrafopredeter"/>
    <w:rsid w:val="0082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27540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2007/L1150de2007.htm"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49D423BB-FE91-424E-A383-2A411BE8B70A}"/>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10431</Words>
  <Characters>57375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7</cp:revision>
  <cp:lastPrinted>2023-01-10T21:18:00Z</cp:lastPrinted>
  <dcterms:created xsi:type="dcterms:W3CDTF">2023-07-04T15:14:00Z</dcterms:created>
  <dcterms:modified xsi:type="dcterms:W3CDTF">2023-07-24T20:19:00Z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