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3815" w14:textId="77777777" w:rsidR="001E34E2" w:rsidRPr="001E34E2" w:rsidRDefault="001E34E2" w:rsidP="001E34E2">
      <w:pPr>
        <w:spacing w:after="0" w:line="240" w:lineRule="auto"/>
        <w:jc w:val="right"/>
        <w:rPr>
          <w:rFonts w:ascii="Arial" w:eastAsia="Calibri" w:hAnsi="Arial" w:cs="Arial"/>
          <w:b/>
          <w:sz w:val="20"/>
          <w:szCs w:val="20"/>
          <w:lang w:val="es-ES_tradnl" w:eastAsia="es-ES_tradnl"/>
        </w:rPr>
      </w:pPr>
      <w:bookmarkStart w:id="0" w:name="_Hlk28946138"/>
      <w:bookmarkStart w:id="1" w:name="_Hlk29548183"/>
      <w:r w:rsidRPr="001E34E2">
        <w:rPr>
          <w:rFonts w:ascii="Arial" w:eastAsia="Times New Roman" w:hAnsi="Arial" w:cs="Arial"/>
          <w:bCs/>
          <w:sz w:val="16"/>
          <w:szCs w:val="16"/>
          <w:lang w:val="es-ES_tradnl" w:eastAsia="es-ES"/>
        </w:rPr>
        <w:t>CCE-DES-FM-17</w:t>
      </w:r>
      <w:bookmarkEnd w:id="0"/>
      <w:bookmarkEnd w:id="1"/>
    </w:p>
    <w:p w14:paraId="14813ABF" w14:textId="77777777" w:rsidR="001E34E2" w:rsidRPr="001E34E2" w:rsidRDefault="001E34E2" w:rsidP="001E34E2">
      <w:pPr>
        <w:spacing w:after="0" w:line="240" w:lineRule="auto"/>
        <w:jc w:val="both"/>
        <w:rPr>
          <w:rFonts w:ascii="Arial" w:eastAsia="Calibri" w:hAnsi="Arial" w:cs="Arial"/>
          <w:b/>
          <w:szCs w:val="24"/>
          <w:lang w:val="es-ES_tradnl" w:eastAsia="es-ES_tradnl"/>
        </w:rPr>
      </w:pPr>
    </w:p>
    <w:p w14:paraId="3CB76B9B" w14:textId="77777777" w:rsidR="001E34E2" w:rsidRPr="001E34E2" w:rsidRDefault="001E34E2" w:rsidP="001E34E2">
      <w:pPr>
        <w:spacing w:after="0" w:line="240" w:lineRule="auto"/>
        <w:jc w:val="both"/>
        <w:rPr>
          <w:rFonts w:ascii="Arial" w:eastAsia="Calibri" w:hAnsi="Arial" w:cs="Arial"/>
          <w:b/>
          <w:szCs w:val="24"/>
          <w:lang w:val="es-ES_tradnl" w:eastAsia="es-ES_tradnl"/>
        </w:rPr>
      </w:pPr>
      <w:r w:rsidRPr="001E34E2">
        <w:rPr>
          <w:rFonts w:ascii="Arial" w:eastAsia="Calibri" w:hAnsi="Arial" w:cs="Arial"/>
          <w:b/>
          <w:szCs w:val="24"/>
          <w:lang w:val="es-ES_tradnl" w:eastAsia="es-ES_tradnl"/>
        </w:rPr>
        <w:t>FACTORES DE DESEMPATE – Características – Límites</w:t>
      </w:r>
    </w:p>
    <w:p w14:paraId="63A7F851" w14:textId="77777777" w:rsidR="001E34E2" w:rsidRPr="001E34E2" w:rsidRDefault="001E34E2" w:rsidP="001E34E2">
      <w:pPr>
        <w:spacing w:after="0" w:line="276" w:lineRule="auto"/>
        <w:jc w:val="both"/>
        <w:rPr>
          <w:rFonts w:ascii="Arial" w:eastAsia="Times New Roman" w:hAnsi="Arial" w:cs="Arial"/>
          <w:noProof/>
          <w:szCs w:val="24"/>
          <w:highlight w:val="yellow"/>
          <w:lang w:val="es-ES_tradnl" w:eastAsia="es-ES_tradnl"/>
        </w:rPr>
      </w:pPr>
    </w:p>
    <w:p w14:paraId="3DEE218E" w14:textId="77777777" w:rsidR="001E34E2" w:rsidRPr="001E34E2" w:rsidRDefault="001E34E2" w:rsidP="001E34E2">
      <w:pPr>
        <w:spacing w:after="0" w:line="240" w:lineRule="auto"/>
        <w:jc w:val="both"/>
        <w:rPr>
          <w:rFonts w:ascii="Arial" w:eastAsia="Calibri" w:hAnsi="Arial" w:cs="Arial"/>
          <w:sz w:val="20"/>
          <w:szCs w:val="20"/>
          <w:lang w:val="es-ES" w:eastAsia="es-ES_tradnl"/>
        </w:rPr>
      </w:pPr>
      <w:r w:rsidRPr="001E34E2">
        <w:rPr>
          <w:rFonts w:ascii="Arial" w:eastAsia="Calibri" w:hAnsi="Arial" w:cs="Arial"/>
          <w:sz w:val="20"/>
          <w:szCs w:val="20"/>
          <w:lang w:val="es-ES" w:eastAsia="es-ES_tradnl"/>
        </w:rPr>
        <w:t>Dado que la selección objetiva es uno de los principios medulares de la contratación estatal, la escogencia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habilitación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738A0E2A" w14:textId="77777777" w:rsidR="001E34E2" w:rsidRPr="001E34E2" w:rsidRDefault="001E34E2" w:rsidP="001E34E2">
      <w:pPr>
        <w:spacing w:after="0" w:line="240" w:lineRule="auto"/>
        <w:jc w:val="both"/>
        <w:rPr>
          <w:rFonts w:ascii="Arial" w:eastAsia="Calibri" w:hAnsi="Arial" w:cs="Arial"/>
          <w:b/>
          <w:szCs w:val="24"/>
          <w:highlight w:val="yellow"/>
          <w:lang w:val="es-ES_tradnl" w:eastAsia="es-ES_tradnl"/>
        </w:rPr>
      </w:pPr>
    </w:p>
    <w:p w14:paraId="124E4956" w14:textId="77777777" w:rsidR="001E34E2" w:rsidRPr="001E34E2" w:rsidRDefault="001E34E2" w:rsidP="001E34E2">
      <w:pPr>
        <w:spacing w:after="0" w:line="240" w:lineRule="auto"/>
        <w:jc w:val="both"/>
        <w:rPr>
          <w:rFonts w:ascii="Arial" w:eastAsia="Calibri" w:hAnsi="Arial" w:cs="Arial"/>
          <w:b/>
          <w:szCs w:val="24"/>
          <w:lang w:val="es-ES_tradnl" w:eastAsia="es-ES_tradnl"/>
        </w:rPr>
      </w:pPr>
      <w:r w:rsidRPr="001E34E2">
        <w:rPr>
          <w:rFonts w:ascii="Arial" w:eastAsia="Calibri" w:hAnsi="Arial" w:cs="Arial"/>
          <w:b/>
          <w:szCs w:val="24"/>
          <w:lang w:val="es-ES_tradnl" w:eastAsia="es-ES_tradnl"/>
        </w:rPr>
        <w:t>LEY DE EMPRENDIMIENTO – Ley 2069 de 2020 – Reglamentación – Decreto 1860 de 2021 – Vigencia</w:t>
      </w:r>
    </w:p>
    <w:p w14:paraId="60602741" w14:textId="77777777" w:rsidR="001E34E2" w:rsidRPr="001E34E2" w:rsidRDefault="001E34E2" w:rsidP="001E34E2">
      <w:pPr>
        <w:spacing w:after="0" w:line="240" w:lineRule="auto"/>
        <w:jc w:val="both"/>
        <w:rPr>
          <w:rFonts w:ascii="Arial" w:eastAsia="Calibri" w:hAnsi="Arial" w:cs="Arial"/>
          <w:b/>
          <w:szCs w:val="24"/>
          <w:highlight w:val="yellow"/>
          <w:lang w:val="es-ES_tradnl" w:eastAsia="es-ES_tradnl"/>
        </w:rPr>
      </w:pPr>
    </w:p>
    <w:p w14:paraId="63CEDF99" w14:textId="77777777" w:rsidR="001E34E2" w:rsidRPr="001E34E2" w:rsidRDefault="001E34E2" w:rsidP="001E34E2">
      <w:pPr>
        <w:spacing w:after="0" w:line="240" w:lineRule="auto"/>
        <w:jc w:val="both"/>
        <w:rPr>
          <w:rFonts w:ascii="Arial" w:eastAsia="Calibri" w:hAnsi="Arial" w:cs="Arial"/>
          <w:bCs/>
          <w:sz w:val="20"/>
          <w:szCs w:val="20"/>
          <w:lang w:val="es-ES_tradnl" w:eastAsia="es-ES_tradnl"/>
        </w:rPr>
      </w:pPr>
      <w:r w:rsidRPr="001E34E2">
        <w:rPr>
          <w:rFonts w:ascii="Arial" w:eastAsia="Calibri" w:hAnsi="Arial" w:cs="Arial"/>
          <w:bCs/>
          <w:sz w:val="20"/>
          <w:szCs w:val="20"/>
          <w:lang w:val="es-ES_tradnl" w:eastAsia="es-ES_tradnl"/>
        </w:rPr>
        <w:t>[…] 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p>
    <w:p w14:paraId="1264DB82" w14:textId="77777777" w:rsidR="001E34E2" w:rsidRPr="001E34E2" w:rsidRDefault="001E34E2" w:rsidP="001E34E2">
      <w:pPr>
        <w:spacing w:after="0" w:line="276" w:lineRule="auto"/>
        <w:jc w:val="both"/>
        <w:rPr>
          <w:rFonts w:ascii="Arial" w:eastAsia="Calibri" w:hAnsi="Arial" w:cs="Arial"/>
          <w:b/>
          <w:szCs w:val="24"/>
          <w:lang w:val="es-ES_tradnl" w:eastAsia="es-ES_tradnl"/>
        </w:rPr>
      </w:pPr>
    </w:p>
    <w:p w14:paraId="4245C56C" w14:textId="77777777" w:rsidR="001E34E2" w:rsidRPr="001E34E2" w:rsidRDefault="001E34E2" w:rsidP="001E34E2">
      <w:pPr>
        <w:spacing w:after="0" w:line="276" w:lineRule="auto"/>
        <w:jc w:val="both"/>
        <w:rPr>
          <w:rFonts w:ascii="Arial" w:eastAsia="Calibri" w:hAnsi="Arial" w:cs="Arial"/>
          <w:b/>
          <w:szCs w:val="24"/>
          <w:lang w:val="es-ES_tradnl" w:eastAsia="es-ES_tradnl"/>
        </w:rPr>
      </w:pPr>
      <w:r w:rsidRPr="001E34E2">
        <w:rPr>
          <w:rFonts w:ascii="Arial" w:eastAsia="Calibri" w:hAnsi="Arial" w:cs="Arial"/>
          <w:b/>
          <w:szCs w:val="24"/>
          <w:lang w:val="es-ES_tradnl" w:eastAsia="es-ES_tradnl"/>
        </w:rPr>
        <w:t>FACTORES DE DESEMPATE – Ley 2069 de 2020 – Numeral 4 – Decreto 1680 de 2021 –– Mayor proporción</w:t>
      </w:r>
    </w:p>
    <w:p w14:paraId="09B386BF" w14:textId="77777777" w:rsidR="001E34E2" w:rsidRPr="001E34E2" w:rsidRDefault="001E34E2" w:rsidP="001E34E2">
      <w:pPr>
        <w:spacing w:after="0" w:line="276" w:lineRule="auto"/>
        <w:jc w:val="both"/>
        <w:rPr>
          <w:rFonts w:ascii="Arial" w:eastAsia="Times New Roman" w:hAnsi="Arial" w:cs="Arial"/>
          <w:highlight w:val="yellow"/>
          <w:lang w:val="es-ES_tradnl" w:eastAsia="es-ES_tradnl"/>
        </w:rPr>
      </w:pPr>
    </w:p>
    <w:p w14:paraId="4744FDF1" w14:textId="77777777" w:rsidR="001E34E2" w:rsidRPr="001E34E2" w:rsidRDefault="001E34E2" w:rsidP="001E34E2">
      <w:pPr>
        <w:spacing w:after="0" w:line="240" w:lineRule="auto"/>
        <w:jc w:val="both"/>
        <w:rPr>
          <w:rFonts w:ascii="Arial" w:eastAsia="Calibri" w:hAnsi="Arial" w:cs="Arial"/>
          <w:sz w:val="20"/>
          <w:szCs w:val="20"/>
          <w:lang w:val="es-ES_tradnl" w:eastAsia="es-ES_tradnl"/>
        </w:rPr>
      </w:pPr>
      <w:bookmarkStart w:id="2" w:name="_Hlk81487704"/>
      <w:r w:rsidRPr="001E34E2">
        <w:rPr>
          <w:rFonts w:ascii="Arial" w:eastAsia="Calibri" w:hAnsi="Arial" w:cs="Arial"/>
          <w:sz w:val="20"/>
          <w:szCs w:val="20"/>
          <w:lang w:val="es-ES_tradnl" w:eastAsia="es-ES_tradnl"/>
        </w:rPr>
        <w:t>Conforme a la definición del Diccionario de la RAE, la palabra “proporción” es la “Igualdad de dos razones”. Esta expresión tiene una definición propia en el campo de las matemáticas, pues alude a una relación o razón constante entre diferentes magnitudes que se vayan a medir. Por esta razón, la “[…] mayor proporción de personas mayores que no sean beneficiarios de la pensión de vejez, familiar o de sobrevivencia y que hayan cumplido el requisito de edad de pensión establecido en la Ley” no corresponde a un valor absoluto, sino relativo.</w:t>
      </w:r>
    </w:p>
    <w:p w14:paraId="3CCED500" w14:textId="77777777" w:rsidR="001E34E2" w:rsidRPr="001E34E2" w:rsidRDefault="001E34E2" w:rsidP="001E34E2">
      <w:pPr>
        <w:spacing w:after="0" w:line="240" w:lineRule="auto"/>
        <w:jc w:val="both"/>
        <w:rPr>
          <w:rFonts w:ascii="Arial" w:eastAsia="Calibri" w:hAnsi="Arial" w:cs="Arial"/>
          <w:sz w:val="20"/>
          <w:szCs w:val="20"/>
          <w:lang w:val="es-ES_tradnl" w:eastAsia="es-ES_tradnl"/>
        </w:rPr>
      </w:pPr>
    </w:p>
    <w:p w14:paraId="65CE41A8" w14:textId="77777777" w:rsidR="001E34E2" w:rsidRPr="001E34E2" w:rsidRDefault="001E34E2" w:rsidP="001E34E2">
      <w:pPr>
        <w:spacing w:after="0" w:line="240" w:lineRule="auto"/>
        <w:jc w:val="both"/>
        <w:rPr>
          <w:rFonts w:ascii="Arial" w:eastAsia="Calibri" w:hAnsi="Arial" w:cs="Arial"/>
          <w:sz w:val="20"/>
          <w:szCs w:val="20"/>
          <w:lang w:val="es-ES_tradnl" w:eastAsia="es-ES_tradnl"/>
        </w:rPr>
      </w:pPr>
      <w:r w:rsidRPr="001E34E2">
        <w:rPr>
          <w:rFonts w:ascii="Arial" w:eastAsia="Calibri" w:hAnsi="Arial" w:cs="Arial"/>
          <w:sz w:val="20"/>
          <w:szCs w:val="20"/>
          <w:lang w:val="es-ES_tradnl" w:eastAsia="es-ES_tradnl"/>
        </w:rPr>
        <w:t>En efecto, el factor de desempate del artículo 35.4 de la Ley 2069 de 2020 no se refiere a la vinculación en mayor cantidad de personas mayores. En este caso, bastaría comparar el número de personas vinculadas entre cada uno de los proponentes empatados, adjudicando el contrato a aquel que más tenga. Sin embargo, esta interpretación no es posible en la medida que la norma se refiere a la “vinculación en mayor proporción”, es decir el número de personas vinculadas en relación con la planta de personal de los oferentes.</w:t>
      </w:r>
    </w:p>
    <w:p w14:paraId="34B9B002" w14:textId="77777777" w:rsidR="001E34E2" w:rsidRPr="001E34E2" w:rsidRDefault="001E34E2" w:rsidP="001E34E2">
      <w:pPr>
        <w:spacing w:after="0" w:line="240" w:lineRule="auto"/>
        <w:jc w:val="both"/>
        <w:rPr>
          <w:rFonts w:ascii="Arial" w:eastAsia="Calibri" w:hAnsi="Arial" w:cs="Arial"/>
          <w:szCs w:val="24"/>
          <w:lang w:val="es-ES_tradnl" w:eastAsia="es-ES_tradnl"/>
        </w:rPr>
      </w:pPr>
      <w:bookmarkStart w:id="3" w:name="_Hlk94858220"/>
    </w:p>
    <w:p w14:paraId="52A21EBB" w14:textId="77777777" w:rsidR="001E34E2" w:rsidRPr="001E34E2" w:rsidRDefault="001E34E2" w:rsidP="001E34E2">
      <w:pPr>
        <w:spacing w:after="0" w:line="240" w:lineRule="auto"/>
        <w:jc w:val="both"/>
        <w:rPr>
          <w:rFonts w:ascii="Arial" w:eastAsia="Calibri" w:hAnsi="Arial" w:cs="Arial"/>
          <w:szCs w:val="24"/>
          <w:lang w:val="es-ES_tradnl" w:eastAsia="es-ES_tradnl"/>
        </w:rPr>
      </w:pPr>
    </w:p>
    <w:p w14:paraId="3081DC41" w14:textId="77777777" w:rsidR="001E34E2" w:rsidRPr="001E34E2" w:rsidRDefault="001E34E2" w:rsidP="001E34E2">
      <w:pPr>
        <w:spacing w:after="0" w:line="240" w:lineRule="auto"/>
        <w:jc w:val="both"/>
        <w:rPr>
          <w:rFonts w:ascii="Arial" w:eastAsia="Calibri" w:hAnsi="Arial" w:cs="Arial"/>
          <w:szCs w:val="24"/>
          <w:lang w:val="es-ES_tradnl" w:eastAsia="es-ES_tradnl"/>
        </w:rPr>
      </w:pPr>
    </w:p>
    <w:p w14:paraId="00EB67CF" w14:textId="77777777" w:rsidR="001E34E2" w:rsidRPr="001E34E2" w:rsidRDefault="001E34E2" w:rsidP="001E34E2">
      <w:pPr>
        <w:spacing w:after="0" w:line="240" w:lineRule="auto"/>
        <w:jc w:val="both"/>
        <w:rPr>
          <w:rFonts w:ascii="Arial" w:eastAsia="Calibri" w:hAnsi="Arial" w:cs="Arial"/>
          <w:szCs w:val="24"/>
          <w:lang w:val="es-ES_tradnl" w:eastAsia="es-ES_tradnl"/>
        </w:rPr>
      </w:pPr>
    </w:p>
    <w:p w14:paraId="1ADA045A" w14:textId="77777777" w:rsidR="00424B47" w:rsidRDefault="00424B47" w:rsidP="00424B47">
      <w:pPr>
        <w:rPr>
          <w:rFonts w:ascii="Geomanist Light" w:eastAsia="Times New Roman" w:hAnsi="Geomanist Light" w:cs="Arial"/>
          <w:b/>
          <w:bCs/>
          <w:lang w:val="es-MX" w:eastAsia="es-CO"/>
        </w:rPr>
      </w:pPr>
    </w:p>
    <w:p w14:paraId="38E5BBB3" w14:textId="51D395C0" w:rsidR="00424B47" w:rsidRPr="004A1BA9" w:rsidRDefault="00424B47" w:rsidP="004A1BA9">
      <w:pPr>
        <w:spacing w:after="0"/>
        <w:rPr>
          <w:rFonts w:ascii="Arial" w:eastAsia="Geomanist Light" w:hAnsi="Arial" w:cs="Arial"/>
          <w:color w:val="201F1E"/>
          <w:lang w:val="es-MX"/>
        </w:rPr>
      </w:pPr>
      <w:r w:rsidRPr="004A1BA9">
        <w:rPr>
          <w:rFonts w:ascii="Arial" w:eastAsia="Geomanist Light" w:hAnsi="Arial" w:cs="Arial"/>
          <w:color w:val="000000" w:themeColor="text1"/>
          <w:lang w:val="es-MX"/>
        </w:rPr>
        <w:lastRenderedPageBreak/>
        <w:t>Bogotá D.C.</w:t>
      </w:r>
    </w:p>
    <w:p w14:paraId="1DE16587" w14:textId="62C713D8" w:rsidR="00424B47" w:rsidRDefault="00E60C7A" w:rsidP="00E60C7A">
      <w:pPr>
        <w:spacing w:after="0" w:line="240" w:lineRule="auto"/>
        <w:jc w:val="right"/>
        <w:rPr>
          <w:rFonts w:ascii="Arial" w:eastAsia="Times New Roman" w:hAnsi="Arial" w:cs="Arial"/>
          <w:szCs w:val="24"/>
          <w:lang w:eastAsia="es-ES_tradnl"/>
        </w:rPr>
      </w:pPr>
      <w:r>
        <w:rPr>
          <w:rFonts w:ascii="Arial" w:eastAsia="Times New Roman" w:hAnsi="Arial" w:cs="Arial"/>
          <w:noProof/>
          <w:szCs w:val="24"/>
          <w:lang w:eastAsia="es-ES_tradnl"/>
        </w:rPr>
        <w:drawing>
          <wp:inline distT="0" distB="0" distL="0" distR="0" wp14:anchorId="1AE2DB73" wp14:editId="22EC6ABA">
            <wp:extent cx="2453640" cy="648335"/>
            <wp:effectExtent l="0" t="0" r="3810" b="0"/>
            <wp:docPr id="2070358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3640" cy="648335"/>
                    </a:xfrm>
                    <a:prstGeom prst="rect">
                      <a:avLst/>
                    </a:prstGeom>
                    <a:noFill/>
                    <a:ln>
                      <a:noFill/>
                    </a:ln>
                  </pic:spPr>
                </pic:pic>
              </a:graphicData>
            </a:graphic>
          </wp:inline>
        </w:drawing>
      </w:r>
    </w:p>
    <w:p w14:paraId="52D8C54C" w14:textId="77777777" w:rsidR="001E34E2" w:rsidRPr="001E34E2" w:rsidRDefault="001E34E2" w:rsidP="001E34E2">
      <w:pPr>
        <w:spacing w:after="0" w:line="240" w:lineRule="auto"/>
        <w:rPr>
          <w:rFonts w:ascii="Arial" w:eastAsia="Times New Roman" w:hAnsi="Arial" w:cs="Arial"/>
          <w:b/>
          <w:szCs w:val="24"/>
          <w:lang w:eastAsia="es-ES_tradnl"/>
        </w:rPr>
      </w:pPr>
      <w:r w:rsidRPr="001E34E2">
        <w:rPr>
          <w:rFonts w:ascii="Arial" w:eastAsia="Times New Roman" w:hAnsi="Arial" w:cs="Arial"/>
          <w:b/>
          <w:szCs w:val="24"/>
          <w:lang w:eastAsia="es-ES_tradnl"/>
        </w:rPr>
        <w:t xml:space="preserve">                    </w:t>
      </w:r>
    </w:p>
    <w:p w14:paraId="6115DD82" w14:textId="77777777" w:rsidR="001E34E2" w:rsidRPr="001E34E2" w:rsidRDefault="001E34E2" w:rsidP="001E34E2">
      <w:pPr>
        <w:spacing w:after="0" w:line="240" w:lineRule="auto"/>
        <w:jc w:val="both"/>
        <w:rPr>
          <w:rFonts w:ascii="Arial" w:eastAsia="Calibri" w:hAnsi="Arial" w:cs="Arial"/>
          <w:szCs w:val="24"/>
          <w:lang w:val="es-ES_tradnl" w:eastAsia="es-ES_tradnl"/>
        </w:rPr>
      </w:pPr>
      <w:r w:rsidRPr="001E34E2">
        <w:rPr>
          <w:rFonts w:ascii="Arial" w:eastAsia="Calibri" w:hAnsi="Arial" w:cs="Arial"/>
          <w:szCs w:val="24"/>
          <w:lang w:val="es-ES_tradnl" w:eastAsia="es-ES_tradnl"/>
        </w:rPr>
        <w:t>Brigadier General</w:t>
      </w:r>
    </w:p>
    <w:p w14:paraId="1EDFA975" w14:textId="77777777" w:rsidR="001E34E2" w:rsidRPr="001E34E2" w:rsidRDefault="001E34E2" w:rsidP="001E34E2">
      <w:pPr>
        <w:spacing w:after="0" w:line="240" w:lineRule="auto"/>
        <w:jc w:val="both"/>
        <w:rPr>
          <w:rFonts w:ascii="Arial" w:eastAsia="Calibri" w:hAnsi="Arial" w:cs="Arial"/>
          <w:b/>
          <w:szCs w:val="24"/>
          <w:lang w:val="es-ES_tradnl" w:eastAsia="es-ES_tradnl"/>
        </w:rPr>
      </w:pPr>
      <w:r w:rsidRPr="001E34E2">
        <w:rPr>
          <w:rFonts w:ascii="Arial" w:eastAsia="Calibri" w:hAnsi="Arial" w:cs="Arial"/>
          <w:b/>
          <w:szCs w:val="24"/>
          <w:lang w:val="es-ES_tradnl" w:eastAsia="es-ES_tradnl"/>
        </w:rPr>
        <w:t>Oscar Zuluaga Castaño</w:t>
      </w:r>
    </w:p>
    <w:p w14:paraId="0574B032" w14:textId="77777777" w:rsidR="001E34E2" w:rsidRPr="001E34E2" w:rsidRDefault="001E34E2" w:rsidP="001E34E2">
      <w:pPr>
        <w:spacing w:after="0" w:line="240" w:lineRule="auto"/>
        <w:jc w:val="both"/>
        <w:rPr>
          <w:rFonts w:ascii="Arial" w:eastAsia="Calibri" w:hAnsi="Arial" w:cs="Arial"/>
          <w:bCs/>
          <w:szCs w:val="24"/>
          <w:lang w:val="es-ES_tradnl" w:eastAsia="es-ES_tradnl"/>
        </w:rPr>
      </w:pPr>
      <w:r w:rsidRPr="001E34E2">
        <w:rPr>
          <w:rFonts w:ascii="Arial" w:eastAsia="Calibri" w:hAnsi="Arial" w:cs="Arial"/>
          <w:bCs/>
          <w:szCs w:val="24"/>
          <w:lang w:val="es-ES_tradnl" w:eastAsia="es-ES_tradnl"/>
        </w:rPr>
        <w:t>Presidente</w:t>
      </w:r>
    </w:p>
    <w:p w14:paraId="6898149A" w14:textId="77777777" w:rsidR="001E34E2" w:rsidRPr="001E34E2" w:rsidRDefault="001E34E2" w:rsidP="001E34E2">
      <w:pPr>
        <w:spacing w:after="0" w:line="240" w:lineRule="auto"/>
        <w:jc w:val="both"/>
        <w:rPr>
          <w:rFonts w:ascii="Arial" w:eastAsia="Calibri" w:hAnsi="Arial" w:cs="Arial"/>
          <w:bCs/>
          <w:szCs w:val="24"/>
          <w:highlight w:val="yellow"/>
          <w:lang w:val="es-ES_tradnl" w:eastAsia="es-ES_tradnl"/>
        </w:rPr>
      </w:pPr>
      <w:r w:rsidRPr="001E34E2">
        <w:rPr>
          <w:rFonts w:ascii="Arial" w:eastAsia="Calibri" w:hAnsi="Arial" w:cs="Arial"/>
          <w:bCs/>
          <w:szCs w:val="24"/>
          <w:lang w:val="es-ES_tradnl" w:eastAsia="es-ES_tradnl"/>
        </w:rPr>
        <w:t>Satena S.A.</w:t>
      </w:r>
    </w:p>
    <w:p w14:paraId="2D5B38C1" w14:textId="77777777" w:rsidR="001E34E2" w:rsidRPr="001E34E2" w:rsidRDefault="001E34E2" w:rsidP="001E34E2">
      <w:pPr>
        <w:spacing w:after="0" w:line="240" w:lineRule="auto"/>
        <w:jc w:val="both"/>
        <w:rPr>
          <w:rFonts w:ascii="Arial" w:eastAsia="Calibri" w:hAnsi="Arial" w:cs="Arial"/>
          <w:lang w:val="es-ES_tradnl" w:eastAsia="es-ES_tradnl"/>
        </w:rPr>
      </w:pPr>
      <w:r w:rsidRPr="001E34E2">
        <w:rPr>
          <w:rFonts w:ascii="Arial" w:eastAsia="Times New Roman" w:hAnsi="Arial" w:cs="Arial"/>
          <w:lang w:eastAsia="es-ES_tradnl"/>
        </w:rPr>
        <w:t>Ciudad</w:t>
      </w:r>
    </w:p>
    <w:p w14:paraId="1F9D11AB" w14:textId="77777777" w:rsidR="001E34E2" w:rsidRPr="001E34E2" w:rsidRDefault="001E34E2" w:rsidP="001E34E2">
      <w:pPr>
        <w:spacing w:after="0" w:line="276" w:lineRule="auto"/>
        <w:jc w:val="center"/>
        <w:rPr>
          <w:rFonts w:ascii="Arial" w:eastAsia="Calibri" w:hAnsi="Arial" w:cs="Arial"/>
          <w:b/>
          <w:bCs/>
          <w:szCs w:val="24"/>
          <w:lang w:val="es-ES_tradnl" w:eastAsia="es-ES_tradnl"/>
        </w:rPr>
      </w:pPr>
      <w:r w:rsidRPr="001E34E2">
        <w:rPr>
          <w:rFonts w:ascii="Arial" w:eastAsia="Calibri" w:hAnsi="Arial" w:cs="Arial"/>
          <w:b/>
          <w:color w:val="000000"/>
          <w:szCs w:val="24"/>
          <w:lang w:val="es-ES_tradnl" w:eastAsia="es-ES_tradnl"/>
        </w:rPr>
        <w:t>Concepto C ‒ 179 de 2023</w:t>
      </w:r>
    </w:p>
    <w:p w14:paraId="67BB8085" w14:textId="77777777" w:rsidR="001E34E2" w:rsidRPr="001E34E2" w:rsidRDefault="001E34E2" w:rsidP="001E34E2">
      <w:pPr>
        <w:spacing w:after="0" w:line="240" w:lineRule="auto"/>
        <w:jc w:val="both"/>
        <w:rPr>
          <w:rFonts w:ascii="Arial" w:eastAsia="Calibri" w:hAnsi="Arial" w:cs="Arial"/>
          <w:szCs w:val="24"/>
          <w:lang w:val="es-ES_tradnl" w:eastAsia="es-ES_tradnl"/>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E34E2" w:rsidRPr="001E34E2" w14:paraId="001CF664" w14:textId="77777777" w:rsidTr="0018658F">
        <w:trPr>
          <w:trHeight w:val="1099"/>
        </w:trPr>
        <w:tc>
          <w:tcPr>
            <w:tcW w:w="2689" w:type="dxa"/>
          </w:tcPr>
          <w:p w14:paraId="1F3E5F63" w14:textId="77777777" w:rsidR="001E34E2" w:rsidRPr="001E34E2" w:rsidRDefault="001E34E2" w:rsidP="001E34E2">
            <w:pPr>
              <w:jc w:val="both"/>
              <w:rPr>
                <w:rFonts w:ascii="Arial" w:eastAsia="Calibri" w:hAnsi="Arial" w:cs="Arial"/>
                <w:szCs w:val="24"/>
                <w:lang w:val="es-ES_tradnl" w:eastAsia="es-ES_tradnl"/>
              </w:rPr>
            </w:pPr>
            <w:r w:rsidRPr="001E34E2">
              <w:rPr>
                <w:rFonts w:ascii="Arial" w:eastAsia="Calibri" w:hAnsi="Arial" w:cs="Arial"/>
                <w:b/>
                <w:szCs w:val="24"/>
                <w:lang w:val="es-ES_tradnl" w:eastAsia="es-ES_tradnl"/>
              </w:rPr>
              <w:t>Temas:</w:t>
            </w:r>
            <w:r w:rsidRPr="001E34E2">
              <w:rPr>
                <w:rFonts w:ascii="Arial" w:eastAsia="Calibri" w:hAnsi="Arial" w:cs="Arial"/>
                <w:szCs w:val="24"/>
                <w:lang w:val="es-ES_tradnl" w:eastAsia="es-ES_tradnl"/>
              </w:rPr>
              <w:t xml:space="preserve">                                      </w:t>
            </w:r>
          </w:p>
        </w:tc>
        <w:tc>
          <w:tcPr>
            <w:tcW w:w="6237" w:type="dxa"/>
          </w:tcPr>
          <w:p w14:paraId="36DE101D" w14:textId="77777777" w:rsidR="001E34E2" w:rsidRPr="001E34E2" w:rsidRDefault="001E34E2" w:rsidP="001E34E2">
            <w:pPr>
              <w:jc w:val="both"/>
              <w:rPr>
                <w:rFonts w:ascii="Arial" w:eastAsia="Times New Roman" w:hAnsi="Arial" w:cs="Arial"/>
                <w:b/>
                <w:bCs/>
                <w:noProof/>
                <w:lang w:val="es-ES_tradnl" w:eastAsia="es-ES_tradnl"/>
              </w:rPr>
            </w:pPr>
            <w:r w:rsidRPr="001E34E2">
              <w:rPr>
                <w:rFonts w:ascii="Arial" w:eastAsia="Calibri" w:hAnsi="Arial" w:cs="Arial"/>
                <w:bCs/>
                <w:szCs w:val="24"/>
                <w:lang w:val="es-ES_tradnl" w:eastAsia="es-ES_tradnl"/>
              </w:rPr>
              <w:t xml:space="preserve">FACTORES DE DESEMPATE – Características – Límites / LEY DE EMPRENDIMIENTO – Ley 2069 de 2020 – Reglamentación – Decreto 1860 de 2021 – Vigencia / </w:t>
            </w:r>
            <w:bookmarkStart w:id="4" w:name="_Hlk102642616"/>
            <w:r w:rsidRPr="001E34E2">
              <w:rPr>
                <w:rFonts w:ascii="Arial" w:eastAsia="Calibri" w:hAnsi="Arial" w:cs="Arial"/>
                <w:bCs/>
                <w:szCs w:val="24"/>
                <w:lang w:val="es-ES_tradnl" w:eastAsia="es-ES_tradnl"/>
              </w:rPr>
              <w:t xml:space="preserve">FACTORES DE DESEMPATE – Ley 2069 de 2020 – Numeral 4 – Decreto 1680 de 2021– Mayor proporción </w:t>
            </w:r>
            <w:bookmarkEnd w:id="4"/>
          </w:p>
        </w:tc>
      </w:tr>
      <w:tr w:rsidR="001E34E2" w:rsidRPr="001E34E2" w14:paraId="6607357E" w14:textId="77777777" w:rsidTr="0018658F">
        <w:tc>
          <w:tcPr>
            <w:tcW w:w="2689" w:type="dxa"/>
          </w:tcPr>
          <w:p w14:paraId="7225033C" w14:textId="77777777" w:rsidR="001E34E2" w:rsidRPr="001E34E2" w:rsidRDefault="001E34E2" w:rsidP="001E34E2">
            <w:pPr>
              <w:spacing w:before="120"/>
              <w:jc w:val="both"/>
              <w:rPr>
                <w:rFonts w:ascii="Arial" w:eastAsia="Calibri" w:hAnsi="Arial" w:cs="Arial"/>
                <w:b/>
                <w:szCs w:val="24"/>
                <w:lang w:val="es-ES_tradnl" w:eastAsia="es-ES_tradnl"/>
              </w:rPr>
            </w:pPr>
            <w:r w:rsidRPr="001E34E2">
              <w:rPr>
                <w:rFonts w:ascii="Arial" w:eastAsia="Calibri" w:hAnsi="Arial" w:cs="Arial"/>
                <w:b/>
                <w:szCs w:val="24"/>
                <w:lang w:val="es-ES_tradnl" w:eastAsia="es-ES_tradnl"/>
              </w:rPr>
              <w:t>Radicación:</w:t>
            </w:r>
            <w:r w:rsidRPr="001E34E2">
              <w:rPr>
                <w:rFonts w:ascii="Arial" w:eastAsia="Calibri" w:hAnsi="Arial" w:cs="Arial"/>
                <w:szCs w:val="24"/>
                <w:lang w:val="es-ES_tradnl" w:eastAsia="es-ES_tradnl"/>
              </w:rPr>
              <w:t xml:space="preserve">                              </w:t>
            </w:r>
          </w:p>
        </w:tc>
        <w:tc>
          <w:tcPr>
            <w:tcW w:w="6237" w:type="dxa"/>
          </w:tcPr>
          <w:p w14:paraId="10FA1BBF" w14:textId="77777777" w:rsidR="001E34E2" w:rsidRPr="001E34E2" w:rsidRDefault="001E34E2" w:rsidP="001E34E2">
            <w:pPr>
              <w:spacing w:before="120"/>
              <w:jc w:val="both"/>
              <w:rPr>
                <w:rFonts w:ascii="Arial" w:eastAsia="Calibri" w:hAnsi="Arial" w:cs="Arial"/>
                <w:szCs w:val="24"/>
                <w:lang w:val="es-ES_tradnl" w:eastAsia="es-ES_tradnl"/>
              </w:rPr>
            </w:pPr>
            <w:r w:rsidRPr="001E34E2">
              <w:rPr>
                <w:rFonts w:ascii="Arial" w:eastAsia="Calibri" w:hAnsi="Arial" w:cs="Arial"/>
                <w:szCs w:val="24"/>
                <w:lang w:val="es-ES_tradnl" w:eastAsia="es-ES_tradnl"/>
              </w:rPr>
              <w:t>Respuesta a la consulta No. P20230425003658</w:t>
            </w:r>
          </w:p>
        </w:tc>
      </w:tr>
    </w:tbl>
    <w:p w14:paraId="3D9C0B13" w14:textId="77777777" w:rsidR="001E34E2" w:rsidRPr="001E34E2" w:rsidRDefault="001E34E2" w:rsidP="001E34E2">
      <w:pPr>
        <w:spacing w:after="0" w:line="240" w:lineRule="auto"/>
        <w:jc w:val="both"/>
        <w:rPr>
          <w:rFonts w:ascii="Arial" w:eastAsia="Calibri" w:hAnsi="Arial" w:cs="Arial"/>
          <w:szCs w:val="24"/>
          <w:lang w:val="es-ES_tradnl" w:eastAsia="es-ES_tradnl"/>
        </w:rPr>
      </w:pPr>
    </w:p>
    <w:p w14:paraId="2661ABC0" w14:textId="77777777" w:rsidR="001E34E2" w:rsidRPr="001E34E2" w:rsidRDefault="001E34E2" w:rsidP="001E34E2">
      <w:pPr>
        <w:spacing w:after="0" w:line="240" w:lineRule="auto"/>
        <w:jc w:val="both"/>
        <w:rPr>
          <w:rFonts w:ascii="Arial" w:eastAsia="Calibri" w:hAnsi="Arial" w:cs="Arial"/>
          <w:szCs w:val="24"/>
          <w:lang w:val="es-ES_tradnl" w:eastAsia="es-ES_tradnl"/>
        </w:rPr>
      </w:pPr>
    </w:p>
    <w:p w14:paraId="0C06A20B" w14:textId="77777777" w:rsidR="001E34E2" w:rsidRPr="001E34E2" w:rsidRDefault="001E34E2" w:rsidP="001E34E2">
      <w:pPr>
        <w:spacing w:after="0" w:line="240" w:lineRule="auto"/>
        <w:jc w:val="both"/>
        <w:rPr>
          <w:rFonts w:ascii="Arial" w:eastAsia="Calibri" w:hAnsi="Arial" w:cs="Arial"/>
          <w:szCs w:val="24"/>
          <w:lang w:val="es-ES_tradnl" w:eastAsia="es-ES_tradnl"/>
        </w:rPr>
      </w:pPr>
      <w:r w:rsidRPr="001E34E2">
        <w:rPr>
          <w:rFonts w:ascii="Arial" w:eastAsia="Calibri" w:hAnsi="Arial" w:cs="Arial"/>
          <w:szCs w:val="24"/>
          <w:lang w:val="es-ES_tradnl" w:eastAsia="es-ES_tradnl"/>
        </w:rPr>
        <w:t xml:space="preserve">Estimado señor Zuluaga: </w:t>
      </w:r>
    </w:p>
    <w:p w14:paraId="758349CC" w14:textId="77777777" w:rsidR="001E34E2" w:rsidRPr="001E34E2" w:rsidRDefault="001E34E2" w:rsidP="001E34E2">
      <w:pPr>
        <w:spacing w:after="0" w:line="240" w:lineRule="auto"/>
        <w:jc w:val="both"/>
        <w:rPr>
          <w:rFonts w:ascii="Arial" w:eastAsia="Calibri" w:hAnsi="Arial" w:cs="Arial"/>
          <w:szCs w:val="24"/>
          <w:lang w:val="es-ES_tradnl" w:eastAsia="es-ES_tradnl"/>
        </w:rPr>
      </w:pPr>
    </w:p>
    <w:p w14:paraId="48B31417" w14:textId="77777777" w:rsidR="001E34E2" w:rsidRPr="001E34E2" w:rsidRDefault="001E34E2" w:rsidP="001E34E2">
      <w:pPr>
        <w:spacing w:after="0" w:line="276" w:lineRule="auto"/>
        <w:jc w:val="both"/>
        <w:rPr>
          <w:rFonts w:ascii="Arial" w:eastAsia="Calibri" w:hAnsi="Arial" w:cs="Arial"/>
          <w:szCs w:val="24"/>
          <w:lang w:val="es-ES_tradnl" w:eastAsia="es-ES_tradnl"/>
        </w:rPr>
      </w:pPr>
      <w:r w:rsidRPr="001E34E2">
        <w:rPr>
          <w:rFonts w:ascii="Arial" w:eastAsia="Calibri" w:hAnsi="Arial" w:cs="Arial"/>
          <w:szCs w:val="24"/>
          <w:lang w:val="es-ES_tradnl" w:eastAsia="es-ES_tradnl"/>
        </w:rPr>
        <w:t>En ejercicio de la competencia otorgada por el numeral 8 del artículo 11 y el numeral 5 del artículo 3 del Decreto Ley 4170 de 2011, la Agencia Nacional de Contratación Pública – Colombia Compra Eficiente responde su consulta del 25 de abril de 2023.</w:t>
      </w:r>
    </w:p>
    <w:p w14:paraId="19168F4C" w14:textId="77777777" w:rsidR="001E34E2" w:rsidRPr="001E34E2" w:rsidRDefault="001E34E2" w:rsidP="001E34E2">
      <w:pPr>
        <w:spacing w:after="0" w:line="276" w:lineRule="auto"/>
        <w:jc w:val="both"/>
        <w:rPr>
          <w:rFonts w:ascii="Arial" w:eastAsia="Calibri" w:hAnsi="Arial" w:cs="Arial"/>
          <w:b/>
          <w:szCs w:val="24"/>
          <w:lang w:val="es-ES_tradnl" w:eastAsia="es-ES_tradnl"/>
        </w:rPr>
      </w:pPr>
    </w:p>
    <w:p w14:paraId="11842164" w14:textId="5CA889C1" w:rsidR="001E34E2" w:rsidRPr="001E34E2" w:rsidRDefault="00424B47" w:rsidP="004A1BA9">
      <w:pPr>
        <w:numPr>
          <w:ilvl w:val="0"/>
          <w:numId w:val="4"/>
        </w:numPr>
        <w:tabs>
          <w:tab w:val="left" w:pos="0"/>
          <w:tab w:val="left" w:pos="142"/>
          <w:tab w:val="left" w:pos="284"/>
        </w:tabs>
        <w:spacing w:after="0" w:line="276" w:lineRule="auto"/>
        <w:ind w:left="426"/>
        <w:contextualSpacing/>
        <w:jc w:val="both"/>
        <w:rPr>
          <w:rFonts w:ascii="Arial" w:eastAsia="Calibri" w:hAnsi="Arial" w:cs="Arial"/>
          <w:b/>
          <w:lang w:val="es-ES_tradnl"/>
        </w:rPr>
      </w:pPr>
      <w:r>
        <w:rPr>
          <w:rFonts w:ascii="Arial" w:eastAsia="Calibri" w:hAnsi="Arial" w:cs="Arial"/>
          <w:b/>
          <w:lang w:val="es-ES_tradnl"/>
        </w:rPr>
        <w:t xml:space="preserve"> </w:t>
      </w:r>
      <w:r w:rsidR="001E34E2" w:rsidRPr="001E34E2">
        <w:rPr>
          <w:rFonts w:ascii="Arial" w:eastAsia="Calibri" w:hAnsi="Arial" w:cs="Arial"/>
          <w:b/>
          <w:lang w:val="es-ES_tradnl"/>
        </w:rPr>
        <w:t xml:space="preserve">Problema planteado </w:t>
      </w:r>
    </w:p>
    <w:p w14:paraId="1501B772" w14:textId="77777777" w:rsidR="001E34E2" w:rsidRPr="001E34E2" w:rsidRDefault="001E34E2" w:rsidP="001E34E2">
      <w:pPr>
        <w:tabs>
          <w:tab w:val="left" w:pos="426"/>
        </w:tabs>
        <w:spacing w:after="0" w:line="276" w:lineRule="auto"/>
        <w:jc w:val="both"/>
        <w:rPr>
          <w:rFonts w:ascii="Arial" w:eastAsia="Calibri" w:hAnsi="Arial" w:cs="Arial"/>
          <w:b/>
          <w:szCs w:val="24"/>
          <w:lang w:val="es-ES_tradnl" w:eastAsia="es-ES_tradnl"/>
        </w:rPr>
      </w:pPr>
    </w:p>
    <w:p w14:paraId="7DE75A24" w14:textId="77777777" w:rsidR="001E34E2" w:rsidRPr="001E34E2" w:rsidRDefault="001E34E2" w:rsidP="001E34E2">
      <w:pPr>
        <w:spacing w:after="0" w:line="276" w:lineRule="auto"/>
        <w:jc w:val="both"/>
        <w:rPr>
          <w:rFonts w:ascii="Arial" w:eastAsia="Times New Roman" w:hAnsi="Arial" w:cs="Arial"/>
          <w:szCs w:val="24"/>
          <w:lang w:val="es-ES_tradnl" w:eastAsia="es-ES_tradnl"/>
        </w:rPr>
      </w:pPr>
      <w:r w:rsidRPr="001E34E2">
        <w:rPr>
          <w:rFonts w:ascii="Arial" w:eastAsia="Times New Roman" w:hAnsi="Arial" w:cs="Arial"/>
          <w:szCs w:val="24"/>
          <w:lang w:val="es-ES_tradnl" w:eastAsia="es-ES_tradnl"/>
        </w:rPr>
        <w:t>En relación con el factor de desempate del numeral 4 del artículo 2.2.1.2.4.2.17 del Decreto 1082 de 2015, usted formula la siguiente consulta:</w:t>
      </w:r>
    </w:p>
    <w:p w14:paraId="2F7A0D17" w14:textId="77777777" w:rsidR="001E34E2" w:rsidRPr="001E34E2" w:rsidRDefault="001E34E2" w:rsidP="001E34E2">
      <w:pPr>
        <w:spacing w:after="0" w:line="276" w:lineRule="auto"/>
        <w:jc w:val="both"/>
        <w:rPr>
          <w:rFonts w:ascii="Arial" w:eastAsia="Times New Roman" w:hAnsi="Arial" w:cs="Arial"/>
          <w:szCs w:val="24"/>
          <w:lang w:val="es-ES_tradnl" w:eastAsia="es-ES_tradnl"/>
        </w:rPr>
      </w:pPr>
    </w:p>
    <w:p w14:paraId="71339B25" w14:textId="1A91BE97" w:rsidR="001E34E2" w:rsidRPr="001E34E2" w:rsidRDefault="001E34E2" w:rsidP="001E34E2">
      <w:pPr>
        <w:spacing w:after="0" w:line="240" w:lineRule="auto"/>
        <w:ind w:left="709" w:right="709"/>
        <w:jc w:val="both"/>
        <w:rPr>
          <w:rFonts w:ascii="Arial" w:eastAsia="Calibri" w:hAnsi="Arial" w:cs="Arial"/>
          <w:sz w:val="21"/>
          <w:szCs w:val="21"/>
          <w:lang w:val="es-ES_tradnl" w:eastAsia="es-ES_tradnl"/>
        </w:rPr>
      </w:pPr>
      <w:r w:rsidRPr="001E34E2">
        <w:rPr>
          <w:rFonts w:ascii="Arial" w:eastAsia="Calibri" w:hAnsi="Arial" w:cs="Arial"/>
          <w:sz w:val="21"/>
          <w:szCs w:val="21"/>
          <w:lang w:val="es-ES_tradnl" w:eastAsia="es-ES_tradnl"/>
        </w:rPr>
        <w:t>“En relación con el criterio número 4 del Artículo 35 de la Ley 2069 de 2020 que</w:t>
      </w:r>
      <w:r w:rsidR="00424B47">
        <w:rPr>
          <w:rFonts w:ascii="Arial" w:eastAsia="Calibri" w:hAnsi="Arial" w:cs="Arial"/>
          <w:sz w:val="21"/>
          <w:szCs w:val="21"/>
          <w:lang w:val="es-ES_tradnl" w:eastAsia="es-ES_tradnl"/>
        </w:rPr>
        <w:t xml:space="preserve"> </w:t>
      </w:r>
      <w:r w:rsidRPr="001E34E2">
        <w:rPr>
          <w:rFonts w:ascii="Arial" w:eastAsia="Calibri" w:hAnsi="Arial" w:cs="Arial"/>
          <w:sz w:val="21"/>
          <w:szCs w:val="21"/>
          <w:lang w:val="es-ES_tradnl" w:eastAsia="es-ES_tradnl"/>
        </w:rPr>
        <w:t xml:space="preserve">indica que se debe “Preferir la propuesta presentada por el oferente que acredite la vinculación en </w:t>
      </w:r>
      <w:r w:rsidRPr="001E34E2">
        <w:rPr>
          <w:rFonts w:ascii="Arial" w:eastAsia="Calibri" w:hAnsi="Arial" w:cs="Arial"/>
          <w:b/>
          <w:bCs/>
          <w:sz w:val="21"/>
          <w:szCs w:val="21"/>
          <w:u w:val="single"/>
          <w:lang w:val="es-ES_tradnl" w:eastAsia="es-ES_tradnl"/>
        </w:rPr>
        <w:t>mayor proporción</w:t>
      </w:r>
      <w:r w:rsidRPr="001E34E2">
        <w:rPr>
          <w:rFonts w:ascii="Arial" w:eastAsia="Calibri" w:hAnsi="Arial" w:cs="Arial"/>
          <w:sz w:val="21"/>
          <w:szCs w:val="21"/>
          <w:lang w:val="es-ES_tradnl" w:eastAsia="es-ES_tradnl"/>
        </w:rPr>
        <w:t xml:space="preserve"> de personas mayores que no sean beneficiarios de la pensión de vejez, familiar o de sobrevivencia y que hayan cumplido el requisito de edad de pensión establecido en la Ley.”(Subrayado y negrilla propios), se desea conocer cuál fórmula o regla es aplicable para determinar de manera homogénea las proporciones indicadas en el desempate de proveedores.</w:t>
      </w:r>
    </w:p>
    <w:p w14:paraId="63D3BE78" w14:textId="77777777" w:rsidR="001E34E2" w:rsidRPr="001E34E2" w:rsidRDefault="001E34E2" w:rsidP="001E34E2">
      <w:pPr>
        <w:spacing w:after="0" w:line="240" w:lineRule="auto"/>
        <w:ind w:left="709" w:right="709"/>
        <w:jc w:val="both"/>
        <w:rPr>
          <w:rFonts w:ascii="Arial" w:eastAsia="Calibri" w:hAnsi="Arial" w:cs="Arial"/>
          <w:sz w:val="21"/>
          <w:szCs w:val="21"/>
          <w:lang w:val="es-ES_tradnl" w:eastAsia="es-ES_tradnl"/>
        </w:rPr>
      </w:pPr>
    </w:p>
    <w:p w14:paraId="02496269" w14:textId="5754EB7C" w:rsidR="001E34E2" w:rsidRPr="001E34E2" w:rsidRDefault="001E34E2" w:rsidP="001E34E2">
      <w:pPr>
        <w:spacing w:after="0" w:line="240" w:lineRule="auto"/>
        <w:ind w:left="709" w:right="709"/>
        <w:jc w:val="both"/>
        <w:rPr>
          <w:rFonts w:ascii="Arial" w:eastAsia="Calibri" w:hAnsi="Arial" w:cs="Arial"/>
          <w:sz w:val="21"/>
          <w:szCs w:val="21"/>
          <w:lang w:val="es-ES_tradnl" w:eastAsia="es-ES_tradnl"/>
        </w:rPr>
      </w:pPr>
      <w:r w:rsidRPr="001E34E2">
        <w:rPr>
          <w:rFonts w:ascii="Arial" w:eastAsia="Calibri" w:hAnsi="Arial" w:cs="Arial"/>
          <w:sz w:val="21"/>
          <w:szCs w:val="21"/>
          <w:lang w:val="es-ES_tradnl" w:eastAsia="es-ES_tradnl"/>
        </w:rPr>
        <w:t>Lo anterior, considerando que, a modo de ejemplo, en el caso que un proveedor</w:t>
      </w:r>
      <w:r w:rsidR="009A2641">
        <w:rPr>
          <w:rFonts w:ascii="Arial" w:eastAsia="Calibri" w:hAnsi="Arial" w:cs="Arial"/>
          <w:sz w:val="21"/>
          <w:szCs w:val="21"/>
          <w:lang w:val="es-ES_tradnl" w:eastAsia="es-ES_tradnl"/>
        </w:rPr>
        <w:t xml:space="preserve"> </w:t>
      </w:r>
      <w:r w:rsidRPr="001E34E2">
        <w:rPr>
          <w:rFonts w:ascii="Arial" w:eastAsia="Calibri" w:hAnsi="Arial" w:cs="Arial"/>
          <w:sz w:val="21"/>
          <w:szCs w:val="21"/>
          <w:lang w:val="es-ES_tradnl" w:eastAsia="es-ES_tradnl"/>
        </w:rPr>
        <w:t xml:space="preserve">contrate de manera directa a un único empleado tendría una proporción 1:1 es decir el 100% de sus empleados son discapacitados y tener por ejemplo 99 por outsourcing; mientras que otro que cuente con 100 empleados contratados de manera directa y </w:t>
      </w:r>
      <w:r w:rsidRPr="001E34E2">
        <w:rPr>
          <w:rFonts w:ascii="Arial" w:eastAsia="Calibri" w:hAnsi="Arial" w:cs="Arial"/>
          <w:sz w:val="21"/>
          <w:szCs w:val="21"/>
          <w:lang w:val="es-ES_tradnl" w:eastAsia="es-ES_tradnl"/>
        </w:rPr>
        <w:lastRenderedPageBreak/>
        <w:t>tenga una persona discapacitada la proporción sería 1:100 es decir el 1%. Se evidencia que en el caso hipotético planteado se estaría evaluando de manera injusta e inequitativa a quién tiene vinculados más empleados de manera directa y favoreciendo a quién tercerice y para efectos de obtener la mayor proporción contrate de manera directa a un único empleado.</w:t>
      </w:r>
    </w:p>
    <w:p w14:paraId="54510679" w14:textId="77777777" w:rsidR="001E34E2" w:rsidRPr="001E34E2" w:rsidRDefault="001E34E2" w:rsidP="001E34E2">
      <w:pPr>
        <w:spacing w:after="0" w:line="240" w:lineRule="auto"/>
        <w:ind w:left="709" w:right="709"/>
        <w:jc w:val="both"/>
        <w:rPr>
          <w:rFonts w:ascii="Arial" w:eastAsia="Calibri" w:hAnsi="Arial" w:cs="Arial"/>
          <w:sz w:val="21"/>
          <w:szCs w:val="21"/>
          <w:lang w:val="es-ES_tradnl" w:eastAsia="es-ES_tradnl"/>
        </w:rPr>
      </w:pPr>
    </w:p>
    <w:p w14:paraId="43722FDE" w14:textId="77777777" w:rsidR="001E34E2" w:rsidRPr="001E34E2" w:rsidRDefault="001E34E2" w:rsidP="001E34E2">
      <w:pPr>
        <w:spacing w:after="0" w:line="240" w:lineRule="auto"/>
        <w:ind w:left="709" w:right="709"/>
        <w:jc w:val="both"/>
        <w:rPr>
          <w:rFonts w:ascii="Arial" w:eastAsia="Calibri" w:hAnsi="Arial" w:cs="Arial"/>
          <w:sz w:val="21"/>
          <w:szCs w:val="21"/>
          <w:lang w:val="es-ES_tradnl" w:eastAsia="es-ES_tradnl"/>
        </w:rPr>
      </w:pPr>
      <w:r w:rsidRPr="001E34E2">
        <w:rPr>
          <w:rFonts w:ascii="Arial" w:eastAsia="Calibri" w:hAnsi="Arial" w:cs="Arial"/>
          <w:sz w:val="21"/>
          <w:szCs w:val="21"/>
          <w:lang w:val="es-ES_tradnl" w:eastAsia="es-ES_tradnl"/>
        </w:rPr>
        <w:t xml:space="preserve">2. Al momento de aplicar el criterio número 4 del Artículo 35 de la Ley 2069 de 2020 que indica que se debe “Preferir la propuesta presentada por el oferente que acredite la vinculación en </w:t>
      </w:r>
      <w:r w:rsidRPr="001E34E2">
        <w:rPr>
          <w:rFonts w:ascii="Arial" w:eastAsia="Calibri" w:hAnsi="Arial" w:cs="Arial"/>
          <w:b/>
          <w:bCs/>
          <w:sz w:val="21"/>
          <w:szCs w:val="21"/>
          <w:u w:val="single"/>
          <w:lang w:val="es-ES_tradnl" w:eastAsia="es-ES_tradnl"/>
        </w:rPr>
        <w:t>mayor proporción</w:t>
      </w:r>
      <w:r w:rsidRPr="001E34E2">
        <w:rPr>
          <w:rFonts w:ascii="Arial" w:eastAsia="Calibri" w:hAnsi="Arial" w:cs="Arial"/>
          <w:sz w:val="21"/>
          <w:szCs w:val="21"/>
          <w:lang w:val="es-ES_tradnl" w:eastAsia="es-ES_tradnl"/>
        </w:rPr>
        <w:t xml:space="preserve"> de personas mayores que no sean beneficiarios de la pensión de vejez, familiar o de sobrevivencia y que hayan cumplido el requisito de edad de pensión establecido en la Ley.” (Subrayado y negrilla propios)</w:t>
      </w:r>
    </w:p>
    <w:p w14:paraId="0EA33550" w14:textId="77777777" w:rsidR="001E34E2" w:rsidRPr="001E34E2" w:rsidRDefault="001E34E2" w:rsidP="001E34E2">
      <w:pPr>
        <w:spacing w:after="0" w:line="240" w:lineRule="auto"/>
        <w:ind w:left="709" w:right="709"/>
        <w:jc w:val="both"/>
        <w:rPr>
          <w:rFonts w:ascii="Arial" w:eastAsia="Calibri" w:hAnsi="Arial" w:cs="Arial"/>
          <w:sz w:val="21"/>
          <w:szCs w:val="21"/>
          <w:lang w:val="es-ES_tradnl" w:eastAsia="es-ES_tradnl"/>
        </w:rPr>
      </w:pPr>
    </w:p>
    <w:p w14:paraId="2640F37D" w14:textId="77777777" w:rsidR="001E34E2" w:rsidRPr="001E34E2" w:rsidRDefault="001E34E2" w:rsidP="001E34E2">
      <w:pPr>
        <w:spacing w:after="0" w:line="240" w:lineRule="auto"/>
        <w:ind w:left="709" w:right="709"/>
        <w:jc w:val="both"/>
        <w:rPr>
          <w:rFonts w:ascii="Arial" w:eastAsia="Calibri" w:hAnsi="Arial" w:cs="Arial"/>
          <w:sz w:val="21"/>
          <w:szCs w:val="21"/>
          <w:lang w:val="es-ES_tradnl" w:eastAsia="es-ES_tradnl"/>
        </w:rPr>
      </w:pPr>
      <w:r w:rsidRPr="001E34E2">
        <w:rPr>
          <w:rFonts w:ascii="Arial" w:eastAsia="Calibri" w:hAnsi="Arial" w:cs="Arial"/>
          <w:sz w:val="21"/>
          <w:szCs w:val="21"/>
          <w:lang w:val="es-ES_tradnl" w:eastAsia="es-ES_tradnl"/>
        </w:rPr>
        <w:t>¿Cuál es el método adecuado para calcular la proporción de vinculación de personal cuándo se están evaluando proponentes plurales ya sea Consorcios o Uniones Temporales?”</w:t>
      </w:r>
    </w:p>
    <w:p w14:paraId="24C9C972" w14:textId="77777777" w:rsidR="001E34E2" w:rsidRPr="001E34E2" w:rsidRDefault="001E34E2" w:rsidP="001E34E2">
      <w:pPr>
        <w:autoSpaceDE w:val="0"/>
        <w:autoSpaceDN w:val="0"/>
        <w:adjustRightInd w:val="0"/>
        <w:spacing w:after="0" w:line="240" w:lineRule="auto"/>
        <w:ind w:left="709" w:right="709"/>
        <w:jc w:val="both"/>
        <w:rPr>
          <w:rFonts w:ascii="Arial" w:eastAsia="Times New Roman" w:hAnsi="Arial" w:cs="Arial"/>
          <w:szCs w:val="24"/>
          <w:lang w:val="es-ES_tradnl" w:eastAsia="es-ES_tradnl"/>
        </w:rPr>
      </w:pPr>
    </w:p>
    <w:p w14:paraId="6C41D561" w14:textId="77777777" w:rsidR="001E34E2" w:rsidRPr="001E34E2" w:rsidRDefault="001E34E2" w:rsidP="004A1BA9">
      <w:pPr>
        <w:numPr>
          <w:ilvl w:val="0"/>
          <w:numId w:val="4"/>
        </w:numPr>
        <w:tabs>
          <w:tab w:val="left" w:pos="0"/>
          <w:tab w:val="left" w:pos="284"/>
        </w:tabs>
        <w:spacing w:after="0" w:line="240" w:lineRule="auto"/>
        <w:ind w:left="426" w:hanging="422"/>
        <w:contextualSpacing/>
        <w:jc w:val="both"/>
        <w:rPr>
          <w:rFonts w:ascii="Arial" w:eastAsia="Calibri" w:hAnsi="Arial" w:cs="Arial"/>
          <w:b/>
          <w:lang w:val="es-ES_tradnl"/>
        </w:rPr>
      </w:pPr>
      <w:r w:rsidRPr="001E34E2">
        <w:rPr>
          <w:rFonts w:ascii="Arial" w:eastAsia="Calibri" w:hAnsi="Arial" w:cs="Arial"/>
          <w:b/>
          <w:lang w:val="es-ES_tradnl"/>
        </w:rPr>
        <w:t>Consideraciones</w:t>
      </w:r>
    </w:p>
    <w:p w14:paraId="34A3E892" w14:textId="77777777" w:rsidR="001E34E2" w:rsidRPr="001E34E2" w:rsidRDefault="001E34E2" w:rsidP="004A1BA9">
      <w:pPr>
        <w:spacing w:after="0" w:line="240" w:lineRule="auto"/>
        <w:jc w:val="both"/>
        <w:rPr>
          <w:rFonts w:ascii="Arial" w:eastAsia="Calibri" w:hAnsi="Arial" w:cs="Arial"/>
          <w:lang w:val="es-ES_tradnl" w:eastAsia="es-ES_tradnl"/>
        </w:rPr>
      </w:pPr>
    </w:p>
    <w:p w14:paraId="09117513" w14:textId="1C706068" w:rsidR="001E34E2" w:rsidRPr="001E34E2" w:rsidRDefault="001E34E2" w:rsidP="004A1BA9">
      <w:pPr>
        <w:spacing w:after="120" w:line="276" w:lineRule="auto"/>
        <w:jc w:val="both"/>
        <w:rPr>
          <w:rFonts w:ascii="Arial" w:eastAsia="Times New Roman" w:hAnsi="Arial" w:cs="Arial"/>
          <w:szCs w:val="24"/>
          <w:lang w:val="es-ES_tradnl" w:eastAsia="es-ES_tradnl"/>
        </w:rPr>
      </w:pPr>
      <w:r w:rsidRPr="001E34E2">
        <w:rPr>
          <w:rFonts w:ascii="Arial" w:eastAsia="Calibri" w:hAnsi="Arial" w:cs="Arial"/>
          <w:color w:val="000000"/>
          <w:szCs w:val="24"/>
          <w:lang w:val="es-ES_tradnl" w:eastAsia="es-ES_tradnl"/>
        </w:rPr>
        <w:t xml:space="preserve">Como cuestión preliminar, </w:t>
      </w:r>
      <w:r w:rsidRPr="001E34E2">
        <w:rPr>
          <w:rFonts w:ascii="Arial" w:eastAsia="Times New Roman" w:hAnsi="Arial" w:cs="Arial"/>
          <w:bCs/>
          <w:szCs w:val="24"/>
          <w:lang w:val="es-ES_tradnl" w:eastAsia="es-ES_tradnl"/>
        </w:rPr>
        <w:t>es pertinente señalar que, en ejercicio de las competencias establecidas en los artículos 3</w:t>
      </w:r>
      <w:r w:rsidR="00424B47">
        <w:rPr>
          <w:rFonts w:ascii="Arial" w:eastAsia="Times New Roman" w:hAnsi="Arial" w:cs="Arial"/>
          <w:bCs/>
          <w:szCs w:val="24"/>
          <w:lang w:val="es-ES_tradnl" w:eastAsia="es-ES_tradnl"/>
        </w:rPr>
        <w:t xml:space="preserve">, numeral </w:t>
      </w:r>
      <w:r w:rsidRPr="001E34E2">
        <w:rPr>
          <w:rFonts w:ascii="Arial" w:eastAsia="Times New Roman" w:hAnsi="Arial" w:cs="Arial"/>
          <w:bCs/>
          <w:szCs w:val="24"/>
          <w:lang w:val="es-ES_tradnl" w:eastAsia="es-ES_tradnl"/>
        </w:rPr>
        <w:t>5</w:t>
      </w:r>
      <w:r w:rsidR="00424B47">
        <w:rPr>
          <w:rFonts w:ascii="Arial" w:eastAsia="Times New Roman" w:hAnsi="Arial" w:cs="Arial"/>
          <w:bCs/>
          <w:szCs w:val="24"/>
          <w:lang w:val="es-ES_tradnl" w:eastAsia="es-ES_tradnl"/>
        </w:rPr>
        <w:t>°</w:t>
      </w:r>
      <w:r w:rsidRPr="001E34E2">
        <w:rPr>
          <w:rFonts w:ascii="Arial" w:eastAsia="Times New Roman" w:hAnsi="Arial" w:cs="Arial"/>
          <w:bCs/>
          <w:szCs w:val="24"/>
          <w:lang w:val="es-ES_tradnl" w:eastAsia="es-ES_tradnl"/>
        </w:rPr>
        <w:t xml:space="preserve"> y 11</w:t>
      </w:r>
      <w:r w:rsidR="00424B47">
        <w:rPr>
          <w:rFonts w:ascii="Arial" w:eastAsia="Times New Roman" w:hAnsi="Arial" w:cs="Arial"/>
          <w:bCs/>
          <w:szCs w:val="24"/>
          <w:lang w:val="es-ES_tradnl" w:eastAsia="es-ES_tradnl"/>
        </w:rPr>
        <w:t xml:space="preserve">, numeral </w:t>
      </w:r>
      <w:r w:rsidRPr="001E34E2">
        <w:rPr>
          <w:rFonts w:ascii="Arial" w:eastAsia="Times New Roman" w:hAnsi="Arial" w:cs="Arial"/>
          <w:bCs/>
          <w:szCs w:val="24"/>
          <w:lang w:val="es-ES_tradnl" w:eastAsia="es-ES_tradnl"/>
        </w:rPr>
        <w:t>8</w:t>
      </w:r>
      <w:r w:rsidR="00424B47">
        <w:rPr>
          <w:rFonts w:ascii="Arial" w:eastAsia="Times New Roman" w:hAnsi="Arial" w:cs="Arial"/>
          <w:bCs/>
          <w:szCs w:val="24"/>
          <w:lang w:val="es-ES_tradnl" w:eastAsia="es-ES_tradnl"/>
        </w:rPr>
        <w:t>°</w:t>
      </w:r>
      <w:r w:rsidRPr="001E34E2">
        <w:rPr>
          <w:rFonts w:ascii="Arial" w:eastAsia="Times New Roman" w:hAnsi="Arial" w:cs="Arial"/>
          <w:bCs/>
          <w:szCs w:val="24"/>
          <w:lang w:val="es-ES_tradnl" w:eastAsia="es-ES_tradnl"/>
        </w:rPr>
        <w:t xml:space="preserve"> del Decreto </w:t>
      </w:r>
      <w:r w:rsidR="00424B47">
        <w:rPr>
          <w:rFonts w:ascii="Arial" w:eastAsia="Times New Roman" w:hAnsi="Arial" w:cs="Arial"/>
          <w:bCs/>
          <w:szCs w:val="24"/>
          <w:lang w:val="es-ES_tradnl" w:eastAsia="es-ES_tradnl"/>
        </w:rPr>
        <w:t>l</w:t>
      </w:r>
      <w:r w:rsidRPr="001E34E2">
        <w:rPr>
          <w:rFonts w:ascii="Arial" w:eastAsia="Times New Roman" w:hAnsi="Arial" w:cs="Arial"/>
          <w:bCs/>
          <w:szCs w:val="24"/>
          <w:lang w:val="es-ES_tradnl" w:eastAsia="es-ES_tradnl"/>
        </w:rPr>
        <w:t>ey 4170 de 2011, la Agencia Nacional de Contratación Pública – Colombia Compra Eficiente</w:t>
      </w:r>
      <w:r w:rsidR="00424B47">
        <w:rPr>
          <w:rFonts w:ascii="Arial" w:eastAsia="Times New Roman" w:hAnsi="Arial" w:cs="Arial"/>
          <w:bCs/>
          <w:szCs w:val="24"/>
          <w:lang w:val="es-ES_tradnl" w:eastAsia="es-ES_tradnl"/>
        </w:rPr>
        <w:t>–</w:t>
      </w:r>
      <w:r w:rsidRPr="001E34E2">
        <w:rPr>
          <w:rFonts w:ascii="Arial" w:eastAsia="Times New Roman" w:hAnsi="Arial" w:cs="Arial"/>
          <w:bCs/>
          <w:szCs w:val="24"/>
          <w:lang w:val="es-ES_tradnl" w:eastAsia="es-ES_tradnl"/>
        </w:rPr>
        <w:t xml:space="preserve"> resuelve las consultas sobre los asuntos de su competencia, esto es, sobre las temáticas de la contratación estatal y compras públicas relacionadas en los artículos citados.</w:t>
      </w:r>
      <w:r w:rsidR="00424B47">
        <w:rPr>
          <w:rFonts w:ascii="Arial" w:eastAsia="Times New Roman" w:hAnsi="Arial" w:cs="Arial"/>
          <w:bCs/>
          <w:szCs w:val="24"/>
          <w:lang w:val="es-ES_tradnl" w:eastAsia="es-ES_tradnl"/>
        </w:rPr>
        <w:t xml:space="preserve"> </w:t>
      </w:r>
      <w:bookmarkStart w:id="5" w:name="_Hlk61701014"/>
      <w:bookmarkStart w:id="6" w:name="_Hlk62136649"/>
      <w:r w:rsidRPr="001E34E2">
        <w:rPr>
          <w:rFonts w:ascii="Arial" w:eastAsia="Times New Roman" w:hAnsi="Arial" w:cs="Arial"/>
          <w:szCs w:val="24"/>
          <w:lang w:val="es-ES_tradnl" w:eastAsia="es-ES_tradnl"/>
        </w:rPr>
        <w:t xml:space="preserve">Es necesario tener en cuenta que </w:t>
      </w:r>
      <w:bookmarkStart w:id="7" w:name="_Hlk61026958"/>
      <w:r w:rsidRPr="001E34E2">
        <w:rPr>
          <w:rFonts w:ascii="Arial" w:eastAsia="Times New Roman" w:hAnsi="Arial" w:cs="Arial"/>
          <w:szCs w:val="24"/>
          <w:lang w:val="es-ES_tradnl"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1E34E2">
        <w:rPr>
          <w:rFonts w:ascii="Arial" w:eastAsia="Times New Roman" w:hAnsi="Arial" w:cs="Arial"/>
          <w:bCs/>
          <w:szCs w:val="24"/>
          <w:lang w:val="es-ES_tradnl" w:eastAsia="es-ES_tradnl"/>
        </w:rPr>
        <w:t xml:space="preserve"> de todos los partícipes de la contratación estatal.</w:t>
      </w:r>
    </w:p>
    <w:p w14:paraId="7DC51684" w14:textId="77777777" w:rsidR="001E34E2" w:rsidRPr="001E34E2" w:rsidRDefault="001E34E2" w:rsidP="001E34E2">
      <w:pPr>
        <w:spacing w:after="120" w:line="276" w:lineRule="auto"/>
        <w:ind w:firstLine="708"/>
        <w:jc w:val="both"/>
        <w:rPr>
          <w:rFonts w:ascii="Arial" w:eastAsia="Times New Roman" w:hAnsi="Arial" w:cs="Arial"/>
          <w:szCs w:val="24"/>
          <w:lang w:val="es-ES_tradnl" w:eastAsia="es-ES_tradnl"/>
        </w:rPr>
      </w:pPr>
      <w:r w:rsidRPr="001E34E2">
        <w:rPr>
          <w:rFonts w:ascii="Arial" w:eastAsia="Times New Roman" w:hAnsi="Arial" w:cs="Arial"/>
          <w:szCs w:val="24"/>
          <w:lang w:val="es-ES_tradnl"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E34E2">
        <w:rPr>
          <w:rFonts w:ascii="Arial" w:eastAsia="Times New Roman" w:hAnsi="Arial" w:cs="Arial"/>
          <w:szCs w:val="24"/>
          <w:vertAlign w:val="superscript"/>
          <w:lang w:val="es-ES_tradnl" w:eastAsia="es-ES_tradnl"/>
        </w:rPr>
        <w:footnoteReference w:id="2"/>
      </w:r>
      <w:r w:rsidRPr="001E34E2">
        <w:rPr>
          <w:rFonts w:ascii="Arial" w:eastAsia="Times New Roman" w:hAnsi="Arial" w:cs="Arial"/>
          <w:szCs w:val="24"/>
          <w:lang w:val="es-ES_tradnl"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7"/>
      <w:r w:rsidRPr="001E34E2">
        <w:rPr>
          <w:rFonts w:ascii="Arial" w:eastAsia="Times New Roman" w:hAnsi="Arial" w:cs="Arial"/>
          <w:szCs w:val="24"/>
          <w:lang w:val="es-ES_tradnl" w:eastAsia="es-ES_tradnl"/>
        </w:rPr>
        <w:t xml:space="preserve">. Por lo anterior, previo concepto de sus </w:t>
      </w:r>
      <w:r w:rsidRPr="001E34E2">
        <w:rPr>
          <w:rFonts w:ascii="Arial" w:eastAsia="Times New Roman" w:hAnsi="Arial" w:cs="Arial"/>
          <w:szCs w:val="24"/>
          <w:lang w:val="es-ES_tradnl" w:eastAsia="es-ES_tradnl"/>
        </w:rPr>
        <w:lastRenderedPageBreak/>
        <w:t xml:space="preserve">órganos asesores, la solución de este tipo de problemas corresponde a la entidad que adelanta el procedimiento de selección y, en caso de conflicto, a las autoridades judiciales, fiscales y disciplinarias. </w:t>
      </w:r>
      <w:bookmarkEnd w:id="5"/>
      <w:bookmarkEnd w:id="6"/>
    </w:p>
    <w:p w14:paraId="0CFDC423" w14:textId="77777777" w:rsidR="001E34E2" w:rsidRPr="001E34E2" w:rsidRDefault="001E34E2" w:rsidP="001E34E2">
      <w:pPr>
        <w:spacing w:after="120" w:line="276" w:lineRule="auto"/>
        <w:ind w:firstLine="708"/>
        <w:jc w:val="both"/>
        <w:rPr>
          <w:rFonts w:ascii="Arial" w:eastAsia="Calibri" w:hAnsi="Arial" w:cs="Arial"/>
          <w:lang w:val="es-ES_tradnl" w:eastAsia="es-ES_tradnl"/>
        </w:rPr>
      </w:pPr>
      <w:r w:rsidRPr="001E34E2">
        <w:rPr>
          <w:rFonts w:ascii="Arial" w:eastAsia="Calibri" w:hAnsi="Arial" w:cs="Arial"/>
          <w:lang w:val="es-ES_tradnl" w:eastAsia="es-ES_tradnl"/>
        </w:rPr>
        <w:t>Sin perjuicio de lo anterior, la Agencia –dentro de los límites de sus atribuciones, es decir, haciendo abstracción del caso particular expuesto en la petición–, resolverá la consulta conforme a las normas generales del sistema de compras públicas. Para estos efectos, se analizarán los siguientes temas: i) factores de desempate en la contratación estatal, ii) ámbito de aplicación, vigencia y reglamentación de la Ley 2069 de 2020 y iii) vinculación en mayor proporción de personas mayores no beneficiarias de la pensión de vejez, familiar o sobrevivencia como factor de desempate y su acreditación.</w:t>
      </w:r>
    </w:p>
    <w:p w14:paraId="7E5A21B1" w14:textId="77777777" w:rsidR="001E34E2" w:rsidRPr="001E34E2" w:rsidRDefault="001E34E2" w:rsidP="001E34E2">
      <w:pPr>
        <w:spacing w:after="0" w:line="276" w:lineRule="auto"/>
        <w:ind w:firstLine="709"/>
        <w:jc w:val="both"/>
        <w:rPr>
          <w:rFonts w:ascii="Arial" w:eastAsia="Calibri" w:hAnsi="Arial" w:cs="Arial"/>
          <w:lang w:val="es-ES_tradnl" w:eastAsia="es-ES_tradnl"/>
        </w:rPr>
      </w:pPr>
      <w:r w:rsidRPr="001E34E2">
        <w:rPr>
          <w:rFonts w:ascii="Arial" w:eastAsia="Calibri" w:hAnsi="Arial" w:cs="Arial"/>
          <w:lang w:val="es-ES_tradnl" w:eastAsia="es-ES_tradnl"/>
        </w:rPr>
        <w:t xml:space="preserve">La Agencia Nacional de Contratación Pública – Colombia Compra Eficiente se pronunció, en términos generales, sobre los factores de desempate en los procedimientos de contratación estatal, en los conceptos </w:t>
      </w:r>
      <w:r w:rsidRPr="001E34E2">
        <w:rPr>
          <w:rFonts w:ascii="Arial" w:eastAsia="Times New Roman" w:hAnsi="Arial" w:cs="Arial"/>
          <w:shd w:val="clear" w:color="auto" w:fill="FFFFFF"/>
          <w:lang w:eastAsia="es-ES_tradnl"/>
        </w:rPr>
        <w:t>C-285 del 4 de mayo de 2020, C-481 del 27 de julio de 2020, C-514 y C-535 del 26 de agosto de 2020 y C-556 del 31 de agosto 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 C-320 del 1 de julio de 2021, C-338 del 12 de julio de 2021, C-444 del 23 de julio de, 2021, C-437 del 24 de agosto de 2021,  C-518 del 20 de septiembre de 2021,   C-438 del 28 de septiembre de 2021, C-576 del 13 de octubre de 2021, C-582 del 14 de octubre de 2021, C-586 del 14 de octubre de 2021, C-617 del 6 diciembre de 2021,  C-584 del 13 de diciembre de 2021, C-689 del 5 de enero de 2022, C-741 del 1 de febrero de 2022 y C-750 del 4 de febrero de 2022, C-322 del 20 de mayo de 2022 y C-468 del 22 de julio de 2022</w:t>
      </w:r>
      <w:r w:rsidRPr="001E34E2">
        <w:rPr>
          <w:rFonts w:ascii="Arial" w:eastAsia="Times New Roman" w:hAnsi="Arial" w:cs="Arial"/>
          <w:shd w:val="clear" w:color="auto" w:fill="FFFFFF"/>
          <w:vertAlign w:val="superscript"/>
          <w:lang w:eastAsia="es-ES_tradnl"/>
        </w:rPr>
        <w:footnoteReference w:id="3"/>
      </w:r>
      <w:r w:rsidRPr="001E34E2">
        <w:rPr>
          <w:rFonts w:ascii="Arial" w:eastAsia="Times New Roman" w:hAnsi="Arial" w:cs="Arial"/>
          <w:shd w:val="clear" w:color="auto" w:fill="FFFFFF"/>
          <w:lang w:eastAsia="es-ES_tradnl"/>
        </w:rPr>
        <w:t>, entre otros</w:t>
      </w:r>
      <w:r w:rsidRPr="001E34E2">
        <w:rPr>
          <w:rFonts w:ascii="Arial" w:eastAsia="Calibri" w:hAnsi="Arial" w:cs="Arial"/>
          <w:lang w:val="es-ES_tradnl" w:eastAsia="es-ES_tradnl"/>
        </w:rPr>
        <w:t>. Algunas de las consideraciones de estos conceptos se reiteran a continuación y se complementan en lo pertinente.</w:t>
      </w:r>
    </w:p>
    <w:p w14:paraId="62CB7F3B" w14:textId="77777777" w:rsidR="001E34E2" w:rsidRPr="001E34E2" w:rsidRDefault="001E34E2" w:rsidP="001E34E2">
      <w:pPr>
        <w:spacing w:after="0" w:line="276" w:lineRule="auto"/>
        <w:jc w:val="both"/>
        <w:rPr>
          <w:rFonts w:ascii="Arial" w:eastAsia="Calibri" w:hAnsi="Arial" w:cs="Arial"/>
          <w:lang w:val="es-ES_tradnl" w:eastAsia="es-ES_tradnl"/>
        </w:rPr>
      </w:pPr>
    </w:p>
    <w:p w14:paraId="33DCE50F" w14:textId="77777777" w:rsidR="001E34E2" w:rsidRPr="001E34E2" w:rsidRDefault="001E34E2" w:rsidP="001E34E2">
      <w:pPr>
        <w:spacing w:after="0" w:line="276" w:lineRule="auto"/>
        <w:jc w:val="both"/>
        <w:rPr>
          <w:rFonts w:ascii="Arial" w:eastAsia="Calibri" w:hAnsi="Arial" w:cs="Arial"/>
          <w:b/>
          <w:bCs/>
          <w:lang w:val="es-ES_tradnl" w:eastAsia="es-ES_tradnl"/>
        </w:rPr>
      </w:pPr>
      <w:r w:rsidRPr="001E34E2">
        <w:rPr>
          <w:rFonts w:ascii="Arial" w:eastAsia="Calibri" w:hAnsi="Arial" w:cs="Arial"/>
          <w:b/>
          <w:bCs/>
          <w:lang w:val="es-ES_tradnl" w:eastAsia="es-ES_tradnl"/>
        </w:rPr>
        <w:t>2.1. Factores de desempate en la contratación estatal: concepto y características</w:t>
      </w:r>
    </w:p>
    <w:p w14:paraId="3C4C3622" w14:textId="77777777" w:rsidR="001E34E2" w:rsidRPr="001E34E2" w:rsidRDefault="001E34E2" w:rsidP="004A1BA9">
      <w:pPr>
        <w:spacing w:after="0" w:line="240" w:lineRule="auto"/>
        <w:jc w:val="both"/>
        <w:rPr>
          <w:rFonts w:ascii="Arial" w:eastAsia="Calibri" w:hAnsi="Arial" w:cs="Arial"/>
          <w:lang w:val="es-ES_tradnl" w:eastAsia="es-ES_tradnl"/>
        </w:rPr>
      </w:pPr>
    </w:p>
    <w:p w14:paraId="52C58D58" w14:textId="77777777" w:rsidR="001E34E2" w:rsidRPr="001E34E2" w:rsidRDefault="001E34E2" w:rsidP="001E34E2">
      <w:pPr>
        <w:spacing w:after="120" w:line="276" w:lineRule="auto"/>
        <w:jc w:val="both"/>
        <w:rPr>
          <w:rFonts w:ascii="Arial" w:eastAsia="Calibri" w:hAnsi="Arial" w:cs="Arial"/>
          <w:lang w:val="es-ES_tradnl" w:eastAsia="es-ES_tradnl"/>
        </w:rPr>
      </w:pPr>
      <w:r w:rsidRPr="001E34E2">
        <w:rPr>
          <w:rFonts w:ascii="Arial" w:eastAsia="Calibri" w:hAnsi="Arial" w:cs="Arial"/>
          <w:lang w:val="es-ES_tradnl" w:eastAsia="es-ES_tradnl"/>
        </w:rPr>
        <w:t xml:space="preserve">Dado que la selección objetiva es uno de los principios medulares de la contratación estatal, la escogencia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w:t>
      </w:r>
      <w:r w:rsidRPr="001E34E2">
        <w:rPr>
          <w:rFonts w:ascii="Arial" w:eastAsia="Calibri" w:hAnsi="Arial" w:cs="Arial"/>
          <w:lang w:val="es-ES_tradnl" w:eastAsia="es-ES_tradnl"/>
        </w:rPr>
        <w:lastRenderedPageBreak/>
        <w:t>afecto o de interés y, en general, cualquier clase de motivación subjetiva”. Además, la norma citada agrega que los factores de habilitación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7FCC3E62" w14:textId="77777777" w:rsidR="001E34E2" w:rsidRPr="001E34E2" w:rsidRDefault="001E34E2" w:rsidP="001E34E2">
      <w:pPr>
        <w:spacing w:after="120" w:line="276" w:lineRule="auto"/>
        <w:ind w:firstLine="709"/>
        <w:jc w:val="both"/>
        <w:rPr>
          <w:rFonts w:ascii="Arial" w:eastAsia="Calibri" w:hAnsi="Arial" w:cs="Arial"/>
          <w:lang w:val="es-ES_tradnl" w:eastAsia="es-ES_tradnl"/>
        </w:rPr>
      </w:pPr>
      <w:r w:rsidRPr="001E34E2">
        <w:rPr>
          <w:rFonts w:ascii="Arial" w:eastAsia="Calibri" w:hAnsi="Arial" w:cs="Arial"/>
          <w:lang w:val="es-ES_tradnl" w:eastAsia="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los mismos.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contractual. </w:t>
      </w:r>
    </w:p>
    <w:p w14:paraId="59823880" w14:textId="77777777" w:rsidR="001E34E2" w:rsidRPr="001E34E2" w:rsidRDefault="001E34E2" w:rsidP="001E34E2">
      <w:pPr>
        <w:spacing w:after="120" w:line="276" w:lineRule="auto"/>
        <w:ind w:firstLine="709"/>
        <w:jc w:val="both"/>
        <w:rPr>
          <w:rFonts w:ascii="Arial" w:eastAsia="Calibri" w:hAnsi="Arial" w:cs="Arial"/>
          <w:lang w:val="es-ES_tradnl" w:eastAsia="es-ES_tradnl"/>
        </w:rPr>
      </w:pPr>
      <w:bookmarkStart w:id="8" w:name="_Hlk81487365"/>
      <w:r w:rsidRPr="001E34E2">
        <w:rPr>
          <w:rFonts w:ascii="Arial" w:eastAsia="Calibri" w:hAnsi="Arial" w:cs="Arial"/>
          <w:lang w:val="es-ES_tradnl" w:eastAsia="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los que se encuentra el artículo 35 de la Ley 2069 de 2020. La jurisprudencia comparte la idea de que los criterios de desempate deben estar establecidos de antemano y constituyen un límite a la discrecionalidad administrativa en los procedimientos de selección</w:t>
      </w:r>
      <w:r w:rsidRPr="001E34E2">
        <w:rPr>
          <w:rFonts w:ascii="Arial" w:eastAsia="Calibri" w:hAnsi="Arial" w:cs="Arial"/>
          <w:vertAlign w:val="superscript"/>
          <w:lang w:val="es-ES_tradnl" w:eastAsia="es-ES_tradnl"/>
        </w:rPr>
        <w:footnoteReference w:id="4"/>
      </w:r>
      <w:r w:rsidRPr="001E34E2">
        <w:rPr>
          <w:rFonts w:ascii="Arial" w:eastAsia="Calibri" w:hAnsi="Arial" w:cs="Arial"/>
          <w:lang w:val="es-ES_tradnl" w:eastAsia="es-ES_tradnl"/>
        </w:rPr>
        <w:t xml:space="preserve">. </w:t>
      </w:r>
    </w:p>
    <w:p w14:paraId="6B65A58C" w14:textId="38AE3BE5" w:rsidR="001E34E2" w:rsidRPr="001E34E2" w:rsidRDefault="001E34E2" w:rsidP="004A1BA9">
      <w:pPr>
        <w:spacing w:after="120" w:line="276" w:lineRule="auto"/>
        <w:ind w:firstLine="709"/>
        <w:jc w:val="both"/>
        <w:rPr>
          <w:rFonts w:ascii="Arial" w:eastAsia="Times New Roman" w:hAnsi="Arial" w:cs="Arial"/>
          <w:lang w:val="es-ES" w:eastAsia="es-CO"/>
        </w:rPr>
      </w:pPr>
      <w:r w:rsidRPr="001E34E2">
        <w:rPr>
          <w:rFonts w:ascii="Arial" w:eastAsia="Calibri" w:hAnsi="Arial" w:cs="Arial"/>
          <w:lang w:val="es-ES_tradnl" w:eastAsia="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1E34E2">
        <w:rPr>
          <w:rFonts w:ascii="Arial" w:eastAsia="Calibri" w:hAnsi="Arial" w:cs="Arial"/>
          <w:vertAlign w:val="superscript"/>
          <w:lang w:val="es-ES_tradnl" w:eastAsia="es-ES_tradnl"/>
        </w:rPr>
        <w:footnoteReference w:id="5"/>
      </w:r>
      <w:r w:rsidRPr="001E34E2">
        <w:rPr>
          <w:rFonts w:ascii="Arial" w:eastAsia="Calibri" w:hAnsi="Arial" w:cs="Arial"/>
          <w:lang w:val="es-ES_tradnl" w:eastAsia="es-ES_tradnl"/>
        </w:rPr>
        <w:t xml:space="preserve">. </w:t>
      </w:r>
      <w:r w:rsidR="009A2641">
        <w:rPr>
          <w:rFonts w:ascii="Arial" w:eastAsia="Calibri" w:hAnsi="Arial" w:cs="Arial"/>
          <w:lang w:val="es-ES_tradnl" w:eastAsia="es-ES_tradnl"/>
        </w:rPr>
        <w:t xml:space="preserve"> </w:t>
      </w:r>
      <w:bookmarkEnd w:id="8"/>
      <w:r w:rsidRPr="001E34E2">
        <w:rPr>
          <w:rFonts w:ascii="Arial" w:eastAsia="Calibri" w:hAnsi="Arial" w:cs="Arial"/>
          <w:lang w:val="es-ES_tradnl" w:eastAsia="es-ES_tradnl"/>
        </w:rPr>
        <w:t>Ahora bien, en cumplimiento de los principios de reciprocidad y de </w:t>
      </w:r>
      <w:r w:rsidRPr="001E34E2">
        <w:rPr>
          <w:rFonts w:ascii="Arial" w:eastAsia="Calibri" w:hAnsi="Arial" w:cs="Arial"/>
          <w:i/>
          <w:iCs/>
          <w:lang w:val="es-ES_tradnl" w:eastAsia="es-ES_tradnl"/>
        </w:rPr>
        <w:t>pacta sunt servanda</w:t>
      </w:r>
      <w:r w:rsidRPr="001E34E2">
        <w:rPr>
          <w:rFonts w:ascii="Arial" w:eastAsia="Calibri" w:hAnsi="Arial" w:cs="Arial"/>
          <w:lang w:val="es-ES_tradnl" w:eastAsia="es-ES_tradnl"/>
        </w:rPr>
        <w:t>,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w:t>
      </w:r>
      <w:r w:rsidRPr="001E34E2">
        <w:rPr>
          <w:rFonts w:ascii="Arial" w:eastAsia="Times New Roman" w:hAnsi="Arial" w:cs="Arial"/>
          <w:lang w:val="es-ES" w:eastAsia="es-CO"/>
        </w:rPr>
        <w:t>”.</w:t>
      </w:r>
    </w:p>
    <w:p w14:paraId="358CE9F7" w14:textId="77777777" w:rsidR="001E34E2" w:rsidRDefault="001E34E2" w:rsidP="001E34E2">
      <w:pPr>
        <w:spacing w:after="0" w:line="276" w:lineRule="auto"/>
        <w:jc w:val="both"/>
        <w:rPr>
          <w:rFonts w:ascii="Arial" w:eastAsia="Calibri" w:hAnsi="Arial" w:cs="Arial"/>
          <w:lang w:val="es-ES_tradnl" w:eastAsia="es-ES_tradnl"/>
        </w:rPr>
      </w:pPr>
    </w:p>
    <w:p w14:paraId="5FC96F4A" w14:textId="77777777" w:rsidR="004F1BA6" w:rsidRPr="001E34E2" w:rsidRDefault="004F1BA6" w:rsidP="001E34E2">
      <w:pPr>
        <w:spacing w:after="0" w:line="276" w:lineRule="auto"/>
        <w:jc w:val="both"/>
        <w:rPr>
          <w:rFonts w:ascii="Arial" w:eastAsia="Calibri" w:hAnsi="Arial" w:cs="Arial"/>
          <w:lang w:val="es-ES_tradnl" w:eastAsia="es-ES_tradnl"/>
        </w:rPr>
      </w:pPr>
    </w:p>
    <w:p w14:paraId="79F8772D" w14:textId="77777777" w:rsidR="001E34E2" w:rsidRPr="001E34E2" w:rsidRDefault="001E34E2" w:rsidP="001E34E2">
      <w:pPr>
        <w:spacing w:after="0" w:line="276" w:lineRule="auto"/>
        <w:jc w:val="both"/>
        <w:rPr>
          <w:rFonts w:ascii="Arial" w:eastAsia="Calibri" w:hAnsi="Arial" w:cs="Arial"/>
          <w:b/>
          <w:bCs/>
          <w:lang w:val="es-ES_tradnl" w:eastAsia="es-ES_tradnl"/>
        </w:rPr>
      </w:pPr>
      <w:r w:rsidRPr="001E34E2">
        <w:rPr>
          <w:rFonts w:ascii="Arial" w:eastAsia="Calibri" w:hAnsi="Arial" w:cs="Arial"/>
          <w:b/>
          <w:bCs/>
          <w:lang w:val="es-ES_tradnl" w:eastAsia="es-ES_tradnl"/>
        </w:rPr>
        <w:t xml:space="preserve">2.2. Ámbito de aplicación, vigencia y reglamentación de la Ley 2069 de 2020 </w:t>
      </w:r>
    </w:p>
    <w:p w14:paraId="4C01005E" w14:textId="77777777" w:rsidR="001E34E2" w:rsidRPr="001E34E2" w:rsidRDefault="001E34E2" w:rsidP="001E34E2">
      <w:pPr>
        <w:spacing w:after="0" w:line="276" w:lineRule="auto"/>
        <w:jc w:val="both"/>
        <w:rPr>
          <w:rFonts w:ascii="Arial" w:eastAsia="Calibri" w:hAnsi="Arial" w:cs="Arial"/>
          <w:lang w:val="es-ES_tradnl" w:eastAsia="es-ES_tradnl"/>
        </w:rPr>
      </w:pPr>
    </w:p>
    <w:p w14:paraId="5D77FC46" w14:textId="77777777" w:rsidR="001E34E2" w:rsidRPr="001E34E2" w:rsidRDefault="001E34E2" w:rsidP="001E34E2">
      <w:pPr>
        <w:spacing w:after="120" w:line="276" w:lineRule="auto"/>
        <w:jc w:val="both"/>
        <w:rPr>
          <w:rFonts w:ascii="Arial" w:eastAsia="Calibri" w:hAnsi="Arial" w:cs="Arial"/>
          <w:lang w:val="es-ES_tradnl" w:eastAsia="es-ES_tradnl"/>
        </w:rPr>
      </w:pPr>
      <w:r w:rsidRPr="001E34E2">
        <w:rPr>
          <w:rFonts w:ascii="Arial" w:eastAsia="Calibri" w:hAnsi="Arial" w:cs="Arial"/>
          <w:lang w:val="es-ES_tradnl" w:eastAsia="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expidiera el decreto correspondiente que permitiera la cumplida ejecución de esta Ley, tal como aconteció con el Decreto 1860 de 2021, al cual se hará referencia más adelante.</w:t>
      </w:r>
    </w:p>
    <w:p w14:paraId="5F15F95F" w14:textId="77777777" w:rsidR="001E34E2" w:rsidRPr="001E34E2" w:rsidRDefault="001E34E2" w:rsidP="001E34E2">
      <w:pPr>
        <w:spacing w:after="120" w:line="276" w:lineRule="auto"/>
        <w:ind w:firstLine="709"/>
        <w:jc w:val="both"/>
        <w:rPr>
          <w:rFonts w:ascii="Arial" w:eastAsia="Calibri" w:hAnsi="Arial" w:cs="Arial"/>
          <w:lang w:val="es-ES_tradnl" w:eastAsia="es-ES_tradnl"/>
        </w:rPr>
      </w:pPr>
      <w:r w:rsidRPr="001E34E2">
        <w:rPr>
          <w:rFonts w:ascii="Arial" w:eastAsia="Calibri" w:hAnsi="Arial" w:cs="Arial"/>
          <w:lang w:val="es-ES_tradnl" w:eastAsia="es-ES_tradnl"/>
        </w:rPr>
        <w:t>En cuanto al contenido de la Ley 2069 de 2020,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1E34E2">
        <w:rPr>
          <w:rFonts w:ascii="Arial" w:eastAsia="Calibri" w:hAnsi="Arial" w:cs="Arial"/>
          <w:vertAlign w:val="superscript"/>
          <w:lang w:val="es-ES_tradnl" w:eastAsia="es-ES_tradnl"/>
        </w:rPr>
        <w:footnoteReference w:id="6"/>
      </w:r>
      <w:r w:rsidRPr="001E34E2">
        <w:rPr>
          <w:rFonts w:ascii="Arial" w:eastAsia="Calibri" w:hAnsi="Arial" w:cs="Arial"/>
          <w:lang w:val="es-ES_tradnl" w:eastAsia="es-ES_tradnl"/>
        </w:rPr>
        <w:t>, así como incentivos a favor de aquellas dentro del sistema de compras y contratación pública</w:t>
      </w:r>
      <w:r w:rsidRPr="001E34E2">
        <w:rPr>
          <w:rFonts w:ascii="Arial" w:eastAsia="Calibri" w:hAnsi="Arial" w:cs="Arial"/>
          <w:vertAlign w:val="superscript"/>
          <w:lang w:val="es-ES_tradnl" w:eastAsia="es-ES_tradnl"/>
        </w:rPr>
        <w:footnoteReference w:id="7"/>
      </w:r>
      <w:r w:rsidRPr="001E34E2">
        <w:rPr>
          <w:rFonts w:ascii="Arial" w:eastAsia="Calibri" w:hAnsi="Arial" w:cs="Arial"/>
          <w:lang w:val="es-ES_tradnl" w:eastAsia="es-ES_tradnl"/>
        </w:rPr>
        <w:t>. También se consagran mecanismos de acceso al financiamiento</w:t>
      </w:r>
      <w:r w:rsidRPr="001E34E2">
        <w:rPr>
          <w:rFonts w:ascii="Arial" w:eastAsia="Calibri" w:hAnsi="Arial" w:cs="Arial"/>
          <w:vertAlign w:val="superscript"/>
          <w:lang w:val="es-ES_tradnl" w:eastAsia="es-ES_tradnl"/>
        </w:rPr>
        <w:footnoteReference w:id="8"/>
      </w:r>
      <w:r w:rsidRPr="001E34E2">
        <w:rPr>
          <w:rFonts w:ascii="Arial" w:eastAsia="Calibri" w:hAnsi="Arial" w:cs="Arial"/>
          <w:lang w:val="es-ES_tradnl" w:eastAsia="es-ES_tradnl"/>
        </w:rPr>
        <w:t>, se unifican las fuentes de emprendimiento y de desarrollo empresarial, para fortalecer y promover los distintos sectores de la economía</w:t>
      </w:r>
      <w:r w:rsidRPr="001E34E2">
        <w:rPr>
          <w:rFonts w:ascii="Arial" w:eastAsia="Calibri" w:hAnsi="Arial" w:cs="Arial"/>
          <w:vertAlign w:val="superscript"/>
          <w:lang w:val="es-ES_tradnl" w:eastAsia="es-ES_tradnl"/>
        </w:rPr>
        <w:footnoteReference w:id="9"/>
      </w:r>
      <w:r w:rsidRPr="001E34E2">
        <w:rPr>
          <w:rFonts w:ascii="Arial" w:eastAsia="Calibri" w:hAnsi="Arial" w:cs="Arial"/>
          <w:lang w:val="es-ES_tradnl" w:eastAsia="es-ES_tradnl"/>
        </w:rPr>
        <w:t xml:space="preserve"> y se prevén medidas de educación para el emprendimiento y la innovación</w:t>
      </w:r>
      <w:r w:rsidRPr="001E34E2">
        <w:rPr>
          <w:rFonts w:ascii="Arial" w:eastAsia="Calibri" w:hAnsi="Arial" w:cs="Arial"/>
          <w:vertAlign w:val="superscript"/>
          <w:lang w:val="es-ES_tradnl" w:eastAsia="es-ES_tradnl"/>
        </w:rPr>
        <w:footnoteReference w:id="10"/>
      </w:r>
      <w:r w:rsidRPr="001E34E2">
        <w:rPr>
          <w:rFonts w:ascii="Arial" w:eastAsia="Calibri" w:hAnsi="Arial" w:cs="Arial"/>
          <w:lang w:val="es-ES_tradnl" w:eastAsia="es-ES_tradnl"/>
        </w:rPr>
        <w:t>.</w:t>
      </w:r>
    </w:p>
    <w:p w14:paraId="690C9996" w14:textId="77777777" w:rsidR="001E34E2" w:rsidRPr="001E34E2" w:rsidRDefault="001E34E2" w:rsidP="001E34E2">
      <w:pPr>
        <w:spacing w:after="120" w:line="276" w:lineRule="auto"/>
        <w:ind w:firstLine="709"/>
        <w:jc w:val="both"/>
        <w:rPr>
          <w:rFonts w:ascii="Arial" w:eastAsia="Calibri" w:hAnsi="Arial" w:cs="Arial"/>
          <w:lang w:val="es-ES_tradnl" w:eastAsia="es-ES_tradnl"/>
        </w:rPr>
      </w:pPr>
      <w:r w:rsidRPr="001E34E2">
        <w:rPr>
          <w:rFonts w:ascii="Arial" w:eastAsia="Calibri" w:hAnsi="Arial" w:cs="Arial"/>
          <w:lang w:val="es-ES_tradnl" w:eastAsia="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14:paraId="236CF4CC" w14:textId="77777777" w:rsidR="001E34E2" w:rsidRPr="001E34E2" w:rsidRDefault="001E34E2" w:rsidP="001E34E2">
      <w:pPr>
        <w:spacing w:after="120" w:line="276" w:lineRule="auto"/>
        <w:jc w:val="both"/>
        <w:rPr>
          <w:rFonts w:ascii="Arial" w:eastAsia="Calibri" w:hAnsi="Arial" w:cs="Arial"/>
          <w:lang w:val="es-ES_tradnl" w:eastAsia="es-ES_tradnl"/>
        </w:rPr>
      </w:pPr>
      <w:r w:rsidRPr="001E34E2">
        <w:rPr>
          <w:rFonts w:ascii="Arial" w:eastAsia="Calibri" w:hAnsi="Arial" w:cs="Arial"/>
          <w:lang w:val="es-ES_tradnl" w:eastAsia="es-ES_tradnl"/>
        </w:rPr>
        <w:lastRenderedPageBreak/>
        <w:tab/>
        <w:t xml:space="preserve">El artículo 35 de la Ley 2069 de 2020 modifica la regulación de los factores de desempate en la contratación estatal. 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requería de una reglamentación previa como presupuesto para su eficacia. Esta precisión reviste de importancia, porque algunos enunciados normativos de la ley bajo análisis establecen un mandato de reglamentación, dirigido al gobierno nacional, como condición para aplicar lo dispuesto en ella. </w:t>
      </w:r>
    </w:p>
    <w:p w14:paraId="25F7FFC4" w14:textId="0F3CA3B3" w:rsidR="001E34E2" w:rsidRPr="001E34E2" w:rsidRDefault="001E34E2" w:rsidP="001E34E2">
      <w:pPr>
        <w:spacing w:after="120" w:line="276" w:lineRule="auto"/>
        <w:ind w:firstLine="709"/>
        <w:jc w:val="both"/>
        <w:rPr>
          <w:rFonts w:ascii="Arial" w:eastAsia="Calibri" w:hAnsi="Arial" w:cs="Arial"/>
          <w:lang w:val="es-ES_tradnl" w:eastAsia="es-ES_tradnl"/>
        </w:rPr>
      </w:pPr>
      <w:r w:rsidRPr="001E34E2">
        <w:rPr>
          <w:rFonts w:ascii="Arial" w:eastAsia="Calibri" w:hAnsi="Arial" w:cs="Arial"/>
          <w:lang w:val="es-ES_tradnl" w:eastAsia="es-ES_tradnl"/>
        </w:rPr>
        <w:t xml:space="preserve">Por ejemplo, en lo que a las compras públicas se refiere, el parágrafo primero del artículo 30, que alude a la participación de mipymes en procedimientos de mínima cuantía, establece que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361BCAE2" w14:textId="77777777" w:rsidR="001E34E2" w:rsidRPr="001E34E2" w:rsidRDefault="001E34E2" w:rsidP="001E34E2">
      <w:pPr>
        <w:spacing w:after="120" w:line="276" w:lineRule="auto"/>
        <w:ind w:firstLine="709"/>
        <w:jc w:val="both"/>
        <w:rPr>
          <w:rFonts w:ascii="Arial" w:eastAsia="Calibri" w:hAnsi="Arial" w:cs="Arial"/>
          <w:lang w:val="es-ES_tradnl" w:eastAsia="es-ES_tradnl"/>
        </w:rPr>
      </w:pPr>
      <w:r w:rsidRPr="001E34E2">
        <w:rPr>
          <w:rFonts w:ascii="Arial" w:eastAsia="Calibri" w:hAnsi="Arial" w:cs="Arial"/>
          <w:lang w:val="es-ES_tradnl" w:eastAsia="es-ES_tradnl"/>
        </w:rPr>
        <w:t xml:space="preserve">Lo mismo no sucede con el artículo 35. En efecto, </w:t>
      </w:r>
      <w:r w:rsidRPr="001E34E2">
        <w:rPr>
          <w:rFonts w:ascii="Arial" w:eastAsia="Times New Roman" w:hAnsi="Arial" w:cs="Arial"/>
          <w:lang w:val="es-ES_tradnl" w:eastAsia="es-ES_tradnl"/>
        </w:rPr>
        <w:t>si bien los factores de desempate regulados en el artículo 35 deben aplicarse “</w:t>
      </w:r>
      <w:r w:rsidRPr="001E34E2">
        <w:rPr>
          <w:rFonts w:ascii="Arial" w:eastAsia="Times New Roman" w:hAnsi="Arial" w:cs="Arial"/>
          <w:sz w:val="24"/>
          <w:szCs w:val="24"/>
          <w:lang w:val="es-ES_tradnl" w:eastAsia="es-ES_tradnl"/>
        </w:rPr>
        <w:t xml:space="preserve">[…] </w:t>
      </w:r>
      <w:r w:rsidRPr="001E34E2">
        <w:rPr>
          <w:rFonts w:ascii="Arial" w:eastAsia="Times New Roman" w:hAnsi="Arial" w:cs="Arial"/>
          <w:lang w:val="es-ES_tradnl" w:eastAsia="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sin perjuicio de la competencia general prevista en el artículo 189.11 de Constitución Política de 1991, este parágrafo le asigna potestad reglamentaria al gobierno nacional para definir factores que permitan desempatar las ofertas en aquellos casos en que varios oferentes reúnan al tiempo dos o más de los factores previstos en el artículo 35. </w:t>
      </w:r>
      <w:r w:rsidRPr="001E34E2">
        <w:rPr>
          <w:rFonts w:ascii="Arial" w:eastAsia="Calibri" w:hAnsi="Arial" w:cs="Arial"/>
          <w:lang w:val="es-ES_tradnl" w:eastAsia="es-ES_tradnl"/>
        </w:rPr>
        <w:t xml:space="preserve">  </w:t>
      </w:r>
    </w:p>
    <w:p w14:paraId="63432148" w14:textId="77777777" w:rsidR="001E34E2" w:rsidRPr="001E34E2" w:rsidRDefault="001E34E2" w:rsidP="001E34E2">
      <w:pPr>
        <w:spacing w:after="120" w:line="276" w:lineRule="auto"/>
        <w:jc w:val="both"/>
        <w:rPr>
          <w:rFonts w:ascii="Arial" w:eastAsia="Calibri" w:hAnsi="Arial" w:cs="Arial"/>
          <w:lang w:val="es-ES_tradnl" w:eastAsia="es-ES_tradnl"/>
        </w:rPr>
      </w:pPr>
      <w:r w:rsidRPr="001E34E2">
        <w:rPr>
          <w:rFonts w:ascii="Arial" w:eastAsia="Calibri" w:hAnsi="Arial" w:cs="Arial"/>
          <w:b/>
          <w:bCs/>
          <w:lang w:val="es-ES_tradnl" w:eastAsia="es-ES_tradnl"/>
        </w:rPr>
        <w:tab/>
      </w:r>
      <w:r w:rsidRPr="001E34E2">
        <w:rPr>
          <w:rFonts w:ascii="Arial" w:eastAsia="Calibri" w:hAnsi="Arial" w:cs="Arial"/>
          <w:lang w:val="es-ES_tradnl" w:eastAsia="es-ES_tradnl"/>
        </w:rPr>
        <w:t>Lo explicado en los párrafos precedentes es importante, porque el pasado 24 de diciembre, el gobierno nacional expidió el Decreto 1860 de 2021,</w:t>
      </w:r>
      <w:r w:rsidRPr="001E34E2">
        <w:rPr>
          <w:rFonts w:ascii="Times New Roman" w:eastAsia="Times New Roman" w:hAnsi="Times New Roman" w:cs="Times New Roman"/>
          <w:sz w:val="24"/>
          <w:szCs w:val="24"/>
          <w:lang w:eastAsia="es-ES_tradnl"/>
        </w:rPr>
        <w:t xml:space="preserve"> </w:t>
      </w:r>
      <w:r w:rsidRPr="001E34E2">
        <w:rPr>
          <w:rFonts w:ascii="Arial" w:eastAsia="Calibri" w:hAnsi="Arial" w:cs="Arial"/>
          <w:lang w:val="es-ES_tradnl" w:eastAsia="es-ES_tradnl"/>
        </w:rPr>
        <w:t xml:space="preserve">“Por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w:t>
      </w:r>
      <w:r w:rsidRPr="001E34E2">
        <w:rPr>
          <w:rFonts w:ascii="Arial" w:eastAsia="Calibri" w:hAnsi="Arial" w:cs="Arial"/>
          <w:lang w:val="es-ES_tradnl" w:eastAsia="es-ES_tradnl"/>
        </w:rPr>
        <w:lastRenderedPageBreak/>
        <w:t>excepción de los artículos 33 y 36–, realizando las adecuaciones requeridas para aplicar estas disposiciones, tal como indica el artículo 1 del Decreto 1860 de 2021</w:t>
      </w:r>
      <w:r w:rsidRPr="001E34E2">
        <w:rPr>
          <w:rFonts w:ascii="Arial" w:eastAsia="Calibri" w:hAnsi="Arial" w:cs="Arial"/>
          <w:vertAlign w:val="superscript"/>
          <w:lang w:val="es-ES_tradnl" w:eastAsia="es-ES_tradnl"/>
        </w:rPr>
        <w:footnoteReference w:id="11"/>
      </w:r>
      <w:r w:rsidRPr="001E34E2">
        <w:rPr>
          <w:rFonts w:ascii="Arial" w:eastAsia="Calibri" w:hAnsi="Arial" w:cs="Arial"/>
          <w:lang w:val="es-ES_tradnl" w:eastAsia="es-ES_tradnl"/>
        </w:rPr>
        <w:t xml:space="preserve">.  </w:t>
      </w:r>
    </w:p>
    <w:p w14:paraId="2160B78D" w14:textId="77777777" w:rsidR="001E34E2" w:rsidRPr="001E34E2" w:rsidRDefault="001E34E2" w:rsidP="001E34E2">
      <w:pPr>
        <w:spacing w:after="120" w:line="276" w:lineRule="auto"/>
        <w:jc w:val="both"/>
        <w:rPr>
          <w:rFonts w:ascii="Arial" w:eastAsia="Times New Roman" w:hAnsi="Arial" w:cs="Arial"/>
          <w:lang w:eastAsia="es-CO"/>
        </w:rPr>
      </w:pPr>
      <w:r w:rsidRPr="001E34E2">
        <w:rPr>
          <w:rFonts w:ascii="Arial" w:eastAsia="Calibri" w:hAnsi="Arial" w:cs="Arial"/>
          <w:lang w:val="es-ES_tradnl" w:eastAsia="es-ES_tradnl"/>
        </w:rPr>
        <w:tab/>
        <w:t>En lo relativo al artículo 35 de la Ley 2069 de 2020, el artículo 3 del Decreto 1860 de 2021 adiciona el artículo 2.2.1.2.4.2.17. a la Subsección 2 de la Sección 4 del Capítulo 2 del Título 1 de la Parte 2 del Libro 2 del Decreto 1082 de 2015</w:t>
      </w:r>
      <w:r w:rsidRPr="001E34E2">
        <w:rPr>
          <w:rFonts w:ascii="Arial" w:eastAsia="Times New Roman" w:hAnsi="Arial" w:cs="Arial"/>
          <w:lang w:eastAsia="es-CO"/>
        </w:rPr>
        <w:t xml:space="preserve">, el cual reglamenta los factores de desempate del artículo 35 </w:t>
      </w:r>
      <w:r w:rsidRPr="001E34E2">
        <w:rPr>
          <w:rFonts w:ascii="Arial" w:eastAsia="Times New Roman" w:hAnsi="Arial" w:cs="Arial"/>
          <w:i/>
          <w:iCs/>
          <w:lang w:eastAsia="es-CO"/>
        </w:rPr>
        <w:t>ibídem</w:t>
      </w:r>
      <w:r w:rsidRPr="001E34E2">
        <w:rPr>
          <w:rFonts w:ascii="Arial" w:eastAsia="Times New Roman" w:hAnsi="Arial" w:cs="Arial"/>
          <w:lang w:eastAsia="es-CO"/>
        </w:rPr>
        <w:t>, estableciendo los medios de acreditación de cada uno de los supuestos de hecho en función de los cuales operan.</w:t>
      </w:r>
    </w:p>
    <w:p w14:paraId="166E6162" w14:textId="77777777" w:rsidR="001E34E2" w:rsidRPr="001E34E2" w:rsidRDefault="001E34E2" w:rsidP="001E34E2">
      <w:pPr>
        <w:shd w:val="clear" w:color="auto" w:fill="FFFFFF"/>
        <w:spacing w:after="120" w:line="276" w:lineRule="auto"/>
        <w:jc w:val="both"/>
        <w:rPr>
          <w:rFonts w:ascii="Arial" w:eastAsia="Times New Roman" w:hAnsi="Arial" w:cs="Arial"/>
          <w:lang w:eastAsia="es-CO"/>
        </w:rPr>
      </w:pPr>
      <w:r w:rsidRPr="001E34E2">
        <w:rPr>
          <w:rFonts w:ascii="Arial" w:eastAsia="Times New Roman" w:hAnsi="Arial" w:cs="Arial"/>
          <w:lang w:eastAsia="es-CO"/>
        </w:rPr>
        <w:tab/>
        <w:t xml:space="preserve">De otra parte, el artículo 7 del Decreto recientemente expedido modificó el contenido del artículo 2.2.1.2.4.2.8 </w:t>
      </w:r>
      <w:r w:rsidRPr="001E34E2">
        <w:rPr>
          <w:rFonts w:ascii="Arial" w:eastAsia="Times New Roman" w:hAnsi="Arial" w:cs="Arial"/>
          <w:shd w:val="clear" w:color="auto" w:fill="FFFFFF"/>
          <w:lang w:eastAsia="es-CO"/>
        </w:rPr>
        <w:t xml:space="preserve">de la Subsección 2 de la Sección 4 del Capítulo 2 del Título 1 de la Parte 2 del Libro 2 del Decreto 1082 de 2015, alusivo al sistema de preferencias en favor de las personas con discapacidad. </w:t>
      </w:r>
      <w:r w:rsidRPr="001E34E2">
        <w:rPr>
          <w:rFonts w:ascii="Arial" w:eastAsia="Times New Roman" w:hAnsi="Arial" w:cs="Arial"/>
          <w:lang w:eastAsia="es-CO"/>
        </w:rPr>
        <w:t>La modificación realizada reemplazó la referencia al artículo 2.2.1.1.2.2.9 del Decreto 1082 de 2015, que anteriormente reglamentaba los factores de desempate, por una remisión al artículo 35 de la Ley 2069 de 2020 y el artículo 2.2.1.2.4.2.17 del Decreto 1082 de 2015, disposiciones por las que ahora se rigen los criterios de desempate.</w:t>
      </w:r>
    </w:p>
    <w:p w14:paraId="239AB92E" w14:textId="77777777" w:rsidR="001E34E2" w:rsidRPr="001E34E2" w:rsidRDefault="001E34E2" w:rsidP="001E34E2">
      <w:pPr>
        <w:spacing w:after="120" w:line="276" w:lineRule="auto"/>
        <w:jc w:val="both"/>
        <w:rPr>
          <w:rFonts w:ascii="Arial" w:eastAsia="Times New Roman" w:hAnsi="Arial" w:cs="Arial"/>
          <w:lang w:eastAsia="es-CO"/>
        </w:rPr>
      </w:pPr>
      <w:r w:rsidRPr="001E34E2">
        <w:rPr>
          <w:rFonts w:ascii="Arial" w:eastAsia="Times New Roman" w:hAnsi="Arial" w:cs="Arial"/>
          <w:lang w:eastAsia="es-CO"/>
        </w:rPr>
        <w:tab/>
        <w:t>Por último, debe precisarse que la vigencia del Decreto 1860 de 2021 es regulada por su artículo 8, el cual establece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(3) meses contados a partir de entonces, en los procesos cuyos avisos de convocatorias, invitaciones o documentos equivalentes se publiquen con posterioridad a dicho término</w:t>
      </w:r>
      <w:r w:rsidRPr="001E34E2">
        <w:rPr>
          <w:rFonts w:ascii="Arial" w:eastAsia="Times New Roman" w:hAnsi="Arial" w:cs="Arial"/>
          <w:vertAlign w:val="superscript"/>
          <w:lang w:eastAsia="es-CO"/>
        </w:rPr>
        <w:footnoteReference w:id="12"/>
      </w:r>
      <w:r w:rsidRPr="001E34E2">
        <w:rPr>
          <w:rFonts w:ascii="Arial" w:eastAsia="Times New Roman" w:hAnsi="Arial" w:cs="Arial"/>
          <w:lang w:eastAsia="es-CO"/>
        </w:rPr>
        <w:t xml:space="preserve">. </w:t>
      </w:r>
    </w:p>
    <w:p w14:paraId="01BEE59E" w14:textId="77777777" w:rsidR="001E34E2" w:rsidRPr="001E34E2" w:rsidRDefault="001E34E2" w:rsidP="001E34E2">
      <w:pPr>
        <w:spacing w:after="0" w:line="276" w:lineRule="auto"/>
        <w:ind w:firstLine="709"/>
        <w:jc w:val="both"/>
        <w:rPr>
          <w:rFonts w:ascii="Arial" w:eastAsia="Arial" w:hAnsi="Arial" w:cs="Arial"/>
          <w:bCs/>
          <w:lang w:val="es-ES_tradnl" w:eastAsia="es-ES" w:bidi="es-ES"/>
        </w:rPr>
      </w:pPr>
      <w:r w:rsidRPr="001E34E2">
        <w:rPr>
          <w:rFonts w:ascii="Arial" w:eastAsia="Calibri" w:hAnsi="Arial" w:cs="Arial"/>
          <w:bCs/>
          <w:color w:val="000000"/>
          <w:szCs w:val="24"/>
          <w:lang w:val="es-ES_tradnl" w:eastAsia="es-ES_tradnl"/>
        </w:rPr>
        <w:lastRenderedPageBreak/>
        <w:t xml:space="preserve">En tal sentido, tratándose de la acreditación de los factores de desempate dichas modificaciones tienen efectos en los procesos </w:t>
      </w:r>
      <w:r w:rsidRPr="001E34E2">
        <w:rPr>
          <w:rFonts w:ascii="Arial" w:eastAsia="Arial" w:hAnsi="Arial" w:cs="Arial"/>
          <w:bCs/>
          <w:lang w:val="es-ES_tradnl" w:eastAsia="es-ES" w:bidi="es-ES"/>
        </w:rPr>
        <w:t xml:space="preserve">cuya invitación o aviso de convocatoria </w:t>
      </w:r>
      <w:r w:rsidRPr="001E34E2">
        <w:rPr>
          <w:rFonts w:ascii="Arial" w:eastAsia="Calibri" w:hAnsi="Arial" w:cs="Arial"/>
          <w:bCs/>
          <w:color w:val="000000"/>
          <w:szCs w:val="24"/>
          <w:lang w:val="es-ES_tradnl" w:eastAsia="es-ES_tradnl"/>
        </w:rPr>
        <w:t xml:space="preserve">se hubiese publicado a partir del 24 de marzo de 2022, </w:t>
      </w:r>
      <w:r w:rsidRPr="001E34E2">
        <w:rPr>
          <w:rFonts w:ascii="Arial" w:eastAsia="Times New Roman" w:hAnsi="Arial" w:cs="Arial"/>
          <w:color w:val="000000"/>
          <w:lang w:eastAsia="es-ES_tradnl"/>
        </w:rPr>
        <w:t xml:space="preserve">sin perjuicio de que la entidad lo aplique de forma potestativa, incluyendo dichos contenidos en el pliego de condiciones o documento equivalente, para </w:t>
      </w:r>
      <w:r w:rsidRPr="001E34E2">
        <w:rPr>
          <w:rFonts w:ascii="Arial" w:eastAsia="Arial" w:hAnsi="Arial" w:cs="Arial"/>
          <w:bCs/>
          <w:lang w:val="es-ES_tradnl" w:eastAsia="es-ES" w:bidi="es-ES"/>
        </w:rPr>
        <w:t>procesos publicados en una fecha anterior.</w:t>
      </w:r>
    </w:p>
    <w:p w14:paraId="137B91F4" w14:textId="77777777" w:rsidR="001E34E2" w:rsidRPr="001E34E2" w:rsidRDefault="001E34E2" w:rsidP="001E34E2">
      <w:pPr>
        <w:spacing w:after="0" w:line="276" w:lineRule="auto"/>
        <w:jc w:val="both"/>
        <w:rPr>
          <w:rFonts w:ascii="Arial" w:eastAsia="Calibri" w:hAnsi="Arial" w:cs="Arial"/>
          <w:b/>
          <w:bCs/>
          <w:lang w:val="es-ES_tradnl" w:eastAsia="es-ES_tradnl"/>
        </w:rPr>
      </w:pPr>
    </w:p>
    <w:p w14:paraId="069AEFEC" w14:textId="77777777" w:rsidR="001E34E2" w:rsidRPr="001E34E2" w:rsidRDefault="001E34E2" w:rsidP="001E34E2">
      <w:pPr>
        <w:spacing w:after="0" w:line="276" w:lineRule="auto"/>
        <w:jc w:val="both"/>
        <w:rPr>
          <w:rFonts w:ascii="Arial" w:eastAsia="Calibri" w:hAnsi="Arial" w:cs="Arial"/>
          <w:b/>
          <w:i/>
          <w:iCs/>
          <w:szCs w:val="24"/>
          <w:lang w:val="es-ES_tradnl" w:eastAsia="es-ES_tradnl"/>
        </w:rPr>
      </w:pPr>
      <w:r w:rsidRPr="001E34E2">
        <w:rPr>
          <w:rFonts w:ascii="Arial" w:eastAsia="Calibri" w:hAnsi="Arial" w:cs="Arial"/>
          <w:b/>
          <w:bCs/>
          <w:lang w:val="es-ES_tradnl" w:eastAsia="es-ES_tradnl"/>
        </w:rPr>
        <w:t xml:space="preserve">2.3. </w:t>
      </w:r>
      <w:bookmarkStart w:id="9" w:name="_Hlk102639925"/>
      <w:r w:rsidRPr="001E34E2">
        <w:rPr>
          <w:rFonts w:ascii="Arial" w:eastAsia="Calibri" w:hAnsi="Arial" w:cs="Arial"/>
          <w:b/>
          <w:bCs/>
          <w:i/>
          <w:iCs/>
          <w:lang w:val="es-ES_tradnl" w:eastAsia="es-ES_tradnl"/>
        </w:rPr>
        <w:t xml:space="preserve"> </w:t>
      </w:r>
      <w:bookmarkEnd w:id="9"/>
      <w:r w:rsidRPr="001E34E2">
        <w:rPr>
          <w:rFonts w:ascii="Arial" w:eastAsia="Calibri" w:hAnsi="Arial" w:cs="Arial"/>
          <w:b/>
          <w:iCs/>
          <w:szCs w:val="24"/>
          <w:lang w:val="es-ES_tradnl" w:eastAsia="es-ES_tradnl"/>
        </w:rPr>
        <w:t>La vinculación en mayor proporción de personas mayores no beneficiarias de la pensión de vejez, familiar o sobrevivencia como factor de desempate y su acreditación</w:t>
      </w:r>
    </w:p>
    <w:p w14:paraId="00F2F6A6" w14:textId="77777777" w:rsidR="001E34E2" w:rsidRPr="001E34E2" w:rsidRDefault="001E34E2" w:rsidP="001E34E2">
      <w:pPr>
        <w:tabs>
          <w:tab w:val="left" w:pos="0"/>
        </w:tabs>
        <w:spacing w:after="0" w:line="240" w:lineRule="auto"/>
        <w:jc w:val="both"/>
        <w:rPr>
          <w:rFonts w:ascii="Arial" w:eastAsia="Calibri" w:hAnsi="Arial" w:cs="Arial"/>
          <w:b/>
          <w:i/>
          <w:iCs/>
          <w:szCs w:val="24"/>
          <w:lang w:val="es-ES_tradnl" w:eastAsia="es-ES_tradnl"/>
        </w:rPr>
      </w:pPr>
    </w:p>
    <w:p w14:paraId="03ECDD7B" w14:textId="77777777" w:rsidR="001E34E2" w:rsidRPr="001E34E2" w:rsidRDefault="001E34E2" w:rsidP="001E34E2">
      <w:pPr>
        <w:tabs>
          <w:tab w:val="left" w:pos="6551"/>
        </w:tabs>
        <w:spacing w:after="120" w:line="276" w:lineRule="auto"/>
        <w:jc w:val="both"/>
        <w:rPr>
          <w:rFonts w:ascii="Arial" w:eastAsia="Calibri" w:hAnsi="Arial" w:cs="Arial"/>
          <w:color w:val="000000"/>
          <w:szCs w:val="24"/>
          <w:lang w:val="es-ES_tradnl" w:eastAsia="es-ES_tradnl"/>
        </w:rPr>
      </w:pPr>
      <w:r w:rsidRPr="001E34E2">
        <w:rPr>
          <w:rFonts w:ascii="Arial" w:eastAsia="Calibri" w:hAnsi="Arial" w:cs="Arial"/>
          <w:bCs/>
          <w:szCs w:val="24"/>
          <w:lang w:val="es-ES_tradnl" w:eastAsia="es-ES_tradnl"/>
        </w:rPr>
        <w:t xml:space="preserve">Con respecto al numeral 4 del artículo </w:t>
      </w:r>
      <w:r w:rsidRPr="001E34E2">
        <w:rPr>
          <w:rFonts w:ascii="Arial" w:eastAsia="Calibri" w:hAnsi="Arial" w:cs="Arial"/>
          <w:color w:val="000000"/>
          <w:lang w:val="es-ES_tradnl" w:eastAsia="es-ES_tradnl"/>
        </w:rPr>
        <w:t>2.2.1.2.4.2.17 del Decreto 1082 de 2015 adicionado por el</w:t>
      </w:r>
      <w:r w:rsidRPr="001E34E2">
        <w:rPr>
          <w:rFonts w:ascii="Arial" w:eastAsia="Calibri" w:hAnsi="Arial" w:cs="Arial"/>
          <w:bCs/>
          <w:color w:val="000000"/>
          <w:lang w:val="es-ES_tradnl" w:eastAsia="es-ES_tradnl"/>
        </w:rPr>
        <w:t xml:space="preserve"> artículo 3 del Decreto 1860 de 2021 </w:t>
      </w:r>
      <w:r w:rsidRPr="001E34E2">
        <w:rPr>
          <w:rFonts w:ascii="Arial" w:eastAsia="Calibri" w:hAnsi="Arial" w:cs="Arial"/>
          <w:color w:val="000000"/>
          <w:lang w:val="es-ES_tradnl" w:eastAsia="es-ES_tradnl"/>
        </w:rPr>
        <w:t xml:space="preserve">que reglamenta el numeral 4 </w:t>
      </w:r>
      <w:r w:rsidRPr="001E34E2">
        <w:rPr>
          <w:rFonts w:ascii="Arial" w:eastAsia="Calibri" w:hAnsi="Arial" w:cs="Arial"/>
          <w:bCs/>
          <w:szCs w:val="24"/>
          <w:lang w:val="es-ES_tradnl" w:eastAsia="es-ES_tradnl"/>
        </w:rPr>
        <w:t>del artículo 35 de la Ley 2069 de 2020, se</w:t>
      </w:r>
      <w:r w:rsidRPr="001E34E2">
        <w:rPr>
          <w:rFonts w:ascii="Arial" w:eastAsia="Calibri" w:hAnsi="Arial" w:cs="Arial"/>
          <w:bCs/>
          <w:color w:val="000000"/>
          <w:szCs w:val="24"/>
          <w:lang w:val="es-ES_tradnl" w:eastAsia="es-ES_tradnl"/>
        </w:rPr>
        <w:t xml:space="preserve"> señalarán las consideraciones que esta Agencia en su momento expresó, en relación con la acreditación de este factor de desempate, previo a la expedición del Decreto 1860 de 2021, para, posteriormente, indicar cuál es el alcance que la norma reglamentaria brinda al referido factor de desempate. </w:t>
      </w:r>
    </w:p>
    <w:p w14:paraId="30F95A61" w14:textId="2460C5E6" w:rsidR="001E34E2" w:rsidRPr="001E34E2" w:rsidRDefault="001E34E2" w:rsidP="001E34E2">
      <w:pPr>
        <w:tabs>
          <w:tab w:val="left" w:pos="6551"/>
        </w:tabs>
        <w:spacing w:after="120" w:line="276" w:lineRule="auto"/>
        <w:ind w:firstLine="709"/>
        <w:jc w:val="both"/>
        <w:rPr>
          <w:rFonts w:ascii="Arial" w:eastAsia="Calibri" w:hAnsi="Arial" w:cs="Arial"/>
          <w:color w:val="000000"/>
          <w:szCs w:val="24"/>
          <w:lang w:val="es-ES_tradnl" w:eastAsia="es-ES_tradnl"/>
        </w:rPr>
      </w:pPr>
      <w:bookmarkStart w:id="10" w:name="_Hlk93049677"/>
      <w:r w:rsidRPr="001E34E2">
        <w:rPr>
          <w:rFonts w:ascii="Arial" w:eastAsia="Calibri" w:hAnsi="Arial" w:cs="Arial"/>
          <w:color w:val="000000"/>
          <w:szCs w:val="24"/>
          <w:lang w:val="es-ES_tradnl" w:eastAsia="es-ES_tradnl"/>
        </w:rPr>
        <w:t xml:space="preserve">En relación con lo previsto en el numeral </w:t>
      </w:r>
      <w:r w:rsidRPr="001E34E2">
        <w:rPr>
          <w:rFonts w:ascii="Arial" w:eastAsia="Calibri" w:hAnsi="Arial" w:cs="Arial"/>
          <w:i/>
          <w:iCs/>
          <w:color w:val="000000"/>
          <w:szCs w:val="24"/>
          <w:lang w:val="es-ES_tradnl" w:eastAsia="es-ES_tradnl"/>
        </w:rPr>
        <w:t>ibidem</w:t>
      </w:r>
      <w:r w:rsidRPr="001E34E2">
        <w:rPr>
          <w:rFonts w:ascii="Arial" w:eastAsia="Calibri" w:hAnsi="Arial" w:cs="Arial"/>
          <w:color w:val="000000"/>
          <w:szCs w:val="24"/>
          <w:lang w:val="es-ES_tradnl" w:eastAsia="es-ES_tradnl"/>
        </w:rPr>
        <w:t>,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w:t>
      </w:r>
      <w:r w:rsidR="005B7A71">
        <w:rPr>
          <w:rFonts w:ascii="Arial" w:eastAsia="Calibri" w:hAnsi="Arial" w:cs="Arial"/>
          <w:color w:val="000000"/>
          <w:szCs w:val="24"/>
          <w:lang w:val="es-ES_tradnl" w:eastAsia="es-ES_tradnl"/>
        </w:rPr>
        <w:t>“</w:t>
      </w:r>
      <w:r w:rsidRPr="001E34E2">
        <w:rPr>
          <w:rFonts w:ascii="Arial" w:eastAsia="Calibri" w:hAnsi="Arial" w:cs="Arial"/>
          <w:color w:val="000000"/>
          <w:szCs w:val="24"/>
          <w:lang w:val="es-ES_tradnl" w:eastAsia="es-ES_tradnl"/>
        </w:rPr>
        <w:t>Por la cual se dictan normas tendientes a procurar la protección, promoción y defensa de los derechos de los adultos mayores”– como “[…] aquella persona que cuenta con sesenta (60) años de edad o más”, lo cual se puede acreditar con el documento de identidad correspondiente. En todo caso, también se señaló que existe la posibilidad de entender que esta causal aplica a todas las personas que –en el rango de edad correspondiente a cada género– no han alcanzado la pensión, interpretación que está más ajustada al principio de favorabilidad y que, como se expresará, se acogió en la reglamentación realizada por el Decreto 1860 de 2021.</w:t>
      </w:r>
    </w:p>
    <w:p w14:paraId="690CFE08" w14:textId="77777777" w:rsidR="001E34E2" w:rsidRPr="001E34E2" w:rsidRDefault="001E34E2" w:rsidP="001E34E2">
      <w:pPr>
        <w:tabs>
          <w:tab w:val="left" w:pos="6551"/>
        </w:tabs>
        <w:spacing w:after="120" w:line="276" w:lineRule="auto"/>
        <w:ind w:firstLine="709"/>
        <w:jc w:val="both"/>
        <w:rPr>
          <w:rFonts w:ascii="Arial" w:eastAsia="Times New Roman" w:hAnsi="Arial" w:cs="Arial"/>
          <w:color w:val="000000"/>
          <w:szCs w:val="24"/>
          <w:lang w:val="es-ES_tradnl" w:eastAsia="es-ES_tradnl"/>
        </w:rPr>
      </w:pPr>
      <w:r w:rsidRPr="001E34E2">
        <w:rPr>
          <w:rFonts w:ascii="Arial" w:eastAsia="Times New Roman" w:hAnsi="Arial" w:cs="Arial"/>
          <w:color w:val="000000"/>
          <w:szCs w:val="24"/>
          <w:lang w:val="es-ES_tradnl" w:eastAsia="es-ES_tradnl"/>
        </w:rPr>
        <w:t xml:space="preserve">El numeral dice que en dicho evento la regla de desempate se aplica a favor del “[…] oferente que acredite la vinculación en </w:t>
      </w:r>
      <w:r w:rsidRPr="001E34E2">
        <w:rPr>
          <w:rFonts w:ascii="Arial" w:eastAsia="Times New Roman" w:hAnsi="Arial" w:cs="Arial"/>
          <w:i/>
          <w:iCs/>
          <w:color w:val="000000"/>
          <w:szCs w:val="24"/>
          <w:lang w:val="es-ES_tradnl" w:eastAsia="es-ES_tradnl"/>
        </w:rPr>
        <w:t>mayor proporción</w:t>
      </w:r>
      <w:r w:rsidRPr="001E34E2">
        <w:rPr>
          <w:rFonts w:ascii="Arial" w:eastAsia="Times New Roman" w:hAnsi="Arial" w:cs="Arial"/>
          <w:color w:val="000000"/>
          <w:szCs w:val="24"/>
          <w:lang w:val="es-ES_tradnl" w:eastAsia="es-ES_tradnl"/>
        </w:rPr>
        <w:t xml:space="preserve"> de personas mayores que no sean beneficiarios de la pensión de vejez, familiar o de sobrevivencia y que hayan cumplido el requisito de edad de pensión establecido en la Ley” (Énfasis fuera de texto).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bookmarkEnd w:id="10"/>
      <w:r w:rsidRPr="001E34E2">
        <w:rPr>
          <w:rFonts w:ascii="Arial" w:eastAsia="Times New Roman" w:hAnsi="Arial" w:cs="Arial"/>
          <w:color w:val="000000"/>
          <w:szCs w:val="24"/>
          <w:lang w:val="es-ES_tradnl" w:eastAsia="es-ES_tradnl"/>
        </w:rPr>
        <w:t xml:space="preserve">”. </w:t>
      </w:r>
    </w:p>
    <w:p w14:paraId="327A5BB3" w14:textId="77777777" w:rsidR="001E34E2" w:rsidRPr="001E34E2" w:rsidRDefault="001E34E2" w:rsidP="001E34E2">
      <w:pPr>
        <w:tabs>
          <w:tab w:val="left" w:pos="6551"/>
        </w:tabs>
        <w:spacing w:after="120" w:line="276" w:lineRule="auto"/>
        <w:ind w:firstLine="709"/>
        <w:jc w:val="both"/>
        <w:rPr>
          <w:rFonts w:ascii="Arial" w:eastAsia="Times New Roman" w:hAnsi="Arial" w:cs="Arial"/>
          <w:color w:val="000000"/>
          <w:szCs w:val="24"/>
          <w:lang w:val="es-ES_tradnl" w:eastAsia="es-ES_tradnl"/>
        </w:rPr>
      </w:pPr>
      <w:r w:rsidRPr="001E34E2">
        <w:rPr>
          <w:rFonts w:ascii="Arial" w:eastAsia="Times New Roman" w:hAnsi="Arial" w:cs="Arial"/>
          <w:color w:val="000000"/>
          <w:szCs w:val="24"/>
          <w:lang w:val="es-ES_tradnl" w:eastAsia="es-ES_tradnl"/>
        </w:rPr>
        <w:t xml:space="preserve">Teniendo en cuenta que el numeral no distingue tipos de oferente, dicho criterio de desempate, a juicio de la Agencia, se debía aplicar también a proponentes plurales. En este caso el proponente plural debía acreditar la proporción de personas mayores vinculadas a aquel y que además “no sean beneficiarios de la pensión de vejez, familiar o de sobrevivencia y que hayan </w:t>
      </w:r>
      <w:r w:rsidRPr="001E34E2">
        <w:rPr>
          <w:rFonts w:ascii="Arial" w:eastAsia="Times New Roman" w:hAnsi="Arial" w:cs="Arial"/>
          <w:color w:val="000000"/>
          <w:szCs w:val="24"/>
          <w:lang w:val="es-ES_tradnl" w:eastAsia="es-ES_tradnl"/>
        </w:rPr>
        <w:lastRenderedPageBreak/>
        <w:t>cumplido el requisito de edad de pensión establecido en la Ley”, para beneficiarse del factor de desempate. La norma guarda silencio sobre la acreditación de la condición que da lugar al factor de desempate. Por tanto, esta Agencia consideraba que, mientras el Decreto 1860 de 2021 no entrara en vigencia, existía libertad probatoria sobre el tema. En consecuencia, la entidad contratante podía determinar en el pliego de condiciones o documento equivalente cuál sería el medio para evidenciar la vinculación de las personas mayores por parte del oferente.</w:t>
      </w:r>
    </w:p>
    <w:p w14:paraId="1B1CBBA5" w14:textId="77777777" w:rsidR="001E34E2" w:rsidRPr="001E34E2" w:rsidRDefault="001E34E2" w:rsidP="001E34E2">
      <w:pPr>
        <w:tabs>
          <w:tab w:val="left" w:pos="6551"/>
        </w:tabs>
        <w:spacing w:after="120" w:line="276" w:lineRule="auto"/>
        <w:ind w:firstLine="709"/>
        <w:jc w:val="both"/>
        <w:rPr>
          <w:rFonts w:ascii="Arial" w:eastAsia="Times New Roman" w:hAnsi="Arial" w:cs="Arial"/>
          <w:color w:val="000000"/>
          <w:szCs w:val="24"/>
          <w:lang w:val="es-ES_tradnl" w:eastAsia="es-ES_tradnl"/>
        </w:rPr>
      </w:pPr>
      <w:r w:rsidRPr="001E34E2">
        <w:rPr>
          <w:rFonts w:ascii="Arial" w:eastAsia="Times New Roman" w:hAnsi="Arial" w:cs="Arial"/>
          <w:color w:val="000000"/>
          <w:szCs w:val="24"/>
          <w:lang w:val="es-ES_tradnl" w:eastAsia="es-ES_tradnl"/>
        </w:rPr>
        <w:t xml:space="preserve">Paralelamente, como lo indicó la Agencia en los conceptos </w:t>
      </w:r>
      <w:r w:rsidRPr="001E34E2">
        <w:rPr>
          <w:rFonts w:ascii="Arial" w:eastAsia="Calibri" w:hAnsi="Arial" w:cs="Arial"/>
          <w:color w:val="000000"/>
          <w:szCs w:val="24"/>
          <w:lang w:val="es-ES_tradnl" w:eastAsia="es-ES_tradnl"/>
        </w:rPr>
        <w:t xml:space="preserve">C-206 del 3 de mayo de 2021 y C-487 del 3 de agosto de 2021, </w:t>
      </w:r>
      <w:r w:rsidRPr="001E34E2">
        <w:rPr>
          <w:rFonts w:ascii="Arial" w:eastAsia="Times New Roman" w:hAnsi="Arial" w:cs="Arial"/>
          <w:color w:val="000000"/>
          <w:szCs w:val="24"/>
          <w:lang w:val="es-ES_tradnl" w:eastAsia="es-ES_tradnl"/>
        </w:rPr>
        <w:t xml:space="preserve">el numeral 4 del artículo 35 de la Ley 2069 de 2020 exige que la vinculación de personas mayores sea de carácter laboral –es decir, a través de un contrato de trabajo–, por lo cual Colombia Compra Eficiente consideraba que no resultaría procedente, para efectos de acreditar el factor de desempate, la vinculación de dichas personas a través de otros tipos contractuales, como, por ejemplo, el contrato de prestación de servicios. Para estos efectos, la palabra “vinculación” debía entenderse en concordancia con el parágrafo 2 de la norma en comento, el cual dispone que “Para los criterios enunciados que involucren la </w:t>
      </w:r>
      <w:r w:rsidRPr="001E34E2">
        <w:rPr>
          <w:rFonts w:ascii="Arial" w:eastAsia="Times New Roman" w:hAnsi="Arial" w:cs="Arial"/>
          <w:i/>
          <w:iCs/>
          <w:color w:val="000000"/>
          <w:szCs w:val="24"/>
          <w:lang w:val="es-ES_tradnl" w:eastAsia="es-ES_tradnl"/>
        </w:rPr>
        <w:t>vinculación de capital humano</w:t>
      </w:r>
      <w:r w:rsidRPr="001E34E2">
        <w:rPr>
          <w:rFonts w:ascii="Arial" w:eastAsia="Times New Roman" w:hAnsi="Arial" w:cs="Arial"/>
          <w:color w:val="000000"/>
          <w:szCs w:val="24"/>
          <w:lang w:val="es-ES_tradnl" w:eastAsia="es-ES_tradnl"/>
        </w:rPr>
        <w:t xml:space="preserve">, el oferente deberá acreditar una antigüedad igual o mayor a un año. Para los casos de constitución inferior a un año </w:t>
      </w:r>
      <w:r w:rsidRPr="001E34E2">
        <w:rPr>
          <w:rFonts w:ascii="Arial" w:eastAsia="Times New Roman" w:hAnsi="Arial" w:cs="Arial"/>
          <w:i/>
          <w:iCs/>
          <w:color w:val="000000"/>
          <w:szCs w:val="24"/>
          <w:lang w:val="es-ES_tradnl" w:eastAsia="es-ES_tradnl"/>
        </w:rPr>
        <w:t>se tendrá en cuenta a aquellos trabajadores</w:t>
      </w:r>
      <w:r w:rsidRPr="001E34E2">
        <w:rPr>
          <w:rFonts w:ascii="Arial" w:eastAsia="Times New Roman" w:hAnsi="Arial" w:cs="Arial"/>
          <w:color w:val="000000"/>
          <w:szCs w:val="24"/>
          <w:lang w:val="es-ES_tradnl" w:eastAsia="es-ES_tradnl"/>
        </w:rPr>
        <w:t xml:space="preserve"> que hayan estado vinculados desde el momento de constitución de la misma” (Énfasis fuera de texto). Como se observa, la norma se refiere a la vinculación de trabajadores, lo cual excluye la posibilidad de acreditar el factor de desempate mediante contratistas de prestación de servicios.  </w:t>
      </w:r>
    </w:p>
    <w:p w14:paraId="385765B6" w14:textId="77777777" w:rsidR="001E34E2" w:rsidRPr="001E34E2" w:rsidRDefault="001E34E2" w:rsidP="001E34E2">
      <w:pPr>
        <w:tabs>
          <w:tab w:val="left" w:pos="6551"/>
        </w:tabs>
        <w:spacing w:after="120" w:line="276" w:lineRule="auto"/>
        <w:ind w:firstLine="709"/>
        <w:jc w:val="both"/>
        <w:rPr>
          <w:rFonts w:ascii="Arial" w:eastAsia="Times New Roman" w:hAnsi="Arial" w:cs="Arial"/>
          <w:color w:val="000000"/>
          <w:szCs w:val="24"/>
          <w:lang w:val="es-ES_tradnl" w:eastAsia="es-ES_tradnl"/>
        </w:rPr>
      </w:pPr>
      <w:r w:rsidRPr="001E34E2">
        <w:rPr>
          <w:rFonts w:ascii="Arial" w:eastAsia="Times New Roman" w:hAnsi="Arial" w:cs="Arial"/>
          <w:color w:val="000000"/>
          <w:szCs w:val="24"/>
          <w:lang w:val="es-ES_tradnl" w:eastAsia="es-ES_tradnl"/>
        </w:rPr>
        <w:t xml:space="preserve">Por otra parte, el parágrafo segundo del artículo 35 de la Ley 2069 de 2020 no efectúa distinción alguna acerca de la modalidad de vinculación laboral. Solo exige que el capital humano esté vinculado laboralmente al oferente con una antigüedad igual o mayor a un año, salvo que la constitución del oferente sea inferior a un año, pues en este caso los trabajadores deben estar vinculados desde dicha constitución. </w:t>
      </w:r>
    </w:p>
    <w:p w14:paraId="0BE5B683" w14:textId="77777777" w:rsidR="001E34E2" w:rsidRPr="001E34E2" w:rsidRDefault="001E34E2" w:rsidP="001E34E2">
      <w:pPr>
        <w:spacing w:after="120" w:line="276" w:lineRule="auto"/>
        <w:ind w:firstLine="709"/>
        <w:jc w:val="both"/>
        <w:rPr>
          <w:rFonts w:ascii="Arial" w:eastAsia="Times New Roman" w:hAnsi="Arial" w:cs="Arial"/>
          <w:lang w:val="es-ES_tradnl" w:eastAsia="es-ES_tradnl"/>
        </w:rPr>
      </w:pPr>
      <w:r w:rsidRPr="001E34E2">
        <w:rPr>
          <w:rFonts w:ascii="Arial" w:eastAsia="Times New Roman" w:hAnsi="Arial" w:cs="Arial"/>
          <w:color w:val="000000"/>
          <w:szCs w:val="24"/>
          <w:lang w:val="es-ES_tradnl" w:eastAsia="es-ES_tradnl"/>
        </w:rPr>
        <w:t xml:space="preserve">Además, como se señaló en el concepto C-390 de 2021, </w:t>
      </w:r>
      <w:r w:rsidRPr="001E34E2">
        <w:rPr>
          <w:rFonts w:ascii="Arial" w:eastAsia="Times New Roman" w:hAnsi="Arial" w:cs="Arial"/>
          <w:lang w:val="es-ES_tradnl" w:eastAsia="es-ES_tradnl"/>
        </w:rPr>
        <w:t>es necesario tener en cuenta que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en el artículo 29 ibidem, también prescribe que “Las palabras técnicas de toda ciencia o arte se tomarán en el sentido que les den los que profesan la misma ciencia o arte; a menos que aparezca claramente que se han formado en sentido diverso”.</w:t>
      </w:r>
    </w:p>
    <w:p w14:paraId="06976655" w14:textId="77777777" w:rsidR="001E34E2" w:rsidRPr="001E34E2" w:rsidRDefault="001E34E2" w:rsidP="001E34E2">
      <w:pPr>
        <w:spacing w:after="120" w:line="276" w:lineRule="auto"/>
        <w:ind w:firstLine="709"/>
        <w:jc w:val="both"/>
        <w:rPr>
          <w:rFonts w:ascii="Arial" w:eastAsia="Times New Roman" w:hAnsi="Arial" w:cs="Arial"/>
          <w:lang w:val="es-ES_tradnl" w:eastAsia="es-ES_tradnl"/>
        </w:rPr>
      </w:pPr>
      <w:r w:rsidRPr="001E34E2">
        <w:rPr>
          <w:rFonts w:ascii="Arial" w:eastAsia="Times New Roman" w:hAnsi="Arial" w:cs="Arial"/>
          <w:lang w:val="es-ES_tradnl" w:eastAsia="es-ES_tradnl"/>
        </w:rPr>
        <w:t>Conforme a la definición del Diccionario de la RAE, la palabra “proporción” es la “Igualdad de dos razones”. Esta expresión tiene una definición propia en el campo de las matemáticas, pues alude a una relación o razón constante entre diferentes magnitudes que se vayan a medir. Por esta razón, la “[…] mayor proporción de personas mayores que no sean beneficiarios de la pensión de vejez, familiar o de sobrevivencia y que hayan cumplido el requisito de edad de pensión establecido en la Ley” no corresponde a un valor absoluto, sino relativo.</w:t>
      </w:r>
    </w:p>
    <w:p w14:paraId="793D7AD4" w14:textId="77777777" w:rsidR="001E34E2" w:rsidRPr="001E34E2" w:rsidRDefault="001E34E2" w:rsidP="001E34E2">
      <w:pPr>
        <w:spacing w:after="120" w:line="276" w:lineRule="auto"/>
        <w:ind w:firstLine="709"/>
        <w:jc w:val="both"/>
        <w:rPr>
          <w:rFonts w:ascii="Arial" w:eastAsia="Times New Roman" w:hAnsi="Arial" w:cs="Arial"/>
          <w:lang w:val="es-ES_tradnl" w:eastAsia="es-ES_tradnl"/>
        </w:rPr>
      </w:pPr>
      <w:r w:rsidRPr="001E34E2">
        <w:rPr>
          <w:rFonts w:ascii="Arial" w:eastAsia="Times New Roman" w:hAnsi="Arial" w:cs="Arial"/>
          <w:lang w:val="es-ES_tradnl" w:eastAsia="es-ES_tradnl"/>
        </w:rPr>
        <w:lastRenderedPageBreak/>
        <w:t xml:space="preserve">El factor de desempate del artículo 35.4 de la Ley 2069 de 2020 </w:t>
      </w:r>
      <w:r w:rsidRPr="001E34E2">
        <w:rPr>
          <w:rFonts w:ascii="Arial" w:eastAsia="Times New Roman" w:hAnsi="Arial" w:cs="Arial"/>
          <w:i/>
          <w:iCs/>
          <w:lang w:val="es-ES_tradnl" w:eastAsia="es-ES_tradnl"/>
        </w:rPr>
        <w:t>no</w:t>
      </w:r>
      <w:r w:rsidRPr="001E34E2">
        <w:rPr>
          <w:rFonts w:ascii="Arial" w:eastAsia="Times New Roman" w:hAnsi="Arial" w:cs="Arial"/>
          <w:lang w:val="es-ES_tradnl" w:eastAsia="es-ES_tradnl"/>
        </w:rPr>
        <w:t xml:space="preserve"> se refiere a la vinculación en </w:t>
      </w:r>
      <w:r w:rsidRPr="001E34E2">
        <w:rPr>
          <w:rFonts w:ascii="Arial" w:eastAsia="Times New Roman" w:hAnsi="Arial" w:cs="Arial"/>
          <w:i/>
          <w:iCs/>
          <w:lang w:val="es-ES_tradnl" w:eastAsia="es-ES_tradnl"/>
        </w:rPr>
        <w:t>mayor cantidad</w:t>
      </w:r>
      <w:r w:rsidRPr="001E34E2">
        <w:rPr>
          <w:rFonts w:ascii="Arial" w:eastAsia="Times New Roman" w:hAnsi="Arial" w:cs="Arial"/>
          <w:lang w:val="es-ES_tradnl" w:eastAsia="es-ES_tradnl"/>
        </w:rPr>
        <w:t xml:space="preserve"> de personas mayores. En este caso, bastaría comparar el número de personas vinculadas entre cada uno de los proponentes empatados, adjudicando el contrato a aquel que más tenga. Sin embargo, esta interpretación no es posible en la medida que la norma se refiere a la </w:t>
      </w:r>
      <w:bookmarkStart w:id="11" w:name="_Hlk72758821"/>
      <w:r w:rsidRPr="001E34E2">
        <w:rPr>
          <w:rFonts w:ascii="Arial" w:eastAsia="Times New Roman" w:hAnsi="Arial" w:cs="Arial"/>
          <w:lang w:val="es-ES_tradnl" w:eastAsia="es-ES_tradnl"/>
        </w:rPr>
        <w:t>“vinculación en mayor proporción”</w:t>
      </w:r>
      <w:bookmarkEnd w:id="11"/>
      <w:r w:rsidRPr="001E34E2">
        <w:rPr>
          <w:rFonts w:ascii="Arial" w:eastAsia="Times New Roman" w:hAnsi="Arial" w:cs="Arial"/>
          <w:lang w:val="es-ES_tradnl" w:eastAsia="es-ES_tradnl"/>
        </w:rPr>
        <w:t>, es decir el número de personas vinculadas en relación con la planta de personal de los oferentes.</w:t>
      </w:r>
    </w:p>
    <w:p w14:paraId="469E20CF" w14:textId="77777777" w:rsidR="001E34E2" w:rsidRPr="001E34E2" w:rsidRDefault="001E34E2" w:rsidP="001E34E2">
      <w:pPr>
        <w:tabs>
          <w:tab w:val="left" w:pos="6551"/>
        </w:tabs>
        <w:spacing w:after="0" w:line="276" w:lineRule="auto"/>
        <w:ind w:firstLine="709"/>
        <w:jc w:val="both"/>
        <w:rPr>
          <w:rFonts w:ascii="Arial" w:eastAsia="Calibri" w:hAnsi="Arial" w:cs="Arial"/>
          <w:color w:val="000000"/>
          <w:lang w:val="es-ES_tradnl" w:eastAsia="es-ES_tradnl"/>
        </w:rPr>
      </w:pPr>
      <w:r w:rsidRPr="001E34E2">
        <w:rPr>
          <w:rFonts w:ascii="Arial" w:eastAsia="Calibri" w:hAnsi="Arial" w:cs="Arial"/>
          <w:bCs/>
          <w:color w:val="000000"/>
          <w:lang w:val="es-ES_tradnl" w:eastAsia="es-ES_tradnl"/>
        </w:rPr>
        <w:t xml:space="preserve">Lo expuesto se ratifica en el artículo 3 del Decreto reglamentario 1860 de 2021, que adicionó el artículo </w:t>
      </w:r>
      <w:r w:rsidRPr="001E34E2">
        <w:rPr>
          <w:rFonts w:ascii="Arial" w:eastAsia="Calibri" w:hAnsi="Arial" w:cs="Arial"/>
          <w:color w:val="000000"/>
          <w:lang w:val="es-ES_tradnl" w:eastAsia="es-ES_tradnl"/>
        </w:rPr>
        <w:t xml:space="preserve">2.2.1.2.4.2.17 al Decreto 1082 de 2015, cuyo numeral 4 desarrolla el factor de desempate que se está analizando: </w:t>
      </w:r>
    </w:p>
    <w:p w14:paraId="3B5D808A" w14:textId="77777777" w:rsidR="001E34E2" w:rsidRPr="001E34E2" w:rsidRDefault="001E34E2" w:rsidP="001E34E2">
      <w:pPr>
        <w:tabs>
          <w:tab w:val="left" w:pos="0"/>
        </w:tabs>
        <w:spacing w:after="0" w:line="276" w:lineRule="auto"/>
        <w:ind w:firstLine="709"/>
        <w:jc w:val="both"/>
        <w:rPr>
          <w:rFonts w:ascii="Arial" w:eastAsia="Calibri" w:hAnsi="Arial" w:cs="Arial"/>
          <w:bCs/>
          <w:szCs w:val="24"/>
          <w:lang w:val="es-ES_tradnl" w:eastAsia="es-ES_tradnl"/>
        </w:rPr>
      </w:pPr>
    </w:p>
    <w:p w14:paraId="0D18F1B9" w14:textId="07CF6F84" w:rsidR="001E34E2" w:rsidRPr="001E34E2" w:rsidRDefault="005B7A71" w:rsidP="001E34E2">
      <w:pPr>
        <w:shd w:val="clear" w:color="auto" w:fill="FFFFFF"/>
        <w:spacing w:after="0" w:line="240" w:lineRule="auto"/>
        <w:ind w:left="709" w:right="709"/>
        <w:jc w:val="both"/>
        <w:rPr>
          <w:rFonts w:ascii="Arial" w:eastAsia="Times New Roman" w:hAnsi="Arial" w:cs="Arial"/>
          <w:sz w:val="21"/>
          <w:szCs w:val="21"/>
          <w:lang w:eastAsia="es-CO"/>
        </w:rPr>
      </w:pPr>
      <w:r>
        <w:rPr>
          <w:rFonts w:ascii="Arial" w:eastAsia="Times New Roman" w:hAnsi="Arial" w:cs="Arial"/>
          <w:sz w:val="21"/>
          <w:szCs w:val="21"/>
          <w:lang w:eastAsia="es-CO"/>
        </w:rPr>
        <w:t>“</w:t>
      </w:r>
      <w:r w:rsidR="001E34E2" w:rsidRPr="001E34E2">
        <w:rPr>
          <w:rFonts w:ascii="Arial" w:eastAsia="Times New Roman" w:hAnsi="Arial" w:cs="Arial"/>
          <w:sz w:val="21"/>
          <w:szCs w:val="21"/>
          <w:lang w:eastAsia="es-CO"/>
        </w:rPr>
        <w:t>4. Preferir la propuesta presentada por el oferente que acredite la vinculación en mayor proporción de personas mayores que no sean beneficiarias de la pensión de vejez, familiar o de sobrevivencia y que hayan cumplido el requisito de edad de pensión establecido en la ley, para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w:t>
      </w:r>
    </w:p>
    <w:p w14:paraId="10FDF38B" w14:textId="77777777" w:rsidR="001E34E2" w:rsidRPr="001E34E2" w:rsidRDefault="001E34E2" w:rsidP="001E34E2">
      <w:pPr>
        <w:shd w:val="clear" w:color="auto" w:fill="FFFFFF"/>
        <w:spacing w:after="0" w:line="240" w:lineRule="auto"/>
        <w:ind w:left="709" w:right="709"/>
        <w:jc w:val="both"/>
        <w:rPr>
          <w:rFonts w:ascii="Arial" w:eastAsia="Times New Roman" w:hAnsi="Arial" w:cs="Arial"/>
          <w:sz w:val="21"/>
          <w:szCs w:val="21"/>
          <w:lang w:eastAsia="es-CO"/>
        </w:rPr>
      </w:pPr>
    </w:p>
    <w:p w14:paraId="7974CAD9" w14:textId="77777777" w:rsidR="001E34E2" w:rsidRPr="001E34E2" w:rsidRDefault="001E34E2" w:rsidP="001E34E2">
      <w:pPr>
        <w:shd w:val="clear" w:color="auto" w:fill="FFFFFF"/>
        <w:spacing w:after="0" w:line="240" w:lineRule="auto"/>
        <w:ind w:left="709" w:right="709"/>
        <w:jc w:val="both"/>
        <w:rPr>
          <w:rFonts w:ascii="Arial" w:eastAsia="Times New Roman" w:hAnsi="Arial" w:cs="Arial"/>
          <w:sz w:val="21"/>
          <w:szCs w:val="21"/>
          <w:lang w:eastAsia="es-CO"/>
        </w:rPr>
      </w:pPr>
      <w:r w:rsidRPr="001E34E2">
        <w:rPr>
          <w:rFonts w:ascii="Arial" w:eastAsia="Times New Roman" w:hAnsi="Arial" w:cs="Arial"/>
          <w:sz w:val="21"/>
          <w:szCs w:val="21"/>
          <w:lang w:eastAsia="es-CO"/>
        </w:rPr>
        <w:t>El tiempo de vinculación en la planta referida, de que trata el inciso anterior, se acreditará con el certificado de aportes a seguridad social del último año o del tiempo de constitución de la persona jurídica, cuando su conformación es inferior a un (1) año, en el que se demuestren los pagos realizados por el empleador.</w:t>
      </w:r>
    </w:p>
    <w:p w14:paraId="1096DF3F" w14:textId="77777777" w:rsidR="001E34E2" w:rsidRPr="001E34E2" w:rsidRDefault="001E34E2" w:rsidP="001E34E2">
      <w:pPr>
        <w:shd w:val="clear" w:color="auto" w:fill="FFFFFF"/>
        <w:spacing w:after="0" w:line="240" w:lineRule="auto"/>
        <w:ind w:left="709" w:right="709"/>
        <w:jc w:val="both"/>
        <w:rPr>
          <w:rFonts w:ascii="Arial" w:eastAsia="Times New Roman" w:hAnsi="Arial" w:cs="Arial"/>
          <w:sz w:val="21"/>
          <w:szCs w:val="21"/>
          <w:lang w:eastAsia="es-CO"/>
        </w:rPr>
      </w:pPr>
      <w:r w:rsidRPr="001E34E2">
        <w:rPr>
          <w:rFonts w:ascii="Arial" w:eastAsia="Times New Roman" w:hAnsi="Arial" w:cs="Arial"/>
          <w:sz w:val="21"/>
          <w:szCs w:val="21"/>
          <w:lang w:eastAsia="es-CO"/>
        </w:rPr>
        <w:t>En el caso de los proponentes plurales, su representante legal acreditará el número de trabajadores vinculados que son personas mayores no beneficiarias de la pensión de vejez, familiar o de sobrevivencia, y que cumplieron el requisito de edad de pensión establecido en la ley, de todos los integrantes del proponente. Las personas enunciadas anteriormente podrán estar vinculadas a cualquiera de sus integrantes.</w:t>
      </w:r>
    </w:p>
    <w:p w14:paraId="06FF2378" w14:textId="77777777" w:rsidR="001E34E2" w:rsidRPr="001E34E2" w:rsidRDefault="001E34E2" w:rsidP="001E34E2">
      <w:pPr>
        <w:shd w:val="clear" w:color="auto" w:fill="FFFFFF"/>
        <w:spacing w:after="0" w:line="240" w:lineRule="auto"/>
        <w:ind w:left="709" w:right="709"/>
        <w:jc w:val="both"/>
        <w:rPr>
          <w:rFonts w:ascii="Arial" w:eastAsia="Times New Roman" w:hAnsi="Arial" w:cs="Arial"/>
          <w:sz w:val="21"/>
          <w:szCs w:val="21"/>
          <w:lang w:eastAsia="es-CO"/>
        </w:rPr>
      </w:pPr>
      <w:r w:rsidRPr="001E34E2">
        <w:rPr>
          <w:rFonts w:ascii="Arial" w:eastAsia="Times New Roman" w:hAnsi="Arial" w:cs="Arial"/>
          <w:sz w:val="21"/>
          <w:szCs w:val="21"/>
          <w:lang w:eastAsia="es-CO"/>
        </w:rPr>
        <w:t>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además, se deberá allegar el documento de identificación del trabajador que lo firma.</w:t>
      </w:r>
    </w:p>
    <w:p w14:paraId="05007330" w14:textId="77777777" w:rsidR="001E34E2" w:rsidRPr="001E34E2" w:rsidRDefault="001E34E2" w:rsidP="001E34E2">
      <w:pPr>
        <w:shd w:val="clear" w:color="auto" w:fill="FFFFFF"/>
        <w:spacing w:after="0" w:line="240" w:lineRule="auto"/>
        <w:ind w:left="709" w:right="709"/>
        <w:jc w:val="both"/>
        <w:rPr>
          <w:rFonts w:ascii="Arial" w:eastAsia="Times New Roman" w:hAnsi="Arial" w:cs="Arial"/>
          <w:i/>
          <w:iCs/>
          <w:sz w:val="21"/>
          <w:szCs w:val="21"/>
          <w:lang w:eastAsia="es-ES_tradnl"/>
        </w:rPr>
      </w:pPr>
    </w:p>
    <w:p w14:paraId="7D4F9B93" w14:textId="10679109" w:rsidR="001E34E2" w:rsidRPr="001E34E2" w:rsidRDefault="001E34E2" w:rsidP="001E34E2">
      <w:pPr>
        <w:shd w:val="clear" w:color="auto" w:fill="FFFFFF"/>
        <w:spacing w:after="0" w:line="240" w:lineRule="auto"/>
        <w:ind w:left="709" w:right="709"/>
        <w:jc w:val="both"/>
        <w:rPr>
          <w:rFonts w:ascii="Arial" w:eastAsia="Calibri" w:hAnsi="Arial" w:cs="Arial"/>
          <w:lang w:val="es-ES_tradnl" w:eastAsia="es-ES_tradnl"/>
        </w:rPr>
      </w:pPr>
      <w:r w:rsidRPr="001E34E2">
        <w:rPr>
          <w:rFonts w:ascii="Arial" w:eastAsia="Times New Roman" w:hAnsi="Arial" w:cs="Arial"/>
          <w:i/>
          <w:iCs/>
          <w:sz w:val="21"/>
          <w:szCs w:val="21"/>
          <w:lang w:eastAsia="es-ES_tradnl"/>
        </w:rPr>
        <w:t xml:space="preserve">La mayor proporción </w:t>
      </w:r>
      <w:bookmarkStart w:id="12" w:name="_Hlk102656704"/>
      <w:r w:rsidRPr="001E34E2">
        <w:rPr>
          <w:rFonts w:ascii="Arial" w:eastAsia="Times New Roman" w:hAnsi="Arial" w:cs="Arial"/>
          <w:i/>
          <w:iCs/>
          <w:sz w:val="21"/>
          <w:szCs w:val="21"/>
          <w:lang w:eastAsia="es-ES_tradnl"/>
        </w:rPr>
        <w:t>se definirá en relación con el número total de trabajadores vinculados en la planta de personal, por lo que se preferirá al oferente que acredite un porcentaje mayor</w:t>
      </w:r>
      <w:bookmarkEnd w:id="12"/>
      <w:r w:rsidRPr="001E34E2">
        <w:rPr>
          <w:rFonts w:ascii="Arial" w:eastAsia="Times New Roman" w:hAnsi="Arial" w:cs="Arial"/>
          <w:i/>
          <w:iCs/>
          <w:sz w:val="21"/>
          <w:szCs w:val="21"/>
          <w:lang w:eastAsia="es-ES_tradnl"/>
        </w:rPr>
        <w:t>. En el caso de proponentes plurales, la mayor proporción se definirá con la sumatoria de trabajadores vinculados en la planta de personal de cada uno de sus integrantes</w:t>
      </w:r>
      <w:r w:rsidR="005B7A71">
        <w:rPr>
          <w:rFonts w:ascii="Arial" w:eastAsia="Times New Roman" w:hAnsi="Arial" w:cs="Arial"/>
          <w:i/>
          <w:iCs/>
          <w:sz w:val="21"/>
          <w:szCs w:val="21"/>
          <w:lang w:eastAsia="es-ES_tradnl"/>
        </w:rPr>
        <w:t>”</w:t>
      </w:r>
      <w:r w:rsidRPr="001E34E2">
        <w:rPr>
          <w:rFonts w:ascii="Arial" w:eastAsia="Times New Roman" w:hAnsi="Arial" w:cs="Arial"/>
          <w:sz w:val="21"/>
          <w:szCs w:val="21"/>
          <w:lang w:eastAsia="es-ES_tradnl"/>
        </w:rPr>
        <w:t>.</w:t>
      </w:r>
      <w:r w:rsidRPr="001E34E2">
        <w:rPr>
          <w:rFonts w:ascii="Arial" w:eastAsia="Calibri" w:hAnsi="Arial" w:cs="Arial"/>
          <w:lang w:val="es-ES_tradnl" w:eastAsia="es-ES_tradnl"/>
        </w:rPr>
        <w:t xml:space="preserve"> (Énfasis fuera de texto)</w:t>
      </w:r>
    </w:p>
    <w:p w14:paraId="72105DDF" w14:textId="77777777" w:rsidR="001E34E2" w:rsidRPr="001E34E2" w:rsidRDefault="001E34E2" w:rsidP="001E34E2">
      <w:pPr>
        <w:tabs>
          <w:tab w:val="left" w:pos="0"/>
        </w:tabs>
        <w:spacing w:after="0" w:line="276" w:lineRule="auto"/>
        <w:ind w:firstLine="709"/>
        <w:jc w:val="both"/>
        <w:rPr>
          <w:rFonts w:ascii="Arial" w:eastAsia="Calibri" w:hAnsi="Arial" w:cs="Arial"/>
          <w:bCs/>
          <w:szCs w:val="24"/>
          <w:lang w:val="es-ES_tradnl" w:eastAsia="es-ES_tradnl"/>
        </w:rPr>
      </w:pPr>
    </w:p>
    <w:p w14:paraId="78EE1D6F" w14:textId="77777777" w:rsidR="001E34E2" w:rsidRPr="001E34E2" w:rsidRDefault="001E34E2" w:rsidP="001E34E2">
      <w:pPr>
        <w:tabs>
          <w:tab w:val="left" w:pos="0"/>
        </w:tabs>
        <w:spacing w:after="120" w:line="276" w:lineRule="auto"/>
        <w:ind w:firstLine="709"/>
        <w:jc w:val="both"/>
        <w:rPr>
          <w:rFonts w:ascii="Arial" w:eastAsia="Calibri" w:hAnsi="Arial" w:cs="Arial"/>
          <w:bCs/>
          <w:szCs w:val="24"/>
          <w:lang w:val="es-ES_tradnl" w:eastAsia="es-ES_tradnl"/>
        </w:rPr>
      </w:pPr>
      <w:r w:rsidRPr="001E34E2">
        <w:rPr>
          <w:rFonts w:ascii="Arial" w:eastAsia="Calibri" w:hAnsi="Arial" w:cs="Arial"/>
          <w:bCs/>
          <w:szCs w:val="24"/>
          <w:lang w:val="es-ES_tradnl" w:eastAsia="es-ES_tradnl"/>
        </w:rPr>
        <w:t>De conformidad con lo anterior, la reglamentación actual, expresamente, señala que se preferirá la propuesta del oferente que acredite la vinculación en mayor proporción de personas mayores que no sean beneficiarias de la pensión de vejez, familiar o de sobrevivencia y que hayan cumplido el requisito de edad de pensión establecido en la ley, para lo cual deberán presentar los siguientes documentos: i) un certificado mediante el cual, el representante legal de la persona jurídica o el revisor fiscal, acredite bajo gravedad de juramento las personas vinculadas a la nómina y el número de trabajadores que no son beneficiarios de la pensión de vejez, familiar o de sobrevivencia, ii) un certificado mediante el cual, cada uno de los trabajadores sujetos a la condición prevista en el numeral, acredite bajo gravedad de juramento que no es beneficiario de pensión de vejez, familiar o sobrevivencia, y que cumple la edad de pensión; y iii) además, el documento de identificación del trabajador que lo firma.</w:t>
      </w:r>
    </w:p>
    <w:p w14:paraId="61EC1B0A" w14:textId="77777777" w:rsidR="001E34E2" w:rsidRPr="001E34E2" w:rsidRDefault="001E34E2" w:rsidP="001E34E2">
      <w:pPr>
        <w:tabs>
          <w:tab w:val="left" w:pos="0"/>
        </w:tabs>
        <w:spacing w:after="120" w:line="276" w:lineRule="auto"/>
        <w:ind w:firstLine="709"/>
        <w:jc w:val="both"/>
        <w:rPr>
          <w:rFonts w:ascii="Arial" w:eastAsia="Calibri" w:hAnsi="Arial" w:cs="Arial"/>
          <w:bCs/>
          <w:szCs w:val="24"/>
          <w:lang w:val="es-ES_tradnl" w:eastAsia="es-ES_tradnl"/>
        </w:rPr>
      </w:pPr>
      <w:r w:rsidRPr="001E34E2">
        <w:rPr>
          <w:rFonts w:ascii="Arial" w:eastAsia="Calibri" w:hAnsi="Arial" w:cs="Arial"/>
          <w:bCs/>
          <w:szCs w:val="24"/>
          <w:lang w:val="es-ES_tradnl" w:eastAsia="es-ES_tradnl"/>
        </w:rPr>
        <w:t xml:space="preserve">Según la norma citada, se estipula que para la vinculación de estas personas se tendrá en cuenta si han estado vinculadas con anterioridad a un año desde la fecha de cierre del proceso y que para el caso de las personas jurídicas nuevas o con constitución inferior a un año, se tendrá en cuenta que hayan estado vinculadas desde el momento de constitución de la persona jurídica. De otro lado, para el caso de los proponentes plurales, se establece que las personas referenciadas podrán estar vinculadas a cualquiera de los integrantes de la estructura plural. </w:t>
      </w:r>
    </w:p>
    <w:p w14:paraId="39D6483E" w14:textId="77777777" w:rsidR="001E34E2" w:rsidRPr="001E34E2" w:rsidRDefault="001E34E2" w:rsidP="001E34E2">
      <w:pPr>
        <w:tabs>
          <w:tab w:val="left" w:pos="0"/>
        </w:tabs>
        <w:spacing w:after="0" w:line="276" w:lineRule="auto"/>
        <w:ind w:firstLine="709"/>
        <w:jc w:val="both"/>
        <w:rPr>
          <w:rFonts w:ascii="Arial" w:eastAsia="Calibri" w:hAnsi="Arial" w:cs="Arial"/>
          <w:bCs/>
          <w:szCs w:val="24"/>
          <w:lang w:val="es-ES_tradnl" w:eastAsia="es-ES_tradnl"/>
        </w:rPr>
      </w:pPr>
      <w:r w:rsidRPr="001E34E2">
        <w:rPr>
          <w:rFonts w:ascii="Arial" w:eastAsia="Calibri" w:hAnsi="Arial" w:cs="Arial"/>
          <w:bCs/>
          <w:szCs w:val="24"/>
          <w:lang w:val="es-ES_tradnl" w:eastAsia="es-ES_tradnl"/>
        </w:rPr>
        <w:t xml:space="preserve">Finalmente, de acuerdo con la norma, la expresión “mayor proporción” alude al número de personas vinculadas por el oferente, la cual </w:t>
      </w:r>
      <w:r w:rsidRPr="001E34E2">
        <w:rPr>
          <w:rFonts w:ascii="Arial" w:eastAsia="Times New Roman" w:hAnsi="Arial" w:cs="Arial"/>
          <w:lang w:val="es-ES_tradnl" w:eastAsia="es-ES_tradnl"/>
        </w:rPr>
        <w:t>“</w:t>
      </w:r>
      <w:r w:rsidRPr="001E34E2">
        <w:rPr>
          <w:rFonts w:ascii="Arial" w:eastAsia="Calibri" w:hAnsi="Arial" w:cs="Arial"/>
          <w:bCs/>
          <w:szCs w:val="24"/>
          <w:lang w:val="es-ES_tradnl" w:eastAsia="es-ES_tradnl"/>
        </w:rPr>
        <w:t xml:space="preserve">se definirá en relación con el número total de trabajadores vinculados en la planta de personal, por lo que se preferirá al oferente que acredite un </w:t>
      </w:r>
      <w:r w:rsidRPr="001E34E2">
        <w:rPr>
          <w:rFonts w:ascii="Arial" w:eastAsia="Calibri" w:hAnsi="Arial" w:cs="Arial"/>
          <w:bCs/>
          <w:i/>
          <w:iCs/>
          <w:szCs w:val="24"/>
          <w:lang w:val="es-ES_tradnl" w:eastAsia="es-ES_tradnl"/>
        </w:rPr>
        <w:t>porcentaje mayor</w:t>
      </w:r>
      <w:r w:rsidRPr="001E34E2">
        <w:rPr>
          <w:rFonts w:ascii="Arial" w:eastAsia="Times New Roman" w:hAnsi="Arial" w:cs="Arial"/>
          <w:lang w:val="es-ES_tradnl" w:eastAsia="es-ES_tradnl"/>
        </w:rPr>
        <w:t>”</w:t>
      </w:r>
      <w:r w:rsidRPr="001E34E2">
        <w:rPr>
          <w:rFonts w:ascii="Arial" w:eastAsia="Calibri" w:hAnsi="Arial" w:cs="Arial"/>
          <w:bCs/>
          <w:szCs w:val="24"/>
          <w:lang w:val="es-ES_tradnl" w:eastAsia="es-ES_tradnl"/>
        </w:rPr>
        <w:t xml:space="preserve"> de vinculación laboral de personas que reúnan la condición de ser mayores y que “no sean beneficiarios de la pensión de vejez, familiar o de sobrevivencia y que hayan cumplido el requisito de edad de pensión establecido en la Ley”. Para el caso de los proponentes plurales, </w:t>
      </w:r>
      <w:r w:rsidRPr="001E34E2">
        <w:rPr>
          <w:rFonts w:ascii="Arial" w:eastAsia="Times New Roman" w:hAnsi="Arial" w:cs="Arial"/>
          <w:lang w:val="es-ES_tradnl" w:eastAsia="es-ES_tradnl"/>
        </w:rPr>
        <w:t xml:space="preserve">“la mayor proporción se definirá con la sumatoria de trabajadores vinculados en la planta de personal de cada uno de sus integrantes”.  </w:t>
      </w:r>
    </w:p>
    <w:p w14:paraId="6C9E44CB" w14:textId="77777777" w:rsidR="001E34E2" w:rsidRPr="001E34E2" w:rsidRDefault="001E34E2" w:rsidP="001E34E2">
      <w:pPr>
        <w:tabs>
          <w:tab w:val="left" w:pos="0"/>
        </w:tabs>
        <w:spacing w:after="0" w:line="240" w:lineRule="auto"/>
        <w:jc w:val="both"/>
        <w:rPr>
          <w:rFonts w:ascii="Arial" w:eastAsia="Calibri" w:hAnsi="Arial" w:cs="Arial"/>
          <w:b/>
          <w:szCs w:val="24"/>
          <w:lang w:val="es-ES_tradnl" w:eastAsia="es-ES_tradnl"/>
        </w:rPr>
      </w:pPr>
    </w:p>
    <w:p w14:paraId="0EC20A86" w14:textId="77777777" w:rsidR="001E34E2" w:rsidRPr="001E34E2" w:rsidRDefault="001E34E2" w:rsidP="001E34E2">
      <w:pPr>
        <w:tabs>
          <w:tab w:val="left" w:pos="0"/>
        </w:tabs>
        <w:spacing w:after="0" w:line="240" w:lineRule="auto"/>
        <w:jc w:val="both"/>
        <w:rPr>
          <w:rFonts w:ascii="Arial" w:eastAsia="Calibri" w:hAnsi="Arial" w:cs="Arial"/>
          <w:b/>
          <w:szCs w:val="24"/>
          <w:lang w:val="es-ES_tradnl" w:eastAsia="es-ES_tradnl"/>
        </w:rPr>
      </w:pPr>
      <w:r w:rsidRPr="001E34E2">
        <w:rPr>
          <w:rFonts w:ascii="Arial" w:eastAsia="Calibri" w:hAnsi="Arial" w:cs="Arial"/>
          <w:b/>
          <w:szCs w:val="24"/>
          <w:lang w:val="es-ES_tradnl" w:eastAsia="es-ES_tradnl"/>
        </w:rPr>
        <w:t>3. Respuestas</w:t>
      </w:r>
    </w:p>
    <w:p w14:paraId="451A6403" w14:textId="77777777" w:rsidR="001E34E2" w:rsidRPr="001E34E2" w:rsidRDefault="001E34E2" w:rsidP="001E34E2">
      <w:pPr>
        <w:tabs>
          <w:tab w:val="left" w:pos="0"/>
        </w:tabs>
        <w:spacing w:after="0" w:line="240" w:lineRule="auto"/>
        <w:jc w:val="both"/>
        <w:rPr>
          <w:rFonts w:ascii="Arial" w:eastAsia="Calibri" w:hAnsi="Arial" w:cs="Arial"/>
          <w:szCs w:val="24"/>
          <w:lang w:val="es-ES_tradnl" w:eastAsia="es-ES_tradnl"/>
        </w:rPr>
      </w:pPr>
    </w:p>
    <w:p w14:paraId="207B9CCF" w14:textId="77777777" w:rsidR="001E34E2" w:rsidRPr="001E34E2" w:rsidRDefault="001E34E2" w:rsidP="001E34E2">
      <w:pPr>
        <w:spacing w:after="0" w:line="240" w:lineRule="auto"/>
        <w:ind w:left="709" w:right="709"/>
        <w:jc w:val="both"/>
        <w:rPr>
          <w:rFonts w:ascii="Arial" w:eastAsia="Calibri" w:hAnsi="Arial" w:cs="Arial"/>
          <w:sz w:val="21"/>
          <w:szCs w:val="21"/>
          <w:lang w:val="es-ES_tradnl" w:eastAsia="es-ES_tradnl"/>
        </w:rPr>
      </w:pPr>
      <w:r w:rsidRPr="001E34E2">
        <w:rPr>
          <w:rFonts w:ascii="Arial" w:eastAsia="Calibri" w:hAnsi="Arial" w:cs="Arial"/>
          <w:sz w:val="21"/>
          <w:szCs w:val="21"/>
          <w:lang w:val="es-ES_tradnl" w:eastAsia="es-ES_tradnl"/>
        </w:rPr>
        <w:t>“En relación con el criterio número 4 del Artículo 35 de la Ley 2069 de 2020 que</w:t>
      </w:r>
    </w:p>
    <w:p w14:paraId="413B833F" w14:textId="77777777" w:rsidR="001E34E2" w:rsidRPr="001E34E2" w:rsidRDefault="001E34E2" w:rsidP="001E34E2">
      <w:pPr>
        <w:spacing w:after="0" w:line="240" w:lineRule="auto"/>
        <w:ind w:left="709" w:right="709"/>
        <w:jc w:val="both"/>
        <w:rPr>
          <w:rFonts w:ascii="Arial" w:eastAsia="Calibri" w:hAnsi="Arial" w:cs="Arial"/>
          <w:sz w:val="21"/>
          <w:szCs w:val="21"/>
          <w:lang w:val="es-ES_tradnl" w:eastAsia="es-ES_tradnl"/>
        </w:rPr>
      </w:pPr>
      <w:r w:rsidRPr="001E34E2">
        <w:rPr>
          <w:rFonts w:ascii="Arial" w:eastAsia="Calibri" w:hAnsi="Arial" w:cs="Arial"/>
          <w:sz w:val="21"/>
          <w:szCs w:val="21"/>
          <w:lang w:val="es-ES_tradnl" w:eastAsia="es-ES_tradnl"/>
        </w:rPr>
        <w:t xml:space="preserve">indica que se debe “Preferir la propuesta presentada por el oferente que acredite la vinculación en </w:t>
      </w:r>
      <w:r w:rsidRPr="001E34E2">
        <w:rPr>
          <w:rFonts w:ascii="Arial" w:eastAsia="Calibri" w:hAnsi="Arial" w:cs="Arial"/>
          <w:b/>
          <w:bCs/>
          <w:sz w:val="21"/>
          <w:szCs w:val="21"/>
          <w:u w:val="single"/>
          <w:lang w:val="es-ES_tradnl" w:eastAsia="es-ES_tradnl"/>
        </w:rPr>
        <w:t>mayor proporción</w:t>
      </w:r>
      <w:r w:rsidRPr="001E34E2">
        <w:rPr>
          <w:rFonts w:ascii="Arial" w:eastAsia="Calibri" w:hAnsi="Arial" w:cs="Arial"/>
          <w:sz w:val="21"/>
          <w:szCs w:val="21"/>
          <w:lang w:val="es-ES_tradnl" w:eastAsia="es-ES_tradnl"/>
        </w:rPr>
        <w:t xml:space="preserve"> de personas mayores que no sean beneficiarios de la pensión de vejez, familiar o de sobrevivencia y que hayan cumplido el requisito de edad de pensión establecido en la Ley.”(Subrayado y negrilla propios), se desea conocer cuál fórmula o regla es aplicable para determinar de manera homogénea las proporciones indicadas en el desempate de proveedores.</w:t>
      </w:r>
    </w:p>
    <w:p w14:paraId="2326DDC2" w14:textId="77777777" w:rsidR="001E34E2" w:rsidRPr="001E34E2" w:rsidRDefault="001E34E2" w:rsidP="001E34E2">
      <w:pPr>
        <w:spacing w:after="0" w:line="240" w:lineRule="auto"/>
        <w:ind w:left="709" w:right="709"/>
        <w:jc w:val="both"/>
        <w:rPr>
          <w:rFonts w:ascii="Arial" w:eastAsia="Calibri" w:hAnsi="Arial" w:cs="Arial"/>
          <w:sz w:val="21"/>
          <w:szCs w:val="21"/>
          <w:lang w:val="es-ES_tradnl" w:eastAsia="es-ES_tradnl"/>
        </w:rPr>
      </w:pPr>
    </w:p>
    <w:p w14:paraId="5B342DB5" w14:textId="4ED3CDD4" w:rsidR="001E34E2" w:rsidRPr="001E34E2" w:rsidRDefault="001E34E2" w:rsidP="001E34E2">
      <w:pPr>
        <w:spacing w:after="0" w:line="240" w:lineRule="auto"/>
        <w:ind w:left="709" w:right="709"/>
        <w:jc w:val="both"/>
        <w:rPr>
          <w:rFonts w:ascii="Arial" w:eastAsia="Calibri" w:hAnsi="Arial" w:cs="Arial"/>
          <w:sz w:val="21"/>
          <w:szCs w:val="21"/>
          <w:lang w:val="es-ES_tradnl" w:eastAsia="es-ES_tradnl"/>
        </w:rPr>
      </w:pPr>
      <w:r w:rsidRPr="001E34E2">
        <w:rPr>
          <w:rFonts w:ascii="Arial" w:eastAsia="Calibri" w:hAnsi="Arial" w:cs="Arial"/>
          <w:sz w:val="21"/>
          <w:szCs w:val="21"/>
          <w:lang w:val="es-ES_tradnl" w:eastAsia="es-ES_tradnl"/>
        </w:rPr>
        <w:t>Lo anterior, considerando que, a modo de ejemplo, en el caso que un proveedor</w:t>
      </w:r>
      <w:r w:rsidR="005B7A71">
        <w:rPr>
          <w:rFonts w:ascii="Arial" w:eastAsia="Calibri" w:hAnsi="Arial" w:cs="Arial"/>
          <w:sz w:val="21"/>
          <w:szCs w:val="21"/>
          <w:lang w:val="es-ES_tradnl" w:eastAsia="es-ES_tradnl"/>
        </w:rPr>
        <w:t xml:space="preserve"> </w:t>
      </w:r>
      <w:r w:rsidRPr="001E34E2">
        <w:rPr>
          <w:rFonts w:ascii="Arial" w:eastAsia="Calibri" w:hAnsi="Arial" w:cs="Arial"/>
          <w:sz w:val="21"/>
          <w:szCs w:val="21"/>
          <w:lang w:val="es-ES_tradnl" w:eastAsia="es-ES_tradnl"/>
        </w:rPr>
        <w:t xml:space="preserve">contrate de manera directa a un único empleado tendría una proporción 1:1 es decir el 100% de sus empleados son discapacitados y tener por ejemplo 99 por outsourcing; mientras que otro que cuente con 100 empleados contratados de manera directa y </w:t>
      </w:r>
      <w:r w:rsidRPr="001E34E2">
        <w:rPr>
          <w:rFonts w:ascii="Arial" w:eastAsia="Calibri" w:hAnsi="Arial" w:cs="Arial"/>
          <w:sz w:val="21"/>
          <w:szCs w:val="21"/>
          <w:lang w:val="es-ES_tradnl" w:eastAsia="es-ES_tradnl"/>
        </w:rPr>
        <w:lastRenderedPageBreak/>
        <w:t>tenga una persona discapacitada la proporción sería 1:100 es decir el 1%. Se evidencia que en el caso hipotético planteado se estaría evaluando de manera injusta e inequitativa a quién tiene vinculados más empleados de manera directa y favoreciendo a quién tercerice y para efectos de obtener la mayor proporción contrate de manera directa a un único empleado.</w:t>
      </w:r>
    </w:p>
    <w:p w14:paraId="7BCA597C" w14:textId="77777777" w:rsidR="001E34E2" w:rsidRPr="001E34E2" w:rsidRDefault="001E34E2" w:rsidP="001E34E2">
      <w:pPr>
        <w:spacing w:after="0" w:line="240" w:lineRule="auto"/>
        <w:ind w:left="709" w:right="709"/>
        <w:jc w:val="both"/>
        <w:rPr>
          <w:rFonts w:ascii="Arial" w:eastAsia="Calibri" w:hAnsi="Arial" w:cs="Arial"/>
          <w:sz w:val="21"/>
          <w:szCs w:val="21"/>
          <w:lang w:val="es-ES_tradnl" w:eastAsia="es-ES_tradnl"/>
        </w:rPr>
      </w:pPr>
    </w:p>
    <w:p w14:paraId="1CD7D6FF" w14:textId="77777777" w:rsidR="001E34E2" w:rsidRPr="001E34E2" w:rsidRDefault="001E34E2" w:rsidP="001E34E2">
      <w:pPr>
        <w:spacing w:after="0" w:line="240" w:lineRule="auto"/>
        <w:ind w:left="709" w:right="709"/>
        <w:jc w:val="both"/>
        <w:rPr>
          <w:rFonts w:ascii="Arial" w:eastAsia="Calibri" w:hAnsi="Arial" w:cs="Arial"/>
          <w:sz w:val="21"/>
          <w:szCs w:val="21"/>
          <w:lang w:val="es-ES_tradnl" w:eastAsia="es-ES_tradnl"/>
        </w:rPr>
      </w:pPr>
      <w:r w:rsidRPr="001E34E2">
        <w:rPr>
          <w:rFonts w:ascii="Arial" w:eastAsia="Calibri" w:hAnsi="Arial" w:cs="Arial"/>
          <w:sz w:val="21"/>
          <w:szCs w:val="21"/>
          <w:lang w:val="es-ES_tradnl" w:eastAsia="es-ES_tradnl"/>
        </w:rPr>
        <w:t xml:space="preserve">2. Al momento de aplicar el criterio número 4 del Artículo 35 de la Ley 2069 de 2020 que indica que se debe “Preferir la propuesta presentada por el oferente que acredite la vinculación en </w:t>
      </w:r>
      <w:r w:rsidRPr="001E34E2">
        <w:rPr>
          <w:rFonts w:ascii="Arial" w:eastAsia="Calibri" w:hAnsi="Arial" w:cs="Arial"/>
          <w:b/>
          <w:bCs/>
          <w:sz w:val="21"/>
          <w:szCs w:val="21"/>
          <w:u w:val="single"/>
          <w:lang w:val="es-ES_tradnl" w:eastAsia="es-ES_tradnl"/>
        </w:rPr>
        <w:t>mayor proporción</w:t>
      </w:r>
      <w:r w:rsidRPr="001E34E2">
        <w:rPr>
          <w:rFonts w:ascii="Arial" w:eastAsia="Calibri" w:hAnsi="Arial" w:cs="Arial"/>
          <w:sz w:val="21"/>
          <w:szCs w:val="21"/>
          <w:lang w:val="es-ES_tradnl" w:eastAsia="es-ES_tradnl"/>
        </w:rPr>
        <w:t xml:space="preserve"> de personas mayores que no sean beneficiarios de la pensión de vejez, familiar o de sobrevivencia y que hayan cumplido el requisito de edad de pensión establecido en la Ley.” (Subrayado y negrilla propios)</w:t>
      </w:r>
    </w:p>
    <w:p w14:paraId="1F5FAC50" w14:textId="77777777" w:rsidR="001E34E2" w:rsidRPr="001E34E2" w:rsidRDefault="001E34E2" w:rsidP="001E34E2">
      <w:pPr>
        <w:spacing w:after="0" w:line="240" w:lineRule="auto"/>
        <w:ind w:left="709" w:right="709"/>
        <w:jc w:val="both"/>
        <w:rPr>
          <w:rFonts w:ascii="Arial" w:eastAsia="Calibri" w:hAnsi="Arial" w:cs="Arial"/>
          <w:sz w:val="21"/>
          <w:szCs w:val="21"/>
          <w:lang w:val="es-ES_tradnl" w:eastAsia="es-ES_tradnl"/>
        </w:rPr>
      </w:pPr>
    </w:p>
    <w:p w14:paraId="34622AF7" w14:textId="77777777" w:rsidR="001E34E2" w:rsidRPr="001E34E2" w:rsidRDefault="001E34E2" w:rsidP="001E34E2">
      <w:pPr>
        <w:spacing w:after="0" w:line="240" w:lineRule="auto"/>
        <w:ind w:left="709" w:right="709"/>
        <w:jc w:val="both"/>
        <w:rPr>
          <w:rFonts w:ascii="Arial" w:eastAsia="Calibri" w:hAnsi="Arial" w:cs="Arial"/>
          <w:sz w:val="21"/>
          <w:szCs w:val="21"/>
          <w:lang w:val="es-ES_tradnl" w:eastAsia="es-ES_tradnl"/>
        </w:rPr>
      </w:pPr>
      <w:r w:rsidRPr="001E34E2">
        <w:rPr>
          <w:rFonts w:ascii="Arial" w:eastAsia="Calibri" w:hAnsi="Arial" w:cs="Arial"/>
          <w:sz w:val="21"/>
          <w:szCs w:val="21"/>
          <w:lang w:val="es-ES_tradnl" w:eastAsia="es-ES_tradnl"/>
        </w:rPr>
        <w:t>¿Cuál es el método adecuado para calcular la proporción de vinculación de personal cuándo se están evaluando proponentes plurales ya sea Consorcios o Uniones Temporales?”</w:t>
      </w:r>
    </w:p>
    <w:p w14:paraId="35171E86" w14:textId="77777777" w:rsidR="001E34E2" w:rsidRPr="001E34E2" w:rsidRDefault="001E34E2" w:rsidP="001E34E2">
      <w:pPr>
        <w:spacing w:after="0" w:line="276" w:lineRule="auto"/>
        <w:jc w:val="both"/>
        <w:rPr>
          <w:rFonts w:ascii="Arial" w:eastAsia="Times New Roman" w:hAnsi="Arial" w:cs="Arial"/>
          <w:lang w:val="es-ES_tradnl" w:eastAsia="es-ES_tradnl"/>
        </w:rPr>
      </w:pPr>
    </w:p>
    <w:p w14:paraId="52FAB785" w14:textId="77777777" w:rsidR="001E34E2" w:rsidRPr="001E34E2" w:rsidRDefault="001E34E2" w:rsidP="001E34E2">
      <w:pPr>
        <w:spacing w:after="120" w:line="276" w:lineRule="auto"/>
        <w:jc w:val="both"/>
        <w:rPr>
          <w:rFonts w:ascii="Arial" w:eastAsia="Times New Roman" w:hAnsi="Arial" w:cs="Arial"/>
          <w:lang w:eastAsia="es-MX"/>
        </w:rPr>
      </w:pPr>
      <w:r w:rsidRPr="001E34E2">
        <w:rPr>
          <w:rFonts w:ascii="Arial" w:eastAsia="Times New Roman" w:hAnsi="Arial" w:cs="Arial"/>
          <w:lang w:eastAsia="es-MX"/>
        </w:rPr>
        <w:t xml:space="preserve">De conformidad con las consideraciones expuestas, es necesario reiterar que esta Agencia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w:t>
      </w:r>
      <w:r w:rsidRPr="001E34E2">
        <w:rPr>
          <w:rFonts w:ascii="Arial" w:eastAsia="Times New Roman" w:hAnsi="Arial" w:cs="Arial"/>
          <w:lang w:eastAsia="es-ES_tradnl"/>
        </w:rPr>
        <w:t>Por consiguiente, no puede emitir pronunciamientos con el propósito de resolver situaciones propias que se presentan con ocasión del trámite de los procesos de contratación estatal a cargo de las entidades públicas. Pronunciarse sobre la situación descrita en la solicitud implicaría realizar un juicio de valor sobre la validez de la aplicación de los factores de desempate objeto de consulta en el citado proceso de contratación estatal, lo cual condicionaría las decisiones que debe adoptar una entidad pública en ese trámite administrativo de naturaleza contractual; actuación para la cual la Agencia no tiene competencia. </w:t>
      </w:r>
    </w:p>
    <w:p w14:paraId="775F5609" w14:textId="77777777" w:rsidR="001E34E2" w:rsidRPr="001E34E2" w:rsidRDefault="001E34E2" w:rsidP="001E34E2">
      <w:pPr>
        <w:spacing w:after="120" w:line="276" w:lineRule="auto"/>
        <w:ind w:firstLine="709"/>
        <w:jc w:val="both"/>
        <w:rPr>
          <w:rFonts w:ascii="Arial" w:eastAsia="Times New Roman" w:hAnsi="Arial" w:cs="Arial"/>
          <w:lang w:eastAsia="es-ES_tradnl"/>
        </w:rPr>
      </w:pPr>
      <w:r w:rsidRPr="001E34E2">
        <w:rPr>
          <w:rFonts w:ascii="Arial" w:eastAsia="Times New Roman" w:hAnsi="Arial" w:cs="Arial"/>
          <w:lang w:eastAsia="es-ES_tradnl"/>
        </w:rPr>
        <w:t xml:space="preserve">En consecuencia, les corresponde a las autoridades, por ser de su competencia, con la asesoría de sus equipos jurídicos y como responsables de la estructuración de sus procesos de contratación estatal, en cada caso particular y concreto, establecer el alcance de las interpretaciones hermenéuticas de los factores de desempate que se deben aplicar a las propuestas presentadas por los oferentes, así como la forma en que dichos factores deben acreditarse por parte de estos. </w:t>
      </w:r>
      <w:r w:rsidRPr="001E34E2">
        <w:rPr>
          <w:rFonts w:ascii="Arial" w:eastAsia="Times New Roman" w:hAnsi="Arial" w:cs="Arial"/>
          <w:color w:val="000000"/>
          <w:shd w:val="clear" w:color="auto" w:fill="FFFFFF"/>
          <w:lang w:eastAsia="es-ES_tradnl"/>
        </w:rPr>
        <w:t>Esta entidad no puede involucrarse, directa o indirectamente, en las decisiones o actuaciones de las entidades estatales en materia de contratación estatal, de acuerdo con lo establecido en las disposiciones constitucionales y legales que rigen nuestro ordenamiento jurídico.</w:t>
      </w:r>
    </w:p>
    <w:p w14:paraId="1F74869E" w14:textId="77777777" w:rsidR="001E34E2" w:rsidRPr="001E34E2" w:rsidRDefault="001E34E2" w:rsidP="001E34E2">
      <w:pPr>
        <w:spacing w:after="120" w:line="276" w:lineRule="auto"/>
        <w:ind w:firstLine="709"/>
        <w:jc w:val="both"/>
        <w:rPr>
          <w:rFonts w:ascii="Arial" w:eastAsia="Times New Roman" w:hAnsi="Arial" w:cs="Arial"/>
          <w:lang w:val="es-ES_tradnl" w:eastAsia="es-ES_tradnl"/>
        </w:rPr>
      </w:pPr>
      <w:r w:rsidRPr="001E34E2">
        <w:rPr>
          <w:rFonts w:ascii="Arial" w:eastAsia="Times New Roman" w:hAnsi="Arial" w:cs="Arial"/>
          <w:lang w:val="es-ES_tradnl" w:eastAsia="es-ES_tradnl"/>
        </w:rPr>
        <w:t xml:space="preserve">Sin perjuicio de lo anterior, es preciso mencionar, respecto del factor de desempate consagrado en el numeral 4 del artículo 35 de la Ley 2069 de 2020, reglamentado en el numeral 4 del artículo </w:t>
      </w:r>
      <w:r w:rsidRPr="001E34E2">
        <w:rPr>
          <w:rFonts w:ascii="Arial" w:eastAsia="Calibri" w:hAnsi="Arial" w:cs="Arial"/>
          <w:color w:val="000000"/>
          <w:lang w:val="es-ES_tradnl" w:eastAsia="es-ES_tradnl"/>
        </w:rPr>
        <w:t>2.2.1.2.4.2.17 del Decreto 1082 de 2015 adicionado por el</w:t>
      </w:r>
      <w:r w:rsidRPr="001E34E2">
        <w:rPr>
          <w:rFonts w:ascii="Arial" w:eastAsia="Calibri" w:hAnsi="Arial" w:cs="Arial"/>
          <w:bCs/>
          <w:color w:val="000000"/>
          <w:lang w:val="es-ES_tradnl" w:eastAsia="es-ES_tradnl"/>
        </w:rPr>
        <w:t xml:space="preserve"> artículo 3 del Decreto 1860 de 2021, que </w:t>
      </w:r>
      <w:r w:rsidRPr="001E34E2">
        <w:rPr>
          <w:rFonts w:ascii="Arial" w:eastAsia="Times New Roman" w:hAnsi="Arial" w:cs="Arial"/>
          <w:lang w:val="es-ES_tradnl" w:eastAsia="es-ES_tradnl"/>
        </w:rPr>
        <w:t xml:space="preserve">la regla de desempate se aplica a favor del “[…] oferente que acredite la </w:t>
      </w:r>
      <w:r w:rsidRPr="001E34E2">
        <w:rPr>
          <w:rFonts w:ascii="Arial" w:eastAsia="Times New Roman" w:hAnsi="Arial" w:cs="Arial"/>
          <w:lang w:val="es-ES_tradnl" w:eastAsia="es-ES_tradnl"/>
        </w:rPr>
        <w:lastRenderedPageBreak/>
        <w:t xml:space="preserve">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 Interpretación, que, entre otras cosas, es consistente con la reglamentación del numeral 4 del artículo 2.2.1.2.4.2.17 del Decreto 1860 de 2021, en el que se determina que “[l]a mayor proporción se definirá en relación con el número total de trabajadores vinculados en la planta de personal, por lo que se preferirá al oferente que acredite un </w:t>
      </w:r>
      <w:r w:rsidRPr="001E34E2">
        <w:rPr>
          <w:rFonts w:ascii="Arial" w:eastAsia="Times New Roman" w:hAnsi="Arial" w:cs="Arial"/>
          <w:i/>
          <w:iCs/>
          <w:lang w:val="es-ES_tradnl" w:eastAsia="es-ES_tradnl"/>
        </w:rPr>
        <w:t>porcentaje mayor</w:t>
      </w:r>
      <w:r w:rsidRPr="001E34E2">
        <w:rPr>
          <w:rFonts w:ascii="Arial" w:eastAsia="Times New Roman" w:hAnsi="Arial" w:cs="Arial"/>
          <w:lang w:val="es-ES_tradnl" w:eastAsia="es-ES_tradnl"/>
        </w:rPr>
        <w:t xml:space="preserve">”. Y dice que, para el caso de proponentes plurales, “la mayor proporción se definirá con la sumatoria de trabajadores vinculados en la planta de personal de cada uno de sus integrantes”.  </w:t>
      </w:r>
    </w:p>
    <w:p w14:paraId="545D0BE0" w14:textId="77777777" w:rsidR="001E34E2" w:rsidRPr="001E34E2" w:rsidRDefault="001E34E2" w:rsidP="004A1BA9">
      <w:pPr>
        <w:spacing w:after="0" w:line="276" w:lineRule="auto"/>
        <w:ind w:firstLine="708"/>
        <w:jc w:val="both"/>
        <w:rPr>
          <w:rFonts w:ascii="Arial" w:eastAsia="Times New Roman" w:hAnsi="Arial" w:cs="Arial"/>
          <w:color w:val="000000"/>
          <w:szCs w:val="24"/>
          <w:lang w:val="es-ES_tradnl" w:eastAsia="es-ES_tradnl"/>
        </w:rPr>
      </w:pPr>
      <w:r w:rsidRPr="001E34E2">
        <w:rPr>
          <w:rFonts w:ascii="Arial" w:eastAsia="Times New Roman" w:hAnsi="Arial" w:cs="Arial"/>
          <w:color w:val="000000"/>
          <w:szCs w:val="24"/>
          <w:lang w:val="es-ES_tradnl" w:eastAsia="es-ES_tradnl"/>
        </w:rPr>
        <w:t>Teniendo en cuenta que el numeral no distingue tipos de oferente, dicho criterio de desempate, a juicio de la Agencia, se debe aplicar también a proponentes plurales. En este caso el proponente plural debía acreditar la proporción de personas mayores vinculadas a aquel y que además “no sean beneficiarios de la pensión de vejez, familiar o de sobrevivencia y que hayan cumplido el requisito de edad de pensión establecido en la Ley”, para beneficiarse del factor de desempate.</w:t>
      </w:r>
    </w:p>
    <w:p w14:paraId="109D7E39" w14:textId="77777777" w:rsidR="001E34E2" w:rsidRPr="001E34E2" w:rsidRDefault="001E34E2" w:rsidP="004A1BA9">
      <w:pPr>
        <w:spacing w:after="0" w:line="276" w:lineRule="auto"/>
        <w:ind w:firstLine="708"/>
        <w:jc w:val="both"/>
        <w:rPr>
          <w:rFonts w:ascii="Arial" w:eastAsia="Times New Roman" w:hAnsi="Arial" w:cs="Arial"/>
          <w:sz w:val="21"/>
          <w:szCs w:val="21"/>
          <w:lang w:val="es-ES_tradnl" w:eastAsia="es-ES_tradnl"/>
        </w:rPr>
      </w:pPr>
    </w:p>
    <w:p w14:paraId="05000F20" w14:textId="77777777" w:rsidR="001E34E2" w:rsidRPr="001E34E2" w:rsidRDefault="001E34E2" w:rsidP="001E34E2">
      <w:pPr>
        <w:spacing w:after="0" w:line="276" w:lineRule="auto"/>
        <w:jc w:val="both"/>
        <w:rPr>
          <w:rFonts w:ascii="Arial" w:eastAsia="Times New Roman" w:hAnsi="Arial" w:cs="Arial"/>
          <w:szCs w:val="24"/>
          <w:lang w:val="es-ES_tradnl" w:eastAsia="es-ES_tradnl"/>
        </w:rPr>
      </w:pPr>
      <w:r w:rsidRPr="001E34E2">
        <w:rPr>
          <w:rFonts w:ascii="Arial" w:eastAsia="Times New Roman" w:hAnsi="Arial" w:cs="Arial"/>
          <w:szCs w:val="24"/>
          <w:lang w:val="es-ES_tradnl" w:eastAsia="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6E50FDDD" w14:textId="77777777" w:rsidR="001E34E2" w:rsidRPr="001E34E2" w:rsidRDefault="001E34E2" w:rsidP="001E34E2">
      <w:pPr>
        <w:spacing w:after="0" w:line="276" w:lineRule="auto"/>
        <w:jc w:val="both"/>
        <w:rPr>
          <w:rFonts w:ascii="Arial" w:eastAsia="Times New Roman" w:hAnsi="Arial" w:cs="Arial"/>
          <w:lang w:val="es-ES_tradnl" w:eastAsia="es-CO"/>
        </w:rPr>
      </w:pPr>
    </w:p>
    <w:bookmarkEnd w:id="2"/>
    <w:bookmarkEnd w:id="3"/>
    <w:p w14:paraId="3427ECD0" w14:textId="77777777" w:rsidR="001E34E2" w:rsidRPr="001E34E2" w:rsidRDefault="001E34E2" w:rsidP="001E34E2">
      <w:pPr>
        <w:spacing w:after="0" w:line="276" w:lineRule="auto"/>
        <w:jc w:val="both"/>
        <w:rPr>
          <w:rFonts w:ascii="Arial" w:eastAsia="Times New Roman" w:hAnsi="Arial" w:cs="Arial"/>
          <w:color w:val="000000"/>
          <w:lang w:val="es-ES_tradnl" w:eastAsia="es-CO"/>
        </w:rPr>
      </w:pPr>
      <w:r w:rsidRPr="001E34E2">
        <w:rPr>
          <w:rFonts w:ascii="Arial" w:eastAsia="Times New Roman" w:hAnsi="Arial" w:cs="Arial"/>
          <w:color w:val="000000"/>
          <w:lang w:val="es-ES_tradnl" w:eastAsia="es-CO"/>
        </w:rPr>
        <w:t>Atentamente,</w:t>
      </w:r>
    </w:p>
    <w:p w14:paraId="7AB4C632" w14:textId="24EBA60A" w:rsidR="001E34E2" w:rsidRPr="001E34E2" w:rsidRDefault="0044060C" w:rsidP="001E34E2">
      <w:pPr>
        <w:spacing w:after="0" w:line="276" w:lineRule="auto"/>
        <w:jc w:val="center"/>
        <w:rPr>
          <w:rFonts w:ascii="Arial" w:eastAsia="Times New Roman" w:hAnsi="Arial" w:cs="Arial"/>
          <w:color w:val="000000"/>
          <w:lang w:val="es-ES_tradnl" w:eastAsia="es-CO"/>
        </w:rPr>
      </w:pPr>
      <w:r>
        <w:rPr>
          <w:noProof/>
        </w:rPr>
        <w:drawing>
          <wp:inline distT="0" distB="0" distL="0" distR="0" wp14:anchorId="7F4D9CC1" wp14:editId="5F83911F">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042455D1" w14:textId="77777777" w:rsidR="001E34E2" w:rsidRPr="001E34E2" w:rsidRDefault="001E34E2" w:rsidP="001E34E2">
      <w:pPr>
        <w:spacing w:after="0" w:line="276" w:lineRule="auto"/>
        <w:jc w:val="center"/>
        <w:rPr>
          <w:rFonts w:ascii="Arial" w:eastAsia="Times New Roman" w:hAnsi="Arial" w:cs="Arial"/>
          <w:color w:val="000000"/>
          <w:lang w:val="es-ES" w:eastAsia="es-CO"/>
        </w:rPr>
      </w:pPr>
    </w:p>
    <w:p w14:paraId="00FCEAE7" w14:textId="77777777" w:rsidR="001E34E2" w:rsidRPr="001E34E2" w:rsidRDefault="001E34E2" w:rsidP="001E34E2">
      <w:pPr>
        <w:spacing w:after="0" w:line="276" w:lineRule="auto"/>
        <w:jc w:val="center"/>
        <w:rPr>
          <w:rFonts w:ascii="Arial" w:eastAsia="Times New Roman" w:hAnsi="Arial" w:cs="Arial"/>
          <w:color w:val="000000"/>
          <w:lang w:val="es-ES_tradnl" w:eastAsia="es-C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E34E2" w:rsidRPr="001E34E2" w14:paraId="674B7912" w14:textId="77777777" w:rsidTr="001E34E2">
        <w:trPr>
          <w:trHeight w:val="160"/>
        </w:trPr>
        <w:tc>
          <w:tcPr>
            <w:tcW w:w="812" w:type="dxa"/>
            <w:vAlign w:val="center"/>
            <w:hideMark/>
          </w:tcPr>
          <w:p w14:paraId="01CC4756" w14:textId="77777777" w:rsidR="001E34E2" w:rsidRPr="001E34E2" w:rsidRDefault="001E34E2" w:rsidP="001E34E2">
            <w:pPr>
              <w:jc w:val="both"/>
              <w:rPr>
                <w:rFonts w:ascii="Arial" w:eastAsia="Times New Roman" w:hAnsi="Arial" w:cs="Arial"/>
                <w:color w:val="000000"/>
                <w:sz w:val="16"/>
                <w:szCs w:val="16"/>
                <w:lang w:val="es-ES_tradnl" w:eastAsia="es-ES"/>
              </w:rPr>
            </w:pPr>
            <w:r w:rsidRPr="001E34E2">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14D95030" w14:textId="77777777" w:rsidR="001E34E2" w:rsidRPr="001E34E2" w:rsidRDefault="001E34E2" w:rsidP="001E34E2">
            <w:pPr>
              <w:jc w:val="both"/>
              <w:rPr>
                <w:rFonts w:ascii="Arial" w:eastAsia="Times New Roman" w:hAnsi="Arial" w:cs="Arial"/>
                <w:color w:val="000000"/>
                <w:sz w:val="16"/>
                <w:szCs w:val="16"/>
                <w:lang w:val="es-ES_tradnl" w:eastAsia="es-ES"/>
              </w:rPr>
            </w:pPr>
            <w:r w:rsidRPr="001E34E2">
              <w:rPr>
                <w:rFonts w:ascii="Arial" w:eastAsia="Times New Roman" w:hAnsi="Arial" w:cs="Arial"/>
                <w:color w:val="000000"/>
                <w:sz w:val="16"/>
                <w:szCs w:val="16"/>
                <w:lang w:val="es-ES_tradnl" w:eastAsia="es-ES"/>
              </w:rPr>
              <w:t>Ximena Ríos López</w:t>
            </w:r>
          </w:p>
          <w:p w14:paraId="6FE60B46" w14:textId="77777777" w:rsidR="001E34E2" w:rsidRPr="001E34E2" w:rsidRDefault="001E34E2" w:rsidP="001E34E2">
            <w:pPr>
              <w:jc w:val="both"/>
              <w:rPr>
                <w:rFonts w:ascii="Arial" w:eastAsia="Times New Roman" w:hAnsi="Arial" w:cs="Arial"/>
                <w:color w:val="000000"/>
                <w:sz w:val="16"/>
                <w:szCs w:val="16"/>
                <w:lang w:val="es-ES_tradnl" w:eastAsia="es-ES"/>
              </w:rPr>
            </w:pPr>
            <w:r w:rsidRPr="001E34E2">
              <w:rPr>
                <w:rFonts w:ascii="Arial" w:eastAsia="Times New Roman" w:hAnsi="Arial" w:cs="Arial"/>
                <w:color w:val="000000"/>
                <w:sz w:val="16"/>
                <w:szCs w:val="16"/>
                <w:lang w:val="es-ES_tradnl" w:eastAsia="es-ES"/>
              </w:rPr>
              <w:t>Gestor T1-11 de la Subdirección de Gestión Contractual</w:t>
            </w:r>
          </w:p>
        </w:tc>
      </w:tr>
      <w:tr w:rsidR="001E34E2" w:rsidRPr="001E34E2" w14:paraId="70286F07" w14:textId="77777777" w:rsidTr="001E34E2">
        <w:trPr>
          <w:trHeight w:val="330"/>
        </w:trPr>
        <w:tc>
          <w:tcPr>
            <w:tcW w:w="812" w:type="dxa"/>
            <w:vAlign w:val="center"/>
            <w:hideMark/>
          </w:tcPr>
          <w:p w14:paraId="55709AB4" w14:textId="77777777" w:rsidR="001E34E2" w:rsidRPr="001E34E2" w:rsidRDefault="001E34E2" w:rsidP="001E34E2">
            <w:pPr>
              <w:jc w:val="both"/>
              <w:rPr>
                <w:rFonts w:ascii="Arial" w:eastAsia="Times New Roman" w:hAnsi="Arial" w:cs="Arial"/>
                <w:color w:val="000000"/>
                <w:sz w:val="16"/>
                <w:szCs w:val="16"/>
                <w:lang w:val="es-ES_tradnl" w:eastAsia="es-ES"/>
              </w:rPr>
            </w:pPr>
            <w:r w:rsidRPr="001E34E2">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5BEBCC32" w14:textId="53997B44" w:rsidR="001E34E2" w:rsidRPr="001E34E2" w:rsidRDefault="001E34E2" w:rsidP="001E34E2">
            <w:pPr>
              <w:jc w:val="both"/>
              <w:rPr>
                <w:rFonts w:ascii="Arial" w:eastAsia="Times New Roman" w:hAnsi="Arial" w:cs="Arial"/>
                <w:color w:val="000000"/>
                <w:sz w:val="16"/>
                <w:szCs w:val="16"/>
                <w:lang w:val="es-ES_tradnl" w:eastAsia="es-ES"/>
              </w:rPr>
            </w:pPr>
            <w:r w:rsidRPr="001E34E2">
              <w:rPr>
                <w:rFonts w:ascii="Arial" w:eastAsia="Times New Roman" w:hAnsi="Arial" w:cs="Arial"/>
                <w:color w:val="000000"/>
                <w:sz w:val="16"/>
                <w:szCs w:val="16"/>
                <w:lang w:val="es-ES_tradnl" w:eastAsia="es-ES"/>
              </w:rPr>
              <w:t>Alejandro Sarmiento</w:t>
            </w:r>
            <w:r w:rsidR="005B7A71">
              <w:rPr>
                <w:rFonts w:ascii="Arial" w:eastAsia="Times New Roman" w:hAnsi="Arial" w:cs="Arial"/>
                <w:color w:val="000000"/>
                <w:sz w:val="16"/>
                <w:szCs w:val="16"/>
                <w:lang w:val="es-ES_tradnl" w:eastAsia="es-ES"/>
              </w:rPr>
              <w:t xml:space="preserve"> Cantillo</w:t>
            </w:r>
          </w:p>
          <w:p w14:paraId="00058E15" w14:textId="77777777" w:rsidR="001E34E2" w:rsidRPr="001E34E2" w:rsidRDefault="001E34E2" w:rsidP="001E34E2">
            <w:pPr>
              <w:jc w:val="both"/>
              <w:rPr>
                <w:rFonts w:ascii="Arial" w:eastAsia="Times New Roman" w:hAnsi="Arial" w:cs="Arial"/>
                <w:color w:val="000000"/>
                <w:sz w:val="16"/>
                <w:szCs w:val="16"/>
                <w:lang w:val="es-ES_tradnl" w:eastAsia="es-ES"/>
              </w:rPr>
            </w:pPr>
            <w:r w:rsidRPr="001E34E2">
              <w:rPr>
                <w:rFonts w:ascii="Arial" w:eastAsia="Times New Roman" w:hAnsi="Arial" w:cs="Arial"/>
                <w:color w:val="000000"/>
                <w:sz w:val="16"/>
                <w:szCs w:val="16"/>
                <w:lang w:val="es-ES_tradnl" w:eastAsia="es-ES"/>
              </w:rPr>
              <w:t>Gestor T1-15 de la Subdirección de Gestión Contractual</w:t>
            </w:r>
          </w:p>
        </w:tc>
      </w:tr>
      <w:tr w:rsidR="001E34E2" w:rsidRPr="001E34E2" w14:paraId="192C8F26" w14:textId="77777777" w:rsidTr="001E34E2">
        <w:trPr>
          <w:trHeight w:val="300"/>
        </w:trPr>
        <w:tc>
          <w:tcPr>
            <w:tcW w:w="812" w:type="dxa"/>
            <w:vAlign w:val="center"/>
            <w:hideMark/>
          </w:tcPr>
          <w:p w14:paraId="5A38509C" w14:textId="77777777" w:rsidR="001E34E2" w:rsidRPr="001E34E2" w:rsidRDefault="001E34E2" w:rsidP="001E34E2">
            <w:pPr>
              <w:jc w:val="both"/>
              <w:rPr>
                <w:rFonts w:ascii="Arial" w:eastAsia="Times New Roman" w:hAnsi="Arial" w:cs="Arial"/>
                <w:color w:val="000000"/>
                <w:sz w:val="16"/>
                <w:szCs w:val="16"/>
                <w:lang w:val="es-ES_tradnl" w:eastAsia="es-ES"/>
              </w:rPr>
            </w:pPr>
            <w:r w:rsidRPr="001E34E2">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3D795C0B" w14:textId="77777777" w:rsidR="001E34E2" w:rsidRPr="001E34E2" w:rsidRDefault="001E34E2" w:rsidP="001E34E2">
            <w:pPr>
              <w:jc w:val="both"/>
              <w:rPr>
                <w:rFonts w:ascii="Arial" w:eastAsia="Times New Roman" w:hAnsi="Arial" w:cs="Arial"/>
                <w:color w:val="000000"/>
                <w:sz w:val="16"/>
                <w:szCs w:val="16"/>
                <w:lang w:val="es-ES_tradnl" w:eastAsia="es-ES"/>
              </w:rPr>
            </w:pPr>
            <w:r w:rsidRPr="001E34E2">
              <w:rPr>
                <w:rFonts w:ascii="Arial" w:eastAsia="Times New Roman" w:hAnsi="Arial" w:cs="Arial"/>
                <w:color w:val="000000"/>
                <w:sz w:val="16"/>
                <w:szCs w:val="16"/>
                <w:lang w:val="es-ES_tradnl" w:eastAsia="es-ES"/>
              </w:rPr>
              <w:t>Nohelia del Carmen Zawady Palacio</w:t>
            </w:r>
          </w:p>
          <w:p w14:paraId="73CCF6FF" w14:textId="77777777" w:rsidR="001E34E2" w:rsidRPr="001E34E2" w:rsidRDefault="001E34E2" w:rsidP="001E34E2">
            <w:pPr>
              <w:jc w:val="both"/>
              <w:rPr>
                <w:rFonts w:ascii="Arial" w:eastAsia="Times New Roman" w:hAnsi="Arial" w:cs="Arial"/>
                <w:color w:val="000000"/>
                <w:sz w:val="16"/>
                <w:szCs w:val="16"/>
                <w:lang w:val="es-ES_tradnl" w:eastAsia="es-ES"/>
              </w:rPr>
            </w:pPr>
            <w:r w:rsidRPr="001E34E2">
              <w:rPr>
                <w:rFonts w:ascii="Arial" w:eastAsia="Times New Roman" w:hAnsi="Arial" w:cs="Arial"/>
                <w:color w:val="000000"/>
                <w:sz w:val="16"/>
                <w:szCs w:val="16"/>
                <w:lang w:val="es-ES_tradnl" w:eastAsia="es-ES"/>
              </w:rPr>
              <w:t xml:space="preserve">Subdirectora de Gestión Contractual </w:t>
            </w:r>
            <w:r w:rsidRPr="001E34E2">
              <w:rPr>
                <w:rFonts w:ascii="Arial" w:eastAsia="Times New Roman" w:hAnsi="Arial" w:cs="Arial"/>
                <w:color w:val="000000"/>
                <w:sz w:val="16"/>
                <w:szCs w:val="16"/>
                <w:lang w:eastAsia="es-ES"/>
              </w:rPr>
              <w:t>ANCP – CCE</w:t>
            </w:r>
          </w:p>
        </w:tc>
      </w:tr>
    </w:tbl>
    <w:p w14:paraId="5D7C57AE" w14:textId="77777777" w:rsidR="001E34E2" w:rsidRPr="001E34E2" w:rsidRDefault="001E34E2" w:rsidP="001E34E2">
      <w:pPr>
        <w:spacing w:after="0" w:line="240" w:lineRule="auto"/>
        <w:jc w:val="both"/>
        <w:rPr>
          <w:rFonts w:ascii="Arial" w:eastAsia="Times New Roman" w:hAnsi="Arial" w:cs="Arial"/>
          <w:sz w:val="24"/>
          <w:szCs w:val="24"/>
          <w:lang w:eastAsia="es-ES_tradnl"/>
        </w:rPr>
      </w:pPr>
    </w:p>
    <w:p w14:paraId="2F825996" w14:textId="315695AF" w:rsidR="0016053D" w:rsidRPr="001E34E2" w:rsidRDefault="0016053D" w:rsidP="001E34E2">
      <w:pPr>
        <w:rPr>
          <w:rFonts w:ascii="Geomanist Light" w:eastAsia="Geomanist Light" w:hAnsi="Geomanist Light" w:cs="Geomanist Light"/>
          <w:color w:val="201F1E"/>
        </w:rPr>
      </w:pPr>
    </w:p>
    <w:sectPr w:rsidR="0016053D" w:rsidRPr="001E34E2"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7335" w14:textId="77777777" w:rsidR="007363DB" w:rsidRDefault="007363DB" w:rsidP="004A1847">
      <w:pPr>
        <w:spacing w:after="0" w:line="240" w:lineRule="auto"/>
      </w:pPr>
      <w:r>
        <w:separator/>
      </w:r>
    </w:p>
  </w:endnote>
  <w:endnote w:type="continuationSeparator" w:id="0">
    <w:p w14:paraId="530EEC76" w14:textId="77777777" w:rsidR="007363DB" w:rsidRDefault="007363DB" w:rsidP="004A1847">
      <w:pPr>
        <w:spacing w:after="0" w:line="240" w:lineRule="auto"/>
      </w:pPr>
      <w:r>
        <w:continuationSeparator/>
      </w:r>
    </w:p>
  </w:endnote>
  <w:endnote w:type="continuationNotice" w:id="1">
    <w:p w14:paraId="4D347BFC" w14:textId="77777777" w:rsidR="007363DB" w:rsidRDefault="00736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Footer"/>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eGrid"/>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Footer"/>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Footer"/>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Footer"/>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Footer"/>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Footer"/>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Footer"/>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8969" w14:textId="77777777" w:rsidR="007363DB" w:rsidRDefault="007363DB" w:rsidP="004A1847">
      <w:pPr>
        <w:spacing w:after="0" w:line="240" w:lineRule="auto"/>
      </w:pPr>
      <w:r>
        <w:separator/>
      </w:r>
    </w:p>
  </w:footnote>
  <w:footnote w:type="continuationSeparator" w:id="0">
    <w:p w14:paraId="32D9A676" w14:textId="77777777" w:rsidR="007363DB" w:rsidRDefault="007363DB" w:rsidP="004A1847">
      <w:pPr>
        <w:spacing w:after="0" w:line="240" w:lineRule="auto"/>
      </w:pPr>
      <w:r>
        <w:continuationSeparator/>
      </w:r>
    </w:p>
  </w:footnote>
  <w:footnote w:type="continuationNotice" w:id="1">
    <w:p w14:paraId="711AAF5E" w14:textId="77777777" w:rsidR="007363DB" w:rsidRDefault="007363DB">
      <w:pPr>
        <w:spacing w:after="0" w:line="240" w:lineRule="auto"/>
      </w:pPr>
    </w:p>
  </w:footnote>
  <w:footnote w:id="2">
    <w:p w14:paraId="5788B362" w14:textId="77777777" w:rsidR="001E34E2" w:rsidRPr="004A1BA9" w:rsidRDefault="001E34E2" w:rsidP="001E34E2">
      <w:pPr>
        <w:pStyle w:val="FootnoteText"/>
        <w:ind w:firstLine="708"/>
        <w:jc w:val="both"/>
        <w:rPr>
          <w:rFonts w:ascii="Arial" w:hAnsi="Arial" w:cs="Arial"/>
          <w:sz w:val="16"/>
          <w:szCs w:val="16"/>
          <w:lang w:val="es-ES"/>
        </w:rPr>
      </w:pPr>
      <w:r w:rsidRPr="004A1BA9">
        <w:rPr>
          <w:rStyle w:val="FootnoteReference"/>
          <w:rFonts w:ascii="Arial" w:hAnsi="Arial" w:cs="Arial"/>
          <w:sz w:val="16"/>
          <w:szCs w:val="16"/>
        </w:rPr>
        <w:footnoteRef/>
      </w:r>
      <w:r w:rsidRPr="004A1BA9">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A1BA9">
        <w:rPr>
          <w:rFonts w:ascii="Arial" w:hAnsi="Arial" w:cs="Arial"/>
          <w:i/>
          <w:iCs/>
          <w:sz w:val="16"/>
          <w:szCs w:val="16"/>
        </w:rPr>
        <w:t xml:space="preserve">ibidem </w:t>
      </w:r>
      <w:r w:rsidRPr="004A1BA9">
        <w:rPr>
          <w:rFonts w:ascii="Arial" w:hAnsi="Arial"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32569E87" w14:textId="77777777" w:rsidR="001E34E2" w:rsidRPr="004A1BA9" w:rsidRDefault="001E34E2" w:rsidP="001E34E2">
      <w:pPr>
        <w:pStyle w:val="FootnoteText"/>
        <w:ind w:firstLine="708"/>
        <w:jc w:val="both"/>
        <w:rPr>
          <w:rFonts w:ascii="Arial" w:hAnsi="Arial" w:cs="Arial"/>
          <w:sz w:val="16"/>
          <w:szCs w:val="16"/>
          <w:lang w:val="es-ES"/>
        </w:rPr>
      </w:pPr>
      <w:r w:rsidRPr="004A1BA9">
        <w:rPr>
          <w:rStyle w:val="FootnoteReference"/>
          <w:rFonts w:ascii="Arial" w:hAnsi="Arial" w:cs="Arial"/>
          <w:sz w:val="16"/>
          <w:szCs w:val="16"/>
        </w:rPr>
        <w:footnoteRef/>
      </w:r>
      <w:r w:rsidRPr="004A1BA9">
        <w:rPr>
          <w:rFonts w:ascii="Arial" w:hAnsi="Arial" w:cs="Arial"/>
          <w:sz w:val="16"/>
          <w:szCs w:val="16"/>
        </w:rPr>
        <w:t xml:space="preserve"> Estos conceptos pueden ser consultados en la relatoría de Colombia Compra Eficiente en el siguiente enlace:  </w:t>
      </w:r>
      <w:hyperlink r:id="rId1" w:history="1">
        <w:r w:rsidRPr="004A1BA9">
          <w:rPr>
            <w:rStyle w:val="Hipervnculo1"/>
            <w:rFonts w:ascii="Arial" w:hAnsi="Arial" w:cs="Arial"/>
            <w:color w:val="auto"/>
            <w:sz w:val="16"/>
            <w:szCs w:val="16"/>
          </w:rPr>
          <w:t>http://relatoria.colombiacompra.gov.co/busqueda/conceptos</w:t>
        </w:r>
      </w:hyperlink>
    </w:p>
  </w:footnote>
  <w:footnote w:id="4">
    <w:p w14:paraId="400C7869" w14:textId="77777777" w:rsidR="001E34E2" w:rsidRPr="004A1BA9" w:rsidRDefault="001E34E2" w:rsidP="001E34E2">
      <w:pPr>
        <w:pStyle w:val="FootnoteText"/>
        <w:ind w:firstLine="709"/>
        <w:jc w:val="both"/>
        <w:rPr>
          <w:rFonts w:ascii="Arial" w:hAnsi="Arial" w:cs="Arial"/>
          <w:sz w:val="16"/>
          <w:szCs w:val="16"/>
        </w:rPr>
      </w:pPr>
      <w:r w:rsidRPr="004A1BA9">
        <w:rPr>
          <w:rStyle w:val="FootnoteReference"/>
          <w:rFonts w:ascii="Arial" w:hAnsi="Arial" w:cs="Arial"/>
          <w:sz w:val="16"/>
          <w:szCs w:val="16"/>
        </w:rPr>
        <w:footnoteRef/>
      </w:r>
      <w:r w:rsidRPr="004A1BA9">
        <w:rPr>
          <w:rFonts w:ascii="Arial" w:hAnsi="Arial" w:cs="Arial"/>
          <w:sz w:val="16"/>
          <w:szCs w:val="16"/>
        </w:rPr>
        <w:t xml:space="preserve"> </w:t>
      </w:r>
      <w:r w:rsidRPr="004A1BA9">
        <w:rPr>
          <w:rFonts w:ascii="Arial" w:hAnsi="Arial" w:cs="Arial"/>
          <w:sz w:val="16"/>
          <w:szCs w:val="16"/>
          <w:lang w:val="es-ES"/>
        </w:rPr>
        <w:t>Consejo de Estado. Sección Tercera. Sentencia del 29 de octubre de 2.015. Consejera Ponente: Stella Conto Díaz Del Castillo. Expediente: 31.918.</w:t>
      </w:r>
    </w:p>
  </w:footnote>
  <w:footnote w:id="5">
    <w:p w14:paraId="3974260B" w14:textId="77777777" w:rsidR="001E34E2" w:rsidRPr="004A1BA9" w:rsidRDefault="001E34E2" w:rsidP="001E34E2">
      <w:pPr>
        <w:pStyle w:val="FootnoteText"/>
        <w:ind w:firstLine="709"/>
        <w:jc w:val="both"/>
        <w:rPr>
          <w:rFonts w:ascii="Arial" w:hAnsi="Arial" w:cs="Arial"/>
          <w:sz w:val="16"/>
          <w:szCs w:val="16"/>
        </w:rPr>
      </w:pPr>
      <w:r w:rsidRPr="004A1BA9">
        <w:rPr>
          <w:rStyle w:val="FootnoteReference"/>
          <w:rFonts w:ascii="Arial" w:hAnsi="Arial" w:cs="Arial"/>
          <w:sz w:val="16"/>
          <w:szCs w:val="16"/>
        </w:rPr>
        <w:footnoteRef/>
      </w:r>
      <w:r w:rsidRPr="004A1BA9">
        <w:rPr>
          <w:rFonts w:ascii="Arial" w:hAnsi="Arial" w:cs="Arial"/>
          <w:sz w:val="16"/>
          <w:szCs w:val="16"/>
        </w:rPr>
        <w:t xml:space="preserve"> </w:t>
      </w:r>
      <w:r w:rsidRPr="004A1BA9">
        <w:rPr>
          <w:rFonts w:ascii="Arial" w:hAnsi="Arial" w:cs="Arial"/>
          <w:sz w:val="16"/>
          <w:szCs w:val="16"/>
          <w:lang w:val="es-ES"/>
        </w:rPr>
        <w:t>Corte Constitucional. Sentencia T-684A del 14 de septiembre de 2011. Magistrado Ponente: Mauricio González Cuervo.</w:t>
      </w:r>
    </w:p>
  </w:footnote>
  <w:footnote w:id="6">
    <w:p w14:paraId="37E43BEE" w14:textId="77777777" w:rsidR="001E34E2" w:rsidRPr="004A1BA9" w:rsidRDefault="001E34E2" w:rsidP="001E34E2">
      <w:pPr>
        <w:pStyle w:val="FootnoteText"/>
        <w:ind w:firstLine="709"/>
        <w:jc w:val="both"/>
        <w:rPr>
          <w:rFonts w:ascii="Arial" w:hAnsi="Arial" w:cs="Arial"/>
          <w:sz w:val="16"/>
          <w:szCs w:val="16"/>
          <w:lang w:val="es-ES"/>
        </w:rPr>
      </w:pPr>
      <w:r w:rsidRPr="004A1BA9">
        <w:rPr>
          <w:rStyle w:val="FootnoteReference"/>
          <w:rFonts w:ascii="Arial" w:hAnsi="Arial" w:cs="Arial"/>
          <w:sz w:val="16"/>
          <w:szCs w:val="16"/>
        </w:rPr>
        <w:footnoteRef/>
      </w:r>
      <w:r w:rsidRPr="004A1BA9">
        <w:rPr>
          <w:rFonts w:ascii="Arial" w:hAnsi="Arial" w:cs="Arial"/>
          <w:sz w:val="16"/>
          <w:szCs w:val="16"/>
        </w:rPr>
        <w:t xml:space="preserve"> </w:t>
      </w:r>
      <w:r w:rsidRPr="004A1BA9">
        <w:rPr>
          <w:rFonts w:ascii="Arial" w:hAnsi="Arial" w:cs="Arial"/>
          <w:sz w:val="16"/>
          <w:szCs w:val="16"/>
          <w:lang w:val="es-ES"/>
        </w:rPr>
        <w:t>Artículos 2 al 29.</w:t>
      </w:r>
    </w:p>
  </w:footnote>
  <w:footnote w:id="7">
    <w:p w14:paraId="49DBDB53" w14:textId="77777777" w:rsidR="001E34E2" w:rsidRPr="004A1BA9" w:rsidRDefault="001E34E2" w:rsidP="001E34E2">
      <w:pPr>
        <w:pStyle w:val="FootnoteText"/>
        <w:ind w:firstLine="709"/>
        <w:jc w:val="both"/>
        <w:rPr>
          <w:rFonts w:ascii="Arial" w:hAnsi="Arial" w:cs="Arial"/>
          <w:sz w:val="16"/>
          <w:szCs w:val="16"/>
          <w:lang w:val="es-ES"/>
        </w:rPr>
      </w:pPr>
      <w:r w:rsidRPr="004A1BA9">
        <w:rPr>
          <w:rStyle w:val="FootnoteReference"/>
          <w:rFonts w:ascii="Arial" w:hAnsi="Arial" w:cs="Arial"/>
          <w:sz w:val="16"/>
          <w:szCs w:val="16"/>
        </w:rPr>
        <w:footnoteRef/>
      </w:r>
      <w:r w:rsidRPr="004A1BA9">
        <w:rPr>
          <w:rFonts w:ascii="Arial" w:hAnsi="Arial" w:cs="Arial"/>
          <w:sz w:val="16"/>
          <w:szCs w:val="16"/>
        </w:rPr>
        <w:t xml:space="preserve"> </w:t>
      </w:r>
      <w:r w:rsidRPr="004A1BA9">
        <w:rPr>
          <w:rFonts w:ascii="Arial" w:hAnsi="Arial" w:cs="Arial"/>
          <w:sz w:val="16"/>
          <w:szCs w:val="16"/>
          <w:lang w:val="es-ES"/>
        </w:rPr>
        <w:t>Artículos 30 al 36.</w:t>
      </w:r>
    </w:p>
  </w:footnote>
  <w:footnote w:id="8">
    <w:p w14:paraId="1279CC08" w14:textId="77777777" w:rsidR="001E34E2" w:rsidRPr="004A1BA9" w:rsidRDefault="001E34E2" w:rsidP="001E34E2">
      <w:pPr>
        <w:pStyle w:val="FootnoteText"/>
        <w:ind w:firstLine="709"/>
        <w:jc w:val="both"/>
        <w:rPr>
          <w:rFonts w:ascii="Arial" w:hAnsi="Arial" w:cs="Arial"/>
          <w:sz w:val="16"/>
          <w:szCs w:val="16"/>
          <w:lang w:val="es-ES"/>
        </w:rPr>
      </w:pPr>
      <w:r w:rsidRPr="004A1BA9">
        <w:rPr>
          <w:rStyle w:val="FootnoteReference"/>
          <w:rFonts w:ascii="Arial" w:hAnsi="Arial" w:cs="Arial"/>
          <w:sz w:val="16"/>
          <w:szCs w:val="16"/>
        </w:rPr>
        <w:footnoteRef/>
      </w:r>
      <w:r w:rsidRPr="004A1BA9">
        <w:rPr>
          <w:rFonts w:ascii="Arial" w:hAnsi="Arial" w:cs="Arial"/>
          <w:sz w:val="16"/>
          <w:szCs w:val="16"/>
        </w:rPr>
        <w:t xml:space="preserve"> </w:t>
      </w:r>
      <w:r w:rsidRPr="004A1BA9">
        <w:rPr>
          <w:rFonts w:ascii="Arial" w:hAnsi="Arial" w:cs="Arial"/>
          <w:sz w:val="16"/>
          <w:szCs w:val="16"/>
          <w:lang w:val="es-ES"/>
        </w:rPr>
        <w:t>Artículos 37 al 45.</w:t>
      </w:r>
    </w:p>
  </w:footnote>
  <w:footnote w:id="9">
    <w:p w14:paraId="65951051" w14:textId="77777777" w:rsidR="001E34E2" w:rsidRPr="004A1BA9" w:rsidRDefault="001E34E2" w:rsidP="001E34E2">
      <w:pPr>
        <w:pStyle w:val="FootnoteText"/>
        <w:ind w:firstLine="709"/>
        <w:jc w:val="both"/>
        <w:rPr>
          <w:rFonts w:ascii="Arial" w:hAnsi="Arial" w:cs="Arial"/>
          <w:sz w:val="16"/>
          <w:szCs w:val="16"/>
          <w:lang w:val="es-ES"/>
        </w:rPr>
      </w:pPr>
      <w:r w:rsidRPr="004A1BA9">
        <w:rPr>
          <w:rStyle w:val="FootnoteReference"/>
          <w:rFonts w:ascii="Arial" w:hAnsi="Arial" w:cs="Arial"/>
          <w:sz w:val="16"/>
          <w:szCs w:val="16"/>
        </w:rPr>
        <w:footnoteRef/>
      </w:r>
      <w:r w:rsidRPr="004A1BA9">
        <w:rPr>
          <w:rFonts w:ascii="Arial" w:hAnsi="Arial" w:cs="Arial"/>
          <w:sz w:val="16"/>
          <w:szCs w:val="16"/>
        </w:rPr>
        <w:t xml:space="preserve"> </w:t>
      </w:r>
      <w:r w:rsidRPr="004A1BA9">
        <w:rPr>
          <w:rFonts w:ascii="Arial" w:hAnsi="Arial" w:cs="Arial"/>
          <w:sz w:val="16"/>
          <w:szCs w:val="16"/>
          <w:lang w:val="es-ES"/>
        </w:rPr>
        <w:t>Artículos 46 al 73.</w:t>
      </w:r>
    </w:p>
  </w:footnote>
  <w:footnote w:id="10">
    <w:p w14:paraId="229FE339" w14:textId="77777777" w:rsidR="001E34E2" w:rsidRPr="004A1BA9" w:rsidRDefault="001E34E2" w:rsidP="001E34E2">
      <w:pPr>
        <w:pStyle w:val="FootnoteText"/>
        <w:ind w:firstLine="709"/>
        <w:jc w:val="both"/>
        <w:rPr>
          <w:rFonts w:ascii="Arial" w:hAnsi="Arial" w:cs="Arial"/>
          <w:sz w:val="16"/>
          <w:szCs w:val="16"/>
          <w:lang w:val="es-ES"/>
        </w:rPr>
      </w:pPr>
      <w:r w:rsidRPr="004A1BA9">
        <w:rPr>
          <w:rStyle w:val="FootnoteReference"/>
          <w:rFonts w:ascii="Arial" w:hAnsi="Arial" w:cs="Arial"/>
          <w:sz w:val="16"/>
          <w:szCs w:val="16"/>
        </w:rPr>
        <w:footnoteRef/>
      </w:r>
      <w:r w:rsidRPr="004A1BA9">
        <w:rPr>
          <w:rFonts w:ascii="Arial" w:hAnsi="Arial" w:cs="Arial"/>
          <w:sz w:val="16"/>
          <w:szCs w:val="16"/>
        </w:rPr>
        <w:t xml:space="preserve"> </w:t>
      </w:r>
      <w:r w:rsidRPr="004A1BA9">
        <w:rPr>
          <w:rFonts w:ascii="Arial" w:hAnsi="Arial" w:cs="Arial"/>
          <w:sz w:val="16"/>
          <w:szCs w:val="16"/>
          <w:lang w:val="es-ES"/>
        </w:rPr>
        <w:t>Artículos 74 al 83.</w:t>
      </w:r>
    </w:p>
  </w:footnote>
  <w:footnote w:id="11">
    <w:p w14:paraId="6ADCB57B" w14:textId="77777777" w:rsidR="001E34E2" w:rsidRDefault="001E34E2" w:rsidP="001E34E2">
      <w:pPr>
        <w:pStyle w:val="FootnoteText"/>
        <w:ind w:firstLine="708"/>
        <w:jc w:val="both"/>
        <w:rPr>
          <w:rFonts w:ascii="Arial" w:hAnsi="Arial" w:cs="Arial"/>
          <w:sz w:val="16"/>
          <w:szCs w:val="16"/>
        </w:rPr>
      </w:pPr>
      <w:r w:rsidRPr="004A1BA9">
        <w:rPr>
          <w:rStyle w:val="FootnoteReference"/>
          <w:rFonts w:ascii="Arial" w:hAnsi="Arial" w:cs="Arial"/>
          <w:sz w:val="16"/>
          <w:szCs w:val="16"/>
        </w:rPr>
        <w:footnoteRef/>
      </w:r>
      <w:r w:rsidRPr="004A1BA9">
        <w:rPr>
          <w:rFonts w:ascii="Arial" w:hAnsi="Arial" w:cs="Arial"/>
          <w:sz w:val="16"/>
          <w:szCs w:val="16"/>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3495C615" w14:textId="77777777" w:rsidR="00BB540E" w:rsidRPr="004A1BA9" w:rsidRDefault="00BB540E" w:rsidP="001E34E2">
      <w:pPr>
        <w:pStyle w:val="FootnoteText"/>
        <w:ind w:firstLine="708"/>
        <w:jc w:val="both"/>
        <w:rPr>
          <w:rFonts w:ascii="Arial" w:hAnsi="Arial" w:cs="Arial"/>
          <w:sz w:val="16"/>
          <w:szCs w:val="16"/>
        </w:rPr>
      </w:pPr>
    </w:p>
  </w:footnote>
  <w:footnote w:id="12">
    <w:p w14:paraId="302B1D3B" w14:textId="77777777" w:rsidR="001E34E2" w:rsidRPr="004A1BA9" w:rsidRDefault="001E34E2" w:rsidP="001E34E2">
      <w:pPr>
        <w:pStyle w:val="NormalWeb"/>
        <w:shd w:val="clear" w:color="auto" w:fill="FFFFFF"/>
        <w:spacing w:after="0"/>
        <w:ind w:firstLine="709"/>
        <w:jc w:val="both"/>
        <w:rPr>
          <w:rFonts w:ascii="Arial" w:hAnsi="Arial" w:cs="Arial"/>
          <w:sz w:val="16"/>
          <w:szCs w:val="16"/>
        </w:rPr>
      </w:pPr>
      <w:r w:rsidRPr="004A1BA9">
        <w:rPr>
          <w:rStyle w:val="FootnoteReference"/>
          <w:rFonts w:ascii="Arial" w:hAnsi="Arial" w:cs="Arial"/>
          <w:sz w:val="16"/>
          <w:szCs w:val="16"/>
        </w:rPr>
        <w:footnoteRef/>
      </w:r>
      <w:r w:rsidRPr="004A1BA9">
        <w:rPr>
          <w:rFonts w:ascii="Arial" w:hAnsi="Arial" w:cs="Arial"/>
          <w:sz w:val="16"/>
          <w:szCs w:val="16"/>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4A1BA9">
          <w:rPr>
            <w:rStyle w:val="Hipervnculo1"/>
            <w:rFonts w:ascii="Arial" w:hAnsi="Arial" w:cs="Arial"/>
            <w:color w:val="auto"/>
            <w:sz w:val="16"/>
            <w:szCs w:val="16"/>
          </w:rPr>
          <w:t>5 </w:t>
        </w:r>
      </w:hyperlink>
      <w:r w:rsidRPr="004A1BA9">
        <w:rPr>
          <w:rFonts w:ascii="Arial" w:hAnsi="Arial" w:cs="Arial"/>
          <w:sz w:val="16"/>
          <w:szCs w:val="16"/>
        </w:rPr>
        <w:t>de la Sección 1 del Capítulo 2 del Título 1 de la Parte 2 del Libro 2, así como los artículos </w:t>
      </w:r>
      <w:hyperlink r:id="rId3" w:anchor="2.2.1.2.4.2.2" w:history="1">
        <w:r w:rsidRPr="004A1BA9">
          <w:rPr>
            <w:rStyle w:val="Hipervnculo1"/>
            <w:rFonts w:ascii="Arial" w:hAnsi="Arial" w:cs="Arial"/>
            <w:color w:val="auto"/>
            <w:sz w:val="16"/>
            <w:szCs w:val="16"/>
          </w:rPr>
          <w:t>2.2.1.2.4.2.2</w:t>
        </w:r>
      </w:hyperlink>
      <w:r w:rsidRPr="004A1BA9">
        <w:rPr>
          <w:rFonts w:ascii="Arial" w:hAnsi="Arial" w:cs="Arial"/>
          <w:sz w:val="16"/>
          <w:szCs w:val="16"/>
        </w:rPr>
        <w:t>., </w:t>
      </w:r>
      <w:hyperlink r:id="rId4" w:anchor="2.2.1.2.4.2.3" w:history="1">
        <w:r w:rsidRPr="004A1BA9">
          <w:rPr>
            <w:rStyle w:val="Hipervnculo1"/>
            <w:rFonts w:ascii="Arial" w:hAnsi="Arial" w:cs="Arial"/>
            <w:color w:val="auto"/>
            <w:sz w:val="16"/>
            <w:szCs w:val="16"/>
          </w:rPr>
          <w:t>2.2.1.2.4.2.3</w:t>
        </w:r>
      </w:hyperlink>
      <w:r w:rsidRPr="004A1BA9">
        <w:rPr>
          <w:rFonts w:ascii="Arial" w:hAnsi="Arial" w:cs="Arial"/>
          <w:sz w:val="16"/>
          <w:szCs w:val="16"/>
        </w:rPr>
        <w:t>., </w:t>
      </w:r>
      <w:hyperlink r:id="rId5" w:anchor="2.2.1.2.4.2.4" w:history="1">
        <w:r w:rsidRPr="004A1BA9">
          <w:rPr>
            <w:rStyle w:val="Hipervnculo1"/>
            <w:rFonts w:ascii="Arial" w:hAnsi="Arial" w:cs="Arial"/>
            <w:color w:val="auto"/>
            <w:sz w:val="16"/>
            <w:szCs w:val="16"/>
          </w:rPr>
          <w:t>2.2.1.2.4.2.4</w:t>
        </w:r>
      </w:hyperlink>
      <w:r w:rsidRPr="004A1BA9">
        <w:rPr>
          <w:rFonts w:ascii="Arial" w:hAnsi="Arial" w:cs="Arial"/>
          <w:sz w:val="16"/>
          <w:szCs w:val="16"/>
        </w:rPr>
        <w:t>., </w:t>
      </w:r>
      <w:hyperlink r:id="rId6" w:anchor="2.2.1.2.1.2.2" w:history="1">
        <w:r w:rsidRPr="004A1BA9">
          <w:rPr>
            <w:rStyle w:val="Hipervnculo1"/>
            <w:rFonts w:ascii="Arial" w:hAnsi="Arial" w:cs="Arial"/>
            <w:color w:val="auto"/>
            <w:sz w:val="16"/>
            <w:szCs w:val="16"/>
          </w:rPr>
          <w:t>2.2.1.2.1.2.2</w:t>
        </w:r>
      </w:hyperlink>
      <w:r w:rsidRPr="004A1BA9">
        <w:rPr>
          <w:rFonts w:ascii="Arial" w:hAnsi="Arial" w:cs="Arial"/>
          <w:sz w:val="16"/>
          <w:szCs w:val="16"/>
        </w:rPr>
        <w:t xml:space="preserve"> y </w:t>
      </w:r>
      <w:hyperlink r:id="rId7" w:anchor="2.2.1.2.4.2.8" w:history="1">
        <w:r w:rsidRPr="004A1BA9">
          <w:rPr>
            <w:rStyle w:val="Hipervnculo1"/>
            <w:rFonts w:ascii="Arial" w:hAnsi="Arial" w:cs="Arial"/>
            <w:color w:val="auto"/>
            <w:sz w:val="16"/>
            <w:szCs w:val="16"/>
          </w:rPr>
          <w:t>2.2.1.2.4.2.8</w:t>
        </w:r>
      </w:hyperlink>
      <w:r w:rsidRPr="004A1BA9">
        <w:rPr>
          <w:rFonts w:ascii="Arial" w:hAnsi="Arial" w:cs="Arial"/>
          <w:sz w:val="16"/>
          <w:szCs w:val="16"/>
        </w:rPr>
        <w:t>.; adiciona los artículos </w:t>
      </w:r>
      <w:hyperlink r:id="rId8" w:anchor="2.2.1.2.4.2.14" w:history="1">
        <w:r w:rsidRPr="004A1BA9">
          <w:rPr>
            <w:rStyle w:val="Hipervnculo1"/>
            <w:rFonts w:ascii="Arial" w:hAnsi="Arial" w:cs="Arial"/>
            <w:color w:val="auto"/>
            <w:sz w:val="16"/>
            <w:szCs w:val="16"/>
          </w:rPr>
          <w:t>2.2.1.2.4.2.14</w:t>
        </w:r>
      </w:hyperlink>
      <w:r w:rsidRPr="004A1BA9">
        <w:rPr>
          <w:rFonts w:ascii="Arial" w:hAnsi="Arial" w:cs="Arial"/>
          <w:sz w:val="16"/>
          <w:szCs w:val="16"/>
        </w:rPr>
        <w:t>., </w:t>
      </w:r>
      <w:hyperlink r:id="rId9" w:anchor="2.2.1.2.4.2.15" w:history="1">
        <w:r w:rsidRPr="004A1BA9">
          <w:rPr>
            <w:rStyle w:val="Hipervnculo1"/>
            <w:rFonts w:ascii="Arial" w:hAnsi="Arial" w:cs="Arial"/>
            <w:color w:val="auto"/>
            <w:sz w:val="16"/>
            <w:szCs w:val="16"/>
          </w:rPr>
          <w:t>2.2.1.2.4.2.15</w:t>
        </w:r>
      </w:hyperlink>
      <w:r w:rsidRPr="004A1BA9">
        <w:rPr>
          <w:rFonts w:ascii="Arial" w:hAnsi="Arial" w:cs="Arial"/>
          <w:sz w:val="16"/>
          <w:szCs w:val="16"/>
        </w:rPr>
        <w:t>., </w:t>
      </w:r>
      <w:hyperlink r:id="rId10" w:anchor="2.2.1.2.4.2.16" w:history="1">
        <w:r w:rsidRPr="004A1BA9">
          <w:rPr>
            <w:rStyle w:val="Hipervnculo1"/>
            <w:rFonts w:ascii="Arial" w:hAnsi="Arial" w:cs="Arial"/>
            <w:color w:val="auto"/>
            <w:sz w:val="16"/>
            <w:szCs w:val="16"/>
          </w:rPr>
          <w:t>2.2.1.2.4.2.16</w:t>
        </w:r>
      </w:hyperlink>
      <w:r w:rsidRPr="004A1BA9">
        <w:rPr>
          <w:rFonts w:ascii="Arial" w:hAnsi="Arial" w:cs="Arial"/>
          <w:sz w:val="16"/>
          <w:szCs w:val="16"/>
        </w:rPr>
        <w:t>., </w:t>
      </w:r>
      <w:hyperlink r:id="rId11" w:anchor="2.2.1.2.4.2.17" w:history="1">
        <w:r w:rsidRPr="004A1BA9">
          <w:rPr>
            <w:rStyle w:val="Hipervnculo1"/>
            <w:rFonts w:ascii="Arial" w:hAnsi="Arial" w:cs="Arial"/>
            <w:color w:val="auto"/>
            <w:sz w:val="16"/>
            <w:szCs w:val="16"/>
          </w:rPr>
          <w:t>2.2.1.2.4.2.17</w:t>
        </w:r>
      </w:hyperlink>
      <w:r w:rsidRPr="004A1BA9">
        <w:rPr>
          <w:rFonts w:ascii="Arial" w:hAnsi="Arial" w:cs="Arial"/>
          <w:sz w:val="16"/>
          <w:szCs w:val="16"/>
        </w:rPr>
        <w:t>. y </w:t>
      </w:r>
      <w:hyperlink r:id="rId12" w:anchor="2.2.1.2.4.2.18" w:history="1">
        <w:r w:rsidRPr="004A1BA9">
          <w:rPr>
            <w:rStyle w:val="Hipervnculo1"/>
            <w:rFonts w:ascii="Arial" w:hAnsi="Arial" w:cs="Arial"/>
            <w:color w:val="auto"/>
            <w:sz w:val="16"/>
            <w:szCs w:val="16"/>
          </w:rPr>
          <w:t>2.2.1.2.4.2.18</w:t>
        </w:r>
      </w:hyperlink>
      <w:r w:rsidRPr="004A1BA9">
        <w:rPr>
          <w:rFonts w:ascii="Arial" w:hAnsi="Arial" w:cs="Arial"/>
          <w:sz w:val="16"/>
          <w:szCs w:val="16"/>
        </w:rPr>
        <w:t>.; adiciona un </w:t>
      </w:r>
      <w:hyperlink r:id="rId13" w:anchor="2.2.1.2.3.1.9.p" w:history="1">
        <w:r w:rsidRPr="004A1BA9">
          <w:rPr>
            <w:rStyle w:val="Hipervnculo1"/>
            <w:rFonts w:ascii="Arial" w:hAnsi="Arial" w:cs="Arial"/>
            <w:color w:val="auto"/>
            <w:sz w:val="16"/>
            <w:szCs w:val="16"/>
          </w:rPr>
          <w:t>parágrafo </w:t>
        </w:r>
      </w:hyperlink>
      <w:r w:rsidRPr="004A1BA9">
        <w:rPr>
          <w:rFonts w:ascii="Arial" w:hAnsi="Arial" w:cs="Arial"/>
          <w:sz w:val="16"/>
          <w:szCs w:val="16"/>
        </w:rPr>
        <w:t>al artículo </w:t>
      </w:r>
      <w:hyperlink r:id="rId14" w:anchor="2.2.1.2.3.1.9" w:history="1">
        <w:r w:rsidRPr="004A1BA9">
          <w:rPr>
            <w:rStyle w:val="Hipervnculo1"/>
            <w:rFonts w:ascii="Arial" w:hAnsi="Arial" w:cs="Arial"/>
            <w:color w:val="auto"/>
            <w:sz w:val="16"/>
            <w:szCs w:val="16"/>
          </w:rPr>
          <w:t>2.2.1.2.3.1.9</w:t>
        </w:r>
      </w:hyperlink>
      <w:r w:rsidRPr="004A1BA9">
        <w:rPr>
          <w:rFonts w:ascii="Arial" w:hAnsi="Arial" w:cs="Arial"/>
          <w:sz w:val="16"/>
          <w:szCs w:val="16"/>
        </w:rPr>
        <w:t>; y deroga el artículo </w:t>
      </w:r>
      <w:hyperlink r:id="rId15" w:anchor="2.2.1.1.2.2.9" w:history="1">
        <w:r w:rsidRPr="004A1BA9">
          <w:rPr>
            <w:rStyle w:val="Hipervnculo1"/>
            <w:rFonts w:ascii="Arial" w:hAnsi="Arial" w:cs="Arial"/>
            <w:color w:val="auto"/>
            <w:sz w:val="16"/>
            <w:szCs w:val="16"/>
          </w:rPr>
          <w:t>2.2.1.1.2.2.9</w:t>
        </w:r>
      </w:hyperlink>
      <w:r w:rsidRPr="004A1BA9">
        <w:rPr>
          <w:rFonts w:ascii="Arial" w:hAnsi="Arial" w:cs="Arial"/>
          <w:sz w:val="16"/>
          <w:szCs w:val="16"/>
        </w:rPr>
        <w:t>. del Decreto 1082 de 2015, Único Reglamentario del Sector Administrativo de Planeación Nacional.</w:t>
      </w:r>
    </w:p>
    <w:p w14:paraId="010D297E" w14:textId="77777777" w:rsidR="001E34E2" w:rsidRPr="004A1BA9" w:rsidRDefault="001E34E2" w:rsidP="001E34E2">
      <w:pPr>
        <w:pStyle w:val="NormalWeb"/>
        <w:shd w:val="clear" w:color="auto" w:fill="FFFFFF"/>
        <w:spacing w:after="0"/>
        <w:jc w:val="both"/>
        <w:rPr>
          <w:rFonts w:ascii="Arial" w:hAnsi="Arial" w:cs="Arial"/>
          <w:sz w:val="16"/>
          <w:szCs w:val="16"/>
        </w:rPr>
      </w:pPr>
      <w:r w:rsidRPr="004A1BA9">
        <w:rPr>
          <w:rFonts w:ascii="Arial" w:hAnsi="Arial" w:cs="Arial"/>
          <w:b/>
          <w:bCs/>
          <w:sz w:val="16"/>
          <w:szCs w:val="16"/>
        </w:rPr>
        <w:t> </w:t>
      </w:r>
      <w:r w:rsidRPr="004A1BA9">
        <w:rPr>
          <w:rFonts w:ascii="Arial" w:hAnsi="Arial" w:cs="Arial"/>
          <w:b/>
          <w:bCs/>
          <w:sz w:val="16"/>
          <w:szCs w:val="16"/>
        </w:rPr>
        <w:tab/>
        <w:t>“</w:t>
      </w:r>
      <w:r w:rsidRPr="004A1BA9">
        <w:rPr>
          <w:rFonts w:ascii="Arial" w:hAnsi="Arial" w:cs="Arial"/>
          <w:sz w:val="16"/>
          <w:szCs w:val="16"/>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70FD7E11" w14:textId="77777777" w:rsidR="001E34E2" w:rsidRPr="004A1BA9" w:rsidRDefault="001E34E2" w:rsidP="001E34E2">
      <w:pPr>
        <w:pStyle w:val="NormalWeb"/>
        <w:shd w:val="clear" w:color="auto" w:fill="FFFFFF"/>
        <w:spacing w:after="0"/>
        <w:jc w:val="both"/>
        <w:rPr>
          <w:rFonts w:ascii="Arial" w:hAnsi="Arial" w:cs="Arial"/>
          <w:sz w:val="16"/>
          <w:szCs w:val="16"/>
        </w:rPr>
      </w:pPr>
      <w:r w:rsidRPr="004A1BA9">
        <w:rPr>
          <w:rFonts w:ascii="Arial" w:hAnsi="Arial" w:cs="Arial"/>
          <w:sz w:val="16"/>
          <w:szCs w:val="16"/>
        </w:rPr>
        <w:t> </w:t>
      </w:r>
      <w:r w:rsidRPr="004A1BA9">
        <w:rPr>
          <w:rFonts w:ascii="Arial" w:hAnsi="Arial" w:cs="Arial"/>
          <w:sz w:val="16"/>
          <w:szCs w:val="16"/>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Header"/>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93018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053D"/>
    <w:rsid w:val="00164D81"/>
    <w:rsid w:val="001A1011"/>
    <w:rsid w:val="001A48D0"/>
    <w:rsid w:val="001E34E2"/>
    <w:rsid w:val="002653C1"/>
    <w:rsid w:val="0026611D"/>
    <w:rsid w:val="002951A0"/>
    <w:rsid w:val="002A64FD"/>
    <w:rsid w:val="002F0839"/>
    <w:rsid w:val="00301469"/>
    <w:rsid w:val="00306EE1"/>
    <w:rsid w:val="00310B9B"/>
    <w:rsid w:val="0036461C"/>
    <w:rsid w:val="00367884"/>
    <w:rsid w:val="0039439C"/>
    <w:rsid w:val="003B69E7"/>
    <w:rsid w:val="003C013B"/>
    <w:rsid w:val="003D0F4D"/>
    <w:rsid w:val="003F58A1"/>
    <w:rsid w:val="00410DD6"/>
    <w:rsid w:val="004134C9"/>
    <w:rsid w:val="00424B47"/>
    <w:rsid w:val="0043138C"/>
    <w:rsid w:val="0044060C"/>
    <w:rsid w:val="00462A59"/>
    <w:rsid w:val="004A1847"/>
    <w:rsid w:val="004A1BA9"/>
    <w:rsid w:val="004B6B0E"/>
    <w:rsid w:val="004D25B3"/>
    <w:rsid w:val="004F1BA6"/>
    <w:rsid w:val="00511405"/>
    <w:rsid w:val="00526E9D"/>
    <w:rsid w:val="00547856"/>
    <w:rsid w:val="00547A74"/>
    <w:rsid w:val="005566E8"/>
    <w:rsid w:val="005746AB"/>
    <w:rsid w:val="0059357F"/>
    <w:rsid w:val="005A1130"/>
    <w:rsid w:val="005B7A71"/>
    <w:rsid w:val="005D65C8"/>
    <w:rsid w:val="006219F8"/>
    <w:rsid w:val="00681FDB"/>
    <w:rsid w:val="006A7629"/>
    <w:rsid w:val="006A7DAD"/>
    <w:rsid w:val="006D70BA"/>
    <w:rsid w:val="007363DB"/>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5342C"/>
    <w:rsid w:val="009A2641"/>
    <w:rsid w:val="009D065A"/>
    <w:rsid w:val="009F33F2"/>
    <w:rsid w:val="009F6C77"/>
    <w:rsid w:val="00A07532"/>
    <w:rsid w:val="00A1085C"/>
    <w:rsid w:val="00A309E2"/>
    <w:rsid w:val="00A601F9"/>
    <w:rsid w:val="00A8066E"/>
    <w:rsid w:val="00AA4B8A"/>
    <w:rsid w:val="00AA6BF7"/>
    <w:rsid w:val="00B01ED6"/>
    <w:rsid w:val="00B06D09"/>
    <w:rsid w:val="00B771A9"/>
    <w:rsid w:val="00B809BB"/>
    <w:rsid w:val="00B8248A"/>
    <w:rsid w:val="00BB540E"/>
    <w:rsid w:val="00BB7726"/>
    <w:rsid w:val="00C2329E"/>
    <w:rsid w:val="00C30461"/>
    <w:rsid w:val="00C754BE"/>
    <w:rsid w:val="00C87572"/>
    <w:rsid w:val="00C9405D"/>
    <w:rsid w:val="00CC1B26"/>
    <w:rsid w:val="00CD284F"/>
    <w:rsid w:val="00CF23AA"/>
    <w:rsid w:val="00D01921"/>
    <w:rsid w:val="00D752B7"/>
    <w:rsid w:val="00DA1854"/>
    <w:rsid w:val="00DB0887"/>
    <w:rsid w:val="00DF1E43"/>
    <w:rsid w:val="00E20894"/>
    <w:rsid w:val="00E26B7C"/>
    <w:rsid w:val="00E60C7A"/>
    <w:rsid w:val="00EA3003"/>
    <w:rsid w:val="00EB3C91"/>
    <w:rsid w:val="00EB66DA"/>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Heading1">
    <w:name w:val="heading 1"/>
    <w:basedOn w:val="Normal"/>
    <w:link w:val="Heading1Ch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Heading1Char">
    <w:name w:val="Heading 1 Char"/>
    <w:basedOn w:val="DefaultParagraphFont"/>
    <w:link w:val="Heading1"/>
    <w:uiPriority w:val="9"/>
    <w:rsid w:val="00904F23"/>
    <w:rPr>
      <w:rFonts w:ascii="Arial" w:eastAsia="Arial" w:hAnsi="Arial" w:cs="Arial"/>
      <w:b/>
      <w:bCs/>
      <w:lang w:val="es-ES"/>
    </w:rPr>
  </w:style>
  <w:style w:type="character" w:styleId="CommentReference">
    <w:name w:val="annotation reference"/>
    <w:basedOn w:val="DefaultParagraphFont"/>
    <w:uiPriority w:val="99"/>
    <w:semiHidden/>
    <w:unhideWhenUsed/>
    <w:rsid w:val="00511405"/>
    <w:rPr>
      <w:sz w:val="16"/>
      <w:szCs w:val="16"/>
    </w:rPr>
  </w:style>
  <w:style w:type="paragraph" w:styleId="CommentText">
    <w:name w:val="annotation text"/>
    <w:basedOn w:val="Normal"/>
    <w:link w:val="CommentTextChar"/>
    <w:uiPriority w:val="99"/>
    <w:unhideWhenUsed/>
    <w:rsid w:val="00511405"/>
    <w:pPr>
      <w:spacing w:line="240" w:lineRule="auto"/>
    </w:pPr>
    <w:rPr>
      <w:sz w:val="20"/>
      <w:szCs w:val="20"/>
    </w:rPr>
  </w:style>
  <w:style w:type="character" w:customStyle="1" w:styleId="CommentTextChar">
    <w:name w:val="Comment Text Char"/>
    <w:basedOn w:val="DefaultParagraphFont"/>
    <w:link w:val="CommentText"/>
    <w:uiPriority w:val="99"/>
    <w:rsid w:val="00511405"/>
    <w:rPr>
      <w:sz w:val="20"/>
      <w:szCs w:val="20"/>
    </w:rPr>
  </w:style>
  <w:style w:type="paragraph" w:styleId="Revision">
    <w:name w:val="Revision"/>
    <w:hidden/>
    <w:uiPriority w:val="99"/>
    <w:semiHidden/>
    <w:rsid w:val="00511405"/>
    <w:pPr>
      <w:spacing w:after="0" w:line="240" w:lineRule="auto"/>
    </w:pPr>
  </w:style>
  <w:style w:type="paragraph" w:styleId="CommentSubject">
    <w:name w:val="annotation subject"/>
    <w:basedOn w:val="CommentText"/>
    <w:next w:val="CommentText"/>
    <w:link w:val="CommentSubjectChar"/>
    <w:uiPriority w:val="99"/>
    <w:semiHidden/>
    <w:unhideWhenUsed/>
    <w:rsid w:val="00511405"/>
    <w:rPr>
      <w:b/>
      <w:bCs/>
    </w:rPr>
  </w:style>
  <w:style w:type="character" w:customStyle="1" w:styleId="CommentSubjectChar">
    <w:name w:val="Comment Subject Char"/>
    <w:basedOn w:val="CommentTextChar"/>
    <w:link w:val="CommentSubject"/>
    <w:uiPriority w:val="99"/>
    <w:semiHidden/>
    <w:rsid w:val="00511405"/>
    <w:rPr>
      <w:b/>
      <w:bCs/>
      <w:sz w:val="20"/>
      <w:szCs w:val="20"/>
    </w:rPr>
  </w:style>
  <w:style w:type="paragraph" w:styleId="NormalWeb">
    <w:name w:val="Normal (Web)"/>
    <w:basedOn w:val="Normal"/>
    <w:uiPriority w:val="99"/>
    <w:semiHidden/>
    <w:unhideWhenUsed/>
    <w:rsid w:val="001E34E2"/>
    <w:rPr>
      <w:rFonts w:ascii="Times New Roman" w:hAnsi="Times New Roman" w:cs="Times New Roman"/>
      <w:sz w:val="24"/>
      <w:szCs w:val="24"/>
    </w:rPr>
  </w:style>
  <w:style w:type="character" w:customStyle="1" w:styleId="Hipervnculo1">
    <w:name w:val="Hipervínculo1"/>
    <w:basedOn w:val="DefaultParagraphFont"/>
    <w:uiPriority w:val="99"/>
    <w:unhideWhenUsed/>
    <w:rsid w:val="001E34E2"/>
    <w:rPr>
      <w:color w:val="F2F2F2"/>
      <w:u w:val="single"/>
    </w:rPr>
  </w:style>
  <w:style w:type="paragraph" w:customStyle="1" w:styleId="Appelnotedebasde">
    <w:name w:val="Appel note de bas de..."/>
    <w:basedOn w:val="Normal"/>
    <w:link w:val="FootnoteReference"/>
    <w:uiPriority w:val="99"/>
    <w:rsid w:val="001E34E2"/>
    <w:pPr>
      <w:spacing w:line="240" w:lineRule="exact"/>
    </w:pPr>
    <w:rPr>
      <w:vertAlign w:val="superscript"/>
    </w:rPr>
  </w:style>
  <w:style w:type="character" w:styleId="Hyperlink">
    <w:name w:val="Hyperlink"/>
    <w:basedOn w:val="DefaultParagraphFont"/>
    <w:uiPriority w:val="99"/>
    <w:semiHidden/>
    <w:unhideWhenUsed/>
    <w:rsid w:val="001E34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49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relatoria.colombiacompra.gov.co/busqueda/conceptos"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DE01FA43-1D77-453C-8D4A-D83104213465}"/>
</file>

<file path=docProps/app.xml><?xml version="1.0" encoding="utf-8"?>
<Properties xmlns="http://schemas.openxmlformats.org/officeDocument/2006/extended-properties" xmlns:vt="http://schemas.openxmlformats.org/officeDocument/2006/docPropsVTypes">
  <Template>Normal</Template>
  <TotalTime>3</TotalTime>
  <Pages>14</Pages>
  <Words>6089</Words>
  <Characters>33492</Characters>
  <Application>Microsoft Office Word</Application>
  <DocSecurity>0</DocSecurity>
  <Lines>279</Lines>
  <Paragraphs>79</Paragraphs>
  <ScaleCrop>false</ScaleCrop>
  <Company/>
  <LinksUpToDate>false</LinksUpToDate>
  <CharactersWithSpaces>39502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Ximena Ríos López</cp:lastModifiedBy>
  <cp:revision>5</cp:revision>
  <dcterms:created xsi:type="dcterms:W3CDTF">2023-06-08T21:25:00Z</dcterms:created>
  <dcterms:modified xsi:type="dcterms:W3CDTF">2023-06-20T15:01:00Z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