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1DA7C" w14:textId="77777777" w:rsidR="00DB3754" w:rsidRPr="00C9546D" w:rsidRDefault="00DB3754" w:rsidP="00DB3754">
      <w:pPr>
        <w:spacing w:after="0" w:line="240" w:lineRule="auto"/>
        <w:rPr>
          <w:rFonts w:ascii="Arial" w:eastAsia="Calibri" w:hAnsi="Arial" w:cs="Arial"/>
          <w:b/>
          <w:lang w:val="es-MX" w:eastAsia="es-ES_tradnl"/>
        </w:rPr>
      </w:pPr>
      <w:bookmarkStart w:id="0" w:name="_Hlk94281581"/>
      <w:bookmarkStart w:id="1" w:name="_Hlk102489058"/>
      <w:bookmarkStart w:id="2" w:name="_Hlk34951122"/>
      <w:r w:rsidRPr="00C9546D">
        <w:rPr>
          <w:rFonts w:ascii="Arial" w:eastAsia="Calibri" w:hAnsi="Arial" w:cs="Arial"/>
          <w:b/>
          <w:lang w:val="es-MX" w:eastAsia="es-ES_tradnl"/>
        </w:rPr>
        <w:t>INHABILIDADES – Definición – Finalidad – Limitación capacidad contractual</w:t>
      </w:r>
    </w:p>
    <w:p w14:paraId="78879B30" w14:textId="77777777" w:rsidR="00DB3754" w:rsidRPr="00C9546D" w:rsidRDefault="00DB3754" w:rsidP="00DB3754">
      <w:pPr>
        <w:spacing w:after="0" w:line="240" w:lineRule="auto"/>
        <w:rPr>
          <w:rFonts w:ascii="Arial" w:eastAsia="Calibri" w:hAnsi="Arial" w:cs="Arial"/>
          <w:bCs/>
          <w:sz w:val="20"/>
          <w:szCs w:val="20"/>
          <w:lang w:val="es-MX" w:eastAsia="es-ES_tradnl"/>
        </w:rPr>
      </w:pPr>
    </w:p>
    <w:p w14:paraId="05597FF8" w14:textId="77777777" w:rsidR="00DB3754" w:rsidRPr="00C9546D" w:rsidRDefault="00DB3754" w:rsidP="00DB3754">
      <w:pPr>
        <w:spacing w:after="0" w:line="240" w:lineRule="auto"/>
        <w:jc w:val="both"/>
        <w:rPr>
          <w:rFonts w:ascii="Arial" w:eastAsia="Geomanist Light" w:hAnsi="Arial" w:cs="Arial"/>
          <w:color w:val="000000" w:themeColor="text1"/>
          <w:sz w:val="20"/>
          <w:szCs w:val="20"/>
          <w:lang w:val="es-MX"/>
        </w:rPr>
      </w:pPr>
      <w:r w:rsidRPr="00C9546D">
        <w:rPr>
          <w:rFonts w:ascii="Arial" w:eastAsia="Geomanist Light" w:hAnsi="Arial" w:cs="Arial"/>
          <w:color w:val="000000" w:themeColor="text1"/>
          <w:sz w:val="20"/>
          <w:szCs w:val="20"/>
          <w:lang w:val="es-MX"/>
        </w:rPr>
        <w:t>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 La consagración limitaciones que afectan la capacidad jurídica para contratar desarrolla los principios de la función administrativa consagrados en el artículo 209 de la Constitución Política, con especial énfasis el de moralidad.</w:t>
      </w:r>
    </w:p>
    <w:p w14:paraId="558F0690" w14:textId="77777777" w:rsidR="00DB3754" w:rsidRPr="00C9546D" w:rsidRDefault="00DB3754" w:rsidP="00DB3754">
      <w:pPr>
        <w:spacing w:after="0" w:line="240" w:lineRule="auto"/>
        <w:jc w:val="both"/>
        <w:rPr>
          <w:rFonts w:ascii="Arial" w:eastAsia="Geomanist Light" w:hAnsi="Arial" w:cs="Arial"/>
          <w:color w:val="000000" w:themeColor="text1"/>
          <w:sz w:val="20"/>
          <w:szCs w:val="20"/>
          <w:lang w:val="es-MX"/>
        </w:rPr>
      </w:pPr>
    </w:p>
    <w:p w14:paraId="6AFBA85D" w14:textId="77777777" w:rsidR="00DB3754" w:rsidRPr="00C9546D" w:rsidRDefault="00DB3754" w:rsidP="00DB3754">
      <w:pPr>
        <w:spacing w:after="0" w:line="240" w:lineRule="auto"/>
        <w:jc w:val="both"/>
        <w:rPr>
          <w:rFonts w:ascii="Arial" w:eastAsia="Calibri" w:hAnsi="Arial" w:cs="Arial"/>
          <w:b/>
          <w:lang w:val="es-MX" w:eastAsia="es-ES_tradnl"/>
        </w:rPr>
      </w:pPr>
      <w:r w:rsidRPr="00C9546D">
        <w:rPr>
          <w:rFonts w:ascii="Arial" w:eastAsia="Calibri" w:hAnsi="Arial" w:cs="Arial"/>
          <w:b/>
          <w:lang w:val="es-MX" w:eastAsia="es-ES_tradnl"/>
        </w:rPr>
        <w:t>CONTRATACIÓN ESTATAL – Capacidad – Validez contratos – Régimen de contratación – Inscripción – Limitación de la capacidad</w:t>
      </w:r>
    </w:p>
    <w:p w14:paraId="5376E0C2" w14:textId="77777777" w:rsidR="00DB3754" w:rsidRPr="00C9546D" w:rsidRDefault="00DB3754" w:rsidP="00DB3754">
      <w:pPr>
        <w:spacing w:after="0" w:line="240" w:lineRule="auto"/>
        <w:jc w:val="both"/>
        <w:rPr>
          <w:rFonts w:ascii="Arial" w:eastAsia="Calibri" w:hAnsi="Arial" w:cs="Arial"/>
          <w:bCs/>
          <w:sz w:val="20"/>
          <w:szCs w:val="20"/>
          <w:lang w:val="es-MX" w:eastAsia="es-ES_tradnl"/>
        </w:rPr>
      </w:pPr>
    </w:p>
    <w:p w14:paraId="12995EC0" w14:textId="77777777" w:rsidR="00DB3754" w:rsidRPr="00C9546D" w:rsidRDefault="00DB3754" w:rsidP="00DB3754">
      <w:pPr>
        <w:spacing w:after="0" w:line="240" w:lineRule="auto"/>
        <w:jc w:val="both"/>
        <w:rPr>
          <w:rFonts w:ascii="Arial" w:eastAsia="Calibri" w:hAnsi="Arial" w:cs="Arial"/>
          <w:bCs/>
          <w:sz w:val="20"/>
          <w:szCs w:val="20"/>
          <w:lang w:val="es-MX" w:eastAsia="es-ES_tradnl"/>
        </w:rPr>
      </w:pPr>
      <w:r w:rsidRPr="00C9546D">
        <w:rPr>
          <w:rFonts w:ascii="Arial" w:eastAsia="Calibri" w:hAnsi="Arial" w:cs="Arial"/>
          <w:bCs/>
          <w:sz w:val="20"/>
          <w:szCs w:val="20"/>
          <w:lang w:val="es-MX" w:eastAsia="es-ES_tradnl"/>
        </w:rPr>
        <w:t>[…] en la contratación estatal, la capacidad también es un requisito de validez de los contratos, tanto en el régimen de las entidades sujetas al Estatuto General de Contratación de la Administración Pública como en el de las entidades exceptuadas de aquel. Si bien la regulación de la capacidad se integra por varias disposiciones y exigencias especiales –como el requisito de inscribirse, por regla general, en el Registro Único de Proponentes (RUP), establecido en el artículo 6 de la Ley 1150 de 2007, modificado por el artículo 221 del Decreto 19 de 2012 –, se destaca el régimen de inhabilidades e incompatibilidades como un conjunto de normas que imponen restricciones para los sujetos que, eventualmente, pretendan participar en los procedimientos de selección o celebrar contratos con las entidades estatales.</w:t>
      </w:r>
    </w:p>
    <w:p w14:paraId="20D4B149" w14:textId="77777777" w:rsidR="00DB3754" w:rsidRPr="00C9546D" w:rsidRDefault="00DB3754" w:rsidP="00DB3754">
      <w:pPr>
        <w:spacing w:after="0" w:line="240" w:lineRule="auto"/>
        <w:jc w:val="both"/>
        <w:rPr>
          <w:rFonts w:ascii="Arial" w:eastAsia="Calibri" w:hAnsi="Arial" w:cs="Arial"/>
          <w:bCs/>
          <w:sz w:val="20"/>
          <w:szCs w:val="20"/>
          <w:lang w:val="es-MX" w:eastAsia="es-ES_tradnl"/>
        </w:rPr>
      </w:pPr>
    </w:p>
    <w:p w14:paraId="1AA20694" w14:textId="77777777" w:rsidR="00DB3754" w:rsidRPr="00C9546D" w:rsidRDefault="00DB3754" w:rsidP="00DB3754">
      <w:pPr>
        <w:spacing w:after="0" w:line="240" w:lineRule="auto"/>
        <w:jc w:val="both"/>
        <w:rPr>
          <w:rFonts w:ascii="Arial" w:eastAsia="Calibri" w:hAnsi="Arial" w:cs="Arial"/>
          <w:bCs/>
          <w:sz w:val="20"/>
          <w:szCs w:val="20"/>
          <w:lang w:val="es-MX" w:eastAsia="es-ES_tradnl"/>
        </w:rPr>
      </w:pPr>
      <w:r w:rsidRPr="00C9546D">
        <w:rPr>
          <w:rFonts w:ascii="Arial" w:eastAsia="Calibri" w:hAnsi="Arial" w:cs="Arial"/>
          <w:bCs/>
          <w:sz w:val="20"/>
          <w:szCs w:val="20"/>
          <w:lang w:val="es-MX" w:eastAsia="es-ES_tradnl"/>
        </w:rPr>
        <w:t xml:space="preserve">Las inhabilidades son prohibiciones para concurrir a los procedimientos de selección y para contratar con el Estado, que se derivan: i) de la existencia de comportamientos reprochables o de sanciones anteriormente impuestas, </w:t>
      </w:r>
      <w:proofErr w:type="spellStart"/>
      <w:r w:rsidRPr="00C9546D">
        <w:rPr>
          <w:rFonts w:ascii="Arial" w:eastAsia="Calibri" w:hAnsi="Arial" w:cs="Arial"/>
          <w:bCs/>
          <w:sz w:val="20"/>
          <w:szCs w:val="20"/>
          <w:lang w:val="es-MX" w:eastAsia="es-ES_tradnl"/>
        </w:rPr>
        <w:t>ii</w:t>
      </w:r>
      <w:proofErr w:type="spellEnd"/>
      <w:r w:rsidRPr="00C9546D">
        <w:rPr>
          <w:rFonts w:ascii="Arial" w:eastAsia="Calibri" w:hAnsi="Arial" w:cs="Arial"/>
          <w:bCs/>
          <w:sz w:val="20"/>
          <w:szCs w:val="20"/>
          <w:lang w:val="es-MX" w:eastAsia="es-ES_tradnl"/>
        </w:rPr>
        <w:t xml:space="preserve">) de vínculos personales relativos al parentesco o al estado civil o </w:t>
      </w:r>
      <w:proofErr w:type="spellStart"/>
      <w:r w:rsidRPr="00C9546D">
        <w:rPr>
          <w:rFonts w:ascii="Arial" w:eastAsia="Calibri" w:hAnsi="Arial" w:cs="Arial"/>
          <w:bCs/>
          <w:sz w:val="20"/>
          <w:szCs w:val="20"/>
          <w:lang w:val="es-MX" w:eastAsia="es-ES_tradnl"/>
        </w:rPr>
        <w:t>iii</w:t>
      </w:r>
      <w:proofErr w:type="spellEnd"/>
      <w:r w:rsidRPr="00C9546D">
        <w:rPr>
          <w:rFonts w:ascii="Arial" w:eastAsia="Calibri" w:hAnsi="Arial" w:cs="Arial"/>
          <w:bCs/>
          <w:sz w:val="20"/>
          <w:szCs w:val="20"/>
          <w:lang w:val="es-MX" w:eastAsia="es-ES_tradnl"/>
        </w:rPr>
        <w:t>) de una actividad u oficio que se desempeñó en el pasado. De otro lado, las incompatibilidades, según un sector de la doctrina,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 En todo caso, a pesar de la existencia de distintos criterios para diferenciar las inhabilidades de las incompatibilidades, de la presencia de ellas se derivan las mismas consecuencias jurídicas, esto es, la limitación de la capacidad contractual. De manera que la presencia de ellas impide que se puedan celebrar contratos con el Estado o participar en procedimientos de selección de las entidades estatales, por lo que de cualquiera de ellas se derivan los mismos efectos jurídicos.</w:t>
      </w:r>
    </w:p>
    <w:p w14:paraId="54E31310" w14:textId="77777777" w:rsidR="00DB3754" w:rsidRPr="00C9546D" w:rsidRDefault="00DB3754" w:rsidP="00DB3754">
      <w:pPr>
        <w:spacing w:after="0" w:line="240" w:lineRule="auto"/>
        <w:jc w:val="both"/>
        <w:rPr>
          <w:rFonts w:ascii="Arial" w:eastAsia="Geomanist Light" w:hAnsi="Arial" w:cs="Arial"/>
          <w:color w:val="000000" w:themeColor="text1"/>
          <w:sz w:val="20"/>
          <w:szCs w:val="20"/>
          <w:lang w:val="es-MX"/>
        </w:rPr>
      </w:pPr>
    </w:p>
    <w:p w14:paraId="265F289A" w14:textId="77777777" w:rsidR="00DB3754" w:rsidRPr="00C9546D" w:rsidRDefault="00DB3754" w:rsidP="00DB3754">
      <w:pPr>
        <w:spacing w:after="0" w:line="240" w:lineRule="auto"/>
        <w:rPr>
          <w:rFonts w:ascii="Arial" w:eastAsia="Calibri" w:hAnsi="Arial" w:cs="Arial"/>
          <w:b/>
          <w:lang w:val="es-MX" w:eastAsia="es-ES_tradnl"/>
        </w:rPr>
      </w:pPr>
      <w:r w:rsidRPr="00C9546D">
        <w:rPr>
          <w:rFonts w:ascii="Arial" w:eastAsia="Calibri" w:hAnsi="Arial" w:cs="Arial"/>
          <w:b/>
          <w:lang w:val="es-MX" w:eastAsia="es-ES_tradnl"/>
        </w:rPr>
        <w:t>INHABILIDADES – Taxatividad – Principio de legalidad – Interpretación restrictiva</w:t>
      </w:r>
    </w:p>
    <w:p w14:paraId="2BA562FB" w14:textId="77777777" w:rsidR="00DB3754" w:rsidRPr="00C9546D" w:rsidRDefault="00DB3754" w:rsidP="00DB3754">
      <w:pPr>
        <w:spacing w:after="0" w:line="240" w:lineRule="auto"/>
        <w:rPr>
          <w:rFonts w:ascii="Arial" w:eastAsia="Calibri" w:hAnsi="Arial" w:cs="Arial"/>
          <w:bCs/>
          <w:sz w:val="20"/>
          <w:szCs w:val="20"/>
          <w:lang w:val="es-MX" w:eastAsia="es-ES_tradnl"/>
        </w:rPr>
      </w:pPr>
    </w:p>
    <w:p w14:paraId="02D2F228" w14:textId="77777777" w:rsidR="00DB3754" w:rsidRPr="00374831" w:rsidRDefault="00DB3754" w:rsidP="00DB3754">
      <w:pPr>
        <w:spacing w:after="0" w:line="240" w:lineRule="auto"/>
        <w:jc w:val="both"/>
        <w:rPr>
          <w:rFonts w:ascii="Arial" w:eastAsia="Calibri" w:hAnsi="Arial" w:cs="Arial"/>
          <w:bCs/>
          <w:sz w:val="20"/>
          <w:szCs w:val="20"/>
          <w:lang w:val="es-MX" w:eastAsia="es-ES_tradnl"/>
        </w:rPr>
      </w:pPr>
      <w:r w:rsidRPr="00C9546D">
        <w:rPr>
          <w:rFonts w:ascii="Arial" w:eastAsia="Calibri" w:hAnsi="Arial" w:cs="Arial"/>
          <w:bCs/>
          <w:sz w:val="20"/>
          <w:szCs w:val="20"/>
          <w:lang w:val="es-MX" w:eastAsia="es-ES_tradnl"/>
        </w:rPr>
        <w:t xml:space="preserve">[…] la doctrina y la jurisprudencia son pacíficas en considerar que la creación de inhabilidades e incompatibilidades es un asunto con reserva de ley, en tanto, “[…] su previsión y desarrollo es materia exclusiva del legislador (reserva de ley), quien en virtud del principio democrático debe definir y tipificar expresamente sus causas, vigencia, naturaleza y efectos”. En similar sentido, la Sala de Consulta y Servicio Civil del Consejo de Estado expresó que “[…] las causales de inhabilidad e incompatibilidad deben estar expresa y taxativamente establecidas en la Constitución o en la ley y son de aplicación e interpretación restrictivas […]”. En este sentido, como se observa, existe consenso, incluso como lo ha expresado esta </w:t>
      </w:r>
      <w:r w:rsidRPr="00C9546D">
        <w:rPr>
          <w:rFonts w:ascii="Arial" w:eastAsia="Calibri" w:hAnsi="Arial" w:cs="Arial"/>
          <w:bCs/>
          <w:sz w:val="20"/>
          <w:szCs w:val="20"/>
          <w:lang w:val="es-MX" w:eastAsia="es-ES_tradnl"/>
        </w:rPr>
        <w:lastRenderedPageBreak/>
        <w:t>Agencia en ocasiones anteriores, que la creación de inhabilidades o incompatibilidades está reservada al constituyente o al legislador.</w:t>
      </w:r>
    </w:p>
    <w:p w14:paraId="71A09A22" w14:textId="77777777" w:rsidR="00DB3754" w:rsidRDefault="00DB3754" w:rsidP="00DB3754">
      <w:pPr>
        <w:spacing w:after="0"/>
        <w:rPr>
          <w:rFonts w:ascii="Arial" w:eastAsia="Calibri" w:hAnsi="Arial" w:cs="Arial"/>
          <w:bCs/>
          <w:lang w:val="es-MX" w:eastAsia="es-ES_tradnl"/>
        </w:rPr>
      </w:pPr>
    </w:p>
    <w:p w14:paraId="3945EDA2" w14:textId="77777777" w:rsidR="00DB3754" w:rsidRPr="00711FEA" w:rsidRDefault="00DB3754" w:rsidP="00DB3754">
      <w:pPr>
        <w:spacing w:after="0" w:line="240" w:lineRule="auto"/>
        <w:rPr>
          <w:rFonts w:ascii="Arial" w:eastAsia="Calibri" w:hAnsi="Arial" w:cs="Arial"/>
          <w:b/>
          <w:lang w:val="es-MX" w:eastAsia="es-ES_tradnl"/>
        </w:rPr>
      </w:pPr>
      <w:r w:rsidRPr="00711FEA">
        <w:rPr>
          <w:rFonts w:ascii="Arial" w:eastAsia="Calibri" w:hAnsi="Arial" w:cs="Arial"/>
          <w:b/>
          <w:lang w:val="es-MX" w:eastAsia="es-ES_tradnl"/>
        </w:rPr>
        <w:t>RESPONSABILIDAD FISCAL – Boletín de responsables fiscales – Alcance</w:t>
      </w:r>
    </w:p>
    <w:p w14:paraId="4ABA442E" w14:textId="77777777" w:rsidR="00DB3754" w:rsidRPr="00396788" w:rsidRDefault="00DB3754" w:rsidP="00DB3754">
      <w:pPr>
        <w:spacing w:after="0" w:line="240" w:lineRule="auto"/>
        <w:rPr>
          <w:rFonts w:ascii="Arial" w:eastAsia="Calibri" w:hAnsi="Arial" w:cs="Arial"/>
          <w:bCs/>
          <w:sz w:val="20"/>
          <w:szCs w:val="20"/>
          <w:highlight w:val="yellow"/>
          <w:lang w:val="es-MX" w:eastAsia="es-ES_tradnl"/>
        </w:rPr>
      </w:pPr>
    </w:p>
    <w:p w14:paraId="66D67ADD" w14:textId="77777777" w:rsidR="00DB3754" w:rsidRPr="00711FEA" w:rsidRDefault="00DB3754" w:rsidP="00DB3754">
      <w:pPr>
        <w:spacing w:after="0" w:line="240" w:lineRule="auto"/>
        <w:jc w:val="both"/>
        <w:rPr>
          <w:rFonts w:ascii="Arial" w:eastAsia="Calibri" w:hAnsi="Arial" w:cs="Arial"/>
          <w:bCs/>
          <w:sz w:val="20"/>
          <w:szCs w:val="20"/>
          <w:lang w:val="es-MX" w:eastAsia="es-ES_tradnl"/>
        </w:rPr>
      </w:pPr>
      <w:r w:rsidRPr="00711FEA">
        <w:rPr>
          <w:rFonts w:ascii="Arial" w:eastAsia="Calibri" w:hAnsi="Arial" w:cs="Arial"/>
          <w:bCs/>
          <w:sz w:val="20"/>
          <w:szCs w:val="20"/>
          <w:lang w:val="es-MX" w:eastAsia="es-ES_tradnl"/>
        </w:rPr>
        <w:t>El artículo 60 de la Ley 610 de 2000 trata del boletín de responsables fiscales cuyo deber de publicación corresponde a la Contraloría General de la Nación con una periodicidad trimestral. De acuerdo con la norma, el contenido de dicho boletín es:</w:t>
      </w:r>
    </w:p>
    <w:p w14:paraId="4D346E8A" w14:textId="77777777" w:rsidR="00DB3754" w:rsidRPr="00711FEA" w:rsidRDefault="00DB3754" w:rsidP="00DB3754">
      <w:pPr>
        <w:spacing w:after="0" w:line="240" w:lineRule="auto"/>
        <w:jc w:val="both"/>
        <w:rPr>
          <w:rFonts w:ascii="Arial" w:eastAsia="Calibri" w:hAnsi="Arial" w:cs="Arial"/>
          <w:bCs/>
          <w:sz w:val="20"/>
          <w:szCs w:val="20"/>
          <w:lang w:val="es-MX" w:eastAsia="es-ES_tradnl"/>
        </w:rPr>
      </w:pPr>
    </w:p>
    <w:p w14:paraId="6F818071" w14:textId="77777777" w:rsidR="00DB3754" w:rsidRPr="00711FEA" w:rsidRDefault="00DB3754" w:rsidP="00DB3754">
      <w:pPr>
        <w:spacing w:after="0" w:line="240" w:lineRule="auto"/>
        <w:jc w:val="both"/>
        <w:rPr>
          <w:rFonts w:ascii="Arial" w:eastAsia="Calibri" w:hAnsi="Arial" w:cs="Arial"/>
          <w:bCs/>
          <w:sz w:val="20"/>
          <w:szCs w:val="20"/>
          <w:lang w:val="es-MX" w:eastAsia="es-ES_tradnl"/>
        </w:rPr>
      </w:pPr>
      <w:r w:rsidRPr="00711FEA">
        <w:rPr>
          <w:rFonts w:ascii="Arial" w:eastAsia="Calibri" w:hAnsi="Arial" w:cs="Arial"/>
          <w:bCs/>
          <w:sz w:val="20"/>
          <w:szCs w:val="20"/>
          <w:lang w:val="es-MX" w:eastAsia="es-ES_tradnl"/>
        </w:rPr>
        <w:t>“[…] contendrá los nombres de las personas naturales o jurídicas a quienes se les haya dictado fallo con responsabilidad fiscal en firme y ejecutoriado y no hayan satisfecho la obligación contenida en él.</w:t>
      </w:r>
    </w:p>
    <w:p w14:paraId="562966DC" w14:textId="77777777" w:rsidR="00DB3754" w:rsidRPr="00711FEA" w:rsidRDefault="00DB3754" w:rsidP="00DB3754">
      <w:pPr>
        <w:spacing w:after="0" w:line="240" w:lineRule="auto"/>
        <w:jc w:val="both"/>
        <w:rPr>
          <w:rFonts w:ascii="Arial" w:eastAsia="Calibri" w:hAnsi="Arial" w:cs="Arial"/>
          <w:bCs/>
          <w:sz w:val="20"/>
          <w:szCs w:val="20"/>
          <w:lang w:val="es-MX" w:eastAsia="es-ES_tradnl"/>
        </w:rPr>
      </w:pPr>
    </w:p>
    <w:p w14:paraId="0D5BF0D9" w14:textId="77777777" w:rsidR="00DB3754" w:rsidRPr="00374831" w:rsidRDefault="00DB3754" w:rsidP="00DB3754">
      <w:pPr>
        <w:spacing w:after="0" w:line="240" w:lineRule="auto"/>
        <w:jc w:val="both"/>
        <w:rPr>
          <w:rFonts w:ascii="Arial" w:eastAsia="Calibri" w:hAnsi="Arial" w:cs="Arial"/>
          <w:bCs/>
          <w:sz w:val="20"/>
          <w:szCs w:val="20"/>
          <w:lang w:val="es-MX" w:eastAsia="es-ES_tradnl"/>
        </w:rPr>
      </w:pPr>
      <w:r w:rsidRPr="00711FEA">
        <w:rPr>
          <w:rFonts w:ascii="Arial" w:eastAsia="Calibri" w:hAnsi="Arial" w:cs="Arial"/>
          <w:bCs/>
          <w:sz w:val="20"/>
          <w:szCs w:val="20"/>
          <w:lang w:val="es-MX" w:eastAsia="es-ES_tradnl"/>
        </w:rPr>
        <w:t>Para efecto de lo anterior, las contralorías territoriales deberán informar a la Contraloría General de la República, en la forma y términos que esta establezca, la relación de las personas a quienes se les haya dictado fallo con responsabilidad fiscal, así como de las que hubieren acreditado el pago correspondiente, de los fallos que hubieren sido anulados por la jurisdicción de lo contencioso administrativo y de las revocaciones directas que hayan proferido, para incluir o retirar sus nombres del boletín, según el caso […]”.</w:t>
      </w:r>
    </w:p>
    <w:p w14:paraId="1B337007" w14:textId="77777777" w:rsidR="00DB3754" w:rsidRDefault="00DB3754" w:rsidP="00DB3754">
      <w:pPr>
        <w:spacing w:after="0"/>
        <w:rPr>
          <w:rFonts w:ascii="Arial" w:eastAsia="Calibri" w:hAnsi="Arial" w:cs="Arial"/>
          <w:bCs/>
          <w:lang w:val="es-MX" w:eastAsia="es-ES_tradnl"/>
        </w:rPr>
      </w:pPr>
    </w:p>
    <w:p w14:paraId="1F5D830E" w14:textId="77777777" w:rsidR="00DB3754" w:rsidRPr="00300658" w:rsidRDefault="00DB3754" w:rsidP="00DB3754">
      <w:pPr>
        <w:spacing w:after="0" w:line="240" w:lineRule="auto"/>
        <w:rPr>
          <w:rFonts w:ascii="Arial" w:eastAsia="Calibri" w:hAnsi="Arial" w:cs="Arial"/>
          <w:b/>
          <w:lang w:val="es-MX" w:eastAsia="es-ES_tradnl"/>
        </w:rPr>
      </w:pPr>
      <w:r w:rsidRPr="00300658">
        <w:rPr>
          <w:rFonts w:ascii="Arial" w:eastAsia="Calibri" w:hAnsi="Arial" w:cs="Arial"/>
          <w:b/>
          <w:lang w:val="es-MX" w:eastAsia="es-ES_tradnl"/>
        </w:rPr>
        <w:t>RESPONSABILIDAD FISCAL – Boletín de responsables fiscales – Inhabilidad – Cesación</w:t>
      </w:r>
    </w:p>
    <w:p w14:paraId="617960A3" w14:textId="77777777" w:rsidR="00DB3754" w:rsidRDefault="00DB3754" w:rsidP="00DB3754">
      <w:pPr>
        <w:spacing w:after="0"/>
        <w:rPr>
          <w:rFonts w:ascii="Arial" w:eastAsia="Geomanist Light" w:hAnsi="Arial" w:cs="Arial"/>
          <w:color w:val="000000" w:themeColor="text1"/>
          <w:lang w:val="es-MX"/>
        </w:rPr>
      </w:pPr>
    </w:p>
    <w:p w14:paraId="087D4208" w14:textId="77777777" w:rsidR="00DB3754" w:rsidRPr="004D33F1" w:rsidRDefault="00DB3754" w:rsidP="00DB3754">
      <w:pPr>
        <w:spacing w:after="0" w:line="240" w:lineRule="auto"/>
        <w:jc w:val="both"/>
        <w:rPr>
          <w:rFonts w:ascii="Arial" w:eastAsia="Calibri" w:hAnsi="Arial" w:cs="Arial"/>
          <w:bCs/>
          <w:sz w:val="20"/>
          <w:szCs w:val="20"/>
          <w:lang w:val="es-MX" w:eastAsia="es-ES_tradnl"/>
        </w:rPr>
      </w:pPr>
      <w:r w:rsidRPr="004D33F1">
        <w:rPr>
          <w:rFonts w:ascii="Arial" w:eastAsia="Calibri" w:hAnsi="Arial" w:cs="Arial"/>
          <w:bCs/>
          <w:sz w:val="20"/>
          <w:szCs w:val="20"/>
          <w:lang w:val="es-MX" w:eastAsia="es-ES_tradnl"/>
        </w:rPr>
        <w:t>En ese sentido, es posible concluir a partir de la norma citada que el fallo de responsabilidad fiscal puede contener o no la orden de hacer un pago. Si la contiene, la contraloría competente debe declarar que recibió el pago para que la inhabilidad cese. Pero en caso de que el fallo de responsabilidad fiscal no contenga la orden de hacer un pago, la Contraloría General de la República debe ser quien excluya a la persona del boletín de responsables fiscales para que deje de estar inhabilitada por haber sido declarada responsable fiscalmente.</w:t>
      </w:r>
    </w:p>
    <w:p w14:paraId="485AE733" w14:textId="77777777" w:rsidR="00DB3754" w:rsidRDefault="00DB3754" w:rsidP="00DB3754">
      <w:pPr>
        <w:spacing w:after="0" w:line="240" w:lineRule="auto"/>
        <w:jc w:val="both"/>
        <w:rPr>
          <w:rFonts w:ascii="Arial" w:eastAsia="Calibri" w:hAnsi="Arial" w:cs="Arial"/>
          <w:bCs/>
          <w:sz w:val="20"/>
          <w:szCs w:val="20"/>
          <w:lang w:val="es-MX" w:eastAsia="es-ES_tradnl"/>
        </w:rPr>
      </w:pPr>
    </w:p>
    <w:p w14:paraId="62647581" w14:textId="77777777" w:rsidR="00DB3754" w:rsidRPr="004D33F1" w:rsidRDefault="00DB3754" w:rsidP="00DB3754">
      <w:pPr>
        <w:spacing w:after="0" w:line="240" w:lineRule="auto"/>
        <w:jc w:val="both"/>
        <w:rPr>
          <w:rFonts w:ascii="Arial" w:eastAsia="Calibri" w:hAnsi="Arial" w:cs="Arial"/>
          <w:bCs/>
          <w:sz w:val="20"/>
          <w:szCs w:val="20"/>
          <w:lang w:val="es-MX" w:eastAsia="es-ES_tradnl"/>
        </w:rPr>
      </w:pPr>
      <w:r w:rsidRPr="004D33F1">
        <w:rPr>
          <w:rFonts w:ascii="Arial" w:eastAsia="Calibri" w:hAnsi="Arial" w:cs="Arial"/>
          <w:bCs/>
          <w:sz w:val="20"/>
          <w:szCs w:val="20"/>
          <w:lang w:val="es-MX" w:eastAsia="es-ES_tradnl"/>
        </w:rPr>
        <w:t>Y aquí es cuando cobra relevancia lo expuesto en el subtítulo anterior, sobre el boletín de responsables fiscales regulado en el artículo 60 de la Ley 610 de 2000, ya que existen dos deberes complementarios; el primero, que las contralorías territoriales informen a la Contraloría General de la República sobre los fallos de responsabilidad fiscal y todo lo relacionado con los mismos. Y el segundo, que la Contraloría General de la República incluya o retire los nombres del boletín. De esta forma, cuando el fallo de responsabilidad fiscal contenga la orden de hacer un pago, la contraloría competente debe declarar que recibió el pago para que la inhabilidad cese, lo cual debe ser reportado a la Contraloría General de la República so pena de ser tenido como mala conducta no entregar esa información, con base en la cual esta entidad excluye a la persona del boletín de responsables fiscales.</w:t>
      </w:r>
    </w:p>
    <w:p w14:paraId="42FCB7DF" w14:textId="77777777" w:rsidR="00DB3754" w:rsidRDefault="00DB3754" w:rsidP="00DB3754">
      <w:pPr>
        <w:spacing w:after="0" w:line="240" w:lineRule="auto"/>
        <w:jc w:val="both"/>
        <w:rPr>
          <w:rFonts w:ascii="Arial" w:eastAsia="Calibri" w:hAnsi="Arial" w:cs="Arial"/>
          <w:bCs/>
          <w:sz w:val="20"/>
          <w:szCs w:val="20"/>
          <w:lang w:val="es-MX" w:eastAsia="es-ES_tradnl"/>
        </w:rPr>
      </w:pPr>
    </w:p>
    <w:p w14:paraId="7426AFF7" w14:textId="77777777" w:rsidR="00DB3754" w:rsidRDefault="00DB3754" w:rsidP="00DB3754">
      <w:pPr>
        <w:spacing w:after="0" w:line="240" w:lineRule="auto"/>
        <w:jc w:val="both"/>
        <w:rPr>
          <w:rFonts w:ascii="Arial" w:eastAsia="Geomanist Light" w:hAnsi="Arial" w:cs="Arial"/>
          <w:color w:val="000000" w:themeColor="text1"/>
          <w:lang w:val="es-MX"/>
        </w:rPr>
      </w:pPr>
      <w:r w:rsidRPr="004D33F1">
        <w:rPr>
          <w:rFonts w:ascii="Arial" w:eastAsia="Calibri" w:hAnsi="Arial" w:cs="Arial"/>
          <w:bCs/>
          <w:sz w:val="20"/>
          <w:szCs w:val="20"/>
          <w:lang w:val="es-MX" w:eastAsia="es-ES_tradnl"/>
        </w:rPr>
        <w:t>Por otra parte, si el fallo de responsabilidad fiscal no contiene la orden de hacer un pago, la Contraloría General de la República es quien debe excluir a la persona del boletín en los términos que señale el fallo informado por la contraloría correspondiente, y teniendo en cuenta que la inhabilidad tiene una duración de cinco (5) años a partir de la ejecutoria del fallo. En todo caso, esto sucede de acuerdo con la información que deben aportar las contralorías territoriales a la Contraloría General de la República, y en caso de incumplimiento, el artículo 60 de la Ley 610 del 2000 señala que será tenido como mala conducta.</w:t>
      </w:r>
    </w:p>
    <w:p w14:paraId="0B397B4A" w14:textId="77777777" w:rsidR="00DB3754" w:rsidRDefault="00DB3754" w:rsidP="00DB3754">
      <w:pPr>
        <w:spacing w:after="0"/>
        <w:rPr>
          <w:rFonts w:ascii="Arial" w:eastAsia="Geomanist Light" w:hAnsi="Arial" w:cs="Arial"/>
          <w:color w:val="000000" w:themeColor="text1"/>
          <w:lang w:val="es-MX"/>
        </w:rPr>
      </w:pPr>
    </w:p>
    <w:p w14:paraId="373B705E" w14:textId="77777777" w:rsidR="00DB3754" w:rsidRDefault="00DB3754" w:rsidP="00DB3754">
      <w:pPr>
        <w:spacing w:after="0"/>
        <w:rPr>
          <w:rFonts w:ascii="Arial" w:eastAsia="Geomanist Light" w:hAnsi="Arial" w:cs="Arial"/>
          <w:color w:val="000000" w:themeColor="text1"/>
          <w:lang w:val="es-MX"/>
        </w:rPr>
      </w:pPr>
    </w:p>
    <w:p w14:paraId="0C19B9F2" w14:textId="77777777" w:rsidR="00FA574A" w:rsidRDefault="00FA574A" w:rsidP="00FA574A">
      <w:pPr>
        <w:rPr>
          <w:rFonts w:ascii="Arial" w:eastAsia="Geomanist Light" w:hAnsi="Arial" w:cs="Arial"/>
          <w:color w:val="000000" w:themeColor="text1"/>
          <w:lang w:val="es-MX"/>
        </w:rPr>
      </w:pPr>
    </w:p>
    <w:p w14:paraId="4698BB84" w14:textId="77777777" w:rsidR="00FA574A" w:rsidRDefault="00FA574A" w:rsidP="00FA574A">
      <w:pPr>
        <w:rPr>
          <w:rFonts w:ascii="Arial" w:eastAsia="Geomanist Light" w:hAnsi="Arial" w:cs="Arial"/>
          <w:color w:val="000000" w:themeColor="text1"/>
          <w:lang w:val="es-MX"/>
        </w:rPr>
      </w:pPr>
    </w:p>
    <w:p w14:paraId="04C0302E" w14:textId="51FF34C8" w:rsidR="00FA574A" w:rsidRDefault="00AC61C9" w:rsidP="00FA574A">
      <w:pPr>
        <w:rPr>
          <w:rFonts w:ascii="Arial" w:eastAsia="Geomanist Light" w:hAnsi="Arial" w:cs="Arial"/>
          <w:color w:val="000000" w:themeColor="text1"/>
          <w:lang w:val="es-MX"/>
        </w:rPr>
      </w:pPr>
      <w:r w:rsidRPr="00806471">
        <w:rPr>
          <w:rFonts w:ascii="Arial" w:eastAsia="Geomanist Light" w:hAnsi="Arial" w:cs="Arial"/>
          <w:color w:val="000000" w:themeColor="text1"/>
          <w:lang w:val="es-MX"/>
        </w:rPr>
        <w:lastRenderedPageBreak/>
        <w:t>Bogotá D.C.</w:t>
      </w:r>
    </w:p>
    <w:p w14:paraId="2CD3EF1C" w14:textId="10D2DEF6" w:rsidR="00AC61C9" w:rsidRPr="00FA574A" w:rsidRDefault="00FA574A" w:rsidP="00FA574A">
      <w:pPr>
        <w:jc w:val="right"/>
        <w:rPr>
          <w:rFonts w:ascii="Arial" w:eastAsia="Geomanist Light" w:hAnsi="Arial" w:cs="Arial"/>
          <w:color w:val="201F1E"/>
          <w:lang w:val="es-MX"/>
        </w:rPr>
      </w:pPr>
      <w:r w:rsidRPr="00FA574A">
        <w:rPr>
          <w:noProof/>
        </w:rPr>
        <w:t xml:space="preserve"> </w:t>
      </w:r>
      <w:r w:rsidRPr="00FA574A">
        <w:rPr>
          <w:rFonts w:ascii="Arial" w:eastAsia="Geomanist Light" w:hAnsi="Arial" w:cs="Arial"/>
          <w:color w:val="000000" w:themeColor="text1"/>
          <w:lang w:val="es-MX"/>
        </w:rPr>
        <w:drawing>
          <wp:inline distT="0" distB="0" distL="0" distR="0" wp14:anchorId="28E7336D" wp14:editId="48ACA068">
            <wp:extent cx="2419474" cy="635033"/>
            <wp:effectExtent l="0" t="0" r="0" b="0"/>
            <wp:docPr id="1433467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467933" name=""/>
                    <pic:cNvPicPr/>
                  </pic:nvPicPr>
                  <pic:blipFill>
                    <a:blip r:embed="rId11"/>
                    <a:stretch>
                      <a:fillRect/>
                    </a:stretch>
                  </pic:blipFill>
                  <pic:spPr>
                    <a:xfrm>
                      <a:off x="0" y="0"/>
                      <a:ext cx="2419474" cy="635033"/>
                    </a:xfrm>
                    <a:prstGeom prst="rect">
                      <a:avLst/>
                    </a:prstGeom>
                  </pic:spPr>
                </pic:pic>
              </a:graphicData>
            </a:graphic>
          </wp:inline>
        </w:drawing>
      </w:r>
    </w:p>
    <w:p w14:paraId="7D8C4E8C" w14:textId="77777777" w:rsidR="00DB3754" w:rsidRPr="00044F0D" w:rsidRDefault="00DB3754" w:rsidP="00DB3754">
      <w:pPr>
        <w:spacing w:after="0"/>
        <w:jc w:val="right"/>
        <w:rPr>
          <w:rFonts w:ascii="Arial" w:eastAsia="Times New Roman" w:hAnsi="Arial" w:cs="Arial"/>
          <w:bCs/>
          <w:lang w:val="es-MX" w:eastAsia="es-ES"/>
        </w:rPr>
      </w:pPr>
    </w:p>
    <w:p w14:paraId="0AAE4274" w14:textId="77777777" w:rsidR="00DB3754" w:rsidRPr="0006291B" w:rsidRDefault="00DB3754" w:rsidP="00DB3754">
      <w:pPr>
        <w:contextualSpacing/>
        <w:jc w:val="both"/>
        <w:rPr>
          <w:rFonts w:ascii="Arial" w:eastAsia="Calibri" w:hAnsi="Arial" w:cs="Arial"/>
          <w:lang w:eastAsia="es-ES_tradnl"/>
        </w:rPr>
      </w:pPr>
      <w:r w:rsidRPr="0006291B">
        <w:rPr>
          <w:rFonts w:ascii="Arial" w:eastAsia="Calibri" w:hAnsi="Arial" w:cs="Arial"/>
          <w:lang w:eastAsia="es-ES_tradnl"/>
        </w:rPr>
        <w:t>Señor</w:t>
      </w:r>
    </w:p>
    <w:p w14:paraId="5A381DB4" w14:textId="77777777" w:rsidR="00DB3754" w:rsidRDefault="00DB3754" w:rsidP="00DB3754">
      <w:pPr>
        <w:contextualSpacing/>
        <w:jc w:val="both"/>
        <w:rPr>
          <w:rFonts w:ascii="Arial" w:eastAsia="Calibri" w:hAnsi="Arial" w:cs="Arial"/>
          <w:b/>
          <w:lang w:eastAsia="es-ES_tradnl"/>
        </w:rPr>
      </w:pPr>
      <w:r>
        <w:rPr>
          <w:rFonts w:ascii="Arial" w:eastAsia="Calibri" w:hAnsi="Arial" w:cs="Arial"/>
          <w:b/>
          <w:lang w:eastAsia="es-ES_tradnl"/>
        </w:rPr>
        <w:t>José Ignacio Oñoro Barrios</w:t>
      </w:r>
    </w:p>
    <w:p w14:paraId="35D859C2" w14:textId="77777777" w:rsidR="00DB3754" w:rsidRPr="0006291B" w:rsidRDefault="00DB3754" w:rsidP="00DB3754">
      <w:pPr>
        <w:contextualSpacing/>
        <w:jc w:val="both"/>
        <w:rPr>
          <w:rFonts w:ascii="Arial" w:eastAsia="Calibri" w:hAnsi="Arial" w:cs="Arial"/>
          <w:bCs/>
          <w:lang w:eastAsia="es-ES_tradnl"/>
        </w:rPr>
      </w:pPr>
      <w:r>
        <w:rPr>
          <w:rFonts w:ascii="Arial" w:eastAsia="Geomanist Light" w:hAnsi="Arial" w:cs="Arial"/>
          <w:color w:val="000000" w:themeColor="text1"/>
          <w:lang w:val="es-MX"/>
        </w:rPr>
        <w:t>Ciudad</w:t>
      </w:r>
    </w:p>
    <w:p w14:paraId="18BDDFCF" w14:textId="77777777" w:rsidR="00DB3754" w:rsidRPr="00C046D8" w:rsidRDefault="00DB3754" w:rsidP="00DB3754">
      <w:pPr>
        <w:contextualSpacing/>
        <w:rPr>
          <w:rFonts w:ascii="Arial" w:eastAsia="Calibri" w:hAnsi="Arial" w:cs="Arial"/>
          <w:lang w:val="es-ES_tradnl" w:eastAsia="es-ES_tradnl"/>
        </w:rPr>
      </w:pPr>
    </w:p>
    <w:p w14:paraId="473FCA10" w14:textId="77777777" w:rsidR="00DB3754" w:rsidRDefault="00DB3754" w:rsidP="00DC0193">
      <w:pPr>
        <w:ind w:left="2124"/>
        <w:contextualSpacing/>
        <w:rPr>
          <w:rFonts w:ascii="Arial" w:eastAsia="Calibri" w:hAnsi="Arial" w:cs="Arial"/>
          <w:b/>
          <w:bCs/>
          <w:lang w:val="es-ES_tradnl" w:eastAsia="es-ES_tradnl"/>
        </w:rPr>
      </w:pPr>
      <w:r w:rsidRPr="00002BAF">
        <w:rPr>
          <w:rFonts w:ascii="Arial" w:eastAsia="Arial" w:hAnsi="Arial" w:cs="Arial"/>
          <w:b/>
          <w:bCs/>
          <w:lang w:val="es-ES"/>
        </w:rPr>
        <w:t>Concepto</w:t>
      </w:r>
      <w:r w:rsidRPr="00002BAF">
        <w:rPr>
          <w:rFonts w:ascii="Arial" w:eastAsia="Arial" w:hAnsi="Arial" w:cs="Arial"/>
          <w:b/>
          <w:bCs/>
          <w:spacing w:val="-4"/>
          <w:lang w:val="es-ES"/>
        </w:rPr>
        <w:t xml:space="preserve"> </w:t>
      </w:r>
      <w:r w:rsidRPr="00002BAF">
        <w:rPr>
          <w:rFonts w:ascii="Arial" w:eastAsia="Arial" w:hAnsi="Arial" w:cs="Arial"/>
          <w:b/>
          <w:bCs/>
          <w:lang w:val="es-ES"/>
        </w:rPr>
        <w:t>C</w:t>
      </w:r>
      <w:r>
        <w:rPr>
          <w:rFonts w:ascii="Arial" w:eastAsia="Arial" w:hAnsi="Arial" w:cs="Arial"/>
          <w:b/>
          <w:bCs/>
          <w:lang w:val="es-ES"/>
        </w:rPr>
        <w:t xml:space="preserve"> </w:t>
      </w:r>
      <w:r w:rsidRPr="00002BAF">
        <w:rPr>
          <w:rFonts w:ascii="Arial" w:eastAsia="Arial" w:hAnsi="Arial" w:cs="Arial"/>
          <w:b/>
          <w:bCs/>
          <w:lang w:val="es-ES"/>
        </w:rPr>
        <w:t>–</w:t>
      </w:r>
      <w:r>
        <w:rPr>
          <w:rFonts w:ascii="Arial" w:eastAsia="Arial" w:hAnsi="Arial" w:cs="Arial"/>
          <w:b/>
          <w:bCs/>
          <w:spacing w:val="-4"/>
          <w:lang w:val="es-ES"/>
        </w:rPr>
        <w:t xml:space="preserve"> 188</w:t>
      </w:r>
      <w:r w:rsidRPr="00002BAF">
        <w:rPr>
          <w:rFonts w:ascii="Arial" w:eastAsia="Arial" w:hAnsi="Arial" w:cs="Arial"/>
          <w:b/>
          <w:bCs/>
          <w:spacing w:val="-4"/>
          <w:lang w:val="es-ES"/>
        </w:rPr>
        <w:t xml:space="preserve"> </w:t>
      </w:r>
      <w:r w:rsidRPr="00002BAF">
        <w:rPr>
          <w:rFonts w:ascii="Arial" w:eastAsia="Arial" w:hAnsi="Arial" w:cs="Arial"/>
          <w:b/>
          <w:bCs/>
          <w:lang w:val="es-ES"/>
        </w:rPr>
        <w:t>de</w:t>
      </w:r>
      <w:r w:rsidRPr="00002BAF">
        <w:rPr>
          <w:rFonts w:ascii="Arial" w:eastAsia="Arial" w:hAnsi="Arial" w:cs="Arial"/>
          <w:b/>
          <w:bCs/>
          <w:spacing w:val="-3"/>
          <w:lang w:val="es-ES"/>
        </w:rPr>
        <w:t xml:space="preserve"> </w:t>
      </w:r>
      <w:r w:rsidRPr="00002BAF">
        <w:rPr>
          <w:rFonts w:ascii="Arial" w:eastAsia="Arial" w:hAnsi="Arial" w:cs="Arial"/>
          <w:b/>
          <w:bCs/>
          <w:lang w:val="es-ES"/>
        </w:rPr>
        <w:t>2023</w:t>
      </w:r>
    </w:p>
    <w:p w14:paraId="753794B0" w14:textId="77777777" w:rsidR="00DB3754" w:rsidRPr="00C046D8" w:rsidRDefault="00DB3754" w:rsidP="00DB3754">
      <w:pPr>
        <w:contextualSpacing/>
        <w:rPr>
          <w:rFonts w:ascii="Arial" w:eastAsia="Calibri" w:hAnsi="Arial" w:cs="Arial"/>
          <w:b/>
          <w:bCs/>
          <w:lang w:val="es-ES_tradnl" w:eastAsia="es-ES_tradnl"/>
        </w:rPr>
      </w:pP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B3754" w:rsidRPr="00C046D8" w14:paraId="58C137F6" w14:textId="77777777" w:rsidTr="0033337C">
        <w:tc>
          <w:tcPr>
            <w:tcW w:w="2689" w:type="dxa"/>
          </w:tcPr>
          <w:p w14:paraId="70500BB6" w14:textId="77777777" w:rsidR="00DB3754" w:rsidRPr="00D94DE1" w:rsidRDefault="00DB3754" w:rsidP="0033337C">
            <w:pPr>
              <w:contextualSpacing/>
              <w:jc w:val="both"/>
              <w:rPr>
                <w:rFonts w:ascii="Arial" w:eastAsia="Calibri" w:hAnsi="Arial" w:cs="Arial"/>
                <w:lang w:val="es-ES_tradnl" w:eastAsia="es-ES_tradnl"/>
              </w:rPr>
            </w:pPr>
            <w:r w:rsidRPr="00D94DE1">
              <w:rPr>
                <w:rFonts w:ascii="Arial" w:eastAsia="Calibri" w:hAnsi="Arial" w:cs="Arial"/>
                <w:b/>
                <w:lang w:val="es-ES_tradnl" w:eastAsia="es-ES_tradnl"/>
              </w:rPr>
              <w:t>Temas:</w:t>
            </w:r>
            <w:r w:rsidRPr="00D94DE1">
              <w:rPr>
                <w:rFonts w:ascii="Arial" w:eastAsia="Calibri" w:hAnsi="Arial" w:cs="Arial"/>
                <w:lang w:val="es-ES_tradnl" w:eastAsia="es-ES_tradnl"/>
              </w:rPr>
              <w:t xml:space="preserve">                                      </w:t>
            </w:r>
          </w:p>
        </w:tc>
        <w:tc>
          <w:tcPr>
            <w:tcW w:w="6237" w:type="dxa"/>
          </w:tcPr>
          <w:p w14:paraId="49DE34FC" w14:textId="77777777" w:rsidR="00DB3754" w:rsidRPr="00D94DE1" w:rsidRDefault="00DB3754" w:rsidP="0033337C">
            <w:pPr>
              <w:spacing w:after="120"/>
              <w:contextualSpacing/>
              <w:jc w:val="both"/>
              <w:rPr>
                <w:rFonts w:ascii="Arial" w:eastAsia="Calibri" w:hAnsi="Arial" w:cs="Arial"/>
                <w:bCs/>
                <w:lang w:val="es-MX" w:eastAsia="es-ES_tradnl"/>
              </w:rPr>
            </w:pPr>
            <w:r w:rsidRPr="00D94DE1">
              <w:rPr>
                <w:rFonts w:ascii="Arial" w:eastAsia="Calibri" w:hAnsi="Arial" w:cs="Arial"/>
                <w:bCs/>
                <w:lang w:val="es-MX" w:eastAsia="es-ES_tradnl"/>
              </w:rPr>
              <w:t>INHABILIDADES – Definición – Finalidad – Limitación capacidad contractual / CONTRATACIÓN ESTATAL – Capacidad – Validez contratos – Régimen de contratación – Inscripción – Limitación de la capacidad / INHABILIDADES – Taxatividad – Principio de legalidad – Interpretación restrictiva / RESPONSABILIDAD FISCAL – Boletín de responsables fiscales – Alcance / RESPONSABILIDAD FISCAL – Boletín de responsables fiscales – Inhabilidad</w:t>
            </w:r>
            <w:r>
              <w:rPr>
                <w:rFonts w:ascii="Arial" w:eastAsia="Calibri" w:hAnsi="Arial" w:cs="Arial"/>
                <w:bCs/>
                <w:lang w:val="es-MX" w:eastAsia="es-ES_tradnl"/>
              </w:rPr>
              <w:t xml:space="preserve"> </w:t>
            </w:r>
            <w:r w:rsidRPr="00D94DE1">
              <w:rPr>
                <w:rFonts w:ascii="Arial" w:eastAsia="Calibri" w:hAnsi="Arial" w:cs="Arial"/>
                <w:bCs/>
                <w:lang w:val="es-MX" w:eastAsia="es-ES_tradnl"/>
              </w:rPr>
              <w:t xml:space="preserve">– </w:t>
            </w:r>
            <w:r>
              <w:rPr>
                <w:rFonts w:ascii="Arial" w:eastAsia="Calibri" w:hAnsi="Arial" w:cs="Arial"/>
                <w:bCs/>
                <w:lang w:val="es-MX" w:eastAsia="es-ES_tradnl"/>
              </w:rPr>
              <w:t>Cesación</w:t>
            </w:r>
          </w:p>
          <w:p w14:paraId="6CA388BA" w14:textId="77777777" w:rsidR="00DB3754" w:rsidRPr="00D94DE1" w:rsidRDefault="00DB3754" w:rsidP="0033337C">
            <w:pPr>
              <w:spacing w:after="120"/>
              <w:contextualSpacing/>
              <w:jc w:val="both"/>
              <w:rPr>
                <w:rFonts w:ascii="Arial" w:eastAsia="Calibri" w:hAnsi="Arial" w:cs="Arial"/>
                <w:bCs/>
                <w:sz w:val="12"/>
                <w:szCs w:val="12"/>
                <w:lang w:val="es-ES_tradnl" w:eastAsia="es-ES_tradnl"/>
              </w:rPr>
            </w:pPr>
          </w:p>
        </w:tc>
      </w:tr>
      <w:tr w:rsidR="00DB3754" w:rsidRPr="00C046D8" w14:paraId="4A5237AF" w14:textId="77777777" w:rsidTr="0033337C">
        <w:trPr>
          <w:trHeight w:val="227"/>
        </w:trPr>
        <w:tc>
          <w:tcPr>
            <w:tcW w:w="2689" w:type="dxa"/>
          </w:tcPr>
          <w:p w14:paraId="078CC3E5" w14:textId="77777777" w:rsidR="00DB3754" w:rsidRPr="00C046D8" w:rsidRDefault="00DB3754" w:rsidP="0033337C">
            <w:pPr>
              <w:contextualSpacing/>
              <w:jc w:val="both"/>
              <w:rPr>
                <w:rFonts w:ascii="Arial" w:eastAsia="Calibri" w:hAnsi="Arial" w:cs="Arial"/>
                <w:b/>
                <w:lang w:val="es-ES_tradnl" w:eastAsia="es-ES_tradnl"/>
              </w:rPr>
            </w:pPr>
            <w:r w:rsidRPr="00C046D8">
              <w:rPr>
                <w:rFonts w:ascii="Arial" w:eastAsia="Calibri" w:hAnsi="Arial" w:cs="Arial"/>
                <w:b/>
                <w:lang w:val="es-ES_tradnl" w:eastAsia="es-ES_tradnl"/>
              </w:rPr>
              <w:t>Radicación:</w:t>
            </w:r>
            <w:r w:rsidRPr="00C046D8">
              <w:rPr>
                <w:rFonts w:ascii="Arial" w:eastAsia="Calibri" w:hAnsi="Arial" w:cs="Arial"/>
                <w:lang w:val="es-ES_tradnl" w:eastAsia="es-ES_tradnl"/>
              </w:rPr>
              <w:t xml:space="preserve">                             </w:t>
            </w:r>
          </w:p>
        </w:tc>
        <w:tc>
          <w:tcPr>
            <w:tcW w:w="6237" w:type="dxa"/>
          </w:tcPr>
          <w:p w14:paraId="3E43CE68" w14:textId="77777777" w:rsidR="00DB3754" w:rsidRPr="00C046D8" w:rsidRDefault="00DB3754" w:rsidP="0033337C">
            <w:pPr>
              <w:contextualSpacing/>
              <w:jc w:val="both"/>
              <w:rPr>
                <w:rFonts w:ascii="Arial" w:eastAsia="Calibri" w:hAnsi="Arial" w:cs="Arial"/>
                <w:lang w:val="es-ES_tradnl" w:eastAsia="es-ES_tradnl"/>
              </w:rPr>
            </w:pPr>
            <w:r w:rsidRPr="0006291B">
              <w:rPr>
                <w:rFonts w:ascii="Arial" w:eastAsia="Calibri" w:hAnsi="Arial" w:cs="Arial"/>
                <w:lang w:val="es-ES_tradnl" w:eastAsia="es-ES_tradnl"/>
              </w:rPr>
              <w:t xml:space="preserve">Respuesta a consulta </w:t>
            </w:r>
            <w:r w:rsidRPr="009C3B0F">
              <w:rPr>
                <w:rFonts w:ascii="Arial" w:eastAsia="Calibri" w:hAnsi="Arial" w:cs="Arial"/>
                <w:lang w:val="es-ES_tradnl" w:eastAsia="es-ES_tradnl"/>
              </w:rPr>
              <w:t>P20230426003726</w:t>
            </w:r>
          </w:p>
        </w:tc>
      </w:tr>
    </w:tbl>
    <w:p w14:paraId="4F2F0E7D" w14:textId="77777777" w:rsidR="00DB3754" w:rsidRPr="00C046D8" w:rsidRDefault="00DB3754" w:rsidP="00DB3754">
      <w:pPr>
        <w:contextualSpacing/>
        <w:jc w:val="both"/>
        <w:rPr>
          <w:rFonts w:ascii="Arial" w:eastAsia="Calibri" w:hAnsi="Arial" w:cs="Arial"/>
          <w:lang w:val="es-ES_tradnl" w:eastAsia="es-ES_tradnl"/>
        </w:rPr>
      </w:pPr>
    </w:p>
    <w:p w14:paraId="5B4BAA0D" w14:textId="77777777" w:rsidR="00DB3754" w:rsidRPr="00C046D8" w:rsidRDefault="00DB3754" w:rsidP="00DB3754">
      <w:pPr>
        <w:contextualSpacing/>
        <w:jc w:val="both"/>
        <w:rPr>
          <w:rFonts w:ascii="Arial" w:eastAsia="Calibri" w:hAnsi="Arial" w:cs="Arial"/>
          <w:lang w:val="es-ES_tradnl" w:eastAsia="es-ES_tradnl"/>
        </w:rPr>
      </w:pPr>
    </w:p>
    <w:p w14:paraId="00C789FF" w14:textId="77777777" w:rsidR="00DB3754" w:rsidRPr="00C046D8" w:rsidRDefault="00DB3754" w:rsidP="00DB3754">
      <w:pPr>
        <w:contextualSpacing/>
        <w:jc w:val="both"/>
        <w:rPr>
          <w:rFonts w:ascii="Arial" w:eastAsia="Calibri" w:hAnsi="Arial" w:cs="Arial"/>
          <w:lang w:val="es-ES" w:eastAsia="es-ES"/>
        </w:rPr>
      </w:pPr>
      <w:r w:rsidRPr="293D6149">
        <w:rPr>
          <w:rFonts w:ascii="Arial" w:eastAsia="Calibri" w:hAnsi="Arial" w:cs="Arial"/>
          <w:lang w:val="es-ES" w:eastAsia="es-ES"/>
        </w:rPr>
        <w:t>Respetad</w:t>
      </w:r>
      <w:r>
        <w:rPr>
          <w:rFonts w:ascii="Arial" w:eastAsia="Calibri" w:hAnsi="Arial" w:cs="Arial"/>
          <w:lang w:val="es-ES" w:eastAsia="es-ES"/>
        </w:rPr>
        <w:t>o</w:t>
      </w:r>
      <w:r w:rsidRPr="293D6149">
        <w:rPr>
          <w:rFonts w:ascii="Arial" w:eastAsia="Calibri" w:hAnsi="Arial" w:cs="Arial"/>
          <w:lang w:val="es-ES" w:eastAsia="es-ES"/>
        </w:rPr>
        <w:t xml:space="preserve"> señor </w:t>
      </w:r>
      <w:r>
        <w:rPr>
          <w:rFonts w:ascii="Arial" w:eastAsia="Times New Roman" w:hAnsi="Arial" w:cs="Arial"/>
          <w:lang w:eastAsia="es-ES"/>
        </w:rPr>
        <w:t>Oñoro</w:t>
      </w:r>
      <w:r w:rsidRPr="293D6149">
        <w:rPr>
          <w:rFonts w:ascii="Arial" w:eastAsia="Calibri" w:hAnsi="Arial" w:cs="Arial"/>
          <w:lang w:val="es-ES" w:eastAsia="es-ES"/>
        </w:rPr>
        <w:t>:</w:t>
      </w:r>
    </w:p>
    <w:p w14:paraId="0205A3E1" w14:textId="77777777" w:rsidR="00DB3754" w:rsidRPr="00C046D8" w:rsidRDefault="00DB3754" w:rsidP="00DB3754">
      <w:pPr>
        <w:spacing w:line="276" w:lineRule="auto"/>
        <w:contextualSpacing/>
        <w:jc w:val="both"/>
        <w:rPr>
          <w:rFonts w:ascii="Arial" w:eastAsia="Calibri" w:hAnsi="Arial" w:cs="Arial"/>
          <w:szCs w:val="24"/>
          <w:lang w:val="es-ES_tradnl" w:eastAsia="es-ES_tradnl"/>
        </w:rPr>
      </w:pPr>
    </w:p>
    <w:bookmarkEnd w:id="0"/>
    <w:bookmarkEnd w:id="1"/>
    <w:p w14:paraId="2D6C909C" w14:textId="77777777" w:rsidR="00DB3754" w:rsidRDefault="00DB3754" w:rsidP="00DB3754">
      <w:pPr>
        <w:spacing w:after="0" w:line="276" w:lineRule="auto"/>
        <w:jc w:val="both"/>
        <w:rPr>
          <w:rFonts w:ascii="Arial" w:eastAsia="Calibri" w:hAnsi="Arial" w:cs="Arial"/>
          <w:color w:val="000000" w:themeColor="text1"/>
          <w:lang w:val="es-ES_tradnl"/>
        </w:rPr>
      </w:pPr>
      <w:r w:rsidRPr="00504597">
        <w:rPr>
          <w:rFonts w:ascii="Arial" w:eastAsia="Calibri" w:hAnsi="Arial" w:cs="Arial"/>
          <w:color w:val="000000" w:themeColor="text1"/>
          <w:lang w:val="es-ES_tradnl"/>
        </w:rPr>
        <w:t>En ejercicio de la competencia otorgada por el numeral 8</w:t>
      </w:r>
      <w:r>
        <w:rPr>
          <w:rFonts w:ascii="Arial" w:eastAsia="Calibri" w:hAnsi="Arial" w:cs="Arial"/>
          <w:color w:val="000000" w:themeColor="text1"/>
          <w:lang w:val="es-ES_tradnl"/>
        </w:rPr>
        <w:t>°</w:t>
      </w:r>
      <w:r w:rsidRPr="00504597">
        <w:rPr>
          <w:rFonts w:ascii="Arial" w:eastAsia="Calibri" w:hAnsi="Arial" w:cs="Arial"/>
          <w:color w:val="000000" w:themeColor="text1"/>
          <w:lang w:val="es-ES_tradnl"/>
        </w:rPr>
        <w:t xml:space="preserve"> del artículo 11 y el numeral 5</w:t>
      </w:r>
      <w:r>
        <w:rPr>
          <w:rFonts w:ascii="Arial" w:eastAsia="Calibri" w:hAnsi="Arial" w:cs="Arial"/>
          <w:color w:val="000000" w:themeColor="text1"/>
          <w:lang w:val="es-ES_tradnl"/>
        </w:rPr>
        <w:t>°</w:t>
      </w:r>
      <w:r w:rsidRPr="00504597">
        <w:rPr>
          <w:rFonts w:ascii="Arial" w:eastAsia="Calibri" w:hAnsi="Arial" w:cs="Arial"/>
          <w:color w:val="000000" w:themeColor="text1"/>
          <w:lang w:val="es-ES_tradnl"/>
        </w:rPr>
        <w:t xml:space="preserve"> del artículo 3 del Decreto </w:t>
      </w:r>
      <w:r w:rsidRPr="00E87A11">
        <w:rPr>
          <w:rFonts w:ascii="Arial" w:eastAsia="Calibri" w:hAnsi="Arial" w:cs="Arial"/>
          <w:color w:val="000000" w:themeColor="text1"/>
          <w:lang w:val="es-ES_tradnl"/>
        </w:rPr>
        <w:t>Ley 4170 de 2011</w:t>
      </w:r>
      <w:bookmarkStart w:id="3" w:name="_Hlk99120496"/>
      <w:r w:rsidRPr="00E87A11">
        <w:rPr>
          <w:rFonts w:ascii="Arial MT" w:eastAsia="Arial MT" w:hAnsi="Arial MT" w:cs="Arial MT"/>
          <w:lang w:val="es-ES"/>
        </w:rPr>
        <w:t xml:space="preserve">, </w:t>
      </w:r>
      <w:bookmarkEnd w:id="3"/>
      <w:r w:rsidRPr="00E87A11">
        <w:rPr>
          <w:rFonts w:ascii="Arial" w:eastAsia="Calibri" w:hAnsi="Arial" w:cs="Arial"/>
          <w:color w:val="000000" w:themeColor="text1"/>
          <w:lang w:val="es-ES_tradnl"/>
        </w:rPr>
        <w:t>la</w:t>
      </w:r>
      <w:r w:rsidRPr="00504597">
        <w:rPr>
          <w:rFonts w:ascii="Arial" w:eastAsia="Calibri" w:hAnsi="Arial" w:cs="Arial"/>
          <w:color w:val="000000" w:themeColor="text1"/>
          <w:lang w:val="es-ES_tradnl"/>
        </w:rPr>
        <w:t xml:space="preserve"> Agencia Nacional de Contratación Pública </w:t>
      </w:r>
      <w:r>
        <w:rPr>
          <w:rFonts w:ascii="Arial" w:eastAsia="Calibri" w:hAnsi="Arial" w:cs="Arial"/>
          <w:color w:val="000000" w:themeColor="text1"/>
          <w:lang w:val="es-ES_tradnl"/>
        </w:rPr>
        <w:t>–</w:t>
      </w:r>
      <w:r w:rsidRPr="00504597">
        <w:rPr>
          <w:rFonts w:ascii="Arial" w:eastAsia="Calibri" w:hAnsi="Arial" w:cs="Arial"/>
          <w:color w:val="000000" w:themeColor="text1"/>
          <w:lang w:val="es-ES_tradnl"/>
        </w:rPr>
        <w:t xml:space="preserve"> Colombia Compra Eficiente responde </w:t>
      </w:r>
      <w:r>
        <w:rPr>
          <w:rFonts w:ascii="Arial" w:eastAsia="Calibri" w:hAnsi="Arial" w:cs="Arial"/>
          <w:color w:val="000000" w:themeColor="text1"/>
          <w:lang w:val="es-ES_tradnl"/>
        </w:rPr>
        <w:t>la</w:t>
      </w:r>
      <w:r w:rsidRPr="00504597">
        <w:rPr>
          <w:rFonts w:ascii="Arial" w:eastAsia="Calibri" w:hAnsi="Arial" w:cs="Arial"/>
          <w:color w:val="000000" w:themeColor="text1"/>
          <w:lang w:val="es-ES_tradnl"/>
        </w:rPr>
        <w:t xml:space="preserve"> consulta </w:t>
      </w:r>
      <w:r>
        <w:rPr>
          <w:rFonts w:ascii="Arial" w:eastAsia="Calibri" w:hAnsi="Arial" w:cs="Arial"/>
          <w:color w:val="000000" w:themeColor="text1"/>
          <w:lang w:val="es-ES_tradnl"/>
        </w:rPr>
        <w:t xml:space="preserve">radicada </w:t>
      </w:r>
      <w:r w:rsidRPr="00504597">
        <w:rPr>
          <w:rFonts w:ascii="Arial" w:eastAsia="Calibri" w:hAnsi="Arial" w:cs="Arial"/>
          <w:color w:val="000000" w:themeColor="text1"/>
          <w:lang w:val="es-ES_tradnl"/>
        </w:rPr>
        <w:t xml:space="preserve">el </w:t>
      </w:r>
      <w:r>
        <w:rPr>
          <w:rFonts w:ascii="Arial" w:eastAsia="Calibri" w:hAnsi="Arial" w:cs="Arial"/>
          <w:color w:val="000000" w:themeColor="text1"/>
          <w:lang w:val="es-ES_tradnl"/>
        </w:rPr>
        <w:t xml:space="preserve">26 de abril de 2023. </w:t>
      </w:r>
    </w:p>
    <w:p w14:paraId="38F4738B" w14:textId="77777777" w:rsidR="00DB3754" w:rsidRDefault="00DB3754" w:rsidP="00DB3754">
      <w:pPr>
        <w:spacing w:after="0" w:line="276" w:lineRule="auto"/>
        <w:jc w:val="both"/>
        <w:rPr>
          <w:rFonts w:ascii="Arial" w:eastAsia="Calibri" w:hAnsi="Arial" w:cs="Arial"/>
          <w:color w:val="000000" w:themeColor="text1"/>
          <w:lang w:val="es-ES_tradnl"/>
        </w:rPr>
      </w:pPr>
    </w:p>
    <w:p w14:paraId="150175E6" w14:textId="77777777" w:rsidR="00DB3754" w:rsidRPr="00660381" w:rsidRDefault="00DB3754" w:rsidP="00DB3754">
      <w:pPr>
        <w:pStyle w:val="ListParagraph"/>
        <w:numPr>
          <w:ilvl w:val="0"/>
          <w:numId w:val="4"/>
        </w:numPr>
        <w:spacing w:after="0" w:line="276" w:lineRule="auto"/>
        <w:ind w:left="284" w:hanging="284"/>
        <w:jc w:val="both"/>
        <w:rPr>
          <w:rFonts w:ascii="Arial" w:eastAsia="Calibri" w:hAnsi="Arial" w:cs="Arial"/>
          <w:b/>
          <w:bCs/>
          <w:color w:val="000000" w:themeColor="text1"/>
          <w:lang w:val="es-ES_tradnl"/>
        </w:rPr>
      </w:pPr>
      <w:r w:rsidRPr="00660381">
        <w:rPr>
          <w:rFonts w:ascii="Arial" w:eastAsia="Calibri" w:hAnsi="Arial" w:cs="Arial"/>
          <w:b/>
          <w:bCs/>
          <w:color w:val="000000" w:themeColor="text1"/>
          <w:lang w:val="es-ES_tradnl"/>
        </w:rPr>
        <w:t>Problema planteado</w:t>
      </w:r>
    </w:p>
    <w:p w14:paraId="7414C4FB" w14:textId="77777777" w:rsidR="00DB3754" w:rsidRDefault="00DB3754" w:rsidP="00DB3754">
      <w:pPr>
        <w:spacing w:after="0" w:line="276" w:lineRule="auto"/>
        <w:jc w:val="both"/>
        <w:rPr>
          <w:rFonts w:ascii="Arial" w:eastAsia="Calibri" w:hAnsi="Arial" w:cs="Arial"/>
          <w:color w:val="000000" w:themeColor="text1"/>
          <w:lang w:val="es-ES_tradnl"/>
        </w:rPr>
      </w:pPr>
    </w:p>
    <w:p w14:paraId="5BD5B583" w14:textId="77777777" w:rsidR="00DB3754" w:rsidRDefault="00DB3754" w:rsidP="00DB3754">
      <w:pPr>
        <w:spacing w:after="0" w:line="276" w:lineRule="auto"/>
        <w:jc w:val="both"/>
        <w:rPr>
          <w:rFonts w:ascii="Arial" w:eastAsia="Calibri" w:hAnsi="Arial" w:cs="Arial"/>
          <w:color w:val="000000" w:themeColor="text1"/>
        </w:rPr>
      </w:pPr>
      <w:r>
        <w:rPr>
          <w:rFonts w:ascii="Arial" w:eastAsia="Calibri" w:hAnsi="Arial" w:cs="Arial"/>
          <w:color w:val="000000" w:themeColor="text1"/>
          <w:lang w:val="es-ES_tradnl"/>
        </w:rPr>
        <w:t>En su consulta usted plantea la siguiente inquietud respecto al régimen de inhabilidades e incompatibilidades: “</w:t>
      </w:r>
      <w:r w:rsidRPr="009C3B0F">
        <w:rPr>
          <w:rFonts w:ascii="Arial" w:eastAsia="Calibri" w:hAnsi="Arial" w:cs="Arial"/>
          <w:color w:val="000000" w:themeColor="text1"/>
        </w:rPr>
        <w:t>¿la inhabilidad para participar en procesos de selección de contratistas y</w:t>
      </w:r>
      <w:r>
        <w:rPr>
          <w:rFonts w:ascii="Arial" w:eastAsia="Calibri" w:hAnsi="Arial" w:cs="Arial"/>
          <w:color w:val="000000" w:themeColor="text1"/>
        </w:rPr>
        <w:t xml:space="preserve"> </w:t>
      </w:r>
      <w:r w:rsidRPr="009C3B0F">
        <w:rPr>
          <w:rFonts w:ascii="Arial" w:eastAsia="Calibri" w:hAnsi="Arial" w:cs="Arial"/>
          <w:color w:val="000000" w:themeColor="text1"/>
        </w:rPr>
        <w:t>contratar con el Estado cesa cuando se acredite y se declare haber recibido</w:t>
      </w:r>
      <w:r>
        <w:rPr>
          <w:rFonts w:ascii="Arial" w:eastAsia="Calibri" w:hAnsi="Arial" w:cs="Arial"/>
          <w:color w:val="000000" w:themeColor="text1"/>
        </w:rPr>
        <w:t xml:space="preserve"> </w:t>
      </w:r>
      <w:r w:rsidRPr="009C3B0F">
        <w:rPr>
          <w:rFonts w:ascii="Arial" w:eastAsia="Calibri" w:hAnsi="Arial" w:cs="Arial"/>
          <w:color w:val="000000" w:themeColor="text1"/>
        </w:rPr>
        <w:t xml:space="preserve">el pago del daño fiscal o cuando es eliminado el reporte en el Boletín de </w:t>
      </w:r>
      <w:proofErr w:type="gramStart"/>
      <w:r w:rsidRPr="009C3B0F">
        <w:rPr>
          <w:rFonts w:ascii="Arial" w:eastAsia="Calibri" w:hAnsi="Arial" w:cs="Arial"/>
          <w:color w:val="000000" w:themeColor="text1"/>
        </w:rPr>
        <w:t>Responsables</w:t>
      </w:r>
      <w:proofErr w:type="gramEnd"/>
      <w:r w:rsidRPr="009C3B0F">
        <w:rPr>
          <w:rFonts w:ascii="Arial" w:eastAsia="Calibri" w:hAnsi="Arial" w:cs="Arial"/>
          <w:color w:val="000000" w:themeColor="text1"/>
        </w:rPr>
        <w:t xml:space="preserve"> Fiscales y en el SIRI?</w:t>
      </w:r>
      <w:r>
        <w:rPr>
          <w:rFonts w:ascii="Arial" w:eastAsia="Calibri" w:hAnsi="Arial" w:cs="Arial"/>
          <w:color w:val="000000" w:themeColor="text1"/>
        </w:rPr>
        <w:t>” (SIC)</w:t>
      </w:r>
      <w:r w:rsidRPr="00AE719E">
        <w:rPr>
          <w:rFonts w:ascii="Arial" w:eastAsia="Calibri" w:hAnsi="Arial" w:cs="Arial"/>
          <w:color w:val="000000" w:themeColor="text1"/>
        </w:rPr>
        <w:t>.</w:t>
      </w:r>
    </w:p>
    <w:p w14:paraId="30A144D2" w14:textId="77777777" w:rsidR="00DB3754" w:rsidRPr="00AE719E" w:rsidRDefault="00DB3754" w:rsidP="00DB3754">
      <w:pPr>
        <w:spacing w:after="0" w:line="276" w:lineRule="auto"/>
        <w:jc w:val="both"/>
        <w:rPr>
          <w:rFonts w:ascii="Arial" w:eastAsia="Calibri" w:hAnsi="Arial" w:cs="Arial"/>
          <w:color w:val="000000" w:themeColor="text1"/>
          <w:lang w:val="es-ES_tradnl"/>
        </w:rPr>
      </w:pPr>
    </w:p>
    <w:p w14:paraId="35DA0B26" w14:textId="77777777" w:rsidR="00DB3754" w:rsidRDefault="00DB3754" w:rsidP="00DB3754">
      <w:pPr>
        <w:spacing w:after="0" w:line="276" w:lineRule="auto"/>
        <w:jc w:val="both"/>
        <w:rPr>
          <w:rFonts w:ascii="Arial" w:hAnsi="Arial" w:cs="Arial"/>
          <w:b/>
          <w:bCs/>
        </w:rPr>
      </w:pPr>
      <w:r w:rsidRPr="00660381">
        <w:rPr>
          <w:rFonts w:ascii="Arial" w:hAnsi="Arial" w:cs="Arial"/>
          <w:b/>
          <w:bCs/>
        </w:rPr>
        <w:t>2. Consideraciones</w:t>
      </w:r>
    </w:p>
    <w:p w14:paraId="08EA8900" w14:textId="77777777" w:rsidR="00DB3754" w:rsidRPr="00660381" w:rsidRDefault="00DB3754" w:rsidP="00DB3754">
      <w:pPr>
        <w:spacing w:after="0" w:line="276" w:lineRule="auto"/>
        <w:jc w:val="both"/>
        <w:rPr>
          <w:rFonts w:ascii="Arial" w:hAnsi="Arial" w:cs="Arial"/>
          <w:b/>
          <w:bCs/>
        </w:rPr>
      </w:pPr>
    </w:p>
    <w:p w14:paraId="28967076" w14:textId="77777777" w:rsidR="00DB3754" w:rsidRPr="00781AC2" w:rsidRDefault="00DB3754" w:rsidP="00DB3754">
      <w:pPr>
        <w:spacing w:after="120" w:line="276" w:lineRule="auto"/>
        <w:jc w:val="both"/>
        <w:rPr>
          <w:rFonts w:ascii="Arial" w:hAnsi="Arial" w:cs="Arial"/>
          <w:lang w:val="es-ES"/>
        </w:rPr>
      </w:pPr>
      <w:r w:rsidRPr="00781AC2">
        <w:rPr>
          <w:rFonts w:ascii="Arial" w:hAnsi="Arial" w:cs="Arial"/>
        </w:rPr>
        <w:lastRenderedPageBreak/>
        <w:t>En ejercicio de las competencias establecidas en los artículos 3</w:t>
      </w:r>
      <w:r>
        <w:rPr>
          <w:rFonts w:ascii="Arial" w:hAnsi="Arial" w:cs="Arial"/>
        </w:rPr>
        <w:t xml:space="preserve">, numeral </w:t>
      </w:r>
      <w:r w:rsidRPr="00781AC2">
        <w:rPr>
          <w:rFonts w:ascii="Arial" w:hAnsi="Arial" w:cs="Arial"/>
        </w:rPr>
        <w:t>5</w:t>
      </w:r>
      <w:r>
        <w:rPr>
          <w:rFonts w:ascii="Arial" w:hAnsi="Arial" w:cs="Arial"/>
        </w:rPr>
        <w:t>°</w:t>
      </w:r>
      <w:r w:rsidRPr="00781AC2">
        <w:rPr>
          <w:rFonts w:ascii="Arial" w:hAnsi="Arial" w:cs="Arial"/>
        </w:rPr>
        <w:t xml:space="preserve"> y 11</w:t>
      </w:r>
      <w:r>
        <w:rPr>
          <w:rFonts w:ascii="Arial" w:hAnsi="Arial" w:cs="Arial"/>
        </w:rPr>
        <w:t xml:space="preserve">, numeral </w:t>
      </w:r>
      <w:r w:rsidRPr="00781AC2">
        <w:rPr>
          <w:rFonts w:ascii="Arial" w:hAnsi="Arial" w:cs="Arial"/>
        </w:rPr>
        <w:t>8</w:t>
      </w:r>
      <w:r>
        <w:rPr>
          <w:rFonts w:ascii="Arial" w:hAnsi="Arial" w:cs="Arial"/>
        </w:rPr>
        <w:t>°</w:t>
      </w:r>
      <w:r w:rsidRPr="00781AC2">
        <w:rPr>
          <w:rFonts w:ascii="Arial" w:hAnsi="Arial" w:cs="Arial"/>
        </w:rPr>
        <w:t xml:space="preserve"> del Decreto Ley 4170 de 2011, la Agencia Nacional de Contratación Pública – Colombia Compra Eficiente resuelve las consultas sobre los asuntos de su competencia, esto es, sobre las temáticas de la contratación estatal y compras públicas relacionadas en los artículos </w:t>
      </w:r>
      <w:r w:rsidRPr="00535BE1">
        <w:rPr>
          <w:rFonts w:ascii="Arial" w:hAnsi="Arial" w:cs="Arial"/>
          <w:lang w:val="es-ES"/>
        </w:rPr>
        <w:t xml:space="preserve">citados. </w:t>
      </w:r>
      <w:r w:rsidRPr="00781AC2">
        <w:rPr>
          <w:rFonts w:ascii="Arial" w:hAnsi="Arial" w:cs="Arial"/>
          <w:lang w:val="es-ES"/>
        </w:rPr>
        <w:t xml:space="preserve">Es necesario tener en cuenta que esta entidad solo tiene competencia para responder solicitudes sobre la </w:t>
      </w:r>
      <w:r>
        <w:rPr>
          <w:rFonts w:ascii="Arial" w:hAnsi="Arial" w:cs="Arial"/>
          <w:lang w:val="es-ES"/>
        </w:rPr>
        <w:t>interpretación</w:t>
      </w:r>
      <w:r w:rsidRPr="00781AC2">
        <w:rPr>
          <w:rFonts w:ascii="Arial" w:hAnsi="Arial" w:cs="Arial"/>
          <w:lang w:val="es-ES"/>
        </w:rPr>
        <w:t xml:space="preserve">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781AC2">
        <w:rPr>
          <w:rFonts w:ascii="Arial" w:hAnsi="Arial" w:cs="Arial"/>
        </w:rPr>
        <w:t xml:space="preserve"> de todos los partícipes de la contratación estatal.</w:t>
      </w:r>
    </w:p>
    <w:p w14:paraId="2E651FD5" w14:textId="77777777" w:rsidR="00DB3754" w:rsidRPr="006D7E12" w:rsidRDefault="00DB3754" w:rsidP="00DB3754">
      <w:pPr>
        <w:spacing w:after="120" w:line="276" w:lineRule="auto"/>
        <w:ind w:firstLine="708"/>
        <w:jc w:val="both"/>
        <w:rPr>
          <w:rFonts w:ascii="Arial" w:hAnsi="Arial" w:cs="Arial"/>
          <w:lang w:val="es-ES"/>
        </w:rPr>
      </w:pPr>
      <w:r w:rsidRPr="006D7E12">
        <w:rPr>
          <w:rFonts w:ascii="Arial"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6D7E12">
        <w:rPr>
          <w:rFonts w:ascii="Arial" w:hAnsi="Arial" w:cs="Arial"/>
          <w:vertAlign w:val="superscript"/>
          <w:lang w:val="es-ES"/>
        </w:rPr>
        <w:footnoteReference w:id="2"/>
      </w:r>
      <w:r w:rsidRPr="006D7E12">
        <w:rPr>
          <w:rFonts w:ascii="Arial" w:hAnsi="Arial" w:cs="Arial"/>
          <w:lang w:val="es-ES"/>
        </w:rPr>
        <w:t>. Esta competencia de interpretación de normas generales, por definición, no puede extenderse a la resolución de controversias</w:t>
      </w:r>
      <w:r>
        <w:rPr>
          <w:rFonts w:ascii="Arial" w:hAnsi="Arial" w:cs="Arial"/>
          <w:lang w:val="es-ES"/>
        </w:rPr>
        <w:t xml:space="preserve"> ni</w:t>
      </w:r>
      <w:r w:rsidRPr="006D7E12">
        <w:rPr>
          <w:rFonts w:ascii="Arial" w:hAnsi="Arial" w:cs="Arial"/>
          <w:lang w:val="es-ES"/>
        </w:rPr>
        <w:t xml:space="preserve"> brindar asesorías sobre casos puntuales. Por lo anterior, previo concepto de sus órganos asesores, la solución de estos temas corresponde a la entidad de adoptar la decisión correspondiente y, en caso de conflicto, a las autoridades judiciales, fiscales y disciplinarias. De esta manera, le corresponderá a cada entidad definir la viabilidad técnica, jurídica y financiera de </w:t>
      </w:r>
      <w:r>
        <w:rPr>
          <w:rFonts w:ascii="Arial" w:hAnsi="Arial" w:cs="Arial"/>
          <w:lang w:val="es-ES"/>
        </w:rPr>
        <w:t>adelantar alguna gestión contractual en específico</w:t>
      </w:r>
      <w:r w:rsidRPr="006D7E12">
        <w:rPr>
          <w:rFonts w:ascii="Arial" w:hAnsi="Arial" w:cs="Arial"/>
          <w:lang w:val="es-ES"/>
        </w:rPr>
        <w:t>.</w:t>
      </w:r>
    </w:p>
    <w:p w14:paraId="7882F45C" w14:textId="77777777" w:rsidR="00DB3754" w:rsidRPr="009D3976" w:rsidRDefault="00DB3754" w:rsidP="00DB3754">
      <w:pPr>
        <w:spacing w:line="276" w:lineRule="auto"/>
        <w:ind w:firstLine="708"/>
        <w:jc w:val="both"/>
        <w:rPr>
          <w:rFonts w:ascii="Arial" w:hAnsi="Arial" w:cs="Arial"/>
          <w:color w:val="000000" w:themeColor="text1"/>
          <w:lang w:val="es-ES"/>
        </w:rPr>
      </w:pPr>
      <w:r w:rsidRPr="00781AC2">
        <w:rPr>
          <w:rFonts w:ascii="Arial" w:hAnsi="Arial" w:cs="Arial"/>
        </w:rPr>
        <w:t>Sin perjuicio de lo anterior, la Subdirección –dentro de los límites de sus atribuciones, esto es, haciendo abstracción de</w:t>
      </w:r>
      <w:r>
        <w:rPr>
          <w:rFonts w:ascii="Arial" w:hAnsi="Arial" w:cs="Arial"/>
        </w:rPr>
        <w:t xml:space="preserve"> las situaciones particulares expuestas en la solicitud</w:t>
      </w:r>
      <w:r w:rsidRPr="00781AC2">
        <w:rPr>
          <w:rFonts w:ascii="Arial" w:hAnsi="Arial" w:cs="Arial"/>
        </w:rPr>
        <w:t xml:space="preserve">– resolverá la consulta conforme a las normas generales en materia de contratación estatal. Con este objetivo se </w:t>
      </w:r>
      <w:r>
        <w:rPr>
          <w:rFonts w:ascii="Arial" w:hAnsi="Arial" w:cs="Arial"/>
        </w:rPr>
        <w:t>abordarán</w:t>
      </w:r>
      <w:r w:rsidRPr="00781AC2">
        <w:rPr>
          <w:rFonts w:ascii="Arial" w:hAnsi="Arial" w:cs="Arial"/>
        </w:rPr>
        <w:t xml:space="preserve"> </w:t>
      </w:r>
      <w:r w:rsidRPr="00781AC2">
        <w:rPr>
          <w:rFonts w:ascii="Arial" w:eastAsia="Calibri" w:hAnsi="Arial" w:cs="Arial"/>
          <w:lang w:val="es-ES"/>
        </w:rPr>
        <w:t>los siguientes temas</w:t>
      </w:r>
      <w:r w:rsidRPr="00504597">
        <w:rPr>
          <w:rFonts w:ascii="Arial" w:hAnsi="Arial" w:cs="Arial"/>
          <w:color w:val="000000" w:themeColor="text1"/>
          <w:lang w:val="es-ES"/>
        </w:rPr>
        <w:t>:</w:t>
      </w:r>
      <w:r>
        <w:rPr>
          <w:rFonts w:ascii="Arial" w:hAnsi="Arial" w:cs="Arial"/>
          <w:color w:val="000000" w:themeColor="text1"/>
          <w:lang w:val="es-ES"/>
        </w:rPr>
        <w:t xml:space="preserve"> </w:t>
      </w:r>
      <w:r w:rsidRPr="00C461A7">
        <w:rPr>
          <w:rFonts w:ascii="Arial" w:hAnsi="Arial" w:cs="Arial"/>
          <w:color w:val="000000" w:themeColor="text1"/>
          <w:lang w:val="es-ES"/>
        </w:rPr>
        <w:t>i) régimen de inhabilidades e incompatibilidades para contratar con el Estado</w:t>
      </w:r>
      <w:r>
        <w:rPr>
          <w:rFonts w:ascii="Arial" w:hAnsi="Arial" w:cs="Arial"/>
          <w:color w:val="000000" w:themeColor="text1"/>
          <w:lang w:val="es-ES"/>
        </w:rPr>
        <w:t xml:space="preserve">, e </w:t>
      </w:r>
      <w:proofErr w:type="spellStart"/>
      <w:r w:rsidRPr="00C461A7">
        <w:rPr>
          <w:rFonts w:ascii="Arial" w:hAnsi="Arial" w:cs="Arial"/>
          <w:color w:val="000000" w:themeColor="text1"/>
          <w:lang w:val="es-ES"/>
        </w:rPr>
        <w:t>ii</w:t>
      </w:r>
      <w:proofErr w:type="spellEnd"/>
      <w:r>
        <w:rPr>
          <w:rFonts w:ascii="Arial" w:hAnsi="Arial" w:cs="Arial"/>
          <w:color w:val="000000" w:themeColor="text1"/>
          <w:lang w:val="es-ES"/>
        </w:rPr>
        <w:t>) inhabilidad por declaratoria de responsabilidad fiscal</w:t>
      </w:r>
      <w:r w:rsidRPr="00C461A7">
        <w:rPr>
          <w:rFonts w:ascii="Arial" w:hAnsi="Arial" w:cs="Arial"/>
          <w:color w:val="000000" w:themeColor="text1"/>
          <w:lang w:val="es-MX"/>
        </w:rPr>
        <w:t>.</w:t>
      </w:r>
      <w:r w:rsidRPr="00C461A7">
        <w:rPr>
          <w:rFonts w:ascii="Arial" w:hAnsi="Arial" w:cs="Arial"/>
          <w:color w:val="000000" w:themeColor="text1"/>
          <w:lang w:val="es-ES"/>
        </w:rPr>
        <w:t xml:space="preserve"> </w:t>
      </w:r>
    </w:p>
    <w:p w14:paraId="52E56049" w14:textId="77777777" w:rsidR="00DB3754" w:rsidRDefault="00DB3754" w:rsidP="00DB3754">
      <w:pPr>
        <w:spacing w:before="120" w:after="0" w:line="276" w:lineRule="auto"/>
        <w:ind w:firstLine="709"/>
        <w:jc w:val="both"/>
        <w:rPr>
          <w:rFonts w:ascii="Arial" w:eastAsia="Calibri" w:hAnsi="Arial" w:cs="Arial"/>
          <w:color w:val="000000" w:themeColor="text1"/>
          <w:lang w:val="es-ES_tradnl"/>
        </w:rPr>
      </w:pPr>
      <w:r w:rsidRPr="00504597">
        <w:rPr>
          <w:rFonts w:ascii="Arial" w:eastAsia="Calibri" w:hAnsi="Arial" w:cs="Arial"/>
          <w:color w:val="000000" w:themeColor="text1"/>
          <w:lang w:val="es-ES"/>
        </w:rPr>
        <w:t xml:space="preserve">La Agencia Nacional de Contratación Pública </w:t>
      </w:r>
      <w:r>
        <w:rPr>
          <w:rFonts w:ascii="Arial" w:eastAsia="Calibri" w:hAnsi="Arial" w:cs="Arial"/>
          <w:color w:val="000000" w:themeColor="text1"/>
          <w:lang w:val="es-ES"/>
        </w:rPr>
        <w:t>–</w:t>
      </w:r>
      <w:r w:rsidRPr="00504597">
        <w:rPr>
          <w:rFonts w:ascii="Arial" w:eastAsia="Calibri" w:hAnsi="Arial" w:cs="Arial"/>
          <w:color w:val="000000" w:themeColor="text1"/>
          <w:lang w:val="es-ES"/>
        </w:rPr>
        <w:t xml:space="preserve"> Colombia Compra Eficiente,</w:t>
      </w:r>
      <w:r>
        <w:rPr>
          <w:rFonts w:ascii="Arial" w:eastAsia="Calibri" w:hAnsi="Arial" w:cs="Arial"/>
          <w:color w:val="000000" w:themeColor="text1"/>
          <w:lang w:val="es-ES"/>
        </w:rPr>
        <w:t xml:space="preserve"> </w:t>
      </w:r>
      <w:r w:rsidRPr="00504597">
        <w:rPr>
          <w:rFonts w:ascii="Arial" w:eastAsia="Calibri" w:hAnsi="Arial" w:cs="Arial"/>
          <w:color w:val="000000" w:themeColor="text1"/>
          <w:lang w:val="es-ES"/>
        </w:rPr>
        <w:t xml:space="preserve">en los </w:t>
      </w:r>
      <w:r>
        <w:rPr>
          <w:rFonts w:ascii="Arial" w:eastAsia="Calibri" w:hAnsi="Arial" w:cs="Arial"/>
          <w:color w:val="000000" w:themeColor="text1"/>
          <w:lang w:val="es-ES"/>
        </w:rPr>
        <w:t>c</w:t>
      </w:r>
      <w:r w:rsidRPr="00504597">
        <w:rPr>
          <w:rFonts w:ascii="Arial" w:eastAsia="Calibri" w:hAnsi="Arial" w:cs="Arial"/>
          <w:color w:val="000000" w:themeColor="text1"/>
          <w:lang w:val="es-ES"/>
        </w:rPr>
        <w:t>onceptos</w:t>
      </w:r>
      <w:r>
        <w:rPr>
          <w:rFonts w:ascii="Arial" w:eastAsia="Calibri" w:hAnsi="Arial" w:cs="Arial"/>
          <w:color w:val="000000" w:themeColor="text1"/>
          <w:lang w:val="es-ES"/>
        </w:rPr>
        <w:t xml:space="preserve"> </w:t>
      </w:r>
      <w:r w:rsidRPr="00DE7E6D">
        <w:rPr>
          <w:rFonts w:ascii="Arial" w:eastAsia="Calibri" w:hAnsi="Arial" w:cs="Arial"/>
          <w:color w:val="000000" w:themeColor="text1"/>
          <w:lang w:val="es-MX"/>
        </w:rPr>
        <w:t>4201912000004765 de 29 de agosto de 2019, 4201913000005694 del 3 de octubre de 2019, 4201912000006288 del 7 de septiembre de 2019, 4201912000006259 del 13 de noviembre de 2019, 4201913000006917 del 21 de noviembre de 2019, 4201912000006978 del 25 de noviembre de 2019, 4201912000007291 del 3 de diciembre de 2019, 4201912000007281 del 5 de diciembre de 2019, 4201912000007060 del 11 de diciembre de 2019, 4201912000007512 del 16  diciembre de 2019, 4201912000008460 del 14 de febrero de 2020</w:t>
      </w:r>
      <w:r>
        <w:rPr>
          <w:rFonts w:ascii="Arial" w:eastAsia="Calibri" w:hAnsi="Arial" w:cs="Arial"/>
          <w:color w:val="000000" w:themeColor="text1"/>
          <w:lang w:val="es-MX"/>
        </w:rPr>
        <w:t xml:space="preserve">, </w:t>
      </w:r>
      <w:r w:rsidRPr="00CC107C">
        <w:rPr>
          <w:rFonts w:ascii="Arial" w:eastAsia="Calibri" w:hAnsi="Arial" w:cs="Arial"/>
          <w:color w:val="000000" w:themeColor="text1"/>
          <w:lang w:val="es-ES_tradnl"/>
        </w:rPr>
        <w:t>C</w:t>
      </w:r>
      <w:r>
        <w:rPr>
          <w:rFonts w:ascii="Arial" w:eastAsia="Calibri" w:hAnsi="Arial" w:cs="Arial"/>
          <w:color w:val="000000" w:themeColor="text1"/>
          <w:lang w:val="es-ES_tradnl"/>
        </w:rPr>
        <w:t>-</w:t>
      </w:r>
      <w:r w:rsidRPr="00CC107C">
        <w:rPr>
          <w:rFonts w:ascii="Arial" w:eastAsia="Calibri" w:hAnsi="Arial" w:cs="Arial"/>
          <w:color w:val="000000" w:themeColor="text1"/>
          <w:lang w:val="es-ES_tradnl"/>
        </w:rPr>
        <w:t xml:space="preserve">032 del 19 de febrero de 2020, C-090 del 24 de febrero de 2020, C-125 del 3 de marzo de 2020, C-157 del 17 de marzo de 2020, C-273 del 21 de mayo de 2020, C-386 del 24 de julio de 2020, C-580 del 21 de septiembre de 2020, C-639 del 27 de octubre del 2020, C-650 del 10 de noviembre de 2020, C-684 del 24 de noviembre de 2020 C-004 del 12 de febrero de 2021, C-815 del 18 de febrero de 2021, C-210 del 12 de mayo de 2021, C-275 del 11 de junio de 2021, C-321 </w:t>
      </w:r>
      <w:r w:rsidRPr="00CC107C">
        <w:rPr>
          <w:rFonts w:ascii="Arial" w:eastAsia="Calibri" w:hAnsi="Arial" w:cs="Arial"/>
          <w:color w:val="000000" w:themeColor="text1"/>
          <w:lang w:val="es-ES_tradnl"/>
        </w:rPr>
        <w:lastRenderedPageBreak/>
        <w:t>del 2 de julio de 2021, C-410 del 7 de julio del 2021</w:t>
      </w:r>
      <w:r>
        <w:rPr>
          <w:rFonts w:ascii="Arial" w:eastAsia="Calibri" w:hAnsi="Arial" w:cs="Arial"/>
          <w:color w:val="000000" w:themeColor="text1"/>
          <w:lang w:val="es-ES_tradnl"/>
        </w:rPr>
        <w:t xml:space="preserve">, </w:t>
      </w:r>
      <w:r w:rsidRPr="00CC107C">
        <w:rPr>
          <w:rFonts w:ascii="Arial" w:eastAsia="Calibri" w:hAnsi="Arial" w:cs="Arial"/>
          <w:color w:val="000000" w:themeColor="text1"/>
          <w:lang w:val="es-ES_tradnl"/>
        </w:rPr>
        <w:t>C-491 del 14 de septiembre de 2021</w:t>
      </w:r>
      <w:r>
        <w:rPr>
          <w:rFonts w:ascii="Arial" w:eastAsia="Calibri" w:hAnsi="Arial" w:cs="Arial"/>
          <w:color w:val="000000" w:themeColor="text1"/>
          <w:lang w:val="es-ES_tradnl"/>
        </w:rPr>
        <w:t xml:space="preserve">, </w:t>
      </w:r>
      <w:r w:rsidRPr="00CC107C">
        <w:rPr>
          <w:rFonts w:ascii="Arial" w:eastAsia="Calibri" w:hAnsi="Arial" w:cs="Arial"/>
          <w:color w:val="000000" w:themeColor="text1"/>
          <w:lang w:val="es-ES"/>
        </w:rPr>
        <w:t>C-028 del 28 de febrero de 2022, C-318 del 18 de mayo de 2022</w:t>
      </w:r>
      <w:r>
        <w:rPr>
          <w:rFonts w:ascii="Arial" w:eastAsia="Calibri" w:hAnsi="Arial" w:cs="Arial"/>
          <w:color w:val="000000" w:themeColor="text1"/>
          <w:lang w:val="es-ES"/>
        </w:rPr>
        <w:t>,</w:t>
      </w:r>
      <w:r w:rsidRPr="00CC107C">
        <w:rPr>
          <w:rFonts w:ascii="Arial" w:eastAsia="Calibri" w:hAnsi="Arial" w:cs="Arial"/>
          <w:color w:val="000000" w:themeColor="text1"/>
          <w:lang w:val="es-ES"/>
        </w:rPr>
        <w:t xml:space="preserve"> C-252 del 30 de mayo de 2022</w:t>
      </w:r>
      <w:r>
        <w:rPr>
          <w:rFonts w:ascii="Arial" w:eastAsia="Calibri" w:hAnsi="Arial" w:cs="Arial"/>
          <w:color w:val="000000" w:themeColor="text1"/>
          <w:lang w:val="es-ES"/>
        </w:rPr>
        <w:t xml:space="preserve"> y C-175 del 4 de mayo de 2023, </w:t>
      </w:r>
      <w:r w:rsidRPr="00504597">
        <w:rPr>
          <w:rFonts w:ascii="Arial" w:eastAsia="Calibri" w:hAnsi="Arial" w:cs="Arial"/>
          <w:color w:val="000000" w:themeColor="text1"/>
          <w:lang w:val="es-ES"/>
        </w:rPr>
        <w:t xml:space="preserve">analizó </w:t>
      </w:r>
      <w:r>
        <w:rPr>
          <w:rFonts w:ascii="Arial" w:eastAsia="Calibri" w:hAnsi="Arial" w:cs="Arial"/>
          <w:color w:val="000000" w:themeColor="text1"/>
          <w:lang w:val="es-ES"/>
        </w:rPr>
        <w:t>los contornos generales del régimen de inhabilidades e incompatibilidades en la contratación estatal</w:t>
      </w:r>
      <w:r w:rsidRPr="00781AC2">
        <w:rPr>
          <w:rStyle w:val="FootnoteReference"/>
          <w:rFonts w:ascii="Arial" w:eastAsia="Calibri" w:hAnsi="Arial" w:cs="Arial"/>
        </w:rPr>
        <w:footnoteReference w:id="3"/>
      </w:r>
      <w:r w:rsidRPr="00504597">
        <w:rPr>
          <w:rFonts w:ascii="Arial" w:eastAsia="Calibri" w:hAnsi="Arial" w:cs="Arial"/>
          <w:color w:val="000000" w:themeColor="text1"/>
          <w:lang w:val="es-ES"/>
        </w:rPr>
        <w:t xml:space="preserve">. </w:t>
      </w:r>
      <w:r w:rsidRPr="00504597">
        <w:rPr>
          <w:rFonts w:ascii="Arial" w:eastAsia="Calibri" w:hAnsi="Arial" w:cs="Arial"/>
          <w:color w:val="000000" w:themeColor="text1"/>
          <w:lang w:val="es-ES_tradnl"/>
        </w:rPr>
        <w:t>La tesis propuesta en estos conceptos se reitera a continuación</w:t>
      </w:r>
      <w:r>
        <w:rPr>
          <w:rFonts w:ascii="Arial" w:eastAsia="Calibri" w:hAnsi="Arial" w:cs="Arial"/>
          <w:color w:val="000000" w:themeColor="text1"/>
          <w:lang w:val="es-ES_tradnl"/>
        </w:rPr>
        <w:t>.</w:t>
      </w:r>
    </w:p>
    <w:p w14:paraId="44ABBBE4" w14:textId="77777777" w:rsidR="00DB3754" w:rsidRDefault="00DB3754" w:rsidP="00DC0193">
      <w:pPr>
        <w:spacing w:after="0" w:line="240" w:lineRule="auto"/>
        <w:ind w:firstLine="709"/>
        <w:jc w:val="both"/>
        <w:rPr>
          <w:rFonts w:ascii="Arial" w:eastAsia="Calibri" w:hAnsi="Arial" w:cs="Arial"/>
          <w:color w:val="000000" w:themeColor="text1"/>
          <w:lang w:val="es-ES_tradnl"/>
        </w:rPr>
      </w:pPr>
    </w:p>
    <w:p w14:paraId="0B53FED6" w14:textId="77777777" w:rsidR="00DB3754" w:rsidRDefault="00DB3754" w:rsidP="00DB3754">
      <w:pPr>
        <w:spacing w:after="0" w:line="276" w:lineRule="auto"/>
        <w:jc w:val="both"/>
        <w:rPr>
          <w:rFonts w:ascii="Arial" w:hAnsi="Arial" w:cs="Arial"/>
          <w:b/>
          <w:bCs/>
          <w:color w:val="000000" w:themeColor="text1"/>
          <w:lang w:val="es-ES"/>
        </w:rPr>
      </w:pPr>
      <w:r w:rsidRPr="00660381">
        <w:rPr>
          <w:rFonts w:ascii="Arial" w:eastAsia="Calibri" w:hAnsi="Arial" w:cs="Arial"/>
          <w:b/>
          <w:bCs/>
          <w:color w:val="000000" w:themeColor="text1"/>
          <w:lang w:val="es-ES_tradnl"/>
        </w:rPr>
        <w:t xml:space="preserve">2.1. </w:t>
      </w:r>
      <w:r w:rsidRPr="00660381">
        <w:rPr>
          <w:rFonts w:ascii="Arial" w:hAnsi="Arial" w:cs="Arial"/>
          <w:b/>
          <w:bCs/>
          <w:color w:val="000000" w:themeColor="text1"/>
          <w:lang w:val="es-ES"/>
        </w:rPr>
        <w:t>Régimen de inhabilidades e incompatibilidades para contratar con el Estado</w:t>
      </w:r>
    </w:p>
    <w:p w14:paraId="30640586" w14:textId="77777777" w:rsidR="00DB3754" w:rsidRPr="00660381" w:rsidRDefault="00DB3754" w:rsidP="00DC0193">
      <w:pPr>
        <w:spacing w:after="0" w:line="240" w:lineRule="auto"/>
        <w:jc w:val="both"/>
        <w:rPr>
          <w:rFonts w:ascii="Arial" w:eastAsia="Calibri" w:hAnsi="Arial" w:cs="Arial"/>
          <w:b/>
          <w:bCs/>
          <w:color w:val="000000" w:themeColor="text1"/>
          <w:lang w:val="es-ES_tradnl"/>
        </w:rPr>
      </w:pPr>
    </w:p>
    <w:p w14:paraId="0834BED9" w14:textId="77777777" w:rsidR="00DB3754" w:rsidRPr="003953CA" w:rsidRDefault="00DB3754" w:rsidP="00DB3754">
      <w:pPr>
        <w:pStyle w:val="NoSpacing"/>
        <w:spacing w:after="120" w:line="276" w:lineRule="auto"/>
        <w:jc w:val="both"/>
        <w:rPr>
          <w:rFonts w:ascii="Arial" w:hAnsi="Arial" w:cs="Arial"/>
          <w:sz w:val="22"/>
        </w:rPr>
      </w:pPr>
      <w:r w:rsidRPr="003D2C09">
        <w:rPr>
          <w:rFonts w:ascii="Arial" w:hAnsi="Arial" w:cs="Arial"/>
          <w:sz w:val="22"/>
        </w:rPr>
        <w:t>L</w:t>
      </w:r>
      <w:r w:rsidRPr="003953CA">
        <w:rPr>
          <w:rFonts w:ascii="Arial" w:hAnsi="Arial" w:cs="Arial"/>
          <w:sz w:val="22"/>
        </w:rPr>
        <w:t xml:space="preserve">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w:t>
      </w:r>
    </w:p>
    <w:p w14:paraId="6A8A4426" w14:textId="77777777" w:rsidR="00DB3754" w:rsidRDefault="00DB3754" w:rsidP="00DB3754">
      <w:pPr>
        <w:spacing w:line="276" w:lineRule="auto"/>
        <w:ind w:firstLine="709"/>
        <w:jc w:val="both"/>
        <w:rPr>
          <w:rFonts w:ascii="Arial" w:hAnsi="Arial" w:cs="Arial"/>
        </w:rPr>
      </w:pPr>
      <w:r w:rsidRPr="003953CA">
        <w:rPr>
          <w:rFonts w:ascii="Arial" w:hAnsi="Arial" w:cs="Arial"/>
        </w:rPr>
        <w:t xml:space="preserve">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w:t>
      </w:r>
      <w:r>
        <w:rPr>
          <w:rFonts w:ascii="Arial" w:hAnsi="Arial" w:cs="Arial"/>
        </w:rPr>
        <w:t>“</w:t>
      </w:r>
      <w:r w:rsidRPr="003953CA">
        <w:rPr>
          <w:rFonts w:ascii="Arial" w:hAnsi="Arial" w:cs="Arial"/>
        </w:rPr>
        <w:t>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Pr>
          <w:rFonts w:ascii="Arial" w:hAnsi="Arial" w:cs="Arial"/>
        </w:rPr>
        <w:t>”</w:t>
      </w:r>
      <w:r>
        <w:rPr>
          <w:rStyle w:val="FootnoteReference"/>
          <w:rFonts w:ascii="Arial" w:hAnsi="Arial" w:cs="Arial"/>
        </w:rPr>
        <w:footnoteReference w:id="4"/>
      </w:r>
      <w:r>
        <w:rPr>
          <w:rFonts w:ascii="Arial" w:hAnsi="Arial" w:cs="Arial"/>
        </w:rPr>
        <w:t>.</w:t>
      </w:r>
    </w:p>
    <w:p w14:paraId="55656448" w14:textId="77777777" w:rsidR="00DB3754" w:rsidRPr="00B60131" w:rsidRDefault="00DB3754" w:rsidP="00DB3754">
      <w:pPr>
        <w:pStyle w:val="NoSpacing"/>
        <w:spacing w:before="120" w:line="276" w:lineRule="auto"/>
        <w:ind w:firstLine="709"/>
        <w:jc w:val="both"/>
        <w:rPr>
          <w:rFonts w:ascii="Arial" w:hAnsi="Arial" w:cs="Arial"/>
          <w:sz w:val="22"/>
        </w:rPr>
      </w:pPr>
      <w:r w:rsidRPr="00B60131">
        <w:rPr>
          <w:rFonts w:ascii="Arial" w:hAnsi="Arial" w:cs="Arial"/>
          <w:sz w:val="22"/>
        </w:rPr>
        <w:t xml:space="preserve">La consagración limitaciones que afectan la capacidad jurídica para contratar desarrolla los principios de la función administrativa consagrados en el artículo 209 de la Constitución Política, con especial énfasis el de moralidad. Así lo entiende el Consejo de Estado: </w:t>
      </w:r>
    </w:p>
    <w:p w14:paraId="2DC50F60" w14:textId="77777777" w:rsidR="00DB3754" w:rsidRPr="00B60131" w:rsidRDefault="00DB3754" w:rsidP="00DB3754">
      <w:pPr>
        <w:pStyle w:val="NoSpacing"/>
        <w:spacing w:line="276" w:lineRule="auto"/>
        <w:jc w:val="both"/>
        <w:rPr>
          <w:rFonts w:ascii="Arial" w:hAnsi="Arial" w:cs="Arial"/>
          <w:sz w:val="22"/>
        </w:rPr>
      </w:pPr>
    </w:p>
    <w:p w14:paraId="7BEB9AF5" w14:textId="77777777" w:rsidR="00DB3754" w:rsidRDefault="00DB3754" w:rsidP="00DB3754">
      <w:pPr>
        <w:pStyle w:val="NormalWeb"/>
        <w:shd w:val="clear" w:color="auto" w:fill="FFFFFF"/>
        <w:spacing w:before="0" w:beforeAutospacing="0" w:after="120" w:afterAutospacing="0"/>
        <w:ind w:left="709" w:right="709"/>
        <w:jc w:val="both"/>
        <w:rPr>
          <w:rFonts w:ascii="Arial" w:eastAsiaTheme="minorHAnsi" w:hAnsi="Arial" w:cs="Arial"/>
          <w:sz w:val="21"/>
          <w:szCs w:val="21"/>
          <w:lang w:val="es-ES" w:eastAsia="en-US"/>
        </w:rPr>
      </w:pPr>
      <w:r>
        <w:rPr>
          <w:rFonts w:ascii="Arial" w:eastAsiaTheme="minorHAnsi" w:hAnsi="Arial" w:cs="Arial"/>
          <w:sz w:val="21"/>
          <w:szCs w:val="21"/>
          <w:lang w:val="es-ES" w:eastAsia="en-US"/>
        </w:rPr>
        <w:t>“</w:t>
      </w:r>
      <w:r w:rsidRPr="00B60131">
        <w:rPr>
          <w:rFonts w:ascii="Arial" w:eastAsiaTheme="minorHAnsi" w:hAnsi="Arial" w:cs="Arial"/>
          <w:sz w:val="21"/>
          <w:szCs w:val="21"/>
          <w:lang w:val="es-ES" w:eastAsia="en-US"/>
        </w:rPr>
        <w:t>De manera primordial en esta reflexión debe advertirse que la consagración legal de las incompatibilidades e inhabilidades en materia contractual, no es sino desarrollo del Principio de Moralidad que la Constitución Política consagra como uno de los rectores de la Función Administrativa, instituido en el artículo 209 de la Carta, toda vez que este Principio –en su carácter jurídico, ordenador y orientador del derecho– constituye la Finalidad, el Deber Ser, la Razón de Primer Orden en la cual se inspira, justifica y legitima la existencia de las normas que definen y regulan las inhabilidades e incompatibilidades.</w:t>
      </w:r>
    </w:p>
    <w:p w14:paraId="18A494FA" w14:textId="77777777" w:rsidR="00DB3754" w:rsidRDefault="00DB3754" w:rsidP="00DB3754">
      <w:pPr>
        <w:pStyle w:val="NormalWeb"/>
        <w:shd w:val="clear" w:color="auto" w:fill="FFFFFF"/>
        <w:spacing w:before="0" w:beforeAutospacing="0" w:after="0" w:afterAutospacing="0"/>
        <w:ind w:left="709" w:right="709"/>
        <w:jc w:val="both"/>
        <w:rPr>
          <w:rFonts w:ascii="Arial" w:eastAsiaTheme="minorHAnsi" w:hAnsi="Arial" w:cs="Arial"/>
          <w:sz w:val="21"/>
          <w:szCs w:val="21"/>
          <w:lang w:val="es-ES" w:eastAsia="en-US"/>
        </w:rPr>
      </w:pPr>
      <w:r w:rsidRPr="00B60131">
        <w:rPr>
          <w:rFonts w:ascii="Arial" w:eastAsiaTheme="minorHAnsi" w:hAnsi="Arial" w:cs="Arial"/>
          <w:sz w:val="21"/>
          <w:szCs w:val="21"/>
          <w:lang w:val="es-ES" w:eastAsia="en-US"/>
        </w:rPr>
        <w:t>Adicionalmente, toda vez que la Jurisprudencia Constitucional se ha referido a la protección del Interés General como causa que legitima la estructuración legal de las incompatibilidades e inhabilidades, se puede precisar que la regulación de sus causales para contratar con el Estado debe orientarse por el Principio de Moralidad que obviamente –como es propio de todos los Principios de la Función Administrativa– se despliega ordenado con base en la protección</w:t>
      </w:r>
      <w:r w:rsidRPr="003953CA">
        <w:rPr>
          <w:rFonts w:ascii="Arial" w:eastAsiaTheme="minorHAnsi" w:hAnsi="Arial" w:cs="Arial"/>
          <w:sz w:val="21"/>
          <w:szCs w:val="21"/>
          <w:lang w:val="es-ES" w:eastAsia="en-US"/>
        </w:rPr>
        <w:t xml:space="preserve"> prevalente del interés general y, por </w:t>
      </w:r>
      <w:r w:rsidRPr="003953CA">
        <w:rPr>
          <w:rFonts w:ascii="Arial" w:eastAsiaTheme="minorHAnsi" w:hAnsi="Arial" w:cs="Arial"/>
          <w:sz w:val="21"/>
          <w:szCs w:val="21"/>
          <w:lang w:val="es-ES" w:eastAsia="en-US"/>
        </w:rPr>
        <w:lastRenderedPageBreak/>
        <w:t>ello, se entiende que la potestad de configuración legislativa en materia de incompatibilidades e inhabilidades para contratar con el Estado puede concretarse a través de una regla de carácter excluyente para determinados potenciales contratistas, la cual se impone entonces por razón de ese fin de interés general como regla legal prevalente, esto es que puede ser impuesta sobre el derecho individual a contratar con el Estado</w:t>
      </w:r>
      <w:r>
        <w:rPr>
          <w:rFonts w:ascii="Arial" w:eastAsiaTheme="minorHAnsi" w:hAnsi="Arial" w:cs="Arial"/>
          <w:sz w:val="21"/>
          <w:szCs w:val="21"/>
          <w:lang w:val="es-ES" w:eastAsia="en-US"/>
        </w:rPr>
        <w:t>”</w:t>
      </w:r>
      <w:r>
        <w:rPr>
          <w:rStyle w:val="FootnoteReference"/>
          <w:rFonts w:ascii="Arial" w:eastAsiaTheme="minorHAnsi" w:hAnsi="Arial" w:cs="Arial"/>
          <w:sz w:val="21"/>
          <w:szCs w:val="21"/>
          <w:lang w:val="es-ES" w:eastAsia="en-US"/>
        </w:rPr>
        <w:footnoteReference w:id="5"/>
      </w:r>
      <w:r>
        <w:rPr>
          <w:rFonts w:ascii="Arial" w:eastAsiaTheme="minorHAnsi" w:hAnsi="Arial" w:cs="Arial"/>
          <w:sz w:val="21"/>
          <w:szCs w:val="21"/>
          <w:lang w:val="es-ES" w:eastAsia="en-US"/>
        </w:rPr>
        <w:t>.</w:t>
      </w:r>
    </w:p>
    <w:p w14:paraId="7CF40AEA" w14:textId="77777777" w:rsidR="00DB3754" w:rsidRPr="00427F40" w:rsidRDefault="00DB3754" w:rsidP="00DB3754">
      <w:pPr>
        <w:pStyle w:val="NormalWeb"/>
        <w:shd w:val="clear" w:color="auto" w:fill="FFFFFF"/>
        <w:spacing w:before="0" w:beforeAutospacing="0" w:after="0" w:afterAutospacing="0" w:line="276" w:lineRule="auto"/>
        <w:ind w:left="709" w:right="709"/>
        <w:jc w:val="both"/>
        <w:rPr>
          <w:rFonts w:ascii="Arial" w:eastAsiaTheme="minorHAnsi" w:hAnsi="Arial" w:cs="Arial"/>
          <w:sz w:val="22"/>
          <w:szCs w:val="22"/>
          <w:lang w:val="es-ES" w:eastAsia="en-US"/>
        </w:rPr>
      </w:pPr>
    </w:p>
    <w:p w14:paraId="3953B9E1" w14:textId="77777777" w:rsidR="00DB3754" w:rsidRDefault="00DB3754" w:rsidP="00DB3754">
      <w:pPr>
        <w:pStyle w:val="NoSpacing"/>
        <w:spacing w:line="276" w:lineRule="auto"/>
        <w:ind w:firstLine="709"/>
        <w:jc w:val="both"/>
        <w:rPr>
          <w:rFonts w:ascii="Arial" w:hAnsi="Arial" w:cs="Arial"/>
          <w:sz w:val="22"/>
        </w:rPr>
      </w:pPr>
      <w:r w:rsidRPr="003953CA">
        <w:rPr>
          <w:rFonts w:ascii="Arial" w:hAnsi="Arial" w:cs="Arial"/>
          <w:sz w:val="22"/>
        </w:rPr>
        <w:t xml:space="preserve">Así las cosas, las inhabilidades son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 La Corte Constitucional ha reconocido que estas limitaciones deben estar justificadas en la salvaguarda del interés general y que su lectura e interpretación es taxativa y restrictiva: </w:t>
      </w:r>
    </w:p>
    <w:p w14:paraId="5C0EC4C7" w14:textId="77777777" w:rsidR="00DB3754" w:rsidRPr="003953CA" w:rsidRDefault="00DB3754" w:rsidP="00DB3754">
      <w:pPr>
        <w:pStyle w:val="NoSpacing"/>
        <w:spacing w:line="276" w:lineRule="auto"/>
        <w:ind w:firstLine="709"/>
        <w:jc w:val="both"/>
        <w:rPr>
          <w:rFonts w:ascii="Arial" w:hAnsi="Arial" w:cs="Arial"/>
          <w:sz w:val="22"/>
        </w:rPr>
      </w:pPr>
    </w:p>
    <w:p w14:paraId="3D9FF08B" w14:textId="77777777" w:rsidR="00DB3754" w:rsidRDefault="00DB3754" w:rsidP="00DB3754">
      <w:pPr>
        <w:spacing w:line="240" w:lineRule="auto"/>
        <w:ind w:left="709" w:right="709"/>
        <w:jc w:val="both"/>
        <w:rPr>
          <w:rFonts w:ascii="Arial" w:hAnsi="Arial" w:cs="Arial"/>
          <w:sz w:val="21"/>
          <w:szCs w:val="21"/>
        </w:rPr>
      </w:pPr>
      <w:r>
        <w:rPr>
          <w:rFonts w:ascii="Arial" w:hAnsi="Arial" w:cs="Arial"/>
          <w:sz w:val="21"/>
          <w:szCs w:val="21"/>
        </w:rPr>
        <w:t>“</w:t>
      </w:r>
      <w:r w:rsidRPr="003953CA">
        <w:rPr>
          <w:rFonts w:ascii="Arial" w:hAnsi="Arial" w:cs="Arial"/>
          <w:sz w:val="21"/>
          <w:szCs w:val="21"/>
        </w:rPr>
        <w:t xml:space="preserve">Todo régimen de inhabilidades e incompatibilidades de suyo excluye a ciertas categorías de personas del proceso de contratación, generando incapacidades especiales, impedimentos y prohibiciones de variada naturaleza, que en cierta medida afectan el derecho a la personalidad jurídica traducido, a su turno, en el principio general de capacidad legal [CC arts. 1502 y 1503; ley 80 de 1993, art. 6]. De ordinario, como ocurre en la contratación estatal, la inobservancia del régimen de inhabilidades e </w:t>
      </w:r>
      <w:proofErr w:type="gramStart"/>
      <w:r w:rsidRPr="003953CA">
        <w:rPr>
          <w:rFonts w:ascii="Arial" w:hAnsi="Arial" w:cs="Arial"/>
          <w:sz w:val="21"/>
          <w:szCs w:val="21"/>
        </w:rPr>
        <w:t>incompatibilidades,</w:t>
      </w:r>
      <w:proofErr w:type="gramEnd"/>
      <w:r w:rsidRPr="003953CA">
        <w:rPr>
          <w:rFonts w:ascii="Arial" w:hAnsi="Arial" w:cs="Arial"/>
          <w:sz w:val="21"/>
          <w:szCs w:val="21"/>
        </w:rPr>
        <w:t xml:space="preserve"> se erige en causal de nulidad del contrato celebrado en esas condiciones (ley 80 de 1993, art. 44).</w:t>
      </w:r>
    </w:p>
    <w:p w14:paraId="3BDBCDB4" w14:textId="77777777" w:rsidR="00DB3754" w:rsidRDefault="00DB3754" w:rsidP="00DB3754">
      <w:pPr>
        <w:spacing w:after="0" w:line="240" w:lineRule="auto"/>
        <w:ind w:left="709" w:right="709"/>
        <w:jc w:val="both"/>
        <w:rPr>
          <w:rFonts w:ascii="Arial" w:hAnsi="Arial" w:cs="Arial"/>
          <w:sz w:val="21"/>
          <w:szCs w:val="21"/>
        </w:rPr>
      </w:pPr>
      <w:r w:rsidRPr="003953CA">
        <w:rPr>
          <w:rFonts w:ascii="Arial" w:hAnsi="Arial" w:cs="Arial"/>
          <w:sz w:val="21"/>
          <w:szCs w:val="21"/>
        </w:rPr>
        <w:t>El carácter reconocidamente taxativo y restrictivo de este régimen y el de las correlativas nulidades, obedece a la necesidad de salvaguardar el interés general ínsito en la contratación pública de manera que implique el menor sacrificio posible al derecho de igualdad y de reconocimiento de la personalidad jurídica de quienes aspiran a contratar con el Estado. Es evidente que si la restricción legal [incompatibilidad o inhabilidad] no se sustenta en ninguna necesidad de protección del interés general o ésta es irrazonable o desproporcionada, en esa misma medida pierde justificación constitucional como medio legítimo para restringir, en ese caso, el derecho a la igualdad y el reconocimiento de la personalidad jurídica de las personas que resultan rechazadas del ámbito contractual del Estado</w:t>
      </w:r>
      <w:r>
        <w:rPr>
          <w:rFonts w:ascii="Arial" w:hAnsi="Arial" w:cs="Arial"/>
          <w:sz w:val="21"/>
          <w:szCs w:val="21"/>
        </w:rPr>
        <w:t>”</w:t>
      </w:r>
      <w:r>
        <w:rPr>
          <w:rStyle w:val="FootnoteReference"/>
          <w:rFonts w:ascii="Arial" w:hAnsi="Arial" w:cs="Arial"/>
          <w:sz w:val="21"/>
          <w:szCs w:val="21"/>
        </w:rPr>
        <w:footnoteReference w:id="6"/>
      </w:r>
      <w:r>
        <w:rPr>
          <w:rFonts w:ascii="Arial" w:hAnsi="Arial" w:cs="Arial"/>
          <w:sz w:val="21"/>
          <w:szCs w:val="21"/>
        </w:rPr>
        <w:t>.</w:t>
      </w:r>
    </w:p>
    <w:p w14:paraId="7A6F379F" w14:textId="77777777" w:rsidR="00DB3754" w:rsidRPr="00427F40" w:rsidRDefault="00DB3754" w:rsidP="00DB3754">
      <w:pPr>
        <w:spacing w:after="0" w:line="276" w:lineRule="auto"/>
        <w:ind w:right="709"/>
        <w:jc w:val="both"/>
        <w:rPr>
          <w:rFonts w:ascii="Arial" w:hAnsi="Arial" w:cs="Arial"/>
        </w:rPr>
      </w:pPr>
    </w:p>
    <w:p w14:paraId="17B5C8AC" w14:textId="77777777" w:rsidR="00DB3754" w:rsidRPr="003953CA" w:rsidRDefault="00DB3754" w:rsidP="00DB3754">
      <w:pPr>
        <w:spacing w:after="0" w:line="276" w:lineRule="auto"/>
        <w:ind w:firstLine="709"/>
        <w:jc w:val="both"/>
        <w:rPr>
          <w:rFonts w:ascii="Arial" w:hAnsi="Arial" w:cs="Arial"/>
        </w:rPr>
      </w:pPr>
      <w:r w:rsidRPr="003953CA">
        <w:rPr>
          <w:rFonts w:ascii="Arial" w:hAnsi="Arial" w:cs="Arial"/>
        </w:rPr>
        <w:t xml:space="preserve">Además, la Corte Constitucional explica que el legislador tiene la competencia para determinar qué hechos o situaciones generan inhabilidad para contratar, pues este régimen es un aspecto propio del Estatuto General de Contratación </w:t>
      </w:r>
      <w:r>
        <w:rPr>
          <w:rFonts w:ascii="Arial" w:hAnsi="Arial" w:cs="Arial"/>
        </w:rPr>
        <w:t xml:space="preserve">de la Administración </w:t>
      </w:r>
      <w:r w:rsidRPr="003953CA">
        <w:rPr>
          <w:rFonts w:ascii="Arial" w:hAnsi="Arial" w:cs="Arial"/>
        </w:rPr>
        <w:t>Pública, cuya expedición compete al Congreso de la República a la luz del artículo 150 de la Constitución Política, y que en esta materia rige el principio de legalidad:</w:t>
      </w:r>
    </w:p>
    <w:p w14:paraId="33E03657" w14:textId="77777777" w:rsidR="00DB3754" w:rsidRPr="003953CA" w:rsidRDefault="00DB3754" w:rsidP="00DB3754">
      <w:pPr>
        <w:pStyle w:val="NoSpacing"/>
        <w:tabs>
          <w:tab w:val="left" w:pos="1532"/>
        </w:tabs>
        <w:spacing w:line="276" w:lineRule="auto"/>
        <w:jc w:val="both"/>
        <w:rPr>
          <w:rFonts w:ascii="Arial" w:hAnsi="Arial" w:cs="Arial"/>
          <w:sz w:val="22"/>
        </w:rPr>
      </w:pPr>
    </w:p>
    <w:p w14:paraId="3B9188DD" w14:textId="77777777" w:rsidR="00DB3754" w:rsidRPr="003953CA" w:rsidRDefault="00DB3754" w:rsidP="00DB3754">
      <w:pPr>
        <w:spacing w:after="0" w:line="240" w:lineRule="auto"/>
        <w:ind w:left="709" w:right="709"/>
        <w:jc w:val="both"/>
        <w:rPr>
          <w:rFonts w:ascii="Arial" w:hAnsi="Arial" w:cs="Arial"/>
          <w:sz w:val="21"/>
          <w:szCs w:val="21"/>
        </w:rPr>
      </w:pPr>
      <w:r>
        <w:rPr>
          <w:rFonts w:ascii="Arial" w:hAnsi="Arial" w:cs="Arial"/>
          <w:sz w:val="21"/>
          <w:szCs w:val="21"/>
        </w:rPr>
        <w:t>“</w:t>
      </w:r>
      <w:r w:rsidRPr="003953CA">
        <w:rPr>
          <w:rFonts w:ascii="Arial" w:hAnsi="Arial" w:cs="Arial"/>
          <w:sz w:val="21"/>
          <w:szCs w:val="21"/>
        </w:rPr>
        <w:t xml:space="preserve">Las limitaciones y restricciones que se contienen en el citado estatuto, predicables de la relación Estado-particulares y que afectan los diversos momentos de formación, </w:t>
      </w:r>
      <w:r w:rsidRPr="003953CA">
        <w:rPr>
          <w:rFonts w:ascii="Arial" w:hAnsi="Arial" w:cs="Arial"/>
          <w:sz w:val="21"/>
          <w:szCs w:val="21"/>
        </w:rPr>
        <w:lastRenderedPageBreak/>
        <w:t>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w:t>
      </w:r>
      <w:r w:rsidRPr="00427F40">
        <w:rPr>
          <w:rFonts w:ascii="Arial" w:hAnsi="Arial" w:cs="Arial"/>
          <w:i/>
          <w:iCs/>
          <w:sz w:val="21"/>
          <w:szCs w:val="21"/>
        </w:rPr>
        <w:t xml:space="preserve">pro </w:t>
      </w:r>
      <w:proofErr w:type="spellStart"/>
      <w:r w:rsidRPr="00427F40">
        <w:rPr>
          <w:rFonts w:ascii="Arial" w:hAnsi="Arial" w:cs="Arial"/>
          <w:i/>
          <w:iCs/>
          <w:sz w:val="21"/>
          <w:szCs w:val="21"/>
        </w:rPr>
        <w:t>libertate</w:t>
      </w:r>
      <w:proofErr w:type="spellEnd"/>
      <w:r w:rsidRPr="003953CA">
        <w:rPr>
          <w:rFonts w:ascii="Arial" w:hAnsi="Arial" w:cs="Arial"/>
          <w:sz w:val="21"/>
          <w:szCs w:val="21"/>
        </w:rPr>
        <w:t xml:space="preserve">, sino el de legalidad, el que ordena que la función pública debe someterse estrictamente a lo que disponga la Constitución y la ley (CP art. 6). </w:t>
      </w:r>
    </w:p>
    <w:p w14:paraId="593C5748" w14:textId="77777777" w:rsidR="00DB3754" w:rsidRDefault="00DB3754" w:rsidP="00DB3754">
      <w:pPr>
        <w:spacing w:after="120" w:line="240" w:lineRule="auto"/>
        <w:ind w:left="709" w:right="709"/>
        <w:jc w:val="both"/>
        <w:rPr>
          <w:rFonts w:ascii="Arial" w:hAnsi="Arial" w:cs="Arial"/>
          <w:sz w:val="21"/>
          <w:szCs w:val="21"/>
        </w:rPr>
      </w:pPr>
      <w:r w:rsidRPr="003953CA">
        <w:rPr>
          <w:rFonts w:ascii="Arial" w:hAnsi="Arial" w:cs="Arial"/>
          <w:sz w:val="21"/>
          <w:szCs w:val="21"/>
        </w:rPr>
        <w:t xml:space="preserve">[…] </w:t>
      </w:r>
    </w:p>
    <w:p w14:paraId="7AED4C8E" w14:textId="77777777" w:rsidR="00DB3754" w:rsidRDefault="00DB3754" w:rsidP="00DB3754">
      <w:pPr>
        <w:spacing w:after="0" w:line="240" w:lineRule="auto"/>
        <w:ind w:left="709" w:right="709"/>
        <w:jc w:val="both"/>
        <w:rPr>
          <w:rFonts w:ascii="Arial" w:hAnsi="Arial" w:cs="Arial"/>
          <w:sz w:val="21"/>
          <w:szCs w:val="21"/>
        </w:rPr>
      </w:pPr>
      <w:r w:rsidRPr="003953CA">
        <w:rPr>
          <w:rFonts w:ascii="Arial" w:hAnsi="Arial" w:cs="Arial"/>
          <w:sz w:val="21"/>
          <w:szCs w:val="21"/>
        </w:rPr>
        <w:t xml:space="preserve">Se comprende con facilidad que el régimen de inhabilidades e </w:t>
      </w:r>
      <w:proofErr w:type="gramStart"/>
      <w:r w:rsidRPr="003953CA">
        <w:rPr>
          <w:rFonts w:ascii="Arial" w:hAnsi="Arial" w:cs="Arial"/>
          <w:sz w:val="21"/>
          <w:szCs w:val="21"/>
        </w:rPr>
        <w:t>incompatibilidades,</w:t>
      </w:r>
      <w:proofErr w:type="gramEnd"/>
      <w:r w:rsidRPr="003953CA">
        <w:rPr>
          <w:rFonts w:ascii="Arial" w:hAnsi="Arial" w:cs="Arial"/>
          <w:sz w:val="21"/>
          <w:szCs w:val="21"/>
        </w:rPr>
        <w:t xml:space="preserve"> corresponde a una materia de normal y obligada inclusión en un estatuto contractual. El legislador, a quien se ha confiado expedir el indicado estatuto, tiene, pues, competencia para establecerlo (CP art. 150)</w:t>
      </w:r>
      <w:r>
        <w:rPr>
          <w:rFonts w:ascii="Arial" w:hAnsi="Arial" w:cs="Arial"/>
          <w:sz w:val="21"/>
          <w:szCs w:val="21"/>
        </w:rPr>
        <w:t>”</w:t>
      </w:r>
      <w:r>
        <w:rPr>
          <w:rStyle w:val="FootnoteReference"/>
          <w:rFonts w:ascii="Arial" w:hAnsi="Arial" w:cs="Arial"/>
          <w:sz w:val="21"/>
          <w:szCs w:val="21"/>
        </w:rPr>
        <w:footnoteReference w:id="7"/>
      </w:r>
      <w:r>
        <w:rPr>
          <w:rFonts w:ascii="Arial" w:hAnsi="Arial" w:cs="Arial"/>
          <w:sz w:val="21"/>
          <w:szCs w:val="21"/>
        </w:rPr>
        <w:t>.</w:t>
      </w:r>
    </w:p>
    <w:p w14:paraId="7C9ED6E6" w14:textId="77777777" w:rsidR="00DB3754" w:rsidRPr="00427F40" w:rsidRDefault="00DB3754" w:rsidP="00DB3754">
      <w:pPr>
        <w:spacing w:after="0" w:line="276" w:lineRule="auto"/>
        <w:ind w:left="709" w:right="709"/>
        <w:jc w:val="both"/>
        <w:rPr>
          <w:rFonts w:ascii="Arial" w:hAnsi="Arial" w:cs="Arial"/>
        </w:rPr>
      </w:pPr>
    </w:p>
    <w:p w14:paraId="74A7245F" w14:textId="77777777" w:rsidR="00DB3754" w:rsidRDefault="00DB3754" w:rsidP="00DB3754">
      <w:pPr>
        <w:spacing w:after="0" w:line="276" w:lineRule="auto"/>
        <w:ind w:firstLine="709"/>
        <w:jc w:val="both"/>
        <w:rPr>
          <w:rFonts w:ascii="Arial" w:hAnsi="Arial" w:cs="Arial"/>
        </w:rPr>
      </w:pPr>
      <w:r w:rsidRPr="003953CA">
        <w:rPr>
          <w:rFonts w:ascii="Arial" w:hAnsi="Arial" w:cs="Arial"/>
        </w:rPr>
        <w:t xml:space="preserve">Conviene también distinguir las fuentes de las inhabilidades, las cuales han sido clasificadas en dos (2) grupos: i) inhabilidades-sanción y </w:t>
      </w:r>
      <w:proofErr w:type="spellStart"/>
      <w:r w:rsidRPr="003953CA">
        <w:rPr>
          <w:rFonts w:ascii="Arial" w:hAnsi="Arial" w:cs="Arial"/>
        </w:rPr>
        <w:t>ii</w:t>
      </w:r>
      <w:proofErr w:type="spellEnd"/>
      <w:r w:rsidRPr="003953CA">
        <w:rPr>
          <w:rFonts w:ascii="Arial" w:hAnsi="Arial" w:cs="Arial"/>
        </w:rPr>
        <w:t>) inhabilidades-requisito. En el primer grupo se encuentran las inhabilidades que surgen como consecuencia de un proceso sancionatorio, en los ámbitos penal, disciplinario, contravencional o de pérdida de investidura. En el segundo grupo están aquellas que no devienen de un proceso sancionatorio, sino de condiciones propias de la persona y garantizan la moralidad, la imparcialidad, la eficacia y la transparencia</w:t>
      </w:r>
      <w:r>
        <w:rPr>
          <w:rStyle w:val="FootnoteReference"/>
          <w:rFonts w:ascii="Arial" w:hAnsi="Arial" w:cs="Arial"/>
        </w:rPr>
        <w:footnoteReference w:id="8"/>
      </w:r>
      <w:r>
        <w:rPr>
          <w:rFonts w:ascii="Arial" w:hAnsi="Arial" w:cs="Arial"/>
        </w:rPr>
        <w:t>.</w:t>
      </w:r>
    </w:p>
    <w:p w14:paraId="4B2B433A" w14:textId="77777777" w:rsidR="00DB3754" w:rsidRPr="002172E6" w:rsidRDefault="00DB3754" w:rsidP="00DB3754">
      <w:pPr>
        <w:spacing w:before="120" w:after="120" w:line="276" w:lineRule="auto"/>
        <w:ind w:firstLine="709"/>
        <w:jc w:val="both"/>
        <w:rPr>
          <w:rFonts w:ascii="Arial" w:hAnsi="Arial" w:cs="Arial"/>
        </w:rPr>
      </w:pPr>
      <w:r w:rsidRPr="003953CA">
        <w:rPr>
          <w:rFonts w:ascii="Arial" w:hAnsi="Arial" w:cs="Arial"/>
        </w:rPr>
        <w:t>A manera de ejemplo, en materia contractual, los literales c), d) y j) del numeral 1 del artículo 8 de la Ley 80 de 1993</w:t>
      </w:r>
      <w:r>
        <w:rPr>
          <w:rStyle w:val="FootnoteReference"/>
          <w:rFonts w:ascii="Arial" w:hAnsi="Arial" w:cs="Arial"/>
        </w:rPr>
        <w:footnoteReference w:id="9"/>
      </w:r>
      <w:r>
        <w:rPr>
          <w:rFonts w:ascii="Arial" w:hAnsi="Arial" w:cs="Arial"/>
        </w:rPr>
        <w:t xml:space="preserve"> </w:t>
      </w:r>
      <w:r w:rsidRPr="003953CA">
        <w:rPr>
          <w:rFonts w:ascii="Arial" w:hAnsi="Arial" w:cs="Arial"/>
        </w:rPr>
        <w:t xml:space="preserve">establecen inhabilidades-sanción, porque la prohibición para </w:t>
      </w:r>
      <w:r w:rsidRPr="003953CA">
        <w:rPr>
          <w:rFonts w:ascii="Arial" w:hAnsi="Arial" w:cs="Arial"/>
        </w:rPr>
        <w:lastRenderedPageBreak/>
        <w:t xml:space="preserve">contratar con el Estado en esos eventos es una consecuencia de una declaratoria de responsabilidad que surge luego de un proceso sancionatorio –administrativo, disciplinario o penal–; mientras que las inhabilidades de los literales f), g) y h) del literal 1 de la norma citada establecen inhabilidades–requisito, pues no se configuran por la comisión previa de una falta o un delito que dio lugar a una declaratoria por parte de la Administración o el juez, sino de aspectos propios de la persona, derivados, por ejemplo, del parentesco o la afinidad o de la condición de servidor público. </w:t>
      </w:r>
      <w:bookmarkStart w:id="4" w:name="_Hlk40976328"/>
      <w:r w:rsidRPr="003953CA">
        <w:rPr>
          <w:rFonts w:ascii="Arial" w:hAnsi="Arial" w:cs="Arial"/>
        </w:rPr>
        <w:t xml:space="preserve">En ambos eventos, la inhabilidad tiene como fuente una situación o un hecho propio del proponente –una conducta o una condición– ajena a la oferta. La inhabilidad surge, entre otros, por su grado de parentesco o afinidad, por su condición de servidor público o por una declaratoria de responsabilidad penal, disciplinaria o sancionatoria contractual sobre él. </w:t>
      </w:r>
      <w:bookmarkEnd w:id="4"/>
    </w:p>
    <w:p w14:paraId="55BEE581" w14:textId="77777777" w:rsidR="00DB3754" w:rsidRDefault="00DB3754" w:rsidP="00DB3754">
      <w:pPr>
        <w:spacing w:after="120" w:line="276" w:lineRule="auto"/>
        <w:ind w:firstLine="708"/>
        <w:jc w:val="both"/>
        <w:rPr>
          <w:rFonts w:ascii="Arial" w:eastAsia="Calibri" w:hAnsi="Arial" w:cs="Arial"/>
          <w:lang w:val="es-ES_tradnl"/>
        </w:rPr>
      </w:pPr>
      <w:r w:rsidRPr="00D047C9">
        <w:rPr>
          <w:rFonts w:ascii="Arial" w:eastAsia="Calibri" w:hAnsi="Arial" w:cs="Arial"/>
          <w:i/>
          <w:iCs/>
          <w:lang w:val="es-ES_tradnl"/>
        </w:rPr>
        <w:t>Igualmente</w:t>
      </w:r>
      <w:r>
        <w:rPr>
          <w:rFonts w:ascii="Arial" w:eastAsia="Calibri" w:hAnsi="Arial" w:cs="Arial"/>
          <w:lang w:val="es-ES_tradnl"/>
        </w:rPr>
        <w:t xml:space="preserve">, </w:t>
      </w:r>
      <w:bookmarkStart w:id="5" w:name="_Hlk135133412"/>
      <w:r>
        <w:rPr>
          <w:rFonts w:ascii="Arial" w:eastAsia="Calibri" w:hAnsi="Arial" w:cs="Arial"/>
          <w:lang w:val="es-ES_tradnl"/>
        </w:rPr>
        <w:t>e</w:t>
      </w:r>
      <w:r w:rsidRPr="003953CA">
        <w:rPr>
          <w:rFonts w:ascii="Arial" w:eastAsia="Calibri" w:hAnsi="Arial" w:cs="Arial"/>
          <w:lang w:val="es-ES_tradnl"/>
        </w:rPr>
        <w:t xml:space="preserve">n la contratación estatal, la </w:t>
      </w:r>
      <w:r w:rsidRPr="003953CA">
        <w:rPr>
          <w:rFonts w:ascii="Arial" w:eastAsia="Calibri" w:hAnsi="Arial" w:cs="Arial"/>
          <w:i/>
          <w:iCs/>
          <w:lang w:val="es-ES_tradnl"/>
        </w:rPr>
        <w:t>capacidad</w:t>
      </w:r>
      <w:r w:rsidRPr="003953CA">
        <w:rPr>
          <w:rFonts w:ascii="Arial" w:eastAsia="Calibri" w:hAnsi="Arial" w:cs="Arial"/>
          <w:lang w:val="es-ES_tradnl"/>
        </w:rPr>
        <w:t xml:space="preserve"> también es un requisito de validez de los contratos, tanto en el régimen de las entidades sujetas al Estatuto General de Contratación de la Administración Pública</w:t>
      </w:r>
      <w:r>
        <w:rPr>
          <w:rStyle w:val="FootnoteReference"/>
          <w:rFonts w:ascii="Arial" w:eastAsia="Calibri" w:hAnsi="Arial" w:cs="Arial"/>
          <w:lang w:val="es-ES_tradnl"/>
        </w:rPr>
        <w:footnoteReference w:id="10"/>
      </w:r>
      <w:r>
        <w:rPr>
          <w:rFonts w:ascii="Arial" w:eastAsia="Calibri" w:hAnsi="Arial" w:cs="Arial"/>
          <w:lang w:val="es-ES_tradnl"/>
        </w:rPr>
        <w:t xml:space="preserve"> </w:t>
      </w:r>
      <w:r w:rsidRPr="003953CA">
        <w:rPr>
          <w:rFonts w:ascii="Arial" w:eastAsia="Calibri" w:hAnsi="Arial" w:cs="Arial"/>
          <w:lang w:val="es-ES_tradnl"/>
        </w:rPr>
        <w:t>como en el de las entidades exceptuadas de aquel</w:t>
      </w:r>
      <w:r>
        <w:rPr>
          <w:rStyle w:val="FootnoteReference"/>
          <w:rFonts w:ascii="Arial" w:eastAsia="Calibri" w:hAnsi="Arial" w:cs="Arial"/>
          <w:lang w:val="es-ES_tradnl"/>
        </w:rPr>
        <w:footnoteReference w:id="11"/>
      </w:r>
      <w:r>
        <w:rPr>
          <w:rFonts w:ascii="Arial" w:eastAsia="Calibri" w:hAnsi="Arial" w:cs="Arial"/>
          <w:lang w:val="es-ES_tradnl"/>
        </w:rPr>
        <w:t xml:space="preserve">. </w:t>
      </w:r>
      <w:r w:rsidRPr="003953CA">
        <w:rPr>
          <w:rFonts w:ascii="Arial" w:eastAsia="Calibri" w:hAnsi="Arial" w:cs="Arial"/>
          <w:lang w:val="es-ES_tradnl"/>
        </w:rPr>
        <w:t>Si bien la regulación de la capacidad se integra por varias disposiciones y exigencias especiales –como el requisito de inscribirse, por regla general, en el Registro Único de Proponentes (RUP), establecido en el artículo 6 de la Ley 1150 de 2007, modificado por el artículo 221 del Decreto 19 de 2012</w:t>
      </w:r>
      <w:r>
        <w:rPr>
          <w:rStyle w:val="FootnoteReference"/>
          <w:rFonts w:ascii="Arial" w:eastAsia="Calibri" w:hAnsi="Arial" w:cs="Arial"/>
          <w:lang w:val="es-ES_tradnl"/>
        </w:rPr>
        <w:footnoteReference w:id="12"/>
      </w:r>
      <w:r w:rsidRPr="003953CA">
        <w:rPr>
          <w:rFonts w:ascii="Arial" w:eastAsia="Calibri" w:hAnsi="Arial" w:cs="Arial"/>
          <w:lang w:val="es-ES_tradnl"/>
        </w:rPr>
        <w:t>–, se destaca el régimen de inhabilidades e incompatibilidades como un conjunto de normas que imponen restricciones para los sujetos que, eventualmente, pretendan participar en los procedimientos de selección o celebrar contratos con las entidades estatales</w:t>
      </w:r>
      <w:r>
        <w:rPr>
          <w:rStyle w:val="FootnoteReference"/>
          <w:rFonts w:ascii="Arial" w:eastAsia="Calibri" w:hAnsi="Arial" w:cs="Arial"/>
          <w:lang w:val="es-ES_tradnl"/>
        </w:rPr>
        <w:footnoteReference w:id="13"/>
      </w:r>
      <w:r>
        <w:rPr>
          <w:rFonts w:ascii="Arial" w:eastAsia="Calibri" w:hAnsi="Arial" w:cs="Arial"/>
          <w:lang w:val="es-ES_tradnl"/>
        </w:rPr>
        <w:t>.</w:t>
      </w:r>
    </w:p>
    <w:p w14:paraId="1777731D" w14:textId="77777777" w:rsidR="00DB3754" w:rsidRDefault="00DB3754" w:rsidP="00DB3754">
      <w:pPr>
        <w:spacing w:after="120" w:line="276" w:lineRule="auto"/>
        <w:ind w:firstLine="709"/>
        <w:jc w:val="both"/>
        <w:rPr>
          <w:rFonts w:ascii="Arial" w:eastAsia="Calibri" w:hAnsi="Arial" w:cs="Arial"/>
          <w:lang w:val="es-ES_tradnl"/>
        </w:rPr>
      </w:pPr>
      <w:r w:rsidRPr="003953CA">
        <w:rPr>
          <w:rFonts w:ascii="Arial" w:eastAsia="Calibri" w:hAnsi="Arial" w:cs="Arial"/>
          <w:lang w:val="es-ES_tradnl"/>
        </w:rPr>
        <w:t>Las inhabilidades son prohibiciones para concurrir a los procedimientos de selección y para contratar con el Estado, que se derivan: i) de la existencia de comportamientos reprochables o de sanciones anteriormente impuestas</w:t>
      </w:r>
      <w:r>
        <w:rPr>
          <w:rStyle w:val="FootnoteReference"/>
          <w:rFonts w:ascii="Arial" w:eastAsia="Calibri" w:hAnsi="Arial" w:cs="Arial"/>
          <w:lang w:val="es-ES_tradnl"/>
        </w:rPr>
        <w:footnoteReference w:id="14"/>
      </w:r>
      <w:r>
        <w:rPr>
          <w:rFonts w:ascii="Arial" w:eastAsia="Calibri" w:hAnsi="Arial" w:cs="Arial"/>
          <w:lang w:val="es-ES_tradnl"/>
        </w:rPr>
        <w:t xml:space="preserve">, </w:t>
      </w:r>
      <w:proofErr w:type="spellStart"/>
      <w:r w:rsidRPr="003953CA">
        <w:rPr>
          <w:rFonts w:ascii="Arial" w:eastAsia="Calibri" w:hAnsi="Arial" w:cs="Arial"/>
          <w:lang w:val="es-ES_tradnl"/>
        </w:rPr>
        <w:t>ii</w:t>
      </w:r>
      <w:proofErr w:type="spellEnd"/>
      <w:r w:rsidRPr="003953CA">
        <w:rPr>
          <w:rFonts w:ascii="Arial" w:eastAsia="Calibri" w:hAnsi="Arial" w:cs="Arial"/>
          <w:lang w:val="es-ES_tradnl"/>
        </w:rPr>
        <w:t xml:space="preserve">) de vínculos personales relativos al parentesco o al </w:t>
      </w:r>
      <w:r w:rsidRPr="003953CA">
        <w:rPr>
          <w:rFonts w:ascii="Arial" w:eastAsia="Calibri" w:hAnsi="Arial" w:cs="Arial"/>
          <w:lang w:val="es-ES_tradnl"/>
        </w:rPr>
        <w:lastRenderedPageBreak/>
        <w:t>estado civil</w:t>
      </w:r>
      <w:r>
        <w:rPr>
          <w:rStyle w:val="FootnoteReference"/>
          <w:rFonts w:ascii="Arial" w:eastAsia="Calibri" w:hAnsi="Arial" w:cs="Arial"/>
          <w:lang w:val="es-ES_tradnl"/>
        </w:rPr>
        <w:footnoteReference w:id="15"/>
      </w:r>
      <w:r>
        <w:rPr>
          <w:rFonts w:ascii="Arial" w:eastAsia="Calibri" w:hAnsi="Arial" w:cs="Arial"/>
          <w:lang w:val="es-ES_tradnl"/>
        </w:rPr>
        <w:t xml:space="preserve"> </w:t>
      </w:r>
      <w:r w:rsidRPr="003953CA">
        <w:rPr>
          <w:rFonts w:ascii="Arial" w:eastAsia="Calibri" w:hAnsi="Arial" w:cs="Arial"/>
          <w:lang w:val="es-ES_tradnl"/>
        </w:rPr>
        <w:t xml:space="preserve">o </w:t>
      </w:r>
      <w:proofErr w:type="spellStart"/>
      <w:r w:rsidRPr="003953CA">
        <w:rPr>
          <w:rFonts w:ascii="Arial" w:eastAsia="Calibri" w:hAnsi="Arial" w:cs="Arial"/>
          <w:lang w:val="es-ES_tradnl"/>
        </w:rPr>
        <w:t>iii</w:t>
      </w:r>
      <w:proofErr w:type="spellEnd"/>
      <w:r w:rsidRPr="003953CA">
        <w:rPr>
          <w:rFonts w:ascii="Arial" w:eastAsia="Calibri" w:hAnsi="Arial" w:cs="Arial"/>
          <w:lang w:val="es-ES_tradnl"/>
        </w:rPr>
        <w:t>) de una actividad u oficio que se desempeñó en el pasado</w:t>
      </w:r>
      <w:r>
        <w:rPr>
          <w:rStyle w:val="FootnoteReference"/>
          <w:rFonts w:ascii="Arial" w:eastAsia="Calibri" w:hAnsi="Arial" w:cs="Arial"/>
          <w:lang w:val="es-ES_tradnl"/>
        </w:rPr>
        <w:footnoteReference w:id="16"/>
      </w:r>
      <w:r>
        <w:rPr>
          <w:rFonts w:ascii="Arial" w:eastAsia="Calibri" w:hAnsi="Arial" w:cs="Arial"/>
          <w:lang w:val="es-ES_tradnl"/>
        </w:rPr>
        <w:t xml:space="preserve">. </w:t>
      </w:r>
      <w:r w:rsidRPr="003953CA">
        <w:rPr>
          <w:rFonts w:ascii="Arial" w:eastAsia="Calibri" w:hAnsi="Arial" w:cs="Arial"/>
          <w:lang w:val="es-ES_tradnl"/>
        </w:rPr>
        <w:t>De otro lado, las incompatibilidades</w:t>
      </w:r>
      <w:r>
        <w:rPr>
          <w:rFonts w:ascii="Arial" w:eastAsia="Calibri" w:hAnsi="Arial" w:cs="Arial"/>
          <w:lang w:val="es-ES_tradnl"/>
        </w:rPr>
        <w:t>, según un sector de la doctrina,</w:t>
      </w:r>
      <w:r w:rsidRPr="003953CA">
        <w:rPr>
          <w:rFonts w:ascii="Arial" w:eastAsia="Calibri" w:hAnsi="Arial" w:cs="Arial"/>
          <w:lang w:val="es-ES_tradnl"/>
        </w:rPr>
        <w:t xml:space="preserve"> son prohibiciones para participar en los procedimientos de selección y para celebrar contratos estatales, fundadas en la </w:t>
      </w:r>
      <w:r w:rsidRPr="00894487">
        <w:rPr>
          <w:rFonts w:ascii="Arial" w:eastAsia="Calibri" w:hAnsi="Arial" w:cs="Arial"/>
          <w:lang w:val="es-ES_tradnl"/>
        </w:rPr>
        <w:t>presencia de una calidad que ostenta el sujeto interesado en realizar alguna de dichas actividades, que no puede coexistir con su calidad de proponente o contratista del Estado</w:t>
      </w:r>
      <w:r w:rsidRPr="00894487">
        <w:rPr>
          <w:rStyle w:val="FootnoteReference"/>
          <w:rFonts w:ascii="Arial" w:eastAsia="Calibri" w:hAnsi="Arial" w:cs="Arial"/>
          <w:lang w:val="es-ES_tradnl"/>
        </w:rPr>
        <w:footnoteReference w:id="17"/>
      </w:r>
      <w:r w:rsidRPr="00894487">
        <w:rPr>
          <w:rFonts w:ascii="Arial" w:eastAsia="Calibri" w:hAnsi="Arial" w:cs="Arial"/>
          <w:lang w:val="es-ES_tradnl"/>
        </w:rPr>
        <w:t>. En todo caso, a pesar de la existencia de distintos criterios para diferenciar las inhabilidades de las incompatibilidades, de la presencia de ellas se derivan las mismas consecuencias jurídicas, esto es, la limitación de la capacidad contractual. De manera que la presencia de ellas impide que se puedan celebrar contratos con el Estado o participar en procedimientos de selección de las entidades estatales, por lo que de cualquiera de ellas se derivan los mismos efectos jurídicos</w:t>
      </w:r>
      <w:r>
        <w:rPr>
          <w:rStyle w:val="FootnoteReference"/>
          <w:rFonts w:ascii="Arial" w:eastAsia="Calibri" w:hAnsi="Arial" w:cs="Arial"/>
          <w:lang w:val="es-ES_tradnl"/>
        </w:rPr>
        <w:footnoteReference w:id="18"/>
      </w:r>
      <w:r>
        <w:rPr>
          <w:rFonts w:ascii="Arial" w:eastAsia="Calibri" w:hAnsi="Arial" w:cs="Arial"/>
          <w:lang w:val="es-ES_tradnl"/>
        </w:rPr>
        <w:t>.</w:t>
      </w:r>
    </w:p>
    <w:bookmarkEnd w:id="5"/>
    <w:p w14:paraId="5C87CC91" w14:textId="77777777" w:rsidR="00DB3754" w:rsidRPr="003953CA" w:rsidRDefault="00DB3754" w:rsidP="00DB3754">
      <w:pPr>
        <w:spacing w:before="120" w:after="120" w:line="276" w:lineRule="auto"/>
        <w:ind w:firstLine="709"/>
        <w:jc w:val="both"/>
        <w:rPr>
          <w:rFonts w:ascii="Arial" w:eastAsia="Calibri" w:hAnsi="Arial" w:cs="Arial"/>
          <w:lang w:val="es-ES_tradnl"/>
        </w:rPr>
      </w:pPr>
      <w:r>
        <w:rPr>
          <w:rFonts w:ascii="Arial" w:eastAsia="Calibri" w:hAnsi="Arial" w:cs="Arial"/>
          <w:lang w:val="es-ES_tradnl"/>
        </w:rPr>
        <w:t>De otro lado, e</w:t>
      </w:r>
      <w:r w:rsidRPr="003953CA">
        <w:rPr>
          <w:rFonts w:ascii="Arial" w:eastAsia="Calibri" w:hAnsi="Arial" w:cs="Arial"/>
          <w:lang w:val="es-ES_tradnl"/>
        </w:rPr>
        <w:t>l régimen de inhabilidades e incompatibilidades en la contratación pública responde a la tendencia, vigente desde hace varias décadas en nuestro país, pero que se ha reforzado en los últimos años, de asegurar que la actividad de provisión de los bienes</w:t>
      </w:r>
      <w:r>
        <w:rPr>
          <w:rFonts w:ascii="Arial" w:eastAsia="Calibri" w:hAnsi="Arial" w:cs="Arial"/>
          <w:lang w:val="es-ES_tradnl"/>
        </w:rPr>
        <w:t>, obras y</w:t>
      </w:r>
      <w:r w:rsidRPr="003953CA">
        <w:rPr>
          <w:rFonts w:ascii="Arial" w:eastAsia="Calibri" w:hAnsi="Arial" w:cs="Arial"/>
          <w:lang w:val="es-ES_tradnl"/>
        </w:rPr>
        <w:t xml:space="preserve"> servicios por parte de las entidades estatales se efectúe cumpliendo con los principios de la función administrativa y de la gestión fiscal, especialmente con probidad y transparencia. Por ello, como destaca la doctrina, las inhabilidades e incompatibilidades son herramientas en la lucha contra la corrupción, adoptando paulatinamente una naturaleza sancionatoria o </w:t>
      </w:r>
      <w:r>
        <w:rPr>
          <w:rFonts w:ascii="Arial" w:eastAsia="Calibri" w:hAnsi="Arial" w:cs="Arial"/>
          <w:lang w:val="es-ES_tradnl"/>
        </w:rPr>
        <w:t>“</w:t>
      </w:r>
      <w:proofErr w:type="spellStart"/>
      <w:r w:rsidRPr="003953CA">
        <w:rPr>
          <w:rFonts w:ascii="Arial" w:eastAsia="Calibri" w:hAnsi="Arial" w:cs="Arial"/>
          <w:lang w:val="es-ES_tradnl"/>
        </w:rPr>
        <w:t>neopunitiv</w:t>
      </w:r>
      <w:r>
        <w:rPr>
          <w:rFonts w:ascii="Arial" w:eastAsia="Calibri" w:hAnsi="Arial" w:cs="Arial"/>
          <w:lang w:val="es-ES_tradnl"/>
        </w:rPr>
        <w:t>a</w:t>
      </w:r>
      <w:proofErr w:type="spellEnd"/>
      <w:r>
        <w:rPr>
          <w:rFonts w:ascii="Arial" w:eastAsia="Calibri" w:hAnsi="Arial" w:cs="Arial"/>
          <w:lang w:val="es-ES_tradnl"/>
        </w:rPr>
        <w:t>”</w:t>
      </w:r>
      <w:r>
        <w:rPr>
          <w:rStyle w:val="FootnoteReference"/>
          <w:rFonts w:ascii="Arial" w:eastAsia="Calibri" w:hAnsi="Arial" w:cs="Arial"/>
          <w:lang w:val="es-ES_tradnl"/>
        </w:rPr>
        <w:footnoteReference w:id="19"/>
      </w:r>
      <w:r>
        <w:rPr>
          <w:rFonts w:ascii="Arial" w:eastAsia="Calibri" w:hAnsi="Arial" w:cs="Arial"/>
          <w:lang w:val="es-ES_tradnl"/>
        </w:rPr>
        <w:t xml:space="preserve">. </w:t>
      </w:r>
      <w:r w:rsidRPr="003953CA">
        <w:rPr>
          <w:rFonts w:ascii="Arial" w:eastAsia="Calibri" w:hAnsi="Arial" w:cs="Arial"/>
          <w:lang w:val="es-ES_tradnl"/>
        </w:rPr>
        <w:t>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60BFB6E2" w14:textId="77777777" w:rsidR="00DB3754" w:rsidRPr="003953CA" w:rsidRDefault="00DB3754" w:rsidP="00DB3754">
      <w:pPr>
        <w:spacing w:before="120" w:after="120" w:line="276" w:lineRule="auto"/>
        <w:ind w:firstLine="709"/>
        <w:jc w:val="both"/>
        <w:rPr>
          <w:rFonts w:ascii="Arial" w:eastAsia="Calibri" w:hAnsi="Arial" w:cs="Arial"/>
          <w:lang w:val="es-ES_tradnl"/>
        </w:rPr>
      </w:pPr>
      <w:r w:rsidRPr="003953CA">
        <w:rPr>
          <w:rFonts w:ascii="Arial" w:eastAsia="Calibri" w:hAnsi="Arial" w:cs="Arial"/>
          <w:lang w:val="es-ES_tradnl"/>
        </w:rPr>
        <w:t xml:space="preserve">Ahora bien, las inhabilidades e incompatibilidades al ser restricciones o límites especiales a la capacidad para presentar ofertas y celebrar contratos estatales, solo pueden tipificarse en la </w:t>
      </w:r>
      <w:r w:rsidRPr="003953CA">
        <w:rPr>
          <w:rFonts w:ascii="Arial" w:eastAsia="Calibri" w:hAnsi="Arial" w:cs="Arial"/>
          <w:lang w:val="es-ES_tradnl"/>
        </w:rPr>
        <w:lastRenderedPageBreak/>
        <w:t xml:space="preserve">ley </w:t>
      </w:r>
      <w:r>
        <w:rPr>
          <w:rFonts w:ascii="Arial" w:eastAsia="Calibri" w:hAnsi="Arial" w:cs="Arial"/>
          <w:lang w:val="es-ES_tradnl"/>
        </w:rPr>
        <w:t xml:space="preserve">o la Constitución </w:t>
      </w:r>
      <w:r w:rsidRPr="003953CA">
        <w:rPr>
          <w:rFonts w:ascii="Arial" w:eastAsia="Calibri" w:hAnsi="Arial" w:cs="Arial"/>
          <w:lang w:val="es-ES_tradnl"/>
        </w:rPr>
        <w:t xml:space="preserve">–o sea, deben satisfacer el principio de legalidad– y su interpretación debe ser </w:t>
      </w:r>
      <w:r w:rsidRPr="003953CA">
        <w:rPr>
          <w:rFonts w:ascii="Arial" w:eastAsia="Calibri" w:hAnsi="Arial" w:cs="Arial"/>
          <w:i/>
          <w:iCs/>
          <w:lang w:val="es-ES_tradnl"/>
        </w:rPr>
        <w:t>restrictiva</w:t>
      </w:r>
      <w:r>
        <w:rPr>
          <w:rStyle w:val="FootnoteReference"/>
          <w:rFonts w:ascii="Arial" w:eastAsia="Calibri" w:hAnsi="Arial" w:cs="Arial"/>
          <w:i/>
          <w:iCs/>
          <w:lang w:val="es-ES_tradnl"/>
        </w:rPr>
        <w:footnoteReference w:id="20"/>
      </w:r>
      <w:r>
        <w:rPr>
          <w:rFonts w:ascii="Arial" w:eastAsia="Calibri" w:hAnsi="Arial" w:cs="Arial"/>
          <w:i/>
          <w:iCs/>
          <w:lang w:val="es-ES_tradnl"/>
        </w:rPr>
        <w:t xml:space="preserve">, </w:t>
      </w:r>
      <w:r w:rsidRPr="003953CA">
        <w:rPr>
          <w:rFonts w:ascii="Arial" w:eastAsia="Calibri" w:hAnsi="Arial" w:cs="Arial"/>
          <w:lang w:val="es-ES_tradnl"/>
        </w:rPr>
        <w:t xml:space="preserve">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w:t>
      </w:r>
      <w:r>
        <w:rPr>
          <w:rFonts w:ascii="Arial" w:eastAsia="Calibri" w:hAnsi="Arial" w:cs="Arial"/>
          <w:lang w:val="es-ES_tradnl"/>
        </w:rPr>
        <w:t xml:space="preserve">la seguridad jurídica, </w:t>
      </w:r>
      <w:r w:rsidRPr="003953CA">
        <w:rPr>
          <w:rFonts w:ascii="Arial" w:eastAsia="Calibri" w:hAnsi="Arial" w:cs="Arial"/>
          <w:lang w:val="es-ES_tradnl"/>
        </w:rPr>
        <w:t xml:space="preserve">la libre concurrencia y el ejercicio de la profesión u oficio. Tal ha sido la postura al interior de la jurisprudencia, tanto de la Corte Constitucional como de la Sección Tercera del Consejo de Estado. </w:t>
      </w:r>
    </w:p>
    <w:p w14:paraId="35D7DEA2" w14:textId="77777777" w:rsidR="00DB3754" w:rsidRPr="003953CA" w:rsidRDefault="00DB3754" w:rsidP="00DB3754">
      <w:pPr>
        <w:spacing w:after="0" w:line="276" w:lineRule="auto"/>
        <w:ind w:firstLine="709"/>
        <w:jc w:val="both"/>
        <w:rPr>
          <w:rFonts w:ascii="Arial" w:eastAsia="Calibri" w:hAnsi="Arial" w:cs="Arial"/>
          <w:lang w:val="es-ES_tradnl"/>
        </w:rPr>
      </w:pPr>
      <w:r w:rsidRPr="003953CA">
        <w:rPr>
          <w:rFonts w:ascii="Arial" w:eastAsia="Calibri" w:hAnsi="Arial" w:cs="Arial"/>
          <w:lang w:val="es-ES_tradnl"/>
        </w:rPr>
        <w:t>En efecto, el máximo tribunal constitucional ha indicado</w:t>
      </w:r>
      <w:r>
        <w:rPr>
          <w:rFonts w:ascii="Arial" w:eastAsia="Calibri" w:hAnsi="Arial" w:cs="Arial"/>
          <w:lang w:val="es-ES_tradnl"/>
        </w:rPr>
        <w:t>,</w:t>
      </w:r>
      <w:r w:rsidRPr="003953CA">
        <w:rPr>
          <w:rFonts w:ascii="Arial" w:eastAsia="Calibri" w:hAnsi="Arial" w:cs="Arial"/>
          <w:lang w:val="es-ES_tradnl"/>
        </w:rPr>
        <w:t xml:space="preserve"> al tratar de precisar el sentido de este tipo de normas, </w:t>
      </w:r>
      <w:r>
        <w:rPr>
          <w:rFonts w:ascii="Arial" w:eastAsia="Calibri" w:hAnsi="Arial" w:cs="Arial"/>
          <w:lang w:val="es-ES_tradnl"/>
        </w:rPr>
        <w:t>que “</w:t>
      </w:r>
      <w:r w:rsidRPr="003953CA">
        <w:rPr>
          <w:rFonts w:ascii="Arial" w:eastAsia="Calibri" w:hAnsi="Arial" w:cs="Arial"/>
          <w:lang w:val="es-ES_tradnl"/>
        </w:rPr>
        <w:t>[…]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Pr>
          <w:rFonts w:ascii="Arial" w:eastAsia="Calibri" w:hAnsi="Arial" w:cs="Arial"/>
          <w:lang w:val="es-ES_tradnl"/>
        </w:rPr>
        <w:t>”</w:t>
      </w:r>
      <w:r>
        <w:rPr>
          <w:rStyle w:val="FootnoteReference"/>
          <w:rFonts w:ascii="Arial" w:eastAsia="Calibri" w:hAnsi="Arial" w:cs="Arial"/>
          <w:lang w:val="es-ES_tradnl"/>
        </w:rPr>
        <w:footnoteReference w:id="21"/>
      </w:r>
      <w:r>
        <w:rPr>
          <w:rFonts w:ascii="Arial" w:eastAsia="Calibri" w:hAnsi="Arial" w:cs="Arial"/>
          <w:lang w:val="es-ES_tradnl"/>
        </w:rPr>
        <w:t xml:space="preserve">. </w:t>
      </w:r>
      <w:r w:rsidRPr="003953CA">
        <w:rPr>
          <w:rFonts w:ascii="Arial" w:eastAsia="Calibri" w:hAnsi="Arial" w:cs="Arial"/>
          <w:lang w:val="es-ES_tradnl"/>
        </w:rPr>
        <w:t xml:space="preserve">Por su parte, el Consejo de Estado ha acogido también este criterio, considerando –como expresa la Sala de Consulta y Servicio Civil–, que </w:t>
      </w:r>
      <w:r>
        <w:rPr>
          <w:rFonts w:ascii="Arial" w:eastAsia="Calibri" w:hAnsi="Arial" w:cs="Arial"/>
          <w:lang w:val="es-ES_tradnl"/>
        </w:rPr>
        <w:t>“</w:t>
      </w:r>
      <w:r w:rsidRPr="003953CA">
        <w:rPr>
          <w:rFonts w:ascii="Arial" w:eastAsia="Calibri" w:hAnsi="Arial" w:cs="Arial"/>
          <w:lang w:val="es-ES_tradnl"/>
        </w:rPr>
        <w:t>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Pr>
          <w:rFonts w:ascii="Arial" w:eastAsia="Calibri" w:hAnsi="Arial" w:cs="Arial"/>
          <w:lang w:val="es-ES_tradnl"/>
        </w:rPr>
        <w:t>”</w:t>
      </w:r>
      <w:r>
        <w:rPr>
          <w:rStyle w:val="FootnoteReference"/>
          <w:rFonts w:ascii="Arial" w:eastAsia="Calibri" w:hAnsi="Arial" w:cs="Arial"/>
          <w:lang w:val="es-ES_tradnl"/>
        </w:rPr>
        <w:footnoteReference w:id="22"/>
      </w:r>
      <w:r>
        <w:rPr>
          <w:rFonts w:ascii="Arial" w:eastAsia="Calibri" w:hAnsi="Arial" w:cs="Arial"/>
          <w:lang w:val="es-ES_tradnl"/>
        </w:rPr>
        <w:t xml:space="preserve">. </w:t>
      </w:r>
      <w:r w:rsidRPr="003953CA">
        <w:rPr>
          <w:rFonts w:ascii="Arial" w:eastAsia="Calibri" w:hAnsi="Arial" w:cs="Arial"/>
          <w:lang w:val="es-ES_tradnl"/>
        </w:rPr>
        <w:t>En tal sentido, la Sección Tercera ha señalado que:</w:t>
      </w:r>
    </w:p>
    <w:p w14:paraId="3584C139" w14:textId="77777777" w:rsidR="00DB3754" w:rsidRPr="003953CA" w:rsidRDefault="00DB3754" w:rsidP="00DB3754">
      <w:pPr>
        <w:spacing w:after="0"/>
        <w:ind w:firstLine="709"/>
        <w:jc w:val="both"/>
        <w:rPr>
          <w:rFonts w:ascii="Arial" w:eastAsia="Calibri" w:hAnsi="Arial" w:cs="Arial"/>
          <w:lang w:val="es-ES_tradnl"/>
        </w:rPr>
      </w:pPr>
    </w:p>
    <w:p w14:paraId="40F56F6A" w14:textId="77777777" w:rsidR="00DB3754" w:rsidRDefault="00DB3754" w:rsidP="00DB3754">
      <w:pPr>
        <w:spacing w:after="0" w:line="240" w:lineRule="auto"/>
        <w:ind w:left="709" w:right="709"/>
        <w:jc w:val="both"/>
        <w:rPr>
          <w:rFonts w:ascii="Arial" w:eastAsia="Calibri" w:hAnsi="Arial" w:cs="Arial"/>
          <w:lang w:val="es-ES_tradnl"/>
        </w:rPr>
      </w:pPr>
      <w:r>
        <w:rPr>
          <w:rFonts w:ascii="Arial" w:hAnsi="Arial" w:cs="Arial"/>
          <w:sz w:val="21"/>
          <w:szCs w:val="21"/>
          <w:lang w:val="es-ES_tradnl"/>
        </w:rPr>
        <w:t>“</w:t>
      </w:r>
      <w:r w:rsidRPr="003953CA">
        <w:rPr>
          <w:rFonts w:ascii="Arial" w:hAnsi="Arial" w:cs="Arial"/>
          <w:sz w:val="21"/>
          <w:szCs w:val="21"/>
          <w:lang w:val="es-ES_tradnl"/>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Pr>
          <w:rFonts w:ascii="Arial" w:hAnsi="Arial" w:cs="Arial"/>
          <w:sz w:val="21"/>
          <w:szCs w:val="21"/>
          <w:lang w:val="es-ES_tradnl"/>
        </w:rPr>
        <w:t>”</w:t>
      </w:r>
      <w:r>
        <w:rPr>
          <w:rStyle w:val="FootnoteReference"/>
          <w:rFonts w:ascii="Arial" w:hAnsi="Arial" w:cs="Arial"/>
          <w:sz w:val="21"/>
          <w:szCs w:val="21"/>
          <w:lang w:val="es-ES_tradnl"/>
        </w:rPr>
        <w:footnoteReference w:id="23"/>
      </w:r>
      <w:r>
        <w:rPr>
          <w:rFonts w:ascii="Arial" w:hAnsi="Arial" w:cs="Arial"/>
          <w:sz w:val="21"/>
          <w:szCs w:val="21"/>
          <w:lang w:val="es-ES_tradnl"/>
        </w:rPr>
        <w:t>.</w:t>
      </w:r>
    </w:p>
    <w:p w14:paraId="22C008D5" w14:textId="77777777" w:rsidR="00DB3754" w:rsidRDefault="00DB3754" w:rsidP="00DB3754">
      <w:pPr>
        <w:spacing w:after="0" w:line="276" w:lineRule="auto"/>
        <w:ind w:firstLine="709"/>
        <w:jc w:val="both"/>
        <w:rPr>
          <w:rFonts w:ascii="Arial" w:eastAsia="Calibri" w:hAnsi="Arial" w:cs="Arial"/>
          <w:lang w:val="es-ES_tradnl"/>
        </w:rPr>
      </w:pPr>
    </w:p>
    <w:p w14:paraId="3C1F8641" w14:textId="77777777" w:rsidR="00DB3754" w:rsidRDefault="00DB3754" w:rsidP="00DB3754">
      <w:pPr>
        <w:ind w:firstLine="709"/>
        <w:jc w:val="both"/>
        <w:rPr>
          <w:rFonts w:ascii="Arial" w:eastAsia="Calibri" w:hAnsi="Arial" w:cs="Arial"/>
          <w:lang w:val="es-ES_tradnl"/>
        </w:rPr>
      </w:pPr>
      <w:r w:rsidRPr="003953CA">
        <w:rPr>
          <w:rFonts w:ascii="Arial" w:eastAsia="Calibri" w:hAnsi="Arial" w:cs="Arial"/>
          <w:lang w:val="es-ES_tradnl"/>
        </w:rPr>
        <w:t>También ha dicho que:</w:t>
      </w:r>
    </w:p>
    <w:p w14:paraId="206E5244" w14:textId="77777777" w:rsidR="00DB3754" w:rsidRDefault="00DB3754" w:rsidP="00DB3754">
      <w:pPr>
        <w:spacing w:after="0" w:line="240" w:lineRule="auto"/>
        <w:ind w:left="709" w:right="616"/>
        <w:jc w:val="both"/>
        <w:rPr>
          <w:rFonts w:ascii="Arial" w:hAnsi="Arial" w:cs="Arial"/>
          <w:sz w:val="21"/>
          <w:szCs w:val="21"/>
          <w:lang w:val="es-ES_tradnl"/>
        </w:rPr>
      </w:pPr>
      <w:bookmarkStart w:id="6" w:name="_Hlk138725073"/>
      <w:r>
        <w:rPr>
          <w:rFonts w:ascii="Arial" w:hAnsi="Arial" w:cs="Arial"/>
          <w:sz w:val="21"/>
          <w:szCs w:val="21"/>
          <w:lang w:val="es-ES_tradnl"/>
        </w:rPr>
        <w:t>“</w:t>
      </w:r>
      <w:r w:rsidRPr="003953CA">
        <w:rPr>
          <w:rFonts w:ascii="Arial" w:hAnsi="Arial" w:cs="Arial"/>
          <w:sz w:val="21"/>
          <w:szCs w:val="21"/>
          <w:lang w:val="es-ES_tradnl"/>
        </w:rPr>
        <w:t xml:space="preserve">[…] </w:t>
      </w:r>
      <w:bookmarkEnd w:id="6"/>
      <w:r w:rsidRPr="003953CA">
        <w:rPr>
          <w:rFonts w:ascii="Arial" w:hAnsi="Arial" w:cs="Arial"/>
          <w:sz w:val="21"/>
          <w:szCs w:val="21"/>
          <w:lang w:val="es-ES_tradnl"/>
        </w:rPr>
        <w:t xml:space="preserve">la aplicación de estos preceptos exige una interpretación restrictiva, dado que según el principio hermenéutico </w:t>
      </w:r>
      <w:r w:rsidRPr="003953CA">
        <w:rPr>
          <w:rFonts w:ascii="Arial" w:hAnsi="Arial" w:cs="Arial"/>
          <w:i/>
          <w:iCs/>
          <w:sz w:val="21"/>
          <w:szCs w:val="21"/>
          <w:lang w:val="es-ES_tradnl"/>
        </w:rPr>
        <w:t xml:space="preserve">pro </w:t>
      </w:r>
      <w:proofErr w:type="spellStart"/>
      <w:r w:rsidRPr="003953CA">
        <w:rPr>
          <w:rFonts w:ascii="Arial" w:hAnsi="Arial" w:cs="Arial"/>
          <w:i/>
          <w:iCs/>
          <w:sz w:val="21"/>
          <w:szCs w:val="21"/>
          <w:lang w:val="es-ES_tradnl"/>
        </w:rPr>
        <w:t>libertate</w:t>
      </w:r>
      <w:proofErr w:type="spellEnd"/>
      <w:r w:rsidRPr="003953CA">
        <w:rPr>
          <w:rFonts w:ascii="Arial" w:hAnsi="Arial" w:cs="Arial"/>
          <w:sz w:val="21"/>
          <w:szCs w:val="21"/>
          <w:lang w:val="es-ES_tradnl"/>
        </w:rPr>
        <w:t>,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Pr>
          <w:rFonts w:ascii="Arial" w:hAnsi="Arial" w:cs="Arial"/>
          <w:sz w:val="21"/>
          <w:szCs w:val="21"/>
          <w:lang w:val="es-ES_tradnl"/>
        </w:rPr>
        <w:t>”</w:t>
      </w:r>
      <w:r>
        <w:rPr>
          <w:rStyle w:val="FootnoteReference"/>
          <w:rFonts w:ascii="Arial" w:hAnsi="Arial" w:cs="Arial"/>
          <w:sz w:val="21"/>
          <w:szCs w:val="21"/>
          <w:lang w:val="es-ES_tradnl"/>
        </w:rPr>
        <w:footnoteReference w:id="24"/>
      </w:r>
      <w:r>
        <w:rPr>
          <w:rFonts w:ascii="Arial" w:hAnsi="Arial" w:cs="Arial"/>
          <w:sz w:val="21"/>
          <w:szCs w:val="21"/>
          <w:lang w:val="es-ES_tradnl"/>
        </w:rPr>
        <w:t>.</w:t>
      </w:r>
    </w:p>
    <w:p w14:paraId="4356CEB3" w14:textId="77777777" w:rsidR="00DB3754" w:rsidRDefault="00DB3754" w:rsidP="00DB3754">
      <w:pPr>
        <w:spacing w:after="0"/>
        <w:ind w:firstLine="708"/>
        <w:jc w:val="both"/>
        <w:rPr>
          <w:rFonts w:ascii="Arial" w:eastAsia="Arial" w:hAnsi="Arial" w:cs="Arial"/>
          <w:color w:val="000000"/>
          <w:lang w:val="es-ES_tradnl"/>
        </w:rPr>
      </w:pPr>
    </w:p>
    <w:p w14:paraId="74447441" w14:textId="77777777" w:rsidR="00DB3754" w:rsidRDefault="00DB3754" w:rsidP="00DB3754">
      <w:pPr>
        <w:spacing w:after="0" w:line="276" w:lineRule="auto"/>
        <w:ind w:firstLine="708"/>
        <w:jc w:val="both"/>
        <w:rPr>
          <w:rFonts w:ascii="Arial" w:hAnsi="Arial" w:cs="Arial"/>
          <w:color w:val="000000" w:themeColor="text1"/>
        </w:rPr>
      </w:pPr>
      <w:r>
        <w:rPr>
          <w:rFonts w:ascii="Arial" w:eastAsia="Arial" w:hAnsi="Arial" w:cs="Arial"/>
          <w:color w:val="000000"/>
          <w:lang w:val="es-ES_tradnl"/>
        </w:rPr>
        <w:lastRenderedPageBreak/>
        <w:t xml:space="preserve">Como se aprecia, el principio </w:t>
      </w:r>
      <w:r>
        <w:rPr>
          <w:rFonts w:ascii="Arial" w:eastAsia="Arial" w:hAnsi="Arial" w:cs="Arial"/>
          <w:i/>
          <w:iCs/>
          <w:color w:val="000000"/>
          <w:lang w:val="es-ES_tradnl"/>
        </w:rPr>
        <w:t xml:space="preserve">pro </w:t>
      </w:r>
      <w:proofErr w:type="spellStart"/>
      <w:r>
        <w:rPr>
          <w:rFonts w:ascii="Arial" w:eastAsia="Arial" w:hAnsi="Arial" w:cs="Arial"/>
          <w:i/>
          <w:iCs/>
          <w:color w:val="000000"/>
          <w:lang w:val="es-ES_tradnl"/>
        </w:rPr>
        <w:t>libertate</w:t>
      </w:r>
      <w:proofErr w:type="spellEnd"/>
      <w:r>
        <w:rPr>
          <w:rFonts w:ascii="Arial" w:eastAsia="Arial" w:hAnsi="Arial" w:cs="Arial"/>
          <w:color w:val="000000"/>
          <w:lang w:val="es-ES_tradnl"/>
        </w:rPr>
        <w:t xml:space="preserve"> es el que debe dirigir la interpretación de las disposiciones normativas que consagran restricciones de derechos, como sucede con las causales de inhabilidad e incompatibilidad en la contratación estatal. Además, en relación con la determinación de las causales de inhabilidad e incompatibilidad, la</w:t>
      </w:r>
      <w:r>
        <w:rPr>
          <w:rFonts w:ascii="Arial" w:hAnsi="Arial" w:cs="Arial"/>
          <w:color w:val="000000" w:themeColor="text1"/>
        </w:rPr>
        <w:t xml:space="preserve"> Corte Constitucional ha resaltado que la competencia para determinar qué hechos o situaciones generan inhabilidades o incompatibilidades para contratar con el Estado la tiene el legislador, pues este régimen es un aspecto propio del Estatuto General de la Contratación de la Administración Pública, cuya expedición compete al </w:t>
      </w:r>
      <w:r w:rsidRPr="009A0FE0">
        <w:rPr>
          <w:rFonts w:ascii="Arial" w:hAnsi="Arial" w:cs="Arial"/>
          <w:color w:val="000000" w:themeColor="text1"/>
        </w:rPr>
        <w:t>Congreso de la República, conforme al artículo 150 de la Constitución Política, y que en esta materia rige el principio de legalidad</w:t>
      </w:r>
      <w:r w:rsidRPr="009A0FE0">
        <w:rPr>
          <w:rStyle w:val="FootnoteReference"/>
          <w:rFonts w:ascii="Arial" w:hAnsi="Arial" w:cs="Arial"/>
          <w:color w:val="000000" w:themeColor="text1"/>
        </w:rPr>
        <w:footnoteReference w:id="25"/>
      </w:r>
      <w:r>
        <w:rPr>
          <w:rFonts w:ascii="Arial" w:hAnsi="Arial" w:cs="Arial"/>
          <w:color w:val="000000" w:themeColor="text1"/>
        </w:rPr>
        <w:t>.</w:t>
      </w:r>
    </w:p>
    <w:p w14:paraId="012CC98B" w14:textId="77777777" w:rsidR="00DB3754" w:rsidRDefault="00DB3754" w:rsidP="00DB3754">
      <w:pPr>
        <w:spacing w:after="0" w:line="276" w:lineRule="auto"/>
        <w:ind w:firstLine="708"/>
        <w:jc w:val="both"/>
        <w:rPr>
          <w:rFonts w:ascii="Arial" w:hAnsi="Arial" w:cs="Arial"/>
          <w:color w:val="000000" w:themeColor="text1"/>
        </w:rPr>
      </w:pPr>
    </w:p>
    <w:p w14:paraId="7FF50819" w14:textId="298F55A2" w:rsidR="004E5A25" w:rsidRDefault="00DB3754" w:rsidP="004E5A25">
      <w:pPr>
        <w:spacing w:after="0" w:line="276" w:lineRule="auto"/>
        <w:jc w:val="both"/>
        <w:rPr>
          <w:rFonts w:ascii="Arial" w:eastAsia="Calibri" w:hAnsi="Arial" w:cs="Arial"/>
          <w:b/>
          <w:bCs/>
          <w:lang w:val="es-ES_tradnl"/>
        </w:rPr>
      </w:pPr>
      <w:r w:rsidRPr="00660381">
        <w:rPr>
          <w:rFonts w:ascii="Arial" w:hAnsi="Arial" w:cs="Arial"/>
          <w:b/>
          <w:bCs/>
          <w:color w:val="000000" w:themeColor="text1"/>
        </w:rPr>
        <w:t xml:space="preserve">2.2. </w:t>
      </w:r>
      <w:r>
        <w:rPr>
          <w:rFonts w:ascii="Arial" w:hAnsi="Arial" w:cs="Arial"/>
          <w:b/>
          <w:bCs/>
          <w:color w:val="000000" w:themeColor="text1"/>
        </w:rPr>
        <w:t>I</w:t>
      </w:r>
      <w:r w:rsidRPr="00E27B57">
        <w:rPr>
          <w:rFonts w:ascii="Arial" w:hAnsi="Arial" w:cs="Arial"/>
          <w:b/>
          <w:bCs/>
          <w:color w:val="000000" w:themeColor="text1"/>
        </w:rPr>
        <w:t>nhabilidad por declaratoria de responsabilidad fiscal</w:t>
      </w:r>
      <w:r w:rsidR="004E5A25">
        <w:rPr>
          <w:rFonts w:ascii="Arial" w:hAnsi="Arial" w:cs="Arial"/>
          <w:b/>
          <w:bCs/>
          <w:color w:val="000000" w:themeColor="text1"/>
        </w:rPr>
        <w:t xml:space="preserve"> </w:t>
      </w:r>
      <w:r w:rsidR="004E5A25" w:rsidRPr="004D67FC">
        <w:rPr>
          <w:rFonts w:ascii="Arial" w:eastAsia="Calibri" w:hAnsi="Arial" w:cs="Arial"/>
          <w:b/>
          <w:bCs/>
          <w:lang w:val="es-ES_tradnl"/>
        </w:rPr>
        <w:t>del parágrafo 1 del artículo 42 de la Ley 1952 de 2019</w:t>
      </w:r>
    </w:p>
    <w:p w14:paraId="4054B6E9" w14:textId="77777777" w:rsidR="004E5A25" w:rsidRDefault="004E5A25" w:rsidP="004E5A25">
      <w:pPr>
        <w:spacing w:after="0" w:line="276" w:lineRule="auto"/>
        <w:jc w:val="both"/>
        <w:rPr>
          <w:rFonts w:ascii="Arial" w:eastAsia="Calibri" w:hAnsi="Arial" w:cs="Arial"/>
          <w:b/>
          <w:bCs/>
          <w:lang w:val="es-ES_tradnl"/>
        </w:rPr>
      </w:pPr>
    </w:p>
    <w:p w14:paraId="230F173C" w14:textId="77777777" w:rsidR="006C33D8" w:rsidRDefault="006C33D8" w:rsidP="006C33D8">
      <w:pPr>
        <w:spacing w:after="0" w:line="276" w:lineRule="auto"/>
        <w:jc w:val="both"/>
        <w:rPr>
          <w:rFonts w:ascii="Arial" w:eastAsia="Calibri" w:hAnsi="Arial" w:cs="Arial"/>
          <w:b/>
          <w:bCs/>
          <w:lang w:val="es-ES_tradnl"/>
        </w:rPr>
      </w:pPr>
    </w:p>
    <w:p w14:paraId="14FB278D" w14:textId="77777777" w:rsidR="006C33D8" w:rsidRDefault="006C33D8" w:rsidP="006C33D8">
      <w:pPr>
        <w:spacing w:after="120" w:line="276" w:lineRule="auto"/>
        <w:jc w:val="both"/>
        <w:rPr>
          <w:rFonts w:ascii="Arial" w:hAnsi="Arial" w:cs="Arial"/>
          <w:color w:val="000000"/>
          <w:shd w:val="clear" w:color="auto" w:fill="FFFFFF"/>
        </w:rPr>
      </w:pPr>
      <w:r>
        <w:rPr>
          <w:rFonts w:ascii="Arial" w:hAnsi="Arial" w:cs="Arial"/>
          <w:shd w:val="clear" w:color="auto" w:fill="FFFFFF"/>
        </w:rPr>
        <w:t>R</w:t>
      </w:r>
      <w:r w:rsidRPr="009A0FE0">
        <w:rPr>
          <w:rFonts w:ascii="Arial" w:hAnsi="Arial" w:cs="Arial"/>
          <w:shd w:val="clear" w:color="auto" w:fill="FFFFFF"/>
        </w:rPr>
        <w:t xml:space="preserve">etomando una idea </w:t>
      </w:r>
      <w:r w:rsidRPr="00BA5819">
        <w:rPr>
          <w:rFonts w:ascii="Arial" w:hAnsi="Arial" w:cs="Arial"/>
          <w:shd w:val="clear" w:color="auto" w:fill="FFFFFF"/>
        </w:rPr>
        <w:t xml:space="preserve">esbozada con anterioridad, la doctrina y la jurisprudencia son pacíficas en considerar que la creación de inhabilidades e incompatibilidades es un asunto con reserva de ley, en tanto, </w:t>
      </w:r>
      <w:r>
        <w:rPr>
          <w:rFonts w:ascii="Arial" w:hAnsi="Arial" w:cs="Arial"/>
          <w:shd w:val="clear" w:color="auto" w:fill="FFFFFF"/>
        </w:rPr>
        <w:t>“</w:t>
      </w:r>
      <w:r w:rsidRPr="00BA5819">
        <w:rPr>
          <w:rFonts w:ascii="Arial" w:hAnsi="Arial" w:cs="Arial"/>
          <w:shd w:val="clear" w:color="auto" w:fill="FFFFFF"/>
        </w:rPr>
        <w:t>[…] su previsión y desarrollo es materia exclusiva del legislador (reserva de ley), quien en virtud del principio democrático debe definir y tipificar expresamente sus causas, vigencia, naturaleza y efectos</w:t>
      </w:r>
      <w:r>
        <w:rPr>
          <w:rFonts w:ascii="Arial" w:hAnsi="Arial" w:cs="Arial"/>
          <w:shd w:val="clear" w:color="auto" w:fill="FFFFFF"/>
        </w:rPr>
        <w:t>”</w:t>
      </w:r>
      <w:r w:rsidRPr="00BA5819">
        <w:rPr>
          <w:rStyle w:val="FootnoteReference"/>
          <w:rFonts w:ascii="Arial" w:hAnsi="Arial" w:cs="Arial"/>
          <w:shd w:val="clear" w:color="auto" w:fill="FFFFFF"/>
        </w:rPr>
        <w:footnoteReference w:id="26"/>
      </w:r>
      <w:r w:rsidRPr="00BA5819">
        <w:rPr>
          <w:rFonts w:ascii="Arial" w:hAnsi="Arial" w:cs="Arial"/>
          <w:shd w:val="clear" w:color="auto" w:fill="FFFFFF"/>
        </w:rPr>
        <w:t xml:space="preserve"> En similar sentido, la Sala de Consulta y Servicio Civil del Consejo de Estado expresó </w:t>
      </w:r>
      <w:r w:rsidRPr="00BA5819">
        <w:rPr>
          <w:rFonts w:ascii="Arial" w:hAnsi="Arial" w:cs="Arial"/>
          <w:color w:val="000000"/>
          <w:shd w:val="clear" w:color="auto" w:fill="FFFFFF"/>
        </w:rPr>
        <w:t xml:space="preserve">que </w:t>
      </w:r>
      <w:r>
        <w:rPr>
          <w:rFonts w:ascii="Arial" w:hAnsi="Arial" w:cs="Arial"/>
          <w:color w:val="000000"/>
          <w:shd w:val="clear" w:color="auto" w:fill="FFFFFF"/>
        </w:rPr>
        <w:t>“</w:t>
      </w:r>
      <w:r w:rsidRPr="00BA5819">
        <w:rPr>
          <w:rFonts w:ascii="Arial" w:hAnsi="Arial" w:cs="Arial"/>
          <w:color w:val="000000"/>
          <w:shd w:val="clear" w:color="auto" w:fill="FFFFFF"/>
        </w:rPr>
        <w:t>[…] las causales de inhabilidad e incompatibilidad deben estar expresa y taxativamente establecidas en la Constitución o en la ley y son de aplicación e interpretación restrictivas […]</w:t>
      </w:r>
      <w:r>
        <w:rPr>
          <w:rFonts w:ascii="Arial" w:hAnsi="Arial" w:cs="Arial"/>
          <w:color w:val="000000"/>
          <w:shd w:val="clear" w:color="auto" w:fill="FFFFFF"/>
        </w:rPr>
        <w:t>”</w:t>
      </w:r>
      <w:r>
        <w:rPr>
          <w:rStyle w:val="FootnoteReference"/>
          <w:rFonts w:ascii="Arial" w:hAnsi="Arial" w:cs="Arial"/>
          <w:color w:val="000000"/>
          <w:shd w:val="clear" w:color="auto" w:fill="FFFFFF"/>
        </w:rPr>
        <w:footnoteReference w:id="27"/>
      </w:r>
      <w:r>
        <w:rPr>
          <w:rFonts w:ascii="Arial" w:hAnsi="Arial" w:cs="Arial"/>
          <w:color w:val="000000"/>
          <w:shd w:val="clear" w:color="auto" w:fill="FFFFFF"/>
        </w:rPr>
        <w:t xml:space="preserve">. </w:t>
      </w:r>
      <w:r w:rsidRPr="0086722E">
        <w:rPr>
          <w:rFonts w:ascii="Arial" w:hAnsi="Arial" w:cs="Arial"/>
          <w:color w:val="000000"/>
          <w:shd w:val="clear" w:color="auto" w:fill="FFFFFF"/>
        </w:rPr>
        <w:t>En este sentido, como se observa, existe consenso</w:t>
      </w:r>
      <w:r>
        <w:rPr>
          <w:rFonts w:ascii="Arial" w:hAnsi="Arial" w:cs="Arial"/>
          <w:color w:val="000000"/>
          <w:shd w:val="clear" w:color="auto" w:fill="FFFFFF"/>
        </w:rPr>
        <w:t xml:space="preserve">, incluso como lo ha expresado esta Agencia en ocasiones anteriores, que la creación de inhabilidades o incompatibilidades está reservada al constituyente o al legislador. </w:t>
      </w:r>
    </w:p>
    <w:p w14:paraId="0228FC08" w14:textId="77777777" w:rsidR="006C33D8" w:rsidRDefault="006C33D8" w:rsidP="006C33D8">
      <w:pPr>
        <w:spacing w:after="120" w:line="276" w:lineRule="auto"/>
        <w:ind w:firstLine="709"/>
        <w:jc w:val="both"/>
        <w:rPr>
          <w:rFonts w:ascii="Arial" w:hAnsi="Arial" w:cs="Arial"/>
          <w:color w:val="000000"/>
          <w:shd w:val="clear" w:color="auto" w:fill="FFFFFF"/>
        </w:rPr>
      </w:pPr>
      <w:r w:rsidRPr="00660381">
        <w:rPr>
          <w:rFonts w:ascii="Arial" w:hAnsi="Arial" w:cs="Arial"/>
          <w:color w:val="000000"/>
          <w:shd w:val="clear" w:color="auto" w:fill="FFFFFF"/>
        </w:rPr>
        <w:t>Respecto al objeto de la consulta</w:t>
      </w:r>
      <w:r w:rsidRPr="00092DA3">
        <w:rPr>
          <w:rFonts w:ascii="Arial" w:hAnsi="Arial" w:cs="Arial"/>
          <w:color w:val="000000"/>
          <w:shd w:val="clear" w:color="auto" w:fill="FFFFFF"/>
        </w:rPr>
        <w:t>,</w:t>
      </w:r>
      <w:r>
        <w:rPr>
          <w:rFonts w:ascii="Arial" w:hAnsi="Arial" w:cs="Arial"/>
          <w:color w:val="000000"/>
          <w:shd w:val="clear" w:color="auto" w:fill="FFFFFF"/>
        </w:rPr>
        <w:t xml:space="preserve"> se debe tener en cuenta que la Ley 610 del 2000 cuyo objeto es </w:t>
      </w:r>
      <w:r w:rsidRPr="008F0EB6">
        <w:rPr>
          <w:rFonts w:ascii="Arial" w:hAnsi="Arial" w:cs="Arial"/>
          <w:color w:val="000000"/>
          <w:shd w:val="clear" w:color="auto" w:fill="FFFFFF"/>
        </w:rPr>
        <w:t>establece</w:t>
      </w:r>
      <w:r>
        <w:rPr>
          <w:rFonts w:ascii="Arial" w:hAnsi="Arial" w:cs="Arial"/>
          <w:color w:val="000000"/>
          <w:shd w:val="clear" w:color="auto" w:fill="FFFFFF"/>
        </w:rPr>
        <w:t>r</w:t>
      </w:r>
      <w:r w:rsidRPr="008F0EB6">
        <w:rPr>
          <w:rFonts w:ascii="Arial" w:hAnsi="Arial" w:cs="Arial"/>
          <w:color w:val="000000"/>
          <w:shd w:val="clear" w:color="auto" w:fill="FFFFFF"/>
        </w:rPr>
        <w:t xml:space="preserve"> el trámite de los procesos de responsabilidad fiscal de competencia de las contralorías</w:t>
      </w:r>
      <w:r>
        <w:rPr>
          <w:rFonts w:ascii="Arial" w:hAnsi="Arial" w:cs="Arial"/>
          <w:color w:val="000000"/>
          <w:shd w:val="clear" w:color="auto" w:fill="FFFFFF"/>
        </w:rPr>
        <w:t xml:space="preserve">, definió, entre otros aspectos, lo siguiente: i) los principios de la acción fiscal, </w:t>
      </w:r>
      <w:proofErr w:type="spellStart"/>
      <w:r>
        <w:rPr>
          <w:rFonts w:ascii="Arial" w:hAnsi="Arial" w:cs="Arial"/>
          <w:color w:val="000000"/>
          <w:shd w:val="clear" w:color="auto" w:fill="FFFFFF"/>
        </w:rPr>
        <w:t>ii</w:t>
      </w:r>
      <w:proofErr w:type="spellEnd"/>
      <w:r>
        <w:rPr>
          <w:rFonts w:ascii="Arial" w:hAnsi="Arial" w:cs="Arial"/>
          <w:color w:val="000000"/>
          <w:shd w:val="clear" w:color="auto" w:fill="FFFFFF"/>
        </w:rPr>
        <w:t xml:space="preserve">) el objeto y elementos de la responsabilidad fiscal, </w:t>
      </w:r>
      <w:proofErr w:type="spellStart"/>
      <w:r>
        <w:rPr>
          <w:rFonts w:ascii="Arial" w:hAnsi="Arial" w:cs="Arial"/>
          <w:color w:val="000000"/>
          <w:shd w:val="clear" w:color="auto" w:fill="FFFFFF"/>
        </w:rPr>
        <w:t>iii</w:t>
      </w:r>
      <w:proofErr w:type="spellEnd"/>
      <w:r>
        <w:rPr>
          <w:rFonts w:ascii="Arial" w:hAnsi="Arial" w:cs="Arial"/>
          <w:color w:val="000000"/>
          <w:shd w:val="clear" w:color="auto" w:fill="FFFFFF"/>
        </w:rPr>
        <w:t xml:space="preserve">) el daño patrimonial al Estado, </w:t>
      </w:r>
      <w:proofErr w:type="spellStart"/>
      <w:r>
        <w:rPr>
          <w:rFonts w:ascii="Arial" w:hAnsi="Arial" w:cs="Arial"/>
          <w:color w:val="000000"/>
          <w:shd w:val="clear" w:color="auto" w:fill="FFFFFF"/>
        </w:rPr>
        <w:t>iv</w:t>
      </w:r>
      <w:proofErr w:type="spellEnd"/>
      <w:r>
        <w:rPr>
          <w:rFonts w:ascii="Arial" w:hAnsi="Arial" w:cs="Arial"/>
          <w:color w:val="000000"/>
          <w:shd w:val="clear" w:color="auto" w:fill="FFFFFF"/>
        </w:rPr>
        <w:t xml:space="preserve">) aspectos procedimentales para definir la responsabilidad fiscal, y v) las consecuencias de la declaratoria de responsabilidad fiscal, dentro de las cuales se encuentra el boletín de responsables fiscales que estudiaremos a continuación en dos aspectos: su definición y su incidencia en la inhabilidad </w:t>
      </w:r>
      <w:r w:rsidRPr="00F7773D">
        <w:rPr>
          <w:rFonts w:ascii="Arial" w:hAnsi="Arial" w:cs="Arial"/>
          <w:color w:val="000000"/>
          <w:shd w:val="clear" w:color="auto" w:fill="FFFFFF"/>
        </w:rPr>
        <w:t>para el ejercicio de cargos públicos y para contratar con el Estado</w:t>
      </w:r>
      <w:r>
        <w:rPr>
          <w:rFonts w:ascii="Arial" w:hAnsi="Arial" w:cs="Arial"/>
          <w:color w:val="000000"/>
          <w:shd w:val="clear" w:color="auto" w:fill="FFFFFF"/>
        </w:rPr>
        <w:t xml:space="preserve"> del parágrafo 1 del artículo 42 de la Ley 1952 de 2019.</w:t>
      </w:r>
    </w:p>
    <w:p w14:paraId="79596E08" w14:textId="77777777" w:rsidR="006C33D8" w:rsidRDefault="006C33D8" w:rsidP="006C33D8">
      <w:pPr>
        <w:spacing w:after="0" w:line="276" w:lineRule="auto"/>
        <w:ind w:firstLine="708"/>
        <w:jc w:val="both"/>
        <w:rPr>
          <w:rFonts w:ascii="Arial" w:eastAsia="Calibri" w:hAnsi="Arial" w:cs="Arial"/>
          <w:lang w:val="es-ES_tradnl"/>
        </w:rPr>
      </w:pPr>
      <w:r>
        <w:rPr>
          <w:rFonts w:ascii="Arial" w:eastAsia="Calibri" w:hAnsi="Arial" w:cs="Arial"/>
          <w:lang w:val="es-ES_tradnl"/>
        </w:rPr>
        <w:lastRenderedPageBreak/>
        <w:t>El artículo 60 de la Ley 610 de 2000 trata del boletín de responsables fiscales cuyo deber de publicación corresponde a la Contraloría General de la Nación con una periodicidad trimestral. De acuerdo con la norma, el contenido de dicho boletín:</w:t>
      </w:r>
    </w:p>
    <w:p w14:paraId="76DF32C6" w14:textId="77777777" w:rsidR="006C33D8" w:rsidRPr="00D64F6F" w:rsidRDefault="006C33D8" w:rsidP="006C33D8">
      <w:pPr>
        <w:spacing w:after="0" w:line="240" w:lineRule="auto"/>
        <w:ind w:left="709" w:right="616"/>
        <w:jc w:val="both"/>
        <w:rPr>
          <w:rFonts w:ascii="Arial" w:hAnsi="Arial" w:cs="Arial"/>
          <w:sz w:val="21"/>
          <w:szCs w:val="21"/>
          <w:lang w:val="es-ES_tradnl"/>
        </w:rPr>
      </w:pPr>
      <w:r w:rsidRPr="00D64F6F">
        <w:rPr>
          <w:rFonts w:ascii="Arial" w:hAnsi="Arial" w:cs="Arial"/>
          <w:sz w:val="21"/>
          <w:szCs w:val="21"/>
          <w:lang w:val="es-ES_tradnl"/>
        </w:rPr>
        <w:t>“[…] contendrá los nombres de las personas naturales o jurídicas a quienes se les haya dictado fallo con responsabilidad fiscal en firme y ejecutoriado y no hayan satisfecho la obligación contenida en él.</w:t>
      </w:r>
    </w:p>
    <w:p w14:paraId="6BABCF3C" w14:textId="77777777" w:rsidR="006C33D8" w:rsidRPr="00D64F6F" w:rsidRDefault="006C33D8" w:rsidP="006C33D8">
      <w:pPr>
        <w:spacing w:after="0" w:line="240" w:lineRule="auto"/>
        <w:ind w:left="709" w:right="616"/>
        <w:jc w:val="both"/>
        <w:rPr>
          <w:rFonts w:ascii="Arial" w:hAnsi="Arial" w:cs="Arial"/>
          <w:sz w:val="21"/>
          <w:szCs w:val="21"/>
          <w:lang w:val="es-ES_tradnl"/>
        </w:rPr>
      </w:pPr>
    </w:p>
    <w:p w14:paraId="393A33FF" w14:textId="77777777" w:rsidR="006C33D8" w:rsidRDefault="006C33D8" w:rsidP="006C33D8">
      <w:pPr>
        <w:spacing w:after="0" w:line="240" w:lineRule="auto"/>
        <w:ind w:left="709" w:right="616"/>
        <w:jc w:val="both"/>
        <w:rPr>
          <w:rFonts w:ascii="Arial" w:hAnsi="Arial" w:cs="Arial"/>
          <w:sz w:val="21"/>
          <w:szCs w:val="21"/>
          <w:lang w:val="es-ES_tradnl"/>
        </w:rPr>
      </w:pPr>
      <w:r w:rsidRPr="00D64F6F">
        <w:rPr>
          <w:rFonts w:ascii="Arial" w:hAnsi="Arial" w:cs="Arial"/>
          <w:sz w:val="21"/>
          <w:szCs w:val="21"/>
          <w:lang w:val="es-ES_tradnl"/>
        </w:rPr>
        <w:t>Para efecto de lo anterior, las contralorías territoriales deberán informar a la Contraloría General de la República, en la forma y términos que esta establezca, la relación de las personas a quienes se les haya dictado fallo con responsabilidad fiscal, así como de las que hubieren acreditado el pago correspondiente, de los fallos que hubieren sido anulados por la jurisdicción de lo contencioso administrativo y de las revocaciones directas que hayan proferido, para incluir o retirar sus nombres del boletín, según el caso</w:t>
      </w:r>
      <w:r>
        <w:rPr>
          <w:rFonts w:ascii="Arial" w:hAnsi="Arial" w:cs="Arial"/>
          <w:sz w:val="21"/>
          <w:szCs w:val="21"/>
          <w:lang w:val="es-ES_tradnl"/>
        </w:rPr>
        <w:t xml:space="preserve"> </w:t>
      </w:r>
      <w:r w:rsidRPr="00D64F6F">
        <w:rPr>
          <w:rFonts w:ascii="Arial" w:hAnsi="Arial" w:cs="Arial"/>
          <w:sz w:val="21"/>
          <w:szCs w:val="21"/>
          <w:lang w:val="es-ES_tradnl"/>
        </w:rPr>
        <w:t>[…]</w:t>
      </w:r>
      <w:r>
        <w:rPr>
          <w:rFonts w:ascii="Arial" w:hAnsi="Arial" w:cs="Arial"/>
          <w:sz w:val="21"/>
          <w:szCs w:val="21"/>
          <w:lang w:val="es-ES_tradnl"/>
        </w:rPr>
        <w:t>”</w:t>
      </w:r>
      <w:r w:rsidRPr="00D64F6F">
        <w:rPr>
          <w:rFonts w:ascii="Arial" w:hAnsi="Arial" w:cs="Arial"/>
          <w:sz w:val="21"/>
          <w:szCs w:val="21"/>
          <w:lang w:val="es-ES_tradnl"/>
        </w:rPr>
        <w:t>.</w:t>
      </w:r>
    </w:p>
    <w:p w14:paraId="08E99994" w14:textId="77777777" w:rsidR="006C33D8" w:rsidRDefault="006C33D8" w:rsidP="006C33D8">
      <w:pPr>
        <w:spacing w:after="0" w:line="240" w:lineRule="auto"/>
        <w:ind w:right="616"/>
        <w:jc w:val="both"/>
        <w:rPr>
          <w:rFonts w:ascii="Arial" w:hAnsi="Arial" w:cs="Arial"/>
          <w:sz w:val="21"/>
          <w:szCs w:val="21"/>
          <w:lang w:val="es-ES_tradnl"/>
        </w:rPr>
      </w:pPr>
    </w:p>
    <w:p w14:paraId="04B57160" w14:textId="77777777" w:rsidR="006C33D8" w:rsidRDefault="006C33D8" w:rsidP="006C33D8">
      <w:pPr>
        <w:spacing w:after="120" w:line="276" w:lineRule="auto"/>
        <w:jc w:val="both"/>
        <w:rPr>
          <w:rFonts w:ascii="Arial" w:eastAsia="Calibri" w:hAnsi="Arial" w:cs="Arial"/>
          <w:lang w:val="es-ES_tradnl"/>
        </w:rPr>
      </w:pPr>
      <w:r w:rsidRPr="007C2128">
        <w:rPr>
          <w:rFonts w:ascii="Arial" w:eastAsia="Calibri" w:hAnsi="Arial" w:cs="Arial"/>
          <w:lang w:val="es-ES_tradnl"/>
        </w:rPr>
        <w:tab/>
        <w:t xml:space="preserve">Finalmente, </w:t>
      </w:r>
      <w:r>
        <w:rPr>
          <w:rFonts w:ascii="Arial" w:eastAsia="Calibri" w:hAnsi="Arial" w:cs="Arial"/>
          <w:lang w:val="es-ES_tradnl"/>
        </w:rPr>
        <w:t xml:space="preserve">el mencionado artículo señala como mala conducta dos situaciones: i) que las contralorías territoriales no informen a la Contraloría General de la República sobre los fallos de responsabilidad fiscal y lo relacionado con estos que permita incluir y retirar nombres del boletín, y </w:t>
      </w:r>
      <w:proofErr w:type="spellStart"/>
      <w:r>
        <w:rPr>
          <w:rFonts w:ascii="Arial" w:eastAsia="Calibri" w:hAnsi="Arial" w:cs="Arial"/>
          <w:lang w:val="es-ES_tradnl"/>
        </w:rPr>
        <w:t>ii</w:t>
      </w:r>
      <w:proofErr w:type="spellEnd"/>
      <w:r>
        <w:rPr>
          <w:rFonts w:ascii="Arial" w:eastAsia="Calibri" w:hAnsi="Arial" w:cs="Arial"/>
          <w:lang w:val="es-ES_tradnl"/>
        </w:rPr>
        <w:t>) contratar o posesionar a personas que aparezcan en el boletín.</w:t>
      </w:r>
    </w:p>
    <w:p w14:paraId="3FCB229A" w14:textId="77777777" w:rsidR="006C33D8" w:rsidRDefault="006C33D8" w:rsidP="006C33D8">
      <w:pPr>
        <w:spacing w:after="120" w:line="276" w:lineRule="auto"/>
        <w:jc w:val="both"/>
        <w:rPr>
          <w:rFonts w:ascii="Arial" w:eastAsia="Calibri" w:hAnsi="Arial" w:cs="Arial"/>
          <w:lang w:val="es-ES_tradnl"/>
        </w:rPr>
      </w:pPr>
      <w:r>
        <w:rPr>
          <w:rFonts w:ascii="Arial" w:eastAsia="Calibri" w:hAnsi="Arial" w:cs="Arial"/>
          <w:lang w:val="es-ES_tradnl"/>
        </w:rPr>
        <w:tab/>
        <w:t xml:space="preserve">Adicionalmente, es importante anticipar que el artículo 60 de la Ley 610 de 2000 se refiere a que las contralorías territoriales deben informar si las personas a quienes se les declaró responsabilidad fiscal acreditaron el pago correspondiente para </w:t>
      </w:r>
      <w:r w:rsidRPr="00806471">
        <w:rPr>
          <w:rFonts w:ascii="Arial" w:eastAsia="Calibri" w:hAnsi="Arial" w:cs="Arial"/>
          <w:i/>
          <w:iCs/>
          <w:lang w:val="es-ES_tradnl"/>
        </w:rPr>
        <w:t>“incluir o retirar sus nombres del boletín, según el caso”</w:t>
      </w:r>
      <w:r>
        <w:rPr>
          <w:rFonts w:ascii="Arial" w:eastAsia="Calibri" w:hAnsi="Arial" w:cs="Arial"/>
          <w:lang w:val="es-ES_tradnl"/>
        </w:rPr>
        <w:t>. Esto es destacable, por cuanto se relaciona con el tema que trataremos a continuación respecto de la inhabilidad relacionada con el boletín de responsables fiscales, y la manera en que cesa dicha limitación a la capacidad jurídica de quienes desean contratar con el Estado.</w:t>
      </w:r>
    </w:p>
    <w:p w14:paraId="6EFB46A8" w14:textId="77777777" w:rsidR="006C33D8" w:rsidRDefault="006C33D8" w:rsidP="006C33D8">
      <w:pPr>
        <w:spacing w:after="120" w:line="276" w:lineRule="auto"/>
        <w:jc w:val="both"/>
        <w:rPr>
          <w:rFonts w:ascii="Arial" w:eastAsia="Calibri" w:hAnsi="Arial" w:cs="Arial"/>
          <w:lang w:val="es-ES_tradnl"/>
        </w:rPr>
      </w:pPr>
      <w:r>
        <w:rPr>
          <w:rFonts w:ascii="Arial" w:eastAsia="Calibri" w:hAnsi="Arial" w:cs="Arial"/>
          <w:lang w:val="es-ES_tradnl"/>
        </w:rPr>
        <w:tab/>
        <w:t>Así mismo, la norma en comento concluye señalando que cuando no se haya publicado el boletín de responsables fiscales, ya que se publica cada tres (3) meses, y se quiera cumplir con la obligación que impone esta ley de no contratar o posesionar a personas que aparezcan en el boletín, se debe consultar a la Contraloría General de la República sobre las futuras inclusiones de “f</w:t>
      </w:r>
      <w:r w:rsidRPr="009737BE">
        <w:rPr>
          <w:rFonts w:ascii="Arial" w:eastAsia="Calibri" w:hAnsi="Arial" w:cs="Arial"/>
          <w:lang w:val="es-ES_tradnl"/>
        </w:rPr>
        <w:t>uncionarios o contratistas en el boletín</w:t>
      </w:r>
      <w:r>
        <w:rPr>
          <w:rFonts w:ascii="Arial" w:eastAsia="Calibri" w:hAnsi="Arial" w:cs="Arial"/>
          <w:lang w:val="es-ES_tradnl"/>
        </w:rPr>
        <w:t>”.</w:t>
      </w:r>
    </w:p>
    <w:p w14:paraId="38D29DA2" w14:textId="77777777" w:rsidR="006C33D8" w:rsidRDefault="006C33D8" w:rsidP="006C33D8">
      <w:pPr>
        <w:spacing w:after="120" w:line="276" w:lineRule="auto"/>
        <w:jc w:val="both"/>
        <w:rPr>
          <w:rFonts w:ascii="Arial" w:eastAsia="Calibri" w:hAnsi="Arial" w:cs="Arial"/>
          <w:lang w:val="es-ES_tradnl"/>
        </w:rPr>
      </w:pPr>
      <w:r>
        <w:rPr>
          <w:rFonts w:ascii="Arial" w:eastAsia="Calibri" w:hAnsi="Arial" w:cs="Arial"/>
          <w:lang w:val="es-ES_tradnl"/>
        </w:rPr>
        <w:tab/>
        <w:t xml:space="preserve">Teniendo en cuenta este análisis, y de acuerdo con su consulta, se analizará la inhabilidad por la declaratoria de responsabilidad fiscal consagrada en la Ley 1952 de 2019, para lo cual servirán de base las conclusiones aquí señaladas respecto del boletín de responsables fiscales, la periodicidad y la información para incluir o retirar personas del este. </w:t>
      </w:r>
    </w:p>
    <w:p w14:paraId="02F61A69" w14:textId="77777777" w:rsidR="006C33D8" w:rsidRDefault="006C33D8" w:rsidP="006C33D8">
      <w:pPr>
        <w:spacing w:after="120" w:line="276" w:lineRule="auto"/>
        <w:ind w:firstLine="708"/>
        <w:jc w:val="both"/>
        <w:rPr>
          <w:rFonts w:ascii="Arial" w:eastAsia="Calibri" w:hAnsi="Arial" w:cs="Arial"/>
          <w:lang w:val="es-ES_tradnl"/>
        </w:rPr>
      </w:pPr>
      <w:r>
        <w:rPr>
          <w:rFonts w:ascii="Arial" w:eastAsia="Calibri" w:hAnsi="Arial" w:cs="Arial"/>
          <w:lang w:val="es-ES_tradnl"/>
        </w:rPr>
        <w:t xml:space="preserve">La Ley 1952 de 2019 conocida como el Código General Disciplinario, que derogó la Ley 734 de 2002, consagró, entre otros, </w:t>
      </w:r>
      <w:r w:rsidRPr="00B5082C">
        <w:rPr>
          <w:rFonts w:ascii="Arial" w:eastAsia="Calibri" w:hAnsi="Arial" w:cs="Arial"/>
          <w:lang w:val="es-ES_tradnl"/>
        </w:rPr>
        <w:t>inhabilidades, impedimentos, incompatibilidades y conflicto de intereses</w:t>
      </w:r>
      <w:r>
        <w:rPr>
          <w:rFonts w:ascii="Arial" w:eastAsia="Calibri" w:hAnsi="Arial" w:cs="Arial"/>
          <w:lang w:val="es-ES_tradnl"/>
        </w:rPr>
        <w:t xml:space="preserve"> respecto del ejercicio de cargos públicos, lo cual es el objeto de la ley. No obstante, el </w:t>
      </w:r>
      <w:r w:rsidRPr="00AA7354">
        <w:rPr>
          <w:rFonts w:ascii="Arial" w:eastAsia="Calibri" w:hAnsi="Arial" w:cs="Arial"/>
          <w:lang w:val="es-ES_tradnl"/>
        </w:rPr>
        <w:t>parágrafo 1 del artículo 42</w:t>
      </w:r>
      <w:r>
        <w:rPr>
          <w:rFonts w:ascii="Arial" w:eastAsia="Calibri" w:hAnsi="Arial" w:cs="Arial"/>
          <w:lang w:val="es-ES_tradnl"/>
        </w:rPr>
        <w:t xml:space="preserve"> incluyó una inhabilidad para contratar con el Estado, lo cual es consecuente con lo explicado en este acápite del concepto, y es que las inhabilidades por </w:t>
      </w:r>
      <w:r>
        <w:rPr>
          <w:rFonts w:ascii="Arial" w:eastAsia="Calibri" w:hAnsi="Arial" w:cs="Arial"/>
          <w:lang w:val="es-ES_tradnl"/>
        </w:rPr>
        <w:lastRenderedPageBreak/>
        <w:t xml:space="preserve">comportar una limitación a la capacidad jurídica de las </w:t>
      </w:r>
      <w:proofErr w:type="gramStart"/>
      <w:r>
        <w:rPr>
          <w:rFonts w:ascii="Arial" w:eastAsia="Calibri" w:hAnsi="Arial" w:cs="Arial"/>
          <w:lang w:val="es-ES_tradnl"/>
        </w:rPr>
        <w:t>personas,</w:t>
      </w:r>
      <w:proofErr w:type="gramEnd"/>
      <w:r>
        <w:rPr>
          <w:rFonts w:ascii="Arial" w:eastAsia="Calibri" w:hAnsi="Arial" w:cs="Arial"/>
          <w:lang w:val="es-ES_tradnl"/>
        </w:rPr>
        <w:t xml:space="preserve"> tienen reserva de ley, esto es, solo el legislador puede consagrarlas.</w:t>
      </w:r>
    </w:p>
    <w:p w14:paraId="365FD75B" w14:textId="77777777" w:rsidR="006C33D8" w:rsidRPr="00806471" w:rsidRDefault="006C33D8" w:rsidP="006C33D8">
      <w:pPr>
        <w:spacing w:after="120" w:line="276" w:lineRule="auto"/>
        <w:ind w:left="709" w:right="709"/>
        <w:jc w:val="both"/>
        <w:rPr>
          <w:rFonts w:ascii="Arial" w:hAnsi="Arial" w:cs="Arial"/>
          <w:lang w:val="es-ES_tradnl"/>
        </w:rPr>
      </w:pPr>
      <w:r w:rsidRPr="001A5CF3">
        <w:rPr>
          <w:rFonts w:ascii="Arial" w:eastAsia="Calibri" w:hAnsi="Arial" w:cs="Arial"/>
          <w:lang w:val="es-ES_tradnl"/>
        </w:rPr>
        <w:tab/>
        <w:t xml:space="preserve">Así pues, la norma dispone que el ser declarado responsable fiscalmente tendrá dos consecuencias a partir de la ejecutoria del fallo: i) estará inhabilitado para desempeñar cargos públicos, y </w:t>
      </w:r>
      <w:proofErr w:type="spellStart"/>
      <w:r w:rsidRPr="001A5CF3">
        <w:rPr>
          <w:rFonts w:ascii="Arial" w:eastAsia="Calibri" w:hAnsi="Arial" w:cs="Arial"/>
          <w:lang w:val="es-ES_tradnl"/>
        </w:rPr>
        <w:t>ii</w:t>
      </w:r>
      <w:proofErr w:type="spellEnd"/>
      <w:r w:rsidRPr="001A5CF3">
        <w:rPr>
          <w:rFonts w:ascii="Arial" w:eastAsia="Calibri" w:hAnsi="Arial" w:cs="Arial"/>
          <w:lang w:val="es-ES_tradnl"/>
        </w:rPr>
        <w:t xml:space="preserve">) para contratar con el Estado, “durante los cinco (5) años siguientes a la ejecutoria del fallo correspondiente”. Ahora bien, es importante enfocarse en la cesación de la inhabilidad que es el objeto de su petición, puesto que la misma disposición señala: </w:t>
      </w:r>
      <w:r w:rsidRPr="00806471">
        <w:rPr>
          <w:rFonts w:ascii="Arial" w:hAnsi="Arial" w:cs="Arial"/>
          <w:lang w:val="es-ES_tradnl"/>
        </w:rPr>
        <w:t>“[…]Esta inhabilidad cesara cuando la Contraloría competente declare haber recibido el pago o, si este no fuere procedente, cuando la Contraloría General de la Republica excluya al responsable del boletín de responsables fiscales […]”.</w:t>
      </w:r>
    </w:p>
    <w:p w14:paraId="15D59428" w14:textId="77777777" w:rsidR="006C33D8" w:rsidRDefault="006C33D8" w:rsidP="006C33D8">
      <w:pPr>
        <w:spacing w:after="120" w:line="276" w:lineRule="auto"/>
        <w:jc w:val="both"/>
        <w:rPr>
          <w:rFonts w:ascii="Arial" w:eastAsia="Calibri" w:hAnsi="Arial" w:cs="Arial"/>
          <w:lang w:val="es-ES_tradnl"/>
        </w:rPr>
      </w:pPr>
      <w:r>
        <w:rPr>
          <w:rFonts w:ascii="Arial" w:hAnsi="Arial" w:cs="Arial"/>
          <w:sz w:val="21"/>
          <w:szCs w:val="21"/>
          <w:lang w:val="es-ES_tradnl"/>
        </w:rPr>
        <w:tab/>
      </w:r>
      <w:r w:rsidRPr="00A04C0C">
        <w:rPr>
          <w:rFonts w:ascii="Arial" w:eastAsia="Calibri" w:hAnsi="Arial" w:cs="Arial"/>
          <w:lang w:val="es-ES_tradnl"/>
        </w:rPr>
        <w:t>En ese sentido</w:t>
      </w:r>
      <w:r>
        <w:rPr>
          <w:rFonts w:ascii="Arial" w:eastAsia="Calibri" w:hAnsi="Arial" w:cs="Arial"/>
          <w:lang w:val="es-ES_tradnl"/>
        </w:rPr>
        <w:t>, es posible concluir a partir de la norma citada que el fallo de responsabilidad fiscal puede contener o no la orden de hacer un pago. Si la contiene, la contraloría competente debe declarar que recibió el pago para que la inhabilidad cese. Pero en caso de que el fallo de responsabilidad fiscal no contenga la orden de hacer un pago, la Contraloría General de la República debe ser quien excluya a la persona del boletín de responsables fiscales para que deje de estar inhabilitada por haber sido declarada responsable fiscalmente.</w:t>
      </w:r>
    </w:p>
    <w:p w14:paraId="3DA181B2" w14:textId="77777777" w:rsidR="006C33D8" w:rsidRDefault="006C33D8" w:rsidP="006C33D8">
      <w:pPr>
        <w:spacing w:after="120" w:line="276" w:lineRule="auto"/>
        <w:jc w:val="both"/>
        <w:rPr>
          <w:rFonts w:ascii="Arial" w:eastAsia="Calibri" w:hAnsi="Arial" w:cs="Arial"/>
          <w:lang w:val="es-ES_tradnl"/>
        </w:rPr>
      </w:pPr>
      <w:r>
        <w:rPr>
          <w:rFonts w:ascii="Arial" w:eastAsia="Calibri" w:hAnsi="Arial" w:cs="Arial"/>
          <w:lang w:val="es-ES_tradnl"/>
        </w:rPr>
        <w:tab/>
        <w:t>Aquí cobra relevancia lo expuesto sobre el boletín de responsables fiscales, regulado en el artículo 60 de la Ley 610 de 2000, ya que existen dos deberes complementarios; el primero, que las contralorías territoriales informen a la Contraloría General de la República sobre los fallos de responsabilidad fiscal y todo lo relacionado con los mismos. Y el segundo, que la Contraloría General de la República incluya o retire los nombres del boletín. De esta forma, cuando el fallo de responsabilidad fiscal contenga la orden de hacer un pago, la contraloría competente debe declarar que recibió el pago para que la inhabilidad cese, lo cual debe ser reportado a la Contraloría General de la República so pena de ser tenido como mala conducta no entregar esa información, con base en la cual esta entidad excluye a la persona del boletín de responsables fiscales.</w:t>
      </w:r>
    </w:p>
    <w:p w14:paraId="77F96838" w14:textId="77777777" w:rsidR="006C33D8" w:rsidRDefault="006C33D8" w:rsidP="006C33D8">
      <w:pPr>
        <w:spacing w:after="120" w:line="276" w:lineRule="auto"/>
        <w:jc w:val="both"/>
        <w:rPr>
          <w:rFonts w:ascii="Arial" w:eastAsia="Calibri" w:hAnsi="Arial" w:cs="Arial"/>
          <w:lang w:val="es-ES_tradnl"/>
        </w:rPr>
      </w:pPr>
      <w:r>
        <w:rPr>
          <w:rFonts w:ascii="Arial" w:eastAsia="Calibri" w:hAnsi="Arial" w:cs="Arial"/>
          <w:lang w:val="es-ES_tradnl"/>
        </w:rPr>
        <w:tab/>
        <w:t>Por otra parte, si el fallo de responsabilidad fiscal no contiene la orden de hacer un pago, la Contraloría General de la República es quien debe excluir a la persona del boletín en los términos que señale el fallo informado por la contraloría correspondiente,</w:t>
      </w:r>
    </w:p>
    <w:p w14:paraId="36203563" w14:textId="77777777" w:rsidR="006C33D8" w:rsidRDefault="006C33D8" w:rsidP="006C33D8">
      <w:pPr>
        <w:spacing w:after="120" w:line="276" w:lineRule="auto"/>
        <w:jc w:val="both"/>
        <w:rPr>
          <w:rFonts w:ascii="Arial" w:eastAsia="Calibri" w:hAnsi="Arial" w:cs="Arial"/>
          <w:lang w:val="es-ES_tradnl"/>
        </w:rPr>
      </w:pPr>
      <w:r w:rsidRPr="000F7C19">
        <w:rPr>
          <w:rFonts w:ascii="Arial" w:eastAsia="Calibri" w:hAnsi="Arial" w:cs="Arial"/>
          <w:lang w:val="es-ES_tradnl"/>
        </w:rPr>
        <w:tab/>
      </w:r>
      <w:r>
        <w:rPr>
          <w:rFonts w:ascii="Arial" w:eastAsia="Calibri" w:hAnsi="Arial" w:cs="Arial"/>
          <w:lang w:val="es-ES_tradnl"/>
        </w:rPr>
        <w:t xml:space="preserve">Se debe tener en cuenta que la periodicidad de la expedición del boletín de responsables fiscales es trimestral, no debe afectar la cesación de la inhabilidad, puesto que como se estableció los </w:t>
      </w:r>
      <w:r w:rsidRPr="005E4929">
        <w:rPr>
          <w:rFonts w:ascii="Arial" w:eastAsia="Calibri" w:hAnsi="Arial" w:cs="Arial"/>
          <w:lang w:val="es-ES_tradnl"/>
        </w:rPr>
        <w:t>se</w:t>
      </w:r>
      <w:r>
        <w:rPr>
          <w:rFonts w:ascii="Arial" w:eastAsia="Calibri" w:hAnsi="Arial" w:cs="Arial"/>
          <w:lang w:val="es-ES_tradnl"/>
        </w:rPr>
        <w:t>rvidores públicos encargados de posesionar o contratar personas</w:t>
      </w:r>
      <w:r w:rsidRPr="005E4929">
        <w:rPr>
          <w:rFonts w:ascii="Arial" w:eastAsia="Calibri" w:hAnsi="Arial" w:cs="Arial"/>
          <w:lang w:val="es-ES_tradnl"/>
        </w:rPr>
        <w:t xml:space="preserve"> debe</w:t>
      </w:r>
      <w:r>
        <w:rPr>
          <w:rFonts w:ascii="Arial" w:eastAsia="Calibri" w:hAnsi="Arial" w:cs="Arial"/>
          <w:lang w:val="es-ES_tradnl"/>
        </w:rPr>
        <w:t>n</w:t>
      </w:r>
      <w:r w:rsidRPr="005E4929">
        <w:rPr>
          <w:rFonts w:ascii="Arial" w:eastAsia="Calibri" w:hAnsi="Arial" w:cs="Arial"/>
          <w:lang w:val="es-ES_tradnl"/>
        </w:rPr>
        <w:t xml:space="preserve"> consultar a la Contraloría General de la República sobre las futuras inclusiones de “funcionarios o contratistas en el boletín”</w:t>
      </w:r>
      <w:r>
        <w:rPr>
          <w:rFonts w:ascii="Arial" w:eastAsia="Calibri" w:hAnsi="Arial" w:cs="Arial"/>
          <w:lang w:val="es-ES_tradnl"/>
        </w:rPr>
        <w:t>, en caso de que aún no se haya expedido este</w:t>
      </w:r>
      <w:r w:rsidRPr="005E4929">
        <w:rPr>
          <w:rFonts w:ascii="Arial" w:eastAsia="Calibri" w:hAnsi="Arial" w:cs="Arial"/>
          <w:lang w:val="es-ES_tradnl"/>
        </w:rPr>
        <w:t>.</w:t>
      </w:r>
      <w:r>
        <w:rPr>
          <w:rFonts w:ascii="Arial" w:eastAsia="Calibri" w:hAnsi="Arial" w:cs="Arial"/>
          <w:lang w:val="es-ES_tradnl"/>
        </w:rPr>
        <w:t xml:space="preserve"> Por tanto, de acuerdo con el parágrafo 1 del artículo 42 de la Ley 1952 de 2019, la inhabilidad de una persona que haya sido </w:t>
      </w:r>
      <w:r>
        <w:rPr>
          <w:rFonts w:ascii="Arial" w:eastAsia="Calibri" w:hAnsi="Arial" w:cs="Arial"/>
          <w:lang w:val="es-ES_tradnl"/>
        </w:rPr>
        <w:lastRenderedPageBreak/>
        <w:t xml:space="preserve">declarado responsable fiscalmente cesa cuando la Contraloría correspondiente declare haber recibido el pago Y lo mismo ocurre cuando no es procedente la realización de un pago, ya que la </w:t>
      </w:r>
      <w:r w:rsidRPr="005E4929">
        <w:rPr>
          <w:rFonts w:ascii="Arial" w:eastAsia="Calibri" w:hAnsi="Arial" w:cs="Arial"/>
          <w:lang w:val="es-ES_tradnl"/>
        </w:rPr>
        <w:t>Contraloría General de la República</w:t>
      </w:r>
      <w:r>
        <w:rPr>
          <w:rFonts w:ascii="Arial" w:eastAsia="Calibri" w:hAnsi="Arial" w:cs="Arial"/>
          <w:lang w:val="es-ES_tradnl"/>
        </w:rPr>
        <w:t xml:space="preserve"> debe excluir a la persona cuando se cumplen cinco (5) años a partir de la ejecutoria del fallo y cesa la inhabilidad, a pesar de no haber sido expedido el boletín, debido a que los servidores públicos deben consultar a dicha entidad.</w:t>
      </w:r>
    </w:p>
    <w:p w14:paraId="62E691C3" w14:textId="2C365E20" w:rsidR="006C33D8" w:rsidRPr="006C33D8" w:rsidRDefault="006C33D8" w:rsidP="00DC0193">
      <w:pPr>
        <w:spacing w:after="120" w:line="276" w:lineRule="auto"/>
        <w:jc w:val="both"/>
        <w:rPr>
          <w:rFonts w:ascii="Arial" w:eastAsia="Calibri" w:hAnsi="Arial" w:cs="Arial"/>
          <w:lang w:val="es-ES_tradnl"/>
        </w:rPr>
      </w:pPr>
      <w:r w:rsidRPr="006C33D8">
        <w:rPr>
          <w:rFonts w:ascii="Arial" w:eastAsia="Calibri" w:hAnsi="Arial" w:cs="Arial"/>
          <w:lang w:val="es-ES_tradnl"/>
        </w:rPr>
        <w:tab/>
        <w:t>Dicha conclusión es compartida por el Consejo de Estado en su Sala de Consulta y Servicio Civil, que en concepto del 24 de abril de 201</w:t>
      </w:r>
      <w:r w:rsidR="00607AEE">
        <w:rPr>
          <w:rFonts w:ascii="Arial" w:eastAsia="Calibri" w:hAnsi="Arial" w:cs="Arial"/>
          <w:lang w:val="es-ES_tradnl"/>
        </w:rPr>
        <w:t>2</w:t>
      </w:r>
      <w:r w:rsidRPr="006C33D8">
        <w:rPr>
          <w:rFonts w:ascii="Arial" w:eastAsia="Calibri" w:hAnsi="Arial" w:cs="Arial"/>
          <w:lang w:val="es-ES_tradnl"/>
        </w:rPr>
        <w:t xml:space="preserve">, indicó:  “Como los efectos de la cesación son hacia futuro, debe entenderse que cuando la Contraloría competente declara haber recibido el pago o la Contraloría de la República excluye al responsable del boletín de responsables fiscales, la inhabilidad dejará de producir efectos hacia el futuro, y por tanto el sujeto afectado podrá aspirar al ejercicio de posteriores actividades referidas al sector público.” </w:t>
      </w:r>
      <w:r w:rsidRPr="006C33D8">
        <w:rPr>
          <w:rStyle w:val="FootnoteReference"/>
          <w:rFonts w:ascii="Arial" w:eastAsia="Calibri" w:hAnsi="Arial" w:cs="Arial"/>
          <w:lang w:val="es-ES_tradnl"/>
        </w:rPr>
        <w:footnoteReference w:id="28"/>
      </w:r>
    </w:p>
    <w:p w14:paraId="4272DC27" w14:textId="77777777" w:rsidR="006C33D8" w:rsidRDefault="006C33D8" w:rsidP="006C33D8">
      <w:pPr>
        <w:spacing w:after="0" w:line="276" w:lineRule="auto"/>
        <w:jc w:val="both"/>
        <w:rPr>
          <w:rFonts w:ascii="Arial" w:eastAsia="Calibri" w:hAnsi="Arial" w:cs="Arial"/>
          <w:b/>
          <w:bCs/>
          <w:lang w:val="es-ES_tradnl"/>
        </w:rPr>
      </w:pPr>
      <w:r w:rsidRPr="00660381">
        <w:rPr>
          <w:rFonts w:ascii="Arial" w:eastAsia="Calibri" w:hAnsi="Arial" w:cs="Arial"/>
          <w:b/>
          <w:bCs/>
          <w:lang w:val="es-ES_tradnl"/>
        </w:rPr>
        <w:t>3. Respuesta</w:t>
      </w:r>
    </w:p>
    <w:p w14:paraId="4B7496BD" w14:textId="77777777" w:rsidR="006C33D8" w:rsidRPr="00660381" w:rsidRDefault="006C33D8" w:rsidP="006C33D8">
      <w:pPr>
        <w:spacing w:after="0" w:line="276" w:lineRule="auto"/>
        <w:jc w:val="both"/>
        <w:rPr>
          <w:rFonts w:ascii="Arial" w:eastAsia="Calibri" w:hAnsi="Arial" w:cs="Arial"/>
          <w:b/>
          <w:bCs/>
          <w:lang w:val="es-ES_tradnl"/>
        </w:rPr>
      </w:pPr>
    </w:p>
    <w:p w14:paraId="52C7B0F1" w14:textId="77777777" w:rsidR="006C33D8" w:rsidRDefault="006C33D8" w:rsidP="006C33D8">
      <w:pPr>
        <w:spacing w:after="0" w:line="240" w:lineRule="auto"/>
        <w:ind w:left="709" w:right="709"/>
        <w:jc w:val="both"/>
        <w:rPr>
          <w:rFonts w:ascii="Arial" w:eastAsia="Calibri" w:hAnsi="Arial" w:cs="Arial"/>
          <w:color w:val="000000" w:themeColor="text1"/>
        </w:rPr>
      </w:pPr>
      <w:r w:rsidRPr="009C3B0F">
        <w:rPr>
          <w:rFonts w:ascii="Arial" w:eastAsia="Calibri" w:hAnsi="Arial" w:cs="Arial"/>
          <w:color w:val="000000" w:themeColor="text1"/>
          <w:lang w:val="es-ES_tradnl"/>
        </w:rPr>
        <w:t xml:space="preserve">“¿la inhabilidad para participar en procesos de selección de contratistas y contratar con el Estado cesa cuando se acredite y se declare haber recibido el pago del daño fiscal o cuando es eliminado el reporte en el Boletín de </w:t>
      </w:r>
      <w:proofErr w:type="gramStart"/>
      <w:r w:rsidRPr="009C3B0F">
        <w:rPr>
          <w:rFonts w:ascii="Arial" w:eastAsia="Calibri" w:hAnsi="Arial" w:cs="Arial"/>
          <w:color w:val="000000" w:themeColor="text1"/>
          <w:lang w:val="es-ES_tradnl"/>
        </w:rPr>
        <w:t>Responsables</w:t>
      </w:r>
      <w:proofErr w:type="gramEnd"/>
      <w:r w:rsidRPr="009C3B0F">
        <w:rPr>
          <w:rFonts w:ascii="Arial" w:eastAsia="Calibri" w:hAnsi="Arial" w:cs="Arial"/>
          <w:color w:val="000000" w:themeColor="text1"/>
          <w:lang w:val="es-ES_tradnl"/>
        </w:rPr>
        <w:t xml:space="preserve"> Fiscales y en el SIRI?” (SIC)</w:t>
      </w:r>
      <w:r>
        <w:rPr>
          <w:rFonts w:ascii="Arial" w:eastAsia="Calibri" w:hAnsi="Arial" w:cs="Arial"/>
          <w:color w:val="000000" w:themeColor="text1"/>
        </w:rPr>
        <w:t>”</w:t>
      </w:r>
      <w:r w:rsidRPr="00AE719E">
        <w:rPr>
          <w:rFonts w:ascii="Arial" w:eastAsia="Calibri" w:hAnsi="Arial" w:cs="Arial"/>
          <w:color w:val="000000" w:themeColor="text1"/>
        </w:rPr>
        <w:t>.</w:t>
      </w:r>
    </w:p>
    <w:p w14:paraId="51DBF70D" w14:textId="77777777" w:rsidR="006C33D8" w:rsidRDefault="006C33D8" w:rsidP="006C33D8">
      <w:pPr>
        <w:spacing w:after="0" w:line="240" w:lineRule="auto"/>
        <w:ind w:left="709" w:right="709"/>
        <w:jc w:val="both"/>
        <w:rPr>
          <w:rFonts w:ascii="Arial" w:eastAsia="Calibri" w:hAnsi="Arial" w:cs="Arial"/>
          <w:lang w:val="es-ES_tradnl"/>
        </w:rPr>
      </w:pPr>
    </w:p>
    <w:p w14:paraId="7EA17DF8" w14:textId="14B50D4E" w:rsidR="006C33D8" w:rsidRDefault="006C33D8" w:rsidP="006C33D8">
      <w:pPr>
        <w:spacing w:after="120" w:line="276" w:lineRule="auto"/>
        <w:jc w:val="both"/>
        <w:rPr>
          <w:rFonts w:ascii="Arial" w:eastAsia="Calibri" w:hAnsi="Arial" w:cs="Arial"/>
          <w:bCs/>
          <w:color w:val="000000" w:themeColor="text1"/>
        </w:rPr>
      </w:pPr>
      <w:r w:rsidRPr="00944C12">
        <w:rPr>
          <w:rFonts w:ascii="Arial" w:eastAsia="Calibri" w:hAnsi="Arial" w:cs="Arial"/>
          <w:bCs/>
          <w:color w:val="000000" w:themeColor="text1"/>
        </w:rPr>
        <w:t>Conforme a lo expuesto, el parágrafo 1 del artículo 42 de la Ley 1952 de 2019</w:t>
      </w:r>
      <w:r>
        <w:rPr>
          <w:rFonts w:ascii="Arial" w:eastAsia="Calibri" w:hAnsi="Arial" w:cs="Arial"/>
          <w:bCs/>
          <w:color w:val="000000" w:themeColor="text1"/>
        </w:rPr>
        <w:t xml:space="preserve"> dispone una inhabilidad para ejercer cargos públicos y para contratar con el Estado, para las personas que hayan sido declaradas responsables fiscalmente, a partir de la ejecutoria del fallo y por cinco (5) años más. No obstante, esta inhabilidad cesa en dos momentos diferentes dependiendo de lo que señale el fallo de responsabilidad fiscal, ya que, si la persona declarada responsable fiscalmente debe hacer un pago, la inhabilidad cesará cuando la contraloría correspondiente señale haber recibido el </w:t>
      </w:r>
      <w:r w:rsidR="00607AEE">
        <w:rPr>
          <w:rFonts w:ascii="Arial" w:eastAsia="Calibri" w:hAnsi="Arial" w:cs="Arial"/>
          <w:bCs/>
          <w:color w:val="000000" w:themeColor="text1"/>
        </w:rPr>
        <w:t>pago.</w:t>
      </w:r>
    </w:p>
    <w:p w14:paraId="146A818B" w14:textId="77777777" w:rsidR="006C33D8" w:rsidRDefault="006C33D8" w:rsidP="006C33D8">
      <w:pPr>
        <w:spacing w:after="120" w:line="276" w:lineRule="auto"/>
        <w:jc w:val="both"/>
        <w:rPr>
          <w:rFonts w:ascii="Arial" w:eastAsia="Calibri" w:hAnsi="Arial" w:cs="Arial"/>
          <w:bCs/>
          <w:color w:val="000000" w:themeColor="text1"/>
        </w:rPr>
      </w:pPr>
      <w:r>
        <w:rPr>
          <w:rFonts w:ascii="Arial" w:eastAsia="Calibri" w:hAnsi="Arial" w:cs="Arial"/>
          <w:bCs/>
          <w:color w:val="000000" w:themeColor="text1"/>
        </w:rPr>
        <w:tab/>
        <w:t xml:space="preserve">Por otra parte, si respecto del fallo de responsabilidad fiscal no procede un pago, </w:t>
      </w:r>
      <w:r>
        <w:rPr>
          <w:rFonts w:ascii="Arial" w:eastAsia="Calibri" w:hAnsi="Arial" w:cs="Arial"/>
          <w:lang w:val="es-ES_tradnl"/>
        </w:rPr>
        <w:t>la Contraloría General de la República es quien debe excluir a la persona del boletín en los términos que señale el fallo informado por la contraloría correspondiente, y teniendo en cuenta que la inhabilidad tiene una duración de cinco (5) años a partir de la ejecutoria del fallo. En todo caso, la periodicidad del boletín de responsables fiscales, que es trimestral, no debe afectar la cesación de la inhabilidad, ya que de acuerdo con el artículo 60 de la Ley 610 del 2000 “</w:t>
      </w:r>
      <w:r w:rsidRPr="00BA267B">
        <w:rPr>
          <w:rFonts w:ascii="Arial" w:eastAsia="Calibri" w:hAnsi="Arial" w:cs="Arial"/>
          <w:lang w:val="es-ES_tradnl"/>
        </w:rPr>
        <w:t>en el evento de no contar con esta publicación, los servidores públicos consultarán a la Contraloría General de la República sobre la inclusión de los futuros funcionarios o contratistas en el boletín</w:t>
      </w:r>
      <w:r>
        <w:rPr>
          <w:rFonts w:ascii="Arial" w:eastAsia="Calibri" w:hAnsi="Arial" w:cs="Arial"/>
          <w:lang w:val="es-ES_tradnl"/>
        </w:rPr>
        <w:t>”, lo cual no obsta para que también consulten la exclusión de personas de este</w:t>
      </w:r>
      <w:r w:rsidRPr="00BA267B">
        <w:rPr>
          <w:rFonts w:ascii="Arial" w:eastAsia="Calibri" w:hAnsi="Arial" w:cs="Arial"/>
          <w:lang w:val="es-ES_tradnl"/>
        </w:rPr>
        <w:t>.</w:t>
      </w:r>
    </w:p>
    <w:p w14:paraId="54F85B15" w14:textId="77777777" w:rsidR="006C33D8" w:rsidRPr="006D7E12" w:rsidRDefault="006C33D8" w:rsidP="006C33D8">
      <w:pPr>
        <w:spacing w:after="120" w:line="276" w:lineRule="auto"/>
        <w:ind w:firstLine="708"/>
        <w:jc w:val="both"/>
        <w:rPr>
          <w:rFonts w:ascii="Arial" w:hAnsi="Arial" w:cs="Arial"/>
          <w:lang w:val="es-ES"/>
        </w:rPr>
      </w:pPr>
      <w:r w:rsidRPr="00BC5F73">
        <w:rPr>
          <w:rFonts w:ascii="Arial" w:eastAsia="Calibri" w:hAnsi="Arial" w:cs="Arial"/>
        </w:rPr>
        <w:t>Finalmente, d</w:t>
      </w:r>
      <w:r w:rsidRPr="00BC5F73">
        <w:rPr>
          <w:rFonts w:ascii="Arial" w:eastAsia="Calibri" w:hAnsi="Arial" w:cs="Arial"/>
          <w:lang w:val="es-ES"/>
        </w:rPr>
        <w:t>entro de este marco general, teniendo en cuenta el carácter taxativo y la interpretación restrictiva de las causales, corresponderá a la entidad contratante definir si se configura alguna prohibición para celebrar contratos con el Estado</w:t>
      </w:r>
      <w:r w:rsidRPr="00BC5F73">
        <w:rPr>
          <w:rFonts w:ascii="Arial" w:hAnsi="Arial" w:cs="Arial"/>
        </w:rPr>
        <w:t xml:space="preserve">. </w:t>
      </w:r>
      <w:r w:rsidRPr="00BC5F73">
        <w:rPr>
          <w:rFonts w:ascii="Arial" w:hAnsi="Arial" w:cs="Arial"/>
          <w:lang w:val="es-ES"/>
        </w:rPr>
        <w:t xml:space="preserve">Por lo anterior, previo </w:t>
      </w:r>
      <w:r w:rsidRPr="00BC5F73">
        <w:rPr>
          <w:rFonts w:ascii="Arial" w:hAnsi="Arial" w:cs="Arial"/>
          <w:lang w:val="es-ES"/>
        </w:rPr>
        <w:lastRenderedPageBreak/>
        <w:t xml:space="preserve">concepto de sus órganos asesores, </w:t>
      </w:r>
      <w:r>
        <w:rPr>
          <w:rFonts w:ascii="Arial" w:hAnsi="Arial" w:cs="Arial"/>
          <w:lang w:val="es-ES"/>
        </w:rPr>
        <w:t xml:space="preserve">para </w:t>
      </w:r>
      <w:r w:rsidRPr="00BC5F73">
        <w:rPr>
          <w:rFonts w:ascii="Arial" w:hAnsi="Arial" w:cs="Arial"/>
          <w:lang w:val="es-ES"/>
        </w:rPr>
        <w:t>la solución de estos temas corresponde a la entidad adoptar la decisión correspondiente y, en caso de conflicto, a las autoridades judiciales, fiscales y disciplinarias. De esta manera, le corresponderá a cada entidad definir la viabilidad técnica, jurídica y financiera de adelantar alguna gestión contractual en específico.</w:t>
      </w:r>
      <w:r>
        <w:rPr>
          <w:rFonts w:ascii="Arial" w:hAnsi="Arial" w:cs="Arial"/>
          <w:lang w:val="es-ES"/>
        </w:rPr>
        <w:t xml:space="preserve"> Así mismo, se observa que en la normativa analizada no se hace referencia al SIRI (</w:t>
      </w:r>
      <w:r w:rsidRPr="00071A70">
        <w:rPr>
          <w:rFonts w:ascii="Arial" w:hAnsi="Arial" w:cs="Arial"/>
          <w:lang w:val="es-ES"/>
        </w:rPr>
        <w:t>Sistema de Información de Registro de Sanciones y Causas de Inhabilidad</w:t>
      </w:r>
      <w:r>
        <w:rPr>
          <w:rFonts w:ascii="Arial" w:hAnsi="Arial" w:cs="Arial"/>
          <w:lang w:val="es-ES"/>
        </w:rPr>
        <w:t>) de la Procuraduría General de la Nación, por lo que se recomienda consultar directamente a dicha entidad sobre el alcance del mismo respecto de inhabilidades para contratar con el Estado.</w:t>
      </w:r>
    </w:p>
    <w:p w14:paraId="56CB0733" w14:textId="77777777" w:rsidR="006C33D8" w:rsidRPr="005A1001" w:rsidRDefault="006C33D8" w:rsidP="006C33D8">
      <w:pPr>
        <w:spacing w:after="0" w:line="276" w:lineRule="auto"/>
        <w:ind w:firstLine="708"/>
        <w:jc w:val="both"/>
        <w:rPr>
          <w:rFonts w:ascii="Arial" w:eastAsia="Calibri" w:hAnsi="Arial" w:cs="Arial"/>
          <w:lang w:val="es-ES_tradnl"/>
        </w:rPr>
      </w:pPr>
      <w:r>
        <w:rPr>
          <w:rFonts w:ascii="Arial" w:hAnsi="Arial" w:cs="Arial"/>
        </w:rPr>
        <w:t xml:space="preserve"> </w:t>
      </w:r>
    </w:p>
    <w:p w14:paraId="45E00FCF" w14:textId="77777777" w:rsidR="006C33D8" w:rsidRPr="00836422" w:rsidRDefault="006C33D8" w:rsidP="006C33D8">
      <w:pPr>
        <w:spacing w:after="120" w:line="276" w:lineRule="auto"/>
        <w:jc w:val="both"/>
        <w:rPr>
          <w:rFonts w:ascii="Times New Roman" w:eastAsia="Times New Roman" w:hAnsi="Times New Roman" w:cs="Times New Roman"/>
          <w:sz w:val="24"/>
          <w:szCs w:val="24"/>
          <w:lang w:eastAsia="es-ES_tradnl"/>
        </w:rPr>
      </w:pPr>
      <w:r w:rsidRPr="00836422">
        <w:rPr>
          <w:rFonts w:ascii="Arial" w:eastAsia="Calibri" w:hAnsi="Arial" w:cs="Aria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3FCB61B3" w14:textId="77777777" w:rsidR="006C33D8" w:rsidRPr="002D0249" w:rsidRDefault="006C33D8" w:rsidP="006C33D8">
      <w:pPr>
        <w:widowControl w:val="0"/>
        <w:autoSpaceDE w:val="0"/>
        <w:autoSpaceDN w:val="0"/>
        <w:spacing w:after="0" w:line="276" w:lineRule="auto"/>
        <w:jc w:val="both"/>
        <w:rPr>
          <w:rFonts w:ascii="Arial" w:hAnsi="Arial" w:cs="Arial"/>
          <w:color w:val="000000" w:themeColor="text1"/>
          <w:lang w:bidi="es-ES"/>
        </w:rPr>
      </w:pPr>
    </w:p>
    <w:p w14:paraId="786FE046" w14:textId="77777777" w:rsidR="006C33D8" w:rsidRPr="000F4A3A" w:rsidRDefault="006C33D8" w:rsidP="006C33D8">
      <w:pPr>
        <w:tabs>
          <w:tab w:val="left" w:pos="426"/>
        </w:tabs>
        <w:spacing w:line="276" w:lineRule="auto"/>
        <w:jc w:val="both"/>
        <w:rPr>
          <w:rFonts w:ascii="Arial" w:eastAsia="Times New Roman" w:hAnsi="Arial" w:cs="Arial"/>
          <w:color w:val="000000" w:themeColor="text1"/>
        </w:rPr>
      </w:pPr>
      <w:r w:rsidRPr="000F4A3A">
        <w:rPr>
          <w:rFonts w:ascii="Arial" w:eastAsia="Times New Roman" w:hAnsi="Arial" w:cs="Arial"/>
          <w:color w:val="000000" w:themeColor="text1"/>
        </w:rPr>
        <w:t>Atentamente,</w:t>
      </w:r>
    </w:p>
    <w:p w14:paraId="76FBCBDF" w14:textId="1BCD64E9" w:rsidR="006C33D8" w:rsidRPr="00CB70D9" w:rsidRDefault="00BF4D6F" w:rsidP="006C33D8">
      <w:pPr>
        <w:jc w:val="center"/>
        <w:rPr>
          <w:rFonts w:ascii="Arial" w:eastAsia="Times New Roman" w:hAnsi="Arial" w:cs="Arial"/>
          <w:lang w:eastAsia="es-CO"/>
        </w:rPr>
      </w:pPr>
      <w:r>
        <w:rPr>
          <w:noProof/>
        </w:rPr>
        <w:drawing>
          <wp:inline distT="0" distB="0" distL="0" distR="0" wp14:anchorId="71CC9835" wp14:editId="50F81812">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6C33D8" w:rsidRPr="003F5F71" w14:paraId="215815CD" w14:textId="77777777" w:rsidTr="00806471">
        <w:trPr>
          <w:trHeight w:val="409"/>
        </w:trPr>
        <w:tc>
          <w:tcPr>
            <w:tcW w:w="817" w:type="dxa"/>
            <w:tcBorders>
              <w:top w:val="nil"/>
              <w:left w:val="nil"/>
              <w:bottom w:val="nil"/>
              <w:right w:val="nil"/>
            </w:tcBorders>
            <w:vAlign w:val="center"/>
            <w:hideMark/>
          </w:tcPr>
          <w:p w14:paraId="34C92053" w14:textId="77777777" w:rsidR="006C33D8" w:rsidRPr="009C1F1A" w:rsidRDefault="006C33D8" w:rsidP="00806471">
            <w:pPr>
              <w:spacing w:after="0" w:line="240" w:lineRule="auto"/>
              <w:jc w:val="both"/>
              <w:rPr>
                <w:rFonts w:ascii="Arial" w:hAnsi="Arial" w:cs="Arial"/>
                <w:sz w:val="16"/>
                <w:szCs w:val="16"/>
              </w:rPr>
            </w:pPr>
            <w:r w:rsidRPr="009C1F1A">
              <w:rPr>
                <w:rFonts w:ascii="Arial" w:hAnsi="Arial"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22E9E2CD" w14:textId="77777777" w:rsidR="006C33D8" w:rsidRPr="009C1F1A" w:rsidRDefault="006C33D8" w:rsidP="00806471">
            <w:pPr>
              <w:spacing w:after="0" w:line="240" w:lineRule="auto"/>
              <w:jc w:val="both"/>
              <w:rPr>
                <w:rFonts w:ascii="Arial" w:hAnsi="Arial" w:cs="Arial"/>
                <w:sz w:val="16"/>
                <w:szCs w:val="16"/>
              </w:rPr>
            </w:pPr>
            <w:r>
              <w:rPr>
                <w:rFonts w:ascii="Arial" w:hAnsi="Arial" w:cs="Arial"/>
                <w:sz w:val="16"/>
                <w:szCs w:val="16"/>
              </w:rPr>
              <w:t>Ximena Ríos López</w:t>
            </w:r>
          </w:p>
          <w:p w14:paraId="01AE935D" w14:textId="77777777" w:rsidR="006C33D8" w:rsidRPr="009C1F1A" w:rsidRDefault="006C33D8" w:rsidP="00806471">
            <w:pPr>
              <w:spacing w:after="0" w:line="240" w:lineRule="auto"/>
              <w:jc w:val="both"/>
              <w:rPr>
                <w:rFonts w:ascii="Arial" w:hAnsi="Arial" w:cs="Arial"/>
                <w:sz w:val="16"/>
                <w:szCs w:val="16"/>
              </w:rPr>
            </w:pPr>
            <w:r w:rsidRPr="40C62BE1">
              <w:rPr>
                <w:rFonts w:ascii="Arial" w:hAnsi="Arial" w:cs="Arial"/>
                <w:sz w:val="16"/>
                <w:szCs w:val="16"/>
              </w:rPr>
              <w:t>Gestor T1 ‒ 1</w:t>
            </w:r>
            <w:r>
              <w:rPr>
                <w:rFonts w:ascii="Arial" w:hAnsi="Arial" w:cs="Arial"/>
                <w:sz w:val="16"/>
                <w:szCs w:val="16"/>
              </w:rPr>
              <w:t xml:space="preserve">1 </w:t>
            </w:r>
            <w:r w:rsidRPr="009C1F1A">
              <w:rPr>
                <w:rFonts w:ascii="Arial" w:hAnsi="Arial" w:cs="Arial"/>
                <w:sz w:val="16"/>
                <w:szCs w:val="16"/>
              </w:rPr>
              <w:t>de la Subdirección de Gestión Contractual</w:t>
            </w:r>
          </w:p>
        </w:tc>
      </w:tr>
      <w:tr w:rsidR="006C33D8" w:rsidRPr="003F5F71" w14:paraId="32682FA8" w14:textId="77777777" w:rsidTr="00806471">
        <w:trPr>
          <w:trHeight w:val="409"/>
        </w:trPr>
        <w:tc>
          <w:tcPr>
            <w:tcW w:w="817" w:type="dxa"/>
            <w:tcBorders>
              <w:top w:val="nil"/>
              <w:left w:val="nil"/>
              <w:right w:val="nil"/>
            </w:tcBorders>
            <w:vAlign w:val="center"/>
          </w:tcPr>
          <w:p w14:paraId="4B492A19" w14:textId="77777777" w:rsidR="006C33D8" w:rsidRPr="1CF3ADA9" w:rsidRDefault="006C33D8" w:rsidP="00806471">
            <w:pPr>
              <w:jc w:val="both"/>
              <w:rPr>
                <w:rFonts w:ascii="Arial" w:hAnsi="Arial" w:cs="Arial"/>
                <w:sz w:val="16"/>
                <w:szCs w:val="16"/>
              </w:rPr>
            </w:pPr>
            <w:r w:rsidRPr="1CF3ADA9">
              <w:rPr>
                <w:rFonts w:ascii="Arial" w:hAnsi="Arial"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50E0DCA5" w14:textId="77777777" w:rsidR="006C33D8" w:rsidRPr="009C1F1A" w:rsidRDefault="006C33D8" w:rsidP="00806471">
            <w:pPr>
              <w:spacing w:after="0" w:line="240" w:lineRule="auto"/>
              <w:jc w:val="both"/>
              <w:rPr>
                <w:rFonts w:ascii="Arial" w:hAnsi="Arial" w:cs="Arial"/>
                <w:sz w:val="16"/>
                <w:szCs w:val="16"/>
              </w:rPr>
            </w:pPr>
            <w:r>
              <w:rPr>
                <w:rFonts w:ascii="Arial" w:hAnsi="Arial" w:cs="Arial"/>
                <w:sz w:val="16"/>
                <w:szCs w:val="16"/>
              </w:rPr>
              <w:t>Alejandro Sarmiento Cantillo</w:t>
            </w:r>
          </w:p>
          <w:p w14:paraId="5D7D7E6E" w14:textId="77777777" w:rsidR="006C33D8" w:rsidRPr="009C1F1A" w:rsidRDefault="006C33D8" w:rsidP="00806471">
            <w:pPr>
              <w:spacing w:after="0" w:line="240" w:lineRule="auto"/>
              <w:jc w:val="both"/>
              <w:rPr>
                <w:rFonts w:ascii="Arial" w:hAnsi="Arial" w:cs="Arial"/>
                <w:sz w:val="16"/>
                <w:szCs w:val="16"/>
              </w:rPr>
            </w:pPr>
            <w:r w:rsidRPr="40C62BE1">
              <w:rPr>
                <w:rFonts w:ascii="Arial" w:hAnsi="Arial" w:cs="Arial"/>
                <w:sz w:val="16"/>
                <w:szCs w:val="16"/>
              </w:rPr>
              <w:t>Gestor T1 ‒ 15 de la Subdirección de Gestión Contractual</w:t>
            </w:r>
          </w:p>
        </w:tc>
      </w:tr>
      <w:tr w:rsidR="006C33D8" w:rsidRPr="003F5F71" w14:paraId="1F216CD9" w14:textId="77777777" w:rsidTr="00806471">
        <w:trPr>
          <w:trHeight w:val="389"/>
        </w:trPr>
        <w:tc>
          <w:tcPr>
            <w:tcW w:w="817" w:type="dxa"/>
            <w:tcBorders>
              <w:top w:val="nil"/>
              <w:left w:val="nil"/>
              <w:bottom w:val="nil"/>
              <w:right w:val="nil"/>
            </w:tcBorders>
            <w:vAlign w:val="center"/>
            <w:hideMark/>
          </w:tcPr>
          <w:p w14:paraId="61F916DF" w14:textId="77777777" w:rsidR="006C33D8" w:rsidRPr="009C1F1A" w:rsidRDefault="006C33D8" w:rsidP="00806471">
            <w:pPr>
              <w:spacing w:after="0" w:line="240" w:lineRule="auto"/>
              <w:jc w:val="both"/>
              <w:rPr>
                <w:rFonts w:ascii="Arial" w:hAnsi="Arial" w:cs="Arial"/>
                <w:sz w:val="16"/>
                <w:szCs w:val="16"/>
              </w:rPr>
            </w:pPr>
            <w:r w:rsidRPr="009C1F1A">
              <w:rPr>
                <w:rFonts w:ascii="Arial" w:hAnsi="Arial"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2BEF56DC" w14:textId="77777777" w:rsidR="006C33D8" w:rsidRPr="009C1F1A" w:rsidRDefault="006C33D8" w:rsidP="00806471">
            <w:pPr>
              <w:spacing w:after="0" w:line="240" w:lineRule="auto"/>
              <w:jc w:val="both"/>
              <w:rPr>
                <w:rFonts w:ascii="Arial" w:hAnsi="Arial" w:cs="Arial"/>
                <w:sz w:val="16"/>
                <w:szCs w:val="16"/>
              </w:rPr>
            </w:pPr>
            <w:r w:rsidRPr="009C1F1A">
              <w:rPr>
                <w:rFonts w:ascii="Arial" w:hAnsi="Arial" w:cs="Arial"/>
                <w:sz w:val="16"/>
                <w:szCs w:val="16"/>
              </w:rPr>
              <w:t xml:space="preserve">Nohelia del Carmen </w:t>
            </w:r>
            <w:proofErr w:type="spellStart"/>
            <w:r w:rsidRPr="009C1F1A">
              <w:rPr>
                <w:rFonts w:ascii="Arial" w:hAnsi="Arial" w:cs="Arial"/>
                <w:sz w:val="16"/>
                <w:szCs w:val="16"/>
              </w:rPr>
              <w:t>Zawady</w:t>
            </w:r>
            <w:proofErr w:type="spellEnd"/>
            <w:r w:rsidRPr="009C1F1A">
              <w:rPr>
                <w:rFonts w:ascii="Arial" w:hAnsi="Arial" w:cs="Arial"/>
                <w:sz w:val="16"/>
                <w:szCs w:val="16"/>
              </w:rPr>
              <w:t xml:space="preserve"> Palacio</w:t>
            </w:r>
          </w:p>
          <w:p w14:paraId="17E3F457" w14:textId="77777777" w:rsidR="006C33D8" w:rsidRPr="009C1F1A" w:rsidRDefault="006C33D8" w:rsidP="00806471">
            <w:pPr>
              <w:spacing w:after="0" w:line="240" w:lineRule="auto"/>
              <w:jc w:val="both"/>
              <w:rPr>
                <w:rFonts w:ascii="Arial" w:hAnsi="Arial" w:cs="Arial"/>
                <w:sz w:val="16"/>
                <w:szCs w:val="16"/>
              </w:rPr>
            </w:pPr>
            <w:r w:rsidRPr="009C1F1A">
              <w:rPr>
                <w:rFonts w:ascii="Arial" w:hAnsi="Arial" w:cs="Arial"/>
                <w:sz w:val="16"/>
                <w:szCs w:val="16"/>
              </w:rPr>
              <w:t>Subdirectora de Gestión Contractual ANCP - CCE</w:t>
            </w:r>
          </w:p>
        </w:tc>
      </w:tr>
    </w:tbl>
    <w:p w14:paraId="60597FFF" w14:textId="77777777" w:rsidR="006C33D8" w:rsidRPr="006219F8" w:rsidRDefault="006C33D8" w:rsidP="006C33D8">
      <w:pPr>
        <w:tabs>
          <w:tab w:val="left" w:pos="0"/>
        </w:tabs>
        <w:spacing w:line="276" w:lineRule="auto"/>
        <w:contextualSpacing/>
        <w:jc w:val="both"/>
        <w:rPr>
          <w:lang w:val="es-MX"/>
        </w:rPr>
      </w:pPr>
    </w:p>
    <w:bookmarkEnd w:id="2"/>
    <w:p w14:paraId="15563806" w14:textId="21073398" w:rsidR="006219F8" w:rsidRPr="00DB3754" w:rsidRDefault="006219F8" w:rsidP="00526E9D">
      <w:pPr>
        <w:rPr>
          <w:rFonts w:ascii="Arial Nova" w:hAnsi="Arial Nova"/>
          <w:color w:val="000000" w:themeColor="text1"/>
          <w:lang w:val="es-MX"/>
        </w:rPr>
      </w:pPr>
    </w:p>
    <w:sectPr w:rsidR="006219F8" w:rsidRPr="00DB3754"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DB33E" w14:textId="77777777" w:rsidR="003C013B" w:rsidRDefault="003C013B" w:rsidP="004A1847">
      <w:pPr>
        <w:spacing w:after="0" w:line="240" w:lineRule="auto"/>
      </w:pPr>
      <w:r>
        <w:separator/>
      </w:r>
    </w:p>
  </w:endnote>
  <w:endnote w:type="continuationSeparator" w:id="0">
    <w:p w14:paraId="4E7950E1" w14:textId="77777777" w:rsidR="003C013B" w:rsidRDefault="003C013B" w:rsidP="004A1847">
      <w:pPr>
        <w:spacing w:after="0" w:line="240" w:lineRule="auto"/>
      </w:pPr>
      <w:r>
        <w:continuationSeparator/>
      </w:r>
    </w:p>
  </w:endnote>
  <w:endnote w:type="continuationNotice" w:id="1">
    <w:p w14:paraId="4583F2AA" w14:textId="77777777" w:rsidR="00DF1E43" w:rsidRDefault="00DF1E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Arial Nova">
    <w:altName w:val="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Footer"/>
    </w:pPr>
    <w:r>
      <w:rPr>
        <w:noProof/>
      </w:rPr>
      <w:drawing>
        <wp:inline distT="0" distB="0" distL="0" distR="0" wp14:anchorId="1F77499E" wp14:editId="160C643E">
          <wp:extent cx="5742143" cy="892175"/>
          <wp:effectExtent l="0" t="0" r="0" b="3175"/>
          <wp:docPr id="4" name="Picture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eGrid"/>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Footer"/>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Footer"/>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Footer"/>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Footer"/>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Footer"/>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Footer"/>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E2E9C" w14:textId="77777777" w:rsidR="003C013B" w:rsidRDefault="003C013B" w:rsidP="004A1847">
      <w:pPr>
        <w:spacing w:after="0" w:line="240" w:lineRule="auto"/>
      </w:pPr>
      <w:r>
        <w:separator/>
      </w:r>
    </w:p>
  </w:footnote>
  <w:footnote w:type="continuationSeparator" w:id="0">
    <w:p w14:paraId="169C78EC" w14:textId="77777777" w:rsidR="003C013B" w:rsidRDefault="003C013B" w:rsidP="004A1847">
      <w:pPr>
        <w:spacing w:after="0" w:line="240" w:lineRule="auto"/>
      </w:pPr>
      <w:r>
        <w:continuationSeparator/>
      </w:r>
    </w:p>
  </w:footnote>
  <w:footnote w:type="continuationNotice" w:id="1">
    <w:p w14:paraId="6B27526D" w14:textId="77777777" w:rsidR="00DF1E43" w:rsidRDefault="00DF1E43">
      <w:pPr>
        <w:spacing w:after="0" w:line="240" w:lineRule="auto"/>
      </w:pPr>
    </w:p>
  </w:footnote>
  <w:footnote w:id="2">
    <w:p w14:paraId="195E0073" w14:textId="77777777" w:rsidR="00DB3754" w:rsidRPr="00210839" w:rsidRDefault="00DB3754" w:rsidP="00DB3754">
      <w:pPr>
        <w:pStyle w:val="FootnoteText"/>
        <w:ind w:firstLine="708"/>
        <w:jc w:val="both"/>
        <w:rPr>
          <w:rFonts w:ascii="Arial" w:hAnsi="Arial" w:cs="Arial"/>
          <w:sz w:val="10"/>
          <w:szCs w:val="10"/>
        </w:rPr>
      </w:pPr>
      <w:r w:rsidRPr="00210839">
        <w:rPr>
          <w:rStyle w:val="FootnoteReference"/>
          <w:rFonts w:ascii="Arial" w:hAnsi="Arial" w:cs="Arial"/>
          <w:sz w:val="10"/>
          <w:szCs w:val="10"/>
        </w:rPr>
        <w:footnoteRef/>
      </w:r>
      <w:r w:rsidRPr="00210839">
        <w:rPr>
          <w:rFonts w:ascii="Arial" w:hAnsi="Arial" w:cs="Arial"/>
          <w:sz w:val="10"/>
          <w:szCs w:val="10"/>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210839">
        <w:rPr>
          <w:rFonts w:ascii="Arial" w:hAnsi="Arial" w:cs="Arial"/>
          <w:i/>
          <w:iCs/>
          <w:sz w:val="10"/>
          <w:szCs w:val="10"/>
        </w:rPr>
        <w:t xml:space="preserve">ibidem </w:t>
      </w:r>
      <w:r w:rsidRPr="00210839">
        <w:rPr>
          <w:rFonts w:ascii="Arial" w:hAnsi="Arial" w:cs="Arial"/>
          <w:sz w:val="10"/>
          <w:szCs w:val="10"/>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4643FE63" w14:textId="77777777" w:rsidR="00DB3754" w:rsidRPr="00210839" w:rsidRDefault="00DB3754" w:rsidP="00DB3754">
      <w:pPr>
        <w:pStyle w:val="FootnoteText"/>
        <w:ind w:firstLine="708"/>
        <w:jc w:val="both"/>
        <w:rPr>
          <w:rFonts w:ascii="Arial" w:hAnsi="Arial" w:cs="Arial"/>
          <w:sz w:val="10"/>
          <w:szCs w:val="10"/>
          <w:lang w:val="es-ES"/>
        </w:rPr>
      </w:pPr>
    </w:p>
  </w:footnote>
  <w:footnote w:id="3">
    <w:p w14:paraId="39830829" w14:textId="77777777" w:rsidR="00DB3754" w:rsidRPr="00210839" w:rsidRDefault="00DB3754" w:rsidP="00DB3754">
      <w:pPr>
        <w:pStyle w:val="FootnoteText"/>
        <w:ind w:firstLine="709"/>
        <w:jc w:val="both"/>
        <w:rPr>
          <w:rFonts w:ascii="Arial" w:hAnsi="Arial" w:cs="Arial"/>
          <w:sz w:val="10"/>
          <w:szCs w:val="10"/>
          <w:shd w:val="clear" w:color="auto" w:fill="E6E6E6"/>
        </w:rPr>
      </w:pPr>
      <w:r w:rsidRPr="00210839">
        <w:rPr>
          <w:rStyle w:val="FootnoteReference"/>
          <w:rFonts w:ascii="Arial" w:hAnsi="Arial" w:cs="Arial"/>
          <w:sz w:val="10"/>
          <w:szCs w:val="10"/>
        </w:rPr>
        <w:footnoteRef/>
      </w:r>
      <w:r w:rsidRPr="00210839">
        <w:rPr>
          <w:rFonts w:ascii="Arial" w:hAnsi="Arial" w:cs="Arial"/>
          <w:sz w:val="10"/>
          <w:szCs w:val="10"/>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210839">
          <w:rPr>
            <w:rStyle w:val="Hyperlink"/>
            <w:rFonts w:ascii="Arial" w:hAnsi="Arial" w:cs="Arial"/>
            <w:sz w:val="10"/>
            <w:szCs w:val="10"/>
          </w:rPr>
          <w:t>https://relatoria.colombiacompra.gov.co/busqueda/conceptos</w:t>
        </w:r>
      </w:hyperlink>
      <w:r w:rsidRPr="00210839">
        <w:rPr>
          <w:rStyle w:val="Hyperlink"/>
          <w:rFonts w:ascii="Arial" w:hAnsi="Arial" w:cs="Arial"/>
          <w:color w:val="auto"/>
          <w:sz w:val="10"/>
          <w:szCs w:val="10"/>
        </w:rPr>
        <w:t xml:space="preserve">. </w:t>
      </w:r>
      <w:r w:rsidRPr="00210839">
        <w:rPr>
          <w:rFonts w:ascii="Arial" w:hAnsi="Arial" w:cs="Arial"/>
          <w:sz w:val="10"/>
          <w:szCs w:val="10"/>
          <w:shd w:val="clear" w:color="auto" w:fill="E6E6E6"/>
        </w:rPr>
        <w:t xml:space="preserve"> </w:t>
      </w:r>
    </w:p>
    <w:p w14:paraId="72DCF1D2" w14:textId="77777777" w:rsidR="00DB3754" w:rsidRPr="00210839" w:rsidRDefault="00DB3754" w:rsidP="00DB3754">
      <w:pPr>
        <w:pStyle w:val="FootnoteText"/>
        <w:ind w:firstLine="709"/>
        <w:jc w:val="both"/>
        <w:rPr>
          <w:rFonts w:ascii="Arial" w:hAnsi="Arial" w:cs="Arial"/>
          <w:sz w:val="10"/>
          <w:szCs w:val="10"/>
        </w:rPr>
      </w:pPr>
    </w:p>
  </w:footnote>
  <w:footnote w:id="4">
    <w:p w14:paraId="2135F8D5" w14:textId="77777777" w:rsidR="00DB3754" w:rsidRPr="00210839" w:rsidRDefault="00DB3754" w:rsidP="00DB3754">
      <w:pPr>
        <w:pStyle w:val="FootnoteText"/>
        <w:ind w:firstLine="709"/>
        <w:jc w:val="both"/>
        <w:rPr>
          <w:rFonts w:ascii="Arial" w:hAnsi="Arial" w:cs="Arial"/>
          <w:sz w:val="10"/>
          <w:szCs w:val="10"/>
          <w:lang w:val="es-ES_tradnl"/>
        </w:rPr>
      </w:pPr>
      <w:r w:rsidRPr="00210839">
        <w:rPr>
          <w:rStyle w:val="FootnoteReference"/>
          <w:rFonts w:ascii="Arial" w:hAnsi="Arial" w:cs="Arial"/>
          <w:sz w:val="10"/>
          <w:szCs w:val="10"/>
        </w:rPr>
        <w:footnoteRef/>
      </w:r>
      <w:r w:rsidRPr="00210839">
        <w:rPr>
          <w:rFonts w:ascii="Arial" w:hAnsi="Arial" w:cs="Arial"/>
          <w:sz w:val="10"/>
          <w:szCs w:val="10"/>
        </w:rPr>
        <w:t xml:space="preserve"> </w:t>
      </w:r>
      <w:r w:rsidRPr="00210839">
        <w:rPr>
          <w:rFonts w:ascii="Arial" w:hAnsi="Arial" w:cs="Arial"/>
          <w:sz w:val="10"/>
          <w:szCs w:val="10"/>
          <w:lang w:val="pt-BR"/>
        </w:rPr>
        <w:t>CORTE CONSTITUCIONAL. Sentencia C-1016 de 2012. M.P. Jorge Iván Palacio.</w:t>
      </w:r>
    </w:p>
  </w:footnote>
  <w:footnote w:id="5">
    <w:p w14:paraId="2E97BA74" w14:textId="77777777" w:rsidR="00DB3754" w:rsidRPr="00210839" w:rsidRDefault="00DB3754" w:rsidP="00DB3754">
      <w:pPr>
        <w:pStyle w:val="FootnoteText"/>
        <w:ind w:firstLine="709"/>
        <w:jc w:val="both"/>
        <w:rPr>
          <w:rFonts w:ascii="Arial" w:hAnsi="Arial" w:cs="Arial"/>
          <w:sz w:val="10"/>
          <w:szCs w:val="10"/>
          <w:lang w:val="pt-BR"/>
        </w:rPr>
      </w:pPr>
      <w:r w:rsidRPr="00210839">
        <w:rPr>
          <w:rStyle w:val="FootnoteReference"/>
          <w:rFonts w:ascii="Arial" w:hAnsi="Arial" w:cs="Arial"/>
          <w:sz w:val="10"/>
          <w:szCs w:val="10"/>
        </w:rPr>
        <w:footnoteRef/>
      </w:r>
      <w:r w:rsidRPr="00210839">
        <w:rPr>
          <w:rFonts w:ascii="Arial" w:hAnsi="Arial" w:cs="Arial"/>
          <w:sz w:val="10"/>
          <w:szCs w:val="10"/>
        </w:rPr>
        <w:t xml:space="preserve"> CONSEJO DE ESTADO. Sección Tercera. Subsección A. Sentencia del 13 de noviembre de 2013. </w:t>
      </w:r>
      <w:r w:rsidRPr="00210839">
        <w:rPr>
          <w:rFonts w:ascii="Arial" w:hAnsi="Arial" w:cs="Arial"/>
          <w:sz w:val="10"/>
          <w:szCs w:val="10"/>
          <w:lang w:val="pt-BR"/>
        </w:rPr>
        <w:t xml:space="preserve">Rad. 25.646. C.P. Mauricio Fajardo Gómez.  </w:t>
      </w:r>
    </w:p>
    <w:p w14:paraId="0DD8BB07" w14:textId="77777777" w:rsidR="00DB3754" w:rsidRPr="00210839" w:rsidRDefault="00DB3754" w:rsidP="00DB3754">
      <w:pPr>
        <w:pStyle w:val="FootnoteText"/>
        <w:ind w:firstLine="709"/>
        <w:jc w:val="both"/>
        <w:rPr>
          <w:rFonts w:ascii="Arial" w:hAnsi="Arial" w:cs="Arial"/>
          <w:sz w:val="10"/>
          <w:szCs w:val="10"/>
          <w:lang w:val="es-ES_tradnl"/>
        </w:rPr>
      </w:pPr>
    </w:p>
  </w:footnote>
  <w:footnote w:id="6">
    <w:p w14:paraId="4E8BA893" w14:textId="77777777" w:rsidR="00DB3754" w:rsidRPr="00210839" w:rsidRDefault="00DB3754" w:rsidP="00DB3754">
      <w:pPr>
        <w:pStyle w:val="FootnoteText"/>
        <w:ind w:firstLine="709"/>
        <w:jc w:val="both"/>
        <w:rPr>
          <w:rFonts w:ascii="Arial" w:hAnsi="Arial" w:cs="Arial"/>
          <w:sz w:val="10"/>
          <w:szCs w:val="10"/>
          <w:lang w:val="es-ES_tradnl"/>
        </w:rPr>
      </w:pPr>
      <w:r w:rsidRPr="00210839">
        <w:rPr>
          <w:rStyle w:val="FootnoteReference"/>
          <w:rFonts w:ascii="Arial" w:hAnsi="Arial" w:cs="Arial"/>
          <w:sz w:val="10"/>
          <w:szCs w:val="10"/>
        </w:rPr>
        <w:footnoteRef/>
      </w:r>
      <w:r w:rsidRPr="00210839">
        <w:rPr>
          <w:rFonts w:ascii="Arial" w:hAnsi="Arial" w:cs="Arial"/>
          <w:sz w:val="10"/>
          <w:szCs w:val="10"/>
        </w:rPr>
        <w:t xml:space="preserve"> </w:t>
      </w:r>
      <w:r w:rsidRPr="00210839">
        <w:rPr>
          <w:rFonts w:ascii="Arial" w:hAnsi="Arial" w:cs="Arial"/>
          <w:sz w:val="10"/>
          <w:szCs w:val="10"/>
          <w:lang w:val="pt-BR"/>
        </w:rPr>
        <w:t>CORTE CONSTITUCIONAL. Sentencia C-415 de 1994. M.P. Eduardo Cifuentes Muñoz.</w:t>
      </w:r>
    </w:p>
  </w:footnote>
  <w:footnote w:id="7">
    <w:p w14:paraId="5ECEEF9C" w14:textId="77777777" w:rsidR="00DB3754" w:rsidRPr="00210839" w:rsidRDefault="00DB3754" w:rsidP="00DB3754">
      <w:pPr>
        <w:pStyle w:val="FootnoteText"/>
        <w:ind w:firstLine="709"/>
        <w:jc w:val="both"/>
        <w:rPr>
          <w:rFonts w:ascii="Arial" w:hAnsi="Arial" w:cs="Arial"/>
          <w:sz w:val="10"/>
          <w:szCs w:val="10"/>
          <w:lang w:val="pt-BR"/>
        </w:rPr>
      </w:pPr>
      <w:r w:rsidRPr="00210839">
        <w:rPr>
          <w:rStyle w:val="FootnoteReference"/>
          <w:rFonts w:ascii="Arial" w:hAnsi="Arial" w:cs="Arial"/>
          <w:sz w:val="10"/>
          <w:szCs w:val="10"/>
        </w:rPr>
        <w:footnoteRef/>
      </w:r>
      <w:r w:rsidRPr="00210839">
        <w:rPr>
          <w:rFonts w:ascii="Arial" w:hAnsi="Arial" w:cs="Arial"/>
          <w:sz w:val="10"/>
          <w:szCs w:val="10"/>
        </w:rPr>
        <w:t xml:space="preserve"> </w:t>
      </w:r>
      <w:r w:rsidRPr="00210839">
        <w:rPr>
          <w:rFonts w:ascii="Arial" w:hAnsi="Arial" w:cs="Arial"/>
          <w:sz w:val="10"/>
          <w:szCs w:val="10"/>
          <w:lang w:val="pt-BR"/>
        </w:rPr>
        <w:t>Ibídem.</w:t>
      </w:r>
    </w:p>
    <w:p w14:paraId="43CB1634" w14:textId="77777777" w:rsidR="00DB3754" w:rsidRPr="00210839" w:rsidRDefault="00DB3754" w:rsidP="00DB3754">
      <w:pPr>
        <w:pStyle w:val="FootnoteText"/>
        <w:ind w:firstLine="709"/>
        <w:jc w:val="both"/>
        <w:rPr>
          <w:rFonts w:ascii="Arial" w:hAnsi="Arial" w:cs="Arial"/>
          <w:sz w:val="10"/>
          <w:szCs w:val="10"/>
          <w:lang w:val="pt-BR"/>
        </w:rPr>
      </w:pPr>
    </w:p>
  </w:footnote>
  <w:footnote w:id="8">
    <w:p w14:paraId="611F9D42" w14:textId="77777777" w:rsidR="00DB3754" w:rsidRPr="00210839" w:rsidRDefault="00DB3754" w:rsidP="00DB3754">
      <w:pPr>
        <w:pStyle w:val="FootnoteText"/>
        <w:ind w:firstLine="709"/>
        <w:jc w:val="both"/>
        <w:rPr>
          <w:rFonts w:ascii="Arial" w:hAnsi="Arial" w:cs="Arial"/>
          <w:sz w:val="10"/>
          <w:szCs w:val="10"/>
          <w:lang w:val="es-CO"/>
        </w:rPr>
      </w:pPr>
      <w:r w:rsidRPr="00210839">
        <w:rPr>
          <w:rStyle w:val="FootnoteReference"/>
          <w:rFonts w:ascii="Arial" w:hAnsi="Arial" w:cs="Arial"/>
          <w:sz w:val="10"/>
          <w:szCs w:val="10"/>
        </w:rPr>
        <w:footnoteRef/>
      </w:r>
      <w:r w:rsidRPr="00210839">
        <w:rPr>
          <w:rFonts w:ascii="Arial" w:hAnsi="Arial" w:cs="Arial"/>
          <w:sz w:val="10"/>
          <w:szCs w:val="10"/>
        </w:rPr>
        <w:t xml:space="preserve"> </w:t>
      </w:r>
      <w:r w:rsidRPr="00210839">
        <w:rPr>
          <w:rFonts w:ascii="Arial" w:hAnsi="Arial" w:cs="Arial"/>
          <w:sz w:val="10"/>
          <w:szCs w:val="10"/>
          <w:lang w:val="pt-BR"/>
        </w:rPr>
        <w:t xml:space="preserve">CORTE CONSTITUCIONAL. </w:t>
      </w:r>
      <w:r w:rsidRPr="00210839">
        <w:rPr>
          <w:rFonts w:ascii="Arial" w:hAnsi="Arial" w:cs="Arial"/>
          <w:sz w:val="10"/>
          <w:szCs w:val="10"/>
        </w:rPr>
        <w:t xml:space="preserve">Sentencia C-780 de 2001. </w:t>
      </w:r>
      <w:r w:rsidRPr="00210839">
        <w:rPr>
          <w:rFonts w:ascii="Arial" w:hAnsi="Arial" w:cs="Arial"/>
          <w:sz w:val="10"/>
          <w:szCs w:val="10"/>
          <w:lang w:val="es-CO"/>
        </w:rPr>
        <w:t xml:space="preserve">M.P. Jaime Córdoba Triviño. </w:t>
      </w:r>
    </w:p>
  </w:footnote>
  <w:footnote w:id="9">
    <w:p w14:paraId="14E0DB0D" w14:textId="77777777" w:rsidR="00DB3754" w:rsidRPr="00210839" w:rsidRDefault="00DB3754" w:rsidP="00DB3754">
      <w:pPr>
        <w:pStyle w:val="NormalWeb"/>
        <w:spacing w:before="0" w:beforeAutospacing="0" w:after="0" w:afterAutospacing="0"/>
        <w:ind w:firstLine="709"/>
        <w:jc w:val="both"/>
        <w:rPr>
          <w:rFonts w:ascii="Arial" w:hAnsi="Arial" w:cs="Arial"/>
          <w:sz w:val="10"/>
          <w:szCs w:val="10"/>
        </w:rPr>
      </w:pPr>
    </w:p>
    <w:p w14:paraId="11402EAF" w14:textId="77777777" w:rsidR="00DB3754" w:rsidRPr="00210839" w:rsidRDefault="00DB3754" w:rsidP="00DB3754">
      <w:pPr>
        <w:pStyle w:val="NormalWeb"/>
        <w:spacing w:before="0" w:beforeAutospacing="0" w:after="0" w:afterAutospacing="0"/>
        <w:ind w:firstLine="709"/>
        <w:jc w:val="both"/>
        <w:rPr>
          <w:rFonts w:ascii="Arial" w:eastAsiaTheme="minorHAnsi" w:hAnsi="Arial" w:cs="Arial"/>
          <w:sz w:val="10"/>
          <w:szCs w:val="10"/>
          <w:lang w:val="es-ES" w:eastAsia="en-US"/>
        </w:rPr>
      </w:pPr>
      <w:r w:rsidRPr="00210839">
        <w:rPr>
          <w:rStyle w:val="FootnoteReference"/>
          <w:rFonts w:ascii="Arial" w:hAnsi="Arial" w:cs="Arial"/>
          <w:sz w:val="10"/>
          <w:szCs w:val="10"/>
        </w:rPr>
        <w:footnoteRef/>
      </w:r>
      <w:r w:rsidRPr="00210839">
        <w:rPr>
          <w:rFonts w:ascii="Arial" w:hAnsi="Arial" w:cs="Arial"/>
          <w:sz w:val="10"/>
          <w:szCs w:val="10"/>
        </w:rPr>
        <w:t xml:space="preserve"> </w:t>
      </w:r>
      <w:r w:rsidRPr="00210839">
        <w:rPr>
          <w:rFonts w:ascii="Arial" w:eastAsiaTheme="minorHAnsi" w:hAnsi="Arial" w:cs="Arial"/>
          <w:sz w:val="10"/>
          <w:szCs w:val="10"/>
          <w:lang w:val="es-ES" w:eastAsia="en-US"/>
        </w:rPr>
        <w:t>Ley 80 de 1993: “Artículo 8: 1o. Son inhábiles para participar en licitaciones o concursos y para celebrar contratos con las entidades estatales: </w:t>
      </w:r>
    </w:p>
    <w:p w14:paraId="664BA273" w14:textId="77777777" w:rsidR="00DB3754" w:rsidRPr="00210839" w:rsidRDefault="00DB3754" w:rsidP="00DB3754">
      <w:pPr>
        <w:pStyle w:val="NormalWeb"/>
        <w:spacing w:before="0" w:beforeAutospacing="0" w:after="0" w:afterAutospacing="0"/>
        <w:ind w:firstLine="708"/>
        <w:jc w:val="both"/>
        <w:rPr>
          <w:rFonts w:ascii="Arial" w:eastAsiaTheme="minorHAnsi" w:hAnsi="Arial" w:cs="Arial"/>
          <w:sz w:val="10"/>
          <w:szCs w:val="10"/>
          <w:lang w:val="es-ES" w:eastAsia="en-US"/>
        </w:rPr>
      </w:pPr>
      <w:r w:rsidRPr="00210839">
        <w:rPr>
          <w:rFonts w:ascii="Arial" w:eastAsiaTheme="minorHAnsi" w:hAnsi="Arial" w:cs="Arial"/>
          <w:sz w:val="10"/>
          <w:szCs w:val="10"/>
          <w:lang w:val="es-ES" w:eastAsia="en-US"/>
        </w:rPr>
        <w:t>a) Las personas que se hallen inhabilitadas para contratar por la Constitución y las leyes. </w:t>
      </w:r>
    </w:p>
    <w:p w14:paraId="7EA3FC6D" w14:textId="77777777" w:rsidR="00DB3754" w:rsidRPr="00210839" w:rsidRDefault="00DB3754" w:rsidP="00DB3754">
      <w:pPr>
        <w:pStyle w:val="NormalWeb"/>
        <w:spacing w:before="0" w:beforeAutospacing="0" w:after="0" w:afterAutospacing="0"/>
        <w:ind w:firstLine="708"/>
        <w:jc w:val="both"/>
        <w:rPr>
          <w:rFonts w:ascii="Arial" w:eastAsiaTheme="minorHAnsi" w:hAnsi="Arial" w:cs="Arial"/>
          <w:sz w:val="10"/>
          <w:szCs w:val="10"/>
          <w:lang w:val="es-ES" w:eastAsia="en-US"/>
        </w:rPr>
      </w:pPr>
      <w:r w:rsidRPr="00210839">
        <w:rPr>
          <w:rFonts w:ascii="Arial" w:eastAsiaTheme="minorHAnsi" w:hAnsi="Arial" w:cs="Arial"/>
          <w:sz w:val="10"/>
          <w:szCs w:val="10"/>
          <w:lang w:val="es-ES" w:eastAsia="en-US"/>
        </w:rPr>
        <w:t>b) Quienes participaron en las licitaciones o concursos o celebraron los contratos de que trata el literal anterior estando inhabilitados. </w:t>
      </w:r>
    </w:p>
    <w:p w14:paraId="7417DBF4" w14:textId="77777777" w:rsidR="00DB3754" w:rsidRPr="00210839" w:rsidRDefault="00DB3754" w:rsidP="00DB3754">
      <w:pPr>
        <w:pStyle w:val="NormalWeb"/>
        <w:spacing w:before="0" w:beforeAutospacing="0" w:after="0" w:afterAutospacing="0"/>
        <w:ind w:firstLine="709"/>
        <w:jc w:val="both"/>
        <w:rPr>
          <w:rFonts w:ascii="Arial" w:eastAsiaTheme="minorHAnsi" w:hAnsi="Arial" w:cs="Arial"/>
          <w:sz w:val="10"/>
          <w:szCs w:val="10"/>
          <w:lang w:val="es-ES" w:eastAsia="en-US"/>
        </w:rPr>
      </w:pPr>
      <w:r w:rsidRPr="00210839">
        <w:rPr>
          <w:rFonts w:ascii="Arial" w:eastAsiaTheme="minorHAnsi" w:hAnsi="Arial" w:cs="Arial"/>
          <w:sz w:val="10"/>
          <w:szCs w:val="10"/>
          <w:lang w:val="es-ES" w:eastAsia="en-US"/>
        </w:rPr>
        <w:t>c) Quienes dieron lugar a la declaratoria de caducidad. </w:t>
      </w:r>
    </w:p>
    <w:p w14:paraId="525E114E" w14:textId="77777777" w:rsidR="00DB3754" w:rsidRPr="00210839" w:rsidRDefault="00DB3754" w:rsidP="00DB3754">
      <w:pPr>
        <w:pStyle w:val="NormalWeb"/>
        <w:spacing w:before="0" w:beforeAutospacing="0" w:after="0" w:afterAutospacing="0"/>
        <w:ind w:firstLine="709"/>
        <w:jc w:val="both"/>
        <w:rPr>
          <w:rFonts w:ascii="Arial" w:eastAsiaTheme="minorHAnsi" w:hAnsi="Arial" w:cs="Arial"/>
          <w:sz w:val="10"/>
          <w:szCs w:val="10"/>
          <w:lang w:val="es-ES" w:eastAsia="en-US"/>
        </w:rPr>
      </w:pPr>
      <w:r w:rsidRPr="00210839">
        <w:rPr>
          <w:rFonts w:ascii="Arial" w:eastAsiaTheme="minorHAnsi" w:hAnsi="Arial" w:cs="Arial"/>
          <w:sz w:val="10"/>
          <w:szCs w:val="10"/>
          <w:lang w:val="es-ES" w:eastAsia="en-US"/>
        </w:rPr>
        <w:t>d) Quienes en sentencia judicial hayan sido condenados a la pena accesoria de interdicción de derechos y funciones públicas y quienes hayan sido sancionados disciplinariamente con destitución. </w:t>
      </w:r>
    </w:p>
    <w:p w14:paraId="7DCACC4D" w14:textId="77777777" w:rsidR="00DB3754" w:rsidRPr="00210839" w:rsidRDefault="00DB3754" w:rsidP="00DB3754">
      <w:pPr>
        <w:pStyle w:val="NormalWeb"/>
        <w:spacing w:before="0" w:beforeAutospacing="0" w:after="0" w:afterAutospacing="0"/>
        <w:ind w:firstLine="708"/>
        <w:jc w:val="both"/>
        <w:rPr>
          <w:rFonts w:ascii="Arial" w:eastAsiaTheme="minorHAnsi" w:hAnsi="Arial" w:cs="Arial"/>
          <w:sz w:val="10"/>
          <w:szCs w:val="10"/>
          <w:lang w:val="es-ES" w:eastAsia="en-US"/>
        </w:rPr>
      </w:pPr>
      <w:r w:rsidRPr="00210839">
        <w:rPr>
          <w:rFonts w:ascii="Arial" w:eastAsiaTheme="minorHAnsi" w:hAnsi="Arial" w:cs="Arial"/>
          <w:sz w:val="10"/>
          <w:szCs w:val="10"/>
          <w:lang w:val="es-ES" w:eastAsia="en-US"/>
        </w:rPr>
        <w:t>e) Quienes sin justa causa se abstengan de suscribir el contrato estatal adjudicado. </w:t>
      </w:r>
    </w:p>
    <w:p w14:paraId="680CA68C" w14:textId="77777777" w:rsidR="00DB3754" w:rsidRPr="00210839" w:rsidRDefault="00DB3754" w:rsidP="00DB3754">
      <w:pPr>
        <w:pStyle w:val="NormalWeb"/>
        <w:spacing w:before="0" w:beforeAutospacing="0" w:after="0" w:afterAutospacing="0"/>
        <w:ind w:firstLine="708"/>
        <w:jc w:val="both"/>
        <w:rPr>
          <w:rFonts w:ascii="Arial" w:eastAsiaTheme="minorHAnsi" w:hAnsi="Arial" w:cs="Arial"/>
          <w:sz w:val="10"/>
          <w:szCs w:val="10"/>
          <w:lang w:val="es-ES" w:eastAsia="en-US"/>
        </w:rPr>
      </w:pPr>
      <w:r w:rsidRPr="00210839">
        <w:rPr>
          <w:rFonts w:ascii="Arial" w:eastAsiaTheme="minorHAnsi" w:hAnsi="Arial" w:cs="Arial"/>
          <w:sz w:val="10"/>
          <w:szCs w:val="10"/>
          <w:lang w:val="es-ES" w:eastAsia="en-US"/>
        </w:rPr>
        <w:t>f) Los servidores públicos. </w:t>
      </w:r>
    </w:p>
    <w:p w14:paraId="485E3D5F" w14:textId="77777777" w:rsidR="00DB3754" w:rsidRPr="00210839" w:rsidRDefault="00DB3754" w:rsidP="00DB3754">
      <w:pPr>
        <w:pStyle w:val="NormalWeb"/>
        <w:spacing w:before="0" w:beforeAutospacing="0" w:after="0" w:afterAutospacing="0"/>
        <w:ind w:firstLine="708"/>
        <w:jc w:val="both"/>
        <w:rPr>
          <w:rFonts w:ascii="Arial" w:eastAsiaTheme="minorHAnsi" w:hAnsi="Arial" w:cs="Arial"/>
          <w:sz w:val="10"/>
          <w:szCs w:val="10"/>
          <w:lang w:val="es-ES" w:eastAsia="en-US"/>
        </w:rPr>
      </w:pPr>
      <w:r w:rsidRPr="00210839">
        <w:rPr>
          <w:rFonts w:ascii="Arial" w:eastAsiaTheme="minorHAnsi" w:hAnsi="Arial" w:cs="Arial"/>
          <w:sz w:val="10"/>
          <w:szCs w:val="10"/>
          <w:lang w:val="es-ES" w:eastAsia="en-US"/>
        </w:rPr>
        <w:t>g) Quienes sean cónyuges o compañeros permanentes y quienes se encuentren dentro del segundo grado de consanguinidad o segundo de afinidad con cualquier otra persona que formalmente haya presentado propuesta para una misma licitación o concurso. </w:t>
      </w:r>
    </w:p>
    <w:p w14:paraId="626550A8" w14:textId="77777777" w:rsidR="00DB3754" w:rsidRPr="00210839" w:rsidRDefault="00DB3754" w:rsidP="00DB3754">
      <w:pPr>
        <w:pStyle w:val="NormalWeb"/>
        <w:spacing w:before="0" w:beforeAutospacing="0" w:after="0" w:afterAutospacing="0"/>
        <w:ind w:firstLine="709"/>
        <w:jc w:val="both"/>
        <w:rPr>
          <w:rFonts w:ascii="Arial" w:eastAsiaTheme="minorHAnsi" w:hAnsi="Arial" w:cs="Arial"/>
          <w:sz w:val="10"/>
          <w:szCs w:val="10"/>
          <w:lang w:val="es-ES" w:eastAsia="en-US"/>
        </w:rPr>
      </w:pPr>
      <w:r w:rsidRPr="00210839">
        <w:rPr>
          <w:rFonts w:ascii="Arial" w:eastAsiaTheme="minorHAnsi" w:hAnsi="Arial" w:cs="Arial"/>
          <w:sz w:val="10"/>
          <w:szCs w:val="10"/>
          <w:lang w:val="es-ES" w:eastAsia="en-US"/>
        </w:rPr>
        <w:t>h)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o concurso. </w:t>
      </w:r>
    </w:p>
    <w:p w14:paraId="63D4337E" w14:textId="77777777" w:rsidR="00DB3754" w:rsidRPr="00210839" w:rsidRDefault="00DB3754" w:rsidP="00DB3754">
      <w:pPr>
        <w:pStyle w:val="NormalWeb"/>
        <w:spacing w:before="0" w:beforeAutospacing="0" w:after="0" w:afterAutospacing="0"/>
        <w:ind w:firstLine="708"/>
        <w:jc w:val="both"/>
        <w:rPr>
          <w:rFonts w:ascii="Arial" w:eastAsiaTheme="minorHAnsi" w:hAnsi="Arial" w:cs="Arial"/>
          <w:sz w:val="10"/>
          <w:szCs w:val="10"/>
          <w:lang w:val="es-ES" w:eastAsia="en-US"/>
        </w:rPr>
      </w:pPr>
      <w:r w:rsidRPr="00210839">
        <w:rPr>
          <w:rFonts w:ascii="Arial" w:eastAsiaTheme="minorHAnsi" w:hAnsi="Arial" w:cs="Arial"/>
          <w:sz w:val="10"/>
          <w:szCs w:val="10"/>
          <w:lang w:val="es-ES" w:eastAsia="en-US"/>
        </w:rPr>
        <w:t>i) Los socios de sociedades de personas a las cuales se haya declarado la caducidad, así como las sociedades de personas de las que aquellos formen parte con posterioridad a dicha declaratoria. </w:t>
      </w:r>
    </w:p>
    <w:p w14:paraId="5EC84948" w14:textId="77777777" w:rsidR="00DB3754" w:rsidRPr="00210839" w:rsidRDefault="00DB3754" w:rsidP="00DB3754">
      <w:pPr>
        <w:pStyle w:val="NormalWeb"/>
        <w:spacing w:before="0" w:beforeAutospacing="0" w:after="0" w:afterAutospacing="0"/>
        <w:ind w:firstLine="709"/>
        <w:jc w:val="both"/>
        <w:rPr>
          <w:rFonts w:ascii="Arial" w:eastAsiaTheme="minorHAnsi" w:hAnsi="Arial" w:cs="Arial"/>
          <w:sz w:val="10"/>
          <w:szCs w:val="10"/>
          <w:lang w:val="es-ES" w:eastAsia="en-US"/>
        </w:rPr>
      </w:pPr>
      <w:r w:rsidRPr="00210839">
        <w:rPr>
          <w:rFonts w:ascii="Arial" w:eastAsiaTheme="minorHAnsi" w:hAnsi="Arial" w:cs="Arial"/>
          <w:sz w:val="10"/>
          <w:szCs w:val="10"/>
          <w:lang w:val="es-ES" w:eastAsia="en-US"/>
        </w:rPr>
        <w:t>  Las inhabilidades a que se refieren los literales c), d) e i) se extenderán por un término de cinco (5) años contado a partir de la fecha de ejecutoria del acto que declaró la caducidad, o de la sentencia que impuso la pena, o del acto que dispuso la destitución; las previstas en los literales b) y e), se extenderán por un término de cinco (5) años contado a partir de la fecha de ocurrencia del hecho de la participación en la licitación o concurso, o de la de celebración del contrato, o de la de expiración del plazo para su firma. </w:t>
      </w:r>
    </w:p>
    <w:p w14:paraId="44B02732" w14:textId="77777777" w:rsidR="00DB3754" w:rsidRPr="00210839" w:rsidRDefault="00DB3754" w:rsidP="00DB3754">
      <w:pPr>
        <w:pStyle w:val="NormalWeb"/>
        <w:spacing w:before="0" w:beforeAutospacing="0" w:after="0" w:afterAutospacing="0"/>
        <w:ind w:firstLine="708"/>
        <w:jc w:val="both"/>
        <w:rPr>
          <w:rFonts w:ascii="Arial" w:eastAsiaTheme="minorHAnsi" w:hAnsi="Arial" w:cs="Arial"/>
          <w:sz w:val="10"/>
          <w:szCs w:val="10"/>
          <w:lang w:val="es-ES" w:eastAsia="en-US"/>
        </w:rPr>
      </w:pPr>
      <w:r w:rsidRPr="00210839">
        <w:rPr>
          <w:rFonts w:ascii="Arial" w:eastAsiaTheme="minorHAnsi" w:hAnsi="Arial" w:cs="Arial"/>
          <w:sz w:val="10"/>
          <w:szCs w:val="10"/>
          <w:lang w:val="es-ES" w:eastAsia="en-US"/>
        </w:rPr>
        <w:t>j) Las personas naturales que hayan sido declaradas 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w:t>
      </w:r>
    </w:p>
    <w:p w14:paraId="34DC936A" w14:textId="77777777" w:rsidR="00DB3754" w:rsidRPr="00210839" w:rsidRDefault="00DB3754" w:rsidP="00DB3754">
      <w:pPr>
        <w:pStyle w:val="NormalWeb"/>
        <w:spacing w:before="0" w:beforeAutospacing="0" w:after="0" w:afterAutospacing="0"/>
        <w:ind w:firstLine="708"/>
        <w:jc w:val="both"/>
        <w:rPr>
          <w:rFonts w:ascii="Arial" w:eastAsiaTheme="minorHAnsi" w:hAnsi="Arial" w:cs="Arial"/>
          <w:sz w:val="10"/>
          <w:szCs w:val="10"/>
          <w:lang w:val="es-ES" w:eastAsia="en-US"/>
        </w:rPr>
      </w:pPr>
      <w:r w:rsidRPr="00210839">
        <w:rPr>
          <w:rFonts w:ascii="Arial" w:eastAsiaTheme="minorHAnsi" w:hAnsi="Arial" w:cs="Arial"/>
          <w:sz w:val="10"/>
          <w:szCs w:val="10"/>
          <w:lang w:val="es-ES" w:eastAsia="en-US"/>
        </w:rPr>
        <w:t>Esta inhabilidad procederá preventivamente aún en los casos en los que esté pendiente la decisión sobre la impugnación de la sentencia condenatoria. Asimismo, la inhabilidad se extenderá a las sociedades de las que hagan parte dichas personas en calidad de administradores, represen</w:t>
      </w:r>
      <w:r w:rsidRPr="00210839">
        <w:rPr>
          <w:rFonts w:ascii="Arial" w:eastAsiaTheme="minorHAnsi" w:hAnsi="Arial" w:cs="Arial"/>
          <w:sz w:val="10"/>
          <w:szCs w:val="10"/>
          <w:lang w:val="es-ES" w:eastAsia="en-US"/>
        </w:rPr>
        <w:softHyphen/>
        <w:t>tantes legales, miembros de junta directiva o de socios controlantes, a sus matrices y a sus subordinadas, a los grupos empresariales a los que estas pertenezcan cuando la conducta delictiva haya sido parte de una política del grupo y a las sucursales de sociedades extranjeras, con ex</w:t>
      </w:r>
      <w:r w:rsidRPr="00210839">
        <w:rPr>
          <w:rFonts w:ascii="Arial" w:eastAsiaTheme="minorHAnsi" w:hAnsi="Arial" w:cs="Arial"/>
          <w:sz w:val="10"/>
          <w:szCs w:val="10"/>
          <w:lang w:val="es-ES" w:eastAsia="en-US"/>
        </w:rPr>
        <w:softHyphen/>
        <w:t>cepción de las sociedades anónimas abiertas. También se considerarán inhabilitadas para contratar, las personas jurídicas sobre las cuales se haya ordenado la suspensión de la perso</w:t>
      </w:r>
      <w:r w:rsidRPr="00210839">
        <w:rPr>
          <w:rFonts w:ascii="Arial" w:eastAsiaTheme="minorHAnsi" w:hAnsi="Arial" w:cs="Arial"/>
          <w:sz w:val="10"/>
          <w:szCs w:val="10"/>
          <w:lang w:val="es-ES" w:eastAsia="en-US"/>
        </w:rPr>
        <w:softHyphen/>
        <w:t>nería jurídica en los términos de ley, o cuyos representantes legales, ad</w:t>
      </w:r>
      <w:r w:rsidRPr="00210839">
        <w:rPr>
          <w:rFonts w:ascii="Arial" w:eastAsiaTheme="minorHAnsi" w:hAnsi="Arial" w:cs="Arial"/>
          <w:sz w:val="10"/>
          <w:szCs w:val="10"/>
          <w:lang w:val="es-ES" w:eastAsia="en-US"/>
        </w:rPr>
        <w:softHyphen/>
        <w:t>ministradores de hecho o de derecho, miembros de junta directiva o sus socios controlantes, sus matrices, subordinadas y/o las sucursales de sociedades extranjeras, hayan sido beneficiados con la aplicación de un principio de oportunidad por cualquier delito contra la Administración pública o el patrimonio del Estado.  La inhabilidad prevista en este literal se extenderá de forma perma</w:t>
      </w:r>
      <w:r w:rsidRPr="00210839">
        <w:rPr>
          <w:rFonts w:ascii="Arial" w:eastAsiaTheme="minorHAnsi" w:hAnsi="Arial" w:cs="Arial"/>
          <w:sz w:val="10"/>
          <w:szCs w:val="10"/>
          <w:lang w:val="es-ES" w:eastAsia="en-US"/>
        </w:rPr>
        <w:softHyphen/>
        <w:t>nente a las sociedades de las que hagan parte dichas personas en las calidades presentadas en los incisos anteriores, y se aplicará de igual forma a las personas naturales que hayan sido declaradas responsables judicialmente por la comisión de delitos mencionados en este literal. </w:t>
      </w:r>
    </w:p>
    <w:p w14:paraId="0D1012B7" w14:textId="77777777" w:rsidR="00DB3754" w:rsidRPr="00210839" w:rsidRDefault="00DB3754" w:rsidP="00DB3754">
      <w:pPr>
        <w:pStyle w:val="NormalWeb"/>
        <w:spacing w:before="0" w:beforeAutospacing="0" w:after="0" w:afterAutospacing="0"/>
        <w:ind w:firstLine="709"/>
        <w:jc w:val="both"/>
        <w:rPr>
          <w:rFonts w:ascii="Arial" w:eastAsiaTheme="minorHAnsi" w:hAnsi="Arial" w:cs="Arial"/>
          <w:sz w:val="10"/>
          <w:szCs w:val="10"/>
          <w:lang w:val="es-ES" w:eastAsia="en-US"/>
        </w:rPr>
      </w:pPr>
      <w:r w:rsidRPr="00210839">
        <w:rPr>
          <w:rFonts w:ascii="Arial" w:eastAsiaTheme="minorHAnsi" w:hAnsi="Arial" w:cs="Arial"/>
          <w:sz w:val="10"/>
          <w:szCs w:val="10"/>
          <w:lang w:val="es-ES" w:eastAsia="en-US"/>
        </w:rPr>
        <w:t>[…]</w:t>
      </w:r>
    </w:p>
    <w:p w14:paraId="3CAABBB7" w14:textId="77777777" w:rsidR="00DB3754" w:rsidRPr="00210839" w:rsidRDefault="00DB3754" w:rsidP="00DB3754">
      <w:pPr>
        <w:pStyle w:val="NormalWeb"/>
        <w:spacing w:before="0" w:beforeAutospacing="0" w:after="0" w:afterAutospacing="0"/>
        <w:ind w:firstLine="709"/>
        <w:jc w:val="both"/>
        <w:rPr>
          <w:rFonts w:ascii="Arial" w:eastAsiaTheme="minorHAnsi" w:hAnsi="Arial" w:cs="Arial"/>
          <w:sz w:val="10"/>
          <w:szCs w:val="10"/>
          <w:lang w:val="es-ES" w:eastAsia="en-US"/>
        </w:rPr>
      </w:pPr>
      <w:r w:rsidRPr="00210839">
        <w:rPr>
          <w:rFonts w:ascii="Arial" w:eastAsiaTheme="minorHAnsi" w:hAnsi="Arial" w:cs="Arial"/>
          <w:sz w:val="10"/>
          <w:szCs w:val="10"/>
          <w:lang w:val="es-ES" w:eastAsia="en-US"/>
        </w:rPr>
        <w:t>2o. Tampoco podrán participar en licitaciones o concursos ni celebrar contratos estatales con la entidad respectiva: </w:t>
      </w:r>
    </w:p>
    <w:p w14:paraId="7CF02F06" w14:textId="77777777" w:rsidR="00DB3754" w:rsidRPr="00210839" w:rsidRDefault="00DB3754" w:rsidP="00DB3754">
      <w:pPr>
        <w:pStyle w:val="NormalWeb"/>
        <w:spacing w:before="0" w:beforeAutospacing="0" w:after="0" w:afterAutospacing="0"/>
        <w:ind w:firstLine="708"/>
        <w:jc w:val="both"/>
        <w:rPr>
          <w:rFonts w:ascii="Arial" w:eastAsiaTheme="minorHAnsi" w:hAnsi="Arial" w:cs="Arial"/>
          <w:sz w:val="10"/>
          <w:szCs w:val="10"/>
          <w:lang w:val="es-ES" w:eastAsia="en-US"/>
        </w:rPr>
      </w:pPr>
      <w:r w:rsidRPr="00210839">
        <w:rPr>
          <w:rFonts w:ascii="Arial" w:eastAsiaTheme="minorHAnsi" w:hAnsi="Arial" w:cs="Arial"/>
          <w:sz w:val="10"/>
          <w:szCs w:val="10"/>
          <w:lang w:val="es-ES" w:eastAsia="en-US"/>
        </w:rPr>
        <w:t>a) Quienes fueron miembros de la junta o consejo directivo o servidores públicos de la entidad contratante. Esta incompatibilidad solo comprende a quienes desempeñaron funciones en los niveles directivo, asesor o ejecutivo y se extiende por el término de un (1) año, contado a partir de la fecha del retiro. </w:t>
      </w:r>
    </w:p>
    <w:p w14:paraId="2548E754" w14:textId="77777777" w:rsidR="00DB3754" w:rsidRPr="00210839" w:rsidRDefault="00DB3754" w:rsidP="00DB3754">
      <w:pPr>
        <w:pStyle w:val="NormalWeb"/>
        <w:spacing w:before="0" w:beforeAutospacing="0" w:after="0" w:afterAutospacing="0"/>
        <w:ind w:firstLine="708"/>
        <w:jc w:val="both"/>
        <w:rPr>
          <w:rFonts w:ascii="Arial" w:eastAsiaTheme="minorHAnsi" w:hAnsi="Arial" w:cs="Arial"/>
          <w:sz w:val="10"/>
          <w:szCs w:val="10"/>
          <w:lang w:val="es-ES" w:eastAsia="en-US"/>
        </w:rPr>
      </w:pPr>
      <w:r w:rsidRPr="00210839">
        <w:rPr>
          <w:rFonts w:ascii="Arial" w:eastAsiaTheme="minorHAnsi" w:hAnsi="Arial" w:cs="Arial"/>
          <w:sz w:val="10"/>
          <w:szCs w:val="10"/>
          <w:lang w:val="es-ES" w:eastAsia="en-US"/>
        </w:rPr>
        <w:t>b)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w:t>
      </w:r>
    </w:p>
    <w:p w14:paraId="78DF3596" w14:textId="77777777" w:rsidR="00DB3754" w:rsidRPr="00210839" w:rsidRDefault="00DB3754" w:rsidP="00DB3754">
      <w:pPr>
        <w:pStyle w:val="NormalWeb"/>
        <w:spacing w:before="0" w:beforeAutospacing="0" w:after="0" w:afterAutospacing="0"/>
        <w:ind w:firstLine="708"/>
        <w:jc w:val="both"/>
        <w:rPr>
          <w:rFonts w:ascii="Arial" w:eastAsiaTheme="minorHAnsi" w:hAnsi="Arial" w:cs="Arial"/>
          <w:sz w:val="10"/>
          <w:szCs w:val="10"/>
          <w:lang w:val="es-ES" w:eastAsia="en-US"/>
        </w:rPr>
      </w:pPr>
      <w:r w:rsidRPr="00210839">
        <w:rPr>
          <w:rFonts w:ascii="Arial" w:eastAsiaTheme="minorHAnsi" w:hAnsi="Arial" w:cs="Arial"/>
          <w:sz w:val="10"/>
          <w:szCs w:val="10"/>
          <w:lang w:val="es-ES" w:eastAsia="en-US"/>
        </w:rPr>
        <w:t>c) El cónyuge, compañero o compañera permanente del servidor público en los niveles directivo, asesor, ejecutivo, o de un miembro de la junta o consejo directivo, o de quien ejerza funciones de control interno o de control fiscal. </w:t>
      </w:r>
    </w:p>
    <w:p w14:paraId="2617C4EA" w14:textId="77777777" w:rsidR="00DB3754" w:rsidRPr="00210839" w:rsidRDefault="00DB3754" w:rsidP="00DB3754">
      <w:pPr>
        <w:pStyle w:val="NormalWeb"/>
        <w:spacing w:before="0" w:beforeAutospacing="0" w:after="0" w:afterAutospacing="0"/>
        <w:ind w:firstLine="708"/>
        <w:jc w:val="both"/>
        <w:rPr>
          <w:rFonts w:ascii="Arial" w:eastAsiaTheme="minorHAnsi" w:hAnsi="Arial" w:cs="Arial"/>
          <w:sz w:val="10"/>
          <w:szCs w:val="10"/>
          <w:lang w:val="es-ES" w:eastAsia="en-US"/>
        </w:rPr>
      </w:pPr>
      <w:r w:rsidRPr="00210839">
        <w:rPr>
          <w:rFonts w:ascii="Arial" w:eastAsiaTheme="minorHAnsi" w:hAnsi="Arial" w:cs="Arial"/>
          <w:sz w:val="10"/>
          <w:szCs w:val="10"/>
          <w:lang w:val="es-ES" w:eastAsia="en-US"/>
        </w:rPr>
        <w:t>d)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w:t>
      </w:r>
    </w:p>
    <w:p w14:paraId="78E9FD93" w14:textId="77777777" w:rsidR="00DB3754" w:rsidRPr="00210839" w:rsidRDefault="00DB3754" w:rsidP="00DB3754">
      <w:pPr>
        <w:pStyle w:val="NormalWeb"/>
        <w:spacing w:before="0" w:beforeAutospacing="0" w:after="0" w:afterAutospacing="0"/>
        <w:ind w:firstLine="708"/>
        <w:jc w:val="both"/>
        <w:rPr>
          <w:rFonts w:ascii="Arial" w:eastAsiaTheme="minorHAnsi" w:hAnsi="Arial" w:cs="Arial"/>
          <w:sz w:val="10"/>
          <w:szCs w:val="10"/>
          <w:lang w:val="es-ES" w:eastAsia="en-US"/>
        </w:rPr>
      </w:pPr>
      <w:r w:rsidRPr="00210839">
        <w:rPr>
          <w:rFonts w:ascii="Arial" w:eastAsiaTheme="minorHAnsi" w:hAnsi="Arial" w:cs="Arial"/>
          <w:sz w:val="10"/>
          <w:szCs w:val="10"/>
          <w:lang w:val="es-ES" w:eastAsia="en-US"/>
        </w:rPr>
        <w:t>e) Los miembros de las juntas o consejos directivos. Esta incompatibilidad sólo se predica respecto de la entidad a la cual prestan sus servicios y de las del sector administrativo al que la misma esté adscrita o vinculada. </w:t>
      </w:r>
    </w:p>
    <w:p w14:paraId="43B1F5ED" w14:textId="77777777" w:rsidR="00DB3754" w:rsidRPr="00210839" w:rsidRDefault="00DB3754" w:rsidP="00DB3754">
      <w:pPr>
        <w:pStyle w:val="NormalWeb"/>
        <w:spacing w:before="0" w:beforeAutospacing="0" w:after="0" w:afterAutospacing="0"/>
        <w:ind w:firstLine="708"/>
        <w:jc w:val="both"/>
        <w:rPr>
          <w:rFonts w:ascii="Arial" w:eastAsiaTheme="minorHAnsi" w:hAnsi="Arial" w:cs="Arial"/>
          <w:sz w:val="10"/>
          <w:szCs w:val="10"/>
          <w:lang w:val="es-ES" w:eastAsia="en-US"/>
        </w:rPr>
      </w:pPr>
      <w:r w:rsidRPr="00210839">
        <w:rPr>
          <w:rFonts w:ascii="Arial" w:eastAsiaTheme="minorHAnsi" w:hAnsi="Arial" w:cs="Arial"/>
          <w:sz w:val="10"/>
          <w:szCs w:val="10"/>
          <w:lang w:val="es-ES" w:eastAsia="en-US"/>
        </w:rPr>
        <w:t xml:space="preserve">f)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Esta incompatibilidad también operará para las personas que se encuentren dentro del primer grado de consanguinidad, primero de afinidad, o primero civil del ex empleado público”. (…). </w:t>
      </w:r>
    </w:p>
  </w:footnote>
  <w:footnote w:id="10">
    <w:p w14:paraId="1D3452F3" w14:textId="77777777" w:rsidR="00DB3754" w:rsidRPr="00210839" w:rsidRDefault="00DB3754" w:rsidP="00DB3754">
      <w:pPr>
        <w:pStyle w:val="FootnoteText"/>
        <w:ind w:firstLine="709"/>
        <w:jc w:val="both"/>
        <w:rPr>
          <w:rFonts w:ascii="Arial" w:hAnsi="Arial" w:cs="Arial"/>
          <w:sz w:val="10"/>
          <w:szCs w:val="10"/>
        </w:rPr>
      </w:pPr>
      <w:r w:rsidRPr="00210839">
        <w:rPr>
          <w:rStyle w:val="FootnoteReference"/>
          <w:rFonts w:ascii="Arial" w:hAnsi="Arial" w:cs="Arial"/>
          <w:sz w:val="10"/>
          <w:szCs w:val="10"/>
        </w:rPr>
        <w:footnoteRef/>
      </w:r>
      <w:r w:rsidRPr="00210839">
        <w:rPr>
          <w:rFonts w:ascii="Arial" w:hAnsi="Arial" w:cs="Arial"/>
          <w:sz w:val="10"/>
          <w:szCs w:val="10"/>
        </w:rPr>
        <w:t xml:space="preserve"> Ley 80 de 1993: “Artículo 6. De la capacidad para contratar. Pueden celebrar contratos con las entidades estatales las personas consideradas legalmente capaces en las disposiciones vigentes. También podrán celebrar contratos con las entidades estatales, los consorcios y uniones temporales.</w:t>
      </w:r>
    </w:p>
    <w:p w14:paraId="7B5F038C" w14:textId="77777777" w:rsidR="00DB3754" w:rsidRPr="00210839" w:rsidRDefault="00DB3754" w:rsidP="00DB3754">
      <w:pPr>
        <w:pStyle w:val="FootnoteText"/>
        <w:ind w:firstLine="709"/>
        <w:jc w:val="both"/>
        <w:rPr>
          <w:rFonts w:ascii="Arial" w:hAnsi="Arial" w:cs="Arial"/>
          <w:sz w:val="10"/>
          <w:szCs w:val="10"/>
        </w:rPr>
      </w:pPr>
      <w:r w:rsidRPr="00210839">
        <w:rPr>
          <w:rFonts w:ascii="Arial" w:hAnsi="Arial" w:cs="Arial"/>
          <w:sz w:val="10"/>
          <w:szCs w:val="10"/>
        </w:rPr>
        <w:t>Las personas jurídicas nacionales y extranjeras deberán acreditar que su duración no será inferior a la del plazo del contrato y un año más”.</w:t>
      </w:r>
    </w:p>
  </w:footnote>
  <w:footnote w:id="11">
    <w:p w14:paraId="071818CF" w14:textId="77777777" w:rsidR="00DB3754" w:rsidRPr="00210839" w:rsidRDefault="00DB3754" w:rsidP="00DB3754">
      <w:pPr>
        <w:pStyle w:val="FootnoteText"/>
        <w:ind w:firstLine="709"/>
        <w:jc w:val="both"/>
        <w:rPr>
          <w:rFonts w:ascii="Arial" w:hAnsi="Arial" w:cs="Arial"/>
          <w:sz w:val="10"/>
          <w:szCs w:val="10"/>
        </w:rPr>
      </w:pPr>
    </w:p>
    <w:p w14:paraId="427C75EC" w14:textId="77777777" w:rsidR="00DB3754" w:rsidRPr="00210839" w:rsidRDefault="00DB3754" w:rsidP="00DB3754">
      <w:pPr>
        <w:pStyle w:val="FootnoteText"/>
        <w:ind w:firstLine="709"/>
        <w:jc w:val="both"/>
        <w:rPr>
          <w:rFonts w:ascii="Arial" w:hAnsi="Arial" w:cs="Arial"/>
          <w:sz w:val="10"/>
          <w:szCs w:val="10"/>
        </w:rPr>
      </w:pPr>
      <w:r w:rsidRPr="00210839">
        <w:rPr>
          <w:rStyle w:val="FootnoteReference"/>
          <w:rFonts w:ascii="Arial" w:hAnsi="Arial" w:cs="Arial"/>
          <w:sz w:val="10"/>
          <w:szCs w:val="10"/>
        </w:rPr>
        <w:footnoteRef/>
      </w:r>
      <w:r w:rsidRPr="00210839">
        <w:rPr>
          <w:rFonts w:ascii="Arial" w:hAnsi="Arial" w:cs="Arial"/>
          <w:sz w:val="10"/>
          <w:szCs w:val="10"/>
        </w:rPr>
        <w:t xml:space="preserve"> Código Civil: “Artículo 1502. Requisitos para obligarse. Para que una persona se obligue a otra por un acto o declaración de voluntad, es necesario:</w:t>
      </w:r>
    </w:p>
    <w:p w14:paraId="3BC4A578" w14:textId="77777777" w:rsidR="00DB3754" w:rsidRPr="00210839" w:rsidRDefault="00DB3754" w:rsidP="00DB3754">
      <w:pPr>
        <w:pStyle w:val="FootnoteText"/>
        <w:ind w:firstLine="709"/>
        <w:jc w:val="both"/>
        <w:rPr>
          <w:rFonts w:ascii="Arial" w:hAnsi="Arial" w:cs="Arial"/>
          <w:sz w:val="10"/>
          <w:szCs w:val="10"/>
        </w:rPr>
      </w:pPr>
      <w:r w:rsidRPr="00210839">
        <w:rPr>
          <w:rFonts w:ascii="Arial" w:hAnsi="Arial" w:cs="Arial"/>
          <w:sz w:val="10"/>
          <w:szCs w:val="10"/>
        </w:rPr>
        <w:t>1o.) que sea legalmente capaz.</w:t>
      </w:r>
    </w:p>
    <w:p w14:paraId="020CB20E" w14:textId="77777777" w:rsidR="00DB3754" w:rsidRPr="00210839" w:rsidRDefault="00DB3754" w:rsidP="00DB3754">
      <w:pPr>
        <w:pStyle w:val="FootnoteText"/>
        <w:ind w:firstLine="709"/>
        <w:jc w:val="both"/>
        <w:rPr>
          <w:rFonts w:ascii="Arial" w:hAnsi="Arial" w:cs="Arial"/>
          <w:sz w:val="10"/>
          <w:szCs w:val="10"/>
        </w:rPr>
      </w:pPr>
      <w:r w:rsidRPr="00210839">
        <w:rPr>
          <w:rFonts w:ascii="Arial" w:hAnsi="Arial" w:cs="Arial"/>
          <w:sz w:val="10"/>
          <w:szCs w:val="10"/>
        </w:rPr>
        <w:t>[…]</w:t>
      </w:r>
    </w:p>
    <w:p w14:paraId="3C17852C" w14:textId="77777777" w:rsidR="00DB3754" w:rsidRPr="00210839" w:rsidRDefault="00DB3754" w:rsidP="00DB3754">
      <w:pPr>
        <w:pStyle w:val="FootnoteText"/>
        <w:ind w:firstLine="709"/>
        <w:jc w:val="both"/>
        <w:rPr>
          <w:rFonts w:ascii="Arial" w:hAnsi="Arial" w:cs="Arial"/>
          <w:sz w:val="10"/>
          <w:szCs w:val="10"/>
        </w:rPr>
      </w:pPr>
      <w:r w:rsidRPr="00210839">
        <w:rPr>
          <w:rFonts w:ascii="Arial" w:hAnsi="Arial" w:cs="Arial"/>
          <w:sz w:val="10"/>
          <w:szCs w:val="10"/>
        </w:rPr>
        <w:t>La capacidad legal de una persona consiste en poderse obligar por sí misma, sin el ministerio o la autorización de otra”.</w:t>
      </w:r>
    </w:p>
  </w:footnote>
  <w:footnote w:id="12">
    <w:p w14:paraId="6D5CCAC4" w14:textId="77777777" w:rsidR="00DB3754" w:rsidRPr="00210839" w:rsidRDefault="00DB3754" w:rsidP="00DB3754">
      <w:pPr>
        <w:pStyle w:val="FootnoteText"/>
        <w:ind w:firstLine="709"/>
        <w:jc w:val="both"/>
        <w:rPr>
          <w:rFonts w:ascii="Arial" w:hAnsi="Arial" w:cs="Arial"/>
          <w:sz w:val="10"/>
          <w:szCs w:val="10"/>
        </w:rPr>
      </w:pPr>
    </w:p>
    <w:p w14:paraId="1BDBB39F" w14:textId="77777777" w:rsidR="00DB3754" w:rsidRPr="00210839" w:rsidRDefault="00DB3754" w:rsidP="00DB3754">
      <w:pPr>
        <w:pStyle w:val="FootnoteText"/>
        <w:ind w:firstLine="709"/>
        <w:jc w:val="both"/>
        <w:rPr>
          <w:rFonts w:ascii="Arial" w:hAnsi="Arial" w:cs="Arial"/>
          <w:sz w:val="10"/>
          <w:szCs w:val="10"/>
        </w:rPr>
      </w:pPr>
      <w:r w:rsidRPr="00210839">
        <w:rPr>
          <w:rStyle w:val="FootnoteReference"/>
          <w:rFonts w:ascii="Arial" w:hAnsi="Arial" w:cs="Arial"/>
          <w:sz w:val="10"/>
          <w:szCs w:val="10"/>
        </w:rPr>
        <w:footnoteRef/>
      </w:r>
      <w:r w:rsidRPr="00210839">
        <w:rPr>
          <w:rFonts w:ascii="Arial" w:hAnsi="Arial" w:cs="Arial"/>
          <w:sz w:val="10"/>
          <w:szCs w:val="10"/>
        </w:rPr>
        <w:t xml:space="preserve"> Decreto Ley 19 de 2012: “Artículo 221. El artículo 6 de la Ley 1150 de 2007, quedará así:</w:t>
      </w:r>
    </w:p>
    <w:p w14:paraId="56869C53" w14:textId="77777777" w:rsidR="00DB3754" w:rsidRPr="00210839" w:rsidRDefault="00DB3754" w:rsidP="00DB3754">
      <w:pPr>
        <w:pStyle w:val="FootnoteText"/>
        <w:ind w:firstLine="709"/>
        <w:jc w:val="both"/>
        <w:rPr>
          <w:rFonts w:ascii="Arial" w:hAnsi="Arial" w:cs="Arial"/>
          <w:sz w:val="10"/>
          <w:szCs w:val="10"/>
          <w:lang w:val="es-ES"/>
        </w:rPr>
      </w:pPr>
      <w:r w:rsidRPr="00210839">
        <w:rPr>
          <w:rFonts w:ascii="Arial" w:hAnsi="Arial" w:cs="Arial"/>
          <w:sz w:val="10"/>
          <w:szCs w:val="10"/>
        </w:rPr>
        <w:t>Artículo 6. De la verificación de las condiciones de los proponentes. T</w:t>
      </w:r>
      <w:r w:rsidRPr="00210839">
        <w:rPr>
          <w:rFonts w:ascii="Arial" w:hAnsi="Arial" w:cs="Arial"/>
          <w:sz w:val="10"/>
          <w:szCs w:val="10"/>
          <w:lang w:val="es-ES"/>
        </w:rPr>
        <w: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0527F386" w14:textId="77777777" w:rsidR="00DB3754" w:rsidRPr="00210839" w:rsidRDefault="00DB3754" w:rsidP="00DB3754">
      <w:pPr>
        <w:pStyle w:val="FootnoteText"/>
        <w:ind w:firstLine="709"/>
        <w:jc w:val="both"/>
        <w:rPr>
          <w:rFonts w:ascii="Arial" w:hAnsi="Arial" w:cs="Arial"/>
          <w:sz w:val="10"/>
          <w:szCs w:val="10"/>
          <w:lang w:val="es-ES"/>
        </w:rPr>
      </w:pPr>
      <w:r w:rsidRPr="00210839">
        <w:rPr>
          <w:rFonts w:ascii="Arial" w:hAnsi="Arial" w:cs="Arial"/>
          <w:sz w:val="10"/>
          <w:szCs w:val="10"/>
          <w:lang w:val="es-ES"/>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68B60736" w14:textId="77777777" w:rsidR="00DB3754" w:rsidRPr="00210839" w:rsidRDefault="00DB3754" w:rsidP="00DB3754">
      <w:pPr>
        <w:pStyle w:val="FootnoteText"/>
        <w:ind w:firstLine="709"/>
        <w:jc w:val="both"/>
        <w:rPr>
          <w:rFonts w:ascii="Arial" w:hAnsi="Arial" w:cs="Arial"/>
          <w:sz w:val="10"/>
          <w:szCs w:val="10"/>
          <w:lang w:val="es-ES"/>
        </w:rPr>
      </w:pPr>
    </w:p>
  </w:footnote>
  <w:footnote w:id="13">
    <w:p w14:paraId="2A3F90EA" w14:textId="77777777" w:rsidR="00DB3754" w:rsidRPr="00210839" w:rsidRDefault="00DB3754" w:rsidP="00DB3754">
      <w:pPr>
        <w:pStyle w:val="FootnoteText"/>
        <w:ind w:firstLine="709"/>
        <w:jc w:val="both"/>
        <w:rPr>
          <w:rFonts w:ascii="Arial" w:hAnsi="Arial" w:cs="Arial"/>
          <w:sz w:val="10"/>
          <w:szCs w:val="10"/>
          <w:lang w:val="es-ES"/>
        </w:rPr>
      </w:pPr>
      <w:r w:rsidRPr="00210839">
        <w:rPr>
          <w:rStyle w:val="FootnoteReference"/>
          <w:rFonts w:ascii="Arial" w:hAnsi="Arial" w:cs="Arial"/>
          <w:sz w:val="10"/>
          <w:szCs w:val="10"/>
        </w:rPr>
        <w:footnoteRef/>
      </w:r>
      <w:r w:rsidRPr="00210839">
        <w:rPr>
          <w:rFonts w:ascii="Arial" w:hAnsi="Arial" w:cs="Arial"/>
          <w:sz w:val="10"/>
          <w:szCs w:val="10"/>
        </w:rPr>
        <w:t xml:space="preserve"> </w:t>
      </w:r>
      <w:r w:rsidRPr="00210839">
        <w:rPr>
          <w:rFonts w:ascii="Arial" w:hAnsi="Arial" w:cs="Arial"/>
          <w:sz w:val="10"/>
          <w:szCs w:val="10"/>
          <w:lang w:val="es-ES"/>
        </w:rPr>
        <w:t xml:space="preserve">En tal sentido, José Luis Benavides comenta que “Aunque la mayoría de las reglas limitativas de la responsabilidad contractual se aplican a la administración, existen también algunas restricciones importantes a la capacidad de los contratistas: </w:t>
      </w:r>
      <w:r w:rsidRPr="00210839">
        <w:rPr>
          <w:rFonts w:ascii="Arial" w:hAnsi="Arial" w:cs="Arial"/>
          <w:i/>
          <w:iCs/>
          <w:sz w:val="10"/>
          <w:szCs w:val="10"/>
          <w:lang w:val="es-ES"/>
        </w:rPr>
        <w:t>el régimen de inhabilidades e incompatibilidades</w:t>
      </w:r>
      <w:r w:rsidRPr="00210839">
        <w:rPr>
          <w:rFonts w:ascii="Arial" w:hAnsi="Arial" w:cs="Arial"/>
          <w:sz w:val="10"/>
          <w:szCs w:val="10"/>
          <w:lang w:val="es-ES"/>
        </w:rPr>
        <w:t xml:space="preserve"> (1) y la obligación de ciertos proponentes de inscribirse en el </w:t>
      </w:r>
      <w:r w:rsidRPr="00210839">
        <w:rPr>
          <w:rFonts w:ascii="Arial" w:hAnsi="Arial" w:cs="Arial"/>
          <w:i/>
          <w:iCs/>
          <w:sz w:val="10"/>
          <w:szCs w:val="10"/>
          <w:lang w:val="es-ES"/>
        </w:rPr>
        <w:t>registro único</w:t>
      </w:r>
      <w:r w:rsidRPr="00210839">
        <w:rPr>
          <w:rFonts w:ascii="Arial" w:hAnsi="Arial" w:cs="Arial"/>
          <w:sz w:val="10"/>
          <w:szCs w:val="10"/>
          <w:lang w:val="es-ES"/>
        </w:rPr>
        <w:t xml:space="preserve"> (2)” (BENAVIDES, José Luis. El contrato estatal. Entre el Derecho público y el Derecho privado. 2ª ed. Bogotá: Universidad Externado de Colombia, 2004. p. 278). </w:t>
      </w:r>
    </w:p>
    <w:p w14:paraId="63A722DE" w14:textId="77777777" w:rsidR="00DB3754" w:rsidRPr="00210839" w:rsidRDefault="00DB3754" w:rsidP="00DB3754">
      <w:pPr>
        <w:pStyle w:val="FootnoteText"/>
        <w:ind w:firstLine="709"/>
        <w:jc w:val="both"/>
        <w:rPr>
          <w:rFonts w:ascii="Arial" w:hAnsi="Arial" w:cs="Arial"/>
          <w:sz w:val="10"/>
          <w:szCs w:val="10"/>
          <w:lang w:val="es-ES"/>
        </w:rPr>
      </w:pPr>
    </w:p>
  </w:footnote>
  <w:footnote w:id="14">
    <w:p w14:paraId="1DF191E4" w14:textId="77777777" w:rsidR="00DB3754" w:rsidRPr="00210839" w:rsidRDefault="00DB3754" w:rsidP="00DB3754">
      <w:pPr>
        <w:spacing w:after="0" w:line="240" w:lineRule="auto"/>
        <w:ind w:firstLine="709"/>
        <w:jc w:val="both"/>
        <w:rPr>
          <w:rFonts w:ascii="Arial" w:hAnsi="Arial" w:cs="Arial"/>
          <w:sz w:val="10"/>
          <w:szCs w:val="10"/>
          <w:lang w:val="es-ES"/>
        </w:rPr>
      </w:pPr>
      <w:r w:rsidRPr="00210839">
        <w:rPr>
          <w:rStyle w:val="FootnoteReference"/>
          <w:rFonts w:ascii="Arial" w:hAnsi="Arial" w:cs="Arial"/>
          <w:sz w:val="10"/>
          <w:szCs w:val="10"/>
        </w:rPr>
        <w:footnoteRef/>
      </w:r>
      <w:r w:rsidRPr="00210839">
        <w:rPr>
          <w:rFonts w:ascii="Arial" w:hAnsi="Arial" w:cs="Arial"/>
          <w:sz w:val="10"/>
          <w:szCs w:val="10"/>
        </w:rPr>
        <w:t xml:space="preserve"> </w:t>
      </w:r>
      <w:r w:rsidRPr="00210839">
        <w:rPr>
          <w:rFonts w:ascii="Arial" w:hAnsi="Arial" w:cs="Arial"/>
          <w:sz w:val="10"/>
          <w:szCs w:val="10"/>
          <w:lang w:val="es-ES"/>
        </w:rPr>
        <w:t>Son inhabilidades que responden a esta circunstancia, entre otras, las siguientes: “Quienes participaron en las licitaciones o celebraron los contratos de que trata el literal anterior estando inhabilitados” (art. 8, num. 1º, lit. b, Ley 80/93); “Quienes dieron lugar a la declaratoria de caducidad” (art. 8, num. 1º, lit. c), Ley 80/93); “Quienes en sentencia judicial hayan sido condenados a la pena accesoria de interdicción de derechos y funciones públicas y quienes hayan sido sancionados disciplinariamente con destitución” (art. 8, num. 1º, lit. d), Ley 80/93); “Quienes sin justa causa se abstengan de suscribir el contrato estatal adjudicado” (art. 8, num. 1º, lit. e), Ley 80/93); “i) Los socios de sociedades de personas a las cuales se haya declarado la caducidad, así como las sociedades de personas de las que aquellos formen parte con posterioridad a dicha declaratoria” (art. 8, num. 1º, lit. i), Ley 80/93); “Las personas naturales que hayan sido declaradas responsables judicialmente por la comisión de delitos contra la Administración Pública o de cualquiera de los delitos o faltas contemplados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(art. 8, num. 1º, lit. j), Ley 80/93);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 (art. 8, num. 1º, lit. k), Ley 80/93); “Haber sido objeto de imposición de cinco (5) o más multas durante la ejecución de uno o varios contratos, con una o varias entidades estatales, durante los últimos tres (3) años; […] Haber sido objeto de declaratorias de incumplimiento contractual en por lo menos dos (2) contratos, con una o varias entidades estatales, durante los últimos tres (3) años; […] Haber sido objeto de imposición de dos (2) multas y un (1) incumplimiento durante una misma vigencia fiscal, con una o varias entidades estatales” (art. 90, lit. a), b) y c), Ley 1474/11, modificado por el art. 43, Ley 1955/19.</w:t>
      </w:r>
    </w:p>
    <w:p w14:paraId="5776993D" w14:textId="77777777" w:rsidR="00DB3754" w:rsidRPr="00210839" w:rsidRDefault="00DB3754" w:rsidP="00DB3754">
      <w:pPr>
        <w:spacing w:after="0" w:line="240" w:lineRule="auto"/>
        <w:ind w:firstLine="709"/>
        <w:jc w:val="both"/>
        <w:rPr>
          <w:rFonts w:ascii="Arial" w:hAnsi="Arial" w:cs="Arial"/>
          <w:sz w:val="10"/>
          <w:szCs w:val="10"/>
          <w:lang w:val="es-ES"/>
        </w:rPr>
      </w:pPr>
    </w:p>
  </w:footnote>
  <w:footnote w:id="15">
    <w:p w14:paraId="7BE1A8F3" w14:textId="77777777" w:rsidR="00DB3754" w:rsidRPr="00210839" w:rsidRDefault="00DB3754" w:rsidP="00DB3754">
      <w:pPr>
        <w:pStyle w:val="FootnoteText"/>
        <w:ind w:firstLine="709"/>
        <w:jc w:val="both"/>
        <w:rPr>
          <w:rFonts w:ascii="Arial" w:hAnsi="Arial" w:cs="Arial"/>
          <w:sz w:val="10"/>
          <w:szCs w:val="10"/>
          <w:lang w:val="es-ES"/>
        </w:rPr>
      </w:pPr>
      <w:r w:rsidRPr="00210839">
        <w:rPr>
          <w:rStyle w:val="FootnoteReference"/>
          <w:rFonts w:ascii="Arial" w:hAnsi="Arial" w:cs="Arial"/>
          <w:sz w:val="10"/>
          <w:szCs w:val="10"/>
        </w:rPr>
        <w:footnoteRef/>
      </w:r>
      <w:r w:rsidRPr="00210839">
        <w:rPr>
          <w:rFonts w:ascii="Arial" w:hAnsi="Arial" w:cs="Arial"/>
          <w:sz w:val="10"/>
          <w:szCs w:val="10"/>
        </w:rPr>
        <w:t xml:space="preserve"> </w:t>
      </w:r>
      <w:r w:rsidRPr="00210839">
        <w:rPr>
          <w:rFonts w:ascii="Arial" w:hAnsi="Arial" w:cs="Arial"/>
          <w:sz w:val="10"/>
          <w:szCs w:val="10"/>
          <w:lang w:val="es-ES"/>
        </w:rPr>
        <w:t>Por ejemplo, a título enunciativo, las siguientes: “Quienes sean cónyuges o compañeros permanentes y quienes se encuentren dentro del segundo grado de consanguinidad o segundo de afinidad con cualquier otra persona que formalmente haya presentado propuesta para una misma licitación” (art. 8, num. 1º, lit. g), Ley 80/93);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(art. 8, num. 1º, lit. h), Ley 80/93);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(art. 8, num. 2º, lit. b), Ley 80/93); “El cónyuge, compañero o compañera permanente del servidor público en los niveles directivo, asesor, ejecutivo, o de un miembro de la junta o consejo directivo, o de quien ejerza funciones de control interno o de control fiscal” (art. 8, num. 2º, lit. c),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num. 2º, lit. d), Ley 80/93).</w:t>
      </w:r>
    </w:p>
    <w:p w14:paraId="1B1B72C8" w14:textId="77777777" w:rsidR="00DB3754" w:rsidRPr="00210839" w:rsidRDefault="00DB3754" w:rsidP="00DB3754">
      <w:pPr>
        <w:pStyle w:val="FootnoteText"/>
        <w:ind w:firstLine="709"/>
        <w:jc w:val="both"/>
        <w:rPr>
          <w:rFonts w:ascii="Arial" w:hAnsi="Arial" w:cs="Arial"/>
          <w:sz w:val="10"/>
          <w:szCs w:val="10"/>
          <w:lang w:val="es-ES"/>
        </w:rPr>
      </w:pPr>
    </w:p>
  </w:footnote>
  <w:footnote w:id="16">
    <w:p w14:paraId="070F29EB" w14:textId="77777777" w:rsidR="00DB3754" w:rsidRPr="00210839" w:rsidRDefault="00DB3754" w:rsidP="00DB3754">
      <w:pPr>
        <w:pStyle w:val="FootnoteText"/>
        <w:ind w:firstLine="709"/>
        <w:jc w:val="both"/>
        <w:rPr>
          <w:rFonts w:ascii="Arial" w:hAnsi="Arial" w:cs="Arial"/>
          <w:sz w:val="10"/>
          <w:szCs w:val="10"/>
          <w:lang w:val="es-ES"/>
        </w:rPr>
      </w:pPr>
      <w:r w:rsidRPr="00210839">
        <w:rPr>
          <w:rStyle w:val="FootnoteReference"/>
          <w:rFonts w:ascii="Arial" w:hAnsi="Arial" w:cs="Arial"/>
          <w:sz w:val="10"/>
          <w:szCs w:val="10"/>
        </w:rPr>
        <w:footnoteRef/>
      </w:r>
      <w:r w:rsidRPr="00210839">
        <w:rPr>
          <w:rFonts w:ascii="Arial" w:hAnsi="Arial" w:cs="Arial"/>
          <w:sz w:val="10"/>
          <w:szCs w:val="10"/>
        </w:rPr>
        <w:t xml:space="preserve"> </w:t>
      </w:r>
      <w:r w:rsidRPr="00210839">
        <w:rPr>
          <w:rFonts w:ascii="Arial" w:hAnsi="Arial" w:cs="Arial"/>
          <w:sz w:val="10"/>
          <w:szCs w:val="10"/>
          <w:lang w:val="es-ES"/>
        </w:rPr>
        <w:t>Verbigracia, entre otras, las que se indican a continuación: “Las personas naturales o jurídicas que hayan financiado campañas políticas a la Presidencia de la República, a las gobernaciones, a las alcaldías o al Congreso de la República, con aportes superiores al dos por ciento (2.0%)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 […]” (art. 8, num. 1º, lit. k), Ley 80/93, modificado por el art. 33, Ley 1778/16); “Quienes fueron miembros de la junta o consejo directivo o servidores públicos de la entidad contratante” (art. 8, num. 2º, lit. a), Ley 80/93);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(art. 8, num. 2º, lit. f), Ley 80/93, adicionado por el art. 4º, Ley 1474/2011).</w:t>
      </w:r>
    </w:p>
  </w:footnote>
  <w:footnote w:id="17">
    <w:p w14:paraId="6BC7C5E1" w14:textId="77777777" w:rsidR="00DB3754" w:rsidRPr="00210839" w:rsidRDefault="00DB3754" w:rsidP="00DB3754">
      <w:pPr>
        <w:spacing w:after="0" w:line="240" w:lineRule="auto"/>
        <w:ind w:firstLine="709"/>
        <w:jc w:val="both"/>
        <w:rPr>
          <w:rFonts w:ascii="Arial" w:hAnsi="Arial" w:cs="Arial"/>
          <w:sz w:val="10"/>
          <w:szCs w:val="10"/>
          <w:lang w:val="es-ES"/>
        </w:rPr>
      </w:pPr>
      <w:r w:rsidRPr="00210839">
        <w:rPr>
          <w:rStyle w:val="FootnoteReference"/>
          <w:rFonts w:ascii="Arial" w:hAnsi="Arial" w:cs="Arial"/>
          <w:sz w:val="10"/>
          <w:szCs w:val="10"/>
        </w:rPr>
        <w:footnoteRef/>
      </w:r>
      <w:r w:rsidRPr="00210839">
        <w:rPr>
          <w:rFonts w:ascii="Arial" w:hAnsi="Arial" w:cs="Arial"/>
          <w:sz w:val="10"/>
          <w:szCs w:val="10"/>
        </w:rPr>
        <w:t xml:space="preserve"> </w:t>
      </w:r>
      <w:r w:rsidRPr="00210839">
        <w:rPr>
          <w:rFonts w:ascii="Arial" w:hAnsi="Arial" w:cs="Arial"/>
          <w:sz w:val="10"/>
          <w:szCs w:val="10"/>
          <w:lang w:val="es-ES"/>
        </w:rPr>
        <w:t xml:space="preserve">Como las señaladas a continuación: “Los servidores públicos” (art. 8, num. 1º, lit. f),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num. 2º, lit. d), Ley 80/93); “Los miembros de las juntas o consejos directivos. Esta incompatibilidad sólo se predica respecto de la entidad a la cual prestan sus servicios y de las del sector administrativo al que la misma esté adscrita o vinculada” (art. 8, num. 2º, lit. e), Ley 80/93); “Quien haya celebrado un contrato estatal de obra pública, de concesión, suministro de medicamentos y de alimentos o su cónyuge, compañero o compañera permanente, pariente hasta el segundo grado de consaguinidad, segundo de afinidad y/o primero civil o sus socios en sociedades distintas de las anónimas abiertas, con las entidades a que se refiere el artículo 2o de la Ley 80 de 1993, durante el plazo de ejecución y hasta la liquidación del mismo, no podrán celebrar contratos de interventoría con la misma entidad” (art. 5, Ley 1474/11). </w:t>
      </w:r>
    </w:p>
    <w:p w14:paraId="69FF3AB4" w14:textId="77777777" w:rsidR="00DB3754" w:rsidRPr="00210839" w:rsidRDefault="00DB3754" w:rsidP="00DB3754">
      <w:pPr>
        <w:spacing w:after="0" w:line="240" w:lineRule="auto"/>
        <w:ind w:firstLine="709"/>
        <w:jc w:val="both"/>
        <w:rPr>
          <w:rFonts w:ascii="Arial" w:hAnsi="Arial" w:cs="Arial"/>
          <w:sz w:val="10"/>
          <w:szCs w:val="10"/>
          <w:lang w:val="es-ES"/>
        </w:rPr>
      </w:pPr>
    </w:p>
  </w:footnote>
  <w:footnote w:id="18">
    <w:p w14:paraId="7F7BEFDE" w14:textId="77777777" w:rsidR="00DB3754" w:rsidRPr="00210839" w:rsidRDefault="00DB3754" w:rsidP="00DB3754">
      <w:pPr>
        <w:pStyle w:val="FootnoteText"/>
        <w:ind w:firstLine="709"/>
        <w:jc w:val="both"/>
        <w:rPr>
          <w:rFonts w:ascii="Arial" w:hAnsi="Arial" w:cs="Arial"/>
          <w:sz w:val="10"/>
          <w:szCs w:val="10"/>
        </w:rPr>
      </w:pPr>
      <w:r w:rsidRPr="00210839">
        <w:rPr>
          <w:rStyle w:val="FootnoteReference"/>
          <w:rFonts w:ascii="Arial" w:hAnsi="Arial" w:cs="Arial"/>
          <w:sz w:val="10"/>
          <w:szCs w:val="10"/>
        </w:rPr>
        <w:footnoteRef/>
      </w:r>
      <w:r w:rsidRPr="00210839">
        <w:rPr>
          <w:rFonts w:ascii="Arial" w:hAnsi="Arial" w:cs="Arial"/>
          <w:sz w:val="10"/>
          <w:szCs w:val="10"/>
        </w:rPr>
        <w:t xml:space="preserve"> En esta línea Dávila Vinueza Expresa: “El legislador para calificar estas prohibiciones emplea dos vocablos: Inhabilidades o incompatibilidades, los cuales en un examen desprevenido podrían sugerir ideas diferentes y en consecuencia, efectos también distintos. Sin embargo, se trata de conceptos que no producen distinciones más allá de las puramente semánticas. En nada afecta el calificar una causal con denominación diferente a la empleada en el texto legal, cuando mucho se criticará la falta de precisión. Ello es así por cuanto los efectos jurídicos que se general para una y otra son exactamente los mismos. Incluso se podría afirmar que ante la semejanza de las figuras, conviene emplear un único vocablo, con lo cual serían innecesarias los intentos y las elucubraciones y explicaciones, algunas novedosas que podrían ensayarse”. (DÁVILA VINUEZA, Luis Guillermo. Régimen jurídico de la contratación estatal. 3ª ed. Bogotá: Legis, 2016. p. 148).</w:t>
      </w:r>
    </w:p>
    <w:p w14:paraId="50AE07BE" w14:textId="77777777" w:rsidR="00DB3754" w:rsidRPr="00210839" w:rsidRDefault="00DB3754" w:rsidP="00DB3754">
      <w:pPr>
        <w:pStyle w:val="FootnoteText"/>
        <w:ind w:firstLine="709"/>
        <w:jc w:val="both"/>
        <w:rPr>
          <w:rFonts w:ascii="Arial" w:hAnsi="Arial" w:cs="Arial"/>
          <w:sz w:val="10"/>
          <w:szCs w:val="10"/>
        </w:rPr>
      </w:pPr>
    </w:p>
  </w:footnote>
  <w:footnote w:id="19">
    <w:p w14:paraId="3F6BD3AC" w14:textId="77777777" w:rsidR="00DB3754" w:rsidRPr="00210839" w:rsidRDefault="00DB3754" w:rsidP="00DB3754">
      <w:pPr>
        <w:pStyle w:val="FootnoteText"/>
        <w:ind w:firstLine="709"/>
        <w:jc w:val="both"/>
        <w:rPr>
          <w:rFonts w:ascii="Arial" w:hAnsi="Arial" w:cs="Arial"/>
          <w:sz w:val="10"/>
          <w:szCs w:val="10"/>
          <w:lang w:val="es-ES"/>
        </w:rPr>
      </w:pPr>
      <w:r w:rsidRPr="00210839">
        <w:rPr>
          <w:rStyle w:val="FootnoteReference"/>
          <w:rFonts w:ascii="Arial" w:hAnsi="Arial" w:cs="Arial"/>
          <w:sz w:val="10"/>
          <w:szCs w:val="10"/>
        </w:rPr>
        <w:footnoteRef/>
      </w:r>
      <w:r w:rsidRPr="00210839">
        <w:rPr>
          <w:rFonts w:ascii="Arial" w:hAnsi="Arial" w:cs="Arial"/>
          <w:sz w:val="10"/>
          <w:szCs w:val="10"/>
        </w:rPr>
        <w:t xml:space="preserve"> </w:t>
      </w:r>
      <w:r w:rsidRPr="00210839">
        <w:rPr>
          <w:rFonts w:ascii="Arial" w:hAnsi="Arial" w:cs="Arial"/>
          <w:sz w:val="10"/>
          <w:szCs w:val="10"/>
          <w:lang w:val="es-ES"/>
        </w:rPr>
        <w:t>BARRETO ROZO, Antonio Alejandro. Inhabilidades de la contratación estatal, efectos y neopunitivismo en el Estatuto Anticorrupción. En: ALVIAR GARCÍA, Helena (Coordinadora). Nuevas tendencias del Derecho administrativo. Bogotá: Universidad de los Andes; Temis, 2016. pp. 63-99.</w:t>
      </w:r>
    </w:p>
    <w:p w14:paraId="26A44A8C" w14:textId="77777777" w:rsidR="00DB3754" w:rsidRPr="00210839" w:rsidRDefault="00DB3754" w:rsidP="00DB3754">
      <w:pPr>
        <w:pStyle w:val="FootnoteText"/>
        <w:ind w:firstLine="709"/>
        <w:jc w:val="both"/>
        <w:rPr>
          <w:rFonts w:ascii="Arial" w:hAnsi="Arial" w:cs="Arial"/>
          <w:sz w:val="10"/>
          <w:szCs w:val="10"/>
          <w:lang w:val="es-ES"/>
        </w:rPr>
      </w:pPr>
    </w:p>
  </w:footnote>
  <w:footnote w:id="20">
    <w:p w14:paraId="07CCA744" w14:textId="77777777" w:rsidR="00DB3754" w:rsidRPr="00210839" w:rsidRDefault="00DB3754" w:rsidP="00DB3754">
      <w:pPr>
        <w:pStyle w:val="FootnoteText"/>
        <w:ind w:firstLine="709"/>
        <w:jc w:val="both"/>
        <w:rPr>
          <w:rFonts w:ascii="Arial" w:hAnsi="Arial" w:cs="Arial"/>
          <w:sz w:val="10"/>
          <w:szCs w:val="10"/>
          <w:lang w:val="es-ES_tradnl"/>
        </w:rPr>
      </w:pPr>
      <w:r w:rsidRPr="00210839">
        <w:rPr>
          <w:rStyle w:val="FootnoteReference"/>
          <w:rFonts w:ascii="Arial" w:hAnsi="Arial" w:cs="Arial"/>
          <w:sz w:val="10"/>
          <w:szCs w:val="10"/>
        </w:rPr>
        <w:footnoteRef/>
      </w:r>
      <w:r w:rsidRPr="00210839">
        <w:rPr>
          <w:rFonts w:ascii="Arial" w:hAnsi="Arial" w:cs="Arial"/>
          <w:sz w:val="10"/>
          <w:szCs w:val="10"/>
        </w:rPr>
        <w:t xml:space="preserve"> </w:t>
      </w:r>
      <w:r w:rsidRPr="00210839">
        <w:rPr>
          <w:rFonts w:ascii="Arial" w:hAnsi="Arial" w:cs="Arial"/>
          <w:sz w:val="10"/>
          <w:szCs w:val="10"/>
          <w:lang w:val="es-ES"/>
        </w:rPr>
        <w:t>Ibídem. p. 69.</w:t>
      </w:r>
    </w:p>
  </w:footnote>
  <w:footnote w:id="21">
    <w:p w14:paraId="51399D57" w14:textId="77777777" w:rsidR="00DB3754" w:rsidRPr="00210839" w:rsidRDefault="00DB3754" w:rsidP="00DB3754">
      <w:pPr>
        <w:pStyle w:val="FootnoteText"/>
        <w:ind w:firstLine="709"/>
        <w:jc w:val="both"/>
        <w:rPr>
          <w:rFonts w:ascii="Arial" w:hAnsi="Arial" w:cs="Arial"/>
          <w:sz w:val="10"/>
          <w:szCs w:val="10"/>
          <w:lang w:val="es-ES"/>
        </w:rPr>
      </w:pPr>
      <w:r w:rsidRPr="00210839">
        <w:rPr>
          <w:rStyle w:val="FootnoteReference"/>
          <w:rFonts w:ascii="Arial" w:hAnsi="Arial" w:cs="Arial"/>
          <w:sz w:val="10"/>
          <w:szCs w:val="10"/>
        </w:rPr>
        <w:footnoteRef/>
      </w:r>
      <w:r w:rsidRPr="00210839">
        <w:rPr>
          <w:rFonts w:ascii="Arial" w:hAnsi="Arial" w:cs="Arial"/>
          <w:sz w:val="10"/>
          <w:szCs w:val="10"/>
        </w:rPr>
        <w:t xml:space="preserve"> </w:t>
      </w:r>
      <w:r w:rsidRPr="00210839">
        <w:rPr>
          <w:rFonts w:ascii="Arial" w:hAnsi="Arial" w:cs="Arial"/>
          <w:sz w:val="10"/>
          <w:szCs w:val="10"/>
          <w:lang w:val="es-ES"/>
        </w:rPr>
        <w:t xml:space="preserve">CORTE CONSTITUCIONAL. Sentencia T-1039 de 2006. M.P. Humberto Sierra Porto. La Corte Constitucional ha mantenido este criterio en las sentencias: C-903 de 2008. M.P. Jaime Araujo Rentería; C-101 de 2018. M.P. Gloria Stella Ortiz Delgado; entre otras. </w:t>
      </w:r>
    </w:p>
    <w:p w14:paraId="2A55F0F1" w14:textId="77777777" w:rsidR="00DB3754" w:rsidRPr="00210839" w:rsidRDefault="00DB3754" w:rsidP="00DB3754">
      <w:pPr>
        <w:pStyle w:val="FootnoteText"/>
        <w:ind w:firstLine="709"/>
        <w:jc w:val="both"/>
        <w:rPr>
          <w:rFonts w:ascii="Arial" w:hAnsi="Arial" w:cs="Arial"/>
          <w:sz w:val="10"/>
          <w:szCs w:val="10"/>
          <w:lang w:val="es-ES"/>
        </w:rPr>
      </w:pPr>
    </w:p>
  </w:footnote>
  <w:footnote w:id="22">
    <w:p w14:paraId="3E091B54" w14:textId="77777777" w:rsidR="00DB3754" w:rsidRPr="00210839" w:rsidRDefault="00DB3754" w:rsidP="00DB3754">
      <w:pPr>
        <w:pStyle w:val="FootnoteText"/>
        <w:ind w:firstLine="709"/>
        <w:jc w:val="both"/>
        <w:rPr>
          <w:rFonts w:ascii="Arial" w:hAnsi="Arial" w:cs="Arial"/>
          <w:sz w:val="10"/>
          <w:szCs w:val="10"/>
        </w:rPr>
      </w:pPr>
    </w:p>
    <w:p w14:paraId="7E6A2DD1" w14:textId="77777777" w:rsidR="00DB3754" w:rsidRPr="00210839" w:rsidRDefault="00DB3754" w:rsidP="00DB3754">
      <w:pPr>
        <w:pStyle w:val="FootnoteText"/>
        <w:ind w:firstLine="709"/>
        <w:jc w:val="both"/>
        <w:rPr>
          <w:rFonts w:ascii="Arial" w:hAnsi="Arial" w:cs="Arial"/>
          <w:sz w:val="10"/>
          <w:szCs w:val="10"/>
          <w:lang w:val="es-ES"/>
        </w:rPr>
      </w:pPr>
      <w:r w:rsidRPr="00210839">
        <w:rPr>
          <w:rStyle w:val="FootnoteReference"/>
          <w:rFonts w:ascii="Arial" w:hAnsi="Arial" w:cs="Arial"/>
          <w:sz w:val="10"/>
          <w:szCs w:val="10"/>
        </w:rPr>
        <w:footnoteRef/>
      </w:r>
      <w:r w:rsidRPr="00210839">
        <w:rPr>
          <w:rFonts w:ascii="Arial" w:hAnsi="Arial" w:cs="Arial"/>
          <w:sz w:val="10"/>
          <w:szCs w:val="10"/>
        </w:rPr>
        <w:t xml:space="preserve"> </w:t>
      </w:r>
      <w:r w:rsidRPr="00210839">
        <w:rPr>
          <w:rFonts w:ascii="Arial" w:hAnsi="Arial" w:cs="Arial"/>
          <w:sz w:val="10"/>
          <w:szCs w:val="10"/>
          <w:lang w:val="es-ES"/>
        </w:rPr>
        <w:t>CONSEJO DE ESTADO. Sala de Consulta y Servicio Civil. Concepto del 30 de abril de 2015. Exp. 2251. C.P. Álvaro Namén Vargas.</w:t>
      </w:r>
    </w:p>
  </w:footnote>
  <w:footnote w:id="23">
    <w:p w14:paraId="4A6CB5FE" w14:textId="77777777" w:rsidR="00DB3754" w:rsidRPr="00210839" w:rsidRDefault="00DB3754" w:rsidP="00DB3754">
      <w:pPr>
        <w:pStyle w:val="FootnoteText"/>
        <w:ind w:firstLine="709"/>
        <w:jc w:val="both"/>
        <w:rPr>
          <w:rFonts w:ascii="Arial" w:hAnsi="Arial" w:cs="Arial"/>
          <w:sz w:val="10"/>
          <w:szCs w:val="10"/>
        </w:rPr>
      </w:pPr>
    </w:p>
    <w:p w14:paraId="478EAFE8" w14:textId="77777777" w:rsidR="00DB3754" w:rsidRPr="00210839" w:rsidRDefault="00DB3754" w:rsidP="00DB3754">
      <w:pPr>
        <w:pStyle w:val="FootnoteText"/>
        <w:ind w:firstLine="709"/>
        <w:jc w:val="both"/>
        <w:rPr>
          <w:rFonts w:ascii="Arial" w:hAnsi="Arial" w:cs="Arial"/>
          <w:sz w:val="10"/>
          <w:szCs w:val="10"/>
        </w:rPr>
      </w:pPr>
      <w:r w:rsidRPr="00210839">
        <w:rPr>
          <w:rStyle w:val="FootnoteReference"/>
          <w:rFonts w:ascii="Arial" w:hAnsi="Arial" w:cs="Arial"/>
          <w:sz w:val="10"/>
          <w:szCs w:val="10"/>
        </w:rPr>
        <w:footnoteRef/>
      </w:r>
      <w:r w:rsidRPr="00210839">
        <w:rPr>
          <w:rFonts w:ascii="Arial" w:hAnsi="Arial" w:cs="Arial"/>
          <w:sz w:val="10"/>
          <w:szCs w:val="10"/>
        </w:rPr>
        <w:t xml:space="preserve"> CONSEJO DE ESTADO. Sección Tercera. Subsección A. Sentencia del 24 de junio de 2015. Exp. 40.635. C.P. Hernán Andrade Rincón (E).</w:t>
      </w:r>
    </w:p>
  </w:footnote>
  <w:footnote w:id="24">
    <w:p w14:paraId="47FF40EE" w14:textId="77777777" w:rsidR="00DB3754" w:rsidRPr="00210839" w:rsidRDefault="00DB3754" w:rsidP="00DB3754">
      <w:pPr>
        <w:pStyle w:val="FootnoteText"/>
        <w:ind w:firstLine="709"/>
        <w:jc w:val="both"/>
        <w:rPr>
          <w:rFonts w:ascii="Arial" w:hAnsi="Arial" w:cs="Arial"/>
          <w:sz w:val="10"/>
          <w:szCs w:val="10"/>
          <w:lang w:val="es-ES_tradnl"/>
        </w:rPr>
      </w:pPr>
      <w:r w:rsidRPr="00210839">
        <w:rPr>
          <w:rStyle w:val="FootnoteReference"/>
          <w:rFonts w:ascii="Arial" w:hAnsi="Arial" w:cs="Arial"/>
          <w:sz w:val="10"/>
          <w:szCs w:val="10"/>
        </w:rPr>
        <w:footnoteRef/>
      </w:r>
      <w:r w:rsidRPr="00210839">
        <w:rPr>
          <w:rFonts w:ascii="Arial" w:hAnsi="Arial" w:cs="Arial"/>
          <w:sz w:val="10"/>
          <w:szCs w:val="10"/>
        </w:rPr>
        <w:t xml:space="preserve"> CONSEJO DE ESTADO. Sección Tercera. Subsección C. Sentencia del 22 de mayo de 2013. Rad. 24.057. C.P. Olga Mélida Valle De De La Hoz. </w:t>
      </w:r>
    </w:p>
  </w:footnote>
  <w:footnote w:id="25">
    <w:p w14:paraId="266AC8A6" w14:textId="77777777" w:rsidR="00DB3754" w:rsidRPr="00210839" w:rsidRDefault="00DB3754" w:rsidP="00DB3754">
      <w:pPr>
        <w:pStyle w:val="FootnoteText"/>
        <w:ind w:firstLine="709"/>
        <w:jc w:val="both"/>
        <w:rPr>
          <w:rFonts w:ascii="Arial" w:hAnsi="Arial" w:cs="Arial"/>
          <w:sz w:val="10"/>
          <w:szCs w:val="10"/>
          <w:lang w:val="pt-BR"/>
        </w:rPr>
      </w:pPr>
      <w:r w:rsidRPr="00210839">
        <w:rPr>
          <w:rStyle w:val="FootnoteReference"/>
          <w:rFonts w:ascii="Arial" w:hAnsi="Arial" w:cs="Arial"/>
          <w:sz w:val="10"/>
          <w:szCs w:val="10"/>
        </w:rPr>
        <w:footnoteRef/>
      </w:r>
      <w:r w:rsidRPr="00210839">
        <w:rPr>
          <w:rFonts w:ascii="Arial" w:hAnsi="Arial" w:cs="Arial"/>
          <w:sz w:val="10"/>
          <w:szCs w:val="10"/>
        </w:rPr>
        <w:t xml:space="preserve"> </w:t>
      </w:r>
      <w:r w:rsidRPr="00210839">
        <w:rPr>
          <w:rFonts w:ascii="Arial" w:hAnsi="Arial" w:cs="Arial"/>
          <w:sz w:val="10"/>
          <w:szCs w:val="10"/>
          <w:lang w:val="pt-BR"/>
        </w:rPr>
        <w:t>Corte Constitucional. Sentencia C-415 de 1994. M.P. Eduardo Cifuentes Muñoz.</w:t>
      </w:r>
    </w:p>
    <w:p w14:paraId="69A04824" w14:textId="77777777" w:rsidR="00DB3754" w:rsidRPr="00210839" w:rsidRDefault="00DB3754" w:rsidP="00DB3754">
      <w:pPr>
        <w:pStyle w:val="FootnoteText"/>
        <w:ind w:firstLine="709"/>
        <w:jc w:val="both"/>
        <w:rPr>
          <w:rFonts w:ascii="Arial" w:hAnsi="Arial" w:cs="Arial"/>
          <w:sz w:val="10"/>
          <w:szCs w:val="10"/>
          <w:lang w:val="pt-BR"/>
        </w:rPr>
      </w:pPr>
    </w:p>
  </w:footnote>
  <w:footnote w:id="26">
    <w:p w14:paraId="2E6818C7" w14:textId="77777777" w:rsidR="006C33D8" w:rsidRPr="00210839" w:rsidRDefault="006C33D8" w:rsidP="006C33D8">
      <w:pPr>
        <w:pStyle w:val="FootnoteText"/>
        <w:ind w:firstLine="709"/>
        <w:jc w:val="both"/>
        <w:rPr>
          <w:rFonts w:ascii="Arial" w:hAnsi="Arial" w:cs="Arial"/>
          <w:color w:val="000000" w:themeColor="text1"/>
          <w:sz w:val="10"/>
          <w:szCs w:val="10"/>
        </w:rPr>
      </w:pPr>
      <w:r w:rsidRPr="00210839">
        <w:rPr>
          <w:rStyle w:val="FootnoteReference"/>
          <w:rFonts w:ascii="Arial" w:hAnsi="Arial" w:cs="Arial"/>
          <w:sz w:val="10"/>
          <w:szCs w:val="10"/>
        </w:rPr>
        <w:footnoteRef/>
      </w:r>
      <w:r w:rsidRPr="00210839">
        <w:rPr>
          <w:rFonts w:ascii="Arial" w:hAnsi="Arial" w:cs="Arial"/>
          <w:sz w:val="10"/>
          <w:szCs w:val="10"/>
        </w:rPr>
        <w:t xml:space="preserve"> </w:t>
      </w:r>
      <w:r w:rsidRPr="00210839">
        <w:rPr>
          <w:rFonts w:ascii="Arial" w:hAnsi="Arial" w:cs="Arial"/>
          <w:color w:val="000000" w:themeColor="text1"/>
          <w:sz w:val="10"/>
          <w:szCs w:val="10"/>
          <w:lang w:val="pt-BR"/>
        </w:rPr>
        <w:t xml:space="preserve">CONSEJO DE ESTADO. Sala de lo contencioso administrativo. Sentencia del 12 de diciembre de 2014. Exp. 26496. C.P. Ramiro Pazos Guerrero. </w:t>
      </w:r>
      <w:r w:rsidRPr="00210839">
        <w:rPr>
          <w:rFonts w:ascii="Arial" w:hAnsi="Arial" w:cs="Arial"/>
          <w:color w:val="000000" w:themeColor="text1"/>
          <w:sz w:val="10"/>
          <w:szCs w:val="10"/>
        </w:rPr>
        <w:t>En similar sentido, la doctrina expresa que: “[…] las causales de inhabilidad e incompatibilidad resultan ser las que la ley de manera expresa señala, no siendo factible para las entidades estatales, crearlas en los pliegos de condiciones que elaboran” (DAVILA VINUEZA, Luis Guillermo Régimen jurídico de la contratación estatal: aproximación crítica a Ley 80 de 1993. 3ª ed. Bogotá: Legis, 2016. p. 149.</w:t>
      </w:r>
    </w:p>
    <w:p w14:paraId="6A8B49C1" w14:textId="77777777" w:rsidR="006C33D8" w:rsidRPr="00210839" w:rsidRDefault="006C33D8" w:rsidP="006C33D8">
      <w:pPr>
        <w:pStyle w:val="FootnoteText"/>
        <w:ind w:firstLine="709"/>
        <w:jc w:val="both"/>
        <w:rPr>
          <w:rFonts w:ascii="Arial" w:hAnsi="Arial" w:cs="Arial"/>
          <w:color w:val="000000" w:themeColor="text1"/>
          <w:sz w:val="10"/>
          <w:szCs w:val="10"/>
        </w:rPr>
      </w:pPr>
    </w:p>
  </w:footnote>
  <w:footnote w:id="27">
    <w:p w14:paraId="7C996B8B" w14:textId="77777777" w:rsidR="006C33D8" w:rsidRPr="00660381" w:rsidRDefault="006C33D8" w:rsidP="006C33D8">
      <w:pPr>
        <w:pStyle w:val="FootnoteText"/>
        <w:ind w:firstLine="709"/>
        <w:jc w:val="both"/>
        <w:rPr>
          <w:rFonts w:ascii="Arial" w:hAnsi="Arial" w:cs="Arial"/>
          <w:sz w:val="14"/>
          <w:szCs w:val="14"/>
          <w:lang w:val="es-ES_tradnl"/>
        </w:rPr>
      </w:pPr>
      <w:r w:rsidRPr="00210839">
        <w:rPr>
          <w:rStyle w:val="FootnoteReference"/>
          <w:rFonts w:ascii="Arial" w:hAnsi="Arial" w:cs="Arial"/>
          <w:sz w:val="10"/>
          <w:szCs w:val="10"/>
        </w:rPr>
        <w:footnoteRef/>
      </w:r>
      <w:r w:rsidRPr="00210839">
        <w:rPr>
          <w:rFonts w:ascii="Arial" w:hAnsi="Arial" w:cs="Arial"/>
          <w:sz w:val="10"/>
          <w:szCs w:val="10"/>
        </w:rPr>
        <w:t xml:space="preserve"> </w:t>
      </w:r>
      <w:r w:rsidRPr="00210839">
        <w:rPr>
          <w:rFonts w:ascii="Arial" w:hAnsi="Arial" w:cs="Arial"/>
          <w:color w:val="000000" w:themeColor="text1"/>
          <w:sz w:val="10"/>
          <w:szCs w:val="10"/>
        </w:rPr>
        <w:t>CONSEJO DE ESTADO. Sala de Consulta y Servicio Civil. Concepto del 29 de abril de 1998. Rad. 1097. C.P. Augusto Trejos Jaramillo.</w:t>
      </w:r>
    </w:p>
  </w:footnote>
  <w:footnote w:id="28">
    <w:p w14:paraId="24BFAC0F" w14:textId="77777777" w:rsidR="006C33D8" w:rsidRPr="00806471" w:rsidRDefault="006C33D8" w:rsidP="006C33D8">
      <w:pPr>
        <w:pStyle w:val="FootnoteText"/>
        <w:jc w:val="both"/>
        <w:rPr>
          <w:lang w:val="es-CO"/>
        </w:rPr>
      </w:pPr>
      <w:r>
        <w:rPr>
          <w:rStyle w:val="FootnoteReference"/>
        </w:rPr>
        <w:footnoteRef/>
      </w:r>
      <w:r>
        <w:t xml:space="preserve"> </w:t>
      </w:r>
      <w:r>
        <w:rPr>
          <w:lang w:val="es-CO"/>
        </w:rPr>
        <w:t>Consejo de Estado, Sala de Consulta y Servicio Civil, concepto del 24 de abril de 2012, radicado interno 2099.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Picture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Picture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Header"/>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48B10C9"/>
    <w:multiLevelType w:val="hybridMultilevel"/>
    <w:tmpl w:val="0D8E6D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0"/>
  </w:num>
  <w:num w:numId="3" w16cid:durableId="1897622572">
    <w:abstractNumId w:val="1"/>
  </w:num>
  <w:num w:numId="4" w16cid:durableId="1249657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83334"/>
    <w:rsid w:val="000956CF"/>
    <w:rsid w:val="000A683E"/>
    <w:rsid w:val="0011595A"/>
    <w:rsid w:val="001220C5"/>
    <w:rsid w:val="001267F7"/>
    <w:rsid w:val="00127233"/>
    <w:rsid w:val="00130999"/>
    <w:rsid w:val="00164D81"/>
    <w:rsid w:val="001A1011"/>
    <w:rsid w:val="001A48D0"/>
    <w:rsid w:val="001A5CF3"/>
    <w:rsid w:val="001E7404"/>
    <w:rsid w:val="002653C1"/>
    <w:rsid w:val="0026611D"/>
    <w:rsid w:val="002951A0"/>
    <w:rsid w:val="002A64FD"/>
    <w:rsid w:val="002F0839"/>
    <w:rsid w:val="00301469"/>
    <w:rsid w:val="00306EE1"/>
    <w:rsid w:val="00310B9B"/>
    <w:rsid w:val="0036461C"/>
    <w:rsid w:val="00367884"/>
    <w:rsid w:val="00387CDE"/>
    <w:rsid w:val="0039439C"/>
    <w:rsid w:val="003A356C"/>
    <w:rsid w:val="003B69E7"/>
    <w:rsid w:val="003C013B"/>
    <w:rsid w:val="003D0F4D"/>
    <w:rsid w:val="003F58A1"/>
    <w:rsid w:val="00410DD6"/>
    <w:rsid w:val="004111A9"/>
    <w:rsid w:val="004134C9"/>
    <w:rsid w:val="0043138C"/>
    <w:rsid w:val="00462A59"/>
    <w:rsid w:val="004A1847"/>
    <w:rsid w:val="004B6B0E"/>
    <w:rsid w:val="004D25B3"/>
    <w:rsid w:val="004E5A25"/>
    <w:rsid w:val="00511405"/>
    <w:rsid w:val="00526E9D"/>
    <w:rsid w:val="00533DF2"/>
    <w:rsid w:val="00547856"/>
    <w:rsid w:val="00547A74"/>
    <w:rsid w:val="005566E8"/>
    <w:rsid w:val="005746AB"/>
    <w:rsid w:val="0059357F"/>
    <w:rsid w:val="005A1130"/>
    <w:rsid w:val="005D65C8"/>
    <w:rsid w:val="00607AEE"/>
    <w:rsid w:val="006219F8"/>
    <w:rsid w:val="00681FDB"/>
    <w:rsid w:val="006A7DAD"/>
    <w:rsid w:val="006C33D8"/>
    <w:rsid w:val="006D70BA"/>
    <w:rsid w:val="0071198D"/>
    <w:rsid w:val="007566FE"/>
    <w:rsid w:val="0076726F"/>
    <w:rsid w:val="0077144B"/>
    <w:rsid w:val="00793403"/>
    <w:rsid w:val="00795E57"/>
    <w:rsid w:val="007C0CDF"/>
    <w:rsid w:val="007E2A2F"/>
    <w:rsid w:val="007F2B7C"/>
    <w:rsid w:val="00811651"/>
    <w:rsid w:val="00820F5B"/>
    <w:rsid w:val="00833452"/>
    <w:rsid w:val="008614E5"/>
    <w:rsid w:val="008678EB"/>
    <w:rsid w:val="00875894"/>
    <w:rsid w:val="00881C10"/>
    <w:rsid w:val="00890411"/>
    <w:rsid w:val="008D5C70"/>
    <w:rsid w:val="009025AF"/>
    <w:rsid w:val="00904F23"/>
    <w:rsid w:val="00906B3C"/>
    <w:rsid w:val="0095342C"/>
    <w:rsid w:val="009F33F2"/>
    <w:rsid w:val="009F6C77"/>
    <w:rsid w:val="00A07532"/>
    <w:rsid w:val="00A1085C"/>
    <w:rsid w:val="00A309E2"/>
    <w:rsid w:val="00A60935"/>
    <w:rsid w:val="00A8066E"/>
    <w:rsid w:val="00AA4B8A"/>
    <w:rsid w:val="00AA6BF7"/>
    <w:rsid w:val="00AC61C9"/>
    <w:rsid w:val="00B01ED6"/>
    <w:rsid w:val="00B06D09"/>
    <w:rsid w:val="00B771A9"/>
    <w:rsid w:val="00B809BB"/>
    <w:rsid w:val="00B8248A"/>
    <w:rsid w:val="00BB7726"/>
    <w:rsid w:val="00BF4D6F"/>
    <w:rsid w:val="00C2329E"/>
    <w:rsid w:val="00C30461"/>
    <w:rsid w:val="00C754BE"/>
    <w:rsid w:val="00C87572"/>
    <w:rsid w:val="00C9405D"/>
    <w:rsid w:val="00CC1B26"/>
    <w:rsid w:val="00CD284F"/>
    <w:rsid w:val="00CF23AA"/>
    <w:rsid w:val="00CF7536"/>
    <w:rsid w:val="00D01921"/>
    <w:rsid w:val="00D752B7"/>
    <w:rsid w:val="00DA1854"/>
    <w:rsid w:val="00DB0887"/>
    <w:rsid w:val="00DB3754"/>
    <w:rsid w:val="00DC0193"/>
    <w:rsid w:val="00DF1E43"/>
    <w:rsid w:val="00E20894"/>
    <w:rsid w:val="00E26B7C"/>
    <w:rsid w:val="00EA26F3"/>
    <w:rsid w:val="00EA3003"/>
    <w:rsid w:val="00EB3C91"/>
    <w:rsid w:val="00EB66DA"/>
    <w:rsid w:val="00EF78B5"/>
    <w:rsid w:val="00F605F2"/>
    <w:rsid w:val="00F76AFC"/>
    <w:rsid w:val="00F8319B"/>
    <w:rsid w:val="00FA5516"/>
    <w:rsid w:val="00FA574A"/>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Heading1">
    <w:name w:val="heading 1"/>
    <w:basedOn w:val="Normal"/>
    <w:link w:val="Heading1Ch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847"/>
    <w:pPr>
      <w:tabs>
        <w:tab w:val="center" w:pos="4419"/>
        <w:tab w:val="right" w:pos="8838"/>
      </w:tabs>
      <w:spacing w:after="0" w:line="240" w:lineRule="auto"/>
    </w:pPr>
  </w:style>
  <w:style w:type="character" w:customStyle="1" w:styleId="HeaderChar">
    <w:name w:val="Header Char"/>
    <w:basedOn w:val="DefaultParagraphFont"/>
    <w:link w:val="Header"/>
    <w:uiPriority w:val="99"/>
    <w:rsid w:val="004A1847"/>
  </w:style>
  <w:style w:type="paragraph" w:styleId="Footer">
    <w:name w:val="footer"/>
    <w:basedOn w:val="Normal"/>
    <w:link w:val="FooterChar"/>
    <w:uiPriority w:val="99"/>
    <w:unhideWhenUsed/>
    <w:rsid w:val="004A1847"/>
    <w:pPr>
      <w:tabs>
        <w:tab w:val="center" w:pos="4419"/>
        <w:tab w:val="right" w:pos="8838"/>
      </w:tabs>
      <w:spacing w:after="0" w:line="240" w:lineRule="auto"/>
    </w:pPr>
  </w:style>
  <w:style w:type="character" w:customStyle="1" w:styleId="FooterChar">
    <w:name w:val="Footer Char"/>
    <w:basedOn w:val="DefaultParagraphFont"/>
    <w:link w:val="Footer"/>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FootnoteTextChar">
    <w:name w:val="Footnote Text Char"/>
    <w:aliases w:val="Ref. de nota al pie1 Char,Texto de nota al pie Char,referencia nota al pie Char,Appel note de bas de page Char,Footnotes refss Char,Footnote number Char,BVI fnr Char,Footnote Text Char Char Char Char Char Char,Footnote reference Char"/>
    <w:basedOn w:val="DefaultParagraphFont"/>
    <w:link w:val="FootnoteText"/>
    <w:uiPriority w:val="99"/>
    <w:qFormat/>
    <w:locked/>
    <w:rsid w:val="006219F8"/>
    <w:rPr>
      <w:sz w:val="20"/>
      <w:szCs w:val="20"/>
      <w:lang w:val="es-MX"/>
    </w:rPr>
  </w:style>
  <w:style w:type="paragraph" w:styleId="FootnoteText">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FootnoteTextChar"/>
    <w:uiPriority w:val="99"/>
    <w:unhideWhenUsed/>
    <w:qFormat/>
    <w:rsid w:val="006219F8"/>
    <w:pPr>
      <w:spacing w:after="0" w:line="240" w:lineRule="auto"/>
    </w:pPr>
    <w:rPr>
      <w:sz w:val="20"/>
      <w:szCs w:val="20"/>
      <w:lang w:val="es-MX"/>
    </w:rPr>
  </w:style>
  <w:style w:type="character" w:customStyle="1" w:styleId="TextonotapieCar1">
    <w:name w:val="Texto nota pie Car1"/>
    <w:basedOn w:val="DefaultParagraphFont"/>
    <w:uiPriority w:val="99"/>
    <w:semiHidden/>
    <w:rsid w:val="006219F8"/>
    <w:rPr>
      <w:sz w:val="20"/>
      <w:szCs w:val="20"/>
    </w:rPr>
  </w:style>
  <w:style w:type="character" w:styleId="FootnoteReference">
    <w:name w:val="footnote reference"/>
    <w:aliases w:val="Ref. de nota al pie 2,Ref,de nota al pie,FC,Appel note de bas de p,f,4_G,16 Point,Superscript 6 Point,Texto nota al pie,Pie de Página,Texto de nota al pi,Nota de pie,Texto de nota al p,Footnote symbol,Footnote,Ref. de nota al pie2,F"/>
    <w:basedOn w:val="DefaultParagraphFont"/>
    <w:link w:val="Appelnotedebasde"/>
    <w:uiPriority w:val="99"/>
    <w:unhideWhenUsed/>
    <w:qFormat/>
    <w:rsid w:val="006219F8"/>
    <w:rPr>
      <w:vertAlign w:val="superscript"/>
    </w:rPr>
  </w:style>
  <w:style w:type="character" w:customStyle="1" w:styleId="normaltextrun">
    <w:name w:val="normaltextrun"/>
    <w:basedOn w:val="DefaultParagraphFont"/>
    <w:rsid w:val="006219F8"/>
  </w:style>
  <w:style w:type="table" w:styleId="TableGrid">
    <w:name w:val="Table Grid"/>
    <w:basedOn w:val="Table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66E8"/>
    <w:pPr>
      <w:ind w:left="720"/>
      <w:contextualSpacing/>
    </w:pPr>
    <w:rPr>
      <w:rFonts w:ascii="Geomanist Light" w:hAnsi="Geomanist Light"/>
      <w:lang w:val="es-ES"/>
    </w:rPr>
  </w:style>
  <w:style w:type="paragraph" w:styleId="Title">
    <w:name w:val="Title"/>
    <w:basedOn w:val="Normal"/>
    <w:next w:val="Normal"/>
    <w:link w:val="TitleCh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itleChar">
    <w:name w:val="Title Char"/>
    <w:basedOn w:val="DefaultParagraphFont"/>
    <w:link w:val="Title"/>
    <w:uiPriority w:val="10"/>
    <w:rsid w:val="005566E8"/>
    <w:rPr>
      <w:rFonts w:ascii="Geomanist" w:eastAsiaTheme="majorEastAsia" w:hAnsi="Geomanist" w:cstheme="majorBidi"/>
      <w:spacing w:val="-10"/>
      <w:kern w:val="28"/>
      <w:szCs w:val="56"/>
      <w:lang w:val="es-ES"/>
    </w:rPr>
  </w:style>
  <w:style w:type="character" w:customStyle="1" w:styleId="Heading1Char">
    <w:name w:val="Heading 1 Char"/>
    <w:basedOn w:val="DefaultParagraphFont"/>
    <w:link w:val="Heading1"/>
    <w:uiPriority w:val="9"/>
    <w:rsid w:val="00904F23"/>
    <w:rPr>
      <w:rFonts w:ascii="Arial" w:eastAsia="Arial" w:hAnsi="Arial" w:cs="Arial"/>
      <w:b/>
      <w:bCs/>
      <w:lang w:val="es-ES"/>
    </w:rPr>
  </w:style>
  <w:style w:type="character" w:styleId="CommentReference">
    <w:name w:val="annotation reference"/>
    <w:basedOn w:val="DefaultParagraphFont"/>
    <w:uiPriority w:val="99"/>
    <w:semiHidden/>
    <w:unhideWhenUsed/>
    <w:rsid w:val="00511405"/>
    <w:rPr>
      <w:sz w:val="16"/>
      <w:szCs w:val="16"/>
    </w:rPr>
  </w:style>
  <w:style w:type="paragraph" w:styleId="CommentText">
    <w:name w:val="annotation text"/>
    <w:basedOn w:val="Normal"/>
    <w:link w:val="CommentTextChar"/>
    <w:uiPriority w:val="99"/>
    <w:unhideWhenUsed/>
    <w:rsid w:val="00511405"/>
    <w:pPr>
      <w:spacing w:line="240" w:lineRule="auto"/>
    </w:pPr>
    <w:rPr>
      <w:sz w:val="20"/>
      <w:szCs w:val="20"/>
    </w:rPr>
  </w:style>
  <w:style w:type="character" w:customStyle="1" w:styleId="CommentTextChar">
    <w:name w:val="Comment Text Char"/>
    <w:basedOn w:val="DefaultParagraphFont"/>
    <w:link w:val="CommentText"/>
    <w:uiPriority w:val="99"/>
    <w:rsid w:val="00511405"/>
    <w:rPr>
      <w:sz w:val="20"/>
      <w:szCs w:val="20"/>
    </w:rPr>
  </w:style>
  <w:style w:type="paragraph" w:styleId="Revision">
    <w:name w:val="Revision"/>
    <w:hidden/>
    <w:uiPriority w:val="99"/>
    <w:semiHidden/>
    <w:rsid w:val="00511405"/>
    <w:pPr>
      <w:spacing w:after="0" w:line="240" w:lineRule="auto"/>
    </w:pPr>
  </w:style>
  <w:style w:type="paragraph" w:styleId="CommentSubject">
    <w:name w:val="annotation subject"/>
    <w:basedOn w:val="CommentText"/>
    <w:next w:val="CommentText"/>
    <w:link w:val="CommentSubjectChar"/>
    <w:uiPriority w:val="99"/>
    <w:semiHidden/>
    <w:unhideWhenUsed/>
    <w:rsid w:val="00511405"/>
    <w:rPr>
      <w:b/>
      <w:bCs/>
    </w:rPr>
  </w:style>
  <w:style w:type="character" w:customStyle="1" w:styleId="CommentSubjectChar">
    <w:name w:val="Comment Subject Char"/>
    <w:basedOn w:val="CommentTextChar"/>
    <w:link w:val="CommentSubject"/>
    <w:uiPriority w:val="99"/>
    <w:semiHidden/>
    <w:rsid w:val="00511405"/>
    <w:rPr>
      <w:b/>
      <w:bCs/>
      <w:sz w:val="20"/>
      <w:szCs w:val="20"/>
    </w:rPr>
  </w:style>
  <w:style w:type="character" w:styleId="Hyperlink">
    <w:name w:val="Hyperlink"/>
    <w:basedOn w:val="DefaultParagraphFont"/>
    <w:uiPriority w:val="99"/>
    <w:unhideWhenUsed/>
    <w:rsid w:val="00DB3754"/>
    <w:rPr>
      <w:color w:val="0563C1" w:themeColor="hyperlink"/>
      <w:u w:val="single"/>
    </w:rPr>
  </w:style>
  <w:style w:type="paragraph" w:customStyle="1" w:styleId="Appelnotedebasde">
    <w:name w:val="Appel note de bas de..."/>
    <w:basedOn w:val="Normal"/>
    <w:link w:val="FootnoteReference"/>
    <w:uiPriority w:val="99"/>
    <w:rsid w:val="00DB3754"/>
    <w:pPr>
      <w:spacing w:line="240" w:lineRule="exact"/>
    </w:pPr>
    <w:rPr>
      <w:vertAlign w:val="superscript"/>
    </w:rPr>
  </w:style>
  <w:style w:type="paragraph" w:styleId="NormalWeb">
    <w:name w:val="Normal (Web)"/>
    <w:basedOn w:val="Normal"/>
    <w:link w:val="NormalWebChar"/>
    <w:uiPriority w:val="99"/>
    <w:unhideWhenUsed/>
    <w:rsid w:val="00DB375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har">
    <w:name w:val="Normal (Web) Char"/>
    <w:link w:val="NormalWeb"/>
    <w:uiPriority w:val="99"/>
    <w:rsid w:val="00DB3754"/>
    <w:rPr>
      <w:rFonts w:ascii="Times New Roman" w:eastAsia="Times New Roman" w:hAnsi="Times New Roman" w:cs="Times New Roman"/>
      <w:sz w:val="24"/>
      <w:szCs w:val="24"/>
      <w:lang w:eastAsia="es-CO"/>
    </w:rPr>
  </w:style>
  <w:style w:type="paragraph" w:styleId="NoSpacing">
    <w:name w:val="No Spacing"/>
    <w:aliases w:val="No Indent"/>
    <w:uiPriority w:val="3"/>
    <w:qFormat/>
    <w:rsid w:val="00DB3754"/>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18BE-28CB-4D69-955E-CDA788483BED}">
  <ds:schemaRefs>
    <ds:schemaRef ds:uri="8ae15d26-076e-464e-81a7-6f76a0fb3917"/>
    <ds:schemaRef ds:uri="http://schemas.microsoft.com/office/2006/documentManagement/types"/>
    <ds:schemaRef ds:uri="http://purl.org/dc/terms/"/>
    <ds:schemaRef ds:uri="http://schemas.microsoft.com/office/2006/metadata/properties"/>
    <ds:schemaRef ds:uri="http://schemas.openxmlformats.org/package/2006/metadata/core-properties"/>
    <ds:schemaRef ds:uri="cabc2350-70b2-4dba-bb42-96a3175f4d5a"/>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81FA5D36-CF35-435A-90B2-4D142F5A13DE}"/>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6148</Words>
  <Characters>33819</Characters>
  <Application>Microsoft Office Word</Application>
  <DocSecurity>0</DocSecurity>
  <Lines>281</Lines>
  <Paragraphs>79</Paragraphs>
  <ScaleCrop>false</ScaleCrop>
  <Company/>
  <LinksUpToDate>false</LinksUpToDate>
  <CharactersWithSpaces>39888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Ximena Ríos López</cp:lastModifiedBy>
  <cp:revision>6</cp:revision>
  <dcterms:created xsi:type="dcterms:W3CDTF">2023-06-28T03:34:00Z</dcterms:created>
  <dcterms:modified xsi:type="dcterms:W3CDTF">2023-06-28T03:47:00Z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