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04725FCA" w14:textId="77777777" w:rsidR="00F27878" w:rsidRDefault="00F27878" w:rsidP="00F27878">
      <w:pPr>
        <w:jc w:val="both"/>
        <w:rPr>
          <w:rFonts w:ascii="Arial" w:eastAsia="Arial" w:hAnsi="Arial" w:cs="Arial"/>
          <w:b/>
          <w:lang w:val="es-ES_tradnl"/>
        </w:rPr>
      </w:pPr>
      <w:bookmarkStart w:id="0" w:name="_Hlk47949675"/>
      <w:bookmarkStart w:id="1" w:name="_Hlk114827471"/>
      <w:r>
        <w:rPr>
          <w:rFonts w:ascii="Arial" w:hAnsi="Arial" w:cs="Arial"/>
          <w:b/>
          <w:bCs/>
          <w:lang w:val="es-ES_tradnl" w:eastAsia="es-CO"/>
        </w:rPr>
        <w:t xml:space="preserve">LEY DE GARANTÍAS ELECTORALES </w:t>
      </w:r>
      <w:r>
        <w:rPr>
          <w:rFonts w:ascii="Arial" w:eastAsia="Calibri" w:hAnsi="Arial" w:cs="Arial"/>
          <w:b/>
          <w:lang w:val="es-ES_tradnl"/>
        </w:rPr>
        <w:t xml:space="preserve">– </w:t>
      </w:r>
      <w:bookmarkStart w:id="2" w:name="_Hlk97713315"/>
      <w:r>
        <w:rPr>
          <w:rFonts w:ascii="Arial" w:eastAsia="Arial" w:hAnsi="Arial" w:cs="Arial"/>
          <w:b/>
          <w:lang w:val="es-ES_tradnl"/>
        </w:rPr>
        <w:t xml:space="preserve">Definición </w:t>
      </w:r>
      <w:r>
        <w:rPr>
          <w:rFonts w:ascii="Arial" w:eastAsia="Calibri" w:hAnsi="Arial" w:cs="Arial"/>
          <w:b/>
          <w:lang w:val="es-ES_tradnl"/>
        </w:rPr>
        <w:t>– Finalidad</w:t>
      </w:r>
      <w:r>
        <w:rPr>
          <w:rFonts w:ascii="Arial" w:eastAsia="Calibri" w:hAnsi="Arial" w:cs="Arial"/>
          <w:b/>
          <w:bCs/>
          <w:lang w:val="es-ES_tradnl"/>
        </w:rPr>
        <w:t xml:space="preserve"> </w:t>
      </w:r>
    </w:p>
    <w:bookmarkEnd w:id="2"/>
    <w:p w14:paraId="32D16887" w14:textId="77777777" w:rsidR="00F27878" w:rsidRDefault="00F27878" w:rsidP="00F27878">
      <w:pPr>
        <w:jc w:val="both"/>
        <w:rPr>
          <w:rFonts w:ascii="Arial" w:hAnsi="Arial" w:cs="Arial"/>
          <w:b/>
          <w:sz w:val="21"/>
          <w:szCs w:val="21"/>
          <w:lang w:val="es-ES_tradnl" w:eastAsia="es-CO"/>
        </w:rPr>
      </w:pPr>
    </w:p>
    <w:p w14:paraId="26A3D9F6" w14:textId="77777777" w:rsidR="00F27878" w:rsidRDefault="00F27878" w:rsidP="00F27878">
      <w:pPr>
        <w:tabs>
          <w:tab w:val="left" w:pos="426"/>
        </w:tabs>
        <w:jc w:val="both"/>
        <w:rPr>
          <w:rFonts w:ascii="Arial" w:eastAsia="Arial" w:hAnsi="Arial" w:cs="Arial"/>
          <w:sz w:val="21"/>
          <w:szCs w:val="21"/>
          <w:lang w:val="es-ES_tradnl"/>
        </w:rPr>
      </w:pPr>
      <w:r>
        <w:rPr>
          <w:rFonts w:ascii="Arial" w:eastAsia="Calibri" w:hAnsi="Arial" w:cs="Arial"/>
          <w:noProof/>
          <w:sz w:val="21"/>
          <w:szCs w:val="21"/>
          <w:lang w:val="es-ES_tradnl"/>
        </w:rPr>
        <w:t xml:space="preserve">[…] </w:t>
      </w:r>
      <w:r>
        <w:rPr>
          <w:rFonts w:ascii="Arial" w:hAnsi="Arial" w:cs="Arial"/>
          <w:bCs/>
          <w:sz w:val="21"/>
          <w:szCs w:val="21"/>
          <w:lang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Fonts w:ascii="Arial" w:eastAsia="Calibri" w:hAnsi="Arial" w:cs="Arial"/>
          <w:noProof/>
          <w:sz w:val="21"/>
          <w:szCs w:val="21"/>
          <w:lang w:val="es-ES_tradnl"/>
        </w:rPr>
        <w:t xml:space="preserve"> </w:t>
      </w:r>
      <w:r>
        <w:rPr>
          <w:rFonts w:ascii="Arial" w:eastAsia="Arial" w:hAnsi="Arial" w:cs="Arial"/>
          <w:sz w:val="21"/>
          <w:szCs w:val="21"/>
          <w:lang w:val="es-ES_tradnl"/>
        </w:rPr>
        <w:t xml:space="preserve">[…] </w:t>
      </w:r>
    </w:p>
    <w:p w14:paraId="76ED80D0" w14:textId="77777777" w:rsidR="00F27878" w:rsidRDefault="00F27878" w:rsidP="00F27878">
      <w:pPr>
        <w:tabs>
          <w:tab w:val="left" w:pos="426"/>
        </w:tabs>
        <w:jc w:val="both"/>
        <w:rPr>
          <w:rFonts w:ascii="Arial" w:eastAsia="Arial" w:hAnsi="Arial" w:cs="Arial"/>
          <w:sz w:val="21"/>
          <w:szCs w:val="21"/>
          <w:lang w:val="es-ES_tradnl"/>
        </w:rPr>
      </w:pPr>
    </w:p>
    <w:p w14:paraId="1073B296" w14:textId="77777777" w:rsidR="00F27878" w:rsidRDefault="00F27878" w:rsidP="00F27878">
      <w:pPr>
        <w:tabs>
          <w:tab w:val="left" w:pos="426"/>
        </w:tabs>
        <w:jc w:val="both"/>
        <w:rPr>
          <w:rFonts w:ascii="Arial" w:hAnsi="Arial" w:cs="Arial"/>
          <w:bCs/>
          <w:sz w:val="21"/>
          <w:szCs w:val="21"/>
          <w:lang w:val="es-MX" w:eastAsia="es-CO"/>
        </w:rPr>
      </w:pPr>
      <w:r>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4196E442" w14:textId="77777777" w:rsidR="00F27878" w:rsidRDefault="00F27878" w:rsidP="00F27878">
      <w:pPr>
        <w:tabs>
          <w:tab w:val="left" w:pos="426"/>
        </w:tabs>
        <w:jc w:val="both"/>
        <w:rPr>
          <w:rFonts w:ascii="Arial" w:eastAsia="Arial" w:hAnsi="Arial" w:cs="Arial"/>
          <w:sz w:val="21"/>
          <w:szCs w:val="21"/>
          <w:lang w:val="es-ES_tradnl"/>
        </w:rPr>
      </w:pPr>
    </w:p>
    <w:p w14:paraId="54BF818E" w14:textId="77777777" w:rsidR="00F27878" w:rsidRDefault="00F27878" w:rsidP="00F27878">
      <w:pPr>
        <w:tabs>
          <w:tab w:val="left" w:pos="426"/>
        </w:tabs>
        <w:jc w:val="both"/>
        <w:rPr>
          <w:rFonts w:ascii="Arial" w:eastAsia="Calibri" w:hAnsi="Arial" w:cs="Arial"/>
          <w:b/>
          <w:bCs/>
          <w:lang w:val="es-ES_tradnl"/>
        </w:rPr>
      </w:pPr>
      <w:r>
        <w:rPr>
          <w:rFonts w:ascii="Arial" w:eastAsia="Calibri" w:hAnsi="Arial" w:cs="Arial"/>
          <w:b/>
          <w:bCs/>
          <w:lang w:val="es-ES_tradnl"/>
        </w:rPr>
        <w:t>LEY DE GARANTÍAS ELECTORALES</w:t>
      </w:r>
      <w:r>
        <w:rPr>
          <w:rFonts w:ascii="Arial" w:eastAsia="Calibri" w:hAnsi="Arial" w:cs="Arial"/>
          <w:b/>
          <w:lang w:val="es-ES_tradnl"/>
        </w:rPr>
        <w:t xml:space="preserve"> –</w:t>
      </w:r>
      <w:r>
        <w:rPr>
          <w:rFonts w:ascii="Arial" w:eastAsia="Calibri" w:hAnsi="Arial" w:cs="Arial"/>
          <w:b/>
          <w:bCs/>
          <w:lang w:val="es-ES_tradnl"/>
        </w:rPr>
        <w:t xml:space="preserve"> Restricciones </w:t>
      </w:r>
    </w:p>
    <w:p w14:paraId="51DA0CA9" w14:textId="77777777" w:rsidR="00F27878" w:rsidRDefault="00F27878" w:rsidP="00F27878">
      <w:pPr>
        <w:tabs>
          <w:tab w:val="left" w:pos="426"/>
        </w:tabs>
        <w:jc w:val="both"/>
        <w:rPr>
          <w:rFonts w:ascii="Arial" w:eastAsia="Calibri" w:hAnsi="Arial" w:cs="Arial"/>
          <w:b/>
          <w:bCs/>
          <w:sz w:val="21"/>
          <w:szCs w:val="21"/>
          <w:lang w:val="es-ES_tradnl"/>
        </w:rPr>
      </w:pPr>
    </w:p>
    <w:p w14:paraId="352494B3" w14:textId="77777777" w:rsidR="00F27878" w:rsidRDefault="00F27878" w:rsidP="00F27878">
      <w:pPr>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Pr>
          <w:rFonts w:ascii="Arial" w:eastAsia="Arial" w:hAnsi="Arial" w:cs="Arial"/>
          <w:i/>
          <w:iCs/>
          <w:sz w:val="21"/>
          <w:szCs w:val="21"/>
          <w:lang w:val="es-ES" w:eastAsia="es-ES" w:bidi="es-ES"/>
        </w:rPr>
        <w:t>En primer lugar</w:t>
      </w:r>
      <w:r>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Pr>
          <w:rFonts w:ascii="Arial" w:eastAsia="Arial" w:hAnsi="Arial" w:cs="Arial"/>
          <w:i/>
          <w:iCs/>
          <w:sz w:val="21"/>
          <w:szCs w:val="21"/>
          <w:lang w:val="es-ES" w:eastAsia="es-ES" w:bidi="es-ES"/>
        </w:rPr>
        <w:t>En segundo lugar</w:t>
      </w:r>
      <w:r>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76960AE" w14:textId="77777777" w:rsidR="00F27878" w:rsidRDefault="00F27878" w:rsidP="00F27878">
      <w:pPr>
        <w:jc w:val="both"/>
        <w:rPr>
          <w:rFonts w:ascii="Arial" w:eastAsia="Arial" w:hAnsi="Arial" w:cs="Arial"/>
          <w:sz w:val="21"/>
          <w:szCs w:val="21"/>
          <w:lang w:val="es-ES" w:eastAsia="es-ES" w:bidi="es-ES"/>
        </w:rPr>
      </w:pPr>
    </w:p>
    <w:p w14:paraId="00AEE242" w14:textId="77777777" w:rsidR="00F27878" w:rsidRDefault="00F27878" w:rsidP="00F27878">
      <w:pPr>
        <w:jc w:val="both"/>
        <w:rPr>
          <w:rFonts w:ascii="Arial" w:hAnsi="Arial" w:cs="Arial"/>
          <w:bCs/>
          <w:sz w:val="21"/>
          <w:szCs w:val="21"/>
          <w:lang w:val="es-MX" w:eastAsia="x-none"/>
        </w:rPr>
      </w:pPr>
    </w:p>
    <w:p w14:paraId="502AB8CB" w14:textId="77777777" w:rsidR="00F27878" w:rsidRDefault="00F27878" w:rsidP="00F27878">
      <w:pPr>
        <w:tabs>
          <w:tab w:val="left" w:pos="426"/>
        </w:tabs>
        <w:jc w:val="both"/>
        <w:rPr>
          <w:rFonts w:ascii="Arial" w:eastAsia="Calibri" w:hAnsi="Arial" w:cs="Arial"/>
          <w:b/>
          <w:bCs/>
          <w:noProof/>
        </w:rPr>
      </w:pPr>
      <w:r>
        <w:rPr>
          <w:rFonts w:ascii="Arial" w:eastAsia="Calibri" w:hAnsi="Arial" w:cs="Arial"/>
          <w:b/>
          <w:bCs/>
          <w:noProof/>
        </w:rPr>
        <w:t>LEY DE GARANTÍAS ELECTORALES ‒ Prohibición por elección de cargos populares – Convenios y contratos interadministrativos – Alcance</w:t>
      </w:r>
    </w:p>
    <w:p w14:paraId="12003425" w14:textId="77777777" w:rsidR="00F27878" w:rsidRDefault="00F27878" w:rsidP="00F27878">
      <w:pPr>
        <w:tabs>
          <w:tab w:val="left" w:pos="426"/>
        </w:tabs>
        <w:jc w:val="both"/>
        <w:rPr>
          <w:rFonts w:ascii="Arial" w:eastAsia="Calibri" w:hAnsi="Arial" w:cs="Arial"/>
          <w:bCs/>
          <w:sz w:val="21"/>
          <w:szCs w:val="21"/>
        </w:rPr>
      </w:pPr>
    </w:p>
    <w:p w14:paraId="2CDD19B4" w14:textId="77777777" w:rsidR="00F27878" w:rsidRDefault="00F27878" w:rsidP="00F27878">
      <w:pPr>
        <w:tabs>
          <w:tab w:val="left" w:pos="426"/>
        </w:tabs>
        <w:jc w:val="both"/>
        <w:rPr>
          <w:rFonts w:ascii="Arial" w:hAnsi="Arial" w:cs="Arial"/>
          <w:bCs/>
          <w:sz w:val="21"/>
          <w:szCs w:val="21"/>
          <w:lang w:eastAsia="x-none"/>
        </w:rPr>
      </w:pPr>
      <w:r>
        <w:rPr>
          <w:rFonts w:ascii="Arial" w:eastAsia="Calibri" w:hAnsi="Arial" w:cs="Arial"/>
          <w:bCs/>
          <w:sz w:val="21"/>
          <w:szCs w:val="21"/>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392FD2F3" w14:textId="77777777" w:rsidR="00F27878" w:rsidRDefault="00F27878" w:rsidP="00F27878">
      <w:pPr>
        <w:tabs>
          <w:tab w:val="left" w:pos="426"/>
        </w:tabs>
        <w:jc w:val="both"/>
        <w:rPr>
          <w:rFonts w:ascii="Arial" w:eastAsia="Calibri" w:hAnsi="Arial" w:cs="Arial"/>
          <w:noProof/>
          <w:sz w:val="21"/>
          <w:szCs w:val="21"/>
        </w:rPr>
      </w:pPr>
    </w:p>
    <w:p w14:paraId="7ABC95D5" w14:textId="77777777" w:rsidR="00F27878" w:rsidRDefault="00F27878" w:rsidP="00F27878">
      <w:pPr>
        <w:tabs>
          <w:tab w:val="left" w:pos="426"/>
        </w:tabs>
        <w:jc w:val="both"/>
        <w:rPr>
          <w:rFonts w:ascii="Arial" w:eastAsia="Calibri" w:hAnsi="Arial" w:cs="Arial"/>
          <w:b/>
          <w:bCs/>
          <w:noProof/>
        </w:rPr>
      </w:pPr>
      <w:r>
        <w:rPr>
          <w:rFonts w:ascii="Arial" w:eastAsia="Calibri" w:hAnsi="Arial" w:cs="Arial"/>
          <w:b/>
          <w:bCs/>
          <w:noProof/>
        </w:rPr>
        <w:t>LEY DE GARANTÍAS ELECTORALES ‒ Prohibición por elección de cargos populares – Convenios y contratos interadministrativos – Definición – Criterio orgánico</w:t>
      </w:r>
    </w:p>
    <w:p w14:paraId="2FCCF940" w14:textId="77777777" w:rsidR="00F27878" w:rsidRDefault="00F27878" w:rsidP="00F27878">
      <w:pPr>
        <w:widowControl w:val="0"/>
        <w:autoSpaceDE w:val="0"/>
        <w:autoSpaceDN w:val="0"/>
        <w:jc w:val="both"/>
        <w:rPr>
          <w:rFonts w:ascii="Arial" w:eastAsia="Calibri" w:hAnsi="Arial" w:cs="Arial"/>
          <w:noProof/>
          <w:sz w:val="21"/>
          <w:szCs w:val="21"/>
        </w:rPr>
      </w:pPr>
    </w:p>
    <w:p w14:paraId="6582E33D" w14:textId="77777777" w:rsidR="00F27878" w:rsidRDefault="00F27878" w:rsidP="00F27878">
      <w:pPr>
        <w:widowControl w:val="0"/>
        <w:autoSpaceDE w:val="0"/>
        <w:autoSpaceDN w:val="0"/>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Pr>
          <w:rFonts w:ascii="Arial" w:eastAsia="Arial" w:hAnsi="Arial" w:cs="Arial"/>
          <w:spacing w:val="-6"/>
          <w:sz w:val="21"/>
          <w:szCs w:val="21"/>
          <w:lang w:val="es-ES" w:eastAsia="es-ES" w:bidi="es-ES"/>
        </w:rPr>
        <w:t xml:space="preserve"> </w:t>
      </w:r>
      <w:r>
        <w:rPr>
          <w:rFonts w:ascii="Arial" w:eastAsia="Arial" w:hAnsi="Arial" w:cs="Arial"/>
          <w:sz w:val="21"/>
          <w:szCs w:val="21"/>
          <w:lang w:val="es-ES" w:eastAsia="es-ES" w:bidi="es-ES"/>
        </w:rPr>
        <w:t>estatales.</w:t>
      </w:r>
    </w:p>
    <w:p w14:paraId="695496F1" w14:textId="77777777" w:rsidR="00F27878" w:rsidRDefault="00F27878" w:rsidP="00F27878">
      <w:pPr>
        <w:tabs>
          <w:tab w:val="left" w:pos="426"/>
        </w:tabs>
        <w:jc w:val="both"/>
        <w:rPr>
          <w:rFonts w:ascii="Arial" w:eastAsia="Calibri" w:hAnsi="Arial" w:cs="Arial"/>
          <w:noProof/>
          <w:sz w:val="21"/>
          <w:szCs w:val="21"/>
          <w:lang w:val="es-MX"/>
        </w:rPr>
      </w:pPr>
    </w:p>
    <w:p w14:paraId="6D2F7816" w14:textId="77777777" w:rsidR="00F27878" w:rsidRDefault="00F27878" w:rsidP="00F27878">
      <w:pPr>
        <w:jc w:val="both"/>
        <w:rPr>
          <w:rFonts w:ascii="Arial" w:hAnsi="Arial" w:cs="Arial"/>
          <w:b/>
        </w:rPr>
      </w:pPr>
      <w:r>
        <w:rPr>
          <w:rFonts w:ascii="Arial" w:eastAsia="Calibri" w:hAnsi="Arial" w:cs="Arial"/>
          <w:b/>
          <w:bCs/>
          <w:noProof/>
        </w:rPr>
        <w:t xml:space="preserve">LEY DE GARANTÍAS ELECTORALES ‒ Prohibición por elección de cargos populares – Convenios y contratos interadministrativos – Tipología contractual – </w:t>
      </w:r>
      <w:r>
        <w:rPr>
          <w:rFonts w:ascii="Arial" w:hAnsi="Arial" w:cs="Arial"/>
          <w:b/>
        </w:rPr>
        <w:t>Modalidad de selección</w:t>
      </w:r>
    </w:p>
    <w:p w14:paraId="511ECA58" w14:textId="77777777" w:rsidR="00F27878" w:rsidRDefault="00F27878" w:rsidP="00F27878">
      <w:pPr>
        <w:tabs>
          <w:tab w:val="left" w:pos="426"/>
        </w:tabs>
        <w:jc w:val="both"/>
        <w:rPr>
          <w:rFonts w:ascii="Arial" w:hAnsi="Arial" w:cs="Arial"/>
          <w:sz w:val="21"/>
          <w:szCs w:val="21"/>
        </w:rPr>
      </w:pPr>
    </w:p>
    <w:p w14:paraId="2545709B" w14:textId="77777777" w:rsidR="00F27878" w:rsidRDefault="00F27878" w:rsidP="00F27878">
      <w:pPr>
        <w:tabs>
          <w:tab w:val="left" w:pos="426"/>
        </w:tabs>
        <w:jc w:val="both"/>
        <w:rPr>
          <w:rFonts w:ascii="Arial" w:hAnsi="Arial" w:cs="Arial"/>
          <w:sz w:val="21"/>
          <w:szCs w:val="21"/>
        </w:rPr>
      </w:pPr>
      <w:r>
        <w:rPr>
          <w:rFonts w:ascii="Arial" w:hAnsi="Arial" w:cs="Arial"/>
          <w:sz w:val="21"/>
          <w:szCs w:val="21"/>
        </w:rPr>
        <w:t xml:space="preserve">[…] </w:t>
      </w:r>
      <w:r w:rsidRPr="00F43109">
        <w:rPr>
          <w:rFonts w:ascii="Arial" w:hAnsi="Arial" w:cs="Arial"/>
          <w:bCs/>
          <w:sz w:val="21"/>
          <w:szCs w:val="21"/>
          <w:lang w:eastAsia="es-CO"/>
        </w:rPr>
        <w:t>para las elecciones del año 2023 aplica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las entidades de régimen especial, de acuerdo con el artículo 2 de la Ley 80 de 1993, son entidades estatales; pero si no son entidades territoriales podrán celebrar tales convenios o contratos durante el periodo de aplicación de la Ley de Garantías Electorales, siempre que no se celebre con las referidas entidades previstas en el parágrafo del artículo 38 de la Ley 996 de 2005; distinto a si lo celebran con entidades del orden nacional.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w:t>
      </w:r>
      <w:r>
        <w:rPr>
          <w:rFonts w:ascii="Arial" w:eastAsia="Calibri" w:hAnsi="Arial" w:cs="Arial"/>
          <w:color w:val="000000" w:themeColor="text1"/>
          <w:sz w:val="21"/>
          <w:szCs w:val="21"/>
        </w:rPr>
        <w:t> </w:t>
      </w:r>
    </w:p>
    <w:p w14:paraId="73FDAD97" w14:textId="77777777" w:rsidR="00F27878" w:rsidRDefault="00F27878" w:rsidP="00F27878">
      <w:pPr>
        <w:spacing w:before="240" w:after="0" w:line="276" w:lineRule="auto"/>
        <w:jc w:val="right"/>
        <w:rPr>
          <w:rFonts w:ascii="Arial" w:hAnsi="Arial" w:cs="Arial"/>
          <w:b/>
          <w:bCs/>
          <w:sz w:val="16"/>
          <w:szCs w:val="16"/>
          <w:lang w:val="es-MX" w:eastAsia="es-ES"/>
        </w:rPr>
      </w:pPr>
      <w:r>
        <w:rPr>
          <w:rFonts w:ascii="Arial" w:hAnsi="Arial" w:cs="Arial"/>
          <w:bCs/>
          <w:color w:val="FF0000"/>
          <w:lang w:val="es-ES_tradnl"/>
        </w:rPr>
        <w:br w:type="page"/>
      </w:r>
    </w:p>
    <w:p w14:paraId="65F97E67" w14:textId="77777777" w:rsidR="00F27878" w:rsidRPr="00836422" w:rsidRDefault="00F27878" w:rsidP="00F27878">
      <w:pPr>
        <w:spacing w:before="240" w:after="0" w:line="276" w:lineRule="auto"/>
        <w:jc w:val="right"/>
        <w:rPr>
          <w:rFonts w:ascii="Arial" w:eastAsia="Calibri" w:hAnsi="Arial" w:cs="Arial"/>
          <w:b/>
          <w:bCs/>
          <w:lang w:val="es-MX"/>
        </w:rPr>
      </w:pPr>
      <w:r w:rsidRPr="00836422">
        <w:rPr>
          <w:rFonts w:ascii="Arial" w:hAnsi="Arial" w:cs="Arial"/>
          <w:b/>
          <w:bCs/>
          <w:sz w:val="16"/>
          <w:szCs w:val="16"/>
          <w:lang w:val="es-MX" w:eastAsia="es-ES"/>
        </w:rPr>
        <w:lastRenderedPageBreak/>
        <w:t>CCE-DES-FM-17</w:t>
      </w:r>
    </w:p>
    <w:bookmarkEnd w:id="0"/>
    <w:bookmarkEnd w:id="1"/>
    <w:p w14:paraId="2F731BB2" w14:textId="77777777" w:rsidR="00F27878" w:rsidRPr="00836422" w:rsidRDefault="00F27878" w:rsidP="00F27878">
      <w:pPr>
        <w:spacing w:after="0" w:line="240" w:lineRule="auto"/>
        <w:contextualSpacing/>
        <w:jc w:val="both"/>
        <w:rPr>
          <w:rFonts w:ascii="Arial" w:hAnsi="Arial" w:cs="Arial"/>
          <w:bCs/>
          <w:lang w:val="es-ES_tradnl"/>
        </w:rPr>
      </w:pPr>
    </w:p>
    <w:p w14:paraId="6DFA532E" w14:textId="77777777" w:rsidR="00F27878" w:rsidRDefault="00F27878" w:rsidP="00F27878">
      <w:pPr>
        <w:spacing w:after="0" w:line="240" w:lineRule="auto"/>
        <w:contextualSpacing/>
        <w:jc w:val="right"/>
        <w:rPr>
          <w:rFonts w:ascii="Arial" w:hAnsi="Arial" w:cs="Arial"/>
          <w:lang w:val="es-ES_tradnl"/>
        </w:rPr>
      </w:pPr>
      <w:bookmarkStart w:id="3" w:name="_Hlk70510939"/>
    </w:p>
    <w:p w14:paraId="25F951FA" w14:textId="60FD29FD" w:rsidR="005426EB" w:rsidRDefault="005426EB" w:rsidP="005426EB">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w:t>
      </w:r>
    </w:p>
    <w:p w14:paraId="3755EB8C" w14:textId="556D1FEB" w:rsidR="00F27878" w:rsidRDefault="00E359C8" w:rsidP="00E359C8">
      <w:pPr>
        <w:spacing w:after="0" w:line="240" w:lineRule="auto"/>
        <w:contextualSpacing/>
        <w:jc w:val="right"/>
        <w:rPr>
          <w:rFonts w:ascii="Arial" w:hAnsi="Arial" w:cs="Arial"/>
          <w:lang w:val="es-ES_tradnl"/>
        </w:rPr>
      </w:pPr>
      <w:r w:rsidRPr="00E359C8">
        <w:rPr>
          <w:rFonts w:ascii="Arial" w:hAnsi="Arial" w:cs="Arial"/>
          <w:lang w:val="es-ES_tradnl"/>
        </w:rPr>
        <w:drawing>
          <wp:inline distT="0" distB="0" distL="0" distR="0" wp14:anchorId="566E65D1" wp14:editId="2FAEB04E">
            <wp:extent cx="2400423" cy="666784"/>
            <wp:effectExtent l="0" t="0" r="0" b="0"/>
            <wp:docPr id="1390446259" name="Picture 1" descr="A close up of a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46259" name="Picture 1" descr="A close up of a label&#10;&#10;Description automatically generated with low confidence"/>
                    <pic:cNvPicPr/>
                  </pic:nvPicPr>
                  <pic:blipFill>
                    <a:blip r:embed="rId11"/>
                    <a:stretch>
                      <a:fillRect/>
                    </a:stretch>
                  </pic:blipFill>
                  <pic:spPr>
                    <a:xfrm>
                      <a:off x="0" y="0"/>
                      <a:ext cx="2400423" cy="666784"/>
                    </a:xfrm>
                    <a:prstGeom prst="rect">
                      <a:avLst/>
                    </a:prstGeom>
                  </pic:spPr>
                </pic:pic>
              </a:graphicData>
            </a:graphic>
          </wp:inline>
        </w:drawing>
      </w:r>
    </w:p>
    <w:p w14:paraId="763A199F" w14:textId="77777777" w:rsidR="00F27878" w:rsidRPr="00836422" w:rsidRDefault="00F27878" w:rsidP="00F27878">
      <w:pPr>
        <w:spacing w:after="0" w:line="240" w:lineRule="auto"/>
        <w:contextualSpacing/>
        <w:rPr>
          <w:rFonts w:ascii="Arial" w:hAnsi="Arial" w:cs="Arial"/>
          <w:lang w:val="es-ES_tradnl"/>
        </w:rPr>
      </w:pPr>
      <w:r w:rsidRPr="00836422">
        <w:rPr>
          <w:rFonts w:ascii="Arial" w:hAnsi="Arial" w:cs="Arial"/>
          <w:lang w:val="es-ES_tradnl"/>
        </w:rPr>
        <w:t>Señora</w:t>
      </w:r>
    </w:p>
    <w:p w14:paraId="2DF5D8B5" w14:textId="77777777" w:rsidR="00F27878" w:rsidRPr="00836422" w:rsidRDefault="00F27878" w:rsidP="00F27878">
      <w:pPr>
        <w:spacing w:after="0" w:line="240" w:lineRule="auto"/>
        <w:contextualSpacing/>
        <w:jc w:val="both"/>
        <w:rPr>
          <w:rFonts w:ascii="Arial" w:hAnsi="Arial" w:cs="Arial"/>
          <w:b/>
          <w:lang w:val="es-ES_tradnl"/>
        </w:rPr>
      </w:pPr>
      <w:r>
        <w:rPr>
          <w:rFonts w:ascii="Arial" w:hAnsi="Arial" w:cs="Arial"/>
          <w:b/>
          <w:lang w:val="es-ES_tradnl"/>
        </w:rPr>
        <w:t>Paula Alejandra Suarez Cubillos</w:t>
      </w:r>
    </w:p>
    <w:p w14:paraId="4B87599E" w14:textId="77777777" w:rsidR="00F27878" w:rsidRPr="00836422" w:rsidRDefault="00F27878" w:rsidP="00F27878">
      <w:pPr>
        <w:spacing w:after="0" w:line="240" w:lineRule="auto"/>
        <w:contextualSpacing/>
        <w:rPr>
          <w:rFonts w:ascii="Arial" w:hAnsi="Arial" w:cs="Arial"/>
          <w:b/>
          <w:bCs/>
          <w:lang w:val="es-ES_tradnl"/>
        </w:rPr>
      </w:pPr>
      <w:r w:rsidRPr="00836422">
        <w:rPr>
          <w:rFonts w:ascii="Arial" w:hAnsi="Arial" w:cs="Arial"/>
          <w:lang w:val="es-MX"/>
        </w:rPr>
        <w:t>Ciudad</w:t>
      </w:r>
    </w:p>
    <w:p w14:paraId="62A826B5" w14:textId="77777777" w:rsidR="005426EB" w:rsidRDefault="005426EB" w:rsidP="00F27878">
      <w:pPr>
        <w:spacing w:after="0" w:line="240" w:lineRule="auto"/>
        <w:ind w:left="2124" w:firstLine="708"/>
        <w:contextualSpacing/>
        <w:rPr>
          <w:rFonts w:ascii="Arial" w:hAnsi="Arial" w:cs="Arial"/>
          <w:b/>
          <w:bCs/>
          <w:lang w:val="es-ES_tradnl"/>
        </w:rPr>
      </w:pPr>
    </w:p>
    <w:p w14:paraId="2285CF47" w14:textId="40D5BC5E" w:rsidR="00F27878" w:rsidRPr="00836422" w:rsidRDefault="00F27878" w:rsidP="00F27878">
      <w:pPr>
        <w:spacing w:after="0" w:line="240" w:lineRule="auto"/>
        <w:ind w:left="2124" w:firstLine="708"/>
        <w:contextualSpacing/>
        <w:rPr>
          <w:rFonts w:ascii="Arial" w:hAnsi="Arial" w:cs="Arial"/>
          <w:b/>
          <w:bCs/>
          <w:lang w:val="es-ES_tradnl"/>
        </w:rPr>
      </w:pPr>
      <w:r w:rsidRPr="00836422">
        <w:rPr>
          <w:rFonts w:ascii="Arial" w:hAnsi="Arial" w:cs="Arial"/>
          <w:b/>
          <w:bCs/>
          <w:lang w:val="es-ES_tradnl"/>
        </w:rPr>
        <w:t xml:space="preserve">Concepto C – </w:t>
      </w:r>
      <w:r>
        <w:rPr>
          <w:rFonts w:ascii="Arial" w:hAnsi="Arial" w:cs="Arial"/>
          <w:b/>
          <w:bCs/>
          <w:lang w:val="es-ES_tradnl"/>
        </w:rPr>
        <w:t>243</w:t>
      </w:r>
      <w:r w:rsidRPr="00836422">
        <w:rPr>
          <w:rFonts w:ascii="Arial" w:hAnsi="Arial" w:cs="Arial"/>
          <w:b/>
          <w:bCs/>
          <w:lang w:val="es-ES_tradnl"/>
        </w:rPr>
        <w:t xml:space="preserve"> de 2023</w:t>
      </w:r>
    </w:p>
    <w:p w14:paraId="026D9836" w14:textId="77777777" w:rsidR="00F27878" w:rsidRPr="00836422" w:rsidRDefault="00F27878" w:rsidP="00F27878">
      <w:pPr>
        <w:spacing w:after="0" w:line="240" w:lineRule="auto"/>
        <w:ind w:left="2824" w:hanging="2818"/>
        <w:contextualSpacing/>
        <w:jc w:val="both"/>
        <w:rPr>
          <w:rFonts w:ascii="Arial" w:eastAsia="Calibri" w:hAnsi="Arial" w:cs="Arial"/>
          <w:b/>
          <w:noProof/>
          <w:lang w:val="es-ES_tradnl"/>
        </w:rPr>
      </w:pPr>
    </w:p>
    <w:p w14:paraId="4174F2AF" w14:textId="77777777" w:rsidR="00F27878" w:rsidRPr="00836422" w:rsidRDefault="00F27878" w:rsidP="00F27878">
      <w:pPr>
        <w:spacing w:after="0" w:line="240" w:lineRule="auto"/>
        <w:ind w:left="2832" w:hanging="2184"/>
        <w:contextualSpacing/>
        <w:jc w:val="both"/>
        <w:rPr>
          <w:rFonts w:ascii="Arial" w:hAnsi="Arial" w:cs="Arial"/>
          <w:lang w:val="es-MX"/>
        </w:rPr>
      </w:pPr>
      <w:r w:rsidRPr="00836422">
        <w:rPr>
          <w:rFonts w:ascii="Arial" w:eastAsia="Calibri" w:hAnsi="Arial" w:cs="Arial"/>
          <w:b/>
          <w:noProof/>
          <w:lang w:val="es-ES_tradnl"/>
        </w:rPr>
        <w:t>Temas</w:t>
      </w:r>
      <w:r w:rsidRPr="00836422">
        <w:rPr>
          <w:rFonts w:ascii="Arial" w:eastAsia="Calibri" w:hAnsi="Arial" w:cs="Arial"/>
          <w:bCs/>
          <w:noProof/>
          <w:lang w:val="es-ES_tradnl"/>
        </w:rPr>
        <w:t xml:space="preserve">: </w:t>
      </w:r>
      <w:r w:rsidRPr="00836422">
        <w:rPr>
          <w:rFonts w:ascii="Arial" w:eastAsia="Calibri" w:hAnsi="Arial" w:cs="Arial"/>
          <w:bCs/>
          <w:noProof/>
          <w:lang w:val="es-ES_tradnl"/>
        </w:rPr>
        <w:tab/>
        <w:t>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LEY DE GARANTÍAS ELECTORALES ‒ Prohibición por elección de cargos populares – Convenios y contratos interadministrativos – Tipolog</w:t>
      </w:r>
      <w:r>
        <w:rPr>
          <w:rFonts w:ascii="Arial" w:eastAsia="Calibri" w:hAnsi="Arial" w:cs="Arial"/>
          <w:bCs/>
          <w:noProof/>
          <w:lang w:val="es-ES_tradnl"/>
        </w:rPr>
        <w:t>í</w:t>
      </w:r>
      <w:r w:rsidRPr="00836422">
        <w:rPr>
          <w:rFonts w:ascii="Arial" w:eastAsia="Calibri" w:hAnsi="Arial" w:cs="Arial"/>
          <w:bCs/>
          <w:noProof/>
          <w:lang w:val="es-ES_tradnl"/>
        </w:rPr>
        <w:t>a contractual – Modalidad de selección</w:t>
      </w:r>
    </w:p>
    <w:p w14:paraId="3E8EFDB7" w14:textId="77777777" w:rsidR="00F27878" w:rsidRPr="00836422" w:rsidRDefault="00F27878" w:rsidP="00F27878">
      <w:pPr>
        <w:spacing w:after="0" w:line="240" w:lineRule="auto"/>
        <w:ind w:left="2835" w:hanging="2835"/>
        <w:contextualSpacing/>
        <w:jc w:val="both"/>
        <w:rPr>
          <w:rFonts w:ascii="Arial" w:eastAsia="Calibri" w:hAnsi="Arial" w:cs="Arial"/>
          <w:b/>
          <w:noProof/>
          <w:lang w:val="es-ES_tradnl"/>
        </w:rPr>
      </w:pPr>
    </w:p>
    <w:p w14:paraId="0EA833AB" w14:textId="77777777" w:rsidR="00F27878" w:rsidRPr="00836422" w:rsidRDefault="00F27878" w:rsidP="00F27878">
      <w:pPr>
        <w:spacing w:after="0" w:line="240" w:lineRule="auto"/>
        <w:ind w:left="2835" w:hanging="2835"/>
        <w:contextualSpacing/>
        <w:jc w:val="both"/>
        <w:rPr>
          <w:rFonts w:ascii="Arial" w:hAnsi="Arial" w:cs="Arial"/>
          <w:lang w:val="es-ES_tradnl"/>
        </w:rPr>
      </w:pPr>
      <w:r w:rsidRPr="00836422">
        <w:rPr>
          <w:rFonts w:ascii="Arial" w:eastAsia="Calibri" w:hAnsi="Arial" w:cs="Arial"/>
          <w:b/>
          <w:noProof/>
          <w:lang w:val="es-ES_tradnl"/>
        </w:rPr>
        <w:t>Radicación</w:t>
      </w:r>
      <w:r w:rsidRPr="00836422">
        <w:rPr>
          <w:rFonts w:ascii="Arial" w:eastAsia="Calibri" w:hAnsi="Arial" w:cs="Arial"/>
          <w:bCs/>
          <w:noProof/>
          <w:lang w:val="es-ES_tradnl"/>
        </w:rPr>
        <w:t>:</w:t>
      </w:r>
      <w:r w:rsidRPr="00836422">
        <w:rPr>
          <w:rFonts w:ascii="Arial" w:eastAsia="Calibri" w:hAnsi="Arial" w:cs="Arial"/>
          <w:bCs/>
          <w:noProof/>
          <w:lang w:val="es-ES_tradnl"/>
        </w:rPr>
        <w:tab/>
        <w:t xml:space="preserve">Respuesta a consulta </w:t>
      </w:r>
      <w:r w:rsidRPr="008609D8">
        <w:rPr>
          <w:rFonts w:ascii="Arial" w:eastAsia="Calibri" w:hAnsi="Arial" w:cs="Arial"/>
          <w:bCs/>
          <w:noProof/>
          <w:lang w:val="es-ES_tradnl"/>
        </w:rPr>
        <w:t>P20230523011551</w:t>
      </w:r>
    </w:p>
    <w:p w14:paraId="65D2E6F5" w14:textId="77777777" w:rsidR="00F27878" w:rsidRPr="00836422" w:rsidRDefault="00F27878" w:rsidP="00F27878">
      <w:pPr>
        <w:spacing w:after="0" w:line="240" w:lineRule="auto"/>
        <w:contextualSpacing/>
        <w:rPr>
          <w:rFonts w:ascii="Arial" w:hAnsi="Arial" w:cs="Arial"/>
          <w:lang w:val="es-ES_tradnl"/>
        </w:rPr>
      </w:pPr>
    </w:p>
    <w:p w14:paraId="66F33BEA" w14:textId="77777777" w:rsidR="00F27878" w:rsidRPr="00836422" w:rsidRDefault="00F27878" w:rsidP="00F27878">
      <w:pPr>
        <w:spacing w:after="0" w:line="240" w:lineRule="auto"/>
        <w:contextualSpacing/>
        <w:rPr>
          <w:rFonts w:ascii="Arial" w:hAnsi="Arial" w:cs="Arial"/>
          <w:lang w:val="es-ES_tradnl"/>
        </w:rPr>
      </w:pPr>
      <w:r w:rsidRPr="00836422">
        <w:rPr>
          <w:rFonts w:ascii="Arial" w:hAnsi="Arial" w:cs="Arial"/>
          <w:lang w:val="es-ES_tradnl"/>
        </w:rPr>
        <w:t xml:space="preserve">Estimada señora </w:t>
      </w:r>
      <w:r>
        <w:rPr>
          <w:rFonts w:ascii="Arial" w:hAnsi="Arial" w:cs="Arial"/>
          <w:bCs/>
          <w:lang w:val="es-ES_tradnl"/>
        </w:rPr>
        <w:t>Suar</w:t>
      </w:r>
      <w:r w:rsidRPr="00836422">
        <w:rPr>
          <w:rFonts w:ascii="Arial" w:hAnsi="Arial" w:cs="Arial"/>
          <w:bCs/>
          <w:lang w:val="es-ES_tradnl"/>
        </w:rPr>
        <w:t>ez</w:t>
      </w:r>
      <w:r w:rsidRPr="00836422">
        <w:rPr>
          <w:rFonts w:ascii="Arial" w:hAnsi="Arial" w:cs="Arial"/>
          <w:lang w:val="es-ES_tradnl"/>
        </w:rPr>
        <w:t xml:space="preserve">,   </w:t>
      </w:r>
    </w:p>
    <w:p w14:paraId="1C4E63F7" w14:textId="77777777" w:rsidR="00F27878" w:rsidRPr="00836422" w:rsidRDefault="00F27878" w:rsidP="00F27878">
      <w:pPr>
        <w:spacing w:after="0" w:line="240" w:lineRule="auto"/>
        <w:contextualSpacing/>
        <w:rPr>
          <w:rFonts w:ascii="Arial" w:hAnsi="Arial" w:cs="Arial"/>
          <w:lang w:val="es-ES_tradnl"/>
        </w:rPr>
      </w:pPr>
    </w:p>
    <w:p w14:paraId="065DBA0C" w14:textId="77777777" w:rsidR="00F27878" w:rsidRPr="00836422" w:rsidRDefault="00F27878" w:rsidP="00F27878">
      <w:pPr>
        <w:spacing w:after="120" w:line="276" w:lineRule="auto"/>
        <w:ind w:right="51"/>
        <w:jc w:val="both"/>
        <w:rPr>
          <w:rFonts w:ascii="Arial" w:eastAsia="Calibri" w:hAnsi="Arial" w:cs="Arial"/>
          <w:lang w:val="es-MX"/>
        </w:rPr>
      </w:pPr>
      <w:r w:rsidRPr="0083642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rPr>
        <w:t>19</w:t>
      </w:r>
      <w:r w:rsidRPr="00836422">
        <w:rPr>
          <w:rFonts w:ascii="Arial" w:eastAsia="Calibri" w:hAnsi="Arial" w:cs="Arial"/>
        </w:rPr>
        <w:t xml:space="preserve"> de ma</w:t>
      </w:r>
      <w:r>
        <w:rPr>
          <w:rFonts w:ascii="Arial" w:eastAsia="Calibri" w:hAnsi="Arial" w:cs="Arial"/>
        </w:rPr>
        <w:t>y</w:t>
      </w:r>
      <w:r w:rsidRPr="00836422">
        <w:rPr>
          <w:rFonts w:ascii="Arial" w:eastAsia="Calibri" w:hAnsi="Arial" w:cs="Arial"/>
        </w:rPr>
        <w:t>o de 2023</w:t>
      </w:r>
      <w:r>
        <w:rPr>
          <w:rFonts w:ascii="Arial" w:eastAsia="Calibri" w:hAnsi="Arial" w:cs="Arial"/>
        </w:rPr>
        <w:t xml:space="preserve">, remitida por la Contraloría General de la República con oficio remisorio No. </w:t>
      </w:r>
      <w:r w:rsidRPr="00D06A1C">
        <w:rPr>
          <w:rFonts w:ascii="Arial" w:eastAsia="Calibri" w:hAnsi="Arial" w:cs="Arial"/>
        </w:rPr>
        <w:t>2023EE0079246</w:t>
      </w:r>
      <w:r w:rsidRPr="00836422">
        <w:rPr>
          <w:rFonts w:ascii="Arial" w:eastAsia="Calibri" w:hAnsi="Arial" w:cs="Arial"/>
        </w:rPr>
        <w:t xml:space="preserve">. </w:t>
      </w:r>
      <w:r w:rsidRPr="00836422">
        <w:rPr>
          <w:rFonts w:ascii="Arial" w:eastAsia="Calibri" w:hAnsi="Arial" w:cs="Arial"/>
          <w:lang w:val="es-MX"/>
        </w:rPr>
        <w:t xml:space="preserve">     </w:t>
      </w:r>
    </w:p>
    <w:p w14:paraId="54B7247E" w14:textId="77777777" w:rsidR="00F27878" w:rsidRPr="00A073E2" w:rsidRDefault="00F27878" w:rsidP="00F27878">
      <w:pPr>
        <w:spacing w:after="0" w:line="276" w:lineRule="auto"/>
        <w:contextualSpacing/>
        <w:rPr>
          <w:rFonts w:ascii="Arial" w:hAnsi="Arial" w:cs="Arial"/>
          <w:b/>
          <w:lang w:val="es-MX"/>
        </w:rPr>
      </w:pPr>
    </w:p>
    <w:p w14:paraId="10FFD037" w14:textId="77777777" w:rsidR="00F27878" w:rsidRPr="00836422" w:rsidRDefault="00F27878" w:rsidP="00F27878">
      <w:pPr>
        <w:spacing w:after="0" w:line="276" w:lineRule="auto"/>
        <w:contextualSpacing/>
        <w:rPr>
          <w:rFonts w:ascii="Arial" w:hAnsi="Arial" w:cs="Arial"/>
          <w:b/>
          <w:lang w:val="es-ES_tradnl"/>
        </w:rPr>
      </w:pPr>
      <w:r w:rsidRPr="00836422">
        <w:rPr>
          <w:rFonts w:ascii="Arial" w:hAnsi="Arial" w:cs="Arial"/>
          <w:b/>
          <w:lang w:val="es-ES_tradnl"/>
        </w:rPr>
        <w:t xml:space="preserve">1. Problema planteado </w:t>
      </w:r>
    </w:p>
    <w:p w14:paraId="40E38AAC" w14:textId="77777777" w:rsidR="00F27878" w:rsidRPr="00836422" w:rsidRDefault="00F27878" w:rsidP="00F27878">
      <w:pPr>
        <w:spacing w:after="0" w:line="276" w:lineRule="auto"/>
        <w:contextualSpacing/>
        <w:jc w:val="both"/>
        <w:rPr>
          <w:rFonts w:ascii="Arial" w:hAnsi="Arial" w:cs="Arial"/>
          <w:lang w:val="es-ES_tradnl"/>
        </w:rPr>
      </w:pPr>
    </w:p>
    <w:p w14:paraId="744BC744" w14:textId="77777777" w:rsidR="00F27878" w:rsidRPr="00836422" w:rsidRDefault="00F27878" w:rsidP="00F27878">
      <w:pPr>
        <w:spacing w:after="0" w:line="276" w:lineRule="auto"/>
        <w:contextualSpacing/>
        <w:jc w:val="both"/>
        <w:rPr>
          <w:rFonts w:ascii="Arial" w:hAnsi="Arial" w:cs="Arial"/>
          <w:lang w:val="es-ES_tradnl"/>
        </w:rPr>
      </w:pPr>
      <w:r w:rsidRPr="00836422">
        <w:rPr>
          <w:rFonts w:ascii="Arial" w:hAnsi="Arial" w:cs="Arial"/>
          <w:lang w:val="es-ES_tradnl"/>
        </w:rPr>
        <w:t xml:space="preserve">Respecto de la Ley de Garantías Electorales, usted formula la siguiente consulta: </w:t>
      </w:r>
    </w:p>
    <w:p w14:paraId="1A28734B" w14:textId="77777777" w:rsidR="00F27878" w:rsidRPr="00836422" w:rsidRDefault="00F27878" w:rsidP="00F27878">
      <w:pPr>
        <w:spacing w:after="0" w:line="276" w:lineRule="auto"/>
        <w:contextualSpacing/>
        <w:jc w:val="both"/>
        <w:rPr>
          <w:rFonts w:ascii="Arial" w:hAnsi="Arial" w:cs="Arial"/>
          <w:lang w:val="es-ES_tradnl"/>
        </w:rPr>
      </w:pPr>
    </w:p>
    <w:p w14:paraId="1CDBB3D4" w14:textId="77777777" w:rsidR="00F27878" w:rsidRPr="003426AE" w:rsidRDefault="00F27878" w:rsidP="00F27878">
      <w:pPr>
        <w:spacing w:after="0" w:line="240" w:lineRule="auto"/>
        <w:ind w:left="567" w:right="788"/>
        <w:contextualSpacing/>
        <w:jc w:val="both"/>
        <w:rPr>
          <w:rFonts w:ascii="Arial" w:hAnsi="Arial" w:cs="Arial"/>
          <w:sz w:val="21"/>
          <w:szCs w:val="21"/>
          <w:lang w:val="es-ES_tradnl"/>
        </w:rPr>
      </w:pPr>
      <w:r w:rsidRPr="00836422">
        <w:rPr>
          <w:rFonts w:ascii="Arial" w:hAnsi="Arial" w:cs="Arial"/>
          <w:sz w:val="21"/>
          <w:szCs w:val="21"/>
          <w:lang w:val="es-ES_tradnl"/>
        </w:rPr>
        <w:t>“</w:t>
      </w:r>
      <w:r w:rsidRPr="003426AE">
        <w:rPr>
          <w:rFonts w:ascii="Arial" w:hAnsi="Arial" w:cs="Arial"/>
          <w:sz w:val="21"/>
          <w:szCs w:val="21"/>
          <w:lang w:val="es-ES_tradnl"/>
        </w:rPr>
        <w:t>1) PREGUNTA ¿debido a la naturaleza</w:t>
      </w:r>
      <w:r>
        <w:rPr>
          <w:rFonts w:ascii="Arial" w:hAnsi="Arial" w:cs="Arial"/>
          <w:sz w:val="21"/>
          <w:szCs w:val="21"/>
          <w:lang w:val="es-ES_tradnl"/>
        </w:rPr>
        <w:t xml:space="preserve"> </w:t>
      </w:r>
      <w:r w:rsidRPr="003426AE">
        <w:rPr>
          <w:rFonts w:ascii="Arial" w:hAnsi="Arial" w:cs="Arial"/>
          <w:sz w:val="21"/>
          <w:szCs w:val="21"/>
          <w:lang w:val="es-ES_tradnl"/>
        </w:rPr>
        <w:t>jurídica de Fondecún, le es aplicable las</w:t>
      </w:r>
      <w:r>
        <w:rPr>
          <w:rFonts w:ascii="Arial" w:hAnsi="Arial" w:cs="Arial"/>
          <w:sz w:val="21"/>
          <w:szCs w:val="21"/>
          <w:lang w:val="es-ES_tradnl"/>
        </w:rPr>
        <w:t xml:space="preserve"> </w:t>
      </w:r>
      <w:r w:rsidRPr="003426AE">
        <w:rPr>
          <w:rFonts w:ascii="Arial" w:hAnsi="Arial" w:cs="Arial"/>
          <w:sz w:val="21"/>
          <w:szCs w:val="21"/>
          <w:lang w:val="es-ES_tradnl"/>
        </w:rPr>
        <w:t>disposiciones de la Ley</w:t>
      </w:r>
      <w:r>
        <w:rPr>
          <w:rFonts w:ascii="Arial" w:hAnsi="Arial" w:cs="Arial"/>
          <w:sz w:val="21"/>
          <w:szCs w:val="21"/>
          <w:lang w:val="es-ES_tradnl"/>
        </w:rPr>
        <w:t xml:space="preserve"> </w:t>
      </w:r>
      <w:r w:rsidRPr="003426AE">
        <w:rPr>
          <w:rFonts w:ascii="Arial" w:hAnsi="Arial" w:cs="Arial"/>
          <w:sz w:val="21"/>
          <w:szCs w:val="21"/>
          <w:lang w:val="es-ES_tradnl"/>
        </w:rPr>
        <w:t>de Garantías?</w:t>
      </w:r>
    </w:p>
    <w:p w14:paraId="338E8C9B" w14:textId="77777777" w:rsidR="00F27878" w:rsidRPr="003426AE" w:rsidRDefault="00F27878" w:rsidP="00F27878">
      <w:pPr>
        <w:spacing w:after="0" w:line="240" w:lineRule="auto"/>
        <w:ind w:left="567" w:right="788"/>
        <w:contextualSpacing/>
        <w:jc w:val="both"/>
        <w:rPr>
          <w:rFonts w:ascii="Arial" w:hAnsi="Arial" w:cs="Arial"/>
          <w:sz w:val="21"/>
          <w:szCs w:val="21"/>
          <w:lang w:val="es-ES_tradnl"/>
        </w:rPr>
      </w:pPr>
      <w:r>
        <w:rPr>
          <w:rFonts w:ascii="Arial" w:hAnsi="Arial" w:cs="Arial"/>
          <w:sz w:val="21"/>
          <w:szCs w:val="21"/>
          <w:lang w:val="es-ES_tradnl"/>
        </w:rPr>
        <w:t>2)</w:t>
      </w:r>
      <w:r w:rsidRPr="003426AE">
        <w:rPr>
          <w:rFonts w:ascii="Arial" w:hAnsi="Arial" w:cs="Arial"/>
          <w:sz w:val="21"/>
          <w:szCs w:val="21"/>
          <w:lang w:val="es-ES_tradnl"/>
        </w:rPr>
        <w:t>PREGUNTA. En caso de que aplique a Fondecún la Ley de Garantías indique si: ¿La ley de Garantías</w:t>
      </w:r>
      <w:r>
        <w:rPr>
          <w:rFonts w:ascii="Arial" w:hAnsi="Arial" w:cs="Arial"/>
          <w:sz w:val="21"/>
          <w:szCs w:val="21"/>
          <w:lang w:val="es-ES_tradnl"/>
        </w:rPr>
        <w:t xml:space="preserve"> </w:t>
      </w:r>
      <w:r w:rsidRPr="003426AE">
        <w:rPr>
          <w:rFonts w:ascii="Arial" w:hAnsi="Arial" w:cs="Arial"/>
          <w:sz w:val="21"/>
          <w:szCs w:val="21"/>
          <w:lang w:val="es-ES_tradnl"/>
        </w:rPr>
        <w:t>Aplica para las próximas elecciones regionales que se celebrarán el 29 de octubre de 2023?</w:t>
      </w:r>
    </w:p>
    <w:p w14:paraId="7EB4DFCF" w14:textId="77777777" w:rsidR="00F27878" w:rsidRDefault="00F27878" w:rsidP="00F27878">
      <w:pPr>
        <w:spacing w:after="0" w:line="240" w:lineRule="auto"/>
        <w:ind w:left="567" w:right="788"/>
        <w:contextualSpacing/>
        <w:jc w:val="both"/>
        <w:rPr>
          <w:rFonts w:ascii="Arial" w:hAnsi="Arial" w:cs="Arial"/>
          <w:sz w:val="21"/>
          <w:szCs w:val="21"/>
          <w:lang w:val="es-ES_tradnl"/>
        </w:rPr>
      </w:pPr>
      <w:r>
        <w:rPr>
          <w:rFonts w:ascii="Arial" w:hAnsi="Arial" w:cs="Arial"/>
          <w:sz w:val="21"/>
          <w:szCs w:val="21"/>
          <w:lang w:val="es-ES_tradnl"/>
        </w:rPr>
        <w:lastRenderedPageBreak/>
        <w:t>3)</w:t>
      </w:r>
      <w:r w:rsidRPr="003426AE">
        <w:rPr>
          <w:rFonts w:ascii="Arial" w:hAnsi="Arial" w:cs="Arial"/>
          <w:sz w:val="21"/>
          <w:szCs w:val="21"/>
          <w:lang w:val="es-ES_tradnl"/>
        </w:rPr>
        <w:t>PREGUNTA. ¿Cuáles son las restricciones aplicables en materia de contratación tanto de aquella que</w:t>
      </w:r>
      <w:r>
        <w:rPr>
          <w:rFonts w:ascii="Arial" w:hAnsi="Arial" w:cs="Arial"/>
          <w:sz w:val="21"/>
          <w:szCs w:val="21"/>
          <w:lang w:val="es-ES_tradnl"/>
        </w:rPr>
        <w:t xml:space="preserve"> </w:t>
      </w:r>
      <w:r w:rsidRPr="003426AE">
        <w:rPr>
          <w:rFonts w:ascii="Arial" w:hAnsi="Arial" w:cs="Arial"/>
          <w:sz w:val="21"/>
          <w:szCs w:val="21"/>
          <w:lang w:val="es-ES_tradnl"/>
        </w:rPr>
        <w:t>se enmarca en el régimen privado como la regida por el Estatuto General de Contratación Pública?</w:t>
      </w:r>
    </w:p>
    <w:p w14:paraId="7BFB0FAB" w14:textId="77777777" w:rsidR="00F27878" w:rsidRDefault="00F27878" w:rsidP="00F27878">
      <w:pPr>
        <w:spacing w:after="0" w:line="240" w:lineRule="auto"/>
        <w:ind w:left="567" w:right="788"/>
        <w:contextualSpacing/>
        <w:jc w:val="both"/>
        <w:rPr>
          <w:rFonts w:ascii="Arial" w:hAnsi="Arial" w:cs="Arial"/>
          <w:sz w:val="21"/>
          <w:szCs w:val="21"/>
          <w:lang w:val="es-ES_tradnl"/>
        </w:rPr>
      </w:pPr>
      <w:r w:rsidRPr="00471AA3">
        <w:rPr>
          <w:rFonts w:ascii="Arial" w:hAnsi="Arial" w:cs="Arial"/>
          <w:sz w:val="21"/>
          <w:szCs w:val="21"/>
          <w:lang w:val="es-ES_tradnl"/>
        </w:rPr>
        <w:t>4) PREGUNTA. ¿Existen restricciones para realizar contrataciones de forma directa y/o celebrar</w:t>
      </w:r>
      <w:r>
        <w:rPr>
          <w:rFonts w:ascii="Arial" w:hAnsi="Arial" w:cs="Arial"/>
          <w:sz w:val="21"/>
          <w:szCs w:val="21"/>
          <w:lang w:val="es-ES_tradnl"/>
        </w:rPr>
        <w:t xml:space="preserve"> </w:t>
      </w:r>
      <w:r w:rsidRPr="00471AA3">
        <w:rPr>
          <w:rFonts w:ascii="Arial" w:hAnsi="Arial" w:cs="Arial"/>
          <w:sz w:val="21"/>
          <w:szCs w:val="21"/>
          <w:lang w:val="es-ES_tradnl"/>
        </w:rPr>
        <w:t>convenios-contratos interadministrativos a partir del 29 de</w:t>
      </w:r>
      <w:r>
        <w:rPr>
          <w:rFonts w:ascii="Arial" w:hAnsi="Arial" w:cs="Arial"/>
          <w:sz w:val="21"/>
          <w:szCs w:val="21"/>
          <w:lang w:val="es-ES_tradnl"/>
        </w:rPr>
        <w:t xml:space="preserve"> </w:t>
      </w:r>
      <w:r w:rsidRPr="00471AA3">
        <w:rPr>
          <w:rFonts w:ascii="Arial" w:hAnsi="Arial" w:cs="Arial"/>
          <w:sz w:val="21"/>
          <w:szCs w:val="21"/>
          <w:lang w:val="es-ES_tradnl"/>
        </w:rPr>
        <w:t>junio de 2023?</w:t>
      </w:r>
      <w:r w:rsidRPr="00836422">
        <w:rPr>
          <w:rFonts w:ascii="Arial" w:hAnsi="Arial" w:cs="Arial"/>
          <w:sz w:val="21"/>
          <w:szCs w:val="21"/>
          <w:lang w:val="es-ES_tradnl"/>
        </w:rPr>
        <w:t>” (SIC).</w:t>
      </w:r>
    </w:p>
    <w:p w14:paraId="20F5A8DD" w14:textId="77777777" w:rsidR="006F4EEB" w:rsidRDefault="006F4EEB" w:rsidP="00F27878">
      <w:pPr>
        <w:spacing w:after="120" w:line="276" w:lineRule="auto"/>
        <w:jc w:val="both"/>
        <w:rPr>
          <w:rFonts w:ascii="Arial" w:hAnsi="Arial" w:cs="Arial"/>
          <w:bCs/>
          <w:lang w:val="es-ES"/>
        </w:rPr>
      </w:pPr>
    </w:p>
    <w:p w14:paraId="6994FC8B" w14:textId="5A5599AF" w:rsidR="00F27878" w:rsidRPr="00E23F19" w:rsidRDefault="00F27878" w:rsidP="00F27878">
      <w:pPr>
        <w:spacing w:after="120" w:line="276" w:lineRule="auto"/>
        <w:jc w:val="both"/>
        <w:rPr>
          <w:rFonts w:ascii="Arial" w:hAnsi="Arial" w:cs="Arial"/>
          <w:bCs/>
          <w:lang w:val="es-ES"/>
        </w:rPr>
      </w:pPr>
      <w:r w:rsidRPr="00E23F19">
        <w:rPr>
          <w:rFonts w:ascii="Arial" w:hAnsi="Arial" w:cs="Arial"/>
          <w:bCs/>
          <w:lang w:val="es-ES"/>
        </w:rPr>
        <w:t>No obstante, se aclara que la pregunta No. 1 fue respondida por esta Agencia mediante radicado de salida</w:t>
      </w:r>
      <w:r>
        <w:rPr>
          <w:rFonts w:ascii="Arial" w:hAnsi="Arial" w:cs="Arial"/>
          <w:bCs/>
          <w:lang w:val="es-ES"/>
        </w:rPr>
        <w:t xml:space="preserve"> No. </w:t>
      </w:r>
      <w:r w:rsidRPr="0029548D">
        <w:rPr>
          <w:rFonts w:ascii="Arial" w:hAnsi="Arial" w:cs="Arial"/>
          <w:bCs/>
          <w:lang w:val="es-ES"/>
        </w:rPr>
        <w:t>RS20230509004466</w:t>
      </w:r>
      <w:r>
        <w:rPr>
          <w:rFonts w:ascii="Arial" w:hAnsi="Arial" w:cs="Arial"/>
          <w:bCs/>
          <w:lang w:val="es-ES"/>
        </w:rPr>
        <w:t xml:space="preserve"> del 30 de mayo de 2023, en donde se señaló la falta de competencia de acuerdo con la ley, lo cual se anexa a la presente consulta.</w:t>
      </w:r>
    </w:p>
    <w:p w14:paraId="13A95038" w14:textId="77777777" w:rsidR="00F27878" w:rsidRPr="00836422" w:rsidRDefault="00F27878" w:rsidP="00F27878">
      <w:pPr>
        <w:spacing w:after="0" w:line="240" w:lineRule="auto"/>
        <w:ind w:left="567" w:right="788"/>
        <w:contextualSpacing/>
        <w:jc w:val="both"/>
        <w:rPr>
          <w:rFonts w:ascii="Arial" w:hAnsi="Arial" w:cs="Arial"/>
          <w:sz w:val="21"/>
          <w:szCs w:val="21"/>
          <w:lang w:val="es-ES_tradnl"/>
        </w:rPr>
      </w:pPr>
    </w:p>
    <w:p w14:paraId="61772126" w14:textId="77777777" w:rsidR="00F27878" w:rsidRPr="00836422" w:rsidRDefault="00F27878" w:rsidP="00F27878">
      <w:pPr>
        <w:spacing w:after="0" w:line="240" w:lineRule="auto"/>
        <w:contextualSpacing/>
        <w:rPr>
          <w:rFonts w:ascii="Arial" w:hAnsi="Arial" w:cs="Arial"/>
          <w:b/>
          <w:lang w:val="es-ES_tradnl"/>
        </w:rPr>
      </w:pPr>
      <w:r w:rsidRPr="00836422">
        <w:rPr>
          <w:rFonts w:ascii="Arial" w:hAnsi="Arial" w:cs="Arial"/>
          <w:b/>
          <w:lang w:val="es-ES_tradnl"/>
        </w:rPr>
        <w:t xml:space="preserve">2. Consideraciones </w:t>
      </w:r>
    </w:p>
    <w:p w14:paraId="323FA079" w14:textId="77777777" w:rsidR="00F27878" w:rsidRPr="00836422" w:rsidRDefault="00F27878" w:rsidP="00F27878">
      <w:pPr>
        <w:spacing w:after="0" w:line="240" w:lineRule="auto"/>
        <w:contextualSpacing/>
        <w:jc w:val="both"/>
        <w:rPr>
          <w:rFonts w:ascii="Arial" w:hAnsi="Arial" w:cs="Arial"/>
          <w:bCs/>
          <w:lang w:val="es-ES"/>
        </w:rPr>
      </w:pPr>
    </w:p>
    <w:p w14:paraId="0EE7953C" w14:textId="77777777" w:rsidR="008970ED" w:rsidRDefault="008970ED" w:rsidP="00F27878">
      <w:pPr>
        <w:spacing w:after="0" w:line="240" w:lineRule="auto"/>
        <w:contextualSpacing/>
        <w:jc w:val="both"/>
        <w:rPr>
          <w:rFonts w:ascii="Arial" w:hAnsi="Arial" w:cs="Arial"/>
          <w:bCs/>
          <w:lang w:val="es-ES"/>
        </w:rPr>
      </w:pPr>
    </w:p>
    <w:p w14:paraId="4A830ECD" w14:textId="77777777" w:rsidR="008970ED" w:rsidRPr="001F5E5D" w:rsidRDefault="008970ED" w:rsidP="008970ED">
      <w:pPr>
        <w:spacing w:after="120" w:line="276" w:lineRule="auto"/>
        <w:jc w:val="both"/>
        <w:rPr>
          <w:rFonts w:ascii="Arial" w:hAnsi="Arial" w:cs="Arial"/>
          <w:bCs/>
          <w:lang w:val="es-MX"/>
        </w:rPr>
      </w:pPr>
      <w:r w:rsidRPr="001F5E5D">
        <w:rPr>
          <w:rFonts w:ascii="Arial" w:hAnsi="Arial" w:cs="Arial"/>
          <w:bCs/>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0DB9AD4" w14:textId="77777777" w:rsidR="008970ED" w:rsidRPr="001F5E5D" w:rsidRDefault="008970ED" w:rsidP="008970ED">
      <w:pPr>
        <w:spacing w:after="120" w:line="276" w:lineRule="auto"/>
        <w:ind w:firstLine="708"/>
        <w:jc w:val="both"/>
        <w:rPr>
          <w:rFonts w:ascii="Arial" w:hAnsi="Arial" w:cs="Arial"/>
          <w:lang w:val="es-ES"/>
        </w:rPr>
      </w:pPr>
      <w:bookmarkStart w:id="4" w:name="_Hlk61701014"/>
      <w:bookmarkStart w:id="5" w:name="_Hlk62136649"/>
      <w:r w:rsidRPr="001F5E5D">
        <w:rPr>
          <w:rFonts w:ascii="Arial" w:hAnsi="Arial" w:cs="Arial"/>
          <w:lang w:val="es-ES"/>
        </w:rPr>
        <w:t xml:space="preserve">Es necesario tener en cuenta que </w:t>
      </w:r>
      <w:bookmarkStart w:id="6" w:name="_Hlk61026958"/>
      <w:r w:rsidRPr="001F5E5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F5E5D">
        <w:rPr>
          <w:rFonts w:ascii="Arial" w:hAnsi="Arial" w:cs="Arial"/>
          <w:bCs/>
          <w:lang w:val="es-MX"/>
        </w:rPr>
        <w:t xml:space="preserve"> de todos los partícipes de la contratación estatal.</w:t>
      </w:r>
      <w:r w:rsidRPr="001F5E5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F5E5D">
        <w:rPr>
          <w:rFonts w:ascii="Arial" w:hAnsi="Arial" w:cs="Arial"/>
          <w:vertAlign w:val="superscript"/>
          <w:lang w:val="es-ES"/>
        </w:rPr>
        <w:footnoteReference w:id="2"/>
      </w:r>
      <w:r w:rsidRPr="001F5E5D">
        <w:rPr>
          <w:rFonts w:ascii="Arial" w:hAnsi="Arial" w:cs="Arial"/>
          <w:lang w:val="es-ES"/>
        </w:rPr>
        <w:t xml:space="preserve">. </w:t>
      </w:r>
    </w:p>
    <w:p w14:paraId="23CF6E04" w14:textId="77777777" w:rsidR="008970ED" w:rsidRPr="001F5E5D" w:rsidRDefault="008970ED" w:rsidP="008970ED">
      <w:pPr>
        <w:spacing w:after="120" w:line="276" w:lineRule="auto"/>
        <w:ind w:firstLine="708"/>
        <w:jc w:val="both"/>
        <w:rPr>
          <w:rFonts w:ascii="Arial" w:eastAsia="Calibri" w:hAnsi="Arial" w:cs="Arial"/>
          <w:color w:val="000000" w:themeColor="text1"/>
          <w:lang w:val="es-ES"/>
        </w:rPr>
      </w:pPr>
      <w:r w:rsidRPr="001F5E5D">
        <w:rPr>
          <w:rFonts w:ascii="Arial" w:hAnsi="Arial" w:cs="Arial"/>
          <w:lang w:val="es-ES"/>
        </w:rPr>
        <w:t>Esta competencia de interpretación de normas generales, por definición, no puede extenderse a la resolución de controversias, ni a brindar asesorías sobre casos puntuales.</w:t>
      </w:r>
      <w:bookmarkEnd w:id="6"/>
      <w:r w:rsidRPr="001F5E5D">
        <w:rPr>
          <w:rFonts w:ascii="Arial" w:hAnsi="Arial" w:cs="Arial"/>
          <w:lang w:val="es-ES"/>
        </w:rPr>
        <w:t xml:space="preserve"> Por lo anterior, previo concepto de sus órganos asesores, la solución de estos temas corresponde a la entidad que adelanta el procedimiento de selección y, en caso de que se presenten irregularidades, a las autoridades judiciales, fiscales y disciplinarias</w:t>
      </w:r>
      <w:bookmarkEnd w:id="4"/>
      <w:r w:rsidRPr="001F5E5D">
        <w:rPr>
          <w:rFonts w:ascii="Arial" w:hAnsi="Arial" w:cs="Arial"/>
          <w:lang w:val="es-ES"/>
        </w:rPr>
        <w:t>.</w:t>
      </w:r>
      <w:r w:rsidRPr="001F5E5D">
        <w:rPr>
          <w:rFonts w:ascii="Arial" w:eastAsia="Calibri" w:hAnsi="Arial" w:cs="Arial"/>
          <w:color w:val="000000" w:themeColor="text1"/>
          <w:lang w:val="es-MX"/>
        </w:rPr>
        <w:t xml:space="preserve"> </w:t>
      </w:r>
      <w:bookmarkEnd w:id="5"/>
      <w:r w:rsidRPr="001F5E5D">
        <w:rPr>
          <w:rFonts w:ascii="Arial" w:eastAsia="Calibri" w:hAnsi="Arial" w:cs="Arial"/>
          <w:color w:val="000000" w:themeColor="text1"/>
          <w:lang w:val="es-MX"/>
        </w:rPr>
        <w:t xml:space="preserve">En todo caso, </w:t>
      </w:r>
      <w:r w:rsidRPr="001F5E5D">
        <w:rPr>
          <w:rFonts w:ascii="Arial" w:eastAsia="Calibri" w:hAnsi="Arial" w:cs="Arial"/>
          <w:color w:val="000000" w:themeColor="text1"/>
          <w:lang w:val="es-ES"/>
        </w:rPr>
        <w:t xml:space="preserve">la Subdirección –dentro de los límites de sus atribuciones, esto es, haciendo abstracción del caso </w:t>
      </w:r>
      <w:r w:rsidRPr="001F5E5D">
        <w:rPr>
          <w:rFonts w:ascii="Arial" w:eastAsia="Calibri" w:hAnsi="Arial" w:cs="Arial"/>
          <w:color w:val="000000" w:themeColor="text1"/>
          <w:lang w:val="es-ES"/>
        </w:rPr>
        <w:lastRenderedPageBreak/>
        <w:t xml:space="preserve">puntual objeto de consulta– resolverá la petición conforme a las normas generales en materia de contratación estatal. </w:t>
      </w:r>
    </w:p>
    <w:p w14:paraId="7110E5D0" w14:textId="77777777" w:rsidR="008970ED" w:rsidRDefault="008970ED" w:rsidP="00F27878">
      <w:pPr>
        <w:spacing w:after="0" w:line="240" w:lineRule="auto"/>
        <w:contextualSpacing/>
        <w:jc w:val="both"/>
        <w:rPr>
          <w:rFonts w:ascii="Arial" w:hAnsi="Arial" w:cs="Arial"/>
          <w:bCs/>
          <w:lang w:val="es-ES"/>
        </w:rPr>
      </w:pPr>
    </w:p>
    <w:p w14:paraId="2B8E6D3B" w14:textId="77777777" w:rsidR="008970ED" w:rsidRDefault="008970ED" w:rsidP="00F27878">
      <w:pPr>
        <w:spacing w:after="0" w:line="240" w:lineRule="auto"/>
        <w:contextualSpacing/>
        <w:jc w:val="both"/>
        <w:rPr>
          <w:rFonts w:ascii="Arial" w:hAnsi="Arial" w:cs="Arial"/>
          <w:bCs/>
          <w:lang w:val="es-ES"/>
        </w:rPr>
      </w:pPr>
    </w:p>
    <w:p w14:paraId="112FE256" w14:textId="77777777" w:rsidR="008970ED" w:rsidRPr="00836422" w:rsidRDefault="008970ED" w:rsidP="00F27878">
      <w:pPr>
        <w:spacing w:after="0" w:line="240" w:lineRule="auto"/>
        <w:contextualSpacing/>
        <w:jc w:val="both"/>
        <w:rPr>
          <w:rFonts w:ascii="Arial" w:hAnsi="Arial" w:cs="Arial"/>
          <w:bCs/>
          <w:lang w:val="es-ES"/>
        </w:rPr>
      </w:pPr>
    </w:p>
    <w:p w14:paraId="4DFC0A7D" w14:textId="48319F18" w:rsidR="00F27878" w:rsidRPr="00836422" w:rsidRDefault="00D35DA4" w:rsidP="00F27878">
      <w:pPr>
        <w:spacing w:after="120" w:line="276" w:lineRule="auto"/>
        <w:jc w:val="both"/>
        <w:rPr>
          <w:rFonts w:ascii="Arial" w:hAnsi="Arial" w:cs="Arial"/>
          <w:bCs/>
          <w:lang w:val="es-ES"/>
        </w:rPr>
      </w:pPr>
      <w:r>
        <w:rPr>
          <w:rFonts w:ascii="Arial" w:hAnsi="Arial" w:cs="Arial"/>
          <w:bCs/>
        </w:rPr>
        <w:t>Con el objetivo de resolver el problema planteado</w:t>
      </w:r>
      <w:r w:rsidR="00F27878" w:rsidRPr="00836422">
        <w:rPr>
          <w:rFonts w:ascii="Arial" w:hAnsi="Arial" w:cs="Arial"/>
          <w:bCs/>
          <w:lang w:val="es-ES"/>
        </w:rPr>
        <w:t xml:space="preserve">, esta Subdirección analizará los siguientes temas: </w:t>
      </w:r>
      <w:r w:rsidR="00F27878" w:rsidRPr="00836422">
        <w:rPr>
          <w:rFonts w:ascii="Arial" w:hAnsi="Arial" w:cs="Arial"/>
          <w:bCs/>
          <w:lang w:val="es-MX"/>
        </w:rPr>
        <w:t xml:space="preserve">i) definición y finalidad de la Ley de Garantías Electorales y ii) restricciones en los comicios para cargos de elección popular. </w:t>
      </w:r>
    </w:p>
    <w:p w14:paraId="592B30A7" w14:textId="77777777" w:rsidR="00F27878" w:rsidRPr="00836422" w:rsidRDefault="00F27878" w:rsidP="00F27878">
      <w:pPr>
        <w:tabs>
          <w:tab w:val="left" w:pos="426"/>
        </w:tabs>
        <w:spacing w:after="0" w:line="276" w:lineRule="auto"/>
        <w:ind w:firstLine="709"/>
        <w:jc w:val="both"/>
        <w:rPr>
          <w:rFonts w:ascii="Arial" w:eastAsia="Calibri" w:hAnsi="Arial" w:cs="Arial"/>
          <w:lang w:val="es-ES_tradnl"/>
        </w:rPr>
      </w:pPr>
      <w:bookmarkStart w:id="7" w:name="_Hlk96420693"/>
      <w:r w:rsidRPr="00836422">
        <w:rPr>
          <w:rFonts w:ascii="Arial" w:eastAsia="Calibri" w:hAnsi="Arial" w:cs="Arial"/>
          <w:lang w:val="es-ES_tradnl"/>
        </w:rPr>
        <w:t xml:space="preserve">La Agencia Nacional de Contratación Pública – Colombia Compra Eficiente ha impartido lineamientos sobre la aplicación de la Ley 996 de 2005 y también se ha pronunciado al respecto, entre otros, en los </w:t>
      </w:r>
      <w:r>
        <w:rPr>
          <w:rFonts w:ascii="Arial" w:eastAsia="Calibri" w:hAnsi="Arial" w:cs="Arial"/>
          <w:lang w:val="es-ES_tradnl"/>
        </w:rPr>
        <w:t>c</w:t>
      </w:r>
      <w:r w:rsidRPr="00836422">
        <w:rPr>
          <w:rFonts w:ascii="Arial" w:eastAsia="Calibri" w:hAnsi="Arial" w:cs="Arial"/>
          <w:lang w:val="es-ES_tradnl"/>
        </w:rPr>
        <w:t xml:space="preserve">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836422">
        <w:rPr>
          <w:rFonts w:ascii="Arial" w:eastAsia="Calibri" w:hAnsi="Arial" w:cs="Arial"/>
          <w:bCs/>
          <w:lang w:val="es-MX"/>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w:t>
      </w:r>
      <w:r>
        <w:rPr>
          <w:rFonts w:ascii="Arial" w:eastAsia="Calibri" w:hAnsi="Arial" w:cs="Arial"/>
          <w:bCs/>
          <w:lang w:val="es-MX"/>
        </w:rPr>
        <w:t xml:space="preserve">, </w:t>
      </w:r>
      <w:r w:rsidRPr="00836422">
        <w:rPr>
          <w:rFonts w:ascii="Arial" w:eastAsia="Calibri" w:hAnsi="Arial" w:cs="Arial"/>
          <w:bCs/>
          <w:lang w:val="es-MX"/>
        </w:rPr>
        <w:t xml:space="preserve">C-049 del 13 de abril de </w:t>
      </w:r>
      <w:r w:rsidRPr="00836422">
        <w:rPr>
          <w:rFonts w:ascii="Arial" w:eastAsia="Calibri" w:hAnsi="Arial" w:cs="Arial"/>
          <w:bCs/>
          <w:lang w:val="es-MX"/>
        </w:rPr>
        <w:lastRenderedPageBreak/>
        <w:t>2023</w:t>
      </w:r>
      <w:r>
        <w:rPr>
          <w:rFonts w:ascii="Arial" w:eastAsia="Calibri" w:hAnsi="Arial" w:cs="Arial"/>
          <w:bCs/>
          <w:lang w:val="es-MX"/>
        </w:rPr>
        <w:t xml:space="preserve"> y C-116 del 8 de mayo de 2023</w:t>
      </w:r>
      <w:r w:rsidRPr="00836422">
        <w:rPr>
          <w:rFonts w:ascii="Arial" w:eastAsia="Calibri" w:hAnsi="Arial" w:cs="Arial"/>
          <w:lang w:val="es-ES_tradnl"/>
        </w:rPr>
        <w:t>. La tesis desarrollada en estos conceptos se reitera y complementa a continuación:</w:t>
      </w:r>
      <w:bookmarkEnd w:id="7"/>
    </w:p>
    <w:p w14:paraId="68F66F4D" w14:textId="77777777" w:rsidR="00F27878" w:rsidRPr="00836422" w:rsidRDefault="00F27878" w:rsidP="00F27878">
      <w:pPr>
        <w:tabs>
          <w:tab w:val="left" w:pos="426"/>
        </w:tabs>
        <w:spacing w:after="0" w:line="276" w:lineRule="auto"/>
        <w:contextualSpacing/>
        <w:jc w:val="both"/>
        <w:rPr>
          <w:rFonts w:ascii="Arial" w:eastAsia="Calibri" w:hAnsi="Arial" w:cs="Arial"/>
          <w:lang w:val="es-ES_tradnl"/>
        </w:rPr>
      </w:pPr>
    </w:p>
    <w:p w14:paraId="5118C7BF" w14:textId="77777777" w:rsidR="00F27878" w:rsidRPr="00836422" w:rsidRDefault="00F27878" w:rsidP="00F27878">
      <w:pPr>
        <w:tabs>
          <w:tab w:val="left" w:pos="426"/>
        </w:tabs>
        <w:spacing w:after="0" w:line="276" w:lineRule="auto"/>
        <w:contextualSpacing/>
        <w:jc w:val="both"/>
        <w:rPr>
          <w:rFonts w:ascii="Arial" w:eastAsia="Calibri" w:hAnsi="Arial" w:cs="Arial"/>
          <w:b/>
          <w:bCs/>
          <w:lang w:val="es-MX"/>
        </w:rPr>
      </w:pPr>
      <w:r w:rsidRPr="00836422">
        <w:rPr>
          <w:rFonts w:ascii="Arial" w:eastAsia="Calibri" w:hAnsi="Arial" w:cs="Arial"/>
          <w:b/>
          <w:bCs/>
          <w:lang w:val="es-MX"/>
        </w:rPr>
        <w:t>2.1. Definición y finalidad de la Ley de Garantías Electorales: alcance de las restricciones</w:t>
      </w:r>
    </w:p>
    <w:p w14:paraId="3EB3BE02" w14:textId="77777777" w:rsidR="00F27878" w:rsidRPr="00836422" w:rsidRDefault="00F27878" w:rsidP="00F27878">
      <w:pPr>
        <w:tabs>
          <w:tab w:val="left" w:pos="426"/>
        </w:tabs>
        <w:spacing w:after="0" w:line="276" w:lineRule="auto"/>
        <w:ind w:firstLine="709"/>
        <w:contextualSpacing/>
        <w:jc w:val="both"/>
        <w:rPr>
          <w:rFonts w:ascii="Arial" w:eastAsia="Calibri" w:hAnsi="Arial" w:cs="Arial"/>
          <w:bCs/>
          <w:lang w:val="es-MX"/>
        </w:rPr>
      </w:pPr>
    </w:p>
    <w:p w14:paraId="108D217B" w14:textId="77777777" w:rsidR="00F27878" w:rsidRPr="00836422" w:rsidRDefault="00F27878" w:rsidP="00F27878">
      <w:pPr>
        <w:tabs>
          <w:tab w:val="left" w:pos="426"/>
        </w:tabs>
        <w:spacing w:after="120" w:line="276" w:lineRule="auto"/>
        <w:jc w:val="both"/>
        <w:rPr>
          <w:rFonts w:ascii="Arial" w:hAnsi="Arial" w:cs="Arial"/>
          <w:bCs/>
          <w:lang w:val="es-MX" w:eastAsia="es-CO"/>
        </w:rPr>
      </w:pPr>
      <w:r w:rsidRPr="00836422">
        <w:rPr>
          <w:rFonts w:ascii="Arial" w:eastAsia="Calibri" w:hAnsi="Arial" w:cs="Arial"/>
          <w:bCs/>
          <w:lang w:val="es-MX"/>
        </w:rPr>
        <w:t>El ordenamiento jurídico colombiano contempla previsiones claras para evitar la obtención de beneficios personales en asuntos propios de la administración pública</w:t>
      </w:r>
      <w:r w:rsidRPr="00836422">
        <w:rPr>
          <w:rFonts w:ascii="Arial" w:eastAsia="Calibri" w:hAnsi="Arial" w:cs="Arial"/>
          <w:bCs/>
          <w:i/>
          <w:iCs/>
          <w:lang w:val="es-MX"/>
        </w:rPr>
        <w:t xml:space="preserve">. </w:t>
      </w:r>
      <w:r w:rsidRPr="00836422">
        <w:rPr>
          <w:rFonts w:ascii="Arial" w:eastAsia="Calibri" w:hAnsi="Arial" w:cs="Arial"/>
          <w:bCs/>
          <w:lang w:val="es-MX"/>
        </w:rPr>
        <w:t>Por ejemplo, el artículo 127 de la Constitución Política establece una prohibición contractual a los servidores públicos y en cuanto a aspectos políticos consagra restricciones a ciertos empleados del Estado, incluso en época no electoral</w:t>
      </w:r>
      <w:r w:rsidRPr="00836422">
        <w:rPr>
          <w:rFonts w:ascii="Arial" w:eastAsia="Calibri" w:hAnsi="Arial" w:cs="Arial"/>
          <w:bCs/>
          <w:vertAlign w:val="superscript"/>
          <w:lang w:val="es-MX"/>
        </w:rPr>
        <w:footnoteReference w:id="3"/>
      </w:r>
      <w:r w:rsidRPr="00836422">
        <w:rPr>
          <w:rFonts w:ascii="Arial" w:eastAsia="Calibri" w:hAnsi="Arial" w:cs="Arial"/>
          <w:bCs/>
          <w:lang w:val="es-MX"/>
        </w:rPr>
        <w:t xml:space="preserve">. </w:t>
      </w:r>
    </w:p>
    <w:p w14:paraId="114A1B7E" w14:textId="77777777" w:rsidR="00F27878" w:rsidRPr="00836422" w:rsidRDefault="00F27878" w:rsidP="00F27878">
      <w:pPr>
        <w:tabs>
          <w:tab w:val="left" w:pos="426"/>
        </w:tabs>
        <w:spacing w:after="0" w:line="276" w:lineRule="auto"/>
        <w:ind w:firstLine="709"/>
        <w:jc w:val="both"/>
        <w:rPr>
          <w:rFonts w:ascii="Arial" w:hAnsi="Arial" w:cs="Arial"/>
          <w:bCs/>
          <w:lang w:val="es-MX" w:eastAsia="es-CO"/>
        </w:rPr>
      </w:pPr>
      <w:r w:rsidRPr="00836422">
        <w:rPr>
          <w:rFonts w:ascii="Arial" w:hAnsi="Arial" w:cs="Arial"/>
          <w:bCs/>
          <w:lang w:val="es-MX" w:eastAsia="es-CO"/>
        </w:rPr>
        <w:t xml:space="preserve">En el mismo sentido, </w:t>
      </w:r>
      <w:bookmarkStart w:id="8" w:name="_Hlk99576829"/>
      <w:r w:rsidRPr="00836422">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836422">
        <w:rPr>
          <w:rFonts w:ascii="Arial" w:hAnsi="Arial" w:cs="Arial"/>
          <w:bCs/>
          <w:vertAlign w:val="superscript"/>
          <w:lang w:val="es-MX" w:eastAsia="es-CO"/>
        </w:rPr>
        <w:footnoteReference w:id="4"/>
      </w:r>
      <w:r w:rsidRPr="00836422">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836422">
        <w:rPr>
          <w:rFonts w:ascii="Arial" w:eastAsia="Calibri" w:hAnsi="Arial" w:cs="Arial"/>
          <w:noProof/>
          <w:lang w:val="es-ES_tradnl"/>
        </w:rPr>
        <w:t xml:space="preserve"> </w:t>
      </w:r>
      <w:bookmarkEnd w:id="8"/>
      <w:r w:rsidRPr="00836422">
        <w:rPr>
          <w:rFonts w:ascii="Arial" w:hAnsi="Arial" w:cs="Arial"/>
          <w:bCs/>
          <w:lang w:val="es-MX" w:eastAsia="es-CO"/>
        </w:rPr>
        <w:t>En armonía con lo anterior, la Corte Constitucional ha abordado la definición de la Ley de Garantías Electorales. De esta manera, explica que tiene como propósito:</w:t>
      </w:r>
    </w:p>
    <w:p w14:paraId="630D5FE7" w14:textId="77777777" w:rsidR="00F27878" w:rsidRPr="00836422" w:rsidRDefault="00F27878" w:rsidP="00F27878">
      <w:pPr>
        <w:spacing w:after="0" w:line="240" w:lineRule="auto"/>
        <w:ind w:right="709"/>
        <w:contextualSpacing/>
        <w:jc w:val="both"/>
        <w:rPr>
          <w:rFonts w:ascii="Arial" w:hAnsi="Arial" w:cs="Arial"/>
          <w:color w:val="FF0000"/>
          <w:lang w:val="es-ES" w:eastAsia="es-CO"/>
        </w:rPr>
      </w:pPr>
    </w:p>
    <w:p w14:paraId="1325046D"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sz w:val="21"/>
          <w:szCs w:val="21"/>
          <w:lang w:val="es-ES" w:eastAsia="es-CO"/>
        </w:rPr>
        <w:t xml:space="preserve">[…] </w:t>
      </w:r>
      <w:r w:rsidRPr="0083642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0E278578"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p>
    <w:p w14:paraId="1D380518"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 xml:space="preserve">[…] </w:t>
      </w:r>
    </w:p>
    <w:p w14:paraId="09281B8D" w14:textId="77777777" w:rsidR="00F27878" w:rsidRPr="00836422" w:rsidRDefault="00F27878" w:rsidP="00F27878">
      <w:pPr>
        <w:spacing w:after="0" w:line="240" w:lineRule="auto"/>
        <w:ind w:right="709"/>
        <w:contextualSpacing/>
        <w:jc w:val="both"/>
        <w:rPr>
          <w:rFonts w:ascii="Arial" w:hAnsi="Arial" w:cs="Arial"/>
          <w:bCs/>
          <w:sz w:val="21"/>
          <w:szCs w:val="21"/>
          <w:lang w:val="es-MX" w:eastAsia="es-CO"/>
        </w:rPr>
      </w:pPr>
    </w:p>
    <w:p w14:paraId="62B59BAE"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w:t>
      </w:r>
      <w:r w:rsidRPr="00836422">
        <w:rPr>
          <w:rFonts w:ascii="Arial" w:hAnsi="Arial" w:cs="Arial"/>
          <w:bCs/>
          <w:sz w:val="21"/>
          <w:szCs w:val="21"/>
          <w:lang w:val="es-MX" w:eastAsia="es-CO"/>
        </w:rPr>
        <w:lastRenderedPageBreak/>
        <w:t>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36422">
        <w:rPr>
          <w:rFonts w:ascii="Arial" w:eastAsia="Calibri" w:hAnsi="Arial" w:cs="Arial"/>
          <w:sz w:val="21"/>
          <w:szCs w:val="21"/>
          <w:vertAlign w:val="superscript"/>
          <w:lang w:val="es-MX"/>
        </w:rPr>
        <w:footnoteReference w:id="5"/>
      </w:r>
    </w:p>
    <w:p w14:paraId="6C224989" w14:textId="77777777" w:rsidR="00F27878" w:rsidRPr="00836422" w:rsidRDefault="00F27878" w:rsidP="00F27878">
      <w:pPr>
        <w:spacing w:after="0" w:line="276" w:lineRule="auto"/>
        <w:ind w:left="708" w:right="709"/>
        <w:contextualSpacing/>
        <w:jc w:val="both"/>
        <w:rPr>
          <w:rFonts w:ascii="Arial" w:hAnsi="Arial" w:cs="Arial"/>
          <w:bCs/>
          <w:lang w:val="es-MX" w:eastAsia="es-CO"/>
        </w:rPr>
      </w:pPr>
    </w:p>
    <w:p w14:paraId="7A6BF91D" w14:textId="77777777" w:rsidR="00F27878" w:rsidRPr="00836422" w:rsidRDefault="00F27878" w:rsidP="00F27878">
      <w:pPr>
        <w:spacing w:after="0" w:line="276" w:lineRule="auto"/>
        <w:ind w:firstLine="709"/>
        <w:contextualSpacing/>
        <w:jc w:val="both"/>
        <w:rPr>
          <w:rFonts w:ascii="Arial" w:hAnsi="Arial" w:cs="Arial"/>
          <w:bCs/>
          <w:lang w:val="es-MX" w:eastAsia="es-CO"/>
        </w:rPr>
      </w:pPr>
      <w:bookmarkStart w:id="9" w:name="_Hlk78818186"/>
      <w:r w:rsidRPr="00836422">
        <w:rPr>
          <w:rFonts w:ascii="Arial"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9"/>
      <w:r w:rsidRPr="00836422">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1B40C08D" w14:textId="77777777" w:rsidR="00F27878" w:rsidRPr="00836422" w:rsidRDefault="00F27878" w:rsidP="00F27878">
      <w:pPr>
        <w:spacing w:after="0" w:line="276" w:lineRule="auto"/>
        <w:ind w:firstLine="709"/>
        <w:contextualSpacing/>
        <w:jc w:val="both"/>
        <w:rPr>
          <w:rFonts w:ascii="Arial" w:hAnsi="Arial" w:cs="Arial"/>
          <w:bCs/>
          <w:lang w:val="es-MX" w:eastAsia="es-CO"/>
        </w:rPr>
      </w:pPr>
    </w:p>
    <w:p w14:paraId="1E27B42C"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37B261"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p>
    <w:p w14:paraId="17C32E80" w14:textId="77777777" w:rsidR="00F27878" w:rsidRPr="00836422" w:rsidRDefault="00F27878" w:rsidP="00F27878">
      <w:pPr>
        <w:spacing w:after="0" w:line="240" w:lineRule="auto"/>
        <w:ind w:left="709" w:right="709"/>
        <w:contextualSpacing/>
        <w:jc w:val="both"/>
        <w:rPr>
          <w:rFonts w:ascii="Arial" w:hAnsi="Arial" w:cs="Arial"/>
          <w:bCs/>
          <w:sz w:val="21"/>
          <w:szCs w:val="21"/>
          <w:lang w:val="es-MX" w:eastAsia="es-CO"/>
        </w:rPr>
      </w:pPr>
      <w:r w:rsidRPr="00836422">
        <w:rPr>
          <w:rFonts w:ascii="Arial" w:hAnsi="Arial" w:cs="Arial"/>
          <w:bCs/>
          <w:sz w:val="21"/>
          <w:szCs w:val="21"/>
          <w:lang w:val="es-MX" w:eastAsia="es-CO"/>
        </w:rPr>
        <w:t>La jurisprudencia de la Corte Constitucional</w:t>
      </w:r>
      <w:r w:rsidRPr="00836422">
        <w:rPr>
          <w:rFonts w:ascii="Arial" w:hAnsi="Arial" w:cs="Arial"/>
          <w:bCs/>
          <w:sz w:val="21"/>
          <w:szCs w:val="21"/>
          <w:vertAlign w:val="superscript"/>
          <w:lang w:val="es-MX" w:eastAsia="es-CO"/>
        </w:rPr>
        <w:footnoteReference w:id="6"/>
      </w:r>
      <w:r w:rsidRPr="00836422">
        <w:rPr>
          <w:rFonts w:ascii="Arial" w:hAnsi="Arial" w:cs="Arial"/>
          <w:bCs/>
          <w:sz w:val="21"/>
          <w:szCs w:val="21"/>
          <w:lang w:val="es-MX" w:eastAsia="es-CO"/>
        </w:rPr>
        <w:t> y del Consejo de Estado</w:t>
      </w:r>
      <w:r w:rsidRPr="00836422">
        <w:rPr>
          <w:rFonts w:ascii="Arial" w:hAnsi="Arial" w:cs="Arial"/>
          <w:bCs/>
          <w:sz w:val="21"/>
          <w:szCs w:val="21"/>
          <w:vertAlign w:val="superscript"/>
          <w:lang w:val="es-MX" w:eastAsia="es-CO"/>
        </w:rPr>
        <w:footnoteReference w:id="7"/>
      </w:r>
      <w:r w:rsidRPr="00836422">
        <w:rPr>
          <w:rFonts w:ascii="Arial"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w:t>
      </w:r>
      <w:r w:rsidRPr="00836422">
        <w:rPr>
          <w:rFonts w:ascii="Arial" w:hAnsi="Arial" w:cs="Arial"/>
          <w:bCs/>
          <w:sz w:val="21"/>
          <w:szCs w:val="21"/>
          <w:lang w:val="es-MX" w:eastAsia="es-CO"/>
        </w:rPr>
        <w:lastRenderedPageBreak/>
        <w:t>obrar, sobrepasar sus precisos términos comporta el desconocimiento de la voluntad del legislador</w:t>
      </w:r>
      <w:r w:rsidRPr="00836422">
        <w:rPr>
          <w:rFonts w:ascii="Arial" w:hAnsi="Arial" w:cs="Arial"/>
          <w:bCs/>
          <w:sz w:val="21"/>
          <w:szCs w:val="21"/>
          <w:vertAlign w:val="superscript"/>
          <w:lang w:val="es-MX" w:eastAsia="es-CO"/>
        </w:rPr>
        <w:footnoteReference w:id="8"/>
      </w:r>
      <w:r w:rsidRPr="00836422">
        <w:rPr>
          <w:rFonts w:ascii="Arial" w:hAnsi="Arial" w:cs="Arial"/>
          <w:bCs/>
          <w:sz w:val="21"/>
          <w:szCs w:val="21"/>
          <w:lang w:val="es-MX" w:eastAsia="es-CO"/>
        </w:rPr>
        <w:t>.</w:t>
      </w:r>
    </w:p>
    <w:p w14:paraId="35DB9056" w14:textId="77777777" w:rsidR="00F27878" w:rsidRPr="00836422" w:rsidRDefault="00F27878" w:rsidP="00F27878">
      <w:pPr>
        <w:spacing w:after="0" w:line="276" w:lineRule="auto"/>
        <w:ind w:right="709"/>
        <w:contextualSpacing/>
        <w:jc w:val="both"/>
        <w:rPr>
          <w:rFonts w:ascii="Arial" w:hAnsi="Arial" w:cs="Arial"/>
          <w:bCs/>
          <w:color w:val="FF0000"/>
          <w:lang w:val="es-MX" w:eastAsia="es-CO"/>
        </w:rPr>
      </w:pPr>
    </w:p>
    <w:p w14:paraId="433CF0AF" w14:textId="77777777" w:rsidR="00F27878" w:rsidRPr="00836422" w:rsidRDefault="00F27878" w:rsidP="00F27878">
      <w:pPr>
        <w:spacing w:after="120" w:line="276" w:lineRule="auto"/>
        <w:jc w:val="both"/>
        <w:rPr>
          <w:rFonts w:ascii="Arial" w:eastAsia="Arial" w:hAnsi="Arial" w:cs="Arial"/>
          <w:lang w:val="es-ES" w:eastAsia="es-ES" w:bidi="es-ES"/>
        </w:rPr>
      </w:pPr>
      <w:r w:rsidRPr="00836422">
        <w:rPr>
          <w:rFonts w:ascii="Arial" w:hAnsi="Arial" w:cs="Arial"/>
          <w:bCs/>
          <w:lang w:val="es-MX" w:eastAsia="es-CO"/>
        </w:rPr>
        <w:tab/>
        <w:t>De</w:t>
      </w:r>
      <w:r w:rsidRPr="00836422">
        <w:rPr>
          <w:rFonts w:ascii="Arial" w:eastAsia="Arial" w:hAnsi="Arial" w:cs="Arial"/>
          <w:lang w:val="es-ES" w:eastAsia="es-ES" w:bidi="es-ES"/>
        </w:rPr>
        <w:t xml:space="preserve"> conformidad con lo anterior, </w:t>
      </w:r>
      <w:bookmarkStart w:id="10" w:name="_Hlk77236098"/>
      <w:r w:rsidRPr="00836422">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0"/>
    </w:p>
    <w:p w14:paraId="13EA4151" w14:textId="77777777" w:rsidR="00F27878" w:rsidRPr="00836422" w:rsidRDefault="00F27878" w:rsidP="00F27878">
      <w:pPr>
        <w:spacing w:after="120" w:line="276" w:lineRule="auto"/>
        <w:ind w:firstLine="708"/>
        <w:jc w:val="both"/>
        <w:rPr>
          <w:rFonts w:ascii="Arial" w:eastAsia="Calibri" w:hAnsi="Arial" w:cs="Arial"/>
          <w:lang w:val="es-MX"/>
        </w:rPr>
      </w:pPr>
      <w:r w:rsidRPr="00836422">
        <w:rPr>
          <w:rFonts w:ascii="Arial" w:eastAsia="Calibri" w:hAnsi="Arial" w:cs="Arial"/>
          <w:lang w:val="es-MX"/>
        </w:rPr>
        <w:t xml:space="preserve">Por un lado, el artículo 33 de la Ley 996 de 2005 prohíbe </w:t>
      </w:r>
      <w:r w:rsidRPr="00836422">
        <w:rPr>
          <w:rFonts w:ascii="Arial" w:eastAsia="Calibri" w:hAnsi="Arial" w:cs="Arial"/>
          <w:bCs/>
          <w:lang w:val="es-MX"/>
        </w:rPr>
        <w:t xml:space="preserve">“[…] </w:t>
      </w:r>
      <w:r w:rsidRPr="00836422">
        <w:rPr>
          <w:rFonts w:ascii="Arial" w:eastAsia="Calibri" w:hAnsi="Arial" w:cs="Arial"/>
          <w:lang w:val="es-MX"/>
        </w:rPr>
        <w:t>la contratación directa por parte de todos los entes del Estado</w:t>
      </w:r>
      <w:r w:rsidRPr="00836422">
        <w:rPr>
          <w:rFonts w:ascii="Arial" w:eastAsia="Calibri" w:hAnsi="Arial" w:cs="Arial"/>
          <w:bCs/>
          <w:lang w:val="es-MX"/>
        </w:rPr>
        <w:t>”</w:t>
      </w:r>
      <w:r w:rsidRPr="00836422">
        <w:rPr>
          <w:rFonts w:ascii="Arial" w:eastAsia="Calibri" w:hAnsi="Arial" w:cs="Arial"/>
          <w:lang w:val="es-MX"/>
        </w:rPr>
        <w:t xml:space="preserve"> durante los cuatro (4) meses anteriores a las elecciones presidenciales, salvo </w:t>
      </w:r>
      <w:r w:rsidRPr="00836422">
        <w:rPr>
          <w:rFonts w:ascii="Arial" w:eastAsia="Calibri" w:hAnsi="Arial" w:cs="Arial"/>
          <w:bCs/>
          <w:lang w:val="es-MX"/>
        </w:rPr>
        <w:t xml:space="preserve">“[…] </w:t>
      </w:r>
      <w:r w:rsidRPr="00836422">
        <w:rPr>
          <w:rFonts w:ascii="Arial" w:eastAsia="Calibri" w:hAnsi="Arial" w:cs="Arial"/>
          <w:lang w:val="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36422">
        <w:rPr>
          <w:rFonts w:ascii="Arial" w:eastAsia="Calibri" w:hAnsi="Arial" w:cs="Arial"/>
          <w:bCs/>
          <w:lang w:val="es-MX"/>
        </w:rPr>
        <w:t>”</w:t>
      </w:r>
      <w:r w:rsidRPr="00836422">
        <w:rPr>
          <w:rFonts w:ascii="Arial" w:eastAsia="Calibri" w:hAnsi="Arial" w:cs="Arial"/>
          <w:bCs/>
          <w:vertAlign w:val="superscript"/>
          <w:lang w:val="es-MX"/>
        </w:rPr>
        <w:footnoteReference w:id="9"/>
      </w:r>
      <w:r w:rsidRPr="00836422">
        <w:rPr>
          <w:rFonts w:ascii="Arial" w:eastAsia="Calibri" w:hAnsi="Arial" w:cs="Arial"/>
          <w:lang w:val="es-MX"/>
        </w:rPr>
        <w:t>.</w:t>
      </w:r>
    </w:p>
    <w:p w14:paraId="1CD88ECE" w14:textId="77777777" w:rsidR="00F27878" w:rsidRPr="00836422" w:rsidRDefault="00F27878" w:rsidP="00F27878">
      <w:pPr>
        <w:widowControl w:val="0"/>
        <w:autoSpaceDE w:val="0"/>
        <w:autoSpaceDN w:val="0"/>
        <w:spacing w:after="120" w:line="276" w:lineRule="auto"/>
        <w:ind w:right="113" w:firstLine="708"/>
        <w:jc w:val="both"/>
        <w:rPr>
          <w:rFonts w:ascii="Arial" w:eastAsia="Arial" w:hAnsi="Arial" w:cs="Arial"/>
          <w:lang w:val="es-ES" w:eastAsia="es-ES" w:bidi="es-ES"/>
        </w:rPr>
      </w:pPr>
      <w:r w:rsidRPr="00836422">
        <w:rPr>
          <w:rFonts w:ascii="Arial" w:eastAsia="Calibri" w:hAnsi="Arial" w:cs="Arial"/>
          <w:lang w:val="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36422">
        <w:rPr>
          <w:rFonts w:ascii="Arial" w:eastAsia="Calibri" w:hAnsi="Arial" w:cs="Arial"/>
          <w:bCs/>
          <w:lang w:val="es-MX"/>
        </w:rPr>
        <w:t xml:space="preserve">“[…] </w:t>
      </w:r>
      <w:r w:rsidRPr="0083642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36422">
        <w:rPr>
          <w:rFonts w:ascii="Arial" w:eastAsia="Calibri" w:hAnsi="Arial" w:cs="Arial"/>
          <w:bCs/>
          <w:lang w:val="es-MX"/>
        </w:rPr>
        <w:t>”</w:t>
      </w:r>
      <w:r w:rsidRPr="00836422">
        <w:rPr>
          <w:rFonts w:ascii="Arial" w:eastAsia="Calibri" w:hAnsi="Arial" w:cs="Arial"/>
          <w:bCs/>
          <w:vertAlign w:val="superscript"/>
          <w:lang w:val="es-MX"/>
        </w:rPr>
        <w:footnoteReference w:id="10"/>
      </w:r>
      <w:r w:rsidRPr="00836422">
        <w:rPr>
          <w:rFonts w:ascii="Arial" w:eastAsia="Calibri" w:hAnsi="Arial" w:cs="Arial"/>
          <w:lang w:val="es-MX"/>
        </w:rPr>
        <w:t>.</w:t>
      </w:r>
      <w:r w:rsidRPr="00836422">
        <w:rPr>
          <w:rFonts w:ascii="Arial" w:eastAsia="Arial" w:hAnsi="Arial" w:cs="Arial"/>
          <w:lang w:val="es-ES" w:eastAsia="es-ES" w:bidi="es-ES"/>
        </w:rPr>
        <w:t xml:space="preserve"> </w:t>
      </w:r>
    </w:p>
    <w:p w14:paraId="3AEB282A" w14:textId="77777777" w:rsidR="00F27878" w:rsidRPr="00836422" w:rsidRDefault="00F27878" w:rsidP="00F27878">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lastRenderedPageBreak/>
        <w:t>La Sala de Consulta y Servicio Civil del Consejo de Estado ha aclarado la distinción en la aplicación de las prohibiciones de la Ley 996 de 2005, dependiendo del tipo de elección que se trate. Al respecto, considera que:</w:t>
      </w:r>
    </w:p>
    <w:p w14:paraId="6A7096FE" w14:textId="77777777" w:rsidR="00F27878" w:rsidRPr="00836422" w:rsidRDefault="00F27878" w:rsidP="00F27878">
      <w:pPr>
        <w:widowControl w:val="0"/>
        <w:autoSpaceDE w:val="0"/>
        <w:autoSpaceDN w:val="0"/>
        <w:spacing w:after="0" w:line="276" w:lineRule="auto"/>
        <w:ind w:left="805" w:right="812"/>
        <w:contextualSpacing/>
        <w:jc w:val="both"/>
        <w:rPr>
          <w:rFonts w:ascii="Arial" w:eastAsia="Arial" w:hAnsi="Arial" w:cs="Arial"/>
          <w:color w:val="FF0000"/>
          <w:lang w:val="es-ES" w:eastAsia="es-ES" w:bidi="es-ES"/>
        </w:rPr>
      </w:pPr>
    </w:p>
    <w:p w14:paraId="7C5D6FE7" w14:textId="77777777" w:rsidR="00F27878" w:rsidRPr="00836422" w:rsidRDefault="00F27878" w:rsidP="00F27878">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83642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3" w:name="_Hlk76109421"/>
      <w:r w:rsidRPr="00836422">
        <w:rPr>
          <w:rFonts w:ascii="Arial" w:eastAsia="Arial" w:hAnsi="Arial" w:cs="Arial"/>
          <w:sz w:val="21"/>
          <w:szCs w:val="21"/>
          <w:lang w:val="es-ES" w:eastAsia="es-ES" w:bidi="es-ES"/>
        </w:rPr>
        <w:t>se integran parcialmente</w:t>
      </w:r>
      <w:bookmarkEnd w:id="13"/>
      <w:r w:rsidRPr="0083642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3642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836422">
        <w:rPr>
          <w:rFonts w:ascii="Arial" w:eastAsia="Arial" w:hAnsi="Arial" w:cs="Arial"/>
          <w:sz w:val="21"/>
          <w:szCs w:val="21"/>
          <w:lang w:val="es-ES" w:eastAsia="es-ES" w:bidi="es-ES"/>
        </w:rPr>
        <w:t>.</w:t>
      </w:r>
      <w:r w:rsidRPr="00836422">
        <w:rPr>
          <w:rFonts w:ascii="Arial" w:eastAsia="Arial" w:hAnsi="Arial" w:cs="Arial"/>
          <w:sz w:val="21"/>
          <w:szCs w:val="21"/>
          <w:vertAlign w:val="superscript"/>
          <w:lang w:val="es-ES" w:eastAsia="es-ES" w:bidi="es-ES"/>
        </w:rPr>
        <w:footnoteReference w:id="11"/>
      </w:r>
    </w:p>
    <w:p w14:paraId="279AE4C2" w14:textId="77777777" w:rsidR="00F27878" w:rsidRPr="00836422" w:rsidRDefault="00F27878" w:rsidP="00F27878">
      <w:pPr>
        <w:widowControl w:val="0"/>
        <w:autoSpaceDE w:val="0"/>
        <w:autoSpaceDN w:val="0"/>
        <w:spacing w:after="0" w:line="276" w:lineRule="auto"/>
        <w:contextualSpacing/>
        <w:rPr>
          <w:rFonts w:ascii="Arial" w:eastAsia="Arial" w:hAnsi="Arial" w:cs="Arial"/>
          <w:color w:val="FF0000"/>
          <w:lang w:val="es-ES" w:eastAsia="es-ES" w:bidi="es-ES"/>
        </w:rPr>
      </w:pPr>
    </w:p>
    <w:p w14:paraId="7C46B96B" w14:textId="77777777" w:rsidR="00F27878" w:rsidRPr="00836422" w:rsidRDefault="00F27878" w:rsidP="00F27878">
      <w:pPr>
        <w:spacing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 xml:space="preserve">De conformidad con lo anterior, </w:t>
      </w:r>
      <w:bookmarkStart w:id="14" w:name="_Hlk77236420"/>
      <w:bookmarkStart w:id="15" w:name="_Hlk78818435"/>
      <w:bookmarkStart w:id="16" w:name="_Hlk75780333"/>
      <w:r w:rsidRPr="00836422">
        <w:rPr>
          <w:rFonts w:ascii="Arial" w:eastAsia="Arial" w:hAnsi="Arial" w:cs="Arial"/>
          <w:lang w:val="es-ES" w:eastAsia="es-ES" w:bidi="es-ES"/>
        </w:rPr>
        <w:t xml:space="preserve">la Ley 996 de 2005 establece dos (2) tipos de restricciones en materia de contratación, las cuales coinciden parcialmente. </w:t>
      </w:r>
      <w:r w:rsidRPr="00836422">
        <w:rPr>
          <w:rFonts w:ascii="Arial" w:eastAsia="Arial" w:hAnsi="Arial" w:cs="Arial"/>
          <w:i/>
          <w:iCs/>
          <w:lang w:val="es-ES" w:eastAsia="es-ES" w:bidi="es-ES"/>
        </w:rPr>
        <w:t>En primer lugar</w:t>
      </w:r>
      <w:r w:rsidRPr="0083642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36422">
        <w:rPr>
          <w:rFonts w:ascii="Arial" w:eastAsia="Arial" w:hAnsi="Arial" w:cs="Arial"/>
          <w:i/>
          <w:iCs/>
          <w:lang w:val="es-ES" w:eastAsia="es-ES" w:bidi="es-ES"/>
        </w:rPr>
        <w:t>En segundo lugar</w:t>
      </w:r>
      <w:r w:rsidRPr="0083642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404440FF" w14:textId="77777777" w:rsidR="00F27878" w:rsidRPr="00836422" w:rsidRDefault="00F27878" w:rsidP="00F27878">
      <w:pPr>
        <w:spacing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 xml:space="preserve">Ambas restricciones no son excluyentes, lo que permite concluir que en el período preelectoral para elección de Presidente de la República, a todos los entes del Estado, incluidos los territoriales, aplican las restricciones del artículo 33 con sus excepciones, así como las del </w:t>
      </w:r>
      <w:r w:rsidRPr="00836422">
        <w:rPr>
          <w:rFonts w:ascii="Arial" w:eastAsia="Arial" w:hAnsi="Arial" w:cs="Arial"/>
          <w:lang w:val="es-ES" w:eastAsia="es-ES" w:bidi="es-ES"/>
        </w:rPr>
        <w:lastRenderedPageBreak/>
        <w:t>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6"/>
    <w:p w14:paraId="157E4BAF" w14:textId="77777777" w:rsidR="00F27878" w:rsidRPr="00836422" w:rsidRDefault="00F27878" w:rsidP="00F27878">
      <w:pPr>
        <w:spacing w:after="0" w:line="276" w:lineRule="auto"/>
        <w:ind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292A3245" w14:textId="77777777" w:rsidR="00F27878" w:rsidRPr="00836422" w:rsidRDefault="00F27878" w:rsidP="00F27878">
      <w:pPr>
        <w:spacing w:after="0" w:line="276" w:lineRule="auto"/>
        <w:contextualSpacing/>
        <w:jc w:val="both"/>
        <w:rPr>
          <w:rFonts w:ascii="Arial" w:hAnsi="Arial" w:cs="Arial"/>
          <w:bCs/>
          <w:lang w:val="es-MX" w:eastAsia="x-none"/>
        </w:rPr>
      </w:pPr>
    </w:p>
    <w:p w14:paraId="52D755A9" w14:textId="77777777" w:rsidR="00F27878" w:rsidRPr="00836422" w:rsidRDefault="00F27878" w:rsidP="00F27878">
      <w:pPr>
        <w:spacing w:after="0" w:line="276" w:lineRule="auto"/>
        <w:jc w:val="both"/>
        <w:rPr>
          <w:rFonts w:ascii="Arial" w:eastAsia="Calibri" w:hAnsi="Arial" w:cs="Arial"/>
          <w:b/>
          <w:bCs/>
          <w:lang w:val="es-MX"/>
        </w:rPr>
      </w:pPr>
      <w:bookmarkStart w:id="17" w:name="_Hlk75784645"/>
      <w:r w:rsidRPr="00836422">
        <w:rPr>
          <w:rFonts w:ascii="Arial" w:eastAsia="Calibri" w:hAnsi="Arial" w:cs="Arial"/>
          <w:b/>
          <w:bCs/>
          <w:lang w:val="es-MX"/>
        </w:rPr>
        <w:t xml:space="preserve">2.2. </w:t>
      </w:r>
      <w:bookmarkStart w:id="18" w:name="_Hlk77153296"/>
      <w:r w:rsidRPr="00836422">
        <w:rPr>
          <w:rFonts w:ascii="Arial" w:hAnsi="Arial" w:cs="Arial"/>
          <w:b/>
          <w:bCs/>
          <w:lang w:val="es-MX" w:eastAsia="es-CO"/>
        </w:rPr>
        <w:t xml:space="preserve">Restricciones </w:t>
      </w:r>
      <w:bookmarkStart w:id="19" w:name="_Hlk75643279"/>
      <w:r w:rsidRPr="00836422">
        <w:rPr>
          <w:rFonts w:ascii="Arial" w:hAnsi="Arial" w:cs="Arial"/>
          <w:b/>
          <w:bCs/>
          <w:lang w:val="es-MX" w:eastAsia="es-CO"/>
        </w:rPr>
        <w:t xml:space="preserve">para la celebración de contratos y convenios interadministrativos en los comicios para cargos de elección popular </w:t>
      </w:r>
    </w:p>
    <w:p w14:paraId="29FE1102" w14:textId="77777777" w:rsidR="00F27878" w:rsidRPr="00836422" w:rsidRDefault="00F27878" w:rsidP="00F27878">
      <w:pPr>
        <w:tabs>
          <w:tab w:val="left" w:pos="426"/>
        </w:tabs>
        <w:spacing w:after="0" w:line="276" w:lineRule="auto"/>
        <w:jc w:val="both"/>
        <w:rPr>
          <w:rFonts w:ascii="Arial" w:eastAsia="Calibri" w:hAnsi="Arial" w:cs="Arial"/>
          <w:bCs/>
          <w:lang w:val="es-MX"/>
        </w:rPr>
      </w:pPr>
      <w:bookmarkStart w:id="20" w:name="_Hlk88210558"/>
      <w:bookmarkEnd w:id="18"/>
      <w:bookmarkEnd w:id="19"/>
    </w:p>
    <w:p w14:paraId="12DF40B0" w14:textId="77777777" w:rsidR="00F27878" w:rsidRPr="00836422" w:rsidRDefault="00F27878" w:rsidP="00F27878">
      <w:pPr>
        <w:tabs>
          <w:tab w:val="left" w:pos="426"/>
        </w:tabs>
        <w:spacing w:after="120" w:line="276" w:lineRule="auto"/>
        <w:jc w:val="both"/>
        <w:rPr>
          <w:rFonts w:ascii="Arial" w:eastAsia="Calibri" w:hAnsi="Arial" w:cs="Arial"/>
          <w:bCs/>
          <w:lang w:val="es-MX"/>
        </w:rPr>
      </w:pPr>
      <w:bookmarkStart w:id="21" w:name="_Hlk114827887"/>
      <w:r w:rsidRPr="00836422">
        <w:rPr>
          <w:rFonts w:ascii="Arial" w:eastAsia="Calibri" w:hAnsi="Arial" w:cs="Arial"/>
          <w:bCs/>
          <w:lang w:val="es-MX"/>
        </w:rPr>
        <w:t xml:space="preserve">El parágrafo del artículo 38 de la Ley 996 de 2005 dispone que “[l]os Gobernadores, Alcaldes Municipales y/o Distritales, Secretarios, Gerentes y directores de </w:t>
      </w:r>
      <w:r w:rsidRPr="00836422">
        <w:rPr>
          <w:rFonts w:ascii="Arial" w:eastAsia="Calibri" w:hAnsi="Arial" w:cs="Arial"/>
          <w:bCs/>
          <w:u w:val="single"/>
          <w:lang w:val="es-MX"/>
        </w:rPr>
        <w:t>Entidades Descentralizadas del orden Municipal</w:t>
      </w:r>
      <w:r w:rsidRPr="00836422">
        <w:rPr>
          <w:rFonts w:ascii="Arial" w:eastAsia="Calibri" w:hAnsi="Arial" w:cs="Arial"/>
          <w:bCs/>
          <w:lang w:val="es-MX"/>
        </w:rPr>
        <w:t>, Departamental o Distrital, dentro de los cuatro (4) meses anteriores a las elecciones, no podrán celebrar convenios interadministrativos para la ejecución de recursos públicos”.</w:t>
      </w:r>
      <w:r w:rsidRPr="00836422">
        <w:rPr>
          <w:rFonts w:ascii="Arial" w:hAnsi="Arial" w:cs="Arial"/>
          <w:bCs/>
          <w:iCs/>
          <w:lang w:val="es-MX" w:eastAsia="x-none"/>
        </w:rPr>
        <w:t xml:space="preserve"> </w:t>
      </w:r>
      <w:bookmarkStart w:id="22" w:name="_Hlk99578153"/>
      <w:bookmarkEnd w:id="20"/>
      <w:r w:rsidRPr="00836422">
        <w:rPr>
          <w:rFonts w:ascii="Arial"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1"/>
      <w:bookmarkEnd w:id="22"/>
      <w:r w:rsidRPr="00836422">
        <w:rPr>
          <w:rFonts w:ascii="Arial" w:hAnsi="Arial" w:cs="Arial"/>
          <w:bCs/>
          <w:iCs/>
          <w:vertAlign w:val="superscript"/>
          <w:lang w:val="es-MX" w:eastAsia="x-none"/>
        </w:rPr>
        <w:footnoteReference w:id="12"/>
      </w:r>
      <w:r w:rsidRPr="00836422">
        <w:rPr>
          <w:rFonts w:ascii="Arial" w:hAnsi="Arial" w:cs="Arial"/>
          <w:bCs/>
          <w:iCs/>
          <w:lang w:val="es-MX" w:eastAsia="x-none"/>
        </w:rPr>
        <w:t>.</w:t>
      </w:r>
      <w:r w:rsidRPr="00836422">
        <w:rPr>
          <w:rFonts w:ascii="Arial" w:eastAsia="Calibri" w:hAnsi="Arial" w:cs="Arial"/>
          <w:lang w:val="es-MX"/>
        </w:rPr>
        <w:t xml:space="preserve"> </w:t>
      </w:r>
    </w:p>
    <w:p w14:paraId="19C153F1" w14:textId="77777777" w:rsidR="00F27878" w:rsidRPr="00836422" w:rsidRDefault="00F27878" w:rsidP="00F27878">
      <w:pPr>
        <w:widowControl w:val="0"/>
        <w:autoSpaceDE w:val="0"/>
        <w:autoSpaceDN w:val="0"/>
        <w:spacing w:after="120" w:line="276" w:lineRule="auto"/>
        <w:ind w:firstLine="707"/>
        <w:jc w:val="both"/>
        <w:rPr>
          <w:rFonts w:ascii="Arial" w:eastAsia="Arial" w:hAnsi="Arial" w:cs="Arial"/>
          <w:lang w:val="es-ES" w:eastAsia="es-ES" w:bidi="es-ES"/>
        </w:rPr>
      </w:pPr>
      <w:r w:rsidRPr="00836422">
        <w:rPr>
          <w:rFonts w:ascii="Arial" w:eastAsia="Calibri" w:hAnsi="Arial" w:cs="Arial"/>
          <w:bCs/>
          <w:lang w:val="es-MX" w:eastAsia="es-ES" w:bidi="es-ES"/>
        </w:rPr>
        <w:t xml:space="preserve">Ahora bien, </w:t>
      </w:r>
      <w:bookmarkStart w:id="23" w:name="_Hlk78820161"/>
      <w:r w:rsidRPr="00836422">
        <w:rPr>
          <w:rFonts w:ascii="Arial" w:eastAsia="Calibri" w:hAnsi="Arial" w:cs="Arial"/>
          <w:bCs/>
          <w:lang w:val="es-MX" w:eastAsia="es-ES" w:bidi="es-ES"/>
        </w:rPr>
        <w:t xml:space="preserve">para determinar el alcance de la prohibición consagrada por la Ley de Garantías Electorales, conviene precisar la tipología de convenios o contratos interadministrativos. </w:t>
      </w:r>
      <w:bookmarkStart w:id="24" w:name="_Hlk114827997"/>
      <w:r w:rsidRPr="0083642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836422">
        <w:rPr>
          <w:rFonts w:ascii="Arial" w:eastAsia="Arial" w:hAnsi="Arial" w:cs="Arial"/>
          <w:vertAlign w:val="superscript"/>
          <w:lang w:val="es-ES" w:eastAsia="es-ES" w:bidi="es-ES"/>
        </w:rPr>
        <w:footnoteReference w:id="13"/>
      </w:r>
      <w:r w:rsidRPr="00836422">
        <w:rPr>
          <w:rFonts w:ascii="Arial" w:eastAsia="Arial" w:hAnsi="Arial" w:cs="Arial"/>
          <w:lang w:val="es-ES" w:eastAsia="es-ES" w:bidi="es-ES"/>
        </w:rPr>
        <w:t xml:space="preserve">. De acuerdo con lo anterior, el contrato o el convenio interadministrativo es el acuerdo </w:t>
      </w:r>
      <w:r w:rsidRPr="00836422">
        <w:rPr>
          <w:rFonts w:ascii="Arial" w:eastAsia="Arial" w:hAnsi="Arial" w:cs="Arial"/>
          <w:lang w:val="es-ES" w:eastAsia="es-ES" w:bidi="es-ES"/>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36422">
        <w:rPr>
          <w:rFonts w:ascii="Arial" w:eastAsia="Arial" w:hAnsi="Arial" w:cs="Arial"/>
          <w:spacing w:val="-6"/>
          <w:lang w:val="es-ES" w:eastAsia="es-ES" w:bidi="es-ES"/>
        </w:rPr>
        <w:t xml:space="preserve"> </w:t>
      </w:r>
      <w:r w:rsidRPr="00836422">
        <w:rPr>
          <w:rFonts w:ascii="Arial" w:eastAsia="Arial" w:hAnsi="Arial" w:cs="Arial"/>
          <w:lang w:val="es-ES" w:eastAsia="es-ES" w:bidi="es-ES"/>
        </w:rPr>
        <w:t>estatales.</w:t>
      </w:r>
    </w:p>
    <w:p w14:paraId="28BDFA47" w14:textId="77777777" w:rsidR="00F27878" w:rsidRPr="00836422" w:rsidRDefault="00F27878" w:rsidP="00F27878">
      <w:pPr>
        <w:widowControl w:val="0"/>
        <w:autoSpaceDE w:val="0"/>
        <w:autoSpaceDN w:val="0"/>
        <w:spacing w:before="117" w:after="120" w:line="276" w:lineRule="auto"/>
        <w:ind w:firstLine="707"/>
        <w:jc w:val="both"/>
        <w:rPr>
          <w:rFonts w:ascii="Arial" w:eastAsia="Arial" w:hAnsi="Arial" w:cs="Arial"/>
          <w:lang w:val="es-ES" w:eastAsia="es-ES" w:bidi="es-ES"/>
        </w:rPr>
      </w:pPr>
      <w:bookmarkStart w:id="25" w:name="_Hlk78820654"/>
      <w:bookmarkEnd w:id="23"/>
      <w:bookmarkEnd w:id="24"/>
      <w:r w:rsidRPr="0083642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B373256" w14:textId="77777777" w:rsidR="00F27878" w:rsidRPr="00836422" w:rsidRDefault="00F27878" w:rsidP="00F27878">
      <w:pPr>
        <w:widowControl w:val="0"/>
        <w:autoSpaceDE w:val="0"/>
        <w:autoSpaceDN w:val="0"/>
        <w:spacing w:before="121" w:after="120" w:line="276" w:lineRule="auto"/>
        <w:ind w:firstLine="707"/>
        <w:jc w:val="both"/>
        <w:rPr>
          <w:rFonts w:ascii="Arial" w:eastAsia="Arial" w:hAnsi="Arial" w:cs="Arial"/>
          <w:lang w:val="es-ES" w:eastAsia="es-ES" w:bidi="es-ES"/>
        </w:rPr>
      </w:pPr>
      <w:bookmarkStart w:id="26" w:name="_Hlk99578261"/>
      <w:bookmarkEnd w:id="25"/>
      <w:r w:rsidRPr="0083642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836422">
        <w:rPr>
          <w:rFonts w:ascii="Arial" w:eastAsia="Arial" w:hAnsi="Arial" w:cs="Arial"/>
          <w:vertAlign w:val="superscript"/>
          <w:lang w:val="es-ES" w:eastAsia="es-ES" w:bidi="es-ES"/>
        </w:rPr>
        <w:footnoteReference w:id="14"/>
      </w:r>
      <w:r w:rsidRPr="00836422">
        <w:rPr>
          <w:rFonts w:ascii="Arial" w:eastAsia="Arial" w:hAnsi="Arial" w:cs="Arial"/>
          <w:lang w:val="es-ES" w:eastAsia="es-ES" w:bidi="es-ES"/>
        </w:rPr>
        <w:t>. Nótese que, en este caso, lo que cambia es la modalidad de selección y no la naturaleza de contrato</w:t>
      </w:r>
      <w:r w:rsidRPr="00836422">
        <w:rPr>
          <w:rFonts w:ascii="Arial" w:eastAsia="Arial" w:hAnsi="Arial" w:cs="Arial"/>
          <w:spacing w:val="-18"/>
          <w:lang w:val="es-ES" w:eastAsia="es-ES" w:bidi="es-ES"/>
        </w:rPr>
        <w:t xml:space="preserve"> </w:t>
      </w:r>
      <w:r w:rsidRPr="00836422">
        <w:rPr>
          <w:rFonts w:ascii="Arial" w:eastAsia="Arial" w:hAnsi="Arial" w:cs="Arial"/>
          <w:lang w:val="es-ES" w:eastAsia="es-ES" w:bidi="es-ES"/>
        </w:rPr>
        <w:t>interadministrativo.</w:t>
      </w:r>
    </w:p>
    <w:bookmarkEnd w:id="26"/>
    <w:p w14:paraId="2F92DE17" w14:textId="77777777" w:rsidR="00F27878" w:rsidRPr="00836422" w:rsidRDefault="00F27878" w:rsidP="00F27878">
      <w:pPr>
        <w:widowControl w:val="0"/>
        <w:autoSpaceDE w:val="0"/>
        <w:autoSpaceDN w:val="0"/>
        <w:spacing w:before="114" w:after="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36422">
        <w:rPr>
          <w:rFonts w:ascii="Arial" w:eastAsia="Arial" w:hAnsi="Arial" w:cs="Arial"/>
          <w:spacing w:val="-13"/>
          <w:lang w:val="es-ES" w:eastAsia="es-ES" w:bidi="es-ES"/>
        </w:rPr>
        <w:t xml:space="preserve"> </w:t>
      </w:r>
      <w:r w:rsidRPr="00836422">
        <w:rPr>
          <w:rFonts w:ascii="Arial" w:eastAsia="Arial" w:hAnsi="Arial" w:cs="Arial"/>
          <w:lang w:val="es-ES" w:eastAsia="es-ES" w:bidi="es-ES"/>
        </w:rPr>
        <w:t>que:</w:t>
      </w:r>
    </w:p>
    <w:p w14:paraId="305EF1D2" w14:textId="77777777" w:rsidR="00F27878" w:rsidRPr="00836422" w:rsidRDefault="00F27878" w:rsidP="00F27878">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456FDA7C" w14:textId="77777777" w:rsidR="00F27878" w:rsidRPr="00836422" w:rsidRDefault="00F27878" w:rsidP="00F27878">
      <w:pPr>
        <w:spacing w:after="0" w:line="240" w:lineRule="auto"/>
        <w:ind w:left="709" w:right="709"/>
        <w:contextualSpacing/>
        <w:jc w:val="both"/>
        <w:rPr>
          <w:rFonts w:ascii="Arial" w:eastAsia="Calibri" w:hAnsi="Arial" w:cs="Arial"/>
          <w:sz w:val="21"/>
          <w:lang w:val="es-MX"/>
        </w:rPr>
      </w:pPr>
      <w:r w:rsidRPr="00836422">
        <w:rPr>
          <w:rFonts w:ascii="Arial" w:eastAsia="Calibri" w:hAnsi="Arial" w:cs="Arial"/>
          <w:sz w:val="21"/>
          <w:lang w:val="es-MX"/>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w:t>
      </w:r>
      <w:r w:rsidRPr="00836422">
        <w:rPr>
          <w:rFonts w:ascii="Arial" w:eastAsia="Calibri" w:hAnsi="Arial" w:cs="Arial"/>
          <w:sz w:val="21"/>
          <w:lang w:val="es-MX"/>
        </w:rPr>
        <w:lastRenderedPageBreak/>
        <w:t>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836422">
        <w:rPr>
          <w:rFonts w:ascii="Arial" w:eastAsia="Calibri" w:hAnsi="Arial" w:cs="Arial"/>
          <w:sz w:val="21"/>
          <w:vertAlign w:val="superscript"/>
          <w:lang w:val="es-MX"/>
        </w:rPr>
        <w:footnoteReference w:id="15"/>
      </w:r>
      <w:r w:rsidRPr="00836422">
        <w:rPr>
          <w:rFonts w:ascii="Arial" w:eastAsia="Calibri" w:hAnsi="Arial" w:cs="Arial"/>
          <w:sz w:val="21"/>
          <w:lang w:val="es-MX"/>
        </w:rPr>
        <w:t>.</w:t>
      </w:r>
    </w:p>
    <w:p w14:paraId="6F1D8EAD" w14:textId="77777777" w:rsidR="00F27878" w:rsidRPr="00836422" w:rsidRDefault="00F27878" w:rsidP="00F27878">
      <w:pPr>
        <w:spacing w:after="0" w:line="276" w:lineRule="auto"/>
        <w:ind w:left="709" w:right="709"/>
        <w:contextualSpacing/>
        <w:jc w:val="both"/>
        <w:rPr>
          <w:rFonts w:ascii="Arial" w:eastAsia="Calibri" w:hAnsi="Arial" w:cs="Arial"/>
          <w:lang w:val="es-MX"/>
        </w:rPr>
      </w:pPr>
    </w:p>
    <w:p w14:paraId="5BF77590" w14:textId="77777777" w:rsidR="00F27878" w:rsidRPr="00836422" w:rsidRDefault="00F27878" w:rsidP="00F27878">
      <w:pPr>
        <w:widowControl w:val="0"/>
        <w:autoSpaceDE w:val="0"/>
        <w:autoSpaceDN w:val="0"/>
        <w:spacing w:after="12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00836422">
        <w:rPr>
          <w:rFonts w:ascii="Arial" w:eastAsia="Arial" w:hAnsi="Arial" w:cs="Arial"/>
          <w:u w:val="single"/>
          <w:lang w:val="es-ES" w:eastAsia="es-ES" w:bidi="es-ES"/>
        </w:rPr>
        <w:t>El Estatuto General de Contratación de la Administración Pública establece la contratación directa como la modalidad de selección aplicable, por regla general, a la celebración de los contratos interadministrativos</w:t>
      </w:r>
      <w:r w:rsidRPr="00836422">
        <w:rPr>
          <w:rFonts w:ascii="Arial" w:eastAsia="Arial" w:hAnsi="Arial" w:cs="Arial"/>
          <w:lang w:val="es-ES" w:eastAsia="es-ES" w:bidi="es-ES"/>
        </w:rPr>
        <w:t>.</w:t>
      </w:r>
    </w:p>
    <w:p w14:paraId="3F65F2C0" w14:textId="77777777" w:rsidR="00F27878" w:rsidRPr="00836422" w:rsidRDefault="00F27878" w:rsidP="00F27878">
      <w:pPr>
        <w:widowControl w:val="0"/>
        <w:autoSpaceDE w:val="0"/>
        <w:autoSpaceDN w:val="0"/>
        <w:spacing w:before="119" w:after="120" w:line="276" w:lineRule="auto"/>
        <w:ind w:firstLine="707"/>
        <w:jc w:val="both"/>
        <w:rPr>
          <w:rFonts w:ascii="Arial" w:eastAsia="Arial" w:hAnsi="Arial" w:cs="Arial"/>
          <w:lang w:val="es-ES" w:eastAsia="es-ES" w:bidi="es-ES"/>
        </w:rPr>
      </w:pPr>
      <w:r w:rsidRPr="0083642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36422">
        <w:rPr>
          <w:rFonts w:ascii="Arial" w:eastAsia="Arial" w:hAnsi="Arial" w:cs="Arial"/>
          <w:spacing w:val="-3"/>
          <w:lang w:val="es-ES" w:eastAsia="es-ES" w:bidi="es-ES"/>
        </w:rPr>
        <w:t xml:space="preserve"> </w:t>
      </w:r>
      <w:r w:rsidRPr="00836422">
        <w:rPr>
          <w:rFonts w:ascii="Arial" w:eastAsia="Arial" w:hAnsi="Arial" w:cs="Arial"/>
          <w:lang w:val="es-ES" w:eastAsia="es-ES" w:bidi="es-ES"/>
        </w:rPr>
        <w:t>estatales.</w:t>
      </w:r>
    </w:p>
    <w:p w14:paraId="451E76A2" w14:textId="77777777" w:rsidR="00F27878" w:rsidRPr="00836422" w:rsidRDefault="00F27878" w:rsidP="00F27878">
      <w:pPr>
        <w:widowControl w:val="0"/>
        <w:autoSpaceDE w:val="0"/>
        <w:autoSpaceDN w:val="0"/>
        <w:spacing w:before="120" w:after="120" w:line="276" w:lineRule="auto"/>
        <w:ind w:firstLine="709"/>
        <w:jc w:val="both"/>
        <w:rPr>
          <w:rFonts w:ascii="Arial" w:eastAsia="Arial" w:hAnsi="Arial" w:cs="Arial"/>
          <w:lang w:val="es-ES" w:eastAsia="es-ES" w:bidi="es-ES"/>
        </w:rPr>
      </w:pPr>
      <w:r w:rsidRPr="00836422">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w:t>
      </w:r>
      <w:r w:rsidRPr="00836422">
        <w:rPr>
          <w:rFonts w:ascii="Arial" w:eastAsia="Arial" w:hAnsi="Arial" w:cs="Arial"/>
          <w:lang w:val="es-ES" w:eastAsia="es-ES" w:bidi="es-ES"/>
        </w:rPr>
        <w:lastRenderedPageBreak/>
        <w:t>autonomía de la voluntad y requieran el cumplimiento de los fines</w:t>
      </w:r>
      <w:r w:rsidRPr="00836422">
        <w:rPr>
          <w:rFonts w:ascii="Arial" w:eastAsia="Arial" w:hAnsi="Arial" w:cs="Arial"/>
          <w:spacing w:val="-4"/>
          <w:lang w:val="es-ES" w:eastAsia="es-ES" w:bidi="es-ES"/>
        </w:rPr>
        <w:t xml:space="preserve"> </w:t>
      </w:r>
      <w:r w:rsidRPr="00836422">
        <w:rPr>
          <w:rFonts w:ascii="Arial" w:eastAsia="Arial" w:hAnsi="Arial" w:cs="Arial"/>
          <w:lang w:val="es-ES" w:eastAsia="es-ES" w:bidi="es-ES"/>
        </w:rPr>
        <w:t>estatales.</w:t>
      </w:r>
    </w:p>
    <w:p w14:paraId="3CB9F83F" w14:textId="77777777" w:rsidR="00F27878" w:rsidRPr="00836422" w:rsidRDefault="00F27878" w:rsidP="00F27878">
      <w:pPr>
        <w:widowControl w:val="0"/>
        <w:autoSpaceDE w:val="0"/>
        <w:autoSpaceDN w:val="0"/>
        <w:spacing w:before="122" w:after="120" w:line="276" w:lineRule="auto"/>
        <w:ind w:firstLine="708"/>
        <w:jc w:val="both"/>
        <w:rPr>
          <w:rFonts w:ascii="Arial" w:eastAsia="Arial" w:hAnsi="Arial" w:cs="Arial"/>
          <w:lang w:val="es-ES" w:eastAsia="es-ES" w:bidi="es-ES"/>
        </w:rPr>
      </w:pPr>
      <w:r w:rsidRPr="00836422">
        <w:rPr>
          <w:rFonts w:ascii="Arial" w:eastAsia="Arial" w:hAnsi="Arial" w:cs="Arial"/>
          <w:lang w:val="es-ES" w:eastAsia="es-ES" w:bidi="es-ES"/>
        </w:rPr>
        <w:t xml:space="preserve">Es bueno destacar que el Decreto 1082 de 2015 dispone que los convenios o contratos interadministrativos, así denominados en su artículo 2.2.1.2.1.4.4, </w:t>
      </w:r>
      <w:r w:rsidRPr="00836422">
        <w:rPr>
          <w:rFonts w:ascii="Arial" w:eastAsia="Arial" w:hAnsi="Arial" w:cs="Arial"/>
          <w:u w:val="single"/>
          <w:lang w:val="es-ES" w:eastAsia="es-ES" w:bidi="es-ES"/>
        </w:rPr>
        <w:t>se contratan directamente</w:t>
      </w:r>
      <w:r w:rsidRPr="00836422">
        <w:rPr>
          <w:rFonts w:ascii="Arial" w:eastAsia="Arial" w:hAnsi="Arial" w:cs="Arial"/>
          <w:lang w:val="es-ES" w:eastAsia="es-ES" w:bidi="es-ES"/>
        </w:rPr>
        <w:t>,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5756918" w14:textId="77777777" w:rsidR="00F27878" w:rsidRPr="00836422" w:rsidRDefault="00F27878" w:rsidP="00F27878">
      <w:pPr>
        <w:widowControl w:val="0"/>
        <w:autoSpaceDE w:val="0"/>
        <w:autoSpaceDN w:val="0"/>
        <w:spacing w:after="120" w:line="276" w:lineRule="auto"/>
        <w:ind w:firstLine="708"/>
        <w:jc w:val="both"/>
        <w:rPr>
          <w:rFonts w:ascii="Arial" w:eastAsia="Calibri" w:hAnsi="Arial" w:cs="Arial"/>
          <w:bCs/>
          <w:lang w:val="es-MX" w:eastAsia="es-ES" w:bidi="es-ES"/>
        </w:rPr>
      </w:pPr>
      <w:r w:rsidRPr="0083642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836422">
        <w:rPr>
          <w:rFonts w:ascii="Arial" w:eastAsia="Arial" w:hAnsi="Arial" w:cs="Arial"/>
          <w:spacing w:val="-4"/>
          <w:lang w:val="es-ES" w:eastAsia="es-ES" w:bidi="es-ES"/>
        </w:rPr>
        <w:t xml:space="preserve"> </w:t>
      </w:r>
      <w:r w:rsidRPr="00836422">
        <w:rPr>
          <w:rFonts w:ascii="Arial" w:eastAsia="Arial" w:hAnsi="Arial" w:cs="Arial"/>
          <w:lang w:val="es-ES" w:eastAsia="es-ES" w:bidi="es-ES"/>
        </w:rPr>
        <w:t>[…]”</w:t>
      </w:r>
      <w:r w:rsidRPr="00836422">
        <w:rPr>
          <w:rFonts w:ascii="Arial" w:eastAsia="Arial" w:hAnsi="Arial" w:cs="Arial"/>
          <w:vertAlign w:val="superscript"/>
          <w:lang w:val="es-ES" w:eastAsia="es-ES" w:bidi="es-ES"/>
        </w:rPr>
        <w:footnoteReference w:id="16"/>
      </w:r>
      <w:r w:rsidRPr="00836422">
        <w:rPr>
          <w:rFonts w:ascii="Arial" w:eastAsia="Arial" w:hAnsi="Arial" w:cs="Arial"/>
          <w:lang w:val="es-ES" w:eastAsia="es-ES" w:bidi="es-ES"/>
        </w:rPr>
        <w:t>.</w:t>
      </w:r>
      <w:bookmarkStart w:id="27" w:name="_Hlk77171241"/>
    </w:p>
    <w:p w14:paraId="444DA040" w14:textId="77777777" w:rsidR="00F27878" w:rsidRPr="00836422" w:rsidRDefault="00F27878" w:rsidP="00F27878">
      <w:pPr>
        <w:widowControl w:val="0"/>
        <w:autoSpaceDE w:val="0"/>
        <w:autoSpaceDN w:val="0"/>
        <w:spacing w:after="0" w:line="276" w:lineRule="auto"/>
        <w:ind w:firstLine="709"/>
        <w:contextualSpacing/>
        <w:jc w:val="both"/>
        <w:rPr>
          <w:rFonts w:ascii="Arial" w:eastAsia="Arial" w:hAnsi="Arial" w:cs="Arial"/>
          <w:lang w:val="es-ES" w:eastAsia="es-ES" w:bidi="es-ES"/>
        </w:rPr>
      </w:pPr>
      <w:r w:rsidRPr="0083642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1098B9E" w14:textId="77777777" w:rsidR="00F27878" w:rsidRPr="00836422" w:rsidRDefault="00F27878" w:rsidP="00F27878">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163E1A79"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ES_tradnl"/>
        </w:rPr>
      </w:pPr>
      <w:r w:rsidRPr="00836422">
        <w:rPr>
          <w:rFonts w:ascii="Arial" w:eastAsia="Calibri" w:hAnsi="Arial" w:cs="Arial"/>
          <w:sz w:val="21"/>
          <w:szCs w:val="21"/>
          <w:lang w:val="es-ES_tradnl"/>
        </w:rPr>
        <w:t>La Sala de Consulta y Servicio Civil</w:t>
      </w:r>
      <w:r w:rsidRPr="00836422">
        <w:rPr>
          <w:rFonts w:ascii="Arial" w:eastAsia="Calibri" w:hAnsi="Arial" w:cs="Arial"/>
          <w:sz w:val="21"/>
          <w:szCs w:val="21"/>
          <w:vertAlign w:val="superscript"/>
          <w:lang w:val="es-ES_tradnl"/>
        </w:rPr>
        <w:footnoteReference w:id="17"/>
      </w:r>
      <w:r w:rsidRPr="00836422">
        <w:rPr>
          <w:rFonts w:ascii="Arial" w:eastAsia="Calibri" w:hAnsi="Arial" w:cs="Arial"/>
          <w:sz w:val="21"/>
          <w:szCs w:val="21"/>
          <w:lang w:val="es-ES_tradnl"/>
        </w:rPr>
        <w:t xml:space="preserve"> de esta Corporación se ha referido a los </w:t>
      </w:r>
      <w:r w:rsidRPr="00836422">
        <w:rPr>
          <w:rFonts w:ascii="Arial" w:eastAsia="Calibri" w:hAnsi="Arial" w:cs="Arial"/>
          <w:i/>
          <w:sz w:val="21"/>
          <w:szCs w:val="21"/>
          <w:lang w:val="es-ES_tradnl"/>
        </w:rPr>
        <w:t>“convenios interadministrativos”</w:t>
      </w:r>
      <w:r w:rsidRPr="00836422">
        <w:rPr>
          <w:rFonts w:ascii="Arial" w:eastAsia="Calibri" w:hAnsi="Arial" w:cs="Arial"/>
          <w:sz w:val="21"/>
          <w:szCs w:val="21"/>
          <w:lang w:val="es-ES_tradnl"/>
        </w:rPr>
        <w:t xml:space="preserve"> a los cuales alude el artículo 95 de la Ley 489 de 1998, calificándolos de </w:t>
      </w:r>
      <w:r w:rsidRPr="00836422">
        <w:rPr>
          <w:rFonts w:ascii="Arial" w:eastAsia="Calibri" w:hAnsi="Arial" w:cs="Arial"/>
          <w:i/>
          <w:sz w:val="21"/>
          <w:szCs w:val="21"/>
          <w:lang w:val="es-ES_tradnl"/>
        </w:rPr>
        <w:t xml:space="preserve">“puros” </w:t>
      </w:r>
      <w:r w:rsidRPr="0083642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836422">
        <w:rPr>
          <w:rFonts w:ascii="Arial" w:eastAsia="Calibri" w:hAnsi="Arial" w:cs="Arial"/>
          <w:i/>
          <w:sz w:val="21"/>
          <w:szCs w:val="21"/>
          <w:lang w:val="es-ES_tradnl"/>
        </w:rPr>
        <w:t>“intercambio patrimonial”</w:t>
      </w:r>
      <w:r w:rsidRPr="00836422">
        <w:rPr>
          <w:rFonts w:ascii="Arial" w:eastAsia="Calibri" w:hAnsi="Arial" w:cs="Arial"/>
          <w:sz w:val="21"/>
          <w:szCs w:val="21"/>
          <w:lang w:val="es-ES_tradnl"/>
        </w:rPr>
        <w:t>. Sin perjuicio de lo anterior, en otra oportunidad, la misma Sala</w:t>
      </w:r>
      <w:r w:rsidRPr="00836422">
        <w:rPr>
          <w:rFonts w:ascii="Arial" w:eastAsia="Calibri" w:hAnsi="Arial" w:cs="Arial"/>
          <w:sz w:val="21"/>
          <w:szCs w:val="21"/>
          <w:vertAlign w:val="superscript"/>
          <w:lang w:val="es-ES_tradnl"/>
        </w:rPr>
        <w:footnoteReference w:id="18"/>
      </w:r>
      <w:r w:rsidRPr="00836422">
        <w:rPr>
          <w:rFonts w:ascii="Arial" w:eastAsia="Calibri" w:hAnsi="Arial" w:cs="Arial"/>
          <w:sz w:val="21"/>
          <w:szCs w:val="21"/>
          <w:lang w:val="es-ES_tradnl"/>
        </w:rPr>
        <w:t xml:space="preserve"> había indicado que, si bien en dichos convenios no se daba un </w:t>
      </w:r>
      <w:r w:rsidRPr="00836422">
        <w:rPr>
          <w:rFonts w:ascii="Arial" w:eastAsia="Calibri" w:hAnsi="Arial" w:cs="Arial"/>
          <w:i/>
          <w:sz w:val="21"/>
          <w:szCs w:val="21"/>
          <w:lang w:val="es-ES_tradnl"/>
        </w:rPr>
        <w:t>“verdadero intercambio de bienes o servicios (contrato conmutativo)”</w:t>
      </w:r>
      <w:r w:rsidRPr="00836422">
        <w:rPr>
          <w:rFonts w:ascii="Arial" w:eastAsia="Calibri" w:hAnsi="Arial" w:cs="Arial"/>
          <w:sz w:val="21"/>
          <w:szCs w:val="21"/>
          <w:lang w:val="es-ES_tradnl"/>
        </w:rPr>
        <w:t>, ello no impedía que se conviniera una remuneración a cargo de alguna(s) entidad(es).</w:t>
      </w:r>
    </w:p>
    <w:p w14:paraId="678A40FD"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ES_tradnl"/>
        </w:rPr>
      </w:pPr>
    </w:p>
    <w:p w14:paraId="3DEC0A1E" w14:textId="77777777" w:rsidR="00F27878" w:rsidRPr="00836422" w:rsidRDefault="00F27878" w:rsidP="00F27878">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836422">
        <w:rPr>
          <w:rFonts w:ascii="Arial" w:eastAsia="Arial" w:hAnsi="Arial" w:cs="Arial"/>
          <w:sz w:val="21"/>
          <w:szCs w:val="21"/>
          <w:lang w:val="es-ES_tradnl" w:eastAsia="es-ES" w:bidi="es-ES"/>
        </w:rPr>
        <w:lastRenderedPageBreak/>
        <w:t xml:space="preserve">Lo expuesto evidencia que, en general, las interpretaciones en torno a los </w:t>
      </w:r>
      <w:r w:rsidRPr="00836422">
        <w:rPr>
          <w:rFonts w:ascii="Arial" w:eastAsia="Arial" w:hAnsi="Arial" w:cs="Arial"/>
          <w:i/>
          <w:sz w:val="21"/>
          <w:szCs w:val="21"/>
          <w:lang w:val="es-ES_tradnl" w:eastAsia="es-ES" w:bidi="es-ES"/>
        </w:rPr>
        <w:t>“convenios interadministrativos”</w:t>
      </w:r>
      <w:r w:rsidRPr="0083642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36422">
        <w:rPr>
          <w:rFonts w:ascii="Arial" w:eastAsia="Arial" w:hAnsi="Arial" w:cs="Arial"/>
          <w:sz w:val="21"/>
          <w:szCs w:val="21"/>
          <w:vertAlign w:val="superscript"/>
          <w:lang w:val="es-ES_tradnl" w:eastAsia="es-ES" w:bidi="es-ES"/>
        </w:rPr>
        <w:footnoteReference w:id="19"/>
      </w:r>
      <w:r w:rsidRPr="00836422">
        <w:rPr>
          <w:rFonts w:ascii="Arial" w:eastAsia="Arial" w:hAnsi="Arial" w:cs="Arial"/>
          <w:sz w:val="21"/>
          <w:szCs w:val="21"/>
          <w:vertAlign w:val="superscript"/>
          <w:lang w:val="es-ES_tradnl" w:eastAsia="es-ES" w:bidi="es-ES"/>
        </w:rPr>
        <w:footnoteReference w:id="20"/>
      </w:r>
      <w:r w:rsidRPr="00836422">
        <w:rPr>
          <w:rFonts w:ascii="Arial" w:eastAsia="Arial" w:hAnsi="Arial" w:cs="Arial"/>
          <w:sz w:val="21"/>
          <w:szCs w:val="21"/>
          <w:lang w:val="es-ES_tradnl" w:eastAsia="es-ES" w:bidi="es-ES"/>
        </w:rPr>
        <w:t>.</w:t>
      </w:r>
    </w:p>
    <w:p w14:paraId="234D036E" w14:textId="77777777" w:rsidR="00F27878" w:rsidRPr="00836422" w:rsidRDefault="00F27878" w:rsidP="00F27878">
      <w:pPr>
        <w:widowControl w:val="0"/>
        <w:autoSpaceDE w:val="0"/>
        <w:autoSpaceDN w:val="0"/>
        <w:spacing w:after="0" w:line="276" w:lineRule="auto"/>
        <w:contextualSpacing/>
        <w:jc w:val="both"/>
        <w:rPr>
          <w:rFonts w:ascii="Arial" w:eastAsia="Arial" w:hAnsi="Arial" w:cs="Arial"/>
          <w:lang w:val="es-ES" w:eastAsia="es-ES" w:bidi="es-ES"/>
        </w:rPr>
      </w:pPr>
    </w:p>
    <w:p w14:paraId="5C896754" w14:textId="77777777" w:rsidR="00F27878" w:rsidRPr="00836422" w:rsidRDefault="00F27878" w:rsidP="00F27878">
      <w:pPr>
        <w:widowControl w:val="0"/>
        <w:autoSpaceDE w:val="0"/>
        <w:autoSpaceDN w:val="0"/>
        <w:spacing w:after="120" w:line="276" w:lineRule="auto"/>
        <w:jc w:val="both"/>
        <w:rPr>
          <w:rFonts w:ascii="Arial" w:eastAsia="Arial" w:hAnsi="Arial" w:cs="Arial"/>
          <w:lang w:val="es-ES" w:eastAsia="es-ES" w:bidi="es-ES"/>
        </w:rPr>
      </w:pPr>
      <w:r w:rsidRPr="0083642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836422">
        <w:rPr>
          <w:rFonts w:ascii="Arial" w:eastAsia="Arial" w:hAnsi="Arial" w:cs="Arial"/>
          <w:vertAlign w:val="superscript"/>
          <w:lang w:val="es-ES" w:eastAsia="es-ES" w:bidi="es-ES"/>
        </w:rPr>
        <w:footnoteReference w:id="21"/>
      </w:r>
      <w:r w:rsidRPr="0083642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836422">
        <w:rPr>
          <w:rFonts w:ascii="Arial" w:eastAsia="Arial" w:hAnsi="Arial" w:cs="Arial"/>
          <w:vertAlign w:val="superscript"/>
          <w:lang w:val="es-ES" w:eastAsia="es-ES" w:bidi="es-ES"/>
        </w:rPr>
        <w:footnoteReference w:id="22"/>
      </w:r>
      <w:r w:rsidRPr="00836422">
        <w:rPr>
          <w:rFonts w:ascii="Arial" w:eastAsia="Arial" w:hAnsi="Arial" w:cs="Arial"/>
          <w:lang w:val="es-ES" w:eastAsia="es-ES" w:bidi="es-ES"/>
        </w:rPr>
        <w:t>.</w:t>
      </w:r>
    </w:p>
    <w:p w14:paraId="1E4DEF96" w14:textId="77777777" w:rsidR="00F27878" w:rsidRPr="00836422" w:rsidRDefault="00F27878" w:rsidP="00F27878">
      <w:pPr>
        <w:widowControl w:val="0"/>
        <w:autoSpaceDE w:val="0"/>
        <w:autoSpaceDN w:val="0"/>
        <w:spacing w:after="0" w:line="276" w:lineRule="auto"/>
        <w:contextualSpacing/>
        <w:jc w:val="both"/>
        <w:rPr>
          <w:rFonts w:ascii="Arial" w:eastAsia="Arial" w:hAnsi="Arial" w:cs="Arial"/>
          <w:lang w:val="es-ES" w:eastAsia="es-ES" w:bidi="es-ES"/>
        </w:rPr>
      </w:pPr>
      <w:r w:rsidRPr="00836422">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2EED20D0" w14:textId="77777777" w:rsidR="00F27878" w:rsidRPr="00836422" w:rsidRDefault="00F27878" w:rsidP="00F27878">
      <w:pPr>
        <w:widowControl w:val="0"/>
        <w:autoSpaceDE w:val="0"/>
        <w:autoSpaceDN w:val="0"/>
        <w:spacing w:after="0" w:line="276" w:lineRule="auto"/>
        <w:contextualSpacing/>
        <w:jc w:val="both"/>
        <w:rPr>
          <w:rFonts w:ascii="Arial" w:eastAsia="Arial" w:hAnsi="Arial" w:cs="Arial"/>
          <w:lang w:val="es-ES" w:eastAsia="es-ES" w:bidi="es-ES"/>
        </w:rPr>
      </w:pPr>
    </w:p>
    <w:p w14:paraId="5A10A4CD"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83642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B8F3320"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MX"/>
        </w:rPr>
        <w:t xml:space="preserve"> </w:t>
      </w:r>
    </w:p>
    <w:p w14:paraId="4FA9269E"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MX"/>
        </w:rPr>
      </w:pPr>
      <w:r w:rsidRPr="0083642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73B6CFE" w14:textId="77777777" w:rsidR="00F27878" w:rsidRPr="00836422" w:rsidRDefault="00F27878" w:rsidP="00F27878">
      <w:pPr>
        <w:spacing w:after="0" w:line="240" w:lineRule="auto"/>
        <w:ind w:left="709" w:right="709"/>
        <w:contextualSpacing/>
        <w:jc w:val="both"/>
        <w:rPr>
          <w:rFonts w:ascii="Arial" w:eastAsia="Calibri" w:hAnsi="Arial" w:cs="Arial"/>
          <w:sz w:val="21"/>
          <w:szCs w:val="21"/>
          <w:lang w:val="es-MX"/>
        </w:rPr>
      </w:pPr>
    </w:p>
    <w:p w14:paraId="2DD10DD6" w14:textId="77777777" w:rsidR="00F27878" w:rsidRPr="00836422" w:rsidRDefault="00F27878" w:rsidP="00F27878">
      <w:pPr>
        <w:spacing w:after="0" w:line="240" w:lineRule="auto"/>
        <w:ind w:left="709" w:right="709"/>
        <w:contextualSpacing/>
        <w:jc w:val="both"/>
        <w:rPr>
          <w:rFonts w:ascii="Calibri" w:eastAsia="Calibri" w:hAnsi="Calibri"/>
          <w:sz w:val="24"/>
          <w:lang w:val="es-MX"/>
        </w:rPr>
      </w:pPr>
      <w:r w:rsidRPr="0083642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80CA21C" w14:textId="77777777" w:rsidR="00F27878" w:rsidRPr="00836422" w:rsidRDefault="00F27878" w:rsidP="00F27878">
      <w:pPr>
        <w:widowControl w:val="0"/>
        <w:autoSpaceDE w:val="0"/>
        <w:autoSpaceDN w:val="0"/>
        <w:spacing w:after="0" w:line="276" w:lineRule="auto"/>
        <w:contextualSpacing/>
        <w:jc w:val="both"/>
        <w:rPr>
          <w:rFonts w:ascii="Arial" w:eastAsia="Arial" w:hAnsi="Arial" w:cs="Arial"/>
          <w:lang w:val="es-ES" w:eastAsia="es-ES" w:bidi="es-ES"/>
        </w:rPr>
      </w:pPr>
    </w:p>
    <w:p w14:paraId="27B3DE12" w14:textId="77777777" w:rsidR="00F27878" w:rsidRPr="00836422" w:rsidRDefault="00F27878" w:rsidP="00F27878">
      <w:pPr>
        <w:widowControl w:val="0"/>
        <w:autoSpaceDE w:val="0"/>
        <w:autoSpaceDN w:val="0"/>
        <w:spacing w:after="120" w:line="276" w:lineRule="auto"/>
        <w:jc w:val="both"/>
        <w:rPr>
          <w:rFonts w:ascii="Arial" w:eastAsia="Calibri" w:hAnsi="Arial" w:cs="Arial"/>
          <w:bCs/>
          <w:lang w:val="es-MX" w:eastAsia="es-ES" w:bidi="es-ES"/>
        </w:rPr>
      </w:pPr>
      <w:r w:rsidRPr="00836422">
        <w:rPr>
          <w:rFonts w:ascii="Arial" w:eastAsia="Arial" w:hAnsi="Arial"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7"/>
    </w:p>
    <w:p w14:paraId="3A5B2079" w14:textId="77777777" w:rsidR="00F27878" w:rsidRPr="00836422" w:rsidRDefault="00F27878" w:rsidP="00F27878">
      <w:pPr>
        <w:tabs>
          <w:tab w:val="left" w:pos="426"/>
        </w:tabs>
        <w:spacing w:after="120" w:line="276" w:lineRule="auto"/>
        <w:ind w:firstLine="709"/>
        <w:jc w:val="both"/>
        <w:rPr>
          <w:rFonts w:ascii="Arial" w:hAnsi="Arial" w:cs="Arial"/>
          <w:bCs/>
          <w:lang w:val="es-MX" w:eastAsia="es-CO"/>
        </w:rPr>
      </w:pPr>
      <w:r w:rsidRPr="00836422">
        <w:rPr>
          <w:rFonts w:ascii="Arial" w:hAnsi="Arial" w:cs="Arial"/>
          <w:bCs/>
          <w:lang w:val="es-MX" w:eastAsia="es-CO"/>
        </w:rPr>
        <w:t>Conforme a lo expuesto, de cara a la</w:t>
      </w:r>
      <w:r>
        <w:rPr>
          <w:rFonts w:ascii="Arial" w:hAnsi="Arial" w:cs="Arial"/>
          <w:bCs/>
          <w:lang w:val="es-MX" w:eastAsia="es-CO"/>
        </w:rPr>
        <w:t>s</w:t>
      </w:r>
      <w:r w:rsidRPr="00836422">
        <w:rPr>
          <w:rFonts w:ascii="Arial" w:hAnsi="Arial" w:cs="Arial"/>
          <w:bCs/>
          <w:lang w:val="es-MX" w:eastAsia="es-CO"/>
        </w:rPr>
        <w:t xml:space="preserve"> pregunta</w:t>
      </w:r>
      <w:r>
        <w:rPr>
          <w:rFonts w:ascii="Arial" w:hAnsi="Arial" w:cs="Arial"/>
          <w:bCs/>
          <w:lang w:val="es-MX" w:eastAsia="es-CO"/>
        </w:rPr>
        <w:t>s</w:t>
      </w:r>
      <w:r w:rsidRPr="00836422">
        <w:rPr>
          <w:rFonts w:ascii="Arial" w:hAnsi="Arial" w:cs="Arial"/>
          <w:bCs/>
          <w:lang w:val="es-MX" w:eastAsia="es-CO"/>
        </w:rPr>
        <w:t xml:space="preserve"> planteada</w:t>
      </w:r>
      <w:r>
        <w:rPr>
          <w:rFonts w:ascii="Arial" w:hAnsi="Arial" w:cs="Arial"/>
          <w:bCs/>
          <w:lang w:val="es-MX" w:eastAsia="es-CO"/>
        </w:rPr>
        <w:t>s</w:t>
      </w:r>
      <w:r w:rsidRPr="00836422">
        <w:rPr>
          <w:rFonts w:ascii="Arial" w:hAnsi="Arial" w:cs="Arial"/>
          <w:bCs/>
          <w:lang w:val="es-MX" w:eastAsia="es-CO"/>
        </w:rPr>
        <w:t xml:space="preserve"> debe señalarse que</w:t>
      </w:r>
      <w:r>
        <w:rPr>
          <w:rFonts w:ascii="Arial" w:hAnsi="Arial" w:cs="Arial"/>
          <w:bCs/>
          <w:lang w:val="es-MX" w:eastAsia="es-CO"/>
        </w:rPr>
        <w:t xml:space="preserve"> para las elecciones del año 2023 aplica</w:t>
      </w:r>
      <w:r w:rsidRPr="00836422">
        <w:rPr>
          <w:rFonts w:ascii="Arial" w:hAnsi="Arial" w:cs="Arial"/>
          <w:bCs/>
          <w:lang w:val="es-MX" w:eastAsia="es-CO"/>
        </w:rPr>
        <w:t xml:space="preserve"> </w:t>
      </w:r>
      <w:bookmarkStart w:id="28" w:name="_Hlk114828165"/>
      <w:r w:rsidRPr="00836422">
        <w:rPr>
          <w:rFonts w:ascii="Arial" w:hAnsi="Arial" w:cs="Arial"/>
          <w:bCs/>
          <w:lang w:val="es-MX" w:eastAsia="es-CO"/>
        </w:rPr>
        <w:t>el parágrafo del artículo 38 de la Ley 996 de 2005</w:t>
      </w:r>
      <w:r>
        <w:rPr>
          <w:rFonts w:ascii="Arial" w:hAnsi="Arial" w:cs="Arial"/>
          <w:bCs/>
          <w:lang w:val="es-MX" w:eastAsia="es-CO"/>
        </w:rPr>
        <w:t xml:space="preserve"> que</w:t>
      </w:r>
      <w:r w:rsidRPr="00836422">
        <w:rPr>
          <w:rFonts w:ascii="Arial" w:hAnsi="Arial" w:cs="Arial"/>
          <w:bCs/>
          <w:lang w:val="es-MX"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las </w:t>
      </w:r>
      <w:r>
        <w:rPr>
          <w:rFonts w:ascii="Arial" w:hAnsi="Arial" w:cs="Arial"/>
          <w:bCs/>
          <w:lang w:val="es-MX" w:eastAsia="es-CO"/>
        </w:rPr>
        <w:t>entidades de régimen especial</w:t>
      </w:r>
      <w:r w:rsidRPr="00836422">
        <w:rPr>
          <w:rFonts w:ascii="Arial" w:hAnsi="Arial" w:cs="Arial"/>
          <w:bCs/>
          <w:lang w:val="es-MX" w:eastAsia="es-CO"/>
        </w:rPr>
        <w:t xml:space="preserve">, de acuerdo con el artículo 2 de la Ley 80 de 1993, son entidades estatales; pero </w:t>
      </w:r>
      <w:r>
        <w:rPr>
          <w:rFonts w:ascii="Arial" w:hAnsi="Arial" w:cs="Arial"/>
          <w:bCs/>
          <w:lang w:val="es-MX" w:eastAsia="es-CO"/>
        </w:rPr>
        <w:t>si no son</w:t>
      </w:r>
      <w:r w:rsidRPr="00836422">
        <w:rPr>
          <w:rFonts w:ascii="Arial" w:hAnsi="Arial" w:cs="Arial"/>
          <w:bCs/>
          <w:lang w:val="es-MX" w:eastAsia="es-CO"/>
        </w:rPr>
        <w:t xml:space="preserve"> entidades </w:t>
      </w:r>
      <w:r w:rsidRPr="00836422">
        <w:rPr>
          <w:rFonts w:ascii="Arial" w:hAnsi="Arial" w:cs="Arial"/>
          <w:bCs/>
          <w:lang w:val="es-MX" w:eastAsia="es-CO"/>
        </w:rPr>
        <w:lastRenderedPageBreak/>
        <w:t>territoriales podrán celebrar tales convenios o contratos durante el periodo de aplicación de la Ley de Garantías Electorales, siempre que no se celebre con las referidas entidades previstas en el parágrafo del artículo 38 de la Ley 996 de 2005; distinto a si lo celebran con entidades del orden nacional. La citada disposición hace referencia a dicha tipología contractual sin que el legislador hubiere contemplado excepción alguna frente a la modalidad de selección o naturaleza de su objeto.</w:t>
      </w:r>
      <w:r w:rsidRPr="00836422">
        <w:rPr>
          <w:rFonts w:ascii="Arial" w:eastAsia="Times New Roman" w:hAnsi="Arial" w:cs="Arial"/>
          <w:bCs/>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r w:rsidRPr="00836422">
        <w:rPr>
          <w:rFonts w:ascii="Arial" w:eastAsia="Calibri" w:hAnsi="Arial" w:cs="Arial"/>
          <w:color w:val="000000" w:themeColor="text1"/>
          <w:lang w:val="es-MX"/>
        </w:rPr>
        <w:t> </w:t>
      </w:r>
      <w:bookmarkEnd w:id="28"/>
    </w:p>
    <w:bookmarkEnd w:id="17"/>
    <w:p w14:paraId="54F983D1" w14:textId="77777777" w:rsidR="00F27878" w:rsidRPr="00836422" w:rsidRDefault="00F27878" w:rsidP="00F27878">
      <w:pPr>
        <w:tabs>
          <w:tab w:val="left" w:pos="426"/>
        </w:tabs>
        <w:spacing w:after="0" w:line="276" w:lineRule="auto"/>
        <w:jc w:val="both"/>
        <w:rPr>
          <w:rFonts w:ascii="Arial" w:eastAsia="Calibri" w:hAnsi="Arial" w:cs="Arial"/>
          <w:lang w:val="es-MX"/>
        </w:rPr>
      </w:pPr>
    </w:p>
    <w:p w14:paraId="0342DC2B" w14:textId="77777777" w:rsidR="00F27878" w:rsidRPr="00836422" w:rsidRDefault="00F27878" w:rsidP="00F27878">
      <w:pPr>
        <w:spacing w:after="0" w:line="276" w:lineRule="auto"/>
        <w:ind w:right="79"/>
        <w:jc w:val="both"/>
        <w:rPr>
          <w:rFonts w:ascii="Arial" w:eastAsia="Calibri" w:hAnsi="Arial" w:cs="Arial"/>
          <w:b/>
          <w:noProof/>
          <w:lang w:val="es-ES_tradnl"/>
        </w:rPr>
      </w:pPr>
      <w:bookmarkStart w:id="29" w:name="_1y810tw" w:colFirst="0" w:colLast="0"/>
      <w:bookmarkStart w:id="30" w:name="_2xcytpi" w:colFirst="0" w:colLast="0"/>
      <w:bookmarkStart w:id="31" w:name="_1ci93xb" w:colFirst="0" w:colLast="0"/>
      <w:bookmarkStart w:id="32" w:name="_3whwml4" w:colFirst="0" w:colLast="0"/>
      <w:bookmarkEnd w:id="29"/>
      <w:bookmarkEnd w:id="30"/>
      <w:bookmarkEnd w:id="31"/>
      <w:bookmarkEnd w:id="32"/>
      <w:r w:rsidRPr="00836422">
        <w:rPr>
          <w:rFonts w:ascii="Arial" w:eastAsia="Calibri" w:hAnsi="Arial" w:cs="Arial"/>
          <w:b/>
          <w:noProof/>
          <w:lang w:val="es-ES_tradnl"/>
        </w:rPr>
        <w:t>3. Respuesta</w:t>
      </w:r>
    </w:p>
    <w:p w14:paraId="37051F09" w14:textId="77777777" w:rsidR="00F27878" w:rsidRPr="00836422" w:rsidRDefault="00F27878" w:rsidP="00F27878">
      <w:pPr>
        <w:spacing w:after="0" w:line="276" w:lineRule="auto"/>
        <w:ind w:right="79"/>
        <w:jc w:val="both"/>
        <w:rPr>
          <w:rFonts w:ascii="Arial" w:eastAsia="Calibri" w:hAnsi="Arial" w:cs="Arial"/>
          <w:b/>
          <w:noProof/>
          <w:lang w:val="es-ES_tradnl"/>
        </w:rPr>
      </w:pPr>
    </w:p>
    <w:p w14:paraId="5A8465B3" w14:textId="77777777" w:rsidR="00F27878" w:rsidRPr="00304D1F" w:rsidRDefault="00F27878" w:rsidP="00F27878">
      <w:pPr>
        <w:spacing w:after="0" w:line="240" w:lineRule="auto"/>
        <w:ind w:left="567" w:right="788"/>
        <w:contextualSpacing/>
        <w:jc w:val="both"/>
        <w:rPr>
          <w:rFonts w:ascii="Arial" w:hAnsi="Arial" w:cs="Arial"/>
          <w:sz w:val="21"/>
          <w:szCs w:val="21"/>
          <w:lang w:val="es-ES_tradnl"/>
        </w:rPr>
      </w:pPr>
      <w:r w:rsidRPr="00304D1F">
        <w:rPr>
          <w:rFonts w:ascii="Arial" w:hAnsi="Arial" w:cs="Arial"/>
          <w:sz w:val="21"/>
          <w:szCs w:val="21"/>
          <w:lang w:val="es-ES_tradnl"/>
        </w:rPr>
        <w:t>“1) PREGUNTA ¿debido a la naturaleza jurídica de Fondecún, le es aplicable las disposiciones de la Ley de Garantías?</w:t>
      </w:r>
    </w:p>
    <w:p w14:paraId="243E752C" w14:textId="77777777" w:rsidR="00F27878" w:rsidRPr="00304D1F" w:rsidRDefault="00F27878" w:rsidP="00F27878">
      <w:pPr>
        <w:spacing w:after="0" w:line="240" w:lineRule="auto"/>
        <w:ind w:left="567" w:right="788"/>
        <w:contextualSpacing/>
        <w:jc w:val="both"/>
        <w:rPr>
          <w:rFonts w:ascii="Arial" w:hAnsi="Arial" w:cs="Arial"/>
          <w:sz w:val="21"/>
          <w:szCs w:val="21"/>
          <w:lang w:val="es-ES_tradnl"/>
        </w:rPr>
      </w:pPr>
      <w:r w:rsidRPr="00304D1F">
        <w:rPr>
          <w:rFonts w:ascii="Arial" w:hAnsi="Arial" w:cs="Arial"/>
          <w:sz w:val="21"/>
          <w:szCs w:val="21"/>
          <w:lang w:val="es-ES_tradnl"/>
        </w:rPr>
        <w:t>2)PREGUNTA. En caso de que aplique a Fondecún la Ley de Garantías indique si: ¿La ley de Garantías Aplica para las próximas elecciones regionales que se celebrarán el 29 de octubre de 2023?</w:t>
      </w:r>
    </w:p>
    <w:p w14:paraId="0B21D71A" w14:textId="77777777" w:rsidR="00F27878" w:rsidRPr="00304D1F" w:rsidRDefault="00F27878" w:rsidP="00F27878">
      <w:pPr>
        <w:spacing w:after="0" w:line="240" w:lineRule="auto"/>
        <w:ind w:left="567" w:right="788"/>
        <w:contextualSpacing/>
        <w:jc w:val="both"/>
        <w:rPr>
          <w:rFonts w:ascii="Arial" w:hAnsi="Arial" w:cs="Arial"/>
          <w:sz w:val="21"/>
          <w:szCs w:val="21"/>
          <w:lang w:val="es-ES_tradnl"/>
        </w:rPr>
      </w:pPr>
      <w:r w:rsidRPr="00304D1F">
        <w:rPr>
          <w:rFonts w:ascii="Arial" w:hAnsi="Arial" w:cs="Arial"/>
          <w:sz w:val="21"/>
          <w:szCs w:val="21"/>
          <w:lang w:val="es-ES_tradnl"/>
        </w:rPr>
        <w:t>3)PREGUNTA. ¿Cuáles son las restricciones aplicables en materia de contratación tanto de aquella que se enmarca en el régimen privado como la regida por el Estatuto General de Contratación Pública?</w:t>
      </w:r>
    </w:p>
    <w:p w14:paraId="2C45CA2D" w14:textId="77777777" w:rsidR="00F27878" w:rsidRPr="00836422" w:rsidRDefault="00F27878" w:rsidP="00F27878">
      <w:pPr>
        <w:spacing w:after="0" w:line="240" w:lineRule="auto"/>
        <w:ind w:left="567" w:right="788"/>
        <w:contextualSpacing/>
        <w:jc w:val="both"/>
        <w:rPr>
          <w:rFonts w:ascii="Arial" w:hAnsi="Arial" w:cs="Arial"/>
          <w:sz w:val="21"/>
          <w:szCs w:val="21"/>
          <w:lang w:val="es-ES_tradnl"/>
        </w:rPr>
      </w:pPr>
      <w:r w:rsidRPr="00304D1F">
        <w:rPr>
          <w:rFonts w:ascii="Arial" w:hAnsi="Arial" w:cs="Arial"/>
          <w:sz w:val="21"/>
          <w:szCs w:val="21"/>
          <w:lang w:val="es-ES_tradnl"/>
        </w:rPr>
        <w:t>4) PREGUNTA. ¿Existen restricciones para realizar contrataciones de forma directa y/o celebrar convenios-contratos interadministrativos a partir del 29 de junio de 2023?” (SIC).</w:t>
      </w:r>
      <w:r w:rsidRPr="00836422">
        <w:rPr>
          <w:rFonts w:ascii="Arial" w:hAnsi="Arial" w:cs="Arial"/>
          <w:sz w:val="21"/>
          <w:szCs w:val="21"/>
          <w:lang w:val="es-ES_tradnl"/>
        </w:rPr>
        <w:t xml:space="preserve"> </w:t>
      </w:r>
    </w:p>
    <w:p w14:paraId="0C69F000" w14:textId="77777777" w:rsidR="00F27878" w:rsidRPr="00836422" w:rsidRDefault="00F27878" w:rsidP="00F27878">
      <w:pPr>
        <w:spacing w:after="0" w:line="240" w:lineRule="auto"/>
        <w:ind w:left="567" w:right="786"/>
        <w:jc w:val="both"/>
        <w:rPr>
          <w:rFonts w:ascii="Arial" w:hAnsi="Arial" w:cs="Arial"/>
          <w:color w:val="FF0000"/>
          <w:lang w:val="es-ES_tradnl"/>
        </w:rPr>
      </w:pPr>
    </w:p>
    <w:p w14:paraId="5728E6B2" w14:textId="77777777" w:rsidR="00F27878" w:rsidRPr="00836422" w:rsidRDefault="00F27878" w:rsidP="00F27878">
      <w:pPr>
        <w:spacing w:after="120" w:line="276" w:lineRule="auto"/>
        <w:jc w:val="both"/>
        <w:rPr>
          <w:rFonts w:ascii="Arial" w:eastAsia="Arial" w:hAnsi="Arial" w:cs="Arial"/>
          <w:lang w:val="es-ES" w:eastAsia="es-ES" w:bidi="es-ES"/>
        </w:rPr>
      </w:pPr>
      <w:r w:rsidRPr="00836422">
        <w:rPr>
          <w:rFonts w:ascii="Arial" w:eastAsia="Arial" w:hAnsi="Arial" w:cs="Arial"/>
          <w:lang w:val="es-MX"/>
        </w:rPr>
        <w:t xml:space="preserve">De acuerdo con la interpretación de las normas generales del sistema de compras y contratación pública, </w:t>
      </w:r>
      <w:r w:rsidRPr="00836422">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57272B6E" w14:textId="77777777" w:rsidR="00F27878" w:rsidRDefault="00F27878" w:rsidP="00F27878">
      <w:pPr>
        <w:spacing w:after="120" w:line="276" w:lineRule="auto"/>
        <w:ind w:firstLine="708"/>
        <w:jc w:val="both"/>
        <w:rPr>
          <w:rFonts w:ascii="Arial" w:hAnsi="Arial" w:cs="Arial"/>
          <w:bCs/>
          <w:lang w:val="es-ES_tradnl" w:eastAsia="es-CO" w:bidi="es-ES"/>
        </w:rPr>
      </w:pPr>
      <w:r>
        <w:rPr>
          <w:rFonts w:ascii="Arial" w:hAnsi="Arial" w:cs="Arial"/>
          <w:bCs/>
          <w:lang w:val="es-ES_tradnl" w:eastAsia="es-CO"/>
        </w:rPr>
        <w:t>P</w:t>
      </w:r>
      <w:r w:rsidRPr="00836422">
        <w:rPr>
          <w:rFonts w:ascii="Arial" w:hAnsi="Arial" w:cs="Arial"/>
          <w:bCs/>
          <w:lang w:val="es-ES_tradnl" w:eastAsia="es-CO"/>
        </w:rPr>
        <w:t xml:space="preserve">ara las elecciones de 2023, </w:t>
      </w:r>
      <w:r w:rsidRPr="00836422">
        <w:rPr>
          <w:rFonts w:ascii="Arial" w:hAnsi="Arial" w:cs="Arial"/>
          <w:bCs/>
          <w:lang w:val="es-MX" w:eastAsia="es-CO"/>
        </w:rPr>
        <w:t xml:space="preserve">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836422">
        <w:rPr>
          <w:rFonts w:ascii="Arial" w:hAnsi="Arial" w:cs="Arial"/>
          <w:bCs/>
          <w:lang w:val="es-ES_tradnl" w:eastAsia="es-CO" w:bidi="es-ES"/>
        </w:rPr>
        <w:t xml:space="preserve">Aunque la ley no la definió ni desarrolló, el Decreto 1082 de 2015 califica a los convenios o contratos interadministrativos como aquella contratación entre entidades estatales. </w:t>
      </w:r>
    </w:p>
    <w:p w14:paraId="14BA02F7" w14:textId="77777777" w:rsidR="00F27878" w:rsidRPr="00836422" w:rsidRDefault="00F27878" w:rsidP="00F27878">
      <w:pPr>
        <w:spacing w:after="120" w:line="276" w:lineRule="auto"/>
        <w:ind w:firstLine="708"/>
        <w:jc w:val="both"/>
        <w:rPr>
          <w:rFonts w:ascii="Arial" w:hAnsi="Arial" w:cs="Arial"/>
          <w:bCs/>
          <w:lang w:val="es-ES_tradnl" w:eastAsia="es-CO" w:bidi="es-ES"/>
        </w:rPr>
      </w:pPr>
      <w:r w:rsidRPr="00836422">
        <w:rPr>
          <w:rFonts w:ascii="Arial" w:hAnsi="Arial" w:cs="Arial"/>
          <w:bCs/>
          <w:lang w:val="es-ES_tradnl" w:eastAsia="es-CO" w:bidi="es-ES"/>
        </w:rPr>
        <w:lastRenderedPageBreak/>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F1075B4" w14:textId="77777777" w:rsidR="00F27878" w:rsidRPr="00836422" w:rsidRDefault="00F27878" w:rsidP="00F27878">
      <w:pPr>
        <w:spacing w:after="120" w:line="276" w:lineRule="auto"/>
        <w:ind w:firstLine="709"/>
        <w:jc w:val="both"/>
        <w:rPr>
          <w:rFonts w:ascii="Arial" w:eastAsia="Calibri" w:hAnsi="Arial" w:cs="Arial"/>
          <w:color w:val="000000" w:themeColor="text1"/>
          <w:lang w:val="es-MX"/>
        </w:rPr>
      </w:pPr>
      <w:r w:rsidRPr="00836422">
        <w:rPr>
          <w:rFonts w:ascii="Arial" w:hAnsi="Arial" w:cs="Arial"/>
          <w:bCs/>
          <w:lang w:val="es-MX" w:eastAsia="es-CO"/>
        </w:rPr>
        <w:t xml:space="preserve">En este sentido, las </w:t>
      </w:r>
      <w:r>
        <w:rPr>
          <w:rFonts w:ascii="Arial" w:hAnsi="Arial" w:cs="Arial"/>
          <w:bCs/>
          <w:lang w:val="es-MX" w:eastAsia="es-CO"/>
        </w:rPr>
        <w:t>entidades de régimen especial</w:t>
      </w:r>
      <w:r w:rsidRPr="00836422">
        <w:rPr>
          <w:rFonts w:ascii="Arial" w:hAnsi="Arial" w:cs="Arial"/>
          <w:bCs/>
          <w:lang w:val="es-MX" w:eastAsia="es-CO"/>
        </w:rPr>
        <w:t xml:space="preserve">, de acuerdo con el artículo 2 de la Ley 80 de 1993, son entidades estatales; pero </w:t>
      </w:r>
      <w:r>
        <w:rPr>
          <w:rFonts w:ascii="Arial" w:hAnsi="Arial" w:cs="Arial"/>
          <w:bCs/>
          <w:lang w:val="es-MX" w:eastAsia="es-CO"/>
        </w:rPr>
        <w:t>si no son</w:t>
      </w:r>
      <w:r w:rsidRPr="00836422">
        <w:rPr>
          <w:rFonts w:ascii="Arial" w:hAnsi="Arial" w:cs="Arial"/>
          <w:bCs/>
          <w:lang w:val="es-MX" w:eastAsia="es-CO"/>
        </w:rPr>
        <w:t xml:space="preserve"> entidades territoriales podrán celebrar tales convenios o contratos durante el periodo de aplicación de la Ley de Garantías Electorales, siempre que no se celebre con las referidas entidades previstas en el parágrafo del artículo 38 de la Ley 996 de 2005; distinto a si lo celebran con entidades del orden nacional.</w:t>
      </w:r>
      <w:r w:rsidRPr="00836422">
        <w:rPr>
          <w:rFonts w:ascii="Arial" w:eastAsia="Times New Roman" w:hAnsi="Arial" w:cs="Arial"/>
          <w:bCs/>
          <w:lang w:val="es-MX" w:eastAsia="es-CO"/>
        </w:rPr>
        <w:t xml:space="preserve">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p>
    <w:p w14:paraId="7580482A" w14:textId="77777777" w:rsidR="00F27878" w:rsidRPr="00836422" w:rsidRDefault="00F27878" w:rsidP="00F27878">
      <w:pPr>
        <w:spacing w:after="0" w:line="276" w:lineRule="auto"/>
        <w:ind w:firstLine="709"/>
        <w:jc w:val="both"/>
        <w:rPr>
          <w:rFonts w:ascii="Arial" w:hAnsi="Arial" w:cs="Arial"/>
          <w:bCs/>
          <w:lang w:val="es-ES"/>
        </w:rPr>
      </w:pPr>
      <w:r w:rsidRPr="00836422">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836422">
        <w:rPr>
          <w:rFonts w:ascii="Arial" w:hAnsi="Arial" w:cs="Arial"/>
          <w:bCs/>
          <w:lang w:val="es-ES"/>
        </w:rPr>
        <w:t xml:space="preserve"> </w:t>
      </w:r>
    </w:p>
    <w:p w14:paraId="555D61ED" w14:textId="77777777" w:rsidR="00F27878" w:rsidRPr="00836422" w:rsidRDefault="00F27878" w:rsidP="00F27878">
      <w:pPr>
        <w:spacing w:after="0" w:line="276" w:lineRule="auto"/>
        <w:ind w:firstLine="709"/>
        <w:jc w:val="both"/>
        <w:rPr>
          <w:rFonts w:ascii="Arial" w:hAnsi="Arial" w:cs="Arial"/>
          <w:bCs/>
          <w:lang w:val="es-ES"/>
        </w:rPr>
      </w:pPr>
    </w:p>
    <w:p w14:paraId="7A82A5DF" w14:textId="77777777" w:rsidR="00F27878" w:rsidRPr="00836422" w:rsidRDefault="00F27878" w:rsidP="00F27878">
      <w:pPr>
        <w:spacing w:after="120" w:line="276" w:lineRule="auto"/>
        <w:jc w:val="both"/>
        <w:rPr>
          <w:rFonts w:ascii="Times New Roman" w:eastAsia="Times New Roman" w:hAnsi="Times New Roman" w:cs="Times New Roman"/>
          <w:sz w:val="24"/>
          <w:szCs w:val="24"/>
          <w:lang w:eastAsia="es-ES_tradnl"/>
        </w:rPr>
      </w:pPr>
      <w:r w:rsidRPr="008364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12267FB" w14:textId="77777777" w:rsidR="00F27878" w:rsidRPr="00836422" w:rsidRDefault="00F27878" w:rsidP="00F27878">
      <w:pPr>
        <w:spacing w:after="0" w:line="276" w:lineRule="auto"/>
        <w:ind w:firstLine="709"/>
        <w:jc w:val="both"/>
        <w:rPr>
          <w:rFonts w:ascii="Arial" w:eastAsia="Calibri" w:hAnsi="Arial" w:cs="Arial"/>
          <w:lang w:val="es-MX"/>
        </w:rPr>
      </w:pPr>
    </w:p>
    <w:p w14:paraId="1FFBC75A" w14:textId="77777777" w:rsidR="00F27878" w:rsidRPr="00836422" w:rsidRDefault="00F27878" w:rsidP="00F27878">
      <w:pPr>
        <w:spacing w:after="0" w:line="276" w:lineRule="auto"/>
        <w:ind w:firstLine="709"/>
        <w:jc w:val="both"/>
        <w:rPr>
          <w:rFonts w:ascii="Arial" w:eastAsia="Calibri" w:hAnsi="Arial" w:cs="Arial"/>
          <w:lang w:val="es-MX"/>
        </w:rPr>
      </w:pPr>
    </w:p>
    <w:p w14:paraId="191B7FE5" w14:textId="77777777" w:rsidR="00F27878" w:rsidRPr="00836422" w:rsidRDefault="00F27878" w:rsidP="00F27878">
      <w:pPr>
        <w:spacing w:before="240" w:after="0" w:line="276" w:lineRule="auto"/>
        <w:jc w:val="both"/>
        <w:rPr>
          <w:rFonts w:ascii="Arial" w:hAnsi="Arial" w:cs="Arial"/>
          <w:lang w:val="es-ES_tradnl" w:eastAsia="es-CO"/>
        </w:rPr>
      </w:pPr>
      <w:bookmarkStart w:id="33" w:name="_Hlk50986665"/>
      <w:bookmarkStart w:id="34" w:name="_Hlk52766744"/>
      <w:r w:rsidRPr="00836422">
        <w:rPr>
          <w:rFonts w:ascii="Arial" w:hAnsi="Arial" w:cs="Arial"/>
          <w:lang w:val="es-ES_tradnl" w:eastAsia="es-CO"/>
        </w:rPr>
        <w:t>Atentamente,</w:t>
      </w:r>
    </w:p>
    <w:p w14:paraId="4F063C02" w14:textId="1120587A" w:rsidR="00F27878" w:rsidRPr="00836422" w:rsidRDefault="0018586A" w:rsidP="00F27878">
      <w:pPr>
        <w:spacing w:before="120" w:after="0" w:line="276" w:lineRule="auto"/>
        <w:jc w:val="center"/>
        <w:rPr>
          <w:rFonts w:ascii="Arial" w:hAnsi="Arial" w:cs="Arial"/>
          <w:sz w:val="18"/>
          <w:szCs w:val="20"/>
          <w:lang w:val="es-ES_tradnl" w:eastAsia="es-CO"/>
        </w:rPr>
      </w:pPr>
      <w:bookmarkStart w:id="35" w:name="_Hlk108446929"/>
      <w:bookmarkEnd w:id="3"/>
      <w:bookmarkEnd w:id="33"/>
      <w:bookmarkEnd w:id="34"/>
      <w:r>
        <w:rPr>
          <w:noProof/>
        </w:rPr>
        <w:lastRenderedPageBreak/>
        <w:drawing>
          <wp:inline distT="0" distB="0" distL="0" distR="0" wp14:anchorId="20EF0BA0" wp14:editId="0D9DC1A9">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3D3909AE" w14:textId="77777777" w:rsidR="00F27878" w:rsidRPr="00836422" w:rsidRDefault="00F27878" w:rsidP="00F27878">
      <w:pPr>
        <w:spacing w:before="120" w:after="0" w:line="276" w:lineRule="auto"/>
        <w:jc w:val="center"/>
        <w:rPr>
          <w:rFonts w:ascii="Arial" w:hAnsi="Arial" w:cs="Arial"/>
          <w:sz w:val="18"/>
          <w:szCs w:val="20"/>
          <w:lang w:val="es-ES_tradnl" w:eastAsia="es-CO"/>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7878" w:rsidRPr="00836422" w14:paraId="73380F4F" w14:textId="77777777" w:rsidTr="00C06012">
        <w:trPr>
          <w:trHeight w:val="315"/>
        </w:trPr>
        <w:tc>
          <w:tcPr>
            <w:tcW w:w="812" w:type="dxa"/>
            <w:vAlign w:val="center"/>
            <w:hideMark/>
          </w:tcPr>
          <w:p w14:paraId="50353E6A" w14:textId="77777777" w:rsidR="00F27878" w:rsidRPr="00836422" w:rsidRDefault="00F27878" w:rsidP="00C0601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25A8390F" w14:textId="77777777" w:rsidR="00F27878" w:rsidRPr="00836422" w:rsidRDefault="00F27878" w:rsidP="00C06012">
            <w:pPr>
              <w:rPr>
                <w:rFonts w:ascii="Arial" w:eastAsia="Calibri" w:hAnsi="Arial" w:cs="Arial"/>
                <w:sz w:val="16"/>
                <w:szCs w:val="16"/>
                <w:lang w:val="es-ES_tradnl" w:eastAsia="es-ES"/>
              </w:rPr>
            </w:pPr>
            <w:r w:rsidRPr="00836422">
              <w:rPr>
                <w:rFonts w:ascii="Arial" w:eastAsia="Calibri" w:hAnsi="Arial" w:cs="Arial"/>
                <w:sz w:val="16"/>
                <w:szCs w:val="16"/>
                <w:lang w:val="es-ES_tradnl" w:eastAsia="es-ES"/>
              </w:rPr>
              <w:t>Ximena Ríos López</w:t>
            </w:r>
          </w:p>
          <w:p w14:paraId="41A1B20A" w14:textId="77777777" w:rsidR="00F27878" w:rsidRPr="00836422" w:rsidRDefault="00F27878" w:rsidP="00C06012">
            <w:pPr>
              <w:spacing w:line="276" w:lineRule="auto"/>
              <w:rPr>
                <w:rFonts w:ascii="Arial" w:eastAsia="Times New Roman" w:hAnsi="Arial" w:cs="Arial"/>
                <w:sz w:val="16"/>
                <w:szCs w:val="16"/>
                <w:lang w:eastAsia="es-ES"/>
              </w:rPr>
            </w:pPr>
            <w:r w:rsidRPr="00836422">
              <w:rPr>
                <w:rFonts w:ascii="Arial" w:eastAsia="Calibri" w:hAnsi="Arial" w:cs="Arial"/>
                <w:sz w:val="16"/>
                <w:szCs w:val="16"/>
                <w:lang w:val="es-ES_tradnl" w:eastAsia="es-ES"/>
              </w:rPr>
              <w:t>Gestor T1-11 de la Subdirección de Gestión Contractual</w:t>
            </w:r>
          </w:p>
        </w:tc>
      </w:tr>
      <w:tr w:rsidR="00F27878" w:rsidRPr="00836422" w14:paraId="5559BFC9" w14:textId="77777777" w:rsidTr="00C06012">
        <w:trPr>
          <w:trHeight w:val="330"/>
        </w:trPr>
        <w:tc>
          <w:tcPr>
            <w:tcW w:w="812" w:type="dxa"/>
            <w:vAlign w:val="center"/>
            <w:hideMark/>
          </w:tcPr>
          <w:p w14:paraId="48B03632" w14:textId="77777777" w:rsidR="00F27878" w:rsidRPr="00836422" w:rsidRDefault="00F27878" w:rsidP="00C0601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2B1BF69B" w14:textId="77777777" w:rsidR="00F27878" w:rsidRPr="00836422" w:rsidRDefault="00F27878" w:rsidP="00C06012">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Diana Armenta Celis</w:t>
            </w:r>
          </w:p>
          <w:p w14:paraId="6AD05500" w14:textId="77777777" w:rsidR="00F27878" w:rsidRPr="00836422" w:rsidRDefault="00F27878" w:rsidP="00C06012">
            <w:pPr>
              <w:rPr>
                <w:rFonts w:ascii="Arial" w:eastAsia="Times New Roman" w:hAnsi="Arial" w:cs="Arial"/>
                <w:color w:val="000000"/>
                <w:sz w:val="16"/>
                <w:szCs w:val="16"/>
                <w:lang w:val="es-ES" w:eastAsia="es-ES"/>
              </w:rPr>
            </w:pPr>
            <w:r w:rsidRPr="00836422">
              <w:rPr>
                <w:rFonts w:ascii="Arial" w:eastAsia="Times New Roman" w:hAnsi="Arial" w:cs="Arial"/>
                <w:color w:val="000000"/>
                <w:sz w:val="16"/>
                <w:szCs w:val="16"/>
                <w:lang w:val="es-ES" w:eastAsia="es-ES"/>
              </w:rPr>
              <w:t xml:space="preserve">Contratista de la Subdirección de Gestión Contractual  </w:t>
            </w:r>
          </w:p>
        </w:tc>
      </w:tr>
      <w:tr w:rsidR="00F27878" w:rsidRPr="00836422" w14:paraId="0FE62FC9" w14:textId="77777777" w:rsidTr="00C06012">
        <w:trPr>
          <w:trHeight w:val="300"/>
        </w:trPr>
        <w:tc>
          <w:tcPr>
            <w:tcW w:w="812" w:type="dxa"/>
            <w:vAlign w:val="center"/>
            <w:hideMark/>
          </w:tcPr>
          <w:p w14:paraId="6F1F5350" w14:textId="77777777" w:rsidR="00F27878" w:rsidRPr="00836422" w:rsidRDefault="00F27878" w:rsidP="00C06012">
            <w:pPr>
              <w:spacing w:line="276" w:lineRule="auto"/>
              <w:rPr>
                <w:rFonts w:ascii="Arial" w:eastAsia="Times New Roman" w:hAnsi="Arial" w:cs="Arial"/>
                <w:sz w:val="16"/>
                <w:szCs w:val="16"/>
                <w:lang w:eastAsia="es-ES"/>
              </w:rPr>
            </w:pPr>
            <w:r w:rsidRPr="00836422">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1FCC2757" w14:textId="77777777" w:rsidR="00F27878" w:rsidRPr="00836422" w:rsidRDefault="00F27878" w:rsidP="00C06012">
            <w:pPr>
              <w:spacing w:line="276" w:lineRule="auto"/>
              <w:rPr>
                <w:rFonts w:ascii="Arial" w:eastAsia="Calibri" w:hAnsi="Arial" w:cs="Arial"/>
                <w:sz w:val="16"/>
                <w:szCs w:val="16"/>
                <w:lang w:val="es-ES_tradnl" w:eastAsia="es-ES"/>
              </w:rPr>
            </w:pPr>
            <w:r w:rsidRPr="00836422">
              <w:rPr>
                <w:rFonts w:ascii="Arial" w:eastAsia="Calibri" w:hAnsi="Arial" w:cs="Arial"/>
                <w:sz w:val="16"/>
                <w:szCs w:val="16"/>
                <w:lang w:val="es-ES_tradnl" w:eastAsia="es-ES"/>
              </w:rPr>
              <w:t>Nohelia del Carmen Zawady Palacio</w:t>
            </w:r>
          </w:p>
          <w:p w14:paraId="760DF112" w14:textId="77777777" w:rsidR="00F27878" w:rsidRPr="00836422" w:rsidRDefault="00F27878" w:rsidP="00C06012">
            <w:pPr>
              <w:spacing w:line="276" w:lineRule="auto"/>
              <w:rPr>
                <w:rFonts w:ascii="Arial" w:eastAsia="Times New Roman" w:hAnsi="Arial" w:cs="Arial"/>
                <w:sz w:val="16"/>
                <w:szCs w:val="16"/>
                <w:lang w:eastAsia="es-ES"/>
              </w:rPr>
            </w:pPr>
            <w:r w:rsidRPr="00836422">
              <w:rPr>
                <w:rFonts w:ascii="Arial" w:eastAsia="Calibri" w:hAnsi="Arial" w:cs="Arial"/>
                <w:sz w:val="16"/>
                <w:szCs w:val="16"/>
                <w:lang w:val="es-ES_tradnl" w:eastAsia="es-ES"/>
              </w:rPr>
              <w:t>Subdirectora de Gestión Contractual</w:t>
            </w:r>
          </w:p>
        </w:tc>
      </w:tr>
      <w:tr w:rsidR="00F27878" w:rsidRPr="00836422" w14:paraId="172102E8" w14:textId="77777777" w:rsidTr="00C06012">
        <w:trPr>
          <w:trHeight w:val="300"/>
        </w:trPr>
        <w:tc>
          <w:tcPr>
            <w:tcW w:w="812" w:type="dxa"/>
            <w:vAlign w:val="center"/>
          </w:tcPr>
          <w:p w14:paraId="0CC3E965" w14:textId="77777777" w:rsidR="00F27878" w:rsidRPr="00836422" w:rsidRDefault="00F27878" w:rsidP="00C06012">
            <w:pPr>
              <w:spacing w:line="276" w:lineRule="auto"/>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left w:val="nil"/>
              <w:bottom w:val="dotted" w:sz="4" w:space="0" w:color="7F7F7F"/>
              <w:right w:val="nil"/>
            </w:tcBorders>
            <w:vAlign w:val="center"/>
          </w:tcPr>
          <w:p w14:paraId="52DD8415" w14:textId="77777777" w:rsidR="00F27878" w:rsidRPr="00836422" w:rsidRDefault="00F27878" w:rsidP="00C06012">
            <w:pPr>
              <w:spacing w:line="276" w:lineRule="auto"/>
              <w:rPr>
                <w:rFonts w:ascii="Arial" w:eastAsia="Calibri" w:hAnsi="Arial" w:cs="Arial"/>
                <w:sz w:val="16"/>
                <w:szCs w:val="16"/>
                <w:lang w:val="es-ES_tradnl" w:eastAsia="es-ES"/>
              </w:rPr>
            </w:pPr>
            <w:r>
              <w:rPr>
                <w:rFonts w:ascii="Arial" w:eastAsia="Calibri" w:hAnsi="Arial" w:cs="Arial"/>
                <w:sz w:val="16"/>
                <w:szCs w:val="16"/>
                <w:lang w:val="es-ES_tradnl" w:eastAsia="es-ES"/>
              </w:rPr>
              <w:t>R</w:t>
            </w:r>
            <w:r w:rsidRPr="00B515D3">
              <w:rPr>
                <w:rFonts w:ascii="Arial" w:eastAsia="Calibri" w:hAnsi="Arial" w:cs="Arial"/>
                <w:sz w:val="16"/>
                <w:szCs w:val="16"/>
                <w:lang w:val="es-ES_tradnl" w:eastAsia="es-ES"/>
              </w:rPr>
              <w:t>adicado de salida No. RS20230509004466</w:t>
            </w:r>
            <w:r>
              <w:rPr>
                <w:rFonts w:ascii="Arial" w:eastAsia="Calibri" w:hAnsi="Arial" w:cs="Arial"/>
                <w:sz w:val="16"/>
                <w:szCs w:val="16"/>
                <w:lang w:val="es-ES_tradnl" w:eastAsia="es-ES"/>
              </w:rPr>
              <w:t xml:space="preserve"> del 30 de mayo de 2023</w:t>
            </w:r>
          </w:p>
        </w:tc>
      </w:tr>
      <w:bookmarkEnd w:id="35"/>
    </w:tbl>
    <w:p w14:paraId="6879399F" w14:textId="77777777" w:rsidR="00F27878" w:rsidRPr="00836422" w:rsidRDefault="00F27878" w:rsidP="00F27878">
      <w:pPr>
        <w:spacing w:before="120" w:after="0" w:line="276" w:lineRule="auto"/>
        <w:rPr>
          <w:rFonts w:ascii="Arial" w:hAnsi="Arial" w:cs="Arial"/>
          <w:sz w:val="18"/>
          <w:szCs w:val="20"/>
          <w:lang w:val="es-ES_tradnl" w:eastAsia="es-CO"/>
        </w:rPr>
      </w:pPr>
    </w:p>
    <w:p w14:paraId="0DA48393" w14:textId="77777777" w:rsidR="00F27878" w:rsidRPr="003B2FEA" w:rsidRDefault="00F27878" w:rsidP="00F27878"/>
    <w:p w14:paraId="67AAC4F3" w14:textId="77777777" w:rsidR="00F27878" w:rsidRPr="00F27878" w:rsidRDefault="00F27878" w:rsidP="6B8BD3AC">
      <w:pPr>
        <w:rPr>
          <w:rFonts w:ascii="Geomanist Light" w:eastAsia="Geomanist Light" w:hAnsi="Geomanist Light" w:cs="Geomanist Light"/>
          <w:color w:val="201F1E"/>
        </w:rPr>
      </w:pPr>
    </w:p>
    <w:sectPr w:rsidR="00F27878" w:rsidRPr="00F2787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18DF" w14:textId="77777777" w:rsidR="003C013B" w:rsidRDefault="003C013B" w:rsidP="004A1847">
      <w:pPr>
        <w:spacing w:after="0" w:line="240" w:lineRule="auto"/>
      </w:pPr>
      <w:r>
        <w:separator/>
      </w:r>
    </w:p>
  </w:endnote>
  <w:endnote w:type="continuationSeparator" w:id="0">
    <w:p w14:paraId="2DF226EE" w14:textId="77777777" w:rsidR="003C013B" w:rsidRDefault="003C013B" w:rsidP="004A1847">
      <w:pPr>
        <w:spacing w:after="0" w:line="240" w:lineRule="auto"/>
      </w:pPr>
      <w:r>
        <w:continuationSeparator/>
      </w:r>
    </w:p>
  </w:endnote>
  <w:endnote w:type="continuationNotice" w:id="1">
    <w:p w14:paraId="5EE92EE6"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Footer"/>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Footer"/>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Footer"/>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65DC" w14:textId="77777777" w:rsidR="003C013B" w:rsidRDefault="003C013B" w:rsidP="004A1847">
      <w:pPr>
        <w:spacing w:after="0" w:line="240" w:lineRule="auto"/>
      </w:pPr>
      <w:r>
        <w:separator/>
      </w:r>
    </w:p>
  </w:footnote>
  <w:footnote w:type="continuationSeparator" w:id="0">
    <w:p w14:paraId="64D9EB4F" w14:textId="77777777" w:rsidR="003C013B" w:rsidRDefault="003C013B" w:rsidP="004A1847">
      <w:pPr>
        <w:spacing w:after="0" w:line="240" w:lineRule="auto"/>
      </w:pPr>
      <w:r>
        <w:continuationSeparator/>
      </w:r>
    </w:p>
  </w:footnote>
  <w:footnote w:type="continuationNotice" w:id="1">
    <w:p w14:paraId="050E300C" w14:textId="77777777" w:rsidR="00DF1E43" w:rsidRDefault="00DF1E43">
      <w:pPr>
        <w:spacing w:after="0" w:line="240" w:lineRule="auto"/>
      </w:pPr>
    </w:p>
  </w:footnote>
  <w:footnote w:id="2">
    <w:p w14:paraId="67BC4F5D" w14:textId="77777777" w:rsidR="008970ED" w:rsidRPr="00F64276" w:rsidRDefault="008970ED" w:rsidP="008970ED">
      <w:pPr>
        <w:pStyle w:val="FootnoteText"/>
        <w:ind w:firstLine="708"/>
        <w:jc w:val="both"/>
        <w:rPr>
          <w:rFonts w:ascii="Arial" w:hAnsi="Arial" w:cs="Arial"/>
          <w:sz w:val="18"/>
          <w:szCs w:val="18"/>
          <w:lang w:val="es-ES"/>
        </w:rPr>
      </w:pPr>
      <w:r w:rsidRPr="00F64276">
        <w:rPr>
          <w:rStyle w:val="FootnoteReference"/>
          <w:rFonts w:ascii="Arial" w:hAnsi="Arial" w:cs="Arial"/>
          <w:sz w:val="18"/>
          <w:szCs w:val="18"/>
        </w:rPr>
        <w:footnoteRef/>
      </w:r>
      <w:r w:rsidRPr="00F6427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64276">
        <w:rPr>
          <w:rFonts w:ascii="Arial" w:hAnsi="Arial" w:cs="Arial"/>
          <w:i/>
          <w:iCs/>
          <w:sz w:val="18"/>
          <w:szCs w:val="18"/>
        </w:rPr>
        <w:t xml:space="preserve">ibidem </w:t>
      </w:r>
      <w:r w:rsidRPr="00F64276">
        <w:rPr>
          <w:rFonts w:ascii="Arial" w:hAnsi="Arial" w:cs="Arial"/>
          <w:sz w:val="18"/>
          <w:szCs w:val="18"/>
        </w:rPr>
        <w:t xml:space="preserve">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w:t>
      </w:r>
      <w:r w:rsidRPr="00F64276">
        <w:rPr>
          <w:rFonts w:ascii="Arial" w:hAnsi="Arial" w:cs="Arial"/>
          <w:i/>
          <w:iCs/>
          <w:sz w:val="18"/>
          <w:szCs w:val="18"/>
        </w:rPr>
        <w:t>ibidem</w:t>
      </w:r>
      <w:r w:rsidRPr="00F64276">
        <w:rPr>
          <w:rFonts w:ascii="Arial" w:hAnsi="Arial" w:cs="Arial"/>
          <w:sz w:val="18"/>
          <w:szCs w:val="18"/>
        </w:rPr>
        <w:t xml:space="preserve"> señala que es función de la Subdirección de Gestión Contractual: “[a]bsolver consultas sobre la aplicación de normas de carácter general”.</w:t>
      </w:r>
    </w:p>
  </w:footnote>
  <w:footnote w:id="3">
    <w:p w14:paraId="2F8351E7" w14:textId="77777777" w:rsidR="00F27878"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El artículo 127 de la Constitución Política señala: </w:t>
      </w:r>
      <w:r>
        <w:rPr>
          <w:rFonts w:ascii="Arial" w:hAnsi="Arial" w:cs="Arial"/>
          <w:sz w:val="19"/>
          <w:szCs w:val="19"/>
        </w:rPr>
        <w:t>“</w:t>
      </w:r>
      <w:r w:rsidRPr="00082ACC">
        <w:rPr>
          <w:rFonts w:ascii="Arial" w:hAnsi="Arial" w:cs="Arial"/>
          <w:sz w:val="19"/>
          <w:szCs w:val="19"/>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14:paraId="5BE9CEA7" w14:textId="77777777" w:rsidR="00F27878" w:rsidRPr="00082ACC" w:rsidRDefault="00F27878" w:rsidP="00F27878">
      <w:pPr>
        <w:pStyle w:val="FootnoteText"/>
        <w:ind w:firstLine="709"/>
        <w:contextualSpacing/>
        <w:jc w:val="both"/>
        <w:rPr>
          <w:rFonts w:ascii="Arial" w:hAnsi="Arial" w:cs="Arial"/>
          <w:sz w:val="19"/>
          <w:szCs w:val="19"/>
        </w:rPr>
      </w:pPr>
    </w:p>
    <w:p w14:paraId="33A9BE4D" w14:textId="77777777" w:rsidR="00F27878" w:rsidRDefault="00F27878" w:rsidP="00F27878">
      <w:pPr>
        <w:pStyle w:val="FootnoteText"/>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r>
        <w:rPr>
          <w:rFonts w:ascii="Arial" w:hAnsi="Arial" w:cs="Arial"/>
          <w:sz w:val="19"/>
          <w:szCs w:val="19"/>
        </w:rPr>
        <w:t>”</w:t>
      </w:r>
      <w:r w:rsidRPr="00082ACC">
        <w:rPr>
          <w:rFonts w:ascii="Arial" w:hAnsi="Arial" w:cs="Arial"/>
          <w:sz w:val="19"/>
          <w:szCs w:val="19"/>
        </w:rPr>
        <w:t>.</w:t>
      </w:r>
    </w:p>
    <w:p w14:paraId="11F65D74" w14:textId="77777777" w:rsidR="00F27878" w:rsidRPr="00082ACC" w:rsidRDefault="00F27878" w:rsidP="00F27878">
      <w:pPr>
        <w:pStyle w:val="FootnoteText"/>
        <w:ind w:firstLine="709"/>
        <w:contextualSpacing/>
        <w:jc w:val="both"/>
        <w:rPr>
          <w:rFonts w:ascii="Arial" w:hAnsi="Arial" w:cs="Arial"/>
          <w:sz w:val="19"/>
          <w:szCs w:val="19"/>
        </w:rPr>
      </w:pPr>
    </w:p>
  </w:footnote>
  <w:footnote w:id="4">
    <w:p w14:paraId="336BD793" w14:textId="77777777" w:rsidR="00F27878" w:rsidRPr="00082ACC"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5">
    <w:p w14:paraId="4B39F13A" w14:textId="77777777" w:rsidR="00F27878"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p w14:paraId="08E81B36" w14:textId="77777777" w:rsidR="00F27878" w:rsidRPr="00082ACC" w:rsidRDefault="00F27878" w:rsidP="00F27878">
      <w:pPr>
        <w:pStyle w:val="FootnoteText"/>
        <w:ind w:firstLine="709"/>
        <w:contextualSpacing/>
        <w:jc w:val="both"/>
        <w:rPr>
          <w:rFonts w:ascii="Arial" w:hAnsi="Arial" w:cs="Arial"/>
          <w:sz w:val="19"/>
          <w:szCs w:val="19"/>
        </w:rPr>
      </w:pPr>
    </w:p>
  </w:footnote>
  <w:footnote w:id="6">
    <w:p w14:paraId="4B6891A0" w14:textId="77777777" w:rsidR="00F27878"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5A78B02" w14:textId="77777777" w:rsidR="00F27878" w:rsidRPr="00082ACC" w:rsidRDefault="00F27878" w:rsidP="00F27878">
      <w:pPr>
        <w:pStyle w:val="FootnoteText"/>
        <w:ind w:firstLine="709"/>
        <w:contextualSpacing/>
        <w:jc w:val="both"/>
        <w:rPr>
          <w:rFonts w:ascii="Arial" w:hAnsi="Arial" w:cs="Arial"/>
          <w:sz w:val="19"/>
          <w:szCs w:val="19"/>
        </w:rPr>
      </w:pPr>
    </w:p>
  </w:footnote>
  <w:footnote w:id="7">
    <w:p w14:paraId="078C8414" w14:textId="77777777" w:rsidR="00F27878" w:rsidRDefault="00F27878" w:rsidP="00F27878">
      <w:pPr>
        <w:pStyle w:val="FootnoteText"/>
        <w:ind w:firstLine="709"/>
        <w:contextualSpacing/>
        <w:jc w:val="both"/>
        <w:rPr>
          <w:rFonts w:ascii="Arial" w:hAnsi="Arial" w:cs="Arial"/>
          <w:sz w:val="19"/>
          <w:szCs w:val="19"/>
          <w:lang w:val="es-CO"/>
        </w:rPr>
      </w:pPr>
      <w:r w:rsidRPr="00082ACC">
        <w:rPr>
          <w:rStyle w:val="FootnoteReferenc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4B39728" w14:textId="77777777" w:rsidR="00F27878" w:rsidRPr="00082ACC" w:rsidRDefault="00F27878" w:rsidP="00F27878">
      <w:pPr>
        <w:pStyle w:val="FootnoteText"/>
        <w:ind w:firstLine="709"/>
        <w:contextualSpacing/>
        <w:jc w:val="both"/>
        <w:rPr>
          <w:rFonts w:ascii="Arial" w:hAnsi="Arial" w:cs="Arial"/>
          <w:sz w:val="19"/>
          <w:szCs w:val="19"/>
          <w:lang w:val="es-CO"/>
        </w:rPr>
      </w:pPr>
    </w:p>
  </w:footnote>
  <w:footnote w:id="8">
    <w:p w14:paraId="68BAB398" w14:textId="77777777" w:rsidR="00F27878" w:rsidRPr="00082ACC"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Consejero Ponente: Álvaro Namén Vargas.  </w:t>
      </w:r>
    </w:p>
  </w:footnote>
  <w:footnote w:id="9">
    <w:p w14:paraId="5D88B4CB" w14:textId="77777777" w:rsidR="00F27878" w:rsidRPr="00082ACC" w:rsidRDefault="00F27878" w:rsidP="00F27878">
      <w:pPr>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w:t>
      </w:r>
      <w:bookmarkStart w:id="11" w:name="33"/>
      <w:r>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11"/>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608CC322" w14:textId="77777777" w:rsidR="00F27878" w:rsidRPr="00082ACC" w:rsidRDefault="00F27878" w:rsidP="00F27878">
      <w:pPr>
        <w:ind w:firstLine="709"/>
        <w:contextualSpacing/>
        <w:jc w:val="both"/>
        <w:rPr>
          <w:rFonts w:ascii="Arial" w:hAnsi="Arial" w:cs="Arial"/>
          <w:sz w:val="19"/>
          <w:szCs w:val="19"/>
        </w:rPr>
      </w:pPr>
      <w:r>
        <w:rPr>
          <w:rFonts w:ascii="Arial" w:eastAsia="Calibri" w:hAnsi="Arial" w:cs="Arial"/>
          <w:color w:val="000000"/>
          <w:sz w:val="19"/>
          <w:szCs w:val="19"/>
        </w:rPr>
        <w:t>“</w:t>
      </w:r>
      <w:r w:rsidRPr="00082AC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color w:val="000000"/>
          <w:sz w:val="19"/>
          <w:szCs w:val="19"/>
        </w:rPr>
        <w:t>”</w:t>
      </w:r>
      <w:r w:rsidRPr="00082ACC">
        <w:rPr>
          <w:rFonts w:ascii="Arial" w:hAnsi="Arial" w:cs="Arial"/>
          <w:sz w:val="19"/>
          <w:szCs w:val="19"/>
        </w:rPr>
        <w:t>.</w:t>
      </w:r>
    </w:p>
  </w:footnote>
  <w:footnote w:id="10">
    <w:p w14:paraId="1326E511" w14:textId="77777777" w:rsidR="00F27878" w:rsidRPr="00082ACC" w:rsidRDefault="00F27878" w:rsidP="00F27878">
      <w:pPr>
        <w:pStyle w:val="NormalWeb"/>
        <w:spacing w:after="0" w:line="240" w:lineRule="auto"/>
        <w:ind w:firstLine="709"/>
        <w:contextualSpacing/>
        <w:rPr>
          <w:rFonts w:ascii="Arial" w:hAnsi="Arial" w:cs="Arial"/>
          <w:sz w:val="19"/>
          <w:szCs w:val="19"/>
          <w:lang w:val="es-MX"/>
        </w:rPr>
      </w:pPr>
      <w:r w:rsidRPr="00082ACC">
        <w:rPr>
          <w:rStyle w:val="FootnoteReference"/>
          <w:rFonts w:ascii="Arial" w:hAnsi="Arial" w:cs="Arial"/>
          <w:sz w:val="19"/>
          <w:szCs w:val="19"/>
        </w:rPr>
        <w:footnoteRef/>
      </w:r>
      <w:r w:rsidRPr="00082ACC">
        <w:rPr>
          <w:rFonts w:ascii="Arial" w:hAnsi="Arial" w:cs="Arial"/>
          <w:sz w:val="19"/>
          <w:szCs w:val="19"/>
        </w:rPr>
        <w:t xml:space="preserve"> </w:t>
      </w:r>
      <w:bookmarkStart w:id="12" w:name="38"/>
      <w:r>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12"/>
    </w:p>
    <w:p w14:paraId="562E7E5D" w14:textId="77777777" w:rsidR="00F27878" w:rsidRPr="00082ACC" w:rsidRDefault="00F27878" w:rsidP="00F27878">
      <w:pPr>
        <w:pStyle w:val="NormalWeb"/>
        <w:spacing w:after="0" w:line="240" w:lineRule="auto"/>
        <w:ind w:firstLine="709"/>
        <w:contextualSpacing/>
        <w:rPr>
          <w:rFonts w:ascii="Arial" w:hAnsi="Arial" w:cs="Arial"/>
          <w:sz w:val="19"/>
          <w:szCs w:val="19"/>
          <w:lang w:val="es-MX"/>
        </w:rPr>
      </w:pPr>
      <w:r>
        <w:rPr>
          <w:rFonts w:ascii="Arial" w:eastAsia="Calibri" w:hAnsi="Arial" w:cs="Arial"/>
          <w:color w:val="000000"/>
          <w:sz w:val="19"/>
          <w:szCs w:val="19"/>
        </w:rPr>
        <w:t>“</w:t>
      </w:r>
      <w:r w:rsidRPr="00082ACC">
        <w:rPr>
          <w:rFonts w:ascii="Arial" w:hAnsi="Arial" w:cs="Arial"/>
          <w:sz w:val="19"/>
          <w:szCs w:val="19"/>
          <w:lang w:val="es-MX"/>
        </w:rPr>
        <w:t xml:space="preserve"> […]</w:t>
      </w:r>
    </w:p>
    <w:p w14:paraId="50B290AC" w14:textId="77777777" w:rsidR="00F27878" w:rsidRPr="00082ACC" w:rsidRDefault="00F27878" w:rsidP="00F27878">
      <w:pPr>
        <w:pStyle w:val="NormalWeb"/>
        <w:spacing w:after="0" w:line="240" w:lineRule="auto"/>
        <w:ind w:firstLine="709"/>
        <w:contextualSpacing/>
        <w:rPr>
          <w:rFonts w:ascii="Arial" w:hAnsi="Arial" w:cs="Arial"/>
          <w:sz w:val="19"/>
          <w:szCs w:val="19"/>
          <w:lang w:val="es-MX"/>
        </w:rPr>
      </w:pPr>
      <w:r>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Calibri" w:hAnsi="Arial" w:cs="Arial"/>
          <w:color w:val="000000"/>
          <w:sz w:val="19"/>
          <w:szCs w:val="19"/>
        </w:rPr>
        <w:t>”</w:t>
      </w:r>
      <w:r w:rsidRPr="00082ACC">
        <w:rPr>
          <w:rFonts w:ascii="Arial" w:hAnsi="Arial" w:cs="Arial"/>
          <w:sz w:val="19"/>
          <w:szCs w:val="19"/>
          <w:lang w:val="es-MX"/>
        </w:rPr>
        <w:t>.</w:t>
      </w:r>
    </w:p>
  </w:footnote>
  <w:footnote w:id="11">
    <w:p w14:paraId="6D64FCFC" w14:textId="77777777" w:rsidR="00F27878" w:rsidRPr="00082ACC" w:rsidRDefault="00F27878" w:rsidP="00F27878">
      <w:pPr>
        <w:ind w:left="100" w:right="244" w:firstLine="709"/>
        <w:contextualSpacing/>
        <w:jc w:val="both"/>
        <w:rPr>
          <w:rFonts w:ascii="Arial" w:hAnsi="Arial" w:cs="Arial"/>
          <w:sz w:val="19"/>
          <w:szCs w:val="19"/>
          <w:lang w:val="es-ES"/>
        </w:rPr>
      </w:pPr>
      <w:r w:rsidRPr="00082ACC">
        <w:rPr>
          <w:rStyle w:val="FootnoteReferenc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564A3BF8" w14:textId="77777777" w:rsidR="00F27878" w:rsidRPr="00082ACC" w:rsidRDefault="00F27878" w:rsidP="00F27878">
      <w:pPr>
        <w:pStyle w:val="FootnoteText"/>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13">
    <w:p w14:paraId="78EB6CA3" w14:textId="77777777" w:rsidR="00F27878" w:rsidRPr="00082ACC" w:rsidRDefault="00F27878" w:rsidP="00F27878">
      <w:pPr>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Decreto 1082 de 2015: </w:t>
      </w:r>
      <w:r>
        <w:rPr>
          <w:rFonts w:ascii="Arial" w:hAnsi="Arial" w:cs="Arial"/>
          <w:sz w:val="19"/>
          <w:szCs w:val="19"/>
        </w:rPr>
        <w:t>“</w:t>
      </w:r>
      <w:r w:rsidRPr="00082ACC">
        <w:rPr>
          <w:rFonts w:ascii="Arial" w:hAnsi="Arial" w:cs="Arial"/>
          <w:sz w:val="19"/>
          <w:szCs w:val="19"/>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7AB3975B" w14:textId="77777777" w:rsidR="00F27878" w:rsidRPr="00082ACC" w:rsidRDefault="00F27878" w:rsidP="00F27878">
      <w:pPr>
        <w:ind w:firstLine="709"/>
        <w:contextualSpacing/>
        <w:jc w:val="both"/>
        <w:rPr>
          <w:rFonts w:ascii="Arial" w:hAnsi="Arial" w:cs="Arial"/>
          <w:sz w:val="19"/>
          <w:szCs w:val="19"/>
        </w:rPr>
      </w:pPr>
      <w:r>
        <w:rPr>
          <w:rFonts w:ascii="Arial" w:hAnsi="Arial" w:cs="Arial"/>
          <w:sz w:val="19"/>
          <w:szCs w:val="19"/>
        </w:rPr>
        <w:t>“</w:t>
      </w: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r>
        <w:rPr>
          <w:rFonts w:ascii="Arial" w:hAnsi="Arial" w:cs="Arial"/>
          <w:sz w:val="19"/>
          <w:szCs w:val="19"/>
        </w:rPr>
        <w:t>”</w:t>
      </w:r>
      <w:r w:rsidRPr="00082ACC">
        <w:rPr>
          <w:rFonts w:ascii="Arial" w:hAnsi="Arial" w:cs="Arial"/>
          <w:sz w:val="19"/>
          <w:szCs w:val="19"/>
        </w:rPr>
        <w:t>.</w:t>
      </w:r>
    </w:p>
  </w:footnote>
  <w:footnote w:id="14">
    <w:p w14:paraId="56C27EDC" w14:textId="77777777" w:rsidR="00F27878" w:rsidRPr="00082ACC" w:rsidRDefault="00F27878" w:rsidP="00F27878">
      <w:pPr>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Ley 1150 de 2007: </w:t>
      </w:r>
      <w:r>
        <w:rPr>
          <w:rFonts w:ascii="Arial" w:hAnsi="Arial" w:cs="Arial"/>
          <w:sz w:val="19"/>
          <w:szCs w:val="19"/>
        </w:rPr>
        <w:t>“</w:t>
      </w:r>
      <w:r w:rsidRPr="00082ACC">
        <w:rPr>
          <w:rFonts w:ascii="Arial" w:hAnsi="Arial" w:cs="Arial"/>
          <w:sz w:val="19"/>
          <w:szCs w:val="19"/>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r>
        <w:rPr>
          <w:rFonts w:ascii="Arial" w:hAnsi="Arial" w:cs="Arial"/>
          <w:sz w:val="19"/>
          <w:szCs w:val="19"/>
        </w:rPr>
        <w:t>”</w:t>
      </w:r>
      <w:r w:rsidRPr="00082ACC">
        <w:rPr>
          <w:rFonts w:ascii="Arial" w:hAnsi="Arial" w:cs="Arial"/>
          <w:sz w:val="19"/>
          <w:szCs w:val="19"/>
        </w:rPr>
        <w:t>.</w:t>
      </w:r>
    </w:p>
  </w:footnote>
  <w:footnote w:id="15">
    <w:p w14:paraId="7E89A10C" w14:textId="77777777" w:rsidR="00F27878" w:rsidRPr="00082ACC" w:rsidRDefault="00F27878" w:rsidP="00F27878">
      <w:pPr>
        <w:ind w:right="454"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16">
    <w:p w14:paraId="00F4557B" w14:textId="77777777" w:rsidR="00F27878" w:rsidRPr="00082ACC" w:rsidRDefault="00F27878" w:rsidP="00F27878">
      <w:pPr>
        <w:ind w:firstLine="709"/>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Exp. 46.986. C.P. Jaime Enrique Rodríguez Navas.</w:t>
      </w:r>
    </w:p>
  </w:footnote>
  <w:footnote w:id="17">
    <w:p w14:paraId="387FF692" w14:textId="77777777" w:rsidR="00F27878" w:rsidRPr="00082ACC" w:rsidRDefault="00F27878" w:rsidP="00F27878">
      <w:pPr>
        <w:pStyle w:val="FootnoteText"/>
        <w:ind w:firstLine="708"/>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CE. SCSC. Concepto de 1 de noviembre de 2016 [Rad. 11001-03-06-000-2016-00125-00(2305)]. MP. Germán Alberto Bula Escobar</w:t>
      </w:r>
      <w:r>
        <w:rPr>
          <w:rFonts w:ascii="Arial" w:hAnsi="Arial" w:cs="Arial"/>
          <w:sz w:val="19"/>
          <w:szCs w:val="19"/>
        </w:rPr>
        <w:t>”</w:t>
      </w:r>
      <w:r w:rsidRPr="00082ACC">
        <w:rPr>
          <w:rFonts w:ascii="Arial" w:hAnsi="Arial" w:cs="Arial"/>
          <w:sz w:val="19"/>
          <w:szCs w:val="19"/>
        </w:rPr>
        <w:t>.</w:t>
      </w:r>
    </w:p>
  </w:footnote>
  <w:footnote w:id="18">
    <w:p w14:paraId="2023234C" w14:textId="77777777" w:rsidR="00F27878" w:rsidRPr="00082ACC" w:rsidRDefault="00F27878" w:rsidP="00F27878">
      <w:pPr>
        <w:pStyle w:val="FootnoteText"/>
        <w:ind w:firstLine="708"/>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r>
        <w:rPr>
          <w:rFonts w:ascii="Arial" w:hAnsi="Arial" w:cs="Arial"/>
          <w:sz w:val="19"/>
          <w:szCs w:val="19"/>
        </w:rPr>
        <w:t>”</w:t>
      </w:r>
      <w:r w:rsidRPr="00082ACC">
        <w:rPr>
          <w:rFonts w:ascii="Arial" w:hAnsi="Arial" w:cs="Arial"/>
          <w:sz w:val="19"/>
          <w:szCs w:val="19"/>
        </w:rPr>
        <w:t>.</w:t>
      </w:r>
    </w:p>
  </w:footnote>
  <w:footnote w:id="19">
    <w:p w14:paraId="7F0DDAE5" w14:textId="77777777" w:rsidR="00F27878" w:rsidRPr="00082ACC" w:rsidRDefault="00F27878" w:rsidP="00F27878">
      <w:pPr>
        <w:pStyle w:val="FootnoteText"/>
        <w:ind w:firstLine="708"/>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[Referencia propia de la cita] </w:t>
      </w:r>
      <w:r>
        <w:rPr>
          <w:rFonts w:ascii="Arial" w:hAnsi="Arial" w:cs="Arial"/>
          <w:sz w:val="19"/>
          <w:szCs w:val="19"/>
        </w:rPr>
        <w:t>“</w:t>
      </w:r>
      <w:r w:rsidRPr="00082ACC">
        <w:rPr>
          <w:rFonts w:ascii="Arial" w:hAnsi="Arial" w:cs="Arial"/>
          <w:sz w:val="19"/>
          <w:szCs w:val="19"/>
        </w:rPr>
        <w:t xml:space="preserve">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r>
        <w:rPr>
          <w:rFonts w:ascii="Arial" w:hAnsi="Arial" w:cs="Arial"/>
          <w:sz w:val="19"/>
          <w:szCs w:val="19"/>
        </w:rPr>
        <w:t>”</w:t>
      </w:r>
      <w:r w:rsidRPr="00082ACC">
        <w:rPr>
          <w:rFonts w:ascii="Arial" w:hAnsi="Arial" w:cs="Arial"/>
          <w:sz w:val="19"/>
          <w:szCs w:val="19"/>
        </w:rPr>
        <w:t>.</w:t>
      </w:r>
    </w:p>
  </w:footnote>
  <w:footnote w:id="20">
    <w:p w14:paraId="51937D8C" w14:textId="77777777" w:rsidR="00F27878" w:rsidRPr="00082ACC" w:rsidRDefault="00F27878" w:rsidP="00F27878">
      <w:pPr>
        <w:pStyle w:val="FootnoteText"/>
        <w:ind w:firstLine="708"/>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w:t>
      </w:r>
      <w:r>
        <w:rPr>
          <w:rFonts w:ascii="Arial" w:hAnsi="Arial" w:cs="Arial"/>
          <w:sz w:val="19"/>
          <w:szCs w:val="19"/>
        </w:rPr>
        <w:t>“</w:t>
      </w:r>
      <w:r w:rsidRPr="00082ACC">
        <w:rPr>
          <w:rFonts w:ascii="Arial" w:hAnsi="Arial" w:cs="Arial"/>
          <w:sz w:val="19"/>
          <w:szCs w:val="19"/>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Pr>
          <w:rFonts w:ascii="Arial" w:hAnsi="Arial" w:cs="Arial"/>
          <w:sz w:val="19"/>
          <w:szCs w:val="19"/>
        </w:rPr>
        <w:t>”</w:t>
      </w:r>
      <w:r w:rsidRPr="00082ACC">
        <w:rPr>
          <w:rFonts w:ascii="Arial" w:hAnsi="Arial" w:cs="Arial"/>
          <w:sz w:val="19"/>
          <w:szCs w:val="19"/>
        </w:rPr>
        <w:t>. (Consejo de Estado. Sala de Consulta y Servicio Civil. Concepto 26 de julio de 2016. Exp. 2.257. M.P. Álvaro Namén Vargas).</w:t>
      </w:r>
    </w:p>
  </w:footnote>
  <w:footnote w:id="21">
    <w:p w14:paraId="22445587" w14:textId="77777777" w:rsidR="00F27878" w:rsidRPr="00082ACC" w:rsidRDefault="00F27878" w:rsidP="00F27878">
      <w:pPr>
        <w:pStyle w:val="FootnoteText"/>
        <w:ind w:firstLine="708"/>
        <w:contextualSpacing/>
        <w:jc w:val="both"/>
        <w:rPr>
          <w:rFonts w:ascii="Arial" w:hAnsi="Arial" w:cs="Arial"/>
          <w:sz w:val="19"/>
          <w:szCs w:val="19"/>
        </w:rPr>
      </w:pPr>
      <w:r w:rsidRPr="00082ACC">
        <w:rPr>
          <w:rStyle w:val="FootnoteReferenc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w:t>
      </w:r>
      <w:r>
        <w:rPr>
          <w:rFonts w:ascii="Arial" w:hAnsi="Arial" w:cs="Arial"/>
          <w:sz w:val="19"/>
          <w:szCs w:val="19"/>
        </w:rPr>
        <w:t>“</w:t>
      </w:r>
      <w:r w:rsidRPr="00082ACC">
        <w:rPr>
          <w:rFonts w:ascii="Arial" w:hAnsi="Arial" w:cs="Arial"/>
          <w:sz w:val="19"/>
          <w:szCs w:val="19"/>
        </w:rPr>
        <w:t>contratos</w:t>
      </w:r>
      <w:r>
        <w:rPr>
          <w:rFonts w:ascii="Arial" w:hAnsi="Arial" w:cs="Arial"/>
          <w:sz w:val="19"/>
          <w:szCs w:val="19"/>
        </w:rPr>
        <w:t>”</w:t>
      </w:r>
      <w:r w:rsidRPr="00082ACC">
        <w:rPr>
          <w:rFonts w:ascii="Arial" w:hAnsi="Arial" w:cs="Arial"/>
          <w:sz w:val="19"/>
          <w:szCs w:val="19"/>
        </w:rPr>
        <w:t xml:space="preserve"> como a los </w:t>
      </w:r>
      <w:r>
        <w:rPr>
          <w:rFonts w:ascii="Arial" w:hAnsi="Arial" w:cs="Arial"/>
          <w:sz w:val="19"/>
          <w:szCs w:val="19"/>
        </w:rPr>
        <w:t>“</w:t>
      </w:r>
      <w:r w:rsidRPr="00082ACC">
        <w:rPr>
          <w:rFonts w:ascii="Arial" w:hAnsi="Arial" w:cs="Arial"/>
          <w:sz w:val="19"/>
          <w:szCs w:val="19"/>
        </w:rPr>
        <w:t>convenios</w:t>
      </w:r>
      <w:r>
        <w:rPr>
          <w:rFonts w:ascii="Arial" w:hAnsi="Arial" w:cs="Arial"/>
          <w:sz w:val="19"/>
          <w:szCs w:val="19"/>
        </w:rPr>
        <w:t>”</w:t>
      </w:r>
      <w:r w:rsidRPr="00082ACC">
        <w:rPr>
          <w:rFonts w:ascii="Arial" w:hAnsi="Arial" w:cs="Arial"/>
          <w:sz w:val="19"/>
          <w:szCs w:val="19"/>
        </w:rPr>
        <w:t xml:space="preserve">. </w:t>
      </w:r>
    </w:p>
  </w:footnote>
  <w:footnote w:id="22">
    <w:p w14:paraId="3291E493" w14:textId="77777777" w:rsidR="00F27878" w:rsidRPr="00082ACC" w:rsidRDefault="00F27878" w:rsidP="00F27878">
      <w:pPr>
        <w:pStyle w:val="FootnoteText"/>
        <w:ind w:firstLine="708"/>
        <w:contextualSpacing/>
        <w:jc w:val="both"/>
        <w:rPr>
          <w:rFonts w:ascii="Arial" w:hAnsi="Arial" w:cs="Arial"/>
          <w:sz w:val="19"/>
          <w:szCs w:val="19"/>
          <w:lang w:val="es-CO"/>
        </w:rPr>
      </w:pPr>
      <w:r w:rsidRPr="00082ACC">
        <w:rPr>
          <w:rStyle w:val="FootnoteReferenc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w:t>
      </w:r>
      <w:r>
        <w:rPr>
          <w:rFonts w:ascii="Arial" w:hAnsi="Arial" w:cs="Arial"/>
          <w:sz w:val="19"/>
          <w:szCs w:val="19"/>
        </w:rPr>
        <w:t>”</w:t>
      </w:r>
      <w:r w:rsidRPr="00082ACC">
        <w:rPr>
          <w:rFonts w:ascii="Arial" w:hAnsi="Arial" w:cs="Arial"/>
          <w:sz w:val="19"/>
          <w:szCs w:val="19"/>
        </w:rPr>
        <w:t>.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Header"/>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B3D07"/>
    <w:rsid w:val="0011595A"/>
    <w:rsid w:val="001220C5"/>
    <w:rsid w:val="001267F7"/>
    <w:rsid w:val="00127233"/>
    <w:rsid w:val="00130999"/>
    <w:rsid w:val="00164D81"/>
    <w:rsid w:val="0018586A"/>
    <w:rsid w:val="001A1011"/>
    <w:rsid w:val="001A48D0"/>
    <w:rsid w:val="00212E91"/>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270A1"/>
    <w:rsid w:val="0043138C"/>
    <w:rsid w:val="00462A59"/>
    <w:rsid w:val="004A1847"/>
    <w:rsid w:val="004B6B0E"/>
    <w:rsid w:val="004D25B3"/>
    <w:rsid w:val="00511405"/>
    <w:rsid w:val="00526E9D"/>
    <w:rsid w:val="005426EB"/>
    <w:rsid w:val="00547856"/>
    <w:rsid w:val="00547A74"/>
    <w:rsid w:val="005566E8"/>
    <w:rsid w:val="005746AB"/>
    <w:rsid w:val="0059357F"/>
    <w:rsid w:val="005A1130"/>
    <w:rsid w:val="005C4236"/>
    <w:rsid w:val="005D65C8"/>
    <w:rsid w:val="006219F8"/>
    <w:rsid w:val="00681FDB"/>
    <w:rsid w:val="006A7DAD"/>
    <w:rsid w:val="006D70BA"/>
    <w:rsid w:val="006F4EEB"/>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970ED"/>
    <w:rsid w:val="008D5C70"/>
    <w:rsid w:val="009025AF"/>
    <w:rsid w:val="00904F23"/>
    <w:rsid w:val="00906B3C"/>
    <w:rsid w:val="0095342C"/>
    <w:rsid w:val="009F33F2"/>
    <w:rsid w:val="009F6C77"/>
    <w:rsid w:val="00A07532"/>
    <w:rsid w:val="00A1085C"/>
    <w:rsid w:val="00A309E2"/>
    <w:rsid w:val="00A8066E"/>
    <w:rsid w:val="00AA1445"/>
    <w:rsid w:val="00AA4B8A"/>
    <w:rsid w:val="00AA6BF7"/>
    <w:rsid w:val="00B01ED6"/>
    <w:rsid w:val="00B06D09"/>
    <w:rsid w:val="00B771A9"/>
    <w:rsid w:val="00B809BB"/>
    <w:rsid w:val="00B8248A"/>
    <w:rsid w:val="00BB7726"/>
    <w:rsid w:val="00C2329E"/>
    <w:rsid w:val="00C30461"/>
    <w:rsid w:val="00C754BE"/>
    <w:rsid w:val="00C87572"/>
    <w:rsid w:val="00C9405D"/>
    <w:rsid w:val="00CA1D32"/>
    <w:rsid w:val="00CC1B26"/>
    <w:rsid w:val="00CD284F"/>
    <w:rsid w:val="00CF23AA"/>
    <w:rsid w:val="00D01921"/>
    <w:rsid w:val="00D35DA4"/>
    <w:rsid w:val="00D752B7"/>
    <w:rsid w:val="00D97CF3"/>
    <w:rsid w:val="00DA1854"/>
    <w:rsid w:val="00DB0887"/>
    <w:rsid w:val="00DF1E43"/>
    <w:rsid w:val="00E20894"/>
    <w:rsid w:val="00E26B7C"/>
    <w:rsid w:val="00E359C8"/>
    <w:rsid w:val="00EA3003"/>
    <w:rsid w:val="00EB3C91"/>
    <w:rsid w:val="00EB66DA"/>
    <w:rsid w:val="00F27878"/>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Heading1">
    <w:name w:val="heading 1"/>
    <w:basedOn w:val="Normal"/>
    <w:link w:val="Heading1Ch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Heading1Char">
    <w:name w:val="Heading 1 Char"/>
    <w:basedOn w:val="DefaultParagraphFont"/>
    <w:link w:val="Heading1"/>
    <w:uiPriority w:val="9"/>
    <w:rsid w:val="00904F23"/>
    <w:rPr>
      <w:rFonts w:ascii="Arial" w:eastAsia="Arial" w:hAnsi="Arial" w:cs="Arial"/>
      <w:b/>
      <w:bCs/>
      <w:lang w:val="es-ES"/>
    </w:rPr>
  </w:style>
  <w:style w:type="character" w:styleId="CommentReference">
    <w:name w:val="annotation reference"/>
    <w:basedOn w:val="DefaultParagraphFont"/>
    <w:uiPriority w:val="99"/>
    <w:semiHidden/>
    <w:unhideWhenUsed/>
    <w:rsid w:val="00511405"/>
    <w:rPr>
      <w:sz w:val="16"/>
      <w:szCs w:val="16"/>
    </w:rPr>
  </w:style>
  <w:style w:type="paragraph" w:styleId="CommentText">
    <w:name w:val="annotation text"/>
    <w:basedOn w:val="Normal"/>
    <w:link w:val="CommentTextChar"/>
    <w:uiPriority w:val="99"/>
    <w:unhideWhenUsed/>
    <w:rsid w:val="00511405"/>
    <w:pPr>
      <w:spacing w:line="240" w:lineRule="auto"/>
    </w:pPr>
    <w:rPr>
      <w:sz w:val="20"/>
      <w:szCs w:val="20"/>
    </w:rPr>
  </w:style>
  <w:style w:type="character" w:customStyle="1" w:styleId="CommentTextChar">
    <w:name w:val="Comment Text Char"/>
    <w:basedOn w:val="DefaultParagraphFont"/>
    <w:link w:val="CommentText"/>
    <w:uiPriority w:val="99"/>
    <w:rsid w:val="00511405"/>
    <w:rPr>
      <w:sz w:val="20"/>
      <w:szCs w:val="20"/>
    </w:rPr>
  </w:style>
  <w:style w:type="paragraph" w:styleId="Revision">
    <w:name w:val="Revision"/>
    <w:hidden/>
    <w:uiPriority w:val="99"/>
    <w:semiHidden/>
    <w:rsid w:val="00511405"/>
    <w:pPr>
      <w:spacing w:after="0" w:line="240" w:lineRule="auto"/>
    </w:pPr>
  </w:style>
  <w:style w:type="paragraph" w:styleId="CommentSubject">
    <w:name w:val="annotation subject"/>
    <w:basedOn w:val="CommentText"/>
    <w:next w:val="CommentText"/>
    <w:link w:val="CommentSubjectChar"/>
    <w:uiPriority w:val="99"/>
    <w:semiHidden/>
    <w:unhideWhenUsed/>
    <w:rsid w:val="00511405"/>
    <w:rPr>
      <w:b/>
      <w:bCs/>
    </w:rPr>
  </w:style>
  <w:style w:type="character" w:customStyle="1" w:styleId="CommentSubjectChar">
    <w:name w:val="Comment Subject Char"/>
    <w:basedOn w:val="CommentTextChar"/>
    <w:link w:val="CommentSubject"/>
    <w:uiPriority w:val="99"/>
    <w:semiHidden/>
    <w:rsid w:val="00511405"/>
    <w:rPr>
      <w:b/>
      <w:bCs/>
      <w:sz w:val="20"/>
      <w:szCs w:val="20"/>
    </w:rPr>
  </w:style>
  <w:style w:type="paragraph" w:styleId="NormalWeb">
    <w:name w:val="Normal (Web)"/>
    <w:basedOn w:val="Normal"/>
    <w:uiPriority w:val="99"/>
    <w:semiHidden/>
    <w:unhideWhenUsed/>
    <w:rsid w:val="00F27878"/>
    <w:rPr>
      <w:rFonts w:ascii="Times New Roman" w:hAnsi="Times New Roman" w:cs="Times New Roman"/>
      <w:sz w:val="24"/>
      <w:szCs w:val="24"/>
    </w:rPr>
  </w:style>
  <w:style w:type="paragraph" w:customStyle="1" w:styleId="Appelnotedebasde">
    <w:name w:val="Appel note de bas de..."/>
    <w:basedOn w:val="Normal"/>
    <w:link w:val="FootnoteReference"/>
    <w:uiPriority w:val="99"/>
    <w:rsid w:val="00F27878"/>
    <w:pPr>
      <w:spacing w:line="240" w:lineRule="exact"/>
    </w:pPr>
    <w:rPr>
      <w:vertAlign w:val="superscript"/>
    </w:rPr>
  </w:style>
  <w:style w:type="character" w:customStyle="1" w:styleId="baj">
    <w:name w:val="b_aj"/>
    <w:basedOn w:val="DefaultParagraphFont"/>
    <w:rsid w:val="00F27878"/>
  </w:style>
  <w:style w:type="table" w:customStyle="1" w:styleId="Tablaconcuadrcula12">
    <w:name w:val="Tabla con cuadrícula12"/>
    <w:basedOn w:val="TableNormal"/>
    <w:next w:val="TableGrid"/>
    <w:uiPriority w:val="39"/>
    <w:rsid w:val="00F2787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8ae15d26-076e-464e-81a7-6f76a0fb3917"/>
    <ds:schemaRef ds:uri="http://purl.org/dc/dcmitype/"/>
    <ds:schemaRef ds:uri="http://purl.org/dc/terms/"/>
    <ds:schemaRef ds:uri="http://schemas.openxmlformats.org/package/2006/metadata/core-properties"/>
    <ds:schemaRef ds:uri="http://schemas.microsoft.com/office/infopath/2007/PartnerControls"/>
    <ds:schemaRef ds:uri="cabc2350-70b2-4dba-bb42-96a3175f4d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6C85EE98-F426-41AE-BE74-AAE10056B685}"/>
</file>

<file path=docProps/app.xml><?xml version="1.0" encoding="utf-8"?>
<Properties xmlns="http://schemas.openxmlformats.org/officeDocument/2006/extended-properties" xmlns:vt="http://schemas.openxmlformats.org/officeDocument/2006/docPropsVTypes">
  <Template>Normal</Template>
  <TotalTime>2</TotalTime>
  <Pages>18</Pages>
  <Words>6731</Words>
  <Characters>37026</Characters>
  <Application>Microsoft Office Word</Application>
  <DocSecurity>0</DocSecurity>
  <Lines>308</Lines>
  <Paragraphs>87</Paragraphs>
  <ScaleCrop>false</ScaleCrop>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6</cp:revision>
  <dcterms:created xsi:type="dcterms:W3CDTF">2023-06-22T19:00:00Z</dcterms:created>
  <dcterms:modified xsi:type="dcterms:W3CDTF">2023-06-24T00:52:00Z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